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8006A" w14:textId="77777777" w:rsidR="00FD1CE2" w:rsidRDefault="00FD1CE2" w:rsidP="00FD1CE2">
      <w:pPr>
        <w:spacing w:line="240" w:lineRule="auto"/>
        <w:jc w:val="left"/>
        <w:rPr>
          <w:szCs w:val="2"/>
          <w:rtl/>
        </w:rPr>
        <w:sectPr w:rsidR="00FD1CE2" w:rsidSect="006571A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tl/>
        </w:rPr>
        <w:commentReference w:id="0"/>
      </w:r>
      <w:bookmarkStart w:id="1" w:name="_GoBack"/>
      <w:bookmarkEnd w:id="1"/>
    </w:p>
    <w:p w14:paraId="48C79741" w14:textId="3DABAE5A" w:rsidR="006571A5" w:rsidRPr="006571A5" w:rsidRDefault="006571A5" w:rsidP="006473B1">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6571A5">
        <w:rPr>
          <w:rtl/>
        </w:rPr>
        <w:t>اللجنة</w:t>
      </w:r>
      <w:r>
        <w:rPr>
          <w:rtl/>
        </w:rPr>
        <w:t xml:space="preserve"> </w:t>
      </w:r>
      <w:r w:rsidRPr="006571A5">
        <w:rPr>
          <w:rtl/>
        </w:rPr>
        <w:t>المعنية</w:t>
      </w:r>
      <w:r>
        <w:rPr>
          <w:rtl/>
        </w:rPr>
        <w:t xml:space="preserve"> </w:t>
      </w:r>
      <w:r w:rsidRPr="006571A5">
        <w:rPr>
          <w:rtl/>
        </w:rPr>
        <w:t>بالقضاء</w:t>
      </w:r>
      <w:r>
        <w:rPr>
          <w:rtl/>
        </w:rPr>
        <w:t xml:space="preserve"> </w:t>
      </w:r>
      <w:r w:rsidRPr="006571A5">
        <w:rPr>
          <w:rtl/>
        </w:rPr>
        <w:t>على</w:t>
      </w:r>
      <w:r>
        <w:rPr>
          <w:rtl/>
        </w:rPr>
        <w:t xml:space="preserve"> </w:t>
      </w:r>
      <w:r w:rsidRPr="006571A5">
        <w:rPr>
          <w:rtl/>
        </w:rPr>
        <w:t>التمييز</w:t>
      </w:r>
      <w:r>
        <w:rPr>
          <w:rtl/>
        </w:rPr>
        <w:t xml:space="preserve"> </w:t>
      </w:r>
      <w:r w:rsidRPr="006571A5">
        <w:rPr>
          <w:rtl/>
        </w:rPr>
        <w:t>ضد</w:t>
      </w:r>
      <w:r>
        <w:rPr>
          <w:rtl/>
        </w:rPr>
        <w:t xml:space="preserve"> </w:t>
      </w:r>
      <w:r w:rsidRPr="006571A5">
        <w:rPr>
          <w:rtl/>
        </w:rPr>
        <w:t>المرأة‏‏</w:t>
      </w:r>
    </w:p>
    <w:p w14:paraId="2C02735A" w14:textId="7035E4B2" w:rsidR="006571A5" w:rsidRPr="006571A5" w:rsidRDefault="006571A5" w:rsidP="006571A5">
      <w:pPr>
        <w:pStyle w:val="SingleTxt"/>
        <w:spacing w:after="0" w:line="120" w:lineRule="exact"/>
        <w:rPr>
          <w:b/>
          <w:sz w:val="10"/>
          <w:rtl/>
        </w:rPr>
      </w:pPr>
    </w:p>
    <w:p w14:paraId="5E937374" w14:textId="23897854" w:rsidR="006571A5" w:rsidRDefault="006571A5" w:rsidP="006571A5">
      <w:pPr>
        <w:pStyle w:val="SingleTxt"/>
        <w:spacing w:after="0" w:line="120" w:lineRule="exact"/>
        <w:rPr>
          <w:b/>
          <w:sz w:val="10"/>
          <w:rtl/>
        </w:rPr>
      </w:pPr>
    </w:p>
    <w:p w14:paraId="6BDA0581" w14:textId="77777777" w:rsidR="003667F2" w:rsidRPr="006571A5" w:rsidRDefault="003667F2" w:rsidP="006571A5">
      <w:pPr>
        <w:pStyle w:val="SingleTxt"/>
        <w:spacing w:after="0" w:line="120" w:lineRule="exact"/>
        <w:rPr>
          <w:b/>
          <w:sz w:val="10"/>
          <w:rtl/>
        </w:rPr>
      </w:pPr>
    </w:p>
    <w:p w14:paraId="08D3DA61" w14:textId="44A4FB0F" w:rsidR="006571A5" w:rsidRPr="006571A5" w:rsidRDefault="006571A5" w:rsidP="006571A5">
      <w:pPr>
        <w:pStyle w:val="TitleHCH"/>
        <w:rPr>
          <w:rtl/>
        </w:rPr>
      </w:pPr>
      <w:r>
        <w:rPr>
          <w:rtl/>
        </w:rPr>
        <w:tab/>
      </w:r>
      <w:r>
        <w:rPr>
          <w:rtl/>
        </w:rPr>
        <w:tab/>
      </w:r>
      <w:r w:rsidRPr="006571A5">
        <w:rPr>
          <w:rtl/>
        </w:rPr>
        <w:t>القرار</w:t>
      </w:r>
      <w:r>
        <w:rPr>
          <w:rtl/>
        </w:rPr>
        <w:t xml:space="preserve"> </w:t>
      </w:r>
      <w:r w:rsidRPr="006571A5">
        <w:rPr>
          <w:rtl/>
        </w:rPr>
        <w:t>الذي</w:t>
      </w:r>
      <w:r>
        <w:rPr>
          <w:rtl/>
        </w:rPr>
        <w:t xml:space="preserve"> </w:t>
      </w:r>
      <w:r w:rsidRPr="006571A5">
        <w:rPr>
          <w:rtl/>
        </w:rPr>
        <w:t>اتخذته</w:t>
      </w:r>
      <w:r>
        <w:rPr>
          <w:rtl/>
        </w:rPr>
        <w:t xml:space="preserve"> </w:t>
      </w:r>
      <w:r w:rsidRPr="006571A5">
        <w:rPr>
          <w:rtl/>
        </w:rPr>
        <w:t>اللجنة</w:t>
      </w:r>
      <w:r>
        <w:rPr>
          <w:rtl/>
        </w:rPr>
        <w:t xml:space="preserve"> </w:t>
      </w:r>
      <w:r w:rsidRPr="006571A5">
        <w:rPr>
          <w:rtl/>
        </w:rPr>
        <w:t>بموجب</w:t>
      </w:r>
      <w:r>
        <w:rPr>
          <w:rtl/>
        </w:rPr>
        <w:t xml:space="preserve"> </w:t>
      </w:r>
      <w:r w:rsidRPr="006571A5">
        <w:rPr>
          <w:rtl/>
        </w:rPr>
        <w:t>المادة</w:t>
      </w:r>
      <w:r>
        <w:rPr>
          <w:rtl/>
        </w:rPr>
        <w:t xml:space="preserve"> </w:t>
      </w:r>
      <w:r w:rsidR="004B1017">
        <w:rPr>
          <w:rtl/>
        </w:rPr>
        <w:t>4</w:t>
      </w:r>
      <w:r>
        <w:rPr>
          <w:rtl/>
        </w:rPr>
        <w:t xml:space="preserve"> </w:t>
      </w:r>
      <w:r w:rsidRPr="006571A5">
        <w:rPr>
          <w:rtl/>
        </w:rPr>
        <w:t>(2)</w:t>
      </w:r>
      <w:r>
        <w:rPr>
          <w:rtl/>
        </w:rPr>
        <w:t xml:space="preserve"> </w:t>
      </w:r>
      <w:r w:rsidRPr="006571A5">
        <w:rPr>
          <w:rtl/>
        </w:rPr>
        <w:t>(ج)</w:t>
      </w:r>
      <w:r>
        <w:rPr>
          <w:rtl/>
        </w:rPr>
        <w:t xml:space="preserve"> </w:t>
      </w:r>
      <w:r w:rsidRPr="006571A5">
        <w:rPr>
          <w:rtl/>
        </w:rPr>
        <w:t>من</w:t>
      </w:r>
      <w:r>
        <w:rPr>
          <w:rtl/>
        </w:rPr>
        <w:t xml:space="preserve"> </w:t>
      </w:r>
      <w:r w:rsidRPr="006571A5">
        <w:rPr>
          <w:rtl/>
        </w:rPr>
        <w:t>البروتوكول</w:t>
      </w:r>
      <w:r>
        <w:rPr>
          <w:rtl/>
        </w:rPr>
        <w:t xml:space="preserve"> </w:t>
      </w:r>
      <w:r w:rsidRPr="006571A5">
        <w:rPr>
          <w:rtl/>
        </w:rPr>
        <w:t>الاختياري</w:t>
      </w:r>
      <w:r>
        <w:rPr>
          <w:rtl/>
        </w:rPr>
        <w:t xml:space="preserve"> </w:t>
      </w:r>
      <w:r w:rsidRPr="006571A5">
        <w:rPr>
          <w:rtl/>
        </w:rPr>
        <w:t>بشأن</w:t>
      </w:r>
      <w:r>
        <w:rPr>
          <w:rtl/>
        </w:rPr>
        <w:t xml:space="preserve"> </w:t>
      </w:r>
      <w:r w:rsidRPr="006571A5">
        <w:rPr>
          <w:rtl/>
        </w:rPr>
        <w:t>الرسالة</w:t>
      </w:r>
      <w:r>
        <w:rPr>
          <w:rtl/>
        </w:rPr>
        <w:t xml:space="preserve"> </w:t>
      </w:r>
      <w:r w:rsidRPr="006571A5">
        <w:rPr>
          <w:rtl/>
        </w:rPr>
        <w:t>رقم</w:t>
      </w:r>
      <w:r>
        <w:rPr>
          <w:rtl/>
        </w:rPr>
        <w:t xml:space="preserve"> </w:t>
      </w:r>
      <w:r w:rsidRPr="006571A5">
        <w:rPr>
          <w:rtl/>
        </w:rPr>
        <w:t>94/2015</w:t>
      </w:r>
      <w:r>
        <w:rPr>
          <w:rFonts w:hint="cs"/>
          <w:rtl/>
        </w:rPr>
        <w:t>*</w:t>
      </w:r>
      <w:r w:rsidRPr="006571A5">
        <w:rPr>
          <w:rFonts w:hint="cs"/>
          <w:vertAlign w:val="superscript"/>
          <w:rtl/>
        </w:rPr>
        <w:t>،</w:t>
      </w:r>
      <w:r>
        <w:rPr>
          <w:rFonts w:hint="cs"/>
          <w:rtl/>
        </w:rPr>
        <w:t>*</w:t>
      </w:r>
      <w:r w:rsidRPr="006571A5">
        <w:rPr>
          <w:rFonts w:hint="cs"/>
          <w:rtl/>
        </w:rPr>
        <w:t>*</w:t>
      </w:r>
    </w:p>
    <w:p w14:paraId="715F47B3" w14:textId="706D0054" w:rsidR="006571A5" w:rsidRPr="006571A5" w:rsidRDefault="006571A5" w:rsidP="006571A5">
      <w:pPr>
        <w:framePr w:w="9792" w:h="432" w:hSpace="180" w:wrap="notBeside" w:hAnchor="page" w:x="1196" w:yAlign="bottom"/>
        <w:spacing w:line="240" w:lineRule="auto"/>
        <w:rPr>
          <w:szCs w:val="6"/>
          <w:rtl/>
        </w:rPr>
      </w:pPr>
      <w:r w:rsidRPr="006571A5">
        <w:rPr>
          <w:noProof/>
          <w:szCs w:val="6"/>
        </w:rPr>
        <mc:AlternateContent>
          <mc:Choice Requires="wps">
            <w:drawing>
              <wp:anchor distT="0" distB="0" distL="114300" distR="114300" simplePos="0" relativeHeight="251661312" behindDoc="0" locked="0" layoutInCell="1" allowOverlap="1" wp14:anchorId="20B277B4" wp14:editId="12CF44B0">
                <wp:simplePos x="0" y="0"/>
                <wp:positionH relativeFrom="column">
                  <wp:posOffset>5029200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485F0"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z0QEAAAMEAAAOAAAAZHJzL2Uyb0RvYy54bWysU8tu2zAQvBfoPxC815KCwGgFyzk4SC5F&#10;azTtB9DUUiLAF5asJf99l7StBE2BokV0oLjkzuzOkNzczdawI2DU3nW8WdWcgZO+127o+I/vDx8+&#10;chaTcL0w3kHHTxD53fb9u80UWrjxozc9ICMSF9spdHxMKbRVFeUIVsSVD+BoU3m0IlGIQ9WjmIjd&#10;muqmrtfV5LEP6CXESKv3502+LfxKgUxflYqQmOk49ZbKiGU85LHabkQ7oAijlpc2xH90YYV2VHSh&#10;uhdJsJ+oX1FZLdFHr9JKelt5pbSEooHUNPVvap5GEaBoIXNiWGyKb0crvxz3yHTf8TVnTlg6oqeE&#10;Qg9jYjvvHBnoka2zT1OILaXv3B4vUQx7zKJnhTb/SQ6bi7enxVuYE5O0+Km5va3pBOR1q3rGBYzp&#10;EbxledJxo11WLVpx/BwT1aLUa0peNi6P0RvdP2hjSoDDYWeQHUU+56amL7dMwBdpFGVolYWcWy+z&#10;dDJwpv0GiqygZptSvlxCWGiFlOBSc+E1jrIzTFELC7D+O/CSn6FQLui/gBdEqexdWsBWO49/qp7m&#10;a8vqnH914Kw7W3Dw/akcarGGblpx7vIq8lV+GRf489vd/gI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EQpqjPRAQAAAwQA&#10;AA4AAAAAAAAAAAAAAAAALgIAAGRycy9lMm9Eb2MueG1sUEsBAi0AFAAGAAgAAAAhAPIk/q3dAAAA&#10;CQEAAA8AAAAAAAAAAAAAAAAAKwQAAGRycy9kb3ducmV2LnhtbFBLBQYAAAAABAAEAPMAAAA1BQAA&#10;AAA=&#10;" strokecolor="#010000"/>
            </w:pict>
          </mc:Fallback>
        </mc:AlternateContent>
      </w:r>
    </w:p>
    <w:p w14:paraId="0E39E910" w14:textId="2CF5084C" w:rsidR="006571A5" w:rsidRDefault="006571A5" w:rsidP="006571A5">
      <w:pPr>
        <w:framePr w:w="9792" w:h="432" w:hSpace="180" w:wrap="notBeside" w:hAnchor="page" w:x="1196" w:yAlign="bottom"/>
        <w:tabs>
          <w:tab w:val="right" w:pos="1195"/>
          <w:tab w:val="left" w:pos="1267"/>
        </w:tabs>
        <w:spacing w:after="80" w:line="280" w:lineRule="exact"/>
        <w:ind w:left="1267" w:right="1267" w:hanging="547"/>
        <w:rPr>
          <w:sz w:val="17"/>
          <w:szCs w:val="24"/>
          <w:rtl/>
        </w:rPr>
      </w:pPr>
      <w:r>
        <w:rPr>
          <w:sz w:val="17"/>
          <w:szCs w:val="24"/>
          <w:rtl/>
        </w:rPr>
        <w:tab/>
      </w:r>
      <w:r>
        <w:rPr>
          <w:rFonts w:hint="cs"/>
          <w:sz w:val="17"/>
          <w:szCs w:val="24"/>
          <w:rtl/>
        </w:rPr>
        <w:t>*</w:t>
      </w:r>
      <w:r>
        <w:rPr>
          <w:sz w:val="17"/>
          <w:szCs w:val="24"/>
          <w:rtl/>
        </w:rPr>
        <w:tab/>
      </w:r>
      <w:r w:rsidRPr="006571A5">
        <w:rPr>
          <w:sz w:val="17"/>
          <w:szCs w:val="24"/>
          <w:rtl/>
        </w:rPr>
        <w:t xml:space="preserve">اتخذت اللجنة هذا القرار في دورتها الثالثة والسبعين (1-19 تموز/يوليه </w:t>
      </w:r>
      <w:r w:rsidR="004B1017">
        <w:rPr>
          <w:sz w:val="17"/>
          <w:szCs w:val="24"/>
          <w:rtl/>
        </w:rPr>
        <w:t>2019</w:t>
      </w:r>
      <w:r w:rsidRPr="006571A5">
        <w:rPr>
          <w:sz w:val="17"/>
          <w:szCs w:val="24"/>
          <w:rtl/>
        </w:rPr>
        <w:t>)</w:t>
      </w:r>
    </w:p>
    <w:p w14:paraId="472D2E30" w14:textId="7C7D6B29" w:rsidR="006571A5" w:rsidRPr="006571A5" w:rsidRDefault="006571A5" w:rsidP="006571A5">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6571A5">
        <w:rPr>
          <w:sz w:val="17"/>
          <w:szCs w:val="24"/>
          <w:rtl/>
        </w:rPr>
        <w:t xml:space="preserve">شارك في النظر في هذه الرسالة أعضاء اللجنة التالية أسماؤهم: </w:t>
      </w:r>
      <w:proofErr w:type="spellStart"/>
      <w:r w:rsidRPr="006571A5">
        <w:rPr>
          <w:sz w:val="17"/>
          <w:szCs w:val="24"/>
          <w:rtl/>
        </w:rPr>
        <w:t>غلاديس</w:t>
      </w:r>
      <w:proofErr w:type="spellEnd"/>
      <w:r w:rsidRPr="006571A5">
        <w:rPr>
          <w:sz w:val="17"/>
          <w:szCs w:val="24"/>
          <w:rtl/>
        </w:rPr>
        <w:t xml:space="preserve"> أكوستا </w:t>
      </w:r>
      <w:proofErr w:type="spellStart"/>
      <w:r w:rsidRPr="006571A5">
        <w:rPr>
          <w:sz w:val="17"/>
          <w:szCs w:val="24"/>
          <w:rtl/>
        </w:rPr>
        <w:t>فارغاس</w:t>
      </w:r>
      <w:proofErr w:type="spellEnd"/>
      <w:r w:rsidRPr="006571A5">
        <w:rPr>
          <w:sz w:val="17"/>
          <w:szCs w:val="24"/>
          <w:rtl/>
        </w:rPr>
        <w:t xml:space="preserve">، </w:t>
      </w:r>
      <w:proofErr w:type="spellStart"/>
      <w:r w:rsidRPr="006571A5">
        <w:rPr>
          <w:sz w:val="17"/>
          <w:szCs w:val="24"/>
          <w:rtl/>
        </w:rPr>
        <w:t>هيروكو</w:t>
      </w:r>
      <w:proofErr w:type="spellEnd"/>
      <w:r w:rsidRPr="006571A5">
        <w:rPr>
          <w:sz w:val="17"/>
          <w:szCs w:val="24"/>
          <w:rtl/>
        </w:rPr>
        <w:t xml:space="preserve"> </w:t>
      </w:r>
      <w:proofErr w:type="spellStart"/>
      <w:r w:rsidRPr="006571A5">
        <w:rPr>
          <w:sz w:val="17"/>
          <w:szCs w:val="24"/>
          <w:rtl/>
        </w:rPr>
        <w:t>أكيزوكي</w:t>
      </w:r>
      <w:proofErr w:type="spellEnd"/>
      <w:r w:rsidRPr="006571A5">
        <w:rPr>
          <w:sz w:val="17"/>
          <w:szCs w:val="24"/>
          <w:rtl/>
        </w:rPr>
        <w:t xml:space="preserve">، تماضر الرماح، نيكول أملين، غونار </w:t>
      </w:r>
      <w:proofErr w:type="spellStart"/>
      <w:r w:rsidRPr="006571A5">
        <w:rPr>
          <w:sz w:val="17"/>
          <w:szCs w:val="24"/>
          <w:rtl/>
        </w:rPr>
        <w:t>بيرغبي</w:t>
      </w:r>
      <w:proofErr w:type="spellEnd"/>
      <w:r w:rsidRPr="006571A5">
        <w:rPr>
          <w:sz w:val="17"/>
          <w:szCs w:val="24"/>
          <w:rtl/>
        </w:rPr>
        <w:t xml:space="preserve">، ماريون </w:t>
      </w:r>
      <w:proofErr w:type="spellStart"/>
      <w:r w:rsidRPr="006571A5">
        <w:rPr>
          <w:sz w:val="17"/>
          <w:szCs w:val="24"/>
          <w:rtl/>
        </w:rPr>
        <w:t>بيثيل</w:t>
      </w:r>
      <w:proofErr w:type="spellEnd"/>
      <w:r w:rsidRPr="006571A5">
        <w:rPr>
          <w:sz w:val="17"/>
          <w:szCs w:val="24"/>
          <w:rtl/>
        </w:rPr>
        <w:t xml:space="preserve">، لويزة </w:t>
      </w:r>
      <w:proofErr w:type="spellStart"/>
      <w:r w:rsidRPr="006571A5">
        <w:rPr>
          <w:sz w:val="17"/>
          <w:szCs w:val="24"/>
          <w:rtl/>
        </w:rPr>
        <w:t>شعلال</w:t>
      </w:r>
      <w:proofErr w:type="spellEnd"/>
      <w:r w:rsidRPr="006571A5">
        <w:rPr>
          <w:sz w:val="17"/>
          <w:szCs w:val="24"/>
          <w:rtl/>
        </w:rPr>
        <w:t xml:space="preserve">، </w:t>
      </w:r>
      <w:proofErr w:type="spellStart"/>
      <w:r w:rsidRPr="006571A5">
        <w:rPr>
          <w:sz w:val="17"/>
          <w:szCs w:val="24"/>
          <w:rtl/>
        </w:rPr>
        <w:t>إيستر</w:t>
      </w:r>
      <w:proofErr w:type="spellEnd"/>
      <w:r w:rsidRPr="006571A5">
        <w:rPr>
          <w:sz w:val="17"/>
          <w:szCs w:val="24"/>
          <w:rtl/>
        </w:rPr>
        <w:t xml:space="preserve"> </w:t>
      </w:r>
      <w:proofErr w:type="spellStart"/>
      <w:r w:rsidRPr="006571A5">
        <w:rPr>
          <w:sz w:val="17"/>
          <w:szCs w:val="24"/>
          <w:rtl/>
        </w:rPr>
        <w:t>إيغوباميين</w:t>
      </w:r>
      <w:proofErr w:type="spellEnd"/>
      <w:r w:rsidRPr="006571A5">
        <w:rPr>
          <w:sz w:val="17"/>
          <w:szCs w:val="24"/>
          <w:rtl/>
        </w:rPr>
        <w:t xml:space="preserve"> - </w:t>
      </w:r>
      <w:proofErr w:type="spellStart"/>
      <w:r w:rsidRPr="006571A5">
        <w:rPr>
          <w:sz w:val="17"/>
          <w:szCs w:val="24"/>
          <w:rtl/>
        </w:rPr>
        <w:t>ميشيليا</w:t>
      </w:r>
      <w:proofErr w:type="spellEnd"/>
      <w:r w:rsidRPr="006571A5">
        <w:rPr>
          <w:sz w:val="17"/>
          <w:szCs w:val="24"/>
          <w:rtl/>
        </w:rPr>
        <w:t xml:space="preserve">، نائلة محمد جبر، هيلاري </w:t>
      </w:r>
      <w:proofErr w:type="spellStart"/>
      <w:r w:rsidRPr="006571A5">
        <w:rPr>
          <w:sz w:val="17"/>
          <w:szCs w:val="24"/>
          <w:rtl/>
        </w:rPr>
        <w:t>غبيديماه</w:t>
      </w:r>
      <w:proofErr w:type="spellEnd"/>
      <w:r w:rsidRPr="006571A5">
        <w:rPr>
          <w:sz w:val="17"/>
          <w:szCs w:val="24"/>
          <w:rtl/>
        </w:rPr>
        <w:t xml:space="preserve">، نهلة حيدر، داليا </w:t>
      </w:r>
      <w:proofErr w:type="spellStart"/>
      <w:r w:rsidRPr="006571A5">
        <w:rPr>
          <w:sz w:val="17"/>
          <w:szCs w:val="24"/>
          <w:rtl/>
        </w:rPr>
        <w:t>لينارتي</w:t>
      </w:r>
      <w:proofErr w:type="spellEnd"/>
      <w:r w:rsidRPr="006571A5">
        <w:rPr>
          <w:sz w:val="17"/>
          <w:szCs w:val="24"/>
          <w:rtl/>
        </w:rPr>
        <w:t xml:space="preserve">، </w:t>
      </w:r>
      <w:proofErr w:type="spellStart"/>
      <w:r w:rsidRPr="006571A5">
        <w:rPr>
          <w:sz w:val="17"/>
          <w:szCs w:val="24"/>
          <w:rtl/>
        </w:rPr>
        <w:t>روزاريو</w:t>
      </w:r>
      <w:proofErr w:type="spellEnd"/>
      <w:r w:rsidRPr="006571A5">
        <w:rPr>
          <w:sz w:val="17"/>
          <w:szCs w:val="24"/>
          <w:rtl/>
        </w:rPr>
        <w:t xml:space="preserve"> ج. </w:t>
      </w:r>
      <w:proofErr w:type="spellStart"/>
      <w:r w:rsidRPr="006571A5">
        <w:rPr>
          <w:sz w:val="17"/>
          <w:szCs w:val="24"/>
          <w:rtl/>
        </w:rPr>
        <w:t>مانالو</w:t>
      </w:r>
      <w:proofErr w:type="spellEnd"/>
      <w:r w:rsidRPr="006571A5">
        <w:rPr>
          <w:sz w:val="17"/>
          <w:szCs w:val="24"/>
          <w:rtl/>
        </w:rPr>
        <w:t xml:space="preserve">، ليا </w:t>
      </w:r>
      <w:proofErr w:type="spellStart"/>
      <w:r w:rsidRPr="006571A5">
        <w:rPr>
          <w:sz w:val="17"/>
          <w:szCs w:val="24"/>
          <w:rtl/>
        </w:rPr>
        <w:t>نادارايا</w:t>
      </w:r>
      <w:proofErr w:type="spellEnd"/>
      <w:r w:rsidRPr="006571A5">
        <w:rPr>
          <w:sz w:val="17"/>
          <w:szCs w:val="24"/>
          <w:rtl/>
        </w:rPr>
        <w:t xml:space="preserve">، آنا </w:t>
      </w:r>
      <w:proofErr w:type="spellStart"/>
      <w:r w:rsidRPr="006571A5">
        <w:rPr>
          <w:sz w:val="17"/>
          <w:szCs w:val="24"/>
          <w:rtl/>
        </w:rPr>
        <w:t>بيلاييس</w:t>
      </w:r>
      <w:proofErr w:type="spellEnd"/>
      <w:r w:rsidRPr="006571A5">
        <w:rPr>
          <w:sz w:val="17"/>
          <w:szCs w:val="24"/>
          <w:rtl/>
        </w:rPr>
        <w:t xml:space="preserve"> </w:t>
      </w:r>
      <w:proofErr w:type="spellStart"/>
      <w:r w:rsidRPr="006571A5">
        <w:rPr>
          <w:sz w:val="17"/>
          <w:szCs w:val="24"/>
          <w:rtl/>
        </w:rPr>
        <w:t>نارفاييس</w:t>
      </w:r>
      <w:proofErr w:type="spellEnd"/>
      <w:r w:rsidRPr="006571A5">
        <w:rPr>
          <w:sz w:val="17"/>
          <w:szCs w:val="24"/>
          <w:rtl/>
        </w:rPr>
        <w:t xml:space="preserve">، </w:t>
      </w:r>
      <w:proofErr w:type="spellStart"/>
      <w:r w:rsidRPr="006571A5">
        <w:rPr>
          <w:sz w:val="17"/>
          <w:szCs w:val="24"/>
          <w:rtl/>
        </w:rPr>
        <w:t>باندانا</w:t>
      </w:r>
      <w:proofErr w:type="spellEnd"/>
      <w:r w:rsidRPr="006571A5">
        <w:rPr>
          <w:sz w:val="17"/>
          <w:szCs w:val="24"/>
          <w:rtl/>
        </w:rPr>
        <w:t xml:space="preserve"> رانا، رودا </w:t>
      </w:r>
      <w:proofErr w:type="spellStart"/>
      <w:r w:rsidRPr="006571A5">
        <w:rPr>
          <w:sz w:val="17"/>
          <w:szCs w:val="24"/>
          <w:rtl/>
        </w:rPr>
        <w:t>ريدوك</w:t>
      </w:r>
      <w:proofErr w:type="spellEnd"/>
      <w:r w:rsidRPr="006571A5">
        <w:rPr>
          <w:sz w:val="17"/>
          <w:szCs w:val="24"/>
          <w:rtl/>
        </w:rPr>
        <w:t xml:space="preserve">، </w:t>
      </w:r>
      <w:proofErr w:type="spellStart"/>
      <w:r w:rsidRPr="006571A5">
        <w:rPr>
          <w:sz w:val="17"/>
          <w:szCs w:val="24"/>
          <w:rtl/>
        </w:rPr>
        <w:t>إلغون</w:t>
      </w:r>
      <w:proofErr w:type="spellEnd"/>
      <w:r w:rsidRPr="006571A5">
        <w:rPr>
          <w:sz w:val="17"/>
          <w:szCs w:val="24"/>
          <w:rtl/>
        </w:rPr>
        <w:t xml:space="preserve"> </w:t>
      </w:r>
      <w:proofErr w:type="spellStart"/>
      <w:r w:rsidRPr="006571A5">
        <w:rPr>
          <w:sz w:val="17"/>
          <w:szCs w:val="24"/>
          <w:rtl/>
        </w:rPr>
        <w:t>سافاروف</w:t>
      </w:r>
      <w:proofErr w:type="spellEnd"/>
      <w:r w:rsidRPr="006571A5">
        <w:rPr>
          <w:sz w:val="17"/>
          <w:szCs w:val="24"/>
          <w:rtl/>
        </w:rPr>
        <w:t xml:space="preserve">، وينيان </w:t>
      </w:r>
      <w:proofErr w:type="spellStart"/>
      <w:r w:rsidRPr="006571A5">
        <w:rPr>
          <w:sz w:val="17"/>
          <w:szCs w:val="24"/>
          <w:rtl/>
        </w:rPr>
        <w:t>سونغ</w:t>
      </w:r>
      <w:proofErr w:type="spellEnd"/>
      <w:r w:rsidRPr="006571A5">
        <w:rPr>
          <w:sz w:val="17"/>
          <w:szCs w:val="24"/>
          <w:rtl/>
        </w:rPr>
        <w:t xml:space="preserve">، </w:t>
      </w:r>
      <w:proofErr w:type="spellStart"/>
      <w:r w:rsidRPr="006571A5">
        <w:rPr>
          <w:sz w:val="17"/>
          <w:szCs w:val="24"/>
          <w:rtl/>
        </w:rPr>
        <w:t>جينوفيفا</w:t>
      </w:r>
      <w:proofErr w:type="spellEnd"/>
      <w:r w:rsidRPr="006571A5">
        <w:rPr>
          <w:sz w:val="17"/>
          <w:szCs w:val="24"/>
          <w:rtl/>
        </w:rPr>
        <w:t xml:space="preserve"> </w:t>
      </w:r>
      <w:proofErr w:type="spellStart"/>
      <w:r w:rsidRPr="006571A5">
        <w:rPr>
          <w:sz w:val="17"/>
          <w:szCs w:val="24"/>
          <w:rtl/>
        </w:rPr>
        <w:t>تيشيفا</w:t>
      </w:r>
      <w:proofErr w:type="spellEnd"/>
      <w:r w:rsidRPr="006571A5">
        <w:rPr>
          <w:sz w:val="17"/>
          <w:szCs w:val="24"/>
          <w:rtl/>
        </w:rPr>
        <w:t xml:space="preserve">، </w:t>
      </w:r>
      <w:proofErr w:type="spellStart"/>
      <w:r w:rsidRPr="006571A5">
        <w:rPr>
          <w:sz w:val="17"/>
          <w:szCs w:val="24"/>
          <w:rtl/>
        </w:rPr>
        <w:t>فرانسلين</w:t>
      </w:r>
      <w:proofErr w:type="spellEnd"/>
      <w:r w:rsidRPr="006571A5">
        <w:rPr>
          <w:sz w:val="17"/>
          <w:szCs w:val="24"/>
          <w:rtl/>
        </w:rPr>
        <w:t xml:space="preserve"> توّي - بودا، عائشة فال فرجس.</w:t>
      </w:r>
    </w:p>
    <w:p w14:paraId="426D63B3" w14:textId="429CEC35" w:rsidR="006571A5" w:rsidRPr="006571A5" w:rsidRDefault="006571A5" w:rsidP="006571A5">
      <w:pPr>
        <w:pStyle w:val="SingleTxt"/>
        <w:spacing w:after="0" w:line="120" w:lineRule="exact"/>
        <w:rPr>
          <w:sz w:val="10"/>
          <w:rtl/>
        </w:rPr>
      </w:pPr>
    </w:p>
    <w:p w14:paraId="191E963B" w14:textId="45761B44" w:rsidR="006571A5" w:rsidRPr="006571A5" w:rsidRDefault="006571A5" w:rsidP="006571A5">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3236"/>
        <w:gridCol w:w="4084"/>
      </w:tblGrid>
      <w:tr w:rsidR="006571A5" w:rsidRPr="006571A5" w14:paraId="14865815" w14:textId="77777777" w:rsidTr="00C81112">
        <w:trPr>
          <w:cantSplit/>
        </w:trPr>
        <w:tc>
          <w:tcPr>
            <w:tcW w:w="3236" w:type="dxa"/>
            <w:shd w:val="clear" w:color="auto" w:fill="auto"/>
          </w:tcPr>
          <w:p w14:paraId="49EBE699" w14:textId="12108150" w:rsidR="006571A5" w:rsidRPr="00267C30" w:rsidRDefault="006571A5" w:rsidP="00267C30">
            <w:pPr>
              <w:tabs>
                <w:tab w:val="left" w:pos="288"/>
                <w:tab w:val="left" w:pos="576"/>
                <w:tab w:val="left" w:pos="864"/>
                <w:tab w:val="left" w:pos="1152"/>
              </w:tabs>
              <w:spacing w:after="120"/>
              <w:ind w:left="43" w:right="101"/>
              <w:rPr>
                <w:i/>
                <w:iCs/>
                <w:sz w:val="18"/>
                <w:rtl/>
              </w:rPr>
            </w:pPr>
            <w:r w:rsidRPr="00267C30">
              <w:rPr>
                <w:i/>
                <w:iCs/>
                <w:sz w:val="18"/>
                <w:rtl/>
              </w:rPr>
              <w:t>الرسالة مقدمة من:</w:t>
            </w:r>
          </w:p>
        </w:tc>
        <w:tc>
          <w:tcPr>
            <w:tcW w:w="4084" w:type="dxa"/>
            <w:shd w:val="clear" w:color="auto" w:fill="auto"/>
          </w:tcPr>
          <w:p w14:paraId="79FA5B1D" w14:textId="5247861E" w:rsidR="006571A5" w:rsidRPr="00267C30" w:rsidRDefault="006571A5" w:rsidP="00267C30">
            <w:pPr>
              <w:tabs>
                <w:tab w:val="left" w:pos="288"/>
                <w:tab w:val="left" w:pos="576"/>
                <w:tab w:val="left" w:pos="864"/>
                <w:tab w:val="left" w:pos="1152"/>
              </w:tabs>
              <w:spacing w:after="120"/>
              <w:ind w:left="43"/>
              <w:rPr>
                <w:sz w:val="18"/>
                <w:rtl/>
              </w:rPr>
            </w:pPr>
            <w:r w:rsidRPr="00267C30">
              <w:rPr>
                <w:sz w:val="18"/>
                <w:rtl/>
              </w:rPr>
              <w:t>أ. ن. أ. (يُمثِّلها المحامي ربيع آزاد أحمد)</w:t>
            </w:r>
          </w:p>
        </w:tc>
      </w:tr>
      <w:tr w:rsidR="006571A5" w:rsidRPr="006571A5" w14:paraId="45DF43B2" w14:textId="77777777" w:rsidTr="00C81112">
        <w:trPr>
          <w:cantSplit/>
        </w:trPr>
        <w:tc>
          <w:tcPr>
            <w:tcW w:w="3236" w:type="dxa"/>
            <w:shd w:val="clear" w:color="auto" w:fill="auto"/>
          </w:tcPr>
          <w:p w14:paraId="00EDCA84" w14:textId="1E3D9735" w:rsidR="006571A5" w:rsidRPr="00267C30" w:rsidRDefault="006571A5" w:rsidP="00267C30">
            <w:pPr>
              <w:tabs>
                <w:tab w:val="left" w:pos="288"/>
                <w:tab w:val="left" w:pos="576"/>
                <w:tab w:val="left" w:pos="864"/>
                <w:tab w:val="left" w:pos="1152"/>
              </w:tabs>
              <w:spacing w:after="120"/>
              <w:ind w:left="43" w:right="101"/>
              <w:rPr>
                <w:i/>
                <w:iCs/>
                <w:sz w:val="18"/>
                <w:rtl/>
              </w:rPr>
            </w:pPr>
            <w:r w:rsidRPr="00267C30">
              <w:rPr>
                <w:i/>
                <w:iCs/>
                <w:sz w:val="18"/>
                <w:rtl/>
              </w:rPr>
              <w:t>الشخص المدعى أنه ضحية:</w:t>
            </w:r>
          </w:p>
        </w:tc>
        <w:tc>
          <w:tcPr>
            <w:tcW w:w="4084" w:type="dxa"/>
            <w:shd w:val="clear" w:color="auto" w:fill="auto"/>
          </w:tcPr>
          <w:p w14:paraId="3D7ED5DD" w14:textId="1CF1071D" w:rsidR="006571A5" w:rsidRPr="00267C30" w:rsidRDefault="006571A5" w:rsidP="00267C30">
            <w:pPr>
              <w:tabs>
                <w:tab w:val="left" w:pos="288"/>
                <w:tab w:val="left" w:pos="576"/>
                <w:tab w:val="left" w:pos="864"/>
                <w:tab w:val="left" w:pos="1152"/>
              </w:tabs>
              <w:spacing w:after="120"/>
              <w:ind w:left="43"/>
              <w:rPr>
                <w:sz w:val="18"/>
                <w:rtl/>
              </w:rPr>
            </w:pPr>
            <w:r w:rsidRPr="00267C30">
              <w:rPr>
                <w:sz w:val="18"/>
                <w:rtl/>
              </w:rPr>
              <w:t>صاحبة الرسالة</w:t>
            </w:r>
          </w:p>
        </w:tc>
      </w:tr>
      <w:tr w:rsidR="006571A5" w:rsidRPr="006571A5" w14:paraId="711F0FBC" w14:textId="77777777" w:rsidTr="00C81112">
        <w:trPr>
          <w:cantSplit/>
        </w:trPr>
        <w:tc>
          <w:tcPr>
            <w:tcW w:w="3236" w:type="dxa"/>
            <w:shd w:val="clear" w:color="auto" w:fill="auto"/>
          </w:tcPr>
          <w:p w14:paraId="6F14CCC0" w14:textId="3BDE881F" w:rsidR="006571A5" w:rsidRPr="00267C30" w:rsidRDefault="006571A5" w:rsidP="00267C30">
            <w:pPr>
              <w:tabs>
                <w:tab w:val="left" w:pos="288"/>
                <w:tab w:val="left" w:pos="576"/>
                <w:tab w:val="left" w:pos="864"/>
                <w:tab w:val="left" w:pos="1152"/>
              </w:tabs>
              <w:spacing w:after="120"/>
              <w:ind w:left="43" w:right="101"/>
              <w:rPr>
                <w:i/>
                <w:iCs/>
                <w:sz w:val="18"/>
                <w:rtl/>
              </w:rPr>
            </w:pPr>
            <w:r w:rsidRPr="00267C30">
              <w:rPr>
                <w:i/>
                <w:iCs/>
                <w:sz w:val="18"/>
                <w:rtl/>
              </w:rPr>
              <w:t>الدولة الطرف:</w:t>
            </w:r>
          </w:p>
        </w:tc>
        <w:tc>
          <w:tcPr>
            <w:tcW w:w="4084" w:type="dxa"/>
            <w:shd w:val="clear" w:color="auto" w:fill="auto"/>
          </w:tcPr>
          <w:p w14:paraId="0BFFD871" w14:textId="65AAB1AF" w:rsidR="006571A5" w:rsidRPr="00267C30" w:rsidRDefault="006571A5" w:rsidP="00267C30">
            <w:pPr>
              <w:tabs>
                <w:tab w:val="left" w:pos="288"/>
                <w:tab w:val="left" w:pos="576"/>
                <w:tab w:val="left" w:pos="864"/>
                <w:tab w:val="left" w:pos="1152"/>
              </w:tabs>
              <w:spacing w:after="120"/>
              <w:ind w:left="43"/>
              <w:rPr>
                <w:sz w:val="18"/>
                <w:rtl/>
              </w:rPr>
            </w:pPr>
            <w:r w:rsidRPr="00267C30">
              <w:rPr>
                <w:sz w:val="18"/>
                <w:rtl/>
              </w:rPr>
              <w:t>الدانمرك</w:t>
            </w:r>
          </w:p>
        </w:tc>
      </w:tr>
      <w:tr w:rsidR="006571A5" w:rsidRPr="006571A5" w14:paraId="0A77A5DE" w14:textId="77777777" w:rsidTr="00C81112">
        <w:trPr>
          <w:cantSplit/>
        </w:trPr>
        <w:tc>
          <w:tcPr>
            <w:tcW w:w="3236" w:type="dxa"/>
            <w:shd w:val="clear" w:color="auto" w:fill="auto"/>
          </w:tcPr>
          <w:p w14:paraId="2EDFDAC8" w14:textId="6318EC1E" w:rsidR="006571A5" w:rsidRPr="00267C30" w:rsidRDefault="006571A5" w:rsidP="00267C30">
            <w:pPr>
              <w:tabs>
                <w:tab w:val="left" w:pos="288"/>
                <w:tab w:val="left" w:pos="576"/>
                <w:tab w:val="left" w:pos="864"/>
                <w:tab w:val="left" w:pos="1152"/>
              </w:tabs>
              <w:spacing w:after="120"/>
              <w:ind w:left="43" w:right="101"/>
              <w:rPr>
                <w:i/>
                <w:iCs/>
                <w:sz w:val="18"/>
                <w:rtl/>
              </w:rPr>
            </w:pPr>
            <w:r w:rsidRPr="00267C30">
              <w:rPr>
                <w:i/>
                <w:iCs/>
                <w:sz w:val="18"/>
                <w:rtl/>
              </w:rPr>
              <w:t>تاريخ تقديم الرسالة:</w:t>
            </w:r>
          </w:p>
        </w:tc>
        <w:tc>
          <w:tcPr>
            <w:tcW w:w="4084" w:type="dxa"/>
            <w:shd w:val="clear" w:color="auto" w:fill="auto"/>
          </w:tcPr>
          <w:p w14:paraId="5CD8F68F" w14:textId="488598A1" w:rsidR="006571A5" w:rsidRPr="00267C30" w:rsidRDefault="004B1017" w:rsidP="00267C30">
            <w:pPr>
              <w:tabs>
                <w:tab w:val="left" w:pos="288"/>
                <w:tab w:val="left" w:pos="576"/>
                <w:tab w:val="left" w:pos="864"/>
                <w:tab w:val="left" w:pos="1152"/>
              </w:tabs>
              <w:spacing w:after="120"/>
              <w:ind w:left="43"/>
              <w:rPr>
                <w:sz w:val="18"/>
                <w:rtl/>
              </w:rPr>
            </w:pPr>
            <w:r w:rsidRPr="00267C30">
              <w:rPr>
                <w:sz w:val="18"/>
                <w:rtl/>
              </w:rPr>
              <w:t>14</w:t>
            </w:r>
            <w:r w:rsidR="006571A5" w:rsidRPr="00267C30">
              <w:rPr>
                <w:sz w:val="18"/>
                <w:rtl/>
              </w:rPr>
              <w:t xml:space="preserve"> أيلول/سبتمبر </w:t>
            </w:r>
            <w:r w:rsidRPr="00267C30">
              <w:rPr>
                <w:sz w:val="18"/>
                <w:rtl/>
              </w:rPr>
              <w:t>2015</w:t>
            </w:r>
            <w:r w:rsidR="006571A5" w:rsidRPr="00267C30">
              <w:rPr>
                <w:sz w:val="18"/>
                <w:rtl/>
              </w:rPr>
              <w:t xml:space="preserve"> (الرسالة الأولى)</w:t>
            </w:r>
          </w:p>
        </w:tc>
      </w:tr>
      <w:tr w:rsidR="006571A5" w:rsidRPr="006571A5" w14:paraId="2D95EBCA" w14:textId="77777777" w:rsidTr="00C81112">
        <w:trPr>
          <w:cantSplit/>
        </w:trPr>
        <w:tc>
          <w:tcPr>
            <w:tcW w:w="3236" w:type="dxa"/>
            <w:shd w:val="clear" w:color="auto" w:fill="auto"/>
          </w:tcPr>
          <w:p w14:paraId="24D398C0" w14:textId="4E273974" w:rsidR="006571A5" w:rsidRPr="00267C30" w:rsidRDefault="006571A5" w:rsidP="00267C30">
            <w:pPr>
              <w:tabs>
                <w:tab w:val="left" w:pos="288"/>
                <w:tab w:val="left" w:pos="576"/>
                <w:tab w:val="left" w:pos="864"/>
                <w:tab w:val="left" w:pos="1152"/>
              </w:tabs>
              <w:spacing w:after="120"/>
              <w:ind w:left="43" w:right="101"/>
              <w:rPr>
                <w:i/>
                <w:iCs/>
                <w:sz w:val="18"/>
                <w:rtl/>
              </w:rPr>
            </w:pPr>
            <w:r w:rsidRPr="00267C30">
              <w:rPr>
                <w:i/>
                <w:iCs/>
                <w:sz w:val="18"/>
                <w:rtl/>
              </w:rPr>
              <w:t>الوثائق المرجعية:</w:t>
            </w:r>
          </w:p>
        </w:tc>
        <w:tc>
          <w:tcPr>
            <w:tcW w:w="4084" w:type="dxa"/>
            <w:shd w:val="clear" w:color="auto" w:fill="auto"/>
          </w:tcPr>
          <w:p w14:paraId="6497C60E" w14:textId="4F0E535B" w:rsidR="006571A5" w:rsidRPr="00267C30" w:rsidRDefault="006571A5" w:rsidP="00267C30">
            <w:pPr>
              <w:tabs>
                <w:tab w:val="left" w:pos="288"/>
                <w:tab w:val="left" w:pos="576"/>
                <w:tab w:val="left" w:pos="864"/>
                <w:tab w:val="left" w:pos="1152"/>
              </w:tabs>
              <w:spacing w:after="120"/>
              <w:ind w:left="43"/>
              <w:rPr>
                <w:sz w:val="18"/>
                <w:rtl/>
              </w:rPr>
            </w:pPr>
            <w:r w:rsidRPr="00267C30">
              <w:rPr>
                <w:sz w:val="18"/>
                <w:rtl/>
              </w:rPr>
              <w:t xml:space="preserve">أُحيلت إلى الدولة الطرف في </w:t>
            </w:r>
            <w:r w:rsidR="004B1017" w:rsidRPr="00267C30">
              <w:rPr>
                <w:sz w:val="18"/>
                <w:rtl/>
              </w:rPr>
              <w:t>16</w:t>
            </w:r>
            <w:r w:rsidRPr="00267C30">
              <w:rPr>
                <w:sz w:val="18"/>
                <w:rtl/>
              </w:rPr>
              <w:t xml:space="preserve"> أيلول/سبتمبر </w:t>
            </w:r>
            <w:r w:rsidR="004B1017" w:rsidRPr="00267C30">
              <w:rPr>
                <w:sz w:val="18"/>
                <w:rtl/>
              </w:rPr>
              <w:t>2015</w:t>
            </w:r>
            <w:r w:rsidRPr="00267C30">
              <w:rPr>
                <w:sz w:val="18"/>
                <w:rtl/>
              </w:rPr>
              <w:t xml:space="preserve"> (لم تصدر في شكل وثيقة)</w:t>
            </w:r>
          </w:p>
        </w:tc>
      </w:tr>
      <w:tr w:rsidR="006571A5" w:rsidRPr="006571A5" w14:paraId="0ED9F5A2" w14:textId="77777777" w:rsidTr="00C81112">
        <w:trPr>
          <w:cantSplit/>
        </w:trPr>
        <w:tc>
          <w:tcPr>
            <w:tcW w:w="3236" w:type="dxa"/>
            <w:shd w:val="clear" w:color="auto" w:fill="auto"/>
            <w:vAlign w:val="bottom"/>
          </w:tcPr>
          <w:p w14:paraId="2F6435C8" w14:textId="49D0AB03" w:rsidR="006571A5" w:rsidRPr="00267C30" w:rsidRDefault="006571A5" w:rsidP="00267C30">
            <w:pPr>
              <w:tabs>
                <w:tab w:val="left" w:pos="288"/>
                <w:tab w:val="left" w:pos="576"/>
                <w:tab w:val="left" w:pos="864"/>
                <w:tab w:val="left" w:pos="1152"/>
              </w:tabs>
              <w:spacing w:after="120"/>
              <w:ind w:left="43" w:right="101"/>
              <w:rPr>
                <w:i/>
                <w:iCs/>
                <w:sz w:val="18"/>
                <w:rtl/>
              </w:rPr>
            </w:pPr>
            <w:r w:rsidRPr="00267C30">
              <w:rPr>
                <w:i/>
                <w:iCs/>
                <w:sz w:val="18"/>
                <w:rtl/>
              </w:rPr>
              <w:t>تاريخ اتخاذ القرار:</w:t>
            </w:r>
          </w:p>
        </w:tc>
        <w:tc>
          <w:tcPr>
            <w:tcW w:w="4084" w:type="dxa"/>
            <w:shd w:val="clear" w:color="auto" w:fill="auto"/>
            <w:vAlign w:val="bottom"/>
          </w:tcPr>
          <w:p w14:paraId="3270076F" w14:textId="34266267" w:rsidR="006571A5" w:rsidRPr="00267C30" w:rsidRDefault="004B1017" w:rsidP="00267C30">
            <w:pPr>
              <w:tabs>
                <w:tab w:val="left" w:pos="288"/>
                <w:tab w:val="left" w:pos="576"/>
                <w:tab w:val="left" w:pos="864"/>
                <w:tab w:val="left" w:pos="1152"/>
              </w:tabs>
              <w:spacing w:after="120"/>
              <w:ind w:left="43" w:right="101"/>
              <w:rPr>
                <w:sz w:val="18"/>
                <w:rtl/>
              </w:rPr>
            </w:pPr>
            <w:r w:rsidRPr="00267C30">
              <w:rPr>
                <w:sz w:val="18"/>
                <w:rtl/>
              </w:rPr>
              <w:t>15</w:t>
            </w:r>
            <w:r w:rsidR="006571A5" w:rsidRPr="00267C30">
              <w:rPr>
                <w:sz w:val="18"/>
                <w:rtl/>
              </w:rPr>
              <w:t xml:space="preserve"> تموز/يوليه </w:t>
            </w:r>
            <w:r w:rsidRPr="00267C30">
              <w:rPr>
                <w:sz w:val="18"/>
                <w:rtl/>
              </w:rPr>
              <w:t>2019</w:t>
            </w:r>
          </w:p>
        </w:tc>
      </w:tr>
    </w:tbl>
    <w:p w14:paraId="73C122BD" w14:textId="74A74422" w:rsidR="006571A5" w:rsidRPr="006571A5" w:rsidRDefault="006571A5" w:rsidP="006571A5">
      <w:pPr>
        <w:pStyle w:val="SingleTxt"/>
        <w:spacing w:after="0" w:line="120" w:lineRule="exact"/>
        <w:rPr>
          <w:b/>
          <w:sz w:val="10"/>
          <w:rtl/>
        </w:rPr>
      </w:pPr>
    </w:p>
    <w:p w14:paraId="4FEDBA45" w14:textId="6E0FD4E3" w:rsidR="006571A5" w:rsidRPr="006571A5" w:rsidRDefault="006571A5" w:rsidP="006571A5">
      <w:pPr>
        <w:pStyle w:val="SingleTxt"/>
        <w:spacing w:after="0" w:line="120" w:lineRule="exact"/>
        <w:rPr>
          <w:b/>
          <w:sz w:val="10"/>
          <w:rtl/>
        </w:rPr>
      </w:pPr>
    </w:p>
    <w:p w14:paraId="29B46B25" w14:textId="77777777" w:rsidR="006571A5" w:rsidRPr="006571A5" w:rsidRDefault="006571A5" w:rsidP="006571A5">
      <w:pPr>
        <w:pStyle w:val="SingleTxt"/>
        <w:rPr>
          <w:rtl/>
        </w:rPr>
      </w:pPr>
      <w:r w:rsidRPr="006571A5">
        <w:rPr>
          <w:rtl/>
        </w:rPr>
        <w:br w:type="page"/>
      </w:r>
    </w:p>
    <w:p w14:paraId="097F4675" w14:textId="43C18A99" w:rsidR="006571A5" w:rsidRPr="006571A5" w:rsidRDefault="006571A5" w:rsidP="006571A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r>
      <w:r w:rsidRPr="006571A5">
        <w:rPr>
          <w:rtl/>
        </w:rPr>
        <w:t>المعلومات</w:t>
      </w:r>
      <w:r>
        <w:rPr>
          <w:rtl/>
        </w:rPr>
        <w:t xml:space="preserve"> </w:t>
      </w:r>
      <w:r w:rsidRPr="006571A5">
        <w:rPr>
          <w:rtl/>
        </w:rPr>
        <w:t>الأساسية</w:t>
      </w:r>
    </w:p>
    <w:p w14:paraId="79FEE709" w14:textId="030667A1" w:rsidR="006571A5" w:rsidRPr="006571A5" w:rsidRDefault="006571A5" w:rsidP="006571A5">
      <w:pPr>
        <w:pStyle w:val="SingleTxt"/>
        <w:rPr>
          <w:rtl/>
        </w:rPr>
      </w:pPr>
      <w:r w:rsidRPr="006571A5">
        <w:rPr>
          <w:rtl/>
        </w:rPr>
        <w:t>1-1</w:t>
      </w:r>
      <w:r w:rsidRPr="006571A5">
        <w:rPr>
          <w:rtl/>
        </w:rPr>
        <w:tab/>
        <w:t>صاحبة</w:t>
      </w:r>
      <w:r>
        <w:rPr>
          <w:rtl/>
        </w:rPr>
        <w:t xml:space="preserve"> </w:t>
      </w:r>
      <w:r w:rsidRPr="006571A5">
        <w:rPr>
          <w:rtl/>
        </w:rPr>
        <w:t>الرسالة</w:t>
      </w:r>
      <w:r>
        <w:rPr>
          <w:rtl/>
        </w:rPr>
        <w:t xml:space="preserve"> </w:t>
      </w:r>
      <w:r w:rsidRPr="006571A5">
        <w:rPr>
          <w:rtl/>
        </w:rPr>
        <w:t>هي</w:t>
      </w:r>
      <w:r>
        <w:rPr>
          <w:rtl/>
        </w:rPr>
        <w:t xml:space="preserve"> </w:t>
      </w:r>
      <w:r w:rsidRPr="006571A5">
        <w:rPr>
          <w:rtl/>
        </w:rPr>
        <w:t>أ.</w:t>
      </w:r>
      <w:r>
        <w:rPr>
          <w:rtl/>
        </w:rPr>
        <w:t xml:space="preserve"> </w:t>
      </w:r>
      <w:r w:rsidRPr="006571A5">
        <w:rPr>
          <w:rtl/>
        </w:rPr>
        <w:t>ن.</w:t>
      </w:r>
      <w:r>
        <w:rPr>
          <w:rtl/>
        </w:rPr>
        <w:t xml:space="preserve"> </w:t>
      </w:r>
      <w:r w:rsidRPr="006571A5">
        <w:rPr>
          <w:rtl/>
        </w:rPr>
        <w:t>أ.،</w:t>
      </w:r>
      <w:r>
        <w:rPr>
          <w:rtl/>
        </w:rPr>
        <w:t xml:space="preserve"> </w:t>
      </w:r>
      <w:r w:rsidRPr="006571A5">
        <w:rPr>
          <w:rtl/>
        </w:rPr>
        <w:t>وهي</w:t>
      </w:r>
      <w:r>
        <w:rPr>
          <w:rtl/>
        </w:rPr>
        <w:t xml:space="preserve"> </w:t>
      </w:r>
      <w:r w:rsidRPr="006571A5">
        <w:rPr>
          <w:rtl/>
        </w:rPr>
        <w:t>مواطنة</w:t>
      </w:r>
      <w:r>
        <w:rPr>
          <w:rtl/>
        </w:rPr>
        <w:t xml:space="preserve"> </w:t>
      </w:r>
      <w:r w:rsidRPr="006571A5">
        <w:rPr>
          <w:rtl/>
        </w:rPr>
        <w:t>صومالية</w:t>
      </w:r>
      <w:r>
        <w:rPr>
          <w:rtl/>
        </w:rPr>
        <w:t xml:space="preserve"> </w:t>
      </w:r>
      <w:r w:rsidRPr="006571A5">
        <w:rPr>
          <w:rtl/>
        </w:rPr>
        <w:t>من</w:t>
      </w:r>
      <w:r>
        <w:rPr>
          <w:rtl/>
        </w:rPr>
        <w:t xml:space="preserve"> </w:t>
      </w:r>
      <w:r w:rsidRPr="006571A5">
        <w:rPr>
          <w:rtl/>
        </w:rPr>
        <w:t>مواليد</w:t>
      </w:r>
      <w:r>
        <w:rPr>
          <w:rtl/>
        </w:rPr>
        <w:t xml:space="preserve"> </w:t>
      </w:r>
      <w:r w:rsidRPr="006571A5">
        <w:rPr>
          <w:rtl/>
        </w:rPr>
        <w:t>عام</w:t>
      </w:r>
      <w:r>
        <w:rPr>
          <w:rtl/>
        </w:rPr>
        <w:t xml:space="preserve"> </w:t>
      </w:r>
      <w:r w:rsidRPr="006571A5">
        <w:rPr>
          <w:rtl/>
        </w:rPr>
        <w:t>1988.</w:t>
      </w:r>
      <w:r>
        <w:rPr>
          <w:rtl/>
        </w:rPr>
        <w:t xml:space="preserve"> </w:t>
      </w:r>
      <w:r w:rsidRPr="006571A5">
        <w:rPr>
          <w:rtl/>
        </w:rPr>
        <w:t>وقد</w:t>
      </w:r>
      <w:r>
        <w:rPr>
          <w:rtl/>
        </w:rPr>
        <w:t xml:space="preserve"> </w:t>
      </w:r>
      <w:r w:rsidRPr="006571A5">
        <w:rPr>
          <w:rtl/>
        </w:rPr>
        <w:t>طلبت</w:t>
      </w:r>
      <w:r>
        <w:rPr>
          <w:rtl/>
        </w:rPr>
        <w:t xml:space="preserve"> </w:t>
      </w:r>
      <w:r w:rsidRPr="006571A5">
        <w:rPr>
          <w:rtl/>
        </w:rPr>
        <w:t>اللجوء</w:t>
      </w:r>
      <w:r>
        <w:rPr>
          <w:rtl/>
        </w:rPr>
        <w:t xml:space="preserve"> </w:t>
      </w:r>
      <w:r w:rsidRPr="006571A5">
        <w:rPr>
          <w:rtl/>
        </w:rPr>
        <w:t>في</w:t>
      </w:r>
      <w:r>
        <w:rPr>
          <w:rtl/>
        </w:rPr>
        <w:t xml:space="preserve"> </w:t>
      </w:r>
      <w:r w:rsidRPr="006571A5">
        <w:rPr>
          <w:rtl/>
        </w:rPr>
        <w:t>الدانمرك،</w:t>
      </w:r>
      <w:r>
        <w:rPr>
          <w:rtl/>
        </w:rPr>
        <w:t xml:space="preserve"> </w:t>
      </w:r>
      <w:r w:rsidRPr="006571A5">
        <w:rPr>
          <w:rtl/>
        </w:rPr>
        <w:t>ولكن</w:t>
      </w:r>
      <w:r>
        <w:rPr>
          <w:rtl/>
        </w:rPr>
        <w:t xml:space="preserve"> </w:t>
      </w:r>
      <w:r w:rsidRPr="006571A5">
        <w:rPr>
          <w:rtl/>
        </w:rPr>
        <w:t>طلبها</w:t>
      </w:r>
      <w:r>
        <w:rPr>
          <w:rtl/>
        </w:rPr>
        <w:t xml:space="preserve"> </w:t>
      </w:r>
      <w:r w:rsidRPr="006571A5">
        <w:rPr>
          <w:rtl/>
        </w:rPr>
        <w:t>رُفِض،</w:t>
      </w:r>
      <w:r>
        <w:rPr>
          <w:rtl/>
        </w:rPr>
        <w:t xml:space="preserve"> </w:t>
      </w:r>
      <w:r w:rsidRPr="006571A5">
        <w:rPr>
          <w:rtl/>
        </w:rPr>
        <w:t>وهي</w:t>
      </w:r>
      <w:r>
        <w:rPr>
          <w:rtl/>
        </w:rPr>
        <w:t xml:space="preserve"> </w:t>
      </w:r>
      <w:r w:rsidRPr="006571A5">
        <w:rPr>
          <w:rtl/>
        </w:rPr>
        <w:t>معرّضة</w:t>
      </w:r>
      <w:r>
        <w:rPr>
          <w:rtl/>
        </w:rPr>
        <w:t xml:space="preserve"> </w:t>
      </w:r>
      <w:r w:rsidRPr="006571A5">
        <w:rPr>
          <w:rtl/>
        </w:rPr>
        <w:t>للترحيل</w:t>
      </w:r>
      <w:r>
        <w:rPr>
          <w:rtl/>
        </w:rPr>
        <w:t xml:space="preserve"> </w:t>
      </w:r>
      <w:r w:rsidRPr="006571A5">
        <w:rPr>
          <w:rtl/>
        </w:rPr>
        <w:t>إلى</w:t>
      </w:r>
      <w:r>
        <w:rPr>
          <w:rtl/>
        </w:rPr>
        <w:t xml:space="preserve"> </w:t>
      </w:r>
      <w:r w:rsidRPr="006571A5">
        <w:rPr>
          <w:rtl/>
        </w:rPr>
        <w:t>الصومال.</w:t>
      </w:r>
      <w:r>
        <w:rPr>
          <w:rtl/>
        </w:rPr>
        <w:t xml:space="preserve"> </w:t>
      </w:r>
      <w:dir w:val="rtl">
        <w:r w:rsidRPr="006571A5">
          <w:rPr>
            <w:rtl/>
          </w:rPr>
          <w:t>وتدّعي</w:t>
        </w:r>
        <w:r>
          <w:rPr>
            <w:rtl/>
          </w:rPr>
          <w:t xml:space="preserve"> </w:t>
        </w:r>
        <w:r w:rsidRPr="006571A5">
          <w:rPr>
            <w:rtl/>
          </w:rPr>
          <w:t>أن</w:t>
        </w:r>
        <w:r>
          <w:rPr>
            <w:rtl/>
          </w:rPr>
          <w:t xml:space="preserve"> </w:t>
        </w:r>
        <w:r w:rsidRPr="006571A5">
          <w:rPr>
            <w:rtl/>
          </w:rPr>
          <w:t>الدانمرك</w:t>
        </w:r>
        <w:r>
          <w:rPr>
            <w:rtl/>
          </w:rPr>
          <w:t xml:space="preserve"> </w:t>
        </w:r>
        <w:r w:rsidRPr="006571A5">
          <w:rPr>
            <w:rtl/>
          </w:rPr>
          <w:t>ستنتهك</w:t>
        </w:r>
        <w:r>
          <w:rPr>
            <w:rtl/>
          </w:rPr>
          <w:t xml:space="preserve"> </w:t>
        </w:r>
        <w:r w:rsidRPr="006571A5">
          <w:rPr>
            <w:rtl/>
          </w:rPr>
          <w:t>حقوقها</w:t>
        </w:r>
        <w:r>
          <w:rPr>
            <w:rtl/>
          </w:rPr>
          <w:t xml:space="preserve"> </w:t>
        </w:r>
        <w:r w:rsidRPr="006571A5">
          <w:rPr>
            <w:rtl/>
          </w:rPr>
          <w:t>بموجب</w:t>
        </w:r>
        <w:r>
          <w:rPr>
            <w:rtl/>
          </w:rPr>
          <w:t xml:space="preserve"> </w:t>
        </w:r>
        <w:r w:rsidRPr="006571A5">
          <w:rPr>
            <w:rtl/>
          </w:rPr>
          <w:t>المواد</w:t>
        </w:r>
        <w:r>
          <w:rPr>
            <w:rtl/>
          </w:rPr>
          <w:t xml:space="preserve"> </w:t>
        </w:r>
        <w:r w:rsidRPr="006571A5">
          <w:rPr>
            <w:rtl/>
          </w:rPr>
          <w:t>3</w:t>
        </w:r>
        <w:r>
          <w:rPr>
            <w:rtl/>
          </w:rPr>
          <w:t xml:space="preserve"> </w:t>
        </w:r>
        <w:r w:rsidRPr="006571A5">
          <w:rPr>
            <w:rtl/>
          </w:rPr>
          <w:t>و</w:t>
        </w:r>
        <w:r>
          <w:rPr>
            <w:rtl/>
          </w:rPr>
          <w:t xml:space="preserve"> </w:t>
        </w:r>
        <w:r w:rsidRPr="006571A5">
          <w:rPr>
            <w:rtl/>
          </w:rPr>
          <w:t>5</w:t>
        </w:r>
        <w:r>
          <w:rPr>
            <w:rtl/>
          </w:rPr>
          <w:t xml:space="preserve"> </w:t>
        </w:r>
        <w:r w:rsidRPr="006571A5">
          <w:rPr>
            <w:rtl/>
          </w:rPr>
          <w:t>و</w:t>
        </w:r>
        <w:r>
          <w:rPr>
            <w:rtl/>
          </w:rPr>
          <w:t xml:space="preserve"> </w:t>
        </w:r>
        <w:r w:rsidRPr="006571A5">
          <w:rPr>
            <w:rtl/>
          </w:rPr>
          <w:t>16</w:t>
        </w:r>
        <w:r>
          <w:rPr>
            <w:rtl/>
          </w:rPr>
          <w:t xml:space="preserve"> </w:t>
        </w:r>
        <w:r w:rsidRPr="006571A5">
          <w:rPr>
            <w:rtl/>
          </w:rPr>
          <w:t>(ب)</w:t>
        </w:r>
        <w:r>
          <w:rPr>
            <w:rtl/>
          </w:rPr>
          <w:t xml:space="preserve"> </w:t>
        </w:r>
        <w:r w:rsidRPr="006571A5">
          <w:rPr>
            <w:rtl/>
          </w:rPr>
          <w:t>من</w:t>
        </w:r>
        <w:r>
          <w:rPr>
            <w:rtl/>
          </w:rPr>
          <w:t xml:space="preserve"> </w:t>
        </w:r>
        <w:r w:rsidRPr="006571A5">
          <w:rPr>
            <w:rtl/>
          </w:rPr>
          <w:t>الاتفاقية</w:t>
        </w:r>
        <w:r>
          <w:rPr>
            <w:rtl/>
          </w:rPr>
          <w:t xml:space="preserve"> </w:t>
        </w:r>
        <w:r w:rsidRPr="006571A5">
          <w:rPr>
            <w:rtl/>
          </w:rPr>
          <w:t>في</w:t>
        </w:r>
        <w:r>
          <w:rPr>
            <w:rtl/>
          </w:rPr>
          <w:t xml:space="preserve"> </w:t>
        </w:r>
        <w:r w:rsidRPr="006571A5">
          <w:rPr>
            <w:rtl/>
          </w:rPr>
          <w:t>حال</w:t>
        </w:r>
        <w:r>
          <w:rPr>
            <w:rtl/>
          </w:rPr>
          <w:t xml:space="preserve"> </w:t>
        </w:r>
        <w:r w:rsidRPr="006571A5">
          <w:rPr>
            <w:rtl/>
          </w:rPr>
          <w:t>أقدمت</w:t>
        </w:r>
        <w:r>
          <w:rPr>
            <w:rtl/>
          </w:rPr>
          <w:t xml:space="preserve"> </w:t>
        </w:r>
        <w:r w:rsidRPr="006571A5">
          <w:rPr>
            <w:rtl/>
          </w:rPr>
          <w:t>على</w:t>
        </w:r>
        <w:r>
          <w:rPr>
            <w:rtl/>
          </w:rPr>
          <w:t xml:space="preserve"> </w:t>
        </w:r>
        <w:r w:rsidRPr="006571A5">
          <w:rPr>
            <w:rtl/>
          </w:rPr>
          <w:t>ترحيلها.</w:t>
        </w:r>
        <w:r>
          <w:rPr>
            <w:rtl/>
          </w:rPr>
          <w:t xml:space="preserve"> </w:t>
        </w:r>
        <w:r w:rsidRPr="006571A5">
          <w:rPr>
            <w:rFonts w:ascii="Traditional Arabic" w:hAnsi="Traditional Arabic" w:hint="cs"/>
            <w:rtl/>
          </w:rPr>
          <w:t>وفيما</w:t>
        </w:r>
        <w:r>
          <w:rPr>
            <w:rtl/>
          </w:rPr>
          <w:t xml:space="preserve"> </w:t>
        </w:r>
        <w:r w:rsidRPr="006571A5">
          <w:rPr>
            <w:rFonts w:ascii="Traditional Arabic" w:hAnsi="Traditional Arabic" w:hint="cs"/>
            <w:rtl/>
          </w:rPr>
          <w:t>يخص</w:t>
        </w:r>
        <w:r>
          <w:rPr>
            <w:rtl/>
          </w:rPr>
          <w:t xml:space="preserve"> </w:t>
        </w:r>
        <w:r w:rsidRPr="006571A5">
          <w:rPr>
            <w:rtl/>
          </w:rPr>
          <w:t>الدانمرك،</w:t>
        </w:r>
        <w:r>
          <w:rPr>
            <w:rtl/>
          </w:rPr>
          <w:t xml:space="preserve"> </w:t>
        </w:r>
        <w:r w:rsidRPr="006571A5">
          <w:rPr>
            <w:rtl/>
          </w:rPr>
          <w:t>دخلت</w:t>
        </w:r>
        <w:r>
          <w:rPr>
            <w:rtl/>
          </w:rPr>
          <w:t xml:space="preserve"> </w:t>
        </w:r>
        <w:r w:rsidRPr="006571A5">
          <w:rPr>
            <w:rtl/>
          </w:rPr>
          <w:t>الاتفاقية</w:t>
        </w:r>
        <w:r>
          <w:rPr>
            <w:rtl/>
          </w:rPr>
          <w:t xml:space="preserve"> </w:t>
        </w:r>
        <w:r w:rsidRPr="006571A5">
          <w:rPr>
            <w:rtl/>
          </w:rPr>
          <w:t>حيز</w:t>
        </w:r>
        <w:r>
          <w:rPr>
            <w:rtl/>
          </w:rPr>
          <w:t xml:space="preserve"> </w:t>
        </w:r>
        <w:r w:rsidRPr="006571A5">
          <w:rPr>
            <w:rtl/>
          </w:rPr>
          <w:t>النفاذ</w:t>
        </w:r>
        <w:r>
          <w:rPr>
            <w:rtl/>
          </w:rPr>
          <w:t xml:space="preserve"> </w:t>
        </w:r>
        <w:r w:rsidRPr="006571A5">
          <w:rPr>
            <w:rtl/>
          </w:rPr>
          <w:t>في</w:t>
        </w:r>
        <w:r>
          <w:rPr>
            <w:rtl/>
          </w:rPr>
          <w:t xml:space="preserve"> </w:t>
        </w:r>
        <w:r w:rsidRPr="006571A5">
          <w:rPr>
            <w:rtl/>
          </w:rPr>
          <w:t>21</w:t>
        </w:r>
        <w:r>
          <w:rPr>
            <w:rtl/>
          </w:rPr>
          <w:t xml:space="preserve"> </w:t>
        </w:r>
        <w:r w:rsidRPr="006571A5">
          <w:rPr>
            <w:rtl/>
          </w:rPr>
          <w:t>أيار/مايو</w:t>
        </w:r>
        <w:r>
          <w:rPr>
            <w:rtl/>
          </w:rPr>
          <w:t xml:space="preserve"> </w:t>
        </w:r>
        <w:r w:rsidRPr="006571A5">
          <w:rPr>
            <w:rtl/>
          </w:rPr>
          <w:t>1983،</w:t>
        </w:r>
        <w:r>
          <w:rPr>
            <w:rtl/>
          </w:rPr>
          <w:t xml:space="preserve"> </w:t>
        </w:r>
        <w:r w:rsidRPr="006571A5">
          <w:rPr>
            <w:rtl/>
          </w:rPr>
          <w:t>بينما</w:t>
        </w:r>
        <w:r>
          <w:rPr>
            <w:rtl/>
          </w:rPr>
          <w:t xml:space="preserve"> </w:t>
        </w:r>
        <w:r w:rsidRPr="006571A5">
          <w:rPr>
            <w:rtl/>
          </w:rPr>
          <w:t>دخل</w:t>
        </w:r>
        <w:r>
          <w:rPr>
            <w:rtl/>
          </w:rPr>
          <w:t xml:space="preserve"> </w:t>
        </w:r>
        <w:r w:rsidRPr="006571A5">
          <w:rPr>
            <w:rtl/>
          </w:rPr>
          <w:t>البروتوكول</w:t>
        </w:r>
        <w:r>
          <w:rPr>
            <w:rtl/>
          </w:rPr>
          <w:t xml:space="preserve"> </w:t>
        </w:r>
        <w:r w:rsidRPr="006571A5">
          <w:rPr>
            <w:rtl/>
          </w:rPr>
          <w:t>الاختياري</w:t>
        </w:r>
        <w:r>
          <w:rPr>
            <w:rtl/>
          </w:rPr>
          <w:t xml:space="preserve"> </w:t>
        </w:r>
        <w:r w:rsidRPr="006571A5">
          <w:rPr>
            <w:rtl/>
          </w:rPr>
          <w:t>الملحق</w:t>
        </w:r>
        <w:r>
          <w:rPr>
            <w:rtl/>
          </w:rPr>
          <w:t xml:space="preserve"> </w:t>
        </w:r>
        <w:r w:rsidRPr="006571A5">
          <w:rPr>
            <w:rtl/>
          </w:rPr>
          <w:t>بها</w:t>
        </w:r>
        <w:r>
          <w:rPr>
            <w:rtl/>
          </w:rPr>
          <w:t xml:space="preserve"> </w:t>
        </w:r>
        <w:r w:rsidRPr="006571A5">
          <w:rPr>
            <w:rtl/>
          </w:rPr>
          <w:t>حيز</w:t>
        </w:r>
        <w:r>
          <w:rPr>
            <w:rtl/>
          </w:rPr>
          <w:t xml:space="preserve"> </w:t>
        </w:r>
        <w:r w:rsidRPr="006571A5">
          <w:rPr>
            <w:rtl/>
          </w:rPr>
          <w:t>النفاذ</w:t>
        </w:r>
        <w:r>
          <w:rPr>
            <w:rtl/>
          </w:rPr>
          <w:t xml:space="preserve"> </w:t>
        </w:r>
        <w:r w:rsidRPr="006571A5">
          <w:rPr>
            <w:rtl/>
          </w:rPr>
          <w:t>في</w:t>
        </w:r>
        <w:r>
          <w:rPr>
            <w:rtl/>
          </w:rPr>
          <w:t xml:space="preserve"> </w:t>
        </w:r>
        <w:r w:rsidRPr="006571A5">
          <w:rPr>
            <w:rtl/>
          </w:rPr>
          <w:t>22</w:t>
        </w:r>
        <w:r>
          <w:rPr>
            <w:rtl/>
          </w:rPr>
          <w:t xml:space="preserve"> </w:t>
        </w:r>
        <w:r w:rsidRPr="006571A5">
          <w:rPr>
            <w:rtl/>
          </w:rPr>
          <w:t>كانون</w:t>
        </w:r>
        <w:r>
          <w:rPr>
            <w:rtl/>
          </w:rPr>
          <w:t xml:space="preserve"> </w:t>
        </w:r>
        <w:r w:rsidRPr="006571A5">
          <w:rPr>
            <w:rtl/>
          </w:rPr>
          <w:t>الأول/ديسمبر</w:t>
        </w:r>
        <w:r>
          <w:rPr>
            <w:rtl/>
          </w:rPr>
          <w:t xml:space="preserve"> </w:t>
        </w:r>
        <w:r w:rsidRPr="006571A5">
          <w:rPr>
            <w:rtl/>
          </w:rPr>
          <w:t>2000.</w:t>
        </w:r>
        <w:r>
          <w:rPr>
            <w:rtl/>
          </w:rPr>
          <w:t xml:space="preserve"> </w:t>
        </w:r>
        <w:r w:rsidRPr="006571A5">
          <w:rPr>
            <w:rtl/>
          </w:rPr>
          <w:t>ويُمثِّل</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المحامي</w:t>
        </w:r>
        <w:r>
          <w:rPr>
            <w:rtl/>
          </w:rPr>
          <w:t xml:space="preserve"> </w:t>
        </w:r>
        <w:r w:rsidRPr="006571A5">
          <w:rPr>
            <w:rtl/>
          </w:rPr>
          <w:t>ربيع</w:t>
        </w:r>
        <w:r>
          <w:rPr>
            <w:rtl/>
          </w:rPr>
          <w:t xml:space="preserve"> </w:t>
        </w:r>
        <w:r w:rsidRPr="006571A5">
          <w:rPr>
            <w:rtl/>
          </w:rPr>
          <w:t>آزاد</w:t>
        </w:r>
        <w:r>
          <w:rPr>
            <w:rtl/>
          </w:rPr>
          <w:t xml:space="preserve"> </w:t>
        </w:r>
        <w:r w:rsidRPr="006571A5">
          <w:rPr>
            <w:rtl/>
          </w:rPr>
          <w:t>أحمد.</w:t>
        </w:r>
        <w:r w:rsidR="006473B1">
          <w:t>‬</w:t>
        </w:r>
        <w:r w:rsidR="00E741A3">
          <w:t>‬</w:t>
        </w:r>
      </w:dir>
    </w:p>
    <w:p w14:paraId="42F22AEC" w14:textId="75C21474" w:rsidR="006571A5" w:rsidRPr="006571A5" w:rsidRDefault="006571A5" w:rsidP="006571A5">
      <w:pPr>
        <w:pStyle w:val="SingleTxt"/>
        <w:rPr>
          <w:rtl/>
        </w:rPr>
      </w:pPr>
      <w:r w:rsidRPr="006571A5">
        <w:rPr>
          <w:rtl/>
        </w:rPr>
        <w:t>1-2</w:t>
      </w:r>
      <w:r w:rsidRPr="006571A5">
        <w:rPr>
          <w:rtl/>
        </w:rPr>
        <w:tab/>
        <w:t>وفي</w:t>
      </w:r>
      <w:r>
        <w:rPr>
          <w:rtl/>
        </w:rPr>
        <w:t xml:space="preserve"> </w:t>
      </w:r>
      <w:r w:rsidRPr="006571A5">
        <w:rPr>
          <w:rtl/>
        </w:rPr>
        <w:t>رسالتها</w:t>
      </w:r>
      <w:r>
        <w:rPr>
          <w:rtl/>
        </w:rPr>
        <w:t xml:space="preserve"> </w:t>
      </w:r>
      <w:r w:rsidRPr="006571A5">
        <w:rPr>
          <w:rtl/>
        </w:rPr>
        <w:t>الأولى،</w:t>
      </w:r>
      <w:r>
        <w:rPr>
          <w:rtl/>
        </w:rPr>
        <w:t xml:space="preserve"> </w:t>
      </w:r>
      <w:r w:rsidRPr="006571A5">
        <w:rPr>
          <w:rtl/>
        </w:rPr>
        <w:t>طلبت</w:t>
      </w:r>
      <w:r>
        <w:rPr>
          <w:rtl/>
        </w:rPr>
        <w:t xml:space="preserve"> </w:t>
      </w:r>
      <w:r w:rsidRPr="006571A5">
        <w:rPr>
          <w:rtl/>
        </w:rPr>
        <w:t>صاحبة</w:t>
      </w:r>
      <w:r>
        <w:rPr>
          <w:rtl/>
        </w:rPr>
        <w:t xml:space="preserve"> </w:t>
      </w:r>
      <w:r w:rsidRPr="006571A5">
        <w:rPr>
          <w:rtl/>
        </w:rPr>
        <w:t>البلاغ</w:t>
      </w:r>
      <w:r>
        <w:rPr>
          <w:rtl/>
        </w:rPr>
        <w:t xml:space="preserve"> </w:t>
      </w:r>
      <w:r w:rsidRPr="006571A5">
        <w:rPr>
          <w:rtl/>
        </w:rPr>
        <w:t>إلى</w:t>
      </w:r>
      <w:r>
        <w:rPr>
          <w:rtl/>
        </w:rPr>
        <w:t xml:space="preserve"> </w:t>
      </w:r>
      <w:r w:rsidRPr="006571A5">
        <w:rPr>
          <w:rtl/>
        </w:rPr>
        <w:t>اللجنة</w:t>
      </w:r>
      <w:r>
        <w:rPr>
          <w:rtl/>
        </w:rPr>
        <w:t xml:space="preserve"> </w:t>
      </w:r>
      <w:r w:rsidRPr="006571A5">
        <w:rPr>
          <w:rtl/>
        </w:rPr>
        <w:t>أن</w:t>
      </w:r>
      <w:r>
        <w:rPr>
          <w:rtl/>
        </w:rPr>
        <w:t xml:space="preserve"> </w:t>
      </w:r>
      <w:r w:rsidRPr="006571A5">
        <w:rPr>
          <w:rtl/>
        </w:rPr>
        <w:t>تلتمس</w:t>
      </w:r>
      <w:r>
        <w:rPr>
          <w:rtl/>
        </w:rPr>
        <w:t xml:space="preserve"> </w:t>
      </w:r>
      <w:r w:rsidRPr="006571A5">
        <w:rPr>
          <w:rtl/>
        </w:rPr>
        <w:t>من</w:t>
      </w:r>
      <w:r>
        <w:rPr>
          <w:rtl/>
        </w:rPr>
        <w:t xml:space="preserve"> </w:t>
      </w:r>
      <w:r w:rsidRPr="006571A5">
        <w:rPr>
          <w:rtl/>
        </w:rPr>
        <w:t>الدانمرك</w:t>
      </w:r>
      <w:r>
        <w:rPr>
          <w:rtl/>
        </w:rPr>
        <w:t xml:space="preserve"> </w:t>
      </w:r>
      <w:r w:rsidRPr="006571A5">
        <w:rPr>
          <w:rtl/>
        </w:rPr>
        <w:t>أن</w:t>
      </w:r>
      <w:r>
        <w:rPr>
          <w:rtl/>
        </w:rPr>
        <w:t xml:space="preserve"> </w:t>
      </w:r>
      <w:r w:rsidRPr="006571A5">
        <w:rPr>
          <w:rtl/>
        </w:rPr>
        <w:t>تُحجم</w:t>
      </w:r>
      <w:r>
        <w:rPr>
          <w:rtl/>
        </w:rPr>
        <w:t xml:space="preserve"> </w:t>
      </w:r>
      <w:r w:rsidRPr="006571A5">
        <w:rPr>
          <w:rtl/>
        </w:rPr>
        <w:t>عن</w:t>
      </w:r>
      <w:r>
        <w:rPr>
          <w:rtl/>
        </w:rPr>
        <w:t xml:space="preserve"> </w:t>
      </w:r>
      <w:r w:rsidRPr="006571A5">
        <w:rPr>
          <w:rtl/>
        </w:rPr>
        <w:t>ترحيلها.</w:t>
      </w:r>
      <w:r>
        <w:rPr>
          <w:rtl/>
        </w:rPr>
        <w:t xml:space="preserve"> </w:t>
      </w:r>
      <w:r w:rsidRPr="006571A5">
        <w:rPr>
          <w:rtl/>
        </w:rPr>
        <w:t>وعندما</w:t>
      </w:r>
      <w:r>
        <w:rPr>
          <w:rtl/>
        </w:rPr>
        <w:t xml:space="preserve"> </w:t>
      </w:r>
      <w:r w:rsidRPr="006571A5">
        <w:rPr>
          <w:rtl/>
        </w:rPr>
        <w:t>سجّلت</w:t>
      </w:r>
      <w:r>
        <w:rPr>
          <w:rtl/>
        </w:rPr>
        <w:t xml:space="preserve"> </w:t>
      </w:r>
      <w:r w:rsidRPr="006571A5">
        <w:rPr>
          <w:rtl/>
        </w:rPr>
        <w:t>اللجنة</w:t>
      </w:r>
      <w:r>
        <w:rPr>
          <w:rtl/>
        </w:rPr>
        <w:t xml:space="preserve"> </w:t>
      </w:r>
      <w:r w:rsidRPr="006571A5">
        <w:rPr>
          <w:rtl/>
        </w:rPr>
        <w:t>الرسالةَ</w:t>
      </w:r>
      <w:r>
        <w:rPr>
          <w:rtl/>
        </w:rPr>
        <w:t xml:space="preserve"> </w:t>
      </w:r>
      <w:r w:rsidRPr="006571A5">
        <w:rPr>
          <w:rtl/>
        </w:rPr>
        <w:t>في</w:t>
      </w:r>
      <w:r>
        <w:rPr>
          <w:rtl/>
        </w:rPr>
        <w:t xml:space="preserve"> </w:t>
      </w:r>
      <w:r w:rsidR="004B1017">
        <w:rPr>
          <w:rtl/>
        </w:rPr>
        <w:t>16</w:t>
      </w:r>
      <w:r>
        <w:rPr>
          <w:rtl/>
        </w:rPr>
        <w:t xml:space="preserve"> </w:t>
      </w:r>
      <w:r w:rsidRPr="006571A5">
        <w:rPr>
          <w:rtl/>
        </w:rPr>
        <w:t>أيلول/سبتمبر</w:t>
      </w:r>
      <w:r>
        <w:rPr>
          <w:rtl/>
        </w:rPr>
        <w:t xml:space="preserve"> </w:t>
      </w:r>
      <w:r w:rsidR="004B1017">
        <w:rPr>
          <w:rtl/>
        </w:rPr>
        <w:t>2015</w:t>
      </w:r>
      <w:r w:rsidRPr="006571A5">
        <w:rPr>
          <w:rtl/>
        </w:rPr>
        <w:t>،</w:t>
      </w:r>
      <w:r>
        <w:rPr>
          <w:rtl/>
        </w:rPr>
        <w:t xml:space="preserve"> </w:t>
      </w:r>
      <w:r w:rsidRPr="006571A5">
        <w:rPr>
          <w:rtl/>
        </w:rPr>
        <w:t>طلبت</w:t>
      </w:r>
      <w:r>
        <w:rPr>
          <w:rtl/>
        </w:rPr>
        <w:t xml:space="preserve"> </w:t>
      </w:r>
      <w:r w:rsidRPr="006571A5">
        <w:rPr>
          <w:rtl/>
        </w:rPr>
        <w:t>إلى</w:t>
      </w:r>
      <w:r>
        <w:rPr>
          <w:rtl/>
        </w:rPr>
        <w:t xml:space="preserve"> </w:t>
      </w:r>
      <w:r w:rsidRPr="006571A5">
        <w:rPr>
          <w:rtl/>
        </w:rPr>
        <w:t>الدانمرك</w:t>
      </w:r>
      <w:r>
        <w:rPr>
          <w:rtl/>
        </w:rPr>
        <w:t xml:space="preserve"> </w:t>
      </w:r>
      <w:r w:rsidRPr="006571A5">
        <w:rPr>
          <w:rtl/>
        </w:rPr>
        <w:t>عدم</w:t>
      </w:r>
      <w:r>
        <w:rPr>
          <w:rtl/>
        </w:rPr>
        <w:t xml:space="preserve"> </w:t>
      </w:r>
      <w:r w:rsidRPr="006571A5">
        <w:rPr>
          <w:rtl/>
        </w:rPr>
        <w:t>ترحيلها</w:t>
      </w:r>
      <w:r>
        <w:rPr>
          <w:rtl/>
        </w:rPr>
        <w:t xml:space="preserve"> </w:t>
      </w:r>
      <w:r w:rsidRPr="006571A5">
        <w:rPr>
          <w:rtl/>
        </w:rPr>
        <w:t>ريثما</w:t>
      </w:r>
      <w:r>
        <w:rPr>
          <w:rtl/>
        </w:rPr>
        <w:t xml:space="preserve"> </w:t>
      </w:r>
      <w:r w:rsidRPr="006571A5">
        <w:rPr>
          <w:rtl/>
        </w:rPr>
        <w:t>تنظر</w:t>
      </w:r>
      <w:r>
        <w:rPr>
          <w:rtl/>
        </w:rPr>
        <w:t xml:space="preserve"> </w:t>
      </w:r>
      <w:r w:rsidRPr="006571A5">
        <w:rPr>
          <w:rtl/>
        </w:rPr>
        <w:t>في</w:t>
      </w:r>
      <w:r>
        <w:rPr>
          <w:rtl/>
        </w:rPr>
        <w:t xml:space="preserve"> </w:t>
      </w:r>
      <w:r w:rsidRPr="006571A5">
        <w:rPr>
          <w:rtl/>
        </w:rPr>
        <w:t>قضيتها.</w:t>
      </w:r>
      <w:r>
        <w:rPr>
          <w:rtl/>
        </w:rPr>
        <w:t xml:space="preserve"> </w:t>
      </w:r>
      <w:r w:rsidRPr="006571A5">
        <w:rPr>
          <w:rtl/>
        </w:rPr>
        <w:t>وفي</w:t>
      </w:r>
      <w:r>
        <w:rPr>
          <w:rtl/>
        </w:rPr>
        <w:t xml:space="preserve"> </w:t>
      </w:r>
      <w:r w:rsidRPr="006571A5">
        <w:rPr>
          <w:rtl/>
        </w:rPr>
        <w:t>25</w:t>
      </w:r>
      <w:r>
        <w:rPr>
          <w:rtl/>
        </w:rPr>
        <w:t xml:space="preserve"> </w:t>
      </w:r>
      <w:r w:rsidRPr="006571A5">
        <w:rPr>
          <w:rtl/>
        </w:rPr>
        <w:t>أيلول/سبتمبر</w:t>
      </w:r>
      <w:r>
        <w:rPr>
          <w:rtl/>
        </w:rPr>
        <w:t xml:space="preserve"> </w:t>
      </w:r>
      <w:r w:rsidRPr="006571A5">
        <w:rPr>
          <w:rtl/>
        </w:rPr>
        <w:t>2015،</w:t>
      </w:r>
      <w:r>
        <w:rPr>
          <w:rtl/>
        </w:rPr>
        <w:t xml:space="preserve"> </w:t>
      </w:r>
      <w:r w:rsidRPr="006571A5">
        <w:rPr>
          <w:rtl/>
        </w:rPr>
        <w:t>علق</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في</w:t>
      </w:r>
      <w:r>
        <w:rPr>
          <w:rtl/>
        </w:rPr>
        <w:t xml:space="preserve"> </w:t>
      </w:r>
      <w:r w:rsidRPr="006571A5">
        <w:rPr>
          <w:rtl/>
        </w:rPr>
        <w:t>الدانمرك</w:t>
      </w:r>
      <w:r>
        <w:rPr>
          <w:rtl/>
        </w:rPr>
        <w:t xml:space="preserve"> </w:t>
      </w:r>
      <w:r w:rsidRPr="006571A5">
        <w:rPr>
          <w:rtl/>
        </w:rPr>
        <w:t>ترحيل</w:t>
      </w:r>
      <w:r>
        <w:rPr>
          <w:rtl/>
        </w:rPr>
        <w:t xml:space="preserve"> </w:t>
      </w:r>
      <w:r w:rsidRPr="006571A5">
        <w:rPr>
          <w:rtl/>
        </w:rPr>
        <w:t>صاحبة</w:t>
      </w:r>
      <w:r>
        <w:rPr>
          <w:rtl/>
        </w:rPr>
        <w:t xml:space="preserve"> </w:t>
      </w:r>
      <w:r w:rsidRPr="006571A5">
        <w:rPr>
          <w:rtl/>
        </w:rPr>
        <w:t>الرسالة.</w:t>
      </w:r>
    </w:p>
    <w:p w14:paraId="5F6573E1" w14:textId="72EEF5EE" w:rsidR="006571A5" w:rsidRPr="006571A5" w:rsidRDefault="006571A5" w:rsidP="006571A5">
      <w:pPr>
        <w:pStyle w:val="SingleTxt"/>
        <w:spacing w:after="0" w:line="120" w:lineRule="exact"/>
        <w:rPr>
          <w:sz w:val="10"/>
          <w:rtl/>
        </w:rPr>
      </w:pPr>
    </w:p>
    <w:p w14:paraId="521B57E7" w14:textId="095F5392" w:rsidR="006571A5" w:rsidRPr="006571A5" w:rsidRDefault="006571A5" w:rsidP="006571A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6571A5">
        <w:rPr>
          <w:rtl/>
        </w:rPr>
        <w:t>الوقائع</w:t>
      </w:r>
      <w:r>
        <w:rPr>
          <w:rtl/>
        </w:rPr>
        <w:t xml:space="preserve"> </w:t>
      </w:r>
      <w:r w:rsidRPr="006571A5">
        <w:rPr>
          <w:rtl/>
        </w:rPr>
        <w:t>كما</w:t>
      </w:r>
      <w:r>
        <w:rPr>
          <w:rtl/>
        </w:rPr>
        <w:t xml:space="preserve"> </w:t>
      </w:r>
      <w:r w:rsidRPr="006571A5">
        <w:rPr>
          <w:rtl/>
        </w:rPr>
        <w:t>عرضتها</w:t>
      </w:r>
      <w:r>
        <w:rPr>
          <w:rtl/>
        </w:rPr>
        <w:t xml:space="preserve"> </w:t>
      </w:r>
      <w:r w:rsidRPr="006571A5">
        <w:rPr>
          <w:rtl/>
        </w:rPr>
        <w:t>صاحبة</w:t>
      </w:r>
      <w:r>
        <w:rPr>
          <w:rtl/>
        </w:rPr>
        <w:t xml:space="preserve"> </w:t>
      </w:r>
      <w:r w:rsidRPr="006571A5">
        <w:rPr>
          <w:rtl/>
        </w:rPr>
        <w:t>الرسالة</w:t>
      </w:r>
    </w:p>
    <w:p w14:paraId="17A4A410" w14:textId="2563C155" w:rsidR="006571A5" w:rsidRPr="006571A5" w:rsidRDefault="006571A5" w:rsidP="006571A5">
      <w:pPr>
        <w:pStyle w:val="SingleTxt"/>
        <w:rPr>
          <w:rtl/>
        </w:rPr>
      </w:pPr>
      <w:r w:rsidRPr="006571A5">
        <w:rPr>
          <w:rtl/>
        </w:rPr>
        <w:t>2-1</w:t>
      </w:r>
      <w:r w:rsidRPr="006571A5">
        <w:rPr>
          <w:rtl/>
        </w:rPr>
        <w:tab/>
      </w:r>
      <w:r w:rsidRPr="00AC2D6D">
        <w:rPr>
          <w:w w:val="98"/>
          <w:rtl/>
        </w:rPr>
        <w:t xml:space="preserve">صاحبة الرسالة مواطنة صومالية من </w:t>
      </w:r>
      <w:proofErr w:type="spellStart"/>
      <w:r w:rsidRPr="00AC2D6D">
        <w:rPr>
          <w:w w:val="98"/>
          <w:rtl/>
        </w:rPr>
        <w:t>ماساغاوي</w:t>
      </w:r>
      <w:proofErr w:type="spellEnd"/>
      <w:r w:rsidRPr="00AC2D6D">
        <w:rPr>
          <w:w w:val="98"/>
          <w:rtl/>
        </w:rPr>
        <w:t xml:space="preserve"> الواقعة بمنطقة </w:t>
      </w:r>
      <w:proofErr w:type="spellStart"/>
      <w:r w:rsidRPr="00AC2D6D">
        <w:rPr>
          <w:w w:val="98"/>
          <w:rtl/>
        </w:rPr>
        <w:t>جلجدود</w:t>
      </w:r>
      <w:proofErr w:type="spellEnd"/>
      <w:r w:rsidRPr="00AC2D6D">
        <w:rPr>
          <w:w w:val="98"/>
          <w:rtl/>
        </w:rPr>
        <w:t xml:space="preserve"> وسط الصومال. وهي متزوجة وأمّ لثلاثة أبناء. وفي تموز/يوليه </w:t>
      </w:r>
      <w:r w:rsidR="004B1017" w:rsidRPr="00AC2D6D">
        <w:rPr>
          <w:w w:val="98"/>
          <w:rtl/>
        </w:rPr>
        <w:t>2014</w:t>
      </w:r>
      <w:r w:rsidRPr="00AC2D6D">
        <w:rPr>
          <w:w w:val="98"/>
          <w:rtl/>
        </w:rPr>
        <w:t>، طلب أحد الأفراد في حركة الشباب من والدها الزواج منها، ولكنه رفض؛ وتكرّر الطلب مرات عديدة. وبسبب رفض والدها، تعرضت الأسرة للاضطهاد. وفي إحدى المرات، وعندما كانت صاحبة الرسالة في طريق عودتها من سوق القرية، حاول أحد أفراد حركة الشباب انتزاعها من والدها. وتمكّنت صاحبة الرسالة من الفرار، وعندما عادت بعدئذ علمت أن والدها</w:t>
      </w:r>
      <w:r w:rsidR="00AC2D6D" w:rsidRPr="00AC2D6D">
        <w:rPr>
          <w:rFonts w:hint="cs"/>
          <w:w w:val="98"/>
          <w:rtl/>
        </w:rPr>
        <w:t xml:space="preserve"> </w:t>
      </w:r>
      <w:r w:rsidRPr="00AC2D6D">
        <w:rPr>
          <w:w w:val="98"/>
          <w:rtl/>
        </w:rPr>
        <w:t>قُتِل.</w:t>
      </w:r>
    </w:p>
    <w:p w14:paraId="2236C4AB" w14:textId="1D6E8A9E" w:rsidR="006571A5" w:rsidRPr="006571A5" w:rsidRDefault="006571A5" w:rsidP="006571A5">
      <w:pPr>
        <w:pStyle w:val="SingleTxt"/>
        <w:rPr>
          <w:rtl/>
        </w:rPr>
      </w:pPr>
      <w:r w:rsidRPr="006571A5">
        <w:rPr>
          <w:rtl/>
        </w:rPr>
        <w:t>2-2</w:t>
      </w:r>
      <w:r w:rsidRPr="006571A5">
        <w:rPr>
          <w:rtl/>
        </w:rPr>
        <w:tab/>
      </w:r>
      <w:r w:rsidRPr="00AC2D6D">
        <w:rPr>
          <w:spacing w:val="-2"/>
          <w:rtl/>
        </w:rPr>
        <w:t>وبعد 10 أيام من مقتل والدها، عاد الأفراد من حركة الشباب. ولم تكن صاحبة الرسالة في المنزل، لكن زوجها وحماتها وأبناءها كانوا هناك. وساق الأفراد من الحركة زوج صاحبة الرسالة معهم. وعندما عادت، أصبح من الواضح لها أن عليها أن تفرّ مع زوجها وأبنائها حتى لا تتعرض للقتل أو الزواج القسري.</w:t>
      </w:r>
    </w:p>
    <w:p w14:paraId="2A239935" w14:textId="63B1077D" w:rsidR="006571A5" w:rsidRPr="006571A5" w:rsidRDefault="006571A5" w:rsidP="006571A5">
      <w:pPr>
        <w:pStyle w:val="SingleTxt"/>
        <w:rPr>
          <w:rtl/>
        </w:rPr>
      </w:pPr>
      <w:r w:rsidRPr="006571A5">
        <w:rPr>
          <w:rtl/>
        </w:rPr>
        <w:t>2-3</w:t>
      </w:r>
      <w:r w:rsidRPr="006571A5">
        <w:rPr>
          <w:rtl/>
        </w:rPr>
        <w:tab/>
        <w:t>وطلبت</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اللجوء</w:t>
      </w:r>
      <w:r>
        <w:rPr>
          <w:rtl/>
        </w:rPr>
        <w:t xml:space="preserve"> </w:t>
      </w:r>
      <w:r w:rsidRPr="006571A5">
        <w:rPr>
          <w:rtl/>
        </w:rPr>
        <w:t>في</w:t>
      </w:r>
      <w:r>
        <w:rPr>
          <w:rtl/>
        </w:rPr>
        <w:t xml:space="preserve"> </w:t>
      </w:r>
      <w:r w:rsidRPr="006571A5">
        <w:rPr>
          <w:rtl/>
        </w:rPr>
        <w:t>الدانمرك</w:t>
      </w:r>
      <w:r>
        <w:rPr>
          <w:rtl/>
        </w:rPr>
        <w:t xml:space="preserve"> </w:t>
      </w:r>
      <w:r w:rsidRPr="006571A5">
        <w:rPr>
          <w:rtl/>
        </w:rPr>
        <w:t>في</w:t>
      </w:r>
      <w:r>
        <w:rPr>
          <w:rtl/>
        </w:rPr>
        <w:t xml:space="preserve"> </w:t>
      </w:r>
      <w:r w:rsidRPr="006571A5">
        <w:rPr>
          <w:rtl/>
        </w:rPr>
        <w:t>آب/أغسطس</w:t>
      </w:r>
      <w:r>
        <w:rPr>
          <w:rtl/>
        </w:rPr>
        <w:t xml:space="preserve"> </w:t>
      </w:r>
      <w:r w:rsidR="004B1017">
        <w:rPr>
          <w:rtl/>
        </w:rPr>
        <w:t>2014</w:t>
      </w:r>
      <w:r w:rsidRPr="006571A5">
        <w:rPr>
          <w:szCs w:val="30"/>
          <w:vertAlign w:val="superscript"/>
          <w:rtl/>
        </w:rPr>
        <w:t>(</w:t>
      </w:r>
      <w:r w:rsidRPr="006571A5">
        <w:rPr>
          <w:rStyle w:val="FootnoteReference"/>
          <w:szCs w:val="30"/>
          <w:rtl/>
        </w:rPr>
        <w:footnoteReference w:id="1"/>
      </w:r>
      <w:r w:rsidRPr="006571A5">
        <w:rPr>
          <w:szCs w:val="30"/>
          <w:vertAlign w:val="superscript"/>
          <w:rtl/>
        </w:rPr>
        <w:t>)</w:t>
      </w:r>
      <w:r w:rsidRPr="006571A5">
        <w:rPr>
          <w:rtl/>
        </w:rPr>
        <w:t>.</w:t>
      </w:r>
      <w:r>
        <w:rPr>
          <w:rFonts w:hint="cs"/>
          <w:rtl/>
        </w:rPr>
        <w:t xml:space="preserve"> </w:t>
      </w:r>
      <w:r w:rsidRPr="006571A5">
        <w:rPr>
          <w:rtl/>
        </w:rPr>
        <w:t>ورفضت</w:t>
      </w:r>
      <w:r>
        <w:rPr>
          <w:rtl/>
        </w:rPr>
        <w:t xml:space="preserve"> </w:t>
      </w:r>
      <w:r w:rsidRPr="006571A5">
        <w:rPr>
          <w:rtl/>
        </w:rPr>
        <w:t>دائرة</w:t>
      </w:r>
      <w:r>
        <w:rPr>
          <w:rtl/>
        </w:rPr>
        <w:t xml:space="preserve"> </w:t>
      </w:r>
      <w:r w:rsidRPr="006571A5">
        <w:rPr>
          <w:rtl/>
        </w:rPr>
        <w:t>الهجرة</w:t>
      </w:r>
      <w:r>
        <w:rPr>
          <w:rtl/>
        </w:rPr>
        <w:t xml:space="preserve"> </w:t>
      </w:r>
      <w:r w:rsidRPr="006571A5">
        <w:rPr>
          <w:rtl/>
        </w:rPr>
        <w:t>في</w:t>
      </w:r>
      <w:r>
        <w:rPr>
          <w:rtl/>
        </w:rPr>
        <w:t xml:space="preserve"> </w:t>
      </w:r>
      <w:r w:rsidRPr="006571A5">
        <w:rPr>
          <w:rtl/>
        </w:rPr>
        <w:t>الدانمرك</w:t>
      </w:r>
      <w:r>
        <w:rPr>
          <w:rtl/>
        </w:rPr>
        <w:t xml:space="preserve"> </w:t>
      </w:r>
      <w:r w:rsidRPr="006571A5">
        <w:rPr>
          <w:rtl/>
        </w:rPr>
        <w:t>طلب</w:t>
      </w:r>
      <w:r>
        <w:rPr>
          <w:rtl/>
        </w:rPr>
        <w:t xml:space="preserve"> </w:t>
      </w:r>
      <w:r w:rsidRPr="006571A5">
        <w:rPr>
          <w:rtl/>
        </w:rPr>
        <w:t>لجوئها</w:t>
      </w:r>
      <w:r>
        <w:rPr>
          <w:rtl/>
        </w:rPr>
        <w:t xml:space="preserve"> </w:t>
      </w:r>
      <w:r w:rsidRPr="006571A5">
        <w:rPr>
          <w:rtl/>
        </w:rPr>
        <w:t>الأول،</w:t>
      </w:r>
      <w:r>
        <w:rPr>
          <w:rtl/>
        </w:rPr>
        <w:t xml:space="preserve"> </w:t>
      </w:r>
      <w:r w:rsidRPr="006571A5">
        <w:rPr>
          <w:rtl/>
        </w:rPr>
        <w:t>وأُبلغت</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بهذا</w:t>
      </w:r>
      <w:r>
        <w:rPr>
          <w:rtl/>
        </w:rPr>
        <w:t xml:space="preserve"> </w:t>
      </w:r>
      <w:r w:rsidRPr="006571A5">
        <w:rPr>
          <w:rtl/>
        </w:rPr>
        <w:t>الرفض</w:t>
      </w:r>
      <w:r>
        <w:rPr>
          <w:rtl/>
        </w:rPr>
        <w:t xml:space="preserve"> </w:t>
      </w:r>
      <w:r w:rsidRPr="006571A5">
        <w:rPr>
          <w:rtl/>
        </w:rPr>
        <w:t>برسالة</w:t>
      </w:r>
      <w:r>
        <w:rPr>
          <w:rtl/>
        </w:rPr>
        <w:t xml:space="preserve"> </w:t>
      </w:r>
      <w:r w:rsidRPr="006571A5">
        <w:rPr>
          <w:rtl/>
        </w:rPr>
        <w:t>مؤرخة</w:t>
      </w:r>
      <w:r>
        <w:rPr>
          <w:rtl/>
        </w:rPr>
        <w:t xml:space="preserve"> </w:t>
      </w:r>
      <w:r w:rsidR="004B1017">
        <w:rPr>
          <w:rtl/>
        </w:rPr>
        <w:t>21</w:t>
      </w:r>
      <w:r>
        <w:rPr>
          <w:rtl/>
        </w:rPr>
        <w:t xml:space="preserve"> </w:t>
      </w:r>
      <w:r w:rsidRPr="006571A5">
        <w:rPr>
          <w:rtl/>
        </w:rPr>
        <w:t>تموز/يوليه</w:t>
      </w:r>
      <w:r>
        <w:rPr>
          <w:rtl/>
        </w:rPr>
        <w:t xml:space="preserve"> </w:t>
      </w:r>
      <w:r w:rsidR="004B1017">
        <w:rPr>
          <w:rtl/>
        </w:rPr>
        <w:t>2015</w:t>
      </w:r>
      <w:r w:rsidRPr="006571A5">
        <w:rPr>
          <w:rtl/>
        </w:rPr>
        <w:t>.</w:t>
      </w:r>
      <w:r>
        <w:rPr>
          <w:rtl/>
        </w:rPr>
        <w:t xml:space="preserve"> </w:t>
      </w:r>
      <w:dir w:val="rtl">
        <w:r w:rsidRPr="006571A5">
          <w:rPr>
            <w:rtl/>
          </w:rPr>
          <w:t>وفي</w:t>
        </w:r>
        <w:r>
          <w:rPr>
            <w:rtl/>
          </w:rPr>
          <w:t xml:space="preserve"> </w:t>
        </w:r>
        <w:r w:rsidRPr="006571A5">
          <w:rPr>
            <w:rtl/>
          </w:rPr>
          <w:t>4</w:t>
        </w:r>
        <w:r>
          <w:rPr>
            <w:rtl/>
          </w:rPr>
          <w:t xml:space="preserve"> </w:t>
        </w:r>
        <w:r w:rsidRPr="006571A5">
          <w:rPr>
            <w:rtl/>
          </w:rPr>
          <w:t>أيلول/سبتمبر</w:t>
        </w:r>
        <w:r>
          <w:rPr>
            <w:rtl/>
          </w:rPr>
          <w:t xml:space="preserve"> </w:t>
        </w:r>
        <w:r w:rsidRPr="006571A5">
          <w:rPr>
            <w:rtl/>
          </w:rPr>
          <w:t>2015،</w:t>
        </w:r>
        <w:r>
          <w:rPr>
            <w:rtl/>
          </w:rPr>
          <w:t xml:space="preserve"> </w:t>
        </w:r>
        <w:r w:rsidRPr="006571A5">
          <w:rPr>
            <w:rtl/>
          </w:rPr>
          <w:t>أيّد</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ذلك</w:t>
        </w:r>
        <w:r>
          <w:rPr>
            <w:rtl/>
          </w:rPr>
          <w:t xml:space="preserve"> </w:t>
        </w:r>
        <w:r w:rsidRPr="006571A5">
          <w:rPr>
            <w:rtl/>
          </w:rPr>
          <w:t>القرار.</w:t>
        </w:r>
        <w:r>
          <w:rPr>
            <w:rtl/>
          </w:rPr>
          <w:t xml:space="preserve"> </w:t>
        </w:r>
        <w:r w:rsidRPr="006571A5">
          <w:rPr>
            <w:rFonts w:ascii="Traditional Arabic" w:hAnsi="Traditional Arabic" w:hint="cs"/>
            <w:rtl/>
          </w:rPr>
          <w:t>وعلّلت</w:t>
        </w:r>
        <w:r>
          <w:rPr>
            <w:rtl/>
          </w:rPr>
          <w:t xml:space="preserve"> </w:t>
        </w:r>
        <w:r w:rsidRPr="006571A5">
          <w:rPr>
            <w:rFonts w:ascii="Traditional Arabic" w:hAnsi="Traditional Arabic" w:hint="cs"/>
            <w:rtl/>
          </w:rPr>
          <w:t>السلطات</w:t>
        </w:r>
        <w:r>
          <w:rPr>
            <w:rtl/>
          </w:rPr>
          <w:t xml:space="preserve"> </w:t>
        </w:r>
        <w:r w:rsidRPr="006571A5">
          <w:rPr>
            <w:rFonts w:ascii="Traditional Arabic" w:hAnsi="Traditional Arabic" w:hint="cs"/>
            <w:rtl/>
          </w:rPr>
          <w:t>الرفض</w:t>
        </w:r>
        <w:r>
          <w:rPr>
            <w:rtl/>
          </w:rPr>
          <w:t xml:space="preserve"> </w:t>
        </w:r>
        <w:r w:rsidRPr="006571A5">
          <w:rPr>
            <w:rFonts w:ascii="Traditional Arabic" w:hAnsi="Traditional Arabic" w:hint="cs"/>
            <w:rtl/>
          </w:rPr>
          <w:t>بشكوك</w:t>
        </w:r>
        <w:r>
          <w:rPr>
            <w:rtl/>
          </w:rPr>
          <w:t xml:space="preserve"> </w:t>
        </w:r>
        <w:r w:rsidRPr="006571A5">
          <w:rPr>
            <w:rFonts w:ascii="Traditional Arabic" w:hAnsi="Traditional Arabic" w:hint="cs"/>
            <w:rtl/>
          </w:rPr>
          <w:t>في</w:t>
        </w:r>
        <w:r>
          <w:rPr>
            <w:rtl/>
          </w:rPr>
          <w:t xml:space="preserve"> </w:t>
        </w:r>
        <w:r w:rsidRPr="006571A5">
          <w:rPr>
            <w:rFonts w:ascii="Traditional Arabic" w:hAnsi="Traditional Arabic" w:hint="cs"/>
            <w:rtl/>
          </w:rPr>
          <w:t>المصداقية</w:t>
        </w:r>
        <w:r w:rsidRPr="006571A5">
          <w:rPr>
            <w:rtl/>
          </w:rPr>
          <w:t>.</w:t>
        </w:r>
        <w:r>
          <w:rPr>
            <w:rtl/>
          </w:rPr>
          <w:t xml:space="preserve"> </w:t>
        </w:r>
        <w:r w:rsidRPr="006571A5">
          <w:rPr>
            <w:rFonts w:ascii="Traditional Arabic" w:hAnsi="Traditional Arabic" w:hint="cs"/>
            <w:rtl/>
          </w:rPr>
          <w:t>إذ</w:t>
        </w:r>
        <w:r>
          <w:rPr>
            <w:rtl/>
          </w:rPr>
          <w:t xml:space="preserve"> </w:t>
        </w:r>
        <w:r w:rsidRPr="006571A5">
          <w:rPr>
            <w:rFonts w:ascii="Traditional Arabic" w:hAnsi="Traditional Arabic" w:hint="cs"/>
            <w:rtl/>
          </w:rPr>
          <w:t>خلُص</w:t>
        </w:r>
        <w:r>
          <w:rPr>
            <w:rtl/>
          </w:rPr>
          <w:t xml:space="preserve"> </w:t>
        </w:r>
        <w:r w:rsidRPr="006571A5">
          <w:rPr>
            <w:rFonts w:ascii="Traditional Arabic" w:hAnsi="Traditional Arabic" w:hint="cs"/>
            <w:rtl/>
          </w:rPr>
          <w:t>المجلس</w:t>
        </w:r>
        <w:r>
          <w:rPr>
            <w:rtl/>
          </w:rPr>
          <w:t xml:space="preserve"> </w:t>
        </w:r>
        <w:r w:rsidRPr="006571A5">
          <w:rPr>
            <w:rFonts w:ascii="Traditional Arabic" w:hAnsi="Traditional Arabic" w:hint="cs"/>
            <w:rtl/>
          </w:rPr>
          <w:t>إلى</w:t>
        </w:r>
        <w:r>
          <w:rPr>
            <w:rtl/>
          </w:rPr>
          <w:t xml:space="preserve"> </w:t>
        </w:r>
        <w:r w:rsidRPr="006571A5">
          <w:rPr>
            <w:rFonts w:ascii="Traditional Arabic" w:hAnsi="Traditional Arabic" w:hint="cs"/>
            <w:rtl/>
          </w:rPr>
          <w:t>أنه</w:t>
        </w:r>
        <w:r>
          <w:rPr>
            <w:rtl/>
          </w:rPr>
          <w:t xml:space="preserve"> </w:t>
        </w:r>
        <w:r w:rsidRPr="006571A5">
          <w:rPr>
            <w:rFonts w:ascii="Traditional Arabic" w:hAnsi="Traditional Arabic" w:hint="cs"/>
            <w:rtl/>
          </w:rPr>
          <w:t>يبدو</w:t>
        </w:r>
        <w:r>
          <w:rPr>
            <w:rtl/>
          </w:rPr>
          <w:t xml:space="preserve"> </w:t>
        </w:r>
        <w:r w:rsidRPr="006571A5">
          <w:rPr>
            <w:rFonts w:ascii="Traditional Arabic" w:hAnsi="Traditional Arabic" w:hint="cs"/>
            <w:rtl/>
          </w:rPr>
          <w:t>من</w:t>
        </w:r>
        <w:r>
          <w:rPr>
            <w:rtl/>
          </w:rPr>
          <w:t xml:space="preserve"> </w:t>
        </w:r>
        <w:r w:rsidRPr="006571A5">
          <w:rPr>
            <w:rFonts w:ascii="Traditional Arabic" w:hAnsi="Traditional Arabic" w:hint="cs"/>
            <w:rtl/>
          </w:rPr>
          <w:t>غير</w:t>
        </w:r>
        <w:r>
          <w:rPr>
            <w:rtl/>
          </w:rPr>
          <w:t xml:space="preserve"> </w:t>
        </w:r>
        <w:r w:rsidRPr="006571A5">
          <w:rPr>
            <w:rFonts w:ascii="Traditional Arabic" w:hAnsi="Traditional Arabic" w:hint="cs"/>
            <w:rtl/>
          </w:rPr>
          <w:t>المرجح</w:t>
        </w:r>
        <w:r>
          <w:rPr>
            <w:rtl/>
          </w:rPr>
          <w:t xml:space="preserve"> </w:t>
        </w:r>
        <w:r w:rsidRPr="006571A5">
          <w:rPr>
            <w:rFonts w:ascii="Traditional Arabic" w:hAnsi="Traditional Arabic" w:hint="cs"/>
            <w:rtl/>
          </w:rPr>
          <w:t>أن</w:t>
        </w:r>
        <w:r>
          <w:rPr>
            <w:rtl/>
          </w:rPr>
          <w:t xml:space="preserve"> </w:t>
        </w:r>
        <w:r w:rsidRPr="006571A5">
          <w:rPr>
            <w:rFonts w:ascii="Traditional Arabic" w:hAnsi="Traditional Arabic" w:hint="cs"/>
            <w:rtl/>
          </w:rPr>
          <w:t>تنتظر</w:t>
        </w:r>
        <w:r>
          <w:rPr>
            <w:rtl/>
          </w:rPr>
          <w:t xml:space="preserve"> </w:t>
        </w:r>
        <w:r w:rsidRPr="006571A5">
          <w:rPr>
            <w:rFonts w:ascii="Traditional Arabic" w:hAnsi="Traditional Arabic" w:hint="cs"/>
            <w:rtl/>
          </w:rPr>
          <w:t>حركة</w:t>
        </w:r>
        <w:r>
          <w:rPr>
            <w:rtl/>
          </w:rPr>
          <w:t xml:space="preserve"> </w:t>
        </w:r>
        <w:r w:rsidRPr="006571A5">
          <w:rPr>
            <w:rFonts w:ascii="Traditional Arabic" w:hAnsi="Traditional Arabic" w:hint="cs"/>
            <w:rtl/>
          </w:rPr>
          <w:t>الشباب</w:t>
        </w:r>
        <w:r>
          <w:rPr>
            <w:rtl/>
          </w:rPr>
          <w:t xml:space="preserve"> </w:t>
        </w:r>
        <w:r w:rsidRPr="006571A5">
          <w:rPr>
            <w:rFonts w:ascii="Traditional Arabic" w:hAnsi="Traditional Arabic" w:hint="cs"/>
            <w:rtl/>
          </w:rPr>
          <w:t>ست</w:t>
        </w:r>
        <w:r>
          <w:rPr>
            <w:rtl/>
          </w:rPr>
          <w:t xml:space="preserve"> </w:t>
        </w:r>
        <w:r w:rsidRPr="006571A5">
          <w:rPr>
            <w:rFonts w:ascii="Traditional Arabic" w:hAnsi="Traditional Arabic" w:hint="cs"/>
            <w:rtl/>
          </w:rPr>
          <w:t>سنوات</w:t>
        </w:r>
        <w:r w:rsidRPr="006571A5">
          <w:rPr>
            <w:rFonts w:ascii="Traditional Arabic" w:hAnsi="Traditional Arabic"/>
            <w:szCs w:val="30"/>
            <w:vertAlign w:val="superscript"/>
            <w:rtl/>
          </w:rPr>
          <w:t>(</w:t>
        </w:r>
        <w:r w:rsidRPr="006571A5">
          <w:rPr>
            <w:rStyle w:val="FootnoteReference"/>
            <w:szCs w:val="30"/>
            <w:rtl/>
          </w:rPr>
          <w:footnoteReference w:id="2"/>
        </w:r>
        <w:r w:rsidRPr="006571A5">
          <w:rPr>
            <w:rFonts w:ascii="Traditional Arabic" w:hAnsi="Traditional Arabic"/>
            <w:szCs w:val="30"/>
            <w:vertAlign w:val="superscript"/>
            <w:rtl/>
          </w:rPr>
          <w:t>)</w:t>
        </w:r>
        <w:r>
          <w:rPr>
            <w:rFonts w:ascii="Traditional Arabic" w:hAnsi="Traditional Arabic" w:hint="cs"/>
            <w:szCs w:val="30"/>
            <w:rtl/>
          </w:rPr>
          <w:t xml:space="preserve"> </w:t>
        </w:r>
        <w:r w:rsidRPr="006571A5">
          <w:rPr>
            <w:rtl/>
          </w:rPr>
          <w:t>على</w:t>
        </w:r>
        <w:r>
          <w:rPr>
            <w:rtl/>
          </w:rPr>
          <w:t xml:space="preserve"> </w:t>
        </w:r>
        <w:r w:rsidRPr="006571A5">
          <w:rPr>
            <w:rtl/>
          </w:rPr>
          <w:t>زواج</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ثم</w:t>
        </w:r>
        <w:r>
          <w:rPr>
            <w:rtl/>
          </w:rPr>
          <w:t xml:space="preserve"> </w:t>
        </w:r>
        <w:r w:rsidRPr="006571A5">
          <w:rPr>
            <w:rtl/>
          </w:rPr>
          <w:t>تُقدم</w:t>
        </w:r>
        <w:r>
          <w:rPr>
            <w:rtl/>
          </w:rPr>
          <w:t xml:space="preserve"> </w:t>
        </w:r>
        <w:r w:rsidRPr="006571A5">
          <w:rPr>
            <w:rtl/>
          </w:rPr>
          <w:t>على</w:t>
        </w:r>
        <w:r>
          <w:rPr>
            <w:rtl/>
          </w:rPr>
          <w:t xml:space="preserve"> </w:t>
        </w:r>
        <w:r w:rsidRPr="006571A5">
          <w:rPr>
            <w:rtl/>
          </w:rPr>
          <w:t>زيارتها،</w:t>
        </w:r>
        <w:r>
          <w:rPr>
            <w:rtl/>
          </w:rPr>
          <w:t xml:space="preserve"> </w:t>
        </w:r>
        <w:r w:rsidRPr="006571A5">
          <w:rPr>
            <w:rtl/>
          </w:rPr>
          <w:t>ورأى</w:t>
        </w:r>
        <w:r>
          <w:rPr>
            <w:rtl/>
          </w:rPr>
          <w:t xml:space="preserve"> </w:t>
        </w:r>
        <w:r w:rsidRPr="006571A5">
          <w:rPr>
            <w:rtl/>
          </w:rPr>
          <w:t>أن</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قدّمت</w:t>
        </w:r>
        <w:r>
          <w:rPr>
            <w:rtl/>
          </w:rPr>
          <w:t xml:space="preserve"> </w:t>
        </w:r>
        <w:r w:rsidRPr="006571A5">
          <w:rPr>
            <w:rtl/>
          </w:rPr>
          <w:t>روايات</w:t>
        </w:r>
        <w:r>
          <w:rPr>
            <w:rtl/>
          </w:rPr>
          <w:t xml:space="preserve"> </w:t>
        </w:r>
        <w:r w:rsidRPr="006571A5">
          <w:rPr>
            <w:rtl/>
          </w:rPr>
          <w:t>متباينة</w:t>
        </w:r>
        <w:r>
          <w:rPr>
            <w:rtl/>
          </w:rPr>
          <w:t xml:space="preserve"> </w:t>
        </w:r>
        <w:r w:rsidRPr="006571A5">
          <w:rPr>
            <w:rtl/>
          </w:rPr>
          <w:t>لتعليل</w:t>
        </w:r>
        <w:r>
          <w:rPr>
            <w:rtl/>
          </w:rPr>
          <w:t xml:space="preserve"> </w:t>
        </w:r>
        <w:r w:rsidRPr="006571A5">
          <w:rPr>
            <w:rtl/>
          </w:rPr>
          <w:t>زيارات</w:t>
        </w:r>
        <w:r>
          <w:rPr>
            <w:rtl/>
          </w:rPr>
          <w:t xml:space="preserve"> </w:t>
        </w:r>
        <w:r w:rsidRPr="006571A5">
          <w:rPr>
            <w:rtl/>
          </w:rPr>
          <w:t>أفراد</w:t>
        </w:r>
        <w:r>
          <w:rPr>
            <w:rtl/>
          </w:rPr>
          <w:t xml:space="preserve"> </w:t>
        </w:r>
        <w:r w:rsidRPr="006571A5">
          <w:rPr>
            <w:rtl/>
          </w:rPr>
          <w:t>حركة</w:t>
        </w:r>
        <w:r>
          <w:rPr>
            <w:rtl/>
          </w:rPr>
          <w:t xml:space="preserve"> </w:t>
        </w:r>
        <w:r w:rsidRPr="006571A5">
          <w:rPr>
            <w:rtl/>
          </w:rPr>
          <w:t>الشباب</w:t>
        </w:r>
        <w:r>
          <w:rPr>
            <w:rtl/>
          </w:rPr>
          <w:t xml:space="preserve"> </w:t>
        </w:r>
        <w:r w:rsidRPr="006571A5">
          <w:rPr>
            <w:rtl/>
          </w:rPr>
          <w:t>وراوغت</w:t>
        </w:r>
        <w:r>
          <w:rPr>
            <w:rtl/>
          </w:rPr>
          <w:t xml:space="preserve"> </w:t>
        </w:r>
        <w:r w:rsidRPr="006571A5">
          <w:rPr>
            <w:rtl/>
          </w:rPr>
          <w:t>في</w:t>
        </w:r>
        <w:r>
          <w:rPr>
            <w:rtl/>
          </w:rPr>
          <w:t xml:space="preserve"> </w:t>
        </w:r>
        <w:r w:rsidRPr="006571A5">
          <w:rPr>
            <w:rtl/>
          </w:rPr>
          <w:t>رواية</w:t>
        </w:r>
        <w:r>
          <w:rPr>
            <w:rtl/>
          </w:rPr>
          <w:t xml:space="preserve"> </w:t>
        </w:r>
        <w:r w:rsidRPr="006571A5">
          <w:rPr>
            <w:rtl/>
          </w:rPr>
          <w:t>ملابسات</w:t>
        </w:r>
        <w:r>
          <w:rPr>
            <w:rtl/>
          </w:rPr>
          <w:t xml:space="preserve"> </w:t>
        </w:r>
        <w:r w:rsidRPr="006571A5">
          <w:rPr>
            <w:rtl/>
          </w:rPr>
          <w:t>مقتل</w:t>
        </w:r>
        <w:r>
          <w:rPr>
            <w:rtl/>
          </w:rPr>
          <w:t xml:space="preserve"> </w:t>
        </w:r>
        <w:r w:rsidRPr="006571A5">
          <w:rPr>
            <w:rtl/>
          </w:rPr>
          <w:t>والدها،</w:t>
        </w:r>
        <w:r>
          <w:rPr>
            <w:rtl/>
          </w:rPr>
          <w:t xml:space="preserve"> </w:t>
        </w:r>
        <w:r w:rsidRPr="006571A5">
          <w:rPr>
            <w:rtl/>
          </w:rPr>
          <w:t>حيث</w:t>
        </w:r>
        <w:r>
          <w:rPr>
            <w:rtl/>
          </w:rPr>
          <w:t xml:space="preserve"> </w:t>
        </w:r>
        <w:r w:rsidRPr="006571A5">
          <w:rPr>
            <w:rtl/>
          </w:rPr>
          <w:t>لم</w:t>
        </w:r>
        <w:r>
          <w:rPr>
            <w:rtl/>
          </w:rPr>
          <w:t xml:space="preserve"> </w:t>
        </w:r>
        <w:r w:rsidRPr="006571A5">
          <w:rPr>
            <w:rtl/>
          </w:rPr>
          <w:t>تكشف</w:t>
        </w:r>
        <w:r>
          <w:rPr>
            <w:rtl/>
          </w:rPr>
          <w:t xml:space="preserve"> </w:t>
        </w:r>
        <w:r w:rsidRPr="006571A5">
          <w:rPr>
            <w:rtl/>
          </w:rPr>
          <w:t>عما</w:t>
        </w:r>
        <w:r>
          <w:rPr>
            <w:rtl/>
          </w:rPr>
          <w:t xml:space="preserve"> </w:t>
        </w:r>
        <w:r w:rsidRPr="006571A5">
          <w:rPr>
            <w:rtl/>
          </w:rPr>
          <w:t>إذا</w:t>
        </w:r>
        <w:r>
          <w:rPr>
            <w:rtl/>
          </w:rPr>
          <w:t xml:space="preserve"> </w:t>
        </w:r>
        <w:r w:rsidRPr="006571A5">
          <w:rPr>
            <w:rtl/>
          </w:rPr>
          <w:t>كانت</w:t>
        </w:r>
        <w:r>
          <w:rPr>
            <w:rtl/>
          </w:rPr>
          <w:t xml:space="preserve"> </w:t>
        </w:r>
        <w:r w:rsidRPr="006571A5">
          <w:rPr>
            <w:rtl/>
          </w:rPr>
          <w:t>حاضرة</w:t>
        </w:r>
        <w:r>
          <w:rPr>
            <w:rtl/>
          </w:rPr>
          <w:t xml:space="preserve"> </w:t>
        </w:r>
        <w:r w:rsidRPr="006571A5">
          <w:rPr>
            <w:rtl/>
          </w:rPr>
          <w:t>هي</w:t>
        </w:r>
        <w:r>
          <w:rPr>
            <w:rtl/>
          </w:rPr>
          <w:t xml:space="preserve"> </w:t>
        </w:r>
        <w:r w:rsidRPr="006571A5">
          <w:rPr>
            <w:rtl/>
          </w:rPr>
          <w:t>أو</w:t>
        </w:r>
        <w:r>
          <w:rPr>
            <w:rtl/>
          </w:rPr>
          <w:t xml:space="preserve"> </w:t>
        </w:r>
        <w:r w:rsidRPr="006571A5">
          <w:rPr>
            <w:rtl/>
          </w:rPr>
          <w:t>أي</w:t>
        </w:r>
        <w:r>
          <w:rPr>
            <w:rtl/>
          </w:rPr>
          <w:t xml:space="preserve"> </w:t>
        </w:r>
        <w:r w:rsidRPr="006571A5">
          <w:rPr>
            <w:rtl/>
          </w:rPr>
          <w:t>شخص</w:t>
        </w:r>
        <w:r>
          <w:rPr>
            <w:rtl/>
          </w:rPr>
          <w:t xml:space="preserve"> </w:t>
        </w:r>
        <w:r w:rsidRPr="006571A5">
          <w:rPr>
            <w:rtl/>
          </w:rPr>
          <w:t>آخر</w:t>
        </w:r>
        <w:r>
          <w:rPr>
            <w:rtl/>
          </w:rPr>
          <w:t xml:space="preserve"> </w:t>
        </w:r>
        <w:r w:rsidRPr="006571A5">
          <w:rPr>
            <w:rtl/>
          </w:rPr>
          <w:t>عندما</w:t>
        </w:r>
        <w:r>
          <w:rPr>
            <w:rtl/>
          </w:rPr>
          <w:t xml:space="preserve"> </w:t>
        </w:r>
        <w:r w:rsidRPr="006571A5">
          <w:rPr>
            <w:rtl/>
          </w:rPr>
          <w:t>حدث</w:t>
        </w:r>
        <w:r>
          <w:rPr>
            <w:rtl/>
          </w:rPr>
          <w:t xml:space="preserve"> </w:t>
        </w:r>
        <w:r w:rsidRPr="006571A5">
          <w:rPr>
            <w:rtl/>
          </w:rPr>
          <w:t>ذلك.</w:t>
        </w:r>
        <w:r>
          <w:rPr>
            <w:rtl/>
          </w:rPr>
          <w:t xml:space="preserve"> </w:t>
        </w:r>
        <w:r w:rsidRPr="006571A5">
          <w:rPr>
            <w:rtl/>
          </w:rPr>
          <w:t>وشكّت</w:t>
        </w:r>
        <w:r>
          <w:rPr>
            <w:rtl/>
          </w:rPr>
          <w:t xml:space="preserve"> </w:t>
        </w:r>
        <w:r w:rsidRPr="006571A5">
          <w:rPr>
            <w:rtl/>
          </w:rPr>
          <w:t>السلطات</w:t>
        </w:r>
        <w:r>
          <w:rPr>
            <w:rtl/>
          </w:rPr>
          <w:t xml:space="preserve"> </w:t>
        </w:r>
        <w:r w:rsidRPr="006571A5">
          <w:rPr>
            <w:rtl/>
          </w:rPr>
          <w:t>أيضا</w:t>
        </w:r>
        <w:r>
          <w:rPr>
            <w:rtl/>
          </w:rPr>
          <w:t xml:space="preserve"> </w:t>
        </w:r>
        <w:r w:rsidRPr="006571A5">
          <w:rPr>
            <w:rtl/>
          </w:rPr>
          <w:t>في</w:t>
        </w:r>
        <w:r>
          <w:rPr>
            <w:rtl/>
          </w:rPr>
          <w:t xml:space="preserve"> </w:t>
        </w:r>
        <w:r w:rsidRPr="006571A5">
          <w:rPr>
            <w:rtl/>
          </w:rPr>
          <w:t>أن</w:t>
        </w:r>
        <w:r>
          <w:rPr>
            <w:rtl/>
          </w:rPr>
          <w:t xml:space="preserve"> </w:t>
        </w:r>
        <w:r w:rsidRPr="006571A5">
          <w:rPr>
            <w:rtl/>
          </w:rPr>
          <w:t>تكون</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قد</w:t>
        </w:r>
        <w:r>
          <w:rPr>
            <w:rtl/>
          </w:rPr>
          <w:t xml:space="preserve"> </w:t>
        </w:r>
        <w:r w:rsidRPr="006571A5">
          <w:rPr>
            <w:rtl/>
          </w:rPr>
          <w:t>عاشت</w:t>
        </w:r>
        <w:r>
          <w:rPr>
            <w:rtl/>
          </w:rPr>
          <w:t xml:space="preserve"> </w:t>
        </w:r>
        <w:r w:rsidRPr="006571A5">
          <w:rPr>
            <w:rtl/>
          </w:rPr>
          <w:t>طوال</w:t>
        </w:r>
        <w:r>
          <w:rPr>
            <w:rtl/>
          </w:rPr>
          <w:t xml:space="preserve"> </w:t>
        </w:r>
        <w:r w:rsidRPr="006571A5">
          <w:rPr>
            <w:rtl/>
          </w:rPr>
          <w:t>حياتها</w:t>
        </w:r>
        <w:r>
          <w:rPr>
            <w:rtl/>
          </w:rPr>
          <w:t xml:space="preserve"> </w:t>
        </w:r>
        <w:r w:rsidRPr="006571A5">
          <w:rPr>
            <w:rtl/>
          </w:rPr>
          <w:t>في</w:t>
        </w:r>
        <w:r>
          <w:rPr>
            <w:rtl/>
          </w:rPr>
          <w:t xml:space="preserve"> </w:t>
        </w:r>
        <w:r w:rsidRPr="006571A5">
          <w:rPr>
            <w:rtl/>
          </w:rPr>
          <w:t>وسط</w:t>
        </w:r>
        <w:r>
          <w:rPr>
            <w:rtl/>
          </w:rPr>
          <w:t xml:space="preserve"> </w:t>
        </w:r>
        <w:r w:rsidRPr="006571A5">
          <w:rPr>
            <w:rtl/>
          </w:rPr>
          <w:t>الصومال،</w:t>
        </w:r>
        <w:r>
          <w:rPr>
            <w:rtl/>
          </w:rPr>
          <w:t xml:space="preserve"> </w:t>
        </w:r>
        <w:r w:rsidRPr="006571A5">
          <w:rPr>
            <w:rtl/>
          </w:rPr>
          <w:t>ومن</w:t>
        </w:r>
        <w:r>
          <w:rPr>
            <w:rtl/>
          </w:rPr>
          <w:t xml:space="preserve"> </w:t>
        </w:r>
        <w:r w:rsidRPr="006571A5">
          <w:rPr>
            <w:rtl/>
          </w:rPr>
          <w:t>ثمّ</w:t>
        </w:r>
        <w:r>
          <w:rPr>
            <w:rtl/>
          </w:rPr>
          <w:t xml:space="preserve"> </w:t>
        </w:r>
        <w:r w:rsidRPr="006571A5">
          <w:rPr>
            <w:rtl/>
          </w:rPr>
          <w:t>شكّت</w:t>
        </w:r>
        <w:r>
          <w:rPr>
            <w:rtl/>
          </w:rPr>
          <w:t xml:space="preserve"> </w:t>
        </w:r>
        <w:r w:rsidRPr="006571A5">
          <w:rPr>
            <w:rtl/>
          </w:rPr>
          <w:t>في</w:t>
        </w:r>
        <w:r>
          <w:rPr>
            <w:rtl/>
          </w:rPr>
          <w:t xml:space="preserve"> </w:t>
        </w:r>
        <w:r w:rsidRPr="006571A5">
          <w:rPr>
            <w:rtl/>
          </w:rPr>
          <w:t>أن</w:t>
        </w:r>
        <w:r>
          <w:rPr>
            <w:rtl/>
          </w:rPr>
          <w:t xml:space="preserve"> </w:t>
        </w:r>
        <w:r w:rsidRPr="006571A5">
          <w:rPr>
            <w:rtl/>
          </w:rPr>
          <w:t>تكون</w:t>
        </w:r>
        <w:r>
          <w:rPr>
            <w:rtl/>
          </w:rPr>
          <w:t xml:space="preserve"> </w:t>
        </w:r>
        <w:r w:rsidRPr="006571A5">
          <w:rPr>
            <w:rtl/>
          </w:rPr>
          <w:t>فعلا</w:t>
        </w:r>
        <w:r>
          <w:rPr>
            <w:rtl/>
          </w:rPr>
          <w:t xml:space="preserve"> </w:t>
        </w:r>
        <w:r w:rsidRPr="006571A5">
          <w:rPr>
            <w:rtl/>
          </w:rPr>
          <w:t>من</w:t>
        </w:r>
        <w:r>
          <w:rPr>
            <w:rtl/>
          </w:rPr>
          <w:t xml:space="preserve"> </w:t>
        </w:r>
        <w:proofErr w:type="spellStart"/>
        <w:r w:rsidRPr="006571A5">
          <w:rPr>
            <w:rtl/>
          </w:rPr>
          <w:t>ماساغاوي</w:t>
        </w:r>
        <w:proofErr w:type="spellEnd"/>
        <w:r w:rsidRPr="006571A5">
          <w:rPr>
            <w:rtl/>
          </w:rPr>
          <w:t>.</w:t>
        </w:r>
        <w:r>
          <w:rPr>
            <w:rtl/>
          </w:rPr>
          <w:t xml:space="preserve"> </w:t>
        </w:r>
        <w:r w:rsidRPr="006571A5">
          <w:rPr>
            <w:rtl/>
          </w:rPr>
          <w:t>وإضافة</w:t>
        </w:r>
        <w:r>
          <w:rPr>
            <w:rtl/>
          </w:rPr>
          <w:t xml:space="preserve"> </w:t>
        </w:r>
        <w:r w:rsidRPr="006571A5">
          <w:rPr>
            <w:rtl/>
          </w:rPr>
          <w:t>إلى</w:t>
        </w:r>
        <w:r>
          <w:rPr>
            <w:rtl/>
          </w:rPr>
          <w:t xml:space="preserve"> </w:t>
        </w:r>
        <w:r w:rsidRPr="006571A5">
          <w:rPr>
            <w:rtl/>
          </w:rPr>
          <w:t>ذلك،</w:t>
        </w:r>
        <w:r>
          <w:rPr>
            <w:rtl/>
          </w:rPr>
          <w:t xml:space="preserve"> </w:t>
        </w:r>
        <w:r w:rsidRPr="006571A5">
          <w:rPr>
            <w:rtl/>
          </w:rPr>
          <w:t>شكّت</w:t>
        </w:r>
        <w:r>
          <w:rPr>
            <w:rtl/>
          </w:rPr>
          <w:t xml:space="preserve"> </w:t>
        </w:r>
        <w:r w:rsidRPr="006571A5">
          <w:rPr>
            <w:rtl/>
          </w:rPr>
          <w:t>السلطات</w:t>
        </w:r>
        <w:r>
          <w:rPr>
            <w:rtl/>
          </w:rPr>
          <w:t xml:space="preserve"> </w:t>
        </w:r>
        <w:r w:rsidRPr="006571A5">
          <w:rPr>
            <w:rtl/>
          </w:rPr>
          <w:t>في</w:t>
        </w:r>
        <w:r>
          <w:rPr>
            <w:rtl/>
          </w:rPr>
          <w:t xml:space="preserve"> </w:t>
        </w:r>
        <w:r w:rsidRPr="006571A5">
          <w:rPr>
            <w:rtl/>
          </w:rPr>
          <w:t>أن</w:t>
        </w:r>
        <w:r>
          <w:rPr>
            <w:rtl/>
          </w:rPr>
          <w:t xml:space="preserve"> </w:t>
        </w:r>
        <w:r w:rsidRPr="006571A5">
          <w:rPr>
            <w:rtl/>
          </w:rPr>
          <w:t>تكون</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تقول</w:t>
        </w:r>
        <w:r>
          <w:rPr>
            <w:rtl/>
          </w:rPr>
          <w:t xml:space="preserve"> </w:t>
        </w:r>
        <w:r w:rsidRPr="006571A5">
          <w:rPr>
            <w:rtl/>
          </w:rPr>
          <w:t>الحقيقة،</w:t>
        </w:r>
        <w:r>
          <w:rPr>
            <w:rtl/>
          </w:rPr>
          <w:t xml:space="preserve"> </w:t>
        </w:r>
        <w:r w:rsidRPr="006571A5">
          <w:rPr>
            <w:rtl/>
          </w:rPr>
          <w:t>لأنها</w:t>
        </w:r>
        <w:r>
          <w:rPr>
            <w:rtl/>
          </w:rPr>
          <w:t xml:space="preserve"> </w:t>
        </w:r>
        <w:r w:rsidRPr="006571A5">
          <w:rPr>
            <w:rtl/>
          </w:rPr>
          <w:t>بدت</w:t>
        </w:r>
        <w:r>
          <w:rPr>
            <w:rtl/>
          </w:rPr>
          <w:t xml:space="preserve"> </w:t>
        </w:r>
        <w:r w:rsidRPr="006571A5">
          <w:rPr>
            <w:rtl/>
          </w:rPr>
          <w:t>مراوغة</w:t>
        </w:r>
        <w:r>
          <w:rPr>
            <w:rtl/>
          </w:rPr>
          <w:t xml:space="preserve"> </w:t>
        </w:r>
        <w:r w:rsidRPr="006571A5">
          <w:rPr>
            <w:rtl/>
          </w:rPr>
          <w:t>في</w:t>
        </w:r>
        <w:r>
          <w:rPr>
            <w:rtl/>
          </w:rPr>
          <w:t xml:space="preserve"> </w:t>
        </w:r>
        <w:r w:rsidRPr="006571A5">
          <w:rPr>
            <w:rtl/>
          </w:rPr>
          <w:t>تعليل</w:t>
        </w:r>
        <w:r>
          <w:rPr>
            <w:rtl/>
          </w:rPr>
          <w:t xml:space="preserve"> </w:t>
        </w:r>
        <w:r w:rsidRPr="006571A5">
          <w:rPr>
            <w:rtl/>
          </w:rPr>
          <w:t>سبب</w:t>
        </w:r>
        <w:r>
          <w:rPr>
            <w:rtl/>
          </w:rPr>
          <w:t xml:space="preserve"> </w:t>
        </w:r>
        <w:r w:rsidRPr="006571A5">
          <w:rPr>
            <w:rtl/>
          </w:rPr>
          <w:t>قدوم</w:t>
        </w:r>
        <w:r>
          <w:rPr>
            <w:rtl/>
          </w:rPr>
          <w:t xml:space="preserve"> </w:t>
        </w:r>
        <w:r w:rsidRPr="006571A5">
          <w:rPr>
            <w:rtl/>
          </w:rPr>
          <w:t>ممثلي</w:t>
        </w:r>
        <w:r>
          <w:rPr>
            <w:rtl/>
          </w:rPr>
          <w:t xml:space="preserve"> </w:t>
        </w:r>
        <w:r w:rsidRPr="006571A5">
          <w:rPr>
            <w:rtl/>
          </w:rPr>
          <w:t>حركة</w:t>
        </w:r>
        <w:r>
          <w:rPr>
            <w:rtl/>
          </w:rPr>
          <w:t xml:space="preserve"> </w:t>
        </w:r>
        <w:r w:rsidRPr="006571A5">
          <w:rPr>
            <w:rtl/>
          </w:rPr>
          <w:t>الشباب</w:t>
        </w:r>
        <w:r>
          <w:rPr>
            <w:rtl/>
          </w:rPr>
          <w:t xml:space="preserve"> </w:t>
        </w:r>
        <w:r w:rsidRPr="006571A5">
          <w:rPr>
            <w:rtl/>
          </w:rPr>
          <w:t>لرؤيتها</w:t>
        </w:r>
        <w:r>
          <w:rPr>
            <w:rtl/>
          </w:rPr>
          <w:t xml:space="preserve"> </w:t>
        </w:r>
        <w:r w:rsidRPr="006571A5">
          <w:rPr>
            <w:rtl/>
          </w:rPr>
          <w:t>بعد</w:t>
        </w:r>
        <w:r>
          <w:rPr>
            <w:rtl/>
          </w:rPr>
          <w:t xml:space="preserve"> </w:t>
        </w:r>
        <w:r w:rsidRPr="006571A5">
          <w:rPr>
            <w:rtl/>
          </w:rPr>
          <w:t>وفاة</w:t>
        </w:r>
        <w:r>
          <w:rPr>
            <w:rtl/>
          </w:rPr>
          <w:t xml:space="preserve"> </w:t>
        </w:r>
        <w:r w:rsidRPr="006571A5">
          <w:rPr>
            <w:rtl/>
          </w:rPr>
          <w:t>والدها.</w:t>
        </w:r>
        <w:r w:rsidR="006473B1">
          <w:t>‬</w:t>
        </w:r>
        <w:r w:rsidR="00E741A3">
          <w:t>‬</w:t>
        </w:r>
      </w:dir>
    </w:p>
    <w:p w14:paraId="32B94BDD" w14:textId="57581183" w:rsidR="006571A5" w:rsidRPr="006571A5" w:rsidRDefault="006571A5" w:rsidP="006571A5">
      <w:pPr>
        <w:pStyle w:val="SingleTxt"/>
        <w:rPr>
          <w:rtl/>
        </w:rPr>
      </w:pPr>
      <w:r w:rsidRPr="006571A5">
        <w:rPr>
          <w:rtl/>
        </w:rPr>
        <w:t>2-4</w:t>
      </w:r>
      <w:r w:rsidRPr="006571A5">
        <w:rPr>
          <w:rtl/>
        </w:rPr>
        <w:tab/>
        <w:t>وتُشير</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إلى</w:t>
      </w:r>
      <w:r>
        <w:rPr>
          <w:rtl/>
        </w:rPr>
        <w:t xml:space="preserve"> </w:t>
      </w:r>
      <w:r w:rsidRPr="006571A5">
        <w:rPr>
          <w:rtl/>
        </w:rPr>
        <w:t>أن</w:t>
      </w:r>
      <w:r>
        <w:rPr>
          <w:rtl/>
        </w:rPr>
        <w:t xml:space="preserve"> </w:t>
      </w:r>
      <w:r w:rsidRPr="006571A5">
        <w:rPr>
          <w:rtl/>
        </w:rPr>
        <w:t>للدانمرك</w:t>
      </w:r>
      <w:r>
        <w:rPr>
          <w:rtl/>
        </w:rPr>
        <w:t xml:space="preserve"> </w:t>
      </w:r>
      <w:r w:rsidRPr="006571A5">
        <w:rPr>
          <w:rtl/>
        </w:rPr>
        <w:t>اتفاق</w:t>
      </w:r>
      <w:r>
        <w:rPr>
          <w:rtl/>
        </w:rPr>
        <w:t xml:space="preserve"> </w:t>
      </w:r>
      <w:r w:rsidRPr="006571A5">
        <w:rPr>
          <w:rtl/>
        </w:rPr>
        <w:t>مع</w:t>
      </w:r>
      <w:r>
        <w:rPr>
          <w:rtl/>
        </w:rPr>
        <w:t xml:space="preserve"> </w:t>
      </w:r>
      <w:r w:rsidRPr="006571A5">
        <w:rPr>
          <w:rtl/>
        </w:rPr>
        <w:t>السلطات</w:t>
      </w:r>
      <w:r>
        <w:rPr>
          <w:rtl/>
        </w:rPr>
        <w:t xml:space="preserve"> </w:t>
      </w:r>
      <w:r w:rsidRPr="006571A5">
        <w:rPr>
          <w:rtl/>
        </w:rPr>
        <w:t>الصومالية</w:t>
      </w:r>
      <w:r>
        <w:rPr>
          <w:rtl/>
        </w:rPr>
        <w:t xml:space="preserve"> </w:t>
      </w:r>
      <w:r w:rsidRPr="006571A5">
        <w:rPr>
          <w:rtl/>
        </w:rPr>
        <w:t>يُلزم</w:t>
      </w:r>
      <w:r>
        <w:rPr>
          <w:rtl/>
        </w:rPr>
        <w:t xml:space="preserve"> </w:t>
      </w:r>
      <w:r w:rsidRPr="006571A5">
        <w:rPr>
          <w:rtl/>
        </w:rPr>
        <w:t>الصومال</w:t>
      </w:r>
      <w:r>
        <w:rPr>
          <w:rtl/>
        </w:rPr>
        <w:t xml:space="preserve"> </w:t>
      </w:r>
      <w:r w:rsidRPr="006571A5">
        <w:rPr>
          <w:rtl/>
        </w:rPr>
        <w:t>بقبول</w:t>
      </w:r>
      <w:r>
        <w:rPr>
          <w:rtl/>
        </w:rPr>
        <w:t xml:space="preserve"> </w:t>
      </w:r>
      <w:r w:rsidRPr="006571A5">
        <w:rPr>
          <w:rtl/>
        </w:rPr>
        <w:t>إعادة</w:t>
      </w:r>
      <w:r>
        <w:rPr>
          <w:rtl/>
        </w:rPr>
        <w:t xml:space="preserve"> </w:t>
      </w:r>
      <w:r w:rsidRPr="006571A5">
        <w:rPr>
          <w:rtl/>
        </w:rPr>
        <w:t>مواطنيه</w:t>
      </w:r>
      <w:r>
        <w:rPr>
          <w:rtl/>
        </w:rPr>
        <w:t xml:space="preserve"> </w:t>
      </w:r>
      <w:r w:rsidRPr="006571A5">
        <w:rPr>
          <w:rtl/>
        </w:rPr>
        <w:t>إليه،</w:t>
      </w:r>
      <w:r>
        <w:rPr>
          <w:rtl/>
        </w:rPr>
        <w:t xml:space="preserve"> </w:t>
      </w:r>
      <w:r w:rsidRPr="006571A5">
        <w:rPr>
          <w:rtl/>
        </w:rPr>
        <w:t>وذلك</w:t>
      </w:r>
      <w:r>
        <w:rPr>
          <w:rtl/>
        </w:rPr>
        <w:t xml:space="preserve"> </w:t>
      </w:r>
      <w:r w:rsidRPr="006571A5">
        <w:rPr>
          <w:rtl/>
        </w:rPr>
        <w:t>رغم</w:t>
      </w:r>
      <w:r>
        <w:rPr>
          <w:rtl/>
        </w:rPr>
        <w:t xml:space="preserve"> </w:t>
      </w:r>
      <w:r w:rsidRPr="006571A5">
        <w:rPr>
          <w:rtl/>
        </w:rPr>
        <w:t>اعتراض</w:t>
      </w:r>
      <w:r>
        <w:rPr>
          <w:rtl/>
        </w:rPr>
        <w:t xml:space="preserve"> </w:t>
      </w:r>
      <w:r w:rsidRPr="006571A5">
        <w:rPr>
          <w:rtl/>
        </w:rPr>
        <w:t>الأمم</w:t>
      </w:r>
      <w:r>
        <w:rPr>
          <w:rtl/>
        </w:rPr>
        <w:t xml:space="preserve"> </w:t>
      </w:r>
      <w:r w:rsidRPr="006571A5">
        <w:rPr>
          <w:rtl/>
        </w:rPr>
        <w:t>المتحدة</w:t>
      </w:r>
      <w:r>
        <w:rPr>
          <w:rtl/>
        </w:rPr>
        <w:t xml:space="preserve"> </w:t>
      </w:r>
      <w:r w:rsidRPr="006571A5">
        <w:rPr>
          <w:rtl/>
        </w:rPr>
        <w:t>على</w:t>
      </w:r>
      <w:r>
        <w:rPr>
          <w:rtl/>
        </w:rPr>
        <w:t xml:space="preserve"> </w:t>
      </w:r>
      <w:r w:rsidRPr="006571A5">
        <w:rPr>
          <w:rtl/>
        </w:rPr>
        <w:t>إعادة</w:t>
      </w:r>
      <w:r>
        <w:rPr>
          <w:rtl/>
        </w:rPr>
        <w:t xml:space="preserve"> </w:t>
      </w:r>
      <w:r w:rsidRPr="006571A5">
        <w:rPr>
          <w:rtl/>
        </w:rPr>
        <w:t>المواطنين</w:t>
      </w:r>
      <w:r>
        <w:rPr>
          <w:rtl/>
        </w:rPr>
        <w:t xml:space="preserve"> </w:t>
      </w:r>
      <w:r w:rsidRPr="006571A5">
        <w:rPr>
          <w:rtl/>
        </w:rPr>
        <w:t>قسرا</w:t>
      </w:r>
      <w:r>
        <w:rPr>
          <w:rtl/>
        </w:rPr>
        <w:t xml:space="preserve"> </w:t>
      </w:r>
      <w:r w:rsidRPr="006571A5">
        <w:rPr>
          <w:rtl/>
        </w:rPr>
        <w:t>إلى</w:t>
      </w:r>
      <w:r>
        <w:rPr>
          <w:rtl/>
        </w:rPr>
        <w:t xml:space="preserve"> </w:t>
      </w:r>
      <w:r w:rsidRPr="006571A5">
        <w:rPr>
          <w:rtl/>
        </w:rPr>
        <w:t>جنوب</w:t>
      </w:r>
      <w:r>
        <w:rPr>
          <w:rtl/>
        </w:rPr>
        <w:t xml:space="preserve"> </w:t>
      </w:r>
      <w:r w:rsidRPr="006571A5">
        <w:rPr>
          <w:rtl/>
        </w:rPr>
        <w:t>الصومال</w:t>
      </w:r>
      <w:r>
        <w:rPr>
          <w:rtl/>
        </w:rPr>
        <w:t xml:space="preserve"> </w:t>
      </w:r>
      <w:r w:rsidRPr="006571A5">
        <w:rPr>
          <w:rtl/>
        </w:rPr>
        <w:t>ووسطه</w:t>
      </w:r>
      <w:r>
        <w:rPr>
          <w:rtl/>
        </w:rPr>
        <w:t xml:space="preserve"> </w:t>
      </w:r>
      <w:r w:rsidRPr="006571A5">
        <w:rPr>
          <w:rtl/>
        </w:rPr>
        <w:lastRenderedPageBreak/>
        <w:t>اللذين</w:t>
      </w:r>
      <w:r>
        <w:rPr>
          <w:rtl/>
        </w:rPr>
        <w:t xml:space="preserve"> </w:t>
      </w:r>
      <w:r w:rsidRPr="006571A5">
        <w:rPr>
          <w:rtl/>
        </w:rPr>
        <w:t>لا</w:t>
      </w:r>
      <w:r>
        <w:rPr>
          <w:rtl/>
        </w:rPr>
        <w:t xml:space="preserve"> </w:t>
      </w:r>
      <w:r w:rsidRPr="006571A5">
        <w:rPr>
          <w:rtl/>
        </w:rPr>
        <w:t>يزالان</w:t>
      </w:r>
      <w:r>
        <w:rPr>
          <w:rtl/>
        </w:rPr>
        <w:t xml:space="preserve"> </w:t>
      </w:r>
      <w:r w:rsidRPr="006571A5">
        <w:rPr>
          <w:rtl/>
        </w:rPr>
        <w:t>تحت</w:t>
      </w:r>
      <w:r>
        <w:rPr>
          <w:rtl/>
        </w:rPr>
        <w:t xml:space="preserve"> </w:t>
      </w:r>
      <w:r w:rsidRPr="006571A5">
        <w:rPr>
          <w:rtl/>
        </w:rPr>
        <w:t>تأثير</w:t>
      </w:r>
      <w:r>
        <w:rPr>
          <w:rtl/>
        </w:rPr>
        <w:t xml:space="preserve"> </w:t>
      </w:r>
      <w:r w:rsidRPr="006571A5">
        <w:rPr>
          <w:rtl/>
        </w:rPr>
        <w:t>الحرب</w:t>
      </w:r>
      <w:r>
        <w:rPr>
          <w:rtl/>
        </w:rPr>
        <w:t xml:space="preserve"> </w:t>
      </w:r>
      <w:r w:rsidRPr="006571A5">
        <w:rPr>
          <w:rtl/>
        </w:rPr>
        <w:t>العسكرية</w:t>
      </w:r>
      <w:r>
        <w:rPr>
          <w:rtl/>
        </w:rPr>
        <w:t xml:space="preserve"> </w:t>
      </w:r>
      <w:r w:rsidRPr="006571A5">
        <w:rPr>
          <w:rtl/>
        </w:rPr>
        <w:t>وقتال</w:t>
      </w:r>
      <w:r>
        <w:rPr>
          <w:rtl/>
        </w:rPr>
        <w:t xml:space="preserve"> </w:t>
      </w:r>
      <w:r w:rsidRPr="006571A5">
        <w:rPr>
          <w:rtl/>
        </w:rPr>
        <w:t>الجماعة</w:t>
      </w:r>
      <w:r>
        <w:rPr>
          <w:rtl/>
        </w:rPr>
        <w:t xml:space="preserve"> </w:t>
      </w:r>
      <w:r w:rsidRPr="006571A5">
        <w:rPr>
          <w:rtl/>
        </w:rPr>
        <w:t>الإرهابية.</w:t>
      </w:r>
      <w:r>
        <w:rPr>
          <w:rtl/>
        </w:rPr>
        <w:t xml:space="preserve"> </w:t>
      </w:r>
      <w:r w:rsidRPr="006571A5">
        <w:rPr>
          <w:rtl/>
        </w:rPr>
        <w:t>وتُضيف</w:t>
      </w:r>
      <w:r>
        <w:rPr>
          <w:rtl/>
        </w:rPr>
        <w:t xml:space="preserve"> </w:t>
      </w:r>
      <w:r w:rsidRPr="006571A5">
        <w:rPr>
          <w:rtl/>
        </w:rPr>
        <w:t>أنه</w:t>
      </w:r>
      <w:r>
        <w:rPr>
          <w:rtl/>
        </w:rPr>
        <w:t xml:space="preserve"> </w:t>
      </w:r>
      <w:r w:rsidRPr="006571A5">
        <w:rPr>
          <w:rtl/>
        </w:rPr>
        <w:t>من</w:t>
      </w:r>
      <w:r>
        <w:rPr>
          <w:rtl/>
        </w:rPr>
        <w:t xml:space="preserve"> </w:t>
      </w:r>
      <w:r w:rsidRPr="006571A5">
        <w:rPr>
          <w:rtl/>
        </w:rPr>
        <w:t>غير</w:t>
      </w:r>
      <w:r>
        <w:rPr>
          <w:rtl/>
        </w:rPr>
        <w:t xml:space="preserve"> </w:t>
      </w:r>
      <w:r w:rsidRPr="006571A5">
        <w:rPr>
          <w:rtl/>
        </w:rPr>
        <w:t>المؤكد</w:t>
      </w:r>
      <w:r>
        <w:rPr>
          <w:rtl/>
        </w:rPr>
        <w:t xml:space="preserve"> </w:t>
      </w:r>
      <w:r w:rsidR="003667F2" w:rsidRPr="006571A5">
        <w:rPr>
          <w:rtl/>
        </w:rPr>
        <w:t>ما</w:t>
      </w:r>
      <w:r w:rsidR="003667F2">
        <w:rPr>
          <w:rFonts w:hint="cs"/>
          <w:rtl/>
        </w:rPr>
        <w:t> </w:t>
      </w:r>
      <w:r w:rsidR="003667F2" w:rsidRPr="006571A5">
        <w:rPr>
          <w:rtl/>
        </w:rPr>
        <w:t>إذا</w:t>
      </w:r>
      <w:r w:rsidR="003667F2">
        <w:rPr>
          <w:rFonts w:hint="cs"/>
          <w:rtl/>
        </w:rPr>
        <w:t> </w:t>
      </w:r>
      <w:r w:rsidRPr="006571A5">
        <w:rPr>
          <w:rtl/>
        </w:rPr>
        <w:t>كانت</w:t>
      </w:r>
      <w:r>
        <w:rPr>
          <w:rtl/>
        </w:rPr>
        <w:t xml:space="preserve"> </w:t>
      </w:r>
      <w:r w:rsidRPr="006571A5">
        <w:rPr>
          <w:rtl/>
        </w:rPr>
        <w:t>المنطقة</w:t>
      </w:r>
      <w:r>
        <w:rPr>
          <w:rtl/>
        </w:rPr>
        <w:t xml:space="preserve"> </w:t>
      </w:r>
      <w:r w:rsidRPr="006571A5">
        <w:rPr>
          <w:rtl/>
        </w:rPr>
        <w:t>التي</w:t>
      </w:r>
      <w:r>
        <w:rPr>
          <w:rtl/>
        </w:rPr>
        <w:t xml:space="preserve"> </w:t>
      </w:r>
      <w:r w:rsidRPr="006571A5">
        <w:rPr>
          <w:rtl/>
        </w:rPr>
        <w:t>جاءت</w:t>
      </w:r>
      <w:r>
        <w:rPr>
          <w:rtl/>
        </w:rPr>
        <w:t xml:space="preserve"> </w:t>
      </w:r>
      <w:r w:rsidRPr="006571A5">
        <w:rPr>
          <w:rtl/>
        </w:rPr>
        <w:t>منها</w:t>
      </w:r>
      <w:r>
        <w:rPr>
          <w:rtl/>
        </w:rPr>
        <w:t xml:space="preserve"> </w:t>
      </w:r>
      <w:r w:rsidRPr="006571A5">
        <w:rPr>
          <w:rtl/>
        </w:rPr>
        <w:t>قد</w:t>
      </w:r>
      <w:r>
        <w:rPr>
          <w:rtl/>
        </w:rPr>
        <w:t xml:space="preserve"> </w:t>
      </w:r>
      <w:r w:rsidRPr="006571A5">
        <w:rPr>
          <w:rtl/>
        </w:rPr>
        <w:t>تحرّرت،</w:t>
      </w:r>
      <w:r>
        <w:rPr>
          <w:rtl/>
        </w:rPr>
        <w:t xml:space="preserve"> </w:t>
      </w:r>
      <w:r w:rsidRPr="006571A5">
        <w:rPr>
          <w:rtl/>
        </w:rPr>
        <w:t>وبذلك</w:t>
      </w:r>
      <w:r>
        <w:rPr>
          <w:rtl/>
        </w:rPr>
        <w:t xml:space="preserve"> </w:t>
      </w:r>
      <w:r w:rsidRPr="006571A5">
        <w:rPr>
          <w:rtl/>
        </w:rPr>
        <w:t>يكون</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قد</w:t>
      </w:r>
      <w:r>
        <w:rPr>
          <w:rtl/>
        </w:rPr>
        <w:t xml:space="preserve"> </w:t>
      </w:r>
      <w:r w:rsidRPr="006571A5">
        <w:rPr>
          <w:rtl/>
        </w:rPr>
        <w:t>أغفل</w:t>
      </w:r>
      <w:r>
        <w:rPr>
          <w:rtl/>
        </w:rPr>
        <w:t xml:space="preserve"> </w:t>
      </w:r>
      <w:r w:rsidRPr="006571A5">
        <w:rPr>
          <w:rtl/>
        </w:rPr>
        <w:t>إمكانية</w:t>
      </w:r>
      <w:r>
        <w:rPr>
          <w:rtl/>
        </w:rPr>
        <w:t xml:space="preserve"> </w:t>
      </w:r>
      <w:r w:rsidRPr="006571A5">
        <w:rPr>
          <w:rtl/>
        </w:rPr>
        <w:t>أن</w:t>
      </w:r>
      <w:r>
        <w:rPr>
          <w:rtl/>
        </w:rPr>
        <w:t xml:space="preserve"> </w:t>
      </w:r>
      <w:r w:rsidRPr="006571A5">
        <w:rPr>
          <w:rtl/>
        </w:rPr>
        <w:t>تكون</w:t>
      </w:r>
      <w:r>
        <w:rPr>
          <w:rtl/>
        </w:rPr>
        <w:t xml:space="preserve"> </w:t>
      </w:r>
      <w:r w:rsidRPr="006571A5">
        <w:rPr>
          <w:rtl/>
        </w:rPr>
        <w:t>المنطقة</w:t>
      </w:r>
      <w:r>
        <w:rPr>
          <w:rtl/>
        </w:rPr>
        <w:t xml:space="preserve"> </w:t>
      </w:r>
      <w:r w:rsidRPr="006571A5">
        <w:rPr>
          <w:rtl/>
        </w:rPr>
        <w:t>لا</w:t>
      </w:r>
      <w:r>
        <w:rPr>
          <w:rtl/>
        </w:rPr>
        <w:t xml:space="preserve"> </w:t>
      </w:r>
      <w:r w:rsidRPr="006571A5">
        <w:rPr>
          <w:rtl/>
        </w:rPr>
        <w:t>تزال</w:t>
      </w:r>
      <w:r>
        <w:rPr>
          <w:rtl/>
        </w:rPr>
        <w:t xml:space="preserve"> </w:t>
      </w:r>
      <w:r w:rsidRPr="006571A5">
        <w:rPr>
          <w:rtl/>
        </w:rPr>
        <w:t>تحت</w:t>
      </w:r>
      <w:r>
        <w:rPr>
          <w:rtl/>
        </w:rPr>
        <w:t xml:space="preserve"> </w:t>
      </w:r>
      <w:r w:rsidRPr="006571A5">
        <w:rPr>
          <w:rtl/>
        </w:rPr>
        <w:t>سطوة</w:t>
      </w:r>
      <w:r>
        <w:rPr>
          <w:rtl/>
        </w:rPr>
        <w:t xml:space="preserve"> </w:t>
      </w:r>
      <w:r w:rsidRPr="006571A5">
        <w:rPr>
          <w:rtl/>
        </w:rPr>
        <w:t>الجماعة</w:t>
      </w:r>
      <w:r>
        <w:rPr>
          <w:rtl/>
        </w:rPr>
        <w:t xml:space="preserve"> </w:t>
      </w:r>
      <w:r w:rsidRPr="006571A5">
        <w:rPr>
          <w:rtl/>
        </w:rPr>
        <w:t>الإرهابية.</w:t>
      </w:r>
    </w:p>
    <w:p w14:paraId="09A02D50" w14:textId="2DDC665C" w:rsidR="006571A5" w:rsidRPr="006571A5" w:rsidRDefault="006571A5" w:rsidP="006571A5">
      <w:pPr>
        <w:pStyle w:val="SingleTxt"/>
        <w:rPr>
          <w:rtl/>
        </w:rPr>
      </w:pPr>
      <w:r w:rsidRPr="006571A5">
        <w:rPr>
          <w:rtl/>
        </w:rPr>
        <w:t>2-5</w:t>
      </w:r>
      <w:r w:rsidRPr="006571A5">
        <w:rPr>
          <w:rtl/>
        </w:rPr>
        <w:tab/>
        <w:t>وخضعت</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إلى</w:t>
      </w:r>
      <w:r>
        <w:rPr>
          <w:rtl/>
        </w:rPr>
        <w:t xml:space="preserve"> </w:t>
      </w:r>
      <w:r w:rsidRPr="006571A5">
        <w:rPr>
          <w:rtl/>
        </w:rPr>
        <w:t>اختبار</w:t>
      </w:r>
      <w:r>
        <w:rPr>
          <w:rtl/>
        </w:rPr>
        <w:t xml:space="preserve"> </w:t>
      </w:r>
      <w:r w:rsidRPr="006571A5">
        <w:rPr>
          <w:rtl/>
        </w:rPr>
        <w:t>في</w:t>
      </w:r>
      <w:r>
        <w:rPr>
          <w:rtl/>
        </w:rPr>
        <w:t xml:space="preserve"> </w:t>
      </w:r>
      <w:r w:rsidRPr="006571A5">
        <w:rPr>
          <w:rtl/>
        </w:rPr>
        <w:t>اللغة</w:t>
      </w:r>
      <w:r>
        <w:rPr>
          <w:rtl/>
        </w:rPr>
        <w:t xml:space="preserve"> </w:t>
      </w:r>
      <w:r w:rsidRPr="006571A5">
        <w:rPr>
          <w:rtl/>
        </w:rPr>
        <w:t>أجرَته</w:t>
      </w:r>
      <w:r>
        <w:rPr>
          <w:rtl/>
        </w:rPr>
        <w:t xml:space="preserve"> </w:t>
      </w:r>
      <w:r w:rsidRPr="006571A5">
        <w:rPr>
          <w:rtl/>
        </w:rPr>
        <w:t>دائرة</w:t>
      </w:r>
      <w:r>
        <w:rPr>
          <w:rtl/>
        </w:rPr>
        <w:t xml:space="preserve"> </w:t>
      </w:r>
      <w:r w:rsidRPr="006571A5">
        <w:rPr>
          <w:rtl/>
        </w:rPr>
        <w:t>الهجرة</w:t>
      </w:r>
      <w:r>
        <w:rPr>
          <w:rtl/>
        </w:rPr>
        <w:t xml:space="preserve"> </w:t>
      </w:r>
      <w:r w:rsidRPr="006571A5">
        <w:rPr>
          <w:rtl/>
        </w:rPr>
        <w:t>التي</w:t>
      </w:r>
      <w:r>
        <w:rPr>
          <w:rtl/>
        </w:rPr>
        <w:t xml:space="preserve"> </w:t>
      </w:r>
      <w:r w:rsidRPr="006571A5">
        <w:rPr>
          <w:rtl/>
        </w:rPr>
        <w:t>لم</w:t>
      </w:r>
      <w:r>
        <w:rPr>
          <w:rtl/>
        </w:rPr>
        <w:t xml:space="preserve"> </w:t>
      </w:r>
      <w:r w:rsidRPr="006571A5">
        <w:rPr>
          <w:rtl/>
        </w:rPr>
        <w:t>تصدّق</w:t>
      </w:r>
      <w:r>
        <w:rPr>
          <w:rtl/>
        </w:rPr>
        <w:t xml:space="preserve"> </w:t>
      </w:r>
      <w:r w:rsidRPr="006571A5">
        <w:rPr>
          <w:rtl/>
        </w:rPr>
        <w:t>أنها</w:t>
      </w:r>
      <w:r>
        <w:rPr>
          <w:rtl/>
        </w:rPr>
        <w:t xml:space="preserve"> </w:t>
      </w:r>
      <w:r w:rsidRPr="006571A5">
        <w:rPr>
          <w:rtl/>
        </w:rPr>
        <w:t>من</w:t>
      </w:r>
      <w:r>
        <w:rPr>
          <w:rtl/>
        </w:rPr>
        <w:t xml:space="preserve"> </w:t>
      </w:r>
      <w:r w:rsidRPr="006571A5">
        <w:rPr>
          <w:rtl/>
        </w:rPr>
        <w:t>وسط</w:t>
      </w:r>
      <w:r>
        <w:rPr>
          <w:rtl/>
        </w:rPr>
        <w:t xml:space="preserve"> </w:t>
      </w:r>
      <w:r w:rsidRPr="006571A5">
        <w:rPr>
          <w:rtl/>
        </w:rPr>
        <w:t>الصومال.</w:t>
      </w:r>
      <w:r>
        <w:rPr>
          <w:rtl/>
        </w:rPr>
        <w:t xml:space="preserve"> </w:t>
      </w:r>
      <w:r w:rsidRPr="006571A5">
        <w:rPr>
          <w:rtl/>
        </w:rPr>
        <w:t>وصاحبة</w:t>
      </w:r>
      <w:r>
        <w:rPr>
          <w:rtl/>
        </w:rPr>
        <w:t xml:space="preserve"> </w:t>
      </w:r>
      <w:r w:rsidRPr="006571A5">
        <w:rPr>
          <w:rtl/>
        </w:rPr>
        <w:t>الرسالة</w:t>
      </w:r>
      <w:r>
        <w:rPr>
          <w:rtl/>
        </w:rPr>
        <w:t xml:space="preserve"> </w:t>
      </w:r>
      <w:r w:rsidRPr="006571A5">
        <w:rPr>
          <w:rtl/>
        </w:rPr>
        <w:t>ترفض</w:t>
      </w:r>
      <w:r>
        <w:rPr>
          <w:rtl/>
        </w:rPr>
        <w:t xml:space="preserve"> </w:t>
      </w:r>
      <w:r w:rsidRPr="006571A5">
        <w:rPr>
          <w:rtl/>
        </w:rPr>
        <w:t>هذا</w:t>
      </w:r>
      <w:r>
        <w:rPr>
          <w:rtl/>
        </w:rPr>
        <w:t xml:space="preserve"> </w:t>
      </w:r>
      <w:r w:rsidRPr="006571A5">
        <w:rPr>
          <w:rtl/>
        </w:rPr>
        <w:t>التحليل</w:t>
      </w:r>
      <w:r>
        <w:rPr>
          <w:rtl/>
        </w:rPr>
        <w:t xml:space="preserve"> </w:t>
      </w:r>
      <w:r w:rsidRPr="006571A5">
        <w:rPr>
          <w:rtl/>
        </w:rPr>
        <w:t>اللغوي.</w:t>
      </w:r>
      <w:r>
        <w:rPr>
          <w:rtl/>
        </w:rPr>
        <w:t xml:space="preserve"> </w:t>
      </w:r>
      <w:r w:rsidRPr="006571A5">
        <w:rPr>
          <w:rtl/>
        </w:rPr>
        <w:t>وتُضيف</w:t>
      </w:r>
      <w:r>
        <w:rPr>
          <w:rtl/>
        </w:rPr>
        <w:t xml:space="preserve"> </w:t>
      </w:r>
      <w:r w:rsidRPr="006571A5">
        <w:rPr>
          <w:rtl/>
        </w:rPr>
        <w:t>أن</w:t>
      </w:r>
      <w:r>
        <w:rPr>
          <w:rtl/>
        </w:rPr>
        <w:t xml:space="preserve"> </w:t>
      </w:r>
      <w:r w:rsidRPr="006571A5">
        <w:rPr>
          <w:rtl/>
        </w:rPr>
        <w:t>نتائج</w:t>
      </w:r>
      <w:r>
        <w:rPr>
          <w:rtl/>
        </w:rPr>
        <w:t xml:space="preserve"> </w:t>
      </w:r>
      <w:r w:rsidRPr="006571A5">
        <w:rPr>
          <w:rtl/>
        </w:rPr>
        <w:t>الاختبار</w:t>
      </w:r>
      <w:r>
        <w:rPr>
          <w:rtl/>
        </w:rPr>
        <w:t xml:space="preserve"> </w:t>
      </w:r>
      <w:r w:rsidRPr="006571A5">
        <w:rPr>
          <w:rtl/>
        </w:rPr>
        <w:t>ليست</w:t>
      </w:r>
      <w:r>
        <w:rPr>
          <w:rtl/>
        </w:rPr>
        <w:t xml:space="preserve"> </w:t>
      </w:r>
      <w:r w:rsidRPr="006571A5">
        <w:rPr>
          <w:rtl/>
        </w:rPr>
        <w:t>دقيقة</w:t>
      </w:r>
      <w:r>
        <w:rPr>
          <w:rtl/>
        </w:rPr>
        <w:t xml:space="preserve"> </w:t>
      </w:r>
      <w:r w:rsidRPr="006571A5">
        <w:rPr>
          <w:rtl/>
        </w:rPr>
        <w:t>حسب</w:t>
      </w:r>
      <w:r>
        <w:rPr>
          <w:rtl/>
        </w:rPr>
        <w:t xml:space="preserve"> </w:t>
      </w:r>
      <w:r w:rsidRPr="006571A5">
        <w:rPr>
          <w:rtl/>
        </w:rPr>
        <w:t>ما</w:t>
      </w:r>
      <w:r>
        <w:rPr>
          <w:rtl/>
        </w:rPr>
        <w:t xml:space="preserve"> </w:t>
      </w:r>
      <w:r w:rsidRPr="006571A5">
        <w:rPr>
          <w:rtl/>
        </w:rPr>
        <w:t>خلص</w:t>
      </w:r>
      <w:r>
        <w:rPr>
          <w:rtl/>
        </w:rPr>
        <w:t xml:space="preserve"> </w:t>
      </w:r>
      <w:r w:rsidRPr="006571A5">
        <w:rPr>
          <w:rtl/>
        </w:rPr>
        <w:t>إليه</w:t>
      </w:r>
      <w:r>
        <w:rPr>
          <w:rtl/>
        </w:rPr>
        <w:t xml:space="preserve"> </w:t>
      </w:r>
      <w:r w:rsidRPr="006571A5">
        <w:rPr>
          <w:rtl/>
        </w:rPr>
        <w:t>تقريرٌ</w:t>
      </w:r>
      <w:r>
        <w:rPr>
          <w:rtl/>
        </w:rPr>
        <w:t xml:space="preserve"> </w:t>
      </w:r>
      <w:r w:rsidRPr="006571A5">
        <w:rPr>
          <w:rtl/>
        </w:rPr>
        <w:t>لهيئة</w:t>
      </w:r>
      <w:r>
        <w:rPr>
          <w:rtl/>
        </w:rPr>
        <w:t xml:space="preserve"> </w:t>
      </w:r>
      <w:r w:rsidRPr="006571A5">
        <w:rPr>
          <w:rtl/>
        </w:rPr>
        <w:t>مستقلة</w:t>
      </w:r>
      <w:r>
        <w:rPr>
          <w:rtl/>
        </w:rPr>
        <w:t xml:space="preserve"> </w:t>
      </w:r>
      <w:r w:rsidRPr="006571A5">
        <w:rPr>
          <w:rtl/>
        </w:rPr>
        <w:t>تعمل</w:t>
      </w:r>
      <w:r>
        <w:rPr>
          <w:rtl/>
        </w:rPr>
        <w:t xml:space="preserve"> </w:t>
      </w:r>
      <w:r w:rsidRPr="006571A5">
        <w:rPr>
          <w:rtl/>
        </w:rPr>
        <w:t>في</w:t>
      </w:r>
      <w:r>
        <w:rPr>
          <w:rtl/>
        </w:rPr>
        <w:t xml:space="preserve"> </w:t>
      </w:r>
      <w:r w:rsidRPr="006571A5">
        <w:rPr>
          <w:rtl/>
        </w:rPr>
        <w:t>مجال</w:t>
      </w:r>
      <w:r>
        <w:rPr>
          <w:rtl/>
        </w:rPr>
        <w:t xml:space="preserve"> </w:t>
      </w:r>
      <w:r w:rsidRPr="006571A5">
        <w:rPr>
          <w:rtl/>
        </w:rPr>
        <w:t>تحليل</w:t>
      </w:r>
      <w:r>
        <w:rPr>
          <w:rtl/>
        </w:rPr>
        <w:t xml:space="preserve"> </w:t>
      </w:r>
      <w:r w:rsidRPr="006571A5">
        <w:rPr>
          <w:rtl/>
        </w:rPr>
        <w:t>لهجات</w:t>
      </w:r>
      <w:r>
        <w:rPr>
          <w:rtl/>
        </w:rPr>
        <w:t xml:space="preserve"> </w:t>
      </w:r>
      <w:r w:rsidRPr="006571A5">
        <w:rPr>
          <w:rtl/>
        </w:rPr>
        <w:t>اللاجئين.</w:t>
      </w:r>
      <w:r>
        <w:rPr>
          <w:rtl/>
        </w:rPr>
        <w:t xml:space="preserve"> </w:t>
      </w:r>
      <w:r w:rsidRPr="006571A5">
        <w:rPr>
          <w:rtl/>
        </w:rPr>
        <w:t>ولم</w:t>
      </w:r>
      <w:r>
        <w:rPr>
          <w:rtl/>
        </w:rPr>
        <w:t xml:space="preserve"> </w:t>
      </w:r>
      <w:r w:rsidRPr="006571A5">
        <w:rPr>
          <w:rtl/>
        </w:rPr>
        <w:t>يأخذ</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تلك</w:t>
      </w:r>
      <w:r>
        <w:rPr>
          <w:rtl/>
        </w:rPr>
        <w:t xml:space="preserve"> </w:t>
      </w:r>
      <w:r w:rsidRPr="006571A5">
        <w:rPr>
          <w:rtl/>
        </w:rPr>
        <w:t>المعلومات</w:t>
      </w:r>
      <w:r>
        <w:rPr>
          <w:rtl/>
        </w:rPr>
        <w:t xml:space="preserve"> </w:t>
      </w:r>
      <w:r w:rsidRPr="006571A5">
        <w:rPr>
          <w:rtl/>
        </w:rPr>
        <w:t>بعين</w:t>
      </w:r>
      <w:r>
        <w:rPr>
          <w:rtl/>
        </w:rPr>
        <w:t xml:space="preserve"> </w:t>
      </w:r>
      <w:r w:rsidRPr="006571A5">
        <w:rPr>
          <w:rtl/>
        </w:rPr>
        <w:t>الاعتبار</w:t>
      </w:r>
      <w:r>
        <w:rPr>
          <w:rtl/>
        </w:rPr>
        <w:t xml:space="preserve"> </w:t>
      </w:r>
      <w:r w:rsidRPr="006571A5">
        <w:rPr>
          <w:rtl/>
        </w:rPr>
        <w:t>ورفض</w:t>
      </w:r>
      <w:r>
        <w:rPr>
          <w:rtl/>
        </w:rPr>
        <w:t xml:space="preserve"> </w:t>
      </w:r>
      <w:r w:rsidRPr="006571A5">
        <w:rPr>
          <w:rtl/>
        </w:rPr>
        <w:t>جميع</w:t>
      </w:r>
      <w:r>
        <w:rPr>
          <w:rtl/>
        </w:rPr>
        <w:t xml:space="preserve"> </w:t>
      </w:r>
      <w:r w:rsidRPr="006571A5">
        <w:rPr>
          <w:rtl/>
        </w:rPr>
        <w:t>الاعتراضات</w:t>
      </w:r>
      <w:r>
        <w:rPr>
          <w:rtl/>
        </w:rPr>
        <w:t xml:space="preserve"> </w:t>
      </w:r>
      <w:r w:rsidRPr="006571A5">
        <w:rPr>
          <w:rtl/>
        </w:rPr>
        <w:t>على</w:t>
      </w:r>
      <w:r>
        <w:rPr>
          <w:rtl/>
        </w:rPr>
        <w:t xml:space="preserve"> </w:t>
      </w:r>
      <w:r w:rsidRPr="006571A5">
        <w:rPr>
          <w:rtl/>
        </w:rPr>
        <w:t>الاختبار</w:t>
      </w:r>
      <w:r>
        <w:rPr>
          <w:rtl/>
        </w:rPr>
        <w:t xml:space="preserve"> </w:t>
      </w:r>
      <w:r w:rsidRPr="006571A5">
        <w:rPr>
          <w:rtl/>
        </w:rPr>
        <w:t>اللغوي.</w:t>
      </w:r>
      <w:r>
        <w:rPr>
          <w:rtl/>
        </w:rPr>
        <w:t xml:space="preserve"> </w:t>
      </w:r>
      <w:r w:rsidRPr="006571A5">
        <w:rPr>
          <w:rtl/>
        </w:rPr>
        <w:t>ومن</w:t>
      </w:r>
      <w:r>
        <w:rPr>
          <w:rtl/>
        </w:rPr>
        <w:t xml:space="preserve"> </w:t>
      </w:r>
      <w:r w:rsidRPr="006571A5">
        <w:rPr>
          <w:rtl/>
        </w:rPr>
        <w:t>ثم،</w:t>
      </w:r>
      <w:r>
        <w:rPr>
          <w:rtl/>
        </w:rPr>
        <w:t xml:space="preserve"> </w:t>
      </w:r>
      <w:r w:rsidRPr="006571A5">
        <w:rPr>
          <w:rtl/>
        </w:rPr>
        <w:t>تدّعي</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أن</w:t>
      </w:r>
      <w:r>
        <w:rPr>
          <w:rtl/>
        </w:rPr>
        <w:t xml:space="preserve"> </w:t>
      </w:r>
      <w:r w:rsidRPr="006571A5">
        <w:rPr>
          <w:rtl/>
        </w:rPr>
        <w:t>حقها</w:t>
      </w:r>
      <w:r>
        <w:rPr>
          <w:rtl/>
        </w:rPr>
        <w:t xml:space="preserve"> </w:t>
      </w:r>
      <w:r w:rsidRPr="006571A5">
        <w:rPr>
          <w:rtl/>
        </w:rPr>
        <w:t>في</w:t>
      </w:r>
      <w:r>
        <w:rPr>
          <w:rtl/>
        </w:rPr>
        <w:t xml:space="preserve"> </w:t>
      </w:r>
      <w:r w:rsidRPr="006571A5">
        <w:rPr>
          <w:rtl/>
        </w:rPr>
        <w:t>محاكمة</w:t>
      </w:r>
      <w:r>
        <w:rPr>
          <w:rtl/>
        </w:rPr>
        <w:t xml:space="preserve"> </w:t>
      </w:r>
      <w:r w:rsidRPr="006571A5">
        <w:rPr>
          <w:rtl/>
        </w:rPr>
        <w:t>عادلة</w:t>
      </w:r>
      <w:r>
        <w:rPr>
          <w:rtl/>
        </w:rPr>
        <w:t xml:space="preserve"> </w:t>
      </w:r>
      <w:r w:rsidRPr="006571A5">
        <w:rPr>
          <w:rtl/>
        </w:rPr>
        <w:t>قد</w:t>
      </w:r>
      <w:r>
        <w:rPr>
          <w:rtl/>
        </w:rPr>
        <w:t xml:space="preserve"> </w:t>
      </w:r>
      <w:r w:rsidRPr="006571A5">
        <w:rPr>
          <w:rtl/>
        </w:rPr>
        <w:t>انتُهك.</w:t>
      </w:r>
    </w:p>
    <w:p w14:paraId="60F7093D" w14:textId="7EFC98BD" w:rsidR="006571A5" w:rsidRPr="006571A5" w:rsidRDefault="006571A5" w:rsidP="006571A5">
      <w:pPr>
        <w:pStyle w:val="SingleTxt"/>
        <w:rPr>
          <w:rtl/>
        </w:rPr>
      </w:pPr>
      <w:r w:rsidRPr="006571A5">
        <w:rPr>
          <w:rtl/>
        </w:rPr>
        <w:t>2-6</w:t>
      </w:r>
      <w:r w:rsidRPr="006571A5">
        <w:rPr>
          <w:rtl/>
        </w:rPr>
        <w:tab/>
        <w:t>وأشار</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أيضا</w:t>
      </w:r>
      <w:r>
        <w:rPr>
          <w:rtl/>
        </w:rPr>
        <w:t xml:space="preserve"> </w:t>
      </w:r>
      <w:r w:rsidRPr="006571A5">
        <w:rPr>
          <w:rtl/>
        </w:rPr>
        <w:t>إلى</w:t>
      </w:r>
      <w:r>
        <w:rPr>
          <w:rtl/>
        </w:rPr>
        <w:t xml:space="preserve"> </w:t>
      </w:r>
      <w:r w:rsidRPr="006571A5">
        <w:rPr>
          <w:rtl/>
        </w:rPr>
        <w:t>أن</w:t>
      </w:r>
      <w:r>
        <w:rPr>
          <w:rtl/>
        </w:rPr>
        <w:t xml:space="preserve"> </w:t>
      </w:r>
      <w:r w:rsidRPr="006571A5">
        <w:rPr>
          <w:rtl/>
        </w:rPr>
        <w:t>ما</w:t>
      </w:r>
      <w:r>
        <w:rPr>
          <w:rtl/>
        </w:rPr>
        <w:t xml:space="preserve"> </w:t>
      </w:r>
      <w:r w:rsidRPr="006571A5">
        <w:rPr>
          <w:rtl/>
        </w:rPr>
        <w:t>تدّعيه</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يبدو</w:t>
      </w:r>
      <w:r>
        <w:rPr>
          <w:rtl/>
        </w:rPr>
        <w:t xml:space="preserve"> </w:t>
      </w:r>
      <w:r w:rsidRPr="006571A5">
        <w:rPr>
          <w:rtl/>
        </w:rPr>
        <w:t>أنه</w:t>
      </w:r>
      <w:r>
        <w:rPr>
          <w:rtl/>
        </w:rPr>
        <w:t xml:space="preserve"> </w:t>
      </w:r>
      <w:r w:rsidRPr="006571A5">
        <w:rPr>
          <w:rtl/>
        </w:rPr>
        <w:t>مفبركٌ</w:t>
      </w:r>
      <w:r>
        <w:rPr>
          <w:rtl/>
        </w:rPr>
        <w:t xml:space="preserve"> </w:t>
      </w:r>
      <w:r w:rsidRPr="006571A5">
        <w:rPr>
          <w:rtl/>
        </w:rPr>
        <w:t>ووليدُ</w:t>
      </w:r>
      <w:r>
        <w:rPr>
          <w:rtl/>
        </w:rPr>
        <w:t xml:space="preserve"> </w:t>
      </w:r>
      <w:r w:rsidRPr="006571A5">
        <w:rPr>
          <w:rtl/>
        </w:rPr>
        <w:t>اللحظة</w:t>
      </w:r>
      <w:r>
        <w:rPr>
          <w:rtl/>
        </w:rPr>
        <w:t xml:space="preserve"> </w:t>
      </w:r>
      <w:r w:rsidRPr="006571A5">
        <w:rPr>
          <w:rtl/>
        </w:rPr>
        <w:t>وليس</w:t>
      </w:r>
      <w:r>
        <w:rPr>
          <w:rtl/>
        </w:rPr>
        <w:t xml:space="preserve"> </w:t>
      </w:r>
      <w:r w:rsidRPr="006571A5">
        <w:rPr>
          <w:rtl/>
        </w:rPr>
        <w:t>أمراً</w:t>
      </w:r>
      <w:r>
        <w:rPr>
          <w:rtl/>
        </w:rPr>
        <w:t xml:space="preserve"> </w:t>
      </w:r>
      <w:r w:rsidRPr="006571A5">
        <w:rPr>
          <w:rtl/>
        </w:rPr>
        <w:t>عاشته</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شخصيا.</w:t>
      </w:r>
      <w:r>
        <w:rPr>
          <w:rtl/>
        </w:rPr>
        <w:t xml:space="preserve"> </w:t>
      </w:r>
      <w:r w:rsidRPr="006571A5">
        <w:rPr>
          <w:rtl/>
        </w:rPr>
        <w:t>وتقول</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إنها</w:t>
      </w:r>
      <w:r>
        <w:rPr>
          <w:rtl/>
        </w:rPr>
        <w:t xml:space="preserve"> </w:t>
      </w:r>
      <w:r w:rsidRPr="006571A5">
        <w:rPr>
          <w:rtl/>
        </w:rPr>
        <w:t>كانت</w:t>
      </w:r>
      <w:r>
        <w:rPr>
          <w:rtl/>
        </w:rPr>
        <w:t xml:space="preserve"> </w:t>
      </w:r>
      <w:r w:rsidRPr="006571A5">
        <w:rPr>
          <w:rtl/>
        </w:rPr>
        <w:t>تحت</w:t>
      </w:r>
      <w:r>
        <w:rPr>
          <w:rtl/>
        </w:rPr>
        <w:t xml:space="preserve"> </w:t>
      </w:r>
      <w:r w:rsidRPr="006571A5">
        <w:rPr>
          <w:rtl/>
        </w:rPr>
        <w:t>ضغط</w:t>
      </w:r>
      <w:r>
        <w:rPr>
          <w:rtl/>
        </w:rPr>
        <w:t xml:space="preserve"> </w:t>
      </w:r>
      <w:r w:rsidRPr="006571A5">
        <w:rPr>
          <w:rtl/>
        </w:rPr>
        <w:t>شديد</w:t>
      </w:r>
      <w:r>
        <w:rPr>
          <w:rtl/>
        </w:rPr>
        <w:t xml:space="preserve"> </w:t>
      </w:r>
      <w:r w:rsidRPr="006571A5">
        <w:rPr>
          <w:rtl/>
        </w:rPr>
        <w:t>خلال</w:t>
      </w:r>
      <w:r>
        <w:rPr>
          <w:rtl/>
        </w:rPr>
        <w:t xml:space="preserve"> </w:t>
      </w:r>
      <w:r w:rsidRPr="006571A5">
        <w:rPr>
          <w:rtl/>
        </w:rPr>
        <w:t>مقابلتها</w:t>
      </w:r>
      <w:r>
        <w:rPr>
          <w:rtl/>
        </w:rPr>
        <w:t xml:space="preserve"> </w:t>
      </w:r>
      <w:r w:rsidRPr="006571A5">
        <w:rPr>
          <w:rtl/>
        </w:rPr>
        <w:t>مع</w:t>
      </w:r>
      <w:r>
        <w:rPr>
          <w:rtl/>
        </w:rPr>
        <w:t xml:space="preserve"> </w:t>
      </w:r>
      <w:r w:rsidRPr="006571A5">
        <w:rPr>
          <w:rtl/>
        </w:rPr>
        <w:t>دائرة</w:t>
      </w:r>
      <w:r>
        <w:rPr>
          <w:rtl/>
        </w:rPr>
        <w:t xml:space="preserve"> </w:t>
      </w:r>
      <w:r w:rsidRPr="006571A5">
        <w:rPr>
          <w:rtl/>
        </w:rPr>
        <w:t>الهجرة</w:t>
      </w:r>
      <w:r>
        <w:rPr>
          <w:rtl/>
        </w:rPr>
        <w:t xml:space="preserve"> </w:t>
      </w:r>
      <w:r w:rsidRPr="006571A5">
        <w:rPr>
          <w:rtl/>
        </w:rPr>
        <w:t>بسبب</w:t>
      </w:r>
      <w:r>
        <w:rPr>
          <w:rtl/>
        </w:rPr>
        <w:t xml:space="preserve"> </w:t>
      </w:r>
      <w:r w:rsidRPr="006571A5">
        <w:rPr>
          <w:rtl/>
        </w:rPr>
        <w:t>الخوف</w:t>
      </w:r>
      <w:r>
        <w:rPr>
          <w:rtl/>
        </w:rPr>
        <w:t xml:space="preserve"> </w:t>
      </w:r>
      <w:r w:rsidRPr="006571A5">
        <w:rPr>
          <w:rtl/>
        </w:rPr>
        <w:t>من</w:t>
      </w:r>
      <w:r>
        <w:rPr>
          <w:rtl/>
        </w:rPr>
        <w:t xml:space="preserve"> </w:t>
      </w:r>
      <w:r w:rsidRPr="006571A5">
        <w:rPr>
          <w:rtl/>
        </w:rPr>
        <w:t>تعرضها</w:t>
      </w:r>
      <w:r>
        <w:rPr>
          <w:rtl/>
        </w:rPr>
        <w:t xml:space="preserve"> </w:t>
      </w:r>
      <w:r w:rsidRPr="006571A5">
        <w:rPr>
          <w:rtl/>
        </w:rPr>
        <w:t>الوشيك</w:t>
      </w:r>
      <w:r>
        <w:rPr>
          <w:rtl/>
        </w:rPr>
        <w:t xml:space="preserve"> </w:t>
      </w:r>
      <w:r w:rsidRPr="006571A5">
        <w:rPr>
          <w:rtl/>
        </w:rPr>
        <w:t>للعقاب</w:t>
      </w:r>
      <w:r>
        <w:rPr>
          <w:rtl/>
        </w:rPr>
        <w:t xml:space="preserve"> </w:t>
      </w:r>
      <w:r w:rsidRPr="006571A5">
        <w:rPr>
          <w:rtl/>
        </w:rPr>
        <w:t>إذا</w:t>
      </w:r>
      <w:r>
        <w:rPr>
          <w:rtl/>
        </w:rPr>
        <w:t xml:space="preserve"> </w:t>
      </w:r>
      <w:r w:rsidRPr="006571A5">
        <w:rPr>
          <w:rtl/>
        </w:rPr>
        <w:t>رُفض</w:t>
      </w:r>
      <w:r>
        <w:rPr>
          <w:rtl/>
        </w:rPr>
        <w:t xml:space="preserve"> </w:t>
      </w:r>
      <w:r w:rsidRPr="006571A5">
        <w:rPr>
          <w:rtl/>
        </w:rPr>
        <w:t>طلب</w:t>
      </w:r>
      <w:r>
        <w:rPr>
          <w:rtl/>
        </w:rPr>
        <w:t xml:space="preserve"> </w:t>
      </w:r>
      <w:r w:rsidRPr="006571A5">
        <w:rPr>
          <w:rtl/>
        </w:rPr>
        <w:t>لجوئها،</w:t>
      </w:r>
      <w:r>
        <w:rPr>
          <w:rtl/>
        </w:rPr>
        <w:t xml:space="preserve"> </w:t>
      </w:r>
      <w:r w:rsidRPr="006571A5">
        <w:rPr>
          <w:rtl/>
        </w:rPr>
        <w:t>وهو</w:t>
      </w:r>
      <w:r>
        <w:rPr>
          <w:rtl/>
        </w:rPr>
        <w:t xml:space="preserve"> </w:t>
      </w:r>
      <w:r w:rsidRPr="006571A5">
        <w:rPr>
          <w:rtl/>
        </w:rPr>
        <w:t>ما</w:t>
      </w:r>
      <w:r>
        <w:rPr>
          <w:rtl/>
        </w:rPr>
        <w:t xml:space="preserve"> </w:t>
      </w:r>
      <w:r w:rsidRPr="006571A5">
        <w:rPr>
          <w:rtl/>
        </w:rPr>
        <w:t>جعل</w:t>
      </w:r>
      <w:r>
        <w:rPr>
          <w:rtl/>
        </w:rPr>
        <w:t xml:space="preserve"> </w:t>
      </w:r>
      <w:r w:rsidRPr="006571A5">
        <w:rPr>
          <w:rtl/>
        </w:rPr>
        <w:t>تفسيراتها</w:t>
      </w:r>
      <w:r>
        <w:rPr>
          <w:rtl/>
        </w:rPr>
        <w:t xml:space="preserve"> </w:t>
      </w:r>
      <w:r w:rsidRPr="006571A5">
        <w:rPr>
          <w:rtl/>
        </w:rPr>
        <w:t>تبدو</w:t>
      </w:r>
      <w:r>
        <w:rPr>
          <w:rtl/>
        </w:rPr>
        <w:t xml:space="preserve"> </w:t>
      </w:r>
      <w:r w:rsidRPr="006571A5">
        <w:rPr>
          <w:rtl/>
        </w:rPr>
        <w:t>غير</w:t>
      </w:r>
      <w:r>
        <w:rPr>
          <w:rtl/>
        </w:rPr>
        <w:t xml:space="preserve"> </w:t>
      </w:r>
      <w:r w:rsidRPr="006571A5">
        <w:rPr>
          <w:rtl/>
        </w:rPr>
        <w:t>مقنعة.</w:t>
      </w:r>
      <w:r>
        <w:rPr>
          <w:rtl/>
        </w:rPr>
        <w:t xml:space="preserve"> </w:t>
      </w:r>
      <w:r w:rsidRPr="006571A5">
        <w:rPr>
          <w:rtl/>
        </w:rPr>
        <w:t>وتقول</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أيضا</w:t>
      </w:r>
      <w:r>
        <w:rPr>
          <w:rtl/>
        </w:rPr>
        <w:t xml:space="preserve"> </w:t>
      </w:r>
      <w:r w:rsidRPr="006571A5">
        <w:rPr>
          <w:rtl/>
        </w:rPr>
        <w:t>إن</w:t>
      </w:r>
      <w:r>
        <w:rPr>
          <w:rtl/>
        </w:rPr>
        <w:t xml:space="preserve"> </w:t>
      </w:r>
      <w:r w:rsidRPr="006571A5">
        <w:rPr>
          <w:rtl/>
        </w:rPr>
        <w:t>خطر</w:t>
      </w:r>
      <w:r>
        <w:rPr>
          <w:rtl/>
        </w:rPr>
        <w:t xml:space="preserve"> </w:t>
      </w:r>
      <w:r w:rsidRPr="006571A5">
        <w:rPr>
          <w:rtl/>
        </w:rPr>
        <w:t>تعرضها</w:t>
      </w:r>
      <w:r>
        <w:rPr>
          <w:rtl/>
        </w:rPr>
        <w:t xml:space="preserve"> </w:t>
      </w:r>
      <w:r w:rsidRPr="006571A5">
        <w:rPr>
          <w:rtl/>
        </w:rPr>
        <w:t>للاضطهاد</w:t>
      </w:r>
      <w:r>
        <w:rPr>
          <w:rtl/>
        </w:rPr>
        <w:t xml:space="preserve"> </w:t>
      </w:r>
      <w:r w:rsidRPr="006571A5">
        <w:rPr>
          <w:rtl/>
        </w:rPr>
        <w:t>في</w:t>
      </w:r>
      <w:r>
        <w:rPr>
          <w:rtl/>
        </w:rPr>
        <w:t xml:space="preserve"> </w:t>
      </w:r>
      <w:r w:rsidRPr="006571A5">
        <w:rPr>
          <w:rtl/>
        </w:rPr>
        <w:t>الصومال</w:t>
      </w:r>
      <w:r>
        <w:rPr>
          <w:rtl/>
        </w:rPr>
        <w:t xml:space="preserve"> </w:t>
      </w:r>
      <w:r w:rsidRPr="006571A5">
        <w:rPr>
          <w:rtl/>
        </w:rPr>
        <w:t>خطر</w:t>
      </w:r>
      <w:r>
        <w:rPr>
          <w:rtl/>
        </w:rPr>
        <w:t xml:space="preserve"> </w:t>
      </w:r>
      <w:r w:rsidRPr="006571A5">
        <w:rPr>
          <w:rtl/>
        </w:rPr>
        <w:t>حقيقي</w:t>
      </w:r>
      <w:r>
        <w:rPr>
          <w:rtl/>
        </w:rPr>
        <w:t xml:space="preserve"> </w:t>
      </w:r>
      <w:r w:rsidRPr="006571A5">
        <w:rPr>
          <w:rtl/>
        </w:rPr>
        <w:t>لأنها</w:t>
      </w:r>
      <w:r>
        <w:rPr>
          <w:rtl/>
        </w:rPr>
        <w:t xml:space="preserve"> </w:t>
      </w:r>
      <w:r w:rsidRPr="006571A5">
        <w:rPr>
          <w:rtl/>
        </w:rPr>
        <w:t>فرّت</w:t>
      </w:r>
      <w:r>
        <w:rPr>
          <w:rtl/>
        </w:rPr>
        <w:t xml:space="preserve"> </w:t>
      </w:r>
      <w:r w:rsidRPr="006571A5">
        <w:rPr>
          <w:rtl/>
        </w:rPr>
        <w:t>حتى</w:t>
      </w:r>
      <w:r>
        <w:rPr>
          <w:rtl/>
        </w:rPr>
        <w:t xml:space="preserve"> </w:t>
      </w:r>
      <w:r w:rsidRPr="006571A5">
        <w:rPr>
          <w:rtl/>
        </w:rPr>
        <w:t>لا</w:t>
      </w:r>
      <w:r>
        <w:rPr>
          <w:rtl/>
        </w:rPr>
        <w:t xml:space="preserve"> </w:t>
      </w:r>
      <w:r w:rsidRPr="006571A5">
        <w:rPr>
          <w:rtl/>
        </w:rPr>
        <w:t>تُزوّج</w:t>
      </w:r>
      <w:r>
        <w:rPr>
          <w:rtl/>
        </w:rPr>
        <w:t xml:space="preserve"> </w:t>
      </w:r>
      <w:r w:rsidRPr="006571A5">
        <w:rPr>
          <w:rtl/>
        </w:rPr>
        <w:t>قسرا</w:t>
      </w:r>
      <w:r>
        <w:rPr>
          <w:rtl/>
        </w:rPr>
        <w:t xml:space="preserve"> </w:t>
      </w:r>
      <w:r w:rsidRPr="006571A5">
        <w:rPr>
          <w:rtl/>
        </w:rPr>
        <w:t>إلى</w:t>
      </w:r>
      <w:r>
        <w:rPr>
          <w:rtl/>
        </w:rPr>
        <w:t xml:space="preserve"> </w:t>
      </w:r>
      <w:r w:rsidRPr="006571A5">
        <w:rPr>
          <w:rtl/>
        </w:rPr>
        <w:t>أحد</w:t>
      </w:r>
      <w:r>
        <w:rPr>
          <w:rtl/>
        </w:rPr>
        <w:t xml:space="preserve"> </w:t>
      </w:r>
      <w:r w:rsidRPr="006571A5">
        <w:rPr>
          <w:rtl/>
        </w:rPr>
        <w:t>كبار</w:t>
      </w:r>
      <w:r>
        <w:rPr>
          <w:rtl/>
        </w:rPr>
        <w:t xml:space="preserve"> </w:t>
      </w:r>
      <w:r w:rsidRPr="006571A5">
        <w:rPr>
          <w:rtl/>
        </w:rPr>
        <w:t>أفراد</w:t>
      </w:r>
      <w:r>
        <w:rPr>
          <w:rtl/>
        </w:rPr>
        <w:t xml:space="preserve"> </w:t>
      </w:r>
      <w:r w:rsidRPr="006571A5">
        <w:rPr>
          <w:rtl/>
        </w:rPr>
        <w:t>حركة</w:t>
      </w:r>
      <w:r>
        <w:rPr>
          <w:rtl/>
        </w:rPr>
        <w:t xml:space="preserve"> </w:t>
      </w:r>
      <w:r w:rsidRPr="006571A5">
        <w:rPr>
          <w:rtl/>
        </w:rPr>
        <w:t>الشباب.</w:t>
      </w:r>
      <w:r>
        <w:rPr>
          <w:rtl/>
        </w:rPr>
        <w:t xml:space="preserve"> </w:t>
      </w:r>
      <w:r w:rsidRPr="006571A5">
        <w:rPr>
          <w:rtl/>
        </w:rPr>
        <w:t>وتزيد</w:t>
      </w:r>
      <w:r>
        <w:rPr>
          <w:rtl/>
        </w:rPr>
        <w:t xml:space="preserve"> </w:t>
      </w:r>
      <w:r w:rsidRPr="006571A5">
        <w:rPr>
          <w:rtl/>
        </w:rPr>
        <w:t>على</w:t>
      </w:r>
      <w:r>
        <w:rPr>
          <w:rtl/>
        </w:rPr>
        <w:t xml:space="preserve"> </w:t>
      </w:r>
      <w:r w:rsidRPr="006571A5">
        <w:rPr>
          <w:rtl/>
        </w:rPr>
        <w:t>ذلك</w:t>
      </w:r>
      <w:r>
        <w:rPr>
          <w:rtl/>
        </w:rPr>
        <w:t xml:space="preserve"> </w:t>
      </w:r>
      <w:r w:rsidRPr="006571A5">
        <w:rPr>
          <w:rtl/>
        </w:rPr>
        <w:t>أن</w:t>
      </w:r>
      <w:r>
        <w:rPr>
          <w:rtl/>
        </w:rPr>
        <w:t xml:space="preserve"> </w:t>
      </w:r>
      <w:r w:rsidRPr="006571A5">
        <w:rPr>
          <w:rtl/>
        </w:rPr>
        <w:t>المجلس</w:t>
      </w:r>
      <w:r>
        <w:rPr>
          <w:rtl/>
        </w:rPr>
        <w:t xml:space="preserve"> </w:t>
      </w:r>
      <w:r w:rsidRPr="006571A5">
        <w:rPr>
          <w:rtl/>
        </w:rPr>
        <w:t>لم</w:t>
      </w:r>
      <w:r>
        <w:rPr>
          <w:rtl/>
        </w:rPr>
        <w:t xml:space="preserve"> </w:t>
      </w:r>
      <w:r w:rsidRPr="006571A5">
        <w:rPr>
          <w:rtl/>
        </w:rPr>
        <w:t>يأخذ</w:t>
      </w:r>
      <w:r>
        <w:rPr>
          <w:rtl/>
        </w:rPr>
        <w:t xml:space="preserve"> </w:t>
      </w:r>
      <w:r w:rsidRPr="006571A5">
        <w:rPr>
          <w:rtl/>
        </w:rPr>
        <w:t>بعين</w:t>
      </w:r>
      <w:r>
        <w:rPr>
          <w:rtl/>
        </w:rPr>
        <w:t xml:space="preserve"> </w:t>
      </w:r>
      <w:r w:rsidRPr="006571A5">
        <w:rPr>
          <w:rtl/>
        </w:rPr>
        <w:t>الاعتبار</w:t>
      </w:r>
      <w:r>
        <w:rPr>
          <w:rtl/>
        </w:rPr>
        <w:t xml:space="preserve"> </w:t>
      </w:r>
      <w:r w:rsidRPr="006571A5">
        <w:rPr>
          <w:rtl/>
        </w:rPr>
        <w:t>الآثار</w:t>
      </w:r>
      <w:r>
        <w:rPr>
          <w:rtl/>
        </w:rPr>
        <w:t xml:space="preserve"> </w:t>
      </w:r>
      <w:r w:rsidRPr="006571A5">
        <w:rPr>
          <w:rtl/>
        </w:rPr>
        <w:t>النفسية</w:t>
      </w:r>
      <w:r>
        <w:rPr>
          <w:rtl/>
        </w:rPr>
        <w:t xml:space="preserve"> </w:t>
      </w:r>
      <w:r w:rsidRPr="006571A5">
        <w:rPr>
          <w:rtl/>
        </w:rPr>
        <w:t>والجسدية</w:t>
      </w:r>
      <w:r>
        <w:rPr>
          <w:rtl/>
        </w:rPr>
        <w:t xml:space="preserve"> </w:t>
      </w:r>
      <w:r w:rsidRPr="006571A5">
        <w:rPr>
          <w:rtl/>
        </w:rPr>
        <w:t>التي</w:t>
      </w:r>
      <w:r>
        <w:rPr>
          <w:rtl/>
        </w:rPr>
        <w:t xml:space="preserve"> </w:t>
      </w:r>
      <w:r w:rsidRPr="006571A5">
        <w:rPr>
          <w:rtl/>
        </w:rPr>
        <w:t>تركتها</w:t>
      </w:r>
      <w:r>
        <w:rPr>
          <w:rtl/>
        </w:rPr>
        <w:t xml:space="preserve"> </w:t>
      </w:r>
      <w:r w:rsidRPr="006571A5">
        <w:rPr>
          <w:rtl/>
        </w:rPr>
        <w:t>تجربتها</w:t>
      </w:r>
      <w:r>
        <w:rPr>
          <w:rtl/>
        </w:rPr>
        <w:t xml:space="preserve"> </w:t>
      </w:r>
      <w:r w:rsidRPr="006571A5">
        <w:rPr>
          <w:rtl/>
        </w:rPr>
        <w:t>في</w:t>
      </w:r>
      <w:r>
        <w:rPr>
          <w:rtl/>
        </w:rPr>
        <w:t xml:space="preserve"> </w:t>
      </w:r>
      <w:r w:rsidRPr="006571A5">
        <w:rPr>
          <w:rtl/>
        </w:rPr>
        <w:t>الصومال</w:t>
      </w:r>
      <w:r>
        <w:rPr>
          <w:rtl/>
        </w:rPr>
        <w:t xml:space="preserve"> </w:t>
      </w:r>
      <w:r w:rsidRPr="006571A5">
        <w:rPr>
          <w:rtl/>
        </w:rPr>
        <w:t>فيها.</w:t>
      </w:r>
      <w:r>
        <w:rPr>
          <w:rtl/>
        </w:rPr>
        <w:t xml:space="preserve"> </w:t>
      </w:r>
      <w:r w:rsidRPr="006571A5">
        <w:rPr>
          <w:rtl/>
        </w:rPr>
        <w:t>كما</w:t>
      </w:r>
      <w:r>
        <w:rPr>
          <w:rtl/>
        </w:rPr>
        <w:t xml:space="preserve"> </w:t>
      </w:r>
      <w:r w:rsidRPr="006571A5">
        <w:rPr>
          <w:rtl/>
        </w:rPr>
        <w:t>أنه</w:t>
      </w:r>
      <w:r>
        <w:rPr>
          <w:rtl/>
        </w:rPr>
        <w:t xml:space="preserve"> </w:t>
      </w:r>
      <w:r w:rsidRPr="006571A5">
        <w:rPr>
          <w:rtl/>
        </w:rPr>
        <w:t>لم</w:t>
      </w:r>
      <w:r>
        <w:rPr>
          <w:rtl/>
        </w:rPr>
        <w:t xml:space="preserve"> </w:t>
      </w:r>
      <w:r w:rsidRPr="006571A5">
        <w:rPr>
          <w:rtl/>
        </w:rPr>
        <w:t>يُعر</w:t>
      </w:r>
      <w:r>
        <w:rPr>
          <w:rtl/>
        </w:rPr>
        <w:t xml:space="preserve"> </w:t>
      </w:r>
      <w:r w:rsidRPr="006571A5">
        <w:rPr>
          <w:rtl/>
        </w:rPr>
        <w:t>اعتبارا</w:t>
      </w:r>
      <w:r>
        <w:rPr>
          <w:rtl/>
        </w:rPr>
        <w:t xml:space="preserve"> </w:t>
      </w:r>
      <w:r w:rsidRPr="006571A5">
        <w:rPr>
          <w:rtl/>
        </w:rPr>
        <w:t>لمدى</w:t>
      </w:r>
      <w:r>
        <w:rPr>
          <w:rtl/>
        </w:rPr>
        <w:t xml:space="preserve"> </w:t>
      </w:r>
      <w:r w:rsidRPr="006571A5">
        <w:rPr>
          <w:rtl/>
        </w:rPr>
        <w:t>الخطر</w:t>
      </w:r>
      <w:r>
        <w:rPr>
          <w:rtl/>
        </w:rPr>
        <w:t xml:space="preserve"> </w:t>
      </w:r>
      <w:r w:rsidRPr="006571A5">
        <w:rPr>
          <w:rtl/>
        </w:rPr>
        <w:t>المحدق</w:t>
      </w:r>
      <w:r>
        <w:rPr>
          <w:rtl/>
        </w:rPr>
        <w:t xml:space="preserve"> </w:t>
      </w:r>
      <w:r w:rsidRPr="006571A5">
        <w:rPr>
          <w:rtl/>
        </w:rPr>
        <w:t>بها.</w:t>
      </w:r>
    </w:p>
    <w:p w14:paraId="002A4554" w14:textId="3B7C9A13" w:rsidR="006571A5" w:rsidRPr="006571A5" w:rsidRDefault="006571A5" w:rsidP="006571A5">
      <w:pPr>
        <w:pStyle w:val="SingleTxt"/>
        <w:rPr>
          <w:rtl/>
        </w:rPr>
      </w:pPr>
      <w:r w:rsidRPr="006571A5">
        <w:rPr>
          <w:rtl/>
        </w:rPr>
        <w:t>2-7</w:t>
      </w:r>
      <w:r w:rsidRPr="006571A5">
        <w:rPr>
          <w:rtl/>
        </w:rPr>
        <w:tab/>
        <w:t>وتخشى</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أيضا</w:t>
      </w:r>
      <w:r>
        <w:rPr>
          <w:rtl/>
        </w:rPr>
        <w:t xml:space="preserve"> </w:t>
      </w:r>
      <w:r w:rsidRPr="006571A5">
        <w:rPr>
          <w:rtl/>
        </w:rPr>
        <w:t>من</w:t>
      </w:r>
      <w:r>
        <w:rPr>
          <w:rtl/>
        </w:rPr>
        <w:t xml:space="preserve"> </w:t>
      </w:r>
      <w:r w:rsidRPr="006571A5">
        <w:rPr>
          <w:rtl/>
        </w:rPr>
        <w:t>أن</w:t>
      </w:r>
      <w:r>
        <w:rPr>
          <w:rtl/>
        </w:rPr>
        <w:t xml:space="preserve"> </w:t>
      </w:r>
      <w:r w:rsidRPr="006571A5">
        <w:rPr>
          <w:rtl/>
        </w:rPr>
        <w:t>تتعرض</w:t>
      </w:r>
      <w:r>
        <w:rPr>
          <w:rtl/>
        </w:rPr>
        <w:t xml:space="preserve"> </w:t>
      </w:r>
      <w:r w:rsidRPr="006571A5">
        <w:rPr>
          <w:rtl/>
        </w:rPr>
        <w:t>للاضطهاد</w:t>
      </w:r>
      <w:r>
        <w:rPr>
          <w:rtl/>
        </w:rPr>
        <w:t xml:space="preserve"> </w:t>
      </w:r>
      <w:r w:rsidRPr="006571A5">
        <w:rPr>
          <w:rtl/>
        </w:rPr>
        <w:t>في</w:t>
      </w:r>
      <w:r>
        <w:rPr>
          <w:rtl/>
        </w:rPr>
        <w:t xml:space="preserve"> </w:t>
      </w:r>
      <w:r w:rsidRPr="006571A5">
        <w:rPr>
          <w:rtl/>
        </w:rPr>
        <w:t>بلدتها</w:t>
      </w:r>
      <w:r>
        <w:rPr>
          <w:rtl/>
        </w:rPr>
        <w:t xml:space="preserve"> </w:t>
      </w:r>
      <w:r w:rsidRPr="006571A5">
        <w:rPr>
          <w:rtl/>
        </w:rPr>
        <w:t>على</w:t>
      </w:r>
      <w:r>
        <w:rPr>
          <w:rtl/>
        </w:rPr>
        <w:t xml:space="preserve"> </w:t>
      </w:r>
      <w:r w:rsidRPr="006571A5">
        <w:rPr>
          <w:rtl/>
        </w:rPr>
        <w:t>أيدي</w:t>
      </w:r>
      <w:r>
        <w:rPr>
          <w:rtl/>
        </w:rPr>
        <w:t xml:space="preserve"> </w:t>
      </w:r>
      <w:r w:rsidRPr="006571A5">
        <w:rPr>
          <w:rtl/>
        </w:rPr>
        <w:t>قوات</w:t>
      </w:r>
      <w:r>
        <w:rPr>
          <w:rtl/>
        </w:rPr>
        <w:t xml:space="preserve"> </w:t>
      </w:r>
      <w:r w:rsidRPr="006571A5">
        <w:rPr>
          <w:rtl/>
        </w:rPr>
        <w:t>حركة</w:t>
      </w:r>
      <w:r>
        <w:rPr>
          <w:rtl/>
        </w:rPr>
        <w:t xml:space="preserve"> </w:t>
      </w:r>
      <w:r w:rsidRPr="006571A5">
        <w:rPr>
          <w:rtl/>
        </w:rPr>
        <w:t>الشباب</w:t>
      </w:r>
      <w:r>
        <w:rPr>
          <w:rtl/>
        </w:rPr>
        <w:t xml:space="preserve"> </w:t>
      </w:r>
      <w:r w:rsidRPr="006571A5">
        <w:rPr>
          <w:rtl/>
        </w:rPr>
        <w:t>أو</w:t>
      </w:r>
      <w:r>
        <w:rPr>
          <w:rtl/>
        </w:rPr>
        <w:t xml:space="preserve"> </w:t>
      </w:r>
      <w:r w:rsidRPr="006571A5">
        <w:rPr>
          <w:rtl/>
        </w:rPr>
        <w:t>أن</w:t>
      </w:r>
      <w:r>
        <w:rPr>
          <w:rtl/>
        </w:rPr>
        <w:t xml:space="preserve"> </w:t>
      </w:r>
      <w:r w:rsidRPr="006571A5">
        <w:rPr>
          <w:rtl/>
        </w:rPr>
        <w:t>تُزوّج</w:t>
      </w:r>
      <w:r>
        <w:rPr>
          <w:rtl/>
        </w:rPr>
        <w:t xml:space="preserve"> </w:t>
      </w:r>
      <w:r w:rsidRPr="006571A5">
        <w:rPr>
          <w:rtl/>
        </w:rPr>
        <w:t>قسرا.</w:t>
      </w:r>
    </w:p>
    <w:p w14:paraId="70B244A9" w14:textId="362F97DB" w:rsidR="006571A5" w:rsidRPr="006571A5" w:rsidRDefault="006571A5" w:rsidP="006571A5">
      <w:pPr>
        <w:pStyle w:val="SingleTxt"/>
        <w:rPr>
          <w:rtl/>
        </w:rPr>
      </w:pPr>
      <w:r w:rsidRPr="006571A5">
        <w:rPr>
          <w:rtl/>
        </w:rPr>
        <w:t>2-8</w:t>
      </w:r>
      <w:r w:rsidRPr="006571A5">
        <w:rPr>
          <w:rtl/>
        </w:rPr>
        <w:tab/>
        <w:t>وتقول</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إنها</w:t>
      </w:r>
      <w:r>
        <w:rPr>
          <w:rtl/>
        </w:rPr>
        <w:t xml:space="preserve"> </w:t>
      </w:r>
      <w:r w:rsidRPr="006571A5">
        <w:rPr>
          <w:rtl/>
        </w:rPr>
        <w:t>استنفدت</w:t>
      </w:r>
      <w:r>
        <w:rPr>
          <w:rtl/>
        </w:rPr>
        <w:t xml:space="preserve"> </w:t>
      </w:r>
      <w:r w:rsidRPr="006571A5">
        <w:rPr>
          <w:rtl/>
        </w:rPr>
        <w:t>سبل</w:t>
      </w:r>
      <w:r>
        <w:rPr>
          <w:rtl/>
        </w:rPr>
        <w:t xml:space="preserve"> </w:t>
      </w:r>
      <w:r w:rsidRPr="006571A5">
        <w:rPr>
          <w:rtl/>
        </w:rPr>
        <w:t>الانتصاف</w:t>
      </w:r>
      <w:r>
        <w:rPr>
          <w:rtl/>
        </w:rPr>
        <w:t xml:space="preserve"> </w:t>
      </w:r>
      <w:r w:rsidRPr="006571A5">
        <w:rPr>
          <w:rtl/>
        </w:rPr>
        <w:t>المتاحة</w:t>
      </w:r>
      <w:r>
        <w:rPr>
          <w:rtl/>
        </w:rPr>
        <w:t xml:space="preserve"> </w:t>
      </w:r>
      <w:r w:rsidRPr="006571A5">
        <w:rPr>
          <w:rtl/>
        </w:rPr>
        <w:t>محلياً</w:t>
      </w:r>
      <w:r>
        <w:rPr>
          <w:rtl/>
        </w:rPr>
        <w:t xml:space="preserve"> </w:t>
      </w:r>
      <w:r w:rsidRPr="006571A5">
        <w:rPr>
          <w:rtl/>
        </w:rPr>
        <w:t>بما</w:t>
      </w:r>
      <w:r>
        <w:rPr>
          <w:rtl/>
        </w:rPr>
        <w:t xml:space="preserve"> </w:t>
      </w:r>
      <w:r w:rsidRPr="006571A5">
        <w:rPr>
          <w:rtl/>
        </w:rPr>
        <w:t>أنه</w:t>
      </w:r>
      <w:r>
        <w:rPr>
          <w:rtl/>
        </w:rPr>
        <w:t xml:space="preserve"> </w:t>
      </w:r>
      <w:r w:rsidRPr="006571A5">
        <w:rPr>
          <w:rtl/>
        </w:rPr>
        <w:t>لا</w:t>
      </w:r>
      <w:r>
        <w:rPr>
          <w:rtl/>
        </w:rPr>
        <w:t xml:space="preserve"> </w:t>
      </w:r>
      <w:r w:rsidRPr="006571A5">
        <w:rPr>
          <w:rtl/>
        </w:rPr>
        <w:t>يمكن</w:t>
      </w:r>
      <w:r>
        <w:rPr>
          <w:rtl/>
        </w:rPr>
        <w:t xml:space="preserve"> </w:t>
      </w:r>
      <w:r w:rsidRPr="006571A5">
        <w:rPr>
          <w:rtl/>
        </w:rPr>
        <w:t>رفع</w:t>
      </w:r>
      <w:r>
        <w:rPr>
          <w:rtl/>
        </w:rPr>
        <w:t xml:space="preserve"> </w:t>
      </w:r>
      <w:r w:rsidRPr="006571A5">
        <w:rPr>
          <w:rtl/>
        </w:rPr>
        <w:t>طعن</w:t>
      </w:r>
      <w:r>
        <w:rPr>
          <w:rtl/>
        </w:rPr>
        <w:t xml:space="preserve"> </w:t>
      </w:r>
      <w:r w:rsidRPr="006571A5">
        <w:rPr>
          <w:rtl/>
        </w:rPr>
        <w:t>في</w:t>
      </w:r>
      <w:r>
        <w:rPr>
          <w:rtl/>
        </w:rPr>
        <w:t xml:space="preserve"> </w:t>
      </w:r>
      <w:r w:rsidRPr="006571A5">
        <w:rPr>
          <w:rtl/>
        </w:rPr>
        <w:t>قرارات</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لدى</w:t>
      </w:r>
      <w:r>
        <w:rPr>
          <w:rtl/>
        </w:rPr>
        <w:t xml:space="preserve"> </w:t>
      </w:r>
      <w:r w:rsidRPr="006571A5">
        <w:rPr>
          <w:rtl/>
        </w:rPr>
        <w:t>المحاكم</w:t>
      </w:r>
      <w:r>
        <w:rPr>
          <w:rtl/>
        </w:rPr>
        <w:t xml:space="preserve"> </w:t>
      </w:r>
      <w:r w:rsidRPr="006571A5">
        <w:rPr>
          <w:rtl/>
        </w:rPr>
        <w:t>بموجب</w:t>
      </w:r>
      <w:r>
        <w:rPr>
          <w:rtl/>
        </w:rPr>
        <w:t xml:space="preserve"> </w:t>
      </w:r>
      <w:r w:rsidRPr="006571A5">
        <w:rPr>
          <w:rtl/>
        </w:rPr>
        <w:t>قانون</w:t>
      </w:r>
      <w:r>
        <w:rPr>
          <w:rtl/>
        </w:rPr>
        <w:t xml:space="preserve"> </w:t>
      </w:r>
      <w:r w:rsidRPr="006571A5">
        <w:rPr>
          <w:rtl/>
        </w:rPr>
        <w:t>الأجانب.</w:t>
      </w:r>
    </w:p>
    <w:p w14:paraId="0200FA7D" w14:textId="0031A5D7" w:rsidR="006571A5" w:rsidRPr="006571A5" w:rsidRDefault="006571A5" w:rsidP="006571A5">
      <w:pPr>
        <w:pStyle w:val="SingleTxt"/>
        <w:rPr>
          <w:rtl/>
        </w:rPr>
      </w:pPr>
      <w:r w:rsidRPr="006571A5">
        <w:rPr>
          <w:rtl/>
        </w:rPr>
        <w:t>2-9</w:t>
      </w:r>
      <w:r w:rsidRPr="006571A5">
        <w:rPr>
          <w:rtl/>
        </w:rPr>
        <w:tab/>
        <w:t>وفي</w:t>
      </w:r>
      <w:r>
        <w:rPr>
          <w:rtl/>
        </w:rPr>
        <w:t xml:space="preserve"> </w:t>
      </w:r>
      <w:r w:rsidR="004B1017">
        <w:rPr>
          <w:rtl/>
        </w:rPr>
        <w:t>23</w:t>
      </w:r>
      <w:r>
        <w:rPr>
          <w:rtl/>
        </w:rPr>
        <w:t xml:space="preserve"> </w:t>
      </w:r>
      <w:r w:rsidRPr="006571A5">
        <w:rPr>
          <w:rtl/>
        </w:rPr>
        <w:t>أيلول/سبتمبر</w:t>
      </w:r>
      <w:r>
        <w:rPr>
          <w:rtl/>
        </w:rPr>
        <w:t xml:space="preserve"> </w:t>
      </w:r>
      <w:r w:rsidR="004B1017">
        <w:rPr>
          <w:rtl/>
        </w:rPr>
        <w:t>2015</w:t>
      </w:r>
      <w:r w:rsidRPr="006571A5">
        <w:rPr>
          <w:rtl/>
        </w:rPr>
        <w:t>،</w:t>
      </w:r>
      <w:r>
        <w:rPr>
          <w:rtl/>
        </w:rPr>
        <w:t xml:space="preserve"> </w:t>
      </w:r>
      <w:r w:rsidRPr="006571A5">
        <w:rPr>
          <w:rtl/>
        </w:rPr>
        <w:t>قدمت</w:t>
      </w:r>
      <w:r>
        <w:rPr>
          <w:rtl/>
        </w:rPr>
        <w:t xml:space="preserve"> </w:t>
      </w:r>
      <w:r w:rsidRPr="006571A5">
        <w:rPr>
          <w:rtl/>
        </w:rPr>
        <w:t>صاحب</w:t>
      </w:r>
      <w:r>
        <w:rPr>
          <w:rtl/>
        </w:rPr>
        <w:t xml:space="preserve"> </w:t>
      </w:r>
      <w:r w:rsidRPr="006571A5">
        <w:rPr>
          <w:rtl/>
        </w:rPr>
        <w:t>الرسالة</w:t>
      </w:r>
      <w:r>
        <w:rPr>
          <w:rtl/>
        </w:rPr>
        <w:t xml:space="preserve"> </w:t>
      </w:r>
      <w:r w:rsidRPr="006571A5">
        <w:rPr>
          <w:rtl/>
        </w:rPr>
        <w:t>أدلة</w:t>
      </w:r>
      <w:r>
        <w:rPr>
          <w:rtl/>
        </w:rPr>
        <w:t xml:space="preserve"> </w:t>
      </w:r>
      <w:r w:rsidRPr="006571A5">
        <w:rPr>
          <w:rtl/>
        </w:rPr>
        <w:t>على</w:t>
      </w:r>
      <w:r>
        <w:rPr>
          <w:rtl/>
        </w:rPr>
        <w:t xml:space="preserve"> </w:t>
      </w:r>
      <w:r w:rsidRPr="006571A5">
        <w:rPr>
          <w:rtl/>
        </w:rPr>
        <w:t>اتخاذ</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قرارا</w:t>
      </w:r>
      <w:r>
        <w:rPr>
          <w:rtl/>
        </w:rPr>
        <w:t xml:space="preserve"> </w:t>
      </w:r>
      <w:r w:rsidRPr="006571A5">
        <w:rPr>
          <w:rtl/>
        </w:rPr>
        <w:t>استجاب</w:t>
      </w:r>
      <w:r>
        <w:rPr>
          <w:rtl/>
        </w:rPr>
        <w:t xml:space="preserve"> </w:t>
      </w:r>
      <w:r w:rsidRPr="006571A5">
        <w:rPr>
          <w:rtl/>
        </w:rPr>
        <w:t>بموجبه</w:t>
      </w:r>
      <w:r>
        <w:rPr>
          <w:rtl/>
        </w:rPr>
        <w:t xml:space="preserve"> </w:t>
      </w:r>
      <w:r w:rsidRPr="006571A5">
        <w:rPr>
          <w:rtl/>
        </w:rPr>
        <w:t>لطلب</w:t>
      </w:r>
      <w:r>
        <w:rPr>
          <w:rtl/>
        </w:rPr>
        <w:t xml:space="preserve"> </w:t>
      </w:r>
      <w:r w:rsidRPr="006571A5">
        <w:rPr>
          <w:rtl/>
        </w:rPr>
        <w:t>لجوء</w:t>
      </w:r>
      <w:r>
        <w:rPr>
          <w:rtl/>
        </w:rPr>
        <w:t xml:space="preserve"> </w:t>
      </w:r>
      <w:r w:rsidRPr="006571A5">
        <w:rPr>
          <w:rtl/>
        </w:rPr>
        <w:t>قدمته</w:t>
      </w:r>
      <w:r>
        <w:rPr>
          <w:rtl/>
        </w:rPr>
        <w:t xml:space="preserve"> </w:t>
      </w:r>
      <w:r w:rsidRPr="006571A5">
        <w:rPr>
          <w:rtl/>
        </w:rPr>
        <w:t>امرأة</w:t>
      </w:r>
      <w:r>
        <w:rPr>
          <w:rtl/>
        </w:rPr>
        <w:t xml:space="preserve"> </w:t>
      </w:r>
      <w:r w:rsidRPr="006571A5">
        <w:rPr>
          <w:rtl/>
        </w:rPr>
        <w:t>غيرها</w:t>
      </w:r>
      <w:r>
        <w:rPr>
          <w:rtl/>
        </w:rPr>
        <w:t xml:space="preserve"> </w:t>
      </w:r>
      <w:r w:rsidRPr="006571A5">
        <w:rPr>
          <w:rtl/>
        </w:rPr>
        <w:t>تواجه</w:t>
      </w:r>
      <w:r>
        <w:rPr>
          <w:rtl/>
        </w:rPr>
        <w:t xml:space="preserve"> </w:t>
      </w:r>
      <w:r w:rsidRPr="006571A5">
        <w:rPr>
          <w:rtl/>
        </w:rPr>
        <w:t>ظروفا</w:t>
      </w:r>
      <w:r>
        <w:rPr>
          <w:rtl/>
        </w:rPr>
        <w:t xml:space="preserve"> </w:t>
      </w:r>
      <w:r w:rsidRPr="006571A5">
        <w:rPr>
          <w:rtl/>
        </w:rPr>
        <w:t>مماثلة</w:t>
      </w:r>
      <w:r w:rsidRPr="006571A5">
        <w:rPr>
          <w:szCs w:val="30"/>
          <w:vertAlign w:val="superscript"/>
          <w:rtl/>
        </w:rPr>
        <w:t>(</w:t>
      </w:r>
      <w:r w:rsidRPr="006571A5">
        <w:rPr>
          <w:rStyle w:val="FootnoteReference"/>
          <w:szCs w:val="30"/>
          <w:rtl/>
        </w:rPr>
        <w:footnoteReference w:id="3"/>
      </w:r>
      <w:r w:rsidRPr="006571A5">
        <w:rPr>
          <w:szCs w:val="30"/>
          <w:vertAlign w:val="superscript"/>
          <w:rtl/>
        </w:rPr>
        <w:t>)</w:t>
      </w:r>
      <w:r w:rsidRPr="006571A5">
        <w:rPr>
          <w:rFonts w:hint="cs"/>
          <w:szCs w:val="30"/>
          <w:rtl/>
        </w:rPr>
        <w:t xml:space="preserve"> </w:t>
      </w:r>
      <w:r w:rsidRPr="006571A5">
        <w:rPr>
          <w:rtl/>
        </w:rPr>
        <w:t>لها.</w:t>
      </w:r>
    </w:p>
    <w:p w14:paraId="7A964F45" w14:textId="7B4F9323" w:rsidR="006571A5" w:rsidRPr="006571A5" w:rsidRDefault="006571A5" w:rsidP="006571A5">
      <w:pPr>
        <w:pStyle w:val="SingleTxt"/>
        <w:spacing w:after="0" w:line="120" w:lineRule="exact"/>
        <w:rPr>
          <w:sz w:val="10"/>
          <w:rtl/>
        </w:rPr>
      </w:pPr>
    </w:p>
    <w:p w14:paraId="736BFD4E" w14:textId="5A4533A4" w:rsidR="006571A5" w:rsidRPr="006571A5" w:rsidRDefault="006571A5" w:rsidP="006571A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6571A5">
        <w:rPr>
          <w:rtl/>
        </w:rPr>
        <w:t>الشكوى</w:t>
      </w:r>
    </w:p>
    <w:p w14:paraId="39985735" w14:textId="790CC893" w:rsidR="006571A5" w:rsidRPr="006571A5" w:rsidRDefault="006571A5" w:rsidP="006571A5">
      <w:pPr>
        <w:pStyle w:val="SingleTxt"/>
        <w:rPr>
          <w:rtl/>
        </w:rPr>
      </w:pPr>
      <w:r w:rsidRPr="006571A5">
        <w:rPr>
          <w:rtl/>
        </w:rPr>
        <w:t>3-1</w:t>
      </w:r>
      <w:r w:rsidRPr="006571A5">
        <w:rPr>
          <w:rtl/>
        </w:rPr>
        <w:tab/>
        <w:t>تدّعي</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أن</w:t>
      </w:r>
      <w:r>
        <w:rPr>
          <w:rtl/>
        </w:rPr>
        <w:t xml:space="preserve"> </w:t>
      </w:r>
      <w:r w:rsidRPr="006571A5">
        <w:rPr>
          <w:rtl/>
        </w:rPr>
        <w:t>السلطات</w:t>
      </w:r>
      <w:r>
        <w:rPr>
          <w:rtl/>
        </w:rPr>
        <w:t xml:space="preserve"> </w:t>
      </w:r>
      <w:r w:rsidRPr="006571A5">
        <w:rPr>
          <w:rtl/>
        </w:rPr>
        <w:t>لم</w:t>
      </w:r>
      <w:r>
        <w:rPr>
          <w:rtl/>
        </w:rPr>
        <w:t xml:space="preserve"> </w:t>
      </w:r>
      <w:r w:rsidRPr="006571A5">
        <w:rPr>
          <w:rtl/>
        </w:rPr>
        <w:t>تقيّم</w:t>
      </w:r>
      <w:r>
        <w:rPr>
          <w:rtl/>
        </w:rPr>
        <w:t xml:space="preserve"> </w:t>
      </w:r>
      <w:r w:rsidRPr="006571A5">
        <w:rPr>
          <w:rtl/>
        </w:rPr>
        <w:t>طلب</w:t>
      </w:r>
      <w:r>
        <w:rPr>
          <w:rtl/>
        </w:rPr>
        <w:t xml:space="preserve"> </w:t>
      </w:r>
      <w:r w:rsidRPr="006571A5">
        <w:rPr>
          <w:rtl/>
        </w:rPr>
        <w:t>لجوئها</w:t>
      </w:r>
      <w:r>
        <w:rPr>
          <w:rtl/>
        </w:rPr>
        <w:t xml:space="preserve"> </w:t>
      </w:r>
      <w:r w:rsidRPr="006571A5">
        <w:rPr>
          <w:rtl/>
        </w:rPr>
        <w:t>في</w:t>
      </w:r>
      <w:r>
        <w:rPr>
          <w:rtl/>
        </w:rPr>
        <w:t xml:space="preserve"> </w:t>
      </w:r>
      <w:r w:rsidRPr="006571A5">
        <w:rPr>
          <w:rtl/>
        </w:rPr>
        <w:t>ضوء</w:t>
      </w:r>
      <w:r>
        <w:rPr>
          <w:rtl/>
        </w:rPr>
        <w:t xml:space="preserve"> </w:t>
      </w:r>
      <w:r w:rsidRPr="006571A5">
        <w:rPr>
          <w:rtl/>
        </w:rPr>
        <w:t>التزاماتها</w:t>
      </w:r>
      <w:r>
        <w:rPr>
          <w:rtl/>
        </w:rPr>
        <w:t xml:space="preserve"> </w:t>
      </w:r>
      <w:r w:rsidRPr="006571A5">
        <w:rPr>
          <w:rtl/>
        </w:rPr>
        <w:t>بموجب</w:t>
      </w:r>
      <w:r>
        <w:rPr>
          <w:rtl/>
        </w:rPr>
        <w:t xml:space="preserve"> </w:t>
      </w:r>
      <w:r w:rsidRPr="006571A5">
        <w:rPr>
          <w:rtl/>
        </w:rPr>
        <w:t>الاتفاقية.</w:t>
      </w:r>
    </w:p>
    <w:p w14:paraId="24566A11" w14:textId="2311817E" w:rsidR="006571A5" w:rsidRPr="006571A5" w:rsidRDefault="006571A5" w:rsidP="006571A5">
      <w:pPr>
        <w:pStyle w:val="SingleTxt"/>
        <w:rPr>
          <w:rtl/>
        </w:rPr>
      </w:pPr>
      <w:r w:rsidRPr="006571A5">
        <w:rPr>
          <w:rtl/>
        </w:rPr>
        <w:t>3-2</w:t>
      </w:r>
      <w:r w:rsidRPr="006571A5">
        <w:rPr>
          <w:rtl/>
        </w:rPr>
        <w:tab/>
        <w:t>وتدّعي</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كذلك</w:t>
      </w:r>
      <w:r>
        <w:rPr>
          <w:rtl/>
        </w:rPr>
        <w:t xml:space="preserve"> </w:t>
      </w:r>
      <w:r w:rsidRPr="006571A5">
        <w:rPr>
          <w:rtl/>
        </w:rPr>
        <w:t>أن</w:t>
      </w:r>
      <w:r>
        <w:rPr>
          <w:rtl/>
        </w:rPr>
        <w:t xml:space="preserve"> </w:t>
      </w:r>
      <w:r w:rsidRPr="006571A5">
        <w:rPr>
          <w:rtl/>
        </w:rPr>
        <w:t>الدانمرك</w:t>
      </w:r>
      <w:r>
        <w:rPr>
          <w:rtl/>
        </w:rPr>
        <w:t xml:space="preserve"> </w:t>
      </w:r>
      <w:r w:rsidRPr="006571A5">
        <w:rPr>
          <w:rtl/>
        </w:rPr>
        <w:t>ستنتهك</w:t>
      </w:r>
      <w:r>
        <w:rPr>
          <w:rtl/>
        </w:rPr>
        <w:t xml:space="preserve"> </w:t>
      </w:r>
      <w:r w:rsidRPr="006571A5">
        <w:rPr>
          <w:rtl/>
        </w:rPr>
        <w:t>المواد</w:t>
      </w:r>
      <w:r>
        <w:rPr>
          <w:rtl/>
        </w:rPr>
        <w:t xml:space="preserve"> </w:t>
      </w:r>
      <w:r w:rsidR="004B1017">
        <w:rPr>
          <w:rtl/>
        </w:rPr>
        <w:t>3</w:t>
      </w:r>
      <w:r>
        <w:rPr>
          <w:rtl/>
        </w:rPr>
        <w:t xml:space="preserve"> </w:t>
      </w:r>
      <w:r w:rsidRPr="006571A5">
        <w:rPr>
          <w:rtl/>
        </w:rPr>
        <w:t>و</w:t>
      </w:r>
      <w:r>
        <w:rPr>
          <w:rtl/>
        </w:rPr>
        <w:t xml:space="preserve"> </w:t>
      </w:r>
      <w:r w:rsidR="004B1017">
        <w:rPr>
          <w:rtl/>
        </w:rPr>
        <w:t>5</w:t>
      </w:r>
      <w:r>
        <w:rPr>
          <w:rtl/>
        </w:rPr>
        <w:t xml:space="preserve"> </w:t>
      </w:r>
      <w:r w:rsidRPr="006571A5">
        <w:rPr>
          <w:rtl/>
        </w:rPr>
        <w:t>و</w:t>
      </w:r>
      <w:r>
        <w:rPr>
          <w:rtl/>
        </w:rPr>
        <w:t xml:space="preserve"> </w:t>
      </w:r>
      <w:r w:rsidR="004B1017">
        <w:rPr>
          <w:rtl/>
        </w:rPr>
        <w:t>16</w:t>
      </w:r>
      <w:r>
        <w:rPr>
          <w:rtl/>
        </w:rPr>
        <w:t xml:space="preserve"> </w:t>
      </w:r>
      <w:r w:rsidRPr="006571A5">
        <w:rPr>
          <w:rtl/>
        </w:rPr>
        <w:t>(ب)</w:t>
      </w:r>
      <w:r>
        <w:rPr>
          <w:rtl/>
        </w:rPr>
        <w:t xml:space="preserve"> </w:t>
      </w:r>
      <w:r w:rsidRPr="006571A5">
        <w:rPr>
          <w:rtl/>
        </w:rPr>
        <w:t>من</w:t>
      </w:r>
      <w:r>
        <w:rPr>
          <w:rtl/>
        </w:rPr>
        <w:t xml:space="preserve"> </w:t>
      </w:r>
      <w:r w:rsidRPr="006571A5">
        <w:rPr>
          <w:rtl/>
        </w:rPr>
        <w:t>الاتفاقية</w:t>
      </w:r>
      <w:r>
        <w:rPr>
          <w:rtl/>
        </w:rPr>
        <w:t xml:space="preserve"> </w:t>
      </w:r>
      <w:r w:rsidRPr="006571A5">
        <w:rPr>
          <w:rtl/>
        </w:rPr>
        <w:t>في</w:t>
      </w:r>
      <w:r>
        <w:rPr>
          <w:rtl/>
        </w:rPr>
        <w:t xml:space="preserve"> </w:t>
      </w:r>
      <w:r w:rsidRPr="006571A5">
        <w:rPr>
          <w:rtl/>
        </w:rPr>
        <w:t>حالة</w:t>
      </w:r>
      <w:r>
        <w:rPr>
          <w:rtl/>
        </w:rPr>
        <w:t xml:space="preserve"> </w:t>
      </w:r>
      <w:r w:rsidRPr="006571A5">
        <w:rPr>
          <w:rtl/>
        </w:rPr>
        <w:t>رحّلتها</w:t>
      </w:r>
      <w:r>
        <w:rPr>
          <w:rtl/>
        </w:rPr>
        <w:t xml:space="preserve"> </w:t>
      </w:r>
      <w:r w:rsidRPr="006571A5">
        <w:rPr>
          <w:rtl/>
        </w:rPr>
        <w:t>إلى</w:t>
      </w:r>
      <w:r>
        <w:rPr>
          <w:rtl/>
        </w:rPr>
        <w:t xml:space="preserve"> </w:t>
      </w:r>
      <w:r w:rsidRPr="006571A5">
        <w:rPr>
          <w:rtl/>
        </w:rPr>
        <w:t>الصومال.</w:t>
      </w:r>
    </w:p>
    <w:p w14:paraId="222FD18A" w14:textId="2BDB09B3" w:rsidR="006571A5" w:rsidRPr="006571A5" w:rsidRDefault="006571A5" w:rsidP="006571A5">
      <w:pPr>
        <w:pStyle w:val="SingleTxt"/>
        <w:spacing w:after="0" w:line="120" w:lineRule="exact"/>
        <w:rPr>
          <w:sz w:val="10"/>
          <w:rtl/>
        </w:rPr>
      </w:pPr>
    </w:p>
    <w:p w14:paraId="1F8659ED" w14:textId="5FBB097E" w:rsidR="006571A5" w:rsidRPr="006571A5" w:rsidRDefault="006571A5" w:rsidP="006571A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r>
      <w:r w:rsidRPr="006571A5">
        <w:rPr>
          <w:rtl/>
        </w:rPr>
        <w:t>ملاحظات</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بشأن</w:t>
      </w:r>
      <w:r>
        <w:rPr>
          <w:rtl/>
        </w:rPr>
        <w:t xml:space="preserve"> </w:t>
      </w:r>
      <w:r w:rsidRPr="006571A5">
        <w:rPr>
          <w:rtl/>
        </w:rPr>
        <w:t>المقبولية</w:t>
      </w:r>
      <w:r>
        <w:rPr>
          <w:rtl/>
        </w:rPr>
        <w:t xml:space="preserve"> </w:t>
      </w:r>
      <w:r w:rsidRPr="006571A5">
        <w:rPr>
          <w:rtl/>
        </w:rPr>
        <w:t>والأسس</w:t>
      </w:r>
      <w:r>
        <w:rPr>
          <w:rtl/>
        </w:rPr>
        <w:t xml:space="preserve"> </w:t>
      </w:r>
      <w:r w:rsidRPr="006571A5">
        <w:rPr>
          <w:rtl/>
        </w:rPr>
        <w:t>الموضوعية</w:t>
      </w:r>
    </w:p>
    <w:p w14:paraId="7C3DE6D8" w14:textId="5BB11B83" w:rsidR="006571A5" w:rsidRPr="006571A5" w:rsidRDefault="006571A5" w:rsidP="006571A5">
      <w:pPr>
        <w:pStyle w:val="SingleTxt"/>
        <w:rPr>
          <w:rtl/>
        </w:rPr>
      </w:pPr>
      <w:r w:rsidRPr="006571A5">
        <w:rPr>
          <w:rtl/>
        </w:rPr>
        <w:t>4-1</w:t>
      </w:r>
      <w:r w:rsidRPr="006571A5">
        <w:rPr>
          <w:rtl/>
        </w:rPr>
        <w:tab/>
        <w:t>قدمت</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ملاحظاتها</w:t>
      </w:r>
      <w:r>
        <w:rPr>
          <w:rtl/>
        </w:rPr>
        <w:t xml:space="preserve"> </w:t>
      </w:r>
      <w:r w:rsidRPr="006571A5">
        <w:rPr>
          <w:rtl/>
        </w:rPr>
        <w:t>بشأن</w:t>
      </w:r>
      <w:r>
        <w:rPr>
          <w:rtl/>
        </w:rPr>
        <w:t xml:space="preserve"> </w:t>
      </w:r>
      <w:r w:rsidRPr="006571A5">
        <w:rPr>
          <w:rtl/>
        </w:rPr>
        <w:t>المقبولية</w:t>
      </w:r>
      <w:r>
        <w:rPr>
          <w:rtl/>
        </w:rPr>
        <w:t xml:space="preserve"> </w:t>
      </w:r>
      <w:r w:rsidRPr="006571A5">
        <w:rPr>
          <w:rtl/>
        </w:rPr>
        <w:t>والأسس</w:t>
      </w:r>
      <w:r>
        <w:rPr>
          <w:rtl/>
        </w:rPr>
        <w:t xml:space="preserve"> </w:t>
      </w:r>
      <w:r w:rsidRPr="006571A5">
        <w:rPr>
          <w:rtl/>
        </w:rPr>
        <w:t>الموضوعية</w:t>
      </w:r>
      <w:r>
        <w:rPr>
          <w:rtl/>
        </w:rPr>
        <w:t xml:space="preserve"> </w:t>
      </w:r>
      <w:r w:rsidRPr="006571A5">
        <w:rPr>
          <w:rtl/>
        </w:rPr>
        <w:t>في</w:t>
      </w:r>
      <w:r>
        <w:rPr>
          <w:rtl/>
        </w:rPr>
        <w:t xml:space="preserve"> </w:t>
      </w:r>
      <w:r w:rsidRPr="006571A5">
        <w:rPr>
          <w:rtl/>
        </w:rPr>
        <w:t>مذكرة</w:t>
      </w:r>
      <w:r>
        <w:rPr>
          <w:rtl/>
        </w:rPr>
        <w:t xml:space="preserve"> </w:t>
      </w:r>
      <w:r w:rsidRPr="006571A5">
        <w:rPr>
          <w:rtl/>
        </w:rPr>
        <w:t>شفوية</w:t>
      </w:r>
      <w:r>
        <w:rPr>
          <w:rtl/>
        </w:rPr>
        <w:t xml:space="preserve"> </w:t>
      </w:r>
      <w:r w:rsidRPr="006571A5">
        <w:rPr>
          <w:rtl/>
        </w:rPr>
        <w:t>مؤرخة</w:t>
      </w:r>
      <w:r>
        <w:rPr>
          <w:rtl/>
        </w:rPr>
        <w:t xml:space="preserve"> </w:t>
      </w:r>
      <w:r w:rsidR="004B1017">
        <w:rPr>
          <w:rtl/>
        </w:rPr>
        <w:t>15</w:t>
      </w:r>
      <w:r>
        <w:rPr>
          <w:rFonts w:hint="cs"/>
          <w:rtl/>
        </w:rPr>
        <w:t> </w:t>
      </w:r>
      <w:r w:rsidRPr="006571A5">
        <w:rPr>
          <w:rtl/>
        </w:rPr>
        <w:t>آذار/مارس</w:t>
      </w:r>
      <w:r>
        <w:rPr>
          <w:rtl/>
        </w:rPr>
        <w:t xml:space="preserve"> </w:t>
      </w:r>
      <w:r w:rsidR="004B1017">
        <w:rPr>
          <w:rtl/>
        </w:rPr>
        <w:t>2016</w:t>
      </w:r>
      <w:r w:rsidRPr="006571A5">
        <w:rPr>
          <w:rtl/>
        </w:rPr>
        <w:t>.</w:t>
      </w:r>
      <w:r>
        <w:rPr>
          <w:rtl/>
        </w:rPr>
        <w:t xml:space="preserve"> </w:t>
      </w:r>
      <w:r w:rsidRPr="006571A5">
        <w:rPr>
          <w:rtl/>
        </w:rPr>
        <w:t>وأبلغت</w:t>
      </w:r>
      <w:r>
        <w:rPr>
          <w:rtl/>
        </w:rPr>
        <w:t xml:space="preserve"> </w:t>
      </w:r>
      <w:r w:rsidRPr="006571A5">
        <w:rPr>
          <w:rtl/>
        </w:rPr>
        <w:t>الدولة</w:t>
      </w:r>
      <w:r>
        <w:rPr>
          <w:rtl/>
        </w:rPr>
        <w:t xml:space="preserve"> </w:t>
      </w:r>
      <w:r w:rsidRPr="006571A5">
        <w:rPr>
          <w:rtl/>
        </w:rPr>
        <w:t>اللجنةَ</w:t>
      </w:r>
      <w:r>
        <w:rPr>
          <w:rtl/>
        </w:rPr>
        <w:t xml:space="preserve"> </w:t>
      </w:r>
      <w:r w:rsidRPr="006571A5">
        <w:rPr>
          <w:rtl/>
        </w:rPr>
        <w:t>أن</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قام،</w:t>
      </w:r>
      <w:r>
        <w:rPr>
          <w:rtl/>
        </w:rPr>
        <w:t xml:space="preserve"> </w:t>
      </w:r>
      <w:r w:rsidRPr="006571A5">
        <w:rPr>
          <w:rtl/>
        </w:rPr>
        <w:t>في</w:t>
      </w:r>
      <w:r>
        <w:rPr>
          <w:rtl/>
        </w:rPr>
        <w:t xml:space="preserve"> </w:t>
      </w:r>
      <w:r w:rsidRPr="006571A5">
        <w:rPr>
          <w:rtl/>
        </w:rPr>
        <w:t>25</w:t>
      </w:r>
      <w:r>
        <w:rPr>
          <w:rtl/>
        </w:rPr>
        <w:t xml:space="preserve"> </w:t>
      </w:r>
      <w:r w:rsidRPr="006571A5">
        <w:rPr>
          <w:rtl/>
        </w:rPr>
        <w:t>أيلول/سبتمبر</w:t>
      </w:r>
      <w:r>
        <w:rPr>
          <w:rtl/>
        </w:rPr>
        <w:t xml:space="preserve"> </w:t>
      </w:r>
      <w:r w:rsidRPr="006571A5">
        <w:rPr>
          <w:rtl/>
        </w:rPr>
        <w:t>2015،</w:t>
      </w:r>
      <w:r>
        <w:rPr>
          <w:rtl/>
        </w:rPr>
        <w:t xml:space="preserve"> </w:t>
      </w:r>
      <w:r w:rsidRPr="006571A5">
        <w:rPr>
          <w:rtl/>
        </w:rPr>
        <w:t>بتعليق</w:t>
      </w:r>
      <w:r>
        <w:rPr>
          <w:rtl/>
        </w:rPr>
        <w:t xml:space="preserve"> </w:t>
      </w:r>
      <w:r w:rsidRPr="006571A5">
        <w:rPr>
          <w:rtl/>
        </w:rPr>
        <w:t>المهلة</w:t>
      </w:r>
      <w:r>
        <w:rPr>
          <w:rtl/>
        </w:rPr>
        <w:t xml:space="preserve"> </w:t>
      </w:r>
      <w:r w:rsidRPr="006571A5">
        <w:rPr>
          <w:rtl/>
        </w:rPr>
        <w:t>المحددة</w:t>
      </w:r>
      <w:r>
        <w:rPr>
          <w:rtl/>
        </w:rPr>
        <w:t xml:space="preserve"> </w:t>
      </w:r>
      <w:r w:rsidRPr="006571A5">
        <w:rPr>
          <w:rtl/>
        </w:rPr>
        <w:t>لترحيل</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بناء</w:t>
      </w:r>
      <w:r>
        <w:rPr>
          <w:rtl/>
        </w:rPr>
        <w:t xml:space="preserve"> </w:t>
      </w:r>
      <w:r w:rsidRPr="006571A5">
        <w:rPr>
          <w:rtl/>
        </w:rPr>
        <w:t>على</w:t>
      </w:r>
      <w:r>
        <w:rPr>
          <w:rtl/>
        </w:rPr>
        <w:t xml:space="preserve"> </w:t>
      </w:r>
      <w:r w:rsidRPr="006571A5">
        <w:rPr>
          <w:rtl/>
        </w:rPr>
        <w:t>طلب</w:t>
      </w:r>
      <w:r>
        <w:rPr>
          <w:rtl/>
        </w:rPr>
        <w:t xml:space="preserve"> </w:t>
      </w:r>
      <w:r w:rsidRPr="006571A5">
        <w:rPr>
          <w:rtl/>
        </w:rPr>
        <w:t>اللجنة</w:t>
      </w:r>
      <w:r>
        <w:rPr>
          <w:rtl/>
        </w:rPr>
        <w:t xml:space="preserve"> </w:t>
      </w:r>
      <w:r w:rsidRPr="006571A5">
        <w:rPr>
          <w:rtl/>
        </w:rPr>
        <w:t>اتخاذ</w:t>
      </w:r>
      <w:r>
        <w:rPr>
          <w:rtl/>
        </w:rPr>
        <w:t xml:space="preserve"> </w:t>
      </w:r>
      <w:r w:rsidRPr="006571A5">
        <w:rPr>
          <w:rtl/>
        </w:rPr>
        <w:t>تدابير</w:t>
      </w:r>
      <w:r>
        <w:rPr>
          <w:rtl/>
        </w:rPr>
        <w:t xml:space="preserve"> </w:t>
      </w:r>
      <w:r w:rsidRPr="006571A5">
        <w:rPr>
          <w:rtl/>
        </w:rPr>
        <w:t>مؤقتة.</w:t>
      </w:r>
      <w:r>
        <w:rPr>
          <w:rtl/>
        </w:rPr>
        <w:t xml:space="preserve"> </w:t>
      </w:r>
      <w:r w:rsidRPr="006571A5">
        <w:rPr>
          <w:rtl/>
        </w:rPr>
        <w:t>وذكّرت</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بالوقائع:</w:t>
      </w:r>
      <w:r>
        <w:rPr>
          <w:rtl/>
        </w:rPr>
        <w:t xml:space="preserve"> </w:t>
      </w:r>
      <w:r w:rsidRPr="006571A5">
        <w:rPr>
          <w:rtl/>
        </w:rPr>
        <w:t>دخلت</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وهي</w:t>
      </w:r>
      <w:r>
        <w:rPr>
          <w:rtl/>
        </w:rPr>
        <w:t xml:space="preserve"> </w:t>
      </w:r>
      <w:r w:rsidRPr="006571A5">
        <w:rPr>
          <w:rtl/>
        </w:rPr>
        <w:t>مواطنة</w:t>
      </w:r>
      <w:r>
        <w:rPr>
          <w:rtl/>
        </w:rPr>
        <w:t xml:space="preserve"> </w:t>
      </w:r>
      <w:r w:rsidRPr="006571A5">
        <w:rPr>
          <w:rtl/>
        </w:rPr>
        <w:t>صومالية</w:t>
      </w:r>
      <w:r>
        <w:rPr>
          <w:rtl/>
        </w:rPr>
        <w:t xml:space="preserve"> </w:t>
      </w:r>
      <w:r w:rsidRPr="006571A5">
        <w:rPr>
          <w:rtl/>
        </w:rPr>
        <w:t>من</w:t>
      </w:r>
      <w:r>
        <w:rPr>
          <w:rtl/>
        </w:rPr>
        <w:t xml:space="preserve"> </w:t>
      </w:r>
      <w:r w:rsidRPr="006571A5">
        <w:rPr>
          <w:rtl/>
        </w:rPr>
        <w:t>مواليد</w:t>
      </w:r>
      <w:r>
        <w:rPr>
          <w:rtl/>
        </w:rPr>
        <w:t xml:space="preserve"> </w:t>
      </w:r>
      <w:r w:rsidRPr="006571A5">
        <w:rPr>
          <w:rtl/>
        </w:rPr>
        <w:t>عام</w:t>
      </w:r>
      <w:r>
        <w:rPr>
          <w:rtl/>
        </w:rPr>
        <w:t xml:space="preserve"> </w:t>
      </w:r>
      <w:r w:rsidRPr="006571A5">
        <w:rPr>
          <w:rtl/>
        </w:rPr>
        <w:t>1988،</w:t>
      </w:r>
      <w:r>
        <w:rPr>
          <w:rtl/>
        </w:rPr>
        <w:t xml:space="preserve"> </w:t>
      </w:r>
      <w:r w:rsidRPr="006571A5">
        <w:rPr>
          <w:rtl/>
        </w:rPr>
        <w:t>الدانمرك</w:t>
      </w:r>
      <w:r>
        <w:rPr>
          <w:rtl/>
        </w:rPr>
        <w:t xml:space="preserve"> </w:t>
      </w:r>
      <w:r w:rsidRPr="006571A5">
        <w:rPr>
          <w:rtl/>
        </w:rPr>
        <w:t>في</w:t>
      </w:r>
      <w:r>
        <w:rPr>
          <w:rtl/>
        </w:rPr>
        <w:t xml:space="preserve"> </w:t>
      </w:r>
      <w:r w:rsidRPr="006571A5">
        <w:rPr>
          <w:rtl/>
        </w:rPr>
        <w:t>13</w:t>
      </w:r>
      <w:r>
        <w:rPr>
          <w:rtl/>
        </w:rPr>
        <w:t xml:space="preserve"> </w:t>
      </w:r>
      <w:r w:rsidRPr="006571A5">
        <w:rPr>
          <w:rtl/>
        </w:rPr>
        <w:t>آب/أغسطس</w:t>
      </w:r>
      <w:r>
        <w:rPr>
          <w:rtl/>
        </w:rPr>
        <w:t xml:space="preserve"> </w:t>
      </w:r>
      <w:r w:rsidRPr="006571A5">
        <w:rPr>
          <w:rtl/>
        </w:rPr>
        <w:t>2014</w:t>
      </w:r>
      <w:r>
        <w:rPr>
          <w:rtl/>
        </w:rPr>
        <w:t xml:space="preserve"> </w:t>
      </w:r>
      <w:r w:rsidRPr="006571A5">
        <w:rPr>
          <w:rtl/>
        </w:rPr>
        <w:t>من</w:t>
      </w:r>
      <w:r>
        <w:rPr>
          <w:rtl/>
        </w:rPr>
        <w:t xml:space="preserve"> </w:t>
      </w:r>
      <w:r w:rsidRPr="006571A5">
        <w:rPr>
          <w:rtl/>
        </w:rPr>
        <w:t>دون</w:t>
      </w:r>
      <w:r>
        <w:rPr>
          <w:rtl/>
        </w:rPr>
        <w:t xml:space="preserve"> </w:t>
      </w:r>
      <w:r w:rsidRPr="006571A5">
        <w:rPr>
          <w:rtl/>
        </w:rPr>
        <w:t>وثائق</w:t>
      </w:r>
      <w:r>
        <w:rPr>
          <w:rtl/>
        </w:rPr>
        <w:t xml:space="preserve"> </w:t>
      </w:r>
      <w:r w:rsidRPr="006571A5">
        <w:rPr>
          <w:rtl/>
        </w:rPr>
        <w:t>سفر</w:t>
      </w:r>
      <w:r>
        <w:rPr>
          <w:rtl/>
        </w:rPr>
        <w:t xml:space="preserve"> </w:t>
      </w:r>
      <w:r w:rsidRPr="006571A5">
        <w:rPr>
          <w:rtl/>
        </w:rPr>
        <w:t>صالحة</w:t>
      </w:r>
      <w:r>
        <w:rPr>
          <w:rtl/>
        </w:rPr>
        <w:t xml:space="preserve"> </w:t>
      </w:r>
      <w:r w:rsidRPr="006571A5">
        <w:rPr>
          <w:rtl/>
        </w:rPr>
        <w:t>وطلبَت</w:t>
      </w:r>
      <w:r>
        <w:rPr>
          <w:rtl/>
        </w:rPr>
        <w:t xml:space="preserve"> </w:t>
      </w:r>
      <w:r w:rsidRPr="006571A5">
        <w:rPr>
          <w:rtl/>
        </w:rPr>
        <w:t>اللجوء.</w:t>
      </w:r>
      <w:r>
        <w:rPr>
          <w:rtl/>
        </w:rPr>
        <w:t xml:space="preserve"> </w:t>
      </w:r>
      <w:r w:rsidRPr="006571A5">
        <w:rPr>
          <w:rtl/>
        </w:rPr>
        <w:t>وفي</w:t>
      </w:r>
      <w:r>
        <w:rPr>
          <w:rtl/>
        </w:rPr>
        <w:t xml:space="preserve"> </w:t>
      </w:r>
      <w:r w:rsidR="004B1017">
        <w:rPr>
          <w:rtl/>
        </w:rPr>
        <w:t>21</w:t>
      </w:r>
      <w:r>
        <w:rPr>
          <w:rtl/>
        </w:rPr>
        <w:t xml:space="preserve"> </w:t>
      </w:r>
      <w:r w:rsidRPr="006571A5">
        <w:rPr>
          <w:rtl/>
        </w:rPr>
        <w:t>تموز/يوليه</w:t>
      </w:r>
      <w:r>
        <w:rPr>
          <w:rtl/>
        </w:rPr>
        <w:t xml:space="preserve"> </w:t>
      </w:r>
      <w:r w:rsidR="004B1017">
        <w:rPr>
          <w:rtl/>
        </w:rPr>
        <w:t>2015</w:t>
      </w:r>
      <w:r w:rsidRPr="006571A5">
        <w:rPr>
          <w:rtl/>
        </w:rPr>
        <w:t>،</w:t>
      </w:r>
      <w:r>
        <w:rPr>
          <w:rtl/>
        </w:rPr>
        <w:t xml:space="preserve"> </w:t>
      </w:r>
      <w:r w:rsidRPr="006571A5">
        <w:rPr>
          <w:rtl/>
        </w:rPr>
        <w:t>رفضت</w:t>
      </w:r>
      <w:r>
        <w:rPr>
          <w:rtl/>
        </w:rPr>
        <w:t xml:space="preserve"> </w:t>
      </w:r>
      <w:r w:rsidRPr="006571A5">
        <w:rPr>
          <w:rtl/>
        </w:rPr>
        <w:t>دائرة</w:t>
      </w:r>
      <w:r>
        <w:rPr>
          <w:rtl/>
        </w:rPr>
        <w:t xml:space="preserve"> </w:t>
      </w:r>
      <w:r w:rsidRPr="006571A5">
        <w:rPr>
          <w:rtl/>
        </w:rPr>
        <w:t>الهجرة</w:t>
      </w:r>
      <w:r>
        <w:rPr>
          <w:rtl/>
        </w:rPr>
        <w:t xml:space="preserve"> </w:t>
      </w:r>
      <w:r w:rsidRPr="006571A5">
        <w:rPr>
          <w:rtl/>
        </w:rPr>
        <w:t>طلبها.</w:t>
      </w:r>
      <w:r>
        <w:rPr>
          <w:rtl/>
        </w:rPr>
        <w:t xml:space="preserve"> </w:t>
      </w:r>
      <w:r w:rsidRPr="006571A5">
        <w:rPr>
          <w:rtl/>
        </w:rPr>
        <w:t>وفي</w:t>
      </w:r>
      <w:r>
        <w:rPr>
          <w:rtl/>
        </w:rPr>
        <w:t xml:space="preserve"> </w:t>
      </w:r>
      <w:r w:rsidR="004B1017">
        <w:rPr>
          <w:rtl/>
        </w:rPr>
        <w:t>4</w:t>
      </w:r>
      <w:r>
        <w:rPr>
          <w:rtl/>
        </w:rPr>
        <w:t xml:space="preserve"> </w:t>
      </w:r>
      <w:r w:rsidRPr="006571A5">
        <w:rPr>
          <w:rtl/>
        </w:rPr>
        <w:t>أيلول/سبتمبر</w:t>
      </w:r>
      <w:r>
        <w:rPr>
          <w:rtl/>
        </w:rPr>
        <w:t xml:space="preserve"> </w:t>
      </w:r>
      <w:r w:rsidR="004B1017">
        <w:rPr>
          <w:rtl/>
        </w:rPr>
        <w:t>2015</w:t>
      </w:r>
      <w:r w:rsidRPr="006571A5">
        <w:rPr>
          <w:rtl/>
        </w:rPr>
        <w:t>،</w:t>
      </w:r>
      <w:r>
        <w:rPr>
          <w:rtl/>
        </w:rPr>
        <w:t xml:space="preserve"> </w:t>
      </w:r>
      <w:r w:rsidRPr="006571A5">
        <w:rPr>
          <w:rtl/>
        </w:rPr>
        <w:t>أيّد</w:t>
      </w:r>
      <w:r>
        <w:rPr>
          <w:rtl/>
        </w:rPr>
        <w:t xml:space="preserve"> </w:t>
      </w:r>
      <w:r w:rsidRPr="006571A5">
        <w:rPr>
          <w:rtl/>
        </w:rPr>
        <w:t>المجلس</w:t>
      </w:r>
      <w:r>
        <w:rPr>
          <w:rtl/>
        </w:rPr>
        <w:t xml:space="preserve"> </w:t>
      </w:r>
      <w:r w:rsidRPr="006571A5">
        <w:rPr>
          <w:rtl/>
        </w:rPr>
        <w:t>ذلك</w:t>
      </w:r>
      <w:r>
        <w:rPr>
          <w:rtl/>
        </w:rPr>
        <w:t xml:space="preserve"> </w:t>
      </w:r>
      <w:r w:rsidRPr="006571A5">
        <w:rPr>
          <w:rtl/>
        </w:rPr>
        <w:t>القرار.</w:t>
      </w:r>
    </w:p>
    <w:p w14:paraId="6DCDF344" w14:textId="12E0B2FA" w:rsidR="006571A5" w:rsidRPr="003667F2" w:rsidRDefault="006571A5" w:rsidP="006571A5">
      <w:pPr>
        <w:pStyle w:val="SingleTxt"/>
        <w:rPr>
          <w:rtl/>
        </w:rPr>
      </w:pPr>
      <w:r w:rsidRPr="006571A5">
        <w:rPr>
          <w:rtl/>
        </w:rPr>
        <w:t>4-2</w:t>
      </w:r>
      <w:r w:rsidRPr="006571A5">
        <w:rPr>
          <w:rtl/>
        </w:rPr>
        <w:tab/>
      </w:r>
      <w:r w:rsidRPr="003667F2">
        <w:rPr>
          <w:rtl/>
        </w:rPr>
        <w:t xml:space="preserve">وتنظر الدولة الطرف في تعليل مجلس طعون اللاجئين قرارَه الصادر في 20 آب/أغسطس 2015. فتلاحظ أنه لم يسَع مجلس طعون اللاجئين قبولُ أقوال صاحبة الرسالة بشأن أسباب طلوبها اللجوء لأنه رأى أنها غير معقولة وشكّ في مصداقية صاحبة الرسالة. فعندما أجرت دائرة الهجرة مقابلة مع صاحبة الرسالة في </w:t>
      </w:r>
      <w:r w:rsidR="004B1017" w:rsidRPr="003667F2">
        <w:rPr>
          <w:rtl/>
        </w:rPr>
        <w:t>10</w:t>
      </w:r>
      <w:r w:rsidRPr="003667F2">
        <w:rPr>
          <w:rtl/>
        </w:rPr>
        <w:t xml:space="preserve"> تشرين الأول/أكتوبر </w:t>
      </w:r>
      <w:r w:rsidR="004B1017" w:rsidRPr="003667F2">
        <w:rPr>
          <w:rtl/>
        </w:rPr>
        <w:t>2014</w:t>
      </w:r>
      <w:r w:rsidRPr="003667F2">
        <w:rPr>
          <w:rtl/>
        </w:rPr>
        <w:t xml:space="preserve">، قالت إن أفرادا من حركة الشباب جاؤوا إلى والدها أول مرة في تموز/يوليه </w:t>
      </w:r>
      <w:r w:rsidR="004B1017" w:rsidRPr="003667F2">
        <w:rPr>
          <w:rtl/>
        </w:rPr>
        <w:t>2014</w:t>
      </w:r>
      <w:r w:rsidRPr="003667F2">
        <w:rPr>
          <w:rtl/>
        </w:rPr>
        <w:t xml:space="preserve"> وقالوا له إن زواجها </w:t>
      </w:r>
      <w:r w:rsidR="00A96963" w:rsidRPr="003667F2">
        <w:rPr>
          <w:rFonts w:hint="cs"/>
          <w:rtl/>
        </w:rPr>
        <w:t>”</w:t>
      </w:r>
      <w:r w:rsidRPr="003667F2">
        <w:rPr>
          <w:rtl/>
        </w:rPr>
        <w:t>حرام</w:t>
      </w:r>
      <w:r w:rsidR="00A96963" w:rsidRPr="003667F2">
        <w:rPr>
          <w:rFonts w:hint="cs"/>
          <w:rtl/>
        </w:rPr>
        <w:t>“</w:t>
      </w:r>
      <w:r w:rsidRPr="003667F2">
        <w:rPr>
          <w:rtl/>
        </w:rPr>
        <w:t xml:space="preserve"> لأن زوجها لا يعمل لصالح حركة الشباب، ولذا ينبغي رجمُه. وذكرت صاحبة الرسالة وقت تلك المقابلة أن أفرادا من حركة الشباب أطلقوا النار على والدها في ذلك اليوم نفسه. ولكن في المقابلة التي أُجريت معها في </w:t>
      </w:r>
      <w:r w:rsidR="004B1017" w:rsidRPr="003667F2">
        <w:rPr>
          <w:rtl/>
        </w:rPr>
        <w:t>10</w:t>
      </w:r>
      <w:r w:rsidRPr="003667F2">
        <w:rPr>
          <w:rtl/>
        </w:rPr>
        <w:t xml:space="preserve"> تموز/يوليه </w:t>
      </w:r>
      <w:r w:rsidR="004B1017" w:rsidRPr="003667F2">
        <w:rPr>
          <w:rtl/>
        </w:rPr>
        <w:t>2015</w:t>
      </w:r>
      <w:r w:rsidRPr="003667F2">
        <w:rPr>
          <w:rtl/>
        </w:rPr>
        <w:t xml:space="preserve">، قالت إن والدها قُتل بعد يومين من الزيارة لأنه رفض أن يأخذوها معهم. وعندما سألتها دائرة الهجرة عن ذلك، أكَّدت أن والدها لم يُقتل في الزيارة الأولى. وقدمت صاحبة الرسالة روايات مختلفة عن قيام حركة الشباب بأخذ أختها وابن هذه الأخيرة معهم، وعن أسباب ذلك. فقد قالت أول مرة إنهم كانوا ينوون تزويجها من أحد أفراد حركة الشباب، ثم قالت بعدئذ إنهم أخذوها لأنهم اعتقدوا أنها صاحبة الرسالة. وهناك أيضا تناقضات فيما يتعلق بما إذا كانت صاحبة الرسالة موجودة في المنزل عند أخذ زوجها منه. ففي روايتها الأولى، قالت إنها كانت موجودة بالمنزل، ولكنها قالت في الرواية الثانية إنها لم تكن فيه وإن حماتها هي من أخبرها بذلك. </w:t>
      </w:r>
      <w:r w:rsidRPr="00267C30">
        <w:rPr>
          <w:rtl/>
        </w:rPr>
        <w:t xml:space="preserve">وعما أصاب زوجها، قالت في رواية إنه أصيب عندما كان محتجزا، </w:t>
      </w:r>
      <w:r w:rsidR="003667F2" w:rsidRPr="00267C30">
        <w:rPr>
          <w:rtl/>
        </w:rPr>
        <w:t>بينما</w:t>
      </w:r>
      <w:r w:rsidR="003667F2" w:rsidRPr="00267C30">
        <w:rPr>
          <w:rFonts w:hint="cs"/>
          <w:rtl/>
        </w:rPr>
        <w:t> </w:t>
      </w:r>
      <w:r w:rsidRPr="00267C30">
        <w:rPr>
          <w:rtl/>
        </w:rPr>
        <w:t xml:space="preserve">قالت في رواية أخرى إن حماتها أخبرتها أنه تعرض للضرب عند أخذه من المنزل. وعلاوة على ذلك، قالت في مقابلتها الأولى إن الفرد من حركة الشباب الذي كان من المفترض أن تتزوج يشغل مركزا رفيعا في الحركة، ولكنها لم تقدم أي دليل على ذلك. وقالت عدة مرات أيضا إنها لا تعرف أي فرد من </w:t>
      </w:r>
      <w:r w:rsidR="003667F2" w:rsidRPr="00267C30">
        <w:rPr>
          <w:rtl/>
        </w:rPr>
        <w:t>حركة</w:t>
      </w:r>
      <w:r w:rsidR="003667F2">
        <w:rPr>
          <w:rFonts w:hint="cs"/>
          <w:rtl/>
        </w:rPr>
        <w:t> </w:t>
      </w:r>
      <w:r w:rsidRPr="00267C30">
        <w:rPr>
          <w:rtl/>
        </w:rPr>
        <w:t>الشباب.</w:t>
      </w:r>
      <w:bookmarkStart w:id="2" w:name="_Hlk5890277"/>
      <w:bookmarkEnd w:id="2"/>
    </w:p>
    <w:p w14:paraId="10FA573D" w14:textId="73886C16" w:rsidR="006571A5" w:rsidRPr="006571A5" w:rsidRDefault="006571A5" w:rsidP="006571A5">
      <w:pPr>
        <w:pStyle w:val="SingleTxt"/>
        <w:rPr>
          <w:rtl/>
        </w:rPr>
      </w:pPr>
      <w:r w:rsidRPr="006571A5">
        <w:rPr>
          <w:rtl/>
        </w:rPr>
        <w:t>4-3</w:t>
      </w:r>
      <w:r w:rsidRPr="006571A5">
        <w:rPr>
          <w:rtl/>
        </w:rPr>
        <w:tab/>
        <w:t>وتقدم</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معلومات</w:t>
      </w:r>
      <w:r>
        <w:rPr>
          <w:rtl/>
        </w:rPr>
        <w:t xml:space="preserve"> </w:t>
      </w:r>
      <w:r w:rsidRPr="006571A5">
        <w:rPr>
          <w:rtl/>
        </w:rPr>
        <w:t>مفصلة</w:t>
      </w:r>
      <w:r>
        <w:rPr>
          <w:rtl/>
        </w:rPr>
        <w:t xml:space="preserve"> </w:t>
      </w:r>
      <w:r w:rsidRPr="006571A5">
        <w:rPr>
          <w:rtl/>
        </w:rPr>
        <w:t>عن</w:t>
      </w:r>
      <w:r>
        <w:rPr>
          <w:rtl/>
        </w:rPr>
        <w:t xml:space="preserve"> </w:t>
      </w:r>
      <w:r w:rsidRPr="006571A5">
        <w:rPr>
          <w:rtl/>
        </w:rPr>
        <w:t>تنظيم</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وولايته</w:t>
      </w:r>
      <w:r>
        <w:rPr>
          <w:rtl/>
        </w:rPr>
        <w:t xml:space="preserve"> </w:t>
      </w:r>
      <w:r w:rsidRPr="006571A5">
        <w:rPr>
          <w:rtl/>
        </w:rPr>
        <w:t>القضائية،</w:t>
      </w:r>
      <w:r>
        <w:rPr>
          <w:rtl/>
        </w:rPr>
        <w:t xml:space="preserve"> </w:t>
      </w:r>
      <w:r w:rsidRPr="006571A5">
        <w:rPr>
          <w:rtl/>
        </w:rPr>
        <w:t>وتشكيلته،</w:t>
      </w:r>
      <w:r>
        <w:rPr>
          <w:rtl/>
        </w:rPr>
        <w:t xml:space="preserve"> </w:t>
      </w:r>
      <w:r w:rsidRPr="006571A5">
        <w:rPr>
          <w:rtl/>
        </w:rPr>
        <w:t>واختصاصاته،</w:t>
      </w:r>
      <w:r>
        <w:rPr>
          <w:rtl/>
        </w:rPr>
        <w:t xml:space="preserve"> </w:t>
      </w:r>
      <w:r w:rsidRPr="006571A5">
        <w:rPr>
          <w:rtl/>
        </w:rPr>
        <w:t>وكيفية</w:t>
      </w:r>
      <w:r>
        <w:rPr>
          <w:rtl/>
        </w:rPr>
        <w:t xml:space="preserve"> </w:t>
      </w:r>
      <w:r w:rsidRPr="006571A5">
        <w:rPr>
          <w:rtl/>
        </w:rPr>
        <w:t>عمله،</w:t>
      </w:r>
      <w:r>
        <w:rPr>
          <w:rtl/>
        </w:rPr>
        <w:t xml:space="preserve"> </w:t>
      </w:r>
      <w:r w:rsidRPr="006571A5">
        <w:rPr>
          <w:rtl/>
        </w:rPr>
        <w:t>واستقلاله،</w:t>
      </w:r>
      <w:r>
        <w:rPr>
          <w:rtl/>
        </w:rPr>
        <w:t xml:space="preserve"> </w:t>
      </w:r>
      <w:r w:rsidRPr="006571A5">
        <w:rPr>
          <w:rtl/>
        </w:rPr>
        <w:t>والأساس</w:t>
      </w:r>
      <w:r>
        <w:rPr>
          <w:rtl/>
        </w:rPr>
        <w:t xml:space="preserve"> </w:t>
      </w:r>
      <w:r w:rsidRPr="006571A5">
        <w:rPr>
          <w:rtl/>
        </w:rPr>
        <w:t>القانوني</w:t>
      </w:r>
      <w:r>
        <w:rPr>
          <w:rtl/>
        </w:rPr>
        <w:t xml:space="preserve"> </w:t>
      </w:r>
      <w:r w:rsidRPr="006571A5">
        <w:rPr>
          <w:rtl/>
        </w:rPr>
        <w:t>لقراراته</w:t>
      </w:r>
      <w:r>
        <w:rPr>
          <w:rtl/>
        </w:rPr>
        <w:t xml:space="preserve"> </w:t>
      </w:r>
      <w:r w:rsidRPr="006571A5">
        <w:rPr>
          <w:rtl/>
        </w:rPr>
        <w:t>وعملية</w:t>
      </w:r>
      <w:r>
        <w:rPr>
          <w:rtl/>
        </w:rPr>
        <w:t xml:space="preserve"> </w:t>
      </w:r>
      <w:r w:rsidRPr="006571A5">
        <w:rPr>
          <w:rtl/>
        </w:rPr>
        <w:t>اتخاذ</w:t>
      </w:r>
      <w:r>
        <w:rPr>
          <w:rtl/>
        </w:rPr>
        <w:t xml:space="preserve"> </w:t>
      </w:r>
      <w:r w:rsidRPr="006571A5">
        <w:rPr>
          <w:rtl/>
        </w:rPr>
        <w:t>القرار</w:t>
      </w:r>
      <w:r>
        <w:rPr>
          <w:rtl/>
        </w:rPr>
        <w:t xml:space="preserve"> </w:t>
      </w:r>
      <w:r w:rsidRPr="006571A5">
        <w:rPr>
          <w:rtl/>
        </w:rPr>
        <w:t>فيه،</w:t>
      </w:r>
      <w:r>
        <w:rPr>
          <w:rtl/>
        </w:rPr>
        <w:t xml:space="preserve"> </w:t>
      </w:r>
      <w:r w:rsidRPr="006571A5">
        <w:rPr>
          <w:rtl/>
        </w:rPr>
        <w:t>وعن</w:t>
      </w:r>
      <w:r>
        <w:rPr>
          <w:rtl/>
        </w:rPr>
        <w:t xml:space="preserve"> </w:t>
      </w:r>
      <w:r w:rsidRPr="006571A5">
        <w:rPr>
          <w:rtl/>
        </w:rPr>
        <w:t>تقييم</w:t>
      </w:r>
      <w:r>
        <w:rPr>
          <w:rtl/>
        </w:rPr>
        <w:t xml:space="preserve"> </w:t>
      </w:r>
      <w:r w:rsidRPr="006571A5">
        <w:rPr>
          <w:rtl/>
        </w:rPr>
        <w:t>الأدلة</w:t>
      </w:r>
      <w:r>
        <w:rPr>
          <w:rtl/>
        </w:rPr>
        <w:t xml:space="preserve"> </w:t>
      </w:r>
      <w:r w:rsidRPr="006571A5">
        <w:rPr>
          <w:rtl/>
        </w:rPr>
        <w:t>وتوفر</w:t>
      </w:r>
      <w:r>
        <w:rPr>
          <w:rtl/>
        </w:rPr>
        <w:t xml:space="preserve"> </w:t>
      </w:r>
      <w:r w:rsidRPr="006571A5">
        <w:rPr>
          <w:rtl/>
        </w:rPr>
        <w:t>المعلومات</w:t>
      </w:r>
      <w:r>
        <w:rPr>
          <w:rtl/>
        </w:rPr>
        <w:t xml:space="preserve"> </w:t>
      </w:r>
      <w:r w:rsidRPr="006571A5">
        <w:rPr>
          <w:rtl/>
        </w:rPr>
        <w:t>الأساسية.</w:t>
      </w:r>
      <w:r>
        <w:rPr>
          <w:rtl/>
        </w:rPr>
        <w:t xml:space="preserve"> </w:t>
      </w:r>
      <w:r w:rsidRPr="006571A5">
        <w:rPr>
          <w:rtl/>
        </w:rPr>
        <w:t>وتوضح</w:t>
      </w:r>
      <w:r>
        <w:rPr>
          <w:rtl/>
        </w:rPr>
        <w:t xml:space="preserve"> </w:t>
      </w:r>
      <w:r w:rsidRPr="006571A5">
        <w:rPr>
          <w:rtl/>
        </w:rPr>
        <w:t>أن</w:t>
      </w:r>
      <w:r>
        <w:rPr>
          <w:rtl/>
        </w:rPr>
        <w:t xml:space="preserve"> </w:t>
      </w:r>
      <w:r w:rsidRPr="006571A5">
        <w:rPr>
          <w:rtl/>
        </w:rPr>
        <w:t>المادة</w:t>
      </w:r>
      <w:r>
        <w:rPr>
          <w:rtl/>
        </w:rPr>
        <w:t xml:space="preserve"> </w:t>
      </w:r>
      <w:r w:rsidRPr="006571A5">
        <w:rPr>
          <w:rtl/>
        </w:rPr>
        <w:t>7</w:t>
      </w:r>
      <w:r>
        <w:rPr>
          <w:rtl/>
        </w:rPr>
        <w:t xml:space="preserve"> </w:t>
      </w:r>
      <w:r w:rsidRPr="006571A5">
        <w:rPr>
          <w:rtl/>
        </w:rPr>
        <w:t>(1-2)</w:t>
      </w:r>
      <w:r>
        <w:rPr>
          <w:rtl/>
        </w:rPr>
        <w:t xml:space="preserve"> </w:t>
      </w:r>
      <w:r w:rsidRPr="006571A5">
        <w:rPr>
          <w:rtl/>
        </w:rPr>
        <w:t>من</w:t>
      </w:r>
      <w:r>
        <w:rPr>
          <w:rtl/>
        </w:rPr>
        <w:t xml:space="preserve"> </w:t>
      </w:r>
      <w:r w:rsidRPr="006571A5">
        <w:rPr>
          <w:rtl/>
        </w:rPr>
        <w:t>قانون</w:t>
      </w:r>
      <w:r>
        <w:rPr>
          <w:rtl/>
        </w:rPr>
        <w:t xml:space="preserve"> </w:t>
      </w:r>
      <w:r w:rsidRPr="006571A5">
        <w:rPr>
          <w:rtl/>
        </w:rPr>
        <w:t>الأجانب</w:t>
      </w:r>
      <w:r>
        <w:rPr>
          <w:rtl/>
        </w:rPr>
        <w:t xml:space="preserve"> </w:t>
      </w:r>
      <w:r w:rsidRPr="006571A5">
        <w:rPr>
          <w:rtl/>
        </w:rPr>
        <w:t>تنص</w:t>
      </w:r>
      <w:r>
        <w:rPr>
          <w:rtl/>
        </w:rPr>
        <w:t xml:space="preserve"> </w:t>
      </w:r>
      <w:r w:rsidRPr="006571A5">
        <w:rPr>
          <w:rtl/>
        </w:rPr>
        <w:t>على</w:t>
      </w:r>
      <w:r>
        <w:rPr>
          <w:rtl/>
        </w:rPr>
        <w:t xml:space="preserve"> </w:t>
      </w:r>
      <w:r w:rsidRPr="006571A5">
        <w:rPr>
          <w:rtl/>
        </w:rPr>
        <w:t>منح</w:t>
      </w:r>
      <w:r>
        <w:rPr>
          <w:rtl/>
        </w:rPr>
        <w:t xml:space="preserve"> </w:t>
      </w:r>
      <w:r w:rsidRPr="006571A5">
        <w:rPr>
          <w:rtl/>
        </w:rPr>
        <w:t>الأجنبي</w:t>
      </w:r>
      <w:r>
        <w:rPr>
          <w:rtl/>
        </w:rPr>
        <w:t xml:space="preserve"> </w:t>
      </w:r>
      <w:r w:rsidRPr="006571A5">
        <w:rPr>
          <w:rtl/>
        </w:rPr>
        <w:t>تصريح</w:t>
      </w:r>
      <w:r>
        <w:rPr>
          <w:rtl/>
        </w:rPr>
        <w:t xml:space="preserve"> </w:t>
      </w:r>
      <w:r w:rsidRPr="006571A5">
        <w:rPr>
          <w:rtl/>
        </w:rPr>
        <w:t>إقامة</w:t>
      </w:r>
      <w:r>
        <w:rPr>
          <w:rtl/>
        </w:rPr>
        <w:t xml:space="preserve"> </w:t>
      </w:r>
      <w:r w:rsidRPr="006571A5">
        <w:rPr>
          <w:rtl/>
        </w:rPr>
        <w:t>عند</w:t>
      </w:r>
      <w:r>
        <w:rPr>
          <w:rtl/>
        </w:rPr>
        <w:t xml:space="preserve"> </w:t>
      </w:r>
      <w:r w:rsidRPr="006571A5">
        <w:rPr>
          <w:rtl/>
        </w:rPr>
        <w:t>الطلب</w:t>
      </w:r>
      <w:r>
        <w:rPr>
          <w:rtl/>
        </w:rPr>
        <w:t xml:space="preserve"> </w:t>
      </w:r>
      <w:r w:rsidRPr="006571A5">
        <w:rPr>
          <w:rtl/>
        </w:rPr>
        <w:t>إذا</w:t>
      </w:r>
      <w:r>
        <w:rPr>
          <w:rtl/>
        </w:rPr>
        <w:t xml:space="preserve"> </w:t>
      </w:r>
      <w:r w:rsidRPr="006571A5">
        <w:rPr>
          <w:rtl/>
        </w:rPr>
        <w:t>ما</w:t>
      </w:r>
      <w:r>
        <w:rPr>
          <w:rtl/>
        </w:rPr>
        <w:t xml:space="preserve"> </w:t>
      </w:r>
      <w:r w:rsidRPr="006571A5">
        <w:rPr>
          <w:rtl/>
        </w:rPr>
        <w:t>كان</w:t>
      </w:r>
      <w:r>
        <w:rPr>
          <w:rtl/>
        </w:rPr>
        <w:t xml:space="preserve"> </w:t>
      </w:r>
      <w:r w:rsidRPr="006571A5">
        <w:rPr>
          <w:rtl/>
        </w:rPr>
        <w:t>مشمولاً</w:t>
      </w:r>
      <w:r>
        <w:rPr>
          <w:rtl/>
        </w:rPr>
        <w:t xml:space="preserve"> </w:t>
      </w:r>
      <w:r w:rsidRPr="006571A5">
        <w:rPr>
          <w:rtl/>
        </w:rPr>
        <w:t>بأحكام</w:t>
      </w:r>
      <w:r>
        <w:rPr>
          <w:rtl/>
        </w:rPr>
        <w:t xml:space="preserve"> </w:t>
      </w:r>
      <w:r w:rsidRPr="006571A5">
        <w:rPr>
          <w:rtl/>
        </w:rPr>
        <w:t>الاتفاقية</w:t>
      </w:r>
      <w:r>
        <w:rPr>
          <w:rtl/>
        </w:rPr>
        <w:t xml:space="preserve"> </w:t>
      </w:r>
      <w:r w:rsidRPr="006571A5">
        <w:rPr>
          <w:rtl/>
        </w:rPr>
        <w:t>الخاصة</w:t>
      </w:r>
      <w:r>
        <w:rPr>
          <w:rtl/>
        </w:rPr>
        <w:t xml:space="preserve"> </w:t>
      </w:r>
      <w:r w:rsidRPr="006571A5">
        <w:rPr>
          <w:rtl/>
        </w:rPr>
        <w:t>بوضع</w:t>
      </w:r>
      <w:r>
        <w:rPr>
          <w:rtl/>
        </w:rPr>
        <w:t xml:space="preserve"> </w:t>
      </w:r>
      <w:r w:rsidRPr="006571A5">
        <w:rPr>
          <w:rtl/>
        </w:rPr>
        <w:t>اللاجئين</w:t>
      </w:r>
      <w:r>
        <w:rPr>
          <w:rtl/>
        </w:rPr>
        <w:t xml:space="preserve"> </w:t>
      </w:r>
      <w:r w:rsidR="003667F2" w:rsidRPr="006571A5">
        <w:rPr>
          <w:rtl/>
        </w:rPr>
        <w:t>لعام</w:t>
      </w:r>
      <w:r w:rsidR="003667F2">
        <w:rPr>
          <w:rFonts w:hint="cs"/>
          <w:rtl/>
        </w:rPr>
        <w:t> </w:t>
      </w:r>
      <w:r w:rsidRPr="006571A5">
        <w:rPr>
          <w:rtl/>
        </w:rPr>
        <w:t>1951،</w:t>
      </w:r>
      <w:r>
        <w:rPr>
          <w:rtl/>
        </w:rPr>
        <w:t xml:space="preserve"> </w:t>
      </w:r>
      <w:r w:rsidRPr="006571A5">
        <w:rPr>
          <w:rtl/>
        </w:rPr>
        <w:t>أو</w:t>
      </w:r>
      <w:r>
        <w:rPr>
          <w:rtl/>
        </w:rPr>
        <w:t xml:space="preserve"> </w:t>
      </w:r>
      <w:r w:rsidRPr="006571A5">
        <w:rPr>
          <w:rtl/>
        </w:rPr>
        <w:t>إذا</w:t>
      </w:r>
      <w:r>
        <w:rPr>
          <w:rtl/>
        </w:rPr>
        <w:t xml:space="preserve"> </w:t>
      </w:r>
      <w:r w:rsidRPr="006571A5">
        <w:rPr>
          <w:rtl/>
        </w:rPr>
        <w:t>كان</w:t>
      </w:r>
      <w:r>
        <w:rPr>
          <w:rtl/>
        </w:rPr>
        <w:t xml:space="preserve"> </w:t>
      </w:r>
      <w:r w:rsidRPr="006571A5">
        <w:rPr>
          <w:rtl/>
        </w:rPr>
        <w:t>معرضاً</w:t>
      </w:r>
      <w:r>
        <w:rPr>
          <w:rtl/>
        </w:rPr>
        <w:t xml:space="preserve"> </w:t>
      </w:r>
      <w:r w:rsidRPr="006571A5">
        <w:rPr>
          <w:rtl/>
        </w:rPr>
        <w:t>لخطر</w:t>
      </w:r>
      <w:r>
        <w:rPr>
          <w:rtl/>
        </w:rPr>
        <w:t xml:space="preserve"> </w:t>
      </w:r>
      <w:r w:rsidRPr="006571A5">
        <w:rPr>
          <w:rtl/>
        </w:rPr>
        <w:t>الإعدام</w:t>
      </w:r>
      <w:r>
        <w:rPr>
          <w:rtl/>
        </w:rPr>
        <w:t xml:space="preserve"> </w:t>
      </w:r>
      <w:r w:rsidRPr="006571A5">
        <w:rPr>
          <w:rtl/>
        </w:rPr>
        <w:t>أو</w:t>
      </w:r>
      <w:r>
        <w:rPr>
          <w:rtl/>
        </w:rPr>
        <w:t xml:space="preserve"> </w:t>
      </w:r>
      <w:r w:rsidRPr="006571A5">
        <w:rPr>
          <w:rtl/>
        </w:rPr>
        <w:t>التعذيب</w:t>
      </w:r>
      <w:r>
        <w:rPr>
          <w:rtl/>
        </w:rPr>
        <w:t xml:space="preserve"> </w:t>
      </w:r>
      <w:r w:rsidRPr="006571A5">
        <w:rPr>
          <w:rtl/>
        </w:rPr>
        <w:t>أو</w:t>
      </w:r>
      <w:r>
        <w:rPr>
          <w:rtl/>
        </w:rPr>
        <w:t xml:space="preserve"> </w:t>
      </w:r>
      <w:r w:rsidRPr="006571A5">
        <w:rPr>
          <w:rtl/>
        </w:rPr>
        <w:t>غيره</w:t>
      </w:r>
      <w:r>
        <w:rPr>
          <w:rtl/>
        </w:rPr>
        <w:t xml:space="preserve"> </w:t>
      </w:r>
      <w:r w:rsidRPr="006571A5">
        <w:rPr>
          <w:rtl/>
        </w:rPr>
        <w:t>من</w:t>
      </w:r>
      <w:r>
        <w:rPr>
          <w:rtl/>
        </w:rPr>
        <w:t xml:space="preserve"> </w:t>
      </w:r>
      <w:r w:rsidRPr="006571A5">
        <w:rPr>
          <w:rtl/>
        </w:rPr>
        <w:t>ضروب</w:t>
      </w:r>
      <w:r>
        <w:rPr>
          <w:rtl/>
        </w:rPr>
        <w:t xml:space="preserve"> </w:t>
      </w:r>
      <w:r w:rsidRPr="006571A5">
        <w:rPr>
          <w:rtl/>
        </w:rPr>
        <w:t>المعاملة</w:t>
      </w:r>
      <w:r>
        <w:rPr>
          <w:rtl/>
        </w:rPr>
        <w:t xml:space="preserve"> </w:t>
      </w:r>
      <w:r w:rsidRPr="006571A5">
        <w:rPr>
          <w:rtl/>
        </w:rPr>
        <w:t>أو</w:t>
      </w:r>
      <w:r>
        <w:rPr>
          <w:rtl/>
        </w:rPr>
        <w:t xml:space="preserve"> </w:t>
      </w:r>
      <w:r w:rsidRPr="006571A5">
        <w:rPr>
          <w:rtl/>
        </w:rPr>
        <w:t>العقوبة</w:t>
      </w:r>
      <w:r>
        <w:rPr>
          <w:rtl/>
        </w:rPr>
        <w:t xml:space="preserve"> </w:t>
      </w:r>
      <w:r w:rsidRPr="006571A5">
        <w:rPr>
          <w:rtl/>
        </w:rPr>
        <w:t>اللاإنسانية</w:t>
      </w:r>
      <w:r>
        <w:rPr>
          <w:rtl/>
        </w:rPr>
        <w:t xml:space="preserve"> </w:t>
      </w:r>
      <w:r w:rsidRPr="006571A5">
        <w:rPr>
          <w:rtl/>
        </w:rPr>
        <w:t>أو</w:t>
      </w:r>
      <w:r>
        <w:rPr>
          <w:rtl/>
        </w:rPr>
        <w:t xml:space="preserve"> </w:t>
      </w:r>
      <w:r w:rsidRPr="006571A5">
        <w:rPr>
          <w:rtl/>
        </w:rPr>
        <w:t>المهينة</w:t>
      </w:r>
      <w:r>
        <w:rPr>
          <w:rtl/>
        </w:rPr>
        <w:t xml:space="preserve"> </w:t>
      </w:r>
      <w:r w:rsidRPr="006571A5">
        <w:rPr>
          <w:rtl/>
        </w:rPr>
        <w:t>في</w:t>
      </w:r>
      <w:r>
        <w:rPr>
          <w:rtl/>
        </w:rPr>
        <w:t xml:space="preserve"> </w:t>
      </w:r>
      <w:r w:rsidRPr="006571A5">
        <w:rPr>
          <w:rtl/>
        </w:rPr>
        <w:t>حال</w:t>
      </w:r>
      <w:r>
        <w:rPr>
          <w:rtl/>
        </w:rPr>
        <w:t xml:space="preserve"> </w:t>
      </w:r>
      <w:r w:rsidRPr="006571A5">
        <w:rPr>
          <w:rtl/>
        </w:rPr>
        <w:t>عودته</w:t>
      </w:r>
      <w:r>
        <w:rPr>
          <w:rtl/>
        </w:rPr>
        <w:t xml:space="preserve"> </w:t>
      </w:r>
      <w:r w:rsidRPr="006571A5">
        <w:rPr>
          <w:rtl/>
        </w:rPr>
        <w:t>إلى</w:t>
      </w:r>
      <w:r>
        <w:rPr>
          <w:rtl/>
        </w:rPr>
        <w:t xml:space="preserve"> </w:t>
      </w:r>
      <w:r w:rsidRPr="006571A5">
        <w:rPr>
          <w:rtl/>
        </w:rPr>
        <w:t>بلده</w:t>
      </w:r>
      <w:r>
        <w:rPr>
          <w:rtl/>
        </w:rPr>
        <w:t xml:space="preserve"> </w:t>
      </w:r>
      <w:r w:rsidRPr="006571A5">
        <w:rPr>
          <w:rtl/>
        </w:rPr>
        <w:t>الأصلي.</w:t>
      </w:r>
      <w:r>
        <w:rPr>
          <w:rtl/>
        </w:rPr>
        <w:t xml:space="preserve"> </w:t>
      </w:r>
      <w:r w:rsidRPr="006571A5">
        <w:rPr>
          <w:rtl/>
        </w:rPr>
        <w:t>والمجلس</w:t>
      </w:r>
      <w:r>
        <w:rPr>
          <w:rtl/>
        </w:rPr>
        <w:t xml:space="preserve"> </w:t>
      </w:r>
      <w:r w:rsidRPr="006571A5">
        <w:rPr>
          <w:rtl/>
        </w:rPr>
        <w:t>يعتبر</w:t>
      </w:r>
      <w:r>
        <w:rPr>
          <w:rtl/>
        </w:rPr>
        <w:t xml:space="preserve"> </w:t>
      </w:r>
      <w:r w:rsidRPr="006571A5">
        <w:rPr>
          <w:rtl/>
        </w:rPr>
        <w:t>عموما</w:t>
      </w:r>
      <w:r>
        <w:rPr>
          <w:rtl/>
        </w:rPr>
        <w:t xml:space="preserve"> </w:t>
      </w:r>
      <w:r w:rsidRPr="006571A5">
        <w:rPr>
          <w:rtl/>
        </w:rPr>
        <w:t>أن</w:t>
      </w:r>
      <w:r>
        <w:rPr>
          <w:rtl/>
        </w:rPr>
        <w:t xml:space="preserve"> </w:t>
      </w:r>
      <w:r w:rsidRPr="006571A5">
        <w:rPr>
          <w:rtl/>
        </w:rPr>
        <w:t>شروط</w:t>
      </w:r>
      <w:r>
        <w:rPr>
          <w:rtl/>
        </w:rPr>
        <w:t xml:space="preserve"> </w:t>
      </w:r>
      <w:r w:rsidRPr="006571A5">
        <w:rPr>
          <w:rtl/>
        </w:rPr>
        <w:t>المادة</w:t>
      </w:r>
      <w:r>
        <w:rPr>
          <w:rtl/>
        </w:rPr>
        <w:t xml:space="preserve"> </w:t>
      </w:r>
      <w:r w:rsidR="004B1017">
        <w:rPr>
          <w:rtl/>
        </w:rPr>
        <w:t>7</w:t>
      </w:r>
      <w:r>
        <w:rPr>
          <w:rtl/>
        </w:rPr>
        <w:t xml:space="preserve"> </w:t>
      </w:r>
      <w:r w:rsidRPr="006571A5">
        <w:rPr>
          <w:rtl/>
        </w:rPr>
        <w:t>(</w:t>
      </w:r>
      <w:r w:rsidR="004B1017">
        <w:rPr>
          <w:rtl/>
        </w:rPr>
        <w:t>2</w:t>
      </w:r>
      <w:r w:rsidRPr="006571A5">
        <w:rPr>
          <w:rtl/>
        </w:rPr>
        <w:t>)</w:t>
      </w:r>
      <w:r>
        <w:rPr>
          <w:rtl/>
        </w:rPr>
        <w:t xml:space="preserve"> </w:t>
      </w:r>
      <w:r w:rsidRPr="006571A5">
        <w:rPr>
          <w:rtl/>
        </w:rPr>
        <w:t>من</w:t>
      </w:r>
      <w:r>
        <w:rPr>
          <w:rtl/>
        </w:rPr>
        <w:t xml:space="preserve"> </w:t>
      </w:r>
      <w:r w:rsidRPr="006571A5">
        <w:rPr>
          <w:rtl/>
        </w:rPr>
        <w:t>ذلك</w:t>
      </w:r>
      <w:r>
        <w:rPr>
          <w:rtl/>
        </w:rPr>
        <w:t xml:space="preserve"> </w:t>
      </w:r>
      <w:r w:rsidRPr="006571A5">
        <w:rPr>
          <w:rtl/>
        </w:rPr>
        <w:t>القانون</w:t>
      </w:r>
      <w:r>
        <w:rPr>
          <w:rtl/>
        </w:rPr>
        <w:t xml:space="preserve"> </w:t>
      </w:r>
      <w:r w:rsidRPr="006571A5">
        <w:rPr>
          <w:rtl/>
        </w:rPr>
        <w:t>مستوفاة</w:t>
      </w:r>
      <w:r>
        <w:rPr>
          <w:rtl/>
        </w:rPr>
        <w:t xml:space="preserve"> </w:t>
      </w:r>
      <w:r w:rsidRPr="006571A5">
        <w:rPr>
          <w:rtl/>
        </w:rPr>
        <w:t>عند</w:t>
      </w:r>
      <w:r>
        <w:rPr>
          <w:rtl/>
        </w:rPr>
        <w:t xml:space="preserve"> </w:t>
      </w:r>
      <w:r w:rsidRPr="006571A5">
        <w:rPr>
          <w:rtl/>
        </w:rPr>
        <w:t>وجود</w:t>
      </w:r>
      <w:r>
        <w:rPr>
          <w:rtl/>
        </w:rPr>
        <w:t xml:space="preserve"> </w:t>
      </w:r>
      <w:r w:rsidRPr="006571A5">
        <w:rPr>
          <w:rtl/>
        </w:rPr>
        <w:t>فرادى</w:t>
      </w:r>
      <w:r>
        <w:rPr>
          <w:rtl/>
        </w:rPr>
        <w:t xml:space="preserve"> </w:t>
      </w:r>
      <w:r w:rsidRPr="006571A5">
        <w:rPr>
          <w:rtl/>
        </w:rPr>
        <w:t>عوامل</w:t>
      </w:r>
      <w:r>
        <w:rPr>
          <w:rtl/>
        </w:rPr>
        <w:t xml:space="preserve"> </w:t>
      </w:r>
      <w:r w:rsidRPr="006571A5">
        <w:rPr>
          <w:rtl/>
        </w:rPr>
        <w:t>محدّدة</w:t>
      </w:r>
      <w:r>
        <w:rPr>
          <w:rtl/>
        </w:rPr>
        <w:t xml:space="preserve"> </w:t>
      </w:r>
      <w:r w:rsidRPr="006571A5">
        <w:rPr>
          <w:rtl/>
        </w:rPr>
        <w:t>تدلّ</w:t>
      </w:r>
      <w:r>
        <w:rPr>
          <w:rtl/>
        </w:rPr>
        <w:t xml:space="preserve"> </w:t>
      </w:r>
      <w:r w:rsidRPr="006571A5">
        <w:rPr>
          <w:rtl/>
        </w:rPr>
        <w:t>على</w:t>
      </w:r>
      <w:r>
        <w:rPr>
          <w:rtl/>
        </w:rPr>
        <w:t xml:space="preserve"> </w:t>
      </w:r>
      <w:r w:rsidRPr="006571A5">
        <w:rPr>
          <w:rtl/>
        </w:rPr>
        <w:t>أن</w:t>
      </w:r>
      <w:r>
        <w:rPr>
          <w:rtl/>
        </w:rPr>
        <w:t xml:space="preserve"> </w:t>
      </w:r>
      <w:r w:rsidRPr="006571A5">
        <w:rPr>
          <w:rtl/>
        </w:rPr>
        <w:t>طالب</w:t>
      </w:r>
      <w:r>
        <w:rPr>
          <w:rtl/>
        </w:rPr>
        <w:t xml:space="preserve"> </w:t>
      </w:r>
      <w:r w:rsidRPr="006571A5">
        <w:rPr>
          <w:rtl/>
        </w:rPr>
        <w:t>اللجوء</w:t>
      </w:r>
      <w:r>
        <w:rPr>
          <w:rtl/>
        </w:rPr>
        <w:t xml:space="preserve"> </w:t>
      </w:r>
      <w:r w:rsidRPr="006571A5">
        <w:rPr>
          <w:rtl/>
        </w:rPr>
        <w:t>عرضة</w:t>
      </w:r>
      <w:r>
        <w:rPr>
          <w:rtl/>
        </w:rPr>
        <w:t xml:space="preserve"> </w:t>
      </w:r>
      <w:r w:rsidRPr="006571A5">
        <w:rPr>
          <w:rtl/>
        </w:rPr>
        <w:t>لتلك</w:t>
      </w:r>
      <w:r>
        <w:rPr>
          <w:rtl/>
        </w:rPr>
        <w:t xml:space="preserve"> </w:t>
      </w:r>
      <w:r w:rsidRPr="006571A5">
        <w:rPr>
          <w:rtl/>
        </w:rPr>
        <w:t>المخاطر.</w:t>
      </w:r>
    </w:p>
    <w:p w14:paraId="6EF18969" w14:textId="53A78964" w:rsidR="006571A5" w:rsidRPr="006571A5" w:rsidRDefault="006571A5" w:rsidP="006571A5">
      <w:pPr>
        <w:pStyle w:val="SingleTxt"/>
        <w:rPr>
          <w:rtl/>
        </w:rPr>
      </w:pPr>
      <w:r w:rsidRPr="006571A5">
        <w:rPr>
          <w:rtl/>
        </w:rPr>
        <w:t>4-4</w:t>
      </w:r>
      <w:r w:rsidRPr="006571A5">
        <w:rPr>
          <w:rtl/>
        </w:rPr>
        <w:tab/>
        <w:t>وتضيف</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أن</w:t>
      </w:r>
      <w:r>
        <w:rPr>
          <w:rtl/>
        </w:rPr>
        <w:t xml:space="preserve"> </w:t>
      </w:r>
      <w:r w:rsidRPr="006571A5">
        <w:rPr>
          <w:rtl/>
        </w:rPr>
        <w:t>أي</w:t>
      </w:r>
      <w:r>
        <w:rPr>
          <w:rtl/>
        </w:rPr>
        <w:t xml:space="preserve"> </w:t>
      </w:r>
      <w:r w:rsidRPr="006571A5">
        <w:rPr>
          <w:rtl/>
        </w:rPr>
        <w:t>رفضٍ</w:t>
      </w:r>
      <w:r>
        <w:rPr>
          <w:rtl/>
        </w:rPr>
        <w:t xml:space="preserve"> </w:t>
      </w:r>
      <w:r w:rsidRPr="006571A5">
        <w:rPr>
          <w:rtl/>
        </w:rPr>
        <w:t>لطلب</w:t>
      </w:r>
      <w:r>
        <w:rPr>
          <w:rtl/>
        </w:rPr>
        <w:t xml:space="preserve"> </w:t>
      </w:r>
      <w:r w:rsidRPr="006571A5">
        <w:rPr>
          <w:rtl/>
        </w:rPr>
        <w:t>لجوء</w:t>
      </w:r>
      <w:r>
        <w:rPr>
          <w:rtl/>
        </w:rPr>
        <w:t xml:space="preserve"> </w:t>
      </w:r>
      <w:r w:rsidRPr="006571A5">
        <w:rPr>
          <w:rtl/>
        </w:rPr>
        <w:t>يصحبه</w:t>
      </w:r>
      <w:r>
        <w:rPr>
          <w:rtl/>
        </w:rPr>
        <w:t xml:space="preserve"> </w:t>
      </w:r>
      <w:r w:rsidRPr="006571A5">
        <w:rPr>
          <w:rtl/>
        </w:rPr>
        <w:t>لزاماً</w:t>
      </w:r>
      <w:r>
        <w:rPr>
          <w:rtl/>
        </w:rPr>
        <w:t xml:space="preserve"> </w:t>
      </w:r>
      <w:r w:rsidRPr="006571A5">
        <w:rPr>
          <w:rtl/>
        </w:rPr>
        <w:t>اتخاذُ</w:t>
      </w:r>
      <w:r>
        <w:rPr>
          <w:rtl/>
        </w:rPr>
        <w:t xml:space="preserve"> </w:t>
      </w:r>
      <w:r w:rsidRPr="006571A5">
        <w:rPr>
          <w:rtl/>
        </w:rPr>
        <w:t>قرار</w:t>
      </w:r>
      <w:r>
        <w:rPr>
          <w:rtl/>
        </w:rPr>
        <w:t xml:space="preserve"> </w:t>
      </w:r>
      <w:r w:rsidRPr="006571A5">
        <w:rPr>
          <w:rtl/>
        </w:rPr>
        <w:t>بشأن</w:t>
      </w:r>
      <w:r>
        <w:rPr>
          <w:rtl/>
        </w:rPr>
        <w:t xml:space="preserve"> </w:t>
      </w:r>
      <w:r w:rsidRPr="006571A5">
        <w:rPr>
          <w:rtl/>
        </w:rPr>
        <w:t>إمكانية</w:t>
      </w:r>
      <w:r>
        <w:rPr>
          <w:rtl/>
        </w:rPr>
        <w:t xml:space="preserve"> </w:t>
      </w:r>
      <w:r w:rsidRPr="006571A5">
        <w:rPr>
          <w:rtl/>
        </w:rPr>
        <w:t>إبعاد</w:t>
      </w:r>
      <w:r>
        <w:rPr>
          <w:rtl/>
        </w:rPr>
        <w:t xml:space="preserve"> </w:t>
      </w:r>
      <w:r w:rsidRPr="006571A5">
        <w:rPr>
          <w:rtl/>
        </w:rPr>
        <w:t>الأجنبي</w:t>
      </w:r>
      <w:r>
        <w:rPr>
          <w:rtl/>
        </w:rPr>
        <w:t xml:space="preserve"> </w:t>
      </w:r>
      <w:r w:rsidRPr="006571A5">
        <w:rPr>
          <w:rtl/>
        </w:rPr>
        <w:t>موضوع</w:t>
      </w:r>
      <w:r>
        <w:rPr>
          <w:rtl/>
        </w:rPr>
        <w:t xml:space="preserve"> </w:t>
      </w:r>
      <w:r w:rsidRPr="006571A5">
        <w:rPr>
          <w:rtl/>
        </w:rPr>
        <w:t>القضية</w:t>
      </w:r>
      <w:r>
        <w:rPr>
          <w:rtl/>
        </w:rPr>
        <w:t xml:space="preserve"> </w:t>
      </w:r>
      <w:r w:rsidRPr="006571A5">
        <w:rPr>
          <w:rtl/>
        </w:rPr>
        <w:t>من</w:t>
      </w:r>
      <w:r>
        <w:rPr>
          <w:rtl/>
        </w:rPr>
        <w:t xml:space="preserve"> </w:t>
      </w:r>
      <w:r w:rsidRPr="006571A5">
        <w:rPr>
          <w:rtl/>
        </w:rPr>
        <w:t>الدانمرك</w:t>
      </w:r>
      <w:r>
        <w:rPr>
          <w:rtl/>
        </w:rPr>
        <w:t xml:space="preserve"> </w:t>
      </w:r>
      <w:r w:rsidRPr="006571A5">
        <w:rPr>
          <w:rtl/>
        </w:rPr>
        <w:t>إذا</w:t>
      </w:r>
      <w:r>
        <w:rPr>
          <w:rtl/>
        </w:rPr>
        <w:t xml:space="preserve"> </w:t>
      </w:r>
      <w:r w:rsidRPr="006571A5">
        <w:rPr>
          <w:rtl/>
        </w:rPr>
        <w:t>لم</w:t>
      </w:r>
      <w:r>
        <w:rPr>
          <w:rtl/>
        </w:rPr>
        <w:t xml:space="preserve"> </w:t>
      </w:r>
      <w:r w:rsidRPr="006571A5">
        <w:rPr>
          <w:rtl/>
        </w:rPr>
        <w:t>يغادرها</w:t>
      </w:r>
      <w:r>
        <w:rPr>
          <w:rtl/>
        </w:rPr>
        <w:t xml:space="preserve"> </w:t>
      </w:r>
      <w:r w:rsidRPr="006571A5">
        <w:rPr>
          <w:rtl/>
        </w:rPr>
        <w:t>طوعا</w:t>
      </w:r>
      <w:r>
        <w:rPr>
          <w:rtl/>
        </w:rPr>
        <w:t xml:space="preserve"> </w:t>
      </w:r>
      <w:r w:rsidRPr="006571A5">
        <w:rPr>
          <w:rtl/>
        </w:rPr>
        <w:t>عملا</w:t>
      </w:r>
      <w:r>
        <w:rPr>
          <w:rtl/>
        </w:rPr>
        <w:t xml:space="preserve"> </w:t>
      </w:r>
      <w:r w:rsidRPr="006571A5">
        <w:rPr>
          <w:rtl/>
        </w:rPr>
        <w:t>بالمادتين</w:t>
      </w:r>
      <w:r>
        <w:rPr>
          <w:rtl/>
        </w:rPr>
        <w:t xml:space="preserve"> </w:t>
      </w:r>
      <w:r w:rsidR="004B1017">
        <w:rPr>
          <w:rtl/>
        </w:rPr>
        <w:t>31</w:t>
      </w:r>
      <w:r>
        <w:rPr>
          <w:rtl/>
        </w:rPr>
        <w:t xml:space="preserve"> </w:t>
      </w:r>
      <w:r w:rsidRPr="006571A5">
        <w:rPr>
          <w:rtl/>
        </w:rPr>
        <w:t>و</w:t>
      </w:r>
      <w:r>
        <w:rPr>
          <w:rtl/>
        </w:rPr>
        <w:t xml:space="preserve"> </w:t>
      </w:r>
      <w:r w:rsidR="004B1017">
        <w:rPr>
          <w:rtl/>
        </w:rPr>
        <w:t>32</w:t>
      </w:r>
      <w:r>
        <w:rPr>
          <w:rtl/>
        </w:rPr>
        <w:t xml:space="preserve"> </w:t>
      </w:r>
      <w:r w:rsidRPr="006571A5">
        <w:rPr>
          <w:rtl/>
        </w:rPr>
        <w:t>(أ)</w:t>
      </w:r>
      <w:r>
        <w:rPr>
          <w:rtl/>
        </w:rPr>
        <w:t xml:space="preserve"> </w:t>
      </w:r>
      <w:r w:rsidRPr="006571A5">
        <w:rPr>
          <w:rtl/>
        </w:rPr>
        <w:t>من</w:t>
      </w:r>
      <w:r>
        <w:rPr>
          <w:rtl/>
        </w:rPr>
        <w:t xml:space="preserve"> </w:t>
      </w:r>
      <w:r w:rsidRPr="006571A5">
        <w:rPr>
          <w:rtl/>
        </w:rPr>
        <w:t>قانون</w:t>
      </w:r>
      <w:r>
        <w:rPr>
          <w:rtl/>
        </w:rPr>
        <w:t xml:space="preserve"> </w:t>
      </w:r>
      <w:r w:rsidRPr="006571A5">
        <w:rPr>
          <w:rtl/>
        </w:rPr>
        <w:t>الأجانب.</w:t>
      </w:r>
      <w:r>
        <w:rPr>
          <w:rtl/>
        </w:rPr>
        <w:t xml:space="preserve"> </w:t>
      </w:r>
      <w:r w:rsidRPr="006571A5">
        <w:rPr>
          <w:rtl/>
        </w:rPr>
        <w:t>ويُستخلص</w:t>
      </w:r>
      <w:r>
        <w:rPr>
          <w:rtl/>
        </w:rPr>
        <w:t xml:space="preserve"> </w:t>
      </w:r>
      <w:r w:rsidRPr="006571A5">
        <w:rPr>
          <w:rtl/>
        </w:rPr>
        <w:t>من</w:t>
      </w:r>
      <w:r>
        <w:rPr>
          <w:rtl/>
        </w:rPr>
        <w:t xml:space="preserve"> </w:t>
      </w:r>
      <w:r w:rsidRPr="006571A5">
        <w:rPr>
          <w:rtl/>
        </w:rPr>
        <w:t>المادة</w:t>
      </w:r>
      <w:r>
        <w:rPr>
          <w:rtl/>
        </w:rPr>
        <w:t xml:space="preserve"> </w:t>
      </w:r>
      <w:r w:rsidRPr="006571A5">
        <w:rPr>
          <w:rtl/>
        </w:rPr>
        <w:t>31</w:t>
      </w:r>
      <w:r>
        <w:rPr>
          <w:rtl/>
        </w:rPr>
        <w:t xml:space="preserve"> </w:t>
      </w:r>
      <w:r w:rsidRPr="006571A5">
        <w:rPr>
          <w:rtl/>
        </w:rPr>
        <w:t>(2)</w:t>
      </w:r>
      <w:r>
        <w:rPr>
          <w:rtl/>
        </w:rPr>
        <w:t xml:space="preserve"> </w:t>
      </w:r>
      <w:r w:rsidRPr="006571A5">
        <w:rPr>
          <w:rtl/>
        </w:rPr>
        <w:t>أنه</w:t>
      </w:r>
      <w:r>
        <w:rPr>
          <w:rtl/>
        </w:rPr>
        <w:t xml:space="preserve"> </w:t>
      </w:r>
      <w:r w:rsidRPr="006571A5">
        <w:rPr>
          <w:rtl/>
        </w:rPr>
        <w:t>لا</w:t>
      </w:r>
      <w:r>
        <w:rPr>
          <w:rtl/>
        </w:rPr>
        <w:t xml:space="preserve"> </w:t>
      </w:r>
      <w:r w:rsidRPr="006571A5">
        <w:rPr>
          <w:rtl/>
        </w:rPr>
        <w:t>يجوز</w:t>
      </w:r>
      <w:r>
        <w:rPr>
          <w:rtl/>
        </w:rPr>
        <w:t xml:space="preserve"> </w:t>
      </w:r>
      <w:r w:rsidRPr="006571A5">
        <w:rPr>
          <w:rtl/>
        </w:rPr>
        <w:t>إعادة</w:t>
      </w:r>
      <w:r>
        <w:rPr>
          <w:rtl/>
        </w:rPr>
        <w:t xml:space="preserve"> </w:t>
      </w:r>
      <w:r w:rsidRPr="006571A5">
        <w:rPr>
          <w:rtl/>
        </w:rPr>
        <w:t>أي</w:t>
      </w:r>
      <w:r>
        <w:rPr>
          <w:rtl/>
        </w:rPr>
        <w:t xml:space="preserve"> </w:t>
      </w:r>
      <w:r w:rsidRPr="006571A5">
        <w:rPr>
          <w:rtl/>
        </w:rPr>
        <w:t>أجنبي</w:t>
      </w:r>
      <w:r>
        <w:rPr>
          <w:rtl/>
        </w:rPr>
        <w:t xml:space="preserve"> </w:t>
      </w:r>
      <w:r w:rsidRPr="006571A5">
        <w:rPr>
          <w:rtl/>
        </w:rPr>
        <w:t>إلى</w:t>
      </w:r>
      <w:r>
        <w:rPr>
          <w:rtl/>
        </w:rPr>
        <w:t xml:space="preserve"> </w:t>
      </w:r>
      <w:r w:rsidRPr="006571A5">
        <w:rPr>
          <w:rtl/>
        </w:rPr>
        <w:t>بلد</w:t>
      </w:r>
      <w:r>
        <w:rPr>
          <w:rtl/>
        </w:rPr>
        <w:t xml:space="preserve"> </w:t>
      </w:r>
      <w:r w:rsidRPr="006571A5">
        <w:rPr>
          <w:rtl/>
        </w:rPr>
        <w:t>يُخشى</w:t>
      </w:r>
      <w:r>
        <w:rPr>
          <w:rtl/>
        </w:rPr>
        <w:t xml:space="preserve"> </w:t>
      </w:r>
      <w:r w:rsidRPr="006571A5">
        <w:rPr>
          <w:rtl/>
        </w:rPr>
        <w:t>أن</w:t>
      </w:r>
      <w:r>
        <w:rPr>
          <w:rtl/>
        </w:rPr>
        <w:t xml:space="preserve"> </w:t>
      </w:r>
      <w:r w:rsidRPr="006571A5">
        <w:rPr>
          <w:rtl/>
        </w:rPr>
        <w:t>يتعرض</w:t>
      </w:r>
      <w:r>
        <w:rPr>
          <w:rtl/>
        </w:rPr>
        <w:t xml:space="preserve"> </w:t>
      </w:r>
      <w:r w:rsidRPr="006571A5">
        <w:rPr>
          <w:rtl/>
        </w:rPr>
        <w:t>فيه</w:t>
      </w:r>
      <w:r>
        <w:rPr>
          <w:rtl/>
        </w:rPr>
        <w:t xml:space="preserve"> </w:t>
      </w:r>
      <w:r w:rsidRPr="006571A5">
        <w:rPr>
          <w:rtl/>
        </w:rPr>
        <w:lastRenderedPageBreak/>
        <w:t>للاضطهاد</w:t>
      </w:r>
      <w:r>
        <w:rPr>
          <w:rtl/>
        </w:rPr>
        <w:t xml:space="preserve"> </w:t>
      </w:r>
      <w:r w:rsidRPr="006571A5">
        <w:rPr>
          <w:rtl/>
        </w:rPr>
        <w:t>على</w:t>
      </w:r>
      <w:r>
        <w:rPr>
          <w:rtl/>
        </w:rPr>
        <w:t xml:space="preserve"> </w:t>
      </w:r>
      <w:r w:rsidRPr="006571A5">
        <w:rPr>
          <w:rtl/>
        </w:rPr>
        <w:t>الأسس</w:t>
      </w:r>
      <w:r>
        <w:rPr>
          <w:rtl/>
        </w:rPr>
        <w:t xml:space="preserve"> </w:t>
      </w:r>
      <w:r w:rsidRPr="006571A5">
        <w:rPr>
          <w:rtl/>
        </w:rPr>
        <w:t>المبينة</w:t>
      </w:r>
      <w:r>
        <w:rPr>
          <w:rtl/>
        </w:rPr>
        <w:t xml:space="preserve"> </w:t>
      </w:r>
      <w:r w:rsidRPr="006571A5">
        <w:rPr>
          <w:rtl/>
        </w:rPr>
        <w:t>في</w:t>
      </w:r>
      <w:r>
        <w:rPr>
          <w:rtl/>
        </w:rPr>
        <w:t xml:space="preserve"> </w:t>
      </w:r>
      <w:r w:rsidRPr="006571A5">
        <w:rPr>
          <w:rtl/>
        </w:rPr>
        <w:t>المادة</w:t>
      </w:r>
      <w:r>
        <w:rPr>
          <w:rtl/>
        </w:rPr>
        <w:t xml:space="preserve"> </w:t>
      </w:r>
      <w:r w:rsidRPr="006571A5">
        <w:rPr>
          <w:rtl/>
        </w:rPr>
        <w:t>1</w:t>
      </w:r>
      <w:r>
        <w:rPr>
          <w:rtl/>
        </w:rPr>
        <w:t xml:space="preserve"> </w:t>
      </w:r>
      <w:r w:rsidRPr="006571A5">
        <w:rPr>
          <w:rtl/>
        </w:rPr>
        <w:t>من</w:t>
      </w:r>
      <w:r>
        <w:rPr>
          <w:rtl/>
        </w:rPr>
        <w:t xml:space="preserve"> </w:t>
      </w:r>
      <w:r w:rsidRPr="006571A5">
        <w:rPr>
          <w:rtl/>
        </w:rPr>
        <w:t>الاتفاقية</w:t>
      </w:r>
      <w:r>
        <w:rPr>
          <w:rtl/>
        </w:rPr>
        <w:t xml:space="preserve"> </w:t>
      </w:r>
      <w:r w:rsidRPr="006571A5">
        <w:rPr>
          <w:rtl/>
        </w:rPr>
        <w:t>الخاصة</w:t>
      </w:r>
      <w:r>
        <w:rPr>
          <w:rtl/>
        </w:rPr>
        <w:t xml:space="preserve"> </w:t>
      </w:r>
      <w:r w:rsidRPr="006571A5">
        <w:rPr>
          <w:rtl/>
        </w:rPr>
        <w:t>بوضع</w:t>
      </w:r>
      <w:r>
        <w:rPr>
          <w:rtl/>
        </w:rPr>
        <w:t xml:space="preserve"> </w:t>
      </w:r>
      <w:r w:rsidRPr="006571A5">
        <w:rPr>
          <w:rtl/>
        </w:rPr>
        <w:t>اللاجئين،</w:t>
      </w:r>
      <w:r>
        <w:rPr>
          <w:rtl/>
        </w:rPr>
        <w:t xml:space="preserve"> </w:t>
      </w:r>
      <w:r w:rsidRPr="006571A5">
        <w:rPr>
          <w:rtl/>
        </w:rPr>
        <w:t>أو</w:t>
      </w:r>
      <w:r>
        <w:rPr>
          <w:rtl/>
        </w:rPr>
        <w:t xml:space="preserve"> </w:t>
      </w:r>
      <w:r w:rsidRPr="006571A5">
        <w:rPr>
          <w:rtl/>
        </w:rPr>
        <w:t>لن</w:t>
      </w:r>
      <w:r>
        <w:rPr>
          <w:rtl/>
        </w:rPr>
        <w:t xml:space="preserve"> </w:t>
      </w:r>
      <w:r w:rsidRPr="006571A5">
        <w:rPr>
          <w:rtl/>
        </w:rPr>
        <w:t>يحصل</w:t>
      </w:r>
      <w:r>
        <w:rPr>
          <w:rtl/>
        </w:rPr>
        <w:t xml:space="preserve"> </w:t>
      </w:r>
      <w:r w:rsidRPr="006571A5">
        <w:rPr>
          <w:rtl/>
        </w:rPr>
        <w:t>فيه</w:t>
      </w:r>
      <w:r>
        <w:rPr>
          <w:rtl/>
        </w:rPr>
        <w:t xml:space="preserve"> </w:t>
      </w:r>
      <w:r w:rsidRPr="006571A5">
        <w:rPr>
          <w:rtl/>
        </w:rPr>
        <w:t>على</w:t>
      </w:r>
      <w:r>
        <w:rPr>
          <w:rtl/>
        </w:rPr>
        <w:t xml:space="preserve"> </w:t>
      </w:r>
      <w:r w:rsidRPr="006571A5">
        <w:rPr>
          <w:rtl/>
        </w:rPr>
        <w:t>الحماية</w:t>
      </w:r>
      <w:r>
        <w:rPr>
          <w:rtl/>
        </w:rPr>
        <w:t xml:space="preserve"> </w:t>
      </w:r>
      <w:r w:rsidRPr="006571A5">
        <w:rPr>
          <w:rtl/>
        </w:rPr>
        <w:t>من</w:t>
      </w:r>
      <w:r>
        <w:rPr>
          <w:rtl/>
        </w:rPr>
        <w:t xml:space="preserve"> </w:t>
      </w:r>
      <w:r w:rsidRPr="006571A5">
        <w:rPr>
          <w:rtl/>
        </w:rPr>
        <w:t>الترحيل</w:t>
      </w:r>
      <w:r>
        <w:rPr>
          <w:rtl/>
        </w:rPr>
        <w:t xml:space="preserve"> </w:t>
      </w:r>
      <w:r w:rsidRPr="006571A5">
        <w:rPr>
          <w:rtl/>
        </w:rPr>
        <w:t>إلى</w:t>
      </w:r>
      <w:r>
        <w:rPr>
          <w:rtl/>
        </w:rPr>
        <w:t xml:space="preserve"> </w:t>
      </w:r>
      <w:r w:rsidRPr="006571A5">
        <w:rPr>
          <w:rtl/>
        </w:rPr>
        <w:t>بلد</w:t>
      </w:r>
      <w:r>
        <w:rPr>
          <w:rtl/>
        </w:rPr>
        <w:t xml:space="preserve"> </w:t>
      </w:r>
      <w:r w:rsidRPr="006571A5">
        <w:rPr>
          <w:rtl/>
        </w:rPr>
        <w:t>قد</w:t>
      </w:r>
      <w:r>
        <w:rPr>
          <w:rtl/>
        </w:rPr>
        <w:t xml:space="preserve"> </w:t>
      </w:r>
      <w:r w:rsidRPr="006571A5">
        <w:rPr>
          <w:rtl/>
        </w:rPr>
        <w:t>يتعرض</w:t>
      </w:r>
      <w:r>
        <w:rPr>
          <w:rtl/>
        </w:rPr>
        <w:t xml:space="preserve"> </w:t>
      </w:r>
      <w:r w:rsidRPr="006571A5">
        <w:rPr>
          <w:rtl/>
        </w:rPr>
        <w:t>فيه</w:t>
      </w:r>
      <w:r>
        <w:rPr>
          <w:rtl/>
        </w:rPr>
        <w:t xml:space="preserve"> </w:t>
      </w:r>
      <w:r w:rsidRPr="006571A5">
        <w:rPr>
          <w:rtl/>
        </w:rPr>
        <w:t>لذلك.</w:t>
      </w:r>
      <w:r>
        <w:rPr>
          <w:rtl/>
        </w:rPr>
        <w:t xml:space="preserve"> </w:t>
      </w:r>
      <w:r w:rsidRPr="006571A5">
        <w:rPr>
          <w:rtl/>
        </w:rPr>
        <w:t>وتستند</w:t>
      </w:r>
      <w:r>
        <w:rPr>
          <w:rtl/>
        </w:rPr>
        <w:t xml:space="preserve"> </w:t>
      </w:r>
      <w:r w:rsidRPr="006571A5">
        <w:rPr>
          <w:rtl/>
        </w:rPr>
        <w:t>قرارات</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إلى</w:t>
      </w:r>
      <w:r>
        <w:rPr>
          <w:rtl/>
        </w:rPr>
        <w:t xml:space="preserve"> </w:t>
      </w:r>
      <w:r w:rsidRPr="006571A5">
        <w:rPr>
          <w:rtl/>
        </w:rPr>
        <w:t>تقييم</w:t>
      </w:r>
      <w:r>
        <w:rPr>
          <w:rtl/>
        </w:rPr>
        <w:t xml:space="preserve"> </w:t>
      </w:r>
      <w:r w:rsidRPr="006571A5">
        <w:rPr>
          <w:rtl/>
        </w:rPr>
        <w:t>فردي</w:t>
      </w:r>
      <w:r>
        <w:rPr>
          <w:rtl/>
        </w:rPr>
        <w:t xml:space="preserve"> </w:t>
      </w:r>
      <w:r w:rsidRPr="006571A5">
        <w:rPr>
          <w:rtl/>
        </w:rPr>
        <w:t>ومحدد</w:t>
      </w:r>
      <w:r>
        <w:rPr>
          <w:rtl/>
        </w:rPr>
        <w:t xml:space="preserve"> </w:t>
      </w:r>
      <w:r w:rsidRPr="006571A5">
        <w:rPr>
          <w:rtl/>
        </w:rPr>
        <w:t>لكل</w:t>
      </w:r>
      <w:r>
        <w:rPr>
          <w:rtl/>
        </w:rPr>
        <w:t xml:space="preserve"> </w:t>
      </w:r>
      <w:r w:rsidRPr="006571A5">
        <w:rPr>
          <w:rtl/>
        </w:rPr>
        <w:t>قضية</w:t>
      </w:r>
      <w:r>
        <w:rPr>
          <w:rtl/>
        </w:rPr>
        <w:t xml:space="preserve"> </w:t>
      </w:r>
      <w:r w:rsidRPr="006571A5">
        <w:rPr>
          <w:rtl/>
        </w:rPr>
        <w:t>على</w:t>
      </w:r>
      <w:r>
        <w:rPr>
          <w:rtl/>
        </w:rPr>
        <w:t xml:space="preserve"> </w:t>
      </w:r>
      <w:r w:rsidRPr="006571A5">
        <w:rPr>
          <w:rtl/>
        </w:rPr>
        <w:t>حدة.</w:t>
      </w:r>
      <w:r>
        <w:rPr>
          <w:rtl/>
        </w:rPr>
        <w:t xml:space="preserve"> </w:t>
      </w:r>
      <w:r w:rsidRPr="006571A5">
        <w:rPr>
          <w:rFonts w:ascii="Traditional Arabic" w:hAnsi="Traditional Arabic" w:hint="cs"/>
          <w:rtl/>
        </w:rPr>
        <w:t>وطالب</w:t>
      </w:r>
      <w:r>
        <w:rPr>
          <w:rtl/>
        </w:rPr>
        <w:t xml:space="preserve"> </w:t>
      </w:r>
      <w:r w:rsidRPr="006571A5">
        <w:rPr>
          <w:rFonts w:ascii="Traditional Arabic" w:hAnsi="Traditional Arabic" w:hint="cs"/>
          <w:rtl/>
        </w:rPr>
        <w:t>اللجوء</w:t>
      </w:r>
      <w:r>
        <w:rPr>
          <w:rtl/>
        </w:rPr>
        <w:t xml:space="preserve"> </w:t>
      </w:r>
      <w:r w:rsidRPr="006571A5">
        <w:rPr>
          <w:rFonts w:ascii="Traditional Arabic" w:hAnsi="Traditional Arabic" w:hint="cs"/>
          <w:rtl/>
        </w:rPr>
        <w:t>هو</w:t>
      </w:r>
      <w:r>
        <w:rPr>
          <w:rtl/>
        </w:rPr>
        <w:t xml:space="preserve"> </w:t>
      </w:r>
      <w:r w:rsidRPr="006571A5">
        <w:rPr>
          <w:rFonts w:ascii="Traditional Arabic" w:hAnsi="Traditional Arabic" w:hint="cs"/>
          <w:rtl/>
        </w:rPr>
        <w:t>المسؤول</w:t>
      </w:r>
      <w:r>
        <w:rPr>
          <w:rtl/>
        </w:rPr>
        <w:t xml:space="preserve"> </w:t>
      </w:r>
      <w:r w:rsidRPr="006571A5">
        <w:rPr>
          <w:rFonts w:ascii="Traditional Arabic" w:hAnsi="Traditional Arabic" w:hint="cs"/>
          <w:rtl/>
        </w:rPr>
        <w:t>عن</w:t>
      </w:r>
      <w:r>
        <w:rPr>
          <w:rtl/>
        </w:rPr>
        <w:t xml:space="preserve"> </w:t>
      </w:r>
      <w:r w:rsidRPr="006571A5">
        <w:rPr>
          <w:rFonts w:ascii="Traditional Arabic" w:hAnsi="Traditional Arabic" w:hint="cs"/>
          <w:rtl/>
        </w:rPr>
        <w:t>إثبات</w:t>
      </w:r>
      <w:r>
        <w:rPr>
          <w:rtl/>
        </w:rPr>
        <w:t xml:space="preserve"> </w:t>
      </w:r>
      <w:r w:rsidRPr="006571A5">
        <w:rPr>
          <w:rFonts w:ascii="Traditional Arabic" w:hAnsi="Traditional Arabic" w:hint="cs"/>
          <w:rtl/>
        </w:rPr>
        <w:t>استيفائه</w:t>
      </w:r>
      <w:r>
        <w:rPr>
          <w:rtl/>
        </w:rPr>
        <w:t xml:space="preserve"> </w:t>
      </w:r>
      <w:r w:rsidRPr="006571A5">
        <w:rPr>
          <w:rFonts w:ascii="Traditional Arabic" w:hAnsi="Traditional Arabic" w:hint="cs"/>
          <w:rtl/>
        </w:rPr>
        <w:t>شروط</w:t>
      </w:r>
      <w:r>
        <w:rPr>
          <w:rtl/>
        </w:rPr>
        <w:t xml:space="preserve"> </w:t>
      </w:r>
      <w:r w:rsidRPr="006571A5">
        <w:rPr>
          <w:rFonts w:ascii="Traditional Arabic" w:hAnsi="Traditional Arabic" w:hint="cs"/>
          <w:rtl/>
        </w:rPr>
        <w:t>منح</w:t>
      </w:r>
      <w:r>
        <w:rPr>
          <w:rtl/>
        </w:rPr>
        <w:t xml:space="preserve"> </w:t>
      </w:r>
      <w:r w:rsidRPr="006571A5">
        <w:rPr>
          <w:rFonts w:ascii="Traditional Arabic" w:hAnsi="Traditional Arabic" w:hint="cs"/>
          <w:rtl/>
        </w:rPr>
        <w:t>اللجوء</w:t>
      </w:r>
      <w:r w:rsidRPr="006571A5">
        <w:rPr>
          <w:rtl/>
        </w:rPr>
        <w:t>.</w:t>
      </w:r>
    </w:p>
    <w:p w14:paraId="43318192" w14:textId="5A74A1AF" w:rsidR="006571A5" w:rsidRPr="006571A5" w:rsidRDefault="006571A5" w:rsidP="006571A5">
      <w:pPr>
        <w:pStyle w:val="SingleTxt"/>
        <w:rPr>
          <w:rtl/>
        </w:rPr>
      </w:pPr>
      <w:r w:rsidRPr="006571A5">
        <w:rPr>
          <w:rtl/>
        </w:rPr>
        <w:t>4-5</w:t>
      </w:r>
      <w:r w:rsidRPr="006571A5">
        <w:rPr>
          <w:rtl/>
        </w:rPr>
        <w:tab/>
        <w:t>وتذكر</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أنه</w:t>
      </w:r>
      <w:r>
        <w:rPr>
          <w:rtl/>
        </w:rPr>
        <w:t xml:space="preserve"> </w:t>
      </w:r>
      <w:r w:rsidRPr="006571A5">
        <w:rPr>
          <w:rtl/>
        </w:rPr>
        <w:t>يتبيّن</w:t>
      </w:r>
      <w:r>
        <w:rPr>
          <w:rtl/>
        </w:rPr>
        <w:t xml:space="preserve"> </w:t>
      </w:r>
      <w:r w:rsidRPr="006571A5">
        <w:rPr>
          <w:rtl/>
        </w:rPr>
        <w:t>من</w:t>
      </w:r>
      <w:r>
        <w:rPr>
          <w:rtl/>
        </w:rPr>
        <w:t xml:space="preserve"> </w:t>
      </w:r>
      <w:r w:rsidRPr="006571A5">
        <w:rPr>
          <w:rtl/>
        </w:rPr>
        <w:t>سوابق</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أن</w:t>
      </w:r>
      <w:r>
        <w:rPr>
          <w:rtl/>
        </w:rPr>
        <w:t xml:space="preserve"> </w:t>
      </w:r>
      <w:r w:rsidRPr="006571A5">
        <w:rPr>
          <w:rtl/>
        </w:rPr>
        <w:t>منحَه</w:t>
      </w:r>
      <w:r>
        <w:rPr>
          <w:rtl/>
        </w:rPr>
        <w:t xml:space="preserve"> </w:t>
      </w:r>
      <w:r w:rsidRPr="006571A5">
        <w:rPr>
          <w:rtl/>
        </w:rPr>
        <w:t>تصريح</w:t>
      </w:r>
      <w:r>
        <w:rPr>
          <w:rtl/>
        </w:rPr>
        <w:t xml:space="preserve"> </w:t>
      </w:r>
      <w:r w:rsidRPr="006571A5">
        <w:rPr>
          <w:rtl/>
        </w:rPr>
        <w:t>الإقامة</w:t>
      </w:r>
      <w:r>
        <w:rPr>
          <w:rtl/>
        </w:rPr>
        <w:t xml:space="preserve"> </w:t>
      </w:r>
      <w:r w:rsidRPr="006571A5">
        <w:rPr>
          <w:rtl/>
        </w:rPr>
        <w:t>بموجب</w:t>
      </w:r>
      <w:r>
        <w:rPr>
          <w:rtl/>
        </w:rPr>
        <w:t xml:space="preserve"> </w:t>
      </w:r>
      <w:r w:rsidRPr="006571A5">
        <w:rPr>
          <w:rtl/>
        </w:rPr>
        <w:t>المادة</w:t>
      </w:r>
      <w:r>
        <w:rPr>
          <w:rtl/>
        </w:rPr>
        <w:t xml:space="preserve"> </w:t>
      </w:r>
      <w:r w:rsidR="004B1017">
        <w:rPr>
          <w:rtl/>
        </w:rPr>
        <w:t>7</w:t>
      </w:r>
      <w:r>
        <w:rPr>
          <w:rtl/>
        </w:rPr>
        <w:t xml:space="preserve"> </w:t>
      </w:r>
      <w:r w:rsidRPr="006571A5">
        <w:rPr>
          <w:rtl/>
        </w:rPr>
        <w:t>(</w:t>
      </w:r>
      <w:r w:rsidR="004B1017">
        <w:rPr>
          <w:rtl/>
        </w:rPr>
        <w:t>2</w:t>
      </w:r>
      <w:r w:rsidRPr="006571A5">
        <w:rPr>
          <w:rtl/>
        </w:rPr>
        <w:t>)</w:t>
      </w:r>
      <w:r>
        <w:rPr>
          <w:rtl/>
        </w:rPr>
        <w:t xml:space="preserve"> </w:t>
      </w:r>
      <w:r w:rsidRPr="006571A5">
        <w:rPr>
          <w:rtl/>
        </w:rPr>
        <w:t>من</w:t>
      </w:r>
      <w:r>
        <w:rPr>
          <w:rtl/>
        </w:rPr>
        <w:t xml:space="preserve"> </w:t>
      </w:r>
      <w:r w:rsidRPr="006571A5">
        <w:rPr>
          <w:rtl/>
        </w:rPr>
        <w:t>قانون</w:t>
      </w:r>
      <w:r>
        <w:rPr>
          <w:rtl/>
        </w:rPr>
        <w:t xml:space="preserve"> </w:t>
      </w:r>
      <w:r w:rsidRPr="006571A5">
        <w:rPr>
          <w:rtl/>
        </w:rPr>
        <w:t>الأجانب</w:t>
      </w:r>
      <w:r>
        <w:rPr>
          <w:rtl/>
        </w:rPr>
        <w:t xml:space="preserve"> </w:t>
      </w:r>
      <w:r w:rsidRPr="006571A5">
        <w:rPr>
          <w:rtl/>
        </w:rPr>
        <w:t>يقتضي</w:t>
      </w:r>
      <w:r>
        <w:rPr>
          <w:rtl/>
        </w:rPr>
        <w:t xml:space="preserve"> </w:t>
      </w:r>
      <w:r w:rsidRPr="006571A5">
        <w:rPr>
          <w:rtl/>
        </w:rPr>
        <w:t>وُجود</w:t>
      </w:r>
      <w:r>
        <w:rPr>
          <w:rtl/>
        </w:rPr>
        <w:t xml:space="preserve"> </w:t>
      </w:r>
      <w:r w:rsidRPr="006571A5">
        <w:rPr>
          <w:rtl/>
        </w:rPr>
        <w:t>فرادى</w:t>
      </w:r>
      <w:r>
        <w:rPr>
          <w:rtl/>
        </w:rPr>
        <w:t xml:space="preserve"> </w:t>
      </w:r>
      <w:r w:rsidRPr="006571A5">
        <w:rPr>
          <w:rtl/>
        </w:rPr>
        <w:t>ظروف</w:t>
      </w:r>
      <w:r>
        <w:rPr>
          <w:rtl/>
        </w:rPr>
        <w:t xml:space="preserve"> </w:t>
      </w:r>
      <w:r w:rsidRPr="006571A5">
        <w:rPr>
          <w:rtl/>
        </w:rPr>
        <w:t>محدّدة</w:t>
      </w:r>
      <w:r>
        <w:rPr>
          <w:rtl/>
        </w:rPr>
        <w:t xml:space="preserve"> </w:t>
      </w:r>
      <w:r w:rsidRPr="006571A5">
        <w:rPr>
          <w:rtl/>
        </w:rPr>
        <w:t>تجعل</w:t>
      </w:r>
      <w:r>
        <w:rPr>
          <w:rtl/>
        </w:rPr>
        <w:t xml:space="preserve"> </w:t>
      </w:r>
      <w:r w:rsidRPr="006571A5">
        <w:rPr>
          <w:rtl/>
        </w:rPr>
        <w:t>من</w:t>
      </w:r>
      <w:r>
        <w:rPr>
          <w:rtl/>
        </w:rPr>
        <w:t xml:space="preserve"> </w:t>
      </w:r>
      <w:r w:rsidRPr="006571A5">
        <w:rPr>
          <w:rtl/>
        </w:rPr>
        <w:t>المحتمل</w:t>
      </w:r>
      <w:r>
        <w:rPr>
          <w:rtl/>
        </w:rPr>
        <w:t xml:space="preserve"> </w:t>
      </w:r>
      <w:r w:rsidRPr="006571A5">
        <w:rPr>
          <w:rtl/>
        </w:rPr>
        <w:t>أن</w:t>
      </w:r>
      <w:r>
        <w:rPr>
          <w:rtl/>
        </w:rPr>
        <w:t xml:space="preserve"> </w:t>
      </w:r>
      <w:r w:rsidRPr="006571A5">
        <w:rPr>
          <w:rtl/>
        </w:rPr>
        <w:t>يتعرض</w:t>
      </w:r>
      <w:r>
        <w:rPr>
          <w:rtl/>
        </w:rPr>
        <w:t xml:space="preserve"> </w:t>
      </w:r>
      <w:r w:rsidRPr="006571A5">
        <w:rPr>
          <w:rtl/>
        </w:rPr>
        <w:t>طالب</w:t>
      </w:r>
      <w:r>
        <w:rPr>
          <w:rtl/>
        </w:rPr>
        <w:t xml:space="preserve"> </w:t>
      </w:r>
      <w:r w:rsidRPr="006571A5">
        <w:rPr>
          <w:rtl/>
        </w:rPr>
        <w:t>اللجوء</w:t>
      </w:r>
      <w:r>
        <w:rPr>
          <w:rtl/>
        </w:rPr>
        <w:t xml:space="preserve"> </w:t>
      </w:r>
      <w:r w:rsidRPr="006571A5">
        <w:rPr>
          <w:rtl/>
        </w:rPr>
        <w:t>المعني</w:t>
      </w:r>
      <w:r>
        <w:rPr>
          <w:rtl/>
        </w:rPr>
        <w:t xml:space="preserve"> </w:t>
      </w:r>
      <w:r w:rsidRPr="006571A5">
        <w:rPr>
          <w:rtl/>
        </w:rPr>
        <w:t>حقاً</w:t>
      </w:r>
      <w:r>
        <w:rPr>
          <w:rtl/>
        </w:rPr>
        <w:t xml:space="preserve"> </w:t>
      </w:r>
      <w:r w:rsidRPr="006571A5">
        <w:rPr>
          <w:rtl/>
        </w:rPr>
        <w:t>للإعدام</w:t>
      </w:r>
      <w:r>
        <w:rPr>
          <w:rtl/>
        </w:rPr>
        <w:t xml:space="preserve"> </w:t>
      </w:r>
      <w:r w:rsidRPr="006571A5">
        <w:rPr>
          <w:rtl/>
        </w:rPr>
        <w:t>أو</w:t>
      </w:r>
      <w:r>
        <w:rPr>
          <w:rtl/>
        </w:rPr>
        <w:t xml:space="preserve"> </w:t>
      </w:r>
      <w:r w:rsidRPr="006571A5">
        <w:rPr>
          <w:rtl/>
        </w:rPr>
        <w:t>التعذيب</w:t>
      </w:r>
      <w:r>
        <w:rPr>
          <w:rtl/>
        </w:rPr>
        <w:t xml:space="preserve"> </w:t>
      </w:r>
      <w:r w:rsidRPr="006571A5">
        <w:rPr>
          <w:rtl/>
        </w:rPr>
        <w:t>أو</w:t>
      </w:r>
      <w:r>
        <w:rPr>
          <w:rtl/>
        </w:rPr>
        <w:t xml:space="preserve"> </w:t>
      </w:r>
      <w:r w:rsidRPr="006571A5">
        <w:rPr>
          <w:rtl/>
        </w:rPr>
        <w:t>غيره</w:t>
      </w:r>
      <w:r>
        <w:rPr>
          <w:rtl/>
        </w:rPr>
        <w:t xml:space="preserve"> </w:t>
      </w:r>
      <w:r w:rsidRPr="006571A5">
        <w:rPr>
          <w:rtl/>
        </w:rPr>
        <w:t>من</w:t>
      </w:r>
      <w:r>
        <w:rPr>
          <w:rtl/>
        </w:rPr>
        <w:t xml:space="preserve"> </w:t>
      </w:r>
      <w:r w:rsidRPr="006571A5">
        <w:rPr>
          <w:rtl/>
        </w:rPr>
        <w:t>ضروب</w:t>
      </w:r>
      <w:r>
        <w:rPr>
          <w:rtl/>
        </w:rPr>
        <w:t xml:space="preserve"> </w:t>
      </w:r>
      <w:r w:rsidRPr="006571A5">
        <w:rPr>
          <w:rtl/>
        </w:rPr>
        <w:t>المعاملة</w:t>
      </w:r>
      <w:r>
        <w:rPr>
          <w:rtl/>
        </w:rPr>
        <w:t xml:space="preserve"> </w:t>
      </w:r>
      <w:r w:rsidRPr="006571A5">
        <w:rPr>
          <w:rtl/>
        </w:rPr>
        <w:t>أو</w:t>
      </w:r>
      <w:r>
        <w:rPr>
          <w:rtl/>
        </w:rPr>
        <w:t xml:space="preserve"> </w:t>
      </w:r>
      <w:r w:rsidRPr="006571A5">
        <w:rPr>
          <w:rtl/>
        </w:rPr>
        <w:t>العقوبة</w:t>
      </w:r>
      <w:r>
        <w:rPr>
          <w:rtl/>
        </w:rPr>
        <w:t xml:space="preserve"> </w:t>
      </w:r>
      <w:r w:rsidRPr="006571A5">
        <w:rPr>
          <w:rtl/>
        </w:rPr>
        <w:t>اللاإنسانية</w:t>
      </w:r>
      <w:r>
        <w:rPr>
          <w:rtl/>
        </w:rPr>
        <w:t xml:space="preserve"> </w:t>
      </w:r>
      <w:r w:rsidRPr="006571A5">
        <w:rPr>
          <w:rtl/>
        </w:rPr>
        <w:t>أو</w:t>
      </w:r>
      <w:r>
        <w:rPr>
          <w:rtl/>
        </w:rPr>
        <w:t xml:space="preserve"> </w:t>
      </w:r>
      <w:r w:rsidRPr="006571A5">
        <w:rPr>
          <w:rtl/>
        </w:rPr>
        <w:t>المهينة</w:t>
      </w:r>
      <w:r>
        <w:rPr>
          <w:rtl/>
        </w:rPr>
        <w:t xml:space="preserve"> </w:t>
      </w:r>
      <w:r w:rsidRPr="006571A5">
        <w:rPr>
          <w:rtl/>
        </w:rPr>
        <w:t>إذا</w:t>
      </w:r>
      <w:r>
        <w:rPr>
          <w:rtl/>
        </w:rPr>
        <w:t xml:space="preserve"> </w:t>
      </w:r>
      <w:r w:rsidRPr="006571A5">
        <w:rPr>
          <w:rtl/>
        </w:rPr>
        <w:t>أُعيد</w:t>
      </w:r>
      <w:r>
        <w:rPr>
          <w:rtl/>
        </w:rPr>
        <w:t xml:space="preserve"> </w:t>
      </w:r>
      <w:r w:rsidRPr="006571A5">
        <w:rPr>
          <w:rtl/>
        </w:rPr>
        <w:t>إلى</w:t>
      </w:r>
      <w:r>
        <w:rPr>
          <w:rtl/>
        </w:rPr>
        <w:t xml:space="preserve"> </w:t>
      </w:r>
      <w:r w:rsidRPr="006571A5">
        <w:rPr>
          <w:rtl/>
        </w:rPr>
        <w:t>بلده</w:t>
      </w:r>
      <w:r>
        <w:rPr>
          <w:rtl/>
        </w:rPr>
        <w:t xml:space="preserve"> </w:t>
      </w:r>
      <w:r w:rsidRPr="006571A5">
        <w:rPr>
          <w:rtl/>
        </w:rPr>
        <w:t>الأصلي</w:t>
      </w:r>
      <w:r w:rsidRPr="006571A5">
        <w:rPr>
          <w:szCs w:val="30"/>
          <w:vertAlign w:val="superscript"/>
          <w:rtl/>
        </w:rPr>
        <w:t>(</w:t>
      </w:r>
      <w:r w:rsidRPr="006571A5">
        <w:rPr>
          <w:rStyle w:val="FootnoteReference"/>
          <w:szCs w:val="30"/>
          <w:rtl/>
        </w:rPr>
        <w:footnoteReference w:id="4"/>
      </w:r>
      <w:r w:rsidRPr="006571A5">
        <w:rPr>
          <w:szCs w:val="30"/>
          <w:vertAlign w:val="superscript"/>
          <w:rtl/>
        </w:rPr>
        <w:t>)</w:t>
      </w:r>
      <w:r w:rsidRPr="006571A5">
        <w:rPr>
          <w:rtl/>
        </w:rPr>
        <w:t>.</w:t>
      </w:r>
    </w:p>
    <w:p w14:paraId="5D44A4C4" w14:textId="667954B0" w:rsidR="006571A5" w:rsidRPr="006571A5" w:rsidRDefault="006571A5" w:rsidP="006571A5">
      <w:pPr>
        <w:pStyle w:val="SingleTxt"/>
        <w:rPr>
          <w:rtl/>
        </w:rPr>
      </w:pPr>
      <w:r w:rsidRPr="006571A5">
        <w:rPr>
          <w:rtl/>
        </w:rPr>
        <w:t>4-6</w:t>
      </w:r>
      <w:r w:rsidRPr="006571A5">
        <w:rPr>
          <w:rtl/>
        </w:rPr>
        <w:tab/>
        <w:t>ولم</w:t>
      </w:r>
      <w:r>
        <w:rPr>
          <w:rtl/>
        </w:rPr>
        <w:t xml:space="preserve"> </w:t>
      </w:r>
      <w:r w:rsidRPr="006571A5">
        <w:rPr>
          <w:rtl/>
        </w:rPr>
        <w:t>يسبق</w:t>
      </w:r>
      <w:r>
        <w:rPr>
          <w:rtl/>
        </w:rPr>
        <w:t xml:space="preserve"> </w:t>
      </w:r>
      <w:r w:rsidRPr="006571A5">
        <w:rPr>
          <w:rtl/>
        </w:rPr>
        <w:t>لمجلس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أبدا</w:t>
      </w:r>
      <w:r>
        <w:rPr>
          <w:rtl/>
        </w:rPr>
        <w:t xml:space="preserve"> </w:t>
      </w:r>
      <w:r w:rsidRPr="006571A5">
        <w:rPr>
          <w:rtl/>
        </w:rPr>
        <w:t>عدم</w:t>
      </w:r>
      <w:r>
        <w:rPr>
          <w:rtl/>
        </w:rPr>
        <w:t xml:space="preserve"> </w:t>
      </w:r>
      <w:r w:rsidRPr="006571A5">
        <w:rPr>
          <w:rtl/>
        </w:rPr>
        <w:t>اعتبار</w:t>
      </w:r>
      <w:r>
        <w:rPr>
          <w:rtl/>
        </w:rPr>
        <w:t xml:space="preserve"> </w:t>
      </w:r>
      <w:r w:rsidRPr="006571A5">
        <w:rPr>
          <w:rtl/>
        </w:rPr>
        <w:t>إمكانية</w:t>
      </w:r>
      <w:r>
        <w:rPr>
          <w:rtl/>
        </w:rPr>
        <w:t xml:space="preserve"> </w:t>
      </w:r>
      <w:r w:rsidRPr="006571A5">
        <w:rPr>
          <w:rtl/>
        </w:rPr>
        <w:t>أن</w:t>
      </w:r>
      <w:r>
        <w:rPr>
          <w:rtl/>
        </w:rPr>
        <w:t xml:space="preserve"> </w:t>
      </w:r>
      <w:r w:rsidRPr="006571A5">
        <w:rPr>
          <w:rtl/>
        </w:rPr>
        <w:t>يكون</w:t>
      </w:r>
      <w:r>
        <w:rPr>
          <w:rtl/>
        </w:rPr>
        <w:t xml:space="preserve"> </w:t>
      </w:r>
      <w:r w:rsidRPr="006571A5">
        <w:rPr>
          <w:rtl/>
        </w:rPr>
        <w:t>الوضع</w:t>
      </w:r>
      <w:r>
        <w:rPr>
          <w:rtl/>
        </w:rPr>
        <w:t xml:space="preserve"> </w:t>
      </w:r>
      <w:r w:rsidRPr="006571A5">
        <w:rPr>
          <w:rtl/>
        </w:rPr>
        <w:t>الأمني</w:t>
      </w:r>
      <w:r>
        <w:rPr>
          <w:rtl/>
        </w:rPr>
        <w:t xml:space="preserve"> </w:t>
      </w:r>
      <w:r w:rsidRPr="006571A5">
        <w:rPr>
          <w:rtl/>
        </w:rPr>
        <w:t>العام</w:t>
      </w:r>
      <w:r>
        <w:rPr>
          <w:rtl/>
        </w:rPr>
        <w:t xml:space="preserve"> </w:t>
      </w:r>
      <w:r w:rsidRPr="006571A5">
        <w:rPr>
          <w:rtl/>
        </w:rPr>
        <w:t>في</w:t>
      </w:r>
      <w:r>
        <w:rPr>
          <w:rtl/>
        </w:rPr>
        <w:t xml:space="preserve"> </w:t>
      </w:r>
      <w:r w:rsidRPr="006571A5">
        <w:rPr>
          <w:rtl/>
        </w:rPr>
        <w:t>بلد</w:t>
      </w:r>
      <w:r>
        <w:rPr>
          <w:rtl/>
        </w:rPr>
        <w:t xml:space="preserve"> </w:t>
      </w:r>
      <w:r w:rsidRPr="006571A5">
        <w:rPr>
          <w:rtl/>
        </w:rPr>
        <w:t>ما،</w:t>
      </w:r>
      <w:r>
        <w:rPr>
          <w:rtl/>
        </w:rPr>
        <w:t xml:space="preserve"> </w:t>
      </w:r>
      <w:r w:rsidRPr="006571A5">
        <w:rPr>
          <w:rtl/>
        </w:rPr>
        <w:t>بسبب</w:t>
      </w:r>
      <w:r>
        <w:rPr>
          <w:rtl/>
        </w:rPr>
        <w:t xml:space="preserve"> </w:t>
      </w:r>
      <w:r w:rsidRPr="006571A5">
        <w:rPr>
          <w:rtl/>
        </w:rPr>
        <w:t>حالة</w:t>
      </w:r>
      <w:r>
        <w:rPr>
          <w:rtl/>
        </w:rPr>
        <w:t xml:space="preserve"> </w:t>
      </w:r>
      <w:r w:rsidRPr="006571A5">
        <w:rPr>
          <w:rtl/>
        </w:rPr>
        <w:t>العنف</w:t>
      </w:r>
      <w:r>
        <w:rPr>
          <w:rtl/>
        </w:rPr>
        <w:t xml:space="preserve"> </w:t>
      </w:r>
      <w:r w:rsidRPr="006571A5">
        <w:rPr>
          <w:rtl/>
        </w:rPr>
        <w:t>العامة</w:t>
      </w:r>
      <w:r>
        <w:rPr>
          <w:rtl/>
        </w:rPr>
        <w:t xml:space="preserve"> </w:t>
      </w:r>
      <w:r w:rsidRPr="006571A5">
        <w:rPr>
          <w:rtl/>
        </w:rPr>
        <w:t>فيه،</w:t>
      </w:r>
      <w:r>
        <w:rPr>
          <w:rtl/>
        </w:rPr>
        <w:t xml:space="preserve"> </w:t>
      </w:r>
      <w:r w:rsidRPr="006571A5">
        <w:rPr>
          <w:rtl/>
        </w:rPr>
        <w:t>من</w:t>
      </w:r>
      <w:r>
        <w:rPr>
          <w:rtl/>
        </w:rPr>
        <w:t xml:space="preserve"> </w:t>
      </w:r>
      <w:r w:rsidRPr="006571A5">
        <w:rPr>
          <w:rtl/>
        </w:rPr>
        <w:t>الخطورة</w:t>
      </w:r>
      <w:r>
        <w:rPr>
          <w:rtl/>
        </w:rPr>
        <w:t xml:space="preserve"> </w:t>
      </w:r>
      <w:r w:rsidRPr="006571A5">
        <w:rPr>
          <w:rtl/>
        </w:rPr>
        <w:t>بحيث</w:t>
      </w:r>
      <w:r>
        <w:rPr>
          <w:rtl/>
        </w:rPr>
        <w:t xml:space="preserve"> </w:t>
      </w:r>
      <w:r w:rsidRPr="006571A5">
        <w:rPr>
          <w:rtl/>
        </w:rPr>
        <w:t>يشكل</w:t>
      </w:r>
      <w:r>
        <w:rPr>
          <w:rtl/>
        </w:rPr>
        <w:t xml:space="preserve"> </w:t>
      </w:r>
      <w:r w:rsidRPr="006571A5">
        <w:rPr>
          <w:rtl/>
        </w:rPr>
        <w:t>إعادة</w:t>
      </w:r>
      <w:r>
        <w:rPr>
          <w:rtl/>
        </w:rPr>
        <w:t xml:space="preserve"> </w:t>
      </w:r>
      <w:r w:rsidRPr="006571A5">
        <w:rPr>
          <w:rtl/>
        </w:rPr>
        <w:t>طالب</w:t>
      </w:r>
      <w:r>
        <w:rPr>
          <w:rtl/>
        </w:rPr>
        <w:t xml:space="preserve"> </w:t>
      </w:r>
      <w:r w:rsidRPr="006571A5">
        <w:rPr>
          <w:rtl/>
        </w:rPr>
        <w:t>اللجوء</w:t>
      </w:r>
      <w:r>
        <w:rPr>
          <w:rtl/>
        </w:rPr>
        <w:t xml:space="preserve"> </w:t>
      </w:r>
      <w:r w:rsidRPr="006571A5">
        <w:rPr>
          <w:rtl/>
        </w:rPr>
        <w:t>إليه</w:t>
      </w:r>
      <w:r>
        <w:rPr>
          <w:rtl/>
        </w:rPr>
        <w:t xml:space="preserve"> </w:t>
      </w:r>
      <w:r w:rsidRPr="006571A5">
        <w:rPr>
          <w:rtl/>
        </w:rPr>
        <w:t>انتهاكاً</w:t>
      </w:r>
      <w:r>
        <w:rPr>
          <w:rtl/>
        </w:rPr>
        <w:t xml:space="preserve"> </w:t>
      </w:r>
      <w:r w:rsidRPr="006571A5">
        <w:rPr>
          <w:rtl/>
        </w:rPr>
        <w:t>للمادة</w:t>
      </w:r>
      <w:r>
        <w:rPr>
          <w:rtl/>
        </w:rPr>
        <w:t xml:space="preserve"> </w:t>
      </w:r>
      <w:r w:rsidR="004B1017">
        <w:rPr>
          <w:rtl/>
        </w:rPr>
        <w:t>3</w:t>
      </w:r>
      <w:r>
        <w:rPr>
          <w:rtl/>
        </w:rPr>
        <w:t xml:space="preserve"> </w:t>
      </w:r>
      <w:r w:rsidRPr="006571A5">
        <w:rPr>
          <w:rtl/>
        </w:rPr>
        <w:t>من</w:t>
      </w:r>
      <w:r>
        <w:rPr>
          <w:rtl/>
        </w:rPr>
        <w:t xml:space="preserve"> </w:t>
      </w:r>
      <w:r w:rsidRPr="006571A5">
        <w:rPr>
          <w:rtl/>
        </w:rPr>
        <w:t>الاتفاقية</w:t>
      </w:r>
      <w:r>
        <w:rPr>
          <w:rtl/>
        </w:rPr>
        <w:t xml:space="preserve"> </w:t>
      </w:r>
      <w:r w:rsidRPr="006571A5">
        <w:rPr>
          <w:rtl/>
        </w:rPr>
        <w:t>الأوروبية</w:t>
      </w:r>
      <w:r>
        <w:rPr>
          <w:rtl/>
        </w:rPr>
        <w:t xml:space="preserve"> </w:t>
      </w:r>
      <w:r w:rsidRPr="006571A5">
        <w:rPr>
          <w:rtl/>
        </w:rPr>
        <w:t>لحقوق</w:t>
      </w:r>
      <w:r>
        <w:rPr>
          <w:rtl/>
        </w:rPr>
        <w:t xml:space="preserve"> </w:t>
      </w:r>
      <w:r w:rsidRPr="006571A5">
        <w:rPr>
          <w:rtl/>
        </w:rPr>
        <w:t>الإنسان،</w:t>
      </w:r>
      <w:r>
        <w:rPr>
          <w:rtl/>
        </w:rPr>
        <w:t xml:space="preserve"> </w:t>
      </w:r>
      <w:r w:rsidRPr="006571A5">
        <w:rPr>
          <w:rtl/>
        </w:rPr>
        <w:t>لأن</w:t>
      </w:r>
      <w:r>
        <w:rPr>
          <w:rtl/>
        </w:rPr>
        <w:t xml:space="preserve"> </w:t>
      </w:r>
      <w:r w:rsidRPr="006571A5">
        <w:rPr>
          <w:rtl/>
        </w:rPr>
        <w:t>هذا</w:t>
      </w:r>
      <w:r>
        <w:rPr>
          <w:rtl/>
        </w:rPr>
        <w:t xml:space="preserve"> </w:t>
      </w:r>
      <w:r w:rsidRPr="006571A5">
        <w:rPr>
          <w:rtl/>
        </w:rPr>
        <w:t>السبب</w:t>
      </w:r>
      <w:r>
        <w:rPr>
          <w:rtl/>
        </w:rPr>
        <w:t xml:space="preserve"> </w:t>
      </w:r>
      <w:r w:rsidRPr="006571A5">
        <w:rPr>
          <w:rtl/>
        </w:rPr>
        <w:t>وحده</w:t>
      </w:r>
      <w:r>
        <w:rPr>
          <w:rtl/>
        </w:rPr>
        <w:t xml:space="preserve"> </w:t>
      </w:r>
      <w:r w:rsidRPr="006571A5">
        <w:rPr>
          <w:rtl/>
        </w:rPr>
        <w:t>يجعل</w:t>
      </w:r>
      <w:r>
        <w:rPr>
          <w:rtl/>
        </w:rPr>
        <w:t xml:space="preserve"> </w:t>
      </w:r>
      <w:r w:rsidRPr="006571A5">
        <w:rPr>
          <w:rtl/>
        </w:rPr>
        <w:t>طالب</w:t>
      </w:r>
      <w:r>
        <w:rPr>
          <w:rtl/>
        </w:rPr>
        <w:t xml:space="preserve"> </w:t>
      </w:r>
      <w:r w:rsidRPr="006571A5">
        <w:rPr>
          <w:rtl/>
        </w:rPr>
        <w:t>اللجوء</w:t>
      </w:r>
      <w:r>
        <w:rPr>
          <w:rtl/>
        </w:rPr>
        <w:t xml:space="preserve"> </w:t>
      </w:r>
      <w:r w:rsidRPr="006571A5">
        <w:rPr>
          <w:rtl/>
        </w:rPr>
        <w:t>مستوفياً</w:t>
      </w:r>
      <w:r>
        <w:rPr>
          <w:rtl/>
        </w:rPr>
        <w:t xml:space="preserve"> </w:t>
      </w:r>
      <w:r w:rsidRPr="006571A5">
        <w:rPr>
          <w:rtl/>
        </w:rPr>
        <w:t>لشروط</w:t>
      </w:r>
      <w:r>
        <w:rPr>
          <w:rtl/>
        </w:rPr>
        <w:t xml:space="preserve"> </w:t>
      </w:r>
      <w:r w:rsidRPr="006571A5">
        <w:rPr>
          <w:rtl/>
        </w:rPr>
        <w:t>منحه</w:t>
      </w:r>
      <w:r>
        <w:rPr>
          <w:rtl/>
        </w:rPr>
        <w:t xml:space="preserve"> </w:t>
      </w:r>
      <w:r w:rsidRPr="006571A5">
        <w:rPr>
          <w:rtl/>
        </w:rPr>
        <w:t>الإقامة</w:t>
      </w:r>
      <w:r>
        <w:rPr>
          <w:rtl/>
        </w:rPr>
        <w:t xml:space="preserve"> </w:t>
      </w:r>
      <w:r w:rsidRPr="006571A5">
        <w:rPr>
          <w:rtl/>
        </w:rPr>
        <w:t>بموجب</w:t>
      </w:r>
      <w:r>
        <w:rPr>
          <w:rtl/>
        </w:rPr>
        <w:t xml:space="preserve"> </w:t>
      </w:r>
      <w:r w:rsidRPr="006571A5">
        <w:rPr>
          <w:rtl/>
        </w:rPr>
        <w:t>المادة</w:t>
      </w:r>
      <w:r>
        <w:rPr>
          <w:rtl/>
        </w:rPr>
        <w:t xml:space="preserve"> </w:t>
      </w:r>
      <w:r w:rsidR="004B1017">
        <w:rPr>
          <w:rtl/>
        </w:rPr>
        <w:t>7</w:t>
      </w:r>
      <w:r>
        <w:rPr>
          <w:rtl/>
        </w:rPr>
        <w:t xml:space="preserve"> </w:t>
      </w:r>
      <w:r w:rsidRPr="006571A5">
        <w:rPr>
          <w:rtl/>
        </w:rPr>
        <w:t>من</w:t>
      </w:r>
      <w:r>
        <w:rPr>
          <w:rtl/>
        </w:rPr>
        <w:t xml:space="preserve"> </w:t>
      </w:r>
      <w:r w:rsidRPr="006571A5">
        <w:rPr>
          <w:rtl/>
        </w:rPr>
        <w:t>قانون</w:t>
      </w:r>
      <w:r>
        <w:rPr>
          <w:rtl/>
        </w:rPr>
        <w:t xml:space="preserve"> </w:t>
      </w:r>
      <w:r w:rsidRPr="006571A5">
        <w:rPr>
          <w:rtl/>
        </w:rPr>
        <w:t>الأجانب.</w:t>
      </w:r>
    </w:p>
    <w:p w14:paraId="2D71CE2B" w14:textId="20D5D7E1" w:rsidR="006571A5" w:rsidRPr="006571A5" w:rsidRDefault="006571A5" w:rsidP="006571A5">
      <w:pPr>
        <w:pStyle w:val="SingleTxt"/>
        <w:rPr>
          <w:rtl/>
        </w:rPr>
      </w:pPr>
      <w:r w:rsidRPr="006571A5">
        <w:rPr>
          <w:rtl/>
        </w:rPr>
        <w:t>4-7</w:t>
      </w:r>
      <w:r w:rsidRPr="006571A5">
        <w:rPr>
          <w:rtl/>
        </w:rPr>
        <w:tab/>
        <w:t>وفيما</w:t>
      </w:r>
      <w:r>
        <w:rPr>
          <w:rtl/>
        </w:rPr>
        <w:t xml:space="preserve"> </w:t>
      </w:r>
      <w:r w:rsidRPr="006571A5">
        <w:rPr>
          <w:rtl/>
        </w:rPr>
        <w:t>يتعلق</w:t>
      </w:r>
      <w:r>
        <w:rPr>
          <w:rtl/>
        </w:rPr>
        <w:t xml:space="preserve"> </w:t>
      </w:r>
      <w:r w:rsidRPr="006571A5">
        <w:rPr>
          <w:rtl/>
        </w:rPr>
        <w:t>بمقبولية</w:t>
      </w:r>
      <w:r>
        <w:rPr>
          <w:rtl/>
        </w:rPr>
        <w:t xml:space="preserve"> </w:t>
      </w:r>
      <w:r w:rsidRPr="006571A5">
        <w:rPr>
          <w:rtl/>
        </w:rPr>
        <w:t>الرسالة،</w:t>
      </w:r>
      <w:r>
        <w:rPr>
          <w:rtl/>
        </w:rPr>
        <w:t xml:space="preserve"> </w:t>
      </w:r>
      <w:r w:rsidRPr="006571A5">
        <w:rPr>
          <w:rtl/>
        </w:rPr>
        <w:t>ترى</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أن</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لم</w:t>
      </w:r>
      <w:r>
        <w:rPr>
          <w:rtl/>
        </w:rPr>
        <w:t xml:space="preserve"> </w:t>
      </w:r>
      <w:r w:rsidRPr="006571A5">
        <w:rPr>
          <w:rtl/>
        </w:rPr>
        <w:t>تثبت</w:t>
      </w:r>
      <w:r>
        <w:rPr>
          <w:rtl/>
        </w:rPr>
        <w:t xml:space="preserve"> </w:t>
      </w:r>
      <w:r w:rsidRPr="006571A5">
        <w:rPr>
          <w:rtl/>
        </w:rPr>
        <w:t>أن</w:t>
      </w:r>
      <w:r>
        <w:rPr>
          <w:rtl/>
        </w:rPr>
        <w:t xml:space="preserve"> </w:t>
      </w:r>
      <w:r w:rsidRPr="006571A5">
        <w:rPr>
          <w:rtl/>
        </w:rPr>
        <w:t>دعواها</w:t>
      </w:r>
      <w:r>
        <w:rPr>
          <w:rtl/>
        </w:rPr>
        <w:t xml:space="preserve"> </w:t>
      </w:r>
      <w:r w:rsidRPr="006571A5">
        <w:rPr>
          <w:rtl/>
        </w:rPr>
        <w:t>ظاهرة</w:t>
      </w:r>
      <w:r>
        <w:rPr>
          <w:rtl/>
        </w:rPr>
        <w:t xml:space="preserve"> </w:t>
      </w:r>
      <w:r w:rsidRPr="006571A5">
        <w:rPr>
          <w:rtl/>
        </w:rPr>
        <w:t>الوجاهة</w:t>
      </w:r>
      <w:r>
        <w:rPr>
          <w:rtl/>
        </w:rPr>
        <w:t xml:space="preserve"> </w:t>
      </w:r>
      <w:r w:rsidRPr="006571A5">
        <w:rPr>
          <w:rtl/>
        </w:rPr>
        <w:t>لأغراض</w:t>
      </w:r>
      <w:r>
        <w:rPr>
          <w:rtl/>
        </w:rPr>
        <w:t xml:space="preserve"> </w:t>
      </w:r>
      <w:r w:rsidRPr="006571A5">
        <w:rPr>
          <w:rtl/>
        </w:rPr>
        <w:t>المقبولية</w:t>
      </w:r>
      <w:r>
        <w:rPr>
          <w:rtl/>
        </w:rPr>
        <w:t xml:space="preserve"> </w:t>
      </w:r>
      <w:r w:rsidRPr="006571A5">
        <w:rPr>
          <w:rtl/>
        </w:rPr>
        <w:t>لدى</w:t>
      </w:r>
      <w:r>
        <w:rPr>
          <w:rtl/>
        </w:rPr>
        <w:t xml:space="preserve"> </w:t>
      </w:r>
      <w:r w:rsidRPr="006571A5">
        <w:rPr>
          <w:rtl/>
        </w:rPr>
        <w:t>اللجنة.</w:t>
      </w:r>
      <w:r>
        <w:rPr>
          <w:rtl/>
        </w:rPr>
        <w:t xml:space="preserve"> </w:t>
      </w:r>
      <w:r w:rsidRPr="006571A5">
        <w:rPr>
          <w:rtl/>
        </w:rPr>
        <w:t>فالرسالة</w:t>
      </w:r>
      <w:r>
        <w:rPr>
          <w:rtl/>
        </w:rPr>
        <w:t xml:space="preserve"> </w:t>
      </w:r>
      <w:r w:rsidRPr="006571A5">
        <w:rPr>
          <w:rtl/>
        </w:rPr>
        <w:t>لم</w:t>
      </w:r>
      <w:r>
        <w:rPr>
          <w:rtl/>
        </w:rPr>
        <w:t xml:space="preserve"> </w:t>
      </w:r>
      <w:r w:rsidRPr="006571A5">
        <w:rPr>
          <w:rtl/>
        </w:rPr>
        <w:t>تدعم</w:t>
      </w:r>
      <w:r>
        <w:rPr>
          <w:rtl/>
        </w:rPr>
        <w:t xml:space="preserve"> </w:t>
      </w:r>
      <w:r w:rsidRPr="006571A5">
        <w:rPr>
          <w:rtl/>
        </w:rPr>
        <w:t>ولم</w:t>
      </w:r>
      <w:r>
        <w:rPr>
          <w:rtl/>
        </w:rPr>
        <w:t xml:space="preserve"> </w:t>
      </w:r>
      <w:r w:rsidRPr="006571A5">
        <w:rPr>
          <w:rtl/>
        </w:rPr>
        <w:t>تثبت</w:t>
      </w:r>
      <w:r>
        <w:rPr>
          <w:rtl/>
        </w:rPr>
        <w:t xml:space="preserve"> </w:t>
      </w:r>
      <w:r w:rsidRPr="006571A5">
        <w:rPr>
          <w:rtl/>
        </w:rPr>
        <w:t>بما</w:t>
      </w:r>
      <w:r>
        <w:rPr>
          <w:rtl/>
        </w:rPr>
        <w:t xml:space="preserve"> </w:t>
      </w:r>
      <w:r w:rsidRPr="006571A5">
        <w:rPr>
          <w:rtl/>
        </w:rPr>
        <w:t>يكفي</w:t>
      </w:r>
      <w:r>
        <w:rPr>
          <w:rtl/>
        </w:rPr>
        <w:t xml:space="preserve"> </w:t>
      </w:r>
      <w:r w:rsidRPr="006571A5">
        <w:rPr>
          <w:rtl/>
        </w:rPr>
        <w:t>من</w:t>
      </w:r>
      <w:r>
        <w:rPr>
          <w:rtl/>
        </w:rPr>
        <w:t xml:space="preserve"> </w:t>
      </w:r>
      <w:r w:rsidRPr="006571A5">
        <w:rPr>
          <w:rtl/>
        </w:rPr>
        <w:t>الأدلة</w:t>
      </w:r>
      <w:r>
        <w:rPr>
          <w:rtl/>
        </w:rPr>
        <w:t xml:space="preserve"> </w:t>
      </w:r>
      <w:r w:rsidRPr="006571A5">
        <w:rPr>
          <w:rtl/>
        </w:rPr>
        <w:t>أنها</w:t>
      </w:r>
      <w:r>
        <w:rPr>
          <w:rtl/>
        </w:rPr>
        <w:t xml:space="preserve"> </w:t>
      </w:r>
      <w:r w:rsidRPr="006571A5">
        <w:rPr>
          <w:rtl/>
        </w:rPr>
        <w:t>ستواجه</w:t>
      </w:r>
      <w:r>
        <w:rPr>
          <w:rtl/>
        </w:rPr>
        <w:t xml:space="preserve"> </w:t>
      </w:r>
      <w:r w:rsidRPr="006571A5">
        <w:rPr>
          <w:rtl/>
        </w:rPr>
        <w:t>خطرا</w:t>
      </w:r>
      <w:r>
        <w:rPr>
          <w:rtl/>
        </w:rPr>
        <w:t xml:space="preserve"> </w:t>
      </w:r>
      <w:r w:rsidRPr="006571A5">
        <w:rPr>
          <w:rtl/>
        </w:rPr>
        <w:t>حقيقيا</w:t>
      </w:r>
      <w:r>
        <w:rPr>
          <w:rtl/>
        </w:rPr>
        <w:t xml:space="preserve"> </w:t>
      </w:r>
      <w:r w:rsidRPr="006571A5">
        <w:rPr>
          <w:rtl/>
        </w:rPr>
        <w:t>وشخصيا</w:t>
      </w:r>
      <w:r>
        <w:rPr>
          <w:rtl/>
        </w:rPr>
        <w:t xml:space="preserve"> </w:t>
      </w:r>
      <w:r w:rsidRPr="006571A5">
        <w:rPr>
          <w:rtl/>
        </w:rPr>
        <w:t>ومتوقعا</w:t>
      </w:r>
      <w:r>
        <w:rPr>
          <w:rtl/>
        </w:rPr>
        <w:t xml:space="preserve"> </w:t>
      </w:r>
      <w:r w:rsidRPr="006571A5">
        <w:rPr>
          <w:rtl/>
        </w:rPr>
        <w:t>بأن</w:t>
      </w:r>
      <w:r>
        <w:rPr>
          <w:rtl/>
        </w:rPr>
        <w:t xml:space="preserve"> </w:t>
      </w:r>
      <w:r w:rsidRPr="006571A5">
        <w:rPr>
          <w:rtl/>
        </w:rPr>
        <w:t>تتعرض</w:t>
      </w:r>
      <w:r>
        <w:rPr>
          <w:rtl/>
        </w:rPr>
        <w:t xml:space="preserve"> </w:t>
      </w:r>
      <w:r w:rsidRPr="006571A5">
        <w:rPr>
          <w:rtl/>
        </w:rPr>
        <w:t>في</w:t>
      </w:r>
      <w:r>
        <w:rPr>
          <w:rtl/>
        </w:rPr>
        <w:t xml:space="preserve"> </w:t>
      </w:r>
      <w:r w:rsidRPr="006571A5">
        <w:rPr>
          <w:rtl/>
        </w:rPr>
        <w:t>الصومال</w:t>
      </w:r>
      <w:r>
        <w:rPr>
          <w:rtl/>
        </w:rPr>
        <w:t xml:space="preserve"> </w:t>
      </w:r>
      <w:r w:rsidRPr="006571A5">
        <w:rPr>
          <w:rtl/>
        </w:rPr>
        <w:t>لشكل</w:t>
      </w:r>
      <w:r>
        <w:rPr>
          <w:rtl/>
        </w:rPr>
        <w:t xml:space="preserve"> </w:t>
      </w:r>
      <w:r w:rsidRPr="006571A5">
        <w:rPr>
          <w:rtl/>
        </w:rPr>
        <w:t>من</w:t>
      </w:r>
      <w:r>
        <w:rPr>
          <w:rtl/>
        </w:rPr>
        <w:t xml:space="preserve"> </w:t>
      </w:r>
      <w:r w:rsidRPr="006571A5">
        <w:rPr>
          <w:rtl/>
        </w:rPr>
        <w:t>أشكال</w:t>
      </w:r>
      <w:r>
        <w:rPr>
          <w:rtl/>
        </w:rPr>
        <w:t xml:space="preserve"> </w:t>
      </w:r>
      <w:r w:rsidRPr="006571A5">
        <w:rPr>
          <w:rtl/>
        </w:rPr>
        <w:t>العنف</w:t>
      </w:r>
      <w:r>
        <w:rPr>
          <w:rtl/>
        </w:rPr>
        <w:t xml:space="preserve"> </w:t>
      </w:r>
      <w:r w:rsidRPr="006571A5">
        <w:rPr>
          <w:rtl/>
        </w:rPr>
        <w:t>الجنساني</w:t>
      </w:r>
      <w:r>
        <w:rPr>
          <w:rtl/>
        </w:rPr>
        <w:t xml:space="preserve"> </w:t>
      </w:r>
      <w:r w:rsidRPr="006571A5">
        <w:rPr>
          <w:rtl/>
        </w:rPr>
        <w:t>الخطيرة.</w:t>
      </w:r>
      <w:r>
        <w:rPr>
          <w:rtl/>
        </w:rPr>
        <w:t xml:space="preserve"> </w:t>
      </w:r>
      <w:r w:rsidRPr="006571A5">
        <w:rPr>
          <w:rtl/>
        </w:rPr>
        <w:t>ومن</w:t>
      </w:r>
      <w:r>
        <w:rPr>
          <w:rtl/>
        </w:rPr>
        <w:t xml:space="preserve"> </w:t>
      </w:r>
      <w:r w:rsidRPr="006571A5">
        <w:rPr>
          <w:rtl/>
        </w:rPr>
        <w:t>ثم</w:t>
      </w:r>
      <w:r>
        <w:rPr>
          <w:rtl/>
        </w:rPr>
        <w:t xml:space="preserve"> </w:t>
      </w:r>
      <w:r w:rsidRPr="006571A5">
        <w:rPr>
          <w:rtl/>
        </w:rPr>
        <w:t>ينبغي</w:t>
      </w:r>
      <w:r>
        <w:rPr>
          <w:rtl/>
        </w:rPr>
        <w:t xml:space="preserve"> </w:t>
      </w:r>
      <w:r w:rsidRPr="006571A5">
        <w:rPr>
          <w:rtl/>
        </w:rPr>
        <w:t>اعتبار</w:t>
      </w:r>
      <w:r>
        <w:rPr>
          <w:rtl/>
        </w:rPr>
        <w:t xml:space="preserve"> </w:t>
      </w:r>
      <w:r w:rsidRPr="006571A5">
        <w:rPr>
          <w:rtl/>
        </w:rPr>
        <w:t>الرسالة</w:t>
      </w:r>
      <w:r>
        <w:rPr>
          <w:rtl/>
        </w:rPr>
        <w:t xml:space="preserve"> </w:t>
      </w:r>
      <w:r w:rsidRPr="006571A5">
        <w:rPr>
          <w:rtl/>
        </w:rPr>
        <w:t>غير</w:t>
      </w:r>
      <w:r>
        <w:rPr>
          <w:rtl/>
        </w:rPr>
        <w:t xml:space="preserve"> </w:t>
      </w:r>
      <w:r w:rsidRPr="006571A5">
        <w:rPr>
          <w:rtl/>
        </w:rPr>
        <w:t>مقبولة</w:t>
      </w:r>
      <w:r>
        <w:rPr>
          <w:rtl/>
        </w:rPr>
        <w:t xml:space="preserve"> </w:t>
      </w:r>
      <w:r w:rsidRPr="006571A5">
        <w:rPr>
          <w:rtl/>
        </w:rPr>
        <w:t>بموجب</w:t>
      </w:r>
      <w:r>
        <w:rPr>
          <w:rtl/>
        </w:rPr>
        <w:t xml:space="preserve"> </w:t>
      </w:r>
      <w:r w:rsidRPr="006571A5">
        <w:rPr>
          <w:rtl/>
        </w:rPr>
        <w:t>المادة</w:t>
      </w:r>
      <w:r>
        <w:rPr>
          <w:rtl/>
        </w:rPr>
        <w:t xml:space="preserve"> </w:t>
      </w:r>
      <w:r w:rsidRPr="006571A5">
        <w:rPr>
          <w:rtl/>
        </w:rPr>
        <w:t>4</w:t>
      </w:r>
      <w:r>
        <w:rPr>
          <w:rtl/>
        </w:rPr>
        <w:t xml:space="preserve"> </w:t>
      </w:r>
      <w:r w:rsidRPr="006571A5">
        <w:rPr>
          <w:rtl/>
        </w:rPr>
        <w:t>(2)</w:t>
      </w:r>
      <w:r>
        <w:rPr>
          <w:rtl/>
        </w:rPr>
        <w:t xml:space="preserve"> </w:t>
      </w:r>
      <w:r w:rsidRPr="006571A5">
        <w:rPr>
          <w:rtl/>
        </w:rPr>
        <w:t>من</w:t>
      </w:r>
      <w:r>
        <w:rPr>
          <w:rtl/>
        </w:rPr>
        <w:t xml:space="preserve"> </w:t>
      </w:r>
      <w:r w:rsidRPr="006571A5">
        <w:rPr>
          <w:rtl/>
        </w:rPr>
        <w:t>البروتوكول</w:t>
      </w:r>
      <w:r>
        <w:rPr>
          <w:rtl/>
        </w:rPr>
        <w:t xml:space="preserve"> </w:t>
      </w:r>
      <w:r w:rsidRPr="006571A5">
        <w:rPr>
          <w:rtl/>
        </w:rPr>
        <w:t>الاختياري</w:t>
      </w:r>
      <w:r>
        <w:rPr>
          <w:rtl/>
        </w:rPr>
        <w:t xml:space="preserve"> </w:t>
      </w:r>
      <w:r w:rsidRPr="006571A5">
        <w:rPr>
          <w:rtl/>
        </w:rPr>
        <w:t>لاستنادها</w:t>
      </w:r>
      <w:r>
        <w:rPr>
          <w:rtl/>
        </w:rPr>
        <w:t xml:space="preserve"> </w:t>
      </w:r>
      <w:r w:rsidRPr="006571A5">
        <w:rPr>
          <w:rtl/>
        </w:rPr>
        <w:t>بوضوح</w:t>
      </w:r>
      <w:r>
        <w:rPr>
          <w:rtl/>
        </w:rPr>
        <w:t xml:space="preserve"> </w:t>
      </w:r>
      <w:r w:rsidRPr="006571A5">
        <w:rPr>
          <w:rtl/>
        </w:rPr>
        <w:t>إلى</w:t>
      </w:r>
      <w:r>
        <w:rPr>
          <w:rtl/>
        </w:rPr>
        <w:t xml:space="preserve"> </w:t>
      </w:r>
      <w:r w:rsidRPr="006571A5">
        <w:rPr>
          <w:rtl/>
        </w:rPr>
        <w:t>أسس</w:t>
      </w:r>
      <w:r>
        <w:rPr>
          <w:rtl/>
        </w:rPr>
        <w:t xml:space="preserve"> </w:t>
      </w:r>
      <w:r w:rsidRPr="006571A5">
        <w:rPr>
          <w:rtl/>
        </w:rPr>
        <w:t>واهية.</w:t>
      </w:r>
    </w:p>
    <w:p w14:paraId="01FF0EBB" w14:textId="724862FB" w:rsidR="006571A5" w:rsidRPr="006571A5" w:rsidRDefault="006571A5" w:rsidP="006571A5">
      <w:pPr>
        <w:pStyle w:val="SingleTxt"/>
        <w:rPr>
          <w:rtl/>
        </w:rPr>
      </w:pPr>
      <w:r w:rsidRPr="006571A5">
        <w:rPr>
          <w:rtl/>
        </w:rPr>
        <w:t>4-8</w:t>
      </w:r>
      <w:r w:rsidRPr="006571A5">
        <w:rPr>
          <w:rtl/>
        </w:rPr>
        <w:tab/>
        <w:t>وتشير</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إلى</w:t>
      </w:r>
      <w:r>
        <w:rPr>
          <w:rtl/>
        </w:rPr>
        <w:t xml:space="preserve"> </w:t>
      </w:r>
      <w:r w:rsidRPr="006571A5">
        <w:rPr>
          <w:rtl/>
        </w:rPr>
        <w:t>ادعاء</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بأن</w:t>
      </w:r>
      <w:r>
        <w:rPr>
          <w:rtl/>
        </w:rPr>
        <w:t xml:space="preserve"> </w:t>
      </w:r>
      <w:r w:rsidRPr="006571A5">
        <w:rPr>
          <w:rtl/>
        </w:rPr>
        <w:t>ترحيلها</w:t>
      </w:r>
      <w:r>
        <w:rPr>
          <w:rtl/>
        </w:rPr>
        <w:t xml:space="preserve"> </w:t>
      </w:r>
      <w:r w:rsidRPr="006571A5">
        <w:rPr>
          <w:rtl/>
        </w:rPr>
        <w:t>سيشكل</w:t>
      </w:r>
      <w:r>
        <w:rPr>
          <w:rtl/>
        </w:rPr>
        <w:t xml:space="preserve"> </w:t>
      </w:r>
      <w:r w:rsidRPr="006571A5">
        <w:rPr>
          <w:rtl/>
        </w:rPr>
        <w:t>انتهاكا</w:t>
      </w:r>
      <w:r>
        <w:rPr>
          <w:rtl/>
        </w:rPr>
        <w:t xml:space="preserve"> </w:t>
      </w:r>
      <w:r w:rsidRPr="006571A5">
        <w:rPr>
          <w:rtl/>
        </w:rPr>
        <w:t>للمواد</w:t>
      </w:r>
      <w:r>
        <w:rPr>
          <w:rtl/>
        </w:rPr>
        <w:t xml:space="preserve"> </w:t>
      </w:r>
      <w:r w:rsidR="004B1017">
        <w:rPr>
          <w:rtl/>
        </w:rPr>
        <w:t>3</w:t>
      </w:r>
      <w:r>
        <w:rPr>
          <w:rtl/>
        </w:rPr>
        <w:t xml:space="preserve"> </w:t>
      </w:r>
      <w:r w:rsidRPr="006571A5">
        <w:rPr>
          <w:rtl/>
        </w:rPr>
        <w:t>و</w:t>
      </w:r>
      <w:r>
        <w:rPr>
          <w:rtl/>
        </w:rPr>
        <w:t xml:space="preserve"> </w:t>
      </w:r>
      <w:r w:rsidR="004B1017">
        <w:rPr>
          <w:rtl/>
        </w:rPr>
        <w:t>5</w:t>
      </w:r>
      <w:r>
        <w:rPr>
          <w:rtl/>
        </w:rPr>
        <w:t xml:space="preserve"> </w:t>
      </w:r>
      <w:r w:rsidRPr="006571A5">
        <w:rPr>
          <w:rtl/>
        </w:rPr>
        <w:t>و</w:t>
      </w:r>
      <w:r w:rsidR="004C757C">
        <w:rPr>
          <w:rFonts w:hint="cs"/>
          <w:rtl/>
        </w:rPr>
        <w:t> </w:t>
      </w:r>
      <w:r w:rsidR="004B1017">
        <w:rPr>
          <w:rtl/>
        </w:rPr>
        <w:t>16</w:t>
      </w:r>
      <w:r>
        <w:rPr>
          <w:rtl/>
        </w:rPr>
        <w:t xml:space="preserve"> </w:t>
      </w:r>
      <w:r w:rsidRPr="006571A5">
        <w:rPr>
          <w:rtl/>
        </w:rPr>
        <w:t>(ب)</w:t>
      </w:r>
      <w:r>
        <w:rPr>
          <w:rtl/>
        </w:rPr>
        <w:t xml:space="preserve"> </w:t>
      </w:r>
      <w:r w:rsidRPr="006571A5">
        <w:rPr>
          <w:rtl/>
        </w:rPr>
        <w:t>من</w:t>
      </w:r>
      <w:r>
        <w:rPr>
          <w:rtl/>
        </w:rPr>
        <w:t xml:space="preserve"> </w:t>
      </w:r>
      <w:r w:rsidRPr="006571A5">
        <w:rPr>
          <w:rtl/>
        </w:rPr>
        <w:t>اتفاقية</w:t>
      </w:r>
      <w:r>
        <w:rPr>
          <w:rtl/>
        </w:rPr>
        <w:t xml:space="preserve"> </w:t>
      </w:r>
      <w:r w:rsidRPr="006571A5">
        <w:rPr>
          <w:rtl/>
        </w:rPr>
        <w:t>القضاء</w:t>
      </w:r>
      <w:r>
        <w:rPr>
          <w:rtl/>
        </w:rPr>
        <w:t xml:space="preserve"> </w:t>
      </w:r>
      <w:r w:rsidRPr="006571A5">
        <w:rPr>
          <w:rtl/>
        </w:rPr>
        <w:t>على</w:t>
      </w:r>
      <w:r>
        <w:rPr>
          <w:rtl/>
        </w:rPr>
        <w:t xml:space="preserve"> </w:t>
      </w:r>
      <w:r w:rsidRPr="006571A5">
        <w:rPr>
          <w:rtl/>
        </w:rPr>
        <w:t>جميع</w:t>
      </w:r>
      <w:r>
        <w:rPr>
          <w:rtl/>
        </w:rPr>
        <w:t xml:space="preserve"> </w:t>
      </w:r>
      <w:r w:rsidRPr="006571A5">
        <w:rPr>
          <w:rtl/>
        </w:rPr>
        <w:t>أشكال</w:t>
      </w:r>
      <w:r>
        <w:rPr>
          <w:rtl/>
        </w:rPr>
        <w:t xml:space="preserve"> </w:t>
      </w:r>
      <w:r w:rsidRPr="006571A5">
        <w:rPr>
          <w:rtl/>
        </w:rPr>
        <w:t>التمييز</w:t>
      </w:r>
      <w:r>
        <w:rPr>
          <w:rtl/>
        </w:rPr>
        <w:t xml:space="preserve"> </w:t>
      </w:r>
      <w:r w:rsidRPr="006571A5">
        <w:rPr>
          <w:rtl/>
        </w:rPr>
        <w:t>ضد</w:t>
      </w:r>
      <w:r>
        <w:rPr>
          <w:rtl/>
        </w:rPr>
        <w:t xml:space="preserve"> </w:t>
      </w:r>
      <w:r w:rsidRPr="006571A5">
        <w:rPr>
          <w:rtl/>
        </w:rPr>
        <w:t>المرأة</w:t>
      </w:r>
      <w:r>
        <w:rPr>
          <w:rtl/>
        </w:rPr>
        <w:t xml:space="preserve"> </w:t>
      </w:r>
      <w:r w:rsidRPr="006571A5">
        <w:rPr>
          <w:rtl/>
        </w:rPr>
        <w:t>لأنها</w:t>
      </w:r>
      <w:r>
        <w:rPr>
          <w:rtl/>
        </w:rPr>
        <w:t xml:space="preserve"> </w:t>
      </w:r>
      <w:r w:rsidRPr="006571A5">
        <w:rPr>
          <w:rtl/>
        </w:rPr>
        <w:t>تخشى</w:t>
      </w:r>
      <w:r>
        <w:rPr>
          <w:rtl/>
        </w:rPr>
        <w:t xml:space="preserve"> </w:t>
      </w:r>
      <w:r w:rsidRPr="006571A5">
        <w:rPr>
          <w:rtl/>
        </w:rPr>
        <w:t>أن</w:t>
      </w:r>
      <w:r>
        <w:rPr>
          <w:rtl/>
        </w:rPr>
        <w:t xml:space="preserve"> </w:t>
      </w:r>
      <w:r w:rsidRPr="006571A5">
        <w:rPr>
          <w:rtl/>
        </w:rPr>
        <w:t>تُقتل</w:t>
      </w:r>
      <w:r>
        <w:rPr>
          <w:rtl/>
        </w:rPr>
        <w:t xml:space="preserve"> </w:t>
      </w:r>
      <w:r w:rsidRPr="006571A5">
        <w:rPr>
          <w:rtl/>
        </w:rPr>
        <w:t>أو</w:t>
      </w:r>
      <w:r>
        <w:rPr>
          <w:rtl/>
        </w:rPr>
        <w:t xml:space="preserve"> </w:t>
      </w:r>
      <w:r w:rsidRPr="006571A5">
        <w:rPr>
          <w:rtl/>
        </w:rPr>
        <w:t>تُزوَّج</w:t>
      </w:r>
      <w:r>
        <w:rPr>
          <w:rtl/>
        </w:rPr>
        <w:t xml:space="preserve"> </w:t>
      </w:r>
      <w:r w:rsidRPr="006571A5">
        <w:rPr>
          <w:rtl/>
        </w:rPr>
        <w:t>قسرا</w:t>
      </w:r>
      <w:r>
        <w:rPr>
          <w:rtl/>
        </w:rPr>
        <w:t xml:space="preserve"> </w:t>
      </w:r>
      <w:r w:rsidRPr="006571A5">
        <w:rPr>
          <w:rtl/>
        </w:rPr>
        <w:t>إلى</w:t>
      </w:r>
      <w:r>
        <w:rPr>
          <w:rtl/>
        </w:rPr>
        <w:t xml:space="preserve"> </w:t>
      </w:r>
      <w:r w:rsidRPr="006571A5">
        <w:rPr>
          <w:rtl/>
        </w:rPr>
        <w:t>أحد</w:t>
      </w:r>
      <w:r>
        <w:rPr>
          <w:rtl/>
        </w:rPr>
        <w:t xml:space="preserve"> </w:t>
      </w:r>
      <w:r w:rsidRPr="006571A5">
        <w:rPr>
          <w:rtl/>
        </w:rPr>
        <w:t>أفراد</w:t>
      </w:r>
      <w:r>
        <w:rPr>
          <w:rtl/>
        </w:rPr>
        <w:t xml:space="preserve"> </w:t>
      </w:r>
      <w:r w:rsidRPr="006571A5">
        <w:rPr>
          <w:rtl/>
        </w:rPr>
        <w:t>حركة</w:t>
      </w:r>
      <w:r>
        <w:rPr>
          <w:rtl/>
        </w:rPr>
        <w:t xml:space="preserve"> </w:t>
      </w:r>
      <w:r w:rsidRPr="006571A5">
        <w:rPr>
          <w:rtl/>
        </w:rPr>
        <w:t>الشباب</w:t>
      </w:r>
      <w:r>
        <w:rPr>
          <w:rtl/>
        </w:rPr>
        <w:t xml:space="preserve"> </w:t>
      </w:r>
      <w:r w:rsidRPr="006571A5">
        <w:rPr>
          <w:rtl/>
        </w:rPr>
        <w:t>عند</w:t>
      </w:r>
      <w:r>
        <w:rPr>
          <w:rtl/>
        </w:rPr>
        <w:t xml:space="preserve"> </w:t>
      </w:r>
      <w:r w:rsidRPr="006571A5">
        <w:rPr>
          <w:rtl/>
        </w:rPr>
        <w:t>عودتها</w:t>
      </w:r>
      <w:r>
        <w:rPr>
          <w:rtl/>
        </w:rPr>
        <w:t xml:space="preserve"> </w:t>
      </w:r>
      <w:r w:rsidRPr="006571A5">
        <w:rPr>
          <w:rtl/>
        </w:rPr>
        <w:t>إلى</w:t>
      </w:r>
      <w:r>
        <w:rPr>
          <w:rtl/>
        </w:rPr>
        <w:t xml:space="preserve"> </w:t>
      </w:r>
      <w:r w:rsidRPr="006571A5">
        <w:rPr>
          <w:rtl/>
        </w:rPr>
        <w:t>الصومال،</w:t>
      </w:r>
      <w:r>
        <w:rPr>
          <w:rtl/>
        </w:rPr>
        <w:t xml:space="preserve"> </w:t>
      </w:r>
      <w:r w:rsidRPr="006571A5">
        <w:rPr>
          <w:rtl/>
        </w:rPr>
        <w:t>وبأن</w:t>
      </w:r>
      <w:r>
        <w:rPr>
          <w:rtl/>
        </w:rPr>
        <w:t xml:space="preserve"> </w:t>
      </w:r>
      <w:r w:rsidRPr="006571A5">
        <w:rPr>
          <w:rtl/>
        </w:rPr>
        <w:t>ترحيلها</w:t>
      </w:r>
      <w:r>
        <w:rPr>
          <w:rtl/>
        </w:rPr>
        <w:t xml:space="preserve"> </w:t>
      </w:r>
      <w:r w:rsidRPr="006571A5">
        <w:rPr>
          <w:rtl/>
        </w:rPr>
        <w:t>سيشكل</w:t>
      </w:r>
      <w:r>
        <w:rPr>
          <w:rtl/>
        </w:rPr>
        <w:t xml:space="preserve"> </w:t>
      </w:r>
      <w:r w:rsidRPr="006571A5">
        <w:rPr>
          <w:rtl/>
        </w:rPr>
        <w:t>أيضا</w:t>
      </w:r>
      <w:r>
        <w:rPr>
          <w:rtl/>
        </w:rPr>
        <w:t xml:space="preserve"> </w:t>
      </w:r>
      <w:r w:rsidRPr="006571A5">
        <w:rPr>
          <w:rtl/>
        </w:rPr>
        <w:t>انتهاكا</w:t>
      </w:r>
      <w:r>
        <w:rPr>
          <w:rtl/>
        </w:rPr>
        <w:t xml:space="preserve"> </w:t>
      </w:r>
      <w:r w:rsidRPr="006571A5">
        <w:rPr>
          <w:rtl/>
        </w:rPr>
        <w:t>للمادة</w:t>
      </w:r>
      <w:r>
        <w:rPr>
          <w:rtl/>
        </w:rPr>
        <w:t xml:space="preserve"> </w:t>
      </w:r>
      <w:r w:rsidR="004B1017">
        <w:rPr>
          <w:rtl/>
        </w:rPr>
        <w:t>14</w:t>
      </w:r>
      <w:r>
        <w:rPr>
          <w:rtl/>
        </w:rPr>
        <w:t xml:space="preserve"> </w:t>
      </w:r>
      <w:r w:rsidRPr="006571A5">
        <w:rPr>
          <w:rtl/>
        </w:rPr>
        <w:t>من</w:t>
      </w:r>
      <w:r>
        <w:rPr>
          <w:rtl/>
        </w:rPr>
        <w:t xml:space="preserve"> </w:t>
      </w:r>
      <w:r w:rsidRPr="006571A5">
        <w:rPr>
          <w:rtl/>
        </w:rPr>
        <w:t>العهد</w:t>
      </w:r>
      <w:r>
        <w:rPr>
          <w:rtl/>
        </w:rPr>
        <w:t xml:space="preserve"> </w:t>
      </w:r>
      <w:r w:rsidRPr="006571A5">
        <w:rPr>
          <w:rtl/>
        </w:rPr>
        <w:t>الدولي</w:t>
      </w:r>
      <w:r>
        <w:rPr>
          <w:rtl/>
        </w:rPr>
        <w:t xml:space="preserve"> </w:t>
      </w:r>
      <w:r w:rsidRPr="006571A5">
        <w:rPr>
          <w:rtl/>
        </w:rPr>
        <w:t>الخاص</w:t>
      </w:r>
      <w:r>
        <w:rPr>
          <w:rtl/>
        </w:rPr>
        <w:t xml:space="preserve"> </w:t>
      </w:r>
      <w:r w:rsidRPr="006571A5">
        <w:rPr>
          <w:rtl/>
        </w:rPr>
        <w:t>بالحقوق</w:t>
      </w:r>
      <w:r>
        <w:rPr>
          <w:rtl/>
        </w:rPr>
        <w:t xml:space="preserve"> </w:t>
      </w:r>
      <w:r w:rsidRPr="006571A5">
        <w:rPr>
          <w:rtl/>
        </w:rPr>
        <w:t>المدنية</w:t>
      </w:r>
      <w:r>
        <w:rPr>
          <w:rtl/>
        </w:rPr>
        <w:t xml:space="preserve"> </w:t>
      </w:r>
      <w:r w:rsidRPr="006571A5">
        <w:rPr>
          <w:rtl/>
        </w:rPr>
        <w:t>والسياسية</w:t>
      </w:r>
      <w:r>
        <w:rPr>
          <w:rtl/>
        </w:rPr>
        <w:t xml:space="preserve"> </w:t>
      </w:r>
      <w:r w:rsidRPr="006571A5">
        <w:rPr>
          <w:rtl/>
        </w:rPr>
        <w:t>والمادة</w:t>
      </w:r>
      <w:r>
        <w:rPr>
          <w:rtl/>
        </w:rPr>
        <w:t xml:space="preserve"> </w:t>
      </w:r>
      <w:r w:rsidR="004B1017">
        <w:rPr>
          <w:rtl/>
        </w:rPr>
        <w:t>3</w:t>
      </w:r>
      <w:r>
        <w:rPr>
          <w:rtl/>
        </w:rPr>
        <w:t xml:space="preserve"> </w:t>
      </w:r>
      <w:r w:rsidRPr="006571A5">
        <w:rPr>
          <w:rtl/>
        </w:rPr>
        <w:t>من</w:t>
      </w:r>
      <w:r>
        <w:rPr>
          <w:rtl/>
        </w:rPr>
        <w:t xml:space="preserve"> </w:t>
      </w:r>
      <w:r w:rsidRPr="006571A5">
        <w:rPr>
          <w:rtl/>
        </w:rPr>
        <w:t>الاتفاقية</w:t>
      </w:r>
      <w:r>
        <w:rPr>
          <w:rtl/>
        </w:rPr>
        <w:t xml:space="preserve"> </w:t>
      </w:r>
      <w:r w:rsidRPr="006571A5">
        <w:rPr>
          <w:rtl/>
        </w:rPr>
        <w:t>الأوروبية</w:t>
      </w:r>
      <w:r>
        <w:rPr>
          <w:rtl/>
        </w:rPr>
        <w:t xml:space="preserve"> </w:t>
      </w:r>
      <w:r w:rsidRPr="006571A5">
        <w:rPr>
          <w:rtl/>
        </w:rPr>
        <w:t>لحقوق</w:t>
      </w:r>
      <w:r>
        <w:rPr>
          <w:rtl/>
        </w:rPr>
        <w:t xml:space="preserve"> </w:t>
      </w:r>
      <w:r w:rsidRPr="006571A5">
        <w:rPr>
          <w:rtl/>
        </w:rPr>
        <w:t>الإنسان.</w:t>
      </w:r>
      <w:r>
        <w:rPr>
          <w:rtl/>
        </w:rPr>
        <w:t xml:space="preserve"> </w:t>
      </w:r>
      <w:r w:rsidRPr="006571A5">
        <w:rPr>
          <w:rtl/>
        </w:rPr>
        <w:t>وتشير</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أيضا</w:t>
      </w:r>
      <w:r>
        <w:rPr>
          <w:rtl/>
        </w:rPr>
        <w:t xml:space="preserve"> </w:t>
      </w:r>
      <w:r w:rsidRPr="006571A5">
        <w:rPr>
          <w:rtl/>
        </w:rPr>
        <w:t>إلى</w:t>
      </w:r>
      <w:r>
        <w:rPr>
          <w:rtl/>
        </w:rPr>
        <w:t xml:space="preserve"> </w:t>
      </w:r>
      <w:r w:rsidRPr="006571A5">
        <w:rPr>
          <w:rtl/>
        </w:rPr>
        <w:t>ادعاء</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بأنه</w:t>
      </w:r>
      <w:r>
        <w:rPr>
          <w:rtl/>
        </w:rPr>
        <w:t xml:space="preserve"> </w:t>
      </w:r>
      <w:r w:rsidRPr="006571A5">
        <w:rPr>
          <w:rtl/>
        </w:rPr>
        <w:t>من</w:t>
      </w:r>
      <w:r>
        <w:rPr>
          <w:rtl/>
        </w:rPr>
        <w:t xml:space="preserve"> </w:t>
      </w:r>
      <w:r w:rsidRPr="006571A5">
        <w:rPr>
          <w:rtl/>
        </w:rPr>
        <w:t>المعروف</w:t>
      </w:r>
      <w:r>
        <w:rPr>
          <w:rtl/>
        </w:rPr>
        <w:t xml:space="preserve"> </w:t>
      </w:r>
      <w:r w:rsidRPr="006571A5">
        <w:rPr>
          <w:rtl/>
        </w:rPr>
        <w:t>على</w:t>
      </w:r>
      <w:r>
        <w:rPr>
          <w:rtl/>
        </w:rPr>
        <w:t xml:space="preserve"> </w:t>
      </w:r>
      <w:r w:rsidRPr="006571A5">
        <w:rPr>
          <w:rtl/>
        </w:rPr>
        <w:t>أفراد</w:t>
      </w:r>
      <w:r>
        <w:rPr>
          <w:rtl/>
        </w:rPr>
        <w:t xml:space="preserve"> </w:t>
      </w:r>
      <w:r w:rsidRPr="006571A5">
        <w:rPr>
          <w:rtl/>
        </w:rPr>
        <w:t>حركة</w:t>
      </w:r>
      <w:r>
        <w:rPr>
          <w:rtl/>
        </w:rPr>
        <w:t xml:space="preserve"> </w:t>
      </w:r>
      <w:r w:rsidRPr="006571A5">
        <w:rPr>
          <w:rtl/>
        </w:rPr>
        <w:t>الشباب</w:t>
      </w:r>
      <w:r>
        <w:rPr>
          <w:rtl/>
        </w:rPr>
        <w:t xml:space="preserve"> </w:t>
      </w:r>
      <w:r w:rsidRPr="006571A5">
        <w:rPr>
          <w:rtl/>
        </w:rPr>
        <w:t>أنهم</w:t>
      </w:r>
      <w:r>
        <w:rPr>
          <w:rtl/>
        </w:rPr>
        <w:t xml:space="preserve"> </w:t>
      </w:r>
      <w:r w:rsidRPr="006571A5">
        <w:rPr>
          <w:rtl/>
        </w:rPr>
        <w:t>يتصرفون</w:t>
      </w:r>
      <w:r>
        <w:rPr>
          <w:rtl/>
        </w:rPr>
        <w:t xml:space="preserve"> </w:t>
      </w:r>
      <w:r w:rsidRPr="006571A5">
        <w:rPr>
          <w:rtl/>
        </w:rPr>
        <w:t>بعنف</w:t>
      </w:r>
      <w:r>
        <w:rPr>
          <w:rtl/>
        </w:rPr>
        <w:t xml:space="preserve"> </w:t>
      </w:r>
      <w:r w:rsidRPr="006571A5">
        <w:rPr>
          <w:rtl/>
        </w:rPr>
        <w:t>مع</w:t>
      </w:r>
      <w:r>
        <w:rPr>
          <w:rtl/>
        </w:rPr>
        <w:t xml:space="preserve"> </w:t>
      </w:r>
      <w:r w:rsidRPr="006571A5">
        <w:rPr>
          <w:rtl/>
        </w:rPr>
        <w:t>من</w:t>
      </w:r>
      <w:r>
        <w:rPr>
          <w:rtl/>
        </w:rPr>
        <w:t xml:space="preserve"> </w:t>
      </w:r>
      <w:r w:rsidRPr="006571A5">
        <w:rPr>
          <w:rtl/>
        </w:rPr>
        <w:t>يعصُون</w:t>
      </w:r>
      <w:r>
        <w:rPr>
          <w:rtl/>
        </w:rPr>
        <w:t xml:space="preserve"> </w:t>
      </w:r>
      <w:r w:rsidRPr="006571A5">
        <w:rPr>
          <w:rtl/>
        </w:rPr>
        <w:t>أوامرهم</w:t>
      </w:r>
      <w:r>
        <w:rPr>
          <w:rtl/>
        </w:rPr>
        <w:t xml:space="preserve"> </w:t>
      </w:r>
      <w:r w:rsidRPr="006571A5">
        <w:rPr>
          <w:rtl/>
        </w:rPr>
        <w:t>وأنهم</w:t>
      </w:r>
      <w:r>
        <w:rPr>
          <w:rtl/>
        </w:rPr>
        <w:t xml:space="preserve"> </w:t>
      </w:r>
      <w:r w:rsidRPr="006571A5">
        <w:rPr>
          <w:rtl/>
        </w:rPr>
        <w:t>يعتبرون</w:t>
      </w:r>
      <w:r>
        <w:rPr>
          <w:rtl/>
        </w:rPr>
        <w:t xml:space="preserve"> </w:t>
      </w:r>
      <w:r w:rsidRPr="006571A5">
        <w:rPr>
          <w:rtl/>
        </w:rPr>
        <w:t>طالبي</w:t>
      </w:r>
      <w:r>
        <w:rPr>
          <w:rtl/>
        </w:rPr>
        <w:t xml:space="preserve"> </w:t>
      </w:r>
      <w:r w:rsidRPr="006571A5">
        <w:rPr>
          <w:rtl/>
        </w:rPr>
        <w:t>اللجوء</w:t>
      </w:r>
      <w:r>
        <w:rPr>
          <w:rtl/>
        </w:rPr>
        <w:t xml:space="preserve"> </w:t>
      </w:r>
      <w:r w:rsidRPr="006571A5">
        <w:rPr>
          <w:rtl/>
        </w:rPr>
        <w:t>خونة،</w:t>
      </w:r>
      <w:r>
        <w:rPr>
          <w:rtl/>
        </w:rPr>
        <w:t xml:space="preserve"> </w:t>
      </w:r>
      <w:r w:rsidRPr="006571A5">
        <w:rPr>
          <w:rtl/>
        </w:rPr>
        <w:t>وبأنها</w:t>
      </w:r>
      <w:r>
        <w:rPr>
          <w:rtl/>
        </w:rPr>
        <w:t xml:space="preserve"> </w:t>
      </w:r>
      <w:r w:rsidRPr="006571A5">
        <w:rPr>
          <w:rtl/>
        </w:rPr>
        <w:t>قد</w:t>
      </w:r>
      <w:r>
        <w:rPr>
          <w:rtl/>
        </w:rPr>
        <w:t xml:space="preserve"> </w:t>
      </w:r>
      <w:r w:rsidRPr="006571A5">
        <w:rPr>
          <w:rtl/>
        </w:rPr>
        <w:t>تتعرض</w:t>
      </w:r>
      <w:r>
        <w:rPr>
          <w:rtl/>
        </w:rPr>
        <w:t xml:space="preserve"> </w:t>
      </w:r>
      <w:r w:rsidRPr="006571A5">
        <w:rPr>
          <w:rtl/>
        </w:rPr>
        <w:t>للتعذيب</w:t>
      </w:r>
      <w:r>
        <w:rPr>
          <w:rtl/>
        </w:rPr>
        <w:t xml:space="preserve"> </w:t>
      </w:r>
      <w:r w:rsidRPr="006571A5">
        <w:rPr>
          <w:rtl/>
        </w:rPr>
        <w:t>لهذا</w:t>
      </w:r>
      <w:r>
        <w:rPr>
          <w:rtl/>
        </w:rPr>
        <w:t xml:space="preserve"> </w:t>
      </w:r>
      <w:r w:rsidRPr="006571A5">
        <w:rPr>
          <w:rtl/>
        </w:rPr>
        <w:t>السبب</w:t>
      </w:r>
      <w:r>
        <w:rPr>
          <w:rtl/>
        </w:rPr>
        <w:t xml:space="preserve"> </w:t>
      </w:r>
      <w:r w:rsidRPr="006571A5">
        <w:rPr>
          <w:rtl/>
        </w:rPr>
        <w:t>وحده.</w:t>
      </w:r>
      <w:r>
        <w:rPr>
          <w:rtl/>
        </w:rPr>
        <w:t xml:space="preserve"> </w:t>
      </w:r>
      <w:r w:rsidRPr="006571A5">
        <w:rPr>
          <w:rtl/>
        </w:rPr>
        <w:t>وتشير</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كذلك</w:t>
      </w:r>
      <w:r>
        <w:rPr>
          <w:rtl/>
        </w:rPr>
        <w:t xml:space="preserve"> </w:t>
      </w:r>
      <w:r w:rsidRPr="006571A5">
        <w:rPr>
          <w:rtl/>
        </w:rPr>
        <w:t>إلى</w:t>
      </w:r>
      <w:r>
        <w:rPr>
          <w:rtl/>
        </w:rPr>
        <w:t xml:space="preserve"> </w:t>
      </w:r>
      <w:r w:rsidRPr="006571A5">
        <w:rPr>
          <w:rtl/>
        </w:rPr>
        <w:t>ادعاء</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بأن</w:t>
      </w:r>
      <w:r>
        <w:rPr>
          <w:rtl/>
        </w:rPr>
        <w:t xml:space="preserve"> </w:t>
      </w:r>
      <w:r w:rsidRPr="006571A5">
        <w:rPr>
          <w:rtl/>
        </w:rPr>
        <w:t>التناقض</w:t>
      </w:r>
      <w:r>
        <w:rPr>
          <w:rtl/>
        </w:rPr>
        <w:t xml:space="preserve"> </w:t>
      </w:r>
      <w:r w:rsidRPr="006571A5">
        <w:rPr>
          <w:rtl/>
        </w:rPr>
        <w:t>المزعوم</w:t>
      </w:r>
      <w:r>
        <w:rPr>
          <w:rtl/>
        </w:rPr>
        <w:t xml:space="preserve"> </w:t>
      </w:r>
      <w:r w:rsidRPr="006571A5">
        <w:rPr>
          <w:rtl/>
        </w:rPr>
        <w:t>في</w:t>
      </w:r>
      <w:r>
        <w:rPr>
          <w:rtl/>
        </w:rPr>
        <w:t xml:space="preserve"> </w:t>
      </w:r>
      <w:r w:rsidRPr="006571A5">
        <w:rPr>
          <w:rtl/>
        </w:rPr>
        <w:t>أقوالها</w:t>
      </w:r>
      <w:r>
        <w:rPr>
          <w:rtl/>
        </w:rPr>
        <w:t xml:space="preserve"> </w:t>
      </w:r>
      <w:r w:rsidRPr="006571A5">
        <w:rPr>
          <w:rtl/>
        </w:rPr>
        <w:t>يعود</w:t>
      </w:r>
      <w:r>
        <w:rPr>
          <w:rtl/>
        </w:rPr>
        <w:t xml:space="preserve"> </w:t>
      </w:r>
      <w:r w:rsidRPr="006571A5">
        <w:rPr>
          <w:rtl/>
        </w:rPr>
        <w:t>إلى</w:t>
      </w:r>
      <w:r>
        <w:rPr>
          <w:rtl/>
        </w:rPr>
        <w:t xml:space="preserve"> </w:t>
      </w:r>
      <w:r w:rsidRPr="006571A5">
        <w:rPr>
          <w:rtl/>
        </w:rPr>
        <w:t>الضغط</w:t>
      </w:r>
      <w:r>
        <w:rPr>
          <w:rtl/>
        </w:rPr>
        <w:t xml:space="preserve"> </w:t>
      </w:r>
      <w:r w:rsidRPr="006571A5">
        <w:rPr>
          <w:rtl/>
        </w:rPr>
        <w:t>التي</w:t>
      </w:r>
      <w:r>
        <w:rPr>
          <w:rtl/>
        </w:rPr>
        <w:t xml:space="preserve"> </w:t>
      </w:r>
      <w:r w:rsidRPr="006571A5">
        <w:rPr>
          <w:rtl/>
        </w:rPr>
        <w:t>كانت</w:t>
      </w:r>
      <w:r>
        <w:rPr>
          <w:rtl/>
        </w:rPr>
        <w:t xml:space="preserve"> </w:t>
      </w:r>
      <w:r w:rsidRPr="006571A5">
        <w:rPr>
          <w:rtl/>
        </w:rPr>
        <w:t>تعاني</w:t>
      </w:r>
      <w:r>
        <w:rPr>
          <w:rtl/>
        </w:rPr>
        <w:t xml:space="preserve"> </w:t>
      </w:r>
      <w:r w:rsidRPr="006571A5">
        <w:rPr>
          <w:rtl/>
        </w:rPr>
        <w:t>منه.</w:t>
      </w:r>
      <w:r>
        <w:rPr>
          <w:rtl/>
        </w:rPr>
        <w:t xml:space="preserve"> </w:t>
      </w:r>
      <w:r w:rsidRPr="006571A5">
        <w:rPr>
          <w:rtl/>
        </w:rPr>
        <w:t>وتشير</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إلى</w:t>
      </w:r>
      <w:r>
        <w:rPr>
          <w:rtl/>
        </w:rPr>
        <w:t xml:space="preserve"> </w:t>
      </w:r>
      <w:r w:rsidRPr="006571A5">
        <w:rPr>
          <w:rtl/>
        </w:rPr>
        <w:t>أن</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احتجّت</w:t>
      </w:r>
      <w:r>
        <w:rPr>
          <w:rtl/>
        </w:rPr>
        <w:t xml:space="preserve"> </w:t>
      </w:r>
      <w:r w:rsidRPr="006571A5">
        <w:rPr>
          <w:rtl/>
        </w:rPr>
        <w:t>بأن</w:t>
      </w:r>
      <w:r>
        <w:rPr>
          <w:rtl/>
        </w:rPr>
        <w:t xml:space="preserve"> </w:t>
      </w:r>
      <w:r w:rsidRPr="006571A5">
        <w:rPr>
          <w:rtl/>
        </w:rPr>
        <w:t>المحامين</w:t>
      </w:r>
      <w:r>
        <w:rPr>
          <w:rtl/>
        </w:rPr>
        <w:t xml:space="preserve"> </w:t>
      </w:r>
      <w:proofErr w:type="spellStart"/>
      <w:r w:rsidRPr="006571A5">
        <w:rPr>
          <w:rtl/>
        </w:rPr>
        <w:lastRenderedPageBreak/>
        <w:t>الدانمركيين</w:t>
      </w:r>
      <w:proofErr w:type="spellEnd"/>
      <w:r>
        <w:rPr>
          <w:rtl/>
        </w:rPr>
        <w:t xml:space="preserve"> </w:t>
      </w:r>
      <w:r w:rsidRPr="006571A5">
        <w:rPr>
          <w:rtl/>
        </w:rPr>
        <w:t>كثيرا</w:t>
      </w:r>
      <w:r>
        <w:rPr>
          <w:rtl/>
        </w:rPr>
        <w:t xml:space="preserve"> </w:t>
      </w:r>
      <w:r w:rsidRPr="006571A5">
        <w:rPr>
          <w:rtl/>
        </w:rPr>
        <w:t>ما</w:t>
      </w:r>
      <w:r>
        <w:rPr>
          <w:rtl/>
        </w:rPr>
        <w:t xml:space="preserve"> </w:t>
      </w:r>
      <w:r w:rsidRPr="006571A5">
        <w:rPr>
          <w:rtl/>
        </w:rPr>
        <w:t>يشكون</w:t>
      </w:r>
      <w:r>
        <w:rPr>
          <w:rtl/>
        </w:rPr>
        <w:t xml:space="preserve"> </w:t>
      </w:r>
      <w:r w:rsidRPr="006571A5">
        <w:rPr>
          <w:rtl/>
        </w:rPr>
        <w:t>من</w:t>
      </w:r>
      <w:r>
        <w:rPr>
          <w:rtl/>
        </w:rPr>
        <w:t xml:space="preserve"> </w:t>
      </w:r>
      <w:r w:rsidRPr="006571A5">
        <w:rPr>
          <w:rtl/>
        </w:rPr>
        <w:t>أن</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يرفض</w:t>
      </w:r>
      <w:r>
        <w:rPr>
          <w:rtl/>
        </w:rPr>
        <w:t xml:space="preserve"> </w:t>
      </w:r>
      <w:r w:rsidRPr="006571A5">
        <w:rPr>
          <w:rtl/>
        </w:rPr>
        <w:t>الطلبات</w:t>
      </w:r>
      <w:r>
        <w:rPr>
          <w:rtl/>
        </w:rPr>
        <w:t xml:space="preserve"> </w:t>
      </w:r>
      <w:r w:rsidRPr="006571A5">
        <w:rPr>
          <w:rtl/>
        </w:rPr>
        <w:t>على</w:t>
      </w:r>
      <w:r>
        <w:rPr>
          <w:rtl/>
        </w:rPr>
        <w:t xml:space="preserve"> </w:t>
      </w:r>
      <w:r w:rsidRPr="006571A5">
        <w:rPr>
          <w:rtl/>
        </w:rPr>
        <w:t>أساس</w:t>
      </w:r>
      <w:r>
        <w:rPr>
          <w:rtl/>
        </w:rPr>
        <w:t xml:space="preserve"> </w:t>
      </w:r>
      <w:r w:rsidRPr="006571A5">
        <w:rPr>
          <w:rtl/>
        </w:rPr>
        <w:t>اختلافات</w:t>
      </w:r>
      <w:r>
        <w:rPr>
          <w:rtl/>
        </w:rPr>
        <w:t xml:space="preserve"> </w:t>
      </w:r>
      <w:r w:rsidRPr="006571A5">
        <w:rPr>
          <w:rtl/>
        </w:rPr>
        <w:t>طفيفة</w:t>
      </w:r>
      <w:r>
        <w:rPr>
          <w:rtl/>
        </w:rPr>
        <w:t xml:space="preserve"> </w:t>
      </w:r>
      <w:r w:rsidRPr="006571A5">
        <w:rPr>
          <w:rtl/>
        </w:rPr>
        <w:t>بين</w:t>
      </w:r>
      <w:r>
        <w:rPr>
          <w:rtl/>
        </w:rPr>
        <w:t xml:space="preserve"> </w:t>
      </w:r>
      <w:r w:rsidRPr="006571A5">
        <w:rPr>
          <w:rtl/>
        </w:rPr>
        <w:t>المقابلات</w:t>
      </w:r>
      <w:r>
        <w:rPr>
          <w:rtl/>
        </w:rPr>
        <w:t xml:space="preserve"> </w:t>
      </w:r>
      <w:r w:rsidRPr="006571A5">
        <w:rPr>
          <w:rtl/>
        </w:rPr>
        <w:t>المتعددة</w:t>
      </w:r>
      <w:r>
        <w:rPr>
          <w:rtl/>
        </w:rPr>
        <w:t xml:space="preserve"> </w:t>
      </w:r>
      <w:r w:rsidRPr="006571A5">
        <w:rPr>
          <w:rtl/>
        </w:rPr>
        <w:t>التي</w:t>
      </w:r>
      <w:r>
        <w:rPr>
          <w:rtl/>
        </w:rPr>
        <w:t xml:space="preserve"> </w:t>
      </w:r>
      <w:r w:rsidRPr="006571A5">
        <w:rPr>
          <w:rtl/>
        </w:rPr>
        <w:t>تجريها</w:t>
      </w:r>
      <w:r>
        <w:rPr>
          <w:rtl/>
        </w:rPr>
        <w:t xml:space="preserve"> </w:t>
      </w:r>
      <w:r w:rsidRPr="006571A5">
        <w:rPr>
          <w:rtl/>
        </w:rPr>
        <w:t>دائرة</w:t>
      </w:r>
      <w:r>
        <w:rPr>
          <w:rtl/>
        </w:rPr>
        <w:t xml:space="preserve"> </w:t>
      </w:r>
      <w:r w:rsidRPr="006571A5">
        <w:rPr>
          <w:rtl/>
        </w:rPr>
        <w:t>الهجرة،</w:t>
      </w:r>
      <w:r>
        <w:rPr>
          <w:rtl/>
        </w:rPr>
        <w:t xml:space="preserve"> </w:t>
      </w:r>
      <w:r w:rsidRPr="006571A5">
        <w:rPr>
          <w:rtl/>
        </w:rPr>
        <w:t>وأنه</w:t>
      </w:r>
      <w:r>
        <w:rPr>
          <w:rtl/>
        </w:rPr>
        <w:t xml:space="preserve"> </w:t>
      </w:r>
      <w:r w:rsidRPr="006571A5">
        <w:rPr>
          <w:rtl/>
        </w:rPr>
        <w:t>يخل</w:t>
      </w:r>
      <w:r w:rsidR="004B1017">
        <w:rPr>
          <w:rFonts w:hint="cs"/>
          <w:rtl/>
        </w:rPr>
        <w:t>ص</w:t>
      </w:r>
      <w:r>
        <w:rPr>
          <w:rtl/>
        </w:rPr>
        <w:t xml:space="preserve"> </w:t>
      </w:r>
      <w:r w:rsidRPr="006571A5">
        <w:rPr>
          <w:rtl/>
        </w:rPr>
        <w:t>حتماً</w:t>
      </w:r>
      <w:r>
        <w:rPr>
          <w:rtl/>
        </w:rPr>
        <w:t xml:space="preserve"> </w:t>
      </w:r>
      <w:r w:rsidRPr="006571A5">
        <w:rPr>
          <w:rtl/>
        </w:rPr>
        <w:t>إلى</w:t>
      </w:r>
      <w:r>
        <w:rPr>
          <w:rtl/>
        </w:rPr>
        <w:t xml:space="preserve"> </w:t>
      </w:r>
      <w:r w:rsidRPr="006571A5">
        <w:rPr>
          <w:rtl/>
        </w:rPr>
        <w:t>أن</w:t>
      </w:r>
      <w:r>
        <w:rPr>
          <w:rtl/>
        </w:rPr>
        <w:t xml:space="preserve"> </w:t>
      </w:r>
      <w:r w:rsidRPr="006571A5">
        <w:rPr>
          <w:rtl/>
        </w:rPr>
        <w:t>طالب</w:t>
      </w:r>
      <w:r>
        <w:rPr>
          <w:rtl/>
        </w:rPr>
        <w:t xml:space="preserve"> </w:t>
      </w:r>
      <w:r w:rsidRPr="006571A5">
        <w:rPr>
          <w:rtl/>
        </w:rPr>
        <w:t>اللجوء</w:t>
      </w:r>
      <w:r>
        <w:rPr>
          <w:rtl/>
        </w:rPr>
        <w:t xml:space="preserve"> </w:t>
      </w:r>
      <w:r w:rsidRPr="006571A5">
        <w:rPr>
          <w:rtl/>
        </w:rPr>
        <w:t>يكذب.</w:t>
      </w:r>
    </w:p>
    <w:p w14:paraId="30E4DDDF" w14:textId="7EFE9953" w:rsidR="006571A5" w:rsidRPr="006571A5" w:rsidRDefault="006571A5" w:rsidP="006571A5">
      <w:pPr>
        <w:pStyle w:val="SingleTxt"/>
        <w:rPr>
          <w:rtl/>
        </w:rPr>
      </w:pPr>
      <w:r w:rsidRPr="006571A5">
        <w:rPr>
          <w:rtl/>
        </w:rPr>
        <w:t>4-9</w:t>
      </w:r>
      <w:r w:rsidRPr="006571A5">
        <w:rPr>
          <w:rtl/>
        </w:rPr>
        <w:tab/>
        <w:t>وتشير</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إلى</w:t>
      </w:r>
      <w:r>
        <w:rPr>
          <w:rtl/>
        </w:rPr>
        <w:t xml:space="preserve"> </w:t>
      </w:r>
      <w:r w:rsidRPr="006571A5">
        <w:rPr>
          <w:rtl/>
        </w:rPr>
        <w:t>الاتفاق</w:t>
      </w:r>
      <w:r>
        <w:rPr>
          <w:rtl/>
        </w:rPr>
        <w:t xml:space="preserve"> </w:t>
      </w:r>
      <w:r w:rsidRPr="006571A5">
        <w:rPr>
          <w:rtl/>
        </w:rPr>
        <w:t>السري</w:t>
      </w:r>
      <w:r>
        <w:rPr>
          <w:rtl/>
        </w:rPr>
        <w:t xml:space="preserve"> </w:t>
      </w:r>
      <w:r w:rsidRPr="006571A5">
        <w:rPr>
          <w:rtl/>
        </w:rPr>
        <w:t>المزعوم</w:t>
      </w:r>
      <w:r>
        <w:rPr>
          <w:rtl/>
        </w:rPr>
        <w:t xml:space="preserve"> </w:t>
      </w:r>
      <w:r w:rsidRPr="006571A5">
        <w:rPr>
          <w:rtl/>
        </w:rPr>
        <w:t>أنه</w:t>
      </w:r>
      <w:r>
        <w:rPr>
          <w:rtl/>
        </w:rPr>
        <w:t xml:space="preserve"> </w:t>
      </w:r>
      <w:r w:rsidRPr="006571A5">
        <w:rPr>
          <w:rtl/>
        </w:rPr>
        <w:t>مبرم</w:t>
      </w:r>
      <w:r>
        <w:rPr>
          <w:rtl/>
        </w:rPr>
        <w:t xml:space="preserve"> </w:t>
      </w:r>
      <w:r w:rsidRPr="006571A5">
        <w:rPr>
          <w:rtl/>
        </w:rPr>
        <w:t>بين</w:t>
      </w:r>
      <w:r>
        <w:rPr>
          <w:rtl/>
        </w:rPr>
        <w:t xml:space="preserve"> </w:t>
      </w:r>
      <w:r w:rsidRPr="006571A5">
        <w:rPr>
          <w:rtl/>
        </w:rPr>
        <w:t>الدانمرك</w:t>
      </w:r>
      <w:r>
        <w:rPr>
          <w:rtl/>
        </w:rPr>
        <w:t xml:space="preserve"> </w:t>
      </w:r>
      <w:r w:rsidRPr="006571A5">
        <w:rPr>
          <w:rtl/>
        </w:rPr>
        <w:t>والصومال</w:t>
      </w:r>
      <w:r>
        <w:rPr>
          <w:rtl/>
        </w:rPr>
        <w:t xml:space="preserve"> </w:t>
      </w:r>
      <w:r w:rsidRPr="006571A5">
        <w:rPr>
          <w:rtl/>
        </w:rPr>
        <w:t>(انظر</w:t>
      </w:r>
      <w:r>
        <w:rPr>
          <w:rtl/>
        </w:rPr>
        <w:t xml:space="preserve"> </w:t>
      </w:r>
      <w:r w:rsidRPr="006571A5">
        <w:rPr>
          <w:rtl/>
        </w:rPr>
        <w:t>الفقرة</w:t>
      </w:r>
      <w:r>
        <w:rPr>
          <w:rtl/>
        </w:rPr>
        <w:t xml:space="preserve"> </w:t>
      </w:r>
      <w:r w:rsidRPr="006571A5">
        <w:rPr>
          <w:rtl/>
        </w:rPr>
        <w:t>2-4</w:t>
      </w:r>
      <w:r>
        <w:rPr>
          <w:rtl/>
        </w:rPr>
        <w:t xml:space="preserve"> </w:t>
      </w:r>
      <w:r w:rsidRPr="006571A5">
        <w:rPr>
          <w:rtl/>
        </w:rPr>
        <w:t>أعلاه)،</w:t>
      </w:r>
      <w:r>
        <w:rPr>
          <w:rtl/>
        </w:rPr>
        <w:t xml:space="preserve"> </w:t>
      </w:r>
      <w:r w:rsidRPr="006571A5">
        <w:rPr>
          <w:rtl/>
        </w:rPr>
        <w:t>والمعلومات</w:t>
      </w:r>
      <w:r>
        <w:rPr>
          <w:rtl/>
        </w:rPr>
        <w:t xml:space="preserve"> </w:t>
      </w:r>
      <w:r w:rsidRPr="006571A5">
        <w:rPr>
          <w:rtl/>
        </w:rPr>
        <w:t>المقدمة</w:t>
      </w:r>
      <w:r>
        <w:rPr>
          <w:rtl/>
        </w:rPr>
        <w:t xml:space="preserve"> </w:t>
      </w:r>
      <w:r w:rsidRPr="006571A5">
        <w:rPr>
          <w:rtl/>
        </w:rPr>
        <w:t>من</w:t>
      </w:r>
      <w:r>
        <w:rPr>
          <w:rtl/>
        </w:rPr>
        <w:t xml:space="preserve"> </w:t>
      </w:r>
      <w:r w:rsidRPr="006571A5">
        <w:rPr>
          <w:rtl/>
        </w:rPr>
        <w:t>مفوضية</w:t>
      </w:r>
      <w:r>
        <w:rPr>
          <w:rtl/>
        </w:rPr>
        <w:t xml:space="preserve"> </w:t>
      </w:r>
      <w:r w:rsidRPr="006571A5">
        <w:rPr>
          <w:rtl/>
        </w:rPr>
        <w:t>الأمم</w:t>
      </w:r>
      <w:r>
        <w:rPr>
          <w:rtl/>
        </w:rPr>
        <w:t xml:space="preserve"> </w:t>
      </w:r>
      <w:r w:rsidRPr="006571A5">
        <w:rPr>
          <w:rtl/>
        </w:rPr>
        <w:t>المتحدة</w:t>
      </w:r>
      <w:r>
        <w:rPr>
          <w:rtl/>
        </w:rPr>
        <w:t xml:space="preserve"> </w:t>
      </w:r>
      <w:r w:rsidRPr="006571A5">
        <w:rPr>
          <w:rtl/>
        </w:rPr>
        <w:t>لشؤون</w:t>
      </w:r>
      <w:r>
        <w:rPr>
          <w:rtl/>
        </w:rPr>
        <w:t xml:space="preserve"> </w:t>
      </w:r>
      <w:r w:rsidRPr="006571A5">
        <w:rPr>
          <w:rtl/>
        </w:rPr>
        <w:t>اللاجئين</w:t>
      </w:r>
      <w:r>
        <w:rPr>
          <w:rtl/>
        </w:rPr>
        <w:t xml:space="preserve"> </w:t>
      </w:r>
      <w:r w:rsidRPr="006571A5">
        <w:rPr>
          <w:rtl/>
        </w:rPr>
        <w:t>بشأن</w:t>
      </w:r>
      <w:r>
        <w:rPr>
          <w:rtl/>
        </w:rPr>
        <w:t xml:space="preserve"> </w:t>
      </w:r>
      <w:r w:rsidRPr="006571A5">
        <w:rPr>
          <w:rtl/>
        </w:rPr>
        <w:t>عودة</w:t>
      </w:r>
      <w:r>
        <w:rPr>
          <w:rtl/>
        </w:rPr>
        <w:t xml:space="preserve"> </w:t>
      </w:r>
      <w:r w:rsidRPr="006571A5">
        <w:rPr>
          <w:rtl/>
        </w:rPr>
        <w:t>طالبي</w:t>
      </w:r>
      <w:r>
        <w:rPr>
          <w:rtl/>
        </w:rPr>
        <w:t xml:space="preserve"> </w:t>
      </w:r>
      <w:r w:rsidRPr="006571A5">
        <w:rPr>
          <w:rtl/>
        </w:rPr>
        <w:t>اللجوء</w:t>
      </w:r>
      <w:r>
        <w:rPr>
          <w:rtl/>
        </w:rPr>
        <w:t xml:space="preserve"> </w:t>
      </w:r>
      <w:r w:rsidRPr="006571A5">
        <w:rPr>
          <w:rtl/>
        </w:rPr>
        <w:t>إلى</w:t>
      </w:r>
      <w:r>
        <w:rPr>
          <w:rtl/>
        </w:rPr>
        <w:t xml:space="preserve"> </w:t>
      </w:r>
      <w:r w:rsidRPr="006571A5">
        <w:rPr>
          <w:rtl/>
        </w:rPr>
        <w:t>الناحية</w:t>
      </w:r>
      <w:r>
        <w:rPr>
          <w:rtl/>
        </w:rPr>
        <w:t xml:space="preserve"> </w:t>
      </w:r>
      <w:r w:rsidRPr="006571A5">
        <w:rPr>
          <w:rtl/>
        </w:rPr>
        <w:t>من</w:t>
      </w:r>
      <w:r>
        <w:rPr>
          <w:rtl/>
        </w:rPr>
        <w:t xml:space="preserve"> </w:t>
      </w:r>
      <w:r w:rsidRPr="006571A5">
        <w:rPr>
          <w:rtl/>
        </w:rPr>
        <w:t>الصومال</w:t>
      </w:r>
      <w:r>
        <w:rPr>
          <w:rtl/>
        </w:rPr>
        <w:t xml:space="preserve"> </w:t>
      </w:r>
      <w:r w:rsidRPr="006571A5">
        <w:rPr>
          <w:rtl/>
        </w:rPr>
        <w:t>التي</w:t>
      </w:r>
      <w:r>
        <w:rPr>
          <w:rtl/>
        </w:rPr>
        <w:t xml:space="preserve"> </w:t>
      </w:r>
      <w:r w:rsidRPr="006571A5">
        <w:rPr>
          <w:rtl/>
        </w:rPr>
        <w:t>جاءت</w:t>
      </w:r>
      <w:r>
        <w:rPr>
          <w:rtl/>
        </w:rPr>
        <w:t xml:space="preserve"> </w:t>
      </w:r>
      <w:r w:rsidRPr="006571A5">
        <w:rPr>
          <w:rtl/>
        </w:rPr>
        <w:t>منها</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والتعليقات</w:t>
      </w:r>
      <w:r>
        <w:rPr>
          <w:rtl/>
        </w:rPr>
        <w:t xml:space="preserve"> </w:t>
      </w:r>
      <w:r w:rsidRPr="006571A5">
        <w:rPr>
          <w:rtl/>
        </w:rPr>
        <w:t>التي</w:t>
      </w:r>
      <w:r>
        <w:rPr>
          <w:rtl/>
        </w:rPr>
        <w:t xml:space="preserve"> </w:t>
      </w:r>
      <w:r w:rsidRPr="006571A5">
        <w:rPr>
          <w:rtl/>
        </w:rPr>
        <w:t>أبدتها</w:t>
      </w:r>
      <w:r>
        <w:rPr>
          <w:rtl/>
        </w:rPr>
        <w:t xml:space="preserve"> </w:t>
      </w:r>
      <w:r w:rsidRPr="006571A5">
        <w:rPr>
          <w:rtl/>
        </w:rPr>
        <w:t>مؤسسةُ</w:t>
      </w:r>
      <w:r>
        <w:rPr>
          <w:rtl/>
        </w:rPr>
        <w:t xml:space="preserve"> </w:t>
      </w:r>
      <w:r w:rsidRPr="006571A5">
        <w:rPr>
          <w:rtl/>
        </w:rPr>
        <w:t>الخدمات</w:t>
      </w:r>
      <w:r>
        <w:rPr>
          <w:rtl/>
        </w:rPr>
        <w:t xml:space="preserve"> </w:t>
      </w:r>
      <w:r w:rsidRPr="006571A5">
        <w:rPr>
          <w:rtl/>
        </w:rPr>
        <w:t>الاستشارية</w:t>
      </w:r>
      <w:r>
        <w:rPr>
          <w:rtl/>
        </w:rPr>
        <w:t xml:space="preserve"> </w:t>
      </w:r>
      <w:r w:rsidRPr="006571A5">
        <w:rPr>
          <w:rtl/>
        </w:rPr>
        <w:t>لأبحاث</w:t>
      </w:r>
      <w:r>
        <w:rPr>
          <w:rtl/>
        </w:rPr>
        <w:t xml:space="preserve"> </w:t>
      </w:r>
      <w:r w:rsidRPr="006571A5">
        <w:rPr>
          <w:rtl/>
        </w:rPr>
        <w:t>اللجوء</w:t>
      </w:r>
      <w:r>
        <w:rPr>
          <w:rtl/>
        </w:rPr>
        <w:t xml:space="preserve"> </w:t>
      </w:r>
      <w:r w:rsidRPr="006571A5">
        <w:rPr>
          <w:rtl/>
        </w:rPr>
        <w:t>والمجلسُ</w:t>
      </w:r>
      <w:r>
        <w:rPr>
          <w:rtl/>
        </w:rPr>
        <w:t xml:space="preserve"> </w:t>
      </w:r>
      <w:r w:rsidRPr="006571A5">
        <w:rPr>
          <w:rtl/>
        </w:rPr>
        <w:t>الهولندي</w:t>
      </w:r>
      <w:r>
        <w:rPr>
          <w:rtl/>
        </w:rPr>
        <w:t xml:space="preserve"> </w:t>
      </w:r>
      <w:r w:rsidRPr="006571A5">
        <w:rPr>
          <w:rtl/>
        </w:rPr>
        <w:t>للاجئين</w:t>
      </w:r>
      <w:r>
        <w:rPr>
          <w:rtl/>
        </w:rPr>
        <w:t xml:space="preserve"> </w:t>
      </w:r>
      <w:r w:rsidRPr="006571A5">
        <w:rPr>
          <w:rtl/>
        </w:rPr>
        <w:t>بشأن</w:t>
      </w:r>
      <w:r>
        <w:rPr>
          <w:rtl/>
        </w:rPr>
        <w:t xml:space="preserve"> </w:t>
      </w:r>
      <w:r w:rsidRPr="006571A5">
        <w:rPr>
          <w:rtl/>
        </w:rPr>
        <w:t>التقرير</w:t>
      </w:r>
      <w:r>
        <w:rPr>
          <w:rtl/>
        </w:rPr>
        <w:t xml:space="preserve"> </w:t>
      </w:r>
      <w:r w:rsidRPr="006571A5">
        <w:rPr>
          <w:rtl/>
        </w:rPr>
        <w:t>الإعلامي</w:t>
      </w:r>
      <w:r>
        <w:rPr>
          <w:rtl/>
        </w:rPr>
        <w:t xml:space="preserve"> </w:t>
      </w:r>
      <w:r w:rsidRPr="006571A5">
        <w:rPr>
          <w:rtl/>
        </w:rPr>
        <w:t>عن</w:t>
      </w:r>
      <w:r>
        <w:rPr>
          <w:rtl/>
        </w:rPr>
        <w:t xml:space="preserve"> </w:t>
      </w:r>
      <w:r w:rsidRPr="006571A5">
        <w:rPr>
          <w:rtl/>
        </w:rPr>
        <w:t>البلد</w:t>
      </w:r>
      <w:r>
        <w:rPr>
          <w:rtl/>
        </w:rPr>
        <w:t xml:space="preserve"> </w:t>
      </w:r>
      <w:r w:rsidRPr="006571A5">
        <w:rPr>
          <w:rtl/>
        </w:rPr>
        <w:t>الأصلي</w:t>
      </w:r>
      <w:r>
        <w:rPr>
          <w:rtl/>
        </w:rPr>
        <w:t xml:space="preserve"> </w:t>
      </w:r>
      <w:r w:rsidRPr="006571A5">
        <w:rPr>
          <w:rtl/>
        </w:rPr>
        <w:t>الذي</w:t>
      </w:r>
      <w:r>
        <w:rPr>
          <w:rtl/>
        </w:rPr>
        <w:t xml:space="preserve"> </w:t>
      </w:r>
      <w:r w:rsidRPr="006571A5">
        <w:rPr>
          <w:rtl/>
        </w:rPr>
        <w:t>أعدّه</w:t>
      </w:r>
      <w:r>
        <w:rPr>
          <w:rtl/>
        </w:rPr>
        <w:t xml:space="preserve"> </w:t>
      </w:r>
      <w:r w:rsidRPr="006571A5">
        <w:rPr>
          <w:rtl/>
        </w:rPr>
        <w:t>المكتب</w:t>
      </w:r>
      <w:r>
        <w:rPr>
          <w:rtl/>
        </w:rPr>
        <w:t xml:space="preserve"> </w:t>
      </w:r>
      <w:r w:rsidRPr="006571A5">
        <w:rPr>
          <w:rtl/>
        </w:rPr>
        <w:t>الأوروبي</w:t>
      </w:r>
      <w:r>
        <w:rPr>
          <w:rtl/>
        </w:rPr>
        <w:t xml:space="preserve"> </w:t>
      </w:r>
      <w:r w:rsidRPr="006571A5">
        <w:rPr>
          <w:rtl/>
        </w:rPr>
        <w:t>لدعم</w:t>
      </w:r>
      <w:r>
        <w:rPr>
          <w:rtl/>
        </w:rPr>
        <w:t xml:space="preserve"> </w:t>
      </w:r>
      <w:r w:rsidRPr="006571A5">
        <w:rPr>
          <w:rtl/>
        </w:rPr>
        <w:t>اللجوء،</w:t>
      </w:r>
      <w:r>
        <w:rPr>
          <w:rtl/>
        </w:rPr>
        <w:t xml:space="preserve"> </w:t>
      </w:r>
      <w:r w:rsidRPr="006571A5">
        <w:rPr>
          <w:rtl/>
        </w:rPr>
        <w:t>ونشرتهُ</w:t>
      </w:r>
      <w:r>
        <w:rPr>
          <w:rtl/>
        </w:rPr>
        <w:t xml:space="preserve"> </w:t>
      </w:r>
      <w:r w:rsidRPr="006571A5">
        <w:rPr>
          <w:rtl/>
        </w:rPr>
        <w:t>مؤسسةُ</w:t>
      </w:r>
      <w:r>
        <w:rPr>
          <w:rtl/>
        </w:rPr>
        <w:t xml:space="preserve"> </w:t>
      </w:r>
      <w:r w:rsidRPr="006571A5">
        <w:rPr>
          <w:rtl/>
        </w:rPr>
        <w:t>الخدمات</w:t>
      </w:r>
      <w:r>
        <w:rPr>
          <w:rtl/>
        </w:rPr>
        <w:t xml:space="preserve"> </w:t>
      </w:r>
      <w:r w:rsidRPr="006571A5">
        <w:rPr>
          <w:rtl/>
        </w:rPr>
        <w:t>الاستشارية</w:t>
      </w:r>
      <w:r>
        <w:rPr>
          <w:rtl/>
        </w:rPr>
        <w:t xml:space="preserve"> </w:t>
      </w:r>
      <w:r w:rsidRPr="006571A5">
        <w:rPr>
          <w:rtl/>
        </w:rPr>
        <w:t>لأبحاث</w:t>
      </w:r>
      <w:r>
        <w:rPr>
          <w:rtl/>
        </w:rPr>
        <w:t xml:space="preserve"> </w:t>
      </w:r>
      <w:r w:rsidRPr="006571A5">
        <w:rPr>
          <w:rtl/>
        </w:rPr>
        <w:t>اللجوء</w:t>
      </w:r>
      <w:r>
        <w:rPr>
          <w:rtl/>
        </w:rPr>
        <w:t xml:space="preserve"> </w:t>
      </w:r>
      <w:r w:rsidRPr="006571A5">
        <w:rPr>
          <w:rtl/>
        </w:rPr>
        <w:t>والمجلسُ</w:t>
      </w:r>
      <w:r>
        <w:rPr>
          <w:rtl/>
        </w:rPr>
        <w:t xml:space="preserve"> </w:t>
      </w:r>
      <w:r w:rsidRPr="006571A5">
        <w:rPr>
          <w:rtl/>
        </w:rPr>
        <w:t>الهولندي</w:t>
      </w:r>
      <w:r>
        <w:rPr>
          <w:rtl/>
        </w:rPr>
        <w:t xml:space="preserve"> </w:t>
      </w:r>
      <w:r w:rsidRPr="006571A5">
        <w:rPr>
          <w:rtl/>
        </w:rPr>
        <w:t>للاجئين</w:t>
      </w:r>
      <w:r>
        <w:rPr>
          <w:rtl/>
        </w:rPr>
        <w:t xml:space="preserve"> </w:t>
      </w:r>
      <w:r w:rsidRPr="006571A5">
        <w:rPr>
          <w:rtl/>
        </w:rPr>
        <w:t>في</w:t>
      </w:r>
      <w:r>
        <w:rPr>
          <w:rtl/>
        </w:rPr>
        <w:t xml:space="preserve"> </w:t>
      </w:r>
      <w:r w:rsidRPr="006571A5">
        <w:rPr>
          <w:rtl/>
        </w:rPr>
        <w:t>21</w:t>
      </w:r>
      <w:r>
        <w:rPr>
          <w:rtl/>
        </w:rPr>
        <w:t xml:space="preserve"> </w:t>
      </w:r>
      <w:r w:rsidRPr="006571A5">
        <w:rPr>
          <w:rtl/>
        </w:rPr>
        <w:t>تشرين</w:t>
      </w:r>
      <w:r>
        <w:rPr>
          <w:rtl/>
        </w:rPr>
        <w:t xml:space="preserve"> </w:t>
      </w:r>
      <w:r w:rsidRPr="006571A5">
        <w:rPr>
          <w:rtl/>
        </w:rPr>
        <w:t>الثاني/نوفمبر</w:t>
      </w:r>
      <w:r>
        <w:rPr>
          <w:rtl/>
        </w:rPr>
        <w:t xml:space="preserve"> </w:t>
      </w:r>
      <w:r w:rsidR="004B1017">
        <w:rPr>
          <w:rtl/>
        </w:rPr>
        <w:t>2014</w:t>
      </w:r>
      <w:r>
        <w:rPr>
          <w:rtl/>
        </w:rPr>
        <w:t xml:space="preserve"> </w:t>
      </w:r>
      <w:r w:rsidRPr="006571A5">
        <w:rPr>
          <w:rtl/>
        </w:rPr>
        <w:t>والذي</w:t>
      </w:r>
      <w:r>
        <w:rPr>
          <w:rtl/>
        </w:rPr>
        <w:t xml:space="preserve"> </w:t>
      </w:r>
      <w:r w:rsidRPr="006571A5">
        <w:rPr>
          <w:rtl/>
        </w:rPr>
        <w:t>يرد</w:t>
      </w:r>
      <w:r>
        <w:rPr>
          <w:rtl/>
        </w:rPr>
        <w:t xml:space="preserve"> </w:t>
      </w:r>
      <w:r w:rsidRPr="006571A5">
        <w:rPr>
          <w:rtl/>
        </w:rPr>
        <w:t>فيه</w:t>
      </w:r>
      <w:r>
        <w:rPr>
          <w:rtl/>
        </w:rPr>
        <w:t xml:space="preserve"> </w:t>
      </w:r>
      <w:r w:rsidRPr="006571A5">
        <w:rPr>
          <w:rtl/>
        </w:rPr>
        <w:t>تأكيد</w:t>
      </w:r>
      <w:r>
        <w:rPr>
          <w:rtl/>
        </w:rPr>
        <w:t xml:space="preserve"> </w:t>
      </w:r>
      <w:r w:rsidRPr="006571A5">
        <w:rPr>
          <w:rtl/>
        </w:rPr>
        <w:t>بأن</w:t>
      </w:r>
      <w:r>
        <w:rPr>
          <w:rtl/>
        </w:rPr>
        <w:t xml:space="preserve"> </w:t>
      </w:r>
      <w:r w:rsidRPr="006571A5">
        <w:rPr>
          <w:rtl/>
        </w:rPr>
        <w:t>وسط</w:t>
      </w:r>
      <w:r>
        <w:rPr>
          <w:rtl/>
        </w:rPr>
        <w:t xml:space="preserve"> </w:t>
      </w:r>
      <w:r w:rsidRPr="006571A5">
        <w:rPr>
          <w:rtl/>
        </w:rPr>
        <w:t>الصومال</w:t>
      </w:r>
      <w:r>
        <w:rPr>
          <w:rtl/>
        </w:rPr>
        <w:t xml:space="preserve"> </w:t>
      </w:r>
      <w:r w:rsidRPr="006571A5">
        <w:rPr>
          <w:rtl/>
        </w:rPr>
        <w:t>لا</w:t>
      </w:r>
      <w:r>
        <w:rPr>
          <w:rtl/>
        </w:rPr>
        <w:t xml:space="preserve"> </w:t>
      </w:r>
      <w:r w:rsidRPr="006571A5">
        <w:rPr>
          <w:rtl/>
        </w:rPr>
        <w:t>يزال</w:t>
      </w:r>
      <w:r>
        <w:rPr>
          <w:rtl/>
        </w:rPr>
        <w:t xml:space="preserve"> </w:t>
      </w:r>
      <w:r w:rsidRPr="006571A5">
        <w:rPr>
          <w:rtl/>
        </w:rPr>
        <w:t>إلى</w:t>
      </w:r>
      <w:r>
        <w:rPr>
          <w:rtl/>
        </w:rPr>
        <w:t xml:space="preserve"> </w:t>
      </w:r>
      <w:r w:rsidRPr="006571A5">
        <w:rPr>
          <w:rtl/>
        </w:rPr>
        <w:t>حد</w:t>
      </w:r>
      <w:r>
        <w:rPr>
          <w:rtl/>
        </w:rPr>
        <w:t xml:space="preserve"> </w:t>
      </w:r>
      <w:r w:rsidRPr="006571A5">
        <w:rPr>
          <w:rtl/>
        </w:rPr>
        <w:t>كبير</w:t>
      </w:r>
      <w:r>
        <w:rPr>
          <w:rtl/>
        </w:rPr>
        <w:t xml:space="preserve"> </w:t>
      </w:r>
      <w:r w:rsidRPr="006571A5">
        <w:rPr>
          <w:rtl/>
        </w:rPr>
        <w:t>تحت</w:t>
      </w:r>
      <w:r>
        <w:rPr>
          <w:rtl/>
        </w:rPr>
        <w:t xml:space="preserve"> </w:t>
      </w:r>
      <w:r w:rsidRPr="006571A5">
        <w:rPr>
          <w:rtl/>
        </w:rPr>
        <w:t>سيطرة</w:t>
      </w:r>
      <w:r>
        <w:rPr>
          <w:rtl/>
        </w:rPr>
        <w:t xml:space="preserve"> </w:t>
      </w:r>
      <w:r w:rsidRPr="006571A5">
        <w:rPr>
          <w:rtl/>
        </w:rPr>
        <w:t>حركة</w:t>
      </w:r>
      <w:r>
        <w:rPr>
          <w:rtl/>
        </w:rPr>
        <w:t xml:space="preserve"> </w:t>
      </w:r>
      <w:r w:rsidRPr="006571A5">
        <w:rPr>
          <w:rtl/>
        </w:rPr>
        <w:t>الشباب.</w:t>
      </w:r>
      <w:r>
        <w:rPr>
          <w:rtl/>
        </w:rPr>
        <w:t xml:space="preserve"> </w:t>
      </w:r>
      <w:r w:rsidRPr="006571A5">
        <w:rPr>
          <w:rtl/>
        </w:rPr>
        <w:t>وتحيط</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علماً</w:t>
      </w:r>
      <w:r>
        <w:rPr>
          <w:rtl/>
        </w:rPr>
        <w:t xml:space="preserve"> </w:t>
      </w:r>
      <w:r w:rsidRPr="006571A5">
        <w:rPr>
          <w:rtl/>
        </w:rPr>
        <w:t>بادعاء</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بأن</w:t>
      </w:r>
      <w:r>
        <w:rPr>
          <w:rtl/>
        </w:rPr>
        <w:t xml:space="preserve"> </w:t>
      </w:r>
      <w:r w:rsidRPr="006571A5">
        <w:rPr>
          <w:rtl/>
        </w:rPr>
        <w:t>المجلس</w:t>
      </w:r>
      <w:r>
        <w:rPr>
          <w:rtl/>
        </w:rPr>
        <w:t xml:space="preserve"> </w:t>
      </w:r>
      <w:r w:rsidRPr="006571A5">
        <w:rPr>
          <w:rtl/>
        </w:rPr>
        <w:t>أغفل</w:t>
      </w:r>
      <w:r>
        <w:rPr>
          <w:rtl/>
        </w:rPr>
        <w:t xml:space="preserve"> </w:t>
      </w:r>
      <w:r w:rsidRPr="006571A5">
        <w:rPr>
          <w:rtl/>
        </w:rPr>
        <w:t>أن</w:t>
      </w:r>
      <w:r>
        <w:rPr>
          <w:rtl/>
        </w:rPr>
        <w:t xml:space="preserve"> </w:t>
      </w:r>
      <w:r w:rsidRPr="006571A5">
        <w:rPr>
          <w:rtl/>
        </w:rPr>
        <w:t>جلجدود</w:t>
      </w:r>
      <w:r>
        <w:rPr>
          <w:rtl/>
        </w:rPr>
        <w:t xml:space="preserve"> </w:t>
      </w:r>
      <w:r w:rsidRPr="006571A5">
        <w:rPr>
          <w:rtl/>
        </w:rPr>
        <w:t>توجد</w:t>
      </w:r>
      <w:r>
        <w:rPr>
          <w:rtl/>
        </w:rPr>
        <w:t xml:space="preserve"> </w:t>
      </w:r>
      <w:r w:rsidRPr="006571A5">
        <w:rPr>
          <w:rtl/>
        </w:rPr>
        <w:t>تحت</w:t>
      </w:r>
      <w:r>
        <w:rPr>
          <w:rtl/>
        </w:rPr>
        <w:t xml:space="preserve"> </w:t>
      </w:r>
      <w:r w:rsidRPr="006571A5">
        <w:rPr>
          <w:rtl/>
        </w:rPr>
        <w:t>سيطرة</w:t>
      </w:r>
      <w:r>
        <w:rPr>
          <w:rtl/>
        </w:rPr>
        <w:t xml:space="preserve"> </w:t>
      </w:r>
      <w:r w:rsidRPr="006571A5">
        <w:rPr>
          <w:rtl/>
        </w:rPr>
        <w:t>حركة</w:t>
      </w:r>
      <w:r>
        <w:rPr>
          <w:rtl/>
        </w:rPr>
        <w:t xml:space="preserve"> </w:t>
      </w:r>
      <w:r w:rsidRPr="006571A5">
        <w:rPr>
          <w:rtl/>
        </w:rPr>
        <w:t>الشباب.</w:t>
      </w:r>
    </w:p>
    <w:p w14:paraId="572087DC" w14:textId="7CB55CCB" w:rsidR="006571A5" w:rsidRPr="006571A5" w:rsidRDefault="006571A5" w:rsidP="006571A5">
      <w:pPr>
        <w:pStyle w:val="SingleTxt"/>
        <w:rPr>
          <w:rtl/>
        </w:rPr>
      </w:pPr>
      <w:r w:rsidRPr="006571A5">
        <w:rPr>
          <w:rtl/>
        </w:rPr>
        <w:t>4-10</w:t>
      </w:r>
      <w:r w:rsidRPr="006571A5">
        <w:rPr>
          <w:rtl/>
        </w:rPr>
        <w:tab/>
        <w:t>وتشير</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إلى</w:t>
      </w:r>
      <w:r>
        <w:rPr>
          <w:rtl/>
        </w:rPr>
        <w:t xml:space="preserve"> </w:t>
      </w:r>
      <w:r w:rsidRPr="006571A5">
        <w:rPr>
          <w:rtl/>
        </w:rPr>
        <w:t>أن</w:t>
      </w:r>
      <w:r>
        <w:rPr>
          <w:rtl/>
        </w:rPr>
        <w:t xml:space="preserve"> </w:t>
      </w:r>
      <w:r w:rsidRPr="006571A5">
        <w:rPr>
          <w:rtl/>
        </w:rPr>
        <w:t>الادعاءات</w:t>
      </w:r>
      <w:r>
        <w:rPr>
          <w:rtl/>
        </w:rPr>
        <w:t xml:space="preserve"> </w:t>
      </w:r>
      <w:r w:rsidRPr="006571A5">
        <w:rPr>
          <w:rtl/>
        </w:rPr>
        <w:t>المتصلة</w:t>
      </w:r>
      <w:r>
        <w:rPr>
          <w:rtl/>
        </w:rPr>
        <w:t xml:space="preserve"> </w:t>
      </w:r>
      <w:r w:rsidRPr="006571A5">
        <w:rPr>
          <w:rtl/>
        </w:rPr>
        <w:t>بالمواد</w:t>
      </w:r>
      <w:r>
        <w:rPr>
          <w:rtl/>
        </w:rPr>
        <w:t xml:space="preserve"> </w:t>
      </w:r>
      <w:r w:rsidR="004B1017">
        <w:rPr>
          <w:rtl/>
        </w:rPr>
        <w:t>3</w:t>
      </w:r>
      <w:r>
        <w:rPr>
          <w:rtl/>
        </w:rPr>
        <w:t xml:space="preserve"> </w:t>
      </w:r>
      <w:r w:rsidRPr="006571A5">
        <w:rPr>
          <w:rtl/>
        </w:rPr>
        <w:t>و</w:t>
      </w:r>
      <w:r>
        <w:rPr>
          <w:rtl/>
        </w:rPr>
        <w:t xml:space="preserve"> </w:t>
      </w:r>
      <w:r w:rsidR="004B1017">
        <w:rPr>
          <w:rtl/>
        </w:rPr>
        <w:t>5</w:t>
      </w:r>
      <w:r>
        <w:rPr>
          <w:rtl/>
        </w:rPr>
        <w:t xml:space="preserve"> </w:t>
      </w:r>
      <w:r w:rsidRPr="006571A5">
        <w:rPr>
          <w:rtl/>
        </w:rPr>
        <w:t>و</w:t>
      </w:r>
      <w:r>
        <w:rPr>
          <w:rtl/>
        </w:rPr>
        <w:t xml:space="preserve"> </w:t>
      </w:r>
      <w:r w:rsidR="004B1017">
        <w:rPr>
          <w:rtl/>
        </w:rPr>
        <w:t>16</w:t>
      </w:r>
      <w:r>
        <w:rPr>
          <w:rtl/>
        </w:rPr>
        <w:t xml:space="preserve"> </w:t>
      </w:r>
      <w:r w:rsidRPr="006571A5">
        <w:rPr>
          <w:rtl/>
        </w:rPr>
        <w:t>(ب)</w:t>
      </w:r>
      <w:r>
        <w:rPr>
          <w:rtl/>
        </w:rPr>
        <w:t xml:space="preserve"> </w:t>
      </w:r>
      <w:r w:rsidRPr="006571A5">
        <w:rPr>
          <w:rtl/>
        </w:rPr>
        <w:t>من</w:t>
      </w:r>
      <w:r>
        <w:rPr>
          <w:rtl/>
        </w:rPr>
        <w:t xml:space="preserve"> </w:t>
      </w:r>
      <w:r w:rsidRPr="006571A5">
        <w:rPr>
          <w:rtl/>
        </w:rPr>
        <w:t>اتفاقية</w:t>
      </w:r>
      <w:r>
        <w:rPr>
          <w:rtl/>
        </w:rPr>
        <w:t xml:space="preserve"> </w:t>
      </w:r>
      <w:r w:rsidRPr="006571A5">
        <w:rPr>
          <w:rtl/>
        </w:rPr>
        <w:t>القضاء</w:t>
      </w:r>
      <w:r>
        <w:rPr>
          <w:rtl/>
        </w:rPr>
        <w:t xml:space="preserve"> </w:t>
      </w:r>
      <w:r w:rsidRPr="006571A5">
        <w:rPr>
          <w:rtl/>
        </w:rPr>
        <w:t>على</w:t>
      </w:r>
      <w:r>
        <w:rPr>
          <w:rtl/>
        </w:rPr>
        <w:t xml:space="preserve"> </w:t>
      </w:r>
      <w:r w:rsidRPr="006571A5">
        <w:rPr>
          <w:rtl/>
        </w:rPr>
        <w:t>جميع</w:t>
      </w:r>
      <w:r>
        <w:rPr>
          <w:rtl/>
        </w:rPr>
        <w:t xml:space="preserve"> </w:t>
      </w:r>
      <w:r w:rsidRPr="006571A5">
        <w:rPr>
          <w:rtl/>
        </w:rPr>
        <w:t>أشكال</w:t>
      </w:r>
      <w:r>
        <w:rPr>
          <w:rtl/>
        </w:rPr>
        <w:t xml:space="preserve"> </w:t>
      </w:r>
      <w:r w:rsidRPr="006571A5">
        <w:rPr>
          <w:rtl/>
        </w:rPr>
        <w:t>التمييز</w:t>
      </w:r>
      <w:r>
        <w:rPr>
          <w:rtl/>
        </w:rPr>
        <w:t xml:space="preserve"> </w:t>
      </w:r>
      <w:r w:rsidRPr="006571A5">
        <w:rPr>
          <w:rtl/>
        </w:rPr>
        <w:t>ضد</w:t>
      </w:r>
      <w:r>
        <w:rPr>
          <w:rtl/>
        </w:rPr>
        <w:t xml:space="preserve"> </w:t>
      </w:r>
      <w:r w:rsidRPr="006571A5">
        <w:rPr>
          <w:rtl/>
        </w:rPr>
        <w:t>المرأة</w:t>
      </w:r>
      <w:r>
        <w:rPr>
          <w:rtl/>
        </w:rPr>
        <w:t xml:space="preserve"> </w:t>
      </w:r>
      <w:r w:rsidRPr="006571A5">
        <w:rPr>
          <w:rtl/>
        </w:rPr>
        <w:t>تقتصر</w:t>
      </w:r>
      <w:r>
        <w:rPr>
          <w:rtl/>
        </w:rPr>
        <w:t xml:space="preserve"> </w:t>
      </w:r>
      <w:r w:rsidRPr="006571A5">
        <w:rPr>
          <w:rtl/>
        </w:rPr>
        <w:t>على</w:t>
      </w:r>
      <w:r>
        <w:rPr>
          <w:rtl/>
        </w:rPr>
        <w:t xml:space="preserve"> </w:t>
      </w:r>
      <w:r w:rsidRPr="006571A5">
        <w:rPr>
          <w:rtl/>
        </w:rPr>
        <w:t>الظروف</w:t>
      </w:r>
      <w:r>
        <w:rPr>
          <w:rtl/>
        </w:rPr>
        <w:t xml:space="preserve"> </w:t>
      </w:r>
      <w:r w:rsidRPr="006571A5">
        <w:rPr>
          <w:rtl/>
        </w:rPr>
        <w:t>التي</w:t>
      </w:r>
      <w:r>
        <w:rPr>
          <w:rtl/>
        </w:rPr>
        <w:t xml:space="preserve"> </w:t>
      </w:r>
      <w:r w:rsidRPr="006571A5">
        <w:rPr>
          <w:rtl/>
        </w:rPr>
        <w:t>قد</w:t>
      </w:r>
      <w:r>
        <w:rPr>
          <w:rtl/>
        </w:rPr>
        <w:t xml:space="preserve"> </w:t>
      </w:r>
      <w:r w:rsidRPr="006571A5">
        <w:rPr>
          <w:rtl/>
        </w:rPr>
        <w:t>تواجهها</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إذا</w:t>
      </w:r>
      <w:r>
        <w:rPr>
          <w:rtl/>
        </w:rPr>
        <w:t xml:space="preserve"> </w:t>
      </w:r>
      <w:r w:rsidRPr="006571A5">
        <w:rPr>
          <w:rtl/>
        </w:rPr>
        <w:t>أُعيدت</w:t>
      </w:r>
      <w:r>
        <w:rPr>
          <w:rtl/>
        </w:rPr>
        <w:t xml:space="preserve"> </w:t>
      </w:r>
      <w:r w:rsidRPr="006571A5">
        <w:rPr>
          <w:rtl/>
        </w:rPr>
        <w:t>إلى</w:t>
      </w:r>
      <w:r>
        <w:rPr>
          <w:rtl/>
        </w:rPr>
        <w:t xml:space="preserve"> </w:t>
      </w:r>
      <w:r w:rsidRPr="006571A5">
        <w:rPr>
          <w:rtl/>
        </w:rPr>
        <w:t>الصومال.</w:t>
      </w:r>
      <w:r>
        <w:rPr>
          <w:rtl/>
        </w:rPr>
        <w:t xml:space="preserve"> </w:t>
      </w:r>
      <w:r w:rsidRPr="006571A5">
        <w:rPr>
          <w:rtl/>
        </w:rPr>
        <w:t>وبالتالي</w:t>
      </w:r>
      <w:r>
        <w:rPr>
          <w:rtl/>
        </w:rPr>
        <w:t xml:space="preserve"> </w:t>
      </w:r>
      <w:r w:rsidRPr="006571A5">
        <w:rPr>
          <w:rtl/>
        </w:rPr>
        <w:t>فإن</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تستند</w:t>
      </w:r>
      <w:r>
        <w:rPr>
          <w:rtl/>
        </w:rPr>
        <w:t xml:space="preserve"> </w:t>
      </w:r>
      <w:r w:rsidRPr="006571A5">
        <w:rPr>
          <w:rtl/>
        </w:rPr>
        <w:t>إلى</w:t>
      </w:r>
      <w:r>
        <w:rPr>
          <w:rtl/>
        </w:rPr>
        <w:t xml:space="preserve"> </w:t>
      </w:r>
      <w:r w:rsidRPr="006571A5">
        <w:rPr>
          <w:rtl/>
        </w:rPr>
        <w:t>أحكام</w:t>
      </w:r>
      <w:r>
        <w:rPr>
          <w:rtl/>
        </w:rPr>
        <w:t xml:space="preserve"> </w:t>
      </w:r>
      <w:r w:rsidRPr="006571A5">
        <w:rPr>
          <w:rtl/>
        </w:rPr>
        <w:t>تلك</w:t>
      </w:r>
      <w:r>
        <w:rPr>
          <w:rtl/>
        </w:rPr>
        <w:t xml:space="preserve"> </w:t>
      </w:r>
      <w:r w:rsidRPr="006571A5">
        <w:rPr>
          <w:rtl/>
        </w:rPr>
        <w:t>الأحكام</w:t>
      </w:r>
      <w:r>
        <w:rPr>
          <w:rtl/>
        </w:rPr>
        <w:t xml:space="preserve"> </w:t>
      </w:r>
      <w:r w:rsidRPr="006571A5">
        <w:rPr>
          <w:rtl/>
        </w:rPr>
        <w:t>من</w:t>
      </w:r>
      <w:r>
        <w:rPr>
          <w:rtl/>
        </w:rPr>
        <w:t xml:space="preserve"> </w:t>
      </w:r>
      <w:r w:rsidRPr="006571A5">
        <w:rPr>
          <w:rtl/>
        </w:rPr>
        <w:t>منطلقٍ</w:t>
      </w:r>
      <w:r>
        <w:rPr>
          <w:rtl/>
        </w:rPr>
        <w:t xml:space="preserve"> </w:t>
      </w:r>
      <w:r w:rsidRPr="006571A5">
        <w:rPr>
          <w:rtl/>
        </w:rPr>
        <w:t>خارجٍ</w:t>
      </w:r>
      <w:r>
        <w:rPr>
          <w:rtl/>
        </w:rPr>
        <w:t xml:space="preserve"> </w:t>
      </w:r>
      <w:r w:rsidRPr="006571A5">
        <w:rPr>
          <w:rtl/>
        </w:rPr>
        <w:t>عن</w:t>
      </w:r>
      <w:r>
        <w:rPr>
          <w:rtl/>
        </w:rPr>
        <w:t xml:space="preserve"> </w:t>
      </w:r>
      <w:r w:rsidRPr="006571A5">
        <w:rPr>
          <w:rtl/>
        </w:rPr>
        <w:t>إقليم</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وتستشهد</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بقرار</w:t>
      </w:r>
      <w:r>
        <w:rPr>
          <w:rtl/>
        </w:rPr>
        <w:t xml:space="preserve"> </w:t>
      </w:r>
      <w:r w:rsidRPr="006571A5">
        <w:rPr>
          <w:rtl/>
        </w:rPr>
        <w:t>اللجنة</w:t>
      </w:r>
      <w:r>
        <w:rPr>
          <w:rtl/>
        </w:rPr>
        <w:t xml:space="preserve"> </w:t>
      </w:r>
      <w:r w:rsidRPr="006571A5">
        <w:rPr>
          <w:rtl/>
        </w:rPr>
        <w:t>في</w:t>
      </w:r>
      <w:r>
        <w:rPr>
          <w:rtl/>
        </w:rPr>
        <w:t xml:space="preserve"> </w:t>
      </w:r>
      <w:r w:rsidRPr="006571A5">
        <w:rPr>
          <w:rtl/>
        </w:rPr>
        <w:t>قضية</w:t>
      </w:r>
      <w:r>
        <w:rPr>
          <w:rtl/>
        </w:rPr>
        <w:t xml:space="preserve"> </w:t>
      </w:r>
      <w:r w:rsidRPr="006571A5">
        <w:rPr>
          <w:i/>
          <w:iCs/>
          <w:rtl/>
        </w:rPr>
        <w:t>م.</w:t>
      </w:r>
      <w:r>
        <w:rPr>
          <w:i/>
          <w:iCs/>
          <w:rtl/>
        </w:rPr>
        <w:t xml:space="preserve"> </w:t>
      </w:r>
      <w:r w:rsidRPr="006571A5">
        <w:rPr>
          <w:i/>
          <w:iCs/>
          <w:rtl/>
        </w:rPr>
        <w:t>ن.</w:t>
      </w:r>
      <w:r>
        <w:rPr>
          <w:i/>
          <w:iCs/>
          <w:rtl/>
        </w:rPr>
        <w:t xml:space="preserve"> </w:t>
      </w:r>
      <w:r w:rsidRPr="006571A5">
        <w:rPr>
          <w:i/>
          <w:iCs/>
          <w:rtl/>
        </w:rPr>
        <w:t>ن.</w:t>
      </w:r>
      <w:r>
        <w:rPr>
          <w:i/>
          <w:iCs/>
          <w:rtl/>
        </w:rPr>
        <w:t xml:space="preserve"> </w:t>
      </w:r>
      <w:r w:rsidRPr="006571A5">
        <w:rPr>
          <w:i/>
          <w:iCs/>
          <w:rtl/>
        </w:rPr>
        <w:t>ضد</w:t>
      </w:r>
      <w:r>
        <w:rPr>
          <w:i/>
          <w:iCs/>
          <w:rtl/>
        </w:rPr>
        <w:t xml:space="preserve"> </w:t>
      </w:r>
      <w:r w:rsidRPr="006571A5">
        <w:rPr>
          <w:i/>
          <w:iCs/>
          <w:rtl/>
        </w:rPr>
        <w:t>الدانمرك</w:t>
      </w:r>
      <w:r>
        <w:rPr>
          <w:rtl/>
        </w:rPr>
        <w:t xml:space="preserve"> </w:t>
      </w:r>
      <w:r w:rsidRPr="006571A5">
        <w:rPr>
          <w:rtl/>
        </w:rPr>
        <w:t>(</w:t>
      </w:r>
      <w:hyperlink r:id="rId16" w:history="1">
        <w:r w:rsidRPr="004B1017">
          <w:rPr>
            <w:rStyle w:val="Hyperlink"/>
            <w:lang w:val="en-GB"/>
          </w:rPr>
          <w:t>CEDAW/C/55/D/33/2011</w:t>
        </w:r>
      </w:hyperlink>
      <w:r w:rsidRPr="006571A5">
        <w:rPr>
          <w:rtl/>
        </w:rPr>
        <w:t>)،</w:t>
      </w:r>
      <w:r>
        <w:rPr>
          <w:rtl/>
        </w:rPr>
        <w:t xml:space="preserve"> </w:t>
      </w:r>
      <w:r w:rsidRPr="006571A5">
        <w:rPr>
          <w:rtl/>
        </w:rPr>
        <w:t>فتقرّ</w:t>
      </w:r>
      <w:r>
        <w:rPr>
          <w:rtl/>
        </w:rPr>
        <w:t xml:space="preserve"> </w:t>
      </w:r>
      <w:r w:rsidRPr="006571A5">
        <w:rPr>
          <w:rtl/>
        </w:rPr>
        <w:t>بأن</w:t>
      </w:r>
      <w:r>
        <w:rPr>
          <w:rtl/>
        </w:rPr>
        <w:t xml:space="preserve"> </w:t>
      </w:r>
      <w:r w:rsidRPr="006571A5">
        <w:rPr>
          <w:rtl/>
        </w:rPr>
        <w:t>الدول</w:t>
      </w:r>
      <w:r>
        <w:rPr>
          <w:rtl/>
        </w:rPr>
        <w:t xml:space="preserve"> </w:t>
      </w:r>
      <w:r w:rsidRPr="006571A5">
        <w:rPr>
          <w:rtl/>
        </w:rPr>
        <w:t>ملزمة</w:t>
      </w:r>
      <w:r>
        <w:rPr>
          <w:rtl/>
        </w:rPr>
        <w:t xml:space="preserve"> </w:t>
      </w:r>
      <w:r w:rsidRPr="006571A5">
        <w:rPr>
          <w:rtl/>
        </w:rPr>
        <w:t>بالسعي</w:t>
      </w:r>
      <w:r>
        <w:rPr>
          <w:rtl/>
        </w:rPr>
        <w:t xml:space="preserve"> </w:t>
      </w:r>
      <w:r w:rsidRPr="006571A5">
        <w:rPr>
          <w:rtl/>
        </w:rPr>
        <w:t>إلى</w:t>
      </w:r>
      <w:r>
        <w:rPr>
          <w:rtl/>
        </w:rPr>
        <w:t xml:space="preserve"> </w:t>
      </w:r>
      <w:r w:rsidRPr="006571A5">
        <w:rPr>
          <w:rtl/>
        </w:rPr>
        <w:t>حماية</w:t>
      </w:r>
      <w:r>
        <w:rPr>
          <w:rtl/>
        </w:rPr>
        <w:t xml:space="preserve"> </w:t>
      </w:r>
      <w:r w:rsidRPr="006571A5">
        <w:rPr>
          <w:rtl/>
        </w:rPr>
        <w:t>النساء</w:t>
      </w:r>
      <w:r>
        <w:rPr>
          <w:rtl/>
        </w:rPr>
        <w:t xml:space="preserve"> </w:t>
      </w:r>
      <w:r w:rsidRPr="006571A5">
        <w:rPr>
          <w:rtl/>
        </w:rPr>
        <w:t>من</w:t>
      </w:r>
      <w:r>
        <w:rPr>
          <w:rtl/>
        </w:rPr>
        <w:t xml:space="preserve"> </w:t>
      </w:r>
      <w:r w:rsidRPr="006571A5">
        <w:rPr>
          <w:rtl/>
        </w:rPr>
        <w:t>أي</w:t>
      </w:r>
      <w:r>
        <w:rPr>
          <w:rtl/>
        </w:rPr>
        <w:t xml:space="preserve"> </w:t>
      </w:r>
      <w:r w:rsidRPr="006571A5">
        <w:rPr>
          <w:rtl/>
        </w:rPr>
        <w:t>خطر</w:t>
      </w:r>
      <w:r>
        <w:rPr>
          <w:rtl/>
        </w:rPr>
        <w:t xml:space="preserve"> </w:t>
      </w:r>
      <w:r w:rsidRPr="006571A5">
        <w:rPr>
          <w:rtl/>
        </w:rPr>
        <w:t>حقيقي</w:t>
      </w:r>
      <w:r>
        <w:rPr>
          <w:rtl/>
        </w:rPr>
        <w:t xml:space="preserve"> </w:t>
      </w:r>
      <w:r w:rsidRPr="006571A5">
        <w:rPr>
          <w:rtl/>
        </w:rPr>
        <w:t>وشخصي</w:t>
      </w:r>
      <w:r>
        <w:rPr>
          <w:rtl/>
        </w:rPr>
        <w:t xml:space="preserve"> </w:t>
      </w:r>
      <w:r w:rsidRPr="006571A5">
        <w:rPr>
          <w:rtl/>
        </w:rPr>
        <w:t>ومتوقع</w:t>
      </w:r>
      <w:r>
        <w:rPr>
          <w:rtl/>
        </w:rPr>
        <w:t xml:space="preserve"> </w:t>
      </w:r>
      <w:r w:rsidRPr="006571A5">
        <w:rPr>
          <w:rtl/>
        </w:rPr>
        <w:t>يتمثل</w:t>
      </w:r>
      <w:r>
        <w:rPr>
          <w:rtl/>
        </w:rPr>
        <w:t xml:space="preserve"> </w:t>
      </w:r>
      <w:r w:rsidRPr="006571A5">
        <w:rPr>
          <w:rtl/>
        </w:rPr>
        <w:t>في</w:t>
      </w:r>
      <w:r>
        <w:rPr>
          <w:rtl/>
        </w:rPr>
        <w:t xml:space="preserve"> </w:t>
      </w:r>
      <w:r w:rsidRPr="006571A5">
        <w:rPr>
          <w:rtl/>
        </w:rPr>
        <w:t>تعرضهن</w:t>
      </w:r>
      <w:r>
        <w:rPr>
          <w:rtl/>
        </w:rPr>
        <w:t xml:space="preserve"> </w:t>
      </w:r>
      <w:r w:rsidRPr="006571A5">
        <w:rPr>
          <w:rtl/>
        </w:rPr>
        <w:t>لأشكال</w:t>
      </w:r>
      <w:r>
        <w:rPr>
          <w:rtl/>
        </w:rPr>
        <w:t xml:space="preserve"> </w:t>
      </w:r>
      <w:r w:rsidRPr="006571A5">
        <w:rPr>
          <w:rtl/>
        </w:rPr>
        <w:t>جسيمة</w:t>
      </w:r>
      <w:r>
        <w:rPr>
          <w:rtl/>
        </w:rPr>
        <w:t xml:space="preserve"> </w:t>
      </w:r>
      <w:r w:rsidRPr="006571A5">
        <w:rPr>
          <w:rtl/>
        </w:rPr>
        <w:t>من</w:t>
      </w:r>
      <w:r>
        <w:rPr>
          <w:rtl/>
        </w:rPr>
        <w:t xml:space="preserve"> </w:t>
      </w:r>
      <w:r w:rsidRPr="006571A5">
        <w:rPr>
          <w:rtl/>
        </w:rPr>
        <w:t>العنف</w:t>
      </w:r>
      <w:r>
        <w:rPr>
          <w:rtl/>
        </w:rPr>
        <w:t xml:space="preserve"> </w:t>
      </w:r>
      <w:r w:rsidRPr="006571A5">
        <w:rPr>
          <w:rtl/>
        </w:rPr>
        <w:t>الجنساني</w:t>
      </w:r>
      <w:r>
        <w:rPr>
          <w:rtl/>
        </w:rPr>
        <w:t xml:space="preserve"> </w:t>
      </w:r>
      <w:r w:rsidRPr="006571A5">
        <w:rPr>
          <w:rtl/>
        </w:rPr>
        <w:t>بغض</w:t>
      </w:r>
      <w:r>
        <w:rPr>
          <w:rtl/>
        </w:rPr>
        <w:t xml:space="preserve"> </w:t>
      </w:r>
      <w:r w:rsidRPr="006571A5">
        <w:rPr>
          <w:rtl/>
        </w:rPr>
        <w:t>النظر</w:t>
      </w:r>
      <w:r>
        <w:rPr>
          <w:rtl/>
        </w:rPr>
        <w:t xml:space="preserve"> </w:t>
      </w:r>
      <w:r w:rsidRPr="006571A5">
        <w:rPr>
          <w:rtl/>
        </w:rPr>
        <w:t>عما</w:t>
      </w:r>
      <w:r>
        <w:rPr>
          <w:rtl/>
        </w:rPr>
        <w:t xml:space="preserve"> </w:t>
      </w:r>
      <w:r w:rsidRPr="006571A5">
        <w:rPr>
          <w:rtl/>
        </w:rPr>
        <w:t>إذا</w:t>
      </w:r>
      <w:r>
        <w:rPr>
          <w:rtl/>
        </w:rPr>
        <w:t xml:space="preserve"> </w:t>
      </w:r>
      <w:r w:rsidRPr="006571A5">
        <w:rPr>
          <w:rtl/>
        </w:rPr>
        <w:t>كانت</w:t>
      </w:r>
      <w:r>
        <w:rPr>
          <w:rtl/>
        </w:rPr>
        <w:t xml:space="preserve"> </w:t>
      </w:r>
      <w:r w:rsidRPr="006571A5">
        <w:rPr>
          <w:rtl/>
        </w:rPr>
        <w:t>أشكال</w:t>
      </w:r>
      <w:r>
        <w:rPr>
          <w:rtl/>
        </w:rPr>
        <w:t xml:space="preserve"> </w:t>
      </w:r>
      <w:r w:rsidRPr="006571A5">
        <w:rPr>
          <w:rtl/>
        </w:rPr>
        <w:t>العنف</w:t>
      </w:r>
      <w:r>
        <w:rPr>
          <w:rtl/>
        </w:rPr>
        <w:t xml:space="preserve"> </w:t>
      </w:r>
      <w:r w:rsidRPr="006571A5">
        <w:rPr>
          <w:rtl/>
        </w:rPr>
        <w:t>هذه</w:t>
      </w:r>
      <w:r>
        <w:rPr>
          <w:rtl/>
        </w:rPr>
        <w:t xml:space="preserve"> </w:t>
      </w:r>
      <w:r w:rsidRPr="006571A5">
        <w:rPr>
          <w:rtl/>
        </w:rPr>
        <w:t>ستحدث</w:t>
      </w:r>
      <w:r>
        <w:rPr>
          <w:rtl/>
        </w:rPr>
        <w:t xml:space="preserve"> </w:t>
      </w:r>
      <w:r w:rsidRPr="006571A5">
        <w:rPr>
          <w:rtl/>
        </w:rPr>
        <w:t>خارج</w:t>
      </w:r>
      <w:r>
        <w:rPr>
          <w:rtl/>
        </w:rPr>
        <w:t xml:space="preserve"> </w:t>
      </w:r>
      <w:r w:rsidRPr="006571A5">
        <w:rPr>
          <w:rtl/>
        </w:rPr>
        <w:t>حدود</w:t>
      </w:r>
      <w:r>
        <w:rPr>
          <w:rtl/>
        </w:rPr>
        <w:t xml:space="preserve"> </w:t>
      </w:r>
      <w:r w:rsidRPr="006571A5">
        <w:rPr>
          <w:rtl/>
        </w:rPr>
        <w:t>إقليم</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المرسِلة:</w:t>
      </w:r>
      <w:r>
        <w:rPr>
          <w:rtl/>
        </w:rPr>
        <w:t xml:space="preserve"> </w:t>
      </w:r>
      <w:r w:rsidRPr="006571A5">
        <w:rPr>
          <w:rtl/>
        </w:rPr>
        <w:t>فإذا</w:t>
      </w:r>
      <w:r>
        <w:rPr>
          <w:rtl/>
        </w:rPr>
        <w:t xml:space="preserve"> </w:t>
      </w:r>
      <w:r w:rsidRPr="006571A5">
        <w:rPr>
          <w:rtl/>
        </w:rPr>
        <w:t>اتخذت</w:t>
      </w:r>
      <w:r>
        <w:rPr>
          <w:rtl/>
        </w:rPr>
        <w:t xml:space="preserve"> </w:t>
      </w:r>
      <w:r w:rsidRPr="006571A5">
        <w:rPr>
          <w:rtl/>
        </w:rPr>
        <w:t>دولة</w:t>
      </w:r>
      <w:r>
        <w:rPr>
          <w:rtl/>
        </w:rPr>
        <w:t xml:space="preserve"> </w:t>
      </w:r>
      <w:r w:rsidRPr="006571A5">
        <w:rPr>
          <w:rtl/>
        </w:rPr>
        <w:t>طرف</w:t>
      </w:r>
      <w:r>
        <w:rPr>
          <w:rtl/>
        </w:rPr>
        <w:t xml:space="preserve"> </w:t>
      </w:r>
      <w:r w:rsidRPr="006571A5">
        <w:rPr>
          <w:rtl/>
        </w:rPr>
        <w:t>قراراً</w:t>
      </w:r>
      <w:r>
        <w:rPr>
          <w:rtl/>
        </w:rPr>
        <w:t xml:space="preserve"> </w:t>
      </w:r>
      <w:r w:rsidRPr="006571A5">
        <w:rPr>
          <w:rtl/>
        </w:rPr>
        <w:t>يتعلق</w:t>
      </w:r>
      <w:r>
        <w:rPr>
          <w:rtl/>
        </w:rPr>
        <w:t xml:space="preserve"> </w:t>
      </w:r>
      <w:r w:rsidRPr="006571A5">
        <w:rPr>
          <w:rtl/>
        </w:rPr>
        <w:t>بشخص</w:t>
      </w:r>
      <w:r>
        <w:rPr>
          <w:rtl/>
        </w:rPr>
        <w:t xml:space="preserve"> </w:t>
      </w:r>
      <w:r w:rsidRPr="006571A5">
        <w:rPr>
          <w:rtl/>
        </w:rPr>
        <w:t>يوجد</w:t>
      </w:r>
      <w:r>
        <w:rPr>
          <w:rtl/>
        </w:rPr>
        <w:t xml:space="preserve"> </w:t>
      </w:r>
      <w:r w:rsidRPr="006571A5">
        <w:rPr>
          <w:rtl/>
        </w:rPr>
        <w:t>ضمن</w:t>
      </w:r>
      <w:r>
        <w:rPr>
          <w:rtl/>
        </w:rPr>
        <w:t xml:space="preserve"> </w:t>
      </w:r>
      <w:r w:rsidRPr="006571A5">
        <w:rPr>
          <w:rtl/>
        </w:rPr>
        <w:t>حدود</w:t>
      </w:r>
      <w:r>
        <w:rPr>
          <w:rtl/>
        </w:rPr>
        <w:t xml:space="preserve"> </w:t>
      </w:r>
      <w:r w:rsidRPr="006571A5">
        <w:rPr>
          <w:rtl/>
        </w:rPr>
        <w:t>سلطتها،</w:t>
      </w:r>
      <w:r>
        <w:rPr>
          <w:rtl/>
        </w:rPr>
        <w:t xml:space="preserve"> </w:t>
      </w:r>
      <w:r w:rsidRPr="006571A5">
        <w:rPr>
          <w:rtl/>
        </w:rPr>
        <w:t>وتكون</w:t>
      </w:r>
      <w:r>
        <w:rPr>
          <w:rtl/>
        </w:rPr>
        <w:t xml:space="preserve"> </w:t>
      </w:r>
      <w:r w:rsidRPr="006571A5">
        <w:rPr>
          <w:rtl/>
        </w:rPr>
        <w:t>النتيجة</w:t>
      </w:r>
      <w:r>
        <w:rPr>
          <w:rtl/>
        </w:rPr>
        <w:t xml:space="preserve"> </w:t>
      </w:r>
      <w:r w:rsidRPr="006571A5">
        <w:rPr>
          <w:rtl/>
        </w:rPr>
        <w:t>الحتمية</w:t>
      </w:r>
      <w:r>
        <w:rPr>
          <w:rtl/>
        </w:rPr>
        <w:t xml:space="preserve"> </w:t>
      </w:r>
      <w:r w:rsidRPr="006571A5">
        <w:rPr>
          <w:rtl/>
        </w:rPr>
        <w:t>المتوقعة</w:t>
      </w:r>
      <w:r>
        <w:rPr>
          <w:rtl/>
        </w:rPr>
        <w:t xml:space="preserve"> </w:t>
      </w:r>
      <w:r w:rsidRPr="006571A5">
        <w:rPr>
          <w:rtl/>
        </w:rPr>
        <w:t>هي</w:t>
      </w:r>
      <w:r>
        <w:rPr>
          <w:rtl/>
        </w:rPr>
        <w:t xml:space="preserve"> </w:t>
      </w:r>
      <w:r w:rsidRPr="006571A5">
        <w:rPr>
          <w:rtl/>
        </w:rPr>
        <w:t>تعرُّض</w:t>
      </w:r>
      <w:r>
        <w:rPr>
          <w:rtl/>
        </w:rPr>
        <w:t xml:space="preserve"> </w:t>
      </w:r>
      <w:r w:rsidRPr="006571A5">
        <w:rPr>
          <w:rtl/>
        </w:rPr>
        <w:t>الحقوق</w:t>
      </w:r>
      <w:r>
        <w:rPr>
          <w:rtl/>
        </w:rPr>
        <w:t xml:space="preserve"> </w:t>
      </w:r>
      <w:r w:rsidRPr="006571A5">
        <w:rPr>
          <w:rtl/>
        </w:rPr>
        <w:t>الواجبة</w:t>
      </w:r>
      <w:r>
        <w:rPr>
          <w:rtl/>
        </w:rPr>
        <w:t xml:space="preserve"> </w:t>
      </w:r>
      <w:r w:rsidRPr="006571A5">
        <w:rPr>
          <w:rtl/>
        </w:rPr>
        <w:t>لذلك</w:t>
      </w:r>
      <w:r>
        <w:rPr>
          <w:rtl/>
        </w:rPr>
        <w:t xml:space="preserve"> </w:t>
      </w:r>
      <w:r w:rsidRPr="006571A5">
        <w:rPr>
          <w:rtl/>
        </w:rPr>
        <w:t>الشخص</w:t>
      </w:r>
      <w:r>
        <w:rPr>
          <w:rtl/>
        </w:rPr>
        <w:t xml:space="preserve"> </w:t>
      </w:r>
      <w:r w:rsidRPr="006571A5">
        <w:rPr>
          <w:rtl/>
        </w:rPr>
        <w:t>بموجب</w:t>
      </w:r>
      <w:r>
        <w:rPr>
          <w:rtl/>
        </w:rPr>
        <w:t xml:space="preserve"> </w:t>
      </w:r>
      <w:r w:rsidRPr="006571A5">
        <w:rPr>
          <w:rtl/>
        </w:rPr>
        <w:t>الاتفاقية</w:t>
      </w:r>
      <w:r>
        <w:rPr>
          <w:rtl/>
        </w:rPr>
        <w:t xml:space="preserve"> </w:t>
      </w:r>
      <w:r w:rsidRPr="006571A5">
        <w:rPr>
          <w:rtl/>
        </w:rPr>
        <w:t>للانتهاك</w:t>
      </w:r>
      <w:r>
        <w:rPr>
          <w:rtl/>
        </w:rPr>
        <w:t xml:space="preserve"> </w:t>
      </w:r>
      <w:r w:rsidRPr="006571A5">
        <w:rPr>
          <w:rtl/>
        </w:rPr>
        <w:t>في</w:t>
      </w:r>
      <w:r>
        <w:rPr>
          <w:rtl/>
        </w:rPr>
        <w:t xml:space="preserve"> </w:t>
      </w:r>
      <w:r w:rsidRPr="006571A5">
        <w:rPr>
          <w:rtl/>
        </w:rPr>
        <w:t>حدود</w:t>
      </w:r>
      <w:r>
        <w:rPr>
          <w:rtl/>
        </w:rPr>
        <w:t xml:space="preserve"> </w:t>
      </w:r>
      <w:r w:rsidRPr="006571A5">
        <w:rPr>
          <w:rtl/>
        </w:rPr>
        <w:t>سلطة</w:t>
      </w:r>
      <w:r>
        <w:rPr>
          <w:rtl/>
        </w:rPr>
        <w:t xml:space="preserve"> </w:t>
      </w:r>
      <w:r w:rsidRPr="006571A5">
        <w:rPr>
          <w:rtl/>
        </w:rPr>
        <w:t>أخرى،</w:t>
      </w:r>
      <w:r>
        <w:rPr>
          <w:rtl/>
        </w:rPr>
        <w:t xml:space="preserve"> </w:t>
      </w:r>
      <w:r w:rsidRPr="006571A5">
        <w:rPr>
          <w:rtl/>
        </w:rPr>
        <w:t>قد</w:t>
      </w:r>
      <w:r>
        <w:rPr>
          <w:rtl/>
        </w:rPr>
        <w:t xml:space="preserve"> </w:t>
      </w:r>
      <w:r w:rsidRPr="006571A5">
        <w:rPr>
          <w:rtl/>
        </w:rPr>
        <w:t>تكون</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ذاتها</w:t>
      </w:r>
      <w:r>
        <w:rPr>
          <w:rtl/>
        </w:rPr>
        <w:t xml:space="preserve"> </w:t>
      </w:r>
      <w:r w:rsidRPr="006571A5">
        <w:rPr>
          <w:rtl/>
        </w:rPr>
        <w:t>قد</w:t>
      </w:r>
      <w:r>
        <w:rPr>
          <w:rtl/>
        </w:rPr>
        <w:t xml:space="preserve"> </w:t>
      </w:r>
      <w:r w:rsidRPr="006571A5">
        <w:rPr>
          <w:rtl/>
        </w:rPr>
        <w:t>انتهكت</w:t>
      </w:r>
      <w:r>
        <w:rPr>
          <w:rtl/>
        </w:rPr>
        <w:t xml:space="preserve"> </w:t>
      </w:r>
      <w:r w:rsidRPr="006571A5">
        <w:rPr>
          <w:rtl/>
        </w:rPr>
        <w:t>الاتفاقية.</w:t>
      </w:r>
      <w:r>
        <w:rPr>
          <w:rtl/>
        </w:rPr>
        <w:t xml:space="preserve"> </w:t>
      </w:r>
      <w:r w:rsidRPr="006571A5">
        <w:rPr>
          <w:rtl/>
        </w:rPr>
        <w:t>فعلى</w:t>
      </w:r>
      <w:r>
        <w:rPr>
          <w:rtl/>
        </w:rPr>
        <w:t xml:space="preserve"> </w:t>
      </w:r>
      <w:r w:rsidRPr="006571A5">
        <w:rPr>
          <w:rtl/>
        </w:rPr>
        <w:t>سبيل</w:t>
      </w:r>
      <w:r>
        <w:rPr>
          <w:rtl/>
        </w:rPr>
        <w:t xml:space="preserve"> </w:t>
      </w:r>
      <w:r w:rsidRPr="006571A5">
        <w:rPr>
          <w:rtl/>
        </w:rPr>
        <w:t>المثال،</w:t>
      </w:r>
      <w:r>
        <w:rPr>
          <w:rtl/>
        </w:rPr>
        <w:t xml:space="preserve"> </w:t>
      </w:r>
      <w:r w:rsidRPr="006571A5">
        <w:rPr>
          <w:rtl/>
        </w:rPr>
        <w:t>ستكون</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قد</w:t>
      </w:r>
      <w:r>
        <w:rPr>
          <w:rtl/>
        </w:rPr>
        <w:t xml:space="preserve"> </w:t>
      </w:r>
      <w:r w:rsidRPr="006571A5">
        <w:rPr>
          <w:rtl/>
        </w:rPr>
        <w:t>انتهكت</w:t>
      </w:r>
      <w:r>
        <w:rPr>
          <w:rtl/>
        </w:rPr>
        <w:t xml:space="preserve"> </w:t>
      </w:r>
      <w:r w:rsidRPr="006571A5">
        <w:rPr>
          <w:rtl/>
        </w:rPr>
        <w:t>الاتفاقية</w:t>
      </w:r>
      <w:r>
        <w:rPr>
          <w:rtl/>
        </w:rPr>
        <w:t xml:space="preserve"> </w:t>
      </w:r>
      <w:r w:rsidRPr="006571A5">
        <w:rPr>
          <w:rtl/>
        </w:rPr>
        <w:t>إذا</w:t>
      </w:r>
      <w:r>
        <w:rPr>
          <w:rtl/>
        </w:rPr>
        <w:t xml:space="preserve"> </w:t>
      </w:r>
      <w:r w:rsidRPr="006571A5">
        <w:rPr>
          <w:rtl/>
        </w:rPr>
        <w:t>أعادت</w:t>
      </w:r>
      <w:r>
        <w:rPr>
          <w:rtl/>
        </w:rPr>
        <w:t xml:space="preserve"> </w:t>
      </w:r>
      <w:r w:rsidRPr="006571A5">
        <w:rPr>
          <w:rtl/>
        </w:rPr>
        <w:t>شخصا</w:t>
      </w:r>
      <w:r>
        <w:rPr>
          <w:rtl/>
        </w:rPr>
        <w:t xml:space="preserve"> </w:t>
      </w:r>
      <w:r w:rsidRPr="006571A5">
        <w:rPr>
          <w:rtl/>
        </w:rPr>
        <w:t>إلى</w:t>
      </w:r>
      <w:r>
        <w:rPr>
          <w:rtl/>
        </w:rPr>
        <w:t xml:space="preserve"> </w:t>
      </w:r>
      <w:r w:rsidRPr="006571A5">
        <w:rPr>
          <w:rtl/>
        </w:rPr>
        <w:t>دولة</w:t>
      </w:r>
      <w:r>
        <w:rPr>
          <w:rtl/>
        </w:rPr>
        <w:t xml:space="preserve"> </w:t>
      </w:r>
      <w:r w:rsidRPr="006571A5">
        <w:rPr>
          <w:rtl/>
        </w:rPr>
        <w:t>أخرى</w:t>
      </w:r>
      <w:r>
        <w:rPr>
          <w:rtl/>
        </w:rPr>
        <w:t xml:space="preserve"> </w:t>
      </w:r>
      <w:r w:rsidRPr="006571A5">
        <w:rPr>
          <w:rtl/>
        </w:rPr>
        <w:t>في</w:t>
      </w:r>
      <w:r>
        <w:rPr>
          <w:rtl/>
        </w:rPr>
        <w:t xml:space="preserve"> </w:t>
      </w:r>
      <w:r w:rsidRPr="006571A5">
        <w:rPr>
          <w:rtl/>
        </w:rPr>
        <w:t>ظروف</w:t>
      </w:r>
      <w:r>
        <w:rPr>
          <w:rtl/>
        </w:rPr>
        <w:t xml:space="preserve"> </w:t>
      </w:r>
      <w:r w:rsidRPr="006571A5">
        <w:rPr>
          <w:rtl/>
        </w:rPr>
        <w:t>من</w:t>
      </w:r>
      <w:r>
        <w:rPr>
          <w:rtl/>
        </w:rPr>
        <w:t xml:space="preserve"> </w:t>
      </w:r>
      <w:r w:rsidRPr="006571A5">
        <w:rPr>
          <w:rtl/>
        </w:rPr>
        <w:t>الممكن</w:t>
      </w:r>
      <w:r>
        <w:rPr>
          <w:rtl/>
        </w:rPr>
        <w:t xml:space="preserve"> </w:t>
      </w:r>
      <w:r w:rsidRPr="006571A5">
        <w:rPr>
          <w:rtl/>
        </w:rPr>
        <w:t>التنبؤ</w:t>
      </w:r>
      <w:r>
        <w:rPr>
          <w:rtl/>
        </w:rPr>
        <w:t xml:space="preserve"> </w:t>
      </w:r>
      <w:r w:rsidRPr="006571A5">
        <w:rPr>
          <w:rtl/>
        </w:rPr>
        <w:t>بحدوث</w:t>
      </w:r>
      <w:r>
        <w:rPr>
          <w:rtl/>
        </w:rPr>
        <w:t xml:space="preserve"> </w:t>
      </w:r>
      <w:r w:rsidRPr="006571A5">
        <w:rPr>
          <w:rtl/>
        </w:rPr>
        <w:t>عنف</w:t>
      </w:r>
      <w:r>
        <w:rPr>
          <w:rtl/>
        </w:rPr>
        <w:t xml:space="preserve"> </w:t>
      </w:r>
      <w:r w:rsidRPr="006571A5">
        <w:rPr>
          <w:rtl/>
        </w:rPr>
        <w:t>جنساني</w:t>
      </w:r>
      <w:r>
        <w:rPr>
          <w:rtl/>
        </w:rPr>
        <w:t xml:space="preserve"> </w:t>
      </w:r>
      <w:r w:rsidRPr="006571A5">
        <w:rPr>
          <w:rtl/>
        </w:rPr>
        <w:t>خطير</w:t>
      </w:r>
      <w:r>
        <w:rPr>
          <w:rtl/>
        </w:rPr>
        <w:t xml:space="preserve"> </w:t>
      </w:r>
      <w:r w:rsidRPr="006571A5">
        <w:rPr>
          <w:rtl/>
        </w:rPr>
        <w:t>فيها.</w:t>
      </w:r>
    </w:p>
    <w:p w14:paraId="1608D738" w14:textId="084D085B" w:rsidR="006571A5" w:rsidRPr="006571A5" w:rsidRDefault="006571A5" w:rsidP="006571A5">
      <w:pPr>
        <w:pStyle w:val="SingleTxt"/>
        <w:rPr>
          <w:rtl/>
        </w:rPr>
      </w:pPr>
      <w:r w:rsidRPr="006571A5">
        <w:rPr>
          <w:rtl/>
        </w:rPr>
        <w:t>4-11</w:t>
      </w:r>
      <w:r w:rsidRPr="006571A5">
        <w:rPr>
          <w:rtl/>
        </w:rPr>
        <w:tab/>
        <w:t>وتلاحظ</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أيضا</w:t>
      </w:r>
      <w:r>
        <w:rPr>
          <w:rtl/>
        </w:rPr>
        <w:t xml:space="preserve"> </w:t>
      </w:r>
      <w:r w:rsidRPr="006571A5">
        <w:rPr>
          <w:rtl/>
        </w:rPr>
        <w:t>أن</w:t>
      </w:r>
      <w:r>
        <w:rPr>
          <w:rtl/>
        </w:rPr>
        <w:t xml:space="preserve"> </w:t>
      </w:r>
      <w:r w:rsidRPr="006571A5">
        <w:rPr>
          <w:rtl/>
        </w:rPr>
        <w:t>المادة</w:t>
      </w:r>
      <w:r>
        <w:rPr>
          <w:rtl/>
        </w:rPr>
        <w:t xml:space="preserve"> </w:t>
      </w:r>
      <w:r w:rsidR="004B1017">
        <w:rPr>
          <w:rtl/>
        </w:rPr>
        <w:t>3</w:t>
      </w:r>
      <w:r>
        <w:rPr>
          <w:rtl/>
        </w:rPr>
        <w:t xml:space="preserve"> </w:t>
      </w:r>
      <w:r w:rsidRPr="006571A5">
        <w:rPr>
          <w:rtl/>
        </w:rPr>
        <w:t>من</w:t>
      </w:r>
      <w:r>
        <w:rPr>
          <w:rtl/>
        </w:rPr>
        <w:t xml:space="preserve"> </w:t>
      </w:r>
      <w:r w:rsidRPr="006571A5">
        <w:rPr>
          <w:rtl/>
        </w:rPr>
        <w:t>الاتفاقية</w:t>
      </w:r>
      <w:r>
        <w:rPr>
          <w:rtl/>
        </w:rPr>
        <w:t xml:space="preserve"> </w:t>
      </w:r>
      <w:r w:rsidRPr="006571A5">
        <w:rPr>
          <w:rtl/>
        </w:rPr>
        <w:t>الأوروبية</w:t>
      </w:r>
      <w:r>
        <w:rPr>
          <w:rtl/>
        </w:rPr>
        <w:t xml:space="preserve"> </w:t>
      </w:r>
      <w:r w:rsidRPr="006571A5">
        <w:rPr>
          <w:rtl/>
        </w:rPr>
        <w:t>لحقوق</w:t>
      </w:r>
      <w:r>
        <w:rPr>
          <w:rtl/>
        </w:rPr>
        <w:t xml:space="preserve"> </w:t>
      </w:r>
      <w:r w:rsidRPr="006571A5">
        <w:rPr>
          <w:rtl/>
        </w:rPr>
        <w:t>الإنسان</w:t>
      </w:r>
      <w:r>
        <w:rPr>
          <w:rtl/>
        </w:rPr>
        <w:t xml:space="preserve"> </w:t>
      </w:r>
      <w:r w:rsidRPr="006571A5">
        <w:rPr>
          <w:rtl/>
        </w:rPr>
        <w:t>والمادة</w:t>
      </w:r>
      <w:r>
        <w:rPr>
          <w:rtl/>
        </w:rPr>
        <w:t xml:space="preserve"> </w:t>
      </w:r>
      <w:r w:rsidR="004B1017">
        <w:rPr>
          <w:rtl/>
        </w:rPr>
        <w:t>14</w:t>
      </w:r>
      <w:r>
        <w:rPr>
          <w:rtl/>
        </w:rPr>
        <w:t xml:space="preserve"> </w:t>
      </w:r>
      <w:r w:rsidRPr="006571A5">
        <w:rPr>
          <w:rtl/>
        </w:rPr>
        <w:t>من</w:t>
      </w:r>
      <w:r>
        <w:rPr>
          <w:rtl/>
        </w:rPr>
        <w:t xml:space="preserve"> </w:t>
      </w:r>
      <w:r w:rsidRPr="006571A5">
        <w:rPr>
          <w:rtl/>
        </w:rPr>
        <w:t>العهد</w:t>
      </w:r>
      <w:r>
        <w:rPr>
          <w:rtl/>
        </w:rPr>
        <w:t xml:space="preserve"> </w:t>
      </w:r>
      <w:r w:rsidRPr="006571A5">
        <w:rPr>
          <w:rtl/>
        </w:rPr>
        <w:t>الدولي</w:t>
      </w:r>
      <w:r>
        <w:rPr>
          <w:rtl/>
        </w:rPr>
        <w:t xml:space="preserve"> </w:t>
      </w:r>
      <w:r w:rsidRPr="006571A5">
        <w:rPr>
          <w:rtl/>
        </w:rPr>
        <w:t>الخاص</w:t>
      </w:r>
      <w:r>
        <w:rPr>
          <w:rtl/>
        </w:rPr>
        <w:t xml:space="preserve"> </w:t>
      </w:r>
      <w:r w:rsidRPr="006571A5">
        <w:rPr>
          <w:rtl/>
        </w:rPr>
        <w:t>بالحقوق</w:t>
      </w:r>
      <w:r>
        <w:rPr>
          <w:rtl/>
        </w:rPr>
        <w:t xml:space="preserve"> </w:t>
      </w:r>
      <w:r w:rsidRPr="006571A5">
        <w:rPr>
          <w:rtl/>
        </w:rPr>
        <w:t>المدنية</w:t>
      </w:r>
      <w:r>
        <w:rPr>
          <w:rtl/>
        </w:rPr>
        <w:t xml:space="preserve"> </w:t>
      </w:r>
      <w:r w:rsidRPr="006571A5">
        <w:rPr>
          <w:rtl/>
        </w:rPr>
        <w:t>والسياسية</w:t>
      </w:r>
      <w:r>
        <w:rPr>
          <w:rtl/>
        </w:rPr>
        <w:t xml:space="preserve"> </w:t>
      </w:r>
      <w:r w:rsidRPr="006571A5">
        <w:rPr>
          <w:rtl/>
        </w:rPr>
        <w:t>لا</w:t>
      </w:r>
      <w:r>
        <w:rPr>
          <w:rtl/>
        </w:rPr>
        <w:t xml:space="preserve"> </w:t>
      </w:r>
      <w:r w:rsidRPr="006571A5">
        <w:rPr>
          <w:rtl/>
        </w:rPr>
        <w:t>يدخلان</w:t>
      </w:r>
      <w:r>
        <w:rPr>
          <w:rtl/>
        </w:rPr>
        <w:t xml:space="preserve"> </w:t>
      </w:r>
      <w:r w:rsidRPr="006571A5">
        <w:rPr>
          <w:rtl/>
        </w:rPr>
        <w:t>ضمن</w:t>
      </w:r>
      <w:r>
        <w:rPr>
          <w:rtl/>
        </w:rPr>
        <w:t xml:space="preserve"> </w:t>
      </w:r>
      <w:r w:rsidRPr="006571A5">
        <w:rPr>
          <w:rtl/>
        </w:rPr>
        <w:t>نطاق</w:t>
      </w:r>
      <w:r>
        <w:rPr>
          <w:rtl/>
        </w:rPr>
        <w:t xml:space="preserve"> </w:t>
      </w:r>
      <w:r w:rsidRPr="006571A5">
        <w:rPr>
          <w:rtl/>
        </w:rPr>
        <w:t>اختصاص</w:t>
      </w:r>
      <w:r>
        <w:rPr>
          <w:rtl/>
        </w:rPr>
        <w:t xml:space="preserve"> </w:t>
      </w:r>
      <w:r w:rsidRPr="006571A5">
        <w:rPr>
          <w:rtl/>
        </w:rPr>
        <w:t>اللجنة،</w:t>
      </w:r>
      <w:r>
        <w:rPr>
          <w:rtl/>
        </w:rPr>
        <w:t xml:space="preserve"> </w:t>
      </w:r>
      <w:r w:rsidRPr="006571A5">
        <w:rPr>
          <w:rtl/>
        </w:rPr>
        <w:t>ومن</w:t>
      </w:r>
      <w:r>
        <w:rPr>
          <w:rtl/>
        </w:rPr>
        <w:t xml:space="preserve"> </w:t>
      </w:r>
      <w:r w:rsidRPr="006571A5">
        <w:rPr>
          <w:rtl/>
        </w:rPr>
        <w:t>ثم</w:t>
      </w:r>
      <w:r>
        <w:rPr>
          <w:rtl/>
        </w:rPr>
        <w:t xml:space="preserve"> </w:t>
      </w:r>
      <w:r w:rsidRPr="006571A5">
        <w:rPr>
          <w:rtl/>
        </w:rPr>
        <w:t>ينبغي</w:t>
      </w:r>
      <w:r>
        <w:rPr>
          <w:rtl/>
        </w:rPr>
        <w:t xml:space="preserve"> </w:t>
      </w:r>
      <w:r w:rsidRPr="006571A5">
        <w:rPr>
          <w:rtl/>
        </w:rPr>
        <w:t>اعتبار</w:t>
      </w:r>
      <w:r>
        <w:rPr>
          <w:rtl/>
        </w:rPr>
        <w:t xml:space="preserve"> </w:t>
      </w:r>
      <w:r w:rsidRPr="006571A5">
        <w:rPr>
          <w:rtl/>
        </w:rPr>
        <w:t>الرسالة</w:t>
      </w:r>
      <w:r>
        <w:rPr>
          <w:rtl/>
        </w:rPr>
        <w:t xml:space="preserve"> </w:t>
      </w:r>
      <w:r w:rsidRPr="006571A5">
        <w:rPr>
          <w:rtl/>
        </w:rPr>
        <w:t>غير</w:t>
      </w:r>
      <w:r>
        <w:rPr>
          <w:rtl/>
        </w:rPr>
        <w:t xml:space="preserve"> </w:t>
      </w:r>
      <w:r w:rsidRPr="006571A5">
        <w:rPr>
          <w:rtl/>
        </w:rPr>
        <w:t>مقبولة.</w:t>
      </w:r>
    </w:p>
    <w:p w14:paraId="6C354014" w14:textId="108063A1" w:rsidR="006571A5" w:rsidRPr="006571A5" w:rsidRDefault="006571A5" w:rsidP="006571A5">
      <w:pPr>
        <w:pStyle w:val="SingleTxt"/>
        <w:rPr>
          <w:rtl/>
        </w:rPr>
      </w:pPr>
      <w:r w:rsidRPr="006571A5">
        <w:rPr>
          <w:rtl/>
        </w:rPr>
        <w:t>4-12</w:t>
      </w:r>
      <w:r w:rsidRPr="006571A5">
        <w:rPr>
          <w:rtl/>
        </w:rPr>
        <w:tab/>
        <w:t>وفيما</w:t>
      </w:r>
      <w:r>
        <w:rPr>
          <w:rtl/>
        </w:rPr>
        <w:t xml:space="preserve"> </w:t>
      </w:r>
      <w:r w:rsidRPr="006571A5">
        <w:rPr>
          <w:rtl/>
        </w:rPr>
        <w:t>يتعلق</w:t>
      </w:r>
      <w:r>
        <w:rPr>
          <w:rtl/>
        </w:rPr>
        <w:t xml:space="preserve"> </w:t>
      </w:r>
      <w:r w:rsidRPr="006571A5">
        <w:rPr>
          <w:rtl/>
        </w:rPr>
        <w:t>بالأسس</w:t>
      </w:r>
      <w:r>
        <w:rPr>
          <w:rtl/>
        </w:rPr>
        <w:t xml:space="preserve"> </w:t>
      </w:r>
      <w:r w:rsidRPr="006571A5">
        <w:rPr>
          <w:rtl/>
        </w:rPr>
        <w:t>الموضوعية،</w:t>
      </w:r>
      <w:r>
        <w:rPr>
          <w:rtl/>
        </w:rPr>
        <w:t xml:space="preserve"> </w:t>
      </w:r>
      <w:r w:rsidRPr="006571A5">
        <w:rPr>
          <w:rtl/>
        </w:rPr>
        <w:t>تشير</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إلى</w:t>
      </w:r>
      <w:r>
        <w:rPr>
          <w:rtl/>
        </w:rPr>
        <w:t xml:space="preserve"> </w:t>
      </w:r>
      <w:r w:rsidRPr="006571A5">
        <w:rPr>
          <w:rtl/>
        </w:rPr>
        <w:t>أن</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لم</w:t>
      </w:r>
      <w:r>
        <w:rPr>
          <w:rtl/>
        </w:rPr>
        <w:t xml:space="preserve"> </w:t>
      </w:r>
      <w:r w:rsidRPr="006571A5">
        <w:rPr>
          <w:rtl/>
        </w:rPr>
        <w:t>تقدم</w:t>
      </w:r>
      <w:r>
        <w:rPr>
          <w:rtl/>
        </w:rPr>
        <w:t xml:space="preserve"> </w:t>
      </w:r>
      <w:r w:rsidRPr="006571A5">
        <w:rPr>
          <w:rtl/>
        </w:rPr>
        <w:t>في</w:t>
      </w:r>
      <w:r>
        <w:rPr>
          <w:rtl/>
        </w:rPr>
        <w:t xml:space="preserve"> </w:t>
      </w:r>
      <w:r w:rsidRPr="006571A5">
        <w:rPr>
          <w:rtl/>
        </w:rPr>
        <w:t>الرسالة</w:t>
      </w:r>
      <w:r>
        <w:rPr>
          <w:rtl/>
        </w:rPr>
        <w:t xml:space="preserve"> </w:t>
      </w:r>
      <w:r w:rsidRPr="006571A5">
        <w:rPr>
          <w:rtl/>
        </w:rPr>
        <w:t>موضوع</w:t>
      </w:r>
      <w:r>
        <w:rPr>
          <w:rtl/>
        </w:rPr>
        <w:t xml:space="preserve"> </w:t>
      </w:r>
      <w:r w:rsidRPr="006571A5">
        <w:rPr>
          <w:rtl/>
        </w:rPr>
        <w:t>النظر</w:t>
      </w:r>
      <w:r>
        <w:rPr>
          <w:rtl/>
        </w:rPr>
        <w:t xml:space="preserve"> </w:t>
      </w:r>
      <w:r w:rsidRPr="006571A5">
        <w:rPr>
          <w:rtl/>
        </w:rPr>
        <w:t>أي</w:t>
      </w:r>
      <w:r>
        <w:rPr>
          <w:rtl/>
        </w:rPr>
        <w:t xml:space="preserve"> </w:t>
      </w:r>
      <w:r w:rsidRPr="006571A5">
        <w:rPr>
          <w:rtl/>
        </w:rPr>
        <w:t>معلومات</w:t>
      </w:r>
      <w:r>
        <w:rPr>
          <w:rtl/>
        </w:rPr>
        <w:t xml:space="preserve"> </w:t>
      </w:r>
      <w:r w:rsidRPr="006571A5">
        <w:rPr>
          <w:rtl/>
        </w:rPr>
        <w:t>جديدة</w:t>
      </w:r>
      <w:r>
        <w:rPr>
          <w:rtl/>
        </w:rPr>
        <w:t xml:space="preserve"> </w:t>
      </w:r>
      <w:r w:rsidRPr="006571A5">
        <w:rPr>
          <w:rtl/>
        </w:rPr>
        <w:t>غير</w:t>
      </w:r>
      <w:r>
        <w:rPr>
          <w:rtl/>
        </w:rPr>
        <w:t xml:space="preserve"> </w:t>
      </w:r>
      <w:r w:rsidRPr="006571A5">
        <w:rPr>
          <w:rtl/>
        </w:rPr>
        <w:t>تلك</w:t>
      </w:r>
      <w:r>
        <w:rPr>
          <w:rtl/>
        </w:rPr>
        <w:t xml:space="preserve"> </w:t>
      </w:r>
      <w:r w:rsidRPr="006571A5">
        <w:rPr>
          <w:rtl/>
        </w:rPr>
        <w:t>التي</w:t>
      </w:r>
      <w:r>
        <w:rPr>
          <w:rtl/>
        </w:rPr>
        <w:t xml:space="preserve"> </w:t>
      </w:r>
      <w:r w:rsidRPr="006571A5">
        <w:rPr>
          <w:rtl/>
        </w:rPr>
        <w:t>قدمتها</w:t>
      </w:r>
      <w:r>
        <w:rPr>
          <w:rtl/>
        </w:rPr>
        <w:t xml:space="preserve"> </w:t>
      </w:r>
      <w:r w:rsidRPr="006571A5">
        <w:rPr>
          <w:rtl/>
        </w:rPr>
        <w:t>إلى</w:t>
      </w:r>
      <w:r>
        <w:rPr>
          <w:rtl/>
        </w:rPr>
        <w:t xml:space="preserve"> </w:t>
      </w:r>
      <w:r w:rsidRPr="006571A5">
        <w:rPr>
          <w:rtl/>
        </w:rPr>
        <w:t>دائرة</w:t>
      </w:r>
      <w:r>
        <w:rPr>
          <w:rtl/>
        </w:rPr>
        <w:t xml:space="preserve"> </w:t>
      </w:r>
      <w:r w:rsidRPr="006571A5">
        <w:rPr>
          <w:rtl/>
        </w:rPr>
        <w:t>الهجرة</w:t>
      </w:r>
      <w:r>
        <w:rPr>
          <w:rtl/>
        </w:rPr>
        <w:t xml:space="preserve"> </w:t>
      </w:r>
      <w:r w:rsidRPr="006571A5">
        <w:rPr>
          <w:rtl/>
        </w:rPr>
        <w:t>ومجلس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وترحيل</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لن</w:t>
      </w:r>
      <w:r>
        <w:rPr>
          <w:rtl/>
        </w:rPr>
        <w:t xml:space="preserve"> </w:t>
      </w:r>
      <w:r w:rsidRPr="006571A5">
        <w:rPr>
          <w:rtl/>
        </w:rPr>
        <w:t>يشكل</w:t>
      </w:r>
      <w:r>
        <w:rPr>
          <w:rtl/>
        </w:rPr>
        <w:t xml:space="preserve"> </w:t>
      </w:r>
      <w:r w:rsidRPr="006571A5">
        <w:rPr>
          <w:rtl/>
        </w:rPr>
        <w:t>انتهاكا</w:t>
      </w:r>
      <w:r>
        <w:rPr>
          <w:rtl/>
        </w:rPr>
        <w:t xml:space="preserve"> </w:t>
      </w:r>
      <w:r w:rsidRPr="006571A5">
        <w:rPr>
          <w:rtl/>
        </w:rPr>
        <w:t>لاتفاقية</w:t>
      </w:r>
      <w:r>
        <w:rPr>
          <w:rtl/>
        </w:rPr>
        <w:t xml:space="preserve"> </w:t>
      </w:r>
      <w:r w:rsidRPr="006571A5">
        <w:rPr>
          <w:rtl/>
        </w:rPr>
        <w:t>القضاء</w:t>
      </w:r>
      <w:r>
        <w:rPr>
          <w:rtl/>
        </w:rPr>
        <w:t xml:space="preserve"> </w:t>
      </w:r>
      <w:r w:rsidRPr="006571A5">
        <w:rPr>
          <w:rtl/>
        </w:rPr>
        <w:t>على</w:t>
      </w:r>
      <w:r>
        <w:rPr>
          <w:rtl/>
        </w:rPr>
        <w:t xml:space="preserve"> </w:t>
      </w:r>
      <w:r w:rsidRPr="006571A5">
        <w:rPr>
          <w:rtl/>
        </w:rPr>
        <w:t>جميع</w:t>
      </w:r>
      <w:r>
        <w:rPr>
          <w:rtl/>
        </w:rPr>
        <w:t xml:space="preserve"> </w:t>
      </w:r>
      <w:r w:rsidRPr="006571A5">
        <w:rPr>
          <w:rtl/>
        </w:rPr>
        <w:t>أشكال</w:t>
      </w:r>
      <w:r>
        <w:rPr>
          <w:rtl/>
        </w:rPr>
        <w:t xml:space="preserve"> </w:t>
      </w:r>
      <w:r w:rsidRPr="006571A5">
        <w:rPr>
          <w:rtl/>
        </w:rPr>
        <w:t>التمييز</w:t>
      </w:r>
      <w:r>
        <w:rPr>
          <w:rtl/>
        </w:rPr>
        <w:t xml:space="preserve"> </w:t>
      </w:r>
      <w:r w:rsidRPr="006571A5">
        <w:rPr>
          <w:rtl/>
        </w:rPr>
        <w:t>ضد</w:t>
      </w:r>
      <w:r>
        <w:rPr>
          <w:rtl/>
        </w:rPr>
        <w:t xml:space="preserve"> </w:t>
      </w:r>
      <w:r w:rsidRPr="006571A5">
        <w:rPr>
          <w:rtl/>
        </w:rPr>
        <w:t>المرأة.</w:t>
      </w:r>
      <w:r>
        <w:rPr>
          <w:rtl/>
        </w:rPr>
        <w:t xml:space="preserve"> </w:t>
      </w:r>
      <w:r w:rsidR="003667F2" w:rsidRPr="006571A5">
        <w:rPr>
          <w:rtl/>
        </w:rPr>
        <w:t>وفيما</w:t>
      </w:r>
      <w:r w:rsidR="003667F2">
        <w:rPr>
          <w:rFonts w:hint="cs"/>
          <w:rtl/>
        </w:rPr>
        <w:t> </w:t>
      </w:r>
      <w:r w:rsidRPr="006571A5">
        <w:rPr>
          <w:rtl/>
        </w:rPr>
        <w:t>يخص</w:t>
      </w:r>
      <w:r>
        <w:rPr>
          <w:rtl/>
        </w:rPr>
        <w:t xml:space="preserve"> </w:t>
      </w:r>
      <w:r w:rsidRPr="006571A5">
        <w:rPr>
          <w:rtl/>
        </w:rPr>
        <w:t>مصداقية</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تلاحظ</w:t>
      </w:r>
      <w:r>
        <w:rPr>
          <w:rtl/>
        </w:rPr>
        <w:t xml:space="preserve"> </w:t>
      </w:r>
      <w:r w:rsidRPr="006571A5">
        <w:rPr>
          <w:rtl/>
        </w:rPr>
        <w:t>الدولة</w:t>
      </w:r>
      <w:r>
        <w:rPr>
          <w:rtl/>
        </w:rPr>
        <w:t xml:space="preserve"> </w:t>
      </w:r>
      <w:r w:rsidRPr="006571A5">
        <w:rPr>
          <w:rtl/>
        </w:rPr>
        <w:t>أن</w:t>
      </w:r>
      <w:r>
        <w:rPr>
          <w:rtl/>
        </w:rPr>
        <w:t xml:space="preserve"> </w:t>
      </w:r>
      <w:r w:rsidRPr="006571A5">
        <w:rPr>
          <w:rtl/>
        </w:rPr>
        <w:t>تقدير</w:t>
      </w:r>
      <w:r>
        <w:rPr>
          <w:rtl/>
        </w:rPr>
        <w:t xml:space="preserve"> </w:t>
      </w:r>
      <w:r w:rsidRPr="006571A5">
        <w:rPr>
          <w:rtl/>
        </w:rPr>
        <w:t>المجلس</w:t>
      </w:r>
      <w:r>
        <w:rPr>
          <w:rtl/>
        </w:rPr>
        <w:t xml:space="preserve"> </w:t>
      </w:r>
      <w:r w:rsidRPr="006571A5">
        <w:rPr>
          <w:rtl/>
        </w:rPr>
        <w:t>لمصداقية</w:t>
      </w:r>
      <w:r>
        <w:rPr>
          <w:rtl/>
        </w:rPr>
        <w:t xml:space="preserve"> </w:t>
      </w:r>
      <w:r w:rsidRPr="006571A5">
        <w:rPr>
          <w:rtl/>
        </w:rPr>
        <w:t>طالبي</w:t>
      </w:r>
      <w:r>
        <w:rPr>
          <w:rtl/>
        </w:rPr>
        <w:t xml:space="preserve"> </w:t>
      </w:r>
      <w:r w:rsidRPr="006571A5">
        <w:rPr>
          <w:rtl/>
        </w:rPr>
        <w:t>اللجوء</w:t>
      </w:r>
      <w:r>
        <w:rPr>
          <w:rtl/>
        </w:rPr>
        <w:t xml:space="preserve"> </w:t>
      </w:r>
      <w:r w:rsidRPr="006571A5">
        <w:rPr>
          <w:rtl/>
        </w:rPr>
        <w:t>يستند</w:t>
      </w:r>
      <w:r>
        <w:rPr>
          <w:rtl/>
        </w:rPr>
        <w:t xml:space="preserve"> </w:t>
      </w:r>
      <w:r w:rsidRPr="006571A5">
        <w:rPr>
          <w:rtl/>
        </w:rPr>
        <w:t>إلى</w:t>
      </w:r>
      <w:r>
        <w:rPr>
          <w:rtl/>
        </w:rPr>
        <w:t xml:space="preserve"> </w:t>
      </w:r>
      <w:r w:rsidRPr="006571A5">
        <w:rPr>
          <w:rtl/>
        </w:rPr>
        <w:t>تقييم</w:t>
      </w:r>
      <w:r>
        <w:rPr>
          <w:rtl/>
        </w:rPr>
        <w:t xml:space="preserve"> </w:t>
      </w:r>
      <w:r w:rsidRPr="006571A5">
        <w:rPr>
          <w:rtl/>
        </w:rPr>
        <w:t>شامل</w:t>
      </w:r>
      <w:r>
        <w:rPr>
          <w:rtl/>
        </w:rPr>
        <w:t xml:space="preserve"> </w:t>
      </w:r>
      <w:r w:rsidRPr="006571A5">
        <w:rPr>
          <w:rtl/>
        </w:rPr>
        <w:t>تتم</w:t>
      </w:r>
      <w:r>
        <w:rPr>
          <w:rtl/>
        </w:rPr>
        <w:t xml:space="preserve"> </w:t>
      </w:r>
      <w:r w:rsidRPr="006571A5">
        <w:rPr>
          <w:rtl/>
        </w:rPr>
        <w:t>فيه</w:t>
      </w:r>
      <w:r>
        <w:rPr>
          <w:rtl/>
        </w:rPr>
        <w:t xml:space="preserve"> </w:t>
      </w:r>
      <w:r w:rsidRPr="006571A5">
        <w:rPr>
          <w:rtl/>
        </w:rPr>
        <w:t>عدة</w:t>
      </w:r>
      <w:r>
        <w:rPr>
          <w:rtl/>
        </w:rPr>
        <w:t xml:space="preserve"> </w:t>
      </w:r>
      <w:r w:rsidRPr="006571A5">
        <w:rPr>
          <w:rtl/>
        </w:rPr>
        <w:t>أمور</w:t>
      </w:r>
      <w:r>
        <w:rPr>
          <w:rtl/>
        </w:rPr>
        <w:t xml:space="preserve"> </w:t>
      </w:r>
      <w:r w:rsidRPr="006571A5">
        <w:rPr>
          <w:rtl/>
        </w:rPr>
        <w:t>منها</w:t>
      </w:r>
      <w:r>
        <w:rPr>
          <w:rtl/>
        </w:rPr>
        <w:t xml:space="preserve"> </w:t>
      </w:r>
      <w:r w:rsidRPr="006571A5">
        <w:rPr>
          <w:rtl/>
        </w:rPr>
        <w:t>تقييم</w:t>
      </w:r>
      <w:r>
        <w:rPr>
          <w:rtl/>
        </w:rPr>
        <w:t xml:space="preserve"> </w:t>
      </w:r>
      <w:r w:rsidRPr="006571A5">
        <w:rPr>
          <w:rtl/>
        </w:rPr>
        <w:t>أقوال</w:t>
      </w:r>
      <w:r>
        <w:rPr>
          <w:rtl/>
        </w:rPr>
        <w:t xml:space="preserve"> </w:t>
      </w:r>
      <w:r w:rsidRPr="006571A5">
        <w:rPr>
          <w:rtl/>
        </w:rPr>
        <w:t>طالبي</w:t>
      </w:r>
      <w:r>
        <w:rPr>
          <w:rtl/>
        </w:rPr>
        <w:t xml:space="preserve"> </w:t>
      </w:r>
      <w:r w:rsidRPr="006571A5">
        <w:rPr>
          <w:rtl/>
        </w:rPr>
        <w:t>اللجوء</w:t>
      </w:r>
      <w:r>
        <w:rPr>
          <w:rtl/>
        </w:rPr>
        <w:t xml:space="preserve"> </w:t>
      </w:r>
      <w:r w:rsidRPr="006571A5">
        <w:rPr>
          <w:rtl/>
        </w:rPr>
        <w:t>وسلوكهم</w:t>
      </w:r>
      <w:r>
        <w:rPr>
          <w:rtl/>
        </w:rPr>
        <w:t xml:space="preserve"> </w:t>
      </w:r>
      <w:r w:rsidRPr="006571A5">
        <w:rPr>
          <w:rtl/>
        </w:rPr>
        <w:t>في</w:t>
      </w:r>
      <w:r>
        <w:rPr>
          <w:rtl/>
        </w:rPr>
        <w:t xml:space="preserve"> </w:t>
      </w:r>
      <w:r w:rsidRPr="006571A5">
        <w:rPr>
          <w:rtl/>
        </w:rPr>
        <w:t>جلسة</w:t>
      </w:r>
      <w:r>
        <w:rPr>
          <w:rtl/>
        </w:rPr>
        <w:t xml:space="preserve"> </w:t>
      </w:r>
      <w:r w:rsidRPr="006571A5">
        <w:rPr>
          <w:rtl/>
        </w:rPr>
        <w:t>استماع</w:t>
      </w:r>
      <w:r>
        <w:rPr>
          <w:rtl/>
        </w:rPr>
        <w:t xml:space="preserve"> </w:t>
      </w:r>
      <w:r w:rsidRPr="006571A5">
        <w:rPr>
          <w:rtl/>
        </w:rPr>
        <w:t>المجلس</w:t>
      </w:r>
      <w:r>
        <w:rPr>
          <w:rtl/>
        </w:rPr>
        <w:t xml:space="preserve"> </w:t>
      </w:r>
      <w:r w:rsidRPr="006571A5">
        <w:rPr>
          <w:rtl/>
        </w:rPr>
        <w:t>إليهم</w:t>
      </w:r>
      <w:r>
        <w:rPr>
          <w:rtl/>
        </w:rPr>
        <w:t xml:space="preserve"> </w:t>
      </w:r>
      <w:r w:rsidRPr="006571A5">
        <w:rPr>
          <w:rtl/>
        </w:rPr>
        <w:t>بالاقتران</w:t>
      </w:r>
      <w:r>
        <w:rPr>
          <w:rtl/>
        </w:rPr>
        <w:t xml:space="preserve"> </w:t>
      </w:r>
      <w:r w:rsidRPr="006571A5">
        <w:rPr>
          <w:rtl/>
        </w:rPr>
        <w:t>مع</w:t>
      </w:r>
      <w:r>
        <w:rPr>
          <w:rtl/>
        </w:rPr>
        <w:t xml:space="preserve"> </w:t>
      </w:r>
      <w:r w:rsidRPr="006571A5">
        <w:rPr>
          <w:rtl/>
        </w:rPr>
        <w:t>المعلومات</w:t>
      </w:r>
      <w:r>
        <w:rPr>
          <w:rtl/>
        </w:rPr>
        <w:t xml:space="preserve"> </w:t>
      </w:r>
      <w:r w:rsidRPr="006571A5">
        <w:rPr>
          <w:rtl/>
        </w:rPr>
        <w:t>الأخرى</w:t>
      </w:r>
      <w:r>
        <w:rPr>
          <w:rtl/>
        </w:rPr>
        <w:t xml:space="preserve"> </w:t>
      </w:r>
      <w:r w:rsidRPr="006571A5">
        <w:rPr>
          <w:rtl/>
        </w:rPr>
        <w:t>المتوفرة</w:t>
      </w:r>
      <w:r>
        <w:rPr>
          <w:rtl/>
        </w:rPr>
        <w:t xml:space="preserve"> </w:t>
      </w:r>
      <w:r w:rsidRPr="006571A5">
        <w:rPr>
          <w:rtl/>
        </w:rPr>
        <w:t>بشأن</w:t>
      </w:r>
      <w:r>
        <w:rPr>
          <w:rtl/>
        </w:rPr>
        <w:t xml:space="preserve"> </w:t>
      </w:r>
      <w:r w:rsidRPr="006571A5">
        <w:rPr>
          <w:rtl/>
        </w:rPr>
        <w:t>القضية،</w:t>
      </w:r>
      <w:r>
        <w:rPr>
          <w:rtl/>
        </w:rPr>
        <w:t xml:space="preserve"> </w:t>
      </w:r>
      <w:r w:rsidRPr="006571A5">
        <w:rPr>
          <w:rtl/>
        </w:rPr>
        <w:t>بما</w:t>
      </w:r>
      <w:r>
        <w:rPr>
          <w:rtl/>
        </w:rPr>
        <w:t xml:space="preserve"> </w:t>
      </w:r>
      <w:r w:rsidRPr="006571A5">
        <w:rPr>
          <w:rtl/>
        </w:rPr>
        <w:t>فيها</w:t>
      </w:r>
      <w:r>
        <w:rPr>
          <w:rtl/>
        </w:rPr>
        <w:t xml:space="preserve"> </w:t>
      </w:r>
      <w:r w:rsidRPr="006571A5">
        <w:rPr>
          <w:rtl/>
        </w:rPr>
        <w:t>البيانات</w:t>
      </w:r>
      <w:r>
        <w:rPr>
          <w:rtl/>
        </w:rPr>
        <w:t xml:space="preserve"> </w:t>
      </w:r>
      <w:r w:rsidRPr="006571A5">
        <w:rPr>
          <w:rtl/>
        </w:rPr>
        <w:t>والمعلومات</w:t>
      </w:r>
      <w:r>
        <w:rPr>
          <w:rtl/>
        </w:rPr>
        <w:t xml:space="preserve"> </w:t>
      </w:r>
      <w:r w:rsidRPr="006571A5">
        <w:rPr>
          <w:rtl/>
        </w:rPr>
        <w:t>الأساسية</w:t>
      </w:r>
      <w:r>
        <w:rPr>
          <w:rtl/>
        </w:rPr>
        <w:t xml:space="preserve"> </w:t>
      </w:r>
      <w:r w:rsidRPr="006571A5">
        <w:rPr>
          <w:rtl/>
        </w:rPr>
        <w:t>القطرية</w:t>
      </w:r>
      <w:r>
        <w:rPr>
          <w:rtl/>
        </w:rPr>
        <w:t xml:space="preserve"> </w:t>
      </w:r>
      <w:r w:rsidRPr="006571A5">
        <w:rPr>
          <w:rtl/>
        </w:rPr>
        <w:t>المجمعة</w:t>
      </w:r>
      <w:r>
        <w:rPr>
          <w:rtl/>
        </w:rPr>
        <w:t xml:space="preserve"> </w:t>
      </w:r>
      <w:r w:rsidRPr="006571A5">
        <w:rPr>
          <w:rtl/>
        </w:rPr>
        <w:t>لأغراض</w:t>
      </w:r>
      <w:r>
        <w:rPr>
          <w:rtl/>
        </w:rPr>
        <w:t xml:space="preserve"> </w:t>
      </w:r>
      <w:r w:rsidRPr="006571A5">
        <w:rPr>
          <w:rtl/>
        </w:rPr>
        <w:t>القضية</w:t>
      </w:r>
      <w:r>
        <w:rPr>
          <w:rtl/>
        </w:rPr>
        <w:t xml:space="preserve"> </w:t>
      </w:r>
      <w:r w:rsidRPr="006571A5">
        <w:rPr>
          <w:rtl/>
        </w:rPr>
        <w:t>المعنية.</w:t>
      </w:r>
      <w:r>
        <w:rPr>
          <w:rtl/>
        </w:rPr>
        <w:t xml:space="preserve"> </w:t>
      </w:r>
      <w:r w:rsidRPr="006571A5">
        <w:rPr>
          <w:rtl/>
        </w:rPr>
        <w:t>فإذا</w:t>
      </w:r>
      <w:r>
        <w:rPr>
          <w:rtl/>
        </w:rPr>
        <w:t xml:space="preserve"> </w:t>
      </w:r>
      <w:r w:rsidRPr="006571A5">
        <w:rPr>
          <w:rtl/>
        </w:rPr>
        <w:t>بدت</w:t>
      </w:r>
      <w:r>
        <w:rPr>
          <w:rtl/>
        </w:rPr>
        <w:t xml:space="preserve"> </w:t>
      </w:r>
      <w:r w:rsidRPr="006571A5">
        <w:rPr>
          <w:rtl/>
        </w:rPr>
        <w:t>أقوال</w:t>
      </w:r>
      <w:r>
        <w:rPr>
          <w:rtl/>
        </w:rPr>
        <w:t xml:space="preserve"> </w:t>
      </w:r>
      <w:r w:rsidRPr="006571A5">
        <w:rPr>
          <w:rtl/>
        </w:rPr>
        <w:t>طالبي</w:t>
      </w:r>
      <w:r>
        <w:rPr>
          <w:rtl/>
        </w:rPr>
        <w:t xml:space="preserve"> </w:t>
      </w:r>
      <w:r w:rsidRPr="006571A5">
        <w:rPr>
          <w:rtl/>
        </w:rPr>
        <w:t>اللجوء</w:t>
      </w:r>
      <w:r>
        <w:rPr>
          <w:rtl/>
        </w:rPr>
        <w:t xml:space="preserve"> </w:t>
      </w:r>
      <w:r w:rsidRPr="006571A5">
        <w:rPr>
          <w:rtl/>
        </w:rPr>
        <w:t>مترابطة</w:t>
      </w:r>
      <w:r>
        <w:rPr>
          <w:rtl/>
        </w:rPr>
        <w:t xml:space="preserve"> </w:t>
      </w:r>
      <w:r w:rsidRPr="006571A5">
        <w:rPr>
          <w:rtl/>
        </w:rPr>
        <w:t>منطقيا،</w:t>
      </w:r>
      <w:r>
        <w:rPr>
          <w:rtl/>
        </w:rPr>
        <w:t xml:space="preserve"> </w:t>
      </w:r>
      <w:r w:rsidRPr="006571A5">
        <w:rPr>
          <w:rtl/>
        </w:rPr>
        <w:t>يقبلها</w:t>
      </w:r>
      <w:r>
        <w:rPr>
          <w:rtl/>
        </w:rPr>
        <w:t xml:space="preserve"> </w:t>
      </w:r>
      <w:r w:rsidRPr="006571A5">
        <w:rPr>
          <w:rtl/>
        </w:rPr>
        <w:t>المجلس</w:t>
      </w:r>
      <w:r>
        <w:rPr>
          <w:rtl/>
        </w:rPr>
        <w:t xml:space="preserve"> </w:t>
      </w:r>
      <w:r w:rsidRPr="006571A5">
        <w:rPr>
          <w:rtl/>
        </w:rPr>
        <w:t>عادة</w:t>
      </w:r>
      <w:r>
        <w:rPr>
          <w:rtl/>
        </w:rPr>
        <w:t xml:space="preserve"> </w:t>
      </w:r>
      <w:r w:rsidRPr="006571A5">
        <w:rPr>
          <w:rtl/>
        </w:rPr>
        <w:t>على</w:t>
      </w:r>
      <w:r>
        <w:rPr>
          <w:rtl/>
        </w:rPr>
        <w:t xml:space="preserve"> </w:t>
      </w:r>
      <w:r w:rsidRPr="006571A5">
        <w:rPr>
          <w:rtl/>
        </w:rPr>
        <w:t>أنها</w:t>
      </w:r>
      <w:r>
        <w:rPr>
          <w:rtl/>
        </w:rPr>
        <w:t xml:space="preserve"> </w:t>
      </w:r>
      <w:r w:rsidRPr="006571A5">
        <w:rPr>
          <w:rtl/>
        </w:rPr>
        <w:t>الواقع.</w:t>
      </w:r>
      <w:r>
        <w:rPr>
          <w:rtl/>
        </w:rPr>
        <w:t xml:space="preserve"> </w:t>
      </w:r>
      <w:r w:rsidRPr="006571A5">
        <w:rPr>
          <w:rtl/>
        </w:rPr>
        <w:t>أما</w:t>
      </w:r>
      <w:r>
        <w:rPr>
          <w:rtl/>
        </w:rPr>
        <w:t xml:space="preserve"> </w:t>
      </w:r>
      <w:r w:rsidRPr="006571A5">
        <w:rPr>
          <w:rtl/>
        </w:rPr>
        <w:t>إذا</w:t>
      </w:r>
      <w:r>
        <w:rPr>
          <w:rtl/>
        </w:rPr>
        <w:t xml:space="preserve"> </w:t>
      </w:r>
      <w:r w:rsidRPr="006571A5">
        <w:rPr>
          <w:rtl/>
        </w:rPr>
        <w:t>كانت</w:t>
      </w:r>
      <w:r>
        <w:rPr>
          <w:rtl/>
        </w:rPr>
        <w:t xml:space="preserve"> </w:t>
      </w:r>
      <w:r w:rsidRPr="006571A5">
        <w:rPr>
          <w:rtl/>
        </w:rPr>
        <w:t>الأقوال</w:t>
      </w:r>
      <w:r>
        <w:rPr>
          <w:rtl/>
        </w:rPr>
        <w:t xml:space="preserve"> </w:t>
      </w:r>
      <w:r w:rsidRPr="006571A5">
        <w:rPr>
          <w:rtl/>
        </w:rPr>
        <w:t>متناقضة</w:t>
      </w:r>
      <w:r>
        <w:rPr>
          <w:rtl/>
        </w:rPr>
        <w:t xml:space="preserve"> </w:t>
      </w:r>
      <w:r w:rsidRPr="006571A5">
        <w:rPr>
          <w:rtl/>
        </w:rPr>
        <w:t>ومتغيرة</w:t>
      </w:r>
      <w:r>
        <w:rPr>
          <w:rtl/>
        </w:rPr>
        <w:t xml:space="preserve"> </w:t>
      </w:r>
      <w:r w:rsidRPr="006571A5">
        <w:rPr>
          <w:rtl/>
        </w:rPr>
        <w:t>أو</w:t>
      </w:r>
      <w:r>
        <w:rPr>
          <w:rtl/>
        </w:rPr>
        <w:t xml:space="preserve"> </w:t>
      </w:r>
      <w:r w:rsidRPr="006571A5">
        <w:rPr>
          <w:rtl/>
        </w:rPr>
        <w:t>كان</w:t>
      </w:r>
      <w:r>
        <w:rPr>
          <w:rtl/>
        </w:rPr>
        <w:t xml:space="preserve"> </w:t>
      </w:r>
      <w:r w:rsidRPr="006571A5">
        <w:rPr>
          <w:rtl/>
        </w:rPr>
        <w:t>فيها</w:t>
      </w:r>
      <w:r>
        <w:rPr>
          <w:rtl/>
        </w:rPr>
        <w:t xml:space="preserve"> </w:t>
      </w:r>
      <w:r w:rsidRPr="006571A5">
        <w:rPr>
          <w:rtl/>
        </w:rPr>
        <w:t>زيادة</w:t>
      </w:r>
      <w:r>
        <w:rPr>
          <w:rtl/>
        </w:rPr>
        <w:t xml:space="preserve"> </w:t>
      </w:r>
      <w:r w:rsidRPr="006571A5">
        <w:rPr>
          <w:rtl/>
        </w:rPr>
        <w:t>أو</w:t>
      </w:r>
      <w:r>
        <w:rPr>
          <w:rtl/>
        </w:rPr>
        <w:t xml:space="preserve"> </w:t>
      </w:r>
      <w:r w:rsidRPr="006571A5">
        <w:rPr>
          <w:rtl/>
        </w:rPr>
        <w:t>نقصان،</w:t>
      </w:r>
      <w:r>
        <w:rPr>
          <w:rtl/>
        </w:rPr>
        <w:t xml:space="preserve"> </w:t>
      </w:r>
      <w:r w:rsidRPr="006571A5">
        <w:rPr>
          <w:rtl/>
        </w:rPr>
        <w:t>فإن</w:t>
      </w:r>
      <w:r>
        <w:rPr>
          <w:rtl/>
        </w:rPr>
        <w:t xml:space="preserve"> </w:t>
      </w:r>
      <w:r w:rsidRPr="006571A5">
        <w:rPr>
          <w:rtl/>
        </w:rPr>
        <w:t>المجلس</w:t>
      </w:r>
      <w:r>
        <w:rPr>
          <w:rtl/>
        </w:rPr>
        <w:t xml:space="preserve"> </w:t>
      </w:r>
      <w:r w:rsidR="003667F2" w:rsidRPr="006571A5">
        <w:rPr>
          <w:rtl/>
        </w:rPr>
        <w:t>يطلب</w:t>
      </w:r>
      <w:r w:rsidR="003667F2">
        <w:rPr>
          <w:rFonts w:hint="cs"/>
          <w:rtl/>
        </w:rPr>
        <w:t> </w:t>
      </w:r>
      <w:r w:rsidRPr="006571A5">
        <w:rPr>
          <w:rtl/>
        </w:rPr>
        <w:t>توضيحها.</w:t>
      </w:r>
    </w:p>
    <w:p w14:paraId="51E83D12" w14:textId="0F1A8D08" w:rsidR="006571A5" w:rsidRPr="006571A5" w:rsidRDefault="006571A5" w:rsidP="006571A5">
      <w:pPr>
        <w:pStyle w:val="SingleTxt"/>
        <w:rPr>
          <w:rtl/>
        </w:rPr>
      </w:pPr>
      <w:r w:rsidRPr="006571A5">
        <w:rPr>
          <w:rtl/>
        </w:rPr>
        <w:lastRenderedPageBreak/>
        <w:t>4-13</w:t>
      </w:r>
      <w:r w:rsidRPr="006571A5">
        <w:rPr>
          <w:rtl/>
        </w:rPr>
        <w:tab/>
        <w:t>وعند</w:t>
      </w:r>
      <w:r>
        <w:rPr>
          <w:rtl/>
        </w:rPr>
        <w:t xml:space="preserve"> </w:t>
      </w:r>
      <w:r w:rsidRPr="006571A5">
        <w:rPr>
          <w:rtl/>
        </w:rPr>
        <w:t>اتخاذ</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قراره</w:t>
      </w:r>
      <w:r>
        <w:rPr>
          <w:rtl/>
        </w:rPr>
        <w:t xml:space="preserve"> </w:t>
      </w:r>
      <w:r w:rsidRPr="006571A5">
        <w:rPr>
          <w:rtl/>
        </w:rPr>
        <w:t>في</w:t>
      </w:r>
      <w:r>
        <w:rPr>
          <w:rtl/>
        </w:rPr>
        <w:t xml:space="preserve"> </w:t>
      </w:r>
      <w:r w:rsidRPr="006571A5">
        <w:rPr>
          <w:rtl/>
        </w:rPr>
        <w:t>هذه</w:t>
      </w:r>
      <w:r>
        <w:rPr>
          <w:rtl/>
        </w:rPr>
        <w:t xml:space="preserve"> </w:t>
      </w:r>
      <w:r w:rsidRPr="006571A5">
        <w:rPr>
          <w:rtl/>
        </w:rPr>
        <w:t>القضية،</w:t>
      </w:r>
      <w:r>
        <w:rPr>
          <w:rtl/>
        </w:rPr>
        <w:t xml:space="preserve"> </w:t>
      </w:r>
      <w:r w:rsidRPr="006571A5">
        <w:rPr>
          <w:rtl/>
        </w:rPr>
        <w:t>أخذ</w:t>
      </w:r>
      <w:r>
        <w:rPr>
          <w:rtl/>
        </w:rPr>
        <w:t xml:space="preserve"> </w:t>
      </w:r>
      <w:r w:rsidRPr="006571A5">
        <w:rPr>
          <w:rtl/>
        </w:rPr>
        <w:t>بعين</w:t>
      </w:r>
      <w:r>
        <w:rPr>
          <w:rtl/>
        </w:rPr>
        <w:t xml:space="preserve"> </w:t>
      </w:r>
      <w:r w:rsidRPr="006571A5">
        <w:rPr>
          <w:rtl/>
        </w:rPr>
        <w:t>الاعتبار،</w:t>
      </w:r>
      <w:r>
        <w:rPr>
          <w:rtl/>
        </w:rPr>
        <w:t xml:space="preserve"> </w:t>
      </w:r>
      <w:r w:rsidRPr="006571A5">
        <w:rPr>
          <w:rtl/>
        </w:rPr>
        <w:t>في</w:t>
      </w:r>
      <w:r>
        <w:rPr>
          <w:rtl/>
        </w:rPr>
        <w:t xml:space="preserve"> </w:t>
      </w:r>
      <w:r w:rsidRPr="006571A5">
        <w:rPr>
          <w:rtl/>
        </w:rPr>
        <w:t>تقييمه</w:t>
      </w:r>
      <w:r>
        <w:rPr>
          <w:rtl/>
        </w:rPr>
        <w:t xml:space="preserve"> </w:t>
      </w:r>
      <w:r w:rsidRPr="006571A5">
        <w:rPr>
          <w:rtl/>
        </w:rPr>
        <w:t>لمصداقية</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أنها</w:t>
      </w:r>
      <w:r>
        <w:rPr>
          <w:rtl/>
        </w:rPr>
        <w:t xml:space="preserve"> </w:t>
      </w:r>
      <w:r w:rsidRPr="006571A5">
        <w:rPr>
          <w:rtl/>
        </w:rPr>
        <w:t>لم</w:t>
      </w:r>
      <w:r>
        <w:rPr>
          <w:rtl/>
        </w:rPr>
        <w:t xml:space="preserve"> </w:t>
      </w:r>
      <w:r w:rsidRPr="006571A5">
        <w:rPr>
          <w:rtl/>
        </w:rPr>
        <w:t>تدرس</w:t>
      </w:r>
      <w:r>
        <w:rPr>
          <w:rtl/>
        </w:rPr>
        <w:t xml:space="preserve"> </w:t>
      </w:r>
      <w:r w:rsidRPr="006571A5">
        <w:rPr>
          <w:rtl/>
        </w:rPr>
        <w:t>إلا</w:t>
      </w:r>
      <w:r>
        <w:rPr>
          <w:rtl/>
        </w:rPr>
        <w:t xml:space="preserve"> </w:t>
      </w:r>
      <w:r w:rsidRPr="006571A5">
        <w:rPr>
          <w:rtl/>
        </w:rPr>
        <w:t>في</w:t>
      </w:r>
      <w:r>
        <w:rPr>
          <w:rtl/>
        </w:rPr>
        <w:t xml:space="preserve"> </w:t>
      </w:r>
      <w:r w:rsidRPr="006571A5">
        <w:rPr>
          <w:rtl/>
        </w:rPr>
        <w:t>مدرسة</w:t>
      </w:r>
      <w:r>
        <w:rPr>
          <w:rtl/>
        </w:rPr>
        <w:t xml:space="preserve"> </w:t>
      </w:r>
      <w:r w:rsidRPr="006571A5">
        <w:rPr>
          <w:rtl/>
        </w:rPr>
        <w:t>قرآنية</w:t>
      </w:r>
      <w:r>
        <w:rPr>
          <w:rtl/>
        </w:rPr>
        <w:t xml:space="preserve"> </w:t>
      </w:r>
      <w:r w:rsidRPr="006571A5">
        <w:rPr>
          <w:rtl/>
        </w:rPr>
        <w:t>وأن</w:t>
      </w:r>
      <w:r>
        <w:rPr>
          <w:rtl/>
        </w:rPr>
        <w:t xml:space="preserve"> </w:t>
      </w:r>
      <w:r w:rsidRPr="006571A5">
        <w:rPr>
          <w:rtl/>
        </w:rPr>
        <w:t>والدها</w:t>
      </w:r>
      <w:r>
        <w:rPr>
          <w:rtl/>
        </w:rPr>
        <w:t xml:space="preserve"> </w:t>
      </w:r>
      <w:r w:rsidRPr="006571A5">
        <w:rPr>
          <w:rtl/>
        </w:rPr>
        <w:t>كان</w:t>
      </w:r>
      <w:r>
        <w:rPr>
          <w:rtl/>
        </w:rPr>
        <w:t xml:space="preserve"> </w:t>
      </w:r>
      <w:r w:rsidRPr="006571A5">
        <w:rPr>
          <w:rtl/>
        </w:rPr>
        <w:t>يدرّسها</w:t>
      </w:r>
      <w:r>
        <w:rPr>
          <w:rtl/>
        </w:rPr>
        <w:t xml:space="preserve"> </w:t>
      </w:r>
      <w:r w:rsidRPr="006571A5">
        <w:rPr>
          <w:rtl/>
        </w:rPr>
        <w:t>في</w:t>
      </w:r>
      <w:r>
        <w:rPr>
          <w:rtl/>
        </w:rPr>
        <w:t xml:space="preserve"> </w:t>
      </w:r>
      <w:r w:rsidRPr="006571A5">
        <w:rPr>
          <w:rtl/>
        </w:rPr>
        <w:t>المنزل</w:t>
      </w:r>
      <w:r>
        <w:rPr>
          <w:rtl/>
        </w:rPr>
        <w:t xml:space="preserve"> </w:t>
      </w:r>
      <w:r w:rsidRPr="006571A5">
        <w:rPr>
          <w:rtl/>
        </w:rPr>
        <w:t>وهو</w:t>
      </w:r>
      <w:r>
        <w:rPr>
          <w:rtl/>
        </w:rPr>
        <w:t xml:space="preserve"> </w:t>
      </w:r>
      <w:r w:rsidRPr="006571A5">
        <w:rPr>
          <w:rtl/>
        </w:rPr>
        <w:t>من</w:t>
      </w:r>
      <w:r>
        <w:rPr>
          <w:rtl/>
        </w:rPr>
        <w:t xml:space="preserve"> </w:t>
      </w:r>
      <w:r w:rsidRPr="006571A5">
        <w:rPr>
          <w:rtl/>
        </w:rPr>
        <w:t>علّمها</w:t>
      </w:r>
      <w:r>
        <w:rPr>
          <w:rtl/>
        </w:rPr>
        <w:t xml:space="preserve"> </w:t>
      </w:r>
      <w:r w:rsidRPr="006571A5">
        <w:rPr>
          <w:rtl/>
        </w:rPr>
        <w:t>القراءة</w:t>
      </w:r>
      <w:r>
        <w:rPr>
          <w:rtl/>
        </w:rPr>
        <w:t xml:space="preserve"> </w:t>
      </w:r>
      <w:r w:rsidRPr="006571A5">
        <w:rPr>
          <w:rtl/>
        </w:rPr>
        <w:t>والكتابة.</w:t>
      </w:r>
      <w:r>
        <w:rPr>
          <w:rtl/>
        </w:rPr>
        <w:t xml:space="preserve"> </w:t>
      </w:r>
      <w:r w:rsidRPr="006571A5">
        <w:rPr>
          <w:rtl/>
        </w:rPr>
        <w:t>وأخذ</w:t>
      </w:r>
      <w:r>
        <w:rPr>
          <w:rtl/>
        </w:rPr>
        <w:t xml:space="preserve"> </w:t>
      </w:r>
      <w:r w:rsidRPr="006571A5">
        <w:rPr>
          <w:rtl/>
        </w:rPr>
        <w:t>أيضا</w:t>
      </w:r>
      <w:r>
        <w:rPr>
          <w:rtl/>
        </w:rPr>
        <w:t xml:space="preserve"> </w:t>
      </w:r>
      <w:r w:rsidRPr="006571A5">
        <w:rPr>
          <w:rtl/>
        </w:rPr>
        <w:t>بعين</w:t>
      </w:r>
      <w:r>
        <w:rPr>
          <w:rtl/>
        </w:rPr>
        <w:t xml:space="preserve"> </w:t>
      </w:r>
      <w:r w:rsidRPr="006571A5">
        <w:rPr>
          <w:rtl/>
        </w:rPr>
        <w:t>الاعتبار</w:t>
      </w:r>
      <w:r>
        <w:rPr>
          <w:rtl/>
        </w:rPr>
        <w:t xml:space="preserve"> </w:t>
      </w:r>
      <w:r w:rsidRPr="006571A5">
        <w:rPr>
          <w:rtl/>
        </w:rPr>
        <w:t>أنها</w:t>
      </w:r>
      <w:r>
        <w:rPr>
          <w:rtl/>
        </w:rPr>
        <w:t xml:space="preserve"> </w:t>
      </w:r>
      <w:r w:rsidRPr="006571A5">
        <w:rPr>
          <w:rtl/>
        </w:rPr>
        <w:t>شابة</w:t>
      </w:r>
      <w:r>
        <w:rPr>
          <w:rtl/>
        </w:rPr>
        <w:t xml:space="preserve"> </w:t>
      </w:r>
      <w:r w:rsidRPr="006571A5">
        <w:rPr>
          <w:rtl/>
        </w:rPr>
        <w:t>وليس</w:t>
      </w:r>
      <w:r>
        <w:rPr>
          <w:rtl/>
        </w:rPr>
        <w:t xml:space="preserve"> </w:t>
      </w:r>
      <w:r w:rsidRPr="006571A5">
        <w:rPr>
          <w:rtl/>
        </w:rPr>
        <w:t>لديها</w:t>
      </w:r>
      <w:r>
        <w:rPr>
          <w:rtl/>
        </w:rPr>
        <w:t xml:space="preserve"> </w:t>
      </w:r>
      <w:r w:rsidRPr="006571A5">
        <w:rPr>
          <w:rtl/>
        </w:rPr>
        <w:t>شبكة</w:t>
      </w:r>
      <w:r>
        <w:rPr>
          <w:rtl/>
        </w:rPr>
        <w:t xml:space="preserve"> </w:t>
      </w:r>
      <w:r w:rsidRPr="006571A5">
        <w:rPr>
          <w:rtl/>
        </w:rPr>
        <w:t>علاقات</w:t>
      </w:r>
      <w:r>
        <w:rPr>
          <w:rtl/>
        </w:rPr>
        <w:t xml:space="preserve"> </w:t>
      </w:r>
      <w:r w:rsidRPr="006571A5">
        <w:rPr>
          <w:rtl/>
        </w:rPr>
        <w:t>اجتماعية</w:t>
      </w:r>
      <w:r>
        <w:rPr>
          <w:rtl/>
        </w:rPr>
        <w:t xml:space="preserve"> </w:t>
      </w:r>
      <w:r w:rsidRPr="006571A5">
        <w:rPr>
          <w:rtl/>
        </w:rPr>
        <w:t>في</w:t>
      </w:r>
      <w:r>
        <w:rPr>
          <w:rtl/>
        </w:rPr>
        <w:t xml:space="preserve"> </w:t>
      </w:r>
      <w:r w:rsidRPr="006571A5">
        <w:rPr>
          <w:rtl/>
        </w:rPr>
        <w:t>الصومال.</w:t>
      </w:r>
      <w:r>
        <w:rPr>
          <w:rtl/>
        </w:rPr>
        <w:t xml:space="preserve"> </w:t>
      </w:r>
      <w:r w:rsidRPr="006571A5">
        <w:rPr>
          <w:rtl/>
        </w:rPr>
        <w:t>وعن</w:t>
      </w:r>
      <w:r>
        <w:rPr>
          <w:rtl/>
        </w:rPr>
        <w:t xml:space="preserve"> </w:t>
      </w:r>
      <w:r w:rsidRPr="006571A5">
        <w:rPr>
          <w:rtl/>
        </w:rPr>
        <w:t>حالتها</w:t>
      </w:r>
      <w:r>
        <w:rPr>
          <w:rtl/>
        </w:rPr>
        <w:t xml:space="preserve"> </w:t>
      </w:r>
      <w:r w:rsidRPr="006571A5">
        <w:rPr>
          <w:rtl/>
        </w:rPr>
        <w:t>الصحية،</w:t>
      </w:r>
      <w:r>
        <w:rPr>
          <w:rtl/>
        </w:rPr>
        <w:t xml:space="preserve"> </w:t>
      </w:r>
      <w:r w:rsidRPr="006571A5">
        <w:rPr>
          <w:rtl/>
        </w:rPr>
        <w:t>قالت</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في</w:t>
      </w:r>
      <w:r>
        <w:rPr>
          <w:rtl/>
        </w:rPr>
        <w:t xml:space="preserve"> </w:t>
      </w:r>
      <w:r w:rsidRPr="006571A5">
        <w:rPr>
          <w:rtl/>
        </w:rPr>
        <w:t>مقابلاتها</w:t>
      </w:r>
      <w:r>
        <w:rPr>
          <w:rtl/>
        </w:rPr>
        <w:t xml:space="preserve"> </w:t>
      </w:r>
      <w:r w:rsidRPr="006571A5">
        <w:rPr>
          <w:rtl/>
        </w:rPr>
        <w:t>إنها</w:t>
      </w:r>
      <w:r>
        <w:rPr>
          <w:rtl/>
        </w:rPr>
        <w:t xml:space="preserve"> </w:t>
      </w:r>
      <w:r w:rsidRPr="006571A5">
        <w:rPr>
          <w:rtl/>
        </w:rPr>
        <w:t>تتمتع</w:t>
      </w:r>
      <w:r>
        <w:rPr>
          <w:rtl/>
        </w:rPr>
        <w:t xml:space="preserve"> </w:t>
      </w:r>
      <w:r w:rsidRPr="006571A5">
        <w:rPr>
          <w:rtl/>
        </w:rPr>
        <w:t>بالصحة</w:t>
      </w:r>
      <w:r>
        <w:rPr>
          <w:rtl/>
        </w:rPr>
        <w:t xml:space="preserve"> </w:t>
      </w:r>
      <w:r w:rsidRPr="006571A5">
        <w:rPr>
          <w:rtl/>
        </w:rPr>
        <w:t>وإنها</w:t>
      </w:r>
      <w:r>
        <w:rPr>
          <w:rtl/>
        </w:rPr>
        <w:t xml:space="preserve"> </w:t>
      </w:r>
      <w:r w:rsidRPr="006571A5">
        <w:rPr>
          <w:rtl/>
        </w:rPr>
        <w:t>لا</w:t>
      </w:r>
      <w:r>
        <w:rPr>
          <w:rtl/>
        </w:rPr>
        <w:t xml:space="preserve"> </w:t>
      </w:r>
      <w:r w:rsidRPr="006571A5">
        <w:rPr>
          <w:rtl/>
        </w:rPr>
        <w:t>تعاني</w:t>
      </w:r>
      <w:r>
        <w:rPr>
          <w:rtl/>
        </w:rPr>
        <w:t xml:space="preserve"> </w:t>
      </w:r>
      <w:r w:rsidRPr="006571A5">
        <w:rPr>
          <w:rtl/>
        </w:rPr>
        <w:t>إلا</w:t>
      </w:r>
      <w:r>
        <w:rPr>
          <w:rtl/>
        </w:rPr>
        <w:t xml:space="preserve"> </w:t>
      </w:r>
      <w:r w:rsidRPr="006571A5">
        <w:rPr>
          <w:rtl/>
        </w:rPr>
        <w:t>من</w:t>
      </w:r>
      <w:r>
        <w:rPr>
          <w:rtl/>
        </w:rPr>
        <w:t xml:space="preserve"> </w:t>
      </w:r>
      <w:r w:rsidRPr="006571A5">
        <w:rPr>
          <w:rtl/>
        </w:rPr>
        <w:t>الحساسية.</w:t>
      </w:r>
      <w:r>
        <w:rPr>
          <w:rtl/>
        </w:rPr>
        <w:t xml:space="preserve"> </w:t>
      </w:r>
      <w:r w:rsidRPr="006571A5">
        <w:rPr>
          <w:rtl/>
        </w:rPr>
        <w:t>وادعاؤها</w:t>
      </w:r>
      <w:r>
        <w:rPr>
          <w:rtl/>
        </w:rPr>
        <w:t xml:space="preserve"> </w:t>
      </w:r>
      <w:r w:rsidRPr="006571A5">
        <w:rPr>
          <w:rtl/>
        </w:rPr>
        <w:t>بأنها</w:t>
      </w:r>
      <w:r>
        <w:rPr>
          <w:rtl/>
        </w:rPr>
        <w:t xml:space="preserve"> </w:t>
      </w:r>
      <w:r w:rsidRPr="006571A5">
        <w:rPr>
          <w:rtl/>
        </w:rPr>
        <w:t>كانت</w:t>
      </w:r>
      <w:r>
        <w:rPr>
          <w:rtl/>
        </w:rPr>
        <w:t xml:space="preserve"> </w:t>
      </w:r>
      <w:r w:rsidRPr="006571A5">
        <w:rPr>
          <w:rtl/>
        </w:rPr>
        <w:t>تحت</w:t>
      </w:r>
      <w:r>
        <w:rPr>
          <w:rtl/>
        </w:rPr>
        <w:t xml:space="preserve"> </w:t>
      </w:r>
      <w:r w:rsidRPr="006571A5">
        <w:rPr>
          <w:rtl/>
        </w:rPr>
        <w:t>الضغط</w:t>
      </w:r>
      <w:r>
        <w:rPr>
          <w:rtl/>
        </w:rPr>
        <w:t xml:space="preserve"> </w:t>
      </w:r>
      <w:r w:rsidRPr="006571A5">
        <w:rPr>
          <w:rtl/>
        </w:rPr>
        <w:t>عندما</w:t>
      </w:r>
      <w:r>
        <w:rPr>
          <w:rtl/>
        </w:rPr>
        <w:t xml:space="preserve"> </w:t>
      </w:r>
      <w:r w:rsidRPr="006571A5">
        <w:rPr>
          <w:rtl/>
        </w:rPr>
        <w:t>أجرت</w:t>
      </w:r>
      <w:r>
        <w:rPr>
          <w:rtl/>
        </w:rPr>
        <w:t xml:space="preserve"> </w:t>
      </w:r>
      <w:r w:rsidRPr="006571A5">
        <w:rPr>
          <w:rtl/>
        </w:rPr>
        <w:t>سلطات</w:t>
      </w:r>
      <w:r>
        <w:rPr>
          <w:rtl/>
        </w:rPr>
        <w:t xml:space="preserve"> </w:t>
      </w:r>
      <w:r w:rsidRPr="006571A5">
        <w:rPr>
          <w:rtl/>
        </w:rPr>
        <w:t>الهجرة</w:t>
      </w:r>
      <w:r>
        <w:rPr>
          <w:rtl/>
        </w:rPr>
        <w:t xml:space="preserve"> </w:t>
      </w:r>
      <w:r w:rsidRPr="006571A5">
        <w:rPr>
          <w:rtl/>
        </w:rPr>
        <w:t>المقابلة</w:t>
      </w:r>
      <w:r>
        <w:rPr>
          <w:rtl/>
        </w:rPr>
        <w:t xml:space="preserve"> </w:t>
      </w:r>
      <w:r w:rsidRPr="006571A5">
        <w:rPr>
          <w:rtl/>
        </w:rPr>
        <w:t>معها</w:t>
      </w:r>
      <w:r>
        <w:rPr>
          <w:rtl/>
        </w:rPr>
        <w:t xml:space="preserve"> </w:t>
      </w:r>
      <w:r w:rsidRPr="006571A5">
        <w:rPr>
          <w:rtl/>
        </w:rPr>
        <w:t>هو</w:t>
      </w:r>
      <w:r>
        <w:rPr>
          <w:rtl/>
        </w:rPr>
        <w:t xml:space="preserve"> </w:t>
      </w:r>
      <w:r w:rsidRPr="006571A5">
        <w:rPr>
          <w:rtl/>
        </w:rPr>
        <w:t>أيضا</w:t>
      </w:r>
      <w:r>
        <w:rPr>
          <w:rtl/>
        </w:rPr>
        <w:t xml:space="preserve"> </w:t>
      </w:r>
      <w:r w:rsidRPr="006571A5">
        <w:rPr>
          <w:rtl/>
        </w:rPr>
        <w:t>ادعاء</w:t>
      </w:r>
      <w:r>
        <w:rPr>
          <w:rtl/>
        </w:rPr>
        <w:t xml:space="preserve"> </w:t>
      </w:r>
      <w:r w:rsidRPr="006571A5">
        <w:rPr>
          <w:rtl/>
        </w:rPr>
        <w:t>لا</w:t>
      </w:r>
      <w:r>
        <w:rPr>
          <w:rtl/>
        </w:rPr>
        <w:t xml:space="preserve"> </w:t>
      </w:r>
      <w:r w:rsidRPr="006571A5">
        <w:rPr>
          <w:rtl/>
        </w:rPr>
        <w:t>أساس</w:t>
      </w:r>
      <w:r>
        <w:rPr>
          <w:rtl/>
        </w:rPr>
        <w:t xml:space="preserve"> </w:t>
      </w:r>
      <w:r w:rsidRPr="006571A5">
        <w:rPr>
          <w:rtl/>
        </w:rPr>
        <w:t>له،</w:t>
      </w:r>
      <w:r>
        <w:rPr>
          <w:rtl/>
        </w:rPr>
        <w:t xml:space="preserve"> </w:t>
      </w:r>
      <w:r w:rsidRPr="006571A5">
        <w:rPr>
          <w:rtl/>
        </w:rPr>
        <w:t>فهي</w:t>
      </w:r>
      <w:r>
        <w:rPr>
          <w:rtl/>
        </w:rPr>
        <w:t xml:space="preserve"> </w:t>
      </w:r>
      <w:r w:rsidRPr="006571A5">
        <w:rPr>
          <w:rtl/>
        </w:rPr>
        <w:t>لم</w:t>
      </w:r>
      <w:r>
        <w:rPr>
          <w:rtl/>
        </w:rPr>
        <w:t xml:space="preserve"> </w:t>
      </w:r>
      <w:r w:rsidRPr="006571A5">
        <w:rPr>
          <w:rtl/>
        </w:rPr>
        <w:t>تقل</w:t>
      </w:r>
      <w:r>
        <w:rPr>
          <w:rtl/>
        </w:rPr>
        <w:t xml:space="preserve"> </w:t>
      </w:r>
      <w:r w:rsidRPr="006571A5">
        <w:rPr>
          <w:rtl/>
        </w:rPr>
        <w:t>ذلك</w:t>
      </w:r>
      <w:r>
        <w:rPr>
          <w:rtl/>
        </w:rPr>
        <w:t xml:space="preserve"> </w:t>
      </w:r>
      <w:r w:rsidRPr="006571A5">
        <w:rPr>
          <w:rtl/>
        </w:rPr>
        <w:t>خلال</w:t>
      </w:r>
      <w:r>
        <w:rPr>
          <w:rtl/>
        </w:rPr>
        <w:t xml:space="preserve"> </w:t>
      </w:r>
      <w:r w:rsidRPr="006571A5">
        <w:rPr>
          <w:rtl/>
        </w:rPr>
        <w:t>المقابلة.</w:t>
      </w:r>
      <w:r>
        <w:rPr>
          <w:rtl/>
        </w:rPr>
        <w:t xml:space="preserve"> </w:t>
      </w:r>
      <w:r w:rsidRPr="006571A5">
        <w:rPr>
          <w:rtl/>
        </w:rPr>
        <w:t>وخلال</w:t>
      </w:r>
      <w:r>
        <w:rPr>
          <w:rtl/>
        </w:rPr>
        <w:t xml:space="preserve"> </w:t>
      </w:r>
      <w:r w:rsidRPr="006571A5">
        <w:rPr>
          <w:rtl/>
        </w:rPr>
        <w:t>عملية</w:t>
      </w:r>
      <w:r>
        <w:rPr>
          <w:rtl/>
        </w:rPr>
        <w:t xml:space="preserve"> </w:t>
      </w:r>
      <w:r w:rsidRPr="006571A5">
        <w:rPr>
          <w:rtl/>
        </w:rPr>
        <w:t>مقابلتها</w:t>
      </w:r>
      <w:r>
        <w:rPr>
          <w:rtl/>
        </w:rPr>
        <w:t xml:space="preserve"> </w:t>
      </w:r>
      <w:r w:rsidRPr="006571A5">
        <w:rPr>
          <w:rtl/>
        </w:rPr>
        <w:t>وجلسات</w:t>
      </w:r>
      <w:r>
        <w:rPr>
          <w:rtl/>
        </w:rPr>
        <w:t xml:space="preserve"> </w:t>
      </w:r>
      <w:r w:rsidRPr="006571A5">
        <w:rPr>
          <w:rtl/>
        </w:rPr>
        <w:t>سماع</w:t>
      </w:r>
      <w:r>
        <w:rPr>
          <w:rtl/>
        </w:rPr>
        <w:t xml:space="preserve"> </w:t>
      </w:r>
      <w:r w:rsidRPr="006571A5">
        <w:rPr>
          <w:rtl/>
        </w:rPr>
        <w:t>دعواها</w:t>
      </w:r>
      <w:r>
        <w:rPr>
          <w:rtl/>
        </w:rPr>
        <w:t xml:space="preserve"> </w:t>
      </w:r>
      <w:r w:rsidRPr="006571A5">
        <w:rPr>
          <w:rtl/>
        </w:rPr>
        <w:t>المطولة،</w:t>
      </w:r>
      <w:r>
        <w:rPr>
          <w:rtl/>
        </w:rPr>
        <w:t xml:space="preserve"> </w:t>
      </w:r>
      <w:r w:rsidRPr="006571A5">
        <w:rPr>
          <w:rtl/>
        </w:rPr>
        <w:t>مثّل</w:t>
      </w:r>
      <w:r>
        <w:rPr>
          <w:rtl/>
        </w:rPr>
        <w:t xml:space="preserve"> </w:t>
      </w:r>
      <w:r w:rsidRPr="006571A5">
        <w:rPr>
          <w:rtl/>
        </w:rPr>
        <w:t>محام</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وأُتيح</w:t>
      </w:r>
      <w:r>
        <w:rPr>
          <w:rtl/>
        </w:rPr>
        <w:t xml:space="preserve"> </w:t>
      </w:r>
      <w:r w:rsidRPr="006571A5">
        <w:rPr>
          <w:rtl/>
        </w:rPr>
        <w:t>لها</w:t>
      </w:r>
      <w:r>
        <w:rPr>
          <w:rtl/>
        </w:rPr>
        <w:t xml:space="preserve"> </w:t>
      </w:r>
      <w:r w:rsidRPr="006571A5">
        <w:rPr>
          <w:rtl/>
        </w:rPr>
        <w:t>الإدلاء</w:t>
      </w:r>
      <w:r>
        <w:rPr>
          <w:rtl/>
        </w:rPr>
        <w:t xml:space="preserve"> </w:t>
      </w:r>
      <w:r w:rsidRPr="006571A5">
        <w:rPr>
          <w:rtl/>
        </w:rPr>
        <w:t>بملاحظات</w:t>
      </w:r>
      <w:r>
        <w:rPr>
          <w:rtl/>
        </w:rPr>
        <w:t xml:space="preserve"> </w:t>
      </w:r>
      <w:r w:rsidRPr="006571A5">
        <w:rPr>
          <w:rtl/>
        </w:rPr>
        <w:t>ختامية.</w:t>
      </w:r>
      <w:r>
        <w:rPr>
          <w:rtl/>
        </w:rPr>
        <w:t xml:space="preserve"> </w:t>
      </w:r>
      <w:r w:rsidRPr="006571A5">
        <w:rPr>
          <w:rtl/>
        </w:rPr>
        <w:t>ونُبّهت</w:t>
      </w:r>
      <w:r>
        <w:rPr>
          <w:rtl/>
        </w:rPr>
        <w:t xml:space="preserve"> </w:t>
      </w:r>
      <w:r w:rsidRPr="006571A5">
        <w:rPr>
          <w:rtl/>
        </w:rPr>
        <w:t>إلى</w:t>
      </w:r>
      <w:r>
        <w:rPr>
          <w:rtl/>
        </w:rPr>
        <w:t xml:space="preserve"> </w:t>
      </w:r>
      <w:r w:rsidRPr="006571A5">
        <w:rPr>
          <w:rtl/>
        </w:rPr>
        <w:t>التناقضات</w:t>
      </w:r>
      <w:r>
        <w:rPr>
          <w:rtl/>
        </w:rPr>
        <w:t xml:space="preserve"> </w:t>
      </w:r>
      <w:r w:rsidRPr="006571A5">
        <w:rPr>
          <w:rtl/>
        </w:rPr>
        <w:t>في</w:t>
      </w:r>
      <w:r>
        <w:rPr>
          <w:rtl/>
        </w:rPr>
        <w:t xml:space="preserve"> </w:t>
      </w:r>
      <w:r w:rsidRPr="006571A5">
        <w:rPr>
          <w:rtl/>
        </w:rPr>
        <w:t>أقوالها</w:t>
      </w:r>
      <w:r>
        <w:rPr>
          <w:rtl/>
        </w:rPr>
        <w:t xml:space="preserve"> </w:t>
      </w:r>
      <w:r w:rsidRPr="006571A5">
        <w:rPr>
          <w:rtl/>
        </w:rPr>
        <w:t>خلال</w:t>
      </w:r>
      <w:r>
        <w:rPr>
          <w:rtl/>
        </w:rPr>
        <w:t xml:space="preserve"> </w:t>
      </w:r>
      <w:r w:rsidRPr="006571A5">
        <w:rPr>
          <w:rtl/>
        </w:rPr>
        <w:t>المقابلة</w:t>
      </w:r>
      <w:r>
        <w:rPr>
          <w:rtl/>
        </w:rPr>
        <w:t xml:space="preserve"> </w:t>
      </w:r>
      <w:r w:rsidRPr="006571A5">
        <w:rPr>
          <w:rtl/>
        </w:rPr>
        <w:t>وأُعطيت</w:t>
      </w:r>
      <w:r>
        <w:rPr>
          <w:rtl/>
        </w:rPr>
        <w:t xml:space="preserve"> </w:t>
      </w:r>
      <w:r w:rsidRPr="006571A5">
        <w:rPr>
          <w:rtl/>
        </w:rPr>
        <w:t>فرصة</w:t>
      </w:r>
      <w:r>
        <w:rPr>
          <w:rtl/>
        </w:rPr>
        <w:t xml:space="preserve"> </w:t>
      </w:r>
      <w:r w:rsidRPr="006571A5">
        <w:rPr>
          <w:rtl/>
        </w:rPr>
        <w:t>للإيضاح.</w:t>
      </w:r>
    </w:p>
    <w:p w14:paraId="557BB47A" w14:textId="382A5BD2" w:rsidR="006571A5" w:rsidRPr="006571A5" w:rsidRDefault="006571A5" w:rsidP="006571A5">
      <w:pPr>
        <w:pStyle w:val="SingleTxt"/>
        <w:rPr>
          <w:rtl/>
        </w:rPr>
      </w:pPr>
      <w:r w:rsidRPr="006571A5">
        <w:rPr>
          <w:rtl/>
        </w:rPr>
        <w:t>4-14</w:t>
      </w:r>
      <w:r w:rsidRPr="006571A5">
        <w:rPr>
          <w:rtl/>
        </w:rPr>
        <w:tab/>
        <w:t>ووفقاً</w:t>
      </w:r>
      <w:r>
        <w:rPr>
          <w:rtl/>
        </w:rPr>
        <w:t xml:space="preserve"> </w:t>
      </w:r>
      <w:r w:rsidRPr="006571A5">
        <w:rPr>
          <w:rtl/>
        </w:rPr>
        <w:t>لقرار</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الصادر</w:t>
      </w:r>
      <w:r>
        <w:rPr>
          <w:rtl/>
        </w:rPr>
        <w:t xml:space="preserve"> </w:t>
      </w:r>
      <w:r w:rsidRPr="006571A5">
        <w:rPr>
          <w:rtl/>
        </w:rPr>
        <w:t>في</w:t>
      </w:r>
      <w:r>
        <w:rPr>
          <w:rtl/>
        </w:rPr>
        <w:t xml:space="preserve"> </w:t>
      </w:r>
      <w:r w:rsidR="004B1017">
        <w:rPr>
          <w:rtl/>
        </w:rPr>
        <w:t>5</w:t>
      </w:r>
      <w:r>
        <w:rPr>
          <w:rtl/>
        </w:rPr>
        <w:t xml:space="preserve"> </w:t>
      </w:r>
      <w:r w:rsidRPr="006571A5">
        <w:rPr>
          <w:rtl/>
        </w:rPr>
        <w:t>أيلول/سبتمبر</w:t>
      </w:r>
      <w:r>
        <w:rPr>
          <w:rtl/>
        </w:rPr>
        <w:t xml:space="preserve"> </w:t>
      </w:r>
      <w:r w:rsidR="004B1017">
        <w:rPr>
          <w:rtl/>
        </w:rPr>
        <w:t>2015</w:t>
      </w:r>
      <w:r w:rsidRPr="006571A5">
        <w:rPr>
          <w:rtl/>
        </w:rPr>
        <w:t>،</w:t>
      </w:r>
      <w:r>
        <w:rPr>
          <w:rtl/>
        </w:rPr>
        <w:t xml:space="preserve"> </w:t>
      </w:r>
      <w:r w:rsidRPr="006571A5">
        <w:rPr>
          <w:rtl/>
        </w:rPr>
        <w:t>لم</w:t>
      </w:r>
      <w:r>
        <w:rPr>
          <w:rtl/>
        </w:rPr>
        <w:t xml:space="preserve"> </w:t>
      </w:r>
      <w:r w:rsidRPr="006571A5">
        <w:rPr>
          <w:rtl/>
        </w:rPr>
        <w:t>يسعه</w:t>
      </w:r>
      <w:r>
        <w:rPr>
          <w:rtl/>
        </w:rPr>
        <w:t xml:space="preserve"> </w:t>
      </w:r>
      <w:r w:rsidRPr="006571A5">
        <w:rPr>
          <w:rtl/>
        </w:rPr>
        <w:t>قبول</w:t>
      </w:r>
      <w:r>
        <w:rPr>
          <w:rtl/>
        </w:rPr>
        <w:t xml:space="preserve"> </w:t>
      </w:r>
      <w:r w:rsidRPr="006571A5">
        <w:rPr>
          <w:rtl/>
        </w:rPr>
        <w:t>أقوال</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بشأن</w:t>
      </w:r>
      <w:r>
        <w:rPr>
          <w:rtl/>
        </w:rPr>
        <w:t xml:space="preserve"> </w:t>
      </w:r>
      <w:r w:rsidRPr="006571A5">
        <w:rPr>
          <w:rtl/>
        </w:rPr>
        <w:t>أُسس</w:t>
      </w:r>
      <w:r>
        <w:rPr>
          <w:rtl/>
        </w:rPr>
        <w:t xml:space="preserve"> </w:t>
      </w:r>
      <w:r w:rsidRPr="006571A5">
        <w:rPr>
          <w:rtl/>
        </w:rPr>
        <w:t>طلبها</w:t>
      </w:r>
      <w:r>
        <w:rPr>
          <w:rtl/>
        </w:rPr>
        <w:t xml:space="preserve"> </w:t>
      </w:r>
      <w:r w:rsidRPr="006571A5">
        <w:rPr>
          <w:rtl/>
        </w:rPr>
        <w:t>اللجوء</w:t>
      </w:r>
      <w:r>
        <w:rPr>
          <w:rtl/>
        </w:rPr>
        <w:t xml:space="preserve"> </w:t>
      </w:r>
      <w:r w:rsidRPr="006571A5">
        <w:rPr>
          <w:rtl/>
        </w:rPr>
        <w:t>على</w:t>
      </w:r>
      <w:r>
        <w:rPr>
          <w:rtl/>
        </w:rPr>
        <w:t xml:space="preserve"> </w:t>
      </w:r>
      <w:r w:rsidRPr="006571A5">
        <w:rPr>
          <w:rtl/>
        </w:rPr>
        <w:t>أنها</w:t>
      </w:r>
      <w:r>
        <w:rPr>
          <w:rtl/>
        </w:rPr>
        <w:t xml:space="preserve"> </w:t>
      </w:r>
      <w:r w:rsidRPr="006571A5">
        <w:rPr>
          <w:rtl/>
        </w:rPr>
        <w:t>الواقع.</w:t>
      </w:r>
      <w:r>
        <w:rPr>
          <w:rtl/>
        </w:rPr>
        <w:t xml:space="preserve"> </w:t>
      </w:r>
      <w:r w:rsidRPr="006571A5">
        <w:rPr>
          <w:rtl/>
        </w:rPr>
        <w:t>ولا</w:t>
      </w:r>
      <w:r>
        <w:rPr>
          <w:rtl/>
        </w:rPr>
        <w:t xml:space="preserve"> </w:t>
      </w:r>
      <w:r w:rsidRPr="006571A5">
        <w:rPr>
          <w:rtl/>
        </w:rPr>
        <w:t>تُقدِّم</w:t>
      </w:r>
      <w:r>
        <w:rPr>
          <w:rtl/>
        </w:rPr>
        <w:t xml:space="preserve"> </w:t>
      </w:r>
      <w:r w:rsidRPr="006571A5">
        <w:rPr>
          <w:rtl/>
        </w:rPr>
        <w:t>هذه</w:t>
      </w:r>
      <w:r>
        <w:rPr>
          <w:rtl/>
        </w:rPr>
        <w:t xml:space="preserve"> </w:t>
      </w:r>
      <w:r w:rsidRPr="006571A5">
        <w:rPr>
          <w:rtl/>
        </w:rPr>
        <w:t>الرسالة</w:t>
      </w:r>
      <w:r>
        <w:rPr>
          <w:rtl/>
        </w:rPr>
        <w:t xml:space="preserve"> </w:t>
      </w:r>
      <w:r w:rsidRPr="006571A5">
        <w:rPr>
          <w:rtl/>
        </w:rPr>
        <w:t>أي</w:t>
      </w:r>
      <w:r>
        <w:rPr>
          <w:rtl/>
        </w:rPr>
        <w:t xml:space="preserve"> </w:t>
      </w:r>
      <w:r w:rsidRPr="006571A5">
        <w:rPr>
          <w:rtl/>
        </w:rPr>
        <w:t>معلومات</w:t>
      </w:r>
      <w:r>
        <w:rPr>
          <w:rtl/>
        </w:rPr>
        <w:t xml:space="preserve"> </w:t>
      </w:r>
      <w:r w:rsidRPr="006571A5">
        <w:rPr>
          <w:rtl/>
        </w:rPr>
        <w:t>جديدة</w:t>
      </w:r>
      <w:r>
        <w:rPr>
          <w:rtl/>
        </w:rPr>
        <w:t xml:space="preserve"> </w:t>
      </w:r>
      <w:r w:rsidRPr="006571A5">
        <w:rPr>
          <w:rtl/>
        </w:rPr>
        <w:t>فيما</w:t>
      </w:r>
      <w:r>
        <w:rPr>
          <w:rtl/>
        </w:rPr>
        <w:t xml:space="preserve"> </w:t>
      </w:r>
      <w:r w:rsidRPr="006571A5">
        <w:rPr>
          <w:rtl/>
        </w:rPr>
        <w:t>يتعلق</w:t>
      </w:r>
      <w:r>
        <w:rPr>
          <w:rtl/>
        </w:rPr>
        <w:t xml:space="preserve"> </w:t>
      </w:r>
      <w:r w:rsidRPr="006571A5">
        <w:rPr>
          <w:rtl/>
        </w:rPr>
        <w:t>بمصداقية</w:t>
      </w:r>
      <w:r>
        <w:rPr>
          <w:rtl/>
        </w:rPr>
        <w:t xml:space="preserve"> </w:t>
      </w:r>
      <w:r w:rsidRPr="006571A5">
        <w:rPr>
          <w:rtl/>
        </w:rPr>
        <w:t>صاحبتها،</w:t>
      </w:r>
      <w:r>
        <w:rPr>
          <w:rtl/>
        </w:rPr>
        <w:t xml:space="preserve"> </w:t>
      </w:r>
      <w:r w:rsidRPr="006571A5">
        <w:rPr>
          <w:rtl/>
        </w:rPr>
        <w:t>وبالتالي</w:t>
      </w:r>
      <w:r>
        <w:rPr>
          <w:rtl/>
        </w:rPr>
        <w:t xml:space="preserve"> </w:t>
      </w:r>
      <w:r w:rsidRPr="006571A5">
        <w:rPr>
          <w:rtl/>
        </w:rPr>
        <w:t>لا</w:t>
      </w:r>
      <w:r>
        <w:rPr>
          <w:rtl/>
        </w:rPr>
        <w:t xml:space="preserve"> </w:t>
      </w:r>
      <w:r w:rsidRPr="006571A5">
        <w:rPr>
          <w:rtl/>
        </w:rPr>
        <w:t>يمكن</w:t>
      </w:r>
      <w:r>
        <w:rPr>
          <w:rtl/>
        </w:rPr>
        <w:t xml:space="preserve"> </w:t>
      </w:r>
      <w:r w:rsidRPr="006571A5">
        <w:rPr>
          <w:rtl/>
        </w:rPr>
        <w:t>للدولة</w:t>
      </w:r>
      <w:r>
        <w:rPr>
          <w:rtl/>
        </w:rPr>
        <w:t xml:space="preserve"> </w:t>
      </w:r>
      <w:r w:rsidRPr="006571A5">
        <w:rPr>
          <w:rtl/>
        </w:rPr>
        <w:t>الطرف</w:t>
      </w:r>
      <w:r>
        <w:rPr>
          <w:rtl/>
        </w:rPr>
        <w:t xml:space="preserve"> </w:t>
      </w:r>
      <w:r w:rsidRPr="006571A5">
        <w:rPr>
          <w:rtl/>
        </w:rPr>
        <w:t>أن</w:t>
      </w:r>
      <w:r>
        <w:rPr>
          <w:rtl/>
        </w:rPr>
        <w:t xml:space="preserve"> </w:t>
      </w:r>
      <w:r w:rsidRPr="006571A5">
        <w:rPr>
          <w:rtl/>
        </w:rPr>
        <w:t>تقبل</w:t>
      </w:r>
      <w:r>
        <w:rPr>
          <w:rtl/>
        </w:rPr>
        <w:t xml:space="preserve"> </w:t>
      </w:r>
      <w:r w:rsidRPr="006571A5">
        <w:rPr>
          <w:rtl/>
        </w:rPr>
        <w:t>أن</w:t>
      </w:r>
      <w:r>
        <w:rPr>
          <w:rtl/>
        </w:rPr>
        <w:t xml:space="preserve"> </w:t>
      </w:r>
      <w:r w:rsidRPr="006571A5">
        <w:rPr>
          <w:rtl/>
        </w:rPr>
        <w:t>أقوال</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هي</w:t>
      </w:r>
      <w:r>
        <w:rPr>
          <w:rtl/>
        </w:rPr>
        <w:t xml:space="preserve"> </w:t>
      </w:r>
      <w:r w:rsidRPr="006571A5">
        <w:rPr>
          <w:rtl/>
        </w:rPr>
        <w:t>الواقع.</w:t>
      </w:r>
      <w:r>
        <w:rPr>
          <w:rtl/>
        </w:rPr>
        <w:t xml:space="preserve"> </w:t>
      </w:r>
      <w:r w:rsidRPr="006571A5">
        <w:rPr>
          <w:rtl/>
        </w:rPr>
        <w:t>وإضافة</w:t>
      </w:r>
      <w:r>
        <w:rPr>
          <w:rtl/>
        </w:rPr>
        <w:t xml:space="preserve"> </w:t>
      </w:r>
      <w:r w:rsidRPr="006571A5">
        <w:rPr>
          <w:rtl/>
        </w:rPr>
        <w:t>إلى</w:t>
      </w:r>
      <w:r>
        <w:rPr>
          <w:rtl/>
        </w:rPr>
        <w:t xml:space="preserve"> </w:t>
      </w:r>
      <w:r w:rsidRPr="006571A5">
        <w:rPr>
          <w:rtl/>
        </w:rPr>
        <w:t>ذلك،</w:t>
      </w:r>
      <w:r>
        <w:rPr>
          <w:rtl/>
        </w:rPr>
        <w:t xml:space="preserve"> </w:t>
      </w:r>
      <w:r w:rsidRPr="006571A5">
        <w:rPr>
          <w:rtl/>
        </w:rPr>
        <w:t>هي</w:t>
      </w:r>
      <w:r>
        <w:rPr>
          <w:rtl/>
        </w:rPr>
        <w:t xml:space="preserve"> </w:t>
      </w:r>
      <w:r w:rsidRPr="006571A5">
        <w:rPr>
          <w:rtl/>
        </w:rPr>
        <w:t>لم</w:t>
      </w:r>
      <w:r>
        <w:rPr>
          <w:rtl/>
        </w:rPr>
        <w:t xml:space="preserve"> </w:t>
      </w:r>
      <w:r w:rsidRPr="006571A5">
        <w:rPr>
          <w:rtl/>
        </w:rPr>
        <w:t>تعترض</w:t>
      </w:r>
      <w:r>
        <w:rPr>
          <w:rtl/>
        </w:rPr>
        <w:t xml:space="preserve"> </w:t>
      </w:r>
      <w:r w:rsidRPr="006571A5">
        <w:rPr>
          <w:rtl/>
        </w:rPr>
        <w:t>في</w:t>
      </w:r>
      <w:r>
        <w:rPr>
          <w:rtl/>
        </w:rPr>
        <w:t xml:space="preserve"> </w:t>
      </w:r>
      <w:r w:rsidRPr="006571A5">
        <w:rPr>
          <w:rtl/>
        </w:rPr>
        <w:t>الرسالة</w:t>
      </w:r>
      <w:r>
        <w:rPr>
          <w:rtl/>
        </w:rPr>
        <w:t xml:space="preserve"> </w:t>
      </w:r>
      <w:r w:rsidRPr="006571A5">
        <w:rPr>
          <w:rtl/>
        </w:rPr>
        <w:t>التي</w:t>
      </w:r>
      <w:r>
        <w:rPr>
          <w:rtl/>
        </w:rPr>
        <w:t xml:space="preserve"> </w:t>
      </w:r>
      <w:r w:rsidRPr="006571A5">
        <w:rPr>
          <w:rtl/>
        </w:rPr>
        <w:t>وجهتها</w:t>
      </w:r>
      <w:r>
        <w:rPr>
          <w:rtl/>
        </w:rPr>
        <w:t xml:space="preserve"> </w:t>
      </w:r>
      <w:r w:rsidRPr="006571A5">
        <w:rPr>
          <w:rtl/>
        </w:rPr>
        <w:t>إلى</w:t>
      </w:r>
      <w:r>
        <w:rPr>
          <w:rtl/>
        </w:rPr>
        <w:t xml:space="preserve"> </w:t>
      </w:r>
      <w:r w:rsidRPr="006571A5">
        <w:rPr>
          <w:rtl/>
        </w:rPr>
        <w:t>اللجنة</w:t>
      </w:r>
      <w:r>
        <w:rPr>
          <w:rtl/>
        </w:rPr>
        <w:t xml:space="preserve"> </w:t>
      </w:r>
      <w:r w:rsidRPr="006571A5">
        <w:rPr>
          <w:rtl/>
        </w:rPr>
        <w:t>على</w:t>
      </w:r>
      <w:r>
        <w:rPr>
          <w:rtl/>
        </w:rPr>
        <w:t xml:space="preserve"> </w:t>
      </w:r>
      <w:r w:rsidRPr="006571A5">
        <w:rPr>
          <w:rtl/>
        </w:rPr>
        <w:t>تقييم</w:t>
      </w:r>
      <w:r>
        <w:rPr>
          <w:rtl/>
        </w:rPr>
        <w:t xml:space="preserve"> </w:t>
      </w:r>
      <w:r w:rsidRPr="006571A5">
        <w:rPr>
          <w:rtl/>
        </w:rPr>
        <w:t>مصداقيتها</w:t>
      </w:r>
      <w:r>
        <w:rPr>
          <w:rtl/>
        </w:rPr>
        <w:t xml:space="preserve"> </w:t>
      </w:r>
      <w:r w:rsidRPr="006571A5">
        <w:rPr>
          <w:rtl/>
        </w:rPr>
        <w:t>الذي</w:t>
      </w:r>
      <w:r>
        <w:rPr>
          <w:rtl/>
        </w:rPr>
        <w:t xml:space="preserve"> </w:t>
      </w:r>
      <w:r w:rsidRPr="006571A5">
        <w:rPr>
          <w:rtl/>
        </w:rPr>
        <w:t>قام</w:t>
      </w:r>
      <w:r>
        <w:rPr>
          <w:rtl/>
        </w:rPr>
        <w:t xml:space="preserve"> </w:t>
      </w:r>
      <w:r w:rsidRPr="006571A5">
        <w:rPr>
          <w:rtl/>
        </w:rPr>
        <w:t>به</w:t>
      </w:r>
      <w:r>
        <w:rPr>
          <w:rtl/>
        </w:rPr>
        <w:t xml:space="preserve"> </w:t>
      </w:r>
      <w:r w:rsidRPr="006571A5">
        <w:rPr>
          <w:rtl/>
        </w:rPr>
        <w:t>المجلس</w:t>
      </w:r>
      <w:r>
        <w:rPr>
          <w:rtl/>
        </w:rPr>
        <w:t xml:space="preserve"> </w:t>
      </w:r>
      <w:r w:rsidRPr="006571A5">
        <w:rPr>
          <w:rtl/>
        </w:rPr>
        <w:t>ولم</w:t>
      </w:r>
      <w:r>
        <w:rPr>
          <w:rtl/>
        </w:rPr>
        <w:t xml:space="preserve"> </w:t>
      </w:r>
      <w:r w:rsidRPr="006571A5">
        <w:rPr>
          <w:rtl/>
        </w:rPr>
        <w:t>تطعن</w:t>
      </w:r>
      <w:r>
        <w:rPr>
          <w:rtl/>
        </w:rPr>
        <w:t xml:space="preserve"> </w:t>
      </w:r>
      <w:r w:rsidRPr="006571A5">
        <w:rPr>
          <w:rtl/>
        </w:rPr>
        <w:t>في</w:t>
      </w:r>
      <w:r>
        <w:rPr>
          <w:rtl/>
        </w:rPr>
        <w:t xml:space="preserve"> </w:t>
      </w:r>
      <w:r w:rsidRPr="006571A5">
        <w:rPr>
          <w:rtl/>
        </w:rPr>
        <w:t>قرار</w:t>
      </w:r>
      <w:r>
        <w:rPr>
          <w:rtl/>
        </w:rPr>
        <w:t xml:space="preserve"> </w:t>
      </w:r>
      <w:r w:rsidRPr="006571A5">
        <w:rPr>
          <w:rtl/>
        </w:rPr>
        <w:t>المجلس.</w:t>
      </w:r>
      <w:r>
        <w:rPr>
          <w:rtl/>
        </w:rPr>
        <w:t xml:space="preserve"> </w:t>
      </w:r>
      <w:r w:rsidRPr="006571A5">
        <w:rPr>
          <w:rtl/>
        </w:rPr>
        <w:t>ووفقا</w:t>
      </w:r>
      <w:r>
        <w:rPr>
          <w:rtl/>
        </w:rPr>
        <w:t xml:space="preserve"> </w:t>
      </w:r>
      <w:r w:rsidRPr="006571A5">
        <w:rPr>
          <w:rtl/>
        </w:rPr>
        <w:t>للمادة</w:t>
      </w:r>
      <w:r>
        <w:rPr>
          <w:rtl/>
        </w:rPr>
        <w:t xml:space="preserve"> </w:t>
      </w:r>
      <w:r w:rsidR="004B1017">
        <w:rPr>
          <w:rtl/>
        </w:rPr>
        <w:t>48</w:t>
      </w:r>
      <w:r>
        <w:rPr>
          <w:rtl/>
        </w:rPr>
        <w:t xml:space="preserve"> </w:t>
      </w:r>
      <w:r w:rsidRPr="006571A5">
        <w:rPr>
          <w:rtl/>
        </w:rPr>
        <w:t>من</w:t>
      </w:r>
      <w:r>
        <w:rPr>
          <w:rtl/>
        </w:rPr>
        <w:t xml:space="preserve"> </w:t>
      </w:r>
      <w:r w:rsidRPr="006571A5">
        <w:rPr>
          <w:rtl/>
        </w:rPr>
        <w:t>النظام</w:t>
      </w:r>
      <w:r>
        <w:rPr>
          <w:rtl/>
        </w:rPr>
        <w:t xml:space="preserve"> </w:t>
      </w:r>
      <w:r w:rsidRPr="006571A5">
        <w:rPr>
          <w:rtl/>
        </w:rPr>
        <w:t>الداخلي</w:t>
      </w:r>
      <w:r>
        <w:rPr>
          <w:rtl/>
        </w:rPr>
        <w:t xml:space="preserve"> </w:t>
      </w:r>
      <w:r w:rsidRPr="006571A5">
        <w:rPr>
          <w:rtl/>
        </w:rPr>
        <w:t>للمجلس،</w:t>
      </w:r>
      <w:r>
        <w:rPr>
          <w:rtl/>
        </w:rPr>
        <w:t xml:space="preserve"> </w:t>
      </w:r>
      <w:r w:rsidRPr="006571A5">
        <w:rPr>
          <w:rtl/>
        </w:rPr>
        <w:t>يمكن</w:t>
      </w:r>
      <w:r>
        <w:rPr>
          <w:rtl/>
        </w:rPr>
        <w:t xml:space="preserve"> </w:t>
      </w:r>
      <w:r w:rsidRPr="006571A5">
        <w:rPr>
          <w:rtl/>
        </w:rPr>
        <w:t>لطالب</w:t>
      </w:r>
      <w:r>
        <w:rPr>
          <w:rtl/>
        </w:rPr>
        <w:t xml:space="preserve"> </w:t>
      </w:r>
      <w:r w:rsidRPr="006571A5">
        <w:rPr>
          <w:rtl/>
        </w:rPr>
        <w:t>اللجوء</w:t>
      </w:r>
      <w:r>
        <w:rPr>
          <w:rtl/>
        </w:rPr>
        <w:t xml:space="preserve"> </w:t>
      </w:r>
      <w:r w:rsidRPr="006571A5">
        <w:rPr>
          <w:rtl/>
        </w:rPr>
        <w:t>أن</w:t>
      </w:r>
      <w:r>
        <w:rPr>
          <w:rtl/>
        </w:rPr>
        <w:t xml:space="preserve"> </w:t>
      </w:r>
      <w:r w:rsidRPr="006571A5">
        <w:rPr>
          <w:rtl/>
        </w:rPr>
        <w:t>يطلب</w:t>
      </w:r>
      <w:r>
        <w:rPr>
          <w:rtl/>
        </w:rPr>
        <w:t xml:space="preserve"> </w:t>
      </w:r>
      <w:r w:rsidRPr="006571A5">
        <w:rPr>
          <w:rtl/>
        </w:rPr>
        <w:t>إعادة</w:t>
      </w:r>
      <w:r>
        <w:rPr>
          <w:rtl/>
        </w:rPr>
        <w:t xml:space="preserve"> </w:t>
      </w:r>
      <w:r w:rsidRPr="006571A5">
        <w:rPr>
          <w:rtl/>
        </w:rPr>
        <w:t>فتح</w:t>
      </w:r>
      <w:r>
        <w:rPr>
          <w:rtl/>
        </w:rPr>
        <w:t xml:space="preserve"> </w:t>
      </w:r>
      <w:r w:rsidRPr="006571A5">
        <w:rPr>
          <w:rtl/>
        </w:rPr>
        <w:t>قضيته</w:t>
      </w:r>
      <w:r>
        <w:rPr>
          <w:rtl/>
        </w:rPr>
        <w:t xml:space="preserve"> </w:t>
      </w:r>
      <w:r w:rsidRPr="006571A5">
        <w:rPr>
          <w:rtl/>
        </w:rPr>
        <w:t>في</w:t>
      </w:r>
      <w:r>
        <w:rPr>
          <w:rtl/>
        </w:rPr>
        <w:t xml:space="preserve"> </w:t>
      </w:r>
      <w:r w:rsidRPr="006571A5">
        <w:rPr>
          <w:rtl/>
        </w:rPr>
        <w:t>أي</w:t>
      </w:r>
      <w:r>
        <w:rPr>
          <w:rtl/>
        </w:rPr>
        <w:t xml:space="preserve"> </w:t>
      </w:r>
      <w:r w:rsidRPr="006571A5">
        <w:rPr>
          <w:rtl/>
        </w:rPr>
        <w:t>وقت</w:t>
      </w:r>
      <w:r>
        <w:rPr>
          <w:rtl/>
        </w:rPr>
        <w:t xml:space="preserve"> </w:t>
      </w:r>
      <w:r w:rsidRPr="006571A5">
        <w:rPr>
          <w:rtl/>
        </w:rPr>
        <w:t>بعد</w:t>
      </w:r>
      <w:r>
        <w:rPr>
          <w:rtl/>
        </w:rPr>
        <w:t xml:space="preserve"> </w:t>
      </w:r>
      <w:r w:rsidRPr="006571A5">
        <w:rPr>
          <w:rtl/>
        </w:rPr>
        <w:t>اتخاذ</w:t>
      </w:r>
      <w:r>
        <w:rPr>
          <w:rtl/>
        </w:rPr>
        <w:t xml:space="preserve"> </w:t>
      </w:r>
      <w:r w:rsidRPr="006571A5">
        <w:rPr>
          <w:rtl/>
        </w:rPr>
        <w:t>القرار</w:t>
      </w:r>
      <w:r>
        <w:rPr>
          <w:rtl/>
        </w:rPr>
        <w:t xml:space="preserve"> </w:t>
      </w:r>
      <w:r w:rsidRPr="006571A5">
        <w:rPr>
          <w:rtl/>
        </w:rPr>
        <w:t>فيها.</w:t>
      </w:r>
      <w:r>
        <w:rPr>
          <w:rtl/>
        </w:rPr>
        <w:t xml:space="preserve"> </w:t>
      </w:r>
      <w:r w:rsidRPr="006571A5">
        <w:rPr>
          <w:rtl/>
        </w:rPr>
        <w:t>ولم</w:t>
      </w:r>
      <w:r>
        <w:rPr>
          <w:rtl/>
        </w:rPr>
        <w:t xml:space="preserve"> </w:t>
      </w:r>
      <w:r w:rsidRPr="006571A5">
        <w:rPr>
          <w:rtl/>
        </w:rPr>
        <w:t>تلفت</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انتباهَ</w:t>
      </w:r>
      <w:r>
        <w:rPr>
          <w:rtl/>
        </w:rPr>
        <w:t xml:space="preserve"> </w:t>
      </w:r>
      <w:r w:rsidRPr="006571A5">
        <w:rPr>
          <w:rtl/>
        </w:rPr>
        <w:t>المجلس</w:t>
      </w:r>
      <w:r>
        <w:rPr>
          <w:rtl/>
        </w:rPr>
        <w:t xml:space="preserve"> </w:t>
      </w:r>
      <w:r w:rsidRPr="006571A5">
        <w:rPr>
          <w:rtl/>
        </w:rPr>
        <w:t>إلى</w:t>
      </w:r>
      <w:r>
        <w:rPr>
          <w:rtl/>
        </w:rPr>
        <w:t xml:space="preserve"> </w:t>
      </w:r>
      <w:r w:rsidRPr="006571A5">
        <w:rPr>
          <w:rtl/>
        </w:rPr>
        <w:t>أي</w:t>
      </w:r>
      <w:r>
        <w:rPr>
          <w:rtl/>
        </w:rPr>
        <w:t xml:space="preserve"> </w:t>
      </w:r>
      <w:r w:rsidRPr="006571A5">
        <w:rPr>
          <w:rtl/>
        </w:rPr>
        <w:t>أخطاء</w:t>
      </w:r>
      <w:r>
        <w:rPr>
          <w:rtl/>
        </w:rPr>
        <w:t xml:space="preserve"> </w:t>
      </w:r>
      <w:r w:rsidRPr="006571A5">
        <w:rPr>
          <w:rtl/>
        </w:rPr>
        <w:t>أو</w:t>
      </w:r>
      <w:r>
        <w:rPr>
          <w:rtl/>
        </w:rPr>
        <w:t xml:space="preserve"> </w:t>
      </w:r>
      <w:r w:rsidRPr="006571A5">
        <w:rPr>
          <w:rtl/>
        </w:rPr>
        <w:t>نقصان</w:t>
      </w:r>
      <w:r>
        <w:rPr>
          <w:rtl/>
        </w:rPr>
        <w:t xml:space="preserve"> </w:t>
      </w:r>
      <w:r w:rsidRPr="006571A5">
        <w:rPr>
          <w:rtl/>
        </w:rPr>
        <w:t>في</w:t>
      </w:r>
      <w:r>
        <w:rPr>
          <w:rtl/>
        </w:rPr>
        <w:t xml:space="preserve"> </w:t>
      </w:r>
      <w:r w:rsidRPr="006571A5">
        <w:rPr>
          <w:rtl/>
        </w:rPr>
        <w:t>محضر</w:t>
      </w:r>
      <w:r>
        <w:rPr>
          <w:rtl/>
        </w:rPr>
        <w:t xml:space="preserve"> </w:t>
      </w:r>
      <w:r w:rsidRPr="006571A5">
        <w:rPr>
          <w:rtl/>
        </w:rPr>
        <w:t>الأقوال</w:t>
      </w:r>
      <w:r>
        <w:rPr>
          <w:rtl/>
        </w:rPr>
        <w:t xml:space="preserve"> </w:t>
      </w:r>
      <w:r w:rsidRPr="006571A5">
        <w:rPr>
          <w:rtl/>
        </w:rPr>
        <w:t>التي</w:t>
      </w:r>
      <w:r>
        <w:rPr>
          <w:rtl/>
        </w:rPr>
        <w:t xml:space="preserve"> </w:t>
      </w:r>
      <w:r w:rsidRPr="006571A5">
        <w:rPr>
          <w:rtl/>
        </w:rPr>
        <w:t>أدلت</w:t>
      </w:r>
      <w:r>
        <w:rPr>
          <w:rtl/>
        </w:rPr>
        <w:t xml:space="preserve"> </w:t>
      </w:r>
      <w:r w:rsidRPr="006571A5">
        <w:rPr>
          <w:rtl/>
        </w:rPr>
        <w:t>بها</w:t>
      </w:r>
      <w:r>
        <w:rPr>
          <w:rtl/>
        </w:rPr>
        <w:t xml:space="preserve"> </w:t>
      </w:r>
      <w:r w:rsidRPr="006571A5">
        <w:rPr>
          <w:rtl/>
        </w:rPr>
        <w:t>شفويا.</w:t>
      </w:r>
    </w:p>
    <w:p w14:paraId="05C79D77" w14:textId="320E09E1" w:rsidR="006571A5" w:rsidRPr="006571A5" w:rsidRDefault="006571A5" w:rsidP="006571A5">
      <w:pPr>
        <w:pStyle w:val="SingleTxt"/>
        <w:rPr>
          <w:rtl/>
        </w:rPr>
      </w:pPr>
      <w:r w:rsidRPr="006571A5">
        <w:rPr>
          <w:rtl/>
        </w:rPr>
        <w:t>4-15</w:t>
      </w:r>
      <w:r w:rsidRPr="006571A5">
        <w:rPr>
          <w:rtl/>
        </w:rPr>
        <w:tab/>
        <w:t>وترى</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أيضا</w:t>
      </w:r>
      <w:r>
        <w:rPr>
          <w:rtl/>
        </w:rPr>
        <w:t xml:space="preserve"> </w:t>
      </w:r>
      <w:r w:rsidRPr="006571A5">
        <w:rPr>
          <w:rtl/>
        </w:rPr>
        <w:t>أن</w:t>
      </w:r>
      <w:r>
        <w:rPr>
          <w:rtl/>
        </w:rPr>
        <w:t xml:space="preserve"> </w:t>
      </w:r>
      <w:r w:rsidRPr="006571A5">
        <w:rPr>
          <w:rtl/>
        </w:rPr>
        <w:t>من</w:t>
      </w:r>
      <w:r>
        <w:rPr>
          <w:rtl/>
        </w:rPr>
        <w:t xml:space="preserve"> </w:t>
      </w:r>
      <w:r w:rsidRPr="006571A5">
        <w:rPr>
          <w:rtl/>
        </w:rPr>
        <w:t>غير</w:t>
      </w:r>
      <w:r>
        <w:rPr>
          <w:rtl/>
        </w:rPr>
        <w:t xml:space="preserve"> </w:t>
      </w:r>
      <w:r w:rsidRPr="006571A5">
        <w:rPr>
          <w:rtl/>
        </w:rPr>
        <w:t>المرجح</w:t>
      </w:r>
      <w:r>
        <w:rPr>
          <w:rtl/>
        </w:rPr>
        <w:t xml:space="preserve"> </w:t>
      </w:r>
      <w:r w:rsidRPr="006571A5">
        <w:rPr>
          <w:rtl/>
        </w:rPr>
        <w:t>أن</w:t>
      </w:r>
      <w:r>
        <w:rPr>
          <w:rtl/>
        </w:rPr>
        <w:t xml:space="preserve"> </w:t>
      </w:r>
      <w:r w:rsidRPr="006571A5">
        <w:rPr>
          <w:rtl/>
        </w:rPr>
        <w:t>تنتظر</w:t>
      </w:r>
      <w:r>
        <w:rPr>
          <w:rtl/>
        </w:rPr>
        <w:t xml:space="preserve"> </w:t>
      </w:r>
      <w:r w:rsidRPr="006571A5">
        <w:rPr>
          <w:rtl/>
        </w:rPr>
        <w:t>حركة</w:t>
      </w:r>
      <w:r>
        <w:rPr>
          <w:rtl/>
        </w:rPr>
        <w:t xml:space="preserve"> </w:t>
      </w:r>
      <w:r w:rsidRPr="006571A5">
        <w:rPr>
          <w:rtl/>
        </w:rPr>
        <w:t>الشباب</w:t>
      </w:r>
      <w:r>
        <w:rPr>
          <w:rtl/>
        </w:rPr>
        <w:t xml:space="preserve"> </w:t>
      </w:r>
      <w:r w:rsidRPr="006571A5">
        <w:rPr>
          <w:rtl/>
        </w:rPr>
        <w:t>ست</w:t>
      </w:r>
      <w:r>
        <w:rPr>
          <w:rtl/>
        </w:rPr>
        <w:t xml:space="preserve"> </w:t>
      </w:r>
      <w:r w:rsidRPr="006571A5">
        <w:rPr>
          <w:rtl/>
        </w:rPr>
        <w:t>سنوات</w:t>
      </w:r>
      <w:r>
        <w:rPr>
          <w:rtl/>
        </w:rPr>
        <w:t xml:space="preserve"> </w:t>
      </w:r>
      <w:r w:rsidRPr="006571A5">
        <w:rPr>
          <w:rtl/>
        </w:rPr>
        <w:t>بعد</w:t>
      </w:r>
      <w:r>
        <w:rPr>
          <w:rtl/>
        </w:rPr>
        <w:t xml:space="preserve"> </w:t>
      </w:r>
      <w:r w:rsidRPr="006571A5">
        <w:rPr>
          <w:rtl/>
        </w:rPr>
        <w:t>سيطرتها</w:t>
      </w:r>
      <w:r>
        <w:rPr>
          <w:rtl/>
        </w:rPr>
        <w:t xml:space="preserve"> </w:t>
      </w:r>
      <w:r w:rsidRPr="006571A5">
        <w:rPr>
          <w:rtl/>
        </w:rPr>
        <w:t>على</w:t>
      </w:r>
      <w:r>
        <w:rPr>
          <w:rtl/>
        </w:rPr>
        <w:t xml:space="preserve"> </w:t>
      </w:r>
      <w:r w:rsidRPr="006571A5">
        <w:rPr>
          <w:rtl/>
        </w:rPr>
        <w:t>البلدة،</w:t>
      </w:r>
      <w:r>
        <w:rPr>
          <w:rtl/>
        </w:rPr>
        <w:t xml:space="preserve"> </w:t>
      </w:r>
      <w:r w:rsidRPr="006571A5">
        <w:rPr>
          <w:rtl/>
        </w:rPr>
        <w:t>التي</w:t>
      </w:r>
      <w:r>
        <w:rPr>
          <w:rtl/>
        </w:rPr>
        <w:t xml:space="preserve"> </w:t>
      </w:r>
      <w:r w:rsidRPr="006571A5">
        <w:rPr>
          <w:rtl/>
        </w:rPr>
        <w:t>وصفتها</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بأنها</w:t>
      </w:r>
      <w:r>
        <w:rPr>
          <w:rtl/>
        </w:rPr>
        <w:t xml:space="preserve"> </w:t>
      </w:r>
      <w:r w:rsidRPr="006571A5">
        <w:rPr>
          <w:rtl/>
        </w:rPr>
        <w:t>قرية</w:t>
      </w:r>
      <w:r>
        <w:rPr>
          <w:rtl/>
        </w:rPr>
        <w:t xml:space="preserve"> </w:t>
      </w:r>
      <w:r w:rsidRPr="006571A5">
        <w:rPr>
          <w:rtl/>
        </w:rPr>
        <w:t>صغيرة</w:t>
      </w:r>
      <w:r>
        <w:rPr>
          <w:rtl/>
        </w:rPr>
        <w:t xml:space="preserve"> </w:t>
      </w:r>
      <w:r w:rsidRPr="006571A5">
        <w:rPr>
          <w:rtl/>
        </w:rPr>
        <w:t>جدا،</w:t>
      </w:r>
      <w:r>
        <w:rPr>
          <w:rtl/>
        </w:rPr>
        <w:t xml:space="preserve"> </w:t>
      </w:r>
      <w:r w:rsidRPr="006571A5">
        <w:rPr>
          <w:rtl/>
        </w:rPr>
        <w:t>ثمّ</w:t>
      </w:r>
      <w:r>
        <w:rPr>
          <w:rtl/>
        </w:rPr>
        <w:t xml:space="preserve"> </w:t>
      </w:r>
      <w:r w:rsidRPr="006571A5">
        <w:rPr>
          <w:rtl/>
        </w:rPr>
        <w:t>تُقدم</w:t>
      </w:r>
      <w:r>
        <w:rPr>
          <w:rtl/>
        </w:rPr>
        <w:t xml:space="preserve"> </w:t>
      </w:r>
      <w:r w:rsidRPr="006571A5">
        <w:rPr>
          <w:rtl/>
        </w:rPr>
        <w:t>على</w:t>
      </w:r>
      <w:r>
        <w:rPr>
          <w:rtl/>
        </w:rPr>
        <w:t xml:space="preserve"> </w:t>
      </w:r>
      <w:r w:rsidRPr="006571A5">
        <w:rPr>
          <w:rtl/>
        </w:rPr>
        <w:t>الاعتراض</w:t>
      </w:r>
      <w:r>
        <w:rPr>
          <w:rtl/>
        </w:rPr>
        <w:t xml:space="preserve"> </w:t>
      </w:r>
      <w:r w:rsidRPr="006571A5">
        <w:rPr>
          <w:rtl/>
        </w:rPr>
        <w:t>على</w:t>
      </w:r>
      <w:r>
        <w:rPr>
          <w:rtl/>
        </w:rPr>
        <w:t xml:space="preserve"> </w:t>
      </w:r>
      <w:r w:rsidRPr="006571A5">
        <w:rPr>
          <w:rtl/>
        </w:rPr>
        <w:t>الزواج،</w:t>
      </w:r>
      <w:r>
        <w:rPr>
          <w:rtl/>
        </w:rPr>
        <w:t xml:space="preserve"> </w:t>
      </w:r>
      <w:r w:rsidRPr="006571A5">
        <w:rPr>
          <w:rtl/>
        </w:rPr>
        <w:t>ولا</w:t>
      </w:r>
      <w:r w:rsidR="004C757C">
        <w:rPr>
          <w:rFonts w:hint="cs"/>
          <w:rtl/>
        </w:rPr>
        <w:t> </w:t>
      </w:r>
      <w:r w:rsidRPr="006571A5">
        <w:rPr>
          <w:rtl/>
        </w:rPr>
        <w:t>هي</w:t>
      </w:r>
      <w:r>
        <w:rPr>
          <w:rtl/>
        </w:rPr>
        <w:t xml:space="preserve"> </w:t>
      </w:r>
      <w:r w:rsidRPr="006571A5">
        <w:rPr>
          <w:rtl/>
        </w:rPr>
        <w:t>ترى</w:t>
      </w:r>
      <w:r>
        <w:rPr>
          <w:rtl/>
        </w:rPr>
        <w:t xml:space="preserve"> </w:t>
      </w:r>
      <w:r w:rsidRPr="006571A5">
        <w:rPr>
          <w:rtl/>
        </w:rPr>
        <w:t>من</w:t>
      </w:r>
      <w:r>
        <w:rPr>
          <w:rtl/>
        </w:rPr>
        <w:t xml:space="preserve"> </w:t>
      </w:r>
      <w:r w:rsidRPr="006571A5">
        <w:rPr>
          <w:rtl/>
        </w:rPr>
        <w:t>المرجح</w:t>
      </w:r>
      <w:r>
        <w:rPr>
          <w:rtl/>
        </w:rPr>
        <w:t xml:space="preserve"> </w:t>
      </w:r>
      <w:r w:rsidRPr="006571A5">
        <w:rPr>
          <w:rtl/>
        </w:rPr>
        <w:t>أن</w:t>
      </w:r>
      <w:r>
        <w:rPr>
          <w:rtl/>
        </w:rPr>
        <w:t xml:space="preserve"> </w:t>
      </w:r>
      <w:r w:rsidRPr="006571A5">
        <w:rPr>
          <w:rtl/>
        </w:rPr>
        <w:t>تقرّر</w:t>
      </w:r>
      <w:r>
        <w:rPr>
          <w:rtl/>
        </w:rPr>
        <w:t xml:space="preserve"> </w:t>
      </w:r>
      <w:r w:rsidRPr="006571A5">
        <w:rPr>
          <w:rtl/>
        </w:rPr>
        <w:t>الحركة</w:t>
      </w:r>
      <w:r>
        <w:rPr>
          <w:rtl/>
        </w:rPr>
        <w:t xml:space="preserve"> </w:t>
      </w:r>
      <w:r w:rsidRPr="006571A5">
        <w:rPr>
          <w:rtl/>
        </w:rPr>
        <w:t>مرتين</w:t>
      </w:r>
      <w:r>
        <w:rPr>
          <w:rtl/>
        </w:rPr>
        <w:t xml:space="preserve"> </w:t>
      </w:r>
      <w:r w:rsidRPr="006571A5">
        <w:rPr>
          <w:rtl/>
        </w:rPr>
        <w:t>تأجيل</w:t>
      </w:r>
      <w:r>
        <w:rPr>
          <w:rtl/>
        </w:rPr>
        <w:t xml:space="preserve"> </w:t>
      </w:r>
      <w:r w:rsidRPr="006571A5">
        <w:rPr>
          <w:rtl/>
        </w:rPr>
        <w:t>احتجاز</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أما</w:t>
      </w:r>
      <w:r>
        <w:rPr>
          <w:rtl/>
        </w:rPr>
        <w:t xml:space="preserve"> </w:t>
      </w:r>
      <w:r w:rsidRPr="006571A5">
        <w:rPr>
          <w:rtl/>
        </w:rPr>
        <w:t>فيما</w:t>
      </w:r>
      <w:r>
        <w:rPr>
          <w:rtl/>
        </w:rPr>
        <w:t xml:space="preserve"> </w:t>
      </w:r>
      <w:r w:rsidRPr="006571A5">
        <w:rPr>
          <w:rtl/>
        </w:rPr>
        <w:t>يتعلق</w:t>
      </w:r>
      <w:r>
        <w:rPr>
          <w:rtl/>
        </w:rPr>
        <w:t xml:space="preserve"> </w:t>
      </w:r>
      <w:r w:rsidRPr="006571A5">
        <w:rPr>
          <w:rtl/>
        </w:rPr>
        <w:t>بالاتفاق</w:t>
      </w:r>
      <w:r>
        <w:rPr>
          <w:rtl/>
        </w:rPr>
        <w:t xml:space="preserve"> </w:t>
      </w:r>
      <w:r w:rsidRPr="006571A5">
        <w:rPr>
          <w:rtl/>
        </w:rPr>
        <w:t>السري،</w:t>
      </w:r>
      <w:r>
        <w:rPr>
          <w:rtl/>
        </w:rPr>
        <w:t xml:space="preserve"> </w:t>
      </w:r>
      <w:r w:rsidRPr="006571A5">
        <w:rPr>
          <w:rtl/>
        </w:rPr>
        <w:t>فالشرطة</w:t>
      </w:r>
      <w:r>
        <w:rPr>
          <w:rtl/>
        </w:rPr>
        <w:t xml:space="preserve"> </w:t>
      </w:r>
      <w:r w:rsidRPr="006571A5">
        <w:rPr>
          <w:rtl/>
        </w:rPr>
        <w:t>الوطنية</w:t>
      </w:r>
      <w:r>
        <w:rPr>
          <w:rtl/>
        </w:rPr>
        <w:t xml:space="preserve"> </w:t>
      </w:r>
      <w:r w:rsidRPr="006571A5">
        <w:rPr>
          <w:rtl/>
        </w:rPr>
        <w:t>هي</w:t>
      </w:r>
      <w:r>
        <w:rPr>
          <w:rtl/>
        </w:rPr>
        <w:t xml:space="preserve"> </w:t>
      </w:r>
      <w:r w:rsidRPr="006571A5">
        <w:rPr>
          <w:rtl/>
        </w:rPr>
        <w:t>المسؤولة</w:t>
      </w:r>
      <w:r>
        <w:rPr>
          <w:rtl/>
        </w:rPr>
        <w:t xml:space="preserve"> </w:t>
      </w:r>
      <w:r w:rsidRPr="006571A5">
        <w:rPr>
          <w:rtl/>
        </w:rPr>
        <w:t>عن</w:t>
      </w:r>
      <w:r>
        <w:rPr>
          <w:rtl/>
        </w:rPr>
        <w:t xml:space="preserve"> </w:t>
      </w:r>
      <w:r w:rsidRPr="006571A5">
        <w:rPr>
          <w:rtl/>
        </w:rPr>
        <w:t>إعادة</w:t>
      </w:r>
      <w:r>
        <w:rPr>
          <w:rtl/>
        </w:rPr>
        <w:t xml:space="preserve"> </w:t>
      </w:r>
      <w:r w:rsidRPr="006571A5">
        <w:rPr>
          <w:rtl/>
        </w:rPr>
        <w:t>طالبي</w:t>
      </w:r>
      <w:r>
        <w:rPr>
          <w:rtl/>
        </w:rPr>
        <w:t xml:space="preserve"> </w:t>
      </w:r>
      <w:r w:rsidRPr="006571A5">
        <w:rPr>
          <w:rtl/>
        </w:rPr>
        <w:t>اللجوء</w:t>
      </w:r>
      <w:r>
        <w:rPr>
          <w:rtl/>
        </w:rPr>
        <w:t xml:space="preserve"> </w:t>
      </w:r>
      <w:r w:rsidRPr="006571A5">
        <w:rPr>
          <w:rtl/>
        </w:rPr>
        <w:t>الذين</w:t>
      </w:r>
      <w:r>
        <w:rPr>
          <w:rtl/>
        </w:rPr>
        <w:t xml:space="preserve"> </w:t>
      </w:r>
      <w:r w:rsidRPr="006571A5">
        <w:rPr>
          <w:rtl/>
        </w:rPr>
        <w:t>لم</w:t>
      </w:r>
      <w:r>
        <w:rPr>
          <w:rtl/>
        </w:rPr>
        <w:t xml:space="preserve"> </w:t>
      </w:r>
      <w:r w:rsidRPr="006571A5">
        <w:rPr>
          <w:rtl/>
        </w:rPr>
        <w:t>يُمنحوا</w:t>
      </w:r>
      <w:r>
        <w:rPr>
          <w:rtl/>
        </w:rPr>
        <w:t xml:space="preserve"> </w:t>
      </w:r>
      <w:r w:rsidRPr="006571A5">
        <w:rPr>
          <w:rtl/>
        </w:rPr>
        <w:t>اللجوء</w:t>
      </w:r>
      <w:r>
        <w:rPr>
          <w:rtl/>
        </w:rPr>
        <w:t xml:space="preserve"> </w:t>
      </w:r>
      <w:r w:rsidRPr="006571A5">
        <w:rPr>
          <w:rtl/>
        </w:rPr>
        <w:t>إلى</w:t>
      </w:r>
      <w:r>
        <w:rPr>
          <w:rtl/>
        </w:rPr>
        <w:t xml:space="preserve"> </w:t>
      </w:r>
      <w:r w:rsidRPr="006571A5">
        <w:rPr>
          <w:rtl/>
        </w:rPr>
        <w:t>بلدانهم،</w:t>
      </w:r>
      <w:r>
        <w:rPr>
          <w:rtl/>
        </w:rPr>
        <w:t xml:space="preserve"> </w:t>
      </w:r>
      <w:r w:rsidRPr="006571A5">
        <w:rPr>
          <w:rtl/>
        </w:rPr>
        <w:t>وربّما</w:t>
      </w:r>
      <w:r>
        <w:rPr>
          <w:rtl/>
        </w:rPr>
        <w:t xml:space="preserve"> </w:t>
      </w:r>
      <w:r w:rsidRPr="006571A5">
        <w:rPr>
          <w:rtl/>
        </w:rPr>
        <w:t>أبرمت</w:t>
      </w:r>
      <w:r>
        <w:rPr>
          <w:rtl/>
        </w:rPr>
        <w:t xml:space="preserve"> </w:t>
      </w:r>
      <w:r w:rsidRPr="006571A5">
        <w:rPr>
          <w:rtl/>
        </w:rPr>
        <w:t>اتفاقا</w:t>
      </w:r>
      <w:r>
        <w:rPr>
          <w:rtl/>
        </w:rPr>
        <w:t xml:space="preserve"> </w:t>
      </w:r>
      <w:r w:rsidRPr="006571A5">
        <w:rPr>
          <w:rtl/>
        </w:rPr>
        <w:t>مع</w:t>
      </w:r>
      <w:r>
        <w:rPr>
          <w:rtl/>
        </w:rPr>
        <w:t xml:space="preserve"> </w:t>
      </w:r>
      <w:r w:rsidRPr="006571A5">
        <w:rPr>
          <w:rtl/>
        </w:rPr>
        <w:t>السلطات</w:t>
      </w:r>
      <w:r>
        <w:rPr>
          <w:rtl/>
        </w:rPr>
        <w:t xml:space="preserve"> </w:t>
      </w:r>
      <w:r w:rsidRPr="006571A5">
        <w:rPr>
          <w:rtl/>
        </w:rPr>
        <w:t>الصومالية</w:t>
      </w:r>
      <w:r>
        <w:rPr>
          <w:rtl/>
        </w:rPr>
        <w:t xml:space="preserve"> </w:t>
      </w:r>
      <w:r w:rsidRPr="006571A5">
        <w:rPr>
          <w:rtl/>
        </w:rPr>
        <w:t>من</w:t>
      </w:r>
      <w:r>
        <w:rPr>
          <w:rtl/>
        </w:rPr>
        <w:t xml:space="preserve"> </w:t>
      </w:r>
      <w:r w:rsidRPr="006571A5">
        <w:rPr>
          <w:rtl/>
        </w:rPr>
        <w:t>أجل</w:t>
      </w:r>
      <w:r>
        <w:rPr>
          <w:rtl/>
        </w:rPr>
        <w:t xml:space="preserve"> </w:t>
      </w:r>
      <w:r w:rsidRPr="006571A5">
        <w:rPr>
          <w:rtl/>
        </w:rPr>
        <w:t>إعادة</w:t>
      </w:r>
      <w:r>
        <w:rPr>
          <w:rtl/>
        </w:rPr>
        <w:t xml:space="preserve"> </w:t>
      </w:r>
      <w:r w:rsidRPr="006571A5">
        <w:rPr>
          <w:rtl/>
        </w:rPr>
        <w:t>المواطنين</w:t>
      </w:r>
      <w:r>
        <w:rPr>
          <w:rtl/>
        </w:rPr>
        <w:t xml:space="preserve"> </w:t>
      </w:r>
      <w:r w:rsidRPr="006571A5">
        <w:rPr>
          <w:rtl/>
        </w:rPr>
        <w:t>الذين</w:t>
      </w:r>
      <w:r>
        <w:rPr>
          <w:rtl/>
        </w:rPr>
        <w:t xml:space="preserve"> </w:t>
      </w:r>
      <w:r w:rsidRPr="006571A5">
        <w:rPr>
          <w:rtl/>
        </w:rPr>
        <w:t>لا</w:t>
      </w:r>
      <w:r>
        <w:rPr>
          <w:rtl/>
        </w:rPr>
        <w:t xml:space="preserve"> </w:t>
      </w:r>
      <w:r w:rsidRPr="006571A5">
        <w:rPr>
          <w:rtl/>
        </w:rPr>
        <w:t>يحق</w:t>
      </w:r>
      <w:r>
        <w:rPr>
          <w:rtl/>
        </w:rPr>
        <w:t xml:space="preserve"> </w:t>
      </w:r>
      <w:r w:rsidRPr="006571A5">
        <w:rPr>
          <w:rtl/>
        </w:rPr>
        <w:t>لهم</w:t>
      </w:r>
      <w:r>
        <w:rPr>
          <w:rtl/>
        </w:rPr>
        <w:t xml:space="preserve"> </w:t>
      </w:r>
      <w:r w:rsidRPr="006571A5">
        <w:rPr>
          <w:rtl/>
        </w:rPr>
        <w:t>البقاء</w:t>
      </w:r>
      <w:r>
        <w:rPr>
          <w:rtl/>
        </w:rPr>
        <w:t xml:space="preserve"> </w:t>
      </w:r>
      <w:r w:rsidRPr="006571A5">
        <w:rPr>
          <w:rtl/>
        </w:rPr>
        <w:t>في</w:t>
      </w:r>
      <w:r>
        <w:rPr>
          <w:rtl/>
        </w:rPr>
        <w:t xml:space="preserve"> </w:t>
      </w:r>
      <w:r w:rsidRPr="006571A5">
        <w:rPr>
          <w:rtl/>
        </w:rPr>
        <w:t>الدانمرك.</w:t>
      </w:r>
      <w:r>
        <w:rPr>
          <w:rtl/>
        </w:rPr>
        <w:t xml:space="preserve"> </w:t>
      </w:r>
      <w:r w:rsidRPr="006571A5">
        <w:rPr>
          <w:rtl/>
        </w:rPr>
        <w:t>غير</w:t>
      </w:r>
      <w:r>
        <w:rPr>
          <w:rtl/>
        </w:rPr>
        <w:t xml:space="preserve"> </w:t>
      </w:r>
      <w:r w:rsidRPr="006571A5">
        <w:rPr>
          <w:rtl/>
        </w:rPr>
        <w:t>أن</w:t>
      </w:r>
      <w:r>
        <w:rPr>
          <w:rtl/>
        </w:rPr>
        <w:t xml:space="preserve"> </w:t>
      </w:r>
      <w:r w:rsidRPr="006571A5">
        <w:rPr>
          <w:rtl/>
        </w:rPr>
        <w:t>هذا</w:t>
      </w:r>
      <w:r>
        <w:rPr>
          <w:rtl/>
        </w:rPr>
        <w:t xml:space="preserve"> </w:t>
      </w:r>
      <w:r w:rsidRPr="006571A5">
        <w:rPr>
          <w:rtl/>
        </w:rPr>
        <w:t>الأمر</w:t>
      </w:r>
      <w:r>
        <w:rPr>
          <w:rtl/>
        </w:rPr>
        <w:t xml:space="preserve"> </w:t>
      </w:r>
      <w:r w:rsidRPr="006571A5">
        <w:rPr>
          <w:rtl/>
        </w:rPr>
        <w:t>لا</w:t>
      </w:r>
      <w:r>
        <w:rPr>
          <w:rtl/>
        </w:rPr>
        <w:t xml:space="preserve"> </w:t>
      </w:r>
      <w:r w:rsidRPr="006571A5">
        <w:rPr>
          <w:rtl/>
        </w:rPr>
        <w:t>علاقة</w:t>
      </w:r>
      <w:r>
        <w:rPr>
          <w:rtl/>
        </w:rPr>
        <w:t xml:space="preserve"> </w:t>
      </w:r>
      <w:r w:rsidRPr="006571A5">
        <w:rPr>
          <w:rtl/>
        </w:rPr>
        <w:t>له</w:t>
      </w:r>
      <w:r>
        <w:rPr>
          <w:rtl/>
        </w:rPr>
        <w:t xml:space="preserve"> </w:t>
      </w:r>
      <w:r w:rsidRPr="006571A5">
        <w:rPr>
          <w:rtl/>
        </w:rPr>
        <w:t>بالقضية</w:t>
      </w:r>
      <w:r>
        <w:rPr>
          <w:rtl/>
        </w:rPr>
        <w:t xml:space="preserve"> </w:t>
      </w:r>
      <w:r w:rsidRPr="006571A5">
        <w:rPr>
          <w:rtl/>
        </w:rPr>
        <w:t>قيد</w:t>
      </w:r>
      <w:r>
        <w:rPr>
          <w:rtl/>
        </w:rPr>
        <w:t xml:space="preserve"> </w:t>
      </w:r>
      <w:r w:rsidRPr="006571A5">
        <w:rPr>
          <w:rtl/>
        </w:rPr>
        <w:t>النظر.</w:t>
      </w:r>
    </w:p>
    <w:p w14:paraId="55F09C58" w14:textId="6C4F1BC0" w:rsidR="006571A5" w:rsidRPr="006571A5" w:rsidRDefault="006571A5" w:rsidP="006571A5">
      <w:pPr>
        <w:pStyle w:val="SingleTxt"/>
        <w:rPr>
          <w:rtl/>
        </w:rPr>
      </w:pPr>
      <w:r w:rsidRPr="006571A5">
        <w:rPr>
          <w:rtl/>
        </w:rPr>
        <w:t>4-16</w:t>
      </w:r>
      <w:r w:rsidRPr="006571A5">
        <w:rPr>
          <w:rtl/>
        </w:rPr>
        <w:tab/>
        <w:t>وفيما</w:t>
      </w:r>
      <w:r>
        <w:rPr>
          <w:rtl/>
        </w:rPr>
        <w:t xml:space="preserve"> </w:t>
      </w:r>
      <w:r w:rsidRPr="006571A5">
        <w:rPr>
          <w:rtl/>
        </w:rPr>
        <w:t>يتعلق</w:t>
      </w:r>
      <w:r>
        <w:rPr>
          <w:rtl/>
        </w:rPr>
        <w:t xml:space="preserve"> </w:t>
      </w:r>
      <w:r w:rsidRPr="006571A5">
        <w:rPr>
          <w:rtl/>
        </w:rPr>
        <w:t>بالحالة</w:t>
      </w:r>
      <w:r>
        <w:rPr>
          <w:rtl/>
        </w:rPr>
        <w:t xml:space="preserve"> </w:t>
      </w:r>
      <w:r w:rsidRPr="006571A5">
        <w:rPr>
          <w:rtl/>
        </w:rPr>
        <w:t>العامة</w:t>
      </w:r>
      <w:r>
        <w:rPr>
          <w:rtl/>
        </w:rPr>
        <w:t xml:space="preserve"> </w:t>
      </w:r>
      <w:r w:rsidRPr="006571A5">
        <w:rPr>
          <w:rtl/>
        </w:rPr>
        <w:t>لحقوق</w:t>
      </w:r>
      <w:r>
        <w:rPr>
          <w:rtl/>
        </w:rPr>
        <w:t xml:space="preserve"> </w:t>
      </w:r>
      <w:r w:rsidRPr="006571A5">
        <w:rPr>
          <w:rtl/>
        </w:rPr>
        <w:t>الإنسان</w:t>
      </w:r>
      <w:r>
        <w:rPr>
          <w:rtl/>
        </w:rPr>
        <w:t xml:space="preserve"> </w:t>
      </w:r>
      <w:r w:rsidRPr="006571A5">
        <w:rPr>
          <w:rtl/>
        </w:rPr>
        <w:t>في</w:t>
      </w:r>
      <w:r>
        <w:rPr>
          <w:rtl/>
        </w:rPr>
        <w:t xml:space="preserve"> </w:t>
      </w:r>
      <w:r w:rsidRPr="006571A5">
        <w:rPr>
          <w:rtl/>
        </w:rPr>
        <w:t>الصومال،</w:t>
      </w:r>
      <w:r>
        <w:rPr>
          <w:rtl/>
        </w:rPr>
        <w:t xml:space="preserve"> </w:t>
      </w:r>
      <w:r w:rsidRPr="006571A5">
        <w:rPr>
          <w:rtl/>
        </w:rPr>
        <w:t>تلاحظ</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أن</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تزعم</w:t>
      </w:r>
      <w:r>
        <w:rPr>
          <w:rtl/>
        </w:rPr>
        <w:t xml:space="preserve"> </w:t>
      </w:r>
      <w:r w:rsidRPr="006571A5">
        <w:rPr>
          <w:rtl/>
        </w:rPr>
        <w:t>أنها</w:t>
      </w:r>
      <w:r>
        <w:rPr>
          <w:rtl/>
        </w:rPr>
        <w:t xml:space="preserve"> </w:t>
      </w:r>
      <w:r w:rsidRPr="006571A5">
        <w:rPr>
          <w:rtl/>
        </w:rPr>
        <w:t>ستكون</w:t>
      </w:r>
      <w:r>
        <w:rPr>
          <w:rtl/>
        </w:rPr>
        <w:t xml:space="preserve"> </w:t>
      </w:r>
      <w:r w:rsidRPr="006571A5">
        <w:rPr>
          <w:rtl/>
        </w:rPr>
        <w:t>عرضة</w:t>
      </w:r>
      <w:r>
        <w:rPr>
          <w:rtl/>
        </w:rPr>
        <w:t xml:space="preserve"> </w:t>
      </w:r>
      <w:r w:rsidRPr="006571A5">
        <w:rPr>
          <w:rtl/>
        </w:rPr>
        <w:t>للاضطهاد</w:t>
      </w:r>
      <w:r>
        <w:rPr>
          <w:rtl/>
        </w:rPr>
        <w:t xml:space="preserve"> </w:t>
      </w:r>
      <w:r w:rsidRPr="006571A5">
        <w:rPr>
          <w:rtl/>
        </w:rPr>
        <w:t>الجنساني</w:t>
      </w:r>
      <w:r>
        <w:rPr>
          <w:rtl/>
        </w:rPr>
        <w:t xml:space="preserve"> </w:t>
      </w:r>
      <w:r w:rsidRPr="006571A5">
        <w:rPr>
          <w:rtl/>
        </w:rPr>
        <w:t>في</w:t>
      </w:r>
      <w:r>
        <w:rPr>
          <w:rtl/>
        </w:rPr>
        <w:t xml:space="preserve"> </w:t>
      </w:r>
      <w:r w:rsidRPr="006571A5">
        <w:rPr>
          <w:rtl/>
        </w:rPr>
        <w:t>الصومال</w:t>
      </w:r>
      <w:r>
        <w:rPr>
          <w:rtl/>
        </w:rPr>
        <w:t xml:space="preserve"> </w:t>
      </w:r>
      <w:r w:rsidRPr="006571A5">
        <w:rPr>
          <w:rtl/>
        </w:rPr>
        <w:t>لكونِها</w:t>
      </w:r>
      <w:r>
        <w:rPr>
          <w:rtl/>
        </w:rPr>
        <w:t xml:space="preserve"> </w:t>
      </w:r>
      <w:r w:rsidRPr="006571A5">
        <w:rPr>
          <w:rtl/>
        </w:rPr>
        <w:t>امرأة</w:t>
      </w:r>
      <w:r>
        <w:rPr>
          <w:rtl/>
        </w:rPr>
        <w:t xml:space="preserve"> </w:t>
      </w:r>
      <w:r w:rsidRPr="006571A5">
        <w:rPr>
          <w:rtl/>
        </w:rPr>
        <w:t>عزباء</w:t>
      </w:r>
      <w:r>
        <w:rPr>
          <w:rtl/>
        </w:rPr>
        <w:t xml:space="preserve"> </w:t>
      </w:r>
      <w:r w:rsidRPr="006571A5">
        <w:rPr>
          <w:rtl/>
        </w:rPr>
        <w:t>ليس</w:t>
      </w:r>
      <w:r>
        <w:rPr>
          <w:rtl/>
        </w:rPr>
        <w:t xml:space="preserve"> </w:t>
      </w:r>
      <w:r w:rsidRPr="006571A5">
        <w:rPr>
          <w:rtl/>
        </w:rPr>
        <w:t>لها</w:t>
      </w:r>
      <w:r>
        <w:rPr>
          <w:rtl/>
        </w:rPr>
        <w:t xml:space="preserve"> </w:t>
      </w:r>
      <w:r w:rsidRPr="006571A5">
        <w:rPr>
          <w:rtl/>
        </w:rPr>
        <w:t>شبكة</w:t>
      </w:r>
      <w:r>
        <w:rPr>
          <w:rtl/>
        </w:rPr>
        <w:t xml:space="preserve"> </w:t>
      </w:r>
      <w:r w:rsidRPr="006571A5">
        <w:rPr>
          <w:rtl/>
        </w:rPr>
        <w:t>علاقات</w:t>
      </w:r>
      <w:r>
        <w:rPr>
          <w:rtl/>
        </w:rPr>
        <w:t xml:space="preserve"> </w:t>
      </w:r>
      <w:r w:rsidRPr="006571A5">
        <w:rPr>
          <w:rtl/>
        </w:rPr>
        <w:t>اجتماعية،</w:t>
      </w:r>
      <w:r>
        <w:rPr>
          <w:rtl/>
        </w:rPr>
        <w:t xml:space="preserve"> </w:t>
      </w:r>
      <w:r w:rsidRPr="006571A5">
        <w:rPr>
          <w:rtl/>
        </w:rPr>
        <w:t>وبسبب</w:t>
      </w:r>
      <w:r>
        <w:rPr>
          <w:rtl/>
        </w:rPr>
        <w:t xml:space="preserve"> </w:t>
      </w:r>
      <w:r w:rsidRPr="006571A5">
        <w:rPr>
          <w:rtl/>
        </w:rPr>
        <w:t>انتمائِها</w:t>
      </w:r>
      <w:r>
        <w:rPr>
          <w:rtl/>
        </w:rPr>
        <w:t xml:space="preserve"> </w:t>
      </w:r>
      <w:r w:rsidRPr="006571A5">
        <w:rPr>
          <w:rtl/>
        </w:rPr>
        <w:t>العشائري.</w:t>
      </w:r>
      <w:r>
        <w:rPr>
          <w:rtl/>
        </w:rPr>
        <w:t xml:space="preserve"> </w:t>
      </w:r>
      <w:r w:rsidRPr="006571A5">
        <w:rPr>
          <w:rtl/>
        </w:rPr>
        <w:t>وتشير</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إلى</w:t>
      </w:r>
      <w:r>
        <w:rPr>
          <w:rtl/>
        </w:rPr>
        <w:t xml:space="preserve"> </w:t>
      </w:r>
      <w:r w:rsidRPr="006571A5">
        <w:rPr>
          <w:rtl/>
        </w:rPr>
        <w:t>أن</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كان</w:t>
      </w:r>
      <w:r>
        <w:rPr>
          <w:rtl/>
        </w:rPr>
        <w:t xml:space="preserve"> </w:t>
      </w:r>
      <w:r w:rsidRPr="006571A5">
        <w:rPr>
          <w:rtl/>
        </w:rPr>
        <w:t>على</w:t>
      </w:r>
      <w:r>
        <w:rPr>
          <w:rtl/>
        </w:rPr>
        <w:t xml:space="preserve"> </w:t>
      </w:r>
      <w:r w:rsidRPr="006571A5">
        <w:rPr>
          <w:rtl/>
        </w:rPr>
        <w:t>علم</w:t>
      </w:r>
      <w:r>
        <w:rPr>
          <w:rtl/>
        </w:rPr>
        <w:t xml:space="preserve"> </w:t>
      </w:r>
      <w:r w:rsidRPr="006571A5">
        <w:rPr>
          <w:rtl/>
        </w:rPr>
        <w:t>بالمعلومات،</w:t>
      </w:r>
      <w:r>
        <w:rPr>
          <w:rtl/>
        </w:rPr>
        <w:t xml:space="preserve"> </w:t>
      </w:r>
      <w:r w:rsidRPr="006571A5">
        <w:rPr>
          <w:rtl/>
        </w:rPr>
        <w:t>التي</w:t>
      </w:r>
      <w:r>
        <w:rPr>
          <w:rtl/>
        </w:rPr>
        <w:t xml:space="preserve"> </w:t>
      </w:r>
      <w:r w:rsidRPr="006571A5">
        <w:rPr>
          <w:rtl/>
        </w:rPr>
        <w:t>قدمتها</w:t>
      </w:r>
      <w:r>
        <w:rPr>
          <w:rtl/>
        </w:rPr>
        <w:t xml:space="preserve"> </w:t>
      </w:r>
      <w:r w:rsidRPr="006571A5">
        <w:rPr>
          <w:rtl/>
        </w:rPr>
        <w:t>مفوضية</w:t>
      </w:r>
      <w:r>
        <w:rPr>
          <w:rtl/>
        </w:rPr>
        <w:t xml:space="preserve"> </w:t>
      </w:r>
      <w:r w:rsidRPr="006571A5">
        <w:rPr>
          <w:rtl/>
        </w:rPr>
        <w:t>الأمم</w:t>
      </w:r>
      <w:r>
        <w:rPr>
          <w:rtl/>
        </w:rPr>
        <w:t xml:space="preserve"> </w:t>
      </w:r>
      <w:r w:rsidRPr="006571A5">
        <w:rPr>
          <w:rtl/>
        </w:rPr>
        <w:t>المتحدة</w:t>
      </w:r>
      <w:r>
        <w:rPr>
          <w:rtl/>
        </w:rPr>
        <w:t xml:space="preserve"> </w:t>
      </w:r>
      <w:r w:rsidRPr="006571A5">
        <w:rPr>
          <w:rtl/>
        </w:rPr>
        <w:t>لشؤون</w:t>
      </w:r>
      <w:r>
        <w:rPr>
          <w:rtl/>
        </w:rPr>
        <w:t xml:space="preserve"> </w:t>
      </w:r>
      <w:r w:rsidRPr="006571A5">
        <w:rPr>
          <w:rtl/>
        </w:rPr>
        <w:t>اللاجئين</w:t>
      </w:r>
      <w:r>
        <w:rPr>
          <w:rtl/>
        </w:rPr>
        <w:t xml:space="preserve"> </w:t>
      </w:r>
      <w:r w:rsidRPr="006571A5">
        <w:rPr>
          <w:rtl/>
        </w:rPr>
        <w:t>في</w:t>
      </w:r>
      <w:r>
        <w:rPr>
          <w:rtl/>
        </w:rPr>
        <w:t xml:space="preserve"> </w:t>
      </w:r>
      <w:r w:rsidRPr="006571A5">
        <w:rPr>
          <w:rtl/>
        </w:rPr>
        <w:t>حزيران/يونيه</w:t>
      </w:r>
      <w:r>
        <w:rPr>
          <w:rtl/>
        </w:rPr>
        <w:t xml:space="preserve"> </w:t>
      </w:r>
      <w:r w:rsidRPr="006571A5">
        <w:rPr>
          <w:rtl/>
        </w:rPr>
        <w:t>2014</w:t>
      </w:r>
      <w:r>
        <w:rPr>
          <w:rtl/>
        </w:rPr>
        <w:t xml:space="preserve"> </w:t>
      </w:r>
      <w:r w:rsidRPr="006571A5">
        <w:rPr>
          <w:rtl/>
        </w:rPr>
        <w:t>عن</w:t>
      </w:r>
      <w:r>
        <w:rPr>
          <w:rtl/>
        </w:rPr>
        <w:t xml:space="preserve"> </w:t>
      </w:r>
      <w:r w:rsidRPr="006571A5">
        <w:rPr>
          <w:rtl/>
        </w:rPr>
        <w:t>موقفها</w:t>
      </w:r>
      <w:r>
        <w:rPr>
          <w:rtl/>
        </w:rPr>
        <w:t xml:space="preserve"> </w:t>
      </w:r>
      <w:r w:rsidRPr="006571A5">
        <w:rPr>
          <w:rtl/>
        </w:rPr>
        <w:t>من</w:t>
      </w:r>
      <w:r>
        <w:rPr>
          <w:rtl/>
        </w:rPr>
        <w:t xml:space="preserve"> </w:t>
      </w:r>
      <w:r w:rsidRPr="006571A5">
        <w:rPr>
          <w:rtl/>
        </w:rPr>
        <w:t>عمليات</w:t>
      </w:r>
      <w:r>
        <w:rPr>
          <w:rtl/>
        </w:rPr>
        <w:t xml:space="preserve"> </w:t>
      </w:r>
      <w:r w:rsidRPr="006571A5">
        <w:rPr>
          <w:rtl/>
        </w:rPr>
        <w:t>الإعادة</w:t>
      </w:r>
      <w:r>
        <w:rPr>
          <w:rtl/>
        </w:rPr>
        <w:t xml:space="preserve"> </w:t>
      </w:r>
      <w:r w:rsidRPr="006571A5">
        <w:rPr>
          <w:rtl/>
        </w:rPr>
        <w:t>إلى</w:t>
      </w:r>
      <w:r>
        <w:rPr>
          <w:rtl/>
        </w:rPr>
        <w:t xml:space="preserve"> </w:t>
      </w:r>
      <w:r w:rsidRPr="006571A5">
        <w:rPr>
          <w:rtl/>
        </w:rPr>
        <w:t>جنوب</w:t>
      </w:r>
      <w:r>
        <w:rPr>
          <w:rtl/>
        </w:rPr>
        <w:t xml:space="preserve"> </w:t>
      </w:r>
      <w:r w:rsidRPr="006571A5">
        <w:rPr>
          <w:rtl/>
        </w:rPr>
        <w:t>الصومال</w:t>
      </w:r>
      <w:r>
        <w:rPr>
          <w:rtl/>
        </w:rPr>
        <w:t xml:space="preserve"> </w:t>
      </w:r>
      <w:r w:rsidRPr="006571A5">
        <w:rPr>
          <w:rtl/>
        </w:rPr>
        <w:t>ووسطه،</w:t>
      </w:r>
      <w:r>
        <w:rPr>
          <w:rtl/>
        </w:rPr>
        <w:t xml:space="preserve"> </w:t>
      </w:r>
      <w:r w:rsidRPr="006571A5">
        <w:rPr>
          <w:rtl/>
        </w:rPr>
        <w:t>عندما</w:t>
      </w:r>
      <w:r>
        <w:rPr>
          <w:rtl/>
        </w:rPr>
        <w:t xml:space="preserve"> </w:t>
      </w:r>
      <w:r w:rsidRPr="006571A5">
        <w:rPr>
          <w:rtl/>
        </w:rPr>
        <w:t>اتخذ</w:t>
      </w:r>
      <w:r>
        <w:rPr>
          <w:rtl/>
        </w:rPr>
        <w:t xml:space="preserve"> </w:t>
      </w:r>
      <w:r w:rsidRPr="006571A5">
        <w:rPr>
          <w:rtl/>
        </w:rPr>
        <w:t>قراره</w:t>
      </w:r>
      <w:r>
        <w:rPr>
          <w:rtl/>
        </w:rPr>
        <w:t xml:space="preserve"> </w:t>
      </w:r>
      <w:r w:rsidRPr="006571A5">
        <w:rPr>
          <w:rtl/>
        </w:rPr>
        <w:t>الصادر</w:t>
      </w:r>
      <w:r>
        <w:rPr>
          <w:rtl/>
        </w:rPr>
        <w:t xml:space="preserve"> </w:t>
      </w:r>
      <w:r w:rsidRPr="006571A5">
        <w:rPr>
          <w:rtl/>
        </w:rPr>
        <w:t>في</w:t>
      </w:r>
      <w:r>
        <w:rPr>
          <w:rtl/>
        </w:rPr>
        <w:t xml:space="preserve"> </w:t>
      </w:r>
      <w:r w:rsidRPr="006571A5">
        <w:rPr>
          <w:rtl/>
        </w:rPr>
        <w:t>5</w:t>
      </w:r>
      <w:r>
        <w:rPr>
          <w:rtl/>
        </w:rPr>
        <w:t xml:space="preserve"> </w:t>
      </w:r>
      <w:r w:rsidRPr="006571A5">
        <w:rPr>
          <w:rtl/>
        </w:rPr>
        <w:t>أيلول/سبتمبر</w:t>
      </w:r>
      <w:r>
        <w:rPr>
          <w:rtl/>
        </w:rPr>
        <w:t xml:space="preserve"> </w:t>
      </w:r>
      <w:r w:rsidR="004B1017">
        <w:rPr>
          <w:rtl/>
        </w:rPr>
        <w:t>2015</w:t>
      </w:r>
      <w:r>
        <w:rPr>
          <w:rtl/>
        </w:rPr>
        <w:t xml:space="preserve"> </w:t>
      </w:r>
      <w:r w:rsidRPr="006571A5">
        <w:rPr>
          <w:rtl/>
        </w:rPr>
        <w:t>وأخذ</w:t>
      </w:r>
      <w:r>
        <w:rPr>
          <w:rtl/>
        </w:rPr>
        <w:t xml:space="preserve"> </w:t>
      </w:r>
      <w:r w:rsidRPr="006571A5">
        <w:rPr>
          <w:rtl/>
        </w:rPr>
        <w:t>هذه</w:t>
      </w:r>
      <w:r>
        <w:rPr>
          <w:rtl/>
        </w:rPr>
        <w:t xml:space="preserve"> </w:t>
      </w:r>
      <w:r w:rsidRPr="006571A5">
        <w:rPr>
          <w:rtl/>
        </w:rPr>
        <w:t>المعلومات</w:t>
      </w:r>
      <w:r>
        <w:rPr>
          <w:rtl/>
        </w:rPr>
        <w:t xml:space="preserve"> </w:t>
      </w:r>
      <w:r w:rsidRPr="006571A5">
        <w:rPr>
          <w:rtl/>
        </w:rPr>
        <w:t>وكذلك</w:t>
      </w:r>
      <w:r>
        <w:rPr>
          <w:rtl/>
        </w:rPr>
        <w:t xml:space="preserve"> </w:t>
      </w:r>
      <w:r w:rsidRPr="006571A5">
        <w:rPr>
          <w:rtl/>
        </w:rPr>
        <w:t>وثائق</w:t>
      </w:r>
      <w:r>
        <w:rPr>
          <w:rtl/>
        </w:rPr>
        <w:t xml:space="preserve"> </w:t>
      </w:r>
      <w:r w:rsidRPr="006571A5">
        <w:rPr>
          <w:rtl/>
        </w:rPr>
        <w:t>المعلومات</w:t>
      </w:r>
      <w:r>
        <w:rPr>
          <w:rtl/>
        </w:rPr>
        <w:t xml:space="preserve"> </w:t>
      </w:r>
      <w:r w:rsidRPr="006571A5">
        <w:rPr>
          <w:rtl/>
        </w:rPr>
        <w:t>الأساسية</w:t>
      </w:r>
      <w:r>
        <w:rPr>
          <w:rtl/>
        </w:rPr>
        <w:t xml:space="preserve"> </w:t>
      </w:r>
      <w:r w:rsidRPr="006571A5">
        <w:rPr>
          <w:rtl/>
        </w:rPr>
        <w:t>الأخرى</w:t>
      </w:r>
      <w:r>
        <w:rPr>
          <w:rtl/>
        </w:rPr>
        <w:t xml:space="preserve"> </w:t>
      </w:r>
      <w:r w:rsidRPr="006571A5">
        <w:rPr>
          <w:rtl/>
        </w:rPr>
        <w:t>في</w:t>
      </w:r>
      <w:r>
        <w:rPr>
          <w:rtl/>
        </w:rPr>
        <w:t xml:space="preserve"> </w:t>
      </w:r>
      <w:r w:rsidRPr="006571A5">
        <w:rPr>
          <w:rtl/>
        </w:rPr>
        <w:t>الاعتبار</w:t>
      </w:r>
      <w:r>
        <w:rPr>
          <w:rtl/>
        </w:rPr>
        <w:t xml:space="preserve"> </w:t>
      </w:r>
      <w:r w:rsidRPr="006571A5">
        <w:rPr>
          <w:rtl/>
        </w:rPr>
        <w:t>في</w:t>
      </w:r>
      <w:r>
        <w:rPr>
          <w:rtl/>
        </w:rPr>
        <w:t xml:space="preserve"> </w:t>
      </w:r>
      <w:r w:rsidRPr="006571A5">
        <w:rPr>
          <w:rtl/>
        </w:rPr>
        <w:t>تقييمه.</w:t>
      </w:r>
      <w:r>
        <w:rPr>
          <w:rtl/>
        </w:rPr>
        <w:t xml:space="preserve"> </w:t>
      </w:r>
      <w:r w:rsidRPr="006571A5">
        <w:rPr>
          <w:rtl/>
        </w:rPr>
        <w:t>ولا</w:t>
      </w:r>
      <w:r>
        <w:rPr>
          <w:rtl/>
        </w:rPr>
        <w:t xml:space="preserve"> </w:t>
      </w:r>
      <w:r w:rsidRPr="006571A5">
        <w:rPr>
          <w:rtl/>
        </w:rPr>
        <w:t>ترى</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أن</w:t>
      </w:r>
      <w:r>
        <w:rPr>
          <w:rtl/>
        </w:rPr>
        <w:t xml:space="preserve"> </w:t>
      </w:r>
      <w:r w:rsidRPr="006571A5">
        <w:rPr>
          <w:rtl/>
        </w:rPr>
        <w:t>في</w:t>
      </w:r>
      <w:r>
        <w:rPr>
          <w:rtl/>
        </w:rPr>
        <w:t xml:space="preserve"> </w:t>
      </w:r>
      <w:r w:rsidRPr="006571A5">
        <w:rPr>
          <w:rtl/>
        </w:rPr>
        <w:t>المعلومات</w:t>
      </w:r>
      <w:r>
        <w:rPr>
          <w:rtl/>
        </w:rPr>
        <w:t xml:space="preserve"> </w:t>
      </w:r>
      <w:r w:rsidRPr="006571A5">
        <w:rPr>
          <w:rtl/>
        </w:rPr>
        <w:t>الأساسية</w:t>
      </w:r>
      <w:r>
        <w:rPr>
          <w:rtl/>
        </w:rPr>
        <w:t xml:space="preserve"> </w:t>
      </w:r>
      <w:r w:rsidRPr="006571A5">
        <w:rPr>
          <w:rtl/>
        </w:rPr>
        <w:t>المتاحة</w:t>
      </w:r>
      <w:r>
        <w:rPr>
          <w:rtl/>
        </w:rPr>
        <w:t xml:space="preserve"> </w:t>
      </w:r>
      <w:r w:rsidRPr="006571A5">
        <w:rPr>
          <w:rtl/>
        </w:rPr>
        <w:t>في</w:t>
      </w:r>
      <w:r>
        <w:rPr>
          <w:rtl/>
        </w:rPr>
        <w:t xml:space="preserve"> </w:t>
      </w:r>
      <w:r w:rsidRPr="006571A5">
        <w:rPr>
          <w:rtl/>
        </w:rPr>
        <w:t>الوقت</w:t>
      </w:r>
      <w:r>
        <w:rPr>
          <w:rtl/>
        </w:rPr>
        <w:t xml:space="preserve"> </w:t>
      </w:r>
      <w:r w:rsidRPr="006571A5">
        <w:rPr>
          <w:rtl/>
        </w:rPr>
        <w:t>الراهن</w:t>
      </w:r>
      <w:r>
        <w:rPr>
          <w:rtl/>
        </w:rPr>
        <w:t xml:space="preserve"> </w:t>
      </w:r>
      <w:r w:rsidRPr="006571A5">
        <w:rPr>
          <w:rtl/>
        </w:rPr>
        <w:t>ما</w:t>
      </w:r>
      <w:r>
        <w:rPr>
          <w:rtl/>
        </w:rPr>
        <w:t xml:space="preserve"> </w:t>
      </w:r>
      <w:r w:rsidRPr="006571A5">
        <w:rPr>
          <w:rtl/>
        </w:rPr>
        <w:t>قد</w:t>
      </w:r>
      <w:r>
        <w:rPr>
          <w:rtl/>
        </w:rPr>
        <w:t xml:space="preserve"> </w:t>
      </w:r>
      <w:r w:rsidRPr="006571A5">
        <w:rPr>
          <w:rtl/>
        </w:rPr>
        <w:t>يُفضي</w:t>
      </w:r>
      <w:r>
        <w:rPr>
          <w:rtl/>
        </w:rPr>
        <w:t xml:space="preserve"> </w:t>
      </w:r>
      <w:r w:rsidRPr="006571A5">
        <w:rPr>
          <w:rtl/>
        </w:rPr>
        <w:t>إلى</w:t>
      </w:r>
      <w:r>
        <w:rPr>
          <w:rtl/>
        </w:rPr>
        <w:t xml:space="preserve"> </w:t>
      </w:r>
      <w:r w:rsidRPr="006571A5">
        <w:rPr>
          <w:rtl/>
        </w:rPr>
        <w:t>الاستنتاج</w:t>
      </w:r>
      <w:r>
        <w:rPr>
          <w:rtl/>
        </w:rPr>
        <w:t xml:space="preserve"> </w:t>
      </w:r>
      <w:r w:rsidRPr="006571A5">
        <w:rPr>
          <w:rtl/>
        </w:rPr>
        <w:t>بأن</w:t>
      </w:r>
      <w:r>
        <w:rPr>
          <w:rtl/>
        </w:rPr>
        <w:t xml:space="preserve"> </w:t>
      </w:r>
      <w:r w:rsidRPr="006571A5">
        <w:rPr>
          <w:rtl/>
        </w:rPr>
        <w:t>طبيعة</w:t>
      </w:r>
      <w:r>
        <w:rPr>
          <w:rtl/>
        </w:rPr>
        <w:t xml:space="preserve"> </w:t>
      </w:r>
      <w:r w:rsidRPr="006571A5">
        <w:rPr>
          <w:rtl/>
        </w:rPr>
        <w:t>الحالة</w:t>
      </w:r>
      <w:r>
        <w:rPr>
          <w:rtl/>
        </w:rPr>
        <w:t xml:space="preserve"> </w:t>
      </w:r>
      <w:r w:rsidRPr="006571A5">
        <w:rPr>
          <w:rtl/>
        </w:rPr>
        <w:t>العامة</w:t>
      </w:r>
      <w:r>
        <w:rPr>
          <w:rtl/>
        </w:rPr>
        <w:t xml:space="preserve"> </w:t>
      </w:r>
      <w:r w:rsidRPr="006571A5">
        <w:rPr>
          <w:rtl/>
        </w:rPr>
        <w:t>في</w:t>
      </w:r>
      <w:r>
        <w:rPr>
          <w:rtl/>
        </w:rPr>
        <w:t xml:space="preserve"> </w:t>
      </w:r>
      <w:r w:rsidRPr="006571A5">
        <w:rPr>
          <w:rtl/>
        </w:rPr>
        <w:t>منطقة</w:t>
      </w:r>
      <w:r>
        <w:rPr>
          <w:rtl/>
        </w:rPr>
        <w:t xml:space="preserve"> </w:t>
      </w:r>
      <w:r w:rsidRPr="006571A5">
        <w:rPr>
          <w:rtl/>
        </w:rPr>
        <w:t>جلجدود</w:t>
      </w:r>
      <w:r>
        <w:rPr>
          <w:rtl/>
        </w:rPr>
        <w:t xml:space="preserve"> </w:t>
      </w:r>
      <w:r w:rsidRPr="006571A5">
        <w:rPr>
          <w:rtl/>
        </w:rPr>
        <w:t>بالصومال</w:t>
      </w:r>
      <w:r>
        <w:rPr>
          <w:rtl/>
        </w:rPr>
        <w:t xml:space="preserve"> </w:t>
      </w:r>
      <w:r w:rsidRPr="006571A5">
        <w:rPr>
          <w:rtl/>
        </w:rPr>
        <w:t>هي</w:t>
      </w:r>
      <w:r>
        <w:rPr>
          <w:rtl/>
        </w:rPr>
        <w:t xml:space="preserve"> </w:t>
      </w:r>
      <w:r w:rsidRPr="006571A5">
        <w:rPr>
          <w:rtl/>
        </w:rPr>
        <w:t>لوحدها</w:t>
      </w:r>
      <w:r>
        <w:rPr>
          <w:rtl/>
        </w:rPr>
        <w:t xml:space="preserve"> </w:t>
      </w:r>
      <w:r w:rsidRPr="006571A5">
        <w:rPr>
          <w:rtl/>
        </w:rPr>
        <w:t>مبرِّر</w:t>
      </w:r>
      <w:r>
        <w:rPr>
          <w:rtl/>
        </w:rPr>
        <w:t xml:space="preserve"> </w:t>
      </w:r>
      <w:r w:rsidRPr="006571A5">
        <w:rPr>
          <w:rtl/>
        </w:rPr>
        <w:t>لمنح</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اللجوء</w:t>
      </w:r>
      <w:r>
        <w:rPr>
          <w:rtl/>
        </w:rPr>
        <w:t xml:space="preserve"> </w:t>
      </w:r>
      <w:r w:rsidRPr="006571A5">
        <w:rPr>
          <w:rtl/>
        </w:rPr>
        <w:t>لأنها</w:t>
      </w:r>
      <w:r>
        <w:rPr>
          <w:rtl/>
        </w:rPr>
        <w:t xml:space="preserve"> </w:t>
      </w:r>
      <w:r w:rsidRPr="006571A5">
        <w:rPr>
          <w:rtl/>
        </w:rPr>
        <w:t>قد</w:t>
      </w:r>
      <w:r>
        <w:rPr>
          <w:rtl/>
        </w:rPr>
        <w:t xml:space="preserve"> </w:t>
      </w:r>
      <w:r w:rsidRPr="006571A5">
        <w:rPr>
          <w:rtl/>
        </w:rPr>
        <w:t>تتعرض</w:t>
      </w:r>
      <w:r>
        <w:rPr>
          <w:rtl/>
        </w:rPr>
        <w:t xml:space="preserve"> </w:t>
      </w:r>
      <w:r w:rsidRPr="006571A5">
        <w:rPr>
          <w:rtl/>
        </w:rPr>
        <w:t>للاضطهاد</w:t>
      </w:r>
      <w:r>
        <w:rPr>
          <w:rtl/>
        </w:rPr>
        <w:t xml:space="preserve"> </w:t>
      </w:r>
      <w:r w:rsidRPr="006571A5">
        <w:rPr>
          <w:rtl/>
        </w:rPr>
        <w:t>إذا</w:t>
      </w:r>
      <w:r>
        <w:rPr>
          <w:rtl/>
        </w:rPr>
        <w:t xml:space="preserve"> </w:t>
      </w:r>
      <w:r w:rsidRPr="006571A5">
        <w:rPr>
          <w:rtl/>
        </w:rPr>
        <w:t>أُعيدت</w:t>
      </w:r>
      <w:r>
        <w:rPr>
          <w:rtl/>
        </w:rPr>
        <w:t xml:space="preserve"> </w:t>
      </w:r>
      <w:r w:rsidRPr="006571A5">
        <w:rPr>
          <w:rtl/>
        </w:rPr>
        <w:t>إلى</w:t>
      </w:r>
      <w:r>
        <w:rPr>
          <w:rtl/>
        </w:rPr>
        <w:t xml:space="preserve"> </w:t>
      </w:r>
      <w:r w:rsidRPr="006571A5">
        <w:rPr>
          <w:rtl/>
        </w:rPr>
        <w:t>هناك.</w:t>
      </w:r>
    </w:p>
    <w:p w14:paraId="0AAACC11" w14:textId="54B5CB96" w:rsidR="006571A5" w:rsidRPr="006571A5" w:rsidRDefault="006571A5" w:rsidP="006571A5">
      <w:pPr>
        <w:pStyle w:val="SingleTxt"/>
        <w:rPr>
          <w:rtl/>
        </w:rPr>
      </w:pPr>
      <w:r w:rsidRPr="006571A5">
        <w:rPr>
          <w:rtl/>
        </w:rPr>
        <w:t>4-17</w:t>
      </w:r>
      <w:r w:rsidRPr="006571A5">
        <w:rPr>
          <w:rtl/>
        </w:rPr>
        <w:tab/>
        <w:t>وتضيف</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أنه</w:t>
      </w:r>
      <w:r>
        <w:rPr>
          <w:rtl/>
        </w:rPr>
        <w:t xml:space="preserve"> </w:t>
      </w:r>
      <w:r w:rsidRPr="006571A5">
        <w:rPr>
          <w:rtl/>
        </w:rPr>
        <w:t>إذا</w:t>
      </w:r>
      <w:r>
        <w:rPr>
          <w:rtl/>
        </w:rPr>
        <w:t xml:space="preserve"> </w:t>
      </w:r>
      <w:r w:rsidRPr="006571A5">
        <w:rPr>
          <w:rtl/>
        </w:rPr>
        <w:t>ما</w:t>
      </w:r>
      <w:r>
        <w:rPr>
          <w:rtl/>
        </w:rPr>
        <w:t xml:space="preserve"> </w:t>
      </w:r>
      <w:r w:rsidRPr="006571A5">
        <w:rPr>
          <w:rtl/>
        </w:rPr>
        <w:t>أخذنا</w:t>
      </w:r>
      <w:r>
        <w:rPr>
          <w:rtl/>
        </w:rPr>
        <w:t xml:space="preserve"> </w:t>
      </w:r>
      <w:r w:rsidRPr="006571A5">
        <w:rPr>
          <w:rtl/>
        </w:rPr>
        <w:t>في</w:t>
      </w:r>
      <w:r>
        <w:rPr>
          <w:rtl/>
        </w:rPr>
        <w:t xml:space="preserve"> </w:t>
      </w:r>
      <w:r w:rsidRPr="006571A5">
        <w:rPr>
          <w:rtl/>
        </w:rPr>
        <w:t>الاعتبار</w:t>
      </w:r>
      <w:r>
        <w:rPr>
          <w:rtl/>
        </w:rPr>
        <w:t xml:space="preserve"> </w:t>
      </w:r>
      <w:r w:rsidRPr="006571A5">
        <w:rPr>
          <w:rtl/>
        </w:rPr>
        <w:t>أحدث</w:t>
      </w:r>
      <w:r>
        <w:rPr>
          <w:rtl/>
        </w:rPr>
        <w:t xml:space="preserve"> </w:t>
      </w:r>
      <w:r w:rsidRPr="006571A5">
        <w:rPr>
          <w:rtl/>
        </w:rPr>
        <w:t>المعلومات</w:t>
      </w:r>
      <w:r>
        <w:rPr>
          <w:rtl/>
        </w:rPr>
        <w:t xml:space="preserve"> </w:t>
      </w:r>
      <w:r w:rsidRPr="006571A5">
        <w:rPr>
          <w:rtl/>
        </w:rPr>
        <w:t>الواردة</w:t>
      </w:r>
      <w:r>
        <w:rPr>
          <w:rtl/>
        </w:rPr>
        <w:t xml:space="preserve"> </w:t>
      </w:r>
      <w:r w:rsidRPr="006571A5">
        <w:rPr>
          <w:rtl/>
        </w:rPr>
        <w:t>في</w:t>
      </w:r>
      <w:r>
        <w:rPr>
          <w:rtl/>
        </w:rPr>
        <w:t xml:space="preserve"> </w:t>
      </w:r>
      <w:r w:rsidRPr="006571A5">
        <w:rPr>
          <w:rtl/>
        </w:rPr>
        <w:t>تقرير</w:t>
      </w:r>
      <w:r>
        <w:rPr>
          <w:rtl/>
        </w:rPr>
        <w:t xml:space="preserve"> </w:t>
      </w:r>
      <w:r w:rsidRPr="006571A5">
        <w:rPr>
          <w:rtl/>
        </w:rPr>
        <w:t>الأمين</w:t>
      </w:r>
      <w:r>
        <w:rPr>
          <w:rtl/>
        </w:rPr>
        <w:t xml:space="preserve"> </w:t>
      </w:r>
      <w:r w:rsidRPr="006571A5">
        <w:rPr>
          <w:rtl/>
        </w:rPr>
        <w:t>العام</w:t>
      </w:r>
      <w:r>
        <w:rPr>
          <w:rtl/>
        </w:rPr>
        <w:t xml:space="preserve"> </w:t>
      </w:r>
      <w:r w:rsidRPr="006571A5">
        <w:rPr>
          <w:rtl/>
        </w:rPr>
        <w:t>عن</w:t>
      </w:r>
      <w:r>
        <w:rPr>
          <w:rtl/>
        </w:rPr>
        <w:t xml:space="preserve"> </w:t>
      </w:r>
      <w:r w:rsidRPr="006571A5">
        <w:rPr>
          <w:rtl/>
        </w:rPr>
        <w:t>الصومال</w:t>
      </w:r>
      <w:r>
        <w:rPr>
          <w:rtl/>
        </w:rPr>
        <w:t xml:space="preserve"> </w:t>
      </w:r>
      <w:r w:rsidRPr="006571A5">
        <w:rPr>
          <w:rtl/>
        </w:rPr>
        <w:t>(</w:t>
      </w:r>
      <w:hyperlink r:id="rId17" w:history="1">
        <w:r w:rsidRPr="004B1017">
          <w:rPr>
            <w:rStyle w:val="Hyperlink"/>
            <w:lang w:val="en-GB"/>
          </w:rPr>
          <w:t>S/2015/702</w:t>
        </w:r>
      </w:hyperlink>
      <w:r w:rsidRPr="006571A5">
        <w:rPr>
          <w:rtl/>
        </w:rPr>
        <w:t>)</w:t>
      </w:r>
      <w:r>
        <w:rPr>
          <w:rtl/>
        </w:rPr>
        <w:t xml:space="preserve"> </w:t>
      </w:r>
      <w:r w:rsidRPr="006571A5">
        <w:rPr>
          <w:rtl/>
        </w:rPr>
        <w:t>وتقرير</w:t>
      </w:r>
      <w:r>
        <w:rPr>
          <w:rtl/>
        </w:rPr>
        <w:t xml:space="preserve"> </w:t>
      </w:r>
      <w:r w:rsidRPr="006571A5">
        <w:rPr>
          <w:rtl/>
        </w:rPr>
        <w:t>أيلول/سبتمبر</w:t>
      </w:r>
      <w:r>
        <w:rPr>
          <w:rtl/>
        </w:rPr>
        <w:t xml:space="preserve"> </w:t>
      </w:r>
      <w:r w:rsidR="004B1017">
        <w:rPr>
          <w:rtl/>
        </w:rPr>
        <w:t>2015</w:t>
      </w:r>
      <w:r>
        <w:rPr>
          <w:rtl/>
        </w:rPr>
        <w:t xml:space="preserve"> </w:t>
      </w:r>
      <w:r w:rsidRPr="006571A5">
        <w:rPr>
          <w:rtl/>
        </w:rPr>
        <w:t>الصادر</w:t>
      </w:r>
      <w:r>
        <w:rPr>
          <w:rtl/>
        </w:rPr>
        <w:t xml:space="preserve"> </w:t>
      </w:r>
      <w:r w:rsidRPr="006571A5">
        <w:rPr>
          <w:rtl/>
        </w:rPr>
        <w:t>عن</w:t>
      </w:r>
      <w:r>
        <w:rPr>
          <w:rtl/>
        </w:rPr>
        <w:t xml:space="preserve"> </w:t>
      </w:r>
      <w:r w:rsidRPr="006571A5">
        <w:rPr>
          <w:rtl/>
        </w:rPr>
        <w:t>بعثة</w:t>
      </w:r>
      <w:r>
        <w:rPr>
          <w:rtl/>
        </w:rPr>
        <w:t xml:space="preserve"> </w:t>
      </w:r>
      <w:r w:rsidRPr="006571A5">
        <w:rPr>
          <w:rtl/>
        </w:rPr>
        <w:t>تقصي</w:t>
      </w:r>
      <w:r>
        <w:rPr>
          <w:rtl/>
        </w:rPr>
        <w:t xml:space="preserve"> </w:t>
      </w:r>
      <w:r w:rsidRPr="006571A5">
        <w:rPr>
          <w:rtl/>
        </w:rPr>
        <w:t>الحقائق</w:t>
      </w:r>
      <w:r>
        <w:rPr>
          <w:rtl/>
        </w:rPr>
        <w:t xml:space="preserve"> </w:t>
      </w:r>
      <w:r w:rsidRPr="006571A5">
        <w:rPr>
          <w:rtl/>
        </w:rPr>
        <w:t>التي</w:t>
      </w:r>
      <w:r>
        <w:rPr>
          <w:rtl/>
        </w:rPr>
        <w:t xml:space="preserve"> </w:t>
      </w:r>
      <w:r w:rsidRPr="006571A5">
        <w:rPr>
          <w:rtl/>
        </w:rPr>
        <w:t>أوفدتها</w:t>
      </w:r>
      <w:r>
        <w:rPr>
          <w:rtl/>
        </w:rPr>
        <w:t xml:space="preserve"> </w:t>
      </w:r>
      <w:r w:rsidRPr="006571A5">
        <w:rPr>
          <w:rtl/>
        </w:rPr>
        <w:t>دائرة</w:t>
      </w:r>
      <w:r>
        <w:rPr>
          <w:rtl/>
        </w:rPr>
        <w:t xml:space="preserve"> </w:t>
      </w:r>
      <w:r w:rsidRPr="006571A5">
        <w:rPr>
          <w:rtl/>
        </w:rPr>
        <w:t>الهجرة</w:t>
      </w:r>
      <w:r>
        <w:rPr>
          <w:rtl/>
        </w:rPr>
        <w:t xml:space="preserve"> </w:t>
      </w:r>
      <w:r w:rsidRPr="006571A5">
        <w:rPr>
          <w:rtl/>
        </w:rPr>
        <w:t>إلى</w:t>
      </w:r>
      <w:r>
        <w:rPr>
          <w:rtl/>
        </w:rPr>
        <w:t xml:space="preserve"> </w:t>
      </w:r>
      <w:r w:rsidRPr="006571A5">
        <w:rPr>
          <w:rtl/>
        </w:rPr>
        <w:t>نيروبي</w:t>
      </w:r>
      <w:r>
        <w:rPr>
          <w:rtl/>
        </w:rPr>
        <w:t xml:space="preserve"> </w:t>
      </w:r>
      <w:r w:rsidRPr="006571A5">
        <w:rPr>
          <w:rtl/>
        </w:rPr>
        <w:t>ومقديشو،</w:t>
      </w:r>
      <w:r>
        <w:rPr>
          <w:rtl/>
        </w:rPr>
        <w:t xml:space="preserve"> </w:t>
      </w:r>
      <w:r w:rsidRPr="006571A5">
        <w:rPr>
          <w:rtl/>
        </w:rPr>
        <w:t>يبدو</w:t>
      </w:r>
      <w:r>
        <w:rPr>
          <w:rtl/>
        </w:rPr>
        <w:t xml:space="preserve"> </w:t>
      </w:r>
      <w:r w:rsidRPr="006571A5">
        <w:rPr>
          <w:rtl/>
        </w:rPr>
        <w:t>أن</w:t>
      </w:r>
      <w:r>
        <w:rPr>
          <w:rtl/>
        </w:rPr>
        <w:t xml:space="preserve"> </w:t>
      </w:r>
      <w:r w:rsidRPr="006571A5">
        <w:rPr>
          <w:rtl/>
        </w:rPr>
        <w:t>حركة</w:t>
      </w:r>
      <w:r>
        <w:rPr>
          <w:rtl/>
        </w:rPr>
        <w:t xml:space="preserve"> </w:t>
      </w:r>
      <w:r w:rsidRPr="006571A5">
        <w:rPr>
          <w:rtl/>
        </w:rPr>
        <w:t>الشباب</w:t>
      </w:r>
      <w:r>
        <w:rPr>
          <w:rtl/>
        </w:rPr>
        <w:t xml:space="preserve"> </w:t>
      </w:r>
      <w:r w:rsidRPr="006571A5">
        <w:rPr>
          <w:rtl/>
        </w:rPr>
        <w:t>ليست</w:t>
      </w:r>
      <w:r>
        <w:rPr>
          <w:rtl/>
        </w:rPr>
        <w:t xml:space="preserve"> </w:t>
      </w:r>
      <w:r w:rsidRPr="006571A5">
        <w:rPr>
          <w:rtl/>
        </w:rPr>
        <w:t>السبب</w:t>
      </w:r>
      <w:r>
        <w:rPr>
          <w:rtl/>
        </w:rPr>
        <w:t xml:space="preserve"> </w:t>
      </w:r>
      <w:r w:rsidRPr="006571A5">
        <w:rPr>
          <w:rtl/>
        </w:rPr>
        <w:t>الرئيسي</w:t>
      </w:r>
      <w:r>
        <w:rPr>
          <w:rtl/>
        </w:rPr>
        <w:t xml:space="preserve"> </w:t>
      </w:r>
      <w:r w:rsidRPr="006571A5">
        <w:rPr>
          <w:rtl/>
        </w:rPr>
        <w:t>للنزاع</w:t>
      </w:r>
      <w:r>
        <w:rPr>
          <w:rtl/>
        </w:rPr>
        <w:t xml:space="preserve"> </w:t>
      </w:r>
      <w:r w:rsidRPr="006571A5">
        <w:rPr>
          <w:rtl/>
        </w:rPr>
        <w:t>والعنف</w:t>
      </w:r>
      <w:r>
        <w:rPr>
          <w:rtl/>
        </w:rPr>
        <w:t xml:space="preserve"> </w:t>
      </w:r>
      <w:r w:rsidRPr="006571A5">
        <w:rPr>
          <w:rtl/>
        </w:rPr>
        <w:t>في</w:t>
      </w:r>
      <w:r>
        <w:rPr>
          <w:rtl/>
        </w:rPr>
        <w:t xml:space="preserve"> </w:t>
      </w:r>
      <w:r w:rsidRPr="006571A5">
        <w:rPr>
          <w:rtl/>
        </w:rPr>
        <w:t>منطقة</w:t>
      </w:r>
      <w:r>
        <w:rPr>
          <w:rtl/>
        </w:rPr>
        <w:t xml:space="preserve"> </w:t>
      </w:r>
      <w:r w:rsidRPr="006571A5">
        <w:rPr>
          <w:rtl/>
        </w:rPr>
        <w:t>جلجدود</w:t>
      </w:r>
      <w:r>
        <w:rPr>
          <w:rtl/>
        </w:rPr>
        <w:t xml:space="preserve"> </w:t>
      </w:r>
      <w:r w:rsidRPr="006571A5">
        <w:rPr>
          <w:rtl/>
        </w:rPr>
        <w:t>وإن</w:t>
      </w:r>
      <w:r>
        <w:rPr>
          <w:rtl/>
        </w:rPr>
        <w:t xml:space="preserve"> </w:t>
      </w:r>
      <w:r w:rsidRPr="006571A5">
        <w:rPr>
          <w:rtl/>
        </w:rPr>
        <w:t>كانت</w:t>
      </w:r>
      <w:r>
        <w:rPr>
          <w:rtl/>
        </w:rPr>
        <w:t xml:space="preserve"> </w:t>
      </w:r>
      <w:r w:rsidRPr="006571A5">
        <w:rPr>
          <w:rtl/>
        </w:rPr>
        <w:t>موجودة</w:t>
      </w:r>
      <w:r>
        <w:rPr>
          <w:rtl/>
        </w:rPr>
        <w:t xml:space="preserve"> </w:t>
      </w:r>
      <w:r w:rsidRPr="006571A5">
        <w:rPr>
          <w:rtl/>
        </w:rPr>
        <w:t>هناك.</w:t>
      </w:r>
      <w:r>
        <w:rPr>
          <w:rtl/>
        </w:rPr>
        <w:t xml:space="preserve"> </w:t>
      </w:r>
      <w:r w:rsidRPr="006571A5">
        <w:rPr>
          <w:rtl/>
        </w:rPr>
        <w:t>وتُحيل</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إلى</w:t>
      </w:r>
      <w:r>
        <w:rPr>
          <w:rtl/>
        </w:rPr>
        <w:t xml:space="preserve"> </w:t>
      </w:r>
      <w:r w:rsidRPr="006571A5">
        <w:rPr>
          <w:rtl/>
        </w:rPr>
        <w:t>خريطة</w:t>
      </w:r>
      <w:r>
        <w:rPr>
          <w:rtl/>
        </w:rPr>
        <w:t xml:space="preserve"> </w:t>
      </w:r>
      <w:r w:rsidRPr="006571A5">
        <w:rPr>
          <w:rtl/>
        </w:rPr>
        <w:t>للحالة</w:t>
      </w:r>
      <w:r>
        <w:rPr>
          <w:rtl/>
        </w:rPr>
        <w:t xml:space="preserve"> </w:t>
      </w:r>
      <w:r w:rsidRPr="006571A5">
        <w:rPr>
          <w:rtl/>
        </w:rPr>
        <w:t>الأمنية</w:t>
      </w:r>
      <w:r>
        <w:rPr>
          <w:rtl/>
        </w:rPr>
        <w:t xml:space="preserve"> </w:t>
      </w:r>
      <w:r w:rsidRPr="006571A5">
        <w:rPr>
          <w:rtl/>
        </w:rPr>
        <w:t>نشرها</w:t>
      </w:r>
      <w:r>
        <w:rPr>
          <w:rtl/>
        </w:rPr>
        <w:t xml:space="preserve"> </w:t>
      </w:r>
      <w:r w:rsidRPr="006571A5">
        <w:rPr>
          <w:rtl/>
        </w:rPr>
        <w:lastRenderedPageBreak/>
        <w:t>المكتب</w:t>
      </w:r>
      <w:r>
        <w:rPr>
          <w:rtl/>
        </w:rPr>
        <w:t xml:space="preserve"> </w:t>
      </w:r>
      <w:r w:rsidRPr="006571A5">
        <w:rPr>
          <w:rtl/>
        </w:rPr>
        <w:t>الاتحادي</w:t>
      </w:r>
      <w:r>
        <w:rPr>
          <w:rtl/>
        </w:rPr>
        <w:t xml:space="preserve"> </w:t>
      </w:r>
      <w:r w:rsidRPr="006571A5">
        <w:rPr>
          <w:rtl/>
        </w:rPr>
        <w:t>النمساوي</w:t>
      </w:r>
      <w:r>
        <w:rPr>
          <w:rtl/>
        </w:rPr>
        <w:t xml:space="preserve"> </w:t>
      </w:r>
      <w:r w:rsidRPr="006571A5">
        <w:rPr>
          <w:rtl/>
        </w:rPr>
        <w:t>للهجرة</w:t>
      </w:r>
      <w:r>
        <w:rPr>
          <w:rtl/>
        </w:rPr>
        <w:t xml:space="preserve"> </w:t>
      </w:r>
      <w:r w:rsidRPr="006571A5">
        <w:rPr>
          <w:rtl/>
        </w:rPr>
        <w:t>واللجوء</w:t>
      </w:r>
      <w:r>
        <w:rPr>
          <w:rtl/>
        </w:rPr>
        <w:t xml:space="preserve"> </w:t>
      </w:r>
      <w:r w:rsidRPr="006571A5">
        <w:rPr>
          <w:rtl/>
        </w:rPr>
        <w:t>في</w:t>
      </w:r>
      <w:r>
        <w:rPr>
          <w:rtl/>
        </w:rPr>
        <w:t xml:space="preserve"> </w:t>
      </w:r>
      <w:r w:rsidR="004B1017">
        <w:rPr>
          <w:rtl/>
        </w:rPr>
        <w:t>12</w:t>
      </w:r>
      <w:r>
        <w:rPr>
          <w:rtl/>
        </w:rPr>
        <w:t xml:space="preserve"> </w:t>
      </w:r>
      <w:r w:rsidRPr="006571A5">
        <w:rPr>
          <w:rtl/>
        </w:rPr>
        <w:t>تشرين</w:t>
      </w:r>
      <w:r>
        <w:rPr>
          <w:rtl/>
        </w:rPr>
        <w:t xml:space="preserve"> </w:t>
      </w:r>
      <w:r w:rsidRPr="006571A5">
        <w:rPr>
          <w:rtl/>
        </w:rPr>
        <w:t>الأول/أكتوبر</w:t>
      </w:r>
      <w:r>
        <w:rPr>
          <w:rtl/>
        </w:rPr>
        <w:t xml:space="preserve"> </w:t>
      </w:r>
      <w:r w:rsidR="004B1017">
        <w:rPr>
          <w:rtl/>
        </w:rPr>
        <w:t>2015</w:t>
      </w:r>
      <w:r>
        <w:rPr>
          <w:rtl/>
        </w:rPr>
        <w:t xml:space="preserve"> </w:t>
      </w:r>
      <w:r w:rsidRPr="006571A5">
        <w:rPr>
          <w:rtl/>
        </w:rPr>
        <w:t>ويتبين</w:t>
      </w:r>
      <w:r>
        <w:rPr>
          <w:rtl/>
        </w:rPr>
        <w:t xml:space="preserve"> </w:t>
      </w:r>
      <w:r w:rsidRPr="006571A5">
        <w:rPr>
          <w:rtl/>
        </w:rPr>
        <w:t>منها</w:t>
      </w:r>
      <w:r>
        <w:rPr>
          <w:rtl/>
        </w:rPr>
        <w:t xml:space="preserve"> </w:t>
      </w:r>
      <w:r w:rsidRPr="006571A5">
        <w:rPr>
          <w:rtl/>
        </w:rPr>
        <w:t>أيضا</w:t>
      </w:r>
      <w:r>
        <w:rPr>
          <w:rtl/>
        </w:rPr>
        <w:t xml:space="preserve"> </w:t>
      </w:r>
      <w:r w:rsidRPr="006571A5">
        <w:rPr>
          <w:rtl/>
        </w:rPr>
        <w:t>أن</w:t>
      </w:r>
      <w:r>
        <w:rPr>
          <w:rtl/>
        </w:rPr>
        <w:t xml:space="preserve"> </w:t>
      </w:r>
      <w:r w:rsidRPr="006571A5">
        <w:rPr>
          <w:rtl/>
        </w:rPr>
        <w:t>القوات</w:t>
      </w:r>
      <w:r>
        <w:rPr>
          <w:rtl/>
        </w:rPr>
        <w:t xml:space="preserve"> </w:t>
      </w:r>
      <w:r w:rsidRPr="006571A5">
        <w:rPr>
          <w:rtl/>
        </w:rPr>
        <w:t>الحكومية</w:t>
      </w:r>
      <w:r>
        <w:rPr>
          <w:rtl/>
        </w:rPr>
        <w:t xml:space="preserve"> </w:t>
      </w:r>
      <w:r w:rsidRPr="006571A5">
        <w:rPr>
          <w:rtl/>
        </w:rPr>
        <w:t>تسيطر</w:t>
      </w:r>
      <w:r>
        <w:rPr>
          <w:rtl/>
        </w:rPr>
        <w:t xml:space="preserve"> </w:t>
      </w:r>
      <w:r w:rsidRPr="006571A5">
        <w:rPr>
          <w:rtl/>
        </w:rPr>
        <w:t>على</w:t>
      </w:r>
      <w:r>
        <w:rPr>
          <w:rtl/>
        </w:rPr>
        <w:t xml:space="preserve"> </w:t>
      </w:r>
      <w:r w:rsidRPr="006571A5">
        <w:rPr>
          <w:rtl/>
        </w:rPr>
        <w:t>منطقة</w:t>
      </w:r>
      <w:r>
        <w:rPr>
          <w:rtl/>
        </w:rPr>
        <w:t xml:space="preserve"> </w:t>
      </w:r>
      <w:r w:rsidRPr="006571A5">
        <w:rPr>
          <w:rtl/>
        </w:rPr>
        <w:t>جلجدود.</w:t>
      </w:r>
    </w:p>
    <w:p w14:paraId="55635176" w14:textId="5F9DC737" w:rsidR="006571A5" w:rsidRPr="006571A5" w:rsidRDefault="006571A5" w:rsidP="006571A5">
      <w:pPr>
        <w:pStyle w:val="SingleTxt"/>
        <w:rPr>
          <w:rtl/>
        </w:rPr>
      </w:pPr>
      <w:r w:rsidRPr="006571A5">
        <w:rPr>
          <w:rtl/>
        </w:rPr>
        <w:t>4-18</w:t>
      </w:r>
      <w:r w:rsidRPr="006571A5">
        <w:rPr>
          <w:rtl/>
        </w:rPr>
        <w:tab/>
        <w:t>وتضيف</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أن</w:t>
      </w:r>
      <w:r>
        <w:rPr>
          <w:rtl/>
        </w:rPr>
        <w:t xml:space="preserve"> </w:t>
      </w:r>
      <w:r w:rsidRPr="006571A5">
        <w:rPr>
          <w:rtl/>
        </w:rPr>
        <w:t>المحكمة</w:t>
      </w:r>
      <w:r>
        <w:rPr>
          <w:rtl/>
        </w:rPr>
        <w:t xml:space="preserve"> </w:t>
      </w:r>
      <w:r w:rsidRPr="006571A5">
        <w:rPr>
          <w:rtl/>
        </w:rPr>
        <w:t>الأوروبية</w:t>
      </w:r>
      <w:r>
        <w:rPr>
          <w:rtl/>
        </w:rPr>
        <w:t xml:space="preserve"> </w:t>
      </w:r>
      <w:r w:rsidRPr="006571A5">
        <w:rPr>
          <w:rtl/>
        </w:rPr>
        <w:t>لحقوق</w:t>
      </w:r>
      <w:r>
        <w:rPr>
          <w:rtl/>
        </w:rPr>
        <w:t xml:space="preserve"> </w:t>
      </w:r>
      <w:r w:rsidRPr="006571A5">
        <w:rPr>
          <w:rtl/>
        </w:rPr>
        <w:t>الإنسان</w:t>
      </w:r>
      <w:r>
        <w:rPr>
          <w:rtl/>
        </w:rPr>
        <w:t xml:space="preserve"> </w:t>
      </w:r>
      <w:r w:rsidRPr="006571A5">
        <w:rPr>
          <w:rtl/>
        </w:rPr>
        <w:t>استدلت،</w:t>
      </w:r>
      <w:r>
        <w:rPr>
          <w:rtl/>
        </w:rPr>
        <w:t xml:space="preserve"> </w:t>
      </w:r>
      <w:r w:rsidRPr="006571A5">
        <w:rPr>
          <w:rtl/>
        </w:rPr>
        <w:t>في</w:t>
      </w:r>
      <w:r>
        <w:rPr>
          <w:rtl/>
        </w:rPr>
        <w:t xml:space="preserve"> </w:t>
      </w:r>
      <w:r w:rsidRPr="006571A5">
        <w:rPr>
          <w:rtl/>
        </w:rPr>
        <w:t>حكمها</w:t>
      </w:r>
      <w:r>
        <w:rPr>
          <w:rtl/>
        </w:rPr>
        <w:t xml:space="preserve"> </w:t>
      </w:r>
      <w:r w:rsidRPr="006571A5">
        <w:rPr>
          <w:rtl/>
        </w:rPr>
        <w:t>الصادر</w:t>
      </w:r>
      <w:r>
        <w:rPr>
          <w:rtl/>
        </w:rPr>
        <w:t xml:space="preserve"> </w:t>
      </w:r>
      <w:r w:rsidRPr="006571A5">
        <w:rPr>
          <w:rtl/>
        </w:rPr>
        <w:t>في</w:t>
      </w:r>
      <w:r>
        <w:rPr>
          <w:rtl/>
        </w:rPr>
        <w:t xml:space="preserve"> </w:t>
      </w:r>
      <w:r w:rsidRPr="006571A5">
        <w:rPr>
          <w:rtl/>
        </w:rPr>
        <w:t>قضية</w:t>
      </w:r>
      <w:r>
        <w:rPr>
          <w:rtl/>
        </w:rPr>
        <w:t xml:space="preserve"> </w:t>
      </w:r>
      <w:r w:rsidRPr="006571A5">
        <w:rPr>
          <w:i/>
          <w:iCs/>
          <w:rtl/>
        </w:rPr>
        <w:t>ر.</w:t>
      </w:r>
      <w:r>
        <w:rPr>
          <w:i/>
          <w:iCs/>
          <w:rtl/>
        </w:rPr>
        <w:t xml:space="preserve"> </w:t>
      </w:r>
      <w:r w:rsidRPr="006571A5">
        <w:rPr>
          <w:i/>
          <w:iCs/>
          <w:rtl/>
        </w:rPr>
        <w:t>ه.</w:t>
      </w:r>
      <w:r>
        <w:rPr>
          <w:i/>
          <w:iCs/>
          <w:rtl/>
        </w:rPr>
        <w:t xml:space="preserve"> </w:t>
      </w:r>
      <w:r w:rsidRPr="006571A5">
        <w:rPr>
          <w:i/>
          <w:iCs/>
          <w:rtl/>
        </w:rPr>
        <w:t>ضد</w:t>
      </w:r>
      <w:r>
        <w:rPr>
          <w:i/>
          <w:iCs/>
          <w:rtl/>
        </w:rPr>
        <w:t xml:space="preserve"> </w:t>
      </w:r>
      <w:r w:rsidRPr="006571A5">
        <w:rPr>
          <w:i/>
          <w:iCs/>
          <w:rtl/>
        </w:rPr>
        <w:t>السويد</w:t>
      </w:r>
      <w:r w:rsidR="004B1017" w:rsidRPr="004B1017">
        <w:rPr>
          <w:szCs w:val="30"/>
          <w:vertAlign w:val="superscript"/>
          <w:rtl/>
        </w:rPr>
        <w:t>(</w:t>
      </w:r>
      <w:r w:rsidR="004B1017" w:rsidRPr="004B1017">
        <w:rPr>
          <w:rStyle w:val="FootnoteReference"/>
          <w:szCs w:val="30"/>
          <w:rtl/>
        </w:rPr>
        <w:footnoteReference w:id="5"/>
      </w:r>
      <w:r w:rsidR="004B1017" w:rsidRPr="004B1017">
        <w:rPr>
          <w:szCs w:val="30"/>
          <w:vertAlign w:val="superscript"/>
          <w:rtl/>
        </w:rPr>
        <w:t>)</w:t>
      </w:r>
      <w:r w:rsidRPr="006571A5">
        <w:rPr>
          <w:rtl/>
        </w:rPr>
        <w:t>،</w:t>
      </w:r>
      <w:r>
        <w:rPr>
          <w:rtl/>
        </w:rPr>
        <w:t xml:space="preserve"> </w:t>
      </w:r>
      <w:r w:rsidRPr="006571A5">
        <w:rPr>
          <w:rtl/>
        </w:rPr>
        <w:t>بأنه</w:t>
      </w:r>
      <w:r>
        <w:rPr>
          <w:rtl/>
        </w:rPr>
        <w:t xml:space="preserve"> </w:t>
      </w:r>
      <w:r w:rsidRPr="006571A5">
        <w:rPr>
          <w:rtl/>
        </w:rPr>
        <w:t>يجوز</w:t>
      </w:r>
      <w:r>
        <w:rPr>
          <w:rtl/>
        </w:rPr>
        <w:t xml:space="preserve"> </w:t>
      </w:r>
      <w:r w:rsidRPr="006571A5">
        <w:rPr>
          <w:rtl/>
        </w:rPr>
        <w:t>الاستنتاج</w:t>
      </w:r>
      <w:r>
        <w:rPr>
          <w:rtl/>
        </w:rPr>
        <w:t xml:space="preserve"> </w:t>
      </w:r>
      <w:r w:rsidRPr="006571A5">
        <w:rPr>
          <w:rtl/>
        </w:rPr>
        <w:t>أن</w:t>
      </w:r>
      <w:r>
        <w:rPr>
          <w:rtl/>
        </w:rPr>
        <w:t xml:space="preserve"> </w:t>
      </w:r>
      <w:r w:rsidRPr="006571A5">
        <w:rPr>
          <w:rtl/>
        </w:rPr>
        <w:t>امرأة</w:t>
      </w:r>
      <w:r>
        <w:rPr>
          <w:rtl/>
        </w:rPr>
        <w:t xml:space="preserve"> </w:t>
      </w:r>
      <w:r w:rsidRPr="006571A5">
        <w:rPr>
          <w:rtl/>
        </w:rPr>
        <w:t>عزباء</w:t>
      </w:r>
      <w:r>
        <w:rPr>
          <w:rtl/>
        </w:rPr>
        <w:t xml:space="preserve"> </w:t>
      </w:r>
      <w:r w:rsidRPr="006571A5">
        <w:rPr>
          <w:rtl/>
        </w:rPr>
        <w:t>تعود</w:t>
      </w:r>
      <w:r>
        <w:rPr>
          <w:rtl/>
        </w:rPr>
        <w:t xml:space="preserve"> </w:t>
      </w:r>
      <w:r w:rsidRPr="006571A5">
        <w:rPr>
          <w:rtl/>
        </w:rPr>
        <w:t>إلى</w:t>
      </w:r>
      <w:r>
        <w:rPr>
          <w:rtl/>
        </w:rPr>
        <w:t xml:space="preserve"> </w:t>
      </w:r>
      <w:r w:rsidRPr="006571A5">
        <w:rPr>
          <w:rtl/>
        </w:rPr>
        <w:t>مقديشو</w:t>
      </w:r>
      <w:r>
        <w:rPr>
          <w:rtl/>
        </w:rPr>
        <w:t xml:space="preserve"> </w:t>
      </w:r>
      <w:r w:rsidRPr="006571A5">
        <w:rPr>
          <w:rtl/>
        </w:rPr>
        <w:t>دون</w:t>
      </w:r>
      <w:r>
        <w:rPr>
          <w:rtl/>
        </w:rPr>
        <w:t xml:space="preserve"> </w:t>
      </w:r>
      <w:r w:rsidRPr="006571A5">
        <w:rPr>
          <w:rtl/>
        </w:rPr>
        <w:t>أن</w:t>
      </w:r>
      <w:r>
        <w:rPr>
          <w:rtl/>
        </w:rPr>
        <w:t xml:space="preserve"> </w:t>
      </w:r>
      <w:r w:rsidRPr="006571A5">
        <w:rPr>
          <w:rtl/>
        </w:rPr>
        <w:t>تتوفر</w:t>
      </w:r>
      <w:r>
        <w:rPr>
          <w:rtl/>
        </w:rPr>
        <w:t xml:space="preserve"> </w:t>
      </w:r>
      <w:r w:rsidRPr="006571A5">
        <w:rPr>
          <w:rtl/>
        </w:rPr>
        <w:t>لها</w:t>
      </w:r>
      <w:r>
        <w:rPr>
          <w:rtl/>
        </w:rPr>
        <w:t xml:space="preserve"> </w:t>
      </w:r>
      <w:r w:rsidRPr="006571A5">
        <w:rPr>
          <w:rtl/>
        </w:rPr>
        <w:t>حماية</w:t>
      </w:r>
      <w:r>
        <w:rPr>
          <w:rtl/>
        </w:rPr>
        <w:t xml:space="preserve"> </w:t>
      </w:r>
      <w:r w:rsidRPr="006571A5">
        <w:rPr>
          <w:rtl/>
        </w:rPr>
        <w:t>من</w:t>
      </w:r>
      <w:r>
        <w:rPr>
          <w:rtl/>
        </w:rPr>
        <w:t xml:space="preserve"> </w:t>
      </w:r>
      <w:r w:rsidRPr="006571A5">
        <w:rPr>
          <w:rtl/>
        </w:rPr>
        <w:t>شبكة</w:t>
      </w:r>
      <w:r>
        <w:rPr>
          <w:rtl/>
        </w:rPr>
        <w:t xml:space="preserve"> </w:t>
      </w:r>
      <w:r w:rsidRPr="006571A5">
        <w:rPr>
          <w:rtl/>
        </w:rPr>
        <w:t>من</w:t>
      </w:r>
      <w:r>
        <w:rPr>
          <w:rtl/>
        </w:rPr>
        <w:t xml:space="preserve"> </w:t>
      </w:r>
      <w:r w:rsidRPr="006571A5">
        <w:rPr>
          <w:rtl/>
        </w:rPr>
        <w:t>الذكور</w:t>
      </w:r>
      <w:r>
        <w:rPr>
          <w:rtl/>
        </w:rPr>
        <w:t xml:space="preserve"> </w:t>
      </w:r>
      <w:r w:rsidRPr="006571A5">
        <w:rPr>
          <w:rtl/>
        </w:rPr>
        <w:t>ستواجه</w:t>
      </w:r>
      <w:r>
        <w:rPr>
          <w:rtl/>
        </w:rPr>
        <w:t xml:space="preserve"> </w:t>
      </w:r>
      <w:r w:rsidRPr="006571A5">
        <w:rPr>
          <w:rtl/>
        </w:rPr>
        <w:t>حقاً</w:t>
      </w:r>
      <w:r>
        <w:rPr>
          <w:rtl/>
        </w:rPr>
        <w:t xml:space="preserve"> </w:t>
      </w:r>
      <w:r w:rsidRPr="006571A5">
        <w:rPr>
          <w:rtl/>
        </w:rPr>
        <w:t>خطر</w:t>
      </w:r>
      <w:r>
        <w:rPr>
          <w:rtl/>
        </w:rPr>
        <w:t xml:space="preserve"> </w:t>
      </w:r>
      <w:r w:rsidRPr="006571A5">
        <w:rPr>
          <w:rtl/>
        </w:rPr>
        <w:t>العيش</w:t>
      </w:r>
      <w:r>
        <w:rPr>
          <w:rtl/>
        </w:rPr>
        <w:t xml:space="preserve"> </w:t>
      </w:r>
      <w:r w:rsidRPr="006571A5">
        <w:rPr>
          <w:rtl/>
        </w:rPr>
        <w:t>في</w:t>
      </w:r>
      <w:r>
        <w:rPr>
          <w:rtl/>
        </w:rPr>
        <w:t xml:space="preserve"> </w:t>
      </w:r>
      <w:r w:rsidRPr="006571A5">
        <w:rPr>
          <w:rtl/>
        </w:rPr>
        <w:t>ظروف</w:t>
      </w:r>
      <w:r>
        <w:rPr>
          <w:rtl/>
        </w:rPr>
        <w:t xml:space="preserve"> </w:t>
      </w:r>
      <w:r w:rsidRPr="006571A5">
        <w:rPr>
          <w:rtl/>
        </w:rPr>
        <w:t>تشكل</w:t>
      </w:r>
      <w:r>
        <w:rPr>
          <w:rtl/>
        </w:rPr>
        <w:t xml:space="preserve"> </w:t>
      </w:r>
      <w:r w:rsidRPr="006571A5">
        <w:rPr>
          <w:rtl/>
        </w:rPr>
        <w:t>ضربا</w:t>
      </w:r>
      <w:r>
        <w:rPr>
          <w:rtl/>
        </w:rPr>
        <w:t xml:space="preserve"> </w:t>
      </w:r>
      <w:r w:rsidRPr="006571A5">
        <w:rPr>
          <w:rtl/>
        </w:rPr>
        <w:t>من</w:t>
      </w:r>
      <w:r>
        <w:rPr>
          <w:rtl/>
        </w:rPr>
        <w:t xml:space="preserve"> </w:t>
      </w:r>
      <w:r w:rsidRPr="006571A5">
        <w:rPr>
          <w:rtl/>
        </w:rPr>
        <w:t>ضروب</w:t>
      </w:r>
      <w:r>
        <w:rPr>
          <w:rtl/>
        </w:rPr>
        <w:t xml:space="preserve"> </w:t>
      </w:r>
      <w:r w:rsidRPr="006571A5">
        <w:rPr>
          <w:rtl/>
        </w:rPr>
        <w:t>المعاملة</w:t>
      </w:r>
      <w:r>
        <w:rPr>
          <w:rtl/>
        </w:rPr>
        <w:t xml:space="preserve"> </w:t>
      </w:r>
      <w:r w:rsidRPr="006571A5">
        <w:rPr>
          <w:rtl/>
        </w:rPr>
        <w:t>اللاإنسانية</w:t>
      </w:r>
      <w:r>
        <w:rPr>
          <w:rtl/>
        </w:rPr>
        <w:t xml:space="preserve"> </w:t>
      </w:r>
      <w:r w:rsidRPr="006571A5">
        <w:rPr>
          <w:rtl/>
        </w:rPr>
        <w:t>والمهينة</w:t>
      </w:r>
      <w:r>
        <w:rPr>
          <w:rtl/>
        </w:rPr>
        <w:t xml:space="preserve"> </w:t>
      </w:r>
      <w:r w:rsidRPr="006571A5">
        <w:rPr>
          <w:rtl/>
        </w:rPr>
        <w:t>بموجب</w:t>
      </w:r>
      <w:r>
        <w:rPr>
          <w:rtl/>
        </w:rPr>
        <w:t xml:space="preserve"> </w:t>
      </w:r>
      <w:r w:rsidRPr="006571A5">
        <w:rPr>
          <w:rtl/>
        </w:rPr>
        <w:t>المادة</w:t>
      </w:r>
      <w:r>
        <w:rPr>
          <w:rtl/>
        </w:rPr>
        <w:t xml:space="preserve"> </w:t>
      </w:r>
      <w:r w:rsidRPr="006571A5">
        <w:rPr>
          <w:rtl/>
        </w:rPr>
        <w:t>3</w:t>
      </w:r>
      <w:r>
        <w:rPr>
          <w:rtl/>
        </w:rPr>
        <w:t xml:space="preserve"> </w:t>
      </w:r>
      <w:r w:rsidRPr="006571A5">
        <w:rPr>
          <w:rtl/>
        </w:rPr>
        <w:t>من</w:t>
      </w:r>
      <w:r>
        <w:rPr>
          <w:rtl/>
        </w:rPr>
        <w:t xml:space="preserve"> </w:t>
      </w:r>
      <w:r w:rsidRPr="006571A5">
        <w:rPr>
          <w:rtl/>
        </w:rPr>
        <w:t>الاتفاقية.</w:t>
      </w:r>
      <w:r>
        <w:rPr>
          <w:rtl/>
        </w:rPr>
        <w:t xml:space="preserve"> </w:t>
      </w:r>
      <w:r w:rsidRPr="006571A5">
        <w:rPr>
          <w:rtl/>
        </w:rPr>
        <w:t>إلاّ</w:t>
      </w:r>
      <w:r>
        <w:rPr>
          <w:rtl/>
        </w:rPr>
        <w:t xml:space="preserve"> </w:t>
      </w:r>
      <w:r w:rsidRPr="006571A5">
        <w:rPr>
          <w:rtl/>
        </w:rPr>
        <w:t>أن</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ترى</w:t>
      </w:r>
      <w:r>
        <w:rPr>
          <w:rtl/>
        </w:rPr>
        <w:t xml:space="preserve"> </w:t>
      </w:r>
      <w:r w:rsidRPr="006571A5">
        <w:rPr>
          <w:rtl/>
        </w:rPr>
        <w:t>أن</w:t>
      </w:r>
      <w:r>
        <w:rPr>
          <w:rtl/>
        </w:rPr>
        <w:t xml:space="preserve"> </w:t>
      </w:r>
      <w:r w:rsidRPr="006571A5">
        <w:rPr>
          <w:rtl/>
        </w:rPr>
        <w:t>ذلك</w:t>
      </w:r>
      <w:r>
        <w:rPr>
          <w:rtl/>
        </w:rPr>
        <w:t xml:space="preserve"> </w:t>
      </w:r>
      <w:r w:rsidRPr="006571A5">
        <w:rPr>
          <w:rtl/>
        </w:rPr>
        <w:t>الاستدلال</w:t>
      </w:r>
      <w:r>
        <w:rPr>
          <w:rtl/>
        </w:rPr>
        <w:t xml:space="preserve"> </w:t>
      </w:r>
      <w:r w:rsidRPr="006571A5">
        <w:rPr>
          <w:rtl/>
        </w:rPr>
        <w:t>لا</w:t>
      </w:r>
      <w:r>
        <w:rPr>
          <w:rtl/>
        </w:rPr>
        <w:t xml:space="preserve"> </w:t>
      </w:r>
      <w:r w:rsidRPr="006571A5">
        <w:rPr>
          <w:rtl/>
        </w:rPr>
        <w:t>يفضي</w:t>
      </w:r>
      <w:r>
        <w:rPr>
          <w:rtl/>
        </w:rPr>
        <w:t xml:space="preserve"> </w:t>
      </w:r>
      <w:r w:rsidRPr="006571A5">
        <w:rPr>
          <w:rtl/>
        </w:rPr>
        <w:t>إلى</w:t>
      </w:r>
      <w:r>
        <w:rPr>
          <w:rtl/>
        </w:rPr>
        <w:t xml:space="preserve"> </w:t>
      </w:r>
      <w:r w:rsidRPr="006571A5">
        <w:rPr>
          <w:rtl/>
        </w:rPr>
        <w:t>تقييم</w:t>
      </w:r>
      <w:r>
        <w:rPr>
          <w:rtl/>
        </w:rPr>
        <w:t xml:space="preserve"> </w:t>
      </w:r>
      <w:r w:rsidRPr="006571A5">
        <w:rPr>
          <w:rtl/>
        </w:rPr>
        <w:t>مختلف</w:t>
      </w:r>
      <w:r>
        <w:rPr>
          <w:rtl/>
        </w:rPr>
        <w:t xml:space="preserve"> </w:t>
      </w:r>
      <w:r w:rsidRPr="006571A5">
        <w:rPr>
          <w:rtl/>
        </w:rPr>
        <w:t>في</w:t>
      </w:r>
      <w:r>
        <w:rPr>
          <w:rtl/>
        </w:rPr>
        <w:t xml:space="preserve"> </w:t>
      </w:r>
      <w:r w:rsidRPr="006571A5">
        <w:rPr>
          <w:rtl/>
        </w:rPr>
        <w:t>القضية</w:t>
      </w:r>
      <w:r>
        <w:rPr>
          <w:rtl/>
        </w:rPr>
        <w:t xml:space="preserve"> </w:t>
      </w:r>
      <w:r w:rsidRPr="006571A5">
        <w:rPr>
          <w:rtl/>
        </w:rPr>
        <w:t>قيد</w:t>
      </w:r>
      <w:r>
        <w:rPr>
          <w:rtl/>
        </w:rPr>
        <w:t xml:space="preserve"> </w:t>
      </w:r>
      <w:r w:rsidRPr="006571A5">
        <w:rPr>
          <w:rtl/>
        </w:rPr>
        <w:t>النظر،</w:t>
      </w:r>
      <w:r>
        <w:rPr>
          <w:rtl/>
        </w:rPr>
        <w:t xml:space="preserve"> </w:t>
      </w:r>
      <w:r w:rsidRPr="006571A5">
        <w:rPr>
          <w:rtl/>
        </w:rPr>
        <w:t>لأن</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لم</w:t>
      </w:r>
      <w:r>
        <w:rPr>
          <w:rtl/>
        </w:rPr>
        <w:t xml:space="preserve"> </w:t>
      </w:r>
      <w:r w:rsidRPr="006571A5">
        <w:rPr>
          <w:rtl/>
        </w:rPr>
        <w:t>تثبت</w:t>
      </w:r>
      <w:r>
        <w:rPr>
          <w:rtl/>
        </w:rPr>
        <w:t xml:space="preserve"> </w:t>
      </w:r>
      <w:r w:rsidRPr="006571A5">
        <w:rPr>
          <w:rtl/>
        </w:rPr>
        <w:t>أنها</w:t>
      </w:r>
      <w:r>
        <w:rPr>
          <w:rtl/>
        </w:rPr>
        <w:t xml:space="preserve"> </w:t>
      </w:r>
      <w:r w:rsidRPr="006571A5">
        <w:rPr>
          <w:rtl/>
        </w:rPr>
        <w:t>ستكون</w:t>
      </w:r>
      <w:r>
        <w:rPr>
          <w:rtl/>
        </w:rPr>
        <w:t xml:space="preserve"> </w:t>
      </w:r>
      <w:r w:rsidRPr="006571A5">
        <w:rPr>
          <w:rtl/>
        </w:rPr>
        <w:t>في</w:t>
      </w:r>
      <w:r>
        <w:rPr>
          <w:rtl/>
        </w:rPr>
        <w:t xml:space="preserve"> </w:t>
      </w:r>
      <w:r w:rsidRPr="006571A5">
        <w:rPr>
          <w:rtl/>
        </w:rPr>
        <w:t>وضع</w:t>
      </w:r>
      <w:r>
        <w:rPr>
          <w:rtl/>
        </w:rPr>
        <w:t xml:space="preserve"> </w:t>
      </w:r>
      <w:r w:rsidRPr="006571A5">
        <w:rPr>
          <w:rtl/>
        </w:rPr>
        <w:t>لا</w:t>
      </w:r>
      <w:r>
        <w:rPr>
          <w:rtl/>
        </w:rPr>
        <w:t xml:space="preserve"> </w:t>
      </w:r>
      <w:r w:rsidRPr="006571A5">
        <w:rPr>
          <w:rtl/>
        </w:rPr>
        <w:t>تتوفر</w:t>
      </w:r>
      <w:r>
        <w:rPr>
          <w:rtl/>
        </w:rPr>
        <w:t xml:space="preserve"> </w:t>
      </w:r>
      <w:r w:rsidRPr="006571A5">
        <w:rPr>
          <w:rtl/>
        </w:rPr>
        <w:t>لها</w:t>
      </w:r>
      <w:r>
        <w:rPr>
          <w:rtl/>
        </w:rPr>
        <w:t xml:space="preserve"> </w:t>
      </w:r>
      <w:r w:rsidRPr="006571A5">
        <w:rPr>
          <w:rtl/>
        </w:rPr>
        <w:t>فيه</w:t>
      </w:r>
      <w:r>
        <w:rPr>
          <w:rtl/>
        </w:rPr>
        <w:t xml:space="preserve"> </w:t>
      </w:r>
      <w:r w:rsidRPr="006571A5">
        <w:rPr>
          <w:rtl/>
        </w:rPr>
        <w:t>حماية</w:t>
      </w:r>
      <w:r>
        <w:rPr>
          <w:rtl/>
        </w:rPr>
        <w:t xml:space="preserve"> </w:t>
      </w:r>
      <w:r w:rsidRPr="006571A5">
        <w:rPr>
          <w:rtl/>
        </w:rPr>
        <w:t>من</w:t>
      </w:r>
      <w:r>
        <w:rPr>
          <w:rtl/>
        </w:rPr>
        <w:t xml:space="preserve"> </w:t>
      </w:r>
      <w:r w:rsidRPr="006571A5">
        <w:rPr>
          <w:rtl/>
        </w:rPr>
        <w:t>شبكة</w:t>
      </w:r>
      <w:r>
        <w:rPr>
          <w:rtl/>
        </w:rPr>
        <w:t xml:space="preserve"> </w:t>
      </w:r>
      <w:r w:rsidRPr="006571A5">
        <w:rPr>
          <w:rtl/>
        </w:rPr>
        <w:t>من</w:t>
      </w:r>
      <w:r>
        <w:rPr>
          <w:rtl/>
        </w:rPr>
        <w:t xml:space="preserve"> </w:t>
      </w:r>
      <w:r w:rsidRPr="006571A5">
        <w:rPr>
          <w:rtl/>
        </w:rPr>
        <w:t>الذكور.</w:t>
      </w:r>
    </w:p>
    <w:p w14:paraId="5E38F8ED" w14:textId="63C62BDF" w:rsidR="006571A5" w:rsidRPr="006571A5" w:rsidRDefault="006571A5" w:rsidP="006571A5">
      <w:pPr>
        <w:pStyle w:val="SingleTxt"/>
        <w:rPr>
          <w:rtl/>
        </w:rPr>
      </w:pPr>
      <w:r w:rsidRPr="006571A5">
        <w:rPr>
          <w:rtl/>
        </w:rPr>
        <w:t>4-19</w:t>
      </w:r>
      <w:r w:rsidRPr="006571A5">
        <w:rPr>
          <w:rtl/>
        </w:rPr>
        <w:tab/>
        <w:t>وترى</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أن</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قد</w:t>
      </w:r>
      <w:r>
        <w:rPr>
          <w:rtl/>
        </w:rPr>
        <w:t xml:space="preserve"> </w:t>
      </w:r>
      <w:r w:rsidRPr="006571A5">
        <w:rPr>
          <w:rtl/>
        </w:rPr>
        <w:t>أخذ</w:t>
      </w:r>
      <w:r>
        <w:rPr>
          <w:rtl/>
        </w:rPr>
        <w:t xml:space="preserve"> </w:t>
      </w:r>
      <w:r w:rsidRPr="006571A5">
        <w:rPr>
          <w:rtl/>
        </w:rPr>
        <w:t>في</w:t>
      </w:r>
      <w:r>
        <w:rPr>
          <w:rtl/>
        </w:rPr>
        <w:t xml:space="preserve"> </w:t>
      </w:r>
      <w:r w:rsidRPr="006571A5">
        <w:rPr>
          <w:rtl/>
        </w:rPr>
        <w:t>الاعتبار</w:t>
      </w:r>
      <w:r>
        <w:rPr>
          <w:rtl/>
        </w:rPr>
        <w:t xml:space="preserve"> </w:t>
      </w:r>
      <w:r w:rsidRPr="006571A5">
        <w:rPr>
          <w:rtl/>
        </w:rPr>
        <w:t>في</w:t>
      </w:r>
      <w:r>
        <w:rPr>
          <w:rtl/>
        </w:rPr>
        <w:t xml:space="preserve"> </w:t>
      </w:r>
      <w:r w:rsidRPr="006571A5">
        <w:rPr>
          <w:rtl/>
        </w:rPr>
        <w:t>هذه</w:t>
      </w:r>
      <w:r>
        <w:rPr>
          <w:rtl/>
        </w:rPr>
        <w:t xml:space="preserve"> </w:t>
      </w:r>
      <w:r w:rsidRPr="006571A5">
        <w:rPr>
          <w:rtl/>
        </w:rPr>
        <w:t>القضية</w:t>
      </w:r>
      <w:r>
        <w:rPr>
          <w:rtl/>
        </w:rPr>
        <w:t xml:space="preserve"> </w:t>
      </w:r>
      <w:r w:rsidRPr="006571A5">
        <w:rPr>
          <w:rtl/>
        </w:rPr>
        <w:t>جميع</w:t>
      </w:r>
      <w:r>
        <w:rPr>
          <w:rtl/>
        </w:rPr>
        <w:t xml:space="preserve"> </w:t>
      </w:r>
      <w:r w:rsidRPr="006571A5">
        <w:rPr>
          <w:rtl/>
        </w:rPr>
        <w:t>المعلومات</w:t>
      </w:r>
      <w:r>
        <w:rPr>
          <w:rtl/>
        </w:rPr>
        <w:t xml:space="preserve"> </w:t>
      </w:r>
      <w:r w:rsidRPr="006571A5">
        <w:rPr>
          <w:rtl/>
        </w:rPr>
        <w:t>ذات</w:t>
      </w:r>
      <w:r>
        <w:rPr>
          <w:rtl/>
        </w:rPr>
        <w:t xml:space="preserve"> </w:t>
      </w:r>
      <w:r w:rsidRPr="006571A5">
        <w:rPr>
          <w:rtl/>
        </w:rPr>
        <w:t>الصلة.</w:t>
      </w:r>
      <w:r>
        <w:rPr>
          <w:rtl/>
        </w:rPr>
        <w:t xml:space="preserve"> </w:t>
      </w:r>
      <w:r w:rsidRPr="006571A5">
        <w:rPr>
          <w:rtl/>
        </w:rPr>
        <w:t>ولا</w:t>
      </w:r>
      <w:r>
        <w:rPr>
          <w:rtl/>
        </w:rPr>
        <w:t xml:space="preserve"> </w:t>
      </w:r>
      <w:r w:rsidRPr="006571A5">
        <w:rPr>
          <w:rtl/>
        </w:rPr>
        <w:t>تأتي</w:t>
      </w:r>
      <w:r>
        <w:rPr>
          <w:rtl/>
        </w:rPr>
        <w:t xml:space="preserve"> </w:t>
      </w:r>
      <w:r w:rsidRPr="006571A5">
        <w:rPr>
          <w:rtl/>
        </w:rPr>
        <w:t>الرسالة</w:t>
      </w:r>
      <w:r>
        <w:rPr>
          <w:rtl/>
        </w:rPr>
        <w:t xml:space="preserve"> </w:t>
      </w:r>
      <w:r w:rsidRPr="006571A5">
        <w:rPr>
          <w:rtl/>
        </w:rPr>
        <w:t>قيد</w:t>
      </w:r>
      <w:r>
        <w:rPr>
          <w:rtl/>
        </w:rPr>
        <w:t xml:space="preserve"> </w:t>
      </w:r>
      <w:r w:rsidRPr="006571A5">
        <w:rPr>
          <w:rtl/>
        </w:rPr>
        <w:t>النظر</w:t>
      </w:r>
      <w:r>
        <w:rPr>
          <w:rtl/>
        </w:rPr>
        <w:t xml:space="preserve"> </w:t>
      </w:r>
      <w:r w:rsidRPr="006571A5">
        <w:rPr>
          <w:rtl/>
        </w:rPr>
        <w:t>بأي</w:t>
      </w:r>
      <w:r>
        <w:rPr>
          <w:rtl/>
        </w:rPr>
        <w:t xml:space="preserve"> </w:t>
      </w:r>
      <w:r w:rsidRPr="006571A5">
        <w:rPr>
          <w:rtl/>
        </w:rPr>
        <w:t>معلومات</w:t>
      </w:r>
      <w:r>
        <w:rPr>
          <w:rtl/>
        </w:rPr>
        <w:t xml:space="preserve"> </w:t>
      </w:r>
      <w:r w:rsidRPr="006571A5">
        <w:rPr>
          <w:rtl/>
        </w:rPr>
        <w:t>جديدة</w:t>
      </w:r>
      <w:r>
        <w:rPr>
          <w:rtl/>
        </w:rPr>
        <w:t xml:space="preserve"> </w:t>
      </w:r>
      <w:r w:rsidRPr="006571A5">
        <w:rPr>
          <w:rtl/>
        </w:rPr>
        <w:t>تثبت</w:t>
      </w:r>
      <w:r>
        <w:rPr>
          <w:rtl/>
        </w:rPr>
        <w:t xml:space="preserve"> </w:t>
      </w:r>
      <w:r w:rsidRPr="006571A5">
        <w:rPr>
          <w:rtl/>
        </w:rPr>
        <w:t>أن</w:t>
      </w:r>
      <w:r>
        <w:rPr>
          <w:rtl/>
        </w:rPr>
        <w:t xml:space="preserve"> </w:t>
      </w:r>
      <w:r w:rsidRPr="006571A5">
        <w:rPr>
          <w:rtl/>
        </w:rPr>
        <w:t>صاحبتها</w:t>
      </w:r>
      <w:r>
        <w:rPr>
          <w:rtl/>
        </w:rPr>
        <w:t xml:space="preserve"> </w:t>
      </w:r>
      <w:r w:rsidRPr="006571A5">
        <w:rPr>
          <w:rtl/>
        </w:rPr>
        <w:t>قد</w:t>
      </w:r>
      <w:r>
        <w:rPr>
          <w:rtl/>
        </w:rPr>
        <w:t xml:space="preserve"> </w:t>
      </w:r>
      <w:r w:rsidRPr="006571A5">
        <w:rPr>
          <w:rtl/>
        </w:rPr>
        <w:t>تكون</w:t>
      </w:r>
      <w:r>
        <w:rPr>
          <w:rtl/>
        </w:rPr>
        <w:t xml:space="preserve"> </w:t>
      </w:r>
      <w:r w:rsidRPr="006571A5">
        <w:rPr>
          <w:rtl/>
        </w:rPr>
        <w:t>عرضة</w:t>
      </w:r>
      <w:r>
        <w:rPr>
          <w:rtl/>
        </w:rPr>
        <w:t xml:space="preserve"> </w:t>
      </w:r>
      <w:r w:rsidRPr="006571A5">
        <w:rPr>
          <w:rtl/>
        </w:rPr>
        <w:t>للاضطهاد</w:t>
      </w:r>
      <w:r>
        <w:rPr>
          <w:rtl/>
        </w:rPr>
        <w:t xml:space="preserve"> </w:t>
      </w:r>
      <w:r w:rsidRPr="006571A5">
        <w:rPr>
          <w:rtl/>
        </w:rPr>
        <w:t>أو</w:t>
      </w:r>
      <w:r>
        <w:rPr>
          <w:rtl/>
        </w:rPr>
        <w:t xml:space="preserve"> </w:t>
      </w:r>
      <w:r w:rsidRPr="006571A5">
        <w:rPr>
          <w:rtl/>
        </w:rPr>
        <w:t>الإيذاء</w:t>
      </w:r>
      <w:r>
        <w:rPr>
          <w:rtl/>
        </w:rPr>
        <w:t xml:space="preserve"> </w:t>
      </w:r>
      <w:r w:rsidRPr="006571A5">
        <w:rPr>
          <w:rtl/>
        </w:rPr>
        <w:t>بما</w:t>
      </w:r>
      <w:r>
        <w:rPr>
          <w:rtl/>
        </w:rPr>
        <w:t xml:space="preserve"> </w:t>
      </w:r>
      <w:r w:rsidRPr="006571A5">
        <w:rPr>
          <w:rtl/>
        </w:rPr>
        <w:t>يبرر</w:t>
      </w:r>
      <w:r>
        <w:rPr>
          <w:rtl/>
        </w:rPr>
        <w:t xml:space="preserve"> </w:t>
      </w:r>
      <w:r w:rsidRPr="006571A5">
        <w:rPr>
          <w:rtl/>
        </w:rPr>
        <w:t>منحها</w:t>
      </w:r>
      <w:r>
        <w:rPr>
          <w:rtl/>
        </w:rPr>
        <w:t xml:space="preserve"> </w:t>
      </w:r>
      <w:r w:rsidRPr="006571A5">
        <w:rPr>
          <w:rtl/>
        </w:rPr>
        <w:t>اللجوء.</w:t>
      </w:r>
      <w:r>
        <w:rPr>
          <w:rtl/>
        </w:rPr>
        <w:t xml:space="preserve"> </w:t>
      </w:r>
      <w:r w:rsidRPr="006571A5">
        <w:rPr>
          <w:rtl/>
        </w:rPr>
        <w:t>وتُحيل</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إلى</w:t>
      </w:r>
      <w:r>
        <w:rPr>
          <w:rtl/>
        </w:rPr>
        <w:t xml:space="preserve"> </w:t>
      </w:r>
      <w:r w:rsidRPr="006571A5">
        <w:rPr>
          <w:rtl/>
        </w:rPr>
        <w:t>آراء</w:t>
      </w:r>
      <w:r>
        <w:rPr>
          <w:rtl/>
        </w:rPr>
        <w:t xml:space="preserve"> </w:t>
      </w:r>
      <w:r w:rsidRPr="006571A5">
        <w:rPr>
          <w:rtl/>
        </w:rPr>
        <w:t>اللجنة</w:t>
      </w:r>
      <w:r>
        <w:rPr>
          <w:rtl/>
        </w:rPr>
        <w:t xml:space="preserve"> </w:t>
      </w:r>
      <w:r w:rsidRPr="006571A5">
        <w:rPr>
          <w:rtl/>
        </w:rPr>
        <w:t>المعنية</w:t>
      </w:r>
      <w:r>
        <w:rPr>
          <w:rtl/>
        </w:rPr>
        <w:t xml:space="preserve"> </w:t>
      </w:r>
      <w:r w:rsidRPr="006571A5">
        <w:rPr>
          <w:rtl/>
        </w:rPr>
        <w:t>بحقوق</w:t>
      </w:r>
      <w:r>
        <w:rPr>
          <w:rtl/>
        </w:rPr>
        <w:t xml:space="preserve"> </w:t>
      </w:r>
      <w:r w:rsidRPr="006571A5">
        <w:rPr>
          <w:rtl/>
        </w:rPr>
        <w:t>الإنسان</w:t>
      </w:r>
      <w:r>
        <w:rPr>
          <w:rtl/>
        </w:rPr>
        <w:t xml:space="preserve"> </w:t>
      </w:r>
      <w:r w:rsidRPr="006571A5">
        <w:rPr>
          <w:rtl/>
        </w:rPr>
        <w:t>في</w:t>
      </w:r>
      <w:r>
        <w:rPr>
          <w:rtl/>
        </w:rPr>
        <w:t xml:space="preserve"> </w:t>
      </w:r>
      <w:r w:rsidRPr="006571A5">
        <w:rPr>
          <w:rtl/>
        </w:rPr>
        <w:t>قضية</w:t>
      </w:r>
      <w:r>
        <w:rPr>
          <w:rtl/>
        </w:rPr>
        <w:t xml:space="preserve"> </w:t>
      </w:r>
      <w:r w:rsidRPr="006571A5">
        <w:rPr>
          <w:i/>
          <w:iCs/>
          <w:rtl/>
        </w:rPr>
        <w:t>ب</w:t>
      </w:r>
      <w:r w:rsidRPr="006571A5">
        <w:rPr>
          <w:rtl/>
        </w:rPr>
        <w:t>.</w:t>
      </w:r>
      <w:r>
        <w:rPr>
          <w:rtl/>
        </w:rPr>
        <w:t xml:space="preserve"> </w:t>
      </w:r>
      <w:r w:rsidRPr="006571A5">
        <w:rPr>
          <w:i/>
          <w:iCs/>
          <w:rtl/>
        </w:rPr>
        <w:t>ت.</w:t>
      </w:r>
      <w:r>
        <w:rPr>
          <w:i/>
          <w:iCs/>
          <w:rtl/>
        </w:rPr>
        <w:t xml:space="preserve"> </w:t>
      </w:r>
      <w:r w:rsidRPr="006571A5">
        <w:rPr>
          <w:i/>
          <w:iCs/>
          <w:rtl/>
        </w:rPr>
        <w:t>ضد</w:t>
      </w:r>
      <w:r>
        <w:rPr>
          <w:i/>
          <w:iCs/>
          <w:rtl/>
        </w:rPr>
        <w:t xml:space="preserve"> </w:t>
      </w:r>
      <w:r w:rsidRPr="006571A5">
        <w:rPr>
          <w:i/>
          <w:iCs/>
          <w:rtl/>
        </w:rPr>
        <w:t>الدانمرك</w:t>
      </w:r>
      <w:r>
        <w:rPr>
          <w:rtl/>
        </w:rPr>
        <w:t xml:space="preserve"> </w:t>
      </w:r>
      <w:r w:rsidRPr="006571A5">
        <w:rPr>
          <w:rtl/>
        </w:rPr>
        <w:t>(</w:t>
      </w:r>
      <w:hyperlink r:id="rId18" w:history="1">
        <w:r w:rsidRPr="004B1017">
          <w:rPr>
            <w:rStyle w:val="Hyperlink"/>
            <w:lang w:val="en-GB"/>
          </w:rPr>
          <w:t>CCPR/C/113/D/2272/2013</w:t>
        </w:r>
      </w:hyperlink>
      <w:r w:rsidRPr="006571A5">
        <w:rPr>
          <w:rtl/>
        </w:rPr>
        <w:t>،</w:t>
      </w:r>
      <w:r>
        <w:rPr>
          <w:rtl/>
        </w:rPr>
        <w:t xml:space="preserve"> </w:t>
      </w:r>
      <w:r w:rsidRPr="006571A5">
        <w:rPr>
          <w:rtl/>
        </w:rPr>
        <w:t>الفقرة</w:t>
      </w:r>
      <w:r>
        <w:rPr>
          <w:rtl/>
        </w:rPr>
        <w:t xml:space="preserve"> </w:t>
      </w:r>
      <w:r w:rsidRPr="006571A5">
        <w:rPr>
          <w:rtl/>
        </w:rPr>
        <w:t>7-3)،</w:t>
      </w:r>
      <w:r>
        <w:rPr>
          <w:rtl/>
        </w:rPr>
        <w:t xml:space="preserve"> </w:t>
      </w:r>
      <w:r w:rsidRPr="006571A5">
        <w:rPr>
          <w:rtl/>
        </w:rPr>
        <w:t>حيث</w:t>
      </w:r>
      <w:r>
        <w:rPr>
          <w:rtl/>
        </w:rPr>
        <w:t xml:space="preserve"> </w:t>
      </w:r>
      <w:r w:rsidRPr="006571A5">
        <w:rPr>
          <w:rtl/>
        </w:rPr>
        <w:t>ذكّرت</w:t>
      </w:r>
      <w:r>
        <w:rPr>
          <w:rtl/>
        </w:rPr>
        <w:t xml:space="preserve"> </w:t>
      </w:r>
      <w:r w:rsidRPr="006571A5">
        <w:rPr>
          <w:rtl/>
        </w:rPr>
        <w:t>هذه</w:t>
      </w:r>
      <w:r>
        <w:rPr>
          <w:rtl/>
        </w:rPr>
        <w:t xml:space="preserve"> </w:t>
      </w:r>
      <w:r w:rsidRPr="006571A5">
        <w:rPr>
          <w:rtl/>
        </w:rPr>
        <w:t>اللجنة</w:t>
      </w:r>
      <w:r>
        <w:rPr>
          <w:rtl/>
        </w:rPr>
        <w:t xml:space="preserve"> </w:t>
      </w:r>
      <w:r w:rsidRPr="006571A5">
        <w:rPr>
          <w:rtl/>
        </w:rPr>
        <w:t>بما</w:t>
      </w:r>
      <w:r>
        <w:rPr>
          <w:rtl/>
        </w:rPr>
        <w:t xml:space="preserve"> </w:t>
      </w:r>
      <w:r w:rsidRPr="006571A5">
        <w:rPr>
          <w:rtl/>
        </w:rPr>
        <w:t>ذهبت</w:t>
      </w:r>
      <w:r>
        <w:rPr>
          <w:rtl/>
        </w:rPr>
        <w:t xml:space="preserve"> </w:t>
      </w:r>
      <w:r w:rsidRPr="006571A5">
        <w:rPr>
          <w:rtl/>
        </w:rPr>
        <w:t>إليه</w:t>
      </w:r>
      <w:r>
        <w:rPr>
          <w:rtl/>
        </w:rPr>
        <w:t xml:space="preserve"> </w:t>
      </w:r>
      <w:r w:rsidRPr="006571A5">
        <w:rPr>
          <w:rtl/>
        </w:rPr>
        <w:t>في</w:t>
      </w:r>
      <w:r>
        <w:rPr>
          <w:rtl/>
        </w:rPr>
        <w:t xml:space="preserve"> </w:t>
      </w:r>
      <w:r w:rsidRPr="006571A5">
        <w:rPr>
          <w:rtl/>
        </w:rPr>
        <w:t>اجتهاداتها</w:t>
      </w:r>
      <w:r>
        <w:rPr>
          <w:rtl/>
        </w:rPr>
        <w:t xml:space="preserve"> </w:t>
      </w:r>
      <w:r w:rsidRPr="006571A5">
        <w:rPr>
          <w:rtl/>
        </w:rPr>
        <w:t>السابقة</w:t>
      </w:r>
      <w:r>
        <w:rPr>
          <w:rtl/>
        </w:rPr>
        <w:t xml:space="preserve"> </w:t>
      </w:r>
      <w:r w:rsidRPr="006571A5">
        <w:rPr>
          <w:rtl/>
        </w:rPr>
        <w:t>من</w:t>
      </w:r>
      <w:r>
        <w:rPr>
          <w:rtl/>
        </w:rPr>
        <w:t xml:space="preserve"> </w:t>
      </w:r>
      <w:r w:rsidRPr="006571A5">
        <w:rPr>
          <w:rtl/>
        </w:rPr>
        <w:t>أنه</w:t>
      </w:r>
      <w:r>
        <w:rPr>
          <w:rtl/>
        </w:rPr>
        <w:t xml:space="preserve"> </w:t>
      </w:r>
      <w:r w:rsidRPr="006571A5">
        <w:rPr>
          <w:rtl/>
        </w:rPr>
        <w:t>ينبغي</w:t>
      </w:r>
      <w:r>
        <w:rPr>
          <w:rtl/>
        </w:rPr>
        <w:t xml:space="preserve"> </w:t>
      </w:r>
      <w:r w:rsidRPr="006571A5">
        <w:rPr>
          <w:rtl/>
        </w:rPr>
        <w:t>إعطاء</w:t>
      </w:r>
      <w:r>
        <w:rPr>
          <w:rtl/>
        </w:rPr>
        <w:t xml:space="preserve"> </w:t>
      </w:r>
      <w:r w:rsidRPr="006571A5">
        <w:rPr>
          <w:rtl/>
        </w:rPr>
        <w:t>وزن</w:t>
      </w:r>
      <w:r>
        <w:rPr>
          <w:rtl/>
        </w:rPr>
        <w:t xml:space="preserve"> </w:t>
      </w:r>
      <w:r w:rsidRPr="006571A5">
        <w:rPr>
          <w:rtl/>
        </w:rPr>
        <w:t>كبير</w:t>
      </w:r>
      <w:r>
        <w:rPr>
          <w:rtl/>
        </w:rPr>
        <w:t xml:space="preserve"> </w:t>
      </w:r>
      <w:r w:rsidRPr="006571A5">
        <w:rPr>
          <w:rtl/>
        </w:rPr>
        <w:t>للتقييم</w:t>
      </w:r>
      <w:r>
        <w:rPr>
          <w:rtl/>
        </w:rPr>
        <w:t xml:space="preserve"> </w:t>
      </w:r>
      <w:r w:rsidRPr="006571A5">
        <w:rPr>
          <w:rtl/>
        </w:rPr>
        <w:t>الذي</w:t>
      </w:r>
      <w:r>
        <w:rPr>
          <w:rtl/>
        </w:rPr>
        <w:t xml:space="preserve"> </w:t>
      </w:r>
      <w:r w:rsidRPr="006571A5">
        <w:rPr>
          <w:rtl/>
        </w:rPr>
        <w:t>أجرته</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ما</w:t>
      </w:r>
      <w:r>
        <w:rPr>
          <w:rtl/>
        </w:rPr>
        <w:t xml:space="preserve"> </w:t>
      </w:r>
      <w:r w:rsidRPr="006571A5">
        <w:rPr>
          <w:rtl/>
        </w:rPr>
        <w:t>لم</w:t>
      </w:r>
      <w:r>
        <w:rPr>
          <w:rtl/>
        </w:rPr>
        <w:t xml:space="preserve"> </w:t>
      </w:r>
      <w:r w:rsidRPr="006571A5">
        <w:rPr>
          <w:rtl/>
        </w:rPr>
        <w:t>يتبين</w:t>
      </w:r>
      <w:r>
        <w:rPr>
          <w:rtl/>
        </w:rPr>
        <w:t xml:space="preserve"> </w:t>
      </w:r>
      <w:r w:rsidRPr="006571A5">
        <w:rPr>
          <w:rtl/>
        </w:rPr>
        <w:t>أنه</w:t>
      </w:r>
      <w:r>
        <w:rPr>
          <w:rtl/>
        </w:rPr>
        <w:t xml:space="preserve"> </w:t>
      </w:r>
      <w:r w:rsidRPr="006571A5">
        <w:rPr>
          <w:rtl/>
        </w:rPr>
        <w:t>واضح</w:t>
      </w:r>
      <w:r>
        <w:rPr>
          <w:rtl/>
        </w:rPr>
        <w:t xml:space="preserve"> </w:t>
      </w:r>
      <w:r w:rsidRPr="006571A5">
        <w:rPr>
          <w:rtl/>
        </w:rPr>
        <w:t>التعسف</w:t>
      </w:r>
      <w:r>
        <w:rPr>
          <w:rtl/>
        </w:rPr>
        <w:t xml:space="preserve"> </w:t>
      </w:r>
      <w:r w:rsidRPr="006571A5">
        <w:rPr>
          <w:rtl/>
        </w:rPr>
        <w:t>أو</w:t>
      </w:r>
      <w:r>
        <w:rPr>
          <w:rtl/>
        </w:rPr>
        <w:t xml:space="preserve"> </w:t>
      </w:r>
      <w:r w:rsidRPr="006571A5">
        <w:rPr>
          <w:rtl/>
        </w:rPr>
        <w:t>أنه</w:t>
      </w:r>
      <w:r>
        <w:rPr>
          <w:rtl/>
        </w:rPr>
        <w:t xml:space="preserve"> </w:t>
      </w:r>
      <w:r w:rsidRPr="006571A5">
        <w:rPr>
          <w:rtl/>
        </w:rPr>
        <w:t>يبلغ</w:t>
      </w:r>
      <w:r>
        <w:rPr>
          <w:rtl/>
        </w:rPr>
        <w:t xml:space="preserve"> </w:t>
      </w:r>
      <w:r w:rsidRPr="006571A5">
        <w:rPr>
          <w:rtl/>
        </w:rPr>
        <w:t>حدّ</w:t>
      </w:r>
      <w:r>
        <w:rPr>
          <w:rtl/>
        </w:rPr>
        <w:t xml:space="preserve"> </w:t>
      </w:r>
      <w:r w:rsidRPr="006571A5">
        <w:rPr>
          <w:rtl/>
        </w:rPr>
        <w:t>الحرمان</w:t>
      </w:r>
      <w:r>
        <w:rPr>
          <w:rtl/>
        </w:rPr>
        <w:t xml:space="preserve"> </w:t>
      </w:r>
      <w:r w:rsidRPr="006571A5">
        <w:rPr>
          <w:rtl/>
        </w:rPr>
        <w:t>من</w:t>
      </w:r>
      <w:r>
        <w:rPr>
          <w:rtl/>
        </w:rPr>
        <w:t xml:space="preserve"> </w:t>
      </w:r>
      <w:r w:rsidRPr="006571A5">
        <w:rPr>
          <w:rtl/>
        </w:rPr>
        <w:t>العدالة،</w:t>
      </w:r>
      <w:r>
        <w:rPr>
          <w:rtl/>
        </w:rPr>
        <w:t xml:space="preserve"> </w:t>
      </w:r>
      <w:r w:rsidRPr="006571A5">
        <w:rPr>
          <w:rtl/>
        </w:rPr>
        <w:t>وبأنه</w:t>
      </w:r>
      <w:r>
        <w:rPr>
          <w:rtl/>
        </w:rPr>
        <w:t xml:space="preserve"> </w:t>
      </w:r>
      <w:r w:rsidRPr="006571A5">
        <w:rPr>
          <w:rtl/>
        </w:rPr>
        <w:t>يقع</w:t>
      </w:r>
      <w:r>
        <w:rPr>
          <w:rtl/>
        </w:rPr>
        <w:t xml:space="preserve"> </w:t>
      </w:r>
      <w:r w:rsidRPr="006571A5">
        <w:rPr>
          <w:rtl/>
        </w:rPr>
        <w:t>عموما</w:t>
      </w:r>
      <w:r>
        <w:rPr>
          <w:rtl/>
        </w:rPr>
        <w:t xml:space="preserve"> </w:t>
      </w:r>
      <w:r w:rsidRPr="006571A5">
        <w:rPr>
          <w:rtl/>
        </w:rPr>
        <w:t>على</w:t>
      </w:r>
      <w:r>
        <w:rPr>
          <w:rtl/>
        </w:rPr>
        <w:t xml:space="preserve"> </w:t>
      </w:r>
      <w:r w:rsidRPr="006571A5">
        <w:rPr>
          <w:rtl/>
        </w:rPr>
        <w:t>عاتق</w:t>
      </w:r>
      <w:r>
        <w:rPr>
          <w:rtl/>
        </w:rPr>
        <w:t xml:space="preserve"> </w:t>
      </w:r>
      <w:r w:rsidRPr="006571A5">
        <w:rPr>
          <w:rtl/>
        </w:rPr>
        <w:t>أجهزة</w:t>
      </w:r>
      <w:r>
        <w:rPr>
          <w:rtl/>
        </w:rPr>
        <w:t xml:space="preserve"> </w:t>
      </w:r>
      <w:r w:rsidRPr="006571A5">
        <w:rPr>
          <w:rtl/>
        </w:rPr>
        <w:t>الدول</w:t>
      </w:r>
      <w:r>
        <w:rPr>
          <w:rtl/>
        </w:rPr>
        <w:t xml:space="preserve"> </w:t>
      </w:r>
      <w:r w:rsidRPr="006571A5">
        <w:rPr>
          <w:rtl/>
        </w:rPr>
        <w:t>الأطراف</w:t>
      </w:r>
      <w:r>
        <w:rPr>
          <w:rtl/>
        </w:rPr>
        <w:t xml:space="preserve"> </w:t>
      </w:r>
      <w:r w:rsidRPr="006571A5">
        <w:rPr>
          <w:rtl/>
        </w:rPr>
        <w:t>في</w:t>
      </w:r>
      <w:r>
        <w:rPr>
          <w:rtl/>
        </w:rPr>
        <w:t xml:space="preserve"> </w:t>
      </w:r>
      <w:r w:rsidRPr="006571A5">
        <w:rPr>
          <w:rtl/>
        </w:rPr>
        <w:t>العهد</w:t>
      </w:r>
      <w:r>
        <w:rPr>
          <w:rtl/>
        </w:rPr>
        <w:t xml:space="preserve"> </w:t>
      </w:r>
      <w:r w:rsidRPr="006571A5">
        <w:rPr>
          <w:rtl/>
        </w:rPr>
        <w:t>الدولي</w:t>
      </w:r>
      <w:r>
        <w:rPr>
          <w:rtl/>
        </w:rPr>
        <w:t xml:space="preserve"> </w:t>
      </w:r>
      <w:r w:rsidRPr="006571A5">
        <w:rPr>
          <w:rtl/>
        </w:rPr>
        <w:t>الخاص</w:t>
      </w:r>
      <w:r>
        <w:rPr>
          <w:rtl/>
        </w:rPr>
        <w:t xml:space="preserve"> </w:t>
      </w:r>
      <w:r w:rsidRPr="006571A5">
        <w:rPr>
          <w:rtl/>
        </w:rPr>
        <w:t>بالحقوق</w:t>
      </w:r>
      <w:r>
        <w:rPr>
          <w:rtl/>
        </w:rPr>
        <w:t xml:space="preserve"> </w:t>
      </w:r>
      <w:r w:rsidRPr="006571A5">
        <w:rPr>
          <w:rtl/>
        </w:rPr>
        <w:t>المدنية</w:t>
      </w:r>
      <w:r>
        <w:rPr>
          <w:rtl/>
        </w:rPr>
        <w:t xml:space="preserve"> </w:t>
      </w:r>
      <w:r w:rsidRPr="006571A5">
        <w:rPr>
          <w:rtl/>
        </w:rPr>
        <w:t>والسياسية</w:t>
      </w:r>
      <w:r>
        <w:rPr>
          <w:rtl/>
        </w:rPr>
        <w:t xml:space="preserve"> </w:t>
      </w:r>
      <w:r w:rsidRPr="006571A5">
        <w:rPr>
          <w:rtl/>
        </w:rPr>
        <w:t>دراسةُ</w:t>
      </w:r>
      <w:r>
        <w:rPr>
          <w:rtl/>
        </w:rPr>
        <w:t xml:space="preserve"> </w:t>
      </w:r>
      <w:r w:rsidRPr="006571A5">
        <w:rPr>
          <w:rtl/>
        </w:rPr>
        <w:t>الوقائع</w:t>
      </w:r>
      <w:r>
        <w:rPr>
          <w:rtl/>
        </w:rPr>
        <w:t xml:space="preserve"> </w:t>
      </w:r>
      <w:r w:rsidRPr="006571A5">
        <w:rPr>
          <w:rtl/>
        </w:rPr>
        <w:t>والأدلة</w:t>
      </w:r>
      <w:r>
        <w:rPr>
          <w:rtl/>
        </w:rPr>
        <w:t xml:space="preserve"> </w:t>
      </w:r>
      <w:r w:rsidRPr="006571A5">
        <w:rPr>
          <w:rtl/>
        </w:rPr>
        <w:t>أو</w:t>
      </w:r>
      <w:r>
        <w:rPr>
          <w:rtl/>
        </w:rPr>
        <w:t xml:space="preserve"> </w:t>
      </w:r>
      <w:r w:rsidRPr="006571A5">
        <w:rPr>
          <w:rtl/>
        </w:rPr>
        <w:t>تقييمها</w:t>
      </w:r>
      <w:r>
        <w:rPr>
          <w:rtl/>
        </w:rPr>
        <w:t xml:space="preserve"> </w:t>
      </w:r>
      <w:r w:rsidRPr="006571A5">
        <w:rPr>
          <w:rtl/>
        </w:rPr>
        <w:t>لتحديد</w:t>
      </w:r>
      <w:r>
        <w:rPr>
          <w:rtl/>
        </w:rPr>
        <w:t xml:space="preserve"> </w:t>
      </w:r>
      <w:r w:rsidRPr="006571A5">
        <w:rPr>
          <w:rtl/>
        </w:rPr>
        <w:t>ما</w:t>
      </w:r>
      <w:r>
        <w:rPr>
          <w:rtl/>
        </w:rPr>
        <w:t xml:space="preserve"> </w:t>
      </w:r>
      <w:r w:rsidRPr="006571A5">
        <w:rPr>
          <w:rtl/>
        </w:rPr>
        <w:t>إذا</w:t>
      </w:r>
      <w:r>
        <w:rPr>
          <w:rtl/>
        </w:rPr>
        <w:t xml:space="preserve"> </w:t>
      </w:r>
      <w:r w:rsidRPr="006571A5">
        <w:rPr>
          <w:rtl/>
        </w:rPr>
        <w:t>كان</w:t>
      </w:r>
      <w:r>
        <w:rPr>
          <w:rtl/>
        </w:rPr>
        <w:t xml:space="preserve"> </w:t>
      </w:r>
      <w:r w:rsidRPr="006571A5">
        <w:rPr>
          <w:rtl/>
        </w:rPr>
        <w:t>الخطر</w:t>
      </w:r>
      <w:r>
        <w:rPr>
          <w:rtl/>
        </w:rPr>
        <w:t xml:space="preserve"> </w:t>
      </w:r>
      <w:r w:rsidRPr="006571A5">
        <w:rPr>
          <w:rtl/>
        </w:rPr>
        <w:t>موجودا</w:t>
      </w:r>
      <w:r>
        <w:rPr>
          <w:rtl/>
        </w:rPr>
        <w:t xml:space="preserve"> </w:t>
      </w:r>
      <w:r w:rsidRPr="006571A5">
        <w:rPr>
          <w:rtl/>
        </w:rPr>
        <w:t>أم</w:t>
      </w:r>
      <w:r>
        <w:rPr>
          <w:rtl/>
        </w:rPr>
        <w:t xml:space="preserve"> </w:t>
      </w:r>
      <w:r w:rsidRPr="006571A5">
        <w:rPr>
          <w:rtl/>
        </w:rPr>
        <w:t>لا.</w:t>
      </w:r>
      <w:r>
        <w:rPr>
          <w:rtl/>
        </w:rPr>
        <w:t xml:space="preserve"> </w:t>
      </w:r>
      <w:r w:rsidRPr="006571A5">
        <w:rPr>
          <w:rtl/>
        </w:rPr>
        <w:t>وتلفت</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الانتباه</w:t>
      </w:r>
      <w:r>
        <w:rPr>
          <w:rtl/>
        </w:rPr>
        <w:t xml:space="preserve"> </w:t>
      </w:r>
      <w:r w:rsidRPr="006571A5">
        <w:rPr>
          <w:rtl/>
        </w:rPr>
        <w:t>أيضاً</w:t>
      </w:r>
      <w:r>
        <w:rPr>
          <w:rtl/>
        </w:rPr>
        <w:t xml:space="preserve"> </w:t>
      </w:r>
      <w:r w:rsidRPr="006571A5">
        <w:rPr>
          <w:rtl/>
        </w:rPr>
        <w:t>إلى</w:t>
      </w:r>
      <w:r>
        <w:rPr>
          <w:rtl/>
        </w:rPr>
        <w:t xml:space="preserve"> </w:t>
      </w:r>
      <w:r w:rsidRPr="006571A5">
        <w:rPr>
          <w:rtl/>
        </w:rPr>
        <w:t>الآراء</w:t>
      </w:r>
      <w:r>
        <w:rPr>
          <w:rtl/>
        </w:rPr>
        <w:t xml:space="preserve"> </w:t>
      </w:r>
      <w:r w:rsidRPr="006571A5">
        <w:rPr>
          <w:rtl/>
        </w:rPr>
        <w:t>التي</w:t>
      </w:r>
      <w:r>
        <w:rPr>
          <w:rtl/>
        </w:rPr>
        <w:t xml:space="preserve"> </w:t>
      </w:r>
      <w:r w:rsidRPr="006571A5">
        <w:rPr>
          <w:rtl/>
        </w:rPr>
        <w:t>اعتمدتها</w:t>
      </w:r>
      <w:r>
        <w:rPr>
          <w:rtl/>
        </w:rPr>
        <w:t xml:space="preserve"> </w:t>
      </w:r>
      <w:r w:rsidRPr="006571A5">
        <w:rPr>
          <w:rtl/>
        </w:rPr>
        <w:t>اللجنة</w:t>
      </w:r>
      <w:r>
        <w:rPr>
          <w:rtl/>
        </w:rPr>
        <w:t xml:space="preserve"> </w:t>
      </w:r>
      <w:r w:rsidRPr="006571A5">
        <w:rPr>
          <w:rtl/>
        </w:rPr>
        <w:t>المعنية</w:t>
      </w:r>
      <w:r>
        <w:rPr>
          <w:rtl/>
        </w:rPr>
        <w:t xml:space="preserve"> </w:t>
      </w:r>
      <w:r w:rsidRPr="006571A5">
        <w:rPr>
          <w:rtl/>
        </w:rPr>
        <w:t>بحقوق</w:t>
      </w:r>
      <w:r>
        <w:rPr>
          <w:rtl/>
        </w:rPr>
        <w:t xml:space="preserve"> </w:t>
      </w:r>
      <w:r w:rsidRPr="006571A5">
        <w:rPr>
          <w:rtl/>
        </w:rPr>
        <w:t>الإنسان</w:t>
      </w:r>
      <w:r>
        <w:rPr>
          <w:rtl/>
        </w:rPr>
        <w:t xml:space="preserve"> </w:t>
      </w:r>
      <w:r w:rsidRPr="006571A5">
        <w:rPr>
          <w:rtl/>
        </w:rPr>
        <w:t>في</w:t>
      </w:r>
      <w:r>
        <w:rPr>
          <w:rtl/>
        </w:rPr>
        <w:t xml:space="preserve"> </w:t>
      </w:r>
      <w:r w:rsidRPr="006571A5">
        <w:rPr>
          <w:rtl/>
        </w:rPr>
        <w:t>قضية</w:t>
      </w:r>
      <w:r>
        <w:rPr>
          <w:rtl/>
        </w:rPr>
        <w:t xml:space="preserve"> </w:t>
      </w:r>
      <w:r w:rsidRPr="006571A5">
        <w:rPr>
          <w:i/>
          <w:iCs/>
          <w:rtl/>
        </w:rPr>
        <w:t>ك</w:t>
      </w:r>
      <w:r w:rsidRPr="006571A5">
        <w:rPr>
          <w:rtl/>
        </w:rPr>
        <w:t>.</w:t>
      </w:r>
      <w:r>
        <w:rPr>
          <w:rtl/>
        </w:rPr>
        <w:t xml:space="preserve"> </w:t>
      </w:r>
      <w:r w:rsidRPr="006571A5">
        <w:rPr>
          <w:i/>
          <w:iCs/>
          <w:rtl/>
        </w:rPr>
        <w:t>ضد</w:t>
      </w:r>
      <w:r>
        <w:rPr>
          <w:i/>
          <w:iCs/>
          <w:rtl/>
        </w:rPr>
        <w:t xml:space="preserve"> </w:t>
      </w:r>
      <w:r w:rsidRPr="006571A5">
        <w:rPr>
          <w:i/>
          <w:iCs/>
          <w:rtl/>
        </w:rPr>
        <w:t>الدانمرك</w:t>
      </w:r>
      <w:r>
        <w:rPr>
          <w:rtl/>
        </w:rPr>
        <w:t xml:space="preserve"> </w:t>
      </w:r>
      <w:r w:rsidRPr="006571A5">
        <w:rPr>
          <w:rtl/>
        </w:rPr>
        <w:t>(</w:t>
      </w:r>
      <w:hyperlink r:id="rId19" w:history="1">
        <w:r w:rsidRPr="004B1017">
          <w:rPr>
            <w:rStyle w:val="Hyperlink"/>
            <w:lang w:val="en-GB"/>
          </w:rPr>
          <w:t>CCPR/C/114/D/2393/2014</w:t>
        </w:r>
      </w:hyperlink>
      <w:r w:rsidRPr="006571A5">
        <w:rPr>
          <w:rtl/>
        </w:rPr>
        <w:t>،</w:t>
      </w:r>
      <w:r>
        <w:rPr>
          <w:rtl/>
        </w:rPr>
        <w:t xml:space="preserve"> </w:t>
      </w:r>
      <w:r w:rsidRPr="006571A5">
        <w:rPr>
          <w:rtl/>
        </w:rPr>
        <w:t>الفقرة</w:t>
      </w:r>
      <w:r>
        <w:rPr>
          <w:rtl/>
        </w:rPr>
        <w:t xml:space="preserve"> </w:t>
      </w:r>
      <w:r w:rsidRPr="006571A5">
        <w:rPr>
          <w:rtl/>
        </w:rPr>
        <w:t>7-4)،</w:t>
      </w:r>
      <w:r>
        <w:rPr>
          <w:rtl/>
        </w:rPr>
        <w:t xml:space="preserve"> </w:t>
      </w:r>
      <w:r w:rsidRPr="006571A5">
        <w:rPr>
          <w:rtl/>
        </w:rPr>
        <w:t>حيث</w:t>
      </w:r>
      <w:r>
        <w:rPr>
          <w:rtl/>
        </w:rPr>
        <w:t xml:space="preserve"> </w:t>
      </w:r>
      <w:r w:rsidRPr="006571A5">
        <w:rPr>
          <w:rtl/>
        </w:rPr>
        <w:t>أشارت</w:t>
      </w:r>
      <w:r>
        <w:rPr>
          <w:rtl/>
        </w:rPr>
        <w:t xml:space="preserve"> </w:t>
      </w:r>
      <w:r w:rsidRPr="006571A5">
        <w:rPr>
          <w:rtl/>
        </w:rPr>
        <w:t>هذه</w:t>
      </w:r>
      <w:r>
        <w:rPr>
          <w:rtl/>
        </w:rPr>
        <w:t xml:space="preserve"> </w:t>
      </w:r>
      <w:r w:rsidRPr="006571A5">
        <w:rPr>
          <w:rtl/>
        </w:rPr>
        <w:t>اللجنة</w:t>
      </w:r>
      <w:r>
        <w:rPr>
          <w:rtl/>
        </w:rPr>
        <w:t xml:space="preserve"> </w:t>
      </w:r>
      <w:r w:rsidRPr="006571A5">
        <w:rPr>
          <w:rtl/>
        </w:rPr>
        <w:t>إلى</w:t>
      </w:r>
      <w:r>
        <w:rPr>
          <w:rtl/>
        </w:rPr>
        <w:t xml:space="preserve"> </w:t>
      </w:r>
      <w:r w:rsidRPr="006571A5">
        <w:rPr>
          <w:rtl/>
        </w:rPr>
        <w:t>أنه</w:t>
      </w:r>
      <w:r>
        <w:rPr>
          <w:rtl/>
        </w:rPr>
        <w:t xml:space="preserve"> </w:t>
      </w:r>
      <w:r w:rsidRPr="006571A5">
        <w:rPr>
          <w:rtl/>
        </w:rPr>
        <w:t>يقع</w:t>
      </w:r>
      <w:r>
        <w:rPr>
          <w:rtl/>
        </w:rPr>
        <w:t xml:space="preserve"> </w:t>
      </w:r>
      <w:r w:rsidRPr="006571A5">
        <w:rPr>
          <w:rtl/>
        </w:rPr>
        <w:t>عموما</w:t>
      </w:r>
      <w:r>
        <w:rPr>
          <w:rtl/>
        </w:rPr>
        <w:t xml:space="preserve"> </w:t>
      </w:r>
      <w:r w:rsidRPr="006571A5">
        <w:rPr>
          <w:rtl/>
        </w:rPr>
        <w:t>على</w:t>
      </w:r>
      <w:r>
        <w:rPr>
          <w:rtl/>
        </w:rPr>
        <w:t xml:space="preserve"> </w:t>
      </w:r>
      <w:r w:rsidRPr="006571A5">
        <w:rPr>
          <w:rtl/>
        </w:rPr>
        <w:t>عاتق</w:t>
      </w:r>
      <w:r>
        <w:rPr>
          <w:rtl/>
        </w:rPr>
        <w:t xml:space="preserve"> </w:t>
      </w:r>
      <w:r w:rsidRPr="006571A5">
        <w:rPr>
          <w:rtl/>
        </w:rPr>
        <w:t>أجهزة</w:t>
      </w:r>
      <w:r>
        <w:rPr>
          <w:rtl/>
        </w:rPr>
        <w:t xml:space="preserve"> </w:t>
      </w:r>
      <w:r w:rsidRPr="006571A5">
        <w:rPr>
          <w:rtl/>
        </w:rPr>
        <w:t>الدول</w:t>
      </w:r>
      <w:r>
        <w:rPr>
          <w:rtl/>
        </w:rPr>
        <w:t xml:space="preserve"> </w:t>
      </w:r>
      <w:r w:rsidRPr="006571A5">
        <w:rPr>
          <w:rtl/>
        </w:rPr>
        <w:t>الأطراف</w:t>
      </w:r>
      <w:r>
        <w:rPr>
          <w:rtl/>
        </w:rPr>
        <w:t xml:space="preserve"> </w:t>
      </w:r>
      <w:r w:rsidRPr="006571A5">
        <w:rPr>
          <w:rtl/>
        </w:rPr>
        <w:t>دراسة</w:t>
      </w:r>
      <w:r>
        <w:rPr>
          <w:rtl/>
        </w:rPr>
        <w:t xml:space="preserve"> </w:t>
      </w:r>
      <w:r w:rsidRPr="006571A5">
        <w:rPr>
          <w:rtl/>
        </w:rPr>
        <w:t>وقائع</w:t>
      </w:r>
      <w:r>
        <w:rPr>
          <w:rtl/>
        </w:rPr>
        <w:t xml:space="preserve"> </w:t>
      </w:r>
      <w:r w:rsidRPr="006571A5">
        <w:rPr>
          <w:rtl/>
        </w:rPr>
        <w:t>وأدلة</w:t>
      </w:r>
      <w:r>
        <w:rPr>
          <w:rtl/>
        </w:rPr>
        <w:t xml:space="preserve"> </w:t>
      </w:r>
      <w:r w:rsidRPr="006571A5">
        <w:rPr>
          <w:rtl/>
        </w:rPr>
        <w:t>القضية</w:t>
      </w:r>
      <w:r>
        <w:rPr>
          <w:rtl/>
        </w:rPr>
        <w:t xml:space="preserve"> </w:t>
      </w:r>
      <w:r w:rsidRPr="006571A5">
        <w:rPr>
          <w:rtl/>
        </w:rPr>
        <w:t>لتحديد</w:t>
      </w:r>
      <w:r>
        <w:rPr>
          <w:rtl/>
        </w:rPr>
        <w:t xml:space="preserve"> </w:t>
      </w:r>
      <w:r w:rsidRPr="006571A5">
        <w:rPr>
          <w:rtl/>
        </w:rPr>
        <w:t>ما</w:t>
      </w:r>
      <w:r>
        <w:rPr>
          <w:rtl/>
        </w:rPr>
        <w:t xml:space="preserve"> </w:t>
      </w:r>
      <w:r w:rsidRPr="006571A5">
        <w:rPr>
          <w:rtl/>
        </w:rPr>
        <w:t>إذا</w:t>
      </w:r>
      <w:r>
        <w:rPr>
          <w:rtl/>
        </w:rPr>
        <w:t xml:space="preserve"> </w:t>
      </w:r>
      <w:r w:rsidRPr="006571A5">
        <w:rPr>
          <w:rtl/>
        </w:rPr>
        <w:t>كان</w:t>
      </w:r>
      <w:r>
        <w:rPr>
          <w:rtl/>
        </w:rPr>
        <w:t xml:space="preserve"> </w:t>
      </w:r>
      <w:r w:rsidRPr="006571A5">
        <w:rPr>
          <w:rtl/>
        </w:rPr>
        <w:t>الخطر</w:t>
      </w:r>
      <w:r>
        <w:rPr>
          <w:rtl/>
        </w:rPr>
        <w:t xml:space="preserve"> </w:t>
      </w:r>
      <w:r w:rsidRPr="006571A5">
        <w:rPr>
          <w:rtl/>
        </w:rPr>
        <w:t>موجودا</w:t>
      </w:r>
      <w:r>
        <w:rPr>
          <w:rtl/>
        </w:rPr>
        <w:t xml:space="preserve"> </w:t>
      </w:r>
      <w:r w:rsidRPr="006571A5">
        <w:rPr>
          <w:rtl/>
        </w:rPr>
        <w:t>أم</w:t>
      </w:r>
      <w:r>
        <w:rPr>
          <w:rtl/>
        </w:rPr>
        <w:t xml:space="preserve"> </w:t>
      </w:r>
      <w:r w:rsidRPr="006571A5">
        <w:rPr>
          <w:rtl/>
        </w:rPr>
        <w:t>لا</w:t>
      </w:r>
      <w:r>
        <w:rPr>
          <w:rtl/>
        </w:rPr>
        <w:t xml:space="preserve"> </w:t>
      </w:r>
      <w:r w:rsidRPr="006571A5">
        <w:rPr>
          <w:rtl/>
        </w:rPr>
        <w:t>ما</w:t>
      </w:r>
      <w:r>
        <w:rPr>
          <w:rtl/>
        </w:rPr>
        <w:t xml:space="preserve"> </w:t>
      </w:r>
      <w:r w:rsidRPr="006571A5">
        <w:rPr>
          <w:rtl/>
        </w:rPr>
        <w:t>لم</w:t>
      </w:r>
      <w:r>
        <w:rPr>
          <w:rtl/>
        </w:rPr>
        <w:t xml:space="preserve"> </w:t>
      </w:r>
      <w:r w:rsidRPr="006571A5">
        <w:rPr>
          <w:rtl/>
        </w:rPr>
        <w:t>يثبت</w:t>
      </w:r>
      <w:r>
        <w:rPr>
          <w:rtl/>
        </w:rPr>
        <w:t xml:space="preserve"> </w:t>
      </w:r>
      <w:r w:rsidRPr="006571A5">
        <w:rPr>
          <w:rtl/>
        </w:rPr>
        <w:t>أن</w:t>
      </w:r>
      <w:r>
        <w:rPr>
          <w:rtl/>
        </w:rPr>
        <w:t xml:space="preserve"> </w:t>
      </w:r>
      <w:r w:rsidRPr="006571A5">
        <w:rPr>
          <w:rtl/>
        </w:rPr>
        <w:t>التقييم</w:t>
      </w:r>
      <w:r>
        <w:rPr>
          <w:rtl/>
        </w:rPr>
        <w:t xml:space="preserve"> </w:t>
      </w:r>
      <w:r w:rsidRPr="006571A5">
        <w:rPr>
          <w:rtl/>
        </w:rPr>
        <w:t>تعسفي</w:t>
      </w:r>
      <w:r>
        <w:rPr>
          <w:rtl/>
        </w:rPr>
        <w:t xml:space="preserve"> </w:t>
      </w:r>
      <w:r w:rsidRPr="006571A5">
        <w:rPr>
          <w:rtl/>
        </w:rPr>
        <w:t>أو</w:t>
      </w:r>
      <w:r>
        <w:rPr>
          <w:rtl/>
        </w:rPr>
        <w:t xml:space="preserve"> </w:t>
      </w:r>
      <w:r w:rsidRPr="006571A5">
        <w:rPr>
          <w:rtl/>
        </w:rPr>
        <w:t>واضح</w:t>
      </w:r>
      <w:r>
        <w:rPr>
          <w:rtl/>
        </w:rPr>
        <w:t xml:space="preserve"> </w:t>
      </w:r>
      <w:r w:rsidRPr="006571A5">
        <w:rPr>
          <w:rtl/>
        </w:rPr>
        <w:t>الخطأ</w:t>
      </w:r>
      <w:r>
        <w:rPr>
          <w:rtl/>
        </w:rPr>
        <w:t xml:space="preserve"> </w:t>
      </w:r>
      <w:r w:rsidRPr="006571A5">
        <w:rPr>
          <w:rtl/>
        </w:rPr>
        <w:t>أو</w:t>
      </w:r>
      <w:r>
        <w:rPr>
          <w:rtl/>
        </w:rPr>
        <w:t xml:space="preserve"> </w:t>
      </w:r>
      <w:r w:rsidRPr="006571A5">
        <w:rPr>
          <w:rtl/>
        </w:rPr>
        <w:t>أنه</w:t>
      </w:r>
      <w:r>
        <w:rPr>
          <w:rtl/>
        </w:rPr>
        <w:t xml:space="preserve"> </w:t>
      </w:r>
      <w:r w:rsidRPr="006571A5">
        <w:rPr>
          <w:rtl/>
        </w:rPr>
        <w:t>يبلغ</w:t>
      </w:r>
      <w:r>
        <w:rPr>
          <w:rtl/>
        </w:rPr>
        <w:t xml:space="preserve"> </w:t>
      </w:r>
      <w:r w:rsidRPr="006571A5">
        <w:rPr>
          <w:rtl/>
        </w:rPr>
        <w:t>حدّ</w:t>
      </w:r>
      <w:r>
        <w:rPr>
          <w:rtl/>
        </w:rPr>
        <w:t xml:space="preserve"> </w:t>
      </w:r>
      <w:r w:rsidRPr="006571A5">
        <w:rPr>
          <w:rtl/>
        </w:rPr>
        <w:t>الحرمان</w:t>
      </w:r>
      <w:r>
        <w:rPr>
          <w:rtl/>
        </w:rPr>
        <w:t xml:space="preserve"> </w:t>
      </w:r>
      <w:r w:rsidRPr="006571A5">
        <w:rPr>
          <w:rtl/>
        </w:rPr>
        <w:t>من</w:t>
      </w:r>
      <w:r>
        <w:rPr>
          <w:rtl/>
        </w:rPr>
        <w:t xml:space="preserve"> </w:t>
      </w:r>
      <w:r w:rsidRPr="006571A5">
        <w:rPr>
          <w:rtl/>
        </w:rPr>
        <w:t>العدالة.</w:t>
      </w:r>
      <w:r>
        <w:rPr>
          <w:rtl/>
        </w:rPr>
        <w:t xml:space="preserve"> </w:t>
      </w:r>
      <w:dir w:val="rtl">
        <w:r w:rsidRPr="006571A5">
          <w:rPr>
            <w:rtl/>
          </w:rPr>
          <w:t>وقد</w:t>
        </w:r>
        <w:r>
          <w:rPr>
            <w:rtl/>
          </w:rPr>
          <w:t xml:space="preserve"> </w:t>
        </w:r>
        <w:r w:rsidRPr="006571A5">
          <w:rPr>
            <w:rtl/>
          </w:rPr>
          <w:t>درس</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بدقة،</w:t>
        </w:r>
        <w:r>
          <w:rPr>
            <w:rtl/>
          </w:rPr>
          <w:t xml:space="preserve"> </w:t>
        </w:r>
        <w:r w:rsidRPr="006571A5">
          <w:rPr>
            <w:rtl/>
          </w:rPr>
          <w:t>في</w:t>
        </w:r>
        <w:r>
          <w:rPr>
            <w:rtl/>
          </w:rPr>
          <w:t xml:space="preserve"> </w:t>
        </w:r>
        <w:r w:rsidRPr="006571A5">
          <w:rPr>
            <w:rtl/>
          </w:rPr>
          <w:t>القضية</w:t>
        </w:r>
        <w:r>
          <w:rPr>
            <w:rtl/>
          </w:rPr>
          <w:t xml:space="preserve"> </w:t>
        </w:r>
        <w:r w:rsidRPr="006571A5">
          <w:rPr>
            <w:rtl/>
          </w:rPr>
          <w:t>نفسها،</w:t>
        </w:r>
        <w:r>
          <w:rPr>
            <w:rtl/>
          </w:rPr>
          <w:t xml:space="preserve"> </w:t>
        </w:r>
        <w:r w:rsidRPr="006571A5">
          <w:rPr>
            <w:rtl/>
          </w:rPr>
          <w:t>كل</w:t>
        </w:r>
        <w:r>
          <w:rPr>
            <w:rtl/>
          </w:rPr>
          <w:t xml:space="preserve"> </w:t>
        </w:r>
        <w:r w:rsidRPr="006571A5">
          <w:rPr>
            <w:rtl/>
          </w:rPr>
          <w:t>ادعاءات</w:t>
        </w:r>
        <w:r>
          <w:rPr>
            <w:rtl/>
          </w:rPr>
          <w:t xml:space="preserve"> </w:t>
        </w:r>
        <w:r w:rsidRPr="006571A5">
          <w:rPr>
            <w:rtl/>
          </w:rPr>
          <w:t>صاحب</w:t>
        </w:r>
        <w:r>
          <w:rPr>
            <w:rtl/>
          </w:rPr>
          <w:t xml:space="preserve"> </w:t>
        </w:r>
        <w:r w:rsidRPr="006571A5">
          <w:rPr>
            <w:rtl/>
          </w:rPr>
          <w:t>البلاغ،</w:t>
        </w:r>
        <w:r>
          <w:rPr>
            <w:rtl/>
          </w:rPr>
          <w:t xml:space="preserve"> </w:t>
        </w:r>
        <w:r w:rsidRPr="006571A5">
          <w:rPr>
            <w:rtl/>
          </w:rPr>
          <w:t>وحلل</w:t>
        </w:r>
        <w:r>
          <w:rPr>
            <w:rtl/>
          </w:rPr>
          <w:t xml:space="preserve"> </w:t>
        </w:r>
        <w:r w:rsidRPr="006571A5">
          <w:rPr>
            <w:rtl/>
          </w:rPr>
          <w:t>بصفة</w:t>
        </w:r>
        <w:r>
          <w:rPr>
            <w:rtl/>
          </w:rPr>
          <w:t xml:space="preserve"> </w:t>
        </w:r>
        <w:r w:rsidRPr="006571A5">
          <w:rPr>
            <w:rtl/>
          </w:rPr>
          <w:t>خاصة</w:t>
        </w:r>
        <w:r>
          <w:rPr>
            <w:rtl/>
          </w:rPr>
          <w:t xml:space="preserve"> </w:t>
        </w:r>
        <w:r w:rsidRPr="006571A5">
          <w:rPr>
            <w:rtl/>
          </w:rPr>
          <w:t>التهديدات</w:t>
        </w:r>
        <w:r>
          <w:rPr>
            <w:rtl/>
          </w:rPr>
          <w:t xml:space="preserve"> </w:t>
        </w:r>
        <w:r w:rsidRPr="006571A5">
          <w:rPr>
            <w:rtl/>
          </w:rPr>
          <w:t>التي</w:t>
        </w:r>
        <w:r>
          <w:rPr>
            <w:rtl/>
          </w:rPr>
          <w:t xml:space="preserve"> </w:t>
        </w:r>
        <w:r w:rsidRPr="006571A5">
          <w:rPr>
            <w:rtl/>
          </w:rPr>
          <w:t>زعم</w:t>
        </w:r>
        <w:r>
          <w:rPr>
            <w:rtl/>
          </w:rPr>
          <w:t xml:space="preserve"> </w:t>
        </w:r>
        <w:r w:rsidRPr="006571A5">
          <w:rPr>
            <w:rtl/>
          </w:rPr>
          <w:t>أنه</w:t>
        </w:r>
        <w:r>
          <w:rPr>
            <w:rtl/>
          </w:rPr>
          <w:t xml:space="preserve"> </w:t>
        </w:r>
        <w:r w:rsidRPr="006571A5">
          <w:rPr>
            <w:rtl/>
          </w:rPr>
          <w:t>تلقاها</w:t>
        </w:r>
        <w:r>
          <w:rPr>
            <w:rtl/>
          </w:rPr>
          <w:t xml:space="preserve"> </w:t>
        </w:r>
        <w:r w:rsidRPr="006571A5">
          <w:rPr>
            <w:rtl/>
          </w:rPr>
          <w:t>في</w:t>
        </w:r>
        <w:r>
          <w:rPr>
            <w:rtl/>
          </w:rPr>
          <w:t xml:space="preserve"> </w:t>
        </w:r>
        <w:r w:rsidRPr="006571A5">
          <w:rPr>
            <w:rtl/>
          </w:rPr>
          <w:t>أفغانستان،</w:t>
        </w:r>
        <w:r>
          <w:rPr>
            <w:rtl/>
          </w:rPr>
          <w:t xml:space="preserve"> </w:t>
        </w:r>
        <w:r w:rsidRPr="006571A5">
          <w:rPr>
            <w:rtl/>
          </w:rPr>
          <w:t>وتبين</w:t>
        </w:r>
        <w:r>
          <w:rPr>
            <w:rtl/>
          </w:rPr>
          <w:t xml:space="preserve"> </w:t>
        </w:r>
        <w:r w:rsidRPr="006571A5">
          <w:rPr>
            <w:rtl/>
          </w:rPr>
          <w:t>له</w:t>
        </w:r>
        <w:r>
          <w:rPr>
            <w:rtl/>
          </w:rPr>
          <w:t xml:space="preserve"> </w:t>
        </w:r>
        <w:r w:rsidRPr="006571A5">
          <w:rPr>
            <w:rtl/>
          </w:rPr>
          <w:t>أنها</w:t>
        </w:r>
        <w:r>
          <w:rPr>
            <w:rtl/>
          </w:rPr>
          <w:t xml:space="preserve"> </w:t>
        </w:r>
        <w:r w:rsidRPr="006571A5">
          <w:rPr>
            <w:rtl/>
          </w:rPr>
          <w:t>متناقضة</w:t>
        </w:r>
        <w:r>
          <w:rPr>
            <w:rtl/>
          </w:rPr>
          <w:t xml:space="preserve"> </w:t>
        </w:r>
        <w:r w:rsidRPr="006571A5">
          <w:rPr>
            <w:rtl/>
          </w:rPr>
          <w:t>وغير</w:t>
        </w:r>
        <w:r w:rsidR="004C757C">
          <w:rPr>
            <w:rFonts w:hint="cs"/>
            <w:rtl/>
          </w:rPr>
          <w:t> </w:t>
        </w:r>
        <w:r w:rsidRPr="006571A5">
          <w:rPr>
            <w:rtl/>
          </w:rPr>
          <w:t>قابلة</w:t>
        </w:r>
        <w:r>
          <w:rPr>
            <w:rtl/>
          </w:rPr>
          <w:t xml:space="preserve"> </w:t>
        </w:r>
        <w:r w:rsidRPr="006571A5">
          <w:rPr>
            <w:rtl/>
          </w:rPr>
          <w:t>للتصديق</w:t>
        </w:r>
        <w:r>
          <w:rPr>
            <w:rtl/>
          </w:rPr>
          <w:t xml:space="preserve"> </w:t>
        </w:r>
        <w:r w:rsidRPr="006571A5">
          <w:rPr>
            <w:rtl/>
          </w:rPr>
          <w:t>لأسباب</w:t>
        </w:r>
        <w:r>
          <w:rPr>
            <w:rtl/>
          </w:rPr>
          <w:t xml:space="preserve"> </w:t>
        </w:r>
        <w:r w:rsidRPr="006571A5">
          <w:rPr>
            <w:rtl/>
          </w:rPr>
          <w:t>عدة</w:t>
        </w:r>
        <w:r>
          <w:rPr>
            <w:rtl/>
          </w:rPr>
          <w:t xml:space="preserve"> </w:t>
        </w:r>
        <w:r w:rsidRPr="006571A5">
          <w:rPr>
            <w:rtl/>
          </w:rPr>
          <w:t>(المرجع</w:t>
        </w:r>
        <w:r>
          <w:rPr>
            <w:rtl/>
          </w:rPr>
          <w:t xml:space="preserve"> </w:t>
        </w:r>
        <w:r w:rsidRPr="006571A5">
          <w:rPr>
            <w:rtl/>
          </w:rPr>
          <w:t>السابق</w:t>
        </w:r>
        <w:r>
          <w:rPr>
            <w:rtl/>
          </w:rPr>
          <w:t xml:space="preserve"> </w:t>
        </w:r>
        <w:r w:rsidRPr="006571A5">
          <w:rPr>
            <w:rtl/>
          </w:rPr>
          <w:t>نفسه،</w:t>
        </w:r>
        <w:r>
          <w:rPr>
            <w:rtl/>
          </w:rPr>
          <w:t xml:space="preserve"> </w:t>
        </w:r>
        <w:r w:rsidRPr="006571A5">
          <w:rPr>
            <w:rtl/>
          </w:rPr>
          <w:t>الفقرة</w:t>
        </w:r>
        <w:r>
          <w:rPr>
            <w:rtl/>
          </w:rPr>
          <w:t xml:space="preserve"> </w:t>
        </w:r>
        <w:r w:rsidRPr="006571A5">
          <w:rPr>
            <w:rtl/>
          </w:rPr>
          <w:t>7-5).</w:t>
        </w:r>
        <w:r>
          <w:rPr>
            <w:rtl/>
          </w:rPr>
          <w:t xml:space="preserve"> </w:t>
        </w:r>
        <w:dir w:val="rtl">
          <w:r w:rsidRPr="006571A5">
            <w:rPr>
              <w:rtl/>
            </w:rPr>
            <w:t>واعترض</w:t>
          </w:r>
          <w:r>
            <w:rPr>
              <w:rtl/>
            </w:rPr>
            <w:t xml:space="preserve"> </w:t>
          </w:r>
          <w:r w:rsidRPr="006571A5">
            <w:rPr>
              <w:rtl/>
            </w:rPr>
            <w:t>صاحب</w:t>
          </w:r>
          <w:r>
            <w:rPr>
              <w:rtl/>
            </w:rPr>
            <w:t xml:space="preserve"> </w:t>
          </w:r>
          <w:r w:rsidRPr="006571A5">
            <w:rPr>
              <w:rtl/>
            </w:rPr>
            <w:t>البلاغ</w:t>
          </w:r>
          <w:r>
            <w:rPr>
              <w:rtl/>
            </w:rPr>
            <w:t xml:space="preserve"> </w:t>
          </w:r>
          <w:r w:rsidRPr="006571A5">
            <w:rPr>
              <w:rtl/>
            </w:rPr>
            <w:t>على</w:t>
          </w:r>
          <w:r>
            <w:rPr>
              <w:rtl/>
            </w:rPr>
            <w:t xml:space="preserve"> </w:t>
          </w:r>
          <w:r w:rsidRPr="006571A5">
            <w:rPr>
              <w:rtl/>
            </w:rPr>
            <w:t>تقييم</w:t>
          </w:r>
          <w:r>
            <w:rPr>
              <w:rtl/>
            </w:rPr>
            <w:t xml:space="preserve"> </w:t>
          </w:r>
          <w:r w:rsidRPr="006571A5">
            <w:rPr>
              <w:rtl/>
            </w:rPr>
            <w:t>الأدلة</w:t>
          </w:r>
          <w:r>
            <w:rPr>
              <w:rtl/>
            </w:rPr>
            <w:t xml:space="preserve"> </w:t>
          </w:r>
          <w:r w:rsidRPr="006571A5">
            <w:rPr>
              <w:rtl/>
            </w:rPr>
            <w:t>الذي</w:t>
          </w:r>
          <w:r>
            <w:rPr>
              <w:rtl/>
            </w:rPr>
            <w:t xml:space="preserve"> </w:t>
          </w:r>
          <w:r w:rsidRPr="006571A5">
            <w:rPr>
              <w:rtl/>
            </w:rPr>
            <w:t>قام</w:t>
          </w:r>
          <w:r>
            <w:rPr>
              <w:rtl/>
            </w:rPr>
            <w:t xml:space="preserve"> </w:t>
          </w:r>
          <w:r w:rsidRPr="006571A5">
            <w:rPr>
              <w:rtl/>
            </w:rPr>
            <w:t>به</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وعلى</w:t>
          </w:r>
          <w:r>
            <w:rPr>
              <w:rtl/>
            </w:rPr>
            <w:t xml:space="preserve"> </w:t>
          </w:r>
          <w:r w:rsidRPr="006571A5">
            <w:rPr>
              <w:rtl/>
            </w:rPr>
            <w:t>الاستنتاجات</w:t>
          </w:r>
          <w:r>
            <w:rPr>
              <w:rtl/>
            </w:rPr>
            <w:t xml:space="preserve"> </w:t>
          </w:r>
          <w:r w:rsidRPr="006571A5">
            <w:rPr>
              <w:rtl/>
            </w:rPr>
            <w:t>الوقائعية</w:t>
          </w:r>
          <w:r>
            <w:rPr>
              <w:rtl/>
            </w:rPr>
            <w:t xml:space="preserve"> </w:t>
          </w:r>
          <w:r w:rsidRPr="006571A5">
            <w:rPr>
              <w:rtl/>
            </w:rPr>
            <w:t>التي</w:t>
          </w:r>
          <w:r>
            <w:rPr>
              <w:rtl/>
            </w:rPr>
            <w:t xml:space="preserve"> </w:t>
          </w:r>
          <w:r w:rsidRPr="006571A5">
            <w:rPr>
              <w:rtl/>
            </w:rPr>
            <w:t>خلص</w:t>
          </w:r>
          <w:r>
            <w:rPr>
              <w:rtl/>
            </w:rPr>
            <w:t xml:space="preserve"> </w:t>
          </w:r>
          <w:r w:rsidRPr="006571A5">
            <w:rPr>
              <w:rtl/>
            </w:rPr>
            <w:t>إليها،</w:t>
          </w:r>
          <w:r>
            <w:rPr>
              <w:rtl/>
            </w:rPr>
            <w:t xml:space="preserve"> </w:t>
          </w:r>
          <w:r w:rsidRPr="006571A5">
            <w:rPr>
              <w:rtl/>
            </w:rPr>
            <w:t>لكنه</w:t>
          </w:r>
          <w:r>
            <w:rPr>
              <w:rtl/>
            </w:rPr>
            <w:t xml:space="preserve"> </w:t>
          </w:r>
          <w:r w:rsidR="003667F2" w:rsidRPr="006571A5">
            <w:rPr>
              <w:rtl/>
            </w:rPr>
            <w:t>لم</w:t>
          </w:r>
          <w:r w:rsidR="003667F2">
            <w:rPr>
              <w:rFonts w:hint="cs"/>
              <w:rtl/>
            </w:rPr>
            <w:t> </w:t>
          </w:r>
          <w:r w:rsidRPr="006571A5">
            <w:rPr>
              <w:rtl/>
            </w:rPr>
            <w:t>يوضح</w:t>
          </w:r>
          <w:r>
            <w:rPr>
              <w:rtl/>
            </w:rPr>
            <w:t xml:space="preserve"> </w:t>
          </w:r>
          <w:r w:rsidRPr="006571A5">
            <w:rPr>
              <w:rtl/>
            </w:rPr>
            <w:t>ما</w:t>
          </w:r>
          <w:r>
            <w:rPr>
              <w:rtl/>
            </w:rPr>
            <w:t xml:space="preserve"> </w:t>
          </w:r>
          <w:r w:rsidRPr="006571A5">
            <w:rPr>
              <w:rtl/>
            </w:rPr>
            <w:t>الذي</w:t>
          </w:r>
          <w:r>
            <w:rPr>
              <w:rtl/>
            </w:rPr>
            <w:t xml:space="preserve"> </w:t>
          </w:r>
          <w:r w:rsidRPr="006571A5">
            <w:rPr>
              <w:rtl/>
            </w:rPr>
            <w:t>جعل</w:t>
          </w:r>
          <w:r>
            <w:rPr>
              <w:rtl/>
            </w:rPr>
            <w:t xml:space="preserve"> </w:t>
          </w:r>
          <w:r w:rsidRPr="006571A5">
            <w:rPr>
              <w:rtl/>
            </w:rPr>
            <w:t>هذا</w:t>
          </w:r>
          <w:r>
            <w:rPr>
              <w:rtl/>
            </w:rPr>
            <w:t xml:space="preserve"> </w:t>
          </w:r>
          <w:r w:rsidRPr="006571A5">
            <w:rPr>
              <w:rtl/>
            </w:rPr>
            <w:t>التقييم</w:t>
          </w:r>
          <w:r>
            <w:rPr>
              <w:rtl/>
            </w:rPr>
            <w:t xml:space="preserve"> </w:t>
          </w:r>
          <w:r w:rsidRPr="006571A5">
            <w:rPr>
              <w:rtl/>
            </w:rPr>
            <w:t>تعسفياً</w:t>
          </w:r>
          <w:r>
            <w:rPr>
              <w:rtl/>
            </w:rPr>
            <w:t xml:space="preserve"> </w:t>
          </w:r>
          <w:r w:rsidRPr="006571A5">
            <w:rPr>
              <w:rtl/>
            </w:rPr>
            <w:t>أو</w:t>
          </w:r>
          <w:r>
            <w:rPr>
              <w:rtl/>
            </w:rPr>
            <w:t xml:space="preserve"> </w:t>
          </w:r>
          <w:r w:rsidRPr="006571A5">
            <w:rPr>
              <w:rtl/>
            </w:rPr>
            <w:t>جعله</w:t>
          </w:r>
          <w:r>
            <w:rPr>
              <w:rtl/>
            </w:rPr>
            <w:t xml:space="preserve"> </w:t>
          </w:r>
          <w:r w:rsidRPr="006571A5">
            <w:rPr>
              <w:rtl/>
            </w:rPr>
            <w:t>يبلغ</w:t>
          </w:r>
          <w:r>
            <w:rPr>
              <w:rtl/>
            </w:rPr>
            <w:t xml:space="preserve"> </w:t>
          </w:r>
          <w:r w:rsidRPr="006571A5">
            <w:rPr>
              <w:rtl/>
            </w:rPr>
            <w:t>حد</w:t>
          </w:r>
          <w:r>
            <w:rPr>
              <w:rtl/>
            </w:rPr>
            <w:t xml:space="preserve"> </w:t>
          </w:r>
          <w:r w:rsidRPr="006571A5">
            <w:rPr>
              <w:rtl/>
            </w:rPr>
            <w:t>الحرمان</w:t>
          </w:r>
          <w:r>
            <w:rPr>
              <w:rtl/>
            </w:rPr>
            <w:t xml:space="preserve"> </w:t>
          </w:r>
          <w:r w:rsidRPr="006571A5">
            <w:rPr>
              <w:rtl/>
            </w:rPr>
            <w:t>من</w:t>
          </w:r>
          <w:r>
            <w:rPr>
              <w:rtl/>
            </w:rPr>
            <w:t xml:space="preserve"> </w:t>
          </w:r>
          <w:r w:rsidRPr="006571A5">
            <w:rPr>
              <w:rtl/>
            </w:rPr>
            <w:t>العدالة</w:t>
          </w:r>
          <w:r>
            <w:rPr>
              <w:rtl/>
            </w:rPr>
            <w:t xml:space="preserve"> </w:t>
          </w:r>
          <w:r w:rsidRPr="006571A5">
            <w:rPr>
              <w:rtl/>
            </w:rPr>
            <w:t>(المرجع</w:t>
          </w:r>
          <w:r>
            <w:rPr>
              <w:rtl/>
            </w:rPr>
            <w:t xml:space="preserve"> </w:t>
          </w:r>
          <w:r w:rsidRPr="006571A5">
            <w:rPr>
              <w:rtl/>
            </w:rPr>
            <w:t>السابق</w:t>
          </w:r>
          <w:r>
            <w:rPr>
              <w:rtl/>
            </w:rPr>
            <w:t xml:space="preserve"> </w:t>
          </w:r>
          <w:r w:rsidRPr="006571A5">
            <w:rPr>
              <w:rtl/>
            </w:rPr>
            <w:t>نفسه).</w:t>
          </w:r>
          <w:bookmarkStart w:id="3" w:name="_Hlk5890348"/>
          <w:bookmarkStart w:id="4" w:name="_Hlk5890445"/>
          <w:bookmarkEnd w:id="3"/>
          <w:bookmarkEnd w:id="4"/>
          <w:r w:rsidR="006473B1">
            <w:t>‬</w:t>
          </w:r>
          <w:r w:rsidR="006473B1">
            <w:t>‬</w:t>
          </w:r>
          <w:r w:rsidR="00E741A3">
            <w:t>‬</w:t>
          </w:r>
          <w:r w:rsidR="00E741A3">
            <w:t>‬</w:t>
          </w:r>
        </w:dir>
      </w:dir>
    </w:p>
    <w:p w14:paraId="4AB28CDD" w14:textId="448DEB7E" w:rsidR="006571A5" w:rsidRPr="006571A5" w:rsidRDefault="006571A5" w:rsidP="006571A5">
      <w:pPr>
        <w:pStyle w:val="SingleTxt"/>
        <w:rPr>
          <w:rtl/>
        </w:rPr>
      </w:pPr>
      <w:r w:rsidRPr="006571A5">
        <w:rPr>
          <w:rtl/>
        </w:rPr>
        <w:t>4-20</w:t>
      </w:r>
      <w:r w:rsidRPr="006571A5">
        <w:rPr>
          <w:rtl/>
        </w:rPr>
        <w:tab/>
        <w:t>وتشير</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أيضا</w:t>
      </w:r>
      <w:r>
        <w:rPr>
          <w:rtl/>
        </w:rPr>
        <w:t xml:space="preserve"> </w:t>
      </w:r>
      <w:r w:rsidRPr="006571A5">
        <w:rPr>
          <w:rtl/>
        </w:rPr>
        <w:t>إلى</w:t>
      </w:r>
      <w:r>
        <w:rPr>
          <w:rtl/>
        </w:rPr>
        <w:t xml:space="preserve"> </w:t>
      </w:r>
      <w:r w:rsidRPr="006571A5">
        <w:rPr>
          <w:rtl/>
        </w:rPr>
        <w:t>أن</w:t>
      </w:r>
      <w:r>
        <w:rPr>
          <w:rtl/>
        </w:rPr>
        <w:t xml:space="preserve"> </w:t>
      </w:r>
      <w:r w:rsidRPr="006571A5">
        <w:rPr>
          <w:rtl/>
        </w:rPr>
        <w:t>اللجنة</w:t>
      </w:r>
      <w:r>
        <w:rPr>
          <w:rtl/>
        </w:rPr>
        <w:t xml:space="preserve"> </w:t>
      </w:r>
      <w:r w:rsidRPr="006571A5">
        <w:rPr>
          <w:rtl/>
        </w:rPr>
        <w:t>المعنية</w:t>
      </w:r>
      <w:r>
        <w:rPr>
          <w:rtl/>
        </w:rPr>
        <w:t xml:space="preserve"> </w:t>
      </w:r>
      <w:r w:rsidRPr="006571A5">
        <w:rPr>
          <w:rtl/>
        </w:rPr>
        <w:t>بحقوق</w:t>
      </w:r>
      <w:r>
        <w:rPr>
          <w:rtl/>
        </w:rPr>
        <w:t xml:space="preserve"> </w:t>
      </w:r>
      <w:r w:rsidRPr="006571A5">
        <w:rPr>
          <w:rtl/>
        </w:rPr>
        <w:t>الإنسان</w:t>
      </w:r>
      <w:r>
        <w:rPr>
          <w:rtl/>
        </w:rPr>
        <w:t xml:space="preserve"> </w:t>
      </w:r>
      <w:r w:rsidRPr="006571A5">
        <w:rPr>
          <w:rtl/>
        </w:rPr>
        <w:t>لاحظت،</w:t>
      </w:r>
      <w:r>
        <w:rPr>
          <w:rtl/>
        </w:rPr>
        <w:t xml:space="preserve"> </w:t>
      </w:r>
      <w:r w:rsidRPr="006571A5">
        <w:rPr>
          <w:rtl/>
        </w:rPr>
        <w:t>في</w:t>
      </w:r>
      <w:r>
        <w:rPr>
          <w:rtl/>
        </w:rPr>
        <w:t xml:space="preserve"> </w:t>
      </w:r>
      <w:r w:rsidRPr="006571A5">
        <w:rPr>
          <w:rtl/>
        </w:rPr>
        <w:t>آرائها</w:t>
      </w:r>
      <w:r>
        <w:rPr>
          <w:rtl/>
        </w:rPr>
        <w:t xml:space="preserve"> </w:t>
      </w:r>
      <w:r w:rsidRPr="006571A5">
        <w:rPr>
          <w:rtl/>
        </w:rPr>
        <w:t>بشأن</w:t>
      </w:r>
      <w:r>
        <w:rPr>
          <w:rtl/>
        </w:rPr>
        <w:t xml:space="preserve"> </w:t>
      </w:r>
      <w:r w:rsidRPr="006571A5">
        <w:rPr>
          <w:rtl/>
        </w:rPr>
        <w:t>قضية</w:t>
      </w:r>
      <w:r>
        <w:rPr>
          <w:rtl/>
        </w:rPr>
        <w:t xml:space="preserve"> </w:t>
      </w:r>
      <w:r w:rsidRPr="006571A5">
        <w:rPr>
          <w:i/>
          <w:iCs/>
          <w:rtl/>
        </w:rPr>
        <w:t>السيد</w:t>
      </w:r>
      <w:r>
        <w:rPr>
          <w:i/>
          <w:iCs/>
          <w:rtl/>
        </w:rPr>
        <w:t xml:space="preserve"> </w:t>
      </w:r>
      <w:r w:rsidRPr="006571A5">
        <w:rPr>
          <w:i/>
          <w:iCs/>
          <w:rtl/>
        </w:rPr>
        <w:t>فلان</w:t>
      </w:r>
      <w:r>
        <w:rPr>
          <w:i/>
          <w:iCs/>
          <w:rtl/>
        </w:rPr>
        <w:t xml:space="preserve"> </w:t>
      </w:r>
      <w:r w:rsidRPr="006571A5">
        <w:rPr>
          <w:i/>
          <w:iCs/>
          <w:rtl/>
        </w:rPr>
        <w:t>والسيدة</w:t>
      </w:r>
      <w:r>
        <w:rPr>
          <w:i/>
          <w:iCs/>
          <w:rtl/>
        </w:rPr>
        <w:t xml:space="preserve"> </w:t>
      </w:r>
      <w:r w:rsidRPr="006571A5">
        <w:rPr>
          <w:i/>
          <w:iCs/>
          <w:rtl/>
        </w:rPr>
        <w:t>فلانة</w:t>
      </w:r>
      <w:r>
        <w:rPr>
          <w:i/>
          <w:iCs/>
          <w:rtl/>
        </w:rPr>
        <w:t xml:space="preserve"> </w:t>
      </w:r>
      <w:r w:rsidRPr="006571A5">
        <w:rPr>
          <w:i/>
          <w:iCs/>
          <w:rtl/>
        </w:rPr>
        <w:t>ضد</w:t>
      </w:r>
      <w:r>
        <w:rPr>
          <w:i/>
          <w:iCs/>
          <w:rtl/>
        </w:rPr>
        <w:t xml:space="preserve"> </w:t>
      </w:r>
      <w:r w:rsidRPr="006571A5">
        <w:rPr>
          <w:i/>
          <w:iCs/>
          <w:rtl/>
        </w:rPr>
        <w:t>الدانمرك</w:t>
      </w:r>
      <w:r>
        <w:rPr>
          <w:rtl/>
        </w:rPr>
        <w:t xml:space="preserve"> </w:t>
      </w:r>
      <w:r w:rsidRPr="006571A5">
        <w:rPr>
          <w:rtl/>
        </w:rPr>
        <w:t>(</w:t>
      </w:r>
      <w:hyperlink r:id="rId20" w:history="1">
        <w:r w:rsidRPr="004B1017">
          <w:rPr>
            <w:rStyle w:val="Hyperlink"/>
            <w:lang w:val="en-GB"/>
          </w:rPr>
          <w:t>CCPR/C/112/D/2186/2012</w:t>
        </w:r>
      </w:hyperlink>
      <w:r w:rsidRPr="006571A5">
        <w:rPr>
          <w:rtl/>
        </w:rPr>
        <w:t>،</w:t>
      </w:r>
      <w:r>
        <w:rPr>
          <w:rtl/>
        </w:rPr>
        <w:t xml:space="preserve"> </w:t>
      </w:r>
      <w:r w:rsidRPr="006571A5">
        <w:rPr>
          <w:rtl/>
        </w:rPr>
        <w:t>الفقرة</w:t>
      </w:r>
      <w:r>
        <w:rPr>
          <w:rtl/>
        </w:rPr>
        <w:t xml:space="preserve"> </w:t>
      </w:r>
      <w:r w:rsidRPr="006571A5">
        <w:rPr>
          <w:rtl/>
        </w:rPr>
        <w:t>7-5)،</w:t>
      </w:r>
      <w:r>
        <w:rPr>
          <w:rtl/>
        </w:rPr>
        <w:t xml:space="preserve"> </w:t>
      </w:r>
      <w:r w:rsidRPr="006571A5">
        <w:rPr>
          <w:rtl/>
        </w:rPr>
        <w:t>أن</w:t>
      </w:r>
      <w:r>
        <w:rPr>
          <w:rtl/>
        </w:rPr>
        <w:t xml:space="preserve"> </w:t>
      </w:r>
      <w:r w:rsidRPr="006571A5">
        <w:rPr>
          <w:rtl/>
        </w:rPr>
        <w:t>سلطات</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قيّمت</w:t>
      </w:r>
      <w:r>
        <w:rPr>
          <w:rtl/>
        </w:rPr>
        <w:t xml:space="preserve"> </w:t>
      </w:r>
      <w:r w:rsidRPr="006571A5">
        <w:rPr>
          <w:rtl/>
        </w:rPr>
        <w:t>طلبي</w:t>
      </w:r>
      <w:r>
        <w:rPr>
          <w:rtl/>
        </w:rPr>
        <w:t xml:space="preserve"> </w:t>
      </w:r>
      <w:r w:rsidRPr="006571A5">
        <w:rPr>
          <w:rtl/>
        </w:rPr>
        <w:t>اللجوء</w:t>
      </w:r>
      <w:r>
        <w:rPr>
          <w:rtl/>
        </w:rPr>
        <w:t xml:space="preserve"> </w:t>
      </w:r>
      <w:r w:rsidRPr="006571A5">
        <w:rPr>
          <w:rtl/>
        </w:rPr>
        <w:t>اللذين</w:t>
      </w:r>
      <w:r>
        <w:rPr>
          <w:rtl/>
        </w:rPr>
        <w:t xml:space="preserve"> </w:t>
      </w:r>
      <w:r w:rsidRPr="006571A5">
        <w:rPr>
          <w:rtl/>
        </w:rPr>
        <w:t>قدمهما</w:t>
      </w:r>
      <w:r>
        <w:rPr>
          <w:rtl/>
        </w:rPr>
        <w:t xml:space="preserve"> </w:t>
      </w:r>
      <w:r w:rsidRPr="006571A5">
        <w:rPr>
          <w:rtl/>
        </w:rPr>
        <w:t>صاحبا</w:t>
      </w:r>
      <w:r>
        <w:rPr>
          <w:rtl/>
        </w:rPr>
        <w:t xml:space="preserve"> </w:t>
      </w:r>
      <w:r w:rsidRPr="006571A5">
        <w:rPr>
          <w:rtl/>
        </w:rPr>
        <w:t>البلاغ</w:t>
      </w:r>
      <w:r>
        <w:rPr>
          <w:rtl/>
        </w:rPr>
        <w:t xml:space="preserve"> </w:t>
      </w:r>
      <w:r w:rsidRPr="006571A5">
        <w:rPr>
          <w:rtl/>
        </w:rPr>
        <w:t>تقييما</w:t>
      </w:r>
      <w:r>
        <w:rPr>
          <w:rtl/>
        </w:rPr>
        <w:t xml:space="preserve"> </w:t>
      </w:r>
      <w:r w:rsidRPr="006571A5">
        <w:rPr>
          <w:rtl/>
        </w:rPr>
        <w:t>شاملا</w:t>
      </w:r>
      <w:r>
        <w:rPr>
          <w:rtl/>
        </w:rPr>
        <w:t xml:space="preserve"> </w:t>
      </w:r>
      <w:r w:rsidRPr="006571A5">
        <w:rPr>
          <w:rtl/>
        </w:rPr>
        <w:t>ورأت</w:t>
      </w:r>
      <w:r>
        <w:rPr>
          <w:rtl/>
        </w:rPr>
        <w:t xml:space="preserve"> </w:t>
      </w:r>
      <w:r w:rsidRPr="006571A5">
        <w:rPr>
          <w:rtl/>
        </w:rPr>
        <w:t>أن</w:t>
      </w:r>
      <w:r>
        <w:rPr>
          <w:rtl/>
        </w:rPr>
        <w:t xml:space="preserve"> </w:t>
      </w:r>
      <w:r w:rsidRPr="006571A5">
        <w:rPr>
          <w:rtl/>
        </w:rPr>
        <w:t>أقوالهما</w:t>
      </w:r>
      <w:r>
        <w:rPr>
          <w:rtl/>
        </w:rPr>
        <w:t xml:space="preserve"> </w:t>
      </w:r>
      <w:r w:rsidRPr="006571A5">
        <w:rPr>
          <w:rtl/>
        </w:rPr>
        <w:t>بشأن</w:t>
      </w:r>
      <w:r>
        <w:rPr>
          <w:rtl/>
        </w:rPr>
        <w:t xml:space="preserve"> </w:t>
      </w:r>
      <w:r w:rsidRPr="006571A5">
        <w:rPr>
          <w:rtl/>
        </w:rPr>
        <w:t>الدافع</w:t>
      </w:r>
      <w:r>
        <w:rPr>
          <w:rtl/>
        </w:rPr>
        <w:t xml:space="preserve"> </w:t>
      </w:r>
      <w:r w:rsidRPr="006571A5">
        <w:rPr>
          <w:rtl/>
        </w:rPr>
        <w:t>إلى</w:t>
      </w:r>
      <w:r>
        <w:rPr>
          <w:rtl/>
        </w:rPr>
        <w:t xml:space="preserve"> </w:t>
      </w:r>
      <w:r w:rsidRPr="006571A5">
        <w:rPr>
          <w:rtl/>
        </w:rPr>
        <w:t>التماس</w:t>
      </w:r>
      <w:r>
        <w:rPr>
          <w:rtl/>
        </w:rPr>
        <w:t xml:space="preserve"> </w:t>
      </w:r>
      <w:r w:rsidRPr="006571A5">
        <w:rPr>
          <w:rtl/>
        </w:rPr>
        <w:t>اللجوء</w:t>
      </w:r>
      <w:r>
        <w:rPr>
          <w:rtl/>
        </w:rPr>
        <w:t xml:space="preserve"> </w:t>
      </w:r>
      <w:r w:rsidRPr="006571A5">
        <w:rPr>
          <w:rtl/>
        </w:rPr>
        <w:t>وروايتهما</w:t>
      </w:r>
      <w:r>
        <w:rPr>
          <w:rtl/>
        </w:rPr>
        <w:t xml:space="preserve"> </w:t>
      </w:r>
      <w:r w:rsidRPr="006571A5">
        <w:rPr>
          <w:rtl/>
        </w:rPr>
        <w:t>للأحداث</w:t>
      </w:r>
      <w:r>
        <w:rPr>
          <w:rtl/>
        </w:rPr>
        <w:t xml:space="preserve"> </w:t>
      </w:r>
      <w:r w:rsidRPr="006571A5">
        <w:rPr>
          <w:rtl/>
        </w:rPr>
        <w:t>التي</w:t>
      </w:r>
      <w:r>
        <w:rPr>
          <w:rtl/>
        </w:rPr>
        <w:t xml:space="preserve"> </w:t>
      </w:r>
      <w:r w:rsidRPr="006571A5">
        <w:rPr>
          <w:rtl/>
        </w:rPr>
        <w:t>أدت</w:t>
      </w:r>
      <w:r>
        <w:rPr>
          <w:rtl/>
        </w:rPr>
        <w:t xml:space="preserve"> </w:t>
      </w:r>
      <w:r w:rsidRPr="006571A5">
        <w:rPr>
          <w:rtl/>
        </w:rPr>
        <w:t>إلى</w:t>
      </w:r>
      <w:r>
        <w:rPr>
          <w:rtl/>
        </w:rPr>
        <w:t xml:space="preserve"> </w:t>
      </w:r>
      <w:r w:rsidRPr="006571A5">
        <w:rPr>
          <w:rtl/>
        </w:rPr>
        <w:t>خوفهما</w:t>
      </w:r>
      <w:r>
        <w:rPr>
          <w:rtl/>
        </w:rPr>
        <w:t xml:space="preserve"> </w:t>
      </w:r>
      <w:r w:rsidRPr="006571A5">
        <w:rPr>
          <w:rtl/>
        </w:rPr>
        <w:t>من</w:t>
      </w:r>
      <w:r>
        <w:rPr>
          <w:rtl/>
        </w:rPr>
        <w:t xml:space="preserve"> </w:t>
      </w:r>
      <w:r w:rsidRPr="006571A5">
        <w:rPr>
          <w:rtl/>
        </w:rPr>
        <w:t>التعرض</w:t>
      </w:r>
      <w:r>
        <w:rPr>
          <w:rtl/>
        </w:rPr>
        <w:t xml:space="preserve"> </w:t>
      </w:r>
      <w:r w:rsidRPr="006571A5">
        <w:rPr>
          <w:rtl/>
        </w:rPr>
        <w:t>للتعذيب</w:t>
      </w:r>
      <w:r>
        <w:rPr>
          <w:rtl/>
        </w:rPr>
        <w:t xml:space="preserve"> </w:t>
      </w:r>
      <w:r w:rsidRPr="006571A5">
        <w:rPr>
          <w:rtl/>
        </w:rPr>
        <w:t>أو</w:t>
      </w:r>
      <w:r>
        <w:rPr>
          <w:rtl/>
        </w:rPr>
        <w:t xml:space="preserve"> </w:t>
      </w:r>
      <w:r w:rsidRPr="006571A5">
        <w:rPr>
          <w:rtl/>
        </w:rPr>
        <w:t>القتل</w:t>
      </w:r>
      <w:r>
        <w:rPr>
          <w:rtl/>
        </w:rPr>
        <w:t xml:space="preserve"> </w:t>
      </w:r>
      <w:r w:rsidRPr="006571A5">
        <w:rPr>
          <w:rtl/>
        </w:rPr>
        <w:t>تفتقر</w:t>
      </w:r>
      <w:r>
        <w:rPr>
          <w:rtl/>
        </w:rPr>
        <w:t xml:space="preserve"> </w:t>
      </w:r>
      <w:r w:rsidRPr="006571A5">
        <w:rPr>
          <w:rtl/>
        </w:rPr>
        <w:t>إلى</w:t>
      </w:r>
      <w:r>
        <w:rPr>
          <w:rtl/>
        </w:rPr>
        <w:t xml:space="preserve"> </w:t>
      </w:r>
      <w:r w:rsidRPr="006571A5">
        <w:rPr>
          <w:rtl/>
        </w:rPr>
        <w:t>المصداقية.</w:t>
      </w:r>
      <w:r>
        <w:rPr>
          <w:rtl/>
        </w:rPr>
        <w:t xml:space="preserve"> </w:t>
      </w:r>
      <w:r w:rsidRPr="006571A5">
        <w:rPr>
          <w:rtl/>
        </w:rPr>
        <w:t>ولاحظت</w:t>
      </w:r>
      <w:r>
        <w:rPr>
          <w:rtl/>
        </w:rPr>
        <w:t xml:space="preserve"> </w:t>
      </w:r>
      <w:r w:rsidRPr="006571A5">
        <w:rPr>
          <w:rtl/>
        </w:rPr>
        <w:t>اللجنة</w:t>
      </w:r>
      <w:r>
        <w:rPr>
          <w:rtl/>
        </w:rPr>
        <w:t xml:space="preserve"> </w:t>
      </w:r>
      <w:r w:rsidRPr="006571A5">
        <w:rPr>
          <w:rtl/>
        </w:rPr>
        <w:t>أيضا</w:t>
      </w:r>
      <w:r>
        <w:rPr>
          <w:rtl/>
        </w:rPr>
        <w:t xml:space="preserve"> </w:t>
      </w:r>
      <w:r w:rsidRPr="006571A5">
        <w:rPr>
          <w:rtl/>
        </w:rPr>
        <w:t>أن</w:t>
      </w:r>
      <w:r>
        <w:rPr>
          <w:rtl/>
        </w:rPr>
        <w:t xml:space="preserve"> </w:t>
      </w:r>
      <w:r w:rsidRPr="006571A5">
        <w:rPr>
          <w:rtl/>
        </w:rPr>
        <w:t>صاحبي</w:t>
      </w:r>
      <w:r>
        <w:rPr>
          <w:rtl/>
        </w:rPr>
        <w:t xml:space="preserve"> </w:t>
      </w:r>
      <w:r w:rsidRPr="006571A5">
        <w:rPr>
          <w:rtl/>
        </w:rPr>
        <w:t>البلاغ</w:t>
      </w:r>
      <w:r>
        <w:rPr>
          <w:rtl/>
        </w:rPr>
        <w:t xml:space="preserve"> </w:t>
      </w:r>
      <w:r w:rsidRPr="006571A5">
        <w:rPr>
          <w:rtl/>
        </w:rPr>
        <w:t>لم</w:t>
      </w:r>
      <w:r>
        <w:rPr>
          <w:rtl/>
        </w:rPr>
        <w:t xml:space="preserve"> </w:t>
      </w:r>
      <w:r w:rsidRPr="006571A5">
        <w:rPr>
          <w:rtl/>
        </w:rPr>
        <w:t>يكشفا</w:t>
      </w:r>
      <w:r>
        <w:rPr>
          <w:rtl/>
        </w:rPr>
        <w:t xml:space="preserve"> </w:t>
      </w:r>
      <w:r w:rsidRPr="006571A5">
        <w:rPr>
          <w:rtl/>
        </w:rPr>
        <w:t>عن</w:t>
      </w:r>
      <w:r>
        <w:rPr>
          <w:rtl/>
        </w:rPr>
        <w:t xml:space="preserve"> </w:t>
      </w:r>
      <w:r w:rsidRPr="006571A5">
        <w:rPr>
          <w:rtl/>
        </w:rPr>
        <w:t>حدوث</w:t>
      </w:r>
      <w:r>
        <w:rPr>
          <w:rtl/>
        </w:rPr>
        <w:t xml:space="preserve"> </w:t>
      </w:r>
      <w:r w:rsidRPr="006571A5">
        <w:rPr>
          <w:rtl/>
        </w:rPr>
        <w:t>أي</w:t>
      </w:r>
      <w:r>
        <w:rPr>
          <w:rtl/>
        </w:rPr>
        <w:t xml:space="preserve"> </w:t>
      </w:r>
      <w:r w:rsidRPr="006571A5">
        <w:rPr>
          <w:rtl/>
        </w:rPr>
        <w:t>تجاوزات</w:t>
      </w:r>
      <w:r>
        <w:rPr>
          <w:rtl/>
        </w:rPr>
        <w:t xml:space="preserve"> </w:t>
      </w:r>
      <w:r w:rsidRPr="006571A5">
        <w:rPr>
          <w:rtl/>
        </w:rPr>
        <w:t>في</w:t>
      </w:r>
      <w:r>
        <w:rPr>
          <w:rtl/>
        </w:rPr>
        <w:t xml:space="preserve"> </w:t>
      </w:r>
      <w:r w:rsidRPr="006571A5">
        <w:rPr>
          <w:rtl/>
        </w:rPr>
        <w:t>عملية</w:t>
      </w:r>
      <w:r>
        <w:rPr>
          <w:rtl/>
        </w:rPr>
        <w:t xml:space="preserve"> </w:t>
      </w:r>
      <w:r w:rsidRPr="006571A5">
        <w:rPr>
          <w:rtl/>
        </w:rPr>
        <w:t>اتخاذ</w:t>
      </w:r>
      <w:r>
        <w:rPr>
          <w:rtl/>
        </w:rPr>
        <w:t xml:space="preserve"> </w:t>
      </w:r>
      <w:r w:rsidRPr="006571A5">
        <w:rPr>
          <w:rtl/>
        </w:rPr>
        <w:t>القرار</w:t>
      </w:r>
      <w:r>
        <w:rPr>
          <w:rtl/>
        </w:rPr>
        <w:t xml:space="preserve"> </w:t>
      </w:r>
      <w:r w:rsidRPr="006571A5">
        <w:rPr>
          <w:rtl/>
        </w:rPr>
        <w:t>أو</w:t>
      </w:r>
      <w:r>
        <w:rPr>
          <w:rtl/>
        </w:rPr>
        <w:t xml:space="preserve"> </w:t>
      </w:r>
      <w:r w:rsidRPr="006571A5">
        <w:rPr>
          <w:rtl/>
        </w:rPr>
        <w:t>أي</w:t>
      </w:r>
      <w:r>
        <w:rPr>
          <w:rtl/>
        </w:rPr>
        <w:t xml:space="preserve"> </w:t>
      </w:r>
      <w:r w:rsidRPr="006571A5">
        <w:rPr>
          <w:rtl/>
        </w:rPr>
        <w:t>عامل</w:t>
      </w:r>
      <w:r>
        <w:rPr>
          <w:rtl/>
        </w:rPr>
        <w:t xml:space="preserve"> </w:t>
      </w:r>
      <w:r w:rsidRPr="006571A5">
        <w:rPr>
          <w:rtl/>
        </w:rPr>
        <w:t>خطر</w:t>
      </w:r>
      <w:r>
        <w:rPr>
          <w:rtl/>
        </w:rPr>
        <w:t xml:space="preserve"> </w:t>
      </w:r>
      <w:r w:rsidRPr="006571A5">
        <w:rPr>
          <w:rtl/>
        </w:rPr>
        <w:t>لم</w:t>
      </w:r>
      <w:r>
        <w:rPr>
          <w:rtl/>
        </w:rPr>
        <w:t xml:space="preserve"> </w:t>
      </w:r>
      <w:r w:rsidRPr="006571A5">
        <w:rPr>
          <w:rtl/>
        </w:rPr>
        <w:t>تأخذه</w:t>
      </w:r>
      <w:r>
        <w:rPr>
          <w:rtl/>
        </w:rPr>
        <w:t xml:space="preserve"> </w:t>
      </w:r>
      <w:r w:rsidRPr="006571A5">
        <w:rPr>
          <w:rtl/>
        </w:rPr>
        <w:t>سلطات</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في</w:t>
      </w:r>
      <w:r>
        <w:rPr>
          <w:rtl/>
        </w:rPr>
        <w:t xml:space="preserve"> </w:t>
      </w:r>
      <w:r w:rsidRPr="006571A5">
        <w:rPr>
          <w:rtl/>
        </w:rPr>
        <w:t>الحسبان</w:t>
      </w:r>
      <w:r>
        <w:rPr>
          <w:rtl/>
        </w:rPr>
        <w:t xml:space="preserve"> </w:t>
      </w:r>
      <w:r w:rsidRPr="006571A5">
        <w:rPr>
          <w:rtl/>
        </w:rPr>
        <w:t>كما</w:t>
      </w:r>
      <w:r>
        <w:rPr>
          <w:rtl/>
        </w:rPr>
        <w:t xml:space="preserve"> </w:t>
      </w:r>
      <w:r w:rsidRPr="006571A5">
        <w:rPr>
          <w:rtl/>
        </w:rPr>
        <w:t>ينبغي.</w:t>
      </w:r>
      <w:r>
        <w:rPr>
          <w:rtl/>
        </w:rPr>
        <w:t xml:space="preserve"> </w:t>
      </w:r>
      <w:r w:rsidRPr="006571A5">
        <w:rPr>
          <w:rtl/>
        </w:rPr>
        <w:t>وفي</w:t>
      </w:r>
      <w:r>
        <w:rPr>
          <w:rtl/>
        </w:rPr>
        <w:t xml:space="preserve"> </w:t>
      </w:r>
      <w:r w:rsidRPr="006571A5">
        <w:rPr>
          <w:rtl/>
        </w:rPr>
        <w:t>ضوء</w:t>
      </w:r>
      <w:r>
        <w:rPr>
          <w:rtl/>
        </w:rPr>
        <w:t xml:space="preserve"> </w:t>
      </w:r>
      <w:r w:rsidRPr="006571A5">
        <w:rPr>
          <w:rtl/>
        </w:rPr>
        <w:lastRenderedPageBreak/>
        <w:t>ما</w:t>
      </w:r>
      <w:r w:rsidR="004C757C">
        <w:rPr>
          <w:rFonts w:hint="cs"/>
          <w:rtl/>
        </w:rPr>
        <w:t> </w:t>
      </w:r>
      <w:r w:rsidRPr="006571A5">
        <w:rPr>
          <w:rtl/>
        </w:rPr>
        <w:t>تقدم،</w:t>
      </w:r>
      <w:r>
        <w:rPr>
          <w:rtl/>
        </w:rPr>
        <w:t xml:space="preserve"> </w:t>
      </w:r>
      <w:r w:rsidRPr="006571A5">
        <w:rPr>
          <w:rtl/>
        </w:rPr>
        <w:t>لم</w:t>
      </w:r>
      <w:r>
        <w:rPr>
          <w:rtl/>
        </w:rPr>
        <w:t xml:space="preserve"> </w:t>
      </w:r>
      <w:r w:rsidRPr="006571A5">
        <w:rPr>
          <w:rtl/>
        </w:rPr>
        <w:t>يسع</w:t>
      </w:r>
      <w:r>
        <w:rPr>
          <w:rtl/>
        </w:rPr>
        <w:t xml:space="preserve"> </w:t>
      </w:r>
      <w:r w:rsidRPr="006571A5">
        <w:rPr>
          <w:rtl/>
        </w:rPr>
        <w:t>اللجنة</w:t>
      </w:r>
      <w:r>
        <w:rPr>
          <w:rtl/>
        </w:rPr>
        <w:t xml:space="preserve"> </w:t>
      </w:r>
      <w:r w:rsidRPr="006571A5">
        <w:rPr>
          <w:rtl/>
        </w:rPr>
        <w:t>أن</w:t>
      </w:r>
      <w:r>
        <w:rPr>
          <w:rtl/>
        </w:rPr>
        <w:t xml:space="preserve"> </w:t>
      </w:r>
      <w:r w:rsidRPr="006571A5">
        <w:rPr>
          <w:rtl/>
        </w:rPr>
        <w:t>تستنتج</w:t>
      </w:r>
      <w:r>
        <w:rPr>
          <w:rtl/>
        </w:rPr>
        <w:t xml:space="preserve"> </w:t>
      </w:r>
      <w:r w:rsidRPr="006571A5">
        <w:rPr>
          <w:rtl/>
        </w:rPr>
        <w:t>احتمال</w:t>
      </w:r>
      <w:r>
        <w:rPr>
          <w:rtl/>
        </w:rPr>
        <w:t xml:space="preserve"> </w:t>
      </w:r>
      <w:r w:rsidRPr="006571A5">
        <w:rPr>
          <w:rtl/>
        </w:rPr>
        <w:t>وجود</w:t>
      </w:r>
      <w:r>
        <w:rPr>
          <w:rtl/>
        </w:rPr>
        <w:t xml:space="preserve"> </w:t>
      </w:r>
      <w:r w:rsidRPr="006571A5">
        <w:rPr>
          <w:rtl/>
        </w:rPr>
        <w:t>خطر</w:t>
      </w:r>
      <w:r>
        <w:rPr>
          <w:rtl/>
        </w:rPr>
        <w:t xml:space="preserve"> </w:t>
      </w:r>
      <w:r w:rsidRPr="006571A5">
        <w:rPr>
          <w:rtl/>
        </w:rPr>
        <w:t>حقيقي</w:t>
      </w:r>
      <w:r>
        <w:rPr>
          <w:rtl/>
        </w:rPr>
        <w:t xml:space="preserve"> </w:t>
      </w:r>
      <w:r w:rsidRPr="006571A5">
        <w:rPr>
          <w:rtl/>
        </w:rPr>
        <w:t>يعرّض</w:t>
      </w:r>
      <w:r>
        <w:rPr>
          <w:rtl/>
        </w:rPr>
        <w:t xml:space="preserve"> </w:t>
      </w:r>
      <w:r w:rsidRPr="006571A5">
        <w:rPr>
          <w:rtl/>
        </w:rPr>
        <w:t>صاحبي</w:t>
      </w:r>
      <w:r>
        <w:rPr>
          <w:rtl/>
        </w:rPr>
        <w:t xml:space="preserve"> </w:t>
      </w:r>
      <w:r w:rsidRPr="006571A5">
        <w:rPr>
          <w:rtl/>
        </w:rPr>
        <w:t>البلاغ</w:t>
      </w:r>
      <w:r>
        <w:rPr>
          <w:rtl/>
        </w:rPr>
        <w:t xml:space="preserve"> </w:t>
      </w:r>
      <w:r w:rsidRPr="006571A5">
        <w:rPr>
          <w:rtl/>
        </w:rPr>
        <w:t>لمعاملة</w:t>
      </w:r>
      <w:r>
        <w:rPr>
          <w:rtl/>
        </w:rPr>
        <w:t xml:space="preserve"> </w:t>
      </w:r>
      <w:r w:rsidRPr="006571A5">
        <w:rPr>
          <w:rtl/>
        </w:rPr>
        <w:t>تتعارض</w:t>
      </w:r>
      <w:r>
        <w:rPr>
          <w:rtl/>
        </w:rPr>
        <w:t xml:space="preserve"> </w:t>
      </w:r>
      <w:r w:rsidRPr="006571A5">
        <w:rPr>
          <w:rtl/>
        </w:rPr>
        <w:t>مع</w:t>
      </w:r>
      <w:r>
        <w:rPr>
          <w:rtl/>
        </w:rPr>
        <w:t xml:space="preserve"> </w:t>
      </w:r>
      <w:r w:rsidRPr="006571A5">
        <w:rPr>
          <w:rtl/>
        </w:rPr>
        <w:t>المادتين</w:t>
      </w:r>
      <w:r>
        <w:rPr>
          <w:rtl/>
        </w:rPr>
        <w:t xml:space="preserve"> </w:t>
      </w:r>
      <w:r w:rsidRPr="006571A5">
        <w:rPr>
          <w:rtl/>
        </w:rPr>
        <w:t>6</w:t>
      </w:r>
      <w:r>
        <w:rPr>
          <w:rtl/>
        </w:rPr>
        <w:t xml:space="preserve"> </w:t>
      </w:r>
      <w:r w:rsidRPr="006571A5">
        <w:rPr>
          <w:rtl/>
        </w:rPr>
        <w:t>أو</w:t>
      </w:r>
      <w:r>
        <w:rPr>
          <w:rtl/>
        </w:rPr>
        <w:t xml:space="preserve"> </w:t>
      </w:r>
      <w:r w:rsidRPr="006571A5">
        <w:rPr>
          <w:rtl/>
        </w:rPr>
        <w:t>7</w:t>
      </w:r>
      <w:r>
        <w:rPr>
          <w:rtl/>
        </w:rPr>
        <w:t xml:space="preserve"> </w:t>
      </w:r>
      <w:r w:rsidRPr="006571A5">
        <w:rPr>
          <w:rtl/>
        </w:rPr>
        <w:t>من</w:t>
      </w:r>
      <w:r>
        <w:rPr>
          <w:rtl/>
        </w:rPr>
        <w:t xml:space="preserve"> </w:t>
      </w:r>
      <w:r w:rsidRPr="006571A5">
        <w:rPr>
          <w:rtl/>
        </w:rPr>
        <w:t>العهد</w:t>
      </w:r>
      <w:r>
        <w:rPr>
          <w:rtl/>
        </w:rPr>
        <w:t xml:space="preserve"> </w:t>
      </w:r>
      <w:r w:rsidRPr="006571A5">
        <w:rPr>
          <w:rtl/>
        </w:rPr>
        <w:t>الدولي</w:t>
      </w:r>
      <w:r>
        <w:rPr>
          <w:rtl/>
        </w:rPr>
        <w:t xml:space="preserve"> </w:t>
      </w:r>
      <w:r w:rsidRPr="006571A5">
        <w:rPr>
          <w:rtl/>
        </w:rPr>
        <w:t>الخاص</w:t>
      </w:r>
      <w:r>
        <w:rPr>
          <w:rtl/>
        </w:rPr>
        <w:t xml:space="preserve"> </w:t>
      </w:r>
      <w:r w:rsidRPr="006571A5">
        <w:rPr>
          <w:rtl/>
        </w:rPr>
        <w:t>بالحقوق</w:t>
      </w:r>
      <w:r>
        <w:rPr>
          <w:rtl/>
        </w:rPr>
        <w:t xml:space="preserve"> </w:t>
      </w:r>
      <w:r w:rsidRPr="006571A5">
        <w:rPr>
          <w:rtl/>
        </w:rPr>
        <w:t>المدنية</w:t>
      </w:r>
      <w:r>
        <w:rPr>
          <w:rtl/>
        </w:rPr>
        <w:t xml:space="preserve"> </w:t>
      </w:r>
      <w:r w:rsidRPr="006571A5">
        <w:rPr>
          <w:rtl/>
        </w:rPr>
        <w:t>والسياسية</w:t>
      </w:r>
      <w:r>
        <w:rPr>
          <w:rtl/>
        </w:rPr>
        <w:t xml:space="preserve"> </w:t>
      </w:r>
      <w:r w:rsidRPr="006571A5">
        <w:rPr>
          <w:rtl/>
        </w:rPr>
        <w:t>إن</w:t>
      </w:r>
      <w:r>
        <w:rPr>
          <w:rtl/>
        </w:rPr>
        <w:t xml:space="preserve"> </w:t>
      </w:r>
      <w:r w:rsidRPr="006571A5">
        <w:rPr>
          <w:rtl/>
        </w:rPr>
        <w:t>رُحِّلا.</w:t>
      </w:r>
    </w:p>
    <w:p w14:paraId="3ED2E249" w14:textId="139026AE" w:rsidR="006571A5" w:rsidRPr="006571A5" w:rsidRDefault="006571A5" w:rsidP="006571A5">
      <w:pPr>
        <w:pStyle w:val="SingleTxt"/>
        <w:rPr>
          <w:rtl/>
        </w:rPr>
      </w:pPr>
      <w:r w:rsidRPr="006571A5">
        <w:rPr>
          <w:rtl/>
        </w:rPr>
        <w:t>4-21</w:t>
      </w:r>
      <w:r w:rsidRPr="006571A5">
        <w:rPr>
          <w:rtl/>
        </w:rPr>
        <w:tab/>
        <w:t>وتفيد</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بأن</w:t>
      </w:r>
      <w:r>
        <w:rPr>
          <w:rtl/>
        </w:rPr>
        <w:t xml:space="preserve"> </w:t>
      </w:r>
      <w:r w:rsidRPr="006571A5">
        <w:rPr>
          <w:rtl/>
        </w:rPr>
        <w:t>نفس</w:t>
      </w:r>
      <w:r>
        <w:rPr>
          <w:rtl/>
        </w:rPr>
        <w:t xml:space="preserve"> </w:t>
      </w:r>
      <w:r w:rsidRPr="006571A5">
        <w:rPr>
          <w:rtl/>
        </w:rPr>
        <w:t>الضمانات</w:t>
      </w:r>
      <w:r>
        <w:rPr>
          <w:rtl/>
        </w:rPr>
        <w:t xml:space="preserve"> </w:t>
      </w:r>
      <w:r w:rsidRPr="006571A5">
        <w:rPr>
          <w:rtl/>
        </w:rPr>
        <w:t>المتعلقة</w:t>
      </w:r>
      <w:r>
        <w:rPr>
          <w:rtl/>
        </w:rPr>
        <w:t xml:space="preserve"> </w:t>
      </w:r>
      <w:r w:rsidRPr="006571A5">
        <w:rPr>
          <w:rtl/>
        </w:rPr>
        <w:t>بالإجراءات</w:t>
      </w:r>
      <w:r>
        <w:rPr>
          <w:rtl/>
        </w:rPr>
        <w:t xml:space="preserve"> </w:t>
      </w:r>
      <w:r w:rsidRPr="006571A5">
        <w:rPr>
          <w:rtl/>
        </w:rPr>
        <w:t>القانونية</w:t>
      </w:r>
      <w:r>
        <w:rPr>
          <w:rtl/>
        </w:rPr>
        <w:t xml:space="preserve"> </w:t>
      </w:r>
      <w:r w:rsidRPr="006571A5">
        <w:rPr>
          <w:rtl/>
        </w:rPr>
        <w:t>الواجبة</w:t>
      </w:r>
      <w:r>
        <w:rPr>
          <w:rtl/>
        </w:rPr>
        <w:t xml:space="preserve"> </w:t>
      </w:r>
      <w:r w:rsidRPr="006571A5">
        <w:rPr>
          <w:rtl/>
        </w:rPr>
        <w:t>تنطبق</w:t>
      </w:r>
      <w:r>
        <w:rPr>
          <w:rtl/>
        </w:rPr>
        <w:t xml:space="preserve"> </w:t>
      </w:r>
      <w:r w:rsidRPr="006571A5">
        <w:rPr>
          <w:rtl/>
        </w:rPr>
        <w:t>في</w:t>
      </w:r>
      <w:r>
        <w:rPr>
          <w:rtl/>
        </w:rPr>
        <w:t xml:space="preserve"> </w:t>
      </w:r>
      <w:r w:rsidRPr="006571A5">
        <w:rPr>
          <w:rtl/>
        </w:rPr>
        <w:t>القضية</w:t>
      </w:r>
      <w:r>
        <w:rPr>
          <w:rtl/>
        </w:rPr>
        <w:t xml:space="preserve"> </w:t>
      </w:r>
      <w:r w:rsidRPr="006571A5">
        <w:rPr>
          <w:rtl/>
        </w:rPr>
        <w:t>قيد</w:t>
      </w:r>
      <w:r>
        <w:rPr>
          <w:rtl/>
        </w:rPr>
        <w:t xml:space="preserve"> </w:t>
      </w:r>
      <w:r w:rsidRPr="006571A5">
        <w:rPr>
          <w:rtl/>
        </w:rPr>
        <w:t>النظر.</w:t>
      </w:r>
      <w:r>
        <w:rPr>
          <w:rtl/>
        </w:rPr>
        <w:t xml:space="preserve"> </w:t>
      </w:r>
      <w:r w:rsidRPr="006571A5">
        <w:rPr>
          <w:rtl/>
        </w:rPr>
        <w:t>وتُحيل</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كذلك</w:t>
      </w:r>
      <w:r>
        <w:rPr>
          <w:rtl/>
        </w:rPr>
        <w:t xml:space="preserve"> </w:t>
      </w:r>
      <w:r w:rsidRPr="006571A5">
        <w:rPr>
          <w:rtl/>
        </w:rPr>
        <w:t>إلى</w:t>
      </w:r>
      <w:r>
        <w:rPr>
          <w:rtl/>
        </w:rPr>
        <w:t xml:space="preserve"> </w:t>
      </w:r>
      <w:r w:rsidRPr="006571A5">
        <w:rPr>
          <w:rtl/>
        </w:rPr>
        <w:t>القرار</w:t>
      </w:r>
      <w:r>
        <w:rPr>
          <w:rtl/>
        </w:rPr>
        <w:t xml:space="preserve"> </w:t>
      </w:r>
      <w:r w:rsidRPr="006571A5">
        <w:rPr>
          <w:rtl/>
        </w:rPr>
        <w:t>الذي</w:t>
      </w:r>
      <w:r>
        <w:rPr>
          <w:rtl/>
        </w:rPr>
        <w:t xml:space="preserve"> </w:t>
      </w:r>
      <w:r w:rsidRPr="006571A5">
        <w:rPr>
          <w:rtl/>
        </w:rPr>
        <w:t>أصدرته</w:t>
      </w:r>
      <w:r>
        <w:rPr>
          <w:rtl/>
        </w:rPr>
        <w:t xml:space="preserve"> </w:t>
      </w:r>
      <w:r w:rsidRPr="006571A5">
        <w:rPr>
          <w:rtl/>
        </w:rPr>
        <w:t>اللجنة</w:t>
      </w:r>
      <w:r>
        <w:rPr>
          <w:rtl/>
        </w:rPr>
        <w:t xml:space="preserve"> </w:t>
      </w:r>
      <w:r w:rsidRPr="006571A5">
        <w:rPr>
          <w:rtl/>
        </w:rPr>
        <w:t>المعنية</w:t>
      </w:r>
      <w:r>
        <w:rPr>
          <w:rtl/>
        </w:rPr>
        <w:t xml:space="preserve"> </w:t>
      </w:r>
      <w:r w:rsidRPr="006571A5">
        <w:rPr>
          <w:rtl/>
        </w:rPr>
        <w:t>بحقوق</w:t>
      </w:r>
      <w:r>
        <w:rPr>
          <w:rtl/>
        </w:rPr>
        <w:t xml:space="preserve"> </w:t>
      </w:r>
      <w:r w:rsidRPr="006571A5">
        <w:rPr>
          <w:rtl/>
        </w:rPr>
        <w:t>الإنسان</w:t>
      </w:r>
      <w:r>
        <w:rPr>
          <w:rtl/>
        </w:rPr>
        <w:t xml:space="preserve"> </w:t>
      </w:r>
      <w:r w:rsidRPr="006571A5">
        <w:rPr>
          <w:rtl/>
        </w:rPr>
        <w:t>في</w:t>
      </w:r>
      <w:r>
        <w:rPr>
          <w:rtl/>
        </w:rPr>
        <w:t xml:space="preserve"> </w:t>
      </w:r>
      <w:r w:rsidRPr="006571A5">
        <w:rPr>
          <w:rtl/>
        </w:rPr>
        <w:t>قضية</w:t>
      </w:r>
      <w:r>
        <w:rPr>
          <w:i/>
          <w:iCs/>
          <w:rtl/>
        </w:rPr>
        <w:t xml:space="preserve"> </w:t>
      </w:r>
      <w:r w:rsidRPr="006571A5">
        <w:rPr>
          <w:i/>
          <w:iCs/>
          <w:rtl/>
        </w:rPr>
        <w:t>ن</w:t>
      </w:r>
      <w:r w:rsidRPr="006571A5">
        <w:rPr>
          <w:rtl/>
        </w:rPr>
        <w:t>.</w:t>
      </w:r>
      <w:r>
        <w:rPr>
          <w:rtl/>
        </w:rPr>
        <w:t xml:space="preserve"> </w:t>
      </w:r>
      <w:r w:rsidRPr="006571A5">
        <w:rPr>
          <w:i/>
          <w:iCs/>
          <w:rtl/>
        </w:rPr>
        <w:t>ضد</w:t>
      </w:r>
      <w:r>
        <w:rPr>
          <w:i/>
          <w:iCs/>
          <w:rtl/>
        </w:rPr>
        <w:t xml:space="preserve"> </w:t>
      </w:r>
      <w:r w:rsidRPr="006571A5">
        <w:rPr>
          <w:i/>
          <w:iCs/>
          <w:rtl/>
        </w:rPr>
        <w:t>الدانمرك</w:t>
      </w:r>
      <w:r>
        <w:rPr>
          <w:rtl/>
        </w:rPr>
        <w:t xml:space="preserve"> </w:t>
      </w:r>
      <w:r w:rsidRPr="006571A5">
        <w:rPr>
          <w:rtl/>
        </w:rPr>
        <w:t>(</w:t>
      </w:r>
      <w:hyperlink r:id="rId21" w:history="1">
        <w:r w:rsidRPr="004B1017">
          <w:rPr>
            <w:rStyle w:val="Hyperlink"/>
            <w:lang w:val="en-GB"/>
          </w:rPr>
          <w:t>CCPR/C/114/D/2426/2014</w:t>
        </w:r>
      </w:hyperlink>
      <w:r w:rsidRPr="006571A5">
        <w:rPr>
          <w:rtl/>
        </w:rPr>
        <w:t>،</w:t>
      </w:r>
      <w:r>
        <w:rPr>
          <w:rtl/>
        </w:rPr>
        <w:t xml:space="preserve"> </w:t>
      </w:r>
      <w:r w:rsidRPr="006571A5">
        <w:rPr>
          <w:rtl/>
        </w:rPr>
        <w:t>الفقرة</w:t>
      </w:r>
      <w:r>
        <w:rPr>
          <w:rtl/>
        </w:rPr>
        <w:t xml:space="preserve"> </w:t>
      </w:r>
      <w:r w:rsidRPr="006571A5">
        <w:rPr>
          <w:rtl/>
        </w:rPr>
        <w:t>6-6)،</w:t>
      </w:r>
      <w:r>
        <w:rPr>
          <w:rtl/>
        </w:rPr>
        <w:t xml:space="preserve"> </w:t>
      </w:r>
      <w:r w:rsidRPr="006571A5">
        <w:rPr>
          <w:rtl/>
        </w:rPr>
        <w:t>حيث</w:t>
      </w:r>
      <w:r>
        <w:rPr>
          <w:rtl/>
        </w:rPr>
        <w:t xml:space="preserve"> </w:t>
      </w:r>
      <w:r w:rsidRPr="006571A5">
        <w:rPr>
          <w:rtl/>
        </w:rPr>
        <w:t>أشارت</w:t>
      </w:r>
      <w:r>
        <w:rPr>
          <w:rtl/>
        </w:rPr>
        <w:t xml:space="preserve"> </w:t>
      </w:r>
      <w:r w:rsidRPr="006571A5">
        <w:rPr>
          <w:rtl/>
        </w:rPr>
        <w:t>هذه</w:t>
      </w:r>
      <w:r>
        <w:rPr>
          <w:rtl/>
        </w:rPr>
        <w:t xml:space="preserve"> </w:t>
      </w:r>
      <w:r w:rsidRPr="006571A5">
        <w:rPr>
          <w:rtl/>
        </w:rPr>
        <w:t>اللجنة</w:t>
      </w:r>
      <w:r>
        <w:rPr>
          <w:rtl/>
        </w:rPr>
        <w:t xml:space="preserve"> </w:t>
      </w:r>
      <w:r w:rsidRPr="006571A5">
        <w:rPr>
          <w:rtl/>
        </w:rPr>
        <w:t>إلى</w:t>
      </w:r>
      <w:r>
        <w:rPr>
          <w:rtl/>
        </w:rPr>
        <w:t xml:space="preserve"> </w:t>
      </w:r>
      <w:r w:rsidRPr="006571A5">
        <w:rPr>
          <w:rtl/>
        </w:rPr>
        <w:t>أنه</w:t>
      </w:r>
      <w:r>
        <w:rPr>
          <w:rtl/>
        </w:rPr>
        <w:t xml:space="preserve"> </w:t>
      </w:r>
      <w:r w:rsidRPr="006571A5">
        <w:rPr>
          <w:rtl/>
        </w:rPr>
        <w:t>يقع</w:t>
      </w:r>
      <w:r>
        <w:rPr>
          <w:rtl/>
        </w:rPr>
        <w:t xml:space="preserve"> </w:t>
      </w:r>
      <w:r w:rsidRPr="006571A5">
        <w:rPr>
          <w:rtl/>
        </w:rPr>
        <w:t>عموما</w:t>
      </w:r>
      <w:r>
        <w:rPr>
          <w:rtl/>
        </w:rPr>
        <w:t xml:space="preserve"> </w:t>
      </w:r>
      <w:r w:rsidRPr="006571A5">
        <w:rPr>
          <w:rtl/>
        </w:rPr>
        <w:t>على</w:t>
      </w:r>
      <w:r>
        <w:rPr>
          <w:rtl/>
        </w:rPr>
        <w:t xml:space="preserve"> </w:t>
      </w:r>
      <w:r w:rsidRPr="006571A5">
        <w:rPr>
          <w:rtl/>
        </w:rPr>
        <w:t>عاتق</w:t>
      </w:r>
      <w:r>
        <w:rPr>
          <w:rtl/>
        </w:rPr>
        <w:t xml:space="preserve"> </w:t>
      </w:r>
      <w:r w:rsidRPr="006571A5">
        <w:rPr>
          <w:rtl/>
        </w:rPr>
        <w:t>أجهزة</w:t>
      </w:r>
      <w:r>
        <w:rPr>
          <w:rtl/>
        </w:rPr>
        <w:t xml:space="preserve"> </w:t>
      </w:r>
      <w:r w:rsidRPr="006571A5">
        <w:rPr>
          <w:rtl/>
        </w:rPr>
        <w:t>الدول</w:t>
      </w:r>
      <w:r>
        <w:rPr>
          <w:rtl/>
        </w:rPr>
        <w:t xml:space="preserve"> </w:t>
      </w:r>
      <w:r w:rsidRPr="006571A5">
        <w:rPr>
          <w:rtl/>
        </w:rPr>
        <w:t>الأطراف</w:t>
      </w:r>
      <w:r>
        <w:rPr>
          <w:rtl/>
        </w:rPr>
        <w:t xml:space="preserve"> </w:t>
      </w:r>
      <w:r w:rsidRPr="006571A5">
        <w:rPr>
          <w:rtl/>
        </w:rPr>
        <w:t>دراسة</w:t>
      </w:r>
      <w:r>
        <w:rPr>
          <w:rtl/>
        </w:rPr>
        <w:t xml:space="preserve"> </w:t>
      </w:r>
      <w:r w:rsidRPr="006571A5">
        <w:rPr>
          <w:rtl/>
        </w:rPr>
        <w:t>وقائع</w:t>
      </w:r>
      <w:r>
        <w:rPr>
          <w:rtl/>
        </w:rPr>
        <w:t xml:space="preserve"> </w:t>
      </w:r>
      <w:r w:rsidRPr="006571A5">
        <w:rPr>
          <w:rtl/>
        </w:rPr>
        <w:t>وأدلة</w:t>
      </w:r>
      <w:r>
        <w:rPr>
          <w:rtl/>
        </w:rPr>
        <w:t xml:space="preserve"> </w:t>
      </w:r>
      <w:r w:rsidRPr="006571A5">
        <w:rPr>
          <w:rtl/>
        </w:rPr>
        <w:t>القضية</w:t>
      </w:r>
      <w:r>
        <w:rPr>
          <w:rtl/>
        </w:rPr>
        <w:t xml:space="preserve"> </w:t>
      </w:r>
      <w:r w:rsidRPr="006571A5">
        <w:rPr>
          <w:rtl/>
        </w:rPr>
        <w:t>ما</w:t>
      </w:r>
      <w:r>
        <w:rPr>
          <w:rtl/>
        </w:rPr>
        <w:t xml:space="preserve"> </w:t>
      </w:r>
      <w:r w:rsidRPr="006571A5">
        <w:rPr>
          <w:rtl/>
        </w:rPr>
        <w:t>لم</w:t>
      </w:r>
      <w:r>
        <w:rPr>
          <w:rtl/>
        </w:rPr>
        <w:t xml:space="preserve"> </w:t>
      </w:r>
      <w:r w:rsidRPr="006571A5">
        <w:rPr>
          <w:rtl/>
        </w:rPr>
        <w:t>يثبت</w:t>
      </w:r>
      <w:r>
        <w:rPr>
          <w:rtl/>
        </w:rPr>
        <w:t xml:space="preserve"> </w:t>
      </w:r>
      <w:r w:rsidRPr="006571A5">
        <w:rPr>
          <w:rtl/>
        </w:rPr>
        <w:t>أن</w:t>
      </w:r>
      <w:r>
        <w:rPr>
          <w:rtl/>
        </w:rPr>
        <w:t xml:space="preserve"> </w:t>
      </w:r>
      <w:r w:rsidRPr="006571A5">
        <w:rPr>
          <w:rtl/>
        </w:rPr>
        <w:t>هذا</w:t>
      </w:r>
      <w:r>
        <w:rPr>
          <w:rtl/>
        </w:rPr>
        <w:t xml:space="preserve"> </w:t>
      </w:r>
      <w:r w:rsidRPr="006571A5">
        <w:rPr>
          <w:rtl/>
        </w:rPr>
        <w:t>التقييم</w:t>
      </w:r>
      <w:r>
        <w:rPr>
          <w:rtl/>
        </w:rPr>
        <w:t xml:space="preserve"> </w:t>
      </w:r>
      <w:r w:rsidRPr="006571A5">
        <w:rPr>
          <w:rtl/>
        </w:rPr>
        <w:t>تعسفي</w:t>
      </w:r>
      <w:r>
        <w:rPr>
          <w:rtl/>
        </w:rPr>
        <w:t xml:space="preserve"> </w:t>
      </w:r>
      <w:r w:rsidRPr="006571A5">
        <w:rPr>
          <w:rtl/>
        </w:rPr>
        <w:t>أو</w:t>
      </w:r>
      <w:r w:rsidR="004C757C">
        <w:rPr>
          <w:rFonts w:hint="cs"/>
          <w:rtl/>
        </w:rPr>
        <w:t> </w:t>
      </w:r>
      <w:r w:rsidRPr="006571A5">
        <w:rPr>
          <w:rtl/>
        </w:rPr>
        <w:t>واضح</w:t>
      </w:r>
      <w:r>
        <w:rPr>
          <w:rtl/>
        </w:rPr>
        <w:t xml:space="preserve"> </w:t>
      </w:r>
      <w:r w:rsidRPr="006571A5">
        <w:rPr>
          <w:rtl/>
        </w:rPr>
        <w:t>الخطأ</w:t>
      </w:r>
      <w:r>
        <w:rPr>
          <w:rtl/>
        </w:rPr>
        <w:t xml:space="preserve"> </w:t>
      </w:r>
      <w:r w:rsidRPr="006571A5">
        <w:rPr>
          <w:rtl/>
        </w:rPr>
        <w:t>أو</w:t>
      </w:r>
      <w:r>
        <w:rPr>
          <w:rtl/>
        </w:rPr>
        <w:t xml:space="preserve"> </w:t>
      </w:r>
      <w:r w:rsidRPr="006571A5">
        <w:rPr>
          <w:rtl/>
        </w:rPr>
        <w:t>أنه</w:t>
      </w:r>
      <w:r>
        <w:rPr>
          <w:rtl/>
        </w:rPr>
        <w:t xml:space="preserve"> </w:t>
      </w:r>
      <w:r w:rsidRPr="006571A5">
        <w:rPr>
          <w:rtl/>
        </w:rPr>
        <w:t>يبلغ</w:t>
      </w:r>
      <w:r>
        <w:rPr>
          <w:rtl/>
        </w:rPr>
        <w:t xml:space="preserve"> </w:t>
      </w:r>
      <w:r w:rsidRPr="006571A5">
        <w:rPr>
          <w:rtl/>
        </w:rPr>
        <w:t>حدّ</w:t>
      </w:r>
      <w:r>
        <w:rPr>
          <w:rtl/>
        </w:rPr>
        <w:t xml:space="preserve"> </w:t>
      </w:r>
      <w:r w:rsidRPr="006571A5">
        <w:rPr>
          <w:rtl/>
        </w:rPr>
        <w:t>الحرمان</w:t>
      </w:r>
      <w:r>
        <w:rPr>
          <w:rtl/>
        </w:rPr>
        <w:t xml:space="preserve"> </w:t>
      </w:r>
      <w:r w:rsidRPr="006571A5">
        <w:rPr>
          <w:rtl/>
        </w:rPr>
        <w:t>من</w:t>
      </w:r>
      <w:r>
        <w:rPr>
          <w:rtl/>
        </w:rPr>
        <w:t xml:space="preserve"> </w:t>
      </w:r>
      <w:r w:rsidRPr="006571A5">
        <w:rPr>
          <w:rtl/>
        </w:rPr>
        <w:t>العدالة.</w:t>
      </w:r>
      <w:r>
        <w:rPr>
          <w:rtl/>
        </w:rPr>
        <w:t xml:space="preserve"> </w:t>
      </w:r>
      <w:r w:rsidRPr="006571A5">
        <w:rPr>
          <w:rtl/>
        </w:rPr>
        <w:t>وفي</w:t>
      </w:r>
      <w:r>
        <w:rPr>
          <w:rtl/>
        </w:rPr>
        <w:t xml:space="preserve"> </w:t>
      </w:r>
      <w:r w:rsidRPr="006571A5">
        <w:rPr>
          <w:rtl/>
        </w:rPr>
        <w:t>تلك</w:t>
      </w:r>
      <w:r>
        <w:rPr>
          <w:rtl/>
        </w:rPr>
        <w:t xml:space="preserve"> </w:t>
      </w:r>
      <w:r w:rsidRPr="006571A5">
        <w:rPr>
          <w:rtl/>
        </w:rPr>
        <w:t>القضية،</w:t>
      </w:r>
      <w:r>
        <w:rPr>
          <w:rtl/>
        </w:rPr>
        <w:t xml:space="preserve"> </w:t>
      </w:r>
      <w:r w:rsidRPr="006571A5">
        <w:rPr>
          <w:rtl/>
        </w:rPr>
        <w:t>لم</w:t>
      </w:r>
      <w:r>
        <w:rPr>
          <w:rtl/>
        </w:rPr>
        <w:t xml:space="preserve"> </w:t>
      </w:r>
      <w:r w:rsidRPr="006571A5">
        <w:rPr>
          <w:rtl/>
        </w:rPr>
        <w:t>يوضح</w:t>
      </w:r>
      <w:r>
        <w:rPr>
          <w:rtl/>
        </w:rPr>
        <w:t xml:space="preserve"> </w:t>
      </w:r>
      <w:r w:rsidRPr="006571A5">
        <w:rPr>
          <w:rtl/>
        </w:rPr>
        <w:t>صاحب</w:t>
      </w:r>
      <w:r>
        <w:rPr>
          <w:rtl/>
        </w:rPr>
        <w:t xml:space="preserve"> </w:t>
      </w:r>
      <w:r w:rsidRPr="006571A5">
        <w:rPr>
          <w:rtl/>
        </w:rPr>
        <w:t>البلاغ</w:t>
      </w:r>
      <w:r>
        <w:rPr>
          <w:rtl/>
        </w:rPr>
        <w:t xml:space="preserve"> </w:t>
      </w:r>
      <w:r w:rsidR="003667F2" w:rsidRPr="006571A5">
        <w:rPr>
          <w:rtl/>
        </w:rPr>
        <w:t>لماذا</w:t>
      </w:r>
      <w:r w:rsidR="003667F2">
        <w:rPr>
          <w:rFonts w:hint="cs"/>
          <w:rtl/>
        </w:rPr>
        <w:t> </w:t>
      </w:r>
      <w:r w:rsidRPr="006571A5">
        <w:rPr>
          <w:rtl/>
        </w:rPr>
        <w:t>يتعارض</w:t>
      </w:r>
      <w:r>
        <w:rPr>
          <w:rtl/>
        </w:rPr>
        <w:t xml:space="preserve"> </w:t>
      </w:r>
      <w:r w:rsidRPr="006571A5">
        <w:rPr>
          <w:rtl/>
        </w:rPr>
        <w:t>قرار</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مع</w:t>
      </w:r>
      <w:r>
        <w:rPr>
          <w:rtl/>
        </w:rPr>
        <w:t xml:space="preserve"> </w:t>
      </w:r>
      <w:r w:rsidRPr="006571A5">
        <w:rPr>
          <w:rtl/>
        </w:rPr>
        <w:t>هذا</w:t>
      </w:r>
      <w:r>
        <w:rPr>
          <w:rtl/>
        </w:rPr>
        <w:t xml:space="preserve"> </w:t>
      </w:r>
      <w:r w:rsidRPr="006571A5">
        <w:rPr>
          <w:rtl/>
        </w:rPr>
        <w:t>المعيار،</w:t>
      </w:r>
      <w:r>
        <w:rPr>
          <w:rtl/>
        </w:rPr>
        <w:t xml:space="preserve"> </w:t>
      </w:r>
      <w:r w:rsidRPr="006571A5">
        <w:rPr>
          <w:rtl/>
        </w:rPr>
        <w:t>ولم</w:t>
      </w:r>
      <w:r>
        <w:rPr>
          <w:rtl/>
        </w:rPr>
        <w:t xml:space="preserve"> </w:t>
      </w:r>
      <w:r w:rsidRPr="006571A5">
        <w:rPr>
          <w:rtl/>
        </w:rPr>
        <w:t>يقدم</w:t>
      </w:r>
      <w:r>
        <w:rPr>
          <w:rtl/>
        </w:rPr>
        <w:t xml:space="preserve"> </w:t>
      </w:r>
      <w:r w:rsidRPr="006571A5">
        <w:rPr>
          <w:rtl/>
        </w:rPr>
        <w:t>أسبابا</w:t>
      </w:r>
      <w:r>
        <w:rPr>
          <w:rtl/>
        </w:rPr>
        <w:t xml:space="preserve"> </w:t>
      </w:r>
      <w:r w:rsidRPr="006571A5">
        <w:rPr>
          <w:rtl/>
        </w:rPr>
        <w:t>وجيهة</w:t>
      </w:r>
      <w:r>
        <w:rPr>
          <w:rtl/>
        </w:rPr>
        <w:t xml:space="preserve"> </w:t>
      </w:r>
      <w:r w:rsidRPr="006571A5">
        <w:rPr>
          <w:rtl/>
        </w:rPr>
        <w:t>تؤيد</w:t>
      </w:r>
      <w:r>
        <w:rPr>
          <w:rtl/>
        </w:rPr>
        <w:t xml:space="preserve"> </w:t>
      </w:r>
      <w:r w:rsidRPr="006571A5">
        <w:rPr>
          <w:rtl/>
        </w:rPr>
        <w:t>ادعاءه</w:t>
      </w:r>
      <w:r>
        <w:rPr>
          <w:rtl/>
        </w:rPr>
        <w:t xml:space="preserve"> </w:t>
      </w:r>
      <w:r w:rsidRPr="006571A5">
        <w:rPr>
          <w:rtl/>
        </w:rPr>
        <w:t>بأن</w:t>
      </w:r>
      <w:r>
        <w:rPr>
          <w:rtl/>
        </w:rPr>
        <w:t xml:space="preserve"> </w:t>
      </w:r>
      <w:r w:rsidRPr="006571A5">
        <w:rPr>
          <w:rtl/>
        </w:rPr>
        <w:t>ترحيله</w:t>
      </w:r>
      <w:r>
        <w:rPr>
          <w:rtl/>
        </w:rPr>
        <w:t xml:space="preserve"> </w:t>
      </w:r>
      <w:r w:rsidRPr="006571A5">
        <w:rPr>
          <w:rtl/>
        </w:rPr>
        <w:t>سيعرضه</w:t>
      </w:r>
      <w:r>
        <w:rPr>
          <w:rtl/>
        </w:rPr>
        <w:t xml:space="preserve"> </w:t>
      </w:r>
      <w:r w:rsidRPr="006571A5">
        <w:rPr>
          <w:rtl/>
        </w:rPr>
        <w:t>حقاً</w:t>
      </w:r>
      <w:r>
        <w:rPr>
          <w:rtl/>
        </w:rPr>
        <w:t xml:space="preserve"> </w:t>
      </w:r>
      <w:r w:rsidRPr="006571A5">
        <w:rPr>
          <w:rtl/>
        </w:rPr>
        <w:t>لضرر</w:t>
      </w:r>
      <w:r>
        <w:rPr>
          <w:rtl/>
        </w:rPr>
        <w:t xml:space="preserve"> </w:t>
      </w:r>
      <w:r w:rsidRPr="006571A5">
        <w:rPr>
          <w:rtl/>
        </w:rPr>
        <w:t>لا</w:t>
      </w:r>
      <w:r>
        <w:rPr>
          <w:rtl/>
        </w:rPr>
        <w:t xml:space="preserve"> </w:t>
      </w:r>
      <w:r w:rsidRPr="006571A5">
        <w:rPr>
          <w:rtl/>
        </w:rPr>
        <w:t>يمكن</w:t>
      </w:r>
      <w:r>
        <w:rPr>
          <w:rtl/>
        </w:rPr>
        <w:t xml:space="preserve"> </w:t>
      </w:r>
      <w:r w:rsidRPr="006571A5">
        <w:rPr>
          <w:rtl/>
        </w:rPr>
        <w:t>إصلاحه</w:t>
      </w:r>
      <w:r>
        <w:rPr>
          <w:rtl/>
        </w:rPr>
        <w:t xml:space="preserve"> </w:t>
      </w:r>
      <w:r w:rsidRPr="006571A5">
        <w:rPr>
          <w:rtl/>
        </w:rPr>
        <w:t>في</w:t>
      </w:r>
      <w:r>
        <w:rPr>
          <w:rtl/>
        </w:rPr>
        <w:t xml:space="preserve"> </w:t>
      </w:r>
      <w:r w:rsidRPr="006571A5">
        <w:rPr>
          <w:rtl/>
        </w:rPr>
        <w:t>انتهاك</w:t>
      </w:r>
      <w:r>
        <w:rPr>
          <w:rtl/>
        </w:rPr>
        <w:t xml:space="preserve"> </w:t>
      </w:r>
      <w:r w:rsidRPr="006571A5">
        <w:rPr>
          <w:rtl/>
        </w:rPr>
        <w:t>للمادة</w:t>
      </w:r>
      <w:r>
        <w:rPr>
          <w:rtl/>
        </w:rPr>
        <w:t xml:space="preserve"> </w:t>
      </w:r>
      <w:r w:rsidR="004B1017">
        <w:rPr>
          <w:rtl/>
        </w:rPr>
        <w:t>7</w:t>
      </w:r>
      <w:r>
        <w:rPr>
          <w:rtl/>
        </w:rPr>
        <w:t xml:space="preserve"> </w:t>
      </w:r>
      <w:r w:rsidRPr="006571A5">
        <w:rPr>
          <w:rtl/>
        </w:rPr>
        <w:t>من</w:t>
      </w:r>
      <w:r>
        <w:rPr>
          <w:rtl/>
        </w:rPr>
        <w:t xml:space="preserve"> </w:t>
      </w:r>
      <w:r w:rsidRPr="006571A5">
        <w:rPr>
          <w:rtl/>
        </w:rPr>
        <w:t>العهد.</w:t>
      </w:r>
      <w:r>
        <w:rPr>
          <w:rtl/>
        </w:rPr>
        <w:t xml:space="preserve"> </w:t>
      </w:r>
      <w:r w:rsidRPr="006571A5">
        <w:rPr>
          <w:rtl/>
        </w:rPr>
        <w:t>وبناء</w:t>
      </w:r>
      <w:r>
        <w:rPr>
          <w:rtl/>
        </w:rPr>
        <w:t xml:space="preserve"> </w:t>
      </w:r>
      <w:r w:rsidRPr="006571A5">
        <w:rPr>
          <w:rtl/>
        </w:rPr>
        <w:t>عليه،</w:t>
      </w:r>
      <w:r>
        <w:rPr>
          <w:rtl/>
        </w:rPr>
        <w:t xml:space="preserve"> </w:t>
      </w:r>
      <w:r w:rsidRPr="006571A5">
        <w:rPr>
          <w:rtl/>
        </w:rPr>
        <w:t>خلصت</w:t>
      </w:r>
      <w:r>
        <w:rPr>
          <w:rtl/>
        </w:rPr>
        <w:t xml:space="preserve"> </w:t>
      </w:r>
      <w:r w:rsidRPr="006571A5">
        <w:rPr>
          <w:rtl/>
        </w:rPr>
        <w:t>اللجنة</w:t>
      </w:r>
      <w:r>
        <w:rPr>
          <w:rtl/>
        </w:rPr>
        <w:t xml:space="preserve"> </w:t>
      </w:r>
      <w:r w:rsidRPr="006571A5">
        <w:rPr>
          <w:rtl/>
        </w:rPr>
        <w:t>إلى</w:t>
      </w:r>
      <w:r>
        <w:rPr>
          <w:rtl/>
        </w:rPr>
        <w:t xml:space="preserve"> </w:t>
      </w:r>
      <w:r w:rsidRPr="006571A5">
        <w:rPr>
          <w:rtl/>
        </w:rPr>
        <w:t>أن</w:t>
      </w:r>
      <w:r>
        <w:rPr>
          <w:rtl/>
        </w:rPr>
        <w:t xml:space="preserve"> </w:t>
      </w:r>
      <w:r w:rsidRPr="006571A5">
        <w:rPr>
          <w:rtl/>
        </w:rPr>
        <w:t>صاحب</w:t>
      </w:r>
      <w:r>
        <w:rPr>
          <w:rtl/>
        </w:rPr>
        <w:t xml:space="preserve"> </w:t>
      </w:r>
      <w:r w:rsidRPr="006571A5">
        <w:rPr>
          <w:rtl/>
        </w:rPr>
        <w:t>البلاغ</w:t>
      </w:r>
      <w:r>
        <w:rPr>
          <w:rtl/>
        </w:rPr>
        <w:t xml:space="preserve"> </w:t>
      </w:r>
      <w:r w:rsidRPr="006571A5">
        <w:rPr>
          <w:rtl/>
        </w:rPr>
        <w:t>لم</w:t>
      </w:r>
      <w:r>
        <w:rPr>
          <w:rtl/>
        </w:rPr>
        <w:t xml:space="preserve"> </w:t>
      </w:r>
      <w:r w:rsidRPr="006571A5">
        <w:rPr>
          <w:rtl/>
        </w:rPr>
        <w:t>يقدم</w:t>
      </w:r>
      <w:r>
        <w:rPr>
          <w:rtl/>
        </w:rPr>
        <w:t xml:space="preserve"> </w:t>
      </w:r>
      <w:r w:rsidRPr="006571A5">
        <w:rPr>
          <w:rtl/>
        </w:rPr>
        <w:t>أدلة</w:t>
      </w:r>
      <w:r>
        <w:rPr>
          <w:rtl/>
        </w:rPr>
        <w:t xml:space="preserve"> </w:t>
      </w:r>
      <w:r w:rsidRPr="006571A5">
        <w:rPr>
          <w:rtl/>
        </w:rPr>
        <w:t>كافية</w:t>
      </w:r>
      <w:r>
        <w:rPr>
          <w:rtl/>
        </w:rPr>
        <w:t xml:space="preserve"> </w:t>
      </w:r>
      <w:r w:rsidRPr="006571A5">
        <w:rPr>
          <w:rtl/>
        </w:rPr>
        <w:t>لإثبات</w:t>
      </w:r>
      <w:r>
        <w:rPr>
          <w:rtl/>
        </w:rPr>
        <w:t xml:space="preserve"> </w:t>
      </w:r>
      <w:r w:rsidRPr="006571A5">
        <w:rPr>
          <w:rtl/>
        </w:rPr>
        <w:t>ادعائه</w:t>
      </w:r>
      <w:r>
        <w:rPr>
          <w:rtl/>
        </w:rPr>
        <w:t xml:space="preserve"> </w:t>
      </w:r>
      <w:r w:rsidRPr="006571A5">
        <w:rPr>
          <w:rtl/>
        </w:rPr>
        <w:t>بانتهاك</w:t>
      </w:r>
      <w:r>
        <w:rPr>
          <w:rtl/>
        </w:rPr>
        <w:t xml:space="preserve"> </w:t>
      </w:r>
      <w:r w:rsidRPr="006571A5">
        <w:rPr>
          <w:rtl/>
        </w:rPr>
        <w:t>المادة</w:t>
      </w:r>
      <w:r>
        <w:rPr>
          <w:rtl/>
        </w:rPr>
        <w:t xml:space="preserve"> </w:t>
      </w:r>
      <w:r w:rsidR="004B1017">
        <w:rPr>
          <w:rtl/>
        </w:rPr>
        <w:t>7</w:t>
      </w:r>
      <w:r>
        <w:rPr>
          <w:rtl/>
        </w:rPr>
        <w:t xml:space="preserve"> </w:t>
      </w:r>
      <w:r w:rsidRPr="006571A5">
        <w:rPr>
          <w:rtl/>
        </w:rPr>
        <w:t>لأغراض</w:t>
      </w:r>
      <w:r>
        <w:rPr>
          <w:rtl/>
        </w:rPr>
        <w:t xml:space="preserve"> </w:t>
      </w:r>
      <w:r w:rsidRPr="006571A5">
        <w:rPr>
          <w:rtl/>
        </w:rPr>
        <w:t>المقبولية</w:t>
      </w:r>
      <w:r>
        <w:rPr>
          <w:rtl/>
        </w:rPr>
        <w:t xml:space="preserve"> </w:t>
      </w:r>
      <w:r w:rsidRPr="006571A5">
        <w:rPr>
          <w:rtl/>
        </w:rPr>
        <w:t>ورأت</w:t>
      </w:r>
      <w:r>
        <w:rPr>
          <w:rtl/>
        </w:rPr>
        <w:t xml:space="preserve"> </w:t>
      </w:r>
      <w:r w:rsidRPr="006571A5">
        <w:rPr>
          <w:rtl/>
        </w:rPr>
        <w:t>أن</w:t>
      </w:r>
      <w:r>
        <w:rPr>
          <w:rtl/>
        </w:rPr>
        <w:t xml:space="preserve"> </w:t>
      </w:r>
      <w:r w:rsidRPr="006571A5">
        <w:rPr>
          <w:rtl/>
        </w:rPr>
        <w:t>بلاغه</w:t>
      </w:r>
      <w:r>
        <w:rPr>
          <w:rtl/>
        </w:rPr>
        <w:t xml:space="preserve"> </w:t>
      </w:r>
      <w:r w:rsidRPr="006571A5">
        <w:rPr>
          <w:rtl/>
        </w:rPr>
        <w:t>غير</w:t>
      </w:r>
      <w:r w:rsidR="004C757C">
        <w:rPr>
          <w:rFonts w:hint="cs"/>
          <w:rtl/>
        </w:rPr>
        <w:t> </w:t>
      </w:r>
      <w:r w:rsidRPr="006571A5">
        <w:rPr>
          <w:rtl/>
        </w:rPr>
        <w:t>مقبول.</w:t>
      </w:r>
    </w:p>
    <w:p w14:paraId="3B3FE8DB" w14:textId="2B77A52C" w:rsidR="006571A5" w:rsidRPr="006571A5" w:rsidRDefault="006571A5" w:rsidP="006571A5">
      <w:pPr>
        <w:pStyle w:val="SingleTxt"/>
        <w:rPr>
          <w:rtl/>
        </w:rPr>
      </w:pPr>
      <w:r w:rsidRPr="006571A5">
        <w:rPr>
          <w:rtl/>
        </w:rPr>
        <w:t>4-22</w:t>
      </w:r>
      <w:r w:rsidRPr="006571A5">
        <w:rPr>
          <w:rtl/>
        </w:rPr>
        <w:tab/>
        <w:t>وتشدد</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على</w:t>
      </w:r>
      <w:r>
        <w:rPr>
          <w:rtl/>
        </w:rPr>
        <w:t xml:space="preserve"> </w:t>
      </w:r>
      <w:r w:rsidRPr="006571A5">
        <w:rPr>
          <w:rtl/>
        </w:rPr>
        <w:t>أن</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وهو</w:t>
      </w:r>
      <w:r>
        <w:rPr>
          <w:rtl/>
        </w:rPr>
        <w:t xml:space="preserve"> </w:t>
      </w:r>
      <w:r w:rsidRPr="006571A5">
        <w:rPr>
          <w:rtl/>
        </w:rPr>
        <w:t>هيئة</w:t>
      </w:r>
      <w:r>
        <w:rPr>
          <w:rtl/>
        </w:rPr>
        <w:t xml:space="preserve"> </w:t>
      </w:r>
      <w:r w:rsidRPr="006571A5">
        <w:rPr>
          <w:rtl/>
        </w:rPr>
        <w:t>شبه</w:t>
      </w:r>
      <w:r>
        <w:rPr>
          <w:rtl/>
        </w:rPr>
        <w:t xml:space="preserve"> </w:t>
      </w:r>
      <w:r w:rsidRPr="006571A5">
        <w:rPr>
          <w:rtl/>
        </w:rPr>
        <w:t>قضائية،</w:t>
      </w:r>
      <w:r>
        <w:rPr>
          <w:rtl/>
        </w:rPr>
        <w:t xml:space="preserve"> </w:t>
      </w:r>
      <w:r w:rsidRPr="006571A5">
        <w:rPr>
          <w:rtl/>
        </w:rPr>
        <w:t>أجرى</w:t>
      </w:r>
      <w:r>
        <w:rPr>
          <w:rtl/>
        </w:rPr>
        <w:t xml:space="preserve"> </w:t>
      </w:r>
      <w:r w:rsidRPr="006571A5">
        <w:rPr>
          <w:rtl/>
        </w:rPr>
        <w:t>تقييما</w:t>
      </w:r>
      <w:r>
        <w:rPr>
          <w:rtl/>
        </w:rPr>
        <w:t xml:space="preserve"> </w:t>
      </w:r>
      <w:r w:rsidRPr="006571A5">
        <w:rPr>
          <w:rtl/>
        </w:rPr>
        <w:t>وافيا</w:t>
      </w:r>
      <w:r>
        <w:rPr>
          <w:rtl/>
        </w:rPr>
        <w:t xml:space="preserve"> </w:t>
      </w:r>
      <w:r w:rsidRPr="006571A5">
        <w:rPr>
          <w:rtl/>
        </w:rPr>
        <w:t>لمصداقية</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وللمعلومات</w:t>
      </w:r>
      <w:r>
        <w:rPr>
          <w:rtl/>
        </w:rPr>
        <w:t xml:space="preserve"> </w:t>
      </w:r>
      <w:r w:rsidRPr="006571A5">
        <w:rPr>
          <w:rtl/>
        </w:rPr>
        <w:t>الأساسية</w:t>
      </w:r>
      <w:r>
        <w:rPr>
          <w:rtl/>
        </w:rPr>
        <w:t xml:space="preserve"> </w:t>
      </w:r>
      <w:r w:rsidRPr="006571A5">
        <w:rPr>
          <w:rtl/>
        </w:rPr>
        <w:t>المتاحة</w:t>
      </w:r>
      <w:r>
        <w:rPr>
          <w:rtl/>
        </w:rPr>
        <w:t xml:space="preserve"> </w:t>
      </w:r>
      <w:r w:rsidRPr="006571A5">
        <w:rPr>
          <w:rtl/>
        </w:rPr>
        <w:t>والظروف</w:t>
      </w:r>
      <w:r>
        <w:rPr>
          <w:rtl/>
        </w:rPr>
        <w:t xml:space="preserve"> </w:t>
      </w:r>
      <w:r w:rsidRPr="006571A5">
        <w:rPr>
          <w:rtl/>
        </w:rPr>
        <w:t>الخاصة</w:t>
      </w:r>
      <w:r>
        <w:rPr>
          <w:rtl/>
        </w:rPr>
        <w:t xml:space="preserve"> </w:t>
      </w:r>
      <w:r w:rsidRPr="006571A5">
        <w:rPr>
          <w:rtl/>
        </w:rPr>
        <w:t>بصاحبة</w:t>
      </w:r>
      <w:r>
        <w:rPr>
          <w:rtl/>
        </w:rPr>
        <w:t xml:space="preserve"> </w:t>
      </w:r>
      <w:r w:rsidRPr="006571A5">
        <w:rPr>
          <w:rtl/>
        </w:rPr>
        <w:t>الرسالة،</w:t>
      </w:r>
      <w:r>
        <w:rPr>
          <w:rtl/>
        </w:rPr>
        <w:t xml:space="preserve"> </w:t>
      </w:r>
      <w:r w:rsidRPr="006571A5">
        <w:rPr>
          <w:rtl/>
        </w:rPr>
        <w:t>وخلص</w:t>
      </w:r>
      <w:r>
        <w:rPr>
          <w:rtl/>
        </w:rPr>
        <w:t xml:space="preserve"> </w:t>
      </w:r>
      <w:r w:rsidRPr="006571A5">
        <w:rPr>
          <w:rtl/>
        </w:rPr>
        <w:t>إلى</w:t>
      </w:r>
      <w:r>
        <w:rPr>
          <w:rtl/>
        </w:rPr>
        <w:t xml:space="preserve"> </w:t>
      </w:r>
      <w:r w:rsidRPr="006571A5">
        <w:rPr>
          <w:rtl/>
        </w:rPr>
        <w:t>أنها</w:t>
      </w:r>
      <w:r>
        <w:rPr>
          <w:rtl/>
        </w:rPr>
        <w:t xml:space="preserve"> </w:t>
      </w:r>
      <w:r w:rsidRPr="006571A5">
        <w:rPr>
          <w:rtl/>
        </w:rPr>
        <w:t>لم</w:t>
      </w:r>
      <w:r>
        <w:rPr>
          <w:rtl/>
        </w:rPr>
        <w:t xml:space="preserve"> </w:t>
      </w:r>
      <w:r w:rsidRPr="006571A5">
        <w:rPr>
          <w:rtl/>
        </w:rPr>
        <w:t>تقدم</w:t>
      </w:r>
      <w:r>
        <w:rPr>
          <w:rtl/>
        </w:rPr>
        <w:t xml:space="preserve"> </w:t>
      </w:r>
      <w:r w:rsidRPr="006571A5">
        <w:rPr>
          <w:rtl/>
        </w:rPr>
        <w:t>أدلة</w:t>
      </w:r>
      <w:r>
        <w:rPr>
          <w:rtl/>
        </w:rPr>
        <w:t xml:space="preserve"> </w:t>
      </w:r>
      <w:r w:rsidRPr="006571A5">
        <w:rPr>
          <w:rtl/>
        </w:rPr>
        <w:t>مقنعة</w:t>
      </w:r>
      <w:r>
        <w:rPr>
          <w:rtl/>
        </w:rPr>
        <w:t xml:space="preserve"> </w:t>
      </w:r>
      <w:r w:rsidRPr="006571A5">
        <w:rPr>
          <w:rtl/>
        </w:rPr>
        <w:t>على</w:t>
      </w:r>
      <w:r>
        <w:rPr>
          <w:rtl/>
        </w:rPr>
        <w:t xml:space="preserve"> </w:t>
      </w:r>
      <w:r w:rsidRPr="006571A5">
        <w:rPr>
          <w:rtl/>
        </w:rPr>
        <w:t>احتمال</w:t>
      </w:r>
      <w:r>
        <w:rPr>
          <w:rtl/>
        </w:rPr>
        <w:t xml:space="preserve"> </w:t>
      </w:r>
      <w:r w:rsidRPr="006571A5">
        <w:rPr>
          <w:rtl/>
        </w:rPr>
        <w:t>تعرضها</w:t>
      </w:r>
      <w:r>
        <w:rPr>
          <w:rtl/>
        </w:rPr>
        <w:t xml:space="preserve"> </w:t>
      </w:r>
      <w:r w:rsidRPr="006571A5">
        <w:rPr>
          <w:rtl/>
        </w:rPr>
        <w:t>للاضطهاد</w:t>
      </w:r>
      <w:r>
        <w:rPr>
          <w:rtl/>
        </w:rPr>
        <w:t xml:space="preserve"> </w:t>
      </w:r>
      <w:r w:rsidRPr="006571A5">
        <w:rPr>
          <w:rtl/>
        </w:rPr>
        <w:t>أو</w:t>
      </w:r>
      <w:r>
        <w:rPr>
          <w:rtl/>
        </w:rPr>
        <w:t xml:space="preserve"> </w:t>
      </w:r>
      <w:r w:rsidRPr="006571A5">
        <w:rPr>
          <w:rtl/>
        </w:rPr>
        <w:t>الإيذاء</w:t>
      </w:r>
      <w:r>
        <w:rPr>
          <w:rtl/>
        </w:rPr>
        <w:t xml:space="preserve"> </w:t>
      </w:r>
      <w:r w:rsidRPr="006571A5">
        <w:rPr>
          <w:rtl/>
        </w:rPr>
        <w:t>في</w:t>
      </w:r>
      <w:r>
        <w:rPr>
          <w:rtl/>
        </w:rPr>
        <w:t xml:space="preserve"> </w:t>
      </w:r>
      <w:r w:rsidRPr="006571A5">
        <w:rPr>
          <w:rtl/>
        </w:rPr>
        <w:t>الصومال.</w:t>
      </w:r>
      <w:r>
        <w:rPr>
          <w:rtl/>
        </w:rPr>
        <w:t xml:space="preserve"> </w:t>
      </w:r>
      <w:r w:rsidRPr="006571A5">
        <w:rPr>
          <w:rtl/>
        </w:rPr>
        <w:t>وتؤيد</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ما</w:t>
      </w:r>
      <w:r>
        <w:rPr>
          <w:rtl/>
        </w:rPr>
        <w:t xml:space="preserve"> </w:t>
      </w:r>
      <w:r w:rsidRPr="006571A5">
        <w:rPr>
          <w:rtl/>
        </w:rPr>
        <w:t>خلُص</w:t>
      </w:r>
      <w:r>
        <w:rPr>
          <w:rtl/>
        </w:rPr>
        <w:t xml:space="preserve"> </w:t>
      </w:r>
      <w:r w:rsidRPr="006571A5">
        <w:rPr>
          <w:rtl/>
        </w:rPr>
        <w:t>إليه</w:t>
      </w:r>
      <w:r>
        <w:rPr>
          <w:rtl/>
        </w:rPr>
        <w:t xml:space="preserve"> </w:t>
      </w:r>
      <w:r w:rsidRPr="006571A5">
        <w:rPr>
          <w:rtl/>
        </w:rPr>
        <w:t>المجلس.</w:t>
      </w:r>
    </w:p>
    <w:p w14:paraId="1DD4E756" w14:textId="1C2895E3" w:rsidR="006571A5" w:rsidRPr="006571A5" w:rsidRDefault="006571A5" w:rsidP="006571A5">
      <w:pPr>
        <w:pStyle w:val="SingleTxt"/>
        <w:rPr>
          <w:rtl/>
        </w:rPr>
      </w:pPr>
      <w:r w:rsidRPr="006571A5">
        <w:rPr>
          <w:rtl/>
        </w:rPr>
        <w:t>4-23</w:t>
      </w:r>
      <w:r w:rsidRPr="006571A5">
        <w:rPr>
          <w:rtl/>
        </w:rPr>
        <w:tab/>
        <w:t>وفي</w:t>
      </w:r>
      <w:r>
        <w:rPr>
          <w:rtl/>
        </w:rPr>
        <w:t xml:space="preserve"> </w:t>
      </w:r>
      <w:r w:rsidRPr="006571A5">
        <w:rPr>
          <w:rtl/>
        </w:rPr>
        <w:t>هذا</w:t>
      </w:r>
      <w:r>
        <w:rPr>
          <w:rtl/>
        </w:rPr>
        <w:t xml:space="preserve"> </w:t>
      </w:r>
      <w:r w:rsidRPr="006571A5">
        <w:rPr>
          <w:rtl/>
        </w:rPr>
        <w:t>الصدد،</w:t>
      </w:r>
      <w:r>
        <w:rPr>
          <w:rtl/>
        </w:rPr>
        <w:t xml:space="preserve"> </w:t>
      </w:r>
      <w:r w:rsidRPr="006571A5">
        <w:rPr>
          <w:rtl/>
        </w:rPr>
        <w:t>تُحيل</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أيضا</w:t>
      </w:r>
      <w:r>
        <w:rPr>
          <w:rtl/>
        </w:rPr>
        <w:t xml:space="preserve"> </w:t>
      </w:r>
      <w:r w:rsidRPr="006571A5">
        <w:rPr>
          <w:rtl/>
        </w:rPr>
        <w:t>إلى</w:t>
      </w:r>
      <w:r>
        <w:rPr>
          <w:rtl/>
        </w:rPr>
        <w:t xml:space="preserve"> </w:t>
      </w:r>
      <w:r w:rsidRPr="006571A5">
        <w:rPr>
          <w:rtl/>
        </w:rPr>
        <w:t>ما</w:t>
      </w:r>
      <w:r>
        <w:rPr>
          <w:rtl/>
        </w:rPr>
        <w:t xml:space="preserve"> </w:t>
      </w:r>
      <w:r w:rsidRPr="006571A5">
        <w:rPr>
          <w:rtl/>
        </w:rPr>
        <w:t>خلصت</w:t>
      </w:r>
      <w:r>
        <w:rPr>
          <w:rtl/>
        </w:rPr>
        <w:t xml:space="preserve"> </w:t>
      </w:r>
      <w:r w:rsidRPr="006571A5">
        <w:rPr>
          <w:rtl/>
        </w:rPr>
        <w:t>إليه</w:t>
      </w:r>
      <w:r>
        <w:rPr>
          <w:rtl/>
        </w:rPr>
        <w:t xml:space="preserve"> </w:t>
      </w:r>
      <w:r w:rsidRPr="006571A5">
        <w:rPr>
          <w:rtl/>
        </w:rPr>
        <w:t>اللجنة</w:t>
      </w:r>
      <w:r>
        <w:rPr>
          <w:rtl/>
        </w:rPr>
        <w:t xml:space="preserve"> </w:t>
      </w:r>
      <w:r w:rsidRPr="006571A5">
        <w:rPr>
          <w:rtl/>
        </w:rPr>
        <w:t>المعنية</w:t>
      </w:r>
      <w:r>
        <w:rPr>
          <w:rtl/>
        </w:rPr>
        <w:t xml:space="preserve"> </w:t>
      </w:r>
      <w:r w:rsidRPr="006571A5">
        <w:rPr>
          <w:rtl/>
        </w:rPr>
        <w:t>بحقوق</w:t>
      </w:r>
      <w:r>
        <w:rPr>
          <w:rtl/>
        </w:rPr>
        <w:t xml:space="preserve"> </w:t>
      </w:r>
      <w:r w:rsidRPr="006571A5">
        <w:rPr>
          <w:rtl/>
        </w:rPr>
        <w:t>الإنسان</w:t>
      </w:r>
      <w:r>
        <w:rPr>
          <w:rtl/>
        </w:rPr>
        <w:t xml:space="preserve"> </w:t>
      </w:r>
      <w:r w:rsidRPr="006571A5">
        <w:rPr>
          <w:rtl/>
        </w:rPr>
        <w:t>في</w:t>
      </w:r>
      <w:r>
        <w:rPr>
          <w:rtl/>
        </w:rPr>
        <w:t xml:space="preserve"> </w:t>
      </w:r>
      <w:r w:rsidRPr="006571A5">
        <w:rPr>
          <w:rtl/>
        </w:rPr>
        <w:t>قضية</w:t>
      </w:r>
      <w:r>
        <w:rPr>
          <w:rtl/>
        </w:rPr>
        <w:t xml:space="preserve"> </w:t>
      </w:r>
      <w:r w:rsidRPr="006571A5">
        <w:rPr>
          <w:i/>
          <w:iCs/>
          <w:rtl/>
        </w:rPr>
        <w:t>ز</w:t>
      </w:r>
      <w:r w:rsidRPr="006571A5">
        <w:rPr>
          <w:rtl/>
        </w:rPr>
        <w:t>.</w:t>
      </w:r>
      <w:r>
        <w:rPr>
          <w:rtl/>
        </w:rPr>
        <w:t xml:space="preserve"> </w:t>
      </w:r>
      <w:r w:rsidRPr="006571A5">
        <w:rPr>
          <w:i/>
          <w:iCs/>
          <w:rtl/>
        </w:rPr>
        <w:t>ضد</w:t>
      </w:r>
      <w:r>
        <w:rPr>
          <w:i/>
          <w:iCs/>
          <w:rtl/>
        </w:rPr>
        <w:t xml:space="preserve"> </w:t>
      </w:r>
      <w:r w:rsidRPr="006571A5">
        <w:rPr>
          <w:i/>
          <w:iCs/>
          <w:rtl/>
        </w:rPr>
        <w:t>الدانمرك</w:t>
      </w:r>
      <w:r>
        <w:rPr>
          <w:rtl/>
        </w:rPr>
        <w:t xml:space="preserve"> </w:t>
      </w:r>
      <w:r w:rsidRPr="006571A5">
        <w:rPr>
          <w:rtl/>
        </w:rPr>
        <w:t>(</w:t>
      </w:r>
      <w:hyperlink r:id="rId22" w:history="1">
        <w:r w:rsidRPr="004B1017">
          <w:rPr>
            <w:rStyle w:val="Hyperlink"/>
            <w:lang w:val="en-GB"/>
          </w:rPr>
          <w:t>CCPR/C/114/D/2329/2014</w:t>
        </w:r>
      </w:hyperlink>
      <w:r w:rsidRPr="006571A5">
        <w:rPr>
          <w:rtl/>
        </w:rPr>
        <w:t>،</w:t>
      </w:r>
      <w:r>
        <w:rPr>
          <w:rtl/>
        </w:rPr>
        <w:t xml:space="preserve"> </w:t>
      </w:r>
      <w:r w:rsidRPr="006571A5">
        <w:rPr>
          <w:rtl/>
        </w:rPr>
        <w:t>الفقرة</w:t>
      </w:r>
      <w:r>
        <w:rPr>
          <w:rtl/>
        </w:rPr>
        <w:t xml:space="preserve"> </w:t>
      </w:r>
      <w:r w:rsidRPr="006571A5">
        <w:rPr>
          <w:rtl/>
        </w:rPr>
        <w:t>7-4)،</w:t>
      </w:r>
      <w:r>
        <w:rPr>
          <w:rtl/>
        </w:rPr>
        <w:t xml:space="preserve"> </w:t>
      </w:r>
      <w:r w:rsidRPr="006571A5">
        <w:rPr>
          <w:rtl/>
        </w:rPr>
        <w:t>وهو</w:t>
      </w:r>
      <w:r>
        <w:rPr>
          <w:rtl/>
        </w:rPr>
        <w:t xml:space="preserve"> </w:t>
      </w:r>
      <w:r w:rsidRPr="006571A5">
        <w:rPr>
          <w:rtl/>
        </w:rPr>
        <w:t>أنه</w:t>
      </w:r>
      <w:r>
        <w:rPr>
          <w:rtl/>
        </w:rPr>
        <w:t xml:space="preserve"> </w:t>
      </w:r>
      <w:r w:rsidRPr="006571A5">
        <w:rPr>
          <w:rtl/>
        </w:rPr>
        <w:t>في</w:t>
      </w:r>
      <w:r>
        <w:rPr>
          <w:rtl/>
        </w:rPr>
        <w:t xml:space="preserve"> </w:t>
      </w:r>
      <w:r w:rsidRPr="006571A5">
        <w:rPr>
          <w:rtl/>
        </w:rPr>
        <w:t>ظل</w:t>
      </w:r>
      <w:r>
        <w:rPr>
          <w:rtl/>
        </w:rPr>
        <w:t xml:space="preserve"> </w:t>
      </w:r>
      <w:r w:rsidRPr="006571A5">
        <w:rPr>
          <w:rtl/>
        </w:rPr>
        <w:t>عدم</w:t>
      </w:r>
      <w:r>
        <w:rPr>
          <w:rtl/>
        </w:rPr>
        <w:t xml:space="preserve"> </w:t>
      </w:r>
      <w:r w:rsidRPr="006571A5">
        <w:rPr>
          <w:rtl/>
        </w:rPr>
        <w:t>وجود</w:t>
      </w:r>
      <w:r>
        <w:rPr>
          <w:rtl/>
        </w:rPr>
        <w:t xml:space="preserve"> </w:t>
      </w:r>
      <w:r w:rsidRPr="006571A5">
        <w:rPr>
          <w:rtl/>
        </w:rPr>
        <w:t>أدلة</w:t>
      </w:r>
      <w:r>
        <w:rPr>
          <w:rtl/>
        </w:rPr>
        <w:t xml:space="preserve"> </w:t>
      </w:r>
      <w:r w:rsidRPr="006571A5">
        <w:rPr>
          <w:rtl/>
        </w:rPr>
        <w:t>تثبت</w:t>
      </w:r>
      <w:r>
        <w:rPr>
          <w:rtl/>
        </w:rPr>
        <w:t xml:space="preserve"> </w:t>
      </w:r>
      <w:r w:rsidRPr="006571A5">
        <w:rPr>
          <w:rtl/>
        </w:rPr>
        <w:t>أن</w:t>
      </w:r>
      <w:r>
        <w:rPr>
          <w:rtl/>
        </w:rPr>
        <w:t xml:space="preserve"> </w:t>
      </w:r>
      <w:r w:rsidRPr="006571A5">
        <w:rPr>
          <w:rtl/>
        </w:rPr>
        <w:t>قرارات</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غير</w:t>
      </w:r>
      <w:r>
        <w:rPr>
          <w:rtl/>
        </w:rPr>
        <w:t xml:space="preserve"> </w:t>
      </w:r>
      <w:r w:rsidRPr="006571A5">
        <w:rPr>
          <w:rtl/>
        </w:rPr>
        <w:t>معقولة</w:t>
      </w:r>
      <w:r>
        <w:rPr>
          <w:rtl/>
        </w:rPr>
        <w:t xml:space="preserve"> </w:t>
      </w:r>
      <w:r w:rsidRPr="006571A5">
        <w:rPr>
          <w:rtl/>
        </w:rPr>
        <w:t>أو</w:t>
      </w:r>
      <w:r>
        <w:rPr>
          <w:rtl/>
        </w:rPr>
        <w:t xml:space="preserve"> </w:t>
      </w:r>
      <w:r w:rsidRPr="006571A5">
        <w:rPr>
          <w:rtl/>
        </w:rPr>
        <w:t>تعسفية</w:t>
      </w:r>
      <w:r>
        <w:rPr>
          <w:rtl/>
        </w:rPr>
        <w:t xml:space="preserve"> </w:t>
      </w:r>
      <w:r w:rsidRPr="006571A5">
        <w:rPr>
          <w:rtl/>
        </w:rPr>
        <w:t>بشكل</w:t>
      </w:r>
      <w:r>
        <w:rPr>
          <w:rtl/>
        </w:rPr>
        <w:t xml:space="preserve"> </w:t>
      </w:r>
      <w:r w:rsidRPr="006571A5">
        <w:rPr>
          <w:rtl/>
        </w:rPr>
        <w:t>جلي</w:t>
      </w:r>
      <w:r>
        <w:rPr>
          <w:rtl/>
        </w:rPr>
        <w:t xml:space="preserve"> </w:t>
      </w:r>
      <w:r w:rsidRPr="006571A5">
        <w:rPr>
          <w:rtl/>
        </w:rPr>
        <w:t>فيما</w:t>
      </w:r>
      <w:r>
        <w:rPr>
          <w:rtl/>
        </w:rPr>
        <w:t xml:space="preserve"> </w:t>
      </w:r>
      <w:r w:rsidRPr="006571A5">
        <w:rPr>
          <w:rtl/>
        </w:rPr>
        <w:t>يتعلق</w:t>
      </w:r>
      <w:r>
        <w:rPr>
          <w:rtl/>
        </w:rPr>
        <w:t xml:space="preserve"> </w:t>
      </w:r>
      <w:r w:rsidRPr="006571A5">
        <w:rPr>
          <w:rtl/>
        </w:rPr>
        <w:t>بادعاءات</w:t>
      </w:r>
      <w:r>
        <w:rPr>
          <w:rtl/>
        </w:rPr>
        <w:t xml:space="preserve"> </w:t>
      </w:r>
      <w:r w:rsidRPr="006571A5">
        <w:rPr>
          <w:rtl/>
        </w:rPr>
        <w:t>صاحب</w:t>
      </w:r>
      <w:r>
        <w:rPr>
          <w:rtl/>
        </w:rPr>
        <w:t xml:space="preserve"> </w:t>
      </w:r>
      <w:r w:rsidRPr="006571A5">
        <w:rPr>
          <w:rtl/>
        </w:rPr>
        <w:t>البلاغ،</w:t>
      </w:r>
      <w:r>
        <w:rPr>
          <w:rtl/>
        </w:rPr>
        <w:t xml:space="preserve"> </w:t>
      </w:r>
      <w:r w:rsidRPr="006571A5">
        <w:rPr>
          <w:rtl/>
        </w:rPr>
        <w:t>لا</w:t>
      </w:r>
      <w:r>
        <w:rPr>
          <w:rtl/>
        </w:rPr>
        <w:t xml:space="preserve"> </w:t>
      </w:r>
      <w:r w:rsidRPr="006571A5">
        <w:rPr>
          <w:rtl/>
        </w:rPr>
        <w:t>يمكن</w:t>
      </w:r>
      <w:r>
        <w:rPr>
          <w:rtl/>
        </w:rPr>
        <w:t xml:space="preserve"> </w:t>
      </w:r>
      <w:r w:rsidRPr="006571A5">
        <w:rPr>
          <w:rtl/>
        </w:rPr>
        <w:t>للجنة</w:t>
      </w:r>
      <w:r>
        <w:rPr>
          <w:rtl/>
        </w:rPr>
        <w:t xml:space="preserve"> </w:t>
      </w:r>
      <w:r w:rsidRPr="006571A5">
        <w:rPr>
          <w:rtl/>
        </w:rPr>
        <w:t>أن</w:t>
      </w:r>
      <w:r>
        <w:rPr>
          <w:rtl/>
        </w:rPr>
        <w:t xml:space="preserve"> </w:t>
      </w:r>
      <w:r w:rsidRPr="006571A5">
        <w:rPr>
          <w:rtl/>
        </w:rPr>
        <w:t>تخلص</w:t>
      </w:r>
      <w:r>
        <w:rPr>
          <w:rtl/>
        </w:rPr>
        <w:t xml:space="preserve"> </w:t>
      </w:r>
      <w:r w:rsidRPr="006571A5">
        <w:rPr>
          <w:rtl/>
        </w:rPr>
        <w:t>إلى</w:t>
      </w:r>
      <w:r>
        <w:rPr>
          <w:rtl/>
        </w:rPr>
        <w:t xml:space="preserve"> </w:t>
      </w:r>
      <w:r w:rsidRPr="006571A5">
        <w:rPr>
          <w:rtl/>
        </w:rPr>
        <w:t>أن</w:t>
      </w:r>
      <w:r>
        <w:rPr>
          <w:rtl/>
        </w:rPr>
        <w:t xml:space="preserve"> </w:t>
      </w:r>
      <w:r w:rsidRPr="006571A5">
        <w:rPr>
          <w:rtl/>
        </w:rPr>
        <w:t>المعلومات</w:t>
      </w:r>
      <w:r>
        <w:rPr>
          <w:rtl/>
        </w:rPr>
        <w:t xml:space="preserve"> </w:t>
      </w:r>
      <w:r w:rsidRPr="006571A5">
        <w:rPr>
          <w:rtl/>
        </w:rPr>
        <w:t>المعروضة</w:t>
      </w:r>
      <w:r>
        <w:rPr>
          <w:rtl/>
        </w:rPr>
        <w:t xml:space="preserve"> </w:t>
      </w:r>
      <w:r w:rsidRPr="006571A5">
        <w:rPr>
          <w:rtl/>
        </w:rPr>
        <w:t>عليها</w:t>
      </w:r>
      <w:r>
        <w:rPr>
          <w:rtl/>
        </w:rPr>
        <w:t xml:space="preserve"> </w:t>
      </w:r>
      <w:r w:rsidRPr="006571A5">
        <w:rPr>
          <w:rtl/>
        </w:rPr>
        <w:t>تبين</w:t>
      </w:r>
      <w:r>
        <w:rPr>
          <w:rtl/>
        </w:rPr>
        <w:t xml:space="preserve"> </w:t>
      </w:r>
      <w:r w:rsidRPr="006571A5">
        <w:rPr>
          <w:rtl/>
        </w:rPr>
        <w:t>أن</w:t>
      </w:r>
      <w:r>
        <w:rPr>
          <w:rtl/>
        </w:rPr>
        <w:t xml:space="preserve"> </w:t>
      </w:r>
      <w:r w:rsidRPr="006571A5">
        <w:rPr>
          <w:rtl/>
        </w:rPr>
        <w:t>ترحيل</w:t>
      </w:r>
      <w:r>
        <w:rPr>
          <w:rtl/>
        </w:rPr>
        <w:t xml:space="preserve"> </w:t>
      </w:r>
      <w:r w:rsidRPr="006571A5">
        <w:rPr>
          <w:rtl/>
        </w:rPr>
        <w:t>صاحب</w:t>
      </w:r>
      <w:r>
        <w:rPr>
          <w:rtl/>
        </w:rPr>
        <w:t xml:space="preserve"> </w:t>
      </w:r>
      <w:r w:rsidRPr="006571A5">
        <w:rPr>
          <w:rtl/>
        </w:rPr>
        <w:t>البلاغ</w:t>
      </w:r>
      <w:r>
        <w:rPr>
          <w:rtl/>
        </w:rPr>
        <w:t xml:space="preserve"> </w:t>
      </w:r>
      <w:r w:rsidRPr="006571A5">
        <w:rPr>
          <w:rtl/>
        </w:rPr>
        <w:t>سيعرضه</w:t>
      </w:r>
      <w:r>
        <w:rPr>
          <w:rtl/>
        </w:rPr>
        <w:t xml:space="preserve"> </w:t>
      </w:r>
      <w:r w:rsidRPr="006571A5">
        <w:rPr>
          <w:rtl/>
        </w:rPr>
        <w:t>حقاً</w:t>
      </w:r>
      <w:r>
        <w:rPr>
          <w:rtl/>
        </w:rPr>
        <w:t xml:space="preserve"> </w:t>
      </w:r>
      <w:r w:rsidRPr="006571A5">
        <w:rPr>
          <w:rtl/>
        </w:rPr>
        <w:t>لخطر</w:t>
      </w:r>
      <w:r>
        <w:rPr>
          <w:rtl/>
        </w:rPr>
        <w:t xml:space="preserve"> </w:t>
      </w:r>
      <w:r w:rsidRPr="006571A5">
        <w:rPr>
          <w:rtl/>
        </w:rPr>
        <w:t>معاملته</w:t>
      </w:r>
      <w:r>
        <w:rPr>
          <w:rtl/>
        </w:rPr>
        <w:t xml:space="preserve"> </w:t>
      </w:r>
      <w:r w:rsidRPr="006571A5">
        <w:rPr>
          <w:rtl/>
        </w:rPr>
        <w:t>معاملة</w:t>
      </w:r>
      <w:r>
        <w:rPr>
          <w:rtl/>
        </w:rPr>
        <w:t xml:space="preserve"> </w:t>
      </w:r>
      <w:r w:rsidRPr="006571A5">
        <w:rPr>
          <w:rtl/>
        </w:rPr>
        <w:t>مخالفة</w:t>
      </w:r>
      <w:r>
        <w:rPr>
          <w:rtl/>
        </w:rPr>
        <w:t xml:space="preserve"> </w:t>
      </w:r>
      <w:r w:rsidRPr="006571A5">
        <w:rPr>
          <w:rtl/>
        </w:rPr>
        <w:t>للمادة</w:t>
      </w:r>
      <w:r>
        <w:rPr>
          <w:rtl/>
        </w:rPr>
        <w:t xml:space="preserve"> </w:t>
      </w:r>
      <w:r w:rsidR="004B1017">
        <w:rPr>
          <w:rtl/>
        </w:rPr>
        <w:t>7</w:t>
      </w:r>
      <w:r>
        <w:rPr>
          <w:rtl/>
        </w:rPr>
        <w:t xml:space="preserve"> </w:t>
      </w:r>
      <w:r w:rsidRPr="006571A5">
        <w:rPr>
          <w:rtl/>
        </w:rPr>
        <w:t>من</w:t>
      </w:r>
      <w:r>
        <w:rPr>
          <w:rtl/>
        </w:rPr>
        <w:t xml:space="preserve"> </w:t>
      </w:r>
      <w:r w:rsidRPr="006571A5">
        <w:rPr>
          <w:rtl/>
        </w:rPr>
        <w:t>العهد.</w:t>
      </w:r>
    </w:p>
    <w:p w14:paraId="0BBB968D" w14:textId="1DD78359" w:rsidR="006571A5" w:rsidRPr="006571A5" w:rsidRDefault="006571A5" w:rsidP="006571A5">
      <w:pPr>
        <w:pStyle w:val="SingleTxt"/>
        <w:rPr>
          <w:rtl/>
        </w:rPr>
      </w:pPr>
      <w:r w:rsidRPr="006571A5">
        <w:rPr>
          <w:rtl/>
        </w:rPr>
        <w:t>4-24</w:t>
      </w:r>
      <w:r w:rsidRPr="006571A5">
        <w:rPr>
          <w:rtl/>
        </w:rPr>
        <w:tab/>
        <w:t>وتذكِّر</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فيما</w:t>
      </w:r>
      <w:r>
        <w:rPr>
          <w:rtl/>
        </w:rPr>
        <w:t xml:space="preserve"> </w:t>
      </w:r>
      <w:r w:rsidRPr="006571A5">
        <w:rPr>
          <w:rtl/>
        </w:rPr>
        <w:t>يتعلق</w:t>
      </w:r>
      <w:r>
        <w:rPr>
          <w:rtl/>
        </w:rPr>
        <w:t xml:space="preserve"> </w:t>
      </w:r>
      <w:r w:rsidRPr="006571A5">
        <w:rPr>
          <w:rtl/>
        </w:rPr>
        <w:t>بالرسالة</w:t>
      </w:r>
      <w:r>
        <w:rPr>
          <w:rtl/>
        </w:rPr>
        <w:t xml:space="preserve"> </w:t>
      </w:r>
      <w:r w:rsidRPr="006571A5">
        <w:rPr>
          <w:rtl/>
        </w:rPr>
        <w:t>قيد</w:t>
      </w:r>
      <w:r>
        <w:rPr>
          <w:rtl/>
        </w:rPr>
        <w:t xml:space="preserve"> </w:t>
      </w:r>
      <w:r w:rsidRPr="006571A5">
        <w:rPr>
          <w:rtl/>
        </w:rPr>
        <w:t>النظر</w:t>
      </w:r>
      <w:r>
        <w:rPr>
          <w:rtl/>
        </w:rPr>
        <w:t xml:space="preserve"> </w:t>
      </w:r>
      <w:r w:rsidRPr="006571A5">
        <w:rPr>
          <w:rtl/>
        </w:rPr>
        <w:t>بأن</w:t>
      </w:r>
      <w:r>
        <w:rPr>
          <w:rtl/>
        </w:rPr>
        <w:t xml:space="preserve"> </w:t>
      </w:r>
      <w:r w:rsidRPr="006571A5">
        <w:rPr>
          <w:rtl/>
        </w:rPr>
        <w:t>صاحبتها</w:t>
      </w:r>
      <w:r>
        <w:rPr>
          <w:rtl/>
        </w:rPr>
        <w:t xml:space="preserve"> </w:t>
      </w:r>
      <w:r w:rsidRPr="006571A5">
        <w:rPr>
          <w:rtl/>
        </w:rPr>
        <w:t>لم</w:t>
      </w:r>
      <w:r>
        <w:rPr>
          <w:rtl/>
        </w:rPr>
        <w:t xml:space="preserve"> </w:t>
      </w:r>
      <w:r w:rsidRPr="006571A5">
        <w:rPr>
          <w:rtl/>
        </w:rPr>
        <w:t>تقدم</w:t>
      </w:r>
      <w:r>
        <w:rPr>
          <w:rtl/>
        </w:rPr>
        <w:t xml:space="preserve"> </w:t>
      </w:r>
      <w:r w:rsidRPr="006571A5">
        <w:rPr>
          <w:rtl/>
        </w:rPr>
        <w:t>أي</w:t>
      </w:r>
      <w:r>
        <w:rPr>
          <w:rtl/>
        </w:rPr>
        <w:t xml:space="preserve"> </w:t>
      </w:r>
      <w:r w:rsidRPr="006571A5">
        <w:rPr>
          <w:rtl/>
        </w:rPr>
        <w:t>معلومات</w:t>
      </w:r>
      <w:r>
        <w:rPr>
          <w:rtl/>
        </w:rPr>
        <w:t xml:space="preserve"> </w:t>
      </w:r>
      <w:r w:rsidRPr="006571A5">
        <w:rPr>
          <w:rtl/>
        </w:rPr>
        <w:t>محددة</w:t>
      </w:r>
      <w:r>
        <w:rPr>
          <w:rtl/>
        </w:rPr>
        <w:t xml:space="preserve"> </w:t>
      </w:r>
      <w:r w:rsidRPr="006571A5">
        <w:rPr>
          <w:rtl/>
        </w:rPr>
        <w:t>جديدة</w:t>
      </w:r>
      <w:r>
        <w:rPr>
          <w:rtl/>
        </w:rPr>
        <w:t xml:space="preserve"> </w:t>
      </w:r>
      <w:r w:rsidRPr="006571A5">
        <w:rPr>
          <w:rtl/>
        </w:rPr>
        <w:t>عن</w:t>
      </w:r>
      <w:r>
        <w:rPr>
          <w:rtl/>
        </w:rPr>
        <w:t xml:space="preserve"> </w:t>
      </w:r>
      <w:r w:rsidRPr="006571A5">
        <w:rPr>
          <w:rtl/>
        </w:rPr>
        <w:t>حالتها.</w:t>
      </w:r>
      <w:r>
        <w:rPr>
          <w:rtl/>
        </w:rPr>
        <w:t xml:space="preserve"> </w:t>
      </w:r>
      <w:r w:rsidRPr="006571A5">
        <w:rPr>
          <w:rtl/>
        </w:rPr>
        <w:t>بل</w:t>
      </w:r>
      <w:r>
        <w:rPr>
          <w:rtl/>
        </w:rPr>
        <w:t xml:space="preserve"> </w:t>
      </w:r>
      <w:r w:rsidRPr="006571A5">
        <w:rPr>
          <w:rtl/>
        </w:rPr>
        <w:t>إنها</w:t>
      </w:r>
      <w:r>
        <w:rPr>
          <w:rtl/>
        </w:rPr>
        <w:t xml:space="preserve"> </w:t>
      </w:r>
      <w:r w:rsidRPr="006571A5">
        <w:rPr>
          <w:rtl/>
        </w:rPr>
        <w:t>تحاول</w:t>
      </w:r>
      <w:r>
        <w:rPr>
          <w:rtl/>
        </w:rPr>
        <w:t xml:space="preserve"> </w:t>
      </w:r>
      <w:r w:rsidRPr="006571A5">
        <w:rPr>
          <w:rtl/>
        </w:rPr>
        <w:t>استخدام</w:t>
      </w:r>
      <w:r>
        <w:rPr>
          <w:rtl/>
        </w:rPr>
        <w:t xml:space="preserve"> </w:t>
      </w:r>
      <w:r w:rsidRPr="006571A5">
        <w:rPr>
          <w:rtl/>
        </w:rPr>
        <w:t>اللجنة</w:t>
      </w:r>
      <w:r>
        <w:rPr>
          <w:rtl/>
        </w:rPr>
        <w:t xml:space="preserve"> </w:t>
      </w:r>
      <w:r w:rsidRPr="006571A5">
        <w:rPr>
          <w:rtl/>
        </w:rPr>
        <w:t>كهيئة</w:t>
      </w:r>
      <w:r>
        <w:rPr>
          <w:rtl/>
        </w:rPr>
        <w:t xml:space="preserve"> </w:t>
      </w:r>
      <w:r w:rsidRPr="006571A5">
        <w:rPr>
          <w:rtl/>
        </w:rPr>
        <w:t>استئناف</w:t>
      </w:r>
      <w:r>
        <w:rPr>
          <w:rtl/>
        </w:rPr>
        <w:t xml:space="preserve"> </w:t>
      </w:r>
      <w:r w:rsidRPr="006571A5">
        <w:rPr>
          <w:rtl/>
        </w:rPr>
        <w:t>لإعادة</w:t>
      </w:r>
      <w:r>
        <w:rPr>
          <w:rtl/>
        </w:rPr>
        <w:t xml:space="preserve"> </w:t>
      </w:r>
      <w:r w:rsidRPr="006571A5">
        <w:rPr>
          <w:rtl/>
        </w:rPr>
        <w:t>النظر</w:t>
      </w:r>
      <w:r>
        <w:rPr>
          <w:rtl/>
        </w:rPr>
        <w:t xml:space="preserve"> </w:t>
      </w:r>
      <w:r w:rsidRPr="006571A5">
        <w:rPr>
          <w:rtl/>
        </w:rPr>
        <w:t>في</w:t>
      </w:r>
      <w:r>
        <w:rPr>
          <w:rtl/>
        </w:rPr>
        <w:t xml:space="preserve"> </w:t>
      </w:r>
      <w:r w:rsidRPr="006571A5">
        <w:rPr>
          <w:rtl/>
        </w:rPr>
        <w:t>الظروف</w:t>
      </w:r>
      <w:r>
        <w:rPr>
          <w:rtl/>
        </w:rPr>
        <w:t xml:space="preserve"> </w:t>
      </w:r>
      <w:r w:rsidRPr="006571A5">
        <w:rPr>
          <w:rtl/>
        </w:rPr>
        <w:t>الوقائعية</w:t>
      </w:r>
      <w:r>
        <w:rPr>
          <w:rtl/>
        </w:rPr>
        <w:t xml:space="preserve"> </w:t>
      </w:r>
      <w:r w:rsidRPr="006571A5">
        <w:rPr>
          <w:rtl/>
        </w:rPr>
        <w:t>لقضيتها.</w:t>
      </w:r>
      <w:r>
        <w:rPr>
          <w:rtl/>
        </w:rPr>
        <w:t xml:space="preserve"> </w:t>
      </w:r>
      <w:r w:rsidRPr="006571A5">
        <w:rPr>
          <w:rtl/>
        </w:rPr>
        <w:t>وترى</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أن</w:t>
      </w:r>
      <w:r>
        <w:rPr>
          <w:rtl/>
        </w:rPr>
        <w:t xml:space="preserve"> </w:t>
      </w:r>
      <w:r w:rsidRPr="006571A5">
        <w:rPr>
          <w:rtl/>
        </w:rPr>
        <w:t>على</w:t>
      </w:r>
      <w:r>
        <w:rPr>
          <w:rtl/>
        </w:rPr>
        <w:t xml:space="preserve"> </w:t>
      </w:r>
      <w:r w:rsidRPr="006571A5">
        <w:rPr>
          <w:rtl/>
        </w:rPr>
        <w:t>اللجنة</w:t>
      </w:r>
      <w:r>
        <w:rPr>
          <w:rtl/>
        </w:rPr>
        <w:t xml:space="preserve"> </w:t>
      </w:r>
      <w:r w:rsidRPr="006571A5">
        <w:rPr>
          <w:rtl/>
        </w:rPr>
        <w:t>أن</w:t>
      </w:r>
      <w:r>
        <w:rPr>
          <w:rtl/>
        </w:rPr>
        <w:t xml:space="preserve"> </w:t>
      </w:r>
      <w:r w:rsidRPr="006571A5">
        <w:rPr>
          <w:rtl/>
        </w:rPr>
        <w:t>تولي</w:t>
      </w:r>
      <w:r>
        <w:rPr>
          <w:rtl/>
        </w:rPr>
        <w:t xml:space="preserve"> </w:t>
      </w:r>
      <w:r w:rsidRPr="006571A5">
        <w:rPr>
          <w:rtl/>
        </w:rPr>
        <w:t>وزنا</w:t>
      </w:r>
      <w:r>
        <w:rPr>
          <w:rtl/>
        </w:rPr>
        <w:t xml:space="preserve"> </w:t>
      </w:r>
      <w:r w:rsidRPr="006571A5">
        <w:rPr>
          <w:rtl/>
        </w:rPr>
        <w:t>كبيرا</w:t>
      </w:r>
      <w:r>
        <w:rPr>
          <w:rtl/>
        </w:rPr>
        <w:t xml:space="preserve"> </w:t>
      </w:r>
      <w:r w:rsidRPr="006571A5">
        <w:rPr>
          <w:rtl/>
        </w:rPr>
        <w:t>للاستنتاجات</w:t>
      </w:r>
      <w:r>
        <w:rPr>
          <w:rtl/>
        </w:rPr>
        <w:t xml:space="preserve"> </w:t>
      </w:r>
      <w:r w:rsidRPr="006571A5">
        <w:rPr>
          <w:rtl/>
        </w:rPr>
        <w:t>الوقائعية</w:t>
      </w:r>
      <w:r>
        <w:rPr>
          <w:rtl/>
        </w:rPr>
        <w:t xml:space="preserve"> </w:t>
      </w:r>
      <w:r w:rsidRPr="006571A5">
        <w:rPr>
          <w:rtl/>
        </w:rPr>
        <w:t>التي</w:t>
      </w:r>
      <w:r>
        <w:rPr>
          <w:rtl/>
        </w:rPr>
        <w:t xml:space="preserve"> </w:t>
      </w:r>
      <w:r w:rsidRPr="006571A5">
        <w:rPr>
          <w:rtl/>
        </w:rPr>
        <w:t>توصل</w:t>
      </w:r>
      <w:r>
        <w:rPr>
          <w:rtl/>
        </w:rPr>
        <w:t xml:space="preserve"> </w:t>
      </w:r>
      <w:r w:rsidRPr="006571A5">
        <w:rPr>
          <w:rtl/>
        </w:rPr>
        <w:t>إليها</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الذي</w:t>
      </w:r>
      <w:r>
        <w:rPr>
          <w:rtl/>
        </w:rPr>
        <w:t xml:space="preserve"> </w:t>
      </w:r>
      <w:r w:rsidRPr="006571A5">
        <w:rPr>
          <w:rtl/>
        </w:rPr>
        <w:t>هو</w:t>
      </w:r>
      <w:r>
        <w:rPr>
          <w:rtl/>
        </w:rPr>
        <w:t xml:space="preserve"> </w:t>
      </w:r>
      <w:r w:rsidRPr="006571A5">
        <w:rPr>
          <w:rtl/>
        </w:rPr>
        <w:t>أقدر</w:t>
      </w:r>
      <w:r>
        <w:rPr>
          <w:rtl/>
        </w:rPr>
        <w:t xml:space="preserve"> </w:t>
      </w:r>
      <w:r w:rsidRPr="006571A5">
        <w:rPr>
          <w:rtl/>
        </w:rPr>
        <w:t>على</w:t>
      </w:r>
      <w:r>
        <w:rPr>
          <w:rtl/>
        </w:rPr>
        <w:t xml:space="preserve"> </w:t>
      </w:r>
      <w:r w:rsidRPr="006571A5">
        <w:rPr>
          <w:rtl/>
        </w:rPr>
        <w:t>تقييم</w:t>
      </w:r>
      <w:r>
        <w:rPr>
          <w:rtl/>
        </w:rPr>
        <w:t xml:space="preserve"> </w:t>
      </w:r>
      <w:r w:rsidRPr="006571A5">
        <w:rPr>
          <w:rtl/>
        </w:rPr>
        <w:t>الملابسات</w:t>
      </w:r>
      <w:r>
        <w:rPr>
          <w:rtl/>
        </w:rPr>
        <w:t xml:space="preserve"> </w:t>
      </w:r>
      <w:r w:rsidRPr="006571A5">
        <w:rPr>
          <w:rtl/>
        </w:rPr>
        <w:t>الوقائعية</w:t>
      </w:r>
      <w:r>
        <w:rPr>
          <w:rtl/>
        </w:rPr>
        <w:t xml:space="preserve"> </w:t>
      </w:r>
      <w:r w:rsidRPr="006571A5">
        <w:rPr>
          <w:rtl/>
        </w:rPr>
        <w:t>للقضية.</w:t>
      </w:r>
      <w:r>
        <w:rPr>
          <w:rtl/>
        </w:rPr>
        <w:t xml:space="preserve"> </w:t>
      </w:r>
      <w:r w:rsidRPr="006571A5">
        <w:rPr>
          <w:rtl/>
        </w:rPr>
        <w:t>وترى</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أنه</w:t>
      </w:r>
      <w:r>
        <w:rPr>
          <w:rtl/>
        </w:rPr>
        <w:t xml:space="preserve"> </w:t>
      </w:r>
      <w:r w:rsidRPr="006571A5">
        <w:rPr>
          <w:rtl/>
        </w:rPr>
        <w:t>لا</w:t>
      </w:r>
      <w:r w:rsidR="004C757C">
        <w:rPr>
          <w:rFonts w:hint="cs"/>
          <w:rtl/>
        </w:rPr>
        <w:t> </w:t>
      </w:r>
      <w:r w:rsidRPr="006571A5">
        <w:rPr>
          <w:rtl/>
        </w:rPr>
        <w:t>يوجد</w:t>
      </w:r>
      <w:r>
        <w:rPr>
          <w:rtl/>
        </w:rPr>
        <w:t xml:space="preserve"> </w:t>
      </w:r>
      <w:r w:rsidRPr="006571A5">
        <w:rPr>
          <w:rtl/>
        </w:rPr>
        <w:t>أي</w:t>
      </w:r>
      <w:r>
        <w:rPr>
          <w:rtl/>
        </w:rPr>
        <w:t xml:space="preserve"> </w:t>
      </w:r>
      <w:r w:rsidRPr="006571A5">
        <w:rPr>
          <w:rtl/>
        </w:rPr>
        <w:t>أساس</w:t>
      </w:r>
      <w:r>
        <w:rPr>
          <w:rtl/>
        </w:rPr>
        <w:t xml:space="preserve"> </w:t>
      </w:r>
      <w:r w:rsidRPr="006571A5">
        <w:rPr>
          <w:rtl/>
        </w:rPr>
        <w:t>للتشكيك</w:t>
      </w:r>
      <w:r>
        <w:rPr>
          <w:rtl/>
        </w:rPr>
        <w:t xml:space="preserve"> </w:t>
      </w:r>
      <w:r w:rsidRPr="006571A5">
        <w:rPr>
          <w:rtl/>
        </w:rPr>
        <w:t>في</w:t>
      </w:r>
      <w:r>
        <w:rPr>
          <w:rtl/>
        </w:rPr>
        <w:t xml:space="preserve"> </w:t>
      </w:r>
      <w:r w:rsidRPr="006571A5">
        <w:rPr>
          <w:rtl/>
        </w:rPr>
        <w:t>التقييم</w:t>
      </w:r>
      <w:r>
        <w:rPr>
          <w:rtl/>
        </w:rPr>
        <w:t xml:space="preserve"> </w:t>
      </w:r>
      <w:r w:rsidRPr="006571A5">
        <w:rPr>
          <w:rtl/>
        </w:rPr>
        <w:t>الذي</w:t>
      </w:r>
      <w:r>
        <w:rPr>
          <w:rtl/>
        </w:rPr>
        <w:t xml:space="preserve"> </w:t>
      </w:r>
      <w:r w:rsidRPr="006571A5">
        <w:rPr>
          <w:rtl/>
        </w:rPr>
        <w:t>أجراه</w:t>
      </w:r>
      <w:r>
        <w:rPr>
          <w:rtl/>
        </w:rPr>
        <w:t xml:space="preserve"> </w:t>
      </w:r>
      <w:r w:rsidRPr="006571A5">
        <w:rPr>
          <w:rtl/>
        </w:rPr>
        <w:t>المجلس،</w:t>
      </w:r>
      <w:r>
        <w:rPr>
          <w:rtl/>
        </w:rPr>
        <w:t xml:space="preserve"> </w:t>
      </w:r>
      <w:r w:rsidRPr="006571A5">
        <w:rPr>
          <w:rtl/>
        </w:rPr>
        <w:t>ناهيك</w:t>
      </w:r>
      <w:r>
        <w:rPr>
          <w:rtl/>
        </w:rPr>
        <w:t xml:space="preserve"> </w:t>
      </w:r>
      <w:r w:rsidRPr="006571A5">
        <w:rPr>
          <w:rtl/>
        </w:rPr>
        <w:t>عن</w:t>
      </w:r>
      <w:r>
        <w:rPr>
          <w:rtl/>
        </w:rPr>
        <w:t xml:space="preserve"> </w:t>
      </w:r>
      <w:r w:rsidRPr="006571A5">
        <w:rPr>
          <w:rtl/>
        </w:rPr>
        <w:t>عدم</w:t>
      </w:r>
      <w:r>
        <w:rPr>
          <w:rtl/>
        </w:rPr>
        <w:t xml:space="preserve"> </w:t>
      </w:r>
      <w:r w:rsidRPr="006571A5">
        <w:rPr>
          <w:rtl/>
        </w:rPr>
        <w:t>قبوله،</w:t>
      </w:r>
      <w:r>
        <w:rPr>
          <w:rtl/>
        </w:rPr>
        <w:t xml:space="preserve"> </w:t>
      </w:r>
      <w:r w:rsidRPr="006571A5">
        <w:rPr>
          <w:rtl/>
        </w:rPr>
        <w:t>وهو</w:t>
      </w:r>
      <w:r>
        <w:rPr>
          <w:rtl/>
        </w:rPr>
        <w:t xml:space="preserve"> </w:t>
      </w:r>
      <w:r w:rsidRPr="006571A5">
        <w:rPr>
          <w:rtl/>
        </w:rPr>
        <w:t>تقييم</w:t>
      </w:r>
      <w:r>
        <w:rPr>
          <w:rtl/>
        </w:rPr>
        <w:t xml:space="preserve"> </w:t>
      </w:r>
      <w:r w:rsidRPr="006571A5">
        <w:rPr>
          <w:rtl/>
        </w:rPr>
        <w:t>مؤداه</w:t>
      </w:r>
      <w:r>
        <w:rPr>
          <w:rtl/>
        </w:rPr>
        <w:t xml:space="preserve"> </w:t>
      </w:r>
      <w:r w:rsidRPr="006571A5">
        <w:rPr>
          <w:rtl/>
        </w:rPr>
        <w:t>أن</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لم</w:t>
      </w:r>
      <w:r>
        <w:rPr>
          <w:rtl/>
        </w:rPr>
        <w:t xml:space="preserve"> </w:t>
      </w:r>
      <w:r w:rsidRPr="006571A5">
        <w:rPr>
          <w:rtl/>
        </w:rPr>
        <w:t>تثبت</w:t>
      </w:r>
      <w:r>
        <w:rPr>
          <w:rtl/>
        </w:rPr>
        <w:t xml:space="preserve"> </w:t>
      </w:r>
      <w:r w:rsidRPr="006571A5">
        <w:rPr>
          <w:rtl/>
        </w:rPr>
        <w:t>وجود</w:t>
      </w:r>
      <w:r>
        <w:rPr>
          <w:rtl/>
        </w:rPr>
        <w:t xml:space="preserve"> </w:t>
      </w:r>
      <w:r w:rsidRPr="006571A5">
        <w:rPr>
          <w:rtl/>
        </w:rPr>
        <w:t>أسباب</w:t>
      </w:r>
      <w:r>
        <w:rPr>
          <w:rtl/>
        </w:rPr>
        <w:t xml:space="preserve"> </w:t>
      </w:r>
      <w:r w:rsidRPr="006571A5">
        <w:rPr>
          <w:rtl/>
        </w:rPr>
        <w:t>وجيهة</w:t>
      </w:r>
      <w:r>
        <w:rPr>
          <w:rtl/>
        </w:rPr>
        <w:t xml:space="preserve"> </w:t>
      </w:r>
      <w:r w:rsidRPr="006571A5">
        <w:rPr>
          <w:rtl/>
        </w:rPr>
        <w:t>تدعو</w:t>
      </w:r>
      <w:r>
        <w:rPr>
          <w:rtl/>
        </w:rPr>
        <w:t xml:space="preserve"> </w:t>
      </w:r>
      <w:r w:rsidRPr="006571A5">
        <w:rPr>
          <w:rtl/>
        </w:rPr>
        <w:t>إلى</w:t>
      </w:r>
      <w:r>
        <w:rPr>
          <w:rtl/>
        </w:rPr>
        <w:t xml:space="preserve"> </w:t>
      </w:r>
      <w:r w:rsidRPr="006571A5">
        <w:rPr>
          <w:rtl/>
        </w:rPr>
        <w:t>الاعتقاد</w:t>
      </w:r>
      <w:r>
        <w:rPr>
          <w:rtl/>
        </w:rPr>
        <w:t xml:space="preserve"> </w:t>
      </w:r>
      <w:r w:rsidRPr="006571A5">
        <w:rPr>
          <w:rtl/>
        </w:rPr>
        <w:t>بأنها</w:t>
      </w:r>
      <w:r>
        <w:rPr>
          <w:rtl/>
        </w:rPr>
        <w:t xml:space="preserve"> </w:t>
      </w:r>
      <w:r w:rsidRPr="006571A5">
        <w:rPr>
          <w:rtl/>
        </w:rPr>
        <w:t>ستتعرض،</w:t>
      </w:r>
      <w:r>
        <w:rPr>
          <w:rtl/>
        </w:rPr>
        <w:t xml:space="preserve"> </w:t>
      </w:r>
      <w:r w:rsidRPr="006571A5">
        <w:rPr>
          <w:rtl/>
        </w:rPr>
        <w:t>في</w:t>
      </w:r>
      <w:r>
        <w:rPr>
          <w:rtl/>
        </w:rPr>
        <w:t xml:space="preserve"> </w:t>
      </w:r>
      <w:r w:rsidRPr="006571A5">
        <w:rPr>
          <w:rtl/>
        </w:rPr>
        <w:t>حال</w:t>
      </w:r>
      <w:r>
        <w:rPr>
          <w:rtl/>
        </w:rPr>
        <w:t xml:space="preserve"> </w:t>
      </w:r>
      <w:r w:rsidRPr="006571A5">
        <w:rPr>
          <w:rtl/>
        </w:rPr>
        <w:t>إعادتها</w:t>
      </w:r>
      <w:r>
        <w:rPr>
          <w:rtl/>
        </w:rPr>
        <w:t xml:space="preserve"> </w:t>
      </w:r>
      <w:r w:rsidRPr="006571A5">
        <w:rPr>
          <w:rtl/>
        </w:rPr>
        <w:t>إلى</w:t>
      </w:r>
      <w:r>
        <w:rPr>
          <w:rtl/>
        </w:rPr>
        <w:t xml:space="preserve"> </w:t>
      </w:r>
      <w:r w:rsidRPr="006571A5">
        <w:rPr>
          <w:rtl/>
        </w:rPr>
        <w:t>الصومال،</w:t>
      </w:r>
      <w:r>
        <w:rPr>
          <w:rtl/>
        </w:rPr>
        <w:t xml:space="preserve"> </w:t>
      </w:r>
      <w:r w:rsidRPr="006571A5">
        <w:rPr>
          <w:rtl/>
        </w:rPr>
        <w:t>لخطر</w:t>
      </w:r>
      <w:r>
        <w:rPr>
          <w:rtl/>
        </w:rPr>
        <w:t xml:space="preserve"> </w:t>
      </w:r>
      <w:r w:rsidRPr="006571A5">
        <w:rPr>
          <w:rtl/>
        </w:rPr>
        <w:t>اضطهاد</w:t>
      </w:r>
      <w:r>
        <w:rPr>
          <w:rtl/>
        </w:rPr>
        <w:t xml:space="preserve"> </w:t>
      </w:r>
      <w:r w:rsidRPr="006571A5">
        <w:rPr>
          <w:rtl/>
        </w:rPr>
        <w:t>حقيقي</w:t>
      </w:r>
      <w:r>
        <w:rPr>
          <w:rtl/>
        </w:rPr>
        <w:t xml:space="preserve"> </w:t>
      </w:r>
      <w:r w:rsidRPr="006571A5">
        <w:rPr>
          <w:rtl/>
        </w:rPr>
        <w:t>وشخصي</w:t>
      </w:r>
      <w:r>
        <w:rPr>
          <w:rtl/>
        </w:rPr>
        <w:t xml:space="preserve"> </w:t>
      </w:r>
      <w:r w:rsidRPr="006571A5">
        <w:rPr>
          <w:rtl/>
        </w:rPr>
        <w:t>ومتوقع،</w:t>
      </w:r>
      <w:r>
        <w:rPr>
          <w:rtl/>
        </w:rPr>
        <w:t xml:space="preserve"> </w:t>
      </w:r>
      <w:r w:rsidRPr="006571A5">
        <w:rPr>
          <w:rtl/>
        </w:rPr>
        <w:t>وأن</w:t>
      </w:r>
      <w:r>
        <w:rPr>
          <w:rtl/>
        </w:rPr>
        <w:t xml:space="preserve"> </w:t>
      </w:r>
      <w:r w:rsidRPr="006571A5">
        <w:rPr>
          <w:rtl/>
        </w:rPr>
        <w:t>النتيجة</w:t>
      </w:r>
      <w:r>
        <w:rPr>
          <w:rtl/>
        </w:rPr>
        <w:t xml:space="preserve"> </w:t>
      </w:r>
      <w:r w:rsidRPr="006571A5">
        <w:rPr>
          <w:rtl/>
        </w:rPr>
        <w:t>الحتمية</w:t>
      </w:r>
      <w:r>
        <w:rPr>
          <w:rtl/>
        </w:rPr>
        <w:t xml:space="preserve"> </w:t>
      </w:r>
      <w:r w:rsidRPr="006571A5">
        <w:rPr>
          <w:rtl/>
        </w:rPr>
        <w:t>والمتوقعة</w:t>
      </w:r>
      <w:r>
        <w:rPr>
          <w:rtl/>
        </w:rPr>
        <w:t xml:space="preserve"> </w:t>
      </w:r>
      <w:r w:rsidRPr="006571A5">
        <w:rPr>
          <w:rtl/>
        </w:rPr>
        <w:t>لإعادتها</w:t>
      </w:r>
      <w:r>
        <w:rPr>
          <w:rtl/>
        </w:rPr>
        <w:t xml:space="preserve"> </w:t>
      </w:r>
      <w:r w:rsidRPr="006571A5">
        <w:rPr>
          <w:rtl/>
        </w:rPr>
        <w:t>هي</w:t>
      </w:r>
      <w:r>
        <w:rPr>
          <w:rtl/>
        </w:rPr>
        <w:t xml:space="preserve"> </w:t>
      </w:r>
      <w:r w:rsidRPr="006571A5">
        <w:rPr>
          <w:rtl/>
        </w:rPr>
        <w:t>انتهاك</w:t>
      </w:r>
      <w:r>
        <w:rPr>
          <w:rtl/>
        </w:rPr>
        <w:t xml:space="preserve"> </w:t>
      </w:r>
      <w:r w:rsidRPr="006571A5">
        <w:rPr>
          <w:rtl/>
        </w:rPr>
        <w:t>حقوقها</w:t>
      </w:r>
      <w:r>
        <w:rPr>
          <w:rtl/>
        </w:rPr>
        <w:t xml:space="preserve"> </w:t>
      </w:r>
      <w:r w:rsidRPr="006571A5">
        <w:rPr>
          <w:rtl/>
        </w:rPr>
        <w:t>بموجب</w:t>
      </w:r>
      <w:r>
        <w:rPr>
          <w:rtl/>
        </w:rPr>
        <w:t xml:space="preserve"> </w:t>
      </w:r>
      <w:r w:rsidRPr="006571A5">
        <w:rPr>
          <w:rtl/>
        </w:rPr>
        <w:t>الاتفاقية.</w:t>
      </w:r>
      <w:r>
        <w:rPr>
          <w:rtl/>
        </w:rPr>
        <w:t xml:space="preserve"> </w:t>
      </w:r>
      <w:r w:rsidRPr="006571A5">
        <w:rPr>
          <w:rtl/>
        </w:rPr>
        <w:t>وبالتالي،</w:t>
      </w:r>
      <w:r>
        <w:rPr>
          <w:rtl/>
        </w:rPr>
        <w:t xml:space="preserve"> </w:t>
      </w:r>
      <w:r w:rsidRPr="006571A5">
        <w:rPr>
          <w:rtl/>
        </w:rPr>
        <w:t>فإن</w:t>
      </w:r>
      <w:r>
        <w:rPr>
          <w:rtl/>
        </w:rPr>
        <w:t xml:space="preserve"> </w:t>
      </w:r>
      <w:r w:rsidRPr="006571A5">
        <w:rPr>
          <w:rtl/>
        </w:rPr>
        <w:t>عودة</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إلى</w:t>
      </w:r>
      <w:r>
        <w:rPr>
          <w:rtl/>
        </w:rPr>
        <w:t xml:space="preserve"> </w:t>
      </w:r>
      <w:r w:rsidRPr="006571A5">
        <w:rPr>
          <w:rtl/>
        </w:rPr>
        <w:t>الصومال</w:t>
      </w:r>
      <w:r>
        <w:rPr>
          <w:rtl/>
        </w:rPr>
        <w:t xml:space="preserve"> </w:t>
      </w:r>
      <w:r w:rsidRPr="006571A5">
        <w:rPr>
          <w:rtl/>
        </w:rPr>
        <w:t>لن</w:t>
      </w:r>
      <w:r>
        <w:rPr>
          <w:rtl/>
        </w:rPr>
        <w:t xml:space="preserve"> </w:t>
      </w:r>
      <w:r w:rsidRPr="006571A5">
        <w:rPr>
          <w:rtl/>
        </w:rPr>
        <w:t>تؤدي</w:t>
      </w:r>
      <w:r>
        <w:rPr>
          <w:rtl/>
        </w:rPr>
        <w:t xml:space="preserve"> </w:t>
      </w:r>
      <w:r w:rsidRPr="006571A5">
        <w:rPr>
          <w:rtl/>
        </w:rPr>
        <w:t>إلى</w:t>
      </w:r>
      <w:r>
        <w:rPr>
          <w:rtl/>
        </w:rPr>
        <w:t xml:space="preserve"> </w:t>
      </w:r>
      <w:r w:rsidRPr="006571A5">
        <w:rPr>
          <w:rtl/>
        </w:rPr>
        <w:t>انتهاك</w:t>
      </w:r>
      <w:r>
        <w:rPr>
          <w:rtl/>
        </w:rPr>
        <w:t xml:space="preserve"> </w:t>
      </w:r>
      <w:r w:rsidRPr="006571A5">
        <w:rPr>
          <w:rtl/>
        </w:rPr>
        <w:t>للمادة</w:t>
      </w:r>
      <w:r>
        <w:rPr>
          <w:rtl/>
        </w:rPr>
        <w:t xml:space="preserve"> </w:t>
      </w:r>
      <w:r w:rsidR="004B1017">
        <w:rPr>
          <w:rtl/>
        </w:rPr>
        <w:t>3</w:t>
      </w:r>
      <w:r>
        <w:rPr>
          <w:rtl/>
        </w:rPr>
        <w:t xml:space="preserve"> </w:t>
      </w:r>
      <w:r w:rsidRPr="006571A5">
        <w:rPr>
          <w:rtl/>
        </w:rPr>
        <w:t>أو</w:t>
      </w:r>
      <w:r>
        <w:rPr>
          <w:rtl/>
        </w:rPr>
        <w:t xml:space="preserve"> </w:t>
      </w:r>
      <w:r w:rsidR="004B1017">
        <w:rPr>
          <w:rtl/>
        </w:rPr>
        <w:t>5</w:t>
      </w:r>
      <w:r>
        <w:rPr>
          <w:rtl/>
        </w:rPr>
        <w:t xml:space="preserve"> </w:t>
      </w:r>
      <w:r w:rsidRPr="006571A5">
        <w:rPr>
          <w:rtl/>
        </w:rPr>
        <w:t>أو</w:t>
      </w:r>
      <w:r>
        <w:rPr>
          <w:rtl/>
        </w:rPr>
        <w:t xml:space="preserve"> </w:t>
      </w:r>
      <w:r w:rsidR="004B1017">
        <w:rPr>
          <w:rtl/>
        </w:rPr>
        <w:t>16</w:t>
      </w:r>
      <w:r>
        <w:rPr>
          <w:rtl/>
        </w:rPr>
        <w:t xml:space="preserve"> </w:t>
      </w:r>
      <w:r w:rsidRPr="006571A5">
        <w:rPr>
          <w:rtl/>
        </w:rPr>
        <w:t>(ب)</w:t>
      </w:r>
      <w:r>
        <w:rPr>
          <w:rtl/>
        </w:rPr>
        <w:t xml:space="preserve"> </w:t>
      </w:r>
      <w:r w:rsidRPr="006571A5">
        <w:rPr>
          <w:rtl/>
        </w:rPr>
        <w:t>من</w:t>
      </w:r>
      <w:r>
        <w:rPr>
          <w:rtl/>
        </w:rPr>
        <w:t xml:space="preserve"> </w:t>
      </w:r>
      <w:r w:rsidRPr="006571A5">
        <w:rPr>
          <w:rtl/>
        </w:rPr>
        <w:t>الاتفاقية.</w:t>
      </w:r>
    </w:p>
    <w:p w14:paraId="368B5D90" w14:textId="1F0B4368" w:rsidR="006571A5" w:rsidRPr="004B1017" w:rsidRDefault="006571A5" w:rsidP="004B1017">
      <w:pPr>
        <w:pStyle w:val="SingleTxt"/>
        <w:spacing w:after="0" w:line="120" w:lineRule="exact"/>
        <w:rPr>
          <w:sz w:val="10"/>
          <w:rtl/>
        </w:rPr>
      </w:pPr>
    </w:p>
    <w:p w14:paraId="1B913BF3" w14:textId="58D5AF05" w:rsidR="006571A5" w:rsidRPr="006571A5" w:rsidRDefault="004B1017" w:rsidP="004B1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6571A5" w:rsidRPr="006571A5">
        <w:rPr>
          <w:rtl/>
        </w:rPr>
        <w:t>تعليقات</w:t>
      </w:r>
      <w:r w:rsidR="006571A5">
        <w:rPr>
          <w:rtl/>
        </w:rPr>
        <w:t xml:space="preserve"> </w:t>
      </w:r>
      <w:r w:rsidR="006571A5" w:rsidRPr="006571A5">
        <w:rPr>
          <w:rtl/>
        </w:rPr>
        <w:t>صاحبة</w:t>
      </w:r>
      <w:r w:rsidR="006571A5">
        <w:rPr>
          <w:rtl/>
        </w:rPr>
        <w:t xml:space="preserve"> </w:t>
      </w:r>
      <w:r w:rsidR="006571A5" w:rsidRPr="006571A5">
        <w:rPr>
          <w:rtl/>
        </w:rPr>
        <w:t>الرسالة</w:t>
      </w:r>
      <w:r w:rsidR="006571A5">
        <w:rPr>
          <w:rtl/>
        </w:rPr>
        <w:t xml:space="preserve"> </w:t>
      </w:r>
      <w:r w:rsidR="006571A5" w:rsidRPr="006571A5">
        <w:rPr>
          <w:rtl/>
        </w:rPr>
        <w:t>على</w:t>
      </w:r>
      <w:r w:rsidR="006571A5">
        <w:rPr>
          <w:rtl/>
        </w:rPr>
        <w:t xml:space="preserve"> </w:t>
      </w:r>
      <w:r w:rsidR="006571A5" w:rsidRPr="006571A5">
        <w:rPr>
          <w:rtl/>
        </w:rPr>
        <w:t>ملاحظات</w:t>
      </w:r>
      <w:r w:rsidR="006571A5">
        <w:rPr>
          <w:rtl/>
        </w:rPr>
        <w:t xml:space="preserve"> </w:t>
      </w:r>
      <w:r w:rsidR="006571A5" w:rsidRPr="006571A5">
        <w:rPr>
          <w:rtl/>
        </w:rPr>
        <w:t>الدولة</w:t>
      </w:r>
      <w:r w:rsidR="006571A5">
        <w:rPr>
          <w:rtl/>
        </w:rPr>
        <w:t xml:space="preserve"> </w:t>
      </w:r>
      <w:r w:rsidR="006571A5" w:rsidRPr="006571A5">
        <w:rPr>
          <w:rtl/>
        </w:rPr>
        <w:t>الطرف</w:t>
      </w:r>
      <w:r w:rsidR="006571A5">
        <w:rPr>
          <w:rtl/>
        </w:rPr>
        <w:t xml:space="preserve"> </w:t>
      </w:r>
      <w:r w:rsidR="006571A5" w:rsidRPr="006571A5">
        <w:rPr>
          <w:rtl/>
        </w:rPr>
        <w:t>بشأن</w:t>
      </w:r>
      <w:r w:rsidR="006571A5">
        <w:rPr>
          <w:rtl/>
        </w:rPr>
        <w:t xml:space="preserve"> </w:t>
      </w:r>
      <w:r w:rsidR="006571A5" w:rsidRPr="006571A5">
        <w:rPr>
          <w:rtl/>
        </w:rPr>
        <w:t>المقبولية</w:t>
      </w:r>
      <w:r w:rsidR="006571A5">
        <w:rPr>
          <w:rtl/>
        </w:rPr>
        <w:t xml:space="preserve"> </w:t>
      </w:r>
      <w:r w:rsidR="006571A5" w:rsidRPr="006571A5">
        <w:rPr>
          <w:rtl/>
        </w:rPr>
        <w:t>والأسس</w:t>
      </w:r>
      <w:r w:rsidR="006571A5">
        <w:rPr>
          <w:rtl/>
        </w:rPr>
        <w:t xml:space="preserve"> </w:t>
      </w:r>
      <w:r w:rsidR="006571A5" w:rsidRPr="006571A5">
        <w:rPr>
          <w:rtl/>
        </w:rPr>
        <w:t>الموضوعية</w:t>
      </w:r>
    </w:p>
    <w:p w14:paraId="2B441E80" w14:textId="18A83B45" w:rsidR="006571A5" w:rsidRPr="006571A5" w:rsidRDefault="006571A5" w:rsidP="006571A5">
      <w:pPr>
        <w:pStyle w:val="SingleTxt"/>
        <w:rPr>
          <w:rtl/>
        </w:rPr>
      </w:pPr>
      <w:r w:rsidRPr="006571A5">
        <w:rPr>
          <w:rtl/>
        </w:rPr>
        <w:t>5-1</w:t>
      </w:r>
      <w:r w:rsidRPr="006571A5">
        <w:rPr>
          <w:rtl/>
        </w:rPr>
        <w:tab/>
        <w:t>قدم</w:t>
      </w:r>
      <w:r>
        <w:rPr>
          <w:rtl/>
        </w:rPr>
        <w:t xml:space="preserve"> </w:t>
      </w:r>
      <w:r w:rsidRPr="006571A5">
        <w:rPr>
          <w:rtl/>
        </w:rPr>
        <w:t>محامي</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تعليقات</w:t>
      </w:r>
      <w:r>
        <w:rPr>
          <w:rtl/>
        </w:rPr>
        <w:t xml:space="preserve"> </w:t>
      </w:r>
      <w:r w:rsidRPr="006571A5">
        <w:rPr>
          <w:rtl/>
        </w:rPr>
        <w:t>في</w:t>
      </w:r>
      <w:r>
        <w:rPr>
          <w:rtl/>
        </w:rPr>
        <w:t xml:space="preserve"> </w:t>
      </w:r>
      <w:r w:rsidRPr="006571A5">
        <w:rPr>
          <w:rtl/>
        </w:rPr>
        <w:t>هذا</w:t>
      </w:r>
      <w:r>
        <w:rPr>
          <w:rtl/>
        </w:rPr>
        <w:t xml:space="preserve"> </w:t>
      </w:r>
      <w:r w:rsidRPr="006571A5">
        <w:rPr>
          <w:rtl/>
        </w:rPr>
        <w:t>الشأن</w:t>
      </w:r>
      <w:r>
        <w:rPr>
          <w:rtl/>
        </w:rPr>
        <w:t xml:space="preserve"> </w:t>
      </w:r>
      <w:r w:rsidRPr="006571A5">
        <w:rPr>
          <w:rtl/>
        </w:rPr>
        <w:t>في</w:t>
      </w:r>
      <w:r>
        <w:rPr>
          <w:rtl/>
        </w:rPr>
        <w:t xml:space="preserve"> </w:t>
      </w:r>
      <w:r w:rsidRPr="006571A5">
        <w:rPr>
          <w:rtl/>
        </w:rPr>
        <w:t>27</w:t>
      </w:r>
      <w:r>
        <w:rPr>
          <w:rtl/>
        </w:rPr>
        <w:t xml:space="preserve"> </w:t>
      </w:r>
      <w:r w:rsidRPr="006571A5">
        <w:rPr>
          <w:rtl/>
        </w:rPr>
        <w:t>أيار/مايو</w:t>
      </w:r>
      <w:r>
        <w:rPr>
          <w:rtl/>
        </w:rPr>
        <w:t xml:space="preserve"> </w:t>
      </w:r>
      <w:r w:rsidRPr="006571A5">
        <w:rPr>
          <w:rtl/>
        </w:rPr>
        <w:t>2016.</w:t>
      </w:r>
      <w:r>
        <w:rPr>
          <w:rtl/>
        </w:rPr>
        <w:t xml:space="preserve"> </w:t>
      </w:r>
      <w:r w:rsidRPr="006571A5">
        <w:rPr>
          <w:rtl/>
        </w:rPr>
        <w:t>ويشير</w:t>
      </w:r>
      <w:r>
        <w:rPr>
          <w:rtl/>
        </w:rPr>
        <w:t xml:space="preserve"> </w:t>
      </w:r>
      <w:r w:rsidRPr="006571A5">
        <w:rPr>
          <w:rtl/>
        </w:rPr>
        <w:t>أولا</w:t>
      </w:r>
      <w:r>
        <w:rPr>
          <w:rtl/>
        </w:rPr>
        <w:t xml:space="preserve"> </w:t>
      </w:r>
      <w:r w:rsidRPr="006571A5">
        <w:rPr>
          <w:rtl/>
        </w:rPr>
        <w:t>إلى</w:t>
      </w:r>
      <w:r>
        <w:rPr>
          <w:rtl/>
        </w:rPr>
        <w:t xml:space="preserve"> </w:t>
      </w:r>
      <w:r w:rsidRPr="006571A5">
        <w:rPr>
          <w:rtl/>
        </w:rPr>
        <w:t>ملاحظة</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على</w:t>
      </w:r>
      <w:r>
        <w:rPr>
          <w:rtl/>
        </w:rPr>
        <w:t xml:space="preserve"> </w:t>
      </w:r>
      <w:r w:rsidRPr="006571A5">
        <w:rPr>
          <w:rtl/>
        </w:rPr>
        <w:t>إثبات</w:t>
      </w:r>
      <w:r>
        <w:rPr>
          <w:rtl/>
        </w:rPr>
        <w:t xml:space="preserve"> </w:t>
      </w:r>
      <w:r w:rsidRPr="006571A5">
        <w:rPr>
          <w:rtl/>
        </w:rPr>
        <w:t>وجاهة</w:t>
      </w:r>
      <w:r>
        <w:rPr>
          <w:rtl/>
        </w:rPr>
        <w:t xml:space="preserve"> </w:t>
      </w:r>
      <w:r w:rsidRPr="006571A5">
        <w:rPr>
          <w:rtl/>
        </w:rPr>
        <w:t>الرسالة</w:t>
      </w:r>
      <w:r>
        <w:rPr>
          <w:rtl/>
        </w:rPr>
        <w:t xml:space="preserve"> </w:t>
      </w:r>
      <w:r w:rsidRPr="006571A5">
        <w:rPr>
          <w:rtl/>
        </w:rPr>
        <w:t>ويدعي</w:t>
      </w:r>
      <w:r>
        <w:rPr>
          <w:rtl/>
        </w:rPr>
        <w:t xml:space="preserve"> </w:t>
      </w:r>
      <w:r w:rsidRPr="006571A5">
        <w:rPr>
          <w:rtl/>
        </w:rPr>
        <w:t>أن</w:t>
      </w:r>
      <w:r>
        <w:rPr>
          <w:rtl/>
        </w:rPr>
        <w:t xml:space="preserve"> </w:t>
      </w:r>
      <w:r w:rsidRPr="006571A5">
        <w:rPr>
          <w:rtl/>
        </w:rPr>
        <w:t>هذه</w:t>
      </w:r>
      <w:r>
        <w:rPr>
          <w:rtl/>
        </w:rPr>
        <w:t xml:space="preserve"> </w:t>
      </w:r>
      <w:r w:rsidRPr="006571A5">
        <w:rPr>
          <w:rtl/>
        </w:rPr>
        <w:t>المسألة</w:t>
      </w:r>
      <w:r>
        <w:rPr>
          <w:rtl/>
        </w:rPr>
        <w:t xml:space="preserve"> </w:t>
      </w:r>
      <w:r w:rsidRPr="006571A5">
        <w:rPr>
          <w:rtl/>
        </w:rPr>
        <w:t>تبدو</w:t>
      </w:r>
      <w:r>
        <w:rPr>
          <w:rtl/>
        </w:rPr>
        <w:t xml:space="preserve"> </w:t>
      </w:r>
      <w:r w:rsidRPr="006571A5">
        <w:rPr>
          <w:rtl/>
        </w:rPr>
        <w:t>مرتبطة</w:t>
      </w:r>
      <w:r>
        <w:rPr>
          <w:rtl/>
        </w:rPr>
        <w:t xml:space="preserve"> </w:t>
      </w:r>
      <w:r w:rsidRPr="006571A5">
        <w:rPr>
          <w:rtl/>
        </w:rPr>
        <w:t>ارتباطا</w:t>
      </w:r>
      <w:r>
        <w:rPr>
          <w:rtl/>
        </w:rPr>
        <w:t xml:space="preserve"> </w:t>
      </w:r>
      <w:r w:rsidRPr="006571A5">
        <w:rPr>
          <w:rtl/>
        </w:rPr>
        <w:t>وثيقا</w:t>
      </w:r>
      <w:r>
        <w:rPr>
          <w:rtl/>
        </w:rPr>
        <w:t xml:space="preserve"> </w:t>
      </w:r>
      <w:r w:rsidRPr="006571A5">
        <w:rPr>
          <w:rtl/>
        </w:rPr>
        <w:t>بالأسس</w:t>
      </w:r>
      <w:r>
        <w:rPr>
          <w:rtl/>
        </w:rPr>
        <w:t xml:space="preserve"> </w:t>
      </w:r>
      <w:r w:rsidRPr="006571A5">
        <w:rPr>
          <w:rtl/>
        </w:rPr>
        <w:t>الموضوعية</w:t>
      </w:r>
      <w:r>
        <w:rPr>
          <w:rtl/>
        </w:rPr>
        <w:t xml:space="preserve"> </w:t>
      </w:r>
      <w:r w:rsidRPr="006571A5">
        <w:rPr>
          <w:rtl/>
        </w:rPr>
        <w:t>للقضية.</w:t>
      </w:r>
      <w:r>
        <w:rPr>
          <w:rtl/>
        </w:rPr>
        <w:t xml:space="preserve"> </w:t>
      </w:r>
      <w:r w:rsidRPr="006571A5">
        <w:rPr>
          <w:rtl/>
        </w:rPr>
        <w:t>وهو</w:t>
      </w:r>
      <w:r>
        <w:rPr>
          <w:rtl/>
        </w:rPr>
        <w:t xml:space="preserve"> </w:t>
      </w:r>
      <w:r w:rsidRPr="006571A5">
        <w:rPr>
          <w:rtl/>
        </w:rPr>
        <w:t>يعترض</w:t>
      </w:r>
      <w:r>
        <w:rPr>
          <w:rtl/>
        </w:rPr>
        <w:t xml:space="preserve"> </w:t>
      </w:r>
      <w:r w:rsidRPr="006571A5">
        <w:rPr>
          <w:rtl/>
        </w:rPr>
        <w:t>على</w:t>
      </w:r>
      <w:r>
        <w:rPr>
          <w:rtl/>
        </w:rPr>
        <w:t xml:space="preserve"> </w:t>
      </w:r>
      <w:r w:rsidRPr="006571A5">
        <w:rPr>
          <w:rtl/>
        </w:rPr>
        <w:t>دفع</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بأن</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لم</w:t>
      </w:r>
      <w:r>
        <w:rPr>
          <w:rtl/>
        </w:rPr>
        <w:t xml:space="preserve"> </w:t>
      </w:r>
      <w:r w:rsidRPr="006571A5">
        <w:rPr>
          <w:rtl/>
        </w:rPr>
        <w:t>تثبت</w:t>
      </w:r>
      <w:r>
        <w:rPr>
          <w:rtl/>
        </w:rPr>
        <w:t xml:space="preserve"> </w:t>
      </w:r>
      <w:r w:rsidRPr="006571A5">
        <w:rPr>
          <w:rtl/>
        </w:rPr>
        <w:t>وجود</w:t>
      </w:r>
      <w:r>
        <w:rPr>
          <w:rtl/>
        </w:rPr>
        <w:t xml:space="preserve"> </w:t>
      </w:r>
      <w:r w:rsidRPr="006571A5">
        <w:rPr>
          <w:rtl/>
        </w:rPr>
        <w:lastRenderedPageBreak/>
        <w:t>دعوى</w:t>
      </w:r>
      <w:r>
        <w:rPr>
          <w:rtl/>
        </w:rPr>
        <w:t xml:space="preserve"> </w:t>
      </w:r>
      <w:r w:rsidRPr="006571A5">
        <w:rPr>
          <w:rtl/>
        </w:rPr>
        <w:t>ظاهرة</w:t>
      </w:r>
      <w:r>
        <w:rPr>
          <w:rtl/>
        </w:rPr>
        <w:t xml:space="preserve"> </w:t>
      </w:r>
      <w:r w:rsidRPr="006571A5">
        <w:rPr>
          <w:rtl/>
        </w:rPr>
        <w:t>الوجاهة</w:t>
      </w:r>
      <w:r>
        <w:rPr>
          <w:rtl/>
        </w:rPr>
        <w:t xml:space="preserve"> </w:t>
      </w:r>
      <w:r w:rsidRPr="006571A5">
        <w:rPr>
          <w:rtl/>
        </w:rPr>
        <w:t>لأغراض</w:t>
      </w:r>
      <w:r>
        <w:rPr>
          <w:rtl/>
        </w:rPr>
        <w:t xml:space="preserve"> </w:t>
      </w:r>
      <w:r w:rsidRPr="006571A5">
        <w:rPr>
          <w:rtl/>
        </w:rPr>
        <w:t>المقبولية</w:t>
      </w:r>
      <w:r>
        <w:rPr>
          <w:rtl/>
        </w:rPr>
        <w:t xml:space="preserve"> </w:t>
      </w:r>
      <w:r w:rsidRPr="006571A5">
        <w:rPr>
          <w:rtl/>
        </w:rPr>
        <w:t>بموجب</w:t>
      </w:r>
      <w:r>
        <w:rPr>
          <w:rtl/>
        </w:rPr>
        <w:t xml:space="preserve"> </w:t>
      </w:r>
      <w:r w:rsidRPr="006571A5">
        <w:rPr>
          <w:rtl/>
        </w:rPr>
        <w:t>الاتفاقية،</w:t>
      </w:r>
      <w:r>
        <w:rPr>
          <w:rtl/>
        </w:rPr>
        <w:t xml:space="preserve"> </w:t>
      </w:r>
      <w:r w:rsidRPr="006571A5">
        <w:rPr>
          <w:rtl/>
        </w:rPr>
        <w:t>وبأنه</w:t>
      </w:r>
      <w:r>
        <w:rPr>
          <w:rtl/>
        </w:rPr>
        <w:t xml:space="preserve"> </w:t>
      </w:r>
      <w:r w:rsidRPr="006571A5">
        <w:rPr>
          <w:rtl/>
        </w:rPr>
        <w:t>لا</w:t>
      </w:r>
      <w:r>
        <w:rPr>
          <w:rtl/>
        </w:rPr>
        <w:t xml:space="preserve"> </w:t>
      </w:r>
      <w:r w:rsidRPr="006571A5">
        <w:rPr>
          <w:rtl/>
        </w:rPr>
        <w:t>توجد</w:t>
      </w:r>
      <w:r>
        <w:rPr>
          <w:rtl/>
        </w:rPr>
        <w:t xml:space="preserve"> </w:t>
      </w:r>
      <w:r w:rsidRPr="006571A5">
        <w:rPr>
          <w:rtl/>
        </w:rPr>
        <w:t>أسباب</w:t>
      </w:r>
      <w:r>
        <w:rPr>
          <w:rtl/>
        </w:rPr>
        <w:t xml:space="preserve"> </w:t>
      </w:r>
      <w:r w:rsidRPr="006571A5">
        <w:rPr>
          <w:rtl/>
        </w:rPr>
        <w:t>وجيهة</w:t>
      </w:r>
      <w:r>
        <w:rPr>
          <w:rtl/>
        </w:rPr>
        <w:t xml:space="preserve"> </w:t>
      </w:r>
      <w:r w:rsidRPr="006571A5">
        <w:rPr>
          <w:rtl/>
        </w:rPr>
        <w:t>تدعو</w:t>
      </w:r>
      <w:r>
        <w:rPr>
          <w:rtl/>
        </w:rPr>
        <w:t xml:space="preserve"> </w:t>
      </w:r>
      <w:r w:rsidRPr="006571A5">
        <w:rPr>
          <w:rtl/>
        </w:rPr>
        <w:t>إلى</w:t>
      </w:r>
      <w:r>
        <w:rPr>
          <w:rtl/>
        </w:rPr>
        <w:t xml:space="preserve"> </w:t>
      </w:r>
      <w:r w:rsidRPr="006571A5">
        <w:rPr>
          <w:rtl/>
        </w:rPr>
        <w:t>الاعتقاد</w:t>
      </w:r>
      <w:r>
        <w:rPr>
          <w:rtl/>
        </w:rPr>
        <w:t xml:space="preserve"> </w:t>
      </w:r>
      <w:r w:rsidRPr="006571A5">
        <w:rPr>
          <w:rtl/>
        </w:rPr>
        <w:t>بأن</w:t>
      </w:r>
      <w:r>
        <w:rPr>
          <w:rtl/>
        </w:rPr>
        <w:t xml:space="preserve"> </w:t>
      </w:r>
      <w:r w:rsidRPr="006571A5">
        <w:rPr>
          <w:rtl/>
        </w:rPr>
        <w:t>إعادتها</w:t>
      </w:r>
      <w:r>
        <w:rPr>
          <w:rtl/>
        </w:rPr>
        <w:t xml:space="preserve"> </w:t>
      </w:r>
      <w:r w:rsidRPr="006571A5">
        <w:rPr>
          <w:rtl/>
        </w:rPr>
        <w:t>إلى</w:t>
      </w:r>
      <w:r>
        <w:rPr>
          <w:rtl/>
        </w:rPr>
        <w:t xml:space="preserve"> </w:t>
      </w:r>
      <w:r w:rsidRPr="006571A5">
        <w:rPr>
          <w:rtl/>
        </w:rPr>
        <w:t>الصومال</w:t>
      </w:r>
      <w:r>
        <w:rPr>
          <w:rtl/>
        </w:rPr>
        <w:t xml:space="preserve"> </w:t>
      </w:r>
      <w:r w:rsidRPr="006571A5">
        <w:rPr>
          <w:rtl/>
        </w:rPr>
        <w:t>ستكون</w:t>
      </w:r>
      <w:r>
        <w:rPr>
          <w:rtl/>
        </w:rPr>
        <w:t xml:space="preserve"> </w:t>
      </w:r>
      <w:r w:rsidRPr="006571A5">
        <w:rPr>
          <w:rtl/>
        </w:rPr>
        <w:t>انتهاكا</w:t>
      </w:r>
      <w:r>
        <w:rPr>
          <w:rtl/>
        </w:rPr>
        <w:t xml:space="preserve"> </w:t>
      </w:r>
      <w:r w:rsidRPr="006571A5">
        <w:rPr>
          <w:rtl/>
        </w:rPr>
        <w:t>للاتفاقية.</w:t>
      </w:r>
    </w:p>
    <w:p w14:paraId="6F52D456" w14:textId="6FD69CE9" w:rsidR="006571A5" w:rsidRPr="006571A5" w:rsidRDefault="006571A5" w:rsidP="006571A5">
      <w:pPr>
        <w:pStyle w:val="SingleTxt"/>
        <w:rPr>
          <w:rtl/>
        </w:rPr>
      </w:pPr>
      <w:r w:rsidRPr="006571A5">
        <w:rPr>
          <w:rtl/>
        </w:rPr>
        <w:t>5-2</w:t>
      </w:r>
      <w:r w:rsidRPr="006571A5">
        <w:rPr>
          <w:rtl/>
        </w:rPr>
        <w:tab/>
        <w:t>ويدفع</w:t>
      </w:r>
      <w:r>
        <w:rPr>
          <w:rtl/>
        </w:rPr>
        <w:t xml:space="preserve"> </w:t>
      </w:r>
      <w:r w:rsidRPr="006571A5">
        <w:rPr>
          <w:rtl/>
        </w:rPr>
        <w:t>المحامي</w:t>
      </w:r>
      <w:r>
        <w:rPr>
          <w:rtl/>
        </w:rPr>
        <w:t xml:space="preserve"> </w:t>
      </w:r>
      <w:r w:rsidRPr="006571A5">
        <w:rPr>
          <w:rtl/>
        </w:rPr>
        <w:t>بأن</w:t>
      </w:r>
      <w:r>
        <w:rPr>
          <w:rtl/>
        </w:rPr>
        <w:t xml:space="preserve"> </w:t>
      </w:r>
      <w:r w:rsidRPr="006571A5">
        <w:rPr>
          <w:rtl/>
        </w:rPr>
        <w:t>شرط</w:t>
      </w:r>
      <w:r>
        <w:rPr>
          <w:rtl/>
        </w:rPr>
        <w:t xml:space="preserve"> </w:t>
      </w:r>
      <w:r w:rsidRPr="006571A5">
        <w:rPr>
          <w:rtl/>
        </w:rPr>
        <w:t>الوجاهة</w:t>
      </w:r>
      <w:r>
        <w:rPr>
          <w:rtl/>
        </w:rPr>
        <w:t xml:space="preserve"> </w:t>
      </w:r>
      <w:r w:rsidRPr="006571A5">
        <w:rPr>
          <w:rtl/>
        </w:rPr>
        <w:t>تستوفيه</w:t>
      </w:r>
      <w:r>
        <w:rPr>
          <w:rtl/>
        </w:rPr>
        <w:t xml:space="preserve"> </w:t>
      </w:r>
      <w:r w:rsidRPr="006571A5">
        <w:rPr>
          <w:rtl/>
        </w:rPr>
        <w:t>أن</w:t>
      </w:r>
      <w:r>
        <w:rPr>
          <w:rtl/>
        </w:rPr>
        <w:t xml:space="preserve"> </w:t>
      </w:r>
      <w:r w:rsidRPr="006571A5">
        <w:rPr>
          <w:rtl/>
        </w:rPr>
        <w:t>إعادة</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قسرا</w:t>
      </w:r>
      <w:r>
        <w:rPr>
          <w:rtl/>
        </w:rPr>
        <w:t xml:space="preserve"> </w:t>
      </w:r>
      <w:r w:rsidRPr="006571A5">
        <w:rPr>
          <w:rtl/>
        </w:rPr>
        <w:t>ستجعلُها</w:t>
      </w:r>
      <w:r>
        <w:rPr>
          <w:rtl/>
        </w:rPr>
        <w:t xml:space="preserve"> </w:t>
      </w:r>
      <w:r w:rsidRPr="006571A5">
        <w:rPr>
          <w:rtl/>
        </w:rPr>
        <w:t>في</w:t>
      </w:r>
      <w:r>
        <w:rPr>
          <w:rtl/>
        </w:rPr>
        <w:t xml:space="preserve"> </w:t>
      </w:r>
      <w:r w:rsidRPr="006571A5">
        <w:rPr>
          <w:rtl/>
        </w:rPr>
        <w:t>وضع</w:t>
      </w:r>
      <w:r>
        <w:rPr>
          <w:rtl/>
        </w:rPr>
        <w:t xml:space="preserve"> </w:t>
      </w:r>
      <w:r w:rsidRPr="006571A5">
        <w:rPr>
          <w:rtl/>
        </w:rPr>
        <w:t>حيث</w:t>
      </w:r>
      <w:r>
        <w:rPr>
          <w:rtl/>
        </w:rPr>
        <w:t xml:space="preserve"> </w:t>
      </w:r>
      <w:r w:rsidRPr="006571A5">
        <w:rPr>
          <w:rtl/>
        </w:rPr>
        <w:t>سلامتها</w:t>
      </w:r>
      <w:r>
        <w:rPr>
          <w:rtl/>
        </w:rPr>
        <w:t xml:space="preserve"> </w:t>
      </w:r>
      <w:r w:rsidRPr="006571A5">
        <w:rPr>
          <w:rtl/>
        </w:rPr>
        <w:t>البدنية</w:t>
      </w:r>
      <w:r>
        <w:rPr>
          <w:rtl/>
        </w:rPr>
        <w:t xml:space="preserve"> </w:t>
      </w:r>
      <w:r w:rsidRPr="006571A5">
        <w:rPr>
          <w:rtl/>
        </w:rPr>
        <w:t>وحياتها</w:t>
      </w:r>
      <w:r>
        <w:rPr>
          <w:rtl/>
        </w:rPr>
        <w:t xml:space="preserve"> </w:t>
      </w:r>
      <w:r w:rsidRPr="006571A5">
        <w:rPr>
          <w:rtl/>
        </w:rPr>
        <w:t>في</w:t>
      </w:r>
      <w:r>
        <w:rPr>
          <w:rtl/>
        </w:rPr>
        <w:t xml:space="preserve"> </w:t>
      </w:r>
      <w:r w:rsidRPr="006571A5">
        <w:rPr>
          <w:rtl/>
        </w:rPr>
        <w:t>خطر</w:t>
      </w:r>
      <w:r>
        <w:rPr>
          <w:rtl/>
        </w:rPr>
        <w:t xml:space="preserve"> </w:t>
      </w:r>
      <w:r w:rsidRPr="006571A5">
        <w:rPr>
          <w:rtl/>
        </w:rPr>
        <w:t>بيّن.</w:t>
      </w:r>
      <w:r>
        <w:rPr>
          <w:rtl/>
        </w:rPr>
        <w:t xml:space="preserve"> </w:t>
      </w:r>
      <w:r w:rsidRPr="006571A5">
        <w:rPr>
          <w:rtl/>
        </w:rPr>
        <w:t>ولدعم</w:t>
      </w:r>
      <w:r>
        <w:rPr>
          <w:rtl/>
        </w:rPr>
        <w:t xml:space="preserve"> </w:t>
      </w:r>
      <w:r w:rsidRPr="006571A5">
        <w:rPr>
          <w:rtl/>
        </w:rPr>
        <w:t>حجته،</w:t>
      </w:r>
      <w:r>
        <w:rPr>
          <w:rtl/>
        </w:rPr>
        <w:t xml:space="preserve"> </w:t>
      </w:r>
      <w:r w:rsidRPr="006571A5">
        <w:rPr>
          <w:rtl/>
        </w:rPr>
        <w:t>يُحيل</w:t>
      </w:r>
      <w:r>
        <w:rPr>
          <w:rtl/>
        </w:rPr>
        <w:t xml:space="preserve"> </w:t>
      </w:r>
      <w:r w:rsidRPr="006571A5">
        <w:rPr>
          <w:rtl/>
        </w:rPr>
        <w:t>إلى</w:t>
      </w:r>
      <w:r>
        <w:rPr>
          <w:rtl/>
        </w:rPr>
        <w:t xml:space="preserve"> </w:t>
      </w:r>
      <w:r w:rsidRPr="006571A5">
        <w:rPr>
          <w:rtl/>
        </w:rPr>
        <w:t>الحكم</w:t>
      </w:r>
      <w:r>
        <w:rPr>
          <w:rtl/>
        </w:rPr>
        <w:t xml:space="preserve"> </w:t>
      </w:r>
      <w:r w:rsidRPr="006571A5">
        <w:rPr>
          <w:rtl/>
        </w:rPr>
        <w:t>الذي</w:t>
      </w:r>
      <w:r>
        <w:rPr>
          <w:rtl/>
        </w:rPr>
        <w:t xml:space="preserve"> </w:t>
      </w:r>
      <w:r w:rsidRPr="006571A5">
        <w:rPr>
          <w:rtl/>
        </w:rPr>
        <w:t>أصدرته</w:t>
      </w:r>
      <w:r>
        <w:rPr>
          <w:rtl/>
        </w:rPr>
        <w:t xml:space="preserve"> </w:t>
      </w:r>
      <w:r w:rsidRPr="006571A5">
        <w:rPr>
          <w:rtl/>
        </w:rPr>
        <w:t>المحكمة</w:t>
      </w:r>
      <w:r>
        <w:rPr>
          <w:rtl/>
        </w:rPr>
        <w:t xml:space="preserve"> </w:t>
      </w:r>
      <w:r w:rsidRPr="006571A5">
        <w:rPr>
          <w:rtl/>
        </w:rPr>
        <w:t>الأوروبية</w:t>
      </w:r>
      <w:r>
        <w:rPr>
          <w:rtl/>
        </w:rPr>
        <w:t xml:space="preserve"> </w:t>
      </w:r>
      <w:r w:rsidRPr="006571A5">
        <w:rPr>
          <w:rtl/>
        </w:rPr>
        <w:t>لحقوق</w:t>
      </w:r>
      <w:r>
        <w:rPr>
          <w:rtl/>
        </w:rPr>
        <w:t xml:space="preserve"> </w:t>
      </w:r>
      <w:r w:rsidRPr="006571A5">
        <w:rPr>
          <w:rtl/>
        </w:rPr>
        <w:t>الإنسان</w:t>
      </w:r>
      <w:r>
        <w:rPr>
          <w:rtl/>
        </w:rPr>
        <w:t xml:space="preserve"> </w:t>
      </w:r>
      <w:r w:rsidRPr="006571A5">
        <w:rPr>
          <w:rtl/>
        </w:rPr>
        <w:t>في</w:t>
      </w:r>
      <w:r>
        <w:rPr>
          <w:rtl/>
        </w:rPr>
        <w:t xml:space="preserve"> </w:t>
      </w:r>
      <w:r w:rsidRPr="006571A5">
        <w:rPr>
          <w:rtl/>
        </w:rPr>
        <w:t>قضية</w:t>
      </w:r>
      <w:r>
        <w:rPr>
          <w:rtl/>
        </w:rPr>
        <w:t xml:space="preserve"> </w:t>
      </w:r>
      <w:r w:rsidRPr="006571A5">
        <w:rPr>
          <w:i/>
          <w:iCs/>
          <w:rtl/>
        </w:rPr>
        <w:t>ر</w:t>
      </w:r>
      <w:r w:rsidRPr="006571A5">
        <w:rPr>
          <w:rtl/>
        </w:rPr>
        <w:t>.</w:t>
      </w:r>
      <w:r>
        <w:rPr>
          <w:rtl/>
        </w:rPr>
        <w:t xml:space="preserve"> </w:t>
      </w:r>
      <w:r w:rsidRPr="006571A5">
        <w:rPr>
          <w:rtl/>
        </w:rPr>
        <w:t>ه.</w:t>
      </w:r>
      <w:r>
        <w:rPr>
          <w:rtl/>
        </w:rPr>
        <w:t xml:space="preserve"> </w:t>
      </w:r>
      <w:r w:rsidRPr="006571A5">
        <w:rPr>
          <w:i/>
          <w:iCs/>
          <w:rtl/>
        </w:rPr>
        <w:t>ضد</w:t>
      </w:r>
      <w:r>
        <w:rPr>
          <w:i/>
          <w:iCs/>
          <w:rtl/>
        </w:rPr>
        <w:t xml:space="preserve"> </w:t>
      </w:r>
      <w:r w:rsidRPr="006571A5">
        <w:rPr>
          <w:i/>
          <w:iCs/>
          <w:rtl/>
        </w:rPr>
        <w:t>السويد</w:t>
      </w:r>
      <w:r w:rsidRPr="006571A5">
        <w:rPr>
          <w:rtl/>
        </w:rPr>
        <w:t>،</w:t>
      </w:r>
      <w:r>
        <w:rPr>
          <w:rtl/>
        </w:rPr>
        <w:t xml:space="preserve"> </w:t>
      </w:r>
      <w:r w:rsidRPr="006571A5">
        <w:rPr>
          <w:rtl/>
        </w:rPr>
        <w:t>وإلى</w:t>
      </w:r>
      <w:r>
        <w:rPr>
          <w:rtl/>
        </w:rPr>
        <w:t xml:space="preserve"> </w:t>
      </w:r>
      <w:r w:rsidRPr="006571A5">
        <w:rPr>
          <w:rtl/>
        </w:rPr>
        <w:t>الحكم</w:t>
      </w:r>
      <w:r>
        <w:rPr>
          <w:rtl/>
        </w:rPr>
        <w:t xml:space="preserve"> </w:t>
      </w:r>
      <w:r w:rsidRPr="006571A5">
        <w:rPr>
          <w:rtl/>
        </w:rPr>
        <w:t>الذي</w:t>
      </w:r>
      <w:r>
        <w:rPr>
          <w:rtl/>
        </w:rPr>
        <w:t xml:space="preserve"> </w:t>
      </w:r>
      <w:r w:rsidRPr="006571A5">
        <w:rPr>
          <w:rtl/>
        </w:rPr>
        <w:t>أصدرته</w:t>
      </w:r>
      <w:r>
        <w:rPr>
          <w:rtl/>
        </w:rPr>
        <w:t xml:space="preserve"> </w:t>
      </w:r>
      <w:r w:rsidRPr="006571A5">
        <w:rPr>
          <w:rtl/>
        </w:rPr>
        <w:t>في</w:t>
      </w:r>
      <w:r>
        <w:rPr>
          <w:rtl/>
        </w:rPr>
        <w:t xml:space="preserve"> </w:t>
      </w:r>
      <w:r w:rsidRPr="006571A5">
        <w:rPr>
          <w:rtl/>
        </w:rPr>
        <w:t>قضية</w:t>
      </w:r>
      <w:r>
        <w:rPr>
          <w:rtl/>
        </w:rPr>
        <w:t xml:space="preserve"> </w:t>
      </w:r>
      <w:proofErr w:type="spellStart"/>
      <w:r w:rsidRPr="006571A5">
        <w:rPr>
          <w:i/>
          <w:iCs/>
          <w:rtl/>
        </w:rPr>
        <w:t>تَراخِل</w:t>
      </w:r>
      <w:proofErr w:type="spellEnd"/>
      <w:r>
        <w:rPr>
          <w:i/>
          <w:iCs/>
          <w:rtl/>
        </w:rPr>
        <w:t xml:space="preserve"> </w:t>
      </w:r>
      <w:r w:rsidRPr="006571A5">
        <w:rPr>
          <w:i/>
          <w:iCs/>
          <w:rtl/>
        </w:rPr>
        <w:t>ضد</w:t>
      </w:r>
      <w:r>
        <w:rPr>
          <w:i/>
          <w:iCs/>
          <w:rtl/>
        </w:rPr>
        <w:t xml:space="preserve"> </w:t>
      </w:r>
      <w:r w:rsidRPr="006571A5">
        <w:rPr>
          <w:i/>
          <w:iCs/>
          <w:rtl/>
        </w:rPr>
        <w:t>سويسرا</w:t>
      </w:r>
      <w:r w:rsidR="004B1017" w:rsidRPr="004B1017">
        <w:rPr>
          <w:szCs w:val="30"/>
          <w:vertAlign w:val="superscript"/>
          <w:rtl/>
        </w:rPr>
        <w:t>(</w:t>
      </w:r>
      <w:r w:rsidR="004B1017" w:rsidRPr="004B1017">
        <w:rPr>
          <w:rStyle w:val="FootnoteReference"/>
          <w:szCs w:val="30"/>
          <w:rtl/>
        </w:rPr>
        <w:footnoteReference w:id="6"/>
      </w:r>
      <w:r w:rsidR="004B1017" w:rsidRPr="004B1017">
        <w:rPr>
          <w:szCs w:val="30"/>
          <w:vertAlign w:val="superscript"/>
          <w:rtl/>
        </w:rPr>
        <w:t>)</w:t>
      </w:r>
      <w:r>
        <w:rPr>
          <w:rtl/>
        </w:rPr>
        <w:t xml:space="preserve"> </w:t>
      </w:r>
      <w:r w:rsidRPr="006571A5">
        <w:rPr>
          <w:rtl/>
        </w:rPr>
        <w:t>واللذين</w:t>
      </w:r>
      <w:r>
        <w:rPr>
          <w:rtl/>
        </w:rPr>
        <w:t xml:space="preserve"> </w:t>
      </w:r>
      <w:r w:rsidRPr="006571A5">
        <w:rPr>
          <w:rtl/>
        </w:rPr>
        <w:t>خلصت</w:t>
      </w:r>
      <w:r>
        <w:rPr>
          <w:rtl/>
        </w:rPr>
        <w:t xml:space="preserve"> </w:t>
      </w:r>
      <w:r w:rsidRPr="006571A5">
        <w:rPr>
          <w:rtl/>
        </w:rPr>
        <w:t>فيهما</w:t>
      </w:r>
      <w:r>
        <w:rPr>
          <w:rtl/>
        </w:rPr>
        <w:t xml:space="preserve"> </w:t>
      </w:r>
      <w:r w:rsidRPr="006571A5">
        <w:rPr>
          <w:rtl/>
        </w:rPr>
        <w:t>إلى</w:t>
      </w:r>
      <w:r>
        <w:rPr>
          <w:rtl/>
        </w:rPr>
        <w:t xml:space="preserve"> </w:t>
      </w:r>
      <w:r w:rsidRPr="006571A5">
        <w:rPr>
          <w:rtl/>
        </w:rPr>
        <w:t>أن</w:t>
      </w:r>
      <w:r>
        <w:rPr>
          <w:rtl/>
        </w:rPr>
        <w:t xml:space="preserve"> </w:t>
      </w:r>
      <w:r w:rsidRPr="006571A5">
        <w:rPr>
          <w:rtl/>
        </w:rPr>
        <w:t>عودة</w:t>
      </w:r>
      <w:r>
        <w:rPr>
          <w:rtl/>
        </w:rPr>
        <w:t xml:space="preserve"> </w:t>
      </w:r>
      <w:r w:rsidRPr="006571A5">
        <w:rPr>
          <w:rtl/>
        </w:rPr>
        <w:t>امرأة</w:t>
      </w:r>
      <w:r>
        <w:rPr>
          <w:rtl/>
        </w:rPr>
        <w:t xml:space="preserve"> </w:t>
      </w:r>
      <w:r w:rsidRPr="006571A5">
        <w:rPr>
          <w:rtl/>
        </w:rPr>
        <w:t>عزباء</w:t>
      </w:r>
      <w:r>
        <w:rPr>
          <w:rtl/>
        </w:rPr>
        <w:t xml:space="preserve"> </w:t>
      </w:r>
      <w:r w:rsidRPr="006571A5">
        <w:rPr>
          <w:rtl/>
        </w:rPr>
        <w:t>إلى</w:t>
      </w:r>
      <w:r>
        <w:rPr>
          <w:rtl/>
        </w:rPr>
        <w:t xml:space="preserve"> </w:t>
      </w:r>
      <w:r w:rsidRPr="006571A5">
        <w:rPr>
          <w:rtl/>
        </w:rPr>
        <w:t>مجتمع</w:t>
      </w:r>
      <w:r>
        <w:rPr>
          <w:rtl/>
        </w:rPr>
        <w:t xml:space="preserve"> </w:t>
      </w:r>
      <w:r w:rsidRPr="006571A5">
        <w:rPr>
          <w:rtl/>
        </w:rPr>
        <w:t>فيه</w:t>
      </w:r>
      <w:r>
        <w:rPr>
          <w:rtl/>
        </w:rPr>
        <w:t xml:space="preserve"> </w:t>
      </w:r>
      <w:r w:rsidRPr="006571A5">
        <w:rPr>
          <w:rtl/>
        </w:rPr>
        <w:t>اختلال،</w:t>
      </w:r>
      <w:r>
        <w:rPr>
          <w:rtl/>
        </w:rPr>
        <w:t xml:space="preserve"> </w:t>
      </w:r>
      <w:r w:rsidRPr="006571A5">
        <w:rPr>
          <w:rtl/>
        </w:rPr>
        <w:t>دون</w:t>
      </w:r>
      <w:r>
        <w:rPr>
          <w:rtl/>
        </w:rPr>
        <w:t xml:space="preserve"> </w:t>
      </w:r>
      <w:r w:rsidRPr="006571A5">
        <w:rPr>
          <w:rtl/>
        </w:rPr>
        <w:t>توفُّر</w:t>
      </w:r>
      <w:r>
        <w:rPr>
          <w:rtl/>
        </w:rPr>
        <w:t xml:space="preserve"> </w:t>
      </w:r>
      <w:r w:rsidRPr="006571A5">
        <w:rPr>
          <w:rtl/>
        </w:rPr>
        <w:t>الحماية</w:t>
      </w:r>
      <w:r>
        <w:rPr>
          <w:rtl/>
        </w:rPr>
        <w:t xml:space="preserve"> </w:t>
      </w:r>
      <w:r w:rsidRPr="006571A5">
        <w:rPr>
          <w:rtl/>
        </w:rPr>
        <w:t>لها</w:t>
      </w:r>
      <w:r>
        <w:rPr>
          <w:rtl/>
        </w:rPr>
        <w:t xml:space="preserve"> </w:t>
      </w:r>
      <w:r w:rsidRPr="006571A5">
        <w:rPr>
          <w:rtl/>
        </w:rPr>
        <w:t>من</w:t>
      </w:r>
      <w:r>
        <w:rPr>
          <w:rtl/>
        </w:rPr>
        <w:t xml:space="preserve"> </w:t>
      </w:r>
      <w:r w:rsidRPr="006571A5">
        <w:rPr>
          <w:rtl/>
        </w:rPr>
        <w:t>شبكة</w:t>
      </w:r>
      <w:r>
        <w:rPr>
          <w:rtl/>
        </w:rPr>
        <w:t xml:space="preserve"> </w:t>
      </w:r>
      <w:r w:rsidRPr="006571A5">
        <w:rPr>
          <w:rtl/>
        </w:rPr>
        <w:t>من</w:t>
      </w:r>
      <w:r>
        <w:rPr>
          <w:rtl/>
        </w:rPr>
        <w:t xml:space="preserve"> </w:t>
      </w:r>
      <w:r w:rsidRPr="006571A5">
        <w:rPr>
          <w:rtl/>
        </w:rPr>
        <w:t>الذكور،</w:t>
      </w:r>
      <w:r>
        <w:rPr>
          <w:rtl/>
        </w:rPr>
        <w:t xml:space="preserve"> </w:t>
      </w:r>
      <w:r w:rsidRPr="006571A5">
        <w:rPr>
          <w:rtl/>
        </w:rPr>
        <w:t>تبلغُ</w:t>
      </w:r>
      <w:r>
        <w:rPr>
          <w:rtl/>
        </w:rPr>
        <w:t xml:space="preserve"> </w:t>
      </w:r>
      <w:r w:rsidRPr="006571A5">
        <w:rPr>
          <w:rtl/>
        </w:rPr>
        <w:t>مستوى</w:t>
      </w:r>
      <w:r>
        <w:rPr>
          <w:rtl/>
        </w:rPr>
        <w:t xml:space="preserve"> </w:t>
      </w:r>
      <w:r w:rsidRPr="006571A5">
        <w:rPr>
          <w:rtl/>
        </w:rPr>
        <w:t>شدة</w:t>
      </w:r>
      <w:r>
        <w:rPr>
          <w:rtl/>
        </w:rPr>
        <w:t xml:space="preserve"> </w:t>
      </w:r>
      <w:r w:rsidRPr="006571A5">
        <w:rPr>
          <w:rtl/>
        </w:rPr>
        <w:t>الظروف</w:t>
      </w:r>
      <w:r>
        <w:rPr>
          <w:rtl/>
        </w:rPr>
        <w:t xml:space="preserve"> </w:t>
      </w:r>
      <w:r w:rsidRPr="006571A5">
        <w:rPr>
          <w:rtl/>
        </w:rPr>
        <w:t>المطلوب</w:t>
      </w:r>
      <w:r>
        <w:rPr>
          <w:rtl/>
        </w:rPr>
        <w:t xml:space="preserve"> </w:t>
      </w:r>
      <w:r w:rsidRPr="006571A5">
        <w:rPr>
          <w:rtl/>
        </w:rPr>
        <w:t>لتُعتبر</w:t>
      </w:r>
      <w:r>
        <w:rPr>
          <w:rtl/>
        </w:rPr>
        <w:t xml:space="preserve"> </w:t>
      </w:r>
      <w:r w:rsidRPr="006571A5">
        <w:rPr>
          <w:rtl/>
        </w:rPr>
        <w:t>معاملة</w:t>
      </w:r>
      <w:r>
        <w:rPr>
          <w:rtl/>
        </w:rPr>
        <w:t xml:space="preserve"> </w:t>
      </w:r>
      <w:r w:rsidRPr="006571A5">
        <w:rPr>
          <w:rtl/>
        </w:rPr>
        <w:t>لاإنسانية</w:t>
      </w:r>
      <w:r>
        <w:rPr>
          <w:rtl/>
        </w:rPr>
        <w:t xml:space="preserve"> </w:t>
      </w:r>
      <w:r w:rsidRPr="006571A5">
        <w:rPr>
          <w:rtl/>
        </w:rPr>
        <w:t>أو</w:t>
      </w:r>
      <w:r>
        <w:rPr>
          <w:rtl/>
        </w:rPr>
        <w:t xml:space="preserve"> </w:t>
      </w:r>
      <w:r w:rsidRPr="006571A5">
        <w:rPr>
          <w:rtl/>
        </w:rPr>
        <w:t>مهينة</w:t>
      </w:r>
      <w:r>
        <w:rPr>
          <w:rtl/>
        </w:rPr>
        <w:t xml:space="preserve"> </w:t>
      </w:r>
      <w:r w:rsidRPr="006571A5">
        <w:rPr>
          <w:rtl/>
        </w:rPr>
        <w:t>ولتقع</w:t>
      </w:r>
      <w:r>
        <w:rPr>
          <w:rtl/>
        </w:rPr>
        <w:t xml:space="preserve"> </w:t>
      </w:r>
      <w:r w:rsidRPr="006571A5">
        <w:rPr>
          <w:rtl/>
        </w:rPr>
        <w:t>بذلك</w:t>
      </w:r>
      <w:r>
        <w:rPr>
          <w:rtl/>
        </w:rPr>
        <w:t xml:space="preserve"> </w:t>
      </w:r>
      <w:r w:rsidRPr="006571A5">
        <w:rPr>
          <w:rtl/>
        </w:rPr>
        <w:t>ضمن</w:t>
      </w:r>
      <w:r>
        <w:rPr>
          <w:rtl/>
        </w:rPr>
        <w:t xml:space="preserve"> </w:t>
      </w:r>
      <w:r w:rsidRPr="006571A5">
        <w:rPr>
          <w:rtl/>
        </w:rPr>
        <w:t>نطاق</w:t>
      </w:r>
      <w:r>
        <w:rPr>
          <w:rtl/>
        </w:rPr>
        <w:t xml:space="preserve"> </w:t>
      </w:r>
      <w:r w:rsidRPr="006571A5">
        <w:rPr>
          <w:rtl/>
        </w:rPr>
        <w:t>الحظر</w:t>
      </w:r>
      <w:r>
        <w:rPr>
          <w:rtl/>
        </w:rPr>
        <w:t xml:space="preserve"> </w:t>
      </w:r>
      <w:r w:rsidRPr="006571A5">
        <w:rPr>
          <w:rtl/>
        </w:rPr>
        <w:t>المنصوص</w:t>
      </w:r>
      <w:r>
        <w:rPr>
          <w:rtl/>
        </w:rPr>
        <w:t xml:space="preserve"> </w:t>
      </w:r>
      <w:r w:rsidRPr="006571A5">
        <w:rPr>
          <w:rtl/>
        </w:rPr>
        <w:t>عليه</w:t>
      </w:r>
      <w:r>
        <w:rPr>
          <w:rtl/>
        </w:rPr>
        <w:t xml:space="preserve"> </w:t>
      </w:r>
      <w:r w:rsidRPr="006571A5">
        <w:rPr>
          <w:rtl/>
        </w:rPr>
        <w:t>في</w:t>
      </w:r>
      <w:r>
        <w:rPr>
          <w:rtl/>
        </w:rPr>
        <w:t xml:space="preserve"> </w:t>
      </w:r>
      <w:r w:rsidRPr="006571A5">
        <w:rPr>
          <w:rtl/>
        </w:rPr>
        <w:t>المادة</w:t>
      </w:r>
      <w:r>
        <w:rPr>
          <w:rtl/>
        </w:rPr>
        <w:t xml:space="preserve"> </w:t>
      </w:r>
      <w:r w:rsidR="004B1017">
        <w:rPr>
          <w:rtl/>
        </w:rPr>
        <w:t>3</w:t>
      </w:r>
      <w:r w:rsidRPr="006571A5">
        <w:rPr>
          <w:rtl/>
        </w:rPr>
        <w:t>.</w:t>
      </w:r>
    </w:p>
    <w:p w14:paraId="57A8DE27" w14:textId="46228CD7" w:rsidR="006571A5" w:rsidRPr="006571A5" w:rsidRDefault="006571A5" w:rsidP="006571A5">
      <w:pPr>
        <w:pStyle w:val="SingleTxt"/>
        <w:rPr>
          <w:rtl/>
        </w:rPr>
      </w:pPr>
      <w:r w:rsidRPr="006571A5">
        <w:rPr>
          <w:rtl/>
        </w:rPr>
        <w:t>5-3</w:t>
      </w:r>
      <w:r w:rsidRPr="006571A5">
        <w:rPr>
          <w:rtl/>
        </w:rPr>
        <w:tab/>
        <w:t>ويعيد</w:t>
      </w:r>
      <w:r>
        <w:rPr>
          <w:rtl/>
        </w:rPr>
        <w:t xml:space="preserve"> </w:t>
      </w:r>
      <w:r w:rsidRPr="006571A5">
        <w:rPr>
          <w:rtl/>
        </w:rPr>
        <w:t>محامي</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القول</w:t>
      </w:r>
      <w:r>
        <w:rPr>
          <w:rtl/>
        </w:rPr>
        <w:t xml:space="preserve"> </w:t>
      </w:r>
      <w:r w:rsidRPr="006571A5">
        <w:rPr>
          <w:rtl/>
        </w:rPr>
        <w:t>إن</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لم</w:t>
      </w:r>
      <w:r>
        <w:rPr>
          <w:rtl/>
        </w:rPr>
        <w:t xml:space="preserve"> </w:t>
      </w:r>
      <w:r w:rsidRPr="006571A5">
        <w:rPr>
          <w:rtl/>
        </w:rPr>
        <w:t>يجر</w:t>
      </w:r>
      <w:r>
        <w:rPr>
          <w:rtl/>
        </w:rPr>
        <w:t xml:space="preserve"> </w:t>
      </w:r>
      <w:r w:rsidRPr="006571A5">
        <w:rPr>
          <w:rtl/>
        </w:rPr>
        <w:t>تحقيقا</w:t>
      </w:r>
      <w:r>
        <w:rPr>
          <w:rtl/>
        </w:rPr>
        <w:t xml:space="preserve"> </w:t>
      </w:r>
      <w:r w:rsidRPr="006571A5">
        <w:rPr>
          <w:rtl/>
        </w:rPr>
        <w:t>للتعرف</w:t>
      </w:r>
      <w:r>
        <w:rPr>
          <w:rtl/>
        </w:rPr>
        <w:t xml:space="preserve"> </w:t>
      </w:r>
      <w:r w:rsidRPr="006571A5">
        <w:rPr>
          <w:rtl/>
        </w:rPr>
        <w:t>على</w:t>
      </w:r>
      <w:r>
        <w:rPr>
          <w:rtl/>
        </w:rPr>
        <w:t xml:space="preserve"> </w:t>
      </w:r>
      <w:r w:rsidRPr="006571A5">
        <w:rPr>
          <w:rtl/>
        </w:rPr>
        <w:t>مدى</w:t>
      </w:r>
      <w:r>
        <w:rPr>
          <w:rtl/>
        </w:rPr>
        <w:t xml:space="preserve"> </w:t>
      </w:r>
      <w:r w:rsidRPr="006571A5">
        <w:rPr>
          <w:rtl/>
        </w:rPr>
        <w:t>خطورة</w:t>
      </w:r>
      <w:r>
        <w:rPr>
          <w:rtl/>
        </w:rPr>
        <w:t xml:space="preserve"> </w:t>
      </w:r>
      <w:r w:rsidRPr="006571A5">
        <w:rPr>
          <w:rtl/>
        </w:rPr>
        <w:t>وضع</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وإنه</w:t>
      </w:r>
      <w:r>
        <w:rPr>
          <w:rtl/>
        </w:rPr>
        <w:t xml:space="preserve"> </w:t>
      </w:r>
      <w:r w:rsidRPr="006571A5">
        <w:rPr>
          <w:rtl/>
        </w:rPr>
        <w:t>يرى</w:t>
      </w:r>
      <w:r>
        <w:rPr>
          <w:rtl/>
        </w:rPr>
        <w:t xml:space="preserve"> </w:t>
      </w:r>
      <w:r w:rsidRPr="006571A5">
        <w:rPr>
          <w:rtl/>
        </w:rPr>
        <w:t>أن</w:t>
      </w:r>
      <w:r>
        <w:rPr>
          <w:rtl/>
        </w:rPr>
        <w:t xml:space="preserve"> </w:t>
      </w:r>
      <w:r w:rsidRPr="006571A5">
        <w:rPr>
          <w:rtl/>
        </w:rPr>
        <w:t>رواية</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ذات</w:t>
      </w:r>
      <w:r>
        <w:rPr>
          <w:rtl/>
        </w:rPr>
        <w:t xml:space="preserve"> </w:t>
      </w:r>
      <w:r w:rsidRPr="006571A5">
        <w:rPr>
          <w:rtl/>
        </w:rPr>
        <w:t>مصداقية</w:t>
      </w:r>
      <w:r>
        <w:rPr>
          <w:rtl/>
        </w:rPr>
        <w:t xml:space="preserve"> </w:t>
      </w:r>
      <w:r w:rsidRPr="006571A5">
        <w:rPr>
          <w:rtl/>
        </w:rPr>
        <w:t>كبيرة.</w:t>
      </w:r>
      <w:r>
        <w:rPr>
          <w:rtl/>
        </w:rPr>
        <w:t xml:space="preserve"> </w:t>
      </w:r>
      <w:r w:rsidRPr="006571A5">
        <w:rPr>
          <w:rtl/>
        </w:rPr>
        <w:t>ويضيف</w:t>
      </w:r>
      <w:r>
        <w:rPr>
          <w:rtl/>
        </w:rPr>
        <w:t xml:space="preserve"> </w:t>
      </w:r>
      <w:r w:rsidRPr="006571A5">
        <w:rPr>
          <w:rtl/>
        </w:rPr>
        <w:t>أن</w:t>
      </w:r>
      <w:r>
        <w:rPr>
          <w:rtl/>
        </w:rPr>
        <w:t xml:space="preserve"> </w:t>
      </w:r>
      <w:r w:rsidRPr="006571A5">
        <w:rPr>
          <w:rtl/>
        </w:rPr>
        <w:t>ترحيل</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إلى</w:t>
      </w:r>
      <w:r>
        <w:rPr>
          <w:rtl/>
        </w:rPr>
        <w:t xml:space="preserve"> </w:t>
      </w:r>
      <w:r w:rsidRPr="006571A5">
        <w:rPr>
          <w:rtl/>
        </w:rPr>
        <w:t>منطقة</w:t>
      </w:r>
      <w:r>
        <w:rPr>
          <w:rtl/>
        </w:rPr>
        <w:t xml:space="preserve"> </w:t>
      </w:r>
      <w:r w:rsidRPr="006571A5">
        <w:rPr>
          <w:rtl/>
        </w:rPr>
        <w:t>جلجدود</w:t>
      </w:r>
      <w:r>
        <w:rPr>
          <w:rtl/>
        </w:rPr>
        <w:t xml:space="preserve"> </w:t>
      </w:r>
      <w:r w:rsidRPr="006571A5">
        <w:rPr>
          <w:rtl/>
        </w:rPr>
        <w:t>بالصومال</w:t>
      </w:r>
      <w:r>
        <w:rPr>
          <w:rtl/>
        </w:rPr>
        <w:t xml:space="preserve"> </w:t>
      </w:r>
      <w:r w:rsidRPr="006571A5">
        <w:rPr>
          <w:rtl/>
        </w:rPr>
        <w:t>سيكون</w:t>
      </w:r>
      <w:r>
        <w:rPr>
          <w:rtl/>
        </w:rPr>
        <w:t xml:space="preserve"> </w:t>
      </w:r>
      <w:r w:rsidRPr="006571A5">
        <w:rPr>
          <w:rtl/>
        </w:rPr>
        <w:t>انتهاكا</w:t>
      </w:r>
      <w:r>
        <w:rPr>
          <w:rtl/>
        </w:rPr>
        <w:t xml:space="preserve"> </w:t>
      </w:r>
      <w:r w:rsidRPr="006571A5">
        <w:rPr>
          <w:rtl/>
        </w:rPr>
        <w:t>للمادة</w:t>
      </w:r>
      <w:r>
        <w:rPr>
          <w:rtl/>
        </w:rPr>
        <w:t xml:space="preserve"> </w:t>
      </w:r>
      <w:r w:rsidR="004B1017">
        <w:rPr>
          <w:rtl/>
        </w:rPr>
        <w:t>3</w:t>
      </w:r>
      <w:r>
        <w:rPr>
          <w:rtl/>
        </w:rPr>
        <w:t xml:space="preserve"> </w:t>
      </w:r>
      <w:r w:rsidRPr="006571A5">
        <w:rPr>
          <w:rtl/>
        </w:rPr>
        <w:t>من</w:t>
      </w:r>
      <w:r>
        <w:rPr>
          <w:rtl/>
        </w:rPr>
        <w:t xml:space="preserve"> </w:t>
      </w:r>
      <w:r w:rsidRPr="006571A5">
        <w:rPr>
          <w:rtl/>
        </w:rPr>
        <w:t>الاتفاقية</w:t>
      </w:r>
      <w:r>
        <w:rPr>
          <w:rtl/>
        </w:rPr>
        <w:t xml:space="preserve"> </w:t>
      </w:r>
      <w:r w:rsidRPr="006571A5">
        <w:rPr>
          <w:rtl/>
        </w:rPr>
        <w:t>الأوروبية</w:t>
      </w:r>
      <w:r>
        <w:rPr>
          <w:rtl/>
        </w:rPr>
        <w:t xml:space="preserve"> </w:t>
      </w:r>
      <w:r w:rsidRPr="006571A5">
        <w:rPr>
          <w:rtl/>
        </w:rPr>
        <w:t>لحقوق</w:t>
      </w:r>
      <w:r>
        <w:rPr>
          <w:rtl/>
        </w:rPr>
        <w:t xml:space="preserve"> </w:t>
      </w:r>
      <w:r w:rsidRPr="006571A5">
        <w:rPr>
          <w:rtl/>
        </w:rPr>
        <w:t>الإنسان،</w:t>
      </w:r>
      <w:r>
        <w:rPr>
          <w:rtl/>
        </w:rPr>
        <w:t xml:space="preserve"> </w:t>
      </w:r>
      <w:r w:rsidRPr="006571A5">
        <w:rPr>
          <w:rtl/>
        </w:rPr>
        <w:t>وأن</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لم</w:t>
      </w:r>
      <w:r>
        <w:rPr>
          <w:rtl/>
        </w:rPr>
        <w:t xml:space="preserve"> </w:t>
      </w:r>
      <w:r w:rsidRPr="006571A5">
        <w:rPr>
          <w:rtl/>
        </w:rPr>
        <w:t>تكفل</w:t>
      </w:r>
      <w:r>
        <w:rPr>
          <w:rtl/>
        </w:rPr>
        <w:t xml:space="preserve"> </w:t>
      </w:r>
      <w:r w:rsidRPr="006571A5">
        <w:rPr>
          <w:rtl/>
        </w:rPr>
        <w:t>ألا</w:t>
      </w:r>
      <w:r>
        <w:rPr>
          <w:rtl/>
        </w:rPr>
        <w:t xml:space="preserve"> </w:t>
      </w:r>
      <w:r w:rsidRPr="006571A5">
        <w:rPr>
          <w:rtl/>
        </w:rPr>
        <w:t>يعوق</w:t>
      </w:r>
      <w:r>
        <w:rPr>
          <w:rtl/>
        </w:rPr>
        <w:t xml:space="preserve"> </w:t>
      </w:r>
      <w:r w:rsidRPr="006571A5">
        <w:rPr>
          <w:rtl/>
        </w:rPr>
        <w:t>أمر</w:t>
      </w:r>
      <w:r>
        <w:rPr>
          <w:rtl/>
        </w:rPr>
        <w:t xml:space="preserve"> </w:t>
      </w:r>
      <w:r w:rsidRPr="006571A5">
        <w:rPr>
          <w:rtl/>
        </w:rPr>
        <w:t>الترحيل</w:t>
      </w:r>
      <w:r>
        <w:rPr>
          <w:rtl/>
        </w:rPr>
        <w:t xml:space="preserve"> </w:t>
      </w:r>
      <w:r w:rsidRPr="006571A5">
        <w:rPr>
          <w:rtl/>
        </w:rPr>
        <w:t>اللجوءَ</w:t>
      </w:r>
      <w:r>
        <w:rPr>
          <w:rtl/>
        </w:rPr>
        <w:t xml:space="preserve"> </w:t>
      </w:r>
      <w:r w:rsidRPr="006571A5">
        <w:rPr>
          <w:rtl/>
        </w:rPr>
        <w:t>إلى</w:t>
      </w:r>
      <w:r>
        <w:rPr>
          <w:rtl/>
        </w:rPr>
        <w:t xml:space="preserve"> </w:t>
      </w:r>
      <w:r w:rsidRPr="006571A5">
        <w:rPr>
          <w:rtl/>
        </w:rPr>
        <w:t>سبل</w:t>
      </w:r>
      <w:r>
        <w:rPr>
          <w:rtl/>
        </w:rPr>
        <w:t xml:space="preserve"> </w:t>
      </w:r>
      <w:r w:rsidRPr="006571A5">
        <w:rPr>
          <w:rtl/>
        </w:rPr>
        <w:t>انتصاف</w:t>
      </w:r>
      <w:r>
        <w:rPr>
          <w:rtl/>
        </w:rPr>
        <w:t xml:space="preserve"> </w:t>
      </w:r>
      <w:r w:rsidRPr="006571A5">
        <w:rPr>
          <w:rtl/>
        </w:rPr>
        <w:t>فعالة،</w:t>
      </w:r>
      <w:r>
        <w:rPr>
          <w:rtl/>
        </w:rPr>
        <w:t xml:space="preserve"> </w:t>
      </w:r>
      <w:r w:rsidRPr="006571A5">
        <w:rPr>
          <w:rtl/>
        </w:rPr>
        <w:t>وهو</w:t>
      </w:r>
      <w:r>
        <w:rPr>
          <w:rtl/>
        </w:rPr>
        <w:t xml:space="preserve"> </w:t>
      </w:r>
      <w:r w:rsidRPr="006571A5">
        <w:rPr>
          <w:rtl/>
        </w:rPr>
        <w:t>ما</w:t>
      </w:r>
      <w:r w:rsidR="004C757C">
        <w:rPr>
          <w:rFonts w:hint="cs"/>
          <w:rtl/>
        </w:rPr>
        <w:t> </w:t>
      </w:r>
      <w:r w:rsidRPr="006571A5">
        <w:rPr>
          <w:rtl/>
        </w:rPr>
        <w:t>يشكل</w:t>
      </w:r>
      <w:r>
        <w:rPr>
          <w:rtl/>
        </w:rPr>
        <w:t xml:space="preserve"> </w:t>
      </w:r>
      <w:r w:rsidRPr="006571A5">
        <w:rPr>
          <w:rtl/>
        </w:rPr>
        <w:t>انتهاكا</w:t>
      </w:r>
      <w:r>
        <w:rPr>
          <w:rtl/>
        </w:rPr>
        <w:t xml:space="preserve"> </w:t>
      </w:r>
      <w:r w:rsidRPr="006571A5">
        <w:rPr>
          <w:rtl/>
        </w:rPr>
        <w:t>للاتفاقية</w:t>
      </w:r>
      <w:r>
        <w:rPr>
          <w:rtl/>
        </w:rPr>
        <w:t xml:space="preserve"> </w:t>
      </w:r>
      <w:r w:rsidRPr="006571A5">
        <w:rPr>
          <w:rtl/>
        </w:rPr>
        <w:t>في</w:t>
      </w:r>
      <w:r>
        <w:rPr>
          <w:rtl/>
        </w:rPr>
        <w:t xml:space="preserve"> </w:t>
      </w:r>
      <w:r w:rsidRPr="006571A5">
        <w:rPr>
          <w:rtl/>
        </w:rPr>
        <w:t>هذه</w:t>
      </w:r>
      <w:r>
        <w:rPr>
          <w:rtl/>
        </w:rPr>
        <w:t xml:space="preserve"> </w:t>
      </w:r>
      <w:r w:rsidRPr="006571A5">
        <w:rPr>
          <w:rtl/>
        </w:rPr>
        <w:t>القضية.</w:t>
      </w:r>
    </w:p>
    <w:p w14:paraId="045F6234" w14:textId="3681F54A" w:rsidR="006571A5" w:rsidRPr="006571A5" w:rsidRDefault="006571A5" w:rsidP="006571A5">
      <w:pPr>
        <w:pStyle w:val="SingleTxt"/>
        <w:rPr>
          <w:rtl/>
        </w:rPr>
      </w:pPr>
      <w:r w:rsidRPr="006571A5">
        <w:rPr>
          <w:rtl/>
        </w:rPr>
        <w:t>5-4</w:t>
      </w:r>
      <w:r w:rsidRPr="006571A5">
        <w:rPr>
          <w:rtl/>
        </w:rPr>
        <w:tab/>
        <w:t>ويؤكد</w:t>
      </w:r>
      <w:r>
        <w:rPr>
          <w:rtl/>
        </w:rPr>
        <w:t xml:space="preserve"> </w:t>
      </w:r>
      <w:r w:rsidRPr="006571A5">
        <w:rPr>
          <w:rtl/>
        </w:rPr>
        <w:t>محامي</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مقبوليةَ</w:t>
      </w:r>
      <w:r>
        <w:rPr>
          <w:rtl/>
        </w:rPr>
        <w:t xml:space="preserve"> </w:t>
      </w:r>
      <w:r w:rsidRPr="006571A5">
        <w:rPr>
          <w:rtl/>
        </w:rPr>
        <w:t>رسالتها،</w:t>
      </w:r>
      <w:r>
        <w:rPr>
          <w:rtl/>
        </w:rPr>
        <w:t xml:space="preserve"> </w:t>
      </w:r>
      <w:r w:rsidRPr="006571A5">
        <w:rPr>
          <w:rtl/>
        </w:rPr>
        <w:t>ويرى</w:t>
      </w:r>
      <w:r>
        <w:rPr>
          <w:rtl/>
        </w:rPr>
        <w:t xml:space="preserve"> </w:t>
      </w:r>
      <w:r w:rsidRPr="006571A5">
        <w:rPr>
          <w:rtl/>
        </w:rPr>
        <w:t>أن</w:t>
      </w:r>
      <w:r>
        <w:rPr>
          <w:rtl/>
        </w:rPr>
        <w:t xml:space="preserve"> </w:t>
      </w:r>
      <w:r w:rsidRPr="006571A5">
        <w:rPr>
          <w:rtl/>
        </w:rPr>
        <w:t>على</w:t>
      </w:r>
      <w:r>
        <w:rPr>
          <w:rtl/>
        </w:rPr>
        <w:t xml:space="preserve"> </w:t>
      </w:r>
      <w:r w:rsidRPr="006571A5">
        <w:rPr>
          <w:rtl/>
        </w:rPr>
        <w:t>اللجنة</w:t>
      </w:r>
      <w:r>
        <w:rPr>
          <w:rtl/>
        </w:rPr>
        <w:t xml:space="preserve"> </w:t>
      </w:r>
      <w:r w:rsidRPr="006571A5">
        <w:rPr>
          <w:rtl/>
        </w:rPr>
        <w:t>أن</w:t>
      </w:r>
      <w:r>
        <w:rPr>
          <w:rtl/>
        </w:rPr>
        <w:t xml:space="preserve"> </w:t>
      </w:r>
      <w:r w:rsidRPr="006571A5">
        <w:rPr>
          <w:rtl/>
        </w:rPr>
        <w:t>تُبقي</w:t>
      </w:r>
      <w:r>
        <w:rPr>
          <w:rtl/>
        </w:rPr>
        <w:t xml:space="preserve"> </w:t>
      </w:r>
      <w:r w:rsidRPr="006571A5">
        <w:rPr>
          <w:rtl/>
        </w:rPr>
        <w:t>على</w:t>
      </w:r>
      <w:r>
        <w:rPr>
          <w:rtl/>
        </w:rPr>
        <w:t xml:space="preserve"> </w:t>
      </w:r>
      <w:r w:rsidRPr="006571A5">
        <w:rPr>
          <w:rtl/>
        </w:rPr>
        <w:t>قرار</w:t>
      </w:r>
      <w:r>
        <w:rPr>
          <w:rtl/>
        </w:rPr>
        <w:t xml:space="preserve"> </w:t>
      </w:r>
      <w:r w:rsidRPr="006571A5">
        <w:rPr>
          <w:rtl/>
        </w:rPr>
        <w:t>منح</w:t>
      </w:r>
      <w:r>
        <w:rPr>
          <w:rtl/>
        </w:rPr>
        <w:t xml:space="preserve"> </w:t>
      </w:r>
      <w:r w:rsidRPr="006571A5">
        <w:rPr>
          <w:rtl/>
        </w:rPr>
        <w:t>تدابير</w:t>
      </w:r>
      <w:r>
        <w:rPr>
          <w:rtl/>
        </w:rPr>
        <w:t xml:space="preserve"> </w:t>
      </w:r>
      <w:r w:rsidRPr="006571A5">
        <w:rPr>
          <w:rtl/>
        </w:rPr>
        <w:t>مؤقتة.</w:t>
      </w:r>
    </w:p>
    <w:p w14:paraId="5A4704CF" w14:textId="08F6817D" w:rsidR="006571A5" w:rsidRPr="004B1017" w:rsidRDefault="006571A5" w:rsidP="004B1017">
      <w:pPr>
        <w:pStyle w:val="SingleTxt"/>
        <w:spacing w:after="0" w:line="120" w:lineRule="exact"/>
        <w:rPr>
          <w:sz w:val="10"/>
          <w:rtl/>
        </w:rPr>
      </w:pPr>
    </w:p>
    <w:p w14:paraId="71906192" w14:textId="7AE4ACA9" w:rsidR="006571A5" w:rsidRPr="006571A5" w:rsidRDefault="004B1017" w:rsidP="004B1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6571A5" w:rsidRPr="006571A5">
        <w:rPr>
          <w:rtl/>
        </w:rPr>
        <w:t>ملاحظات</w:t>
      </w:r>
      <w:r w:rsidR="006571A5">
        <w:rPr>
          <w:rtl/>
        </w:rPr>
        <w:t xml:space="preserve"> </w:t>
      </w:r>
      <w:r w:rsidR="006571A5" w:rsidRPr="006571A5">
        <w:rPr>
          <w:rtl/>
        </w:rPr>
        <w:t>إضافية</w:t>
      </w:r>
      <w:r w:rsidR="006571A5">
        <w:rPr>
          <w:rtl/>
        </w:rPr>
        <w:t xml:space="preserve"> </w:t>
      </w:r>
      <w:r w:rsidR="006571A5" w:rsidRPr="006571A5">
        <w:rPr>
          <w:rtl/>
        </w:rPr>
        <w:t>من</w:t>
      </w:r>
      <w:r w:rsidR="006571A5">
        <w:rPr>
          <w:rtl/>
        </w:rPr>
        <w:t xml:space="preserve"> </w:t>
      </w:r>
      <w:r w:rsidR="006571A5" w:rsidRPr="006571A5">
        <w:rPr>
          <w:rtl/>
        </w:rPr>
        <w:t>الدولة</w:t>
      </w:r>
      <w:r w:rsidR="006571A5">
        <w:rPr>
          <w:rtl/>
        </w:rPr>
        <w:t xml:space="preserve"> </w:t>
      </w:r>
      <w:r w:rsidR="006571A5" w:rsidRPr="006571A5">
        <w:rPr>
          <w:rtl/>
        </w:rPr>
        <w:t>الطرف</w:t>
      </w:r>
    </w:p>
    <w:p w14:paraId="45466084" w14:textId="57F6616E" w:rsidR="006571A5" w:rsidRPr="006571A5" w:rsidRDefault="006571A5" w:rsidP="006571A5">
      <w:pPr>
        <w:pStyle w:val="SingleTxt"/>
        <w:rPr>
          <w:rtl/>
        </w:rPr>
      </w:pPr>
      <w:r w:rsidRPr="006571A5">
        <w:rPr>
          <w:rtl/>
        </w:rPr>
        <w:t>6-1</w:t>
      </w:r>
      <w:r w:rsidRPr="006571A5">
        <w:rPr>
          <w:rtl/>
        </w:rPr>
        <w:tab/>
        <w:t>قدمت</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ملاحظات</w:t>
      </w:r>
      <w:r>
        <w:rPr>
          <w:rtl/>
        </w:rPr>
        <w:t xml:space="preserve"> </w:t>
      </w:r>
      <w:r w:rsidRPr="006571A5">
        <w:rPr>
          <w:rtl/>
        </w:rPr>
        <w:t>إضافية</w:t>
      </w:r>
      <w:r>
        <w:rPr>
          <w:rtl/>
        </w:rPr>
        <w:t xml:space="preserve"> </w:t>
      </w:r>
      <w:r w:rsidRPr="006571A5">
        <w:rPr>
          <w:rtl/>
        </w:rPr>
        <w:t>في</w:t>
      </w:r>
      <w:r>
        <w:rPr>
          <w:rtl/>
        </w:rPr>
        <w:t xml:space="preserve"> </w:t>
      </w:r>
      <w:r w:rsidR="004B1017">
        <w:rPr>
          <w:rtl/>
        </w:rPr>
        <w:t>2</w:t>
      </w:r>
      <w:r>
        <w:rPr>
          <w:rtl/>
        </w:rPr>
        <w:t xml:space="preserve"> </w:t>
      </w:r>
      <w:r w:rsidRPr="006571A5">
        <w:rPr>
          <w:rtl/>
        </w:rPr>
        <w:t>كانون</w:t>
      </w:r>
      <w:r>
        <w:rPr>
          <w:rtl/>
        </w:rPr>
        <w:t xml:space="preserve"> </w:t>
      </w:r>
      <w:r w:rsidRPr="006571A5">
        <w:rPr>
          <w:rtl/>
        </w:rPr>
        <w:t>الأول/ديسمبر</w:t>
      </w:r>
      <w:r>
        <w:rPr>
          <w:rtl/>
        </w:rPr>
        <w:t xml:space="preserve"> </w:t>
      </w:r>
      <w:r w:rsidR="004B1017">
        <w:rPr>
          <w:rtl/>
        </w:rPr>
        <w:t>2016</w:t>
      </w:r>
      <w:r w:rsidRPr="006571A5">
        <w:rPr>
          <w:rtl/>
        </w:rPr>
        <w:t>.</w:t>
      </w:r>
      <w:r>
        <w:rPr>
          <w:rtl/>
        </w:rPr>
        <w:t xml:space="preserve"> </w:t>
      </w:r>
      <w:r w:rsidRPr="006571A5">
        <w:rPr>
          <w:rtl/>
        </w:rPr>
        <w:t>وتقول</w:t>
      </w:r>
      <w:r>
        <w:rPr>
          <w:rtl/>
        </w:rPr>
        <w:t xml:space="preserve"> </w:t>
      </w:r>
      <w:r w:rsidRPr="006571A5">
        <w:rPr>
          <w:rtl/>
        </w:rPr>
        <w:t>إن</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لا</w:t>
      </w:r>
      <w:r>
        <w:rPr>
          <w:rtl/>
        </w:rPr>
        <w:t xml:space="preserve"> </w:t>
      </w:r>
      <w:r w:rsidRPr="006571A5">
        <w:rPr>
          <w:rtl/>
        </w:rPr>
        <w:t>تقدم</w:t>
      </w:r>
      <w:r>
        <w:rPr>
          <w:rtl/>
        </w:rPr>
        <w:t xml:space="preserve"> </w:t>
      </w:r>
      <w:r w:rsidRPr="006571A5">
        <w:rPr>
          <w:rtl/>
        </w:rPr>
        <w:t>على</w:t>
      </w:r>
      <w:r>
        <w:rPr>
          <w:rtl/>
        </w:rPr>
        <w:t xml:space="preserve"> </w:t>
      </w:r>
      <w:r w:rsidRPr="006571A5">
        <w:rPr>
          <w:rtl/>
        </w:rPr>
        <w:t>ما</w:t>
      </w:r>
      <w:r>
        <w:rPr>
          <w:rtl/>
        </w:rPr>
        <w:t xml:space="preserve"> </w:t>
      </w:r>
      <w:r w:rsidRPr="006571A5">
        <w:rPr>
          <w:rtl/>
        </w:rPr>
        <w:t>يبدو</w:t>
      </w:r>
      <w:r>
        <w:rPr>
          <w:rtl/>
        </w:rPr>
        <w:t xml:space="preserve"> </w:t>
      </w:r>
      <w:r w:rsidRPr="006571A5">
        <w:rPr>
          <w:rtl/>
        </w:rPr>
        <w:t>معلومات</w:t>
      </w:r>
      <w:r>
        <w:rPr>
          <w:rtl/>
        </w:rPr>
        <w:t xml:space="preserve"> </w:t>
      </w:r>
      <w:r w:rsidRPr="006571A5">
        <w:rPr>
          <w:rtl/>
        </w:rPr>
        <w:t>جوهرية</w:t>
      </w:r>
      <w:r>
        <w:rPr>
          <w:rtl/>
        </w:rPr>
        <w:t xml:space="preserve"> </w:t>
      </w:r>
      <w:r w:rsidRPr="006571A5">
        <w:rPr>
          <w:rtl/>
        </w:rPr>
        <w:t>جديدة</w:t>
      </w:r>
      <w:r>
        <w:rPr>
          <w:rtl/>
        </w:rPr>
        <w:t xml:space="preserve"> </w:t>
      </w:r>
      <w:r w:rsidRPr="006571A5">
        <w:rPr>
          <w:rtl/>
        </w:rPr>
        <w:t>أو</w:t>
      </w:r>
      <w:r>
        <w:rPr>
          <w:rtl/>
        </w:rPr>
        <w:t xml:space="preserve"> </w:t>
      </w:r>
      <w:r w:rsidRPr="006571A5">
        <w:rPr>
          <w:rtl/>
        </w:rPr>
        <w:t>محددة</w:t>
      </w:r>
      <w:r>
        <w:rPr>
          <w:rtl/>
        </w:rPr>
        <w:t xml:space="preserve"> </w:t>
      </w:r>
      <w:r w:rsidRPr="006571A5">
        <w:rPr>
          <w:rtl/>
        </w:rPr>
        <w:t>بشأن</w:t>
      </w:r>
      <w:r>
        <w:rPr>
          <w:rtl/>
        </w:rPr>
        <w:t xml:space="preserve"> </w:t>
      </w:r>
      <w:r w:rsidRPr="006571A5">
        <w:rPr>
          <w:rtl/>
        </w:rPr>
        <w:t>قضية</w:t>
      </w:r>
      <w:r>
        <w:rPr>
          <w:rtl/>
        </w:rPr>
        <w:t xml:space="preserve"> </w:t>
      </w:r>
      <w:r w:rsidRPr="006571A5">
        <w:rPr>
          <w:rtl/>
        </w:rPr>
        <w:t>لجوئها</w:t>
      </w:r>
      <w:r>
        <w:rPr>
          <w:rtl/>
        </w:rPr>
        <w:t xml:space="preserve"> </w:t>
      </w:r>
      <w:r w:rsidRPr="006571A5">
        <w:rPr>
          <w:rtl/>
        </w:rPr>
        <w:t>في</w:t>
      </w:r>
      <w:r>
        <w:rPr>
          <w:rtl/>
        </w:rPr>
        <w:t xml:space="preserve"> </w:t>
      </w:r>
      <w:r w:rsidRPr="006571A5">
        <w:rPr>
          <w:rtl/>
        </w:rPr>
        <w:t>ملاحظاتها</w:t>
      </w:r>
      <w:r>
        <w:rPr>
          <w:rtl/>
        </w:rPr>
        <w:t xml:space="preserve"> </w:t>
      </w:r>
      <w:r w:rsidRPr="006571A5">
        <w:rPr>
          <w:rtl/>
        </w:rPr>
        <w:t>الإضافية</w:t>
      </w:r>
      <w:r>
        <w:rPr>
          <w:rtl/>
        </w:rPr>
        <w:t xml:space="preserve"> </w:t>
      </w:r>
      <w:r w:rsidRPr="006571A5">
        <w:rPr>
          <w:rtl/>
        </w:rPr>
        <w:t>المقدمة</w:t>
      </w:r>
      <w:r>
        <w:rPr>
          <w:rtl/>
        </w:rPr>
        <w:t xml:space="preserve"> </w:t>
      </w:r>
      <w:r w:rsidRPr="006571A5">
        <w:rPr>
          <w:rtl/>
        </w:rPr>
        <w:t>في</w:t>
      </w:r>
      <w:r>
        <w:rPr>
          <w:rtl/>
        </w:rPr>
        <w:t xml:space="preserve"> </w:t>
      </w:r>
      <w:r w:rsidRPr="006571A5">
        <w:rPr>
          <w:rtl/>
        </w:rPr>
        <w:t>27</w:t>
      </w:r>
      <w:r>
        <w:rPr>
          <w:rtl/>
        </w:rPr>
        <w:t xml:space="preserve"> </w:t>
      </w:r>
      <w:r w:rsidRPr="006571A5">
        <w:rPr>
          <w:rtl/>
        </w:rPr>
        <w:t>أيار/مايو</w:t>
      </w:r>
      <w:r>
        <w:rPr>
          <w:rtl/>
        </w:rPr>
        <w:t xml:space="preserve"> </w:t>
      </w:r>
      <w:r w:rsidR="004B1017">
        <w:rPr>
          <w:rtl/>
        </w:rPr>
        <w:t>2016</w:t>
      </w:r>
      <w:r>
        <w:rPr>
          <w:rtl/>
        </w:rPr>
        <w:t xml:space="preserve"> </w:t>
      </w:r>
      <w:r w:rsidRPr="006571A5">
        <w:rPr>
          <w:rtl/>
        </w:rPr>
        <w:t>مقارنة</w:t>
      </w:r>
      <w:r>
        <w:rPr>
          <w:rtl/>
        </w:rPr>
        <w:t xml:space="preserve"> </w:t>
      </w:r>
      <w:r w:rsidRPr="006571A5">
        <w:rPr>
          <w:rtl/>
        </w:rPr>
        <w:t>بالمعلومات</w:t>
      </w:r>
      <w:r>
        <w:rPr>
          <w:rtl/>
        </w:rPr>
        <w:t xml:space="preserve"> </w:t>
      </w:r>
      <w:r w:rsidRPr="006571A5">
        <w:rPr>
          <w:rtl/>
        </w:rPr>
        <w:t>التي</w:t>
      </w:r>
      <w:r>
        <w:rPr>
          <w:rtl/>
        </w:rPr>
        <w:t xml:space="preserve"> </w:t>
      </w:r>
      <w:r w:rsidR="004C757C">
        <w:rPr>
          <w:rFonts w:hint="cs"/>
          <w:rtl/>
        </w:rPr>
        <w:t>ا</w:t>
      </w:r>
      <w:r w:rsidRPr="006571A5">
        <w:rPr>
          <w:rtl/>
        </w:rPr>
        <w:t>نبنى</w:t>
      </w:r>
      <w:r>
        <w:rPr>
          <w:rtl/>
        </w:rPr>
        <w:t xml:space="preserve"> </w:t>
      </w:r>
      <w:r w:rsidRPr="006571A5">
        <w:rPr>
          <w:rtl/>
        </w:rPr>
        <w:t>عليها</w:t>
      </w:r>
      <w:r>
        <w:rPr>
          <w:rtl/>
        </w:rPr>
        <w:t xml:space="preserve"> </w:t>
      </w:r>
      <w:r w:rsidRPr="006571A5">
        <w:rPr>
          <w:rtl/>
        </w:rPr>
        <w:t>قرار</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الصادر</w:t>
      </w:r>
      <w:r>
        <w:rPr>
          <w:rtl/>
        </w:rPr>
        <w:t xml:space="preserve"> </w:t>
      </w:r>
      <w:r w:rsidRPr="006571A5">
        <w:rPr>
          <w:rtl/>
        </w:rPr>
        <w:t>في</w:t>
      </w:r>
      <w:r>
        <w:rPr>
          <w:rtl/>
        </w:rPr>
        <w:t xml:space="preserve"> </w:t>
      </w:r>
      <w:r w:rsidR="004B1017">
        <w:rPr>
          <w:rtl/>
        </w:rPr>
        <w:t>4</w:t>
      </w:r>
      <w:r>
        <w:rPr>
          <w:rtl/>
        </w:rPr>
        <w:t xml:space="preserve"> </w:t>
      </w:r>
      <w:r w:rsidRPr="006571A5">
        <w:rPr>
          <w:rtl/>
        </w:rPr>
        <w:t>أيلول/سبتمبر</w:t>
      </w:r>
      <w:r>
        <w:rPr>
          <w:rtl/>
        </w:rPr>
        <w:t xml:space="preserve"> </w:t>
      </w:r>
      <w:r w:rsidR="004B1017">
        <w:rPr>
          <w:rtl/>
        </w:rPr>
        <w:t>2015</w:t>
      </w:r>
      <w:r w:rsidRPr="006571A5">
        <w:rPr>
          <w:rtl/>
        </w:rPr>
        <w:t>.</w:t>
      </w:r>
    </w:p>
    <w:p w14:paraId="37F17222" w14:textId="3E335479" w:rsidR="006571A5" w:rsidRPr="006571A5" w:rsidRDefault="006571A5" w:rsidP="006571A5">
      <w:pPr>
        <w:pStyle w:val="SingleTxt"/>
        <w:rPr>
          <w:rtl/>
        </w:rPr>
      </w:pPr>
      <w:r w:rsidRPr="006571A5">
        <w:rPr>
          <w:rtl/>
        </w:rPr>
        <w:t>6-2</w:t>
      </w:r>
      <w:r w:rsidRPr="006571A5">
        <w:rPr>
          <w:rtl/>
        </w:rPr>
        <w:tab/>
        <w:t>وفيما</w:t>
      </w:r>
      <w:r>
        <w:rPr>
          <w:rtl/>
        </w:rPr>
        <w:t xml:space="preserve"> </w:t>
      </w:r>
      <w:r w:rsidRPr="006571A5">
        <w:rPr>
          <w:rtl/>
        </w:rPr>
        <w:t>يخص</w:t>
      </w:r>
      <w:r>
        <w:rPr>
          <w:rtl/>
        </w:rPr>
        <w:t xml:space="preserve"> </w:t>
      </w:r>
      <w:r w:rsidRPr="006571A5">
        <w:rPr>
          <w:rtl/>
        </w:rPr>
        <w:t>إحالة</w:t>
      </w:r>
      <w:r>
        <w:rPr>
          <w:rtl/>
        </w:rPr>
        <w:t xml:space="preserve"> </w:t>
      </w:r>
      <w:r w:rsidRPr="006571A5">
        <w:rPr>
          <w:rtl/>
        </w:rPr>
        <w:t>محامي</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إلى</w:t>
      </w:r>
      <w:r>
        <w:rPr>
          <w:rtl/>
        </w:rPr>
        <w:t xml:space="preserve"> </w:t>
      </w:r>
      <w:r w:rsidRPr="006571A5">
        <w:rPr>
          <w:rtl/>
        </w:rPr>
        <w:t>قضية</w:t>
      </w:r>
      <w:r>
        <w:rPr>
          <w:rtl/>
        </w:rPr>
        <w:t xml:space="preserve"> </w:t>
      </w:r>
      <w:r w:rsidRPr="006571A5">
        <w:rPr>
          <w:i/>
          <w:iCs/>
          <w:rtl/>
        </w:rPr>
        <w:t>ر</w:t>
      </w:r>
      <w:r w:rsidRPr="006571A5">
        <w:rPr>
          <w:rtl/>
        </w:rPr>
        <w:t>.</w:t>
      </w:r>
      <w:r>
        <w:rPr>
          <w:rtl/>
        </w:rPr>
        <w:t xml:space="preserve"> </w:t>
      </w:r>
      <w:r w:rsidRPr="006571A5">
        <w:rPr>
          <w:i/>
          <w:iCs/>
          <w:rtl/>
        </w:rPr>
        <w:t>ه.</w:t>
      </w:r>
      <w:r>
        <w:rPr>
          <w:i/>
          <w:iCs/>
          <w:rtl/>
        </w:rPr>
        <w:t xml:space="preserve"> </w:t>
      </w:r>
      <w:r w:rsidRPr="006571A5">
        <w:rPr>
          <w:i/>
          <w:iCs/>
          <w:rtl/>
        </w:rPr>
        <w:t>ضد</w:t>
      </w:r>
      <w:r>
        <w:rPr>
          <w:i/>
          <w:iCs/>
          <w:rtl/>
        </w:rPr>
        <w:t xml:space="preserve"> </w:t>
      </w:r>
      <w:r w:rsidRPr="006571A5">
        <w:rPr>
          <w:i/>
          <w:iCs/>
          <w:rtl/>
        </w:rPr>
        <w:t>السويد</w:t>
      </w:r>
      <w:r w:rsidRPr="006571A5">
        <w:rPr>
          <w:rtl/>
        </w:rPr>
        <w:t>،</w:t>
      </w:r>
      <w:r>
        <w:rPr>
          <w:rtl/>
        </w:rPr>
        <w:t xml:space="preserve"> </w:t>
      </w:r>
      <w:r w:rsidRPr="006571A5">
        <w:rPr>
          <w:rtl/>
        </w:rPr>
        <w:t>تُحيل</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إلى</w:t>
      </w:r>
      <w:r>
        <w:rPr>
          <w:rtl/>
        </w:rPr>
        <w:t xml:space="preserve"> </w:t>
      </w:r>
      <w:r w:rsidRPr="006571A5">
        <w:rPr>
          <w:rtl/>
        </w:rPr>
        <w:t>الملاحظات</w:t>
      </w:r>
      <w:r>
        <w:rPr>
          <w:rtl/>
        </w:rPr>
        <w:t xml:space="preserve"> </w:t>
      </w:r>
      <w:r w:rsidRPr="006571A5">
        <w:rPr>
          <w:rtl/>
        </w:rPr>
        <w:t>الأولية</w:t>
      </w:r>
      <w:r>
        <w:rPr>
          <w:rtl/>
        </w:rPr>
        <w:t xml:space="preserve"> </w:t>
      </w:r>
      <w:r w:rsidRPr="006571A5">
        <w:rPr>
          <w:rtl/>
        </w:rPr>
        <w:t>التي</w:t>
      </w:r>
      <w:r>
        <w:rPr>
          <w:rtl/>
        </w:rPr>
        <w:t xml:space="preserve"> </w:t>
      </w:r>
      <w:r w:rsidRPr="006571A5">
        <w:rPr>
          <w:rtl/>
        </w:rPr>
        <w:t>قدمتها</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إلى</w:t>
      </w:r>
      <w:r>
        <w:rPr>
          <w:rtl/>
        </w:rPr>
        <w:t xml:space="preserve"> </w:t>
      </w:r>
      <w:r w:rsidRPr="006571A5">
        <w:rPr>
          <w:rtl/>
        </w:rPr>
        <w:t>اللجنة.</w:t>
      </w:r>
      <w:r>
        <w:rPr>
          <w:rtl/>
        </w:rPr>
        <w:t xml:space="preserve"> </w:t>
      </w:r>
      <w:r w:rsidRPr="006571A5">
        <w:rPr>
          <w:rtl/>
        </w:rPr>
        <w:t>أما</w:t>
      </w:r>
      <w:r>
        <w:rPr>
          <w:rtl/>
        </w:rPr>
        <w:t xml:space="preserve"> </w:t>
      </w:r>
      <w:r w:rsidRPr="006571A5">
        <w:rPr>
          <w:rtl/>
        </w:rPr>
        <w:t>فيما</w:t>
      </w:r>
      <w:r>
        <w:rPr>
          <w:rtl/>
        </w:rPr>
        <w:t xml:space="preserve"> </w:t>
      </w:r>
      <w:r w:rsidRPr="006571A5">
        <w:rPr>
          <w:rtl/>
        </w:rPr>
        <w:t>يخص</w:t>
      </w:r>
      <w:r>
        <w:rPr>
          <w:rtl/>
        </w:rPr>
        <w:t xml:space="preserve"> </w:t>
      </w:r>
      <w:r w:rsidRPr="006571A5">
        <w:rPr>
          <w:rtl/>
        </w:rPr>
        <w:t>إحالته</w:t>
      </w:r>
      <w:r>
        <w:rPr>
          <w:rtl/>
        </w:rPr>
        <w:t xml:space="preserve"> </w:t>
      </w:r>
      <w:r w:rsidRPr="006571A5">
        <w:rPr>
          <w:rtl/>
        </w:rPr>
        <w:t>إلى</w:t>
      </w:r>
      <w:r>
        <w:rPr>
          <w:rtl/>
        </w:rPr>
        <w:t xml:space="preserve"> </w:t>
      </w:r>
      <w:r w:rsidRPr="006571A5">
        <w:rPr>
          <w:rtl/>
        </w:rPr>
        <w:t>قضية</w:t>
      </w:r>
      <w:r>
        <w:rPr>
          <w:rtl/>
        </w:rPr>
        <w:t xml:space="preserve"> </w:t>
      </w:r>
      <w:proofErr w:type="spellStart"/>
      <w:r w:rsidRPr="006571A5">
        <w:rPr>
          <w:i/>
          <w:iCs/>
          <w:rtl/>
        </w:rPr>
        <w:t>تَراخِل</w:t>
      </w:r>
      <w:proofErr w:type="spellEnd"/>
      <w:r>
        <w:rPr>
          <w:i/>
          <w:iCs/>
          <w:rtl/>
        </w:rPr>
        <w:t xml:space="preserve"> </w:t>
      </w:r>
      <w:r w:rsidRPr="006571A5">
        <w:rPr>
          <w:i/>
          <w:iCs/>
          <w:rtl/>
        </w:rPr>
        <w:t>ضد</w:t>
      </w:r>
      <w:r>
        <w:rPr>
          <w:i/>
          <w:iCs/>
          <w:rtl/>
        </w:rPr>
        <w:t xml:space="preserve"> </w:t>
      </w:r>
      <w:r w:rsidRPr="006571A5">
        <w:rPr>
          <w:i/>
          <w:iCs/>
          <w:rtl/>
        </w:rPr>
        <w:t>سويسرا</w:t>
      </w:r>
      <w:r w:rsidR="004B1017" w:rsidRPr="004B1017">
        <w:rPr>
          <w:szCs w:val="30"/>
          <w:vertAlign w:val="superscript"/>
          <w:rtl/>
        </w:rPr>
        <w:t>(</w:t>
      </w:r>
      <w:r w:rsidR="004B1017" w:rsidRPr="004B1017">
        <w:rPr>
          <w:rStyle w:val="FootnoteReference"/>
          <w:szCs w:val="30"/>
          <w:rtl/>
        </w:rPr>
        <w:footnoteReference w:id="7"/>
      </w:r>
      <w:r w:rsidR="004B1017" w:rsidRPr="004B1017">
        <w:rPr>
          <w:szCs w:val="30"/>
          <w:vertAlign w:val="superscript"/>
          <w:rtl/>
        </w:rPr>
        <w:t>)</w:t>
      </w:r>
      <w:r w:rsidRPr="006571A5">
        <w:rPr>
          <w:rtl/>
        </w:rPr>
        <w:t>،</w:t>
      </w:r>
      <w:r>
        <w:rPr>
          <w:rtl/>
        </w:rPr>
        <w:t xml:space="preserve"> </w:t>
      </w:r>
      <w:r w:rsidRPr="006571A5">
        <w:rPr>
          <w:rtl/>
        </w:rPr>
        <w:t>تلاحظ</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أن</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لم</w:t>
      </w:r>
      <w:r>
        <w:rPr>
          <w:rtl/>
        </w:rPr>
        <w:t xml:space="preserve"> </w:t>
      </w:r>
      <w:r w:rsidRPr="006571A5">
        <w:rPr>
          <w:rtl/>
        </w:rPr>
        <w:t>تبين</w:t>
      </w:r>
      <w:r>
        <w:rPr>
          <w:rtl/>
        </w:rPr>
        <w:t xml:space="preserve"> </w:t>
      </w:r>
      <w:r w:rsidRPr="006571A5">
        <w:rPr>
          <w:rtl/>
        </w:rPr>
        <w:t>بالتفصيل</w:t>
      </w:r>
      <w:r>
        <w:rPr>
          <w:rtl/>
        </w:rPr>
        <w:t xml:space="preserve"> </w:t>
      </w:r>
      <w:r w:rsidRPr="006571A5">
        <w:rPr>
          <w:rtl/>
        </w:rPr>
        <w:t>صلة</w:t>
      </w:r>
      <w:r>
        <w:rPr>
          <w:rtl/>
        </w:rPr>
        <w:t xml:space="preserve"> </w:t>
      </w:r>
      <w:r w:rsidRPr="006571A5">
        <w:rPr>
          <w:rtl/>
        </w:rPr>
        <w:t>هذه</w:t>
      </w:r>
      <w:r>
        <w:rPr>
          <w:rtl/>
        </w:rPr>
        <w:t xml:space="preserve"> </w:t>
      </w:r>
      <w:r w:rsidRPr="006571A5">
        <w:rPr>
          <w:rtl/>
        </w:rPr>
        <w:t>القضية</w:t>
      </w:r>
      <w:r>
        <w:rPr>
          <w:rtl/>
        </w:rPr>
        <w:t xml:space="preserve"> </w:t>
      </w:r>
      <w:r w:rsidRPr="006571A5">
        <w:rPr>
          <w:rtl/>
        </w:rPr>
        <w:t>بقضيتها؛</w:t>
      </w:r>
      <w:r>
        <w:rPr>
          <w:rtl/>
        </w:rPr>
        <w:t xml:space="preserve"> </w:t>
      </w:r>
      <w:r w:rsidRPr="006571A5">
        <w:rPr>
          <w:rtl/>
        </w:rPr>
        <w:t>ثم</w:t>
      </w:r>
      <w:r>
        <w:rPr>
          <w:rtl/>
        </w:rPr>
        <w:t xml:space="preserve"> </w:t>
      </w:r>
      <w:r w:rsidRPr="006571A5">
        <w:rPr>
          <w:rtl/>
        </w:rPr>
        <w:t>أن</w:t>
      </w:r>
      <w:r>
        <w:rPr>
          <w:rtl/>
        </w:rPr>
        <w:t xml:space="preserve"> </w:t>
      </w:r>
      <w:r w:rsidRPr="006571A5">
        <w:rPr>
          <w:rtl/>
        </w:rPr>
        <w:t>هذه</w:t>
      </w:r>
      <w:r>
        <w:rPr>
          <w:rtl/>
        </w:rPr>
        <w:t xml:space="preserve"> </w:t>
      </w:r>
      <w:r w:rsidRPr="006571A5">
        <w:rPr>
          <w:rtl/>
        </w:rPr>
        <w:t>القضية</w:t>
      </w:r>
      <w:r>
        <w:rPr>
          <w:rtl/>
        </w:rPr>
        <w:t xml:space="preserve"> </w:t>
      </w:r>
      <w:r w:rsidRPr="006571A5">
        <w:rPr>
          <w:rtl/>
        </w:rPr>
        <w:t>تتعلق</w:t>
      </w:r>
      <w:r>
        <w:rPr>
          <w:rtl/>
        </w:rPr>
        <w:t xml:space="preserve"> </w:t>
      </w:r>
      <w:r w:rsidRPr="006571A5">
        <w:rPr>
          <w:rtl/>
        </w:rPr>
        <w:t>بترحيلٍ</w:t>
      </w:r>
      <w:r>
        <w:rPr>
          <w:rtl/>
        </w:rPr>
        <w:t xml:space="preserve"> </w:t>
      </w:r>
      <w:r w:rsidRPr="006571A5">
        <w:rPr>
          <w:rtl/>
        </w:rPr>
        <w:t>إلى</w:t>
      </w:r>
      <w:r>
        <w:rPr>
          <w:rtl/>
        </w:rPr>
        <w:t xml:space="preserve"> </w:t>
      </w:r>
      <w:r w:rsidRPr="006571A5">
        <w:rPr>
          <w:rtl/>
        </w:rPr>
        <w:t>إيطاليا،</w:t>
      </w:r>
      <w:r>
        <w:rPr>
          <w:rtl/>
        </w:rPr>
        <w:t xml:space="preserve"> </w:t>
      </w:r>
      <w:r w:rsidRPr="006571A5">
        <w:rPr>
          <w:rtl/>
        </w:rPr>
        <w:t>وبالتالي</w:t>
      </w:r>
      <w:r>
        <w:rPr>
          <w:rtl/>
        </w:rPr>
        <w:t xml:space="preserve"> </w:t>
      </w:r>
      <w:r w:rsidRPr="006571A5">
        <w:rPr>
          <w:rtl/>
        </w:rPr>
        <w:t>لا</w:t>
      </w:r>
      <w:r>
        <w:rPr>
          <w:rtl/>
        </w:rPr>
        <w:t xml:space="preserve"> </w:t>
      </w:r>
      <w:r w:rsidRPr="006571A5">
        <w:rPr>
          <w:rtl/>
        </w:rPr>
        <w:t>صلة</w:t>
      </w:r>
      <w:r>
        <w:rPr>
          <w:rtl/>
        </w:rPr>
        <w:t xml:space="preserve"> </w:t>
      </w:r>
      <w:r w:rsidRPr="006571A5">
        <w:rPr>
          <w:rtl/>
        </w:rPr>
        <w:t>لها</w:t>
      </w:r>
      <w:r>
        <w:rPr>
          <w:rtl/>
        </w:rPr>
        <w:t xml:space="preserve"> </w:t>
      </w:r>
      <w:r w:rsidRPr="006571A5">
        <w:rPr>
          <w:rtl/>
        </w:rPr>
        <w:t>بالقضية</w:t>
      </w:r>
      <w:r>
        <w:rPr>
          <w:rtl/>
        </w:rPr>
        <w:t xml:space="preserve"> </w:t>
      </w:r>
      <w:r w:rsidRPr="006571A5">
        <w:rPr>
          <w:rtl/>
        </w:rPr>
        <w:t>قيد</w:t>
      </w:r>
      <w:r>
        <w:rPr>
          <w:rtl/>
        </w:rPr>
        <w:t xml:space="preserve"> </w:t>
      </w:r>
      <w:r w:rsidRPr="006571A5">
        <w:rPr>
          <w:rtl/>
        </w:rPr>
        <w:t>النظر.</w:t>
      </w:r>
    </w:p>
    <w:p w14:paraId="44B45572" w14:textId="79C255BC" w:rsidR="006571A5" w:rsidRPr="006571A5" w:rsidRDefault="006571A5" w:rsidP="006571A5">
      <w:pPr>
        <w:pStyle w:val="SingleTxt"/>
        <w:rPr>
          <w:rtl/>
        </w:rPr>
      </w:pPr>
      <w:r w:rsidRPr="006571A5">
        <w:rPr>
          <w:rtl/>
        </w:rPr>
        <w:t>6-3</w:t>
      </w:r>
      <w:r w:rsidRPr="006571A5">
        <w:rPr>
          <w:rtl/>
        </w:rPr>
        <w:tab/>
        <w:t>وفيما</w:t>
      </w:r>
      <w:r>
        <w:rPr>
          <w:rtl/>
        </w:rPr>
        <w:t xml:space="preserve"> </w:t>
      </w:r>
      <w:r w:rsidRPr="006571A5">
        <w:rPr>
          <w:rtl/>
        </w:rPr>
        <w:t>يخص</w:t>
      </w:r>
      <w:r>
        <w:rPr>
          <w:rtl/>
        </w:rPr>
        <w:t xml:space="preserve"> </w:t>
      </w:r>
      <w:r w:rsidRPr="006571A5">
        <w:rPr>
          <w:rtl/>
        </w:rPr>
        <w:t>الادعاء</w:t>
      </w:r>
      <w:r>
        <w:rPr>
          <w:rtl/>
        </w:rPr>
        <w:t xml:space="preserve"> </w:t>
      </w:r>
      <w:r w:rsidRPr="006571A5">
        <w:rPr>
          <w:rtl/>
        </w:rPr>
        <w:t>بأن</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لم</w:t>
      </w:r>
      <w:r>
        <w:rPr>
          <w:rtl/>
        </w:rPr>
        <w:t xml:space="preserve"> </w:t>
      </w:r>
      <w:r w:rsidRPr="006571A5">
        <w:rPr>
          <w:rtl/>
        </w:rPr>
        <w:t>يأخذ</w:t>
      </w:r>
      <w:r>
        <w:rPr>
          <w:rtl/>
        </w:rPr>
        <w:t xml:space="preserve"> </w:t>
      </w:r>
      <w:r w:rsidRPr="006571A5">
        <w:rPr>
          <w:rtl/>
        </w:rPr>
        <w:t>في</w:t>
      </w:r>
      <w:r>
        <w:rPr>
          <w:rtl/>
        </w:rPr>
        <w:t xml:space="preserve"> </w:t>
      </w:r>
      <w:r w:rsidRPr="006571A5">
        <w:rPr>
          <w:rtl/>
        </w:rPr>
        <w:t>الاعتبار</w:t>
      </w:r>
      <w:r>
        <w:rPr>
          <w:rtl/>
        </w:rPr>
        <w:t xml:space="preserve"> </w:t>
      </w:r>
      <w:r w:rsidRPr="006571A5">
        <w:rPr>
          <w:rtl/>
        </w:rPr>
        <w:t>الوضع</w:t>
      </w:r>
      <w:r>
        <w:rPr>
          <w:rtl/>
        </w:rPr>
        <w:t xml:space="preserve"> </w:t>
      </w:r>
      <w:r w:rsidRPr="006571A5">
        <w:rPr>
          <w:rtl/>
        </w:rPr>
        <w:t>الخطير</w:t>
      </w:r>
      <w:r>
        <w:rPr>
          <w:rtl/>
        </w:rPr>
        <w:t xml:space="preserve"> </w:t>
      </w:r>
      <w:r w:rsidRPr="006571A5">
        <w:rPr>
          <w:rtl/>
        </w:rPr>
        <w:t>الذي</w:t>
      </w:r>
      <w:r>
        <w:rPr>
          <w:rtl/>
        </w:rPr>
        <w:t xml:space="preserve"> </w:t>
      </w:r>
      <w:r w:rsidRPr="006571A5">
        <w:rPr>
          <w:rtl/>
        </w:rPr>
        <w:t>عاشته</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في</w:t>
      </w:r>
      <w:r>
        <w:rPr>
          <w:rtl/>
        </w:rPr>
        <w:t xml:space="preserve"> </w:t>
      </w:r>
      <w:r w:rsidRPr="006571A5">
        <w:rPr>
          <w:rtl/>
        </w:rPr>
        <w:t>الصومال،</w:t>
      </w:r>
      <w:r>
        <w:rPr>
          <w:rtl/>
        </w:rPr>
        <w:t xml:space="preserve"> </w:t>
      </w:r>
      <w:r w:rsidRPr="006571A5">
        <w:rPr>
          <w:rtl/>
        </w:rPr>
        <w:t>تؤكد</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أنها</w:t>
      </w:r>
      <w:r>
        <w:rPr>
          <w:rtl/>
        </w:rPr>
        <w:t xml:space="preserve"> </w:t>
      </w:r>
      <w:r w:rsidRPr="006571A5">
        <w:rPr>
          <w:rtl/>
        </w:rPr>
        <w:t>ما</w:t>
      </w:r>
      <w:r>
        <w:rPr>
          <w:rtl/>
        </w:rPr>
        <w:t xml:space="preserve"> </w:t>
      </w:r>
      <w:r w:rsidRPr="006571A5">
        <w:rPr>
          <w:rtl/>
        </w:rPr>
        <w:t>زالت</w:t>
      </w:r>
      <w:r>
        <w:rPr>
          <w:rtl/>
        </w:rPr>
        <w:t xml:space="preserve"> </w:t>
      </w:r>
      <w:r w:rsidRPr="006571A5">
        <w:rPr>
          <w:rtl/>
        </w:rPr>
        <w:t>ترى</w:t>
      </w:r>
      <w:r>
        <w:rPr>
          <w:rtl/>
        </w:rPr>
        <w:t xml:space="preserve"> </w:t>
      </w:r>
      <w:r w:rsidRPr="006571A5">
        <w:rPr>
          <w:rtl/>
        </w:rPr>
        <w:t>أن</w:t>
      </w:r>
      <w:r>
        <w:rPr>
          <w:rtl/>
        </w:rPr>
        <w:t xml:space="preserve"> </w:t>
      </w:r>
      <w:r w:rsidRPr="006571A5">
        <w:rPr>
          <w:rtl/>
        </w:rPr>
        <w:t>الظروف</w:t>
      </w:r>
      <w:r>
        <w:rPr>
          <w:rtl/>
        </w:rPr>
        <w:t xml:space="preserve"> </w:t>
      </w:r>
      <w:r w:rsidRPr="006571A5">
        <w:rPr>
          <w:rtl/>
        </w:rPr>
        <w:t>العامة</w:t>
      </w:r>
      <w:r>
        <w:rPr>
          <w:rtl/>
        </w:rPr>
        <w:t xml:space="preserve"> </w:t>
      </w:r>
      <w:r w:rsidRPr="006571A5">
        <w:rPr>
          <w:rtl/>
        </w:rPr>
        <w:t>في</w:t>
      </w:r>
      <w:r>
        <w:rPr>
          <w:rtl/>
        </w:rPr>
        <w:t xml:space="preserve"> </w:t>
      </w:r>
      <w:r w:rsidRPr="006571A5">
        <w:rPr>
          <w:rtl/>
        </w:rPr>
        <w:t>الصومال،</w:t>
      </w:r>
      <w:r>
        <w:rPr>
          <w:rtl/>
        </w:rPr>
        <w:t xml:space="preserve"> </w:t>
      </w:r>
      <w:r w:rsidR="003667F2" w:rsidRPr="006571A5">
        <w:rPr>
          <w:rtl/>
        </w:rPr>
        <w:t>بما</w:t>
      </w:r>
      <w:r w:rsidR="003667F2">
        <w:rPr>
          <w:rFonts w:hint="cs"/>
          <w:rtl/>
        </w:rPr>
        <w:t> </w:t>
      </w:r>
      <w:r w:rsidR="003667F2" w:rsidRPr="006571A5">
        <w:rPr>
          <w:rtl/>
        </w:rPr>
        <w:t>في</w:t>
      </w:r>
      <w:r w:rsidR="003667F2">
        <w:rPr>
          <w:rFonts w:hint="cs"/>
          <w:rtl/>
        </w:rPr>
        <w:t> </w:t>
      </w:r>
      <w:r w:rsidRPr="006571A5">
        <w:rPr>
          <w:rtl/>
        </w:rPr>
        <w:t>ذلك</w:t>
      </w:r>
      <w:r>
        <w:rPr>
          <w:rtl/>
        </w:rPr>
        <w:t xml:space="preserve"> </w:t>
      </w:r>
      <w:r w:rsidRPr="006571A5">
        <w:rPr>
          <w:rtl/>
        </w:rPr>
        <w:t>بمنطقة</w:t>
      </w:r>
      <w:r>
        <w:rPr>
          <w:rtl/>
        </w:rPr>
        <w:t xml:space="preserve"> </w:t>
      </w:r>
      <w:r w:rsidRPr="006571A5">
        <w:rPr>
          <w:rtl/>
        </w:rPr>
        <w:t>جلجدود،</w:t>
      </w:r>
      <w:r>
        <w:rPr>
          <w:rtl/>
        </w:rPr>
        <w:t xml:space="preserve"> </w:t>
      </w:r>
      <w:r w:rsidRPr="006571A5">
        <w:rPr>
          <w:rtl/>
        </w:rPr>
        <w:t>ليست</w:t>
      </w:r>
      <w:r>
        <w:rPr>
          <w:rtl/>
        </w:rPr>
        <w:t xml:space="preserve"> </w:t>
      </w:r>
      <w:r w:rsidRPr="006571A5">
        <w:rPr>
          <w:rtl/>
        </w:rPr>
        <w:t>من</w:t>
      </w:r>
      <w:r>
        <w:rPr>
          <w:rtl/>
        </w:rPr>
        <w:t xml:space="preserve"> </w:t>
      </w:r>
      <w:r w:rsidRPr="006571A5">
        <w:rPr>
          <w:rtl/>
        </w:rPr>
        <w:t>الخطورة</w:t>
      </w:r>
      <w:r>
        <w:rPr>
          <w:rtl/>
        </w:rPr>
        <w:t xml:space="preserve"> </w:t>
      </w:r>
      <w:r w:rsidRPr="006571A5">
        <w:rPr>
          <w:rtl/>
        </w:rPr>
        <w:t>بحيث</w:t>
      </w:r>
      <w:r>
        <w:rPr>
          <w:rtl/>
        </w:rPr>
        <w:t xml:space="preserve"> </w:t>
      </w:r>
      <w:r w:rsidRPr="006571A5">
        <w:rPr>
          <w:rtl/>
        </w:rPr>
        <w:t>يواجه</w:t>
      </w:r>
      <w:r>
        <w:rPr>
          <w:rtl/>
        </w:rPr>
        <w:t xml:space="preserve"> </w:t>
      </w:r>
      <w:r w:rsidRPr="006571A5">
        <w:rPr>
          <w:rtl/>
        </w:rPr>
        <w:t>أي</w:t>
      </w:r>
      <w:r>
        <w:rPr>
          <w:rtl/>
        </w:rPr>
        <w:t xml:space="preserve"> </w:t>
      </w:r>
      <w:r w:rsidRPr="006571A5">
        <w:rPr>
          <w:rtl/>
        </w:rPr>
        <w:t>شخص</w:t>
      </w:r>
      <w:r>
        <w:rPr>
          <w:rtl/>
        </w:rPr>
        <w:t xml:space="preserve"> </w:t>
      </w:r>
      <w:r w:rsidRPr="006571A5">
        <w:rPr>
          <w:rtl/>
        </w:rPr>
        <w:t>يعود</w:t>
      </w:r>
      <w:r>
        <w:rPr>
          <w:rtl/>
        </w:rPr>
        <w:t xml:space="preserve"> </w:t>
      </w:r>
      <w:r w:rsidRPr="006571A5">
        <w:rPr>
          <w:rtl/>
        </w:rPr>
        <w:t>إلى</w:t>
      </w:r>
      <w:r>
        <w:rPr>
          <w:rtl/>
        </w:rPr>
        <w:t xml:space="preserve"> </w:t>
      </w:r>
      <w:r w:rsidRPr="006571A5">
        <w:rPr>
          <w:rtl/>
        </w:rPr>
        <w:t>الصومال</w:t>
      </w:r>
      <w:r>
        <w:rPr>
          <w:rtl/>
        </w:rPr>
        <w:t xml:space="preserve"> </w:t>
      </w:r>
      <w:r w:rsidRPr="006571A5">
        <w:rPr>
          <w:rtl/>
        </w:rPr>
        <w:t>خطر</w:t>
      </w:r>
      <w:r>
        <w:rPr>
          <w:rtl/>
        </w:rPr>
        <w:t xml:space="preserve"> </w:t>
      </w:r>
      <w:r w:rsidRPr="006571A5">
        <w:rPr>
          <w:rtl/>
        </w:rPr>
        <w:t>الإيذاء</w:t>
      </w:r>
      <w:r>
        <w:rPr>
          <w:rtl/>
        </w:rPr>
        <w:t xml:space="preserve"> </w:t>
      </w:r>
      <w:r w:rsidRPr="006571A5">
        <w:rPr>
          <w:rtl/>
        </w:rPr>
        <w:t>المنصوص</w:t>
      </w:r>
      <w:r>
        <w:rPr>
          <w:rtl/>
        </w:rPr>
        <w:t xml:space="preserve"> </w:t>
      </w:r>
      <w:r w:rsidRPr="006571A5">
        <w:rPr>
          <w:rtl/>
        </w:rPr>
        <w:t>عليه</w:t>
      </w:r>
      <w:r>
        <w:rPr>
          <w:rtl/>
        </w:rPr>
        <w:t xml:space="preserve"> </w:t>
      </w:r>
      <w:r w:rsidRPr="006571A5">
        <w:rPr>
          <w:rtl/>
        </w:rPr>
        <w:t>في</w:t>
      </w:r>
      <w:r>
        <w:rPr>
          <w:rtl/>
        </w:rPr>
        <w:t xml:space="preserve"> </w:t>
      </w:r>
      <w:r w:rsidRPr="006571A5">
        <w:rPr>
          <w:rtl/>
        </w:rPr>
        <w:t>المادة</w:t>
      </w:r>
      <w:r>
        <w:rPr>
          <w:rtl/>
        </w:rPr>
        <w:t xml:space="preserve"> </w:t>
      </w:r>
      <w:r w:rsidRPr="006571A5">
        <w:rPr>
          <w:rtl/>
        </w:rPr>
        <w:t>7</w:t>
      </w:r>
      <w:r>
        <w:rPr>
          <w:rtl/>
        </w:rPr>
        <w:t xml:space="preserve"> </w:t>
      </w:r>
      <w:r w:rsidRPr="006571A5">
        <w:rPr>
          <w:rtl/>
        </w:rPr>
        <w:t>من</w:t>
      </w:r>
      <w:r>
        <w:rPr>
          <w:rtl/>
        </w:rPr>
        <w:t xml:space="preserve"> </w:t>
      </w:r>
      <w:r w:rsidRPr="006571A5">
        <w:rPr>
          <w:rtl/>
        </w:rPr>
        <w:t>قانون</w:t>
      </w:r>
      <w:r>
        <w:rPr>
          <w:rtl/>
        </w:rPr>
        <w:t xml:space="preserve"> </w:t>
      </w:r>
      <w:r w:rsidRPr="006571A5">
        <w:rPr>
          <w:rtl/>
        </w:rPr>
        <w:t>الأجانب.</w:t>
      </w:r>
    </w:p>
    <w:p w14:paraId="553EE11C" w14:textId="24837404" w:rsidR="006571A5" w:rsidRPr="006571A5" w:rsidRDefault="006571A5" w:rsidP="006571A5">
      <w:pPr>
        <w:pStyle w:val="SingleTxt"/>
        <w:rPr>
          <w:rtl/>
        </w:rPr>
      </w:pPr>
      <w:r w:rsidRPr="006571A5">
        <w:rPr>
          <w:rtl/>
        </w:rPr>
        <w:t>6-4</w:t>
      </w:r>
      <w:r w:rsidRPr="006571A5">
        <w:rPr>
          <w:rtl/>
        </w:rPr>
        <w:tab/>
        <w:t>وتؤكد</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مجددا</w:t>
      </w:r>
      <w:r>
        <w:rPr>
          <w:rtl/>
        </w:rPr>
        <w:t xml:space="preserve"> </w:t>
      </w:r>
      <w:r w:rsidRPr="006571A5">
        <w:rPr>
          <w:rtl/>
        </w:rPr>
        <w:t>أن</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لم</w:t>
      </w:r>
      <w:r>
        <w:rPr>
          <w:rtl/>
        </w:rPr>
        <w:t xml:space="preserve"> </w:t>
      </w:r>
      <w:r w:rsidRPr="006571A5">
        <w:rPr>
          <w:rtl/>
        </w:rPr>
        <w:t>تثبت</w:t>
      </w:r>
      <w:r>
        <w:rPr>
          <w:rtl/>
        </w:rPr>
        <w:t xml:space="preserve"> </w:t>
      </w:r>
      <w:r w:rsidRPr="006571A5">
        <w:rPr>
          <w:rtl/>
        </w:rPr>
        <w:t>أن</w:t>
      </w:r>
      <w:r>
        <w:rPr>
          <w:rtl/>
        </w:rPr>
        <w:t xml:space="preserve"> </w:t>
      </w:r>
      <w:r w:rsidRPr="006571A5">
        <w:rPr>
          <w:rtl/>
        </w:rPr>
        <w:t>دعواها</w:t>
      </w:r>
      <w:r>
        <w:rPr>
          <w:rtl/>
        </w:rPr>
        <w:t xml:space="preserve"> </w:t>
      </w:r>
      <w:r w:rsidRPr="006571A5">
        <w:rPr>
          <w:rtl/>
        </w:rPr>
        <w:t>ظاهرة</w:t>
      </w:r>
      <w:r>
        <w:rPr>
          <w:rtl/>
        </w:rPr>
        <w:t xml:space="preserve"> </w:t>
      </w:r>
      <w:r w:rsidRPr="006571A5">
        <w:rPr>
          <w:rtl/>
        </w:rPr>
        <w:t>الوجاهة</w:t>
      </w:r>
      <w:r>
        <w:rPr>
          <w:rtl/>
        </w:rPr>
        <w:t xml:space="preserve"> </w:t>
      </w:r>
      <w:r w:rsidRPr="006571A5">
        <w:rPr>
          <w:rtl/>
        </w:rPr>
        <w:t>لأغراض</w:t>
      </w:r>
      <w:r>
        <w:rPr>
          <w:rtl/>
        </w:rPr>
        <w:t xml:space="preserve"> </w:t>
      </w:r>
      <w:r w:rsidRPr="006571A5">
        <w:rPr>
          <w:rtl/>
        </w:rPr>
        <w:t>المقبولية</w:t>
      </w:r>
      <w:r>
        <w:rPr>
          <w:rtl/>
        </w:rPr>
        <w:t xml:space="preserve"> </w:t>
      </w:r>
      <w:r w:rsidRPr="006571A5">
        <w:rPr>
          <w:rtl/>
        </w:rPr>
        <w:t>بموجب</w:t>
      </w:r>
      <w:r>
        <w:rPr>
          <w:rtl/>
        </w:rPr>
        <w:t xml:space="preserve"> </w:t>
      </w:r>
      <w:r w:rsidRPr="006571A5">
        <w:rPr>
          <w:rtl/>
        </w:rPr>
        <w:t>المادة</w:t>
      </w:r>
      <w:r>
        <w:rPr>
          <w:rtl/>
        </w:rPr>
        <w:t xml:space="preserve"> </w:t>
      </w:r>
      <w:r w:rsidRPr="006571A5">
        <w:rPr>
          <w:rtl/>
        </w:rPr>
        <w:t>4</w:t>
      </w:r>
      <w:r>
        <w:rPr>
          <w:rtl/>
        </w:rPr>
        <w:t xml:space="preserve"> </w:t>
      </w:r>
      <w:r w:rsidRPr="006571A5">
        <w:rPr>
          <w:rtl/>
        </w:rPr>
        <w:t>(2)</w:t>
      </w:r>
      <w:r>
        <w:rPr>
          <w:rtl/>
        </w:rPr>
        <w:t xml:space="preserve"> </w:t>
      </w:r>
      <w:r w:rsidRPr="006571A5">
        <w:rPr>
          <w:rtl/>
        </w:rPr>
        <w:t>(ج)</w:t>
      </w:r>
      <w:r>
        <w:rPr>
          <w:rtl/>
        </w:rPr>
        <w:t xml:space="preserve"> </w:t>
      </w:r>
      <w:r w:rsidRPr="006571A5">
        <w:rPr>
          <w:rtl/>
        </w:rPr>
        <w:t>من</w:t>
      </w:r>
      <w:r>
        <w:rPr>
          <w:rtl/>
        </w:rPr>
        <w:t xml:space="preserve"> </w:t>
      </w:r>
      <w:r w:rsidRPr="006571A5">
        <w:rPr>
          <w:rtl/>
        </w:rPr>
        <w:t>البروتوكول</w:t>
      </w:r>
      <w:r>
        <w:rPr>
          <w:rtl/>
        </w:rPr>
        <w:t xml:space="preserve"> </w:t>
      </w:r>
      <w:r w:rsidRPr="006571A5">
        <w:rPr>
          <w:rtl/>
        </w:rPr>
        <w:t>الاختياري،</w:t>
      </w:r>
      <w:r>
        <w:rPr>
          <w:rtl/>
        </w:rPr>
        <w:t xml:space="preserve"> </w:t>
      </w:r>
      <w:r w:rsidRPr="006571A5">
        <w:rPr>
          <w:rtl/>
        </w:rPr>
        <w:t>ولهذا</w:t>
      </w:r>
      <w:r>
        <w:rPr>
          <w:rtl/>
        </w:rPr>
        <w:t xml:space="preserve"> </w:t>
      </w:r>
      <w:r w:rsidRPr="006571A5">
        <w:rPr>
          <w:rtl/>
        </w:rPr>
        <w:t>ينبغي</w:t>
      </w:r>
      <w:r>
        <w:rPr>
          <w:rtl/>
        </w:rPr>
        <w:t xml:space="preserve"> </w:t>
      </w:r>
      <w:r w:rsidRPr="006571A5">
        <w:rPr>
          <w:rtl/>
        </w:rPr>
        <w:t>اعتبار</w:t>
      </w:r>
      <w:r>
        <w:rPr>
          <w:rtl/>
        </w:rPr>
        <w:t xml:space="preserve"> </w:t>
      </w:r>
      <w:r w:rsidRPr="006571A5">
        <w:rPr>
          <w:rtl/>
        </w:rPr>
        <w:t>الرسالة</w:t>
      </w:r>
      <w:r>
        <w:rPr>
          <w:rtl/>
        </w:rPr>
        <w:t xml:space="preserve"> </w:t>
      </w:r>
      <w:r w:rsidRPr="006571A5">
        <w:rPr>
          <w:rtl/>
        </w:rPr>
        <w:t>غير</w:t>
      </w:r>
      <w:r>
        <w:rPr>
          <w:rtl/>
        </w:rPr>
        <w:t xml:space="preserve"> </w:t>
      </w:r>
      <w:r w:rsidRPr="006571A5">
        <w:rPr>
          <w:rtl/>
        </w:rPr>
        <w:t>مقبولة</w:t>
      </w:r>
      <w:r>
        <w:rPr>
          <w:rtl/>
        </w:rPr>
        <w:t xml:space="preserve"> </w:t>
      </w:r>
      <w:r w:rsidRPr="006571A5">
        <w:rPr>
          <w:rtl/>
        </w:rPr>
        <w:lastRenderedPageBreak/>
        <w:t>لاستنادها</w:t>
      </w:r>
      <w:r>
        <w:rPr>
          <w:rtl/>
        </w:rPr>
        <w:t xml:space="preserve"> </w:t>
      </w:r>
      <w:r w:rsidRPr="006571A5">
        <w:rPr>
          <w:rtl/>
        </w:rPr>
        <w:t>بوضوح</w:t>
      </w:r>
      <w:r>
        <w:rPr>
          <w:rtl/>
        </w:rPr>
        <w:t xml:space="preserve"> </w:t>
      </w:r>
      <w:r w:rsidRPr="006571A5">
        <w:rPr>
          <w:rtl/>
        </w:rPr>
        <w:t>إلى</w:t>
      </w:r>
      <w:r>
        <w:rPr>
          <w:rtl/>
        </w:rPr>
        <w:t xml:space="preserve"> </w:t>
      </w:r>
      <w:r w:rsidRPr="006571A5">
        <w:rPr>
          <w:rtl/>
        </w:rPr>
        <w:t>أسس</w:t>
      </w:r>
      <w:r>
        <w:rPr>
          <w:rtl/>
        </w:rPr>
        <w:t xml:space="preserve"> </w:t>
      </w:r>
      <w:r w:rsidRPr="006571A5">
        <w:rPr>
          <w:rtl/>
        </w:rPr>
        <w:t>واهية.</w:t>
      </w:r>
      <w:r>
        <w:rPr>
          <w:rtl/>
        </w:rPr>
        <w:t xml:space="preserve"> </w:t>
      </w:r>
      <w:r w:rsidRPr="006571A5">
        <w:rPr>
          <w:rtl/>
        </w:rPr>
        <w:t>وفي</w:t>
      </w:r>
      <w:r>
        <w:rPr>
          <w:rtl/>
        </w:rPr>
        <w:t xml:space="preserve"> </w:t>
      </w:r>
      <w:r w:rsidRPr="006571A5">
        <w:rPr>
          <w:rtl/>
        </w:rPr>
        <w:t>حال</w:t>
      </w:r>
      <w:r>
        <w:rPr>
          <w:rtl/>
        </w:rPr>
        <w:t xml:space="preserve"> </w:t>
      </w:r>
      <w:r w:rsidRPr="006571A5">
        <w:rPr>
          <w:rtl/>
        </w:rPr>
        <w:t>رأت</w:t>
      </w:r>
      <w:r>
        <w:rPr>
          <w:rtl/>
        </w:rPr>
        <w:t xml:space="preserve"> </w:t>
      </w:r>
      <w:r w:rsidRPr="006571A5">
        <w:rPr>
          <w:rtl/>
        </w:rPr>
        <w:t>اللجنة</w:t>
      </w:r>
      <w:r>
        <w:rPr>
          <w:rtl/>
        </w:rPr>
        <w:t xml:space="preserve"> </w:t>
      </w:r>
      <w:r w:rsidRPr="006571A5">
        <w:rPr>
          <w:rtl/>
        </w:rPr>
        <w:t>أن</w:t>
      </w:r>
      <w:r>
        <w:rPr>
          <w:rtl/>
        </w:rPr>
        <w:t xml:space="preserve"> </w:t>
      </w:r>
      <w:r w:rsidRPr="006571A5">
        <w:rPr>
          <w:rtl/>
        </w:rPr>
        <w:t>الرسالة</w:t>
      </w:r>
      <w:r>
        <w:rPr>
          <w:rtl/>
        </w:rPr>
        <w:t xml:space="preserve"> </w:t>
      </w:r>
      <w:r w:rsidRPr="006571A5">
        <w:rPr>
          <w:rtl/>
        </w:rPr>
        <w:t>مقبولة،</w:t>
      </w:r>
      <w:r>
        <w:rPr>
          <w:rtl/>
        </w:rPr>
        <w:t xml:space="preserve"> </w:t>
      </w:r>
      <w:r w:rsidRPr="006571A5">
        <w:rPr>
          <w:rtl/>
        </w:rPr>
        <w:t>فإن</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لم</w:t>
      </w:r>
      <w:r>
        <w:rPr>
          <w:rtl/>
        </w:rPr>
        <w:t xml:space="preserve"> </w:t>
      </w:r>
      <w:r w:rsidRPr="006571A5">
        <w:rPr>
          <w:rtl/>
        </w:rPr>
        <w:t>تثبت</w:t>
      </w:r>
      <w:r>
        <w:rPr>
          <w:rtl/>
        </w:rPr>
        <w:t xml:space="preserve"> </w:t>
      </w:r>
      <w:r w:rsidRPr="006571A5">
        <w:rPr>
          <w:rtl/>
        </w:rPr>
        <w:t>أن</w:t>
      </w:r>
      <w:r>
        <w:rPr>
          <w:rtl/>
        </w:rPr>
        <w:t xml:space="preserve"> </w:t>
      </w:r>
      <w:r w:rsidRPr="006571A5">
        <w:rPr>
          <w:rtl/>
        </w:rPr>
        <w:t>هناك</w:t>
      </w:r>
      <w:r>
        <w:rPr>
          <w:rtl/>
        </w:rPr>
        <w:t xml:space="preserve"> </w:t>
      </w:r>
      <w:r w:rsidRPr="006571A5">
        <w:rPr>
          <w:rtl/>
        </w:rPr>
        <w:t>أسباباً</w:t>
      </w:r>
      <w:r>
        <w:rPr>
          <w:rtl/>
        </w:rPr>
        <w:t xml:space="preserve"> </w:t>
      </w:r>
      <w:r w:rsidRPr="006571A5">
        <w:rPr>
          <w:rtl/>
        </w:rPr>
        <w:t>وجيهة</w:t>
      </w:r>
      <w:r>
        <w:rPr>
          <w:rtl/>
        </w:rPr>
        <w:t xml:space="preserve"> </w:t>
      </w:r>
      <w:r w:rsidRPr="006571A5">
        <w:rPr>
          <w:rtl/>
        </w:rPr>
        <w:t>تدعو</w:t>
      </w:r>
      <w:r>
        <w:rPr>
          <w:rtl/>
        </w:rPr>
        <w:t xml:space="preserve"> </w:t>
      </w:r>
      <w:r w:rsidRPr="006571A5">
        <w:rPr>
          <w:rtl/>
        </w:rPr>
        <w:t>إلى</w:t>
      </w:r>
      <w:r>
        <w:rPr>
          <w:rtl/>
        </w:rPr>
        <w:t xml:space="preserve"> </w:t>
      </w:r>
      <w:r w:rsidRPr="006571A5">
        <w:rPr>
          <w:rtl/>
        </w:rPr>
        <w:t>الاعتقاد</w:t>
      </w:r>
      <w:r>
        <w:rPr>
          <w:rtl/>
        </w:rPr>
        <w:t xml:space="preserve"> </w:t>
      </w:r>
      <w:r w:rsidRPr="006571A5">
        <w:rPr>
          <w:rtl/>
        </w:rPr>
        <w:t>بأن</w:t>
      </w:r>
      <w:r>
        <w:rPr>
          <w:rtl/>
        </w:rPr>
        <w:t xml:space="preserve"> </w:t>
      </w:r>
      <w:r w:rsidRPr="006571A5">
        <w:rPr>
          <w:rtl/>
        </w:rPr>
        <w:t>إعادتها</w:t>
      </w:r>
      <w:r>
        <w:rPr>
          <w:rtl/>
        </w:rPr>
        <w:t xml:space="preserve"> </w:t>
      </w:r>
      <w:r w:rsidRPr="006571A5">
        <w:rPr>
          <w:rtl/>
        </w:rPr>
        <w:t>إلى</w:t>
      </w:r>
      <w:r>
        <w:rPr>
          <w:rtl/>
        </w:rPr>
        <w:t xml:space="preserve"> </w:t>
      </w:r>
      <w:r w:rsidRPr="006571A5">
        <w:rPr>
          <w:rtl/>
        </w:rPr>
        <w:t>الصومال</w:t>
      </w:r>
      <w:r>
        <w:rPr>
          <w:rtl/>
        </w:rPr>
        <w:t xml:space="preserve"> </w:t>
      </w:r>
      <w:r w:rsidRPr="006571A5">
        <w:rPr>
          <w:rtl/>
        </w:rPr>
        <w:t>ستشكّل</w:t>
      </w:r>
      <w:r>
        <w:rPr>
          <w:rtl/>
        </w:rPr>
        <w:t xml:space="preserve"> </w:t>
      </w:r>
      <w:r w:rsidRPr="006571A5">
        <w:rPr>
          <w:rtl/>
        </w:rPr>
        <w:t>انتهاكا</w:t>
      </w:r>
      <w:r>
        <w:rPr>
          <w:rtl/>
        </w:rPr>
        <w:t xml:space="preserve"> </w:t>
      </w:r>
      <w:r w:rsidRPr="006571A5">
        <w:rPr>
          <w:rtl/>
        </w:rPr>
        <w:t>لأحكام</w:t>
      </w:r>
      <w:r>
        <w:rPr>
          <w:rtl/>
        </w:rPr>
        <w:t xml:space="preserve"> </w:t>
      </w:r>
      <w:r w:rsidRPr="006571A5">
        <w:rPr>
          <w:rtl/>
        </w:rPr>
        <w:t>الاتفاقية.</w:t>
      </w:r>
    </w:p>
    <w:p w14:paraId="35481E4F" w14:textId="35D0B270" w:rsidR="006571A5" w:rsidRPr="006571A5" w:rsidRDefault="004B1017" w:rsidP="004B1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6571A5" w:rsidRPr="006571A5">
        <w:rPr>
          <w:rtl/>
        </w:rPr>
        <w:t>تعليقات</w:t>
      </w:r>
      <w:r w:rsidR="006571A5">
        <w:rPr>
          <w:rtl/>
        </w:rPr>
        <w:t xml:space="preserve"> </w:t>
      </w:r>
      <w:r w:rsidR="006571A5" w:rsidRPr="006571A5">
        <w:rPr>
          <w:rtl/>
        </w:rPr>
        <w:t>صاحبة</w:t>
      </w:r>
      <w:r w:rsidR="006571A5">
        <w:rPr>
          <w:rtl/>
        </w:rPr>
        <w:t xml:space="preserve"> </w:t>
      </w:r>
      <w:r w:rsidR="006571A5" w:rsidRPr="006571A5">
        <w:rPr>
          <w:rtl/>
        </w:rPr>
        <w:t>الرسالة</w:t>
      </w:r>
      <w:r w:rsidR="006571A5">
        <w:rPr>
          <w:rtl/>
        </w:rPr>
        <w:t xml:space="preserve"> </w:t>
      </w:r>
      <w:r w:rsidR="006571A5" w:rsidRPr="006571A5">
        <w:rPr>
          <w:rtl/>
        </w:rPr>
        <w:t>على</w:t>
      </w:r>
      <w:r w:rsidR="006571A5">
        <w:rPr>
          <w:rtl/>
        </w:rPr>
        <w:t xml:space="preserve"> </w:t>
      </w:r>
      <w:r w:rsidR="006571A5" w:rsidRPr="006571A5">
        <w:rPr>
          <w:rtl/>
        </w:rPr>
        <w:t>الملاحظات</w:t>
      </w:r>
      <w:r w:rsidR="006571A5">
        <w:rPr>
          <w:rtl/>
        </w:rPr>
        <w:t xml:space="preserve"> </w:t>
      </w:r>
      <w:r w:rsidR="006571A5" w:rsidRPr="006571A5">
        <w:rPr>
          <w:rtl/>
        </w:rPr>
        <w:t>الإضافية</w:t>
      </w:r>
      <w:r w:rsidR="006571A5">
        <w:rPr>
          <w:rtl/>
        </w:rPr>
        <w:t xml:space="preserve"> </w:t>
      </w:r>
      <w:r w:rsidR="006571A5" w:rsidRPr="006571A5">
        <w:rPr>
          <w:rtl/>
        </w:rPr>
        <w:t>للدولة</w:t>
      </w:r>
      <w:r w:rsidR="006571A5">
        <w:rPr>
          <w:rtl/>
        </w:rPr>
        <w:t xml:space="preserve"> </w:t>
      </w:r>
      <w:r w:rsidR="006571A5" w:rsidRPr="006571A5">
        <w:rPr>
          <w:rtl/>
        </w:rPr>
        <w:t>الطرف</w:t>
      </w:r>
      <w:r w:rsidR="006571A5">
        <w:rPr>
          <w:rtl/>
        </w:rPr>
        <w:t xml:space="preserve"> </w:t>
      </w:r>
    </w:p>
    <w:p w14:paraId="1263C4CB" w14:textId="3C9493CE" w:rsidR="006571A5" w:rsidRPr="006571A5" w:rsidRDefault="006571A5" w:rsidP="006571A5">
      <w:pPr>
        <w:pStyle w:val="SingleTxt"/>
        <w:rPr>
          <w:rtl/>
        </w:rPr>
      </w:pPr>
      <w:r w:rsidRPr="006571A5">
        <w:rPr>
          <w:rtl/>
        </w:rPr>
        <w:t>7-1</w:t>
      </w:r>
      <w:r w:rsidRPr="006571A5">
        <w:rPr>
          <w:rtl/>
        </w:rPr>
        <w:tab/>
        <w:t>قدمت</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تعليقاتها</w:t>
      </w:r>
      <w:r>
        <w:rPr>
          <w:rtl/>
        </w:rPr>
        <w:t xml:space="preserve"> </w:t>
      </w:r>
      <w:r w:rsidRPr="006571A5">
        <w:rPr>
          <w:rtl/>
        </w:rPr>
        <w:t>على</w:t>
      </w:r>
      <w:r>
        <w:rPr>
          <w:rtl/>
        </w:rPr>
        <w:t xml:space="preserve"> </w:t>
      </w:r>
      <w:r w:rsidRPr="006571A5">
        <w:rPr>
          <w:rtl/>
        </w:rPr>
        <w:t>ملاحظات</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الإضافية</w:t>
      </w:r>
      <w:r>
        <w:rPr>
          <w:rtl/>
        </w:rPr>
        <w:t xml:space="preserve"> </w:t>
      </w:r>
      <w:r w:rsidRPr="006571A5">
        <w:rPr>
          <w:rtl/>
        </w:rPr>
        <w:t>في</w:t>
      </w:r>
      <w:r>
        <w:rPr>
          <w:rtl/>
        </w:rPr>
        <w:t xml:space="preserve"> </w:t>
      </w:r>
      <w:r w:rsidR="004B1017">
        <w:rPr>
          <w:rtl/>
        </w:rPr>
        <w:t>25</w:t>
      </w:r>
      <w:r>
        <w:rPr>
          <w:rtl/>
        </w:rPr>
        <w:t xml:space="preserve"> </w:t>
      </w:r>
      <w:r w:rsidRPr="006571A5">
        <w:rPr>
          <w:rtl/>
        </w:rPr>
        <w:t>أيار/مايو</w:t>
      </w:r>
      <w:r>
        <w:rPr>
          <w:rtl/>
        </w:rPr>
        <w:t xml:space="preserve"> </w:t>
      </w:r>
      <w:r w:rsidR="004B1017">
        <w:rPr>
          <w:rtl/>
        </w:rPr>
        <w:t>2017</w:t>
      </w:r>
      <w:r w:rsidRPr="006571A5">
        <w:rPr>
          <w:rtl/>
        </w:rPr>
        <w:t>.</w:t>
      </w:r>
      <w:r>
        <w:rPr>
          <w:rtl/>
        </w:rPr>
        <w:t xml:space="preserve"> </w:t>
      </w:r>
      <w:r w:rsidRPr="006571A5">
        <w:rPr>
          <w:rtl/>
        </w:rPr>
        <w:t>ويعرب</w:t>
      </w:r>
      <w:r>
        <w:rPr>
          <w:rtl/>
        </w:rPr>
        <w:t xml:space="preserve"> </w:t>
      </w:r>
      <w:r w:rsidRPr="006571A5">
        <w:rPr>
          <w:rtl/>
        </w:rPr>
        <w:t>فيها</w:t>
      </w:r>
      <w:r>
        <w:rPr>
          <w:rtl/>
        </w:rPr>
        <w:t xml:space="preserve"> </w:t>
      </w:r>
      <w:r w:rsidRPr="006571A5">
        <w:rPr>
          <w:rtl/>
        </w:rPr>
        <w:t>المحامي</w:t>
      </w:r>
      <w:r>
        <w:rPr>
          <w:rtl/>
        </w:rPr>
        <w:t xml:space="preserve"> </w:t>
      </w:r>
      <w:r w:rsidRPr="006571A5">
        <w:rPr>
          <w:rtl/>
        </w:rPr>
        <w:t>عن</w:t>
      </w:r>
      <w:r>
        <w:rPr>
          <w:rtl/>
        </w:rPr>
        <w:t xml:space="preserve"> </w:t>
      </w:r>
      <w:r w:rsidRPr="006571A5">
        <w:rPr>
          <w:rtl/>
        </w:rPr>
        <w:t>بالغ</w:t>
      </w:r>
      <w:r>
        <w:rPr>
          <w:rtl/>
        </w:rPr>
        <w:t xml:space="preserve"> </w:t>
      </w:r>
      <w:r w:rsidRPr="006571A5">
        <w:rPr>
          <w:rtl/>
        </w:rPr>
        <w:t>القلق</w:t>
      </w:r>
      <w:r>
        <w:rPr>
          <w:rtl/>
        </w:rPr>
        <w:t xml:space="preserve"> </w:t>
      </w:r>
      <w:r w:rsidRPr="006571A5">
        <w:rPr>
          <w:rtl/>
        </w:rPr>
        <w:t>إزاء</w:t>
      </w:r>
      <w:r>
        <w:rPr>
          <w:rtl/>
        </w:rPr>
        <w:t xml:space="preserve"> </w:t>
      </w:r>
      <w:r w:rsidRPr="006571A5">
        <w:rPr>
          <w:rtl/>
        </w:rPr>
        <w:t>حجّة</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بشأن</w:t>
      </w:r>
      <w:r>
        <w:rPr>
          <w:rtl/>
        </w:rPr>
        <w:t xml:space="preserve"> </w:t>
      </w:r>
      <w:r w:rsidRPr="006571A5">
        <w:rPr>
          <w:rtl/>
        </w:rPr>
        <w:t>مقبولية</w:t>
      </w:r>
      <w:r>
        <w:rPr>
          <w:rtl/>
        </w:rPr>
        <w:t xml:space="preserve"> </w:t>
      </w:r>
      <w:r w:rsidRPr="006571A5">
        <w:rPr>
          <w:rtl/>
        </w:rPr>
        <w:t>الرسالة.</w:t>
      </w:r>
      <w:r>
        <w:rPr>
          <w:rtl/>
        </w:rPr>
        <w:t xml:space="preserve"> </w:t>
      </w:r>
      <w:r w:rsidRPr="006571A5">
        <w:rPr>
          <w:rtl/>
        </w:rPr>
        <w:t>ويقول</w:t>
      </w:r>
      <w:r>
        <w:rPr>
          <w:rtl/>
        </w:rPr>
        <w:t xml:space="preserve"> </w:t>
      </w:r>
      <w:r w:rsidRPr="006571A5">
        <w:rPr>
          <w:rtl/>
        </w:rPr>
        <w:t>إن</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أثبتت</w:t>
      </w:r>
      <w:r>
        <w:rPr>
          <w:rtl/>
        </w:rPr>
        <w:t xml:space="preserve"> </w:t>
      </w:r>
      <w:r w:rsidRPr="006571A5">
        <w:rPr>
          <w:rtl/>
        </w:rPr>
        <w:t>بالفعل</w:t>
      </w:r>
      <w:r>
        <w:rPr>
          <w:rtl/>
        </w:rPr>
        <w:t xml:space="preserve"> </w:t>
      </w:r>
      <w:r w:rsidRPr="006571A5">
        <w:rPr>
          <w:rtl/>
        </w:rPr>
        <w:t>أن</w:t>
      </w:r>
      <w:r>
        <w:rPr>
          <w:rtl/>
        </w:rPr>
        <w:t xml:space="preserve"> </w:t>
      </w:r>
      <w:r w:rsidRPr="006571A5">
        <w:rPr>
          <w:rtl/>
        </w:rPr>
        <w:t>دعواها</w:t>
      </w:r>
      <w:r>
        <w:rPr>
          <w:rtl/>
        </w:rPr>
        <w:t xml:space="preserve"> </w:t>
      </w:r>
      <w:r w:rsidRPr="006571A5">
        <w:rPr>
          <w:rtl/>
        </w:rPr>
        <w:t>ظاهرة</w:t>
      </w:r>
      <w:r>
        <w:rPr>
          <w:rtl/>
        </w:rPr>
        <w:t xml:space="preserve"> </w:t>
      </w:r>
      <w:r w:rsidRPr="006571A5">
        <w:rPr>
          <w:rtl/>
        </w:rPr>
        <w:t>الوجاهة</w:t>
      </w:r>
      <w:r>
        <w:rPr>
          <w:rtl/>
        </w:rPr>
        <w:t xml:space="preserve"> </w:t>
      </w:r>
      <w:r w:rsidRPr="006571A5">
        <w:rPr>
          <w:rtl/>
        </w:rPr>
        <w:t>لأغراض</w:t>
      </w:r>
      <w:r>
        <w:rPr>
          <w:rtl/>
        </w:rPr>
        <w:t xml:space="preserve"> </w:t>
      </w:r>
      <w:r w:rsidRPr="006571A5">
        <w:rPr>
          <w:rtl/>
        </w:rPr>
        <w:t>المقبولية</w:t>
      </w:r>
      <w:r>
        <w:rPr>
          <w:rtl/>
        </w:rPr>
        <w:t xml:space="preserve"> </w:t>
      </w:r>
      <w:r w:rsidRPr="006571A5">
        <w:rPr>
          <w:rtl/>
        </w:rPr>
        <w:t>بموجب</w:t>
      </w:r>
      <w:r>
        <w:rPr>
          <w:rtl/>
        </w:rPr>
        <w:t xml:space="preserve"> </w:t>
      </w:r>
      <w:r w:rsidRPr="006571A5">
        <w:rPr>
          <w:rtl/>
        </w:rPr>
        <w:t>البروتوكول</w:t>
      </w:r>
      <w:r>
        <w:rPr>
          <w:rtl/>
        </w:rPr>
        <w:t xml:space="preserve"> </w:t>
      </w:r>
      <w:r w:rsidRPr="006571A5">
        <w:rPr>
          <w:rtl/>
        </w:rPr>
        <w:t>الاختياري</w:t>
      </w:r>
      <w:r>
        <w:rPr>
          <w:rtl/>
        </w:rPr>
        <w:t xml:space="preserve"> </w:t>
      </w:r>
      <w:r w:rsidRPr="006571A5">
        <w:rPr>
          <w:rtl/>
        </w:rPr>
        <w:t>وأنها</w:t>
      </w:r>
      <w:r>
        <w:rPr>
          <w:rtl/>
        </w:rPr>
        <w:t xml:space="preserve"> </w:t>
      </w:r>
      <w:r w:rsidRPr="006571A5">
        <w:rPr>
          <w:rtl/>
        </w:rPr>
        <w:t>ستتعرض</w:t>
      </w:r>
      <w:r>
        <w:rPr>
          <w:rtl/>
        </w:rPr>
        <w:t xml:space="preserve"> </w:t>
      </w:r>
      <w:r w:rsidRPr="006571A5">
        <w:rPr>
          <w:rtl/>
        </w:rPr>
        <w:t>لخطر</w:t>
      </w:r>
      <w:r>
        <w:rPr>
          <w:rtl/>
        </w:rPr>
        <w:t xml:space="preserve"> </w:t>
      </w:r>
      <w:r w:rsidRPr="006571A5">
        <w:rPr>
          <w:rtl/>
        </w:rPr>
        <w:t>حقيقي</w:t>
      </w:r>
      <w:r>
        <w:rPr>
          <w:rtl/>
        </w:rPr>
        <w:t xml:space="preserve"> </w:t>
      </w:r>
      <w:r w:rsidRPr="006571A5">
        <w:rPr>
          <w:rtl/>
        </w:rPr>
        <w:t>وشخصي</w:t>
      </w:r>
      <w:r>
        <w:rPr>
          <w:rtl/>
        </w:rPr>
        <w:t xml:space="preserve"> </w:t>
      </w:r>
      <w:r w:rsidRPr="006571A5">
        <w:rPr>
          <w:rtl/>
        </w:rPr>
        <w:t>ومتوقع</w:t>
      </w:r>
      <w:r>
        <w:rPr>
          <w:rtl/>
        </w:rPr>
        <w:t xml:space="preserve"> </w:t>
      </w:r>
      <w:r w:rsidRPr="006571A5">
        <w:rPr>
          <w:rtl/>
        </w:rPr>
        <w:t>يتمثل</w:t>
      </w:r>
      <w:r>
        <w:rPr>
          <w:rtl/>
        </w:rPr>
        <w:t xml:space="preserve"> </w:t>
      </w:r>
      <w:r w:rsidRPr="006571A5">
        <w:rPr>
          <w:rtl/>
        </w:rPr>
        <w:t>في</w:t>
      </w:r>
      <w:r>
        <w:rPr>
          <w:rtl/>
        </w:rPr>
        <w:t xml:space="preserve"> </w:t>
      </w:r>
      <w:r w:rsidRPr="006571A5">
        <w:rPr>
          <w:rtl/>
        </w:rPr>
        <w:t>تعرضها</w:t>
      </w:r>
      <w:r>
        <w:rPr>
          <w:rtl/>
        </w:rPr>
        <w:t xml:space="preserve"> </w:t>
      </w:r>
      <w:r w:rsidRPr="006571A5">
        <w:rPr>
          <w:rtl/>
        </w:rPr>
        <w:t>لأشكال</w:t>
      </w:r>
      <w:r>
        <w:rPr>
          <w:rtl/>
        </w:rPr>
        <w:t xml:space="preserve"> </w:t>
      </w:r>
      <w:r w:rsidRPr="006571A5">
        <w:rPr>
          <w:rtl/>
        </w:rPr>
        <w:t>جسيمة</w:t>
      </w:r>
      <w:r>
        <w:rPr>
          <w:rtl/>
        </w:rPr>
        <w:t xml:space="preserve"> </w:t>
      </w:r>
      <w:r w:rsidRPr="006571A5">
        <w:rPr>
          <w:rtl/>
        </w:rPr>
        <w:t>من</w:t>
      </w:r>
      <w:r>
        <w:rPr>
          <w:rtl/>
        </w:rPr>
        <w:t xml:space="preserve"> </w:t>
      </w:r>
      <w:r w:rsidRPr="006571A5">
        <w:rPr>
          <w:rtl/>
        </w:rPr>
        <w:t>العنف</w:t>
      </w:r>
      <w:r>
        <w:rPr>
          <w:rtl/>
        </w:rPr>
        <w:t xml:space="preserve"> </w:t>
      </w:r>
      <w:r w:rsidRPr="006571A5">
        <w:rPr>
          <w:rtl/>
        </w:rPr>
        <w:t>الجنساني</w:t>
      </w:r>
      <w:r>
        <w:rPr>
          <w:rtl/>
        </w:rPr>
        <w:t xml:space="preserve"> </w:t>
      </w:r>
      <w:r w:rsidRPr="006571A5">
        <w:rPr>
          <w:rtl/>
        </w:rPr>
        <w:t>إذا</w:t>
      </w:r>
      <w:r>
        <w:rPr>
          <w:rtl/>
        </w:rPr>
        <w:t xml:space="preserve"> </w:t>
      </w:r>
      <w:r w:rsidRPr="006571A5">
        <w:rPr>
          <w:rtl/>
        </w:rPr>
        <w:t>أعيدت</w:t>
      </w:r>
      <w:r>
        <w:rPr>
          <w:rtl/>
        </w:rPr>
        <w:t xml:space="preserve"> </w:t>
      </w:r>
      <w:r w:rsidRPr="006571A5">
        <w:rPr>
          <w:rtl/>
        </w:rPr>
        <w:t>إلى</w:t>
      </w:r>
      <w:r>
        <w:rPr>
          <w:rtl/>
        </w:rPr>
        <w:t xml:space="preserve"> </w:t>
      </w:r>
      <w:r w:rsidRPr="006571A5">
        <w:rPr>
          <w:rtl/>
        </w:rPr>
        <w:t>الصومال،</w:t>
      </w:r>
      <w:r>
        <w:rPr>
          <w:rtl/>
        </w:rPr>
        <w:t xml:space="preserve"> </w:t>
      </w:r>
      <w:r w:rsidRPr="006571A5">
        <w:rPr>
          <w:rtl/>
        </w:rPr>
        <w:t>وكذلك</w:t>
      </w:r>
      <w:r>
        <w:rPr>
          <w:rtl/>
        </w:rPr>
        <w:t xml:space="preserve"> </w:t>
      </w:r>
      <w:r w:rsidRPr="006571A5">
        <w:rPr>
          <w:rtl/>
        </w:rPr>
        <w:t>لاحتمال</w:t>
      </w:r>
      <w:r>
        <w:rPr>
          <w:rtl/>
        </w:rPr>
        <w:t xml:space="preserve"> </w:t>
      </w:r>
      <w:r w:rsidRPr="006571A5">
        <w:rPr>
          <w:rtl/>
        </w:rPr>
        <w:t>تزويجها</w:t>
      </w:r>
      <w:r>
        <w:rPr>
          <w:rtl/>
        </w:rPr>
        <w:t xml:space="preserve"> </w:t>
      </w:r>
      <w:r w:rsidRPr="006571A5">
        <w:rPr>
          <w:rtl/>
        </w:rPr>
        <w:t>قسرا</w:t>
      </w:r>
      <w:r>
        <w:rPr>
          <w:rtl/>
        </w:rPr>
        <w:t xml:space="preserve"> </w:t>
      </w:r>
      <w:r w:rsidRPr="006571A5">
        <w:rPr>
          <w:rtl/>
        </w:rPr>
        <w:t>وهو</w:t>
      </w:r>
      <w:r>
        <w:rPr>
          <w:rtl/>
        </w:rPr>
        <w:t xml:space="preserve"> </w:t>
      </w:r>
      <w:r w:rsidRPr="006571A5">
        <w:rPr>
          <w:rtl/>
        </w:rPr>
        <w:t>ما</w:t>
      </w:r>
      <w:r>
        <w:rPr>
          <w:rtl/>
        </w:rPr>
        <w:t xml:space="preserve"> </w:t>
      </w:r>
      <w:r w:rsidRPr="006571A5">
        <w:rPr>
          <w:rtl/>
        </w:rPr>
        <w:t>ينتهك</w:t>
      </w:r>
      <w:r>
        <w:rPr>
          <w:rtl/>
        </w:rPr>
        <w:t xml:space="preserve"> </w:t>
      </w:r>
      <w:r w:rsidRPr="006571A5">
        <w:rPr>
          <w:rtl/>
        </w:rPr>
        <w:t>المادة</w:t>
      </w:r>
      <w:r>
        <w:rPr>
          <w:rtl/>
        </w:rPr>
        <w:t xml:space="preserve"> </w:t>
      </w:r>
      <w:r w:rsidR="004B1017">
        <w:rPr>
          <w:rtl/>
        </w:rPr>
        <w:t>16</w:t>
      </w:r>
      <w:r>
        <w:rPr>
          <w:rtl/>
        </w:rPr>
        <w:t xml:space="preserve"> </w:t>
      </w:r>
      <w:r w:rsidRPr="006571A5">
        <w:rPr>
          <w:rtl/>
        </w:rPr>
        <w:t>(ب)</w:t>
      </w:r>
      <w:r>
        <w:rPr>
          <w:rtl/>
        </w:rPr>
        <w:t xml:space="preserve"> </w:t>
      </w:r>
      <w:r w:rsidRPr="006571A5">
        <w:rPr>
          <w:rtl/>
        </w:rPr>
        <w:t>من</w:t>
      </w:r>
      <w:r>
        <w:rPr>
          <w:rtl/>
        </w:rPr>
        <w:t xml:space="preserve"> </w:t>
      </w:r>
      <w:r w:rsidRPr="006571A5">
        <w:rPr>
          <w:rtl/>
        </w:rPr>
        <w:t>الاتفاقية.</w:t>
      </w:r>
      <w:r>
        <w:rPr>
          <w:rtl/>
        </w:rPr>
        <w:t xml:space="preserve"> </w:t>
      </w:r>
    </w:p>
    <w:p w14:paraId="18814B22" w14:textId="2D971A81" w:rsidR="006571A5" w:rsidRPr="006571A5" w:rsidRDefault="006571A5" w:rsidP="006571A5">
      <w:pPr>
        <w:pStyle w:val="SingleTxt"/>
        <w:rPr>
          <w:rtl/>
        </w:rPr>
      </w:pPr>
      <w:r w:rsidRPr="006571A5">
        <w:rPr>
          <w:rtl/>
        </w:rPr>
        <w:t>7-2</w:t>
      </w:r>
      <w:r w:rsidRPr="006571A5">
        <w:rPr>
          <w:rtl/>
        </w:rPr>
        <w:tab/>
        <w:t>ويؤكد</w:t>
      </w:r>
      <w:r>
        <w:rPr>
          <w:rtl/>
        </w:rPr>
        <w:t xml:space="preserve"> </w:t>
      </w:r>
      <w:r w:rsidRPr="006571A5">
        <w:rPr>
          <w:rtl/>
        </w:rPr>
        <w:t>محامي</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أن</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لم</w:t>
      </w:r>
      <w:r>
        <w:rPr>
          <w:rtl/>
        </w:rPr>
        <w:t xml:space="preserve"> </w:t>
      </w:r>
      <w:r w:rsidRPr="006571A5">
        <w:rPr>
          <w:rtl/>
        </w:rPr>
        <w:t>تثبت</w:t>
      </w:r>
      <w:r>
        <w:rPr>
          <w:rtl/>
        </w:rPr>
        <w:t xml:space="preserve"> </w:t>
      </w:r>
      <w:r w:rsidRPr="006571A5">
        <w:rPr>
          <w:rtl/>
        </w:rPr>
        <w:t>أن</w:t>
      </w:r>
      <w:r>
        <w:rPr>
          <w:rtl/>
        </w:rPr>
        <w:t xml:space="preserve"> </w:t>
      </w:r>
      <w:r w:rsidRPr="006571A5">
        <w:rPr>
          <w:rtl/>
        </w:rPr>
        <w:t>حجتها</w:t>
      </w:r>
      <w:r>
        <w:rPr>
          <w:rtl/>
        </w:rPr>
        <w:t xml:space="preserve"> </w:t>
      </w:r>
      <w:r w:rsidRPr="006571A5">
        <w:rPr>
          <w:rtl/>
        </w:rPr>
        <w:t>ظاهرة</w:t>
      </w:r>
      <w:r>
        <w:rPr>
          <w:rtl/>
        </w:rPr>
        <w:t xml:space="preserve"> </w:t>
      </w:r>
      <w:r w:rsidRPr="006571A5">
        <w:rPr>
          <w:rtl/>
        </w:rPr>
        <w:t>الوجاهة</w:t>
      </w:r>
      <w:r>
        <w:rPr>
          <w:rtl/>
        </w:rPr>
        <w:t xml:space="preserve"> </w:t>
      </w:r>
      <w:r w:rsidRPr="006571A5">
        <w:rPr>
          <w:rtl/>
        </w:rPr>
        <w:t>لأغراض</w:t>
      </w:r>
      <w:r>
        <w:rPr>
          <w:rtl/>
        </w:rPr>
        <w:t xml:space="preserve"> </w:t>
      </w:r>
      <w:r w:rsidRPr="006571A5">
        <w:rPr>
          <w:rtl/>
        </w:rPr>
        <w:t>اعتبار</w:t>
      </w:r>
      <w:r>
        <w:rPr>
          <w:rtl/>
        </w:rPr>
        <w:t xml:space="preserve"> </w:t>
      </w:r>
      <w:r w:rsidRPr="006571A5">
        <w:rPr>
          <w:rtl/>
        </w:rPr>
        <w:t>الرسالة</w:t>
      </w:r>
      <w:r>
        <w:rPr>
          <w:rtl/>
        </w:rPr>
        <w:t xml:space="preserve"> </w:t>
      </w:r>
      <w:r w:rsidRPr="006571A5">
        <w:rPr>
          <w:rtl/>
        </w:rPr>
        <w:t>غير</w:t>
      </w:r>
      <w:r>
        <w:rPr>
          <w:rtl/>
        </w:rPr>
        <w:t xml:space="preserve"> </w:t>
      </w:r>
      <w:r w:rsidRPr="006571A5">
        <w:rPr>
          <w:rtl/>
        </w:rPr>
        <w:t>مقبولة،</w:t>
      </w:r>
      <w:r>
        <w:rPr>
          <w:rtl/>
        </w:rPr>
        <w:t xml:space="preserve"> </w:t>
      </w:r>
      <w:r w:rsidRPr="006571A5">
        <w:rPr>
          <w:rtl/>
        </w:rPr>
        <w:t>كما</w:t>
      </w:r>
      <w:r>
        <w:rPr>
          <w:rtl/>
        </w:rPr>
        <w:t xml:space="preserve"> </w:t>
      </w:r>
      <w:r w:rsidRPr="006571A5">
        <w:rPr>
          <w:rtl/>
        </w:rPr>
        <w:t>لم</w:t>
      </w:r>
      <w:r>
        <w:rPr>
          <w:rtl/>
        </w:rPr>
        <w:t xml:space="preserve"> </w:t>
      </w:r>
      <w:r w:rsidRPr="006571A5">
        <w:rPr>
          <w:rtl/>
        </w:rPr>
        <w:t>تثبت</w:t>
      </w:r>
      <w:r>
        <w:rPr>
          <w:rtl/>
        </w:rPr>
        <w:t xml:space="preserve"> </w:t>
      </w:r>
      <w:r w:rsidRPr="006571A5">
        <w:rPr>
          <w:rtl/>
        </w:rPr>
        <w:t>كيف</w:t>
      </w:r>
      <w:r>
        <w:rPr>
          <w:rtl/>
        </w:rPr>
        <w:t xml:space="preserve"> </w:t>
      </w:r>
      <w:r w:rsidRPr="006571A5">
        <w:rPr>
          <w:rtl/>
        </w:rPr>
        <w:t>أن</w:t>
      </w:r>
      <w:r>
        <w:rPr>
          <w:rtl/>
        </w:rPr>
        <w:t xml:space="preserve"> </w:t>
      </w:r>
      <w:r w:rsidRPr="006571A5">
        <w:rPr>
          <w:rtl/>
        </w:rPr>
        <w:t>تعرُّض</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للزواج</w:t>
      </w:r>
      <w:r>
        <w:rPr>
          <w:rtl/>
        </w:rPr>
        <w:t xml:space="preserve"> </w:t>
      </w:r>
      <w:r w:rsidRPr="006571A5">
        <w:rPr>
          <w:rtl/>
        </w:rPr>
        <w:t>القسري</w:t>
      </w:r>
      <w:r>
        <w:rPr>
          <w:rtl/>
        </w:rPr>
        <w:t xml:space="preserve"> </w:t>
      </w:r>
      <w:r w:rsidRPr="006571A5">
        <w:rPr>
          <w:rtl/>
        </w:rPr>
        <w:t>لا</w:t>
      </w:r>
      <w:r>
        <w:rPr>
          <w:rtl/>
        </w:rPr>
        <w:t xml:space="preserve"> </w:t>
      </w:r>
      <w:r w:rsidRPr="006571A5">
        <w:rPr>
          <w:rtl/>
        </w:rPr>
        <w:t>يشكل</w:t>
      </w:r>
      <w:r>
        <w:rPr>
          <w:rtl/>
        </w:rPr>
        <w:t xml:space="preserve"> </w:t>
      </w:r>
      <w:r w:rsidRPr="006571A5">
        <w:rPr>
          <w:rtl/>
        </w:rPr>
        <w:t>انتهاكا</w:t>
      </w:r>
      <w:r>
        <w:rPr>
          <w:rtl/>
        </w:rPr>
        <w:t xml:space="preserve"> </w:t>
      </w:r>
      <w:r w:rsidRPr="006571A5">
        <w:rPr>
          <w:rtl/>
        </w:rPr>
        <w:t>للمادتين</w:t>
      </w:r>
      <w:r>
        <w:rPr>
          <w:rtl/>
        </w:rPr>
        <w:t xml:space="preserve"> </w:t>
      </w:r>
      <w:r w:rsidR="004B1017">
        <w:rPr>
          <w:rtl/>
        </w:rPr>
        <w:t>3</w:t>
      </w:r>
      <w:r>
        <w:rPr>
          <w:rtl/>
        </w:rPr>
        <w:t xml:space="preserve"> </w:t>
      </w:r>
      <w:r w:rsidRPr="006571A5">
        <w:rPr>
          <w:rtl/>
        </w:rPr>
        <w:t>و</w:t>
      </w:r>
      <w:r>
        <w:rPr>
          <w:rtl/>
        </w:rPr>
        <w:t xml:space="preserve"> </w:t>
      </w:r>
      <w:r w:rsidR="004B1017">
        <w:rPr>
          <w:rtl/>
        </w:rPr>
        <w:t>16</w:t>
      </w:r>
      <w:r>
        <w:rPr>
          <w:rtl/>
        </w:rPr>
        <w:t xml:space="preserve"> </w:t>
      </w:r>
      <w:r w:rsidRPr="006571A5">
        <w:rPr>
          <w:rtl/>
        </w:rPr>
        <w:t>(ب)</w:t>
      </w:r>
      <w:r>
        <w:rPr>
          <w:rtl/>
        </w:rPr>
        <w:t xml:space="preserve"> </w:t>
      </w:r>
      <w:r w:rsidRPr="006571A5">
        <w:rPr>
          <w:rtl/>
        </w:rPr>
        <w:t>من</w:t>
      </w:r>
      <w:r>
        <w:rPr>
          <w:rtl/>
        </w:rPr>
        <w:t xml:space="preserve"> </w:t>
      </w:r>
      <w:r w:rsidRPr="006571A5">
        <w:rPr>
          <w:rtl/>
        </w:rPr>
        <w:t>الاتفاقية.</w:t>
      </w:r>
    </w:p>
    <w:p w14:paraId="332C1159" w14:textId="481BCCC5" w:rsidR="006571A5" w:rsidRPr="006571A5" w:rsidRDefault="006571A5" w:rsidP="006571A5">
      <w:pPr>
        <w:pStyle w:val="SingleTxt"/>
        <w:rPr>
          <w:rtl/>
        </w:rPr>
      </w:pPr>
      <w:r w:rsidRPr="006571A5">
        <w:rPr>
          <w:rtl/>
        </w:rPr>
        <w:t>7-3</w:t>
      </w:r>
      <w:r w:rsidRPr="006571A5">
        <w:rPr>
          <w:rtl/>
        </w:rPr>
        <w:tab/>
        <w:t>ويحيل</w:t>
      </w:r>
      <w:r>
        <w:rPr>
          <w:rtl/>
        </w:rPr>
        <w:t xml:space="preserve"> </w:t>
      </w:r>
      <w:r w:rsidRPr="006571A5">
        <w:rPr>
          <w:rtl/>
        </w:rPr>
        <w:t>محامي</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أيضا</w:t>
      </w:r>
      <w:r>
        <w:rPr>
          <w:rtl/>
        </w:rPr>
        <w:t xml:space="preserve"> </w:t>
      </w:r>
      <w:r w:rsidRPr="006571A5">
        <w:rPr>
          <w:rtl/>
        </w:rPr>
        <w:t>إلى</w:t>
      </w:r>
      <w:r>
        <w:rPr>
          <w:rtl/>
        </w:rPr>
        <w:t xml:space="preserve"> </w:t>
      </w:r>
      <w:r w:rsidRPr="006571A5">
        <w:rPr>
          <w:rtl/>
        </w:rPr>
        <w:t>قرار</w:t>
      </w:r>
      <w:r>
        <w:rPr>
          <w:rtl/>
        </w:rPr>
        <w:t xml:space="preserve"> </w:t>
      </w:r>
      <w:r w:rsidRPr="006571A5">
        <w:rPr>
          <w:rtl/>
        </w:rPr>
        <w:t>أخير</w:t>
      </w:r>
      <w:r>
        <w:rPr>
          <w:rtl/>
        </w:rPr>
        <w:t xml:space="preserve"> </w:t>
      </w:r>
      <w:r w:rsidRPr="006571A5">
        <w:rPr>
          <w:rtl/>
        </w:rPr>
        <w:t>اتخذه</w:t>
      </w:r>
      <w:r>
        <w:rPr>
          <w:rtl/>
        </w:rPr>
        <w:t xml:space="preserve"> </w:t>
      </w:r>
      <w:r w:rsidRPr="006571A5">
        <w:rPr>
          <w:rtl/>
        </w:rPr>
        <w:t>البرلمان</w:t>
      </w:r>
      <w:r>
        <w:rPr>
          <w:rtl/>
        </w:rPr>
        <w:t xml:space="preserve"> </w:t>
      </w:r>
      <w:r w:rsidRPr="006571A5">
        <w:rPr>
          <w:rtl/>
        </w:rPr>
        <w:t>الأوروبي</w:t>
      </w:r>
      <w:r>
        <w:rPr>
          <w:rtl/>
        </w:rPr>
        <w:t xml:space="preserve"> </w:t>
      </w:r>
      <w:r w:rsidRPr="006571A5">
        <w:rPr>
          <w:rtl/>
        </w:rPr>
        <w:t>في</w:t>
      </w:r>
      <w:r>
        <w:rPr>
          <w:rtl/>
        </w:rPr>
        <w:t xml:space="preserve"> </w:t>
      </w:r>
      <w:r w:rsidR="004B1017">
        <w:rPr>
          <w:rtl/>
        </w:rPr>
        <w:t>18</w:t>
      </w:r>
      <w:r>
        <w:rPr>
          <w:rtl/>
        </w:rPr>
        <w:t xml:space="preserve"> </w:t>
      </w:r>
      <w:r w:rsidRPr="006571A5">
        <w:rPr>
          <w:rtl/>
        </w:rPr>
        <w:t>أيار/مايو</w:t>
      </w:r>
      <w:r>
        <w:rPr>
          <w:rtl/>
        </w:rPr>
        <w:t xml:space="preserve"> </w:t>
      </w:r>
      <w:r w:rsidRPr="006571A5">
        <w:rPr>
          <w:rtl/>
        </w:rPr>
        <w:t>2017</w:t>
      </w:r>
      <w:r w:rsidR="004B1017" w:rsidRPr="004B1017">
        <w:rPr>
          <w:szCs w:val="30"/>
          <w:vertAlign w:val="superscript"/>
          <w:rtl/>
        </w:rPr>
        <w:t>(</w:t>
      </w:r>
      <w:r w:rsidR="004B1017" w:rsidRPr="004B1017">
        <w:rPr>
          <w:rStyle w:val="FootnoteReference"/>
          <w:szCs w:val="30"/>
          <w:rtl/>
        </w:rPr>
        <w:footnoteReference w:id="8"/>
      </w:r>
      <w:r w:rsidR="004B1017" w:rsidRPr="004B1017">
        <w:rPr>
          <w:szCs w:val="30"/>
          <w:vertAlign w:val="superscript"/>
          <w:rtl/>
        </w:rPr>
        <w:t>)</w:t>
      </w:r>
      <w:r w:rsidRPr="006571A5">
        <w:rPr>
          <w:rtl/>
        </w:rPr>
        <w:t>،</w:t>
      </w:r>
      <w:r>
        <w:rPr>
          <w:rtl/>
        </w:rPr>
        <w:t xml:space="preserve"> </w:t>
      </w:r>
      <w:r w:rsidRPr="006571A5">
        <w:rPr>
          <w:rtl/>
        </w:rPr>
        <w:t>والذي</w:t>
      </w:r>
      <w:r>
        <w:rPr>
          <w:rtl/>
        </w:rPr>
        <w:t xml:space="preserve"> </w:t>
      </w:r>
      <w:r w:rsidRPr="006571A5">
        <w:rPr>
          <w:rtl/>
        </w:rPr>
        <w:t>أشار</w:t>
      </w:r>
      <w:r>
        <w:rPr>
          <w:rtl/>
        </w:rPr>
        <w:t xml:space="preserve"> </w:t>
      </w:r>
      <w:r w:rsidRPr="006571A5">
        <w:rPr>
          <w:rtl/>
        </w:rPr>
        <w:t>فيه</w:t>
      </w:r>
      <w:r>
        <w:rPr>
          <w:rtl/>
        </w:rPr>
        <w:t xml:space="preserve"> </w:t>
      </w:r>
      <w:r w:rsidRPr="006571A5">
        <w:rPr>
          <w:rtl/>
        </w:rPr>
        <w:t>البرلمان</w:t>
      </w:r>
      <w:r>
        <w:rPr>
          <w:rtl/>
        </w:rPr>
        <w:t xml:space="preserve"> </w:t>
      </w:r>
      <w:r w:rsidRPr="006571A5">
        <w:rPr>
          <w:rtl/>
        </w:rPr>
        <w:t>إلى</w:t>
      </w:r>
      <w:r>
        <w:rPr>
          <w:rtl/>
        </w:rPr>
        <w:t xml:space="preserve"> </w:t>
      </w:r>
      <w:r w:rsidRPr="006571A5">
        <w:rPr>
          <w:rtl/>
        </w:rPr>
        <w:t>أن</w:t>
      </w:r>
      <w:r>
        <w:rPr>
          <w:rtl/>
        </w:rPr>
        <w:t xml:space="preserve"> </w:t>
      </w:r>
      <w:r w:rsidRPr="006571A5">
        <w:rPr>
          <w:rtl/>
        </w:rPr>
        <w:t>الظروف</w:t>
      </w:r>
      <w:r>
        <w:rPr>
          <w:rtl/>
        </w:rPr>
        <w:t xml:space="preserve"> </w:t>
      </w:r>
      <w:r w:rsidRPr="006571A5">
        <w:rPr>
          <w:rtl/>
        </w:rPr>
        <w:t>الحالية</w:t>
      </w:r>
      <w:r>
        <w:rPr>
          <w:rtl/>
        </w:rPr>
        <w:t xml:space="preserve"> </w:t>
      </w:r>
      <w:r w:rsidRPr="006571A5">
        <w:rPr>
          <w:rtl/>
        </w:rPr>
        <w:t>في</w:t>
      </w:r>
      <w:r>
        <w:rPr>
          <w:rtl/>
        </w:rPr>
        <w:t xml:space="preserve"> </w:t>
      </w:r>
      <w:r w:rsidRPr="006571A5">
        <w:rPr>
          <w:rtl/>
        </w:rPr>
        <w:t>الصومال</w:t>
      </w:r>
      <w:r>
        <w:rPr>
          <w:rtl/>
        </w:rPr>
        <w:t xml:space="preserve"> </w:t>
      </w:r>
      <w:r w:rsidRPr="006571A5">
        <w:rPr>
          <w:rtl/>
        </w:rPr>
        <w:t>الذي</w:t>
      </w:r>
      <w:r>
        <w:rPr>
          <w:rtl/>
        </w:rPr>
        <w:t xml:space="preserve"> </w:t>
      </w:r>
      <w:r w:rsidRPr="006571A5">
        <w:rPr>
          <w:rtl/>
        </w:rPr>
        <w:t>يشهدُ</w:t>
      </w:r>
      <w:r>
        <w:rPr>
          <w:rtl/>
        </w:rPr>
        <w:t xml:space="preserve"> </w:t>
      </w:r>
      <w:r w:rsidRPr="006571A5">
        <w:rPr>
          <w:rtl/>
        </w:rPr>
        <w:t>مشاكل</w:t>
      </w:r>
      <w:r>
        <w:rPr>
          <w:rtl/>
        </w:rPr>
        <w:t xml:space="preserve"> </w:t>
      </w:r>
      <w:r w:rsidRPr="006571A5">
        <w:rPr>
          <w:rtl/>
        </w:rPr>
        <w:t>أمنية</w:t>
      </w:r>
      <w:r>
        <w:rPr>
          <w:rtl/>
        </w:rPr>
        <w:t xml:space="preserve"> </w:t>
      </w:r>
      <w:r w:rsidRPr="006571A5">
        <w:rPr>
          <w:rtl/>
        </w:rPr>
        <w:t>مستمرة</w:t>
      </w:r>
      <w:r>
        <w:rPr>
          <w:rtl/>
        </w:rPr>
        <w:t xml:space="preserve"> </w:t>
      </w:r>
      <w:r w:rsidRPr="006571A5">
        <w:rPr>
          <w:rtl/>
        </w:rPr>
        <w:t>ويرتفع</w:t>
      </w:r>
      <w:r>
        <w:rPr>
          <w:rtl/>
        </w:rPr>
        <w:t xml:space="preserve"> </w:t>
      </w:r>
      <w:r w:rsidRPr="006571A5">
        <w:rPr>
          <w:rtl/>
        </w:rPr>
        <w:t>احتمال</w:t>
      </w:r>
      <w:r>
        <w:rPr>
          <w:rtl/>
        </w:rPr>
        <w:t xml:space="preserve"> </w:t>
      </w:r>
      <w:r w:rsidRPr="006571A5">
        <w:rPr>
          <w:rtl/>
        </w:rPr>
        <w:t>انتشار</w:t>
      </w:r>
      <w:r>
        <w:rPr>
          <w:rtl/>
        </w:rPr>
        <w:t xml:space="preserve"> </w:t>
      </w:r>
      <w:r w:rsidRPr="006571A5">
        <w:rPr>
          <w:rtl/>
        </w:rPr>
        <w:t>المجاعة</w:t>
      </w:r>
      <w:r>
        <w:rPr>
          <w:rtl/>
        </w:rPr>
        <w:t xml:space="preserve"> </w:t>
      </w:r>
      <w:r w:rsidRPr="006571A5">
        <w:rPr>
          <w:rtl/>
        </w:rPr>
        <w:t>فيه</w:t>
      </w:r>
      <w:r>
        <w:rPr>
          <w:rtl/>
        </w:rPr>
        <w:t xml:space="preserve"> </w:t>
      </w:r>
      <w:r w:rsidRPr="006571A5">
        <w:rPr>
          <w:rtl/>
        </w:rPr>
        <w:t>تقتضي</w:t>
      </w:r>
      <w:r>
        <w:rPr>
          <w:rtl/>
        </w:rPr>
        <w:t xml:space="preserve"> </w:t>
      </w:r>
      <w:r w:rsidRPr="006571A5">
        <w:rPr>
          <w:rtl/>
        </w:rPr>
        <w:t>أن</w:t>
      </w:r>
      <w:r>
        <w:rPr>
          <w:rtl/>
        </w:rPr>
        <w:t xml:space="preserve"> </w:t>
      </w:r>
      <w:r w:rsidRPr="006571A5">
        <w:rPr>
          <w:rtl/>
        </w:rPr>
        <w:t>تكون</w:t>
      </w:r>
      <w:r>
        <w:rPr>
          <w:rtl/>
        </w:rPr>
        <w:t xml:space="preserve"> </w:t>
      </w:r>
      <w:r w:rsidRPr="006571A5">
        <w:rPr>
          <w:rtl/>
        </w:rPr>
        <w:t>العودة</w:t>
      </w:r>
      <w:r>
        <w:rPr>
          <w:rtl/>
        </w:rPr>
        <w:t xml:space="preserve"> </w:t>
      </w:r>
      <w:r w:rsidRPr="006571A5">
        <w:rPr>
          <w:rtl/>
        </w:rPr>
        <w:t>إليه</w:t>
      </w:r>
      <w:r>
        <w:rPr>
          <w:rtl/>
        </w:rPr>
        <w:t xml:space="preserve"> </w:t>
      </w:r>
      <w:r w:rsidRPr="006571A5">
        <w:rPr>
          <w:rtl/>
        </w:rPr>
        <w:t>دائما</w:t>
      </w:r>
      <w:r>
        <w:rPr>
          <w:rtl/>
        </w:rPr>
        <w:t xml:space="preserve"> </w:t>
      </w:r>
      <w:r w:rsidRPr="006571A5">
        <w:rPr>
          <w:rtl/>
        </w:rPr>
        <w:t>طوعية</w:t>
      </w:r>
      <w:r>
        <w:rPr>
          <w:rtl/>
        </w:rPr>
        <w:t xml:space="preserve"> </w:t>
      </w:r>
      <w:r w:rsidRPr="006571A5">
        <w:rPr>
          <w:rtl/>
        </w:rPr>
        <w:t>في</w:t>
      </w:r>
      <w:r>
        <w:rPr>
          <w:rtl/>
        </w:rPr>
        <w:t xml:space="preserve"> </w:t>
      </w:r>
      <w:r w:rsidRPr="006571A5">
        <w:rPr>
          <w:rtl/>
        </w:rPr>
        <w:t>أي</w:t>
      </w:r>
      <w:r>
        <w:rPr>
          <w:rtl/>
        </w:rPr>
        <w:t xml:space="preserve"> </w:t>
      </w:r>
      <w:r w:rsidRPr="006571A5">
        <w:rPr>
          <w:rtl/>
        </w:rPr>
        <w:t>حال</w:t>
      </w:r>
      <w:r>
        <w:rPr>
          <w:rtl/>
        </w:rPr>
        <w:t xml:space="preserve"> </w:t>
      </w:r>
      <w:r w:rsidRPr="006571A5">
        <w:rPr>
          <w:rtl/>
        </w:rPr>
        <w:t>من</w:t>
      </w:r>
      <w:r>
        <w:rPr>
          <w:rtl/>
        </w:rPr>
        <w:t xml:space="preserve"> </w:t>
      </w:r>
      <w:r w:rsidRPr="006571A5">
        <w:rPr>
          <w:rtl/>
        </w:rPr>
        <w:t>الأحوال،</w:t>
      </w:r>
      <w:r>
        <w:rPr>
          <w:rtl/>
        </w:rPr>
        <w:t xml:space="preserve"> </w:t>
      </w:r>
      <w:r w:rsidRPr="006571A5">
        <w:rPr>
          <w:rtl/>
        </w:rPr>
        <w:t>ودعا</w:t>
      </w:r>
      <w:r>
        <w:rPr>
          <w:rtl/>
        </w:rPr>
        <w:t xml:space="preserve"> </w:t>
      </w:r>
      <w:r w:rsidRPr="006571A5">
        <w:rPr>
          <w:rtl/>
        </w:rPr>
        <w:t>إلى</w:t>
      </w:r>
      <w:r>
        <w:rPr>
          <w:rtl/>
        </w:rPr>
        <w:t xml:space="preserve"> </w:t>
      </w:r>
      <w:r w:rsidRPr="006571A5">
        <w:rPr>
          <w:rtl/>
        </w:rPr>
        <w:t>زيادة</w:t>
      </w:r>
      <w:r>
        <w:rPr>
          <w:rtl/>
        </w:rPr>
        <w:t xml:space="preserve"> </w:t>
      </w:r>
      <w:r w:rsidRPr="006571A5">
        <w:rPr>
          <w:rtl/>
        </w:rPr>
        <w:t>تقاسم</w:t>
      </w:r>
      <w:r>
        <w:rPr>
          <w:rtl/>
        </w:rPr>
        <w:t xml:space="preserve"> </w:t>
      </w:r>
      <w:r w:rsidRPr="006571A5">
        <w:rPr>
          <w:rtl/>
        </w:rPr>
        <w:t>المسؤوليات</w:t>
      </w:r>
      <w:r>
        <w:rPr>
          <w:rtl/>
        </w:rPr>
        <w:t xml:space="preserve"> </w:t>
      </w:r>
      <w:r w:rsidRPr="006571A5">
        <w:rPr>
          <w:rtl/>
        </w:rPr>
        <w:t>فيما</w:t>
      </w:r>
      <w:r>
        <w:rPr>
          <w:rtl/>
        </w:rPr>
        <w:t xml:space="preserve"> </w:t>
      </w:r>
      <w:r w:rsidRPr="006571A5">
        <w:rPr>
          <w:rtl/>
        </w:rPr>
        <w:t>يتعلق</w:t>
      </w:r>
      <w:r>
        <w:rPr>
          <w:rtl/>
        </w:rPr>
        <w:t xml:space="preserve"> </w:t>
      </w:r>
      <w:r w:rsidRPr="006571A5">
        <w:rPr>
          <w:rtl/>
        </w:rPr>
        <w:t>باستضافة</w:t>
      </w:r>
      <w:r>
        <w:rPr>
          <w:rtl/>
        </w:rPr>
        <w:t xml:space="preserve"> </w:t>
      </w:r>
      <w:r w:rsidRPr="006571A5">
        <w:rPr>
          <w:rtl/>
        </w:rPr>
        <w:t>اللاجئين</w:t>
      </w:r>
      <w:r>
        <w:rPr>
          <w:rtl/>
        </w:rPr>
        <w:t xml:space="preserve"> </w:t>
      </w:r>
      <w:r w:rsidRPr="006571A5">
        <w:rPr>
          <w:rtl/>
        </w:rPr>
        <w:t>وإيجاد</w:t>
      </w:r>
      <w:r>
        <w:rPr>
          <w:rtl/>
        </w:rPr>
        <w:t xml:space="preserve"> </w:t>
      </w:r>
      <w:r w:rsidRPr="006571A5">
        <w:rPr>
          <w:rtl/>
        </w:rPr>
        <w:t>سبل</w:t>
      </w:r>
      <w:r>
        <w:rPr>
          <w:rtl/>
        </w:rPr>
        <w:t xml:space="preserve"> </w:t>
      </w:r>
      <w:r w:rsidRPr="006571A5">
        <w:rPr>
          <w:rtl/>
        </w:rPr>
        <w:t>إضافية</w:t>
      </w:r>
      <w:r>
        <w:rPr>
          <w:rtl/>
        </w:rPr>
        <w:t xml:space="preserve"> </w:t>
      </w:r>
      <w:r w:rsidRPr="006571A5">
        <w:rPr>
          <w:rtl/>
        </w:rPr>
        <w:t>لمساعدة</w:t>
      </w:r>
      <w:r>
        <w:rPr>
          <w:rtl/>
        </w:rPr>
        <w:t xml:space="preserve"> </w:t>
      </w:r>
      <w:r w:rsidRPr="006571A5">
        <w:rPr>
          <w:rtl/>
        </w:rPr>
        <w:t>اللاجئين</w:t>
      </w:r>
      <w:r>
        <w:rPr>
          <w:rtl/>
        </w:rPr>
        <w:t xml:space="preserve"> </w:t>
      </w:r>
      <w:r w:rsidRPr="006571A5">
        <w:rPr>
          <w:rtl/>
        </w:rPr>
        <w:t>على</w:t>
      </w:r>
      <w:r>
        <w:rPr>
          <w:rtl/>
        </w:rPr>
        <w:t xml:space="preserve"> </w:t>
      </w:r>
      <w:r w:rsidRPr="006571A5">
        <w:rPr>
          <w:rtl/>
        </w:rPr>
        <w:t>الذهاب</w:t>
      </w:r>
      <w:r>
        <w:rPr>
          <w:rtl/>
        </w:rPr>
        <w:t xml:space="preserve"> </w:t>
      </w:r>
      <w:r w:rsidRPr="006571A5">
        <w:rPr>
          <w:rtl/>
        </w:rPr>
        <w:t>إلى</w:t>
      </w:r>
      <w:r>
        <w:rPr>
          <w:rtl/>
        </w:rPr>
        <w:t xml:space="preserve"> </w:t>
      </w:r>
      <w:r w:rsidRPr="006571A5">
        <w:rPr>
          <w:rtl/>
        </w:rPr>
        <w:t>بلدان</w:t>
      </w:r>
      <w:r>
        <w:rPr>
          <w:rtl/>
        </w:rPr>
        <w:t xml:space="preserve"> </w:t>
      </w:r>
      <w:r w:rsidRPr="006571A5">
        <w:rPr>
          <w:rtl/>
        </w:rPr>
        <w:t>أخرى،</w:t>
      </w:r>
      <w:r>
        <w:rPr>
          <w:rtl/>
        </w:rPr>
        <w:t xml:space="preserve"> </w:t>
      </w:r>
      <w:r w:rsidRPr="006571A5">
        <w:rPr>
          <w:rtl/>
        </w:rPr>
        <w:t>بما</w:t>
      </w:r>
      <w:r>
        <w:rPr>
          <w:rtl/>
        </w:rPr>
        <w:t xml:space="preserve"> </w:t>
      </w:r>
      <w:r w:rsidRPr="006571A5">
        <w:rPr>
          <w:rtl/>
        </w:rPr>
        <w:t>يشمل</w:t>
      </w:r>
      <w:r>
        <w:rPr>
          <w:rtl/>
        </w:rPr>
        <w:t xml:space="preserve"> </w:t>
      </w:r>
      <w:r w:rsidRPr="006571A5">
        <w:rPr>
          <w:rtl/>
        </w:rPr>
        <w:t>الاتحاد</w:t>
      </w:r>
      <w:r>
        <w:rPr>
          <w:rtl/>
        </w:rPr>
        <w:t xml:space="preserve"> </w:t>
      </w:r>
      <w:r w:rsidRPr="006571A5">
        <w:rPr>
          <w:rtl/>
        </w:rPr>
        <w:t>الأوروبي.</w:t>
      </w:r>
    </w:p>
    <w:p w14:paraId="3CA24D70" w14:textId="620692B8" w:rsidR="006571A5" w:rsidRPr="006571A5" w:rsidRDefault="006571A5" w:rsidP="006571A5">
      <w:pPr>
        <w:pStyle w:val="SingleTxt"/>
        <w:rPr>
          <w:rtl/>
        </w:rPr>
      </w:pPr>
      <w:r w:rsidRPr="006571A5">
        <w:rPr>
          <w:rtl/>
        </w:rPr>
        <w:t>7-4</w:t>
      </w:r>
      <w:r w:rsidRPr="006571A5">
        <w:rPr>
          <w:rtl/>
        </w:rPr>
        <w:tab/>
        <w:t>وتكرر</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أن</w:t>
      </w:r>
      <w:r>
        <w:rPr>
          <w:rtl/>
        </w:rPr>
        <w:t xml:space="preserve"> </w:t>
      </w:r>
      <w:r w:rsidRPr="006571A5">
        <w:rPr>
          <w:rtl/>
        </w:rPr>
        <w:t>ترحيلها</w:t>
      </w:r>
      <w:r>
        <w:rPr>
          <w:rtl/>
        </w:rPr>
        <w:t xml:space="preserve"> </w:t>
      </w:r>
      <w:r w:rsidRPr="006571A5">
        <w:rPr>
          <w:rtl/>
        </w:rPr>
        <w:t>المقرر</w:t>
      </w:r>
      <w:r>
        <w:rPr>
          <w:rtl/>
        </w:rPr>
        <w:t xml:space="preserve"> </w:t>
      </w:r>
      <w:r w:rsidRPr="006571A5">
        <w:rPr>
          <w:rtl/>
        </w:rPr>
        <w:t>ينتهك</w:t>
      </w:r>
      <w:r>
        <w:rPr>
          <w:rtl/>
        </w:rPr>
        <w:t xml:space="preserve"> </w:t>
      </w:r>
      <w:r w:rsidRPr="006571A5">
        <w:rPr>
          <w:rtl/>
        </w:rPr>
        <w:t>المواد</w:t>
      </w:r>
      <w:r>
        <w:rPr>
          <w:rtl/>
        </w:rPr>
        <w:t xml:space="preserve"> </w:t>
      </w:r>
      <w:r w:rsidR="004B1017">
        <w:rPr>
          <w:rtl/>
        </w:rPr>
        <w:t>3</w:t>
      </w:r>
      <w:r>
        <w:rPr>
          <w:rtl/>
        </w:rPr>
        <w:t xml:space="preserve"> </w:t>
      </w:r>
      <w:r w:rsidRPr="006571A5">
        <w:rPr>
          <w:rtl/>
        </w:rPr>
        <w:t>و</w:t>
      </w:r>
      <w:r>
        <w:rPr>
          <w:rtl/>
        </w:rPr>
        <w:t xml:space="preserve"> </w:t>
      </w:r>
      <w:r w:rsidR="004B1017">
        <w:rPr>
          <w:rtl/>
        </w:rPr>
        <w:t>5</w:t>
      </w:r>
      <w:r>
        <w:rPr>
          <w:rtl/>
        </w:rPr>
        <w:t xml:space="preserve"> </w:t>
      </w:r>
      <w:r w:rsidRPr="006571A5">
        <w:rPr>
          <w:rtl/>
        </w:rPr>
        <w:t>و</w:t>
      </w:r>
      <w:r>
        <w:rPr>
          <w:rtl/>
        </w:rPr>
        <w:t xml:space="preserve"> </w:t>
      </w:r>
      <w:r w:rsidR="004B1017">
        <w:rPr>
          <w:rtl/>
        </w:rPr>
        <w:t>16</w:t>
      </w:r>
      <w:r>
        <w:rPr>
          <w:rtl/>
        </w:rPr>
        <w:t xml:space="preserve"> </w:t>
      </w:r>
      <w:r w:rsidRPr="006571A5">
        <w:rPr>
          <w:rtl/>
        </w:rPr>
        <w:t>(ب)</w:t>
      </w:r>
      <w:r>
        <w:rPr>
          <w:rtl/>
        </w:rPr>
        <w:t xml:space="preserve"> </w:t>
      </w:r>
      <w:r w:rsidRPr="006571A5">
        <w:rPr>
          <w:rtl/>
        </w:rPr>
        <w:t>من</w:t>
      </w:r>
      <w:r>
        <w:rPr>
          <w:rtl/>
        </w:rPr>
        <w:t xml:space="preserve"> </w:t>
      </w:r>
      <w:r w:rsidRPr="006571A5">
        <w:rPr>
          <w:rtl/>
        </w:rPr>
        <w:t>الاتفاقية،</w:t>
      </w:r>
      <w:r>
        <w:rPr>
          <w:rtl/>
        </w:rPr>
        <w:t xml:space="preserve"> </w:t>
      </w:r>
      <w:r w:rsidRPr="006571A5">
        <w:rPr>
          <w:rtl/>
        </w:rPr>
        <w:t>وأن</w:t>
      </w:r>
      <w:r>
        <w:rPr>
          <w:rtl/>
        </w:rPr>
        <w:t xml:space="preserve"> </w:t>
      </w:r>
      <w:r w:rsidRPr="006571A5">
        <w:rPr>
          <w:rtl/>
        </w:rPr>
        <w:t>جميع</w:t>
      </w:r>
      <w:r>
        <w:rPr>
          <w:rtl/>
        </w:rPr>
        <w:t xml:space="preserve"> </w:t>
      </w:r>
      <w:r w:rsidRPr="006571A5">
        <w:rPr>
          <w:rtl/>
        </w:rPr>
        <w:t>سبل</w:t>
      </w:r>
      <w:r>
        <w:rPr>
          <w:rtl/>
        </w:rPr>
        <w:t xml:space="preserve"> </w:t>
      </w:r>
      <w:r w:rsidRPr="006571A5">
        <w:rPr>
          <w:rtl/>
        </w:rPr>
        <w:t>الانتصاف</w:t>
      </w:r>
      <w:r>
        <w:rPr>
          <w:rtl/>
        </w:rPr>
        <w:t xml:space="preserve"> </w:t>
      </w:r>
      <w:r w:rsidRPr="006571A5">
        <w:rPr>
          <w:rtl/>
        </w:rPr>
        <w:t>المحلية</w:t>
      </w:r>
      <w:r>
        <w:rPr>
          <w:rtl/>
        </w:rPr>
        <w:t xml:space="preserve"> </w:t>
      </w:r>
      <w:r w:rsidRPr="006571A5">
        <w:rPr>
          <w:rtl/>
        </w:rPr>
        <w:t>قد</w:t>
      </w:r>
      <w:r>
        <w:rPr>
          <w:rtl/>
        </w:rPr>
        <w:t xml:space="preserve"> </w:t>
      </w:r>
      <w:r w:rsidRPr="006571A5">
        <w:rPr>
          <w:rtl/>
        </w:rPr>
        <w:t>استنفدت</w:t>
      </w:r>
      <w:r>
        <w:rPr>
          <w:rtl/>
        </w:rPr>
        <w:t xml:space="preserve"> </w:t>
      </w:r>
      <w:r w:rsidRPr="006571A5">
        <w:rPr>
          <w:rtl/>
        </w:rPr>
        <w:t>بما</w:t>
      </w:r>
      <w:r>
        <w:rPr>
          <w:rtl/>
        </w:rPr>
        <w:t xml:space="preserve"> </w:t>
      </w:r>
      <w:r w:rsidRPr="006571A5">
        <w:rPr>
          <w:rtl/>
        </w:rPr>
        <w:t>أنه</w:t>
      </w:r>
      <w:r>
        <w:rPr>
          <w:rtl/>
        </w:rPr>
        <w:t xml:space="preserve"> </w:t>
      </w:r>
      <w:r w:rsidRPr="006571A5">
        <w:rPr>
          <w:rtl/>
        </w:rPr>
        <w:t>لا</w:t>
      </w:r>
      <w:r>
        <w:rPr>
          <w:rtl/>
        </w:rPr>
        <w:t xml:space="preserve"> </w:t>
      </w:r>
      <w:r w:rsidRPr="006571A5">
        <w:rPr>
          <w:rtl/>
        </w:rPr>
        <w:t>يمكن</w:t>
      </w:r>
      <w:r>
        <w:rPr>
          <w:rtl/>
        </w:rPr>
        <w:t xml:space="preserve"> </w:t>
      </w:r>
      <w:r w:rsidRPr="006571A5">
        <w:rPr>
          <w:rtl/>
        </w:rPr>
        <w:t>رفع</w:t>
      </w:r>
      <w:r>
        <w:rPr>
          <w:rtl/>
        </w:rPr>
        <w:t xml:space="preserve"> </w:t>
      </w:r>
      <w:r w:rsidRPr="006571A5">
        <w:rPr>
          <w:rtl/>
        </w:rPr>
        <w:t>طعن</w:t>
      </w:r>
      <w:r>
        <w:rPr>
          <w:rtl/>
        </w:rPr>
        <w:t xml:space="preserve"> </w:t>
      </w:r>
      <w:r w:rsidRPr="006571A5">
        <w:rPr>
          <w:rtl/>
        </w:rPr>
        <w:t>في</w:t>
      </w:r>
      <w:r>
        <w:rPr>
          <w:rtl/>
        </w:rPr>
        <w:t xml:space="preserve"> </w:t>
      </w:r>
      <w:r w:rsidRPr="006571A5">
        <w:rPr>
          <w:rtl/>
        </w:rPr>
        <w:t>قرار</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لدى</w:t>
      </w:r>
      <w:r>
        <w:rPr>
          <w:rtl/>
        </w:rPr>
        <w:t xml:space="preserve"> </w:t>
      </w:r>
      <w:r w:rsidRPr="006571A5">
        <w:rPr>
          <w:rtl/>
        </w:rPr>
        <w:t>المحاكم</w:t>
      </w:r>
      <w:r>
        <w:rPr>
          <w:rtl/>
        </w:rPr>
        <w:t xml:space="preserve"> </w:t>
      </w:r>
      <w:r w:rsidRPr="006571A5">
        <w:rPr>
          <w:rtl/>
        </w:rPr>
        <w:t>بموجب</w:t>
      </w:r>
      <w:r>
        <w:rPr>
          <w:rtl/>
        </w:rPr>
        <w:t xml:space="preserve"> </w:t>
      </w:r>
      <w:r w:rsidRPr="006571A5">
        <w:rPr>
          <w:rtl/>
        </w:rPr>
        <w:t>قانون</w:t>
      </w:r>
      <w:r>
        <w:rPr>
          <w:rtl/>
        </w:rPr>
        <w:t xml:space="preserve"> </w:t>
      </w:r>
      <w:r w:rsidRPr="006571A5">
        <w:rPr>
          <w:rtl/>
        </w:rPr>
        <w:t>الأجانب.</w:t>
      </w:r>
    </w:p>
    <w:p w14:paraId="39818DD1" w14:textId="567434B9" w:rsidR="006571A5" w:rsidRPr="004B1017" w:rsidRDefault="006571A5" w:rsidP="004B1017">
      <w:pPr>
        <w:pStyle w:val="SingleTxt"/>
        <w:spacing w:after="0" w:line="120" w:lineRule="exact"/>
        <w:rPr>
          <w:sz w:val="10"/>
          <w:rtl/>
        </w:rPr>
      </w:pPr>
    </w:p>
    <w:p w14:paraId="3A2A5362" w14:textId="67960EB9" w:rsidR="006571A5" w:rsidRPr="006571A5" w:rsidRDefault="004B1017" w:rsidP="004B1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6571A5" w:rsidRPr="006571A5">
        <w:rPr>
          <w:rtl/>
        </w:rPr>
        <w:t>المسائل</w:t>
      </w:r>
      <w:r w:rsidR="006571A5">
        <w:rPr>
          <w:rtl/>
        </w:rPr>
        <w:t xml:space="preserve"> </w:t>
      </w:r>
      <w:r w:rsidR="006571A5" w:rsidRPr="006571A5">
        <w:rPr>
          <w:rtl/>
        </w:rPr>
        <w:t>والإجراءات</w:t>
      </w:r>
      <w:r w:rsidR="006571A5">
        <w:rPr>
          <w:rtl/>
        </w:rPr>
        <w:t xml:space="preserve"> </w:t>
      </w:r>
      <w:r w:rsidR="006571A5" w:rsidRPr="006571A5">
        <w:rPr>
          <w:rtl/>
        </w:rPr>
        <w:t>المعروضة</w:t>
      </w:r>
      <w:r w:rsidR="006571A5">
        <w:rPr>
          <w:rtl/>
        </w:rPr>
        <w:t xml:space="preserve"> </w:t>
      </w:r>
      <w:r w:rsidR="006571A5" w:rsidRPr="006571A5">
        <w:rPr>
          <w:rtl/>
        </w:rPr>
        <w:t>على</w:t>
      </w:r>
      <w:r w:rsidR="006571A5">
        <w:rPr>
          <w:rtl/>
        </w:rPr>
        <w:t xml:space="preserve"> </w:t>
      </w:r>
      <w:r w:rsidR="006571A5" w:rsidRPr="006571A5">
        <w:rPr>
          <w:rtl/>
        </w:rPr>
        <w:t>اللجنة</w:t>
      </w:r>
    </w:p>
    <w:p w14:paraId="581DA463" w14:textId="22D77C07" w:rsidR="006571A5" w:rsidRPr="006571A5" w:rsidRDefault="006571A5" w:rsidP="006571A5">
      <w:pPr>
        <w:pStyle w:val="SingleTxt"/>
        <w:rPr>
          <w:rtl/>
        </w:rPr>
      </w:pPr>
      <w:r w:rsidRPr="006571A5">
        <w:rPr>
          <w:rtl/>
        </w:rPr>
        <w:t>8-1</w:t>
      </w:r>
      <w:r w:rsidRPr="006571A5">
        <w:rPr>
          <w:rtl/>
        </w:rPr>
        <w:tab/>
        <w:t>يجب</w:t>
      </w:r>
      <w:r>
        <w:rPr>
          <w:rtl/>
        </w:rPr>
        <w:t xml:space="preserve"> </w:t>
      </w:r>
      <w:r w:rsidRPr="006571A5">
        <w:rPr>
          <w:rtl/>
        </w:rPr>
        <w:t>على</w:t>
      </w:r>
      <w:r>
        <w:rPr>
          <w:rtl/>
        </w:rPr>
        <w:t xml:space="preserve"> </w:t>
      </w:r>
      <w:r w:rsidRPr="006571A5">
        <w:rPr>
          <w:rtl/>
        </w:rPr>
        <w:t>اللجنة</w:t>
      </w:r>
      <w:r>
        <w:rPr>
          <w:rtl/>
        </w:rPr>
        <w:t xml:space="preserve"> </w:t>
      </w:r>
      <w:r w:rsidRPr="006571A5">
        <w:rPr>
          <w:rtl/>
        </w:rPr>
        <w:t>أن</w:t>
      </w:r>
      <w:r>
        <w:rPr>
          <w:rtl/>
        </w:rPr>
        <w:t xml:space="preserve"> </w:t>
      </w:r>
      <w:r w:rsidRPr="006571A5">
        <w:rPr>
          <w:rtl/>
        </w:rPr>
        <w:t>تقرر،</w:t>
      </w:r>
      <w:r>
        <w:rPr>
          <w:rtl/>
        </w:rPr>
        <w:t xml:space="preserve"> </w:t>
      </w:r>
      <w:r w:rsidRPr="006571A5">
        <w:rPr>
          <w:rtl/>
        </w:rPr>
        <w:t>وفقاً</w:t>
      </w:r>
      <w:r>
        <w:rPr>
          <w:rtl/>
        </w:rPr>
        <w:t xml:space="preserve"> </w:t>
      </w:r>
      <w:r w:rsidRPr="006571A5">
        <w:rPr>
          <w:rtl/>
        </w:rPr>
        <w:t>للمادة</w:t>
      </w:r>
      <w:r>
        <w:rPr>
          <w:rtl/>
        </w:rPr>
        <w:t xml:space="preserve"> </w:t>
      </w:r>
      <w:r w:rsidRPr="006571A5">
        <w:rPr>
          <w:rtl/>
        </w:rPr>
        <w:t>64</w:t>
      </w:r>
      <w:r>
        <w:rPr>
          <w:rtl/>
        </w:rPr>
        <w:t xml:space="preserve"> </w:t>
      </w:r>
      <w:r w:rsidRPr="006571A5">
        <w:rPr>
          <w:rtl/>
        </w:rPr>
        <w:t>من</w:t>
      </w:r>
      <w:r>
        <w:rPr>
          <w:rtl/>
        </w:rPr>
        <w:t xml:space="preserve"> </w:t>
      </w:r>
      <w:r w:rsidRPr="006571A5">
        <w:rPr>
          <w:rtl/>
        </w:rPr>
        <w:t>نظامها</w:t>
      </w:r>
      <w:r>
        <w:rPr>
          <w:rtl/>
        </w:rPr>
        <w:t xml:space="preserve"> </w:t>
      </w:r>
      <w:r w:rsidRPr="006571A5">
        <w:rPr>
          <w:rtl/>
        </w:rPr>
        <w:t>الداخلي،</w:t>
      </w:r>
      <w:r>
        <w:rPr>
          <w:rtl/>
        </w:rPr>
        <w:t xml:space="preserve"> </w:t>
      </w:r>
      <w:r w:rsidRPr="006571A5">
        <w:rPr>
          <w:rtl/>
        </w:rPr>
        <w:t>ما</w:t>
      </w:r>
      <w:r>
        <w:rPr>
          <w:rtl/>
        </w:rPr>
        <w:t xml:space="preserve"> </w:t>
      </w:r>
      <w:r w:rsidRPr="006571A5">
        <w:rPr>
          <w:rtl/>
        </w:rPr>
        <w:t>إذا</w:t>
      </w:r>
      <w:r>
        <w:rPr>
          <w:rtl/>
        </w:rPr>
        <w:t xml:space="preserve"> </w:t>
      </w:r>
      <w:r w:rsidRPr="006571A5">
        <w:rPr>
          <w:rtl/>
        </w:rPr>
        <w:t>كانت</w:t>
      </w:r>
      <w:r>
        <w:rPr>
          <w:rtl/>
        </w:rPr>
        <w:t xml:space="preserve"> </w:t>
      </w:r>
      <w:r w:rsidRPr="006571A5">
        <w:rPr>
          <w:rtl/>
        </w:rPr>
        <w:t>الرسالة</w:t>
      </w:r>
      <w:r>
        <w:rPr>
          <w:rtl/>
        </w:rPr>
        <w:t xml:space="preserve"> </w:t>
      </w:r>
      <w:r w:rsidRPr="006571A5">
        <w:rPr>
          <w:rtl/>
        </w:rPr>
        <w:t>مقبولة</w:t>
      </w:r>
      <w:r>
        <w:rPr>
          <w:rtl/>
        </w:rPr>
        <w:t xml:space="preserve"> </w:t>
      </w:r>
      <w:r w:rsidRPr="006571A5">
        <w:rPr>
          <w:rtl/>
        </w:rPr>
        <w:t>بموجب</w:t>
      </w:r>
      <w:r>
        <w:rPr>
          <w:rtl/>
        </w:rPr>
        <w:t xml:space="preserve"> </w:t>
      </w:r>
      <w:r w:rsidRPr="006571A5">
        <w:rPr>
          <w:rtl/>
        </w:rPr>
        <w:t>البروتوكول</w:t>
      </w:r>
      <w:r>
        <w:rPr>
          <w:rtl/>
        </w:rPr>
        <w:t xml:space="preserve"> </w:t>
      </w:r>
      <w:r w:rsidRPr="006571A5">
        <w:rPr>
          <w:rtl/>
        </w:rPr>
        <w:t>الاختياري.</w:t>
      </w:r>
      <w:r>
        <w:rPr>
          <w:rtl/>
        </w:rPr>
        <w:t xml:space="preserve"> </w:t>
      </w:r>
      <w:r w:rsidRPr="006571A5">
        <w:rPr>
          <w:rtl/>
        </w:rPr>
        <w:t>ويجوز</w:t>
      </w:r>
      <w:r>
        <w:rPr>
          <w:rtl/>
        </w:rPr>
        <w:t xml:space="preserve"> </w:t>
      </w:r>
      <w:r w:rsidRPr="006571A5">
        <w:rPr>
          <w:rtl/>
        </w:rPr>
        <w:t>للجنة،</w:t>
      </w:r>
      <w:r>
        <w:rPr>
          <w:rtl/>
        </w:rPr>
        <w:t xml:space="preserve"> </w:t>
      </w:r>
      <w:r w:rsidRPr="006571A5">
        <w:rPr>
          <w:rtl/>
        </w:rPr>
        <w:t>عملا</w:t>
      </w:r>
      <w:r>
        <w:rPr>
          <w:rtl/>
        </w:rPr>
        <w:t xml:space="preserve"> </w:t>
      </w:r>
      <w:r w:rsidRPr="006571A5">
        <w:rPr>
          <w:rtl/>
        </w:rPr>
        <w:t>بالمادة</w:t>
      </w:r>
      <w:r>
        <w:rPr>
          <w:rtl/>
        </w:rPr>
        <w:t xml:space="preserve"> </w:t>
      </w:r>
      <w:r w:rsidRPr="006571A5">
        <w:rPr>
          <w:rtl/>
        </w:rPr>
        <w:t>66</w:t>
      </w:r>
      <w:r>
        <w:rPr>
          <w:rtl/>
        </w:rPr>
        <w:t xml:space="preserve"> </w:t>
      </w:r>
      <w:r w:rsidRPr="006571A5">
        <w:rPr>
          <w:rtl/>
        </w:rPr>
        <w:t>من</w:t>
      </w:r>
      <w:r>
        <w:rPr>
          <w:rtl/>
        </w:rPr>
        <w:t xml:space="preserve"> </w:t>
      </w:r>
      <w:r w:rsidRPr="006571A5">
        <w:rPr>
          <w:rtl/>
        </w:rPr>
        <w:t>نظامها</w:t>
      </w:r>
      <w:r>
        <w:rPr>
          <w:rtl/>
        </w:rPr>
        <w:t xml:space="preserve"> </w:t>
      </w:r>
      <w:r w:rsidRPr="006571A5">
        <w:rPr>
          <w:rtl/>
        </w:rPr>
        <w:t>الداخلي،</w:t>
      </w:r>
      <w:r>
        <w:rPr>
          <w:rtl/>
        </w:rPr>
        <w:t xml:space="preserve"> </w:t>
      </w:r>
      <w:r w:rsidRPr="006571A5">
        <w:rPr>
          <w:rtl/>
        </w:rPr>
        <w:t>أن</w:t>
      </w:r>
      <w:r>
        <w:rPr>
          <w:rtl/>
        </w:rPr>
        <w:t xml:space="preserve"> </w:t>
      </w:r>
      <w:r w:rsidRPr="006571A5">
        <w:rPr>
          <w:rtl/>
        </w:rPr>
        <w:t>تقرر</w:t>
      </w:r>
      <w:r>
        <w:rPr>
          <w:rtl/>
        </w:rPr>
        <w:t xml:space="preserve"> </w:t>
      </w:r>
      <w:r w:rsidRPr="006571A5">
        <w:rPr>
          <w:rtl/>
        </w:rPr>
        <w:t>النظر</w:t>
      </w:r>
      <w:r>
        <w:rPr>
          <w:rtl/>
        </w:rPr>
        <w:t xml:space="preserve"> </w:t>
      </w:r>
      <w:r w:rsidRPr="006571A5">
        <w:rPr>
          <w:rtl/>
        </w:rPr>
        <w:t>في</w:t>
      </w:r>
      <w:r>
        <w:rPr>
          <w:rtl/>
        </w:rPr>
        <w:t xml:space="preserve"> </w:t>
      </w:r>
      <w:r w:rsidRPr="006571A5">
        <w:rPr>
          <w:rtl/>
        </w:rPr>
        <w:t>مقبولية</w:t>
      </w:r>
      <w:r>
        <w:rPr>
          <w:rtl/>
        </w:rPr>
        <w:t xml:space="preserve"> </w:t>
      </w:r>
      <w:r w:rsidRPr="006571A5">
        <w:rPr>
          <w:rtl/>
        </w:rPr>
        <w:t>الرسالة</w:t>
      </w:r>
      <w:r>
        <w:rPr>
          <w:rtl/>
        </w:rPr>
        <w:t xml:space="preserve"> </w:t>
      </w:r>
      <w:r w:rsidRPr="006571A5">
        <w:rPr>
          <w:rtl/>
        </w:rPr>
        <w:t>إلى</w:t>
      </w:r>
      <w:r>
        <w:rPr>
          <w:rtl/>
        </w:rPr>
        <w:t xml:space="preserve"> </w:t>
      </w:r>
      <w:r w:rsidRPr="006571A5">
        <w:rPr>
          <w:rtl/>
        </w:rPr>
        <w:t>جانب</w:t>
      </w:r>
      <w:r>
        <w:rPr>
          <w:rtl/>
        </w:rPr>
        <w:t xml:space="preserve"> </w:t>
      </w:r>
      <w:r w:rsidRPr="006571A5">
        <w:rPr>
          <w:rtl/>
        </w:rPr>
        <w:t>أسسها</w:t>
      </w:r>
      <w:r>
        <w:rPr>
          <w:rtl/>
        </w:rPr>
        <w:t xml:space="preserve"> </w:t>
      </w:r>
      <w:r w:rsidRPr="006571A5">
        <w:rPr>
          <w:rtl/>
        </w:rPr>
        <w:t>الموضوعية.</w:t>
      </w:r>
      <w:r>
        <w:rPr>
          <w:rtl/>
        </w:rPr>
        <w:t xml:space="preserve"> </w:t>
      </w:r>
    </w:p>
    <w:p w14:paraId="0438411C" w14:textId="3BE17A6E" w:rsidR="006571A5" w:rsidRPr="006571A5" w:rsidRDefault="006571A5" w:rsidP="006571A5">
      <w:pPr>
        <w:pStyle w:val="SingleTxt"/>
        <w:rPr>
          <w:rtl/>
        </w:rPr>
      </w:pPr>
      <w:r w:rsidRPr="006571A5">
        <w:rPr>
          <w:rtl/>
        </w:rPr>
        <w:t>8-2</w:t>
      </w:r>
      <w:r w:rsidRPr="006571A5">
        <w:rPr>
          <w:rtl/>
        </w:rPr>
        <w:tab/>
        <w:t>ووفقا</w:t>
      </w:r>
      <w:r>
        <w:rPr>
          <w:rtl/>
        </w:rPr>
        <w:t xml:space="preserve"> </w:t>
      </w:r>
      <w:r w:rsidRPr="006571A5">
        <w:rPr>
          <w:rtl/>
        </w:rPr>
        <w:t>للمادة</w:t>
      </w:r>
      <w:r>
        <w:rPr>
          <w:rtl/>
        </w:rPr>
        <w:t xml:space="preserve"> </w:t>
      </w:r>
      <w:r w:rsidRPr="006571A5">
        <w:rPr>
          <w:rtl/>
        </w:rPr>
        <w:t>4</w:t>
      </w:r>
      <w:r>
        <w:rPr>
          <w:rtl/>
        </w:rPr>
        <w:t xml:space="preserve"> </w:t>
      </w:r>
      <w:r w:rsidRPr="006571A5">
        <w:rPr>
          <w:rtl/>
        </w:rPr>
        <w:t>(2)</w:t>
      </w:r>
      <w:r>
        <w:rPr>
          <w:rtl/>
        </w:rPr>
        <w:t xml:space="preserve"> </w:t>
      </w:r>
      <w:r w:rsidRPr="006571A5">
        <w:rPr>
          <w:rtl/>
        </w:rPr>
        <w:t>(أ)</w:t>
      </w:r>
      <w:r>
        <w:rPr>
          <w:rtl/>
        </w:rPr>
        <w:t xml:space="preserve"> </w:t>
      </w:r>
      <w:r w:rsidRPr="006571A5">
        <w:rPr>
          <w:rtl/>
        </w:rPr>
        <w:t>من</w:t>
      </w:r>
      <w:r>
        <w:rPr>
          <w:rtl/>
        </w:rPr>
        <w:t xml:space="preserve"> </w:t>
      </w:r>
      <w:r w:rsidRPr="006571A5">
        <w:rPr>
          <w:rtl/>
        </w:rPr>
        <w:t>البروتوكول</w:t>
      </w:r>
      <w:r>
        <w:rPr>
          <w:rtl/>
        </w:rPr>
        <w:t xml:space="preserve"> </w:t>
      </w:r>
      <w:r w:rsidRPr="006571A5">
        <w:rPr>
          <w:rtl/>
        </w:rPr>
        <w:t>الاختياري،</w:t>
      </w:r>
      <w:r>
        <w:rPr>
          <w:rtl/>
        </w:rPr>
        <w:t xml:space="preserve"> </w:t>
      </w:r>
      <w:r w:rsidRPr="006571A5">
        <w:rPr>
          <w:rtl/>
        </w:rPr>
        <w:t>اطمأنت</w:t>
      </w:r>
      <w:r>
        <w:rPr>
          <w:rtl/>
        </w:rPr>
        <w:t xml:space="preserve"> </w:t>
      </w:r>
      <w:r w:rsidRPr="006571A5">
        <w:rPr>
          <w:rtl/>
        </w:rPr>
        <w:t>اللجنة</w:t>
      </w:r>
      <w:r>
        <w:rPr>
          <w:rtl/>
        </w:rPr>
        <w:t xml:space="preserve"> </w:t>
      </w:r>
      <w:r w:rsidRPr="006571A5">
        <w:rPr>
          <w:rtl/>
        </w:rPr>
        <w:t>إلى</w:t>
      </w:r>
      <w:r>
        <w:rPr>
          <w:rtl/>
        </w:rPr>
        <w:t xml:space="preserve"> </w:t>
      </w:r>
      <w:r w:rsidRPr="006571A5">
        <w:rPr>
          <w:rtl/>
        </w:rPr>
        <w:t>أن</w:t>
      </w:r>
      <w:r>
        <w:rPr>
          <w:rtl/>
        </w:rPr>
        <w:t xml:space="preserve"> </w:t>
      </w:r>
      <w:r w:rsidRPr="006571A5">
        <w:rPr>
          <w:rtl/>
        </w:rPr>
        <w:t>المسألة</w:t>
      </w:r>
      <w:r>
        <w:rPr>
          <w:rtl/>
        </w:rPr>
        <w:t xml:space="preserve"> </w:t>
      </w:r>
      <w:r w:rsidRPr="006571A5">
        <w:rPr>
          <w:rtl/>
        </w:rPr>
        <w:t>نفسها</w:t>
      </w:r>
      <w:r>
        <w:rPr>
          <w:rtl/>
        </w:rPr>
        <w:t xml:space="preserve"> </w:t>
      </w:r>
      <w:r w:rsidRPr="006571A5">
        <w:rPr>
          <w:rtl/>
        </w:rPr>
        <w:t>لم</w:t>
      </w:r>
      <w:r w:rsidR="004C757C">
        <w:rPr>
          <w:rFonts w:hint="cs"/>
          <w:rtl/>
        </w:rPr>
        <w:t> </w:t>
      </w:r>
      <w:r w:rsidRPr="006571A5">
        <w:rPr>
          <w:rtl/>
        </w:rPr>
        <w:t>تُبحث</w:t>
      </w:r>
      <w:r>
        <w:rPr>
          <w:rtl/>
        </w:rPr>
        <w:t xml:space="preserve"> </w:t>
      </w:r>
      <w:r w:rsidRPr="006571A5">
        <w:rPr>
          <w:rtl/>
        </w:rPr>
        <w:t>من</w:t>
      </w:r>
      <w:r>
        <w:rPr>
          <w:rtl/>
        </w:rPr>
        <w:t xml:space="preserve"> </w:t>
      </w:r>
      <w:r w:rsidRPr="006571A5">
        <w:rPr>
          <w:rtl/>
        </w:rPr>
        <w:t>قبل</w:t>
      </w:r>
      <w:r>
        <w:rPr>
          <w:rtl/>
        </w:rPr>
        <w:t xml:space="preserve"> </w:t>
      </w:r>
      <w:r w:rsidRPr="006571A5">
        <w:rPr>
          <w:rtl/>
        </w:rPr>
        <w:t>وليست</w:t>
      </w:r>
      <w:r>
        <w:rPr>
          <w:rtl/>
        </w:rPr>
        <w:t xml:space="preserve"> </w:t>
      </w:r>
      <w:r w:rsidRPr="006571A5">
        <w:rPr>
          <w:rtl/>
        </w:rPr>
        <w:t>قيد</w:t>
      </w:r>
      <w:r>
        <w:rPr>
          <w:rtl/>
        </w:rPr>
        <w:t xml:space="preserve"> </w:t>
      </w:r>
      <w:r w:rsidRPr="006571A5">
        <w:rPr>
          <w:rtl/>
        </w:rPr>
        <w:t>البحث</w:t>
      </w:r>
      <w:r>
        <w:rPr>
          <w:rtl/>
        </w:rPr>
        <w:t xml:space="preserve"> </w:t>
      </w:r>
      <w:r w:rsidRPr="006571A5">
        <w:rPr>
          <w:rtl/>
        </w:rPr>
        <w:t>في</w:t>
      </w:r>
      <w:r>
        <w:rPr>
          <w:rtl/>
        </w:rPr>
        <w:t xml:space="preserve"> </w:t>
      </w:r>
      <w:r w:rsidRPr="006571A5">
        <w:rPr>
          <w:rtl/>
        </w:rPr>
        <w:t>إطار</w:t>
      </w:r>
      <w:r>
        <w:rPr>
          <w:rtl/>
        </w:rPr>
        <w:t xml:space="preserve"> </w:t>
      </w:r>
      <w:r w:rsidRPr="006571A5">
        <w:rPr>
          <w:rtl/>
        </w:rPr>
        <w:t>إجراء</w:t>
      </w:r>
      <w:r>
        <w:rPr>
          <w:rtl/>
        </w:rPr>
        <w:t xml:space="preserve"> </w:t>
      </w:r>
      <w:r w:rsidRPr="006571A5">
        <w:rPr>
          <w:rtl/>
        </w:rPr>
        <w:t>آخر</w:t>
      </w:r>
      <w:r>
        <w:rPr>
          <w:rtl/>
        </w:rPr>
        <w:t xml:space="preserve"> </w:t>
      </w:r>
      <w:r w:rsidRPr="006571A5">
        <w:rPr>
          <w:rtl/>
        </w:rPr>
        <w:t>من</w:t>
      </w:r>
      <w:r>
        <w:rPr>
          <w:rtl/>
        </w:rPr>
        <w:t xml:space="preserve"> </w:t>
      </w:r>
      <w:r w:rsidRPr="006571A5">
        <w:rPr>
          <w:rtl/>
        </w:rPr>
        <w:t>إجراءات</w:t>
      </w:r>
      <w:r>
        <w:rPr>
          <w:rtl/>
        </w:rPr>
        <w:t xml:space="preserve"> </w:t>
      </w:r>
      <w:r w:rsidRPr="006571A5">
        <w:rPr>
          <w:rtl/>
        </w:rPr>
        <w:t>التحقيق</w:t>
      </w:r>
      <w:r>
        <w:rPr>
          <w:rtl/>
        </w:rPr>
        <w:t xml:space="preserve"> </w:t>
      </w:r>
      <w:r w:rsidRPr="006571A5">
        <w:rPr>
          <w:rtl/>
        </w:rPr>
        <w:t>أو</w:t>
      </w:r>
      <w:r>
        <w:rPr>
          <w:rtl/>
        </w:rPr>
        <w:t xml:space="preserve"> </w:t>
      </w:r>
      <w:r w:rsidRPr="006571A5">
        <w:rPr>
          <w:rtl/>
        </w:rPr>
        <w:t>التسوية</w:t>
      </w:r>
      <w:r>
        <w:rPr>
          <w:rtl/>
        </w:rPr>
        <w:t xml:space="preserve"> </w:t>
      </w:r>
      <w:r w:rsidRPr="006571A5">
        <w:rPr>
          <w:rtl/>
        </w:rPr>
        <w:t>الدولية.</w:t>
      </w:r>
    </w:p>
    <w:p w14:paraId="7D268C29" w14:textId="3910E79A" w:rsidR="006571A5" w:rsidRPr="006571A5" w:rsidRDefault="006571A5" w:rsidP="006571A5">
      <w:pPr>
        <w:pStyle w:val="SingleTxt"/>
        <w:rPr>
          <w:rtl/>
        </w:rPr>
      </w:pPr>
      <w:r w:rsidRPr="006571A5">
        <w:rPr>
          <w:rtl/>
        </w:rPr>
        <w:t>8-3</w:t>
      </w:r>
      <w:r w:rsidRPr="006571A5">
        <w:rPr>
          <w:rtl/>
        </w:rPr>
        <w:tab/>
        <w:t>وتلاحظ</w:t>
      </w:r>
      <w:r>
        <w:rPr>
          <w:rtl/>
        </w:rPr>
        <w:t xml:space="preserve"> </w:t>
      </w:r>
      <w:r w:rsidRPr="006571A5">
        <w:rPr>
          <w:rtl/>
        </w:rPr>
        <w:t>اللجنة</w:t>
      </w:r>
      <w:r>
        <w:rPr>
          <w:rtl/>
        </w:rPr>
        <w:t xml:space="preserve"> </w:t>
      </w:r>
      <w:r w:rsidRPr="006571A5">
        <w:rPr>
          <w:rtl/>
        </w:rPr>
        <w:t>أن</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تطعن</w:t>
      </w:r>
      <w:r>
        <w:rPr>
          <w:rtl/>
        </w:rPr>
        <w:t xml:space="preserve"> </w:t>
      </w:r>
      <w:r w:rsidRPr="006571A5">
        <w:rPr>
          <w:rtl/>
        </w:rPr>
        <w:t>في</w:t>
      </w:r>
      <w:r>
        <w:rPr>
          <w:rtl/>
        </w:rPr>
        <w:t xml:space="preserve"> </w:t>
      </w:r>
      <w:r w:rsidRPr="006571A5">
        <w:rPr>
          <w:rtl/>
        </w:rPr>
        <w:t>مقبولية</w:t>
      </w:r>
      <w:r>
        <w:rPr>
          <w:rtl/>
        </w:rPr>
        <w:t xml:space="preserve"> </w:t>
      </w:r>
      <w:r w:rsidRPr="006571A5">
        <w:rPr>
          <w:rtl/>
        </w:rPr>
        <w:t>الرسالة</w:t>
      </w:r>
      <w:r>
        <w:rPr>
          <w:rtl/>
        </w:rPr>
        <w:t xml:space="preserve"> </w:t>
      </w:r>
      <w:r w:rsidRPr="006571A5">
        <w:rPr>
          <w:rtl/>
        </w:rPr>
        <w:t>بموجب</w:t>
      </w:r>
      <w:r>
        <w:rPr>
          <w:rtl/>
        </w:rPr>
        <w:t xml:space="preserve"> </w:t>
      </w:r>
      <w:r w:rsidRPr="006571A5">
        <w:rPr>
          <w:rtl/>
        </w:rPr>
        <w:t>المادة</w:t>
      </w:r>
      <w:r>
        <w:rPr>
          <w:rtl/>
        </w:rPr>
        <w:t xml:space="preserve"> </w:t>
      </w:r>
      <w:r w:rsidRPr="006571A5">
        <w:rPr>
          <w:rtl/>
        </w:rPr>
        <w:t>4</w:t>
      </w:r>
      <w:r>
        <w:rPr>
          <w:rtl/>
        </w:rPr>
        <w:t xml:space="preserve"> </w:t>
      </w:r>
      <w:r w:rsidRPr="006571A5">
        <w:rPr>
          <w:rtl/>
        </w:rPr>
        <w:t>(2)</w:t>
      </w:r>
      <w:r>
        <w:rPr>
          <w:rtl/>
        </w:rPr>
        <w:t xml:space="preserve"> </w:t>
      </w:r>
      <w:r w:rsidRPr="006571A5">
        <w:rPr>
          <w:rtl/>
        </w:rPr>
        <w:t>(ج)</w:t>
      </w:r>
      <w:r>
        <w:rPr>
          <w:rtl/>
        </w:rPr>
        <w:t xml:space="preserve"> </w:t>
      </w:r>
      <w:r w:rsidRPr="006571A5">
        <w:rPr>
          <w:rtl/>
        </w:rPr>
        <w:t>من</w:t>
      </w:r>
      <w:r>
        <w:rPr>
          <w:rtl/>
        </w:rPr>
        <w:t xml:space="preserve"> </w:t>
      </w:r>
      <w:r w:rsidRPr="006571A5">
        <w:rPr>
          <w:rtl/>
        </w:rPr>
        <w:t>البروتوكول</w:t>
      </w:r>
      <w:r>
        <w:rPr>
          <w:rtl/>
        </w:rPr>
        <w:t xml:space="preserve"> </w:t>
      </w:r>
      <w:r w:rsidRPr="006571A5">
        <w:rPr>
          <w:rtl/>
        </w:rPr>
        <w:t>الاختياري،</w:t>
      </w:r>
      <w:r>
        <w:rPr>
          <w:rtl/>
        </w:rPr>
        <w:t xml:space="preserve"> </w:t>
      </w:r>
      <w:r w:rsidRPr="006571A5">
        <w:rPr>
          <w:rtl/>
        </w:rPr>
        <w:t>على</w:t>
      </w:r>
      <w:r>
        <w:rPr>
          <w:rtl/>
        </w:rPr>
        <w:t xml:space="preserve"> </w:t>
      </w:r>
      <w:r w:rsidRPr="006571A5">
        <w:rPr>
          <w:rtl/>
        </w:rPr>
        <w:t>أساس</w:t>
      </w:r>
      <w:r>
        <w:rPr>
          <w:rtl/>
        </w:rPr>
        <w:t xml:space="preserve"> </w:t>
      </w:r>
      <w:r w:rsidRPr="006571A5">
        <w:rPr>
          <w:rtl/>
        </w:rPr>
        <w:t>أن</w:t>
      </w:r>
      <w:r>
        <w:rPr>
          <w:rtl/>
        </w:rPr>
        <w:t xml:space="preserve"> </w:t>
      </w:r>
      <w:r w:rsidRPr="006571A5">
        <w:rPr>
          <w:rtl/>
        </w:rPr>
        <w:t>ادعاءات</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تستند</w:t>
      </w:r>
      <w:r>
        <w:rPr>
          <w:rtl/>
        </w:rPr>
        <w:t xml:space="preserve"> </w:t>
      </w:r>
      <w:r w:rsidRPr="006571A5">
        <w:rPr>
          <w:rtl/>
        </w:rPr>
        <w:t>بوضوح</w:t>
      </w:r>
      <w:r>
        <w:rPr>
          <w:rtl/>
        </w:rPr>
        <w:t xml:space="preserve"> </w:t>
      </w:r>
      <w:r w:rsidRPr="006571A5">
        <w:rPr>
          <w:rtl/>
        </w:rPr>
        <w:t>إلى</w:t>
      </w:r>
      <w:r>
        <w:rPr>
          <w:rtl/>
        </w:rPr>
        <w:t xml:space="preserve"> </w:t>
      </w:r>
      <w:r w:rsidRPr="006571A5">
        <w:rPr>
          <w:rtl/>
        </w:rPr>
        <w:t>أسس</w:t>
      </w:r>
      <w:r>
        <w:rPr>
          <w:rtl/>
        </w:rPr>
        <w:t xml:space="preserve"> </w:t>
      </w:r>
      <w:r w:rsidRPr="006571A5">
        <w:rPr>
          <w:rtl/>
        </w:rPr>
        <w:t>واهية</w:t>
      </w:r>
      <w:r>
        <w:rPr>
          <w:rtl/>
        </w:rPr>
        <w:t xml:space="preserve"> </w:t>
      </w:r>
      <w:r w:rsidRPr="006571A5">
        <w:rPr>
          <w:rtl/>
        </w:rPr>
        <w:t>وغير</w:t>
      </w:r>
      <w:r w:rsidR="004B1017">
        <w:rPr>
          <w:rFonts w:hint="cs"/>
          <w:rtl/>
        </w:rPr>
        <w:t> </w:t>
      </w:r>
      <w:r w:rsidRPr="006571A5">
        <w:rPr>
          <w:rtl/>
        </w:rPr>
        <w:t>مدعومة</w:t>
      </w:r>
      <w:r>
        <w:rPr>
          <w:rtl/>
        </w:rPr>
        <w:t xml:space="preserve"> </w:t>
      </w:r>
      <w:r w:rsidRPr="006571A5">
        <w:rPr>
          <w:rtl/>
        </w:rPr>
        <w:t>بأدلة</w:t>
      </w:r>
      <w:r>
        <w:rPr>
          <w:rtl/>
        </w:rPr>
        <w:t xml:space="preserve"> </w:t>
      </w:r>
      <w:r w:rsidRPr="006571A5">
        <w:rPr>
          <w:rtl/>
        </w:rPr>
        <w:t>كافية.</w:t>
      </w:r>
    </w:p>
    <w:p w14:paraId="4ADBFB8D" w14:textId="6F1CA34F" w:rsidR="006571A5" w:rsidRPr="006571A5" w:rsidRDefault="006571A5" w:rsidP="006571A5">
      <w:pPr>
        <w:pStyle w:val="SingleTxt"/>
        <w:rPr>
          <w:rtl/>
        </w:rPr>
      </w:pPr>
      <w:r w:rsidRPr="006571A5">
        <w:rPr>
          <w:rtl/>
        </w:rPr>
        <w:t>8-4</w:t>
      </w:r>
      <w:r w:rsidRPr="006571A5">
        <w:rPr>
          <w:rtl/>
        </w:rPr>
        <w:tab/>
        <w:t>وتلاحظ</w:t>
      </w:r>
      <w:r>
        <w:rPr>
          <w:rtl/>
        </w:rPr>
        <w:t xml:space="preserve"> </w:t>
      </w:r>
      <w:r w:rsidRPr="006571A5">
        <w:rPr>
          <w:rtl/>
        </w:rPr>
        <w:t>اللجنة</w:t>
      </w:r>
      <w:r>
        <w:rPr>
          <w:rtl/>
        </w:rPr>
        <w:t xml:space="preserve"> </w:t>
      </w:r>
      <w:r w:rsidRPr="006571A5">
        <w:rPr>
          <w:rtl/>
        </w:rPr>
        <w:t>أن</w:t>
      </w:r>
      <w:r>
        <w:rPr>
          <w:rtl/>
        </w:rPr>
        <w:t xml:space="preserve"> </w:t>
      </w:r>
      <w:r w:rsidRPr="006571A5">
        <w:rPr>
          <w:rtl/>
        </w:rPr>
        <w:t>ادعاءات</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تهدف،</w:t>
      </w:r>
      <w:r>
        <w:rPr>
          <w:rtl/>
        </w:rPr>
        <w:t xml:space="preserve"> </w:t>
      </w:r>
      <w:r w:rsidRPr="006571A5">
        <w:rPr>
          <w:rtl/>
        </w:rPr>
        <w:t>في</w:t>
      </w:r>
      <w:r>
        <w:rPr>
          <w:rtl/>
        </w:rPr>
        <w:t xml:space="preserve"> </w:t>
      </w:r>
      <w:r w:rsidRPr="006571A5">
        <w:rPr>
          <w:rtl/>
        </w:rPr>
        <w:t>مضمونها،</w:t>
      </w:r>
      <w:r>
        <w:rPr>
          <w:rtl/>
        </w:rPr>
        <w:t xml:space="preserve"> </w:t>
      </w:r>
      <w:r w:rsidRPr="006571A5">
        <w:rPr>
          <w:rtl/>
        </w:rPr>
        <w:t>إلى</w:t>
      </w:r>
      <w:r>
        <w:rPr>
          <w:rtl/>
        </w:rPr>
        <w:t xml:space="preserve"> </w:t>
      </w:r>
      <w:r w:rsidRPr="006571A5">
        <w:rPr>
          <w:rtl/>
        </w:rPr>
        <w:t>الطعن</w:t>
      </w:r>
      <w:r>
        <w:rPr>
          <w:rtl/>
        </w:rPr>
        <w:t xml:space="preserve"> </w:t>
      </w:r>
      <w:r w:rsidRPr="006571A5">
        <w:rPr>
          <w:rtl/>
        </w:rPr>
        <w:t>في</w:t>
      </w:r>
      <w:r>
        <w:rPr>
          <w:rtl/>
        </w:rPr>
        <w:t xml:space="preserve"> </w:t>
      </w:r>
      <w:r w:rsidRPr="006571A5">
        <w:rPr>
          <w:rtl/>
        </w:rPr>
        <w:t>الطريقة</w:t>
      </w:r>
      <w:r>
        <w:rPr>
          <w:rtl/>
        </w:rPr>
        <w:t xml:space="preserve"> </w:t>
      </w:r>
      <w:r w:rsidRPr="006571A5">
        <w:rPr>
          <w:rtl/>
        </w:rPr>
        <w:t>التي</w:t>
      </w:r>
      <w:r>
        <w:rPr>
          <w:rtl/>
        </w:rPr>
        <w:t xml:space="preserve"> </w:t>
      </w:r>
      <w:r w:rsidRPr="006571A5">
        <w:rPr>
          <w:rtl/>
        </w:rPr>
        <w:t>قيّمت</w:t>
      </w:r>
      <w:r>
        <w:rPr>
          <w:rtl/>
        </w:rPr>
        <w:t xml:space="preserve"> </w:t>
      </w:r>
      <w:r w:rsidRPr="006571A5">
        <w:rPr>
          <w:rtl/>
        </w:rPr>
        <w:t>بها</w:t>
      </w:r>
      <w:r>
        <w:rPr>
          <w:rtl/>
        </w:rPr>
        <w:t xml:space="preserve"> </w:t>
      </w:r>
      <w:r w:rsidRPr="006571A5">
        <w:rPr>
          <w:rtl/>
        </w:rPr>
        <w:t>سلطات</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ملابسات</w:t>
      </w:r>
      <w:r>
        <w:rPr>
          <w:rtl/>
        </w:rPr>
        <w:t xml:space="preserve"> </w:t>
      </w:r>
      <w:r w:rsidRPr="006571A5">
        <w:rPr>
          <w:rtl/>
        </w:rPr>
        <w:t>قضيتها</w:t>
      </w:r>
      <w:r>
        <w:rPr>
          <w:rtl/>
        </w:rPr>
        <w:t xml:space="preserve"> </w:t>
      </w:r>
      <w:r w:rsidRPr="006571A5">
        <w:rPr>
          <w:rtl/>
        </w:rPr>
        <w:t>وطبقت</w:t>
      </w:r>
      <w:r>
        <w:rPr>
          <w:rtl/>
        </w:rPr>
        <w:t xml:space="preserve"> </w:t>
      </w:r>
      <w:r w:rsidRPr="006571A5">
        <w:rPr>
          <w:rtl/>
        </w:rPr>
        <w:t>بها</w:t>
      </w:r>
      <w:r>
        <w:rPr>
          <w:rtl/>
        </w:rPr>
        <w:t xml:space="preserve"> </w:t>
      </w:r>
      <w:r w:rsidRPr="006571A5">
        <w:rPr>
          <w:rtl/>
        </w:rPr>
        <w:t>أحكام</w:t>
      </w:r>
      <w:r>
        <w:rPr>
          <w:rtl/>
        </w:rPr>
        <w:t xml:space="preserve"> </w:t>
      </w:r>
      <w:r w:rsidRPr="006571A5">
        <w:rPr>
          <w:rtl/>
        </w:rPr>
        <w:t>القانون</w:t>
      </w:r>
      <w:r>
        <w:rPr>
          <w:rtl/>
        </w:rPr>
        <w:t xml:space="preserve"> </w:t>
      </w:r>
      <w:r w:rsidRPr="006571A5">
        <w:rPr>
          <w:rtl/>
        </w:rPr>
        <w:t>الوطني</w:t>
      </w:r>
      <w:r>
        <w:rPr>
          <w:rtl/>
        </w:rPr>
        <w:t xml:space="preserve"> </w:t>
      </w:r>
      <w:r w:rsidRPr="006571A5">
        <w:rPr>
          <w:rtl/>
        </w:rPr>
        <w:t>وتوصلت</w:t>
      </w:r>
      <w:r>
        <w:rPr>
          <w:rtl/>
        </w:rPr>
        <w:t xml:space="preserve"> </w:t>
      </w:r>
      <w:r w:rsidRPr="006571A5">
        <w:rPr>
          <w:rtl/>
        </w:rPr>
        <w:t>بها</w:t>
      </w:r>
      <w:r>
        <w:rPr>
          <w:rtl/>
        </w:rPr>
        <w:t xml:space="preserve"> </w:t>
      </w:r>
      <w:r w:rsidRPr="006571A5">
        <w:rPr>
          <w:rtl/>
        </w:rPr>
        <w:t>إلى</w:t>
      </w:r>
      <w:r>
        <w:rPr>
          <w:rtl/>
        </w:rPr>
        <w:t xml:space="preserve"> </w:t>
      </w:r>
      <w:r w:rsidRPr="006571A5">
        <w:rPr>
          <w:rtl/>
        </w:rPr>
        <w:t>استنتاجاتها.</w:t>
      </w:r>
      <w:r>
        <w:rPr>
          <w:rtl/>
        </w:rPr>
        <w:t xml:space="preserve"> </w:t>
      </w:r>
      <w:r w:rsidRPr="006571A5">
        <w:rPr>
          <w:rtl/>
        </w:rPr>
        <w:t>وتشير</w:t>
      </w:r>
      <w:r>
        <w:rPr>
          <w:rtl/>
        </w:rPr>
        <w:t xml:space="preserve"> </w:t>
      </w:r>
      <w:r w:rsidRPr="006571A5">
        <w:rPr>
          <w:rtl/>
        </w:rPr>
        <w:t>اللجنة</w:t>
      </w:r>
      <w:r>
        <w:rPr>
          <w:rtl/>
        </w:rPr>
        <w:t xml:space="preserve"> </w:t>
      </w:r>
      <w:r w:rsidRPr="006571A5">
        <w:rPr>
          <w:rtl/>
        </w:rPr>
        <w:t>إلى</w:t>
      </w:r>
      <w:r>
        <w:rPr>
          <w:rtl/>
        </w:rPr>
        <w:t xml:space="preserve"> </w:t>
      </w:r>
      <w:r w:rsidRPr="006571A5">
        <w:rPr>
          <w:rtl/>
        </w:rPr>
        <w:t>أنه</w:t>
      </w:r>
      <w:r>
        <w:rPr>
          <w:rtl/>
        </w:rPr>
        <w:t xml:space="preserve"> </w:t>
      </w:r>
      <w:r w:rsidRPr="006571A5">
        <w:rPr>
          <w:rtl/>
        </w:rPr>
        <w:t>يعود</w:t>
      </w:r>
      <w:r>
        <w:rPr>
          <w:rtl/>
        </w:rPr>
        <w:t xml:space="preserve"> </w:t>
      </w:r>
      <w:r w:rsidRPr="006571A5">
        <w:rPr>
          <w:rtl/>
        </w:rPr>
        <w:t>عموما</w:t>
      </w:r>
      <w:r>
        <w:rPr>
          <w:rtl/>
        </w:rPr>
        <w:t xml:space="preserve"> </w:t>
      </w:r>
      <w:r w:rsidRPr="006571A5">
        <w:rPr>
          <w:rtl/>
        </w:rPr>
        <w:t>إلى</w:t>
      </w:r>
      <w:r>
        <w:rPr>
          <w:rtl/>
        </w:rPr>
        <w:t xml:space="preserve"> </w:t>
      </w:r>
      <w:r w:rsidRPr="006571A5">
        <w:rPr>
          <w:rtl/>
        </w:rPr>
        <w:t>سلطات</w:t>
      </w:r>
      <w:r>
        <w:rPr>
          <w:rtl/>
        </w:rPr>
        <w:t xml:space="preserve"> </w:t>
      </w:r>
      <w:r w:rsidRPr="006571A5">
        <w:rPr>
          <w:rtl/>
        </w:rPr>
        <w:t>الدول</w:t>
      </w:r>
      <w:r>
        <w:rPr>
          <w:rtl/>
        </w:rPr>
        <w:t xml:space="preserve"> </w:t>
      </w:r>
      <w:r w:rsidRPr="006571A5">
        <w:rPr>
          <w:rtl/>
        </w:rPr>
        <w:t>الأطراف</w:t>
      </w:r>
      <w:r>
        <w:rPr>
          <w:rtl/>
        </w:rPr>
        <w:t xml:space="preserve"> </w:t>
      </w:r>
      <w:r w:rsidRPr="006571A5">
        <w:rPr>
          <w:rtl/>
        </w:rPr>
        <w:t>في</w:t>
      </w:r>
      <w:r>
        <w:rPr>
          <w:rtl/>
        </w:rPr>
        <w:t xml:space="preserve"> </w:t>
      </w:r>
      <w:r w:rsidRPr="006571A5">
        <w:rPr>
          <w:rtl/>
        </w:rPr>
        <w:t>الاتفاقية</w:t>
      </w:r>
      <w:r>
        <w:rPr>
          <w:rtl/>
        </w:rPr>
        <w:t xml:space="preserve"> </w:t>
      </w:r>
      <w:r w:rsidRPr="006571A5">
        <w:rPr>
          <w:rtl/>
        </w:rPr>
        <w:t>تقييم</w:t>
      </w:r>
      <w:r>
        <w:rPr>
          <w:rtl/>
        </w:rPr>
        <w:t xml:space="preserve"> </w:t>
      </w:r>
      <w:r w:rsidRPr="006571A5">
        <w:rPr>
          <w:rtl/>
        </w:rPr>
        <w:t>الوقائع</w:t>
      </w:r>
      <w:r>
        <w:rPr>
          <w:rtl/>
        </w:rPr>
        <w:t xml:space="preserve"> </w:t>
      </w:r>
      <w:r w:rsidRPr="006571A5">
        <w:rPr>
          <w:rtl/>
        </w:rPr>
        <w:lastRenderedPageBreak/>
        <w:t>والأدلة</w:t>
      </w:r>
      <w:r>
        <w:rPr>
          <w:rtl/>
        </w:rPr>
        <w:t xml:space="preserve"> </w:t>
      </w:r>
      <w:r w:rsidRPr="006571A5">
        <w:rPr>
          <w:rtl/>
        </w:rPr>
        <w:t>وتطبيق</w:t>
      </w:r>
      <w:r>
        <w:rPr>
          <w:rtl/>
        </w:rPr>
        <w:t xml:space="preserve"> </w:t>
      </w:r>
      <w:r w:rsidRPr="006571A5">
        <w:rPr>
          <w:rtl/>
        </w:rPr>
        <w:t>القانون</w:t>
      </w:r>
      <w:r>
        <w:rPr>
          <w:rtl/>
        </w:rPr>
        <w:t xml:space="preserve"> </w:t>
      </w:r>
      <w:r w:rsidRPr="006571A5">
        <w:rPr>
          <w:rtl/>
        </w:rPr>
        <w:t>الوطني</w:t>
      </w:r>
      <w:r>
        <w:rPr>
          <w:rtl/>
        </w:rPr>
        <w:t xml:space="preserve"> </w:t>
      </w:r>
      <w:r w:rsidRPr="006571A5">
        <w:rPr>
          <w:rtl/>
        </w:rPr>
        <w:t>في</w:t>
      </w:r>
      <w:r>
        <w:rPr>
          <w:rtl/>
        </w:rPr>
        <w:t xml:space="preserve"> </w:t>
      </w:r>
      <w:r w:rsidRPr="006571A5">
        <w:rPr>
          <w:rtl/>
        </w:rPr>
        <w:t>قضية</w:t>
      </w:r>
      <w:r>
        <w:rPr>
          <w:rtl/>
        </w:rPr>
        <w:t xml:space="preserve"> </w:t>
      </w:r>
      <w:r w:rsidRPr="006571A5">
        <w:rPr>
          <w:rtl/>
        </w:rPr>
        <w:t>معينة</w:t>
      </w:r>
      <w:r w:rsidR="004B1017" w:rsidRPr="004B1017">
        <w:rPr>
          <w:szCs w:val="30"/>
          <w:vertAlign w:val="superscript"/>
          <w:rtl/>
        </w:rPr>
        <w:t>(</w:t>
      </w:r>
      <w:r w:rsidR="004B1017" w:rsidRPr="004B1017">
        <w:rPr>
          <w:rStyle w:val="FootnoteReference"/>
          <w:szCs w:val="30"/>
          <w:rtl/>
        </w:rPr>
        <w:footnoteReference w:id="9"/>
      </w:r>
      <w:r w:rsidR="004B1017" w:rsidRPr="004B1017">
        <w:rPr>
          <w:szCs w:val="30"/>
          <w:vertAlign w:val="superscript"/>
          <w:rtl/>
        </w:rPr>
        <w:t>)</w:t>
      </w:r>
      <w:r w:rsidRPr="006571A5">
        <w:rPr>
          <w:rtl/>
        </w:rPr>
        <w:t>،</w:t>
      </w:r>
      <w:r>
        <w:rPr>
          <w:rtl/>
        </w:rPr>
        <w:t xml:space="preserve"> </w:t>
      </w:r>
      <w:r w:rsidRPr="006571A5">
        <w:rPr>
          <w:rtl/>
        </w:rPr>
        <w:t>ما</w:t>
      </w:r>
      <w:r>
        <w:rPr>
          <w:rtl/>
        </w:rPr>
        <w:t xml:space="preserve"> </w:t>
      </w:r>
      <w:r w:rsidRPr="006571A5">
        <w:rPr>
          <w:rtl/>
        </w:rPr>
        <w:t>لم</w:t>
      </w:r>
      <w:r>
        <w:rPr>
          <w:rtl/>
        </w:rPr>
        <w:t xml:space="preserve"> </w:t>
      </w:r>
      <w:r w:rsidRPr="006571A5">
        <w:rPr>
          <w:rtl/>
        </w:rPr>
        <w:t>يثبت</w:t>
      </w:r>
      <w:r>
        <w:rPr>
          <w:rtl/>
        </w:rPr>
        <w:t xml:space="preserve"> </w:t>
      </w:r>
      <w:r w:rsidRPr="006571A5">
        <w:rPr>
          <w:rtl/>
        </w:rPr>
        <w:t>أن</w:t>
      </w:r>
      <w:r>
        <w:rPr>
          <w:rtl/>
        </w:rPr>
        <w:t xml:space="preserve"> </w:t>
      </w:r>
      <w:r w:rsidRPr="006571A5">
        <w:rPr>
          <w:rtl/>
        </w:rPr>
        <w:t>التقييم</w:t>
      </w:r>
      <w:r>
        <w:rPr>
          <w:rtl/>
        </w:rPr>
        <w:t xml:space="preserve"> </w:t>
      </w:r>
      <w:r w:rsidRPr="006571A5">
        <w:rPr>
          <w:rtl/>
        </w:rPr>
        <w:t>متحيز،</w:t>
      </w:r>
      <w:r>
        <w:rPr>
          <w:rtl/>
        </w:rPr>
        <w:t xml:space="preserve"> </w:t>
      </w:r>
      <w:r w:rsidRPr="006571A5">
        <w:rPr>
          <w:rtl/>
        </w:rPr>
        <w:t>أو</w:t>
      </w:r>
      <w:r>
        <w:rPr>
          <w:rtl/>
        </w:rPr>
        <w:t xml:space="preserve"> </w:t>
      </w:r>
      <w:r w:rsidRPr="006571A5">
        <w:rPr>
          <w:rtl/>
        </w:rPr>
        <w:t>قائم</w:t>
      </w:r>
      <w:r>
        <w:rPr>
          <w:rtl/>
        </w:rPr>
        <w:t xml:space="preserve"> </w:t>
      </w:r>
      <w:r w:rsidRPr="006571A5">
        <w:rPr>
          <w:rtl/>
        </w:rPr>
        <w:t>على</w:t>
      </w:r>
      <w:r>
        <w:rPr>
          <w:rtl/>
        </w:rPr>
        <w:t xml:space="preserve"> </w:t>
      </w:r>
      <w:r w:rsidRPr="006571A5">
        <w:rPr>
          <w:rtl/>
        </w:rPr>
        <w:t>قوالب</w:t>
      </w:r>
      <w:r>
        <w:rPr>
          <w:rtl/>
        </w:rPr>
        <w:t xml:space="preserve"> </w:t>
      </w:r>
      <w:r w:rsidRPr="006571A5">
        <w:rPr>
          <w:rtl/>
        </w:rPr>
        <w:t>نمطية</w:t>
      </w:r>
      <w:r>
        <w:rPr>
          <w:rtl/>
        </w:rPr>
        <w:t xml:space="preserve"> </w:t>
      </w:r>
      <w:r w:rsidRPr="006571A5">
        <w:rPr>
          <w:rtl/>
        </w:rPr>
        <w:t>جنسانية</w:t>
      </w:r>
      <w:r>
        <w:rPr>
          <w:rtl/>
        </w:rPr>
        <w:t xml:space="preserve"> </w:t>
      </w:r>
      <w:r w:rsidRPr="006571A5">
        <w:rPr>
          <w:rtl/>
        </w:rPr>
        <w:t>تشكل</w:t>
      </w:r>
      <w:r>
        <w:rPr>
          <w:rtl/>
        </w:rPr>
        <w:t xml:space="preserve"> </w:t>
      </w:r>
      <w:r w:rsidRPr="006571A5">
        <w:rPr>
          <w:rtl/>
        </w:rPr>
        <w:t>تمييزا</w:t>
      </w:r>
      <w:r>
        <w:rPr>
          <w:rtl/>
        </w:rPr>
        <w:t xml:space="preserve"> </w:t>
      </w:r>
      <w:r w:rsidRPr="006571A5">
        <w:rPr>
          <w:rtl/>
        </w:rPr>
        <w:t>ضد</w:t>
      </w:r>
      <w:r>
        <w:rPr>
          <w:rtl/>
        </w:rPr>
        <w:t xml:space="preserve"> </w:t>
      </w:r>
      <w:r w:rsidRPr="006571A5">
        <w:rPr>
          <w:rtl/>
        </w:rPr>
        <w:t>المرأة،</w:t>
      </w:r>
      <w:r>
        <w:rPr>
          <w:rtl/>
        </w:rPr>
        <w:t xml:space="preserve"> </w:t>
      </w:r>
      <w:r w:rsidRPr="006571A5">
        <w:rPr>
          <w:rtl/>
        </w:rPr>
        <w:t>أو</w:t>
      </w:r>
      <w:r>
        <w:rPr>
          <w:rtl/>
        </w:rPr>
        <w:t xml:space="preserve"> </w:t>
      </w:r>
      <w:r w:rsidRPr="006571A5">
        <w:rPr>
          <w:rtl/>
        </w:rPr>
        <w:t>أنه</w:t>
      </w:r>
      <w:r>
        <w:rPr>
          <w:rtl/>
        </w:rPr>
        <w:t xml:space="preserve"> </w:t>
      </w:r>
      <w:r w:rsidRPr="006571A5">
        <w:rPr>
          <w:rtl/>
        </w:rPr>
        <w:t>واضح</w:t>
      </w:r>
      <w:r>
        <w:rPr>
          <w:rtl/>
        </w:rPr>
        <w:t xml:space="preserve"> </w:t>
      </w:r>
      <w:r w:rsidRPr="006571A5">
        <w:rPr>
          <w:rtl/>
        </w:rPr>
        <w:t>التعسف</w:t>
      </w:r>
      <w:r>
        <w:rPr>
          <w:rtl/>
        </w:rPr>
        <w:t xml:space="preserve"> </w:t>
      </w:r>
      <w:r w:rsidRPr="006571A5">
        <w:rPr>
          <w:rtl/>
        </w:rPr>
        <w:t>أو</w:t>
      </w:r>
      <w:r>
        <w:rPr>
          <w:rtl/>
        </w:rPr>
        <w:t xml:space="preserve"> </w:t>
      </w:r>
      <w:r w:rsidRPr="006571A5">
        <w:rPr>
          <w:rtl/>
        </w:rPr>
        <w:t>يبلغ</w:t>
      </w:r>
      <w:r>
        <w:rPr>
          <w:rtl/>
        </w:rPr>
        <w:t xml:space="preserve"> </w:t>
      </w:r>
      <w:r w:rsidRPr="006571A5">
        <w:rPr>
          <w:rtl/>
        </w:rPr>
        <w:t>حدّ</w:t>
      </w:r>
      <w:r>
        <w:rPr>
          <w:rtl/>
        </w:rPr>
        <w:t xml:space="preserve"> </w:t>
      </w:r>
      <w:r w:rsidRPr="006571A5">
        <w:rPr>
          <w:rtl/>
        </w:rPr>
        <w:t>الحرمان</w:t>
      </w:r>
      <w:r>
        <w:rPr>
          <w:rtl/>
        </w:rPr>
        <w:t xml:space="preserve"> </w:t>
      </w:r>
      <w:r w:rsidRPr="006571A5">
        <w:rPr>
          <w:rtl/>
        </w:rPr>
        <w:t>من</w:t>
      </w:r>
      <w:r>
        <w:rPr>
          <w:rtl/>
        </w:rPr>
        <w:t xml:space="preserve"> </w:t>
      </w:r>
      <w:r w:rsidRPr="006571A5">
        <w:rPr>
          <w:rtl/>
        </w:rPr>
        <w:t>العدالة</w:t>
      </w:r>
      <w:r w:rsidR="004B1017" w:rsidRPr="004B1017">
        <w:rPr>
          <w:szCs w:val="30"/>
          <w:vertAlign w:val="superscript"/>
          <w:rtl/>
        </w:rPr>
        <w:t>(</w:t>
      </w:r>
      <w:r w:rsidR="004B1017" w:rsidRPr="004B1017">
        <w:rPr>
          <w:rStyle w:val="FootnoteReference"/>
          <w:szCs w:val="30"/>
          <w:rtl/>
        </w:rPr>
        <w:footnoteReference w:id="10"/>
      </w:r>
      <w:r w:rsidR="004B1017" w:rsidRPr="004B1017">
        <w:rPr>
          <w:szCs w:val="30"/>
          <w:vertAlign w:val="superscript"/>
          <w:rtl/>
        </w:rPr>
        <w:t>)</w:t>
      </w:r>
      <w:r w:rsidRPr="006571A5">
        <w:rPr>
          <w:rtl/>
        </w:rPr>
        <w:t>.</w:t>
      </w:r>
      <w:r>
        <w:rPr>
          <w:rtl/>
        </w:rPr>
        <w:t xml:space="preserve"> </w:t>
      </w:r>
      <w:r w:rsidRPr="006571A5">
        <w:rPr>
          <w:rtl/>
        </w:rPr>
        <w:t>وتلاحظ</w:t>
      </w:r>
      <w:r>
        <w:rPr>
          <w:rtl/>
        </w:rPr>
        <w:t xml:space="preserve"> </w:t>
      </w:r>
      <w:r w:rsidRPr="006571A5">
        <w:rPr>
          <w:rtl/>
        </w:rPr>
        <w:t>اللجنة</w:t>
      </w:r>
      <w:r>
        <w:rPr>
          <w:rtl/>
        </w:rPr>
        <w:t xml:space="preserve"> </w:t>
      </w:r>
      <w:r w:rsidRPr="006571A5">
        <w:rPr>
          <w:rtl/>
        </w:rPr>
        <w:t>أن</w:t>
      </w:r>
      <w:r>
        <w:rPr>
          <w:rtl/>
        </w:rPr>
        <w:t xml:space="preserve"> </w:t>
      </w:r>
      <w:r w:rsidRPr="006571A5">
        <w:rPr>
          <w:rtl/>
        </w:rPr>
        <w:t>لا</w:t>
      </w:r>
      <w:r>
        <w:rPr>
          <w:rtl/>
        </w:rPr>
        <w:t xml:space="preserve"> </w:t>
      </w:r>
      <w:r w:rsidRPr="006571A5">
        <w:rPr>
          <w:rtl/>
        </w:rPr>
        <w:t>شيء</w:t>
      </w:r>
      <w:r>
        <w:rPr>
          <w:rtl/>
        </w:rPr>
        <w:t xml:space="preserve"> </w:t>
      </w:r>
      <w:r w:rsidRPr="006571A5">
        <w:rPr>
          <w:rtl/>
        </w:rPr>
        <w:t>في</w:t>
      </w:r>
      <w:r>
        <w:rPr>
          <w:rtl/>
        </w:rPr>
        <w:t xml:space="preserve"> </w:t>
      </w:r>
      <w:r w:rsidRPr="006571A5">
        <w:rPr>
          <w:rtl/>
        </w:rPr>
        <w:t>ملف</w:t>
      </w:r>
      <w:r>
        <w:rPr>
          <w:rtl/>
        </w:rPr>
        <w:t xml:space="preserve"> </w:t>
      </w:r>
      <w:r w:rsidRPr="006571A5">
        <w:rPr>
          <w:rtl/>
        </w:rPr>
        <w:t>القضية</w:t>
      </w:r>
      <w:r>
        <w:rPr>
          <w:rtl/>
        </w:rPr>
        <w:t xml:space="preserve"> </w:t>
      </w:r>
      <w:r w:rsidRPr="006571A5">
        <w:rPr>
          <w:rtl/>
        </w:rPr>
        <w:t>يثبت</w:t>
      </w:r>
      <w:r>
        <w:rPr>
          <w:rtl/>
        </w:rPr>
        <w:t xml:space="preserve"> </w:t>
      </w:r>
      <w:r w:rsidRPr="006571A5">
        <w:rPr>
          <w:rtl/>
        </w:rPr>
        <w:t>أن</w:t>
      </w:r>
      <w:r>
        <w:rPr>
          <w:rtl/>
        </w:rPr>
        <w:t xml:space="preserve"> </w:t>
      </w:r>
      <w:r w:rsidRPr="006571A5">
        <w:rPr>
          <w:rtl/>
        </w:rPr>
        <w:t>أيا</w:t>
      </w:r>
      <w:r>
        <w:rPr>
          <w:rtl/>
        </w:rPr>
        <w:t xml:space="preserve"> </w:t>
      </w:r>
      <w:r w:rsidRPr="006571A5">
        <w:rPr>
          <w:rtl/>
        </w:rPr>
        <w:t>من</w:t>
      </w:r>
      <w:r>
        <w:rPr>
          <w:rtl/>
        </w:rPr>
        <w:t xml:space="preserve"> </w:t>
      </w:r>
      <w:r w:rsidRPr="006571A5">
        <w:rPr>
          <w:rtl/>
        </w:rPr>
        <w:t>هذه</w:t>
      </w:r>
      <w:r>
        <w:rPr>
          <w:rtl/>
        </w:rPr>
        <w:t xml:space="preserve"> </w:t>
      </w:r>
      <w:r w:rsidRPr="006571A5">
        <w:rPr>
          <w:rtl/>
        </w:rPr>
        <w:t>العيوب</w:t>
      </w:r>
      <w:r>
        <w:rPr>
          <w:rtl/>
        </w:rPr>
        <w:t xml:space="preserve"> </w:t>
      </w:r>
      <w:r w:rsidRPr="006571A5">
        <w:rPr>
          <w:rtl/>
        </w:rPr>
        <w:t>اعترى</w:t>
      </w:r>
      <w:r>
        <w:rPr>
          <w:rtl/>
        </w:rPr>
        <w:t xml:space="preserve"> </w:t>
      </w:r>
      <w:r w:rsidRPr="006571A5">
        <w:rPr>
          <w:rtl/>
        </w:rPr>
        <w:t>نظر</w:t>
      </w:r>
      <w:r>
        <w:rPr>
          <w:rtl/>
        </w:rPr>
        <w:t xml:space="preserve"> </w:t>
      </w:r>
      <w:r w:rsidRPr="006571A5">
        <w:rPr>
          <w:rtl/>
        </w:rPr>
        <w:t>السلطات</w:t>
      </w:r>
      <w:r>
        <w:rPr>
          <w:rtl/>
        </w:rPr>
        <w:t xml:space="preserve"> </w:t>
      </w:r>
      <w:r w:rsidRPr="006571A5">
        <w:rPr>
          <w:rtl/>
        </w:rPr>
        <w:t>في</w:t>
      </w:r>
      <w:r>
        <w:rPr>
          <w:rtl/>
        </w:rPr>
        <w:t xml:space="preserve"> </w:t>
      </w:r>
      <w:r w:rsidRPr="006571A5">
        <w:rPr>
          <w:rtl/>
        </w:rPr>
        <w:t>ادعاءات</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بشأن</w:t>
      </w:r>
      <w:r>
        <w:rPr>
          <w:rtl/>
        </w:rPr>
        <w:t xml:space="preserve"> </w:t>
      </w:r>
      <w:r w:rsidRPr="006571A5">
        <w:rPr>
          <w:rtl/>
        </w:rPr>
        <w:t>مخاوفها</w:t>
      </w:r>
      <w:r>
        <w:rPr>
          <w:rtl/>
        </w:rPr>
        <w:t xml:space="preserve"> </w:t>
      </w:r>
      <w:r w:rsidRPr="006571A5">
        <w:rPr>
          <w:rtl/>
        </w:rPr>
        <w:t>من</w:t>
      </w:r>
      <w:r>
        <w:rPr>
          <w:rtl/>
        </w:rPr>
        <w:t xml:space="preserve"> </w:t>
      </w:r>
      <w:r w:rsidRPr="006571A5">
        <w:rPr>
          <w:rtl/>
        </w:rPr>
        <w:t>المخاطر</w:t>
      </w:r>
      <w:r>
        <w:rPr>
          <w:rtl/>
        </w:rPr>
        <w:t xml:space="preserve"> </w:t>
      </w:r>
      <w:r w:rsidRPr="006571A5">
        <w:rPr>
          <w:rtl/>
        </w:rPr>
        <w:t>التي</w:t>
      </w:r>
      <w:r>
        <w:rPr>
          <w:rtl/>
        </w:rPr>
        <w:t xml:space="preserve"> </w:t>
      </w:r>
      <w:r w:rsidRPr="006571A5">
        <w:rPr>
          <w:rtl/>
        </w:rPr>
        <w:t>ستتعرض</w:t>
      </w:r>
      <w:r>
        <w:rPr>
          <w:rtl/>
        </w:rPr>
        <w:t xml:space="preserve"> </w:t>
      </w:r>
      <w:r w:rsidRPr="006571A5">
        <w:rPr>
          <w:rtl/>
        </w:rPr>
        <w:t>لها</w:t>
      </w:r>
      <w:r>
        <w:rPr>
          <w:rtl/>
        </w:rPr>
        <w:t xml:space="preserve"> </w:t>
      </w:r>
      <w:r w:rsidRPr="006571A5">
        <w:rPr>
          <w:rtl/>
        </w:rPr>
        <w:t>إذا</w:t>
      </w:r>
      <w:r>
        <w:rPr>
          <w:rtl/>
        </w:rPr>
        <w:t xml:space="preserve"> </w:t>
      </w:r>
      <w:r w:rsidRPr="006571A5">
        <w:rPr>
          <w:rtl/>
        </w:rPr>
        <w:t>عادت</w:t>
      </w:r>
      <w:r>
        <w:rPr>
          <w:rtl/>
        </w:rPr>
        <w:t xml:space="preserve"> </w:t>
      </w:r>
      <w:r w:rsidRPr="006571A5">
        <w:rPr>
          <w:rtl/>
        </w:rPr>
        <w:t>إلى</w:t>
      </w:r>
      <w:r>
        <w:rPr>
          <w:rtl/>
        </w:rPr>
        <w:t xml:space="preserve"> </w:t>
      </w:r>
      <w:r w:rsidRPr="006571A5">
        <w:rPr>
          <w:rtl/>
        </w:rPr>
        <w:t>الصومال.</w:t>
      </w:r>
      <w:r>
        <w:rPr>
          <w:rtl/>
        </w:rPr>
        <w:t xml:space="preserve"> </w:t>
      </w:r>
      <w:r w:rsidRPr="006571A5">
        <w:rPr>
          <w:rtl/>
        </w:rPr>
        <w:t>وتلاحظ</w:t>
      </w:r>
      <w:r>
        <w:rPr>
          <w:rtl/>
        </w:rPr>
        <w:t xml:space="preserve"> </w:t>
      </w:r>
      <w:r w:rsidRPr="006571A5">
        <w:rPr>
          <w:rtl/>
        </w:rPr>
        <w:t>اللجنة</w:t>
      </w:r>
      <w:r>
        <w:rPr>
          <w:rtl/>
        </w:rPr>
        <w:t xml:space="preserve"> </w:t>
      </w:r>
      <w:r w:rsidRPr="006571A5">
        <w:rPr>
          <w:rtl/>
        </w:rPr>
        <w:t>أيضا</w:t>
      </w:r>
      <w:r>
        <w:rPr>
          <w:rtl/>
        </w:rPr>
        <w:t xml:space="preserve"> </w:t>
      </w:r>
      <w:r w:rsidRPr="006571A5">
        <w:rPr>
          <w:rtl/>
        </w:rPr>
        <w:t>أنه</w:t>
      </w:r>
      <w:r>
        <w:rPr>
          <w:rtl/>
        </w:rPr>
        <w:t xml:space="preserve"> </w:t>
      </w:r>
      <w:r w:rsidRPr="006571A5">
        <w:rPr>
          <w:rtl/>
        </w:rPr>
        <w:t>بمعزل</w:t>
      </w:r>
      <w:r>
        <w:rPr>
          <w:rtl/>
        </w:rPr>
        <w:t xml:space="preserve"> </w:t>
      </w:r>
      <w:r w:rsidRPr="006571A5">
        <w:rPr>
          <w:rtl/>
        </w:rPr>
        <w:t>عن</w:t>
      </w:r>
      <w:r>
        <w:rPr>
          <w:rtl/>
        </w:rPr>
        <w:t xml:space="preserve"> </w:t>
      </w:r>
      <w:r w:rsidRPr="006571A5">
        <w:rPr>
          <w:rtl/>
        </w:rPr>
        <w:t>الإفادات</w:t>
      </w:r>
      <w:r>
        <w:rPr>
          <w:rtl/>
        </w:rPr>
        <w:t xml:space="preserve"> </w:t>
      </w:r>
      <w:r w:rsidRPr="006571A5">
        <w:rPr>
          <w:rtl/>
        </w:rPr>
        <w:t>العمومية</w:t>
      </w:r>
      <w:r>
        <w:rPr>
          <w:rtl/>
        </w:rPr>
        <w:t xml:space="preserve"> </w:t>
      </w:r>
      <w:r w:rsidRPr="006571A5">
        <w:rPr>
          <w:rtl/>
        </w:rPr>
        <w:t>الطابع</w:t>
      </w:r>
      <w:r>
        <w:rPr>
          <w:rtl/>
        </w:rPr>
        <w:t xml:space="preserve"> </w:t>
      </w:r>
      <w:r w:rsidRPr="006571A5">
        <w:rPr>
          <w:rtl/>
        </w:rPr>
        <w:t>التي</w:t>
      </w:r>
      <w:r>
        <w:rPr>
          <w:rtl/>
        </w:rPr>
        <w:t xml:space="preserve"> </w:t>
      </w:r>
      <w:r w:rsidRPr="006571A5">
        <w:rPr>
          <w:rtl/>
        </w:rPr>
        <w:t>قدمها</w:t>
      </w:r>
      <w:r>
        <w:rPr>
          <w:rtl/>
        </w:rPr>
        <w:t xml:space="preserve"> </w:t>
      </w:r>
      <w:r w:rsidRPr="006571A5">
        <w:rPr>
          <w:rtl/>
        </w:rPr>
        <w:t>محامي</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عما</w:t>
      </w:r>
      <w:r>
        <w:rPr>
          <w:rtl/>
        </w:rPr>
        <w:t xml:space="preserve"> </w:t>
      </w:r>
      <w:r w:rsidRPr="006571A5">
        <w:rPr>
          <w:rtl/>
        </w:rPr>
        <w:t>يُتصور</w:t>
      </w:r>
      <w:r>
        <w:rPr>
          <w:rtl/>
        </w:rPr>
        <w:t xml:space="preserve"> </w:t>
      </w:r>
      <w:r w:rsidRPr="006571A5">
        <w:rPr>
          <w:rtl/>
        </w:rPr>
        <w:t>بأنه</w:t>
      </w:r>
      <w:r>
        <w:rPr>
          <w:rtl/>
        </w:rPr>
        <w:t xml:space="preserve"> </w:t>
      </w:r>
      <w:r w:rsidRPr="006571A5">
        <w:rPr>
          <w:rtl/>
        </w:rPr>
        <w:t>أوجه</w:t>
      </w:r>
      <w:r>
        <w:rPr>
          <w:rtl/>
        </w:rPr>
        <w:t xml:space="preserve"> </w:t>
      </w:r>
      <w:r w:rsidRPr="006571A5">
        <w:rPr>
          <w:rtl/>
        </w:rPr>
        <w:t>عدم</w:t>
      </w:r>
      <w:r>
        <w:rPr>
          <w:rtl/>
        </w:rPr>
        <w:t xml:space="preserve"> </w:t>
      </w:r>
      <w:r w:rsidRPr="006571A5">
        <w:rPr>
          <w:rtl/>
        </w:rPr>
        <w:t>كفاءة</w:t>
      </w:r>
      <w:r>
        <w:rPr>
          <w:rtl/>
        </w:rPr>
        <w:t xml:space="preserve"> </w:t>
      </w:r>
      <w:r w:rsidRPr="006571A5">
        <w:rPr>
          <w:rtl/>
        </w:rPr>
        <w:t>في</w:t>
      </w:r>
      <w:r>
        <w:rPr>
          <w:rtl/>
        </w:rPr>
        <w:t xml:space="preserve"> </w:t>
      </w:r>
      <w:r w:rsidRPr="006571A5">
        <w:rPr>
          <w:rtl/>
        </w:rPr>
        <w:t>إجراءات</w:t>
      </w:r>
      <w:r>
        <w:rPr>
          <w:rtl/>
        </w:rPr>
        <w:t xml:space="preserve"> </w:t>
      </w:r>
      <w:r w:rsidRPr="006571A5">
        <w:rPr>
          <w:rtl/>
        </w:rPr>
        <w:t>اللجوء</w:t>
      </w:r>
      <w:r>
        <w:rPr>
          <w:rtl/>
        </w:rPr>
        <w:t xml:space="preserve"> </w:t>
      </w:r>
      <w:r w:rsidRPr="006571A5">
        <w:rPr>
          <w:rtl/>
        </w:rPr>
        <w:t>المتبعة</w:t>
      </w:r>
      <w:r>
        <w:rPr>
          <w:rtl/>
        </w:rPr>
        <w:t xml:space="preserve"> </w:t>
      </w:r>
      <w:r w:rsidRPr="006571A5">
        <w:rPr>
          <w:rtl/>
        </w:rPr>
        <w:t>في</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لم</w:t>
      </w:r>
      <w:r>
        <w:rPr>
          <w:rtl/>
        </w:rPr>
        <w:t xml:space="preserve"> </w:t>
      </w:r>
      <w:r w:rsidRPr="006571A5">
        <w:rPr>
          <w:rtl/>
        </w:rPr>
        <w:t>يُدَّعَ</w:t>
      </w:r>
      <w:r>
        <w:rPr>
          <w:rtl/>
        </w:rPr>
        <w:t xml:space="preserve"> </w:t>
      </w:r>
      <w:r w:rsidRPr="006571A5">
        <w:rPr>
          <w:rtl/>
        </w:rPr>
        <w:t>بأنها</w:t>
      </w:r>
      <w:r>
        <w:rPr>
          <w:rtl/>
        </w:rPr>
        <w:t xml:space="preserve"> </w:t>
      </w:r>
      <w:r w:rsidRPr="006571A5">
        <w:rPr>
          <w:rtl/>
        </w:rPr>
        <w:t>بلغت</w:t>
      </w:r>
      <w:r>
        <w:rPr>
          <w:rtl/>
        </w:rPr>
        <w:t xml:space="preserve"> </w:t>
      </w:r>
      <w:r w:rsidRPr="006571A5">
        <w:rPr>
          <w:rtl/>
        </w:rPr>
        <w:t>حد</w:t>
      </w:r>
      <w:r>
        <w:rPr>
          <w:rtl/>
        </w:rPr>
        <w:t xml:space="preserve"> </w:t>
      </w:r>
      <w:r w:rsidRPr="006571A5">
        <w:rPr>
          <w:rtl/>
        </w:rPr>
        <w:t>التمييز،</w:t>
      </w:r>
      <w:r>
        <w:rPr>
          <w:rtl/>
        </w:rPr>
        <w:t xml:space="preserve"> </w:t>
      </w:r>
      <w:r w:rsidRPr="006571A5">
        <w:rPr>
          <w:rtl/>
        </w:rPr>
        <w:t>أو</w:t>
      </w:r>
      <w:r>
        <w:rPr>
          <w:rtl/>
        </w:rPr>
        <w:t xml:space="preserve"> </w:t>
      </w:r>
      <w:r w:rsidRPr="006571A5">
        <w:rPr>
          <w:rtl/>
        </w:rPr>
        <w:t>تسببت</w:t>
      </w:r>
      <w:r>
        <w:rPr>
          <w:rtl/>
        </w:rPr>
        <w:t xml:space="preserve"> </w:t>
      </w:r>
      <w:r w:rsidRPr="006571A5">
        <w:rPr>
          <w:rtl/>
        </w:rPr>
        <w:t>في</w:t>
      </w:r>
      <w:r>
        <w:rPr>
          <w:rtl/>
        </w:rPr>
        <w:t xml:space="preserve"> </w:t>
      </w:r>
      <w:r w:rsidRPr="006571A5">
        <w:rPr>
          <w:rtl/>
        </w:rPr>
        <w:t>حدوثه،</w:t>
      </w:r>
      <w:r>
        <w:rPr>
          <w:rtl/>
        </w:rPr>
        <w:t xml:space="preserve"> </w:t>
      </w:r>
      <w:r w:rsidRPr="006571A5">
        <w:rPr>
          <w:rtl/>
        </w:rPr>
        <w:t>أو</w:t>
      </w:r>
      <w:r>
        <w:rPr>
          <w:rtl/>
        </w:rPr>
        <w:t xml:space="preserve"> </w:t>
      </w:r>
      <w:r w:rsidRPr="006571A5">
        <w:rPr>
          <w:rtl/>
        </w:rPr>
        <w:t>جعلت</w:t>
      </w:r>
      <w:r>
        <w:rPr>
          <w:rtl/>
        </w:rPr>
        <w:t xml:space="preserve"> </w:t>
      </w:r>
      <w:r w:rsidRPr="006571A5">
        <w:rPr>
          <w:rtl/>
        </w:rPr>
        <w:t>القرارات</w:t>
      </w:r>
      <w:r>
        <w:rPr>
          <w:rtl/>
        </w:rPr>
        <w:t xml:space="preserve"> </w:t>
      </w:r>
      <w:r w:rsidRPr="006571A5">
        <w:rPr>
          <w:rtl/>
        </w:rPr>
        <w:t>التي</w:t>
      </w:r>
      <w:r>
        <w:rPr>
          <w:rtl/>
        </w:rPr>
        <w:t xml:space="preserve"> </w:t>
      </w:r>
      <w:r w:rsidRPr="006571A5">
        <w:rPr>
          <w:rtl/>
        </w:rPr>
        <w:t>اتخذتها</w:t>
      </w:r>
      <w:r>
        <w:rPr>
          <w:rtl/>
        </w:rPr>
        <w:t xml:space="preserve"> </w:t>
      </w:r>
      <w:r w:rsidRPr="006571A5">
        <w:rPr>
          <w:rtl/>
        </w:rPr>
        <w:t>السلطات</w:t>
      </w:r>
      <w:r>
        <w:rPr>
          <w:rtl/>
        </w:rPr>
        <w:t xml:space="preserve"> </w:t>
      </w:r>
      <w:r w:rsidRPr="006571A5">
        <w:rPr>
          <w:rtl/>
        </w:rPr>
        <w:t>في</w:t>
      </w:r>
      <w:r>
        <w:rPr>
          <w:rtl/>
        </w:rPr>
        <w:t xml:space="preserve"> </w:t>
      </w:r>
      <w:r w:rsidRPr="006571A5">
        <w:rPr>
          <w:rtl/>
        </w:rPr>
        <w:t>قضية</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متعسفة.</w:t>
      </w:r>
      <w:r>
        <w:rPr>
          <w:rtl/>
        </w:rPr>
        <w:t xml:space="preserve"> </w:t>
      </w:r>
      <w:r w:rsidRPr="006571A5">
        <w:rPr>
          <w:rtl/>
        </w:rPr>
        <w:t>ثم</w:t>
      </w:r>
      <w:r>
        <w:rPr>
          <w:rtl/>
        </w:rPr>
        <w:t xml:space="preserve"> </w:t>
      </w:r>
      <w:r w:rsidRPr="006571A5">
        <w:rPr>
          <w:rtl/>
        </w:rPr>
        <w:t>أنه</w:t>
      </w:r>
      <w:r>
        <w:rPr>
          <w:rtl/>
        </w:rPr>
        <w:t xml:space="preserve"> </w:t>
      </w:r>
      <w:r w:rsidRPr="006571A5">
        <w:rPr>
          <w:rtl/>
        </w:rPr>
        <w:t>طالما</w:t>
      </w:r>
      <w:r>
        <w:rPr>
          <w:rtl/>
        </w:rPr>
        <w:t xml:space="preserve"> </w:t>
      </w:r>
      <w:r w:rsidRPr="006571A5">
        <w:rPr>
          <w:rtl/>
        </w:rPr>
        <w:t>كانت</w:t>
      </w:r>
      <w:r>
        <w:rPr>
          <w:rtl/>
        </w:rPr>
        <w:t xml:space="preserve"> </w:t>
      </w:r>
      <w:r w:rsidRPr="006571A5">
        <w:rPr>
          <w:rtl/>
        </w:rPr>
        <w:t>الدول</w:t>
      </w:r>
      <w:r>
        <w:rPr>
          <w:rtl/>
        </w:rPr>
        <w:t xml:space="preserve"> </w:t>
      </w:r>
      <w:r w:rsidRPr="006571A5">
        <w:rPr>
          <w:rtl/>
        </w:rPr>
        <w:t>ذات</w:t>
      </w:r>
      <w:r>
        <w:rPr>
          <w:rtl/>
        </w:rPr>
        <w:t xml:space="preserve"> </w:t>
      </w:r>
      <w:r w:rsidRPr="006571A5">
        <w:rPr>
          <w:rtl/>
        </w:rPr>
        <w:t>السيادة</w:t>
      </w:r>
      <w:r>
        <w:rPr>
          <w:rtl/>
        </w:rPr>
        <w:t xml:space="preserve"> </w:t>
      </w:r>
      <w:r w:rsidRPr="006571A5">
        <w:rPr>
          <w:rtl/>
        </w:rPr>
        <w:t>تحترم</w:t>
      </w:r>
      <w:r>
        <w:rPr>
          <w:rtl/>
        </w:rPr>
        <w:t xml:space="preserve"> </w:t>
      </w:r>
      <w:r w:rsidRPr="006571A5">
        <w:rPr>
          <w:rtl/>
        </w:rPr>
        <w:t>الضمانات</w:t>
      </w:r>
      <w:r>
        <w:rPr>
          <w:rtl/>
        </w:rPr>
        <w:t xml:space="preserve"> </w:t>
      </w:r>
      <w:r w:rsidRPr="006571A5">
        <w:rPr>
          <w:rtl/>
        </w:rPr>
        <w:t>الإجرائية</w:t>
      </w:r>
      <w:r>
        <w:rPr>
          <w:rtl/>
        </w:rPr>
        <w:t xml:space="preserve"> </w:t>
      </w:r>
      <w:r w:rsidRPr="006571A5">
        <w:rPr>
          <w:rtl/>
        </w:rPr>
        <w:t>المنصوص</w:t>
      </w:r>
      <w:r>
        <w:rPr>
          <w:rtl/>
        </w:rPr>
        <w:t xml:space="preserve"> </w:t>
      </w:r>
      <w:r w:rsidRPr="006571A5">
        <w:rPr>
          <w:rtl/>
        </w:rPr>
        <w:t>عليها</w:t>
      </w:r>
      <w:r>
        <w:rPr>
          <w:rtl/>
        </w:rPr>
        <w:t xml:space="preserve"> </w:t>
      </w:r>
      <w:r w:rsidRPr="006571A5">
        <w:rPr>
          <w:rtl/>
        </w:rPr>
        <w:t>بموجب</w:t>
      </w:r>
      <w:r>
        <w:rPr>
          <w:rtl/>
        </w:rPr>
        <w:t xml:space="preserve"> </w:t>
      </w:r>
      <w:r w:rsidRPr="006571A5">
        <w:rPr>
          <w:rtl/>
        </w:rPr>
        <w:t>القانون</w:t>
      </w:r>
      <w:r>
        <w:rPr>
          <w:rtl/>
        </w:rPr>
        <w:t xml:space="preserve"> </w:t>
      </w:r>
      <w:r w:rsidRPr="006571A5">
        <w:rPr>
          <w:rtl/>
        </w:rPr>
        <w:t>الدولي،</w:t>
      </w:r>
      <w:r>
        <w:rPr>
          <w:rtl/>
        </w:rPr>
        <w:t xml:space="preserve"> </w:t>
      </w:r>
      <w:r w:rsidRPr="006571A5">
        <w:rPr>
          <w:rtl/>
        </w:rPr>
        <w:t>يكون</w:t>
      </w:r>
      <w:r>
        <w:rPr>
          <w:rtl/>
        </w:rPr>
        <w:t xml:space="preserve"> </w:t>
      </w:r>
      <w:r w:rsidRPr="006571A5">
        <w:rPr>
          <w:rtl/>
        </w:rPr>
        <w:t>لها</w:t>
      </w:r>
      <w:r>
        <w:rPr>
          <w:rtl/>
        </w:rPr>
        <w:t xml:space="preserve"> </w:t>
      </w:r>
      <w:r w:rsidRPr="006571A5">
        <w:rPr>
          <w:rtl/>
        </w:rPr>
        <w:t>الحرية</w:t>
      </w:r>
      <w:r>
        <w:rPr>
          <w:rtl/>
        </w:rPr>
        <w:t xml:space="preserve"> </w:t>
      </w:r>
      <w:r w:rsidRPr="006571A5">
        <w:rPr>
          <w:rtl/>
        </w:rPr>
        <w:t>من</w:t>
      </w:r>
      <w:r>
        <w:rPr>
          <w:rtl/>
        </w:rPr>
        <w:t xml:space="preserve"> </w:t>
      </w:r>
      <w:r w:rsidRPr="006571A5">
        <w:rPr>
          <w:rtl/>
        </w:rPr>
        <w:t>حيث</w:t>
      </w:r>
      <w:r>
        <w:rPr>
          <w:rtl/>
        </w:rPr>
        <w:t xml:space="preserve"> </w:t>
      </w:r>
      <w:r w:rsidRPr="006571A5">
        <w:rPr>
          <w:rtl/>
        </w:rPr>
        <w:t>المبدأ</w:t>
      </w:r>
      <w:r>
        <w:rPr>
          <w:rtl/>
        </w:rPr>
        <w:t xml:space="preserve"> </w:t>
      </w:r>
      <w:r w:rsidRPr="006571A5">
        <w:rPr>
          <w:rtl/>
        </w:rPr>
        <w:t>في</w:t>
      </w:r>
      <w:r>
        <w:rPr>
          <w:rtl/>
        </w:rPr>
        <w:t xml:space="preserve"> </w:t>
      </w:r>
      <w:r w:rsidRPr="006571A5">
        <w:rPr>
          <w:rtl/>
        </w:rPr>
        <w:t>أن</w:t>
      </w:r>
      <w:r>
        <w:rPr>
          <w:rtl/>
        </w:rPr>
        <w:t xml:space="preserve"> </w:t>
      </w:r>
      <w:r w:rsidRPr="006571A5">
        <w:rPr>
          <w:rtl/>
        </w:rPr>
        <w:t>تحدد</w:t>
      </w:r>
      <w:r>
        <w:rPr>
          <w:rtl/>
        </w:rPr>
        <w:t xml:space="preserve"> </w:t>
      </w:r>
      <w:r w:rsidRPr="006571A5">
        <w:rPr>
          <w:rtl/>
        </w:rPr>
        <w:t>طابع</w:t>
      </w:r>
      <w:r>
        <w:rPr>
          <w:rtl/>
        </w:rPr>
        <w:t xml:space="preserve"> </w:t>
      </w:r>
      <w:r w:rsidRPr="006571A5">
        <w:rPr>
          <w:rtl/>
        </w:rPr>
        <w:t>وهيكل</w:t>
      </w:r>
      <w:r>
        <w:rPr>
          <w:rtl/>
        </w:rPr>
        <w:t xml:space="preserve"> </w:t>
      </w:r>
      <w:r w:rsidRPr="006571A5">
        <w:rPr>
          <w:rtl/>
        </w:rPr>
        <w:t>وإجراءات</w:t>
      </w:r>
      <w:r>
        <w:rPr>
          <w:rtl/>
        </w:rPr>
        <w:t xml:space="preserve"> </w:t>
      </w:r>
      <w:r w:rsidRPr="006571A5">
        <w:rPr>
          <w:rtl/>
        </w:rPr>
        <w:t>نظُمها</w:t>
      </w:r>
      <w:r>
        <w:rPr>
          <w:rtl/>
        </w:rPr>
        <w:t xml:space="preserve"> </w:t>
      </w:r>
      <w:r w:rsidRPr="006571A5">
        <w:rPr>
          <w:rtl/>
        </w:rPr>
        <w:t>الوطنية</w:t>
      </w:r>
      <w:r>
        <w:rPr>
          <w:rtl/>
        </w:rPr>
        <w:t xml:space="preserve"> </w:t>
      </w:r>
      <w:r w:rsidRPr="006571A5">
        <w:rPr>
          <w:rtl/>
        </w:rPr>
        <w:t>لتحديد</w:t>
      </w:r>
      <w:r>
        <w:rPr>
          <w:rtl/>
        </w:rPr>
        <w:t xml:space="preserve"> </w:t>
      </w:r>
      <w:r w:rsidRPr="006571A5">
        <w:rPr>
          <w:rtl/>
        </w:rPr>
        <w:t>وضع</w:t>
      </w:r>
      <w:r>
        <w:rPr>
          <w:rtl/>
        </w:rPr>
        <w:t xml:space="preserve"> </w:t>
      </w:r>
      <w:r w:rsidRPr="006571A5">
        <w:rPr>
          <w:rtl/>
        </w:rPr>
        <w:t>اللاجئ.</w:t>
      </w:r>
    </w:p>
    <w:p w14:paraId="744E3765" w14:textId="32EE8740" w:rsidR="006571A5" w:rsidRPr="006571A5" w:rsidRDefault="006571A5" w:rsidP="006571A5">
      <w:pPr>
        <w:pStyle w:val="SingleTxt"/>
        <w:rPr>
          <w:rtl/>
        </w:rPr>
      </w:pPr>
      <w:r w:rsidRPr="006571A5">
        <w:rPr>
          <w:rtl/>
        </w:rPr>
        <w:t>8-5</w:t>
      </w:r>
      <w:r w:rsidRPr="006571A5">
        <w:rPr>
          <w:rtl/>
        </w:rPr>
        <w:tab/>
        <w:t>وتذكر</w:t>
      </w:r>
      <w:r>
        <w:rPr>
          <w:rtl/>
        </w:rPr>
        <w:t xml:space="preserve"> </w:t>
      </w:r>
      <w:r w:rsidRPr="006571A5">
        <w:rPr>
          <w:rtl/>
        </w:rPr>
        <w:t>اللجنة</w:t>
      </w:r>
      <w:r>
        <w:rPr>
          <w:rtl/>
        </w:rPr>
        <w:t xml:space="preserve"> </w:t>
      </w:r>
      <w:r w:rsidRPr="006571A5">
        <w:rPr>
          <w:rtl/>
        </w:rPr>
        <w:t>أنه</w:t>
      </w:r>
      <w:r>
        <w:rPr>
          <w:rtl/>
        </w:rPr>
        <w:t xml:space="preserve"> </w:t>
      </w:r>
      <w:r w:rsidRPr="006571A5">
        <w:rPr>
          <w:rtl/>
        </w:rPr>
        <w:t>يتعين</w:t>
      </w:r>
      <w:r>
        <w:rPr>
          <w:rtl/>
        </w:rPr>
        <w:t xml:space="preserve"> </w:t>
      </w:r>
      <w:r w:rsidRPr="006571A5">
        <w:rPr>
          <w:rtl/>
        </w:rPr>
        <w:t>عليها</w:t>
      </w:r>
      <w:r>
        <w:rPr>
          <w:rtl/>
        </w:rPr>
        <w:t xml:space="preserve"> </w:t>
      </w:r>
      <w:r w:rsidRPr="006571A5">
        <w:rPr>
          <w:rtl/>
        </w:rPr>
        <w:t>إعطاء</w:t>
      </w:r>
      <w:r>
        <w:rPr>
          <w:rtl/>
        </w:rPr>
        <w:t xml:space="preserve"> </w:t>
      </w:r>
      <w:r w:rsidRPr="006571A5">
        <w:rPr>
          <w:rtl/>
        </w:rPr>
        <w:t>وزن</w:t>
      </w:r>
      <w:r>
        <w:rPr>
          <w:rtl/>
        </w:rPr>
        <w:t xml:space="preserve"> </w:t>
      </w:r>
      <w:r w:rsidRPr="006571A5">
        <w:rPr>
          <w:rtl/>
        </w:rPr>
        <w:t>كبير</w:t>
      </w:r>
      <w:r>
        <w:rPr>
          <w:rtl/>
        </w:rPr>
        <w:t xml:space="preserve"> </w:t>
      </w:r>
      <w:r w:rsidRPr="006571A5">
        <w:rPr>
          <w:rtl/>
        </w:rPr>
        <w:t>للتقييم</w:t>
      </w:r>
      <w:r>
        <w:rPr>
          <w:rtl/>
        </w:rPr>
        <w:t xml:space="preserve"> </w:t>
      </w:r>
      <w:r w:rsidRPr="006571A5">
        <w:rPr>
          <w:rtl/>
        </w:rPr>
        <w:t>المنجز</w:t>
      </w:r>
      <w:r>
        <w:rPr>
          <w:rtl/>
        </w:rPr>
        <w:t xml:space="preserve"> </w:t>
      </w:r>
      <w:r w:rsidRPr="006571A5">
        <w:rPr>
          <w:rtl/>
        </w:rPr>
        <w:t>من</w:t>
      </w:r>
      <w:r>
        <w:rPr>
          <w:rtl/>
        </w:rPr>
        <w:t xml:space="preserve"> </w:t>
      </w:r>
      <w:r w:rsidRPr="006571A5">
        <w:rPr>
          <w:rtl/>
        </w:rPr>
        <w:t>طرف</w:t>
      </w:r>
      <w:r>
        <w:rPr>
          <w:rtl/>
        </w:rPr>
        <w:t xml:space="preserve"> </w:t>
      </w:r>
      <w:r w:rsidRPr="006571A5">
        <w:rPr>
          <w:rtl/>
        </w:rPr>
        <w:t>السلطات</w:t>
      </w:r>
      <w:r>
        <w:rPr>
          <w:rtl/>
        </w:rPr>
        <w:t xml:space="preserve"> </w:t>
      </w:r>
      <w:r w:rsidRPr="006571A5">
        <w:rPr>
          <w:rtl/>
        </w:rPr>
        <w:t>الوطنية،</w:t>
      </w:r>
      <w:r>
        <w:rPr>
          <w:rtl/>
        </w:rPr>
        <w:t xml:space="preserve"> </w:t>
      </w:r>
      <w:r w:rsidRPr="006571A5">
        <w:rPr>
          <w:rtl/>
        </w:rPr>
        <w:t>ما</w:t>
      </w:r>
      <w:r w:rsidR="004C757C">
        <w:rPr>
          <w:rFonts w:hint="cs"/>
          <w:rtl/>
        </w:rPr>
        <w:t> </w:t>
      </w:r>
      <w:r w:rsidRPr="006571A5">
        <w:rPr>
          <w:rtl/>
        </w:rPr>
        <w:t>لم</w:t>
      </w:r>
      <w:r w:rsidR="004C757C">
        <w:rPr>
          <w:rFonts w:hint="cs"/>
          <w:rtl/>
        </w:rPr>
        <w:t> </w:t>
      </w:r>
      <w:r w:rsidRPr="006571A5">
        <w:rPr>
          <w:rtl/>
        </w:rPr>
        <w:t>يتضح</w:t>
      </w:r>
      <w:r>
        <w:rPr>
          <w:rtl/>
        </w:rPr>
        <w:t xml:space="preserve"> </w:t>
      </w:r>
      <w:r w:rsidRPr="006571A5">
        <w:rPr>
          <w:rtl/>
        </w:rPr>
        <w:t>أنه</w:t>
      </w:r>
      <w:r>
        <w:rPr>
          <w:rtl/>
        </w:rPr>
        <w:t xml:space="preserve"> </w:t>
      </w:r>
      <w:r w:rsidRPr="006571A5">
        <w:rPr>
          <w:rtl/>
        </w:rPr>
        <w:t>واضح</w:t>
      </w:r>
      <w:r>
        <w:rPr>
          <w:rtl/>
        </w:rPr>
        <w:t xml:space="preserve"> </w:t>
      </w:r>
      <w:r w:rsidRPr="006571A5">
        <w:rPr>
          <w:rtl/>
        </w:rPr>
        <w:t>التعسف</w:t>
      </w:r>
      <w:r>
        <w:rPr>
          <w:rtl/>
        </w:rPr>
        <w:t xml:space="preserve"> </w:t>
      </w:r>
      <w:r w:rsidRPr="006571A5">
        <w:rPr>
          <w:rtl/>
        </w:rPr>
        <w:t>أو</w:t>
      </w:r>
      <w:r>
        <w:rPr>
          <w:rtl/>
        </w:rPr>
        <w:t xml:space="preserve"> </w:t>
      </w:r>
      <w:r w:rsidRPr="006571A5">
        <w:rPr>
          <w:rtl/>
        </w:rPr>
        <w:t>يبلغ</w:t>
      </w:r>
      <w:r>
        <w:rPr>
          <w:rtl/>
        </w:rPr>
        <w:t xml:space="preserve"> </w:t>
      </w:r>
      <w:r w:rsidRPr="006571A5">
        <w:rPr>
          <w:rtl/>
        </w:rPr>
        <w:t>حدّ</w:t>
      </w:r>
      <w:r>
        <w:rPr>
          <w:rtl/>
        </w:rPr>
        <w:t xml:space="preserve"> </w:t>
      </w:r>
      <w:r w:rsidRPr="006571A5">
        <w:rPr>
          <w:rtl/>
        </w:rPr>
        <w:t>الحرمان</w:t>
      </w:r>
      <w:r>
        <w:rPr>
          <w:rtl/>
        </w:rPr>
        <w:t xml:space="preserve"> </w:t>
      </w:r>
      <w:r w:rsidRPr="006571A5">
        <w:rPr>
          <w:rtl/>
        </w:rPr>
        <w:t>من</w:t>
      </w:r>
      <w:r>
        <w:rPr>
          <w:rtl/>
        </w:rPr>
        <w:t xml:space="preserve"> </w:t>
      </w:r>
      <w:r w:rsidRPr="006571A5">
        <w:rPr>
          <w:rtl/>
        </w:rPr>
        <w:t>العدالة</w:t>
      </w:r>
      <w:r w:rsidR="004B1017" w:rsidRPr="004B1017">
        <w:rPr>
          <w:szCs w:val="30"/>
          <w:vertAlign w:val="superscript"/>
          <w:rtl/>
        </w:rPr>
        <w:t>(</w:t>
      </w:r>
      <w:r w:rsidR="004B1017" w:rsidRPr="004B1017">
        <w:rPr>
          <w:rStyle w:val="FootnoteReference"/>
          <w:szCs w:val="30"/>
          <w:rtl/>
        </w:rPr>
        <w:footnoteReference w:id="11"/>
      </w:r>
      <w:r w:rsidR="004B1017" w:rsidRPr="004B1017">
        <w:rPr>
          <w:szCs w:val="30"/>
          <w:vertAlign w:val="superscript"/>
          <w:rtl/>
        </w:rPr>
        <w:t>)</w:t>
      </w:r>
      <w:r w:rsidRPr="006571A5">
        <w:rPr>
          <w:rtl/>
        </w:rPr>
        <w:t>.</w:t>
      </w:r>
      <w:r>
        <w:rPr>
          <w:rtl/>
        </w:rPr>
        <w:t xml:space="preserve"> </w:t>
      </w:r>
      <w:r w:rsidRPr="006571A5">
        <w:rPr>
          <w:rtl/>
        </w:rPr>
        <w:t>وتلاحظ</w:t>
      </w:r>
      <w:r>
        <w:rPr>
          <w:rtl/>
        </w:rPr>
        <w:t xml:space="preserve"> </w:t>
      </w:r>
      <w:r w:rsidRPr="006571A5">
        <w:rPr>
          <w:rtl/>
        </w:rPr>
        <w:t>أن</w:t>
      </w:r>
      <w:r>
        <w:rPr>
          <w:rtl/>
        </w:rPr>
        <w:t xml:space="preserve"> </w:t>
      </w:r>
      <w:r w:rsidRPr="006571A5">
        <w:rPr>
          <w:rtl/>
        </w:rPr>
        <w:t>سلطات</w:t>
      </w:r>
      <w:r>
        <w:rPr>
          <w:rtl/>
        </w:rPr>
        <w:t xml:space="preserve"> </w:t>
      </w:r>
      <w:r w:rsidRPr="006571A5">
        <w:rPr>
          <w:rtl/>
        </w:rPr>
        <w:t>الهجرة</w:t>
      </w:r>
      <w:r>
        <w:rPr>
          <w:rtl/>
        </w:rPr>
        <w:t xml:space="preserve"> </w:t>
      </w:r>
      <w:r w:rsidRPr="006571A5">
        <w:rPr>
          <w:rtl/>
        </w:rPr>
        <w:t>في</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خلصت،</w:t>
      </w:r>
      <w:r>
        <w:rPr>
          <w:rtl/>
        </w:rPr>
        <w:t xml:space="preserve"> </w:t>
      </w:r>
      <w:r w:rsidRPr="006571A5">
        <w:rPr>
          <w:rtl/>
        </w:rPr>
        <w:t>بعد</w:t>
      </w:r>
      <w:r>
        <w:rPr>
          <w:rtl/>
        </w:rPr>
        <w:t xml:space="preserve"> </w:t>
      </w:r>
      <w:r w:rsidRPr="006571A5">
        <w:rPr>
          <w:rtl/>
        </w:rPr>
        <w:t>دراسة</w:t>
      </w:r>
      <w:r>
        <w:rPr>
          <w:rtl/>
        </w:rPr>
        <w:t xml:space="preserve"> </w:t>
      </w:r>
      <w:r w:rsidRPr="006571A5">
        <w:rPr>
          <w:rtl/>
        </w:rPr>
        <w:t>ادعاءات</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إلى</w:t>
      </w:r>
      <w:r>
        <w:rPr>
          <w:rtl/>
        </w:rPr>
        <w:t xml:space="preserve"> </w:t>
      </w:r>
      <w:r w:rsidRPr="006571A5">
        <w:rPr>
          <w:rtl/>
        </w:rPr>
        <w:t>أن</w:t>
      </w:r>
      <w:r>
        <w:rPr>
          <w:rtl/>
        </w:rPr>
        <w:t xml:space="preserve"> </w:t>
      </w:r>
      <w:r w:rsidRPr="006571A5">
        <w:rPr>
          <w:rtl/>
        </w:rPr>
        <w:t>روايتها</w:t>
      </w:r>
      <w:r>
        <w:rPr>
          <w:rtl/>
        </w:rPr>
        <w:t xml:space="preserve"> </w:t>
      </w:r>
      <w:r w:rsidRPr="006571A5">
        <w:rPr>
          <w:rtl/>
        </w:rPr>
        <w:t>تفتقر</w:t>
      </w:r>
      <w:r>
        <w:rPr>
          <w:rtl/>
        </w:rPr>
        <w:t xml:space="preserve"> </w:t>
      </w:r>
      <w:r w:rsidRPr="006571A5">
        <w:rPr>
          <w:rtl/>
        </w:rPr>
        <w:t>إلى</w:t>
      </w:r>
      <w:r>
        <w:rPr>
          <w:rtl/>
        </w:rPr>
        <w:t xml:space="preserve"> </w:t>
      </w:r>
      <w:r w:rsidRPr="006571A5">
        <w:rPr>
          <w:rtl/>
        </w:rPr>
        <w:t>المصداقية</w:t>
      </w:r>
      <w:r>
        <w:rPr>
          <w:rtl/>
        </w:rPr>
        <w:t xml:space="preserve"> </w:t>
      </w:r>
      <w:r w:rsidRPr="006571A5">
        <w:rPr>
          <w:rtl/>
        </w:rPr>
        <w:t>بسبب</w:t>
      </w:r>
      <w:r>
        <w:rPr>
          <w:rtl/>
        </w:rPr>
        <w:t xml:space="preserve"> </w:t>
      </w:r>
      <w:r w:rsidRPr="006571A5">
        <w:rPr>
          <w:rtl/>
        </w:rPr>
        <w:t>التناقضات</w:t>
      </w:r>
      <w:r>
        <w:rPr>
          <w:rtl/>
        </w:rPr>
        <w:t xml:space="preserve"> </w:t>
      </w:r>
      <w:r w:rsidRPr="006571A5">
        <w:rPr>
          <w:rtl/>
        </w:rPr>
        <w:t>فيها</w:t>
      </w:r>
      <w:r>
        <w:rPr>
          <w:rtl/>
        </w:rPr>
        <w:t xml:space="preserve"> </w:t>
      </w:r>
      <w:r w:rsidRPr="006571A5">
        <w:rPr>
          <w:rtl/>
        </w:rPr>
        <w:t>وعدم</w:t>
      </w:r>
      <w:r>
        <w:rPr>
          <w:rtl/>
        </w:rPr>
        <w:t xml:space="preserve"> </w:t>
      </w:r>
      <w:r w:rsidRPr="006571A5">
        <w:rPr>
          <w:rtl/>
        </w:rPr>
        <w:t>انطوائها</w:t>
      </w:r>
      <w:r>
        <w:rPr>
          <w:rtl/>
        </w:rPr>
        <w:t xml:space="preserve"> </w:t>
      </w:r>
      <w:r w:rsidRPr="006571A5">
        <w:rPr>
          <w:rtl/>
        </w:rPr>
        <w:t>على</w:t>
      </w:r>
      <w:r>
        <w:rPr>
          <w:rtl/>
        </w:rPr>
        <w:t xml:space="preserve"> </w:t>
      </w:r>
      <w:r w:rsidRPr="006571A5">
        <w:rPr>
          <w:rtl/>
        </w:rPr>
        <w:t>أدلة</w:t>
      </w:r>
      <w:r>
        <w:rPr>
          <w:rtl/>
        </w:rPr>
        <w:t xml:space="preserve"> </w:t>
      </w:r>
      <w:r w:rsidRPr="006571A5">
        <w:rPr>
          <w:rtl/>
        </w:rPr>
        <w:t>كافية.</w:t>
      </w:r>
      <w:r>
        <w:rPr>
          <w:rtl/>
        </w:rPr>
        <w:t xml:space="preserve"> </w:t>
      </w:r>
      <w:r w:rsidRPr="006571A5">
        <w:rPr>
          <w:rtl/>
        </w:rPr>
        <w:t>وترى</w:t>
      </w:r>
      <w:r>
        <w:rPr>
          <w:rtl/>
        </w:rPr>
        <w:t xml:space="preserve"> </w:t>
      </w:r>
      <w:r w:rsidRPr="006571A5">
        <w:rPr>
          <w:rtl/>
        </w:rPr>
        <w:t>اللجنة</w:t>
      </w:r>
      <w:r>
        <w:rPr>
          <w:rtl/>
        </w:rPr>
        <w:t xml:space="preserve"> </w:t>
      </w:r>
      <w:r w:rsidRPr="006571A5">
        <w:rPr>
          <w:rtl/>
        </w:rPr>
        <w:t>أنه</w:t>
      </w:r>
      <w:r>
        <w:rPr>
          <w:rtl/>
        </w:rPr>
        <w:t xml:space="preserve"> </w:t>
      </w:r>
      <w:r w:rsidRPr="006571A5">
        <w:rPr>
          <w:rtl/>
        </w:rPr>
        <w:t>لا</w:t>
      </w:r>
      <w:r>
        <w:rPr>
          <w:rtl/>
        </w:rPr>
        <w:t xml:space="preserve"> </w:t>
      </w:r>
      <w:r w:rsidRPr="006571A5">
        <w:rPr>
          <w:rtl/>
        </w:rPr>
        <w:t>يوجد</w:t>
      </w:r>
      <w:r>
        <w:rPr>
          <w:rtl/>
        </w:rPr>
        <w:t xml:space="preserve"> </w:t>
      </w:r>
      <w:r w:rsidRPr="006571A5">
        <w:rPr>
          <w:rtl/>
        </w:rPr>
        <w:t>في</w:t>
      </w:r>
      <w:r>
        <w:rPr>
          <w:rtl/>
        </w:rPr>
        <w:t xml:space="preserve"> </w:t>
      </w:r>
      <w:r w:rsidRPr="006571A5">
        <w:rPr>
          <w:rtl/>
        </w:rPr>
        <w:t>ملف</w:t>
      </w:r>
      <w:r>
        <w:rPr>
          <w:rtl/>
        </w:rPr>
        <w:t xml:space="preserve"> </w:t>
      </w:r>
      <w:r w:rsidRPr="006571A5">
        <w:rPr>
          <w:rtl/>
        </w:rPr>
        <w:t>القضية</w:t>
      </w:r>
      <w:r>
        <w:rPr>
          <w:rtl/>
        </w:rPr>
        <w:t xml:space="preserve"> </w:t>
      </w:r>
      <w:r w:rsidRPr="006571A5">
        <w:rPr>
          <w:rtl/>
        </w:rPr>
        <w:t>ما</w:t>
      </w:r>
      <w:r>
        <w:rPr>
          <w:rtl/>
        </w:rPr>
        <w:t xml:space="preserve"> </w:t>
      </w:r>
      <w:r w:rsidRPr="006571A5">
        <w:rPr>
          <w:rtl/>
        </w:rPr>
        <w:t>يدل</w:t>
      </w:r>
      <w:r>
        <w:rPr>
          <w:rtl/>
        </w:rPr>
        <w:t xml:space="preserve"> </w:t>
      </w:r>
      <w:r w:rsidRPr="006571A5">
        <w:rPr>
          <w:rtl/>
        </w:rPr>
        <w:t>على</w:t>
      </w:r>
      <w:r>
        <w:rPr>
          <w:rtl/>
        </w:rPr>
        <w:t xml:space="preserve"> </w:t>
      </w:r>
      <w:r w:rsidRPr="006571A5">
        <w:rPr>
          <w:rtl/>
        </w:rPr>
        <w:t>حدوث</w:t>
      </w:r>
      <w:r>
        <w:rPr>
          <w:rtl/>
        </w:rPr>
        <w:t xml:space="preserve"> </w:t>
      </w:r>
      <w:r w:rsidRPr="006571A5">
        <w:rPr>
          <w:rtl/>
        </w:rPr>
        <w:t>تجاوزات</w:t>
      </w:r>
      <w:r>
        <w:rPr>
          <w:rtl/>
        </w:rPr>
        <w:t xml:space="preserve"> </w:t>
      </w:r>
      <w:r w:rsidRPr="006571A5">
        <w:rPr>
          <w:rtl/>
        </w:rPr>
        <w:t>عند</w:t>
      </w:r>
      <w:r>
        <w:rPr>
          <w:rtl/>
        </w:rPr>
        <w:t xml:space="preserve"> </w:t>
      </w:r>
      <w:r w:rsidRPr="006571A5">
        <w:rPr>
          <w:rtl/>
        </w:rPr>
        <w:t>نظر</w:t>
      </w:r>
      <w:r>
        <w:rPr>
          <w:rtl/>
        </w:rPr>
        <w:t xml:space="preserve"> </w:t>
      </w:r>
      <w:r w:rsidRPr="006571A5">
        <w:rPr>
          <w:rtl/>
        </w:rPr>
        <w:t>السلطات</w:t>
      </w:r>
      <w:r>
        <w:rPr>
          <w:rtl/>
        </w:rPr>
        <w:t xml:space="preserve"> </w:t>
      </w:r>
      <w:r w:rsidRPr="006571A5">
        <w:rPr>
          <w:rtl/>
        </w:rPr>
        <w:t>الدانمركية</w:t>
      </w:r>
      <w:r>
        <w:rPr>
          <w:rtl/>
        </w:rPr>
        <w:t xml:space="preserve"> </w:t>
      </w:r>
      <w:r w:rsidRPr="006571A5">
        <w:rPr>
          <w:rtl/>
        </w:rPr>
        <w:t>في</w:t>
      </w:r>
      <w:r>
        <w:rPr>
          <w:rtl/>
        </w:rPr>
        <w:t xml:space="preserve"> </w:t>
      </w:r>
      <w:r w:rsidRPr="006571A5">
        <w:rPr>
          <w:rtl/>
        </w:rPr>
        <w:t>ادعاءات</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تجعلُ</w:t>
      </w:r>
      <w:r>
        <w:rPr>
          <w:rtl/>
        </w:rPr>
        <w:t xml:space="preserve"> </w:t>
      </w:r>
      <w:r w:rsidRPr="006571A5">
        <w:rPr>
          <w:rtl/>
        </w:rPr>
        <w:t>اللجنة</w:t>
      </w:r>
      <w:r>
        <w:rPr>
          <w:rtl/>
        </w:rPr>
        <w:t xml:space="preserve"> </w:t>
      </w:r>
      <w:r w:rsidRPr="006571A5">
        <w:rPr>
          <w:rtl/>
        </w:rPr>
        <w:t>تخلص</w:t>
      </w:r>
      <w:r>
        <w:rPr>
          <w:rtl/>
        </w:rPr>
        <w:t xml:space="preserve"> </w:t>
      </w:r>
      <w:r w:rsidRPr="006571A5">
        <w:rPr>
          <w:rtl/>
        </w:rPr>
        <w:t>إلى</w:t>
      </w:r>
      <w:r>
        <w:rPr>
          <w:rtl/>
        </w:rPr>
        <w:t xml:space="preserve"> </w:t>
      </w:r>
      <w:r w:rsidRPr="006571A5">
        <w:rPr>
          <w:rtl/>
        </w:rPr>
        <w:t>أن</w:t>
      </w:r>
      <w:r>
        <w:rPr>
          <w:rtl/>
        </w:rPr>
        <w:t xml:space="preserve"> </w:t>
      </w:r>
      <w:r w:rsidRPr="006571A5">
        <w:rPr>
          <w:rtl/>
        </w:rPr>
        <w:t>سلطات</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فشلت</w:t>
      </w:r>
      <w:r>
        <w:rPr>
          <w:rtl/>
        </w:rPr>
        <w:t xml:space="preserve"> </w:t>
      </w:r>
      <w:r w:rsidRPr="006571A5">
        <w:rPr>
          <w:rtl/>
        </w:rPr>
        <w:t>في</w:t>
      </w:r>
      <w:r>
        <w:rPr>
          <w:rtl/>
        </w:rPr>
        <w:t xml:space="preserve"> </w:t>
      </w:r>
      <w:r w:rsidRPr="006571A5">
        <w:rPr>
          <w:rtl/>
        </w:rPr>
        <w:t>أداء</w:t>
      </w:r>
      <w:r>
        <w:rPr>
          <w:rtl/>
        </w:rPr>
        <w:t xml:space="preserve"> </w:t>
      </w:r>
      <w:r w:rsidRPr="006571A5">
        <w:rPr>
          <w:rtl/>
        </w:rPr>
        <w:t>واجبها</w:t>
      </w:r>
      <w:r>
        <w:rPr>
          <w:rtl/>
        </w:rPr>
        <w:t xml:space="preserve"> </w:t>
      </w:r>
      <w:r w:rsidRPr="006571A5">
        <w:rPr>
          <w:rtl/>
        </w:rPr>
        <w:t>وهو</w:t>
      </w:r>
      <w:r>
        <w:rPr>
          <w:rtl/>
        </w:rPr>
        <w:t xml:space="preserve"> </w:t>
      </w:r>
      <w:r w:rsidRPr="006571A5">
        <w:rPr>
          <w:rtl/>
        </w:rPr>
        <w:t>أن</w:t>
      </w:r>
      <w:r>
        <w:rPr>
          <w:rtl/>
        </w:rPr>
        <w:t xml:space="preserve"> </w:t>
      </w:r>
      <w:r w:rsidRPr="006571A5">
        <w:rPr>
          <w:rtl/>
        </w:rPr>
        <w:t>تقيّم</w:t>
      </w:r>
      <w:r>
        <w:rPr>
          <w:rtl/>
        </w:rPr>
        <w:t xml:space="preserve"> </w:t>
      </w:r>
      <w:r w:rsidRPr="006571A5">
        <w:rPr>
          <w:rtl/>
        </w:rPr>
        <w:t>على</w:t>
      </w:r>
      <w:r>
        <w:rPr>
          <w:rtl/>
        </w:rPr>
        <w:t xml:space="preserve"> </w:t>
      </w:r>
      <w:r w:rsidRPr="006571A5">
        <w:rPr>
          <w:rtl/>
        </w:rPr>
        <w:t>نحو</w:t>
      </w:r>
      <w:r>
        <w:rPr>
          <w:rtl/>
        </w:rPr>
        <w:t xml:space="preserve"> </w:t>
      </w:r>
      <w:r w:rsidRPr="006571A5">
        <w:rPr>
          <w:rtl/>
        </w:rPr>
        <w:t>سليم</w:t>
      </w:r>
      <w:r>
        <w:rPr>
          <w:rtl/>
        </w:rPr>
        <w:t xml:space="preserve"> </w:t>
      </w:r>
      <w:r w:rsidRPr="006571A5">
        <w:rPr>
          <w:rtl/>
        </w:rPr>
        <w:t>المخاطر</w:t>
      </w:r>
      <w:r>
        <w:rPr>
          <w:rtl/>
        </w:rPr>
        <w:t xml:space="preserve"> </w:t>
      </w:r>
      <w:r w:rsidRPr="006571A5">
        <w:rPr>
          <w:rtl/>
        </w:rPr>
        <w:t>التي</w:t>
      </w:r>
      <w:r>
        <w:rPr>
          <w:rtl/>
        </w:rPr>
        <w:t xml:space="preserve"> </w:t>
      </w:r>
      <w:proofErr w:type="spellStart"/>
      <w:r w:rsidRPr="006571A5">
        <w:rPr>
          <w:rtl/>
        </w:rPr>
        <w:t>ستواجهها</w:t>
      </w:r>
      <w:proofErr w:type="spellEnd"/>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في</w:t>
      </w:r>
      <w:r>
        <w:rPr>
          <w:rtl/>
        </w:rPr>
        <w:t xml:space="preserve"> </w:t>
      </w:r>
      <w:r w:rsidRPr="006571A5">
        <w:rPr>
          <w:rtl/>
        </w:rPr>
        <w:t>حال</w:t>
      </w:r>
      <w:r>
        <w:rPr>
          <w:rtl/>
        </w:rPr>
        <w:t xml:space="preserve"> </w:t>
      </w:r>
      <w:r w:rsidRPr="006571A5">
        <w:rPr>
          <w:rtl/>
        </w:rPr>
        <w:t>ترحيلها</w:t>
      </w:r>
      <w:r>
        <w:rPr>
          <w:rtl/>
        </w:rPr>
        <w:t xml:space="preserve"> </w:t>
      </w:r>
      <w:r w:rsidRPr="006571A5">
        <w:rPr>
          <w:rtl/>
        </w:rPr>
        <w:t>إلى</w:t>
      </w:r>
      <w:r>
        <w:rPr>
          <w:rtl/>
        </w:rPr>
        <w:t xml:space="preserve"> </w:t>
      </w:r>
      <w:r w:rsidRPr="006571A5">
        <w:rPr>
          <w:rtl/>
        </w:rPr>
        <w:t>الصومال.</w:t>
      </w:r>
      <w:r>
        <w:rPr>
          <w:rtl/>
        </w:rPr>
        <w:t xml:space="preserve"> </w:t>
      </w:r>
      <w:r w:rsidRPr="006571A5">
        <w:rPr>
          <w:rtl/>
        </w:rPr>
        <w:t>وبناء</w:t>
      </w:r>
      <w:r>
        <w:rPr>
          <w:rtl/>
        </w:rPr>
        <w:t xml:space="preserve"> </w:t>
      </w:r>
      <w:r w:rsidRPr="006571A5">
        <w:rPr>
          <w:rtl/>
        </w:rPr>
        <w:t>على</w:t>
      </w:r>
      <w:r>
        <w:rPr>
          <w:rtl/>
        </w:rPr>
        <w:t xml:space="preserve"> </w:t>
      </w:r>
      <w:r w:rsidRPr="006571A5">
        <w:rPr>
          <w:rtl/>
        </w:rPr>
        <w:t>ذلك،</w:t>
      </w:r>
      <w:r>
        <w:rPr>
          <w:rtl/>
        </w:rPr>
        <w:t xml:space="preserve"> </w:t>
      </w:r>
      <w:r w:rsidRPr="006571A5">
        <w:rPr>
          <w:rtl/>
        </w:rPr>
        <w:t>فإن</w:t>
      </w:r>
      <w:r>
        <w:rPr>
          <w:rtl/>
        </w:rPr>
        <w:t xml:space="preserve"> </w:t>
      </w:r>
      <w:r w:rsidRPr="006571A5">
        <w:rPr>
          <w:rtl/>
        </w:rPr>
        <w:t>اللجنة،</w:t>
      </w:r>
      <w:r>
        <w:rPr>
          <w:rtl/>
        </w:rPr>
        <w:t xml:space="preserve"> </w:t>
      </w:r>
      <w:r w:rsidRPr="006571A5">
        <w:rPr>
          <w:rtl/>
        </w:rPr>
        <w:t>وإن</w:t>
      </w:r>
      <w:r>
        <w:rPr>
          <w:rtl/>
        </w:rPr>
        <w:t xml:space="preserve"> </w:t>
      </w:r>
      <w:r w:rsidRPr="006571A5">
        <w:rPr>
          <w:rtl/>
        </w:rPr>
        <w:t>كانت</w:t>
      </w:r>
      <w:r>
        <w:rPr>
          <w:rtl/>
        </w:rPr>
        <w:t xml:space="preserve"> </w:t>
      </w:r>
      <w:r w:rsidRPr="006571A5">
        <w:rPr>
          <w:rtl/>
        </w:rPr>
        <w:t>لا</w:t>
      </w:r>
      <w:r>
        <w:rPr>
          <w:rtl/>
        </w:rPr>
        <w:t xml:space="preserve"> </w:t>
      </w:r>
      <w:r w:rsidRPr="006571A5">
        <w:rPr>
          <w:rtl/>
        </w:rPr>
        <w:t>تزال</w:t>
      </w:r>
      <w:r>
        <w:rPr>
          <w:rtl/>
        </w:rPr>
        <w:t xml:space="preserve"> </w:t>
      </w:r>
      <w:r w:rsidRPr="006571A5">
        <w:rPr>
          <w:rtl/>
        </w:rPr>
        <w:t>قلقة</w:t>
      </w:r>
      <w:r>
        <w:rPr>
          <w:rtl/>
        </w:rPr>
        <w:t xml:space="preserve"> </w:t>
      </w:r>
      <w:r w:rsidRPr="006571A5">
        <w:rPr>
          <w:rtl/>
        </w:rPr>
        <w:t>بشأن</w:t>
      </w:r>
      <w:r>
        <w:rPr>
          <w:rtl/>
        </w:rPr>
        <w:t xml:space="preserve"> </w:t>
      </w:r>
      <w:r w:rsidRPr="006571A5">
        <w:rPr>
          <w:rtl/>
        </w:rPr>
        <w:t>الحالة</w:t>
      </w:r>
      <w:r>
        <w:rPr>
          <w:rtl/>
        </w:rPr>
        <w:t xml:space="preserve"> </w:t>
      </w:r>
      <w:r w:rsidRPr="006571A5">
        <w:rPr>
          <w:rtl/>
        </w:rPr>
        <w:t>العامة</w:t>
      </w:r>
      <w:r>
        <w:rPr>
          <w:rtl/>
        </w:rPr>
        <w:t xml:space="preserve"> </w:t>
      </w:r>
      <w:r w:rsidRPr="006571A5">
        <w:rPr>
          <w:rtl/>
        </w:rPr>
        <w:t>لحقوق</w:t>
      </w:r>
      <w:r>
        <w:rPr>
          <w:rtl/>
        </w:rPr>
        <w:t xml:space="preserve"> </w:t>
      </w:r>
      <w:r w:rsidRPr="006571A5">
        <w:rPr>
          <w:rtl/>
        </w:rPr>
        <w:t>الإنسان</w:t>
      </w:r>
      <w:r>
        <w:rPr>
          <w:rtl/>
        </w:rPr>
        <w:t xml:space="preserve"> </w:t>
      </w:r>
      <w:r w:rsidRPr="006571A5">
        <w:rPr>
          <w:rtl/>
        </w:rPr>
        <w:t>في</w:t>
      </w:r>
      <w:r>
        <w:rPr>
          <w:rtl/>
        </w:rPr>
        <w:t xml:space="preserve"> </w:t>
      </w:r>
      <w:r w:rsidRPr="006571A5">
        <w:rPr>
          <w:rtl/>
        </w:rPr>
        <w:t>الصومال،</w:t>
      </w:r>
      <w:r>
        <w:rPr>
          <w:rtl/>
        </w:rPr>
        <w:t xml:space="preserve"> </w:t>
      </w:r>
      <w:r w:rsidRPr="006571A5">
        <w:rPr>
          <w:rtl/>
        </w:rPr>
        <w:t>ترى</w:t>
      </w:r>
      <w:r>
        <w:rPr>
          <w:rtl/>
        </w:rPr>
        <w:t xml:space="preserve"> </w:t>
      </w:r>
      <w:r w:rsidRPr="006571A5">
        <w:rPr>
          <w:rtl/>
        </w:rPr>
        <w:t>في</w:t>
      </w:r>
      <w:r>
        <w:rPr>
          <w:rtl/>
        </w:rPr>
        <w:t xml:space="preserve"> </w:t>
      </w:r>
      <w:r w:rsidRPr="006571A5">
        <w:rPr>
          <w:rtl/>
        </w:rPr>
        <w:t>هذه</w:t>
      </w:r>
      <w:r>
        <w:rPr>
          <w:rtl/>
        </w:rPr>
        <w:t xml:space="preserve"> </w:t>
      </w:r>
      <w:r w:rsidRPr="006571A5">
        <w:rPr>
          <w:rtl/>
        </w:rPr>
        <w:t>القضية</w:t>
      </w:r>
      <w:r>
        <w:rPr>
          <w:rtl/>
        </w:rPr>
        <w:t xml:space="preserve"> </w:t>
      </w:r>
      <w:r w:rsidRPr="006571A5">
        <w:rPr>
          <w:rtl/>
        </w:rPr>
        <w:t>أنه</w:t>
      </w:r>
      <w:r>
        <w:rPr>
          <w:rtl/>
        </w:rPr>
        <w:t xml:space="preserve"> </w:t>
      </w:r>
      <w:r w:rsidRPr="006571A5">
        <w:rPr>
          <w:rtl/>
        </w:rPr>
        <w:t>لا</w:t>
      </w:r>
      <w:r>
        <w:rPr>
          <w:rtl/>
        </w:rPr>
        <w:t xml:space="preserve"> </w:t>
      </w:r>
      <w:r w:rsidRPr="006571A5">
        <w:rPr>
          <w:rtl/>
        </w:rPr>
        <w:t>يوجد</w:t>
      </w:r>
      <w:r>
        <w:rPr>
          <w:rtl/>
        </w:rPr>
        <w:t xml:space="preserve"> </w:t>
      </w:r>
      <w:r w:rsidRPr="006571A5">
        <w:rPr>
          <w:rtl/>
        </w:rPr>
        <w:t>في</w:t>
      </w:r>
      <w:r>
        <w:rPr>
          <w:rtl/>
        </w:rPr>
        <w:t xml:space="preserve"> </w:t>
      </w:r>
      <w:r w:rsidRPr="006571A5">
        <w:rPr>
          <w:rtl/>
        </w:rPr>
        <w:t>ملفها</w:t>
      </w:r>
      <w:r>
        <w:rPr>
          <w:rtl/>
        </w:rPr>
        <w:t xml:space="preserve"> </w:t>
      </w:r>
      <w:r w:rsidRPr="006571A5">
        <w:rPr>
          <w:rtl/>
        </w:rPr>
        <w:t>ما</w:t>
      </w:r>
      <w:r>
        <w:rPr>
          <w:rtl/>
        </w:rPr>
        <w:t xml:space="preserve"> </w:t>
      </w:r>
      <w:r w:rsidRPr="006571A5">
        <w:rPr>
          <w:rtl/>
        </w:rPr>
        <w:t>يجعلها</w:t>
      </w:r>
      <w:r>
        <w:rPr>
          <w:rtl/>
        </w:rPr>
        <w:t xml:space="preserve"> </w:t>
      </w:r>
      <w:r w:rsidRPr="006571A5">
        <w:rPr>
          <w:rtl/>
        </w:rPr>
        <w:t>تخلص</w:t>
      </w:r>
      <w:r>
        <w:rPr>
          <w:rtl/>
        </w:rPr>
        <w:t xml:space="preserve"> </w:t>
      </w:r>
      <w:r w:rsidRPr="006571A5">
        <w:rPr>
          <w:rtl/>
        </w:rPr>
        <w:t>إلى</w:t>
      </w:r>
      <w:r>
        <w:rPr>
          <w:rtl/>
        </w:rPr>
        <w:t xml:space="preserve"> </w:t>
      </w:r>
      <w:r w:rsidRPr="006571A5">
        <w:rPr>
          <w:rtl/>
        </w:rPr>
        <w:t>أن</w:t>
      </w:r>
      <w:r>
        <w:rPr>
          <w:rtl/>
        </w:rPr>
        <w:t xml:space="preserve"> </w:t>
      </w:r>
      <w:r w:rsidRPr="006571A5">
        <w:rPr>
          <w:rtl/>
        </w:rPr>
        <w:t>سلطات</w:t>
      </w:r>
      <w:r>
        <w:rPr>
          <w:rtl/>
        </w:rPr>
        <w:t xml:space="preserve"> </w:t>
      </w:r>
      <w:r w:rsidRPr="006571A5">
        <w:rPr>
          <w:rtl/>
        </w:rPr>
        <w:t>الهجرة</w:t>
      </w:r>
      <w:r>
        <w:rPr>
          <w:rtl/>
        </w:rPr>
        <w:t xml:space="preserve"> </w:t>
      </w:r>
      <w:r w:rsidRPr="006571A5">
        <w:rPr>
          <w:rtl/>
        </w:rPr>
        <w:t>الدانمركية،</w:t>
      </w:r>
      <w:r>
        <w:rPr>
          <w:rtl/>
        </w:rPr>
        <w:t xml:space="preserve"> </w:t>
      </w:r>
      <w:r w:rsidRPr="006571A5">
        <w:rPr>
          <w:rtl/>
        </w:rPr>
        <w:t>بما</w:t>
      </w:r>
      <w:r>
        <w:rPr>
          <w:rtl/>
        </w:rPr>
        <w:t xml:space="preserve"> </w:t>
      </w:r>
      <w:r w:rsidRPr="006571A5">
        <w:rPr>
          <w:rtl/>
        </w:rPr>
        <w:t>فيها</w:t>
      </w:r>
      <w:r>
        <w:rPr>
          <w:rtl/>
        </w:rPr>
        <w:t xml:space="preserve"> </w:t>
      </w:r>
      <w:r w:rsidRPr="006571A5">
        <w:rPr>
          <w:rtl/>
        </w:rPr>
        <w:t>مجلس</w:t>
      </w:r>
      <w:r>
        <w:rPr>
          <w:rtl/>
        </w:rPr>
        <w:t xml:space="preserve"> </w:t>
      </w:r>
      <w:r w:rsidRPr="006571A5">
        <w:rPr>
          <w:rtl/>
        </w:rPr>
        <w:t>طعون</w:t>
      </w:r>
      <w:r>
        <w:rPr>
          <w:rtl/>
        </w:rPr>
        <w:t xml:space="preserve"> </w:t>
      </w:r>
      <w:r w:rsidRPr="006571A5">
        <w:rPr>
          <w:rtl/>
        </w:rPr>
        <w:t>اللاجئين،</w:t>
      </w:r>
      <w:r>
        <w:rPr>
          <w:rtl/>
        </w:rPr>
        <w:t xml:space="preserve"> </w:t>
      </w:r>
      <w:r w:rsidRPr="006571A5">
        <w:rPr>
          <w:rtl/>
        </w:rPr>
        <w:t>فشلت</w:t>
      </w:r>
      <w:r>
        <w:rPr>
          <w:rtl/>
        </w:rPr>
        <w:t xml:space="preserve"> </w:t>
      </w:r>
      <w:r w:rsidRPr="006571A5">
        <w:rPr>
          <w:rtl/>
        </w:rPr>
        <w:t>في</w:t>
      </w:r>
      <w:r>
        <w:rPr>
          <w:rtl/>
        </w:rPr>
        <w:t xml:space="preserve"> </w:t>
      </w:r>
      <w:r w:rsidRPr="006571A5">
        <w:rPr>
          <w:rtl/>
        </w:rPr>
        <w:t>أداء</w:t>
      </w:r>
      <w:r>
        <w:rPr>
          <w:rtl/>
        </w:rPr>
        <w:t xml:space="preserve"> </w:t>
      </w:r>
      <w:r w:rsidRPr="006571A5">
        <w:rPr>
          <w:rtl/>
        </w:rPr>
        <w:t>واجبها</w:t>
      </w:r>
      <w:r>
        <w:rPr>
          <w:rtl/>
        </w:rPr>
        <w:t xml:space="preserve"> </w:t>
      </w:r>
      <w:r w:rsidRPr="006571A5">
        <w:rPr>
          <w:rtl/>
        </w:rPr>
        <w:t>عند</w:t>
      </w:r>
      <w:r>
        <w:rPr>
          <w:rtl/>
        </w:rPr>
        <w:t xml:space="preserve"> </w:t>
      </w:r>
      <w:r w:rsidRPr="006571A5">
        <w:rPr>
          <w:rtl/>
        </w:rPr>
        <w:t>نظرها</w:t>
      </w:r>
      <w:r>
        <w:rPr>
          <w:rtl/>
        </w:rPr>
        <w:t xml:space="preserve"> </w:t>
      </w:r>
      <w:r w:rsidRPr="006571A5">
        <w:rPr>
          <w:rtl/>
        </w:rPr>
        <w:t>في</w:t>
      </w:r>
      <w:r>
        <w:rPr>
          <w:rtl/>
        </w:rPr>
        <w:t xml:space="preserve"> </w:t>
      </w:r>
      <w:r w:rsidRPr="006571A5">
        <w:rPr>
          <w:rtl/>
        </w:rPr>
        <w:t>قضية</w:t>
      </w:r>
      <w:r>
        <w:rPr>
          <w:rtl/>
        </w:rPr>
        <w:t xml:space="preserve"> </w:t>
      </w:r>
      <w:r w:rsidRPr="006571A5">
        <w:rPr>
          <w:rtl/>
        </w:rPr>
        <w:t>صاحبة</w:t>
      </w:r>
      <w:r>
        <w:rPr>
          <w:rtl/>
        </w:rPr>
        <w:t xml:space="preserve"> </w:t>
      </w:r>
      <w:r w:rsidRPr="006571A5">
        <w:rPr>
          <w:rtl/>
        </w:rPr>
        <w:t>الرسالة،</w:t>
      </w:r>
      <w:r>
        <w:rPr>
          <w:rtl/>
        </w:rPr>
        <w:t xml:space="preserve"> </w:t>
      </w:r>
      <w:r w:rsidRPr="006571A5">
        <w:rPr>
          <w:rtl/>
        </w:rPr>
        <w:t>أو</w:t>
      </w:r>
      <w:r>
        <w:rPr>
          <w:rtl/>
        </w:rPr>
        <w:t xml:space="preserve"> </w:t>
      </w:r>
      <w:r w:rsidRPr="006571A5">
        <w:rPr>
          <w:rtl/>
        </w:rPr>
        <w:t>أن</w:t>
      </w:r>
      <w:r>
        <w:rPr>
          <w:rtl/>
        </w:rPr>
        <w:t xml:space="preserve"> </w:t>
      </w:r>
      <w:r w:rsidRPr="006571A5">
        <w:rPr>
          <w:rtl/>
        </w:rPr>
        <w:t>قراراتها</w:t>
      </w:r>
      <w:r>
        <w:rPr>
          <w:rtl/>
        </w:rPr>
        <w:t xml:space="preserve"> </w:t>
      </w:r>
      <w:r w:rsidRPr="006571A5">
        <w:rPr>
          <w:rtl/>
        </w:rPr>
        <w:t>تعسفية</w:t>
      </w:r>
      <w:r>
        <w:rPr>
          <w:rtl/>
        </w:rPr>
        <w:t xml:space="preserve"> </w:t>
      </w:r>
      <w:r w:rsidRPr="006571A5">
        <w:rPr>
          <w:rtl/>
        </w:rPr>
        <w:t>أو</w:t>
      </w:r>
      <w:r>
        <w:rPr>
          <w:rtl/>
        </w:rPr>
        <w:t xml:space="preserve"> </w:t>
      </w:r>
      <w:r w:rsidRPr="006571A5">
        <w:rPr>
          <w:rtl/>
        </w:rPr>
        <w:t>تبلغ</w:t>
      </w:r>
      <w:r>
        <w:rPr>
          <w:rtl/>
        </w:rPr>
        <w:t xml:space="preserve"> </w:t>
      </w:r>
      <w:r w:rsidRPr="006571A5">
        <w:rPr>
          <w:rtl/>
        </w:rPr>
        <w:t>حدّ</w:t>
      </w:r>
      <w:r>
        <w:rPr>
          <w:rtl/>
        </w:rPr>
        <w:t xml:space="preserve"> </w:t>
      </w:r>
      <w:r w:rsidRPr="006571A5">
        <w:rPr>
          <w:rtl/>
        </w:rPr>
        <w:t>الحرمان</w:t>
      </w:r>
      <w:r>
        <w:rPr>
          <w:rtl/>
        </w:rPr>
        <w:t xml:space="preserve"> </w:t>
      </w:r>
      <w:r w:rsidRPr="006571A5">
        <w:rPr>
          <w:rtl/>
        </w:rPr>
        <w:t>من</w:t>
      </w:r>
      <w:r>
        <w:rPr>
          <w:rtl/>
        </w:rPr>
        <w:t xml:space="preserve"> </w:t>
      </w:r>
      <w:r w:rsidRPr="006571A5">
        <w:rPr>
          <w:rtl/>
        </w:rPr>
        <w:t>العدالة،</w:t>
      </w:r>
      <w:r>
        <w:rPr>
          <w:rtl/>
        </w:rPr>
        <w:t xml:space="preserve"> </w:t>
      </w:r>
      <w:r w:rsidRPr="006571A5">
        <w:rPr>
          <w:rtl/>
        </w:rPr>
        <w:t>بما</w:t>
      </w:r>
      <w:r>
        <w:rPr>
          <w:rtl/>
        </w:rPr>
        <w:t xml:space="preserve"> </w:t>
      </w:r>
      <w:r w:rsidRPr="006571A5">
        <w:rPr>
          <w:rtl/>
        </w:rPr>
        <w:t>يتعارض</w:t>
      </w:r>
      <w:r>
        <w:rPr>
          <w:rtl/>
        </w:rPr>
        <w:t xml:space="preserve"> </w:t>
      </w:r>
      <w:r w:rsidRPr="006571A5">
        <w:rPr>
          <w:rtl/>
        </w:rPr>
        <w:t>مع</w:t>
      </w:r>
      <w:r>
        <w:rPr>
          <w:rtl/>
        </w:rPr>
        <w:t xml:space="preserve"> </w:t>
      </w:r>
      <w:r w:rsidRPr="006571A5">
        <w:rPr>
          <w:rtl/>
        </w:rPr>
        <w:t>أحكام</w:t>
      </w:r>
      <w:r>
        <w:rPr>
          <w:rtl/>
        </w:rPr>
        <w:t xml:space="preserve"> </w:t>
      </w:r>
      <w:r w:rsidRPr="006571A5">
        <w:rPr>
          <w:rtl/>
        </w:rPr>
        <w:t>الاتفاقية.</w:t>
      </w:r>
    </w:p>
    <w:p w14:paraId="77B02276" w14:textId="2F5FF453" w:rsidR="006571A5" w:rsidRPr="006571A5" w:rsidRDefault="004B1017" w:rsidP="006571A5">
      <w:pPr>
        <w:pStyle w:val="SingleTxt"/>
        <w:rPr>
          <w:rtl/>
        </w:rPr>
      </w:pPr>
      <w:r>
        <w:rPr>
          <w:rtl/>
        </w:rPr>
        <w:t>9</w:t>
      </w:r>
      <w:r w:rsidR="006571A5" w:rsidRPr="006571A5">
        <w:rPr>
          <w:rtl/>
        </w:rPr>
        <w:t>-</w:t>
      </w:r>
      <w:r w:rsidR="006571A5" w:rsidRPr="006571A5">
        <w:rPr>
          <w:rtl/>
        </w:rPr>
        <w:tab/>
        <w:t>وبناء</w:t>
      </w:r>
      <w:r w:rsidR="006571A5">
        <w:rPr>
          <w:rtl/>
        </w:rPr>
        <w:t xml:space="preserve"> </w:t>
      </w:r>
      <w:r w:rsidR="006571A5" w:rsidRPr="006571A5">
        <w:rPr>
          <w:rtl/>
        </w:rPr>
        <w:t>على</w:t>
      </w:r>
      <w:r w:rsidR="006571A5">
        <w:rPr>
          <w:rtl/>
        </w:rPr>
        <w:t xml:space="preserve"> </w:t>
      </w:r>
      <w:r w:rsidR="006571A5" w:rsidRPr="006571A5">
        <w:rPr>
          <w:rtl/>
        </w:rPr>
        <w:t>ذلك،</w:t>
      </w:r>
      <w:r w:rsidR="006571A5">
        <w:rPr>
          <w:rtl/>
        </w:rPr>
        <w:t xml:space="preserve"> </w:t>
      </w:r>
      <w:r w:rsidR="006571A5" w:rsidRPr="006571A5">
        <w:rPr>
          <w:rtl/>
        </w:rPr>
        <w:t>تقرر</w:t>
      </w:r>
      <w:r w:rsidR="006571A5">
        <w:rPr>
          <w:rtl/>
        </w:rPr>
        <w:t xml:space="preserve"> </w:t>
      </w:r>
      <w:r w:rsidR="006571A5" w:rsidRPr="006571A5">
        <w:rPr>
          <w:rtl/>
        </w:rPr>
        <w:t>اللجنة</w:t>
      </w:r>
      <w:r w:rsidR="006571A5">
        <w:rPr>
          <w:rtl/>
        </w:rPr>
        <w:t xml:space="preserve"> </w:t>
      </w:r>
      <w:r w:rsidR="006571A5" w:rsidRPr="006571A5">
        <w:rPr>
          <w:rtl/>
        </w:rPr>
        <w:t>ما</w:t>
      </w:r>
      <w:r w:rsidR="006571A5">
        <w:rPr>
          <w:rtl/>
        </w:rPr>
        <w:t xml:space="preserve"> </w:t>
      </w:r>
      <w:r w:rsidR="006571A5" w:rsidRPr="006571A5">
        <w:rPr>
          <w:rtl/>
        </w:rPr>
        <w:t>يلي:</w:t>
      </w:r>
    </w:p>
    <w:p w14:paraId="3B2703FA" w14:textId="5BCF5E6E" w:rsidR="006571A5" w:rsidRPr="006571A5" w:rsidRDefault="006571A5" w:rsidP="006571A5">
      <w:pPr>
        <w:pStyle w:val="SingleTxt"/>
        <w:rPr>
          <w:rtl/>
        </w:rPr>
      </w:pPr>
      <w:r w:rsidRPr="006571A5">
        <w:rPr>
          <w:rtl/>
        </w:rPr>
        <w:tab/>
        <w:t>(أ)</w:t>
      </w:r>
      <w:r w:rsidRPr="006571A5">
        <w:rPr>
          <w:rtl/>
        </w:rPr>
        <w:tab/>
        <w:t>الرسالة</w:t>
      </w:r>
      <w:r>
        <w:rPr>
          <w:rtl/>
        </w:rPr>
        <w:t xml:space="preserve"> </w:t>
      </w:r>
      <w:r w:rsidRPr="006571A5">
        <w:rPr>
          <w:rtl/>
        </w:rPr>
        <w:t>غير</w:t>
      </w:r>
      <w:r>
        <w:rPr>
          <w:rtl/>
        </w:rPr>
        <w:t xml:space="preserve"> </w:t>
      </w:r>
      <w:r w:rsidRPr="006571A5">
        <w:rPr>
          <w:rtl/>
        </w:rPr>
        <w:t>مقبولة</w:t>
      </w:r>
      <w:r>
        <w:rPr>
          <w:rtl/>
        </w:rPr>
        <w:t xml:space="preserve"> </w:t>
      </w:r>
      <w:r w:rsidRPr="006571A5">
        <w:rPr>
          <w:rtl/>
        </w:rPr>
        <w:t>بموجب</w:t>
      </w:r>
      <w:r>
        <w:rPr>
          <w:rtl/>
        </w:rPr>
        <w:t xml:space="preserve"> </w:t>
      </w:r>
      <w:r w:rsidRPr="006571A5">
        <w:rPr>
          <w:rtl/>
        </w:rPr>
        <w:t>المادة</w:t>
      </w:r>
      <w:r>
        <w:rPr>
          <w:rtl/>
        </w:rPr>
        <w:t xml:space="preserve"> </w:t>
      </w:r>
      <w:r w:rsidRPr="006571A5">
        <w:rPr>
          <w:rtl/>
        </w:rPr>
        <w:t>4</w:t>
      </w:r>
      <w:r>
        <w:rPr>
          <w:rtl/>
        </w:rPr>
        <w:t xml:space="preserve"> </w:t>
      </w:r>
      <w:r w:rsidRPr="006571A5">
        <w:rPr>
          <w:rtl/>
        </w:rPr>
        <w:t>(2)</w:t>
      </w:r>
      <w:r>
        <w:rPr>
          <w:rtl/>
        </w:rPr>
        <w:t xml:space="preserve"> </w:t>
      </w:r>
      <w:r w:rsidRPr="006571A5">
        <w:rPr>
          <w:rtl/>
        </w:rPr>
        <w:t>(ج)</w:t>
      </w:r>
      <w:r>
        <w:rPr>
          <w:rtl/>
        </w:rPr>
        <w:t xml:space="preserve"> </w:t>
      </w:r>
      <w:r w:rsidRPr="006571A5">
        <w:rPr>
          <w:rtl/>
        </w:rPr>
        <w:t>من</w:t>
      </w:r>
      <w:r>
        <w:rPr>
          <w:rtl/>
        </w:rPr>
        <w:t xml:space="preserve"> </w:t>
      </w:r>
      <w:r w:rsidRPr="006571A5">
        <w:rPr>
          <w:rtl/>
        </w:rPr>
        <w:t>البروتوكول</w:t>
      </w:r>
      <w:r>
        <w:rPr>
          <w:rtl/>
        </w:rPr>
        <w:t xml:space="preserve"> </w:t>
      </w:r>
      <w:r w:rsidRPr="006571A5">
        <w:rPr>
          <w:rtl/>
        </w:rPr>
        <w:t>الاختياري؛</w:t>
      </w:r>
    </w:p>
    <w:p w14:paraId="35EB7612" w14:textId="6E82677E" w:rsidR="00FD1CE2" w:rsidRDefault="006571A5" w:rsidP="006571A5">
      <w:pPr>
        <w:pStyle w:val="SingleTxt"/>
        <w:rPr>
          <w:rtl/>
        </w:rPr>
      </w:pPr>
      <w:r w:rsidRPr="006571A5">
        <w:rPr>
          <w:rtl/>
        </w:rPr>
        <w:tab/>
        <w:t>(ب)</w:t>
      </w:r>
      <w:r w:rsidRPr="006571A5">
        <w:rPr>
          <w:rtl/>
        </w:rPr>
        <w:tab/>
        <w:t>تُبلَّغ</w:t>
      </w:r>
      <w:r>
        <w:rPr>
          <w:rtl/>
        </w:rPr>
        <w:t xml:space="preserve"> </w:t>
      </w:r>
      <w:r w:rsidRPr="006571A5">
        <w:rPr>
          <w:rtl/>
        </w:rPr>
        <w:t>الدولةُ</w:t>
      </w:r>
      <w:r>
        <w:rPr>
          <w:rtl/>
        </w:rPr>
        <w:t xml:space="preserve"> </w:t>
      </w:r>
      <w:r w:rsidRPr="006571A5">
        <w:rPr>
          <w:rtl/>
        </w:rPr>
        <w:t>الطرف</w:t>
      </w:r>
      <w:r>
        <w:rPr>
          <w:rtl/>
        </w:rPr>
        <w:t xml:space="preserve"> </w:t>
      </w:r>
      <w:r w:rsidRPr="006571A5">
        <w:rPr>
          <w:rtl/>
        </w:rPr>
        <w:t>وصاحبةُ</w:t>
      </w:r>
      <w:r>
        <w:rPr>
          <w:rtl/>
        </w:rPr>
        <w:t xml:space="preserve"> </w:t>
      </w:r>
      <w:r w:rsidRPr="006571A5">
        <w:rPr>
          <w:rtl/>
        </w:rPr>
        <w:t>الرسالة</w:t>
      </w:r>
      <w:r>
        <w:rPr>
          <w:rtl/>
        </w:rPr>
        <w:t xml:space="preserve"> </w:t>
      </w:r>
      <w:r w:rsidRPr="006571A5">
        <w:rPr>
          <w:rtl/>
        </w:rPr>
        <w:t>بهذا</w:t>
      </w:r>
      <w:r>
        <w:rPr>
          <w:rtl/>
        </w:rPr>
        <w:t xml:space="preserve"> </w:t>
      </w:r>
      <w:r w:rsidRPr="006571A5">
        <w:rPr>
          <w:rtl/>
        </w:rPr>
        <w:t>القرار.</w:t>
      </w:r>
    </w:p>
    <w:p w14:paraId="02CFF464" w14:textId="53D9F14E" w:rsidR="006571A5" w:rsidRPr="006571A5" w:rsidRDefault="006571A5" w:rsidP="006571A5">
      <w:pPr>
        <w:pStyle w:val="SingleTxt"/>
        <w:spacing w:after="0" w:line="240" w:lineRule="auto"/>
      </w:pPr>
      <w:r>
        <w:rPr>
          <w:rFonts w:hint="cs"/>
          <w:noProof/>
        </w:rPr>
        <mc:AlternateContent>
          <mc:Choice Requires="wps">
            <w:drawing>
              <wp:anchor distT="0" distB="0" distL="114300" distR="114300" simplePos="0" relativeHeight="251659264" behindDoc="0" locked="0" layoutInCell="1" allowOverlap="1" wp14:anchorId="6B0B2C9A" wp14:editId="29E23167">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8D96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6571A5" w:rsidRPr="006571A5" w:rsidSect="006571A5">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9T19:51:00Z" w:initials="Start">
    <w:p w14:paraId="515ADD1A" w14:textId="4E7F4ACD" w:rsidR="006571A5" w:rsidRDefault="006571A5">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NO&gt;&gt;N1927429A&lt;&lt;ODS JOB NO</w:t>
      </w:r>
      <w:r>
        <w:rPr>
          <w:rtl/>
        </w:rPr>
        <w:t>&gt;&gt;</w:t>
      </w:r>
    </w:p>
    <w:p w14:paraId="25E11A45" w14:textId="1BDE247B" w:rsidR="006571A5" w:rsidRDefault="006571A5">
      <w:pPr>
        <w:pStyle w:val="CommentText"/>
        <w:rPr>
          <w:rtl/>
        </w:rPr>
      </w:pPr>
      <w:r>
        <w:rPr>
          <w:rtl/>
        </w:rPr>
        <w:t>&lt;&lt;</w:t>
      </w:r>
      <w:r>
        <w:t>ODS DOC SYMBOL1&gt;&gt;CEDAW/C/73/D/94/2015&lt;&lt;ODS DOC SYMBOL1</w:t>
      </w:r>
      <w:r>
        <w:rPr>
          <w:rtl/>
        </w:rPr>
        <w:t>&gt;&gt;</w:t>
      </w:r>
    </w:p>
    <w:p w14:paraId="47B98B27" w14:textId="308B6F34" w:rsidR="006571A5" w:rsidRDefault="006571A5">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B98B2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7FF1" w14:textId="77777777" w:rsidR="006571A5" w:rsidRDefault="006571A5" w:rsidP="00693CF9">
      <w:pPr>
        <w:spacing w:line="240" w:lineRule="auto"/>
      </w:pPr>
      <w:r>
        <w:separator/>
      </w:r>
    </w:p>
  </w:endnote>
  <w:endnote w:type="continuationSeparator" w:id="0">
    <w:p w14:paraId="3ADD6A6B" w14:textId="77777777" w:rsidR="006571A5" w:rsidRDefault="006571A5"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571A5" w14:paraId="28921126" w14:textId="77777777" w:rsidTr="00FD1CE2">
      <w:tc>
        <w:tcPr>
          <w:tcW w:w="4920" w:type="dxa"/>
          <w:shd w:val="clear" w:color="auto" w:fill="auto"/>
        </w:tcPr>
        <w:p w14:paraId="75F71131" w14:textId="77777777" w:rsidR="006571A5" w:rsidRPr="00FD1CE2" w:rsidRDefault="006571A5" w:rsidP="00FD1CE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25B6DDA" w14:textId="6157C0D2" w:rsidR="006571A5" w:rsidRPr="00FD1CE2" w:rsidRDefault="006571A5" w:rsidP="00FD1CE2">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741A3">
            <w:rPr>
              <w:b w:val="0"/>
              <w:w w:val="103"/>
            </w:rPr>
            <w:t>19-15435</w:t>
          </w:r>
          <w:r>
            <w:rPr>
              <w:b w:val="0"/>
              <w:w w:val="103"/>
            </w:rPr>
            <w:fldChar w:fldCharType="end"/>
          </w:r>
        </w:p>
      </w:tc>
    </w:tr>
  </w:tbl>
  <w:p w14:paraId="06A8A730" w14:textId="77777777" w:rsidR="006571A5" w:rsidRPr="00FD1CE2" w:rsidRDefault="006571A5" w:rsidP="00FD1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571A5" w14:paraId="49196B6E" w14:textId="77777777" w:rsidTr="00FD1CE2">
      <w:tc>
        <w:tcPr>
          <w:tcW w:w="4920" w:type="dxa"/>
          <w:shd w:val="clear" w:color="auto" w:fill="auto"/>
        </w:tcPr>
        <w:p w14:paraId="3EA3F6E7" w14:textId="0997D8A4" w:rsidR="006571A5" w:rsidRPr="00FD1CE2" w:rsidRDefault="006571A5" w:rsidP="00FD1CE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741A3">
            <w:rPr>
              <w:b w:val="0"/>
              <w:w w:val="103"/>
            </w:rPr>
            <w:t>19-15435</w:t>
          </w:r>
          <w:r>
            <w:rPr>
              <w:b w:val="0"/>
              <w:w w:val="103"/>
            </w:rPr>
            <w:fldChar w:fldCharType="end"/>
          </w:r>
        </w:p>
      </w:tc>
      <w:tc>
        <w:tcPr>
          <w:tcW w:w="4920" w:type="dxa"/>
          <w:shd w:val="clear" w:color="auto" w:fill="auto"/>
        </w:tcPr>
        <w:p w14:paraId="3343BF94" w14:textId="77777777" w:rsidR="006571A5" w:rsidRPr="00FD1CE2" w:rsidRDefault="006571A5" w:rsidP="00FD1CE2">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F3B2C8E" w14:textId="77777777" w:rsidR="006571A5" w:rsidRPr="00FD1CE2" w:rsidRDefault="006571A5" w:rsidP="00FD1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6571A5" w14:paraId="335E2D9C" w14:textId="77777777" w:rsidTr="00FD1CE2">
      <w:trPr>
        <w:jc w:val="right"/>
      </w:trPr>
      <w:tc>
        <w:tcPr>
          <w:tcW w:w="3888" w:type="dxa"/>
        </w:tcPr>
        <w:p w14:paraId="470B4E39" w14:textId="77777777" w:rsidR="006571A5" w:rsidRDefault="006571A5" w:rsidP="00FD1CE2">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4544FA46" wp14:editId="02422647">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73/D/94/201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94/201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18D78781" wp14:editId="1F762FBD">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17C4B741" w14:textId="4A83D161" w:rsidR="006571A5" w:rsidRDefault="006571A5" w:rsidP="00FD1CE2">
          <w:pPr>
            <w:pStyle w:val="ReleaseDate"/>
          </w:pPr>
          <w:r>
            <w:t xml:space="preserve">260919    190919    </w:t>
          </w:r>
          <w:r w:rsidR="00E741A3">
            <w:fldChar w:fldCharType="begin"/>
          </w:r>
          <w:r w:rsidR="00E741A3">
            <w:instrText xml:space="preserve"> DOCVARIABLE "jobn" \* MERGEFORMAT </w:instrText>
          </w:r>
          <w:r w:rsidR="00E741A3">
            <w:fldChar w:fldCharType="separate"/>
          </w:r>
          <w:r w:rsidR="00E741A3">
            <w:t>19-15435 (A)</w:t>
          </w:r>
          <w:r w:rsidR="00E741A3">
            <w:fldChar w:fldCharType="end"/>
          </w:r>
        </w:p>
        <w:p w14:paraId="70B6E438" w14:textId="467B2132" w:rsidR="006571A5" w:rsidRPr="00FD1CE2" w:rsidRDefault="006571A5" w:rsidP="00FD1CE2">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E741A3">
            <w:rPr>
              <w:rFonts w:ascii="Barcode 3 of 9 by request" w:hAnsi="Barcode 3 of 9 by request"/>
              <w:sz w:val="24"/>
            </w:rPr>
            <w:t>*1915435*</w:t>
          </w:r>
          <w:r>
            <w:rPr>
              <w:rFonts w:ascii="Barcode 3 of 9 by request" w:hAnsi="Barcode 3 of 9 by request"/>
              <w:sz w:val="24"/>
            </w:rPr>
            <w:fldChar w:fldCharType="end"/>
          </w:r>
        </w:p>
      </w:tc>
    </w:tr>
  </w:tbl>
  <w:p w14:paraId="3F08777D" w14:textId="77777777" w:rsidR="006571A5" w:rsidRPr="00FD1CE2" w:rsidRDefault="006571A5" w:rsidP="00FD1CE2">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9DB1" w14:textId="4C4A2035" w:rsidR="006571A5" w:rsidRPr="004B1017" w:rsidRDefault="004B1017" w:rsidP="004B1017">
      <w:pPr>
        <w:pStyle w:val="Footer"/>
        <w:bidi/>
        <w:spacing w:after="80"/>
        <w:ind w:left="792"/>
        <w:jc w:val="left"/>
        <w:rPr>
          <w:sz w:val="16"/>
        </w:rPr>
      </w:pPr>
      <w:r w:rsidRPr="004B1017">
        <w:rPr>
          <w:sz w:val="16"/>
          <w:rtl/>
        </w:rPr>
        <w:t>__________</w:t>
      </w:r>
    </w:p>
  </w:footnote>
  <w:footnote w:type="continuationSeparator" w:id="0">
    <w:p w14:paraId="3B42F622" w14:textId="05E13CEC" w:rsidR="006571A5" w:rsidRPr="004B1017" w:rsidRDefault="004B1017" w:rsidP="004B1017">
      <w:pPr>
        <w:pStyle w:val="Footer"/>
        <w:bidi/>
        <w:spacing w:after="80"/>
        <w:ind w:left="792"/>
        <w:jc w:val="left"/>
        <w:rPr>
          <w:sz w:val="16"/>
        </w:rPr>
      </w:pPr>
      <w:r w:rsidRPr="004B1017">
        <w:rPr>
          <w:sz w:val="16"/>
          <w:rtl/>
        </w:rPr>
        <w:t>__________</w:t>
      </w:r>
    </w:p>
  </w:footnote>
  <w:footnote w:id="1">
    <w:p w14:paraId="763C6C7E" w14:textId="4870FD5E" w:rsidR="006571A5" w:rsidRDefault="006571A5" w:rsidP="006571A5">
      <w:pPr>
        <w:pStyle w:val="FootnoteText"/>
        <w:tabs>
          <w:tab w:val="clear" w:pos="418"/>
          <w:tab w:val="right" w:pos="1195"/>
          <w:tab w:val="left" w:pos="1267"/>
          <w:tab w:val="left" w:pos="1656"/>
          <w:tab w:val="left" w:pos="2088"/>
        </w:tabs>
        <w:spacing w:after="80"/>
        <w:ind w:left="1267" w:right="1267" w:hanging="547"/>
      </w:pPr>
      <w:r>
        <w:rPr>
          <w:rtl/>
        </w:rPr>
        <w:tab/>
      </w:r>
      <w:r>
        <w:rPr>
          <w:rFonts w:hint="cs"/>
          <w:rtl/>
        </w:rPr>
        <w:t>(</w:t>
      </w:r>
      <w:r w:rsidRPr="006571A5">
        <w:rPr>
          <w:rStyle w:val="FootnoteReference"/>
          <w:vertAlign w:val="baseline"/>
        </w:rPr>
        <w:footnoteRef/>
      </w:r>
      <w:r>
        <w:rPr>
          <w:rFonts w:hint="cs"/>
          <w:rtl/>
        </w:rPr>
        <w:t>)</w:t>
      </w:r>
      <w:r>
        <w:rPr>
          <w:rtl/>
        </w:rPr>
        <w:tab/>
      </w:r>
      <w:r w:rsidRPr="00C8757D">
        <w:rPr>
          <w:sz w:val="26"/>
          <w:szCs w:val="26"/>
          <w:rtl/>
        </w:rPr>
        <w:t>لم</w:t>
      </w:r>
      <w:r>
        <w:rPr>
          <w:sz w:val="26"/>
          <w:szCs w:val="26"/>
          <w:rtl/>
        </w:rPr>
        <w:t xml:space="preserve"> </w:t>
      </w:r>
      <w:r w:rsidRPr="00C8757D">
        <w:rPr>
          <w:sz w:val="26"/>
          <w:szCs w:val="26"/>
          <w:rtl/>
        </w:rPr>
        <w:t>تقدَّم</w:t>
      </w:r>
      <w:r>
        <w:rPr>
          <w:sz w:val="26"/>
          <w:szCs w:val="26"/>
          <w:rtl/>
        </w:rPr>
        <w:t xml:space="preserve"> </w:t>
      </w:r>
      <w:r w:rsidRPr="00C8757D">
        <w:rPr>
          <w:sz w:val="26"/>
          <w:szCs w:val="26"/>
          <w:rtl/>
        </w:rPr>
        <w:t>أي</w:t>
      </w:r>
      <w:r>
        <w:rPr>
          <w:sz w:val="26"/>
          <w:szCs w:val="26"/>
          <w:rtl/>
        </w:rPr>
        <w:t xml:space="preserve"> </w:t>
      </w:r>
      <w:r w:rsidRPr="00C8757D">
        <w:rPr>
          <w:sz w:val="26"/>
          <w:szCs w:val="26"/>
          <w:rtl/>
        </w:rPr>
        <w:t>معلومات</w:t>
      </w:r>
      <w:r>
        <w:rPr>
          <w:sz w:val="26"/>
          <w:szCs w:val="26"/>
          <w:rtl/>
        </w:rPr>
        <w:t xml:space="preserve"> </w:t>
      </w:r>
      <w:r w:rsidRPr="00C8757D">
        <w:rPr>
          <w:sz w:val="26"/>
          <w:szCs w:val="26"/>
          <w:rtl/>
        </w:rPr>
        <w:t>عن</w:t>
      </w:r>
      <w:r>
        <w:rPr>
          <w:sz w:val="26"/>
          <w:szCs w:val="26"/>
          <w:rtl/>
        </w:rPr>
        <w:t xml:space="preserve"> </w:t>
      </w:r>
      <w:r w:rsidRPr="00C8757D">
        <w:rPr>
          <w:sz w:val="26"/>
          <w:szCs w:val="26"/>
          <w:rtl/>
        </w:rPr>
        <w:t>كيف</w:t>
      </w:r>
      <w:r>
        <w:rPr>
          <w:sz w:val="26"/>
          <w:szCs w:val="26"/>
          <w:rtl/>
        </w:rPr>
        <w:t xml:space="preserve"> </w:t>
      </w:r>
      <w:r w:rsidRPr="00C8757D">
        <w:rPr>
          <w:sz w:val="26"/>
          <w:szCs w:val="26"/>
          <w:rtl/>
        </w:rPr>
        <w:t>جاءت</w:t>
      </w:r>
      <w:r>
        <w:rPr>
          <w:sz w:val="26"/>
          <w:szCs w:val="26"/>
          <w:rtl/>
        </w:rPr>
        <w:t xml:space="preserve"> </w:t>
      </w:r>
      <w:r w:rsidRPr="00C8757D">
        <w:rPr>
          <w:sz w:val="26"/>
          <w:szCs w:val="26"/>
          <w:rtl/>
        </w:rPr>
        <w:t>صاحبة</w:t>
      </w:r>
      <w:r>
        <w:rPr>
          <w:sz w:val="26"/>
          <w:szCs w:val="26"/>
          <w:rtl/>
        </w:rPr>
        <w:t xml:space="preserve"> </w:t>
      </w:r>
      <w:r w:rsidRPr="00C8757D">
        <w:rPr>
          <w:sz w:val="26"/>
          <w:szCs w:val="26"/>
          <w:rtl/>
        </w:rPr>
        <w:t>الرسالة</w:t>
      </w:r>
      <w:r>
        <w:rPr>
          <w:sz w:val="26"/>
          <w:szCs w:val="26"/>
          <w:rtl/>
        </w:rPr>
        <w:t xml:space="preserve"> </w:t>
      </w:r>
      <w:r w:rsidRPr="00C8757D">
        <w:rPr>
          <w:sz w:val="26"/>
          <w:szCs w:val="26"/>
          <w:rtl/>
        </w:rPr>
        <w:t>إلى</w:t>
      </w:r>
      <w:r>
        <w:rPr>
          <w:sz w:val="26"/>
          <w:szCs w:val="26"/>
          <w:rtl/>
        </w:rPr>
        <w:t xml:space="preserve"> </w:t>
      </w:r>
      <w:r w:rsidRPr="00C8757D">
        <w:rPr>
          <w:sz w:val="26"/>
          <w:szCs w:val="26"/>
          <w:rtl/>
        </w:rPr>
        <w:t>الدانمرك.</w:t>
      </w:r>
    </w:p>
  </w:footnote>
  <w:footnote w:id="2">
    <w:p w14:paraId="737B29C3" w14:textId="64C94A0E" w:rsidR="006571A5" w:rsidRPr="006571A5" w:rsidRDefault="006571A5" w:rsidP="006571A5">
      <w:pPr>
        <w:pStyle w:val="FootnoteText"/>
        <w:tabs>
          <w:tab w:val="clear" w:pos="418"/>
          <w:tab w:val="right" w:pos="1195"/>
          <w:tab w:val="left" w:pos="1267"/>
          <w:tab w:val="left" w:pos="1656"/>
          <w:tab w:val="left" w:pos="2088"/>
        </w:tabs>
        <w:spacing w:after="80"/>
        <w:ind w:left="1267" w:right="1267" w:hanging="547"/>
      </w:pPr>
      <w:r>
        <w:rPr>
          <w:rtl/>
        </w:rPr>
        <w:tab/>
      </w:r>
      <w:r w:rsidRPr="006571A5">
        <w:rPr>
          <w:rFonts w:ascii="Traditional Arabic" w:hAnsi="Traditional Arabic"/>
          <w:rtl/>
        </w:rPr>
        <w:t>(</w:t>
      </w:r>
      <w:r w:rsidRPr="006571A5">
        <w:rPr>
          <w:rStyle w:val="FootnoteReference"/>
          <w:spacing w:val="0"/>
          <w:w w:val="100"/>
          <w:szCs w:val="24"/>
          <w:vertAlign w:val="baseline"/>
          <w:rtl/>
        </w:rPr>
        <w:footnoteRef/>
      </w:r>
      <w:r w:rsidRPr="006571A5">
        <w:rPr>
          <w:rFonts w:ascii="Traditional Arabic" w:hAnsi="Traditional Arabic"/>
          <w:rtl/>
        </w:rPr>
        <w:t>)</w:t>
      </w:r>
      <w:r w:rsidRPr="006571A5">
        <w:rPr>
          <w:rtl/>
        </w:rPr>
        <w:tab/>
      </w:r>
      <w:r w:rsidRPr="00C8757D">
        <w:rPr>
          <w:sz w:val="26"/>
          <w:szCs w:val="26"/>
          <w:rtl/>
        </w:rPr>
        <w:t>وفقا</w:t>
      </w:r>
      <w:r>
        <w:rPr>
          <w:sz w:val="26"/>
          <w:szCs w:val="26"/>
          <w:rtl/>
        </w:rPr>
        <w:t xml:space="preserve"> </w:t>
      </w:r>
      <w:r w:rsidRPr="00C8757D">
        <w:rPr>
          <w:sz w:val="26"/>
          <w:szCs w:val="26"/>
          <w:rtl/>
        </w:rPr>
        <w:t>للوثائق</w:t>
      </w:r>
      <w:r>
        <w:rPr>
          <w:sz w:val="26"/>
          <w:szCs w:val="26"/>
          <w:rtl/>
        </w:rPr>
        <w:t xml:space="preserve"> </w:t>
      </w:r>
      <w:r w:rsidRPr="00C8757D">
        <w:rPr>
          <w:sz w:val="26"/>
          <w:szCs w:val="26"/>
          <w:rtl/>
        </w:rPr>
        <w:t>الواردة</w:t>
      </w:r>
      <w:r>
        <w:rPr>
          <w:sz w:val="26"/>
          <w:szCs w:val="26"/>
          <w:rtl/>
        </w:rPr>
        <w:t xml:space="preserve"> </w:t>
      </w:r>
      <w:r w:rsidRPr="00C8757D">
        <w:rPr>
          <w:sz w:val="26"/>
          <w:szCs w:val="26"/>
          <w:rtl/>
        </w:rPr>
        <w:t>في</w:t>
      </w:r>
      <w:r>
        <w:rPr>
          <w:sz w:val="26"/>
          <w:szCs w:val="26"/>
          <w:rtl/>
        </w:rPr>
        <w:t xml:space="preserve"> </w:t>
      </w:r>
      <w:r w:rsidRPr="00C8757D">
        <w:rPr>
          <w:sz w:val="26"/>
          <w:szCs w:val="26"/>
          <w:rtl/>
        </w:rPr>
        <w:t>الملف،</w:t>
      </w:r>
      <w:r>
        <w:rPr>
          <w:sz w:val="26"/>
          <w:szCs w:val="26"/>
          <w:rtl/>
        </w:rPr>
        <w:t xml:space="preserve"> </w:t>
      </w:r>
      <w:r w:rsidRPr="00C8757D">
        <w:rPr>
          <w:sz w:val="26"/>
          <w:szCs w:val="26"/>
          <w:rtl/>
        </w:rPr>
        <w:t>سيطرت</w:t>
      </w:r>
      <w:r>
        <w:rPr>
          <w:sz w:val="26"/>
          <w:szCs w:val="26"/>
          <w:rtl/>
        </w:rPr>
        <w:t xml:space="preserve"> </w:t>
      </w:r>
      <w:r w:rsidRPr="00C8757D">
        <w:rPr>
          <w:sz w:val="26"/>
          <w:szCs w:val="26"/>
          <w:rtl/>
        </w:rPr>
        <w:t>حركة</w:t>
      </w:r>
      <w:r>
        <w:rPr>
          <w:sz w:val="26"/>
          <w:szCs w:val="26"/>
          <w:rtl/>
        </w:rPr>
        <w:t xml:space="preserve"> </w:t>
      </w:r>
      <w:r w:rsidRPr="00C8757D">
        <w:rPr>
          <w:sz w:val="26"/>
          <w:szCs w:val="26"/>
          <w:rtl/>
        </w:rPr>
        <w:t>الشباب</w:t>
      </w:r>
      <w:r>
        <w:rPr>
          <w:sz w:val="26"/>
          <w:szCs w:val="26"/>
          <w:rtl/>
        </w:rPr>
        <w:t xml:space="preserve"> </w:t>
      </w:r>
      <w:r w:rsidRPr="00C8757D">
        <w:rPr>
          <w:sz w:val="26"/>
          <w:szCs w:val="26"/>
          <w:rtl/>
        </w:rPr>
        <w:t>على</w:t>
      </w:r>
      <w:r>
        <w:rPr>
          <w:sz w:val="26"/>
          <w:szCs w:val="26"/>
          <w:rtl/>
        </w:rPr>
        <w:t xml:space="preserve"> </w:t>
      </w:r>
      <w:r w:rsidRPr="00C8757D">
        <w:rPr>
          <w:sz w:val="26"/>
          <w:szCs w:val="26"/>
          <w:rtl/>
        </w:rPr>
        <w:t>المنطقة</w:t>
      </w:r>
      <w:r>
        <w:rPr>
          <w:sz w:val="26"/>
          <w:szCs w:val="26"/>
          <w:rtl/>
        </w:rPr>
        <w:t xml:space="preserve"> </w:t>
      </w:r>
      <w:r w:rsidRPr="00C8757D">
        <w:rPr>
          <w:sz w:val="26"/>
          <w:szCs w:val="26"/>
          <w:rtl/>
        </w:rPr>
        <w:t>في</w:t>
      </w:r>
      <w:r>
        <w:rPr>
          <w:sz w:val="26"/>
          <w:szCs w:val="26"/>
          <w:rtl/>
        </w:rPr>
        <w:t xml:space="preserve"> </w:t>
      </w:r>
      <w:r w:rsidRPr="00C8757D">
        <w:rPr>
          <w:sz w:val="26"/>
          <w:szCs w:val="26"/>
          <w:rtl/>
        </w:rPr>
        <w:t>أعقاب</w:t>
      </w:r>
      <w:r>
        <w:rPr>
          <w:sz w:val="26"/>
          <w:szCs w:val="26"/>
          <w:rtl/>
        </w:rPr>
        <w:t xml:space="preserve"> </w:t>
      </w:r>
      <w:r w:rsidRPr="00C8757D">
        <w:rPr>
          <w:sz w:val="26"/>
          <w:szCs w:val="26"/>
          <w:rtl/>
        </w:rPr>
        <w:t>حرب</w:t>
      </w:r>
      <w:r>
        <w:rPr>
          <w:sz w:val="26"/>
          <w:szCs w:val="26"/>
          <w:rtl/>
        </w:rPr>
        <w:t xml:space="preserve"> </w:t>
      </w:r>
      <w:r w:rsidRPr="00C8757D">
        <w:rPr>
          <w:sz w:val="26"/>
          <w:szCs w:val="26"/>
          <w:rtl/>
        </w:rPr>
        <w:t>أهلية</w:t>
      </w:r>
      <w:r>
        <w:rPr>
          <w:sz w:val="26"/>
          <w:szCs w:val="26"/>
          <w:rtl/>
        </w:rPr>
        <w:t xml:space="preserve"> </w:t>
      </w:r>
      <w:r w:rsidRPr="00C8757D">
        <w:rPr>
          <w:sz w:val="26"/>
          <w:szCs w:val="26"/>
          <w:rtl/>
        </w:rPr>
        <w:t>في</w:t>
      </w:r>
      <w:r>
        <w:rPr>
          <w:sz w:val="26"/>
          <w:szCs w:val="26"/>
          <w:rtl/>
        </w:rPr>
        <w:t xml:space="preserve"> </w:t>
      </w:r>
      <w:r w:rsidRPr="00C8757D">
        <w:rPr>
          <w:sz w:val="26"/>
          <w:szCs w:val="26"/>
          <w:rtl/>
        </w:rPr>
        <w:t>حوالي</w:t>
      </w:r>
      <w:r>
        <w:rPr>
          <w:sz w:val="26"/>
          <w:szCs w:val="26"/>
          <w:rtl/>
        </w:rPr>
        <w:t xml:space="preserve"> </w:t>
      </w:r>
      <w:r w:rsidRPr="00C8757D">
        <w:rPr>
          <w:sz w:val="26"/>
          <w:szCs w:val="26"/>
          <w:rtl/>
        </w:rPr>
        <w:t>عام</w:t>
      </w:r>
      <w:r>
        <w:rPr>
          <w:sz w:val="26"/>
          <w:szCs w:val="26"/>
          <w:rtl/>
        </w:rPr>
        <w:t xml:space="preserve"> </w:t>
      </w:r>
      <w:r w:rsidR="004B1017">
        <w:rPr>
          <w:sz w:val="26"/>
          <w:szCs w:val="26"/>
          <w:rtl/>
        </w:rPr>
        <w:t>2007</w:t>
      </w:r>
      <w:r w:rsidRPr="00C8757D">
        <w:rPr>
          <w:sz w:val="26"/>
          <w:szCs w:val="26"/>
          <w:rtl/>
        </w:rPr>
        <w:t>.</w:t>
      </w:r>
    </w:p>
  </w:footnote>
  <w:footnote w:id="3">
    <w:p w14:paraId="67FC015E" w14:textId="165006DD" w:rsidR="006571A5" w:rsidRDefault="006571A5" w:rsidP="004B1017">
      <w:pPr>
        <w:pStyle w:val="FootnoteText"/>
        <w:tabs>
          <w:tab w:val="clear" w:pos="418"/>
          <w:tab w:val="right" w:pos="1195"/>
          <w:tab w:val="left" w:pos="1267"/>
          <w:tab w:val="left" w:pos="1656"/>
          <w:tab w:val="left" w:pos="2088"/>
        </w:tabs>
        <w:spacing w:after="80"/>
        <w:ind w:left="1267" w:right="1267" w:hanging="547"/>
      </w:pPr>
      <w:r>
        <w:rPr>
          <w:rtl/>
        </w:rPr>
        <w:tab/>
      </w:r>
      <w:r>
        <w:rPr>
          <w:rFonts w:hint="cs"/>
          <w:rtl/>
        </w:rPr>
        <w:t>(</w:t>
      </w:r>
      <w:r w:rsidRPr="006571A5">
        <w:rPr>
          <w:rStyle w:val="FootnoteReference"/>
          <w:vertAlign w:val="baseline"/>
        </w:rPr>
        <w:footnoteRef/>
      </w:r>
      <w:r>
        <w:rPr>
          <w:rFonts w:hint="cs"/>
          <w:rtl/>
        </w:rPr>
        <w:t>)</w:t>
      </w:r>
      <w:r>
        <w:rPr>
          <w:rtl/>
        </w:rPr>
        <w:tab/>
      </w:r>
      <w:r w:rsidR="004B1017" w:rsidRPr="004B1017">
        <w:rPr>
          <w:rtl/>
        </w:rPr>
        <w:t xml:space="preserve">تربّت هذه المرأة في جنوب الصومال في كفالة أسرة أساءت معاملتها جداً وأرادت تزويجها لرجل مسنّ عند بلوغها </w:t>
      </w:r>
      <w:r w:rsidR="004B1017">
        <w:rPr>
          <w:rtl/>
        </w:rPr>
        <w:t>15</w:t>
      </w:r>
      <w:r w:rsidR="00AC2D6D">
        <w:rPr>
          <w:rFonts w:hint="cs"/>
          <w:rtl/>
        </w:rPr>
        <w:t> </w:t>
      </w:r>
      <w:r w:rsidR="004B1017" w:rsidRPr="004B1017">
        <w:rPr>
          <w:rtl/>
        </w:rPr>
        <w:t xml:space="preserve">عاماً. وكان الهدف من الزواج هو تسوية نزاع بين عشيرتين </w:t>
      </w:r>
      <w:proofErr w:type="spellStart"/>
      <w:r w:rsidR="004B1017" w:rsidRPr="004B1017">
        <w:rPr>
          <w:rtl/>
        </w:rPr>
        <w:t>غريمتين</w:t>
      </w:r>
      <w:proofErr w:type="spellEnd"/>
      <w:r w:rsidR="004B1017" w:rsidRPr="004B1017">
        <w:rPr>
          <w:rtl/>
        </w:rPr>
        <w:t>، وهُدّدت بالقتل إذا رفضت الزواج. وفرّت المرأة إلى سورية أولا ثم تركتها إلى الدانمرك بسبب الحرب الأهلية هناك. ويبدو أن مجلس طعون اللاجئين أعطى وزنا أكبر إلى كونها وُلدت في مقديشو وعانت من نزاع عشائري وكانت ستُجبر على الزواج بالرغم من عدم رغبتها في ذلك. كما لم تكن لديها شبكة علاقات تدعمها، وكانت من ثمّ عرضة لخطر الاضطهاد.</w:t>
      </w:r>
    </w:p>
  </w:footnote>
  <w:footnote w:id="4">
    <w:p w14:paraId="27B56D80" w14:textId="288006E6" w:rsidR="006571A5" w:rsidRPr="006571A5" w:rsidRDefault="006571A5" w:rsidP="004B1017">
      <w:pPr>
        <w:pStyle w:val="FootnoteText"/>
        <w:tabs>
          <w:tab w:val="clear" w:pos="418"/>
          <w:tab w:val="right" w:pos="1195"/>
          <w:tab w:val="left" w:pos="1267"/>
          <w:tab w:val="left" w:pos="1656"/>
          <w:tab w:val="left" w:pos="2088"/>
        </w:tabs>
        <w:spacing w:after="80"/>
        <w:ind w:left="1267" w:right="1267" w:hanging="547"/>
      </w:pPr>
      <w:r>
        <w:rPr>
          <w:rtl/>
        </w:rPr>
        <w:tab/>
      </w:r>
      <w:r w:rsidRPr="006571A5">
        <w:rPr>
          <w:rtl/>
        </w:rPr>
        <w:t>(</w:t>
      </w:r>
      <w:r w:rsidRPr="006571A5">
        <w:rPr>
          <w:rStyle w:val="FootnoteReference"/>
          <w:spacing w:val="0"/>
          <w:w w:val="100"/>
          <w:szCs w:val="24"/>
          <w:vertAlign w:val="baseline"/>
          <w:rtl/>
        </w:rPr>
        <w:footnoteRef/>
      </w:r>
      <w:r w:rsidRPr="006571A5">
        <w:rPr>
          <w:rtl/>
        </w:rPr>
        <w:t>)</w:t>
      </w:r>
      <w:r w:rsidRPr="006571A5">
        <w:rPr>
          <w:rtl/>
        </w:rPr>
        <w:tab/>
      </w:r>
      <w:r w:rsidR="004B1017" w:rsidRPr="004B1017">
        <w:rPr>
          <w:rtl/>
        </w:rPr>
        <w:t xml:space="preserve">تستشهد الدولة الطرف بالحكم الذي أصدرته المحكمة الأوروبية لحقوق الإنسان في </w:t>
      </w:r>
      <w:r w:rsidR="004B1017">
        <w:rPr>
          <w:rtl/>
        </w:rPr>
        <w:t>17</w:t>
      </w:r>
      <w:r w:rsidR="004B1017" w:rsidRPr="004B1017">
        <w:rPr>
          <w:rtl/>
        </w:rPr>
        <w:t xml:space="preserve"> تموز/يوليه </w:t>
      </w:r>
      <w:r w:rsidR="004B1017">
        <w:rPr>
          <w:rtl/>
        </w:rPr>
        <w:t>2008</w:t>
      </w:r>
      <w:r w:rsidR="004B1017" w:rsidRPr="004B1017">
        <w:rPr>
          <w:rtl/>
        </w:rPr>
        <w:t xml:space="preserve"> في قضية </w:t>
      </w:r>
      <w:r w:rsidR="004B1017" w:rsidRPr="004B1017">
        <w:rPr>
          <w:i/>
          <w:iCs/>
          <w:rtl/>
        </w:rPr>
        <w:t>ن. أ. ضد المملكة المتحدة</w:t>
      </w:r>
      <w:r w:rsidR="004B1017" w:rsidRPr="004B1017">
        <w:rPr>
          <w:rtl/>
        </w:rPr>
        <w:t xml:space="preserve"> (الدعوى رقم 25904/07)، والذي جاء فيه أن مجرد احتمال التعرض لسوء المعاملة بسبب وضع غير مستقر أو حالة عامة من العنف في البلد الأصلي للمدّعي لا يرقى في حد ذاته إلى إخلال بالمادة 3 من الاتفاقية الأوروبية لحقوق الإنسان في حال أُعيد طالب اللجوء إلى بلده الأصلي. ولاحظت أن المحكمة رأت في هذه القضية أن تدهور الوضع الأمني في بلد ما لا ينشأ عنه بحدّ ذاته خطر سيُواجهه جميع الأفراد من جماعة عرقية معينة في حالة عادوا إلى هذا البلد. وقد أشارت المحكمة إلى أنه لم يسبق لها أبدا عدم اعتبار إمكانية أن تكون حالة العنف العامة من الشدة </w:t>
      </w:r>
      <w:r w:rsidR="004C757C">
        <w:rPr>
          <w:rFonts w:hint="cs"/>
          <w:rtl/>
        </w:rPr>
        <w:t>ب</w:t>
      </w:r>
      <w:r w:rsidR="004B1017" w:rsidRPr="004B1017">
        <w:rPr>
          <w:rtl/>
        </w:rPr>
        <w:t xml:space="preserve">حيث يكون أي ترحيل انتهاكاً للمادة </w:t>
      </w:r>
      <w:r w:rsidR="004B1017">
        <w:rPr>
          <w:rtl/>
        </w:rPr>
        <w:t>3</w:t>
      </w:r>
      <w:r w:rsidR="004B1017" w:rsidRPr="004B1017">
        <w:rPr>
          <w:rtl/>
        </w:rPr>
        <w:t xml:space="preserve">، لكنها ترى أن هذا النهج لا يمكن اتباعه إلا عندما يكون احتمال التعرض لسوء المعاملة حقيقياً لمجرد وجود الفرد في البلد. ولجأت المحكمة إلى هذا التعليل مجدّدا في الحكم الذي أصدرته في 20 كانون الثاني/يناير </w:t>
      </w:r>
      <w:r w:rsidR="004B1017">
        <w:rPr>
          <w:rtl/>
        </w:rPr>
        <w:t>2009</w:t>
      </w:r>
      <w:r w:rsidR="004B1017" w:rsidRPr="004B1017">
        <w:rPr>
          <w:rtl/>
        </w:rPr>
        <w:t xml:space="preserve"> في قضية </w:t>
      </w:r>
      <w:r w:rsidR="004B1017" w:rsidRPr="004B1017">
        <w:rPr>
          <w:i/>
          <w:iCs/>
          <w:rtl/>
        </w:rPr>
        <w:t>ف</w:t>
      </w:r>
      <w:r w:rsidR="004B1017" w:rsidRPr="004B1017">
        <w:rPr>
          <w:rtl/>
        </w:rPr>
        <w:t>. ه</w:t>
      </w:r>
      <w:r w:rsidR="004B1017" w:rsidRPr="004B1017">
        <w:rPr>
          <w:i/>
          <w:iCs/>
          <w:rtl/>
        </w:rPr>
        <w:t>. ضد السويد</w:t>
      </w:r>
      <w:r w:rsidR="004B1017" w:rsidRPr="004B1017">
        <w:rPr>
          <w:rtl/>
        </w:rPr>
        <w:t xml:space="preserve"> (الدعوى رقم 32621/06). وبتطبيق المحكمة هذا التعليل في الحكم الذي أصدرته في </w:t>
      </w:r>
      <w:r w:rsidR="004B1017">
        <w:rPr>
          <w:rtl/>
        </w:rPr>
        <w:t>28</w:t>
      </w:r>
      <w:r w:rsidR="004B1017" w:rsidRPr="004B1017">
        <w:rPr>
          <w:rtl/>
        </w:rPr>
        <w:t xml:space="preserve"> حزيران/يونيه </w:t>
      </w:r>
      <w:r w:rsidR="004B1017">
        <w:rPr>
          <w:rtl/>
        </w:rPr>
        <w:t>2011</w:t>
      </w:r>
      <w:r w:rsidR="004B1017" w:rsidRPr="004B1017">
        <w:rPr>
          <w:rtl/>
        </w:rPr>
        <w:t xml:space="preserve"> في قضية </w:t>
      </w:r>
      <w:r w:rsidR="004B1017" w:rsidRPr="004B1017">
        <w:rPr>
          <w:i/>
          <w:iCs/>
          <w:rtl/>
        </w:rPr>
        <w:t>صوفي وعلمي ضد المملكة المتحدة</w:t>
      </w:r>
      <w:r w:rsidR="004B1017" w:rsidRPr="004B1017">
        <w:rPr>
          <w:rtl/>
        </w:rPr>
        <w:t xml:space="preserve"> (الدعوى رقم 8319/07 و</w:t>
      </w:r>
      <w:r w:rsidR="004B1017">
        <w:rPr>
          <w:rFonts w:hint="cs"/>
          <w:rtl/>
        </w:rPr>
        <w:t> </w:t>
      </w:r>
      <w:r w:rsidR="004B1017" w:rsidRPr="004B1017">
        <w:rPr>
          <w:rtl/>
        </w:rPr>
        <w:t xml:space="preserve">11449/07)، خلُصت إلى أن ترحيل المدّعيَين، وهما مواطنان صوماليان، إلى مقديشو يتعارض مع المادة </w:t>
      </w:r>
      <w:r w:rsidR="004B1017">
        <w:rPr>
          <w:rtl/>
        </w:rPr>
        <w:t>3</w:t>
      </w:r>
      <w:r w:rsidR="004B1017" w:rsidRPr="004B1017">
        <w:rPr>
          <w:rtl/>
        </w:rPr>
        <w:t>.</w:t>
      </w:r>
    </w:p>
  </w:footnote>
  <w:footnote w:id="5">
    <w:p w14:paraId="0C373319" w14:textId="1122DB8E" w:rsidR="004B1017" w:rsidRDefault="004B1017" w:rsidP="004B1017">
      <w:pPr>
        <w:pStyle w:val="FootnoteText"/>
        <w:tabs>
          <w:tab w:val="clear" w:pos="418"/>
          <w:tab w:val="right" w:pos="1195"/>
          <w:tab w:val="left" w:pos="1267"/>
          <w:tab w:val="left" w:pos="1656"/>
          <w:tab w:val="left" w:pos="2088"/>
        </w:tabs>
        <w:spacing w:after="80"/>
        <w:ind w:left="1267" w:right="1267" w:hanging="547"/>
      </w:pPr>
      <w:r>
        <w:rPr>
          <w:rtl/>
        </w:rPr>
        <w:tab/>
      </w:r>
      <w:r>
        <w:rPr>
          <w:rFonts w:hint="cs"/>
          <w:rtl/>
        </w:rPr>
        <w:t>(</w:t>
      </w:r>
      <w:r w:rsidRPr="004B1017">
        <w:rPr>
          <w:rStyle w:val="FootnoteReference"/>
          <w:vertAlign w:val="baseline"/>
        </w:rPr>
        <w:footnoteRef/>
      </w:r>
      <w:r>
        <w:rPr>
          <w:rFonts w:hint="cs"/>
          <w:rtl/>
        </w:rPr>
        <w:t>)</w:t>
      </w:r>
      <w:r>
        <w:rPr>
          <w:rtl/>
        </w:rPr>
        <w:tab/>
      </w:r>
      <w:r w:rsidRPr="004B1017">
        <w:rPr>
          <w:rtl/>
        </w:rPr>
        <w:t xml:space="preserve">انظر: </w:t>
      </w:r>
      <w:r w:rsidRPr="004B1017">
        <w:t xml:space="preserve">European Court of Human Rights, </w:t>
      </w:r>
      <w:r w:rsidRPr="004C757C">
        <w:rPr>
          <w:i/>
          <w:iCs/>
        </w:rPr>
        <w:t>R.H. v. Sweden</w:t>
      </w:r>
      <w:r w:rsidRPr="004B1017">
        <w:t xml:space="preserve"> (application No. 4601/14) judgment of 10 September 2015, para. 70</w:t>
      </w:r>
      <w:r w:rsidRPr="004B1017">
        <w:rPr>
          <w:rtl/>
        </w:rPr>
        <w:t>.</w:t>
      </w:r>
    </w:p>
  </w:footnote>
  <w:footnote w:id="6">
    <w:p w14:paraId="53325840" w14:textId="75F93AD0" w:rsidR="004B1017" w:rsidRPr="004B1017" w:rsidRDefault="004B1017" w:rsidP="004B1017">
      <w:pPr>
        <w:pStyle w:val="FootnoteText"/>
        <w:tabs>
          <w:tab w:val="clear" w:pos="418"/>
          <w:tab w:val="right" w:pos="1195"/>
          <w:tab w:val="left" w:pos="1267"/>
          <w:tab w:val="left" w:pos="1656"/>
          <w:tab w:val="left" w:pos="2088"/>
        </w:tabs>
        <w:spacing w:after="80"/>
        <w:ind w:left="1267" w:right="1267" w:hanging="547"/>
      </w:pPr>
      <w:r>
        <w:rPr>
          <w:rtl/>
        </w:rPr>
        <w:tab/>
      </w:r>
      <w:r w:rsidRPr="004B1017">
        <w:rPr>
          <w:rtl/>
        </w:rPr>
        <w:t>(</w:t>
      </w:r>
      <w:r w:rsidRPr="004B1017">
        <w:rPr>
          <w:rStyle w:val="FootnoteReference"/>
          <w:spacing w:val="0"/>
          <w:w w:val="100"/>
          <w:szCs w:val="24"/>
          <w:vertAlign w:val="baseline"/>
          <w:rtl/>
        </w:rPr>
        <w:footnoteRef/>
      </w:r>
      <w:r w:rsidRPr="004B1017">
        <w:rPr>
          <w:rtl/>
        </w:rPr>
        <w:t>)</w:t>
      </w:r>
      <w:r w:rsidRPr="004B1017">
        <w:rPr>
          <w:rtl/>
        </w:rPr>
        <w:tab/>
        <w:t xml:space="preserve">انظر: </w:t>
      </w:r>
      <w:r w:rsidRPr="004B1017">
        <w:t xml:space="preserve">European Court of Human Rights, </w:t>
      </w:r>
      <w:r w:rsidRPr="004C757C">
        <w:rPr>
          <w:i/>
          <w:iCs/>
        </w:rPr>
        <w:t>R.H. v. Sweden</w:t>
      </w:r>
      <w:r w:rsidRPr="004B1017">
        <w:t xml:space="preserve">; and </w:t>
      </w:r>
      <w:proofErr w:type="spellStart"/>
      <w:r w:rsidRPr="004C757C">
        <w:rPr>
          <w:i/>
          <w:iCs/>
        </w:rPr>
        <w:t>Tarakhel</w:t>
      </w:r>
      <w:proofErr w:type="spellEnd"/>
      <w:r w:rsidRPr="004C757C">
        <w:rPr>
          <w:i/>
          <w:iCs/>
        </w:rPr>
        <w:t xml:space="preserve"> v. Switzerland</w:t>
      </w:r>
      <w:r w:rsidRPr="004B1017">
        <w:t xml:space="preserve"> (application No. 29217/12), judgment of 4 November 2014</w:t>
      </w:r>
      <w:r w:rsidRPr="004B1017">
        <w:rPr>
          <w:rtl/>
        </w:rPr>
        <w:t>.</w:t>
      </w:r>
    </w:p>
  </w:footnote>
  <w:footnote w:id="7">
    <w:p w14:paraId="0EF2A019" w14:textId="651430B0" w:rsidR="004B1017" w:rsidRDefault="004B1017" w:rsidP="004B1017">
      <w:pPr>
        <w:pStyle w:val="FootnoteText"/>
        <w:tabs>
          <w:tab w:val="clear" w:pos="418"/>
          <w:tab w:val="right" w:pos="1195"/>
          <w:tab w:val="left" w:pos="1267"/>
          <w:tab w:val="left" w:pos="1656"/>
          <w:tab w:val="left" w:pos="2088"/>
        </w:tabs>
        <w:spacing w:after="80"/>
        <w:ind w:left="1267" w:right="1267" w:hanging="547"/>
      </w:pPr>
      <w:r>
        <w:rPr>
          <w:rtl/>
        </w:rPr>
        <w:tab/>
      </w:r>
      <w:r>
        <w:rPr>
          <w:rFonts w:hint="cs"/>
          <w:rtl/>
        </w:rPr>
        <w:t>(</w:t>
      </w:r>
      <w:r w:rsidRPr="004B1017">
        <w:rPr>
          <w:rStyle w:val="FootnoteReference"/>
          <w:vertAlign w:val="baseline"/>
        </w:rPr>
        <w:footnoteRef/>
      </w:r>
      <w:r>
        <w:rPr>
          <w:rFonts w:hint="cs"/>
          <w:rtl/>
        </w:rPr>
        <w:t>)</w:t>
      </w:r>
      <w:r>
        <w:rPr>
          <w:rtl/>
        </w:rPr>
        <w:tab/>
      </w:r>
      <w:r w:rsidRPr="004B1017">
        <w:rPr>
          <w:rtl/>
        </w:rPr>
        <w:t xml:space="preserve">انظر: </w:t>
      </w:r>
      <w:r w:rsidRPr="004B1017">
        <w:t xml:space="preserve">European Court of Human Rights, </w:t>
      </w:r>
      <w:proofErr w:type="spellStart"/>
      <w:r w:rsidRPr="004C757C">
        <w:rPr>
          <w:i/>
          <w:iCs/>
        </w:rPr>
        <w:t>Tarakhel</w:t>
      </w:r>
      <w:proofErr w:type="spellEnd"/>
      <w:r w:rsidRPr="004C757C">
        <w:rPr>
          <w:i/>
          <w:iCs/>
        </w:rPr>
        <w:t xml:space="preserve"> v. Switzerland</w:t>
      </w:r>
      <w:r w:rsidRPr="004B1017">
        <w:rPr>
          <w:rtl/>
        </w:rPr>
        <w:t>.</w:t>
      </w:r>
    </w:p>
  </w:footnote>
  <w:footnote w:id="8">
    <w:p w14:paraId="646B6401" w14:textId="6544EE3C" w:rsidR="004B1017" w:rsidRDefault="004B1017" w:rsidP="004B1017">
      <w:pPr>
        <w:pStyle w:val="FootnoteText"/>
        <w:tabs>
          <w:tab w:val="clear" w:pos="418"/>
          <w:tab w:val="right" w:pos="1195"/>
          <w:tab w:val="left" w:pos="1267"/>
          <w:tab w:val="left" w:pos="1656"/>
          <w:tab w:val="left" w:pos="2088"/>
        </w:tabs>
        <w:spacing w:after="80"/>
        <w:ind w:left="1267" w:right="1267" w:hanging="547"/>
      </w:pPr>
      <w:r>
        <w:rPr>
          <w:rtl/>
        </w:rPr>
        <w:tab/>
      </w:r>
      <w:r>
        <w:rPr>
          <w:rFonts w:hint="cs"/>
          <w:rtl/>
        </w:rPr>
        <w:t>(</w:t>
      </w:r>
      <w:r w:rsidRPr="004B1017">
        <w:rPr>
          <w:rStyle w:val="FootnoteReference"/>
          <w:vertAlign w:val="baseline"/>
        </w:rPr>
        <w:footnoteRef/>
      </w:r>
      <w:r>
        <w:rPr>
          <w:rFonts w:hint="cs"/>
          <w:rtl/>
        </w:rPr>
        <w:t>)</w:t>
      </w:r>
      <w:r>
        <w:rPr>
          <w:rtl/>
        </w:rPr>
        <w:tab/>
      </w:r>
      <w:r w:rsidRPr="004B1017">
        <w:rPr>
          <w:rtl/>
        </w:rPr>
        <w:t xml:space="preserve">انظر قرار البرلمان الأوروبي المؤرخ </w:t>
      </w:r>
      <w:r>
        <w:rPr>
          <w:rtl/>
        </w:rPr>
        <w:t>18</w:t>
      </w:r>
      <w:r w:rsidRPr="004B1017">
        <w:rPr>
          <w:rtl/>
        </w:rPr>
        <w:t xml:space="preserve"> أيار/مايو </w:t>
      </w:r>
      <w:r>
        <w:rPr>
          <w:rtl/>
        </w:rPr>
        <w:t>2017</w:t>
      </w:r>
      <w:r w:rsidRPr="004B1017">
        <w:rPr>
          <w:rtl/>
        </w:rPr>
        <w:t xml:space="preserve"> بشأن مخيم </w:t>
      </w:r>
      <w:proofErr w:type="spellStart"/>
      <w:r w:rsidRPr="004B1017">
        <w:rPr>
          <w:rtl/>
        </w:rPr>
        <w:t>داداب</w:t>
      </w:r>
      <w:proofErr w:type="spellEnd"/>
      <w:r w:rsidRPr="004B1017">
        <w:rPr>
          <w:rtl/>
        </w:rPr>
        <w:t xml:space="preserve"> للاجئين (</w:t>
      </w:r>
      <w:r w:rsidRPr="004B1017">
        <w:t>2017/2687(RSP)</w:t>
      </w:r>
      <w:r w:rsidRPr="004B1017">
        <w:rPr>
          <w:rtl/>
        </w:rPr>
        <w:t>)، الجزء 7.</w:t>
      </w:r>
    </w:p>
  </w:footnote>
  <w:footnote w:id="9">
    <w:p w14:paraId="53D56C55" w14:textId="18F6A649" w:rsidR="004B1017" w:rsidRDefault="004B1017" w:rsidP="004B1017">
      <w:pPr>
        <w:pStyle w:val="FootnoteText"/>
        <w:tabs>
          <w:tab w:val="clear" w:pos="418"/>
          <w:tab w:val="right" w:pos="1195"/>
          <w:tab w:val="left" w:pos="1267"/>
          <w:tab w:val="left" w:pos="1656"/>
          <w:tab w:val="left" w:pos="2088"/>
        </w:tabs>
        <w:spacing w:after="80"/>
        <w:ind w:left="1267" w:right="1267" w:hanging="547"/>
      </w:pPr>
      <w:r>
        <w:rPr>
          <w:rtl/>
        </w:rPr>
        <w:tab/>
      </w:r>
      <w:r>
        <w:rPr>
          <w:rFonts w:hint="cs"/>
          <w:rtl/>
        </w:rPr>
        <w:t>(</w:t>
      </w:r>
      <w:r w:rsidRPr="004B1017">
        <w:rPr>
          <w:rStyle w:val="FootnoteReference"/>
          <w:vertAlign w:val="baseline"/>
        </w:rPr>
        <w:footnoteRef/>
      </w:r>
      <w:r>
        <w:rPr>
          <w:rFonts w:hint="cs"/>
          <w:rtl/>
        </w:rPr>
        <w:t>)</w:t>
      </w:r>
      <w:r>
        <w:rPr>
          <w:rtl/>
        </w:rPr>
        <w:tab/>
      </w:r>
      <w:r w:rsidRPr="004B1017">
        <w:rPr>
          <w:rtl/>
        </w:rPr>
        <w:t xml:space="preserve">انظر على سبيل المثال: قضية </w:t>
      </w:r>
      <w:r w:rsidRPr="004B1017">
        <w:rPr>
          <w:i/>
          <w:iCs/>
          <w:rtl/>
        </w:rPr>
        <w:t>ر. ب. ب. ضد الفلبين</w:t>
      </w:r>
      <w:r w:rsidRPr="004B1017">
        <w:rPr>
          <w:rtl/>
        </w:rPr>
        <w:t xml:space="preserve"> (</w:t>
      </w:r>
      <w:r w:rsidR="00E741A3">
        <w:fldChar w:fldCharType="begin"/>
      </w:r>
      <w:r w:rsidR="00E741A3">
        <w:instrText xml:space="preserve"> HYPERLINK "https://undocs.org/ar/CEDAW/C/57/D/34/2011" </w:instrText>
      </w:r>
      <w:r w:rsidR="00E741A3">
        <w:fldChar w:fldCharType="separate"/>
      </w:r>
      <w:r w:rsidRPr="004B1017">
        <w:rPr>
          <w:rStyle w:val="Hyperlink"/>
        </w:rPr>
        <w:t>CEDAW/C/57/D/34/2011</w:t>
      </w:r>
      <w:r w:rsidR="00E741A3">
        <w:rPr>
          <w:rStyle w:val="Hyperlink"/>
        </w:rPr>
        <w:fldChar w:fldCharType="end"/>
      </w:r>
      <w:r w:rsidRPr="004B1017">
        <w:rPr>
          <w:rtl/>
        </w:rPr>
        <w:t>)، الفقرة 7-5، و</w:t>
      </w:r>
      <w:r w:rsidRPr="004B1017">
        <w:rPr>
          <w:i/>
          <w:iCs/>
          <w:rtl/>
        </w:rPr>
        <w:t xml:space="preserve">قضية ن. م. ضد الدانمرك </w:t>
      </w:r>
      <w:r w:rsidRPr="004B1017">
        <w:rPr>
          <w:rtl/>
        </w:rPr>
        <w:t>(</w:t>
      </w:r>
      <w:hyperlink r:id="rId1" w:history="1">
        <w:r w:rsidRPr="004B1017">
          <w:rPr>
            <w:rStyle w:val="Hyperlink"/>
          </w:rPr>
          <w:t>CEDAW/C/67/D/78/2014</w:t>
        </w:r>
      </w:hyperlink>
      <w:r w:rsidRPr="004B1017">
        <w:rPr>
          <w:rtl/>
        </w:rPr>
        <w:t xml:space="preserve">)، الفقرة 8-6؛ وقضية </w:t>
      </w:r>
      <w:r w:rsidRPr="004B1017">
        <w:rPr>
          <w:i/>
          <w:iCs/>
          <w:rtl/>
        </w:rPr>
        <w:t>م. ك. م. ضد الدانمرك</w:t>
      </w:r>
      <w:r w:rsidRPr="004B1017">
        <w:rPr>
          <w:rtl/>
        </w:rPr>
        <w:t xml:space="preserve"> (</w:t>
      </w:r>
      <w:hyperlink r:id="rId2" w:history="1">
        <w:r w:rsidRPr="004B1017">
          <w:rPr>
            <w:rStyle w:val="Hyperlink"/>
          </w:rPr>
          <w:t>CEDAW/C/71/D/81/2015</w:t>
        </w:r>
      </w:hyperlink>
      <w:r w:rsidRPr="004B1017">
        <w:rPr>
          <w:rtl/>
        </w:rPr>
        <w:t>)، الفقرة 10-10.</w:t>
      </w:r>
    </w:p>
  </w:footnote>
  <w:footnote w:id="10">
    <w:p w14:paraId="3B349F05" w14:textId="02230A73" w:rsidR="004B1017" w:rsidRDefault="004B1017" w:rsidP="004B1017">
      <w:pPr>
        <w:pStyle w:val="FootnoteText"/>
        <w:tabs>
          <w:tab w:val="clear" w:pos="418"/>
          <w:tab w:val="right" w:pos="1195"/>
          <w:tab w:val="left" w:pos="1267"/>
          <w:tab w:val="left" w:pos="1656"/>
          <w:tab w:val="left" w:pos="2088"/>
        </w:tabs>
        <w:spacing w:after="80"/>
        <w:ind w:left="1267" w:right="1267" w:hanging="547"/>
      </w:pPr>
      <w:r>
        <w:rPr>
          <w:rtl/>
        </w:rPr>
        <w:tab/>
      </w:r>
      <w:r>
        <w:rPr>
          <w:rFonts w:hint="cs"/>
          <w:rtl/>
        </w:rPr>
        <w:t>(</w:t>
      </w:r>
      <w:r w:rsidRPr="004B1017">
        <w:rPr>
          <w:rStyle w:val="FootnoteReference"/>
          <w:vertAlign w:val="baseline"/>
        </w:rPr>
        <w:footnoteRef/>
      </w:r>
      <w:r>
        <w:rPr>
          <w:rFonts w:hint="cs"/>
          <w:rtl/>
        </w:rPr>
        <w:t>)</w:t>
      </w:r>
      <w:r>
        <w:rPr>
          <w:rtl/>
        </w:rPr>
        <w:tab/>
      </w:r>
      <w:r w:rsidRPr="004B1017">
        <w:rPr>
          <w:rtl/>
        </w:rPr>
        <w:t xml:space="preserve">انظر على سبيل المثال: قضية </w:t>
      </w:r>
      <w:r w:rsidRPr="004B1017">
        <w:rPr>
          <w:i/>
          <w:iCs/>
          <w:rtl/>
        </w:rPr>
        <w:t>ن. ك. ضد المملكة المتحدة لبريطانيا العظمى وأيرلندا الشمالية</w:t>
      </w:r>
      <w:r w:rsidRPr="004B1017">
        <w:rPr>
          <w:rtl/>
        </w:rPr>
        <w:t xml:space="preserve"> (</w:t>
      </w:r>
      <w:r w:rsidR="00E741A3">
        <w:fldChar w:fldCharType="begin"/>
      </w:r>
      <w:r w:rsidR="00E741A3">
        <w:instrText xml:space="preserve"> HYPERLINK "https://undocs.org/ar/CEDAW/C/63/D/62/2013" </w:instrText>
      </w:r>
      <w:r w:rsidR="00E741A3">
        <w:fldChar w:fldCharType="separate"/>
      </w:r>
      <w:r w:rsidRPr="004B1017">
        <w:rPr>
          <w:rStyle w:val="Hyperlink"/>
        </w:rPr>
        <w:t>CEDAW/C/63/D/62/2013</w:t>
      </w:r>
      <w:r w:rsidR="00E741A3">
        <w:rPr>
          <w:rStyle w:val="Hyperlink"/>
        </w:rPr>
        <w:fldChar w:fldCharType="end"/>
      </w:r>
      <w:r w:rsidRPr="004B1017">
        <w:rPr>
          <w:rtl/>
        </w:rPr>
        <w:t xml:space="preserve">)، الفقرة 6-6؛ وقضية </w:t>
      </w:r>
      <w:r w:rsidRPr="004B1017">
        <w:rPr>
          <w:i/>
          <w:iCs/>
          <w:rtl/>
        </w:rPr>
        <w:t>ن. م. ضد الدانمرك</w:t>
      </w:r>
      <w:r w:rsidRPr="004B1017">
        <w:rPr>
          <w:rtl/>
        </w:rPr>
        <w:t xml:space="preserve"> (</w:t>
      </w:r>
      <w:hyperlink r:id="rId3" w:history="1">
        <w:r w:rsidRPr="004B1017">
          <w:rPr>
            <w:rStyle w:val="Hyperlink"/>
          </w:rPr>
          <w:t>CEDAW/C/67/D/78/2014</w:t>
        </w:r>
      </w:hyperlink>
      <w:r w:rsidRPr="004B1017">
        <w:rPr>
          <w:rtl/>
        </w:rPr>
        <w:t>)، الفقرة 8-6.</w:t>
      </w:r>
    </w:p>
  </w:footnote>
  <w:footnote w:id="11">
    <w:p w14:paraId="0144BC5D" w14:textId="15548FE8" w:rsidR="004B1017" w:rsidRPr="004B1017" w:rsidRDefault="004B1017" w:rsidP="004B1017">
      <w:pPr>
        <w:pStyle w:val="FootnoteText"/>
        <w:tabs>
          <w:tab w:val="clear" w:pos="418"/>
          <w:tab w:val="right" w:pos="1195"/>
          <w:tab w:val="left" w:pos="1267"/>
          <w:tab w:val="left" w:pos="1656"/>
          <w:tab w:val="left" w:pos="2088"/>
        </w:tabs>
        <w:spacing w:after="80"/>
        <w:ind w:left="1267" w:right="1267" w:hanging="547"/>
      </w:pPr>
      <w:r>
        <w:rPr>
          <w:rtl/>
        </w:rPr>
        <w:tab/>
      </w:r>
      <w:r w:rsidRPr="004B1017">
        <w:rPr>
          <w:rtl/>
        </w:rPr>
        <w:t>(</w:t>
      </w:r>
      <w:r w:rsidRPr="004B1017">
        <w:rPr>
          <w:rStyle w:val="FootnoteReference"/>
          <w:spacing w:val="0"/>
          <w:w w:val="100"/>
          <w:szCs w:val="24"/>
          <w:vertAlign w:val="baseline"/>
          <w:rtl/>
        </w:rPr>
        <w:footnoteRef/>
      </w:r>
      <w:r w:rsidRPr="004B1017">
        <w:rPr>
          <w:rtl/>
        </w:rPr>
        <w:t>)</w:t>
      </w:r>
      <w:r w:rsidRPr="004B1017">
        <w:rPr>
          <w:rtl/>
        </w:rPr>
        <w:tab/>
        <w:t xml:space="preserve">انظر، على سبيل المثال، </w:t>
      </w:r>
      <w:r w:rsidR="00E741A3">
        <w:fldChar w:fldCharType="begin"/>
      </w:r>
      <w:r w:rsidR="00E741A3">
        <w:instrText xml:space="preserve"> HYPERLINK "https://undocs.org/ar/CEDAW/C/72/D/96/2015" </w:instrText>
      </w:r>
      <w:r w:rsidR="00E741A3">
        <w:fldChar w:fldCharType="separate"/>
      </w:r>
      <w:r w:rsidRPr="004B1017">
        <w:rPr>
          <w:rStyle w:val="Hyperlink"/>
        </w:rPr>
        <w:t>CEDAW/C/72/D/96/2015</w:t>
      </w:r>
      <w:r w:rsidR="00E741A3">
        <w:rPr>
          <w:rStyle w:val="Hyperlink"/>
        </w:rPr>
        <w:fldChar w:fldCharType="end"/>
      </w:r>
      <w:r w:rsidRPr="004B1017">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6571A5" w14:paraId="2F431A46" w14:textId="77777777" w:rsidTr="00FD1CE2">
      <w:trPr>
        <w:trHeight w:hRule="exact" w:val="864"/>
        <w:jc w:val="center"/>
      </w:trPr>
      <w:tc>
        <w:tcPr>
          <w:tcW w:w="4920" w:type="dxa"/>
          <w:shd w:val="clear" w:color="auto" w:fill="auto"/>
          <w:vAlign w:val="bottom"/>
        </w:tcPr>
        <w:p w14:paraId="04941D0D" w14:textId="77777777" w:rsidR="006571A5" w:rsidRDefault="006571A5" w:rsidP="00FD1CE2">
          <w:pPr>
            <w:pStyle w:val="Header"/>
            <w:bidi/>
          </w:pPr>
        </w:p>
      </w:tc>
      <w:tc>
        <w:tcPr>
          <w:tcW w:w="4920" w:type="dxa"/>
          <w:shd w:val="clear" w:color="auto" w:fill="auto"/>
          <w:vAlign w:val="bottom"/>
        </w:tcPr>
        <w:p w14:paraId="412B254F" w14:textId="146B7454" w:rsidR="006571A5" w:rsidRPr="00FD1CE2" w:rsidRDefault="006571A5" w:rsidP="00FD1CE2">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E741A3">
            <w:rPr>
              <w:w w:val="103"/>
            </w:rPr>
            <w:t>CEDAW/C/73/D/94/2015</w:t>
          </w:r>
          <w:r>
            <w:rPr>
              <w:w w:val="103"/>
            </w:rPr>
            <w:fldChar w:fldCharType="end"/>
          </w:r>
        </w:p>
      </w:tc>
    </w:tr>
  </w:tbl>
  <w:p w14:paraId="3C53A95A" w14:textId="77777777" w:rsidR="006571A5" w:rsidRPr="00FD1CE2" w:rsidRDefault="006571A5" w:rsidP="00FD1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6571A5" w14:paraId="5232DFB5" w14:textId="77777777" w:rsidTr="00FD1CE2">
      <w:trPr>
        <w:trHeight w:hRule="exact" w:val="864"/>
        <w:jc w:val="center"/>
      </w:trPr>
      <w:tc>
        <w:tcPr>
          <w:tcW w:w="4920" w:type="dxa"/>
          <w:shd w:val="clear" w:color="auto" w:fill="auto"/>
          <w:vAlign w:val="bottom"/>
        </w:tcPr>
        <w:p w14:paraId="11844FA1" w14:textId="1D31DB56" w:rsidR="006571A5" w:rsidRPr="00FD1CE2" w:rsidRDefault="006571A5" w:rsidP="00FD1CE2">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E741A3">
            <w:rPr>
              <w:w w:val="103"/>
            </w:rPr>
            <w:t>CEDAW/C/73/D/94/2015</w:t>
          </w:r>
          <w:r>
            <w:rPr>
              <w:w w:val="103"/>
            </w:rPr>
            <w:fldChar w:fldCharType="end"/>
          </w:r>
        </w:p>
      </w:tc>
      <w:tc>
        <w:tcPr>
          <w:tcW w:w="4920" w:type="dxa"/>
          <w:shd w:val="clear" w:color="auto" w:fill="auto"/>
          <w:vAlign w:val="bottom"/>
        </w:tcPr>
        <w:p w14:paraId="1BEF9BA6" w14:textId="77777777" w:rsidR="006571A5" w:rsidRDefault="006571A5" w:rsidP="00FD1CE2">
          <w:pPr>
            <w:pStyle w:val="Header"/>
          </w:pPr>
        </w:p>
      </w:tc>
    </w:tr>
  </w:tbl>
  <w:p w14:paraId="04BD09A2" w14:textId="77777777" w:rsidR="006571A5" w:rsidRPr="00FD1CE2" w:rsidRDefault="006571A5" w:rsidP="00FD1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571A5" w14:paraId="0B1B0F26" w14:textId="77777777" w:rsidTr="00FD1CE2">
      <w:trPr>
        <w:gridAfter w:val="1"/>
        <w:wAfter w:w="18" w:type="dxa"/>
        <w:trHeight w:hRule="exact" w:val="864"/>
      </w:trPr>
      <w:tc>
        <w:tcPr>
          <w:tcW w:w="1282" w:type="dxa"/>
          <w:tcBorders>
            <w:bottom w:val="single" w:sz="4" w:space="0" w:color="auto"/>
          </w:tcBorders>
          <w:shd w:val="clear" w:color="auto" w:fill="auto"/>
          <w:vAlign w:val="bottom"/>
        </w:tcPr>
        <w:p w14:paraId="64FDDADB" w14:textId="77777777" w:rsidR="006571A5" w:rsidRDefault="006571A5" w:rsidP="00FD1CE2">
          <w:pPr>
            <w:pStyle w:val="Header"/>
            <w:spacing w:after="120"/>
          </w:pPr>
        </w:p>
      </w:tc>
      <w:tc>
        <w:tcPr>
          <w:tcW w:w="1786" w:type="dxa"/>
          <w:tcBorders>
            <w:bottom w:val="single" w:sz="4" w:space="0" w:color="auto"/>
          </w:tcBorders>
          <w:shd w:val="clear" w:color="auto" w:fill="auto"/>
          <w:vAlign w:val="bottom"/>
        </w:tcPr>
        <w:p w14:paraId="79C1F54C" w14:textId="3553E564" w:rsidR="006571A5" w:rsidRPr="00FD1CE2" w:rsidRDefault="006571A5" w:rsidP="00FD1CE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20EC5A79" w14:textId="77777777" w:rsidR="006571A5" w:rsidRDefault="006571A5" w:rsidP="00FD1CE2">
          <w:pPr>
            <w:pStyle w:val="Header"/>
            <w:spacing w:after="120"/>
          </w:pPr>
        </w:p>
      </w:tc>
      <w:tc>
        <w:tcPr>
          <w:tcW w:w="6523" w:type="dxa"/>
          <w:gridSpan w:val="3"/>
          <w:tcBorders>
            <w:bottom w:val="single" w:sz="4" w:space="0" w:color="auto"/>
          </w:tcBorders>
          <w:shd w:val="clear" w:color="auto" w:fill="auto"/>
          <w:vAlign w:val="bottom"/>
        </w:tcPr>
        <w:p w14:paraId="2657A328" w14:textId="77777777" w:rsidR="006571A5" w:rsidRPr="00FD1CE2" w:rsidRDefault="006571A5" w:rsidP="00FD1CE2">
          <w:pPr>
            <w:spacing w:line="380" w:lineRule="exact"/>
            <w:jc w:val="right"/>
          </w:pPr>
          <w:r>
            <w:rPr>
              <w:sz w:val="40"/>
            </w:rPr>
            <w:t>CEDAW</w:t>
          </w:r>
          <w:r>
            <w:t>/C/73/D/94/2015</w:t>
          </w:r>
        </w:p>
      </w:tc>
    </w:tr>
    <w:tr w:rsidR="006571A5" w:rsidRPr="00FD1CE2" w14:paraId="1C6824AD" w14:textId="77777777" w:rsidTr="00FD1CE2">
      <w:trPr>
        <w:trHeight w:hRule="exact" w:val="2880"/>
      </w:trPr>
      <w:tc>
        <w:tcPr>
          <w:tcW w:w="1282" w:type="dxa"/>
          <w:tcBorders>
            <w:top w:val="single" w:sz="4" w:space="0" w:color="auto"/>
            <w:bottom w:val="single" w:sz="12" w:space="0" w:color="auto"/>
          </w:tcBorders>
          <w:shd w:val="clear" w:color="auto" w:fill="auto"/>
        </w:tcPr>
        <w:p w14:paraId="2820E193" w14:textId="3D9F286B" w:rsidR="006571A5" w:rsidRDefault="006571A5" w:rsidP="00FD1CE2">
          <w:pPr>
            <w:pStyle w:val="Header"/>
            <w:spacing w:before="120"/>
            <w:jc w:val="center"/>
          </w:pPr>
          <w:r>
            <w:t xml:space="preserve"> </w:t>
          </w:r>
          <w:r>
            <w:rPr>
              <w:noProof/>
            </w:rPr>
            <w:drawing>
              <wp:inline distT="0" distB="0" distL="0" distR="0" wp14:anchorId="7C331952" wp14:editId="4F5F5F4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107A83CB" w14:textId="77777777" w:rsidR="006571A5" w:rsidRPr="00FD1CE2" w:rsidRDefault="006571A5" w:rsidP="00FD1CE2">
          <w:pPr>
            <w:pStyle w:val="Header"/>
            <w:spacing w:before="120"/>
            <w:jc w:val="center"/>
          </w:pPr>
        </w:p>
      </w:tc>
      <w:tc>
        <w:tcPr>
          <w:tcW w:w="5227" w:type="dxa"/>
          <w:gridSpan w:val="3"/>
          <w:tcBorders>
            <w:top w:val="single" w:sz="4" w:space="0" w:color="auto"/>
            <w:bottom w:val="single" w:sz="12" w:space="0" w:color="auto"/>
          </w:tcBorders>
          <w:shd w:val="clear" w:color="auto" w:fill="auto"/>
        </w:tcPr>
        <w:p w14:paraId="471ECFD9" w14:textId="304E74B1" w:rsidR="006571A5" w:rsidRPr="00FD1CE2" w:rsidRDefault="006571A5" w:rsidP="00FD1CE2">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04188E27" w14:textId="77777777" w:rsidR="006571A5" w:rsidRPr="00FD1CE2" w:rsidRDefault="006571A5" w:rsidP="00FD1CE2">
          <w:pPr>
            <w:pStyle w:val="Header"/>
            <w:spacing w:before="109"/>
          </w:pPr>
        </w:p>
      </w:tc>
      <w:tc>
        <w:tcPr>
          <w:tcW w:w="3100" w:type="dxa"/>
          <w:gridSpan w:val="2"/>
          <w:tcBorders>
            <w:top w:val="single" w:sz="4" w:space="0" w:color="auto"/>
            <w:bottom w:val="single" w:sz="12" w:space="0" w:color="auto"/>
          </w:tcBorders>
          <w:shd w:val="clear" w:color="auto" w:fill="auto"/>
        </w:tcPr>
        <w:p w14:paraId="3D122B3C" w14:textId="342DFE26" w:rsidR="006571A5" w:rsidRDefault="006571A5" w:rsidP="00FD1CE2">
          <w:pPr>
            <w:pStyle w:val="Distribution"/>
            <w:bidi w:val="0"/>
            <w:spacing w:before="240"/>
          </w:pPr>
          <w:r>
            <w:t>Distr.: General</w:t>
          </w:r>
        </w:p>
        <w:p w14:paraId="7D11780E" w14:textId="35E0865E" w:rsidR="006571A5" w:rsidRDefault="006571A5" w:rsidP="00FD1CE2">
          <w:pPr>
            <w:pStyle w:val="Publication"/>
            <w:bidi w:val="0"/>
          </w:pPr>
          <w:r>
            <w:t>10 September 2019</w:t>
          </w:r>
        </w:p>
        <w:p w14:paraId="2237BA6F" w14:textId="77777777" w:rsidR="006571A5" w:rsidRDefault="006571A5" w:rsidP="00FD1CE2">
          <w:pPr>
            <w:bidi w:val="0"/>
            <w:spacing w:line="240" w:lineRule="exact"/>
            <w:jc w:val="left"/>
          </w:pPr>
          <w:r>
            <w:t>Arabic</w:t>
          </w:r>
        </w:p>
        <w:p w14:paraId="4EF7E5DA" w14:textId="7CDDCDE4" w:rsidR="006571A5" w:rsidRDefault="006571A5" w:rsidP="00FD1CE2">
          <w:pPr>
            <w:pStyle w:val="Original"/>
            <w:bidi w:val="0"/>
          </w:pPr>
          <w:r>
            <w:t>Original: English</w:t>
          </w:r>
        </w:p>
        <w:p w14:paraId="1739B883" w14:textId="77777777" w:rsidR="006571A5" w:rsidRPr="00FD1CE2" w:rsidRDefault="006571A5" w:rsidP="00FD1CE2">
          <w:pPr>
            <w:bidi w:val="0"/>
            <w:spacing w:line="240" w:lineRule="exact"/>
            <w:jc w:val="left"/>
          </w:pPr>
        </w:p>
      </w:tc>
    </w:tr>
  </w:tbl>
  <w:p w14:paraId="6253C555" w14:textId="77777777" w:rsidR="006571A5" w:rsidRPr="00FD1CE2" w:rsidRDefault="006571A5" w:rsidP="00FD1CE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35*"/>
    <w:docVar w:name="CreationDt" w:val="19/09/2019 7:51: PM"/>
    <w:docVar w:name="DocCategory" w:val="Doc"/>
    <w:docVar w:name="DocType" w:val="Final"/>
    <w:docVar w:name="DutyStation" w:val="New York"/>
    <w:docVar w:name="FooterJN" w:val="19-15435"/>
    <w:docVar w:name="jobn" w:val="19-15435 (A)"/>
    <w:docVar w:name="jobnDT" w:val="19-15435 (A)   190919"/>
    <w:docVar w:name="jobnDTDT" w:val="19-15435 (A)   190919   190919"/>
    <w:docVar w:name="JobNo" w:val="1915435A"/>
    <w:docVar w:name="LocalDrive" w:val="0"/>
    <w:docVar w:name="OandT" w:val=" "/>
    <w:docVar w:name="sss1" w:val="CEDAW/C/73/D/94/2015"/>
    <w:docVar w:name="sss2" w:val="-"/>
    <w:docVar w:name="Symbol1" w:val="CEDAW/C/73/D/94/2015"/>
    <w:docVar w:name="Symbol2" w:val="-"/>
  </w:docVars>
  <w:rsids>
    <w:rsidRoot w:val="008C4232"/>
    <w:rsid w:val="00001F66"/>
    <w:rsid w:val="000020C4"/>
    <w:rsid w:val="00002744"/>
    <w:rsid w:val="0000693B"/>
    <w:rsid w:val="000170D3"/>
    <w:rsid w:val="00024DD0"/>
    <w:rsid w:val="0002744A"/>
    <w:rsid w:val="000311C9"/>
    <w:rsid w:val="000344E4"/>
    <w:rsid w:val="00042425"/>
    <w:rsid w:val="00045665"/>
    <w:rsid w:val="00047F6A"/>
    <w:rsid w:val="00050883"/>
    <w:rsid w:val="00050949"/>
    <w:rsid w:val="00050AF7"/>
    <w:rsid w:val="0005137B"/>
    <w:rsid w:val="00056AA7"/>
    <w:rsid w:val="0006371B"/>
    <w:rsid w:val="0006648F"/>
    <w:rsid w:val="00070E09"/>
    <w:rsid w:val="00087310"/>
    <w:rsid w:val="00092439"/>
    <w:rsid w:val="000927B5"/>
    <w:rsid w:val="0009732C"/>
    <w:rsid w:val="000974BE"/>
    <w:rsid w:val="000A4151"/>
    <w:rsid w:val="000A504D"/>
    <w:rsid w:val="000A5172"/>
    <w:rsid w:val="000A527C"/>
    <w:rsid w:val="000B640C"/>
    <w:rsid w:val="000B7407"/>
    <w:rsid w:val="000C0FEE"/>
    <w:rsid w:val="000C4EED"/>
    <w:rsid w:val="000D2CEC"/>
    <w:rsid w:val="000F3F48"/>
    <w:rsid w:val="000F5C96"/>
    <w:rsid w:val="0010072A"/>
    <w:rsid w:val="00100A90"/>
    <w:rsid w:val="00101EE8"/>
    <w:rsid w:val="00102521"/>
    <w:rsid w:val="0010461F"/>
    <w:rsid w:val="00113349"/>
    <w:rsid w:val="0012522B"/>
    <w:rsid w:val="00132672"/>
    <w:rsid w:val="001327A6"/>
    <w:rsid w:val="0013735E"/>
    <w:rsid w:val="0014041B"/>
    <w:rsid w:val="00143096"/>
    <w:rsid w:val="00147681"/>
    <w:rsid w:val="001519A9"/>
    <w:rsid w:val="00154995"/>
    <w:rsid w:val="001568A8"/>
    <w:rsid w:val="00165F18"/>
    <w:rsid w:val="00170A5E"/>
    <w:rsid w:val="001737F8"/>
    <w:rsid w:val="00175374"/>
    <w:rsid w:val="001775EA"/>
    <w:rsid w:val="0018030C"/>
    <w:rsid w:val="00182D99"/>
    <w:rsid w:val="00185BA9"/>
    <w:rsid w:val="00187870"/>
    <w:rsid w:val="00194C85"/>
    <w:rsid w:val="001A015D"/>
    <w:rsid w:val="001A0D70"/>
    <w:rsid w:val="001A5B00"/>
    <w:rsid w:val="001B2C33"/>
    <w:rsid w:val="001B59EE"/>
    <w:rsid w:val="001C6531"/>
    <w:rsid w:val="001D1606"/>
    <w:rsid w:val="001E2BD4"/>
    <w:rsid w:val="001E5A5A"/>
    <w:rsid w:val="001E5A7A"/>
    <w:rsid w:val="001E68DA"/>
    <w:rsid w:val="001F6786"/>
    <w:rsid w:val="0020295C"/>
    <w:rsid w:val="00202D19"/>
    <w:rsid w:val="00212285"/>
    <w:rsid w:val="002141DD"/>
    <w:rsid w:val="00226F73"/>
    <w:rsid w:val="00233E2A"/>
    <w:rsid w:val="00235A40"/>
    <w:rsid w:val="00236A29"/>
    <w:rsid w:val="00237A82"/>
    <w:rsid w:val="00237C7E"/>
    <w:rsid w:val="002416C5"/>
    <w:rsid w:val="00246052"/>
    <w:rsid w:val="0025002E"/>
    <w:rsid w:val="0025075C"/>
    <w:rsid w:val="0025236C"/>
    <w:rsid w:val="00252B9B"/>
    <w:rsid w:val="00252D19"/>
    <w:rsid w:val="0025486A"/>
    <w:rsid w:val="002606E6"/>
    <w:rsid w:val="00262A33"/>
    <w:rsid w:val="0026372E"/>
    <w:rsid w:val="002637C0"/>
    <w:rsid w:val="00266F59"/>
    <w:rsid w:val="00267C30"/>
    <w:rsid w:val="00267D73"/>
    <w:rsid w:val="00272B6C"/>
    <w:rsid w:val="00273E91"/>
    <w:rsid w:val="00274D87"/>
    <w:rsid w:val="00275EB3"/>
    <w:rsid w:val="0027623A"/>
    <w:rsid w:val="00281D6B"/>
    <w:rsid w:val="0028685E"/>
    <w:rsid w:val="00290F2F"/>
    <w:rsid w:val="002937DA"/>
    <w:rsid w:val="002971E7"/>
    <w:rsid w:val="002A09C6"/>
    <w:rsid w:val="002A5518"/>
    <w:rsid w:val="002A6916"/>
    <w:rsid w:val="002B0A3E"/>
    <w:rsid w:val="002B120A"/>
    <w:rsid w:val="002B4F37"/>
    <w:rsid w:val="002C2AF2"/>
    <w:rsid w:val="002C3561"/>
    <w:rsid w:val="002C4866"/>
    <w:rsid w:val="002C4E1B"/>
    <w:rsid w:val="002D58BC"/>
    <w:rsid w:val="002E1490"/>
    <w:rsid w:val="002E750A"/>
    <w:rsid w:val="002E7548"/>
    <w:rsid w:val="002F0398"/>
    <w:rsid w:val="002F0573"/>
    <w:rsid w:val="002F0ADA"/>
    <w:rsid w:val="002F1211"/>
    <w:rsid w:val="002F7737"/>
    <w:rsid w:val="0030254E"/>
    <w:rsid w:val="00307CFF"/>
    <w:rsid w:val="003102AE"/>
    <w:rsid w:val="00310FA5"/>
    <w:rsid w:val="00312162"/>
    <w:rsid w:val="00312525"/>
    <w:rsid w:val="003339D2"/>
    <w:rsid w:val="003367E5"/>
    <w:rsid w:val="00343307"/>
    <w:rsid w:val="00345B6F"/>
    <w:rsid w:val="003479F3"/>
    <w:rsid w:val="003501D5"/>
    <w:rsid w:val="00351324"/>
    <w:rsid w:val="00357DC0"/>
    <w:rsid w:val="00360571"/>
    <w:rsid w:val="0036512C"/>
    <w:rsid w:val="003667F2"/>
    <w:rsid w:val="00366E5B"/>
    <w:rsid w:val="00366FA7"/>
    <w:rsid w:val="003676A8"/>
    <w:rsid w:val="00370DA9"/>
    <w:rsid w:val="00371AC4"/>
    <w:rsid w:val="003769FD"/>
    <w:rsid w:val="00376CFA"/>
    <w:rsid w:val="003772FC"/>
    <w:rsid w:val="00383A67"/>
    <w:rsid w:val="00383CA8"/>
    <w:rsid w:val="00383EF3"/>
    <w:rsid w:val="00385F27"/>
    <w:rsid w:val="00391AA1"/>
    <w:rsid w:val="003A4C82"/>
    <w:rsid w:val="003A65ED"/>
    <w:rsid w:val="003B1EB7"/>
    <w:rsid w:val="003B2767"/>
    <w:rsid w:val="003C14FC"/>
    <w:rsid w:val="003C4B86"/>
    <w:rsid w:val="003C4DAA"/>
    <w:rsid w:val="003C6151"/>
    <w:rsid w:val="003C68E9"/>
    <w:rsid w:val="003D14CA"/>
    <w:rsid w:val="003D2628"/>
    <w:rsid w:val="003D2CCA"/>
    <w:rsid w:val="003D3CD9"/>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382"/>
    <w:rsid w:val="00421658"/>
    <w:rsid w:val="00423BD7"/>
    <w:rsid w:val="0042757D"/>
    <w:rsid w:val="00430FD3"/>
    <w:rsid w:val="00437C14"/>
    <w:rsid w:val="00445C58"/>
    <w:rsid w:val="00445C64"/>
    <w:rsid w:val="004527C9"/>
    <w:rsid w:val="00453069"/>
    <w:rsid w:val="00465B26"/>
    <w:rsid w:val="00467905"/>
    <w:rsid w:val="00471C89"/>
    <w:rsid w:val="00474EE7"/>
    <w:rsid w:val="00475FF6"/>
    <w:rsid w:val="00481693"/>
    <w:rsid w:val="0048330E"/>
    <w:rsid w:val="00483A82"/>
    <w:rsid w:val="00483F5B"/>
    <w:rsid w:val="0048513F"/>
    <w:rsid w:val="00487702"/>
    <w:rsid w:val="00490874"/>
    <w:rsid w:val="0049408F"/>
    <w:rsid w:val="00494EE2"/>
    <w:rsid w:val="00495339"/>
    <w:rsid w:val="00496E83"/>
    <w:rsid w:val="00497193"/>
    <w:rsid w:val="004A2329"/>
    <w:rsid w:val="004A2886"/>
    <w:rsid w:val="004A694F"/>
    <w:rsid w:val="004B1017"/>
    <w:rsid w:val="004B14A0"/>
    <w:rsid w:val="004B1958"/>
    <w:rsid w:val="004B1CBB"/>
    <w:rsid w:val="004B2CC5"/>
    <w:rsid w:val="004B440C"/>
    <w:rsid w:val="004B58A4"/>
    <w:rsid w:val="004C219B"/>
    <w:rsid w:val="004C757C"/>
    <w:rsid w:val="004D1B0C"/>
    <w:rsid w:val="004D3A7F"/>
    <w:rsid w:val="004D3ACE"/>
    <w:rsid w:val="004D4EA9"/>
    <w:rsid w:val="004E0567"/>
    <w:rsid w:val="004E35BC"/>
    <w:rsid w:val="004E40B3"/>
    <w:rsid w:val="004F0D2B"/>
    <w:rsid w:val="004F1402"/>
    <w:rsid w:val="004F33CC"/>
    <w:rsid w:val="004F59EC"/>
    <w:rsid w:val="004F75CD"/>
    <w:rsid w:val="005003FF"/>
    <w:rsid w:val="00502029"/>
    <w:rsid w:val="00504917"/>
    <w:rsid w:val="0050659B"/>
    <w:rsid w:val="00516CF9"/>
    <w:rsid w:val="00520086"/>
    <w:rsid w:val="00521CAC"/>
    <w:rsid w:val="0052301E"/>
    <w:rsid w:val="0052427E"/>
    <w:rsid w:val="005243A0"/>
    <w:rsid w:val="00524A2E"/>
    <w:rsid w:val="005279DE"/>
    <w:rsid w:val="00530F7E"/>
    <w:rsid w:val="00534772"/>
    <w:rsid w:val="00537F7E"/>
    <w:rsid w:val="00537FCD"/>
    <w:rsid w:val="00541189"/>
    <w:rsid w:val="00542632"/>
    <w:rsid w:val="00544324"/>
    <w:rsid w:val="00545069"/>
    <w:rsid w:val="00545F76"/>
    <w:rsid w:val="00551E87"/>
    <w:rsid w:val="005545BB"/>
    <w:rsid w:val="00556882"/>
    <w:rsid w:val="00561E43"/>
    <w:rsid w:val="00566342"/>
    <w:rsid w:val="00567D7B"/>
    <w:rsid w:val="0057078E"/>
    <w:rsid w:val="00571C2C"/>
    <w:rsid w:val="00572E70"/>
    <w:rsid w:val="005739D5"/>
    <w:rsid w:val="005771BD"/>
    <w:rsid w:val="00582B0A"/>
    <w:rsid w:val="00582E76"/>
    <w:rsid w:val="0058378D"/>
    <w:rsid w:val="005838F5"/>
    <w:rsid w:val="00590CD4"/>
    <w:rsid w:val="00591B45"/>
    <w:rsid w:val="0059221F"/>
    <w:rsid w:val="005943EA"/>
    <w:rsid w:val="005956D2"/>
    <w:rsid w:val="00596606"/>
    <w:rsid w:val="00597A35"/>
    <w:rsid w:val="005A0F27"/>
    <w:rsid w:val="005A0F73"/>
    <w:rsid w:val="005A25D3"/>
    <w:rsid w:val="005A2EA3"/>
    <w:rsid w:val="005A45EC"/>
    <w:rsid w:val="005A6A7E"/>
    <w:rsid w:val="005A6DC0"/>
    <w:rsid w:val="005B0557"/>
    <w:rsid w:val="005B2267"/>
    <w:rsid w:val="005B4C28"/>
    <w:rsid w:val="005C07BD"/>
    <w:rsid w:val="005C2239"/>
    <w:rsid w:val="005C2ECE"/>
    <w:rsid w:val="005C46A7"/>
    <w:rsid w:val="005C7BF8"/>
    <w:rsid w:val="005C7ED8"/>
    <w:rsid w:val="005D2FC5"/>
    <w:rsid w:val="005D5B76"/>
    <w:rsid w:val="005E2C22"/>
    <w:rsid w:val="005E46BF"/>
    <w:rsid w:val="005F5797"/>
    <w:rsid w:val="005F58C7"/>
    <w:rsid w:val="005F71AB"/>
    <w:rsid w:val="006007BD"/>
    <w:rsid w:val="006046A6"/>
    <w:rsid w:val="00612939"/>
    <w:rsid w:val="00616E82"/>
    <w:rsid w:val="006218A3"/>
    <w:rsid w:val="00631D41"/>
    <w:rsid w:val="006337FD"/>
    <w:rsid w:val="00633F4D"/>
    <w:rsid w:val="00644E35"/>
    <w:rsid w:val="00644F87"/>
    <w:rsid w:val="006473B1"/>
    <w:rsid w:val="006564CE"/>
    <w:rsid w:val="006571A5"/>
    <w:rsid w:val="00660DF1"/>
    <w:rsid w:val="00663F64"/>
    <w:rsid w:val="00672DFA"/>
    <w:rsid w:val="00683105"/>
    <w:rsid w:val="0068436E"/>
    <w:rsid w:val="00684F05"/>
    <w:rsid w:val="00685439"/>
    <w:rsid w:val="006905A9"/>
    <w:rsid w:val="00691C6E"/>
    <w:rsid w:val="00692B46"/>
    <w:rsid w:val="00692C45"/>
    <w:rsid w:val="00692FDB"/>
    <w:rsid w:val="00693CF9"/>
    <w:rsid w:val="00696B7A"/>
    <w:rsid w:val="006A1E4E"/>
    <w:rsid w:val="006A3A3B"/>
    <w:rsid w:val="006A4832"/>
    <w:rsid w:val="006B3695"/>
    <w:rsid w:val="006C1E40"/>
    <w:rsid w:val="006C38EE"/>
    <w:rsid w:val="006D1A46"/>
    <w:rsid w:val="006D3170"/>
    <w:rsid w:val="006D6C0D"/>
    <w:rsid w:val="006E7E51"/>
    <w:rsid w:val="006F0654"/>
    <w:rsid w:val="006F4577"/>
    <w:rsid w:val="006F7BB7"/>
    <w:rsid w:val="006F7CAB"/>
    <w:rsid w:val="007006FC"/>
    <w:rsid w:val="00700F06"/>
    <w:rsid w:val="007020AD"/>
    <w:rsid w:val="00703FCE"/>
    <w:rsid w:val="00714319"/>
    <w:rsid w:val="0071531E"/>
    <w:rsid w:val="0071645B"/>
    <w:rsid w:val="00716E9D"/>
    <w:rsid w:val="0073328E"/>
    <w:rsid w:val="00735F09"/>
    <w:rsid w:val="007407B6"/>
    <w:rsid w:val="00740D62"/>
    <w:rsid w:val="00745A2C"/>
    <w:rsid w:val="00745DBF"/>
    <w:rsid w:val="00747AB2"/>
    <w:rsid w:val="00747B47"/>
    <w:rsid w:val="00747B9E"/>
    <w:rsid w:val="007524BE"/>
    <w:rsid w:val="007525FA"/>
    <w:rsid w:val="00761E68"/>
    <w:rsid w:val="00762863"/>
    <w:rsid w:val="007668E3"/>
    <w:rsid w:val="00766B3B"/>
    <w:rsid w:val="00767151"/>
    <w:rsid w:val="00767C41"/>
    <w:rsid w:val="00770CF8"/>
    <w:rsid w:val="00773EA5"/>
    <w:rsid w:val="00774FF0"/>
    <w:rsid w:val="0078262F"/>
    <w:rsid w:val="00784325"/>
    <w:rsid w:val="00784E90"/>
    <w:rsid w:val="00784F2B"/>
    <w:rsid w:val="00786F0C"/>
    <w:rsid w:val="0079046D"/>
    <w:rsid w:val="007925B2"/>
    <w:rsid w:val="0079753A"/>
    <w:rsid w:val="007A089E"/>
    <w:rsid w:val="007A296C"/>
    <w:rsid w:val="007A2BF4"/>
    <w:rsid w:val="007A3AD0"/>
    <w:rsid w:val="007A6DD9"/>
    <w:rsid w:val="007B28CC"/>
    <w:rsid w:val="007B3DC8"/>
    <w:rsid w:val="007B5729"/>
    <w:rsid w:val="007C51C9"/>
    <w:rsid w:val="007C7274"/>
    <w:rsid w:val="007D489C"/>
    <w:rsid w:val="007D605B"/>
    <w:rsid w:val="007D60E0"/>
    <w:rsid w:val="007D6B8D"/>
    <w:rsid w:val="007D7E16"/>
    <w:rsid w:val="007E32B9"/>
    <w:rsid w:val="007E42E4"/>
    <w:rsid w:val="007E43A7"/>
    <w:rsid w:val="008010E5"/>
    <w:rsid w:val="00802997"/>
    <w:rsid w:val="008029C9"/>
    <w:rsid w:val="00805D93"/>
    <w:rsid w:val="00810185"/>
    <w:rsid w:val="0081284F"/>
    <w:rsid w:val="00814843"/>
    <w:rsid w:val="00815EB5"/>
    <w:rsid w:val="008170DE"/>
    <w:rsid w:val="00820B87"/>
    <w:rsid w:val="00830E32"/>
    <w:rsid w:val="00834E7E"/>
    <w:rsid w:val="00837224"/>
    <w:rsid w:val="00844FC4"/>
    <w:rsid w:val="00845A14"/>
    <w:rsid w:val="00846A4A"/>
    <w:rsid w:val="008472A0"/>
    <w:rsid w:val="0085331D"/>
    <w:rsid w:val="00853F0F"/>
    <w:rsid w:val="00854B93"/>
    <w:rsid w:val="00854E8D"/>
    <w:rsid w:val="008569BB"/>
    <w:rsid w:val="00856E52"/>
    <w:rsid w:val="00861BB3"/>
    <w:rsid w:val="008624AF"/>
    <w:rsid w:val="00863182"/>
    <w:rsid w:val="00873289"/>
    <w:rsid w:val="00873A11"/>
    <w:rsid w:val="00873AF9"/>
    <w:rsid w:val="008744E9"/>
    <w:rsid w:val="008768CC"/>
    <w:rsid w:val="008779B6"/>
    <w:rsid w:val="00881022"/>
    <w:rsid w:val="0088317F"/>
    <w:rsid w:val="00887330"/>
    <w:rsid w:val="008913BC"/>
    <w:rsid w:val="008A068D"/>
    <w:rsid w:val="008A3FCA"/>
    <w:rsid w:val="008A5A47"/>
    <w:rsid w:val="008C4232"/>
    <w:rsid w:val="008C6270"/>
    <w:rsid w:val="008D1C04"/>
    <w:rsid w:val="008E31FA"/>
    <w:rsid w:val="008E739A"/>
    <w:rsid w:val="008F04A0"/>
    <w:rsid w:val="008F3D2C"/>
    <w:rsid w:val="008F419C"/>
    <w:rsid w:val="008F5850"/>
    <w:rsid w:val="008F64A7"/>
    <w:rsid w:val="0090012B"/>
    <w:rsid w:val="00901625"/>
    <w:rsid w:val="0090351F"/>
    <w:rsid w:val="00912043"/>
    <w:rsid w:val="009124C9"/>
    <w:rsid w:val="00914215"/>
    <w:rsid w:val="009532EE"/>
    <w:rsid w:val="00956E02"/>
    <w:rsid w:val="009570F4"/>
    <w:rsid w:val="009572F9"/>
    <w:rsid w:val="00964FA8"/>
    <w:rsid w:val="0097043B"/>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02AD"/>
    <w:rsid w:val="009A66AE"/>
    <w:rsid w:val="009A6F45"/>
    <w:rsid w:val="009B1C48"/>
    <w:rsid w:val="009B4A58"/>
    <w:rsid w:val="009B6C08"/>
    <w:rsid w:val="009B6C65"/>
    <w:rsid w:val="009B752D"/>
    <w:rsid w:val="009C0017"/>
    <w:rsid w:val="009C15F4"/>
    <w:rsid w:val="009C2E9B"/>
    <w:rsid w:val="009C2EE4"/>
    <w:rsid w:val="009C4B83"/>
    <w:rsid w:val="009C785C"/>
    <w:rsid w:val="009D0FB6"/>
    <w:rsid w:val="009D25F3"/>
    <w:rsid w:val="009D62A3"/>
    <w:rsid w:val="009E23AC"/>
    <w:rsid w:val="009E2A1F"/>
    <w:rsid w:val="009E43ED"/>
    <w:rsid w:val="009E5241"/>
    <w:rsid w:val="009F231F"/>
    <w:rsid w:val="009F5698"/>
    <w:rsid w:val="009F60C8"/>
    <w:rsid w:val="00A027B2"/>
    <w:rsid w:val="00A140D9"/>
    <w:rsid w:val="00A14A6C"/>
    <w:rsid w:val="00A156A3"/>
    <w:rsid w:val="00A248A9"/>
    <w:rsid w:val="00A25CE3"/>
    <w:rsid w:val="00A26C8A"/>
    <w:rsid w:val="00A27978"/>
    <w:rsid w:val="00A31113"/>
    <w:rsid w:val="00A376EC"/>
    <w:rsid w:val="00A37C4B"/>
    <w:rsid w:val="00A43192"/>
    <w:rsid w:val="00A47282"/>
    <w:rsid w:val="00A50243"/>
    <w:rsid w:val="00A50991"/>
    <w:rsid w:val="00A51F13"/>
    <w:rsid w:val="00A53BDF"/>
    <w:rsid w:val="00A56F63"/>
    <w:rsid w:val="00A6077A"/>
    <w:rsid w:val="00A64237"/>
    <w:rsid w:val="00A66842"/>
    <w:rsid w:val="00A66F66"/>
    <w:rsid w:val="00A71AE5"/>
    <w:rsid w:val="00A73B31"/>
    <w:rsid w:val="00A7670F"/>
    <w:rsid w:val="00A777E2"/>
    <w:rsid w:val="00A77F16"/>
    <w:rsid w:val="00A82F84"/>
    <w:rsid w:val="00A84144"/>
    <w:rsid w:val="00A90909"/>
    <w:rsid w:val="00A92F60"/>
    <w:rsid w:val="00A93FB9"/>
    <w:rsid w:val="00A96963"/>
    <w:rsid w:val="00AA0963"/>
    <w:rsid w:val="00AA1E16"/>
    <w:rsid w:val="00AB77AB"/>
    <w:rsid w:val="00AC002C"/>
    <w:rsid w:val="00AC0E42"/>
    <w:rsid w:val="00AC2D6D"/>
    <w:rsid w:val="00AC2EE0"/>
    <w:rsid w:val="00AC6CDD"/>
    <w:rsid w:val="00AD1A68"/>
    <w:rsid w:val="00AD38D0"/>
    <w:rsid w:val="00AE108C"/>
    <w:rsid w:val="00AE3AF5"/>
    <w:rsid w:val="00AE519C"/>
    <w:rsid w:val="00AE5AE2"/>
    <w:rsid w:val="00AF1A53"/>
    <w:rsid w:val="00AF1F07"/>
    <w:rsid w:val="00AF30FA"/>
    <w:rsid w:val="00AF3894"/>
    <w:rsid w:val="00AF43A0"/>
    <w:rsid w:val="00AF7AC7"/>
    <w:rsid w:val="00B034E2"/>
    <w:rsid w:val="00B040AA"/>
    <w:rsid w:val="00B05ADC"/>
    <w:rsid w:val="00B17D31"/>
    <w:rsid w:val="00B17F65"/>
    <w:rsid w:val="00B214DC"/>
    <w:rsid w:val="00B272BE"/>
    <w:rsid w:val="00B30F94"/>
    <w:rsid w:val="00B3471A"/>
    <w:rsid w:val="00B36AFF"/>
    <w:rsid w:val="00B37A36"/>
    <w:rsid w:val="00B40A5E"/>
    <w:rsid w:val="00B424BC"/>
    <w:rsid w:val="00B44BC4"/>
    <w:rsid w:val="00B45B99"/>
    <w:rsid w:val="00B5784C"/>
    <w:rsid w:val="00B60553"/>
    <w:rsid w:val="00B658AA"/>
    <w:rsid w:val="00B66B1A"/>
    <w:rsid w:val="00B824E8"/>
    <w:rsid w:val="00B82BE9"/>
    <w:rsid w:val="00B93F80"/>
    <w:rsid w:val="00B9542C"/>
    <w:rsid w:val="00B95560"/>
    <w:rsid w:val="00B9745D"/>
    <w:rsid w:val="00B97608"/>
    <w:rsid w:val="00BA7FAB"/>
    <w:rsid w:val="00BB6B6E"/>
    <w:rsid w:val="00BC2F4C"/>
    <w:rsid w:val="00BC43AD"/>
    <w:rsid w:val="00BC4A05"/>
    <w:rsid w:val="00BC567D"/>
    <w:rsid w:val="00BC6BA6"/>
    <w:rsid w:val="00BD1767"/>
    <w:rsid w:val="00BD4FE5"/>
    <w:rsid w:val="00BD684C"/>
    <w:rsid w:val="00BE15C1"/>
    <w:rsid w:val="00BF0B15"/>
    <w:rsid w:val="00BF6397"/>
    <w:rsid w:val="00C05F8E"/>
    <w:rsid w:val="00C12CBB"/>
    <w:rsid w:val="00C16F77"/>
    <w:rsid w:val="00C17384"/>
    <w:rsid w:val="00C17412"/>
    <w:rsid w:val="00C215BC"/>
    <w:rsid w:val="00C23C58"/>
    <w:rsid w:val="00C25A2D"/>
    <w:rsid w:val="00C260F8"/>
    <w:rsid w:val="00C3050C"/>
    <w:rsid w:val="00C32889"/>
    <w:rsid w:val="00C34B99"/>
    <w:rsid w:val="00C40CC8"/>
    <w:rsid w:val="00C43A2C"/>
    <w:rsid w:val="00C43FBE"/>
    <w:rsid w:val="00C449C6"/>
    <w:rsid w:val="00C44AA1"/>
    <w:rsid w:val="00C52142"/>
    <w:rsid w:val="00C564B0"/>
    <w:rsid w:val="00C61F0B"/>
    <w:rsid w:val="00C6283F"/>
    <w:rsid w:val="00C6582C"/>
    <w:rsid w:val="00C71487"/>
    <w:rsid w:val="00C735D5"/>
    <w:rsid w:val="00C7606D"/>
    <w:rsid w:val="00C807E1"/>
    <w:rsid w:val="00C81112"/>
    <w:rsid w:val="00C814A5"/>
    <w:rsid w:val="00C82932"/>
    <w:rsid w:val="00C84B2B"/>
    <w:rsid w:val="00C855F6"/>
    <w:rsid w:val="00C92C56"/>
    <w:rsid w:val="00C96573"/>
    <w:rsid w:val="00CA17B1"/>
    <w:rsid w:val="00CA1C73"/>
    <w:rsid w:val="00CA286A"/>
    <w:rsid w:val="00CA4791"/>
    <w:rsid w:val="00CA7205"/>
    <w:rsid w:val="00CB3718"/>
    <w:rsid w:val="00CC04B5"/>
    <w:rsid w:val="00CD03C6"/>
    <w:rsid w:val="00CD0BB8"/>
    <w:rsid w:val="00CD3849"/>
    <w:rsid w:val="00CE0509"/>
    <w:rsid w:val="00CE2D9C"/>
    <w:rsid w:val="00CE41B0"/>
    <w:rsid w:val="00CE6039"/>
    <w:rsid w:val="00CE70B4"/>
    <w:rsid w:val="00CF22F7"/>
    <w:rsid w:val="00CF4D77"/>
    <w:rsid w:val="00CF7384"/>
    <w:rsid w:val="00D00717"/>
    <w:rsid w:val="00D04563"/>
    <w:rsid w:val="00D0526B"/>
    <w:rsid w:val="00D063D3"/>
    <w:rsid w:val="00D221F3"/>
    <w:rsid w:val="00D2343D"/>
    <w:rsid w:val="00D30EAE"/>
    <w:rsid w:val="00D31121"/>
    <w:rsid w:val="00D318F1"/>
    <w:rsid w:val="00D331F7"/>
    <w:rsid w:val="00D40B0E"/>
    <w:rsid w:val="00D416C2"/>
    <w:rsid w:val="00D44FE0"/>
    <w:rsid w:val="00D45275"/>
    <w:rsid w:val="00D4694F"/>
    <w:rsid w:val="00D51E19"/>
    <w:rsid w:val="00D52C87"/>
    <w:rsid w:val="00D5423E"/>
    <w:rsid w:val="00D600F4"/>
    <w:rsid w:val="00D6399C"/>
    <w:rsid w:val="00D66413"/>
    <w:rsid w:val="00D810DB"/>
    <w:rsid w:val="00D84B95"/>
    <w:rsid w:val="00DA46A0"/>
    <w:rsid w:val="00DA66B7"/>
    <w:rsid w:val="00DB0865"/>
    <w:rsid w:val="00DB0C91"/>
    <w:rsid w:val="00DB7206"/>
    <w:rsid w:val="00DC36C8"/>
    <w:rsid w:val="00DC44F5"/>
    <w:rsid w:val="00DC5A01"/>
    <w:rsid w:val="00DC5BF3"/>
    <w:rsid w:val="00DC5C1E"/>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4180"/>
    <w:rsid w:val="00E21491"/>
    <w:rsid w:val="00E21D3D"/>
    <w:rsid w:val="00E23336"/>
    <w:rsid w:val="00E31661"/>
    <w:rsid w:val="00E319CA"/>
    <w:rsid w:val="00E32B52"/>
    <w:rsid w:val="00E34040"/>
    <w:rsid w:val="00E35D91"/>
    <w:rsid w:val="00E3652F"/>
    <w:rsid w:val="00E46D06"/>
    <w:rsid w:val="00E47EB8"/>
    <w:rsid w:val="00E521D4"/>
    <w:rsid w:val="00E52F1E"/>
    <w:rsid w:val="00E64919"/>
    <w:rsid w:val="00E704FD"/>
    <w:rsid w:val="00E71F5F"/>
    <w:rsid w:val="00E741A3"/>
    <w:rsid w:val="00E750E1"/>
    <w:rsid w:val="00E752D0"/>
    <w:rsid w:val="00E75664"/>
    <w:rsid w:val="00E7795A"/>
    <w:rsid w:val="00E829A3"/>
    <w:rsid w:val="00E85FA9"/>
    <w:rsid w:val="00E9114A"/>
    <w:rsid w:val="00E96CEB"/>
    <w:rsid w:val="00EA0D5B"/>
    <w:rsid w:val="00EA3948"/>
    <w:rsid w:val="00EA489C"/>
    <w:rsid w:val="00EA7B59"/>
    <w:rsid w:val="00EB0CA7"/>
    <w:rsid w:val="00EB1658"/>
    <w:rsid w:val="00EB2093"/>
    <w:rsid w:val="00EB344D"/>
    <w:rsid w:val="00EB4992"/>
    <w:rsid w:val="00EC2B29"/>
    <w:rsid w:val="00ED251D"/>
    <w:rsid w:val="00ED3C2E"/>
    <w:rsid w:val="00ED6B26"/>
    <w:rsid w:val="00EF0947"/>
    <w:rsid w:val="00EF2E52"/>
    <w:rsid w:val="00EF4F85"/>
    <w:rsid w:val="00EF5450"/>
    <w:rsid w:val="00F004A8"/>
    <w:rsid w:val="00F031FB"/>
    <w:rsid w:val="00F0512A"/>
    <w:rsid w:val="00F100D1"/>
    <w:rsid w:val="00F11A70"/>
    <w:rsid w:val="00F13AD1"/>
    <w:rsid w:val="00F13C1F"/>
    <w:rsid w:val="00F15506"/>
    <w:rsid w:val="00F15C1B"/>
    <w:rsid w:val="00F24202"/>
    <w:rsid w:val="00F247BA"/>
    <w:rsid w:val="00F32228"/>
    <w:rsid w:val="00F32E4A"/>
    <w:rsid w:val="00F36D8C"/>
    <w:rsid w:val="00F4710F"/>
    <w:rsid w:val="00F53DA5"/>
    <w:rsid w:val="00F571D1"/>
    <w:rsid w:val="00F57DED"/>
    <w:rsid w:val="00F76338"/>
    <w:rsid w:val="00F76C35"/>
    <w:rsid w:val="00F80A81"/>
    <w:rsid w:val="00F90A71"/>
    <w:rsid w:val="00F923A5"/>
    <w:rsid w:val="00F93545"/>
    <w:rsid w:val="00F93FCF"/>
    <w:rsid w:val="00F959F1"/>
    <w:rsid w:val="00F96337"/>
    <w:rsid w:val="00F96FBA"/>
    <w:rsid w:val="00FB0C1B"/>
    <w:rsid w:val="00FB2B5B"/>
    <w:rsid w:val="00FB308B"/>
    <w:rsid w:val="00FB469E"/>
    <w:rsid w:val="00FB4E06"/>
    <w:rsid w:val="00FB6C6C"/>
    <w:rsid w:val="00FC3483"/>
    <w:rsid w:val="00FC4303"/>
    <w:rsid w:val="00FC4D68"/>
    <w:rsid w:val="00FC56D7"/>
    <w:rsid w:val="00FD1CE2"/>
    <w:rsid w:val="00FD2ADA"/>
    <w:rsid w:val="00FD5AB0"/>
    <w:rsid w:val="00FD675B"/>
    <w:rsid w:val="00FD676E"/>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23144"/>
  <w15:chartTrackingRefBased/>
  <w15:docId w15:val="{009A353A-F2E7-4942-B965-BE3E293E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FA9"/>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E85FA9"/>
    <w:pPr>
      <w:keepNext/>
      <w:outlineLvl w:val="0"/>
    </w:pPr>
    <w:rPr>
      <w:sz w:val="24"/>
      <w:szCs w:val="24"/>
    </w:rPr>
  </w:style>
  <w:style w:type="paragraph" w:styleId="Heading2">
    <w:name w:val="heading 2"/>
    <w:basedOn w:val="Normal"/>
    <w:next w:val="Normal"/>
    <w:link w:val="Heading2Char"/>
    <w:qFormat/>
    <w:rsid w:val="00E85FA9"/>
    <w:pPr>
      <w:outlineLvl w:val="1"/>
    </w:pPr>
  </w:style>
  <w:style w:type="paragraph" w:styleId="Heading3">
    <w:name w:val="heading 3"/>
    <w:basedOn w:val="Normal"/>
    <w:next w:val="Normal"/>
    <w:link w:val="Heading3Char"/>
    <w:qFormat/>
    <w:rsid w:val="00E85FA9"/>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E85FA9"/>
    <w:pPr>
      <w:keepNext/>
      <w:keepLines/>
      <w:spacing w:after="120" w:line="400" w:lineRule="exact"/>
      <w:outlineLvl w:val="0"/>
    </w:pPr>
    <w:rPr>
      <w:b/>
      <w:bCs/>
      <w:sz w:val="24"/>
      <w:szCs w:val="32"/>
    </w:rPr>
  </w:style>
  <w:style w:type="paragraph" w:customStyle="1" w:styleId="HCh">
    <w:name w:val="_ H _Ch"/>
    <w:basedOn w:val="H1"/>
    <w:next w:val="SingleTxt"/>
    <w:qFormat/>
    <w:rsid w:val="00E85FA9"/>
    <w:pPr>
      <w:spacing w:line="440" w:lineRule="exact"/>
    </w:pPr>
    <w:rPr>
      <w:spacing w:val="-2"/>
      <w:sz w:val="28"/>
      <w:szCs w:val="36"/>
    </w:rPr>
  </w:style>
  <w:style w:type="character" w:styleId="CommentReference">
    <w:name w:val="annotation reference"/>
    <w:basedOn w:val="DefaultParagraphFont"/>
    <w:semiHidden/>
    <w:rsid w:val="00E85FA9"/>
    <w:rPr>
      <w:sz w:val="6"/>
      <w:szCs w:val="9"/>
    </w:rPr>
  </w:style>
  <w:style w:type="paragraph" w:styleId="FootnoteText">
    <w:name w:val="footnote text"/>
    <w:basedOn w:val="Normal"/>
    <w:link w:val="FootnoteTextChar"/>
    <w:rsid w:val="00E85FA9"/>
    <w:pPr>
      <w:tabs>
        <w:tab w:val="right" w:pos="418"/>
      </w:tabs>
      <w:spacing w:line="280" w:lineRule="exact"/>
      <w:ind w:left="662" w:right="662" w:hanging="662"/>
    </w:pPr>
    <w:rPr>
      <w:sz w:val="17"/>
      <w:szCs w:val="24"/>
    </w:rPr>
  </w:style>
  <w:style w:type="paragraph" w:styleId="EndnoteText">
    <w:name w:val="endnote text"/>
    <w:basedOn w:val="FootnoteText"/>
    <w:link w:val="EndnoteTextChar"/>
    <w:semiHidden/>
    <w:rsid w:val="00E85FA9"/>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E85FA9"/>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85FA9"/>
    <w:rPr>
      <w:rFonts w:ascii="Tahoma" w:hAnsi="Tahoma" w:cs="Tahoma"/>
      <w:sz w:val="16"/>
      <w:szCs w:val="16"/>
    </w:rPr>
  </w:style>
  <w:style w:type="paragraph" w:customStyle="1" w:styleId="HM">
    <w:name w:val="_ H __M"/>
    <w:basedOn w:val="HCh"/>
    <w:next w:val="Normal"/>
    <w:qFormat/>
    <w:rsid w:val="00E85FA9"/>
    <w:pPr>
      <w:suppressAutoHyphens/>
      <w:spacing w:line="520" w:lineRule="exact"/>
    </w:pPr>
    <w:rPr>
      <w:spacing w:val="-3"/>
      <w:sz w:val="34"/>
      <w:szCs w:val="48"/>
    </w:rPr>
  </w:style>
  <w:style w:type="paragraph" w:customStyle="1" w:styleId="SingleTxt">
    <w:name w:val="__Single Txt"/>
    <w:basedOn w:val="Normal"/>
    <w:qFormat/>
    <w:rsid w:val="00E85FA9"/>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E85FA9"/>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E85FA9"/>
    <w:pPr>
      <w:keepNext/>
      <w:keepLines/>
      <w:suppressAutoHyphens/>
      <w:spacing w:after="120"/>
      <w:outlineLvl w:val="3"/>
    </w:pPr>
    <w:rPr>
      <w:i/>
      <w:iCs/>
    </w:rPr>
  </w:style>
  <w:style w:type="paragraph" w:customStyle="1" w:styleId="H56">
    <w:name w:val="_ H_5/6"/>
    <w:basedOn w:val="Normal"/>
    <w:next w:val="Normal"/>
    <w:qFormat/>
    <w:rsid w:val="00E85FA9"/>
    <w:pPr>
      <w:keepNext/>
      <w:keepLines/>
      <w:suppressAutoHyphens/>
      <w:spacing w:after="120"/>
      <w:outlineLvl w:val="4"/>
    </w:pPr>
  </w:style>
  <w:style w:type="paragraph" w:customStyle="1" w:styleId="DualTxt">
    <w:name w:val="__Dual Txt"/>
    <w:basedOn w:val="Normal"/>
    <w:qFormat/>
    <w:rsid w:val="00E85FA9"/>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E85FA9"/>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E85FA9"/>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E85FA9"/>
    <w:rPr>
      <w:rFonts w:eastAsiaTheme="minorHAnsi"/>
      <w:b/>
      <w:bCs/>
      <w:kern w:val="14"/>
      <w:sz w:val="17"/>
      <w:szCs w:val="25"/>
      <w:lang w:eastAsia="en-US"/>
    </w:rPr>
  </w:style>
  <w:style w:type="paragraph" w:styleId="Header">
    <w:name w:val="header"/>
    <w:link w:val="HeaderChar"/>
    <w:qFormat/>
    <w:rsid w:val="00E85FA9"/>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E85FA9"/>
    <w:rPr>
      <w:rFonts w:eastAsiaTheme="minorHAnsi"/>
      <w:b/>
      <w:bCs/>
      <w:w w:val="105"/>
      <w:kern w:val="14"/>
      <w:sz w:val="17"/>
      <w:szCs w:val="25"/>
      <w:lang w:eastAsia="en-US"/>
    </w:rPr>
  </w:style>
  <w:style w:type="character" w:customStyle="1" w:styleId="Heading3Char">
    <w:name w:val="Heading 3 Char"/>
    <w:basedOn w:val="DefaultParagraphFont"/>
    <w:link w:val="Heading3"/>
    <w:rsid w:val="00E85FA9"/>
    <w:rPr>
      <w:rFonts w:ascii="Arial" w:eastAsiaTheme="majorEastAsia" w:hAnsi="Arial" w:cs="Arial"/>
      <w:b/>
      <w:bCs/>
      <w:kern w:val="14"/>
      <w:sz w:val="26"/>
      <w:szCs w:val="26"/>
      <w:lang w:eastAsia="en-US"/>
    </w:rPr>
  </w:style>
  <w:style w:type="paragraph" w:customStyle="1" w:styleId="JSingleTxt">
    <w:name w:val="J__Single Txt"/>
    <w:basedOn w:val="Normal"/>
    <w:qFormat/>
    <w:rsid w:val="00E85FA9"/>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E85FA9"/>
    <w:pPr>
      <w:spacing w:after="120" w:line="440" w:lineRule="exact"/>
      <w:jc w:val="center"/>
    </w:pPr>
    <w:rPr>
      <w:b/>
      <w:bCs/>
      <w:sz w:val="25"/>
      <w:szCs w:val="38"/>
    </w:rPr>
  </w:style>
  <w:style w:type="paragraph" w:customStyle="1" w:styleId="JH1">
    <w:name w:val="J_H_1"/>
    <w:basedOn w:val="JCH"/>
    <w:qFormat/>
    <w:rsid w:val="00E85FA9"/>
    <w:pPr>
      <w:spacing w:line="420" w:lineRule="exact"/>
    </w:pPr>
    <w:rPr>
      <w:sz w:val="23"/>
      <w:szCs w:val="34"/>
    </w:rPr>
  </w:style>
  <w:style w:type="paragraph" w:customStyle="1" w:styleId="JH2">
    <w:name w:val="J_H_2"/>
    <w:basedOn w:val="JH1"/>
    <w:qFormat/>
    <w:rsid w:val="00E85FA9"/>
    <w:pPr>
      <w:spacing w:line="400" w:lineRule="exact"/>
    </w:pPr>
    <w:rPr>
      <w:sz w:val="20"/>
      <w:szCs w:val="30"/>
    </w:rPr>
  </w:style>
  <w:style w:type="paragraph" w:customStyle="1" w:styleId="JSmall">
    <w:name w:val="J_Small"/>
    <w:basedOn w:val="JSingleTxt"/>
    <w:next w:val="JSingleTxt"/>
    <w:qFormat/>
    <w:rsid w:val="00E85FA9"/>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E85FA9"/>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E85FA9"/>
    <w:rPr>
      <w:sz w:val="14"/>
      <w:szCs w:val="16"/>
    </w:rPr>
  </w:style>
  <w:style w:type="paragraph" w:customStyle="1" w:styleId="SmallX">
    <w:name w:val="SmallX"/>
    <w:basedOn w:val="Small"/>
    <w:next w:val="Normal"/>
    <w:qFormat/>
    <w:rsid w:val="00E85FA9"/>
    <w:pPr>
      <w:spacing w:line="240" w:lineRule="exact"/>
    </w:pPr>
    <w:rPr>
      <w:spacing w:val="6"/>
      <w:w w:val="106"/>
      <w:sz w:val="14"/>
      <w:szCs w:val="21"/>
    </w:rPr>
  </w:style>
  <w:style w:type="paragraph" w:customStyle="1" w:styleId="XLarge">
    <w:name w:val="XLarge"/>
    <w:basedOn w:val="HM"/>
    <w:qFormat/>
    <w:rsid w:val="00E85FA9"/>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E85FA9"/>
    <w:pPr>
      <w:spacing w:line="820" w:lineRule="exact"/>
    </w:pPr>
    <w:rPr>
      <w:spacing w:val="-8"/>
      <w:w w:val="96"/>
      <w:sz w:val="57"/>
      <w:szCs w:val="86"/>
    </w:rPr>
  </w:style>
  <w:style w:type="paragraph" w:customStyle="1" w:styleId="Distribution">
    <w:name w:val="Distribution"/>
    <w:basedOn w:val="Normal"/>
    <w:next w:val="Normal"/>
    <w:qFormat/>
    <w:rsid w:val="00E85FA9"/>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E85FA9"/>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E85FA9"/>
    <w:pPr>
      <w:tabs>
        <w:tab w:val="left" w:pos="662"/>
        <w:tab w:val="left" w:pos="1267"/>
        <w:tab w:val="left" w:pos="1987"/>
        <w:tab w:val="left" w:pos="2650"/>
      </w:tabs>
      <w:spacing w:line="240" w:lineRule="exact"/>
    </w:pPr>
  </w:style>
  <w:style w:type="paragraph" w:customStyle="1" w:styleId="ReleaseDate">
    <w:name w:val="Release Date"/>
    <w:next w:val="Footer"/>
    <w:qFormat/>
    <w:rsid w:val="00E85FA9"/>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E85FA9"/>
    <w:pPr>
      <w:tabs>
        <w:tab w:val="left" w:pos="662"/>
        <w:tab w:val="left" w:pos="1267"/>
        <w:tab w:val="left" w:pos="1987"/>
        <w:tab w:val="left" w:pos="2650"/>
      </w:tabs>
      <w:spacing w:after="0"/>
      <w:ind w:left="662" w:hanging="662"/>
    </w:pPr>
  </w:style>
  <w:style w:type="paragraph" w:customStyle="1" w:styleId="Committee">
    <w:name w:val="Committee"/>
    <w:basedOn w:val="H1"/>
    <w:qFormat/>
    <w:rsid w:val="00E85FA9"/>
    <w:pPr>
      <w:tabs>
        <w:tab w:val="left" w:pos="662"/>
        <w:tab w:val="left" w:pos="1267"/>
        <w:tab w:val="left" w:pos="1987"/>
        <w:tab w:val="left" w:pos="2650"/>
      </w:tabs>
      <w:ind w:right="1264"/>
    </w:pPr>
  </w:style>
  <w:style w:type="paragraph" w:customStyle="1" w:styleId="AgendaItemNormal">
    <w:name w:val="Agenda_Item_Normal"/>
    <w:next w:val="Normal"/>
    <w:qFormat/>
    <w:rsid w:val="00E85FA9"/>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E85FA9"/>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E85FA9"/>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E85FA9"/>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E85FA9"/>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E85FA9"/>
    <w:rPr>
      <w:color w:val="0000FF"/>
      <w:u w:val="none"/>
    </w:rPr>
  </w:style>
  <w:style w:type="character" w:styleId="FollowedHyperlink">
    <w:name w:val="FollowedHyperlink"/>
    <w:basedOn w:val="DefaultParagraphFont"/>
    <w:rsid w:val="00E85FA9"/>
    <w:rPr>
      <w:i w:val="0"/>
      <w:color w:val="0000FF"/>
      <w:u w:val="none"/>
    </w:rPr>
  </w:style>
  <w:style w:type="paragraph" w:customStyle="1" w:styleId="Bullet1">
    <w:name w:val="Bullet 1"/>
    <w:basedOn w:val="Normal"/>
    <w:qFormat/>
    <w:rsid w:val="00E85FA9"/>
    <w:pPr>
      <w:numPr>
        <w:numId w:val="10"/>
      </w:numPr>
      <w:spacing w:after="120"/>
      <w:ind w:right="1264"/>
    </w:pPr>
  </w:style>
  <w:style w:type="paragraph" w:customStyle="1" w:styleId="Bullet2">
    <w:name w:val="Bullet 2"/>
    <w:basedOn w:val="Normal"/>
    <w:qFormat/>
    <w:rsid w:val="00E85FA9"/>
    <w:pPr>
      <w:numPr>
        <w:numId w:val="11"/>
      </w:numPr>
      <w:spacing w:after="120"/>
      <w:ind w:right="1264"/>
    </w:pPr>
  </w:style>
  <w:style w:type="character" w:styleId="EndnoteReference">
    <w:name w:val="endnote reference"/>
    <w:basedOn w:val="DefaultParagraphFont"/>
    <w:semiHidden/>
    <w:rsid w:val="00E85FA9"/>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E85FA9"/>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E85FA9"/>
    <w:pPr>
      <w:ind w:right="5760"/>
      <w:outlineLvl w:val="1"/>
    </w:pPr>
    <w:rPr>
      <w:spacing w:val="2"/>
      <w:sz w:val="20"/>
      <w:szCs w:val="28"/>
    </w:rPr>
  </w:style>
  <w:style w:type="character" w:customStyle="1" w:styleId="BalloonTextChar">
    <w:name w:val="Balloon Text Char"/>
    <w:basedOn w:val="DefaultParagraphFont"/>
    <w:link w:val="BalloonText"/>
    <w:semiHidden/>
    <w:rsid w:val="00E85FA9"/>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E85FA9"/>
    <w:rPr>
      <w:rFonts w:eastAsiaTheme="minorHAnsi"/>
      <w:kern w:val="14"/>
      <w:sz w:val="17"/>
      <w:szCs w:val="24"/>
      <w:lang w:eastAsia="en-US"/>
    </w:rPr>
  </w:style>
  <w:style w:type="character" w:customStyle="1" w:styleId="EndnoteTextChar">
    <w:name w:val="Endnote Text Char"/>
    <w:basedOn w:val="DefaultParagraphFont"/>
    <w:link w:val="EndnoteText"/>
    <w:semiHidden/>
    <w:rsid w:val="00E85FA9"/>
    <w:rPr>
      <w:rFonts w:eastAsiaTheme="minorHAnsi"/>
      <w:kern w:val="14"/>
      <w:sz w:val="17"/>
      <w:szCs w:val="24"/>
      <w:lang w:eastAsia="en-US"/>
    </w:rPr>
  </w:style>
  <w:style w:type="character" w:customStyle="1" w:styleId="Heading1Char">
    <w:name w:val="Heading 1 Char"/>
    <w:basedOn w:val="DefaultParagraphFont"/>
    <w:link w:val="Heading1"/>
    <w:rsid w:val="00E85FA9"/>
    <w:rPr>
      <w:rFonts w:eastAsiaTheme="minorHAnsi"/>
      <w:kern w:val="14"/>
      <w:sz w:val="24"/>
      <w:szCs w:val="24"/>
      <w:lang w:eastAsia="en-US"/>
    </w:rPr>
  </w:style>
  <w:style w:type="character" w:customStyle="1" w:styleId="Heading2Char">
    <w:name w:val="Heading 2 Char"/>
    <w:basedOn w:val="DefaultParagraphFont"/>
    <w:link w:val="Heading2"/>
    <w:rsid w:val="00E85FA9"/>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semiHidden/>
    <w:unhideWhenUsed/>
    <w:rsid w:val="00FD1CE2"/>
    <w:pPr>
      <w:spacing w:line="240" w:lineRule="auto"/>
    </w:pPr>
    <w:rPr>
      <w:szCs w:val="20"/>
    </w:rPr>
  </w:style>
  <w:style w:type="character" w:customStyle="1" w:styleId="CommentTextChar">
    <w:name w:val="Comment Text Char"/>
    <w:basedOn w:val="DefaultParagraphFont"/>
    <w:link w:val="CommentText"/>
    <w:semiHidden/>
    <w:rsid w:val="00FD1CE2"/>
    <w:rPr>
      <w:rFonts w:eastAsiaTheme="minorHAnsi"/>
      <w:kern w:val="14"/>
      <w:lang w:eastAsia="en-US"/>
    </w:rPr>
  </w:style>
  <w:style w:type="paragraph" w:styleId="CommentSubject">
    <w:name w:val="annotation subject"/>
    <w:basedOn w:val="CommentText"/>
    <w:next w:val="CommentText"/>
    <w:link w:val="CommentSubjectChar"/>
    <w:semiHidden/>
    <w:unhideWhenUsed/>
    <w:rsid w:val="00FD1CE2"/>
    <w:rPr>
      <w:b/>
      <w:bCs/>
    </w:rPr>
  </w:style>
  <w:style w:type="character" w:customStyle="1" w:styleId="CommentSubjectChar">
    <w:name w:val="Comment Subject Char"/>
    <w:basedOn w:val="CommentTextChar"/>
    <w:link w:val="CommentSubject"/>
    <w:semiHidden/>
    <w:rsid w:val="00FD1CE2"/>
    <w:rPr>
      <w:rFonts w:eastAsiaTheme="minorHAnsi"/>
      <w:b/>
      <w:bCs/>
      <w:kern w:val="14"/>
      <w:lang w:eastAsia="en-US"/>
    </w:rPr>
  </w:style>
  <w:style w:type="table" w:styleId="TableGrid">
    <w:name w:val="Table Grid"/>
    <w:basedOn w:val="TableNormal"/>
    <w:rsid w:val="0065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1017"/>
    <w:rPr>
      <w:color w:val="605E5C"/>
      <w:shd w:val="clear" w:color="auto" w:fill="E1DFDD"/>
    </w:rPr>
  </w:style>
  <w:style w:type="paragraph" w:styleId="Revision">
    <w:name w:val="Revision"/>
    <w:hidden/>
    <w:uiPriority w:val="99"/>
    <w:semiHidden/>
    <w:rsid w:val="003667F2"/>
    <w:rPr>
      <w:rFonts w:eastAsiaTheme="minorHAnsi"/>
      <w:kern w:val="1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CPR/C/113/D/2272/2013" TargetMode="External"/><Relationship Id="rId3" Type="http://schemas.openxmlformats.org/officeDocument/2006/relationships/styles" Target="styles.xml"/><Relationship Id="rId21" Type="http://schemas.openxmlformats.org/officeDocument/2006/relationships/hyperlink" Target="https://undocs.org/ar/CCPR/C/114/D/2426/201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S/2015/702" TargetMode="External"/><Relationship Id="rId2" Type="http://schemas.openxmlformats.org/officeDocument/2006/relationships/numbering" Target="numbering.xml"/><Relationship Id="rId16" Type="http://schemas.openxmlformats.org/officeDocument/2006/relationships/hyperlink" Target="https://undocs.org/ar/CEDAW/C/55/D/33/2011" TargetMode="External"/><Relationship Id="rId20" Type="http://schemas.openxmlformats.org/officeDocument/2006/relationships/hyperlink" Target="https://undocs.org/ar/CCPR/C/112/D/2186/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ar/CCPR/C/114/D/2393/201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CPR/C/114/D/2329/201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EDAW/C/67/D/78/2014" TargetMode="External"/><Relationship Id="rId2" Type="http://schemas.openxmlformats.org/officeDocument/2006/relationships/hyperlink" Target="https://undocs.org/ar/CEDAW/C/71/D/81/2015" TargetMode="External"/><Relationship Id="rId1" Type="http://schemas.openxmlformats.org/officeDocument/2006/relationships/hyperlink" Target="https://undocs.org/ar/CEDAW/C/67/D/78/20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EEDF-5365-4E37-ACF1-F526B0E6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4287</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Ghaith Hadaya</dc:creator>
  <cp:keywords/>
  <dc:description/>
  <cp:lastModifiedBy>Arabic Text Processing</cp:lastModifiedBy>
  <cp:revision>7</cp:revision>
  <cp:lastPrinted>2019-09-26T14:17:00Z</cp:lastPrinted>
  <dcterms:created xsi:type="dcterms:W3CDTF">2019-09-20T14:53:00Z</dcterms:created>
  <dcterms:modified xsi:type="dcterms:W3CDTF">2019-09-26T14:17:00Z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1915435</vt:lpwstr>
  </property>
  <property fmtid="{D5CDD505-2E9C-101B-9397-08002B2CF9AE}" pid="3" name="ODSRefJobNo">
    <vt:lpwstr>1927429A</vt:lpwstr>
  </property>
  <property fmtid="{D5CDD505-2E9C-101B-9397-08002B2CF9AE}" pid="4" name="Symbol1">
    <vt:lpwstr>CEDAW/C/73/D/94/2015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10 September 2019</vt:lpwstr>
  </property>
  <property fmtid="{D5CDD505-2E9C-101B-9397-08002B2CF9AE}" pid="11" name="Original">
    <vt:lpwstr>English</vt:lpwstr>
  </property>
  <property fmtid="{D5CDD505-2E9C-101B-9397-08002B2CF9AE}" pid="12" name="Release Date">
    <vt:lpwstr/>
  </property>
  <property fmtid="{D5CDD505-2E9C-101B-9397-08002B2CF9AE}" pid="13" name="Title1">
    <vt:lpwstr>		القرار الذي اتخذته اللجنة بموجب المادة 4 (2) (ج) من البروتوكول الاختياري بشأن الرسالة رقم 94/2015*،**_x000d_</vt:lpwstr>
  </property>
  <property fmtid="{D5CDD505-2E9C-101B-9397-08002B2CF9AE}" pid="14" name="Comment">
    <vt:lpwstr>Final</vt:lpwstr>
  </property>
  <property fmtid="{D5CDD505-2E9C-101B-9397-08002B2CF9AE}" pid="15" name="DraftPages">
    <vt:lpwstr>12</vt:lpwstr>
  </property>
  <property fmtid="{D5CDD505-2E9C-101B-9397-08002B2CF9AE}" pid="16" name="Operator">
    <vt:lpwstr>Yasser</vt:lpwstr>
  </property>
</Properties>
</file>