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A627260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261878" w14:textId="77777777" w:rsidR="002D5AAC" w:rsidRDefault="002D5AAC" w:rsidP="00D927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5F859C44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23C8D364" w14:textId="77777777" w:rsidR="002D5AAC" w:rsidRDefault="00D92731" w:rsidP="00D92731">
            <w:pPr>
              <w:jc w:val="right"/>
            </w:pPr>
            <w:r w:rsidRPr="00D92731">
              <w:rPr>
                <w:sz w:val="40"/>
              </w:rPr>
              <w:t>CCPR</w:t>
            </w:r>
            <w:r>
              <w:t>/C/BEL/CO/6</w:t>
            </w:r>
          </w:p>
        </w:tc>
      </w:tr>
      <w:tr w:rsidR="002D5AAC" w:rsidRPr="00D92731" w14:paraId="38537215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CABEEA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9D4EDFD" wp14:editId="18BAC6C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0B0261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F67283E" w14:textId="77777777" w:rsidR="002D5AAC" w:rsidRPr="00D92731" w:rsidRDefault="00D92731" w:rsidP="00BC3629">
            <w:pPr>
              <w:spacing w:before="240"/>
              <w:rPr>
                <w:lang w:val="en-US"/>
              </w:rPr>
            </w:pPr>
            <w:r w:rsidRPr="00D92731">
              <w:rPr>
                <w:lang w:val="en-US"/>
              </w:rPr>
              <w:t>Distr.: General</w:t>
            </w:r>
          </w:p>
          <w:p w14:paraId="237FA6AC" w14:textId="77777777" w:rsidR="00D92731" w:rsidRPr="00D92731" w:rsidRDefault="00D92731" w:rsidP="00D92731">
            <w:pPr>
              <w:spacing w:line="240" w:lineRule="exact"/>
              <w:rPr>
                <w:lang w:val="en-US"/>
              </w:rPr>
            </w:pPr>
            <w:r w:rsidRPr="00D92731">
              <w:rPr>
                <w:lang w:val="en-US"/>
              </w:rPr>
              <w:t>6 December 2019</w:t>
            </w:r>
          </w:p>
          <w:p w14:paraId="7329C748" w14:textId="77777777" w:rsidR="00D92731" w:rsidRPr="00D92731" w:rsidRDefault="00D92731" w:rsidP="00D92731">
            <w:pPr>
              <w:spacing w:line="240" w:lineRule="exact"/>
              <w:rPr>
                <w:lang w:val="en-US"/>
              </w:rPr>
            </w:pPr>
            <w:r w:rsidRPr="00D92731">
              <w:rPr>
                <w:lang w:val="en-US"/>
              </w:rPr>
              <w:t>Russian</w:t>
            </w:r>
          </w:p>
          <w:p w14:paraId="24CF1B34" w14:textId="77777777" w:rsidR="00D92731" w:rsidRPr="00D92731" w:rsidRDefault="00D92731" w:rsidP="00D92731">
            <w:pPr>
              <w:spacing w:line="240" w:lineRule="exact"/>
              <w:rPr>
                <w:lang w:val="en-US"/>
              </w:rPr>
            </w:pPr>
            <w:r w:rsidRPr="00D92731">
              <w:rPr>
                <w:lang w:val="en-US"/>
              </w:rPr>
              <w:t>Original: French</w:t>
            </w:r>
          </w:p>
        </w:tc>
      </w:tr>
    </w:tbl>
    <w:p w14:paraId="744C6173" w14:textId="77777777" w:rsidR="00D92731" w:rsidRPr="00D92731" w:rsidRDefault="00D92731" w:rsidP="00D92731">
      <w:pPr>
        <w:spacing w:before="120"/>
        <w:rPr>
          <w:b/>
          <w:sz w:val="24"/>
          <w:szCs w:val="24"/>
        </w:rPr>
      </w:pPr>
      <w:r w:rsidRPr="00D92731">
        <w:rPr>
          <w:b/>
          <w:bCs/>
          <w:sz w:val="24"/>
          <w:szCs w:val="24"/>
        </w:rPr>
        <w:t>Комитет по правам человека</w:t>
      </w:r>
    </w:p>
    <w:p w14:paraId="3143601B" w14:textId="77777777" w:rsidR="00D92731" w:rsidRPr="00C21F6B" w:rsidRDefault="00D92731" w:rsidP="00D92731">
      <w:pPr>
        <w:pStyle w:val="HChG"/>
      </w:pPr>
      <w:r>
        <w:tab/>
      </w:r>
      <w:r>
        <w:tab/>
      </w:r>
      <w:r>
        <w:rPr>
          <w:bCs/>
        </w:rPr>
        <w:t>Заключительные замечания по шестому периодическому докладу Бельгии</w:t>
      </w:r>
      <w:r w:rsidRPr="00D92731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00CAB1DF" w14:textId="77777777" w:rsidR="00D92731" w:rsidRPr="00C21F6B" w:rsidRDefault="00D92731" w:rsidP="00D92731">
      <w:pPr>
        <w:pStyle w:val="SingleTxtG"/>
      </w:pPr>
      <w:r>
        <w:t>1.</w:t>
      </w:r>
      <w:r>
        <w:tab/>
        <w:t>Комитет по правам человека рассмотрел шестой периодический доклад Бельгии (CCPR/C/BEL/6) на своих 3651-м и 3652-м заседаниях (см. CCPR/C/SR.3651 и 3652), состоявшихся 15 и 16 октября 2019 года. На своих 3676-м и 3677-м заседаниях, состоявшихся 1 ноября 2019 года, он принял настоящие заключительные замечания.</w:t>
      </w:r>
    </w:p>
    <w:p w14:paraId="7B16651E" w14:textId="77777777" w:rsidR="00D92731" w:rsidRPr="00C21F6B" w:rsidRDefault="00D92731" w:rsidP="00D92731">
      <w:pPr>
        <w:pStyle w:val="H1G"/>
        <w:spacing w:before="240"/>
      </w:pPr>
      <w:r>
        <w:tab/>
      </w:r>
      <w:r>
        <w:t>A.</w:t>
      </w:r>
      <w:r>
        <w:tab/>
      </w:r>
      <w:r>
        <w:tab/>
      </w:r>
      <w:r>
        <w:rPr>
          <w:bCs/>
        </w:rPr>
        <w:t>Введение</w:t>
      </w:r>
    </w:p>
    <w:p w14:paraId="25321714" w14:textId="77777777" w:rsidR="00D92731" w:rsidRPr="00C21F6B" w:rsidRDefault="00D92731" w:rsidP="00D92731">
      <w:pPr>
        <w:pStyle w:val="SingleTxtG"/>
      </w:pPr>
      <w:r>
        <w:t>2.</w:t>
      </w:r>
      <w:r>
        <w:tab/>
        <w:t>Комитет приветствует представление шестого периодического доклада Бельгии в рамках упрощенной процедуры отчетности в ответ на перечень вопросов, препровожденных до представления доклада (CCPR/C/BEL/QPR/6). Он выражает признательность за возможность проведения конструктивного диалога с делегацией государства-участника по вопросу о мерах, принятых им с целью осуществления положений Пакта. Комитет также благодарит государство-участник за устные ответы членов делегации, а также за представленную ему в письменном виде дополнительную информацию после диалога.</w:t>
      </w:r>
    </w:p>
    <w:p w14:paraId="0DAC1DEE" w14:textId="77777777" w:rsidR="00D92731" w:rsidRPr="00C21F6B" w:rsidRDefault="00D92731" w:rsidP="00D92731">
      <w:pPr>
        <w:pStyle w:val="H1G"/>
        <w:rPr>
          <w:color w:val="000000" w:themeColor="text1"/>
        </w:rPr>
      </w:pPr>
      <w:r>
        <w:tab/>
      </w:r>
      <w:r>
        <w:t>B.</w:t>
      </w:r>
      <w:r>
        <w:tab/>
      </w:r>
      <w:r>
        <w:tab/>
      </w:r>
      <w:r>
        <w:rPr>
          <w:bCs/>
        </w:rPr>
        <w:t>Позитивные аспекты</w:t>
      </w:r>
    </w:p>
    <w:p w14:paraId="1F04E7C3" w14:textId="77777777" w:rsidR="00D92731" w:rsidRPr="00C21F6B" w:rsidRDefault="00D92731" w:rsidP="00D92731">
      <w:pPr>
        <w:pStyle w:val="SingleTxtG"/>
        <w:keepNext/>
      </w:pPr>
      <w:r>
        <w:t>3.</w:t>
      </w:r>
      <w:r>
        <w:tab/>
        <w:t xml:space="preserve">Комитет приветствует принятие государством-участником следующих законодательных и политических мер: </w:t>
      </w:r>
    </w:p>
    <w:p w14:paraId="1A3BF570" w14:textId="77777777" w:rsidR="00D92731" w:rsidRPr="00C21F6B" w:rsidRDefault="00D92731" w:rsidP="00D92731">
      <w:pPr>
        <w:pStyle w:val="SingleTxtG"/>
        <w:ind w:firstLine="568"/>
      </w:pPr>
      <w:r>
        <w:t>а)</w:t>
      </w:r>
      <w:r>
        <w:tab/>
        <w:t>Закона № 2011003317 от 28 июля 2011 года о внесении изменений в Закон от 21 марта 1991 года о реформе некоторых государственных коммерческих предприятий, Кодекс о компаниях и Закон от 19 апреля 2002 года о рационализации функционирования Национальной лотереи и управления ею в целях обеспечения представленности женщин в советах директоров предприятий государственного сектора, зарегистрированных компаний и Национальной лотереи;</w:t>
      </w:r>
    </w:p>
    <w:p w14:paraId="09439C1D" w14:textId="77777777" w:rsidR="00D92731" w:rsidRPr="00C21F6B" w:rsidRDefault="00D92731" w:rsidP="00D92731">
      <w:pPr>
        <w:pStyle w:val="SingleTxtG"/>
        <w:ind w:firstLine="568"/>
      </w:pPr>
      <w:r>
        <w:t>b)</w:t>
      </w:r>
      <w:r>
        <w:tab/>
        <w:t>Закона № 2012204357 от 22 апреля 2012 года о борьбе с разницей в оплате труда мужчин и женщин;</w:t>
      </w:r>
    </w:p>
    <w:p w14:paraId="01C8B086" w14:textId="77777777" w:rsidR="00D92731" w:rsidRPr="00C21F6B" w:rsidRDefault="00D92731" w:rsidP="00D92731">
      <w:pPr>
        <w:pStyle w:val="SingleTxtG"/>
        <w:ind w:firstLine="568"/>
      </w:pPr>
      <w:r>
        <w:t>c)</w:t>
      </w:r>
      <w:r>
        <w:tab/>
        <w:t>Закона № 2013009352 от 29 апреля 2013 года о внесении поправок в статью 433-</w:t>
      </w:r>
      <w:r w:rsidRPr="00D92731">
        <w:rPr>
          <w:iCs/>
        </w:rPr>
        <w:t>кинкиес</w:t>
      </w:r>
      <w:r>
        <w:t xml:space="preserve"> Уголовного кодекса с целью уточнения и расширения определения торговли людьми;</w:t>
      </w:r>
    </w:p>
    <w:p w14:paraId="0B28A9B3" w14:textId="77777777" w:rsidR="00D92731" w:rsidRPr="00C21F6B" w:rsidRDefault="00D92731" w:rsidP="00D92731">
      <w:pPr>
        <w:pStyle w:val="SingleTxtG"/>
        <w:ind w:firstLine="568"/>
      </w:pPr>
      <w:r>
        <w:t>d)</w:t>
      </w:r>
      <w:r>
        <w:tab/>
        <w:t>Закона № 2013009351 от 24 июня 2013 года о пресечении эксплуатации попрошайничества и проституции, торговли людьми и контрабанды людей в зависимости от количества жертв;</w:t>
      </w:r>
    </w:p>
    <w:p w14:paraId="3202E12B" w14:textId="77777777" w:rsidR="00D92731" w:rsidRPr="00C21F6B" w:rsidRDefault="00D92731" w:rsidP="00D92731">
      <w:pPr>
        <w:pStyle w:val="SingleTxtG"/>
        <w:ind w:firstLine="568"/>
      </w:pPr>
      <w:r>
        <w:lastRenderedPageBreak/>
        <w:t>e)</w:t>
      </w:r>
      <w:r>
        <w:tab/>
        <w:t xml:space="preserve">Закона </w:t>
      </w:r>
      <w:r>
        <w:t xml:space="preserve">№ </w:t>
      </w:r>
      <w:r w:rsidRPr="00D92731">
        <w:t>2014000586</w:t>
      </w:r>
      <w:r>
        <w:t xml:space="preserve"> </w:t>
      </w:r>
      <w:r>
        <w:t>от 22 мая 2014 года о борьбе с сексизмом в общественных местах и об изменении Закона от 10 мая 2007 года о борьбе с дискриминацией между мужчинами и женщинами в целях криминализации проявлений дискриминации.</w:t>
      </w:r>
    </w:p>
    <w:p w14:paraId="3384EE60" w14:textId="77777777" w:rsidR="00D92731" w:rsidRPr="00C21F6B" w:rsidRDefault="00D92731" w:rsidP="00D92731">
      <w:pPr>
        <w:pStyle w:val="SingleTxtG"/>
        <w:ind w:firstLine="568"/>
      </w:pPr>
      <w:r>
        <w:t>f)</w:t>
      </w:r>
      <w:r>
        <w:tab/>
        <w:t>Закона № 2014009398 от 12 мая 2014 года о внесении изменений в главу</w:t>
      </w:r>
      <w:r>
        <w:rPr>
          <w:lang w:val="en-US"/>
        </w:rPr>
        <w:t> </w:t>
      </w:r>
      <w:r>
        <w:t>VI раздела XIII программного закона (I) от 24 декабря 2002 года в отношении опеки над несопровождаемыми несовершеннолетними иностранцами;</w:t>
      </w:r>
    </w:p>
    <w:p w14:paraId="0DB9B993" w14:textId="77777777" w:rsidR="00D92731" w:rsidRPr="00C21F6B" w:rsidRDefault="00D92731" w:rsidP="00D92731">
      <w:pPr>
        <w:pStyle w:val="SingleTxtG"/>
        <w:ind w:firstLine="568"/>
      </w:pPr>
      <w:r>
        <w:t>g)</w:t>
      </w:r>
      <w:r>
        <w:tab/>
        <w:t>Закона № 2016009219 от 31 мая 2016 года, дополняющего выполнение европейских обязательств по борьбе с сексуальной эксплуатацией детей, детской порнографией, торговлей людьми и пособничеством нелегальному въезду, транзиту и проживанию;</w:t>
      </w:r>
    </w:p>
    <w:p w14:paraId="2910EC52" w14:textId="77777777" w:rsidR="00D92731" w:rsidRPr="00C21F6B" w:rsidRDefault="00D92731" w:rsidP="00D92731">
      <w:pPr>
        <w:pStyle w:val="SingleTxtG"/>
        <w:ind w:firstLine="568"/>
      </w:pPr>
      <w:r>
        <w:t>h)</w:t>
      </w:r>
      <w:r>
        <w:tab/>
        <w:t>Закона № 2016009356 от 6 июля 2016 года о внесении изменений в Судебный кодекс в части оказания юридической помощи;</w:t>
      </w:r>
    </w:p>
    <w:p w14:paraId="0946D28F" w14:textId="77777777" w:rsidR="00D92731" w:rsidRPr="00C21F6B" w:rsidRDefault="00D92731" w:rsidP="00D92731">
      <w:pPr>
        <w:pStyle w:val="SingleTxtG"/>
        <w:ind w:firstLine="568"/>
      </w:pPr>
      <w:r>
        <w:t>i)</w:t>
      </w:r>
      <w:r>
        <w:tab/>
        <w:t>Закона № 2017012964 от 25 июня 2017 года о реформировании системы регистрации трансгендеров по признаку пола в актах гражданского состояния и его последствиях, а также постановления Конституционного суда № 99/2019 от 19 июня 2019 года, в котором Закон № 2017012964 от 25 июня 2017 года был признан частично неконституционным;</w:t>
      </w:r>
    </w:p>
    <w:p w14:paraId="7D085BB9" w14:textId="77777777" w:rsidR="00D92731" w:rsidRPr="00C21F6B" w:rsidRDefault="00D92731" w:rsidP="00D92731">
      <w:pPr>
        <w:pStyle w:val="SingleTxtG"/>
        <w:ind w:firstLine="568"/>
      </w:pPr>
      <w:r>
        <w:t>j)</w:t>
      </w:r>
      <w:r>
        <w:tab/>
      </w:r>
      <w:proofErr w:type="spellStart"/>
      <w:r>
        <w:t>Межфедерального</w:t>
      </w:r>
      <w:proofErr w:type="spellEnd"/>
      <w:r>
        <w:t xml:space="preserve"> плана действий по борьбе с гомофобным и </w:t>
      </w:r>
      <w:proofErr w:type="spellStart"/>
      <w:r>
        <w:t>трансфобным</w:t>
      </w:r>
      <w:proofErr w:type="spellEnd"/>
      <w:r>
        <w:t xml:space="preserve"> насилием (2013</w:t>
      </w:r>
      <w:r>
        <w:t>–</w:t>
      </w:r>
      <w:r>
        <w:t>2014 годы) 10 июня 2013 года;</w:t>
      </w:r>
    </w:p>
    <w:p w14:paraId="44B3D15D" w14:textId="77777777" w:rsidR="00D92731" w:rsidRPr="00C21F6B" w:rsidRDefault="00D92731" w:rsidP="00D92731">
      <w:pPr>
        <w:pStyle w:val="SingleTxtG"/>
        <w:ind w:firstLine="568"/>
      </w:pPr>
      <w:r>
        <w:t>k)</w:t>
      </w:r>
      <w:r>
        <w:tab/>
        <w:t>Национального плана действий по борьбе со всеми формами гендерного насилия (2015</w:t>
      </w:r>
      <w:r w:rsidR="00C270F9">
        <w:t>–</w:t>
      </w:r>
      <w:r>
        <w:t>2019 годы) в декабре 2015 года;</w:t>
      </w:r>
    </w:p>
    <w:p w14:paraId="4173B679" w14:textId="77777777" w:rsidR="00D92731" w:rsidRPr="00C21F6B" w:rsidRDefault="00D92731" w:rsidP="00D92731">
      <w:pPr>
        <w:pStyle w:val="SingleTxtG"/>
        <w:ind w:firstLine="568"/>
      </w:pPr>
      <w:r>
        <w:t>l)</w:t>
      </w:r>
      <w:r>
        <w:tab/>
        <w:t>Третьего плана действий по борьбе с торговлей людьми (2015</w:t>
      </w:r>
      <w:r w:rsidR="00C270F9">
        <w:t>–</w:t>
      </w:r>
      <w:r>
        <w:t>2019 годы) 15 июля 2015 года;</w:t>
      </w:r>
    </w:p>
    <w:p w14:paraId="0F2C2A0F" w14:textId="77777777" w:rsidR="00D92731" w:rsidRPr="00C21F6B" w:rsidRDefault="00D92731" w:rsidP="00D92731">
      <w:pPr>
        <w:pStyle w:val="SingleTxtG"/>
        <w:ind w:firstLine="568"/>
      </w:pPr>
      <w:r>
        <w:t>m)</w:t>
      </w:r>
      <w:r>
        <w:tab/>
      </w:r>
      <w:proofErr w:type="spellStart"/>
      <w:r>
        <w:t>Межфедерального</w:t>
      </w:r>
      <w:proofErr w:type="spellEnd"/>
      <w:r>
        <w:t xml:space="preserve"> плана действий по борьбе с дискриминацией и насилием в отношении ЛГБТИ (2018</w:t>
      </w:r>
      <w:r w:rsidR="00C270F9">
        <w:t>–</w:t>
      </w:r>
      <w:r>
        <w:t>2019 годы) в мае 2018 года.</w:t>
      </w:r>
    </w:p>
    <w:p w14:paraId="2C563CB8" w14:textId="77777777" w:rsidR="00D92731" w:rsidRPr="00C21F6B" w:rsidRDefault="00D92731" w:rsidP="00D92731">
      <w:pPr>
        <w:pStyle w:val="SingleTxtG"/>
      </w:pPr>
      <w:r>
        <w:t>4.</w:t>
      </w:r>
      <w:r>
        <w:tab/>
        <w:t xml:space="preserve">Комитет с удовлетворением отмечает ратификацию государством-участником Факультативного протокола к Международному пакту об экономических, социальных и культурных правах 20 мая 2014 года. </w:t>
      </w:r>
    </w:p>
    <w:p w14:paraId="03642C53" w14:textId="77777777" w:rsidR="00D92731" w:rsidRPr="00C21F6B" w:rsidRDefault="00D92731" w:rsidP="00D92731">
      <w:pPr>
        <w:pStyle w:val="H1G"/>
      </w:pPr>
      <w:r>
        <w:tab/>
      </w:r>
      <w:r>
        <w:t>C.</w:t>
      </w:r>
      <w:r>
        <w:tab/>
      </w:r>
      <w:r>
        <w:tab/>
      </w:r>
      <w:r>
        <w:rPr>
          <w:bCs/>
        </w:rPr>
        <w:t xml:space="preserve">Основные вопросы, вызывающие обеспокоенность, </w:t>
      </w:r>
      <w:r>
        <w:rPr>
          <w:bCs/>
        </w:rPr>
        <w:br/>
      </w:r>
      <w:r>
        <w:rPr>
          <w:bCs/>
        </w:rPr>
        <w:t>и рекомендации</w:t>
      </w:r>
      <w:r>
        <w:t xml:space="preserve"> </w:t>
      </w:r>
    </w:p>
    <w:p w14:paraId="35051896" w14:textId="77777777" w:rsidR="00D92731" w:rsidRPr="00C21F6B" w:rsidRDefault="00D92731" w:rsidP="00D92731">
      <w:pPr>
        <w:pStyle w:val="H23G"/>
      </w:pPr>
      <w:r>
        <w:tab/>
      </w:r>
      <w:r>
        <w:tab/>
      </w:r>
      <w:r>
        <w:rPr>
          <w:bCs/>
        </w:rPr>
        <w:t>Применимость Пакта во внутреннем праве и выполнение рекомендаций, содержащихся в Соображениях Комитета</w:t>
      </w:r>
    </w:p>
    <w:p w14:paraId="1F8D0152" w14:textId="77777777" w:rsidR="00D92731" w:rsidRPr="00C21F6B" w:rsidRDefault="00D92731" w:rsidP="00D92731">
      <w:pPr>
        <w:pStyle w:val="SingleTxtG"/>
      </w:pPr>
      <w:r>
        <w:t>5.</w:t>
      </w:r>
      <w:r>
        <w:tab/>
        <w:t>Комитет отмечает отсутствие во внутреннем законодательстве положения, устанавливающего применимость международных договоров во внутренней правовой системе. Он также отмечает случаи, когда на положения Пакта делались ссылки в судах и трибуналах государства-участника и прямое применение которых было подтверждено Кассационным судом в 1971 и 1984 годах. Он сожалеет об отсутствии конкретного механизма для принятия государством-участником последующих мер в связи с Соображениями Комитета (статья 2).</w:t>
      </w:r>
    </w:p>
    <w:p w14:paraId="7F785D8F" w14:textId="77777777" w:rsidR="00D92731" w:rsidRPr="00C21F6B" w:rsidRDefault="00D92731" w:rsidP="00D92731">
      <w:pPr>
        <w:pStyle w:val="SingleTxtG"/>
        <w:rPr>
          <w:b/>
        </w:rPr>
      </w:pPr>
      <w:r>
        <w:t>6.</w:t>
      </w:r>
      <w:r>
        <w:tab/>
      </w:r>
      <w:r>
        <w:rPr>
          <w:b/>
          <w:bCs/>
        </w:rPr>
        <w:t>Государству-участнику следует предусмотреть в своем законодательстве и в своей практике достаточные правовые гарантии для обеспечения полной защиты прав, закрепленных в Пакте, в рамках внутренней правовой системы.</w:t>
      </w:r>
      <w:r>
        <w:t xml:space="preserve"> </w:t>
      </w:r>
      <w:r>
        <w:rPr>
          <w:b/>
          <w:bCs/>
        </w:rPr>
        <w:t>Кроме того, ему следует создать специальный механизм для осуществления Соображений Комитета.</w:t>
      </w:r>
      <w:r>
        <w:t xml:space="preserve"> </w:t>
      </w:r>
    </w:p>
    <w:p w14:paraId="47AA2EAF" w14:textId="77777777" w:rsidR="00D92731" w:rsidRPr="00C21F6B" w:rsidRDefault="00D92731" w:rsidP="00D92731">
      <w:pPr>
        <w:pStyle w:val="H23G"/>
      </w:pPr>
      <w:r>
        <w:tab/>
      </w:r>
      <w:r>
        <w:tab/>
      </w:r>
      <w:r>
        <w:rPr>
          <w:bCs/>
        </w:rPr>
        <w:t>Оговорки</w:t>
      </w:r>
    </w:p>
    <w:p w14:paraId="66CDD39A" w14:textId="77777777" w:rsidR="00D92731" w:rsidRPr="00C21F6B" w:rsidRDefault="00D92731" w:rsidP="00D92731">
      <w:pPr>
        <w:pStyle w:val="SingleTxtG"/>
      </w:pPr>
      <w:r>
        <w:t>7.</w:t>
      </w:r>
      <w:r>
        <w:tab/>
        <w:t xml:space="preserve">Комитет по-прежнему обеспокоен тем, что государство-участник сохраняет свои оговорки к положениям пунктов 2 а) и 3 статьи 10, пунктов 1 и 5 статьи 14 и </w:t>
      </w:r>
      <w:r>
        <w:lastRenderedPageBreak/>
        <w:t xml:space="preserve">статей 19, 21 и 22 Пакта, а также свои заявления о толковании пункта 1 статьи 20 и пункта 2 статьи 23 Пакта (статья 2). </w:t>
      </w:r>
    </w:p>
    <w:p w14:paraId="013BA798" w14:textId="77777777" w:rsidR="00D92731" w:rsidRPr="00C21F6B" w:rsidRDefault="00D92731" w:rsidP="00D92731">
      <w:pPr>
        <w:pStyle w:val="SingleTxtG"/>
      </w:pPr>
      <w:r>
        <w:t>8.</w:t>
      </w:r>
      <w:r>
        <w:tab/>
      </w:r>
      <w:r>
        <w:rPr>
          <w:b/>
          <w:bCs/>
        </w:rPr>
        <w:t>Государству-участнику следует рассмотреть вопрос о снятии своих оговорок и заявлений о толковании в отношении положений Пакта.</w:t>
      </w:r>
    </w:p>
    <w:p w14:paraId="6899343A" w14:textId="77777777" w:rsidR="00D92731" w:rsidRPr="00C21F6B" w:rsidRDefault="00D92731" w:rsidP="00D92731">
      <w:pPr>
        <w:pStyle w:val="H23G"/>
      </w:pPr>
      <w:r>
        <w:tab/>
      </w:r>
      <w:r>
        <w:tab/>
      </w:r>
      <w:r>
        <w:rPr>
          <w:bCs/>
        </w:rPr>
        <w:t>Национальное правозащитное учреждение</w:t>
      </w:r>
    </w:p>
    <w:p w14:paraId="5875963F" w14:textId="77777777" w:rsidR="00D92731" w:rsidRPr="00C21F6B" w:rsidRDefault="00D92731" w:rsidP="00D92731">
      <w:pPr>
        <w:pStyle w:val="SingleTxtG"/>
        <w:keepLines/>
      </w:pPr>
      <w:r>
        <w:t>9.</w:t>
      </w:r>
      <w:r>
        <w:tab/>
        <w:t xml:space="preserve">Комитет приветствует принятие Закона № 2019012931 от 12 мая 2019 года о создании Федерального института по защите и поощрению прав человека; при этом он отмечает, что институт еще начал функционировать. Он также отмечает, что в государстве-участнике существует несколько секторальных правозащитных учреждений с различными мандатами, включая </w:t>
      </w:r>
      <w:proofErr w:type="spellStart"/>
      <w:r>
        <w:t>Межфедеральный</w:t>
      </w:r>
      <w:proofErr w:type="spellEnd"/>
      <w:r>
        <w:t xml:space="preserve"> центр по обеспечению равенства возможностей (УНИА), аккредитованный Подкомитетом по аккредитации Глобального альянса национальных правозащитных учреждений со статусом В. При этом Комитет задается вопросом о координации между этими учреждениями и новым Федеральным институтом, которая имеет важное значение для эффективного осуществления его мандата во всех секторах прав человека в государстве-участнике, включая возможность получения жалоб (статья 2).</w:t>
      </w:r>
    </w:p>
    <w:p w14:paraId="3211D9E3" w14:textId="77777777" w:rsidR="00D92731" w:rsidRPr="00C21F6B" w:rsidRDefault="00D92731" w:rsidP="00D92731">
      <w:pPr>
        <w:pStyle w:val="SingleTxtG"/>
      </w:pPr>
      <w:r>
        <w:t>10.</w:t>
      </w:r>
      <w:r>
        <w:tab/>
      </w:r>
      <w:r>
        <w:rPr>
          <w:b/>
          <w:bCs/>
        </w:rPr>
        <w:t>Государству-участнику следует ускорить создание Федерального института по защите и поощрению прав человека в соответствии с Принципами, касающимися статуса национальных учреждений, занимающихся поощрением и защитой прав человека (Парижскими принципами), предоставив ему всеобъемлющий мандат и все средства, необходимые для полного выполнения им своего мандата, включая возможность получения жалоб.</w:t>
      </w:r>
      <w:r>
        <w:t xml:space="preserve"> </w:t>
      </w:r>
      <w:r>
        <w:rPr>
          <w:b/>
          <w:bCs/>
        </w:rPr>
        <w:t>Кроме того, государству-участнику следует стимулировать переговоры о заключении соглашений о сотрудничестве между федеральными властями и субъектами федерации в целях расширения сотрудничества между Федеральным институтом и секторальными учреждениями, с тем чтобы обеспечить эффективную защиту в соответствии с его обязательствами по Пакту.</w:t>
      </w:r>
    </w:p>
    <w:p w14:paraId="71E09BA0" w14:textId="77777777" w:rsidR="00D92731" w:rsidRPr="00C21F6B" w:rsidRDefault="00D92731" w:rsidP="00D92731">
      <w:pPr>
        <w:pStyle w:val="H23G"/>
      </w:pPr>
      <w:r>
        <w:tab/>
      </w:r>
      <w:r>
        <w:tab/>
      </w:r>
      <w:r>
        <w:rPr>
          <w:bCs/>
        </w:rPr>
        <w:t>Меры по борьбе с терроризмом</w:t>
      </w:r>
    </w:p>
    <w:p w14:paraId="50BF31E0" w14:textId="77777777" w:rsidR="00D92731" w:rsidRPr="00C21F6B" w:rsidRDefault="00D92731" w:rsidP="00D92731">
      <w:pPr>
        <w:pStyle w:val="SingleTxtG"/>
      </w:pPr>
      <w:r>
        <w:t>11.</w:t>
      </w:r>
      <w:r>
        <w:tab/>
        <w:t>Комитет принимает к сведению меры, принятые государством-участником для предотвращения и пресечения терроризма и воинствующего экстремизма в соответствии с его обязательствами по Пакту. Вместе с тем он с обеспокоенностью отмечает отсутствие четких и согласующихся с правами человека правовых рамок, например в отношении профессиональной тайны и других обязательств в отношении конфиденциальности, а также двусмысленность определения преступлений, связанных с терроризмом, национальной безопасности или общественного порядка. Он также по-прежнему обеспокоен отсутствием правовых гарантий в отношении процедур сбора и обработки данных о лицах, содержащихся в различных базах данных, касающихся предупреждения терроризма и насильственного экстремизма и борьбы с ними, а также положениями Кодекса бельгийского гражданства и Консульского кодекса, которые позволяют, с одной стороны, лишить гражданства Бельгии  лицо, представляющее серьезную угрозу для общественного порядка или безопасности, а с другой стороны, отозвать его паспорт или проездной документ. Кроме того, Комитет сожалеет, что жертвы террористических актов в государстве-участнике в 2014 и 2016 годах сталкиваются с препятствиями в получении возмещения (статьи 2, 7, 9, 10, 12, 14 и 17).</w:t>
      </w:r>
    </w:p>
    <w:p w14:paraId="51E935D1" w14:textId="77777777" w:rsidR="00D92731" w:rsidRPr="00C21F6B" w:rsidRDefault="00D92731" w:rsidP="00D92731">
      <w:pPr>
        <w:pStyle w:val="SingleTxtG"/>
        <w:keepNext/>
        <w:rPr>
          <w:b/>
        </w:rPr>
      </w:pPr>
      <w:r>
        <w:t>12.</w:t>
      </w:r>
      <w:r>
        <w:tab/>
      </w:r>
      <w:r>
        <w:rPr>
          <w:b/>
          <w:bCs/>
        </w:rPr>
        <w:t>Государству-участнику следует:</w:t>
      </w:r>
    </w:p>
    <w:p w14:paraId="7AC26BCA" w14:textId="77777777" w:rsidR="00D92731" w:rsidRPr="00C21F6B" w:rsidRDefault="00D92731" w:rsidP="00D92731">
      <w:pPr>
        <w:pStyle w:val="SingleTxtG"/>
        <w:ind w:firstLine="568"/>
        <w:rPr>
          <w:b/>
        </w:rPr>
      </w:pPr>
      <w:r>
        <w:rPr>
          <w:b/>
          <w:bCs/>
        </w:rPr>
        <w:t>а)</w:t>
      </w:r>
      <w:r>
        <w:tab/>
      </w:r>
      <w:r>
        <w:rPr>
          <w:b/>
          <w:bCs/>
        </w:rPr>
        <w:t>провести оценку своего законодательства и практики в области предупреждения терроризма и борьбы с ним на предмет их совместимости с обязательствами государства-участника по Пакту;</w:t>
      </w:r>
    </w:p>
    <w:p w14:paraId="0FAE0E8F" w14:textId="77777777" w:rsidR="00D92731" w:rsidRPr="00C21F6B" w:rsidRDefault="00D92731" w:rsidP="00D92731">
      <w:pPr>
        <w:pStyle w:val="SingleTxtG"/>
        <w:ind w:firstLine="568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предоставить правовые гарантии лицам, гражданство, вид на жительство или паспорт которых были отозваны и/или которые включены в различные базы данных, касающиеся предупреждения терроризма и насильственного экстремизма и борьбы с ними, включая эффективное средство правовой защиты;</w:t>
      </w:r>
    </w:p>
    <w:p w14:paraId="23714643" w14:textId="77777777" w:rsidR="00D92731" w:rsidRPr="00C21F6B" w:rsidRDefault="00D92731" w:rsidP="00D92731">
      <w:pPr>
        <w:pStyle w:val="SingleTxtG"/>
        <w:ind w:firstLine="568"/>
        <w:rPr>
          <w:b/>
        </w:rPr>
      </w:pPr>
      <w:r>
        <w:rPr>
          <w:b/>
          <w:bCs/>
        </w:rPr>
        <w:lastRenderedPageBreak/>
        <w:t>c)</w:t>
      </w:r>
      <w:r>
        <w:tab/>
      </w:r>
      <w:r>
        <w:rPr>
          <w:b/>
          <w:bCs/>
        </w:rPr>
        <w:t>обеспечить, чтобы жертвы террористических актов в 2014 и 2016</w:t>
      </w:r>
      <w:r>
        <w:rPr>
          <w:b/>
          <w:bCs/>
          <w:lang w:val="en-US"/>
        </w:rPr>
        <w:t> </w:t>
      </w:r>
      <w:r>
        <w:rPr>
          <w:b/>
          <w:bCs/>
        </w:rPr>
        <w:t>годах получили возмещение.</w:t>
      </w:r>
    </w:p>
    <w:p w14:paraId="4BA148AA" w14:textId="77777777" w:rsidR="00D92731" w:rsidRPr="00C21F6B" w:rsidRDefault="00D92731" w:rsidP="00D92731">
      <w:pPr>
        <w:pStyle w:val="SingleTxtG"/>
      </w:pPr>
      <w:r>
        <w:t>13.</w:t>
      </w:r>
      <w:r>
        <w:tab/>
        <w:t xml:space="preserve">Комитет обеспокоен количеством детей, рожденных от граждан Бельгии, которые все еще находятся в зонах конфликта, и условиями, в которых они там находятся, без доступа к четкой и справедливой процедуре, установленной для репатриации всех этих детей в соответствии с принципом наилучшего обеспечения интересов ребенка. Кроме того, Комитет обеспокоен тем, что бельгийские граждане, подозреваемые в совершении террористических актов или военных преступлений, могут быть преданы суду </w:t>
      </w:r>
      <w:proofErr w:type="gramStart"/>
      <w:r>
        <w:t>в третьих</w:t>
      </w:r>
      <w:proofErr w:type="gramEnd"/>
      <w:r>
        <w:t xml:space="preserve"> странах без соблюдения юридических гарантий, касающихся права на справедливое судебное разбирательство и других прав, закрепленных в Пакте (статьи 6, 7, 9, 12 и 24).</w:t>
      </w:r>
    </w:p>
    <w:p w14:paraId="056D70D0" w14:textId="77777777" w:rsidR="00D92731" w:rsidRPr="00C21F6B" w:rsidRDefault="00D92731" w:rsidP="00D92731">
      <w:pPr>
        <w:pStyle w:val="SingleTxtG"/>
        <w:rPr>
          <w:b/>
        </w:rPr>
      </w:pPr>
      <w:r>
        <w:t>14.</w:t>
      </w:r>
      <w:r>
        <w:tab/>
      </w:r>
      <w:r>
        <w:rPr>
          <w:b/>
          <w:bCs/>
        </w:rPr>
        <w:t>Государству-участнику следует:</w:t>
      </w:r>
    </w:p>
    <w:p w14:paraId="528D80E0" w14:textId="77777777" w:rsidR="00D92731" w:rsidRPr="00C21F6B" w:rsidRDefault="00D92731" w:rsidP="00D92731">
      <w:pPr>
        <w:pStyle w:val="SingleTxtG"/>
        <w:ind w:firstLine="567"/>
        <w:rPr>
          <w:b/>
        </w:rPr>
      </w:pPr>
      <w:r>
        <w:rPr>
          <w:b/>
          <w:bCs/>
        </w:rPr>
        <w:t>а)</w:t>
      </w:r>
      <w:r>
        <w:tab/>
      </w:r>
      <w:r>
        <w:rPr>
          <w:b/>
          <w:bCs/>
        </w:rPr>
        <w:t>содействовать репатриации всех детей, рожденных бельгийскими гражданами, которые находятся в зонах конфликта, соблюдая принцип наилучшего обеспечения интересов ребенка, и обеспечить им доступ к услугам по уходу и реинтеграции после репатриации;</w:t>
      </w:r>
    </w:p>
    <w:p w14:paraId="1995FCC0" w14:textId="77777777" w:rsidR="00D92731" w:rsidRPr="00C21F6B" w:rsidRDefault="00D92731" w:rsidP="00D92731">
      <w:pPr>
        <w:pStyle w:val="SingleTxtG"/>
        <w:ind w:firstLine="568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приложить необходимые усилия для обеспечения того, чтобы граждане Бельгии, подозреваемые в совершении террористических актов или военных преступлений, были подвергнуты судебному преследованию в соответствии с правами, закрепленными в Пакте.</w:t>
      </w:r>
    </w:p>
    <w:p w14:paraId="2A0E1064" w14:textId="77777777" w:rsidR="00D92731" w:rsidRPr="00C21F6B" w:rsidRDefault="00D92731" w:rsidP="00D92731">
      <w:pPr>
        <w:pStyle w:val="H23G"/>
      </w:pPr>
      <w:r>
        <w:tab/>
      </w:r>
      <w:r>
        <w:tab/>
      </w:r>
      <w:proofErr w:type="spellStart"/>
      <w:r>
        <w:t>Недискриминация</w:t>
      </w:r>
      <w:proofErr w:type="spellEnd"/>
      <w:r>
        <w:t xml:space="preserve"> и права лиц, принадлежащих к этническим, религиозным, языковым или сексуальным меньшинствам</w:t>
      </w:r>
    </w:p>
    <w:p w14:paraId="7897A078" w14:textId="77777777" w:rsidR="00D92731" w:rsidRPr="00C21F6B" w:rsidRDefault="00D92731" w:rsidP="00D92731">
      <w:pPr>
        <w:pStyle w:val="SingleTxtG"/>
      </w:pPr>
      <w:r>
        <w:t>15.</w:t>
      </w:r>
      <w:r>
        <w:tab/>
        <w:t>Приветствуя меры, принятые государством-участником для борьбы со всеми формами дискриминации, Комитет вместе с тем выражает свою обеспокоенность в связи с сохранением дискриминационных актов в отношении лиц, принадлежащих к этническим, религиозным, языковым или сексуальным меньшинствам. Комитет с обеспокоенностью отмечает все еще имеющие место акты дискриминации, такие как этническое профилирование в контексте проверок личности сотрудниками полиции, и препятствия для доступа к жилью или получения социальных пособий в результате дискриминации по признаку языка, без предоставления эффективных средств правовой защиты. Он также отмечает отсутствие данных в разбивке по этническому происхождению, полу и возрасту на различных уровнях и отсутствие национального плана действий по борьбе с расизмом (статьи 2, 18, 20 и 24</w:t>
      </w:r>
      <w:r w:rsidR="005F733A">
        <w:t>–</w:t>
      </w:r>
      <w:r>
        <w:t>27).</w:t>
      </w:r>
    </w:p>
    <w:p w14:paraId="6BF41B1F" w14:textId="77777777" w:rsidR="00D92731" w:rsidRPr="00C21F6B" w:rsidRDefault="00D92731" w:rsidP="00D92731">
      <w:pPr>
        <w:pStyle w:val="SingleTxtG"/>
        <w:keepNext/>
        <w:rPr>
          <w:b/>
        </w:rPr>
      </w:pPr>
      <w:r>
        <w:t>16.</w:t>
      </w:r>
      <w:r>
        <w:tab/>
      </w:r>
      <w:r>
        <w:rPr>
          <w:b/>
          <w:bCs/>
        </w:rPr>
        <w:t>Государству-участнику следует:</w:t>
      </w:r>
    </w:p>
    <w:p w14:paraId="0EC15419" w14:textId="77777777" w:rsidR="00D92731" w:rsidRPr="00C21F6B" w:rsidRDefault="00D92731" w:rsidP="00D92731">
      <w:pPr>
        <w:pStyle w:val="SingleTxtG"/>
        <w:ind w:firstLine="568"/>
        <w:rPr>
          <w:b/>
        </w:rPr>
      </w:pPr>
      <w:r>
        <w:rPr>
          <w:b/>
          <w:bCs/>
        </w:rPr>
        <w:t>а)</w:t>
      </w:r>
      <w:r>
        <w:tab/>
      </w:r>
      <w:r>
        <w:rPr>
          <w:b/>
          <w:bCs/>
        </w:rPr>
        <w:t>внести поправки в законодательство, однозначно запретив этническое профилирование, и обеспечить осуществление этого запрета и контроль за его соблюдением;</w:t>
      </w:r>
    </w:p>
    <w:p w14:paraId="29C402D9" w14:textId="77777777" w:rsidR="00D92731" w:rsidRPr="00C21F6B" w:rsidRDefault="00D92731" w:rsidP="00D92731">
      <w:pPr>
        <w:pStyle w:val="SingleTxtG"/>
        <w:ind w:firstLine="568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предусмотреть эффективное средство правовой защиты в случае жалоб на дискриминацию по признаку языка;</w:t>
      </w:r>
    </w:p>
    <w:p w14:paraId="5FAE0869" w14:textId="77777777" w:rsidR="00D92731" w:rsidRPr="00C21F6B" w:rsidRDefault="00D92731" w:rsidP="00D92731">
      <w:pPr>
        <w:pStyle w:val="SingleTxtG"/>
        <w:ind w:firstLine="568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обеспечить сбор данных в разбивке по этнической принадлежности, полу и возрасту на различных уровнях и в различных секторах в соответствии с показателями в области прав человека, установленными Управлением Верховного комиссара Организации Объединенных Наций по правам человека;</w:t>
      </w:r>
      <w:r>
        <w:t xml:space="preserve"> </w:t>
      </w:r>
    </w:p>
    <w:p w14:paraId="32858C39" w14:textId="77777777" w:rsidR="00D92731" w:rsidRPr="00C21F6B" w:rsidRDefault="00D92731" w:rsidP="00D92731">
      <w:pPr>
        <w:pStyle w:val="SingleTxtG"/>
        <w:ind w:firstLine="568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ускорить принятие национального плана действий по борьбе с расизмом и обеспечить его осуществление и мониторинг.</w:t>
      </w:r>
    </w:p>
    <w:p w14:paraId="486125A6" w14:textId="77777777" w:rsidR="00D92731" w:rsidRPr="00C21F6B" w:rsidRDefault="00D92731" w:rsidP="00D92731">
      <w:pPr>
        <w:pStyle w:val="H23G"/>
      </w:pPr>
      <w:r>
        <w:tab/>
      </w:r>
      <w:r>
        <w:tab/>
      </w:r>
      <w:r>
        <w:rPr>
          <w:bCs/>
        </w:rPr>
        <w:t>Свобода совести и религиозных убеждений</w:t>
      </w:r>
      <w:r>
        <w:t xml:space="preserve"> </w:t>
      </w:r>
    </w:p>
    <w:p w14:paraId="51EE1AF5" w14:textId="77777777" w:rsidR="00D92731" w:rsidRPr="00C21F6B" w:rsidRDefault="00D92731" w:rsidP="00D92731">
      <w:pPr>
        <w:pStyle w:val="SingleTxtG"/>
        <w:rPr>
          <w:color w:val="000000" w:themeColor="text1"/>
        </w:rPr>
      </w:pPr>
      <w:r>
        <w:t>17.</w:t>
      </w:r>
      <w:r>
        <w:tab/>
        <w:t xml:space="preserve">Отмечая незначительное число женщин, носящих </w:t>
      </w:r>
      <w:proofErr w:type="spellStart"/>
      <w:r>
        <w:t>никаб</w:t>
      </w:r>
      <w:proofErr w:type="spellEnd"/>
      <w:r>
        <w:t xml:space="preserve"> или бурку в государстве-участнике, Комитет обеспокоен законодательством о ношении паранджи в общественных местах, которое предусматривает наложение штрафа или тюремное заключение и поэтому может представлять собой несоразмерное вмешательство в свободу исповедовать свою религию или убеждения. Кроме того, Комитет обеспокоен запретом на ношение религиозных символов на работе, в некоторых государственных </w:t>
      </w:r>
      <w:r>
        <w:lastRenderedPageBreak/>
        <w:t>органах, а также учителями или учащимися государственных школ, что может привести к дискриминации и маргинализации некоторых лиц, принадлежащих к религиозным меньшинствам (статьи 2, 3, 18 и 26).</w:t>
      </w:r>
    </w:p>
    <w:p w14:paraId="368D180C" w14:textId="77777777" w:rsidR="00D92731" w:rsidRPr="00C21F6B" w:rsidRDefault="00D92731" w:rsidP="00D92731">
      <w:pPr>
        <w:pStyle w:val="SingleTxtG"/>
      </w:pPr>
      <w:r>
        <w:t>18.</w:t>
      </w:r>
      <w:r>
        <w:tab/>
      </w:r>
      <w:r>
        <w:rPr>
          <w:b/>
          <w:bCs/>
        </w:rPr>
        <w:t>Г</w:t>
      </w:r>
      <w:r>
        <w:rPr>
          <w:b/>
          <w:bCs/>
        </w:rPr>
        <w:t>осударству-участнику следует пересмотреть свое законодательство о ношении религиозных символов и одежды в общественных местах, на рабочих местах и в школах в соответствии со своими обязательствами по Пакту, касающимися, в частности, свободы мысли, совести и религии, и равенства перед законом.</w:t>
      </w:r>
      <w:r>
        <w:t xml:space="preserve"> </w:t>
      </w:r>
    </w:p>
    <w:p w14:paraId="5DE0658A" w14:textId="77777777" w:rsidR="00D92731" w:rsidRPr="00C21F6B" w:rsidRDefault="00D92731" w:rsidP="00D92731">
      <w:pPr>
        <w:pStyle w:val="H23G"/>
        <w:rPr>
          <w:color w:val="000000" w:themeColor="text1"/>
        </w:rPr>
      </w:pPr>
      <w:r>
        <w:tab/>
      </w:r>
      <w:r>
        <w:tab/>
      </w:r>
      <w:r>
        <w:rPr>
          <w:bCs/>
        </w:rPr>
        <w:t>Ненавистнические высказывания</w:t>
      </w:r>
    </w:p>
    <w:p w14:paraId="04A44F87" w14:textId="77777777" w:rsidR="00D92731" w:rsidRPr="00C21F6B" w:rsidRDefault="00D92731" w:rsidP="00D92731">
      <w:pPr>
        <w:pStyle w:val="SingleTxtG"/>
      </w:pPr>
      <w:r>
        <w:t>19.</w:t>
      </w:r>
      <w:r>
        <w:tab/>
        <w:t xml:space="preserve">Принимая во внимание меры, принятые государством-участником для борьбы с ненавистническими высказываниями, Комитет отмечает, что в законодательстве и процессуальных нормах проводится различие между борьбой с ненавистническими высказываниями на почве расизма или ксенофобии и борьбой с другими видам ненавистническим высказываний, такими как гомофобные или </w:t>
      </w:r>
      <w:proofErr w:type="spellStart"/>
      <w:r>
        <w:t>исламофобские</w:t>
      </w:r>
      <w:proofErr w:type="spellEnd"/>
      <w:r>
        <w:t xml:space="preserve"> высказывания (статьи 2, 19, 20 и 26).</w:t>
      </w:r>
    </w:p>
    <w:p w14:paraId="2E8BB334" w14:textId="77777777" w:rsidR="00D92731" w:rsidRPr="00C21F6B" w:rsidRDefault="00D92731" w:rsidP="00D92731">
      <w:pPr>
        <w:pStyle w:val="SingleTxtG"/>
        <w:spacing w:after="0"/>
      </w:pPr>
      <w:r>
        <w:t>20.</w:t>
      </w:r>
      <w:r>
        <w:tab/>
      </w:r>
      <w:r>
        <w:rPr>
          <w:b/>
          <w:bCs/>
        </w:rPr>
        <w:t>Государству-участнику следует пересмотреть свое законодательство, касающееся ненавистнических высказываний, с тем чтобы согласовать процедуры борьбы с различными видами таких высказываний.</w:t>
      </w:r>
    </w:p>
    <w:p w14:paraId="40669E78" w14:textId="77777777" w:rsidR="00D92731" w:rsidRPr="00C21F6B" w:rsidRDefault="00D92731" w:rsidP="00D92731">
      <w:pPr>
        <w:pStyle w:val="H23G"/>
        <w:rPr>
          <w:color w:val="000000" w:themeColor="text1"/>
        </w:rPr>
      </w:pPr>
      <w:r>
        <w:tab/>
      </w:r>
      <w:r>
        <w:tab/>
      </w:r>
      <w:r>
        <w:rPr>
          <w:bCs/>
        </w:rPr>
        <w:t>Сексуальная ориентация, гендерная идентичность и интерсексуальный статус</w:t>
      </w:r>
    </w:p>
    <w:p w14:paraId="3BDA2D7F" w14:textId="77777777" w:rsidR="00D92731" w:rsidRPr="00C21F6B" w:rsidRDefault="00D92731" w:rsidP="00D92731">
      <w:pPr>
        <w:pStyle w:val="SingleTxtG"/>
        <w:spacing w:after="100"/>
        <w:rPr>
          <w:color w:val="000000" w:themeColor="text1"/>
        </w:rPr>
      </w:pPr>
      <w:r>
        <w:t>21.</w:t>
      </w:r>
      <w:r>
        <w:tab/>
        <w:t>Комитет с обеспокоенностью отмечает, что дети, родившиеся с интерсексуальными признаками, в некоторых случаях подвергаются необратимому и инвазивному медицинскому вмешательству с целью коррекции пола, зачастую исходя из сложившихся гендерных стереотипов, прежде чем они могут дать на это свое свободно выраженное и осознанное согласие (статьи 3, 7, 9, 17, 24 и 26).</w:t>
      </w:r>
    </w:p>
    <w:p w14:paraId="3C103B0D" w14:textId="77777777" w:rsidR="00D92731" w:rsidRPr="00C21F6B" w:rsidRDefault="00D92731" w:rsidP="00D92731">
      <w:pPr>
        <w:pStyle w:val="SingleTxtG"/>
        <w:spacing w:after="100"/>
        <w:rPr>
          <w:b/>
          <w:color w:val="000000" w:themeColor="text1"/>
        </w:rPr>
      </w:pPr>
      <w:r>
        <w:t>22.</w:t>
      </w:r>
      <w:r>
        <w:tab/>
      </w:r>
      <w:r>
        <w:rPr>
          <w:b/>
          <w:bCs/>
        </w:rPr>
        <w:t>Государству-участнику следует принять необходимые меры для прекращения необратимых медицинских процедур, в частности хирургических операций, проводимых в отношении детей-</w:t>
      </w:r>
      <w:proofErr w:type="spellStart"/>
      <w:r>
        <w:rPr>
          <w:b/>
          <w:bCs/>
        </w:rPr>
        <w:t>интерсексов</w:t>
      </w:r>
      <w:proofErr w:type="spellEnd"/>
      <w:r>
        <w:rPr>
          <w:b/>
          <w:bCs/>
        </w:rPr>
        <w:t>, которые еще не в состоянии дать свое свободное и осознанное согласие, за исключением случаев, когда такие процедуры являются абсолютно необходимыми с медицинской точки зрения.</w:t>
      </w:r>
    </w:p>
    <w:p w14:paraId="55B63A5D" w14:textId="77777777" w:rsidR="00D92731" w:rsidRPr="00C21F6B" w:rsidRDefault="00D92731" w:rsidP="00D92731">
      <w:pPr>
        <w:pStyle w:val="H23G"/>
      </w:pPr>
      <w:r>
        <w:tab/>
      </w:r>
      <w:r>
        <w:tab/>
      </w:r>
      <w:proofErr w:type="spellStart"/>
      <w:r>
        <w:rPr>
          <w:bCs/>
        </w:rPr>
        <w:t>Недискриминация</w:t>
      </w:r>
      <w:proofErr w:type="spellEnd"/>
      <w:r>
        <w:rPr>
          <w:bCs/>
        </w:rPr>
        <w:t xml:space="preserve"> и насилие в отношении женщин</w:t>
      </w:r>
    </w:p>
    <w:p w14:paraId="4AE9D70E" w14:textId="77777777" w:rsidR="00D92731" w:rsidRPr="00C21F6B" w:rsidRDefault="00D92731" w:rsidP="00D92731">
      <w:pPr>
        <w:pStyle w:val="SingleTxtG"/>
      </w:pPr>
      <w:r>
        <w:t>23.</w:t>
      </w:r>
      <w:r>
        <w:tab/>
        <w:t>Комитет принимает к сведению принятые государством-участником законодательные меры, а также инициативы по уходу и оказанию поддержки и повышению осведомленности на уровне общин в целях борьбы с насилием в отношении женщин и вредными видами практики, включая принудительные браки, убийства в защиту чести и калечащие операции на женских половых органах. Однако он отмечает отсутствие дезагрегированных данных о различных формах насилия в отношении женщин с указанием количества зарегистрированных жалоб, возбужденных уголовных дел и вынесенных приговоров, а также с обеспокоенностью отмечает небольшое число сообщений от жертв насилия (статьи 7 и 23).</w:t>
      </w:r>
    </w:p>
    <w:p w14:paraId="07EC02B1" w14:textId="77777777" w:rsidR="00D92731" w:rsidRPr="00C21F6B" w:rsidRDefault="00D92731" w:rsidP="00D92731">
      <w:pPr>
        <w:pStyle w:val="SingleTxtG"/>
        <w:keepNext/>
        <w:spacing w:after="100"/>
        <w:rPr>
          <w:b/>
        </w:rPr>
      </w:pPr>
      <w:r>
        <w:t>24.</w:t>
      </w:r>
      <w:r>
        <w:tab/>
      </w:r>
      <w:r>
        <w:rPr>
          <w:b/>
          <w:bCs/>
        </w:rPr>
        <w:t>Государству-участнику следует:</w:t>
      </w:r>
    </w:p>
    <w:p w14:paraId="042FE22C" w14:textId="77777777" w:rsidR="00D92731" w:rsidRPr="00C21F6B" w:rsidRDefault="00D92731" w:rsidP="00D92731">
      <w:pPr>
        <w:pStyle w:val="SingleTxtG"/>
        <w:spacing w:after="100"/>
        <w:ind w:firstLine="567"/>
        <w:rPr>
          <w:b/>
        </w:rPr>
      </w:pPr>
      <w:r>
        <w:rPr>
          <w:b/>
          <w:bCs/>
        </w:rPr>
        <w:t>а)</w:t>
      </w:r>
      <w:r>
        <w:tab/>
      </w:r>
      <w:r>
        <w:rPr>
          <w:b/>
          <w:bCs/>
        </w:rPr>
        <w:t>продолжить свои усилия по повышению осведомленности общественности, полиции, судебных органов и социальных работников в центрах по уходу и оказанию поддержки о всех формах насилия в отношении женщин и механизмах, имеющихся в распоряжении жертв в случае нарушений;</w:t>
      </w:r>
    </w:p>
    <w:p w14:paraId="3C04695B" w14:textId="77777777" w:rsidR="00D92731" w:rsidRPr="00C21F6B" w:rsidRDefault="00D92731" w:rsidP="00D92731">
      <w:pPr>
        <w:pStyle w:val="SingleTxtG"/>
        <w:spacing w:after="100"/>
        <w:ind w:firstLine="568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совершенствовать систему сбора дезагрегированных данных о зарегистрированных фактах и вынесенных приговорах по всем формам насилия и вредным видам практике в отношении женщин;</w:t>
      </w:r>
    </w:p>
    <w:p w14:paraId="104AAAD1" w14:textId="77777777" w:rsidR="00D92731" w:rsidRPr="00C21F6B" w:rsidRDefault="00D92731" w:rsidP="00D92731">
      <w:pPr>
        <w:pStyle w:val="SingleTxtG"/>
        <w:spacing w:after="100"/>
        <w:ind w:firstLine="568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продолжить усилия по содействию подаче жалоб жертвами насилия.</w:t>
      </w:r>
    </w:p>
    <w:p w14:paraId="1B87D6D7" w14:textId="77777777" w:rsidR="00D92731" w:rsidRPr="00C21F6B" w:rsidRDefault="00D92731" w:rsidP="00D92731">
      <w:pPr>
        <w:pStyle w:val="H23G"/>
      </w:pPr>
      <w:r>
        <w:lastRenderedPageBreak/>
        <w:tab/>
      </w:r>
      <w:r>
        <w:tab/>
      </w:r>
      <w:r>
        <w:rPr>
          <w:bCs/>
        </w:rPr>
        <w:t>Запрещение пыток и жестоких, бесчеловечных или унижающих достоинство видов обращения и наказания</w:t>
      </w:r>
    </w:p>
    <w:p w14:paraId="4549B173" w14:textId="77777777" w:rsidR="00D92731" w:rsidRPr="00C21F6B" w:rsidRDefault="00D92731" w:rsidP="00D92731">
      <w:pPr>
        <w:pStyle w:val="SingleTxtG"/>
        <w:spacing w:after="100"/>
      </w:pPr>
      <w:r>
        <w:t>25.</w:t>
      </w:r>
      <w:r>
        <w:tab/>
        <w:t>Отмечая продолжающееся обсуждение вопроса о реформе Уголовного кодекса и Уголовно-процессуального кодекса, Комитет констатирует, что статья 417-</w:t>
      </w:r>
      <w:r w:rsidRPr="00D92731">
        <w:rPr>
          <w:iCs/>
        </w:rPr>
        <w:t>бис</w:t>
      </w:r>
      <w:r>
        <w:t xml:space="preserve"> Уголовного кодекса до сих пор не изменена с целью включения в нее актов пыток, совершенных третьей стороной по подстрекательству или с прямого или молчаливого согласия государственного должностного лица, и актов пыток, мотивированных любыми формами дискриминации. Он также обеспокоен отсутствием однозначного положения о неприемлемости доказательств, полученных под пытками (статья 7).</w:t>
      </w:r>
    </w:p>
    <w:p w14:paraId="37295D39" w14:textId="77777777" w:rsidR="00D92731" w:rsidRPr="00C21F6B" w:rsidRDefault="00D92731" w:rsidP="00D92731">
      <w:pPr>
        <w:pStyle w:val="SingleTxtG"/>
        <w:spacing w:after="100"/>
      </w:pPr>
      <w:r>
        <w:t>26.</w:t>
      </w:r>
      <w:r>
        <w:tab/>
      </w:r>
      <w:r>
        <w:rPr>
          <w:b/>
          <w:bCs/>
        </w:rPr>
        <w:t>Государству-участнику следует внести поправки в Уголовный кодекс и Уголовно-процессуальный кодекс в соответствии с положениями Пакта</w:t>
      </w:r>
      <w:r w:rsidR="005F733A">
        <w:rPr>
          <w:b/>
          <w:bCs/>
        </w:rPr>
        <w:t>,</w:t>
      </w:r>
      <w:r>
        <w:rPr>
          <w:b/>
          <w:bCs/>
        </w:rPr>
        <w:t xml:space="preserve"> в </w:t>
      </w:r>
      <w:proofErr w:type="gramStart"/>
      <w:r>
        <w:rPr>
          <w:b/>
          <w:bCs/>
        </w:rPr>
        <w:t>том</w:t>
      </w:r>
      <w:proofErr w:type="gramEnd"/>
      <w:r>
        <w:rPr>
          <w:b/>
          <w:bCs/>
        </w:rPr>
        <w:t xml:space="preserve"> что касается определения пыток и признаний, полученных под пыткой.</w:t>
      </w:r>
    </w:p>
    <w:p w14:paraId="48EA2262" w14:textId="77777777" w:rsidR="00D92731" w:rsidRPr="00C21F6B" w:rsidRDefault="00D92731" w:rsidP="00D92731">
      <w:pPr>
        <w:pStyle w:val="SingleTxtG"/>
        <w:spacing w:after="100"/>
      </w:pPr>
      <w:r>
        <w:t>27.</w:t>
      </w:r>
      <w:r>
        <w:tab/>
        <w:t>Комитет отмечает расхождение между, с одной стороны, количеством жалоб на жестокое обращение со стороны сотрудников полиции, поданных в Постоянный комитет по надзору за полицейскими службами, и, с другой стороны, количеством судебных расследований, обвинительных приговоров и дисциплинарных санкций, наложенных Следственной службой за такие действия. Кроме того, Комитет обеспокоен сохраняющейся озабоченностью по поводу степени независимости Постоянного комитета по надзору (статья 7).</w:t>
      </w:r>
    </w:p>
    <w:p w14:paraId="5935D8CD" w14:textId="77777777" w:rsidR="00D92731" w:rsidRPr="00C21F6B" w:rsidRDefault="00D92731" w:rsidP="00D92731">
      <w:pPr>
        <w:pStyle w:val="SingleTxtG"/>
      </w:pPr>
      <w:r>
        <w:t>28.</w:t>
      </w:r>
      <w:r>
        <w:tab/>
      </w:r>
      <w:r>
        <w:rPr>
          <w:b/>
          <w:bCs/>
        </w:rPr>
        <w:t>Государству-участнику следует обеспечить тщательное и беспристрастное расследование всех случаев предполагаемого жестокого обращения, представленных Постоянному комитету по надзору за полицией, и принять дополнительные меры для обеспечения независимости Комитета.</w:t>
      </w:r>
    </w:p>
    <w:p w14:paraId="01CB0A17" w14:textId="77777777" w:rsidR="00D92731" w:rsidRPr="00C21F6B" w:rsidRDefault="00D92731" w:rsidP="00D92731">
      <w:pPr>
        <w:pStyle w:val="H23G"/>
      </w:pPr>
      <w:r>
        <w:tab/>
      </w:r>
      <w:r>
        <w:tab/>
      </w:r>
      <w:r>
        <w:rPr>
          <w:bCs/>
        </w:rPr>
        <w:t>Беженцы, просители убежища и недопустимость принудительного возвращения</w:t>
      </w:r>
    </w:p>
    <w:p w14:paraId="654ED11F" w14:textId="77777777" w:rsidR="00D92731" w:rsidRPr="00C21F6B" w:rsidRDefault="00D92731" w:rsidP="00D92731">
      <w:pPr>
        <w:pStyle w:val="SingleTxtG"/>
      </w:pPr>
      <w:r>
        <w:t>29.</w:t>
      </w:r>
      <w:r>
        <w:tab/>
        <w:t>Комитет с обеспокоенностью отмечает сохраняющуюся в государстве-участнике практику задержания на основаниях, связанных с иммиграцией, и прежде всего возвращение к практике лишения свободы семей, беременных женщин и детей из числа мигрантов. Он выражает сожаление по поводу строительства закрытых блоков для содержания под стражей лиц по причинам, связанным с иммиграцией, и ограничений на свободу передвижения в случае мигрантов, находящихся в центрах содержания перед высылкой. Комитет также отмечает отсутствие законодательства, предусматривающего процедуру признания статуса апатрида с возможностью предоставления права на проживание признанному апатриду (статьи 7, 9, 10, 12, 13 и</w:t>
      </w:r>
      <w:r>
        <w:t> </w:t>
      </w:r>
      <w:r>
        <w:t>24).</w:t>
      </w:r>
    </w:p>
    <w:p w14:paraId="1BB97805" w14:textId="77777777" w:rsidR="00D92731" w:rsidRPr="00C21F6B" w:rsidRDefault="00D92731" w:rsidP="00D92731">
      <w:pPr>
        <w:pStyle w:val="SingleTxtG"/>
        <w:keepNext/>
        <w:rPr>
          <w:b/>
        </w:rPr>
      </w:pPr>
      <w:r>
        <w:t>30.</w:t>
      </w:r>
      <w:r>
        <w:tab/>
      </w:r>
      <w:r>
        <w:rPr>
          <w:b/>
          <w:bCs/>
        </w:rPr>
        <w:t>Государству-участнику следует:</w:t>
      </w:r>
    </w:p>
    <w:p w14:paraId="353E158F" w14:textId="77777777" w:rsidR="00D92731" w:rsidRPr="00C21F6B" w:rsidRDefault="00D92731" w:rsidP="00D92731">
      <w:pPr>
        <w:pStyle w:val="SingleTxtG"/>
        <w:ind w:firstLine="568"/>
        <w:rPr>
          <w:b/>
        </w:rPr>
      </w:pPr>
      <w:r>
        <w:rPr>
          <w:b/>
          <w:bCs/>
        </w:rPr>
        <w:t>а)</w:t>
      </w:r>
      <w:r>
        <w:tab/>
      </w:r>
      <w:r>
        <w:rPr>
          <w:b/>
          <w:bCs/>
        </w:rPr>
        <w:t>запретить задержание мигрантов, особенно семей, беременных женщин и детей, и разработать альтернативы задержанию в соответствии со своими обязательствами по Пакту, а также принципами наилучшего обеспечения интересов ребенка и единства семьи;</w:t>
      </w:r>
    </w:p>
    <w:p w14:paraId="29CDDC34" w14:textId="77777777" w:rsidR="00D92731" w:rsidRPr="00C21F6B" w:rsidRDefault="00D92731" w:rsidP="00D92731">
      <w:pPr>
        <w:pStyle w:val="SingleTxtG"/>
        <w:ind w:firstLine="568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 xml:space="preserve">принять законодательство о </w:t>
      </w:r>
      <w:proofErr w:type="spellStart"/>
      <w:r>
        <w:rPr>
          <w:b/>
          <w:bCs/>
        </w:rPr>
        <w:t>безгражданстве</w:t>
      </w:r>
      <w:proofErr w:type="spellEnd"/>
      <w:r>
        <w:rPr>
          <w:b/>
          <w:bCs/>
        </w:rPr>
        <w:t>, регулирующее предоставление гражданства или вида на жительство лицам, признанным апатридами в государстве-участнике.</w:t>
      </w:r>
    </w:p>
    <w:p w14:paraId="598574C8" w14:textId="77777777" w:rsidR="00D92731" w:rsidRPr="00C21F6B" w:rsidRDefault="00D92731" w:rsidP="00D92731">
      <w:pPr>
        <w:pStyle w:val="SingleTxtG"/>
      </w:pPr>
      <w:r>
        <w:t>31.</w:t>
      </w:r>
      <w:r>
        <w:tab/>
        <w:t>Комитет обеспокоен отсутствием эффективной процедуры индивидуальной оценки, с одной стороны, просителей убежища, а с другой стороны, высланных или выдворенных лиц в соответствии с принципами недопущения принудительного возвращения и безопасных третьих стран. Он также обеспокоен сообщениями о том, что суданские мигранты были высланы в 2017 году при содействии суданских властей, без предоставления им возможности воспользоваться результатами индивидуальной оценки их положения государством-участником (статьи 7, 9, 10, 12, 13 и 24).</w:t>
      </w:r>
    </w:p>
    <w:p w14:paraId="6FDDF7D7" w14:textId="77777777" w:rsidR="0099714B" w:rsidRDefault="00D92731" w:rsidP="00D92731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 xml:space="preserve">Государству-участнику следует принять все необходимые меры для обеспечения проведения индивидуальной оценки в каждом случае предоставления убежища, высылки или выдворения при полном соблюдении </w:t>
      </w:r>
      <w:r w:rsidR="0099714B">
        <w:rPr>
          <w:b/>
          <w:bCs/>
        </w:rPr>
        <w:br/>
      </w:r>
    </w:p>
    <w:p w14:paraId="3179F57B" w14:textId="77777777" w:rsidR="00D92731" w:rsidRPr="00C21F6B" w:rsidRDefault="00D92731" w:rsidP="00D92731">
      <w:pPr>
        <w:pStyle w:val="SingleTxtG"/>
      </w:pPr>
      <w:r>
        <w:rPr>
          <w:b/>
          <w:bCs/>
        </w:rPr>
        <w:lastRenderedPageBreak/>
        <w:t>принципов недопущения принудительного возвращения и безопасных третьих стран в соответствии с его обязательствами по Пакту.</w:t>
      </w:r>
      <w:r>
        <w:t xml:space="preserve"> </w:t>
      </w:r>
      <w:r>
        <w:rPr>
          <w:b/>
          <w:bCs/>
        </w:rPr>
        <w:t>Государству-участнику следует также обеспечить эффективный и независимый мониторинг операций по высылке.</w:t>
      </w:r>
    </w:p>
    <w:p w14:paraId="2ECB4B9F" w14:textId="77777777" w:rsidR="00D92731" w:rsidRPr="00C21F6B" w:rsidRDefault="00D92731" w:rsidP="00D92731">
      <w:pPr>
        <w:pStyle w:val="H23G"/>
      </w:pPr>
      <w:r>
        <w:tab/>
      </w:r>
      <w:r>
        <w:tab/>
      </w:r>
      <w:r>
        <w:rPr>
          <w:bCs/>
        </w:rPr>
        <w:t>Личная неприкосновенность и условия содержания под стражей</w:t>
      </w:r>
    </w:p>
    <w:p w14:paraId="4820E7BB" w14:textId="77777777" w:rsidR="00D92731" w:rsidRPr="00C21F6B" w:rsidRDefault="00D92731" w:rsidP="00D92731">
      <w:pPr>
        <w:pStyle w:val="SingleTxtG"/>
      </w:pPr>
      <w:r>
        <w:t>33.</w:t>
      </w:r>
      <w:r>
        <w:tab/>
        <w:t>Комитет отмечает меры, принятые государством-участником для улучшения условий содержания под стражей. Тем не менее он по-прежнему обеспокоен: а)</w:t>
      </w:r>
      <w:r>
        <w:t> </w:t>
      </w:r>
      <w:r>
        <w:t>высоким показателем переполненности тюрем; b) недостаточным применением мер наказания, альтернативных лишению свободы; с) отсутствием доступа к здравоохранению и медицинским услугам; d) чрезмерным использованием лекарств; е)</w:t>
      </w:r>
      <w:r>
        <w:t> </w:t>
      </w:r>
      <w:r>
        <w:t>числом самоубийств в местах содержания под стражей; и f) содержанием лиц с психическими расстройствами в психиатрических отделениях тюрем, где необходимый уход и лечение являются недостаточными. Он также с обеспокоенностью отмечает воздействие забастовок персонала пенитенциарных учреждений на положение заключенных в последние годы. При этом он с удовлетворением отмечает принятие государством-участником Закона № 2019011569 от 23 марта 2019 года об организации работы пенитенциарных учреждений и статусе персонала пенитенциарных учреждений, с тем чтобы обеспечить минимальное число сотрудников в таких учреждениях (статьи 7, 9 и 10).</w:t>
      </w:r>
    </w:p>
    <w:p w14:paraId="3166CA06" w14:textId="77777777" w:rsidR="00D92731" w:rsidRPr="00C21F6B" w:rsidRDefault="00D92731" w:rsidP="00D92731">
      <w:pPr>
        <w:pStyle w:val="SingleTxtG"/>
        <w:keepNext/>
        <w:rPr>
          <w:b/>
        </w:rPr>
      </w:pPr>
      <w:r>
        <w:t>34.</w:t>
      </w:r>
      <w:r>
        <w:tab/>
      </w:r>
      <w:r>
        <w:rPr>
          <w:b/>
          <w:bCs/>
        </w:rPr>
        <w:t>Государству-участнику следует:</w:t>
      </w:r>
    </w:p>
    <w:p w14:paraId="4F6120E5" w14:textId="77777777" w:rsidR="00D92731" w:rsidRPr="00C21F6B" w:rsidRDefault="00D92731" w:rsidP="00D92731">
      <w:pPr>
        <w:pStyle w:val="SingleTxtG"/>
        <w:ind w:firstLine="568"/>
        <w:rPr>
          <w:b/>
        </w:rPr>
      </w:pPr>
      <w:r>
        <w:rPr>
          <w:b/>
          <w:bCs/>
        </w:rPr>
        <w:t>а)</w:t>
      </w:r>
      <w:r>
        <w:tab/>
      </w:r>
      <w:r>
        <w:rPr>
          <w:b/>
          <w:bCs/>
        </w:rPr>
        <w:t>продолжить усилия по сокращению переполненности тюрем, в том числе путем использования альтернатив содержанию под стражей, и улучшению условий содержания в местах содержания под стражей в соответствии с Минимальными стандартными правилами обращения с заключенными Организации Объединенных Наций (Правила Нельсона Манделы);</w:t>
      </w:r>
    </w:p>
    <w:p w14:paraId="5C37CD6D" w14:textId="77777777" w:rsidR="00D92731" w:rsidRPr="00C21F6B" w:rsidRDefault="00D92731" w:rsidP="00D92731">
      <w:pPr>
        <w:pStyle w:val="SingleTxtG"/>
        <w:ind w:firstLine="568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предусмотреть меры, альтернативные лишению свободы лиц с психическими расстройствами в пенитенциарных учреждениях;</w:t>
      </w:r>
    </w:p>
    <w:p w14:paraId="63D0BF70" w14:textId="77777777" w:rsidR="00D92731" w:rsidRPr="00C21F6B" w:rsidRDefault="00D92731" w:rsidP="00D92731">
      <w:pPr>
        <w:pStyle w:val="SingleTxtG"/>
        <w:ind w:firstLine="568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обеспечить осуществление Закона № 2019011569 от 23 марта 2019</w:t>
      </w:r>
      <w:r>
        <w:rPr>
          <w:b/>
          <w:bCs/>
        </w:rPr>
        <w:t> </w:t>
      </w:r>
      <w:r>
        <w:rPr>
          <w:b/>
          <w:bCs/>
        </w:rPr>
        <w:t>года об организации работы пенитенциарных учреждений и статусе персонала пенитенциарных учреждений, с тем чтобы обеспечить минимальное число сотрудников в таких учреждениях, в том числе во время забастовок.</w:t>
      </w:r>
    </w:p>
    <w:p w14:paraId="5A4D1AA8" w14:textId="77777777" w:rsidR="00D92731" w:rsidRPr="00C21F6B" w:rsidRDefault="00D92731" w:rsidP="00D92731">
      <w:pPr>
        <w:pStyle w:val="H1G"/>
      </w:pPr>
      <w:r>
        <w:tab/>
      </w:r>
      <w:r>
        <w:t>D.</w:t>
      </w:r>
      <w:r>
        <w:tab/>
      </w:r>
      <w:r>
        <w:tab/>
      </w:r>
      <w:r>
        <w:rPr>
          <w:bCs/>
        </w:rPr>
        <w:t>Распространение информации и последующая деятельность</w:t>
      </w:r>
    </w:p>
    <w:p w14:paraId="5B04793E" w14:textId="77777777" w:rsidR="00D92731" w:rsidRPr="00C21F6B" w:rsidRDefault="00D92731" w:rsidP="00D92731">
      <w:pPr>
        <w:pStyle w:val="SingleTxtG"/>
      </w:pPr>
      <w:r>
        <w:t>35.</w:t>
      </w:r>
      <w:r>
        <w:tab/>
      </w:r>
      <w:r>
        <w:rPr>
          <w:b/>
          <w:bCs/>
        </w:rPr>
        <w:t>Государству-участнику следует обеспечить широкое распространение Пакта, своего шестого периодического доклада и настоящих заключительных замечаний, с тем чтобы повысить уровень осведомленности судебных, законодательных и административных органов, гражданского общества и действующих в стране неправительственных организаций, а также широкой общественности</w:t>
      </w:r>
      <w:r>
        <w:t xml:space="preserve"> </w:t>
      </w:r>
      <w:r>
        <w:rPr>
          <w:b/>
          <w:bCs/>
        </w:rPr>
        <w:t>Государству-участнику следует обеспечить перевод доклада и настоящих заключительных замечаний на его официальные языки.</w:t>
      </w:r>
    </w:p>
    <w:p w14:paraId="55AC3409" w14:textId="77777777" w:rsidR="00D92731" w:rsidRPr="00C21F6B" w:rsidRDefault="00D92731" w:rsidP="00D92731">
      <w:pPr>
        <w:pStyle w:val="SingleTxtG"/>
      </w:pPr>
      <w:r>
        <w:t>36.</w:t>
      </w:r>
      <w:r>
        <w:tab/>
      </w:r>
      <w:r>
        <w:rPr>
          <w:b/>
          <w:bCs/>
        </w:rPr>
        <w:t>В соответствии с пунктом 1 правила 75 правил процедуры Комитета государству-участнику предлагается представить к 8 ноября 2021 года информацию о последующих мерах по выполнению рекомендаций Комитета, содержащихся в пунктах 10 (Федеральный институт по защите и поощрению прав человека), 14 (репатриация всех детей граждан Бельгии, находящихся в районах конфликта) и 30 (задержание по причинам, связанным с иммиграцией) выше.</w:t>
      </w:r>
    </w:p>
    <w:p w14:paraId="4A55286B" w14:textId="77777777" w:rsidR="0099714B" w:rsidRDefault="00D92731" w:rsidP="00D92731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В соответствии с прогнозируемым циклом обзора Комитета государство-участник получит от Комитета в 2025 году перечень вопросов, подлежащих рассмотрению до представления доклада, и через один год направит свои ответы на перечень вопросов, которые и будут представлять собой его седьмой периодический доклад.</w:t>
      </w:r>
      <w:r>
        <w:t xml:space="preserve"> </w:t>
      </w:r>
      <w:r>
        <w:rPr>
          <w:b/>
          <w:bCs/>
        </w:rPr>
        <w:t xml:space="preserve">Комитет также просит государство-участник при </w:t>
      </w:r>
      <w:r w:rsidR="0099714B">
        <w:rPr>
          <w:b/>
          <w:bCs/>
        </w:rPr>
        <w:br/>
      </w:r>
    </w:p>
    <w:p w14:paraId="3FFC60F8" w14:textId="77777777" w:rsidR="00D92731" w:rsidRPr="00C21F6B" w:rsidRDefault="00D92731" w:rsidP="00D92731">
      <w:pPr>
        <w:pStyle w:val="SingleTxtG"/>
      </w:pPr>
      <w:r>
        <w:rPr>
          <w:b/>
          <w:bCs/>
        </w:rPr>
        <w:lastRenderedPageBreak/>
        <w:t>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организаций.</w:t>
      </w:r>
      <w:r>
        <w:t xml:space="preserve"> </w:t>
      </w:r>
      <w:r>
        <w:rPr>
          <w:b/>
          <w:bCs/>
        </w:rPr>
        <w:t>В соответствии с резолюцией</w:t>
      </w:r>
      <w:bookmarkStart w:id="0" w:name="_GoBack"/>
      <w:bookmarkEnd w:id="0"/>
      <w:r>
        <w:rPr>
          <w:b/>
          <w:bCs/>
        </w:rPr>
        <w:t xml:space="preserve"> 68/268 Генеральной Ассамблеи объем этого доклада не должен превышать 21 200 слов.</w:t>
      </w:r>
      <w:r>
        <w:t xml:space="preserve"> </w:t>
      </w:r>
      <w:r>
        <w:rPr>
          <w:b/>
          <w:bCs/>
        </w:rPr>
        <w:t>Следующий конструктивный диалог с государством-участником состоится в 2027 году в Женеве.</w:t>
      </w:r>
    </w:p>
    <w:p w14:paraId="5020EA9A" w14:textId="77777777" w:rsidR="00D92731" w:rsidRPr="00C21F6B" w:rsidRDefault="00D92731" w:rsidP="00D92731">
      <w:pPr>
        <w:pStyle w:val="SingleTxtG"/>
        <w:spacing w:before="240" w:after="0"/>
        <w:jc w:val="center"/>
        <w:rPr>
          <w:u w:val="single"/>
        </w:rPr>
      </w:pPr>
      <w:r w:rsidRPr="00C21F6B">
        <w:rPr>
          <w:u w:val="single"/>
        </w:rPr>
        <w:tab/>
      </w:r>
      <w:r w:rsidRPr="00C21F6B">
        <w:rPr>
          <w:u w:val="single"/>
        </w:rPr>
        <w:tab/>
      </w:r>
      <w:r w:rsidRPr="00C21F6B">
        <w:rPr>
          <w:u w:val="single"/>
        </w:rPr>
        <w:tab/>
      </w:r>
      <w:r>
        <w:rPr>
          <w:u w:val="single"/>
        </w:rPr>
        <w:tab/>
      </w:r>
    </w:p>
    <w:sectPr w:rsidR="00D92731" w:rsidRPr="00C21F6B" w:rsidSect="00D927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074DE" w14:textId="77777777" w:rsidR="00186E5D" w:rsidRPr="00A312BC" w:rsidRDefault="00186E5D" w:rsidP="00A312BC"/>
  </w:endnote>
  <w:endnote w:type="continuationSeparator" w:id="0">
    <w:p w14:paraId="580D003F" w14:textId="77777777" w:rsidR="00186E5D" w:rsidRPr="00A312BC" w:rsidRDefault="00186E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E0EC" w14:textId="77777777" w:rsidR="00D92731" w:rsidRPr="00D92731" w:rsidRDefault="00D92731">
    <w:pPr>
      <w:pStyle w:val="a8"/>
    </w:pPr>
    <w:r w:rsidRPr="00D92731">
      <w:rPr>
        <w:b/>
        <w:sz w:val="18"/>
      </w:rPr>
      <w:fldChar w:fldCharType="begin"/>
    </w:r>
    <w:r w:rsidRPr="00D92731">
      <w:rPr>
        <w:b/>
        <w:sz w:val="18"/>
      </w:rPr>
      <w:instrText xml:space="preserve"> PAGE  \* MERGEFORMAT </w:instrText>
    </w:r>
    <w:r w:rsidRPr="00D92731">
      <w:rPr>
        <w:b/>
        <w:sz w:val="18"/>
      </w:rPr>
      <w:fldChar w:fldCharType="separate"/>
    </w:r>
    <w:r w:rsidRPr="00D92731">
      <w:rPr>
        <w:b/>
        <w:noProof/>
        <w:sz w:val="18"/>
      </w:rPr>
      <w:t>2</w:t>
    </w:r>
    <w:r w:rsidRPr="00D92731">
      <w:rPr>
        <w:b/>
        <w:sz w:val="18"/>
      </w:rPr>
      <w:fldChar w:fldCharType="end"/>
    </w:r>
    <w:r>
      <w:rPr>
        <w:b/>
        <w:sz w:val="18"/>
      </w:rPr>
      <w:tab/>
    </w:r>
    <w:r>
      <w:t>GE.19-21020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58F9" w14:textId="77777777" w:rsidR="00D92731" w:rsidRPr="00D92731" w:rsidRDefault="00D92731" w:rsidP="00D92731">
    <w:pPr>
      <w:pStyle w:val="a8"/>
      <w:tabs>
        <w:tab w:val="clear" w:pos="9639"/>
        <w:tab w:val="right" w:pos="9638"/>
      </w:tabs>
      <w:rPr>
        <w:b/>
        <w:sz w:val="18"/>
      </w:rPr>
    </w:pPr>
    <w:r>
      <w:t>GE.19-21020</w:t>
    </w:r>
    <w:r>
      <w:tab/>
    </w:r>
    <w:r w:rsidRPr="00D92731">
      <w:rPr>
        <w:b/>
        <w:sz w:val="18"/>
      </w:rPr>
      <w:fldChar w:fldCharType="begin"/>
    </w:r>
    <w:r w:rsidRPr="00D92731">
      <w:rPr>
        <w:b/>
        <w:sz w:val="18"/>
      </w:rPr>
      <w:instrText xml:space="preserve"> PAGE  \* MERGEFORMAT </w:instrText>
    </w:r>
    <w:r w:rsidRPr="00D92731">
      <w:rPr>
        <w:b/>
        <w:sz w:val="18"/>
      </w:rPr>
      <w:fldChar w:fldCharType="separate"/>
    </w:r>
    <w:r w:rsidRPr="00D92731">
      <w:rPr>
        <w:b/>
        <w:noProof/>
        <w:sz w:val="18"/>
      </w:rPr>
      <w:t>3</w:t>
    </w:r>
    <w:r w:rsidRPr="00D927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3623" w14:textId="77777777" w:rsidR="00042B72" w:rsidRPr="00D92731" w:rsidRDefault="00D92731" w:rsidP="00D9273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7A106A" wp14:editId="6FD47BC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21020  (</w:t>
    </w:r>
    <w:proofErr w:type="gramEnd"/>
    <w:r>
      <w:t>R)</w:t>
    </w:r>
    <w:r>
      <w:rPr>
        <w:lang w:val="en-US"/>
      </w:rPr>
      <w:t xml:space="preserve">  191219  201219</w:t>
    </w:r>
    <w:r>
      <w:br/>
    </w:r>
    <w:r w:rsidRPr="00D92731">
      <w:rPr>
        <w:rFonts w:ascii="C39T30Lfz" w:hAnsi="C39T30Lfz"/>
        <w:kern w:val="14"/>
        <w:sz w:val="56"/>
      </w:rPr>
      <w:t></w:t>
    </w:r>
    <w:r w:rsidRPr="00D92731">
      <w:rPr>
        <w:rFonts w:ascii="C39T30Lfz" w:hAnsi="C39T30Lfz"/>
        <w:kern w:val="14"/>
        <w:sz w:val="56"/>
      </w:rPr>
      <w:t></w:t>
    </w:r>
    <w:r w:rsidRPr="00D92731">
      <w:rPr>
        <w:rFonts w:ascii="C39T30Lfz" w:hAnsi="C39T30Lfz"/>
        <w:kern w:val="14"/>
        <w:sz w:val="56"/>
      </w:rPr>
      <w:t></w:t>
    </w:r>
    <w:r w:rsidRPr="00D92731">
      <w:rPr>
        <w:rFonts w:ascii="C39T30Lfz" w:hAnsi="C39T30Lfz"/>
        <w:kern w:val="14"/>
        <w:sz w:val="56"/>
      </w:rPr>
      <w:t></w:t>
    </w:r>
    <w:r w:rsidRPr="00D92731">
      <w:rPr>
        <w:rFonts w:ascii="C39T30Lfz" w:hAnsi="C39T30Lfz"/>
        <w:kern w:val="14"/>
        <w:sz w:val="56"/>
      </w:rPr>
      <w:t></w:t>
    </w:r>
    <w:r w:rsidRPr="00D92731">
      <w:rPr>
        <w:rFonts w:ascii="C39T30Lfz" w:hAnsi="C39T30Lfz"/>
        <w:kern w:val="14"/>
        <w:sz w:val="56"/>
      </w:rPr>
      <w:t></w:t>
    </w:r>
    <w:r w:rsidRPr="00D92731">
      <w:rPr>
        <w:rFonts w:ascii="C39T30Lfz" w:hAnsi="C39T30Lfz"/>
        <w:kern w:val="14"/>
        <w:sz w:val="56"/>
      </w:rPr>
      <w:t></w:t>
    </w:r>
    <w:r w:rsidRPr="00D92731">
      <w:rPr>
        <w:rFonts w:ascii="C39T30Lfz" w:hAnsi="C39T30Lfz"/>
        <w:kern w:val="14"/>
        <w:sz w:val="56"/>
      </w:rPr>
      <w:t></w:t>
    </w:r>
    <w:r w:rsidRPr="00D9273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B7F597C" wp14:editId="7F98A4B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CPR/C/BEL/CO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BEL/CO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A40D" w14:textId="77777777" w:rsidR="00186E5D" w:rsidRPr="001075E9" w:rsidRDefault="00186E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7F3780" w14:textId="77777777" w:rsidR="00186E5D" w:rsidRDefault="00186E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F3E2F0" w14:textId="77777777" w:rsidR="00D92731" w:rsidRPr="00C21F6B" w:rsidRDefault="00D92731" w:rsidP="00D92731">
      <w:pPr>
        <w:pStyle w:val="ad"/>
      </w:pPr>
      <w:r>
        <w:tab/>
      </w:r>
      <w:r w:rsidRPr="00D92731">
        <w:rPr>
          <w:sz w:val="20"/>
        </w:rPr>
        <w:t>*</w:t>
      </w:r>
      <w:r>
        <w:tab/>
        <w:t xml:space="preserve">Приняты Комитетом на его 127-й сессии (14 октября </w:t>
      </w:r>
      <w:r>
        <w:t>–</w:t>
      </w:r>
      <w:r>
        <w:t xml:space="preserve"> 8 ноября 2019 года).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2EB6" w14:textId="5C6545E1" w:rsidR="00D92731" w:rsidRPr="00D92731" w:rsidRDefault="00D92731">
    <w:pPr>
      <w:pStyle w:val="a5"/>
    </w:pPr>
    <w:fldSimple w:instr=" TITLE  \* MERGEFORMAT ">
      <w:r w:rsidR="0090070D">
        <w:t>CCPR/C/BEL/CO/6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F855" w14:textId="31F057F1" w:rsidR="00D92731" w:rsidRPr="00D92731" w:rsidRDefault="00D92731" w:rsidP="00D92731">
    <w:pPr>
      <w:pStyle w:val="a5"/>
      <w:jc w:val="right"/>
    </w:pPr>
    <w:fldSimple w:instr=" TITLE  \* MERGEFORMAT ">
      <w:r w:rsidR="0090070D">
        <w:t>CCPR/C/BEL/CO/6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5D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86E5D"/>
    <w:rsid w:val="00196389"/>
    <w:rsid w:val="001B3EF6"/>
    <w:rsid w:val="001C7A89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0385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5F733A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070D"/>
    <w:rsid w:val="00906890"/>
    <w:rsid w:val="00911BE4"/>
    <w:rsid w:val="00931A71"/>
    <w:rsid w:val="00951972"/>
    <w:rsid w:val="009608F3"/>
    <w:rsid w:val="009918E2"/>
    <w:rsid w:val="0099714B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77B79"/>
    <w:rsid w:val="00BC18B2"/>
    <w:rsid w:val="00BC3629"/>
    <w:rsid w:val="00BD33EE"/>
    <w:rsid w:val="00BF1A04"/>
    <w:rsid w:val="00C0177C"/>
    <w:rsid w:val="00C106D6"/>
    <w:rsid w:val="00C270F9"/>
    <w:rsid w:val="00C46D5A"/>
    <w:rsid w:val="00C60F0C"/>
    <w:rsid w:val="00C805C9"/>
    <w:rsid w:val="00C92939"/>
    <w:rsid w:val="00C96F87"/>
    <w:rsid w:val="00CA1679"/>
    <w:rsid w:val="00CB151C"/>
    <w:rsid w:val="00CE5A1A"/>
    <w:rsid w:val="00CF55F6"/>
    <w:rsid w:val="00D33D63"/>
    <w:rsid w:val="00D90028"/>
    <w:rsid w:val="00D90138"/>
    <w:rsid w:val="00D9090B"/>
    <w:rsid w:val="00D92731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B5CD46"/>
  <w15:docId w15:val="{8396C7DE-B219-4CA2-ACCA-A49BA4F7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,ftref,BVI fnr,16 Point,Superscript 6 Point,Footnote,Footnote symbol,Footnote Refernece,Texto de nota al pie,Fußnotenzeichen_Raxen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D92731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D92731"/>
    <w:rPr>
      <w:b/>
      <w:sz w:val="24"/>
      <w:lang w:val="ru-RU" w:eastAsia="ru-RU"/>
    </w:rPr>
  </w:style>
  <w:style w:type="character" w:customStyle="1" w:styleId="H23GChar">
    <w:name w:val="_ H_2/3_G Char"/>
    <w:link w:val="H23G"/>
    <w:locked/>
    <w:rsid w:val="00D92731"/>
    <w:rPr>
      <w:b/>
      <w:lang w:val="ru-RU" w:eastAsia="ru-RU"/>
    </w:rPr>
  </w:style>
  <w:style w:type="character" w:customStyle="1" w:styleId="SingleTxtGChar">
    <w:name w:val="_ Single Txt_G Char"/>
    <w:link w:val="SingleTxtG"/>
    <w:rsid w:val="00D9273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8</Pages>
  <Words>2892</Words>
  <Characters>19702</Characters>
  <Application>Microsoft Office Word</Application>
  <DocSecurity>0</DocSecurity>
  <Lines>364</Lines>
  <Paragraphs>107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CCPR/C/BEL/CO/6</vt:lpstr>
      <vt:lpstr>A/</vt:lpstr>
      <vt:lpstr>A/</vt:lpstr>
    </vt:vector>
  </TitlesOfParts>
  <Company>DCM</Company>
  <LinksUpToDate>false</LinksUpToDate>
  <CharactersWithSpaces>22487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CCPR/C/BEL/CO/6</dc:title>
  <dc:subject/>
  <dc:creator>Svetlana PROKOUDINA</dc:creator>
  <cp:keywords/>
  <cp:lastModifiedBy>Svetlana PROKOUDINA</cp:lastModifiedBy>
  <cp:revision>3</cp:revision>
  <cp:lastPrinted>2019-12-20T09:54:00Z</cp:lastPrinted>
  <dcterms:created xsi:type="dcterms:W3CDTF">2019-12-20T09:54:00Z</dcterms:created>
  <dcterms:modified xsi:type="dcterms:W3CDTF">2019-12-20T09:55:00Z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