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1985"/>
        <w:gridCol w:w="3543"/>
        <w:gridCol w:w="2835"/>
      </w:tblGrid>
      <w:tr w:rsidR="00956D9A" w:rsidRPr="009048B7">
        <w:trPr>
          <w:trHeight w:hRule="exact" w:val="851"/>
        </w:trPr>
        <w:tc>
          <w:tcPr>
            <w:tcW w:w="1276" w:type="dxa"/>
            <w:tcBorders>
              <w:bottom w:val="single" w:sz="4" w:space="0" w:color="auto"/>
            </w:tcBorders>
            <w:vAlign w:val="bottom"/>
          </w:tcPr>
          <w:p w:rsidR="00956D9A" w:rsidRPr="00193C7F" w:rsidRDefault="00956D9A" w:rsidP="00956D9A">
            <w:pPr>
              <w:spacing w:after="80"/>
              <w:rPr>
                <w:i/>
              </w:rPr>
            </w:pPr>
          </w:p>
        </w:tc>
        <w:tc>
          <w:tcPr>
            <w:tcW w:w="1985" w:type="dxa"/>
            <w:tcBorders>
              <w:bottom w:val="single" w:sz="4" w:space="0" w:color="auto"/>
            </w:tcBorders>
            <w:vAlign w:val="bottom"/>
          </w:tcPr>
          <w:p w:rsidR="00956D9A" w:rsidRPr="00B97172" w:rsidRDefault="00956D9A" w:rsidP="00956D9A">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956D9A" w:rsidRPr="009048B7" w:rsidRDefault="00956D9A" w:rsidP="00655ECC">
            <w:pPr>
              <w:jc w:val="right"/>
              <w:rPr>
                <w:lang w:val="fr-CH"/>
              </w:rPr>
            </w:pPr>
            <w:r w:rsidRPr="009048B7">
              <w:rPr>
                <w:sz w:val="40"/>
                <w:lang w:val="fr-CH"/>
              </w:rPr>
              <w:t>CAT</w:t>
            </w:r>
            <w:r w:rsidRPr="009048B7">
              <w:rPr>
                <w:lang w:val="fr-CH"/>
              </w:rPr>
              <w:t>/C/</w:t>
            </w:r>
            <w:r w:rsidR="00655ECC">
              <w:rPr>
                <w:lang w:val="fr-CH"/>
              </w:rPr>
              <w:t>MOZ</w:t>
            </w:r>
            <w:r w:rsidRPr="009048B7">
              <w:rPr>
                <w:lang w:val="fr-CH"/>
              </w:rPr>
              <w:t>/CO/</w:t>
            </w:r>
            <w:r w:rsidR="00655ECC">
              <w:rPr>
                <w:lang w:val="fr-CH"/>
              </w:rPr>
              <w:t>1</w:t>
            </w:r>
          </w:p>
        </w:tc>
      </w:tr>
      <w:tr w:rsidR="00956D9A" w:rsidRPr="00B522E9">
        <w:trPr>
          <w:cantSplit/>
          <w:trHeight w:hRule="exact" w:val="2835"/>
        </w:trPr>
        <w:tc>
          <w:tcPr>
            <w:tcW w:w="1276" w:type="dxa"/>
            <w:tcBorders>
              <w:top w:val="single" w:sz="4" w:space="0" w:color="auto"/>
              <w:bottom w:val="single" w:sz="12" w:space="0" w:color="auto"/>
            </w:tcBorders>
          </w:tcPr>
          <w:p w:rsidR="00956D9A" w:rsidRPr="00A079D3" w:rsidRDefault="00956D9A" w:rsidP="00956D9A">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56D9A" w:rsidRPr="00A079D3" w:rsidRDefault="00956D9A" w:rsidP="00956D9A">
            <w:pPr>
              <w:spacing w:before="120" w:line="380" w:lineRule="exact"/>
              <w:rPr>
                <w:sz w:val="34"/>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956D9A" w:rsidRPr="00B522E9" w:rsidRDefault="00956D9A" w:rsidP="00956D9A">
            <w:pPr>
              <w:spacing w:before="240" w:line="240" w:lineRule="exact"/>
              <w:rPr>
                <w:lang w:val="en-US"/>
              </w:rPr>
            </w:pPr>
            <w:r w:rsidRPr="00B522E9">
              <w:rPr>
                <w:lang w:val="en-US"/>
              </w:rPr>
              <w:t xml:space="preserve">Distr.: </w:t>
            </w:r>
            <w:r w:rsidR="00D93D30">
              <w:rPr>
                <w:lang w:val="en-US"/>
              </w:rPr>
              <w:t>General</w:t>
            </w:r>
          </w:p>
          <w:p w:rsidR="00956D9A" w:rsidRPr="00B522E9" w:rsidRDefault="009A6A94" w:rsidP="009A6A94">
            <w:pPr>
              <w:spacing w:line="240" w:lineRule="exact"/>
              <w:rPr>
                <w:lang w:val="en-US"/>
              </w:rPr>
            </w:pPr>
            <w:r>
              <w:rPr>
                <w:lang w:val="en-US"/>
              </w:rPr>
              <w:t>10</w:t>
            </w:r>
            <w:r w:rsidR="00C33834" w:rsidRPr="002921DB">
              <w:rPr>
                <w:lang w:val="en-US"/>
              </w:rPr>
              <w:t xml:space="preserve"> Dec</w:t>
            </w:r>
            <w:r w:rsidR="00655ECC" w:rsidRPr="002921DB">
              <w:rPr>
                <w:lang w:val="en-US"/>
              </w:rPr>
              <w:t>ember</w:t>
            </w:r>
            <w:r w:rsidR="00B5770C" w:rsidRPr="002921DB">
              <w:rPr>
                <w:lang w:val="en-US"/>
              </w:rPr>
              <w:t xml:space="preserve"> 2013</w:t>
            </w:r>
          </w:p>
          <w:p w:rsidR="00956D9A" w:rsidRPr="00B522E9" w:rsidRDefault="00956D9A" w:rsidP="00956D9A">
            <w:pPr>
              <w:spacing w:line="240" w:lineRule="exact"/>
              <w:rPr>
                <w:lang w:val="en-US"/>
              </w:rPr>
            </w:pPr>
          </w:p>
          <w:p w:rsidR="00956D9A" w:rsidRPr="00B522E9" w:rsidRDefault="00956D9A" w:rsidP="00956D9A">
            <w:pPr>
              <w:spacing w:line="240" w:lineRule="exact"/>
              <w:rPr>
                <w:lang w:val="en-US"/>
              </w:rPr>
            </w:pPr>
            <w:r w:rsidRPr="00B522E9">
              <w:rPr>
                <w:lang w:val="en-US"/>
              </w:rPr>
              <w:t>Original: English</w:t>
            </w:r>
          </w:p>
        </w:tc>
      </w:tr>
    </w:tbl>
    <w:p w:rsidR="00956D9A" w:rsidRPr="00980476" w:rsidRDefault="00956D9A" w:rsidP="00956D9A">
      <w:pPr>
        <w:spacing w:before="120"/>
        <w:rPr>
          <w:b/>
          <w:color w:val="000000"/>
          <w:sz w:val="24"/>
          <w:szCs w:val="24"/>
        </w:rPr>
      </w:pPr>
      <w:r w:rsidRPr="00980476">
        <w:rPr>
          <w:b/>
          <w:color w:val="000000"/>
          <w:sz w:val="24"/>
          <w:szCs w:val="24"/>
        </w:rPr>
        <w:t>Committee against Torture</w:t>
      </w:r>
      <w:r w:rsidR="00CF61E9">
        <w:rPr>
          <w:b/>
          <w:noProof/>
          <w:color w:val="000000"/>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1&amp;Size=2 &amp;Lang=E"/>
            <w10:wrap anchorx="margin" anchory="margin"/>
          </v:shape>
        </w:pict>
      </w:r>
    </w:p>
    <w:p w:rsidR="00655ECC" w:rsidRDefault="00956D9A" w:rsidP="00BF6656">
      <w:pPr>
        <w:pStyle w:val="HChG"/>
      </w:pPr>
      <w:r w:rsidRPr="00980476">
        <w:tab/>
      </w:r>
      <w:r w:rsidRPr="00980476">
        <w:tab/>
      </w:r>
      <w:r w:rsidR="004548C9" w:rsidRPr="004548C9">
        <w:t>Concl</w:t>
      </w:r>
      <w:r w:rsidR="004548C9">
        <w:t xml:space="preserve">uding observations on the </w:t>
      </w:r>
      <w:r w:rsidR="00655ECC">
        <w:t>initial report of</w:t>
      </w:r>
      <w:r w:rsidR="00BF6656">
        <w:t> </w:t>
      </w:r>
      <w:r w:rsidR="00655ECC">
        <w:t>Mozambique</w:t>
      </w:r>
      <w:r w:rsidR="007A6456" w:rsidRPr="00BF6656">
        <w:rPr>
          <w:rStyle w:val="FootnoteReference"/>
          <w:b w:val="0"/>
          <w:bCs/>
          <w:color w:val="000000"/>
          <w:sz w:val="20"/>
          <w:vertAlign w:val="baseline"/>
        </w:rPr>
        <w:footnoteReference w:customMarkFollows="1" w:id="2"/>
        <w:t>*</w:t>
      </w:r>
    </w:p>
    <w:p w:rsidR="00B56E44" w:rsidRPr="00B56E44" w:rsidRDefault="002A5FBE" w:rsidP="002A5FBE">
      <w:pPr>
        <w:pStyle w:val="SingleTxtG"/>
      </w:pPr>
      <w:r w:rsidRPr="00B56E44">
        <w:rPr>
          <w:bCs/>
        </w:rPr>
        <w:t>1.</w:t>
      </w:r>
      <w:r w:rsidRPr="00B56E44">
        <w:rPr>
          <w:bCs/>
        </w:rPr>
        <w:tab/>
      </w:r>
      <w:r w:rsidR="00B56E44" w:rsidRPr="00B56E44">
        <w:t xml:space="preserve">The Committee against Torture considered the initial report of Mozambique (CAT/C/MOZ/1) at its 1171st and 1173rd meetings, held on 28 and 29 October 2013 (CAT/C/SR.1171 and 1173), and adopted the following concluding observations at its </w:t>
      </w:r>
      <w:r w:rsidR="00D93D30">
        <w:t>1197</w:t>
      </w:r>
      <w:r w:rsidR="00D93D30" w:rsidRPr="00F57A92">
        <w:t>th</w:t>
      </w:r>
      <w:r w:rsidR="00D93D30" w:rsidRPr="00B56E44">
        <w:t xml:space="preserve"> </w:t>
      </w:r>
      <w:r w:rsidR="00B56E44" w:rsidRPr="00B56E44">
        <w:t xml:space="preserve">meeting, held on </w:t>
      </w:r>
      <w:r w:rsidR="00D93D30">
        <w:t>14</w:t>
      </w:r>
      <w:r w:rsidR="00D93D30" w:rsidRPr="00B56E44">
        <w:t xml:space="preserve"> </w:t>
      </w:r>
      <w:r w:rsidR="00B56E44" w:rsidRPr="00B56E44">
        <w:t>November 2013 (CAT/C/SR</w:t>
      </w:r>
      <w:r w:rsidR="00D93D30">
        <w:t>.1197</w:t>
      </w:r>
      <w:r w:rsidR="00B56E44" w:rsidRPr="00B56E44">
        <w:t>).</w:t>
      </w:r>
    </w:p>
    <w:p w:rsidR="00B56E44" w:rsidRPr="00B56E44" w:rsidRDefault="00B56E44" w:rsidP="00B56E44">
      <w:pPr>
        <w:pStyle w:val="H1G"/>
      </w:pPr>
      <w:r w:rsidRPr="00B56E44">
        <w:tab/>
        <w:t>A.</w:t>
      </w:r>
      <w:r w:rsidRPr="00B56E44">
        <w:tab/>
        <w:t>Introduction</w:t>
      </w:r>
    </w:p>
    <w:p w:rsidR="00B56E44" w:rsidRPr="00B56E44" w:rsidRDefault="002A5FBE" w:rsidP="002A5FBE">
      <w:pPr>
        <w:pStyle w:val="SingleTxtG"/>
      </w:pPr>
      <w:r w:rsidRPr="00B56E44">
        <w:rPr>
          <w:bCs/>
        </w:rPr>
        <w:t>2.</w:t>
      </w:r>
      <w:r w:rsidRPr="00B56E44">
        <w:rPr>
          <w:bCs/>
        </w:rPr>
        <w:tab/>
      </w:r>
      <w:r w:rsidR="00B56E44" w:rsidRPr="00B56E44">
        <w:t xml:space="preserve">The Committee welcomes the initial report of </w:t>
      </w:r>
      <w:smartTag w:uri="urn:schemas-microsoft-com:office:smarttags" w:element="place">
        <w:smartTag w:uri="urn:schemas-microsoft-com:office:smarttags" w:element="country-region">
          <w:r w:rsidR="00B56E44" w:rsidRPr="00B56E44">
            <w:t>Mozambique</w:t>
          </w:r>
        </w:smartTag>
      </w:smartTag>
      <w:r w:rsidR="00B56E44" w:rsidRPr="00B56E44">
        <w:t xml:space="preserve"> (CAT/C/MOZ/1). However, the Committee regrets that the report does not fully conform to the Committee’s </w:t>
      </w:r>
      <w:r w:rsidR="00BD2640">
        <w:t>g</w:t>
      </w:r>
      <w:r w:rsidR="00B56E44" w:rsidRPr="00B56E44">
        <w:t xml:space="preserve">uidelines on the form and content of </w:t>
      </w:r>
      <w:r w:rsidR="00BD2640">
        <w:t xml:space="preserve">initial </w:t>
      </w:r>
      <w:r w:rsidR="00B56E44" w:rsidRPr="00B56E44">
        <w:t>reports (CAT/C/4/Rev.3), and that it was submitted with a 12-year delay, which prevented the Committee from conducting an analysis of the implementation of the Convention in the State party following its accession in 1999.</w:t>
      </w:r>
    </w:p>
    <w:p w:rsidR="00B56E44" w:rsidRPr="00B56E44" w:rsidRDefault="002A5FBE" w:rsidP="002A5FBE">
      <w:pPr>
        <w:pStyle w:val="SingleTxtG"/>
      </w:pPr>
      <w:r w:rsidRPr="00B56E44">
        <w:rPr>
          <w:bCs/>
        </w:rPr>
        <w:t>3.</w:t>
      </w:r>
      <w:r w:rsidRPr="00B56E44">
        <w:rPr>
          <w:bCs/>
        </w:rPr>
        <w:tab/>
      </w:r>
      <w:r w:rsidR="00B56E44" w:rsidRPr="00B56E44">
        <w:t xml:space="preserve">The Committee is grateful to the State party for the constructive and frank dialogue held with its high-level delegation and the additional information that was provided during the consideration of the report. </w:t>
      </w:r>
    </w:p>
    <w:p w:rsidR="00B56E44" w:rsidRPr="00B56E44" w:rsidRDefault="00B56E44" w:rsidP="00B56E44">
      <w:pPr>
        <w:pStyle w:val="H1G"/>
      </w:pPr>
      <w:r w:rsidRPr="00B56E44">
        <w:tab/>
        <w:t>B.</w:t>
      </w:r>
      <w:r w:rsidRPr="00B56E44">
        <w:tab/>
        <w:t>Positive aspects</w:t>
      </w:r>
    </w:p>
    <w:p w:rsidR="00B56E44" w:rsidRPr="00B56E44" w:rsidRDefault="002A5FBE" w:rsidP="002A5FBE">
      <w:pPr>
        <w:pStyle w:val="SingleTxtG"/>
      </w:pPr>
      <w:r w:rsidRPr="00B56E44">
        <w:rPr>
          <w:bCs/>
        </w:rPr>
        <w:t>4.</w:t>
      </w:r>
      <w:r w:rsidRPr="00B56E44">
        <w:rPr>
          <w:bCs/>
        </w:rPr>
        <w:tab/>
      </w:r>
      <w:r w:rsidR="00B56E44" w:rsidRPr="00B56E44">
        <w:t>The Committee welcomes the State party’s ratification of the following international instruments:</w:t>
      </w:r>
    </w:p>
    <w:p w:rsidR="00B56E44" w:rsidRPr="00B56E44" w:rsidRDefault="00B56E44" w:rsidP="008D7171">
      <w:pPr>
        <w:pStyle w:val="SingleTxtG"/>
        <w:ind w:firstLine="567"/>
        <w:rPr>
          <w:lang w:eastAsia="ko-KR"/>
        </w:rPr>
      </w:pPr>
      <w:r w:rsidRPr="00B56E44">
        <w:rPr>
          <w:lang w:eastAsia="ko-KR"/>
        </w:rPr>
        <w:t>(a)</w:t>
      </w:r>
      <w:r w:rsidRPr="00B56E44">
        <w:rPr>
          <w:lang w:eastAsia="ko-KR"/>
        </w:rPr>
        <w:tab/>
        <w:t>The Optional Protocol to the Convention on the Elimination of All Forms of Discrimination against Women, on 4 November 2008;</w:t>
      </w:r>
    </w:p>
    <w:p w:rsidR="00B56E44" w:rsidRPr="00B56E44" w:rsidRDefault="00B56E44" w:rsidP="00D37D4C">
      <w:pPr>
        <w:pStyle w:val="SingleTxtG"/>
        <w:ind w:firstLine="567"/>
        <w:rPr>
          <w:lang w:eastAsia="ko-KR"/>
        </w:rPr>
      </w:pPr>
      <w:r w:rsidRPr="00B56E44">
        <w:rPr>
          <w:lang w:eastAsia="ko-KR"/>
        </w:rPr>
        <w:t>(b)</w:t>
      </w:r>
      <w:r w:rsidRPr="00B56E44">
        <w:rPr>
          <w:lang w:eastAsia="ko-KR"/>
        </w:rPr>
        <w:tab/>
        <w:t xml:space="preserve">The Optional Protocols to the Convention on the Rights of the Child on the </w:t>
      </w:r>
      <w:r w:rsidR="00D37D4C">
        <w:rPr>
          <w:lang w:eastAsia="ko-KR"/>
        </w:rPr>
        <w:t>s</w:t>
      </w:r>
      <w:r w:rsidRPr="00B56E44">
        <w:rPr>
          <w:lang w:eastAsia="ko-KR"/>
        </w:rPr>
        <w:t xml:space="preserve">ale of </w:t>
      </w:r>
      <w:r w:rsidR="00D37D4C">
        <w:rPr>
          <w:lang w:eastAsia="ko-KR"/>
        </w:rPr>
        <w:t>c</w:t>
      </w:r>
      <w:r w:rsidRPr="00B56E44">
        <w:rPr>
          <w:lang w:eastAsia="ko-KR"/>
        </w:rPr>
        <w:t xml:space="preserve">hildren, </w:t>
      </w:r>
      <w:r w:rsidR="00D37D4C">
        <w:rPr>
          <w:lang w:eastAsia="ko-KR"/>
        </w:rPr>
        <w:t>c</w:t>
      </w:r>
      <w:r w:rsidRPr="00B56E44">
        <w:rPr>
          <w:lang w:eastAsia="ko-KR"/>
        </w:rPr>
        <w:t xml:space="preserve">hild </w:t>
      </w:r>
      <w:r w:rsidR="00D37D4C">
        <w:rPr>
          <w:lang w:eastAsia="ko-KR"/>
        </w:rPr>
        <w:t>p</w:t>
      </w:r>
      <w:r w:rsidRPr="00B56E44">
        <w:rPr>
          <w:lang w:eastAsia="ko-KR"/>
        </w:rPr>
        <w:t xml:space="preserve">rostitution and </w:t>
      </w:r>
      <w:r w:rsidR="00D37D4C">
        <w:rPr>
          <w:lang w:eastAsia="ko-KR"/>
        </w:rPr>
        <w:t>c</w:t>
      </w:r>
      <w:r w:rsidRPr="00B56E44">
        <w:rPr>
          <w:lang w:eastAsia="ko-KR"/>
        </w:rPr>
        <w:t xml:space="preserve">hild </w:t>
      </w:r>
      <w:r w:rsidR="00D37D4C">
        <w:rPr>
          <w:lang w:eastAsia="ko-KR"/>
        </w:rPr>
        <w:t>p</w:t>
      </w:r>
      <w:r w:rsidRPr="00B56E44">
        <w:rPr>
          <w:lang w:eastAsia="ko-KR"/>
        </w:rPr>
        <w:t xml:space="preserve">ornography and on the </w:t>
      </w:r>
      <w:r w:rsidR="00D37D4C">
        <w:rPr>
          <w:lang w:eastAsia="ko-KR"/>
        </w:rPr>
        <w:t>i</w:t>
      </w:r>
      <w:r w:rsidRPr="00B56E44">
        <w:rPr>
          <w:lang w:eastAsia="ko-KR"/>
        </w:rPr>
        <w:t xml:space="preserve">nvolvement of </w:t>
      </w:r>
      <w:r w:rsidR="00D37D4C">
        <w:rPr>
          <w:lang w:eastAsia="ko-KR"/>
        </w:rPr>
        <w:t>c</w:t>
      </w:r>
      <w:r w:rsidRPr="00B56E44">
        <w:rPr>
          <w:lang w:eastAsia="ko-KR"/>
        </w:rPr>
        <w:t xml:space="preserve">hildren in </w:t>
      </w:r>
      <w:r w:rsidR="00D37D4C">
        <w:rPr>
          <w:lang w:eastAsia="ko-KR"/>
        </w:rPr>
        <w:t>a</w:t>
      </w:r>
      <w:r w:rsidRPr="00B56E44">
        <w:rPr>
          <w:lang w:eastAsia="ko-KR"/>
        </w:rPr>
        <w:t xml:space="preserve">rmed </w:t>
      </w:r>
      <w:r w:rsidR="00D37D4C">
        <w:rPr>
          <w:lang w:eastAsia="ko-KR"/>
        </w:rPr>
        <w:t>c</w:t>
      </w:r>
      <w:r w:rsidRPr="00B56E44">
        <w:rPr>
          <w:lang w:eastAsia="ko-KR"/>
        </w:rPr>
        <w:t>onflict, on 6 March 2003 and 19 October 2004, respectively;</w:t>
      </w:r>
    </w:p>
    <w:p w:rsidR="00B56E44" w:rsidRPr="00B56E44" w:rsidRDefault="00B56E44" w:rsidP="00D37D4C">
      <w:pPr>
        <w:pStyle w:val="SingleTxtG"/>
        <w:ind w:firstLine="567"/>
        <w:rPr>
          <w:lang w:eastAsia="ko-KR"/>
        </w:rPr>
      </w:pPr>
      <w:r w:rsidRPr="00B56E44">
        <w:rPr>
          <w:lang w:eastAsia="ko-KR"/>
        </w:rPr>
        <w:t>(c)</w:t>
      </w:r>
      <w:r w:rsidRPr="00B56E44">
        <w:rPr>
          <w:lang w:eastAsia="ko-KR"/>
        </w:rPr>
        <w:tab/>
        <w:t xml:space="preserve">The Convention on the Rights of Persons with Disabilities and </w:t>
      </w:r>
      <w:r w:rsidR="00D37D4C">
        <w:rPr>
          <w:lang w:eastAsia="ko-KR"/>
        </w:rPr>
        <w:t>the</w:t>
      </w:r>
      <w:r w:rsidRPr="00B56E44">
        <w:rPr>
          <w:lang w:eastAsia="ko-KR"/>
        </w:rPr>
        <w:t xml:space="preserve"> Optional Protocol</w:t>
      </w:r>
      <w:r w:rsidR="00D37D4C">
        <w:rPr>
          <w:lang w:eastAsia="ko-KR"/>
        </w:rPr>
        <w:t xml:space="preserve"> thereto</w:t>
      </w:r>
      <w:r w:rsidRPr="00B56E44">
        <w:rPr>
          <w:lang w:eastAsia="ko-KR"/>
        </w:rPr>
        <w:t>, on 30 January 2012; and</w:t>
      </w:r>
    </w:p>
    <w:p w:rsidR="00B56E44" w:rsidRPr="00B56E44" w:rsidRDefault="00B56E44" w:rsidP="00D37D4C">
      <w:pPr>
        <w:pStyle w:val="SingleTxtG"/>
        <w:ind w:firstLine="567"/>
        <w:rPr>
          <w:lang w:eastAsia="ko-KR"/>
        </w:rPr>
      </w:pPr>
      <w:r>
        <w:rPr>
          <w:lang w:eastAsia="ko-KR"/>
        </w:rPr>
        <w:t>(d)</w:t>
      </w:r>
      <w:r w:rsidRPr="00B56E44">
        <w:rPr>
          <w:lang w:eastAsia="ko-KR"/>
        </w:rPr>
        <w:tab/>
        <w:t xml:space="preserve">The International Convention on the Protection of the Rights of All Migrant Workers and Members of </w:t>
      </w:r>
      <w:r w:rsidR="00D37D4C">
        <w:rPr>
          <w:lang w:eastAsia="ko-KR"/>
        </w:rPr>
        <w:t>T</w:t>
      </w:r>
      <w:r w:rsidRPr="00B56E44">
        <w:rPr>
          <w:lang w:eastAsia="ko-KR"/>
        </w:rPr>
        <w:t>heir Families, on 19 August 2013.</w:t>
      </w:r>
    </w:p>
    <w:p w:rsidR="00B56E44" w:rsidRPr="00B56E44" w:rsidRDefault="002A5FBE" w:rsidP="002A5FBE">
      <w:pPr>
        <w:pStyle w:val="SingleTxtG"/>
      </w:pPr>
      <w:r w:rsidRPr="00B56E44">
        <w:rPr>
          <w:bCs/>
        </w:rPr>
        <w:t>5.</w:t>
      </w:r>
      <w:r w:rsidRPr="00B56E44">
        <w:rPr>
          <w:bCs/>
        </w:rPr>
        <w:tab/>
      </w:r>
      <w:r w:rsidR="00B56E44" w:rsidRPr="00B56E44">
        <w:rPr>
          <w:lang w:eastAsia="zh-CN"/>
        </w:rPr>
        <w:t>The Committee welcomes the following legislative measures taken by the State party</w:t>
      </w:r>
      <w:r w:rsidR="0091630F">
        <w:rPr>
          <w:lang w:eastAsia="zh-CN"/>
        </w:rPr>
        <w:t xml:space="preserve"> in areas of relevance to the Convention</w:t>
      </w:r>
      <w:r w:rsidR="00B56E44" w:rsidRPr="00B56E44">
        <w:t xml:space="preserve">: </w:t>
      </w:r>
    </w:p>
    <w:p w:rsidR="00B56E44" w:rsidRPr="00B56E44" w:rsidRDefault="00B56E44" w:rsidP="00AF2D54">
      <w:pPr>
        <w:pStyle w:val="SingleTxtG"/>
        <w:ind w:firstLine="567"/>
      </w:pPr>
      <w:r w:rsidRPr="00B56E44">
        <w:t>(a)</w:t>
      </w:r>
      <w:r w:rsidRPr="00B56E44">
        <w:tab/>
        <w:t>The promulgation on 16 November 2004 (rev.</w:t>
      </w:r>
      <w:r w:rsidR="00010537">
        <w:t> </w:t>
      </w:r>
      <w:r w:rsidRPr="00B56E44">
        <w:t>2007) of the Constitution, which establishes the overall framework for the protection of human rights, notably in Title III (Fundamental rights</w:t>
      </w:r>
      <w:r w:rsidR="00AF2D54">
        <w:t>,</w:t>
      </w:r>
      <w:r w:rsidRPr="00B56E44">
        <w:t xml:space="preserve"> duties and freedoms</w:t>
      </w:r>
      <w:r w:rsidR="00AF2D54">
        <w:t>)</w:t>
      </w:r>
      <w:r w:rsidRPr="00B56E44">
        <w:t>. Article 40 of the Constitution provides that “All citizens shall have the right to life and to physical and moral integrity and they shall not be subjected to torture or to cruel or inhuman treatment</w:t>
      </w:r>
      <w:r w:rsidR="00AF2D54">
        <w:t>” and that</w:t>
      </w:r>
      <w:r w:rsidRPr="00B56E44">
        <w:t xml:space="preserve"> </w:t>
      </w:r>
      <w:r w:rsidR="00AF2D54">
        <w:t>“</w:t>
      </w:r>
      <w:r w:rsidRPr="00B56E44">
        <w:t xml:space="preserve">There shall be no death penalty in the </w:t>
      </w:r>
      <w:smartTag w:uri="urn:schemas-microsoft-com:office:smarttags" w:element="place">
        <w:smartTag w:uri="urn:schemas-microsoft-com:office:smarttags" w:element="PlaceType">
          <w:r w:rsidRPr="00B56E44">
            <w:t>Republic</w:t>
          </w:r>
        </w:smartTag>
        <w:r w:rsidRPr="00B56E44">
          <w:t xml:space="preserve"> of </w:t>
        </w:r>
        <w:smartTag w:uri="urn:schemas-microsoft-com:office:smarttags" w:element="PlaceName">
          <w:r w:rsidRPr="00B56E44">
            <w:t>Mozambique</w:t>
          </w:r>
        </w:smartTag>
      </w:smartTag>
      <w:r w:rsidRPr="00B56E44">
        <w:t>”;</w:t>
      </w:r>
    </w:p>
    <w:p w:rsidR="00B56E44" w:rsidRPr="00B56E44" w:rsidRDefault="00B56E44" w:rsidP="001B6B23">
      <w:pPr>
        <w:pStyle w:val="SingleTxtG"/>
        <w:ind w:firstLine="567"/>
      </w:pPr>
      <w:r w:rsidRPr="00B56E44">
        <w:t>(b)</w:t>
      </w:r>
      <w:r w:rsidRPr="00B56E44">
        <w:tab/>
        <w:t xml:space="preserve">The adoption of </w:t>
      </w:r>
      <w:r w:rsidR="001B6B23">
        <w:t>Act</w:t>
      </w:r>
      <w:r w:rsidRPr="00B56E44">
        <w:t xml:space="preserve"> </w:t>
      </w:r>
      <w:r w:rsidR="00A91E2E">
        <w:t>No. </w:t>
      </w:r>
      <w:r w:rsidRPr="00B56E44">
        <w:t xml:space="preserve">6/2008 on </w:t>
      </w:r>
      <w:r w:rsidR="00AF2D54">
        <w:t>p</w:t>
      </w:r>
      <w:r w:rsidRPr="00B56E44">
        <w:t>reventin</w:t>
      </w:r>
      <w:r w:rsidR="00AF2D54">
        <w:t>g</w:t>
      </w:r>
      <w:r w:rsidRPr="00B56E44">
        <w:t xml:space="preserve"> and </w:t>
      </w:r>
      <w:r w:rsidR="00AF2D54">
        <w:t>combating</w:t>
      </w:r>
      <w:r w:rsidRPr="00B56E44">
        <w:t xml:space="preserve"> </w:t>
      </w:r>
      <w:r w:rsidR="00AF2D54">
        <w:t>t</w:t>
      </w:r>
      <w:r w:rsidRPr="00B56E44">
        <w:t xml:space="preserve">rafficking in </w:t>
      </w:r>
      <w:r w:rsidR="00AF2D54">
        <w:t>p</w:t>
      </w:r>
      <w:r w:rsidRPr="00B56E44">
        <w:t xml:space="preserve">ersons, </w:t>
      </w:r>
      <w:r w:rsidR="00AF2D54">
        <w:t>e</w:t>
      </w:r>
      <w:r w:rsidRPr="00B56E44">
        <w:t xml:space="preserve">specially </w:t>
      </w:r>
      <w:r w:rsidR="00AF2D54">
        <w:t>w</w:t>
      </w:r>
      <w:r w:rsidRPr="00B56E44">
        <w:t xml:space="preserve">omen and </w:t>
      </w:r>
      <w:r w:rsidR="00AF2D54">
        <w:t>c</w:t>
      </w:r>
      <w:r w:rsidRPr="00B56E44">
        <w:t>hildren, on 9 July 2008; and</w:t>
      </w:r>
    </w:p>
    <w:p w:rsidR="00B56E44" w:rsidRPr="00B56E44" w:rsidRDefault="00B56E44" w:rsidP="00A82B3F">
      <w:pPr>
        <w:pStyle w:val="SingleTxtG"/>
        <w:ind w:firstLine="567"/>
      </w:pPr>
      <w:r w:rsidRPr="00B56E44">
        <w:t>(c)</w:t>
      </w:r>
      <w:r w:rsidRPr="00B56E44">
        <w:tab/>
        <w:t xml:space="preserve">The adoption of </w:t>
      </w:r>
      <w:r w:rsidR="001B6B23">
        <w:t>Act</w:t>
      </w:r>
      <w:r w:rsidRPr="00B56E44">
        <w:t xml:space="preserve"> </w:t>
      </w:r>
      <w:r w:rsidR="00A91E2E">
        <w:t>No. </w:t>
      </w:r>
      <w:r w:rsidRPr="00B56E44">
        <w:t xml:space="preserve">29/2009 on </w:t>
      </w:r>
      <w:r w:rsidR="00AF2D54">
        <w:t>d</w:t>
      </w:r>
      <w:r w:rsidRPr="00B56E44">
        <w:t xml:space="preserve">omestic </w:t>
      </w:r>
      <w:r w:rsidR="00AF2D54">
        <w:t>v</w:t>
      </w:r>
      <w:r w:rsidRPr="00B56E44">
        <w:t>iolence practi</w:t>
      </w:r>
      <w:r w:rsidR="00A82B3F">
        <w:t>s</w:t>
      </w:r>
      <w:r w:rsidRPr="00B56E44">
        <w:t xml:space="preserve">ed against </w:t>
      </w:r>
      <w:r w:rsidR="00AF2D54">
        <w:t>w</w:t>
      </w:r>
      <w:r w:rsidRPr="00B56E44">
        <w:t>omen, on 29 September 2009.</w:t>
      </w:r>
    </w:p>
    <w:p w:rsidR="00B56E44" w:rsidRPr="00B56E44" w:rsidRDefault="002A5FBE" w:rsidP="002A5FBE">
      <w:pPr>
        <w:pStyle w:val="SingleTxtG"/>
      </w:pPr>
      <w:r w:rsidRPr="00B56E44">
        <w:rPr>
          <w:bCs/>
        </w:rPr>
        <w:t>6.</w:t>
      </w:r>
      <w:r w:rsidRPr="00B56E44">
        <w:rPr>
          <w:bCs/>
        </w:rPr>
        <w:tab/>
      </w:r>
      <w:r w:rsidR="00B56E44" w:rsidRPr="00B56E44">
        <w:rPr>
          <w:lang w:eastAsia="zh-CN"/>
        </w:rPr>
        <w:t xml:space="preserve">The Committee </w:t>
      </w:r>
      <w:r w:rsidR="0091630F">
        <w:rPr>
          <w:lang w:eastAsia="zh-CN"/>
        </w:rPr>
        <w:t xml:space="preserve">further </w:t>
      </w:r>
      <w:r w:rsidR="00B56E44" w:rsidRPr="00B56E44">
        <w:rPr>
          <w:lang w:eastAsia="zh-CN"/>
        </w:rPr>
        <w:t xml:space="preserve">welcomes the </w:t>
      </w:r>
      <w:r w:rsidR="00B56E44" w:rsidRPr="00B56E44">
        <w:t xml:space="preserve">establishment of the National Human Rights Commission of Mozambique in September 2012, pursuant to </w:t>
      </w:r>
      <w:r w:rsidR="001B6B23">
        <w:t>Act</w:t>
      </w:r>
      <w:r w:rsidR="00B56E44" w:rsidRPr="00B56E44">
        <w:t xml:space="preserve"> </w:t>
      </w:r>
      <w:r w:rsidR="001B6B23">
        <w:t xml:space="preserve">No. </w:t>
      </w:r>
      <w:r w:rsidR="00B56E44" w:rsidRPr="00B56E44">
        <w:t>33/2009 of 22 December 2009.</w:t>
      </w:r>
    </w:p>
    <w:p w:rsidR="00B56E44" w:rsidRPr="00B56E44" w:rsidRDefault="00B56E44" w:rsidP="00B56E44">
      <w:pPr>
        <w:pStyle w:val="H1G"/>
      </w:pPr>
      <w:r w:rsidRPr="00B56E44">
        <w:tab/>
        <w:t>C.</w:t>
      </w:r>
      <w:r w:rsidRPr="00B56E44">
        <w:tab/>
        <w:t>Principal subjects of concern and recommendations</w:t>
      </w:r>
    </w:p>
    <w:p w:rsidR="00B56E44" w:rsidRPr="00B56E44" w:rsidRDefault="00B56E44" w:rsidP="00B56E44">
      <w:pPr>
        <w:pStyle w:val="H23G"/>
      </w:pPr>
      <w:r w:rsidRPr="00B56E44">
        <w:tab/>
      </w:r>
      <w:r w:rsidRPr="00B56E44">
        <w:tab/>
        <w:t>Definition of torture</w:t>
      </w:r>
    </w:p>
    <w:p w:rsidR="00B56E44" w:rsidRPr="00B56E44" w:rsidRDefault="002A5FBE" w:rsidP="002A5FBE">
      <w:pPr>
        <w:pStyle w:val="SingleTxtG"/>
      </w:pPr>
      <w:r w:rsidRPr="00B56E44">
        <w:rPr>
          <w:bCs/>
        </w:rPr>
        <w:t>7.</w:t>
      </w:r>
      <w:r w:rsidRPr="00B56E44">
        <w:rPr>
          <w:bCs/>
        </w:rPr>
        <w:tab/>
      </w:r>
      <w:r w:rsidR="00B56E44" w:rsidRPr="00B56E44">
        <w:t>While tak</w:t>
      </w:r>
      <w:r w:rsidR="001B6B23">
        <w:t>ing</w:t>
      </w:r>
      <w:r w:rsidR="00B56E44" w:rsidRPr="00B56E44">
        <w:t xml:space="preserve"> note of the existence of a draft </w:t>
      </w:r>
      <w:r w:rsidR="001B6B23">
        <w:t>p</w:t>
      </w:r>
      <w:r w:rsidR="00B56E44" w:rsidRPr="00B56E44">
        <w:t xml:space="preserve">enal </w:t>
      </w:r>
      <w:r w:rsidR="001B6B23">
        <w:t>c</w:t>
      </w:r>
      <w:r w:rsidR="00B56E44" w:rsidRPr="00B56E44">
        <w:t>ode that would introduce a definition of the crime of torture into domestic law, the Committee regrets that torture, as defined in article 1 of the Convention, is still not codified as a specific offence under the Penal Code</w:t>
      </w:r>
      <w:r w:rsidR="001B6B23">
        <w:t>,</w:t>
      </w:r>
      <w:r w:rsidR="00B56E44" w:rsidRPr="00B56E44">
        <w:t xml:space="preserve"> but as an aggravating circumstance for certain criminal offences. As </w:t>
      </w:r>
      <w:r w:rsidR="001B6B23">
        <w:t>for</w:t>
      </w:r>
      <w:r w:rsidR="001B6B23" w:rsidRPr="00B56E44">
        <w:t xml:space="preserve"> </w:t>
      </w:r>
      <w:r w:rsidR="00B56E44" w:rsidRPr="00B56E44">
        <w:t xml:space="preserve">the State party’s </w:t>
      </w:r>
      <w:r w:rsidR="000344FE">
        <w:t>argument</w:t>
      </w:r>
      <w:r w:rsidR="000344FE" w:rsidRPr="00B56E44">
        <w:t xml:space="preserve"> </w:t>
      </w:r>
      <w:r w:rsidR="00B56E44" w:rsidRPr="00B56E44">
        <w:t>that other similar criminal offences are defined in its domestic legislation (</w:t>
      </w:r>
      <w:r w:rsidR="00A82B3F" w:rsidRPr="00B56E44">
        <w:t>CAT/C/MOZ/1</w:t>
      </w:r>
      <w:r w:rsidR="00A82B3F">
        <w:t xml:space="preserve">, </w:t>
      </w:r>
      <w:proofErr w:type="spellStart"/>
      <w:r w:rsidR="00B0102B">
        <w:t>para</w:t>
      </w:r>
      <w:proofErr w:type="spellEnd"/>
      <w:r w:rsidR="00B0102B">
        <w:t>. </w:t>
      </w:r>
      <w:r w:rsidR="00B56E44" w:rsidRPr="00B56E44">
        <w:t xml:space="preserve">59), the Committee draws attention to its general comment </w:t>
      </w:r>
      <w:r w:rsidR="00A91E2E">
        <w:t>No. </w:t>
      </w:r>
      <w:r w:rsidR="00B56E44" w:rsidRPr="00B56E44">
        <w:t>2 (2007) on the implementation of article 2 by States parties, which emphasizes the preventive value of codifying torture as a distinct offence (</w:t>
      </w:r>
      <w:proofErr w:type="spellStart"/>
      <w:r w:rsidR="00B0102B">
        <w:t>para</w:t>
      </w:r>
      <w:proofErr w:type="spellEnd"/>
      <w:r w:rsidR="00B0102B">
        <w:t>. </w:t>
      </w:r>
      <w:r w:rsidR="00B56E44" w:rsidRPr="00B56E44">
        <w:t>11) (arts.</w:t>
      </w:r>
      <w:r w:rsidR="00B0102B">
        <w:t> </w:t>
      </w:r>
      <w:r w:rsidR="00B56E44" w:rsidRPr="00B56E44">
        <w:t>1 and 4).</w:t>
      </w:r>
    </w:p>
    <w:p w:rsidR="00B56E44" w:rsidRPr="00B56E44" w:rsidRDefault="00B56E44" w:rsidP="008500F6">
      <w:pPr>
        <w:spacing w:after="120"/>
        <w:ind w:left="1134" w:right="1134"/>
        <w:jc w:val="both"/>
      </w:pPr>
      <w:r w:rsidRPr="00B56E44">
        <w:rPr>
          <w:b/>
        </w:rPr>
        <w:t xml:space="preserve">The State party should </w:t>
      </w:r>
      <w:r w:rsidR="008500F6">
        <w:rPr>
          <w:b/>
        </w:rPr>
        <w:t xml:space="preserve">specifically </w:t>
      </w:r>
      <w:r w:rsidRPr="00B56E44">
        <w:rPr>
          <w:b/>
        </w:rPr>
        <w:t xml:space="preserve">criminalize torture in its domestic legislation and adopt a definition of torture covering all the </w:t>
      </w:r>
      <w:r w:rsidR="000344FE">
        <w:rPr>
          <w:b/>
        </w:rPr>
        <w:t>elements</w:t>
      </w:r>
      <w:r w:rsidR="000344FE" w:rsidRPr="00B56E44">
        <w:rPr>
          <w:b/>
        </w:rPr>
        <w:t xml:space="preserve"> </w:t>
      </w:r>
      <w:r w:rsidRPr="00B56E44">
        <w:rPr>
          <w:b/>
        </w:rPr>
        <w:t>contained in article 1 of the Convention. The State party should also ensure that such offences are punishable by appropriate penalties which take into account their grave nature, in accordance with article 4, paragraph 2, of the Convention.</w:t>
      </w:r>
    </w:p>
    <w:p w:rsidR="00B56E44" w:rsidRPr="00B56E44" w:rsidRDefault="00571FA5" w:rsidP="00571FA5">
      <w:pPr>
        <w:pStyle w:val="H23G"/>
      </w:pPr>
      <w:r>
        <w:tab/>
      </w:r>
      <w:r>
        <w:tab/>
      </w:r>
      <w:r w:rsidR="00B56E44" w:rsidRPr="00B56E44">
        <w:t>Fundamental legal safeguards</w:t>
      </w:r>
    </w:p>
    <w:p w:rsidR="00B56E44" w:rsidRPr="00B56E44" w:rsidRDefault="002A5FBE" w:rsidP="002A5FBE">
      <w:pPr>
        <w:pStyle w:val="SingleTxtG"/>
      </w:pPr>
      <w:r w:rsidRPr="00B56E44">
        <w:rPr>
          <w:bCs/>
        </w:rPr>
        <w:t>8.</w:t>
      </w:r>
      <w:r w:rsidRPr="00B56E44">
        <w:rPr>
          <w:bCs/>
        </w:rPr>
        <w:tab/>
      </w:r>
      <w:r w:rsidR="00B56E44" w:rsidRPr="00B56E44">
        <w:t xml:space="preserve">The Committee notes with concern that </w:t>
      </w:r>
      <w:r w:rsidR="000344FE">
        <w:t xml:space="preserve">arrested and detained </w:t>
      </w:r>
      <w:r w:rsidR="00B56E44" w:rsidRPr="00B56E44">
        <w:t xml:space="preserve">persons are not always afforded all fundamental legal safeguards from the very outset of their </w:t>
      </w:r>
      <w:r w:rsidR="000344FE">
        <w:t>deprivation of liberty</w:t>
      </w:r>
      <w:r w:rsidR="00B56E44" w:rsidRPr="00B56E44">
        <w:t>.</w:t>
      </w:r>
      <w:r w:rsidR="00BF6656">
        <w:t xml:space="preserve"> </w:t>
      </w:r>
      <w:r w:rsidR="00B56E44" w:rsidRPr="00B56E44">
        <w:t xml:space="preserve">According to </w:t>
      </w:r>
      <w:r w:rsidR="000344FE">
        <w:t>information</w:t>
      </w:r>
      <w:r w:rsidR="000344FE" w:rsidRPr="00B56E44">
        <w:t xml:space="preserve"> </w:t>
      </w:r>
      <w:r w:rsidR="00B56E44" w:rsidRPr="00B56E44">
        <w:t xml:space="preserve">before the Committee, arrested and detained persons are often not adequately informed about their rights and are frequently denied access to a lawyer. In addition, detainees </w:t>
      </w:r>
      <w:r w:rsidR="008500F6">
        <w:t>are</w:t>
      </w:r>
      <w:r w:rsidR="00B56E44" w:rsidRPr="00B56E44">
        <w:t xml:space="preserve"> not </w:t>
      </w:r>
      <w:r w:rsidR="008500F6">
        <w:t>given a</w:t>
      </w:r>
      <w:r w:rsidR="00B56E44" w:rsidRPr="00B56E44">
        <w:t xml:space="preserve"> medical examination upon arrival at police stations and </w:t>
      </w:r>
      <w:r w:rsidR="008500F6">
        <w:t xml:space="preserve">the </w:t>
      </w:r>
      <w:r w:rsidR="00B56E44" w:rsidRPr="00B56E44">
        <w:t>police fail to bring suspects before a judge within 48 hours of arrest. Th</w:t>
      </w:r>
      <w:r w:rsidR="00276CE9">
        <w:t>e</w:t>
      </w:r>
      <w:r w:rsidR="00B56E44" w:rsidRPr="00B56E44">
        <w:t xml:space="preserve"> </w:t>
      </w:r>
      <w:r w:rsidR="008500F6">
        <w:t xml:space="preserve">information </w:t>
      </w:r>
      <w:r w:rsidR="00B56E44" w:rsidRPr="00B56E44">
        <w:t>also document</w:t>
      </w:r>
      <w:r w:rsidR="008500F6">
        <w:t>s</w:t>
      </w:r>
      <w:r w:rsidR="00B56E44" w:rsidRPr="00B56E44">
        <w:t xml:space="preserve"> instances of arbitrary arrest and detention, especially </w:t>
      </w:r>
      <w:r w:rsidR="008500F6">
        <w:t xml:space="preserve">of </w:t>
      </w:r>
      <w:r w:rsidR="00B56E44" w:rsidRPr="00B56E44">
        <w:t>disadvantaged people</w:t>
      </w:r>
      <w:r w:rsidR="00276CE9">
        <w:t xml:space="preserve"> — </w:t>
      </w:r>
      <w:r w:rsidR="00B56E44" w:rsidRPr="00B56E44">
        <w:t>young, unemployed or self-employed men</w:t>
      </w:r>
      <w:r w:rsidR="00276CE9">
        <w:t xml:space="preserve"> in particular</w:t>
      </w:r>
      <w:r w:rsidR="00B56E44" w:rsidRPr="00B56E44">
        <w:t xml:space="preserve">. The Committee is also concerned </w:t>
      </w:r>
      <w:r w:rsidR="00276CE9">
        <w:t>at</w:t>
      </w:r>
      <w:r w:rsidR="00B56E44" w:rsidRPr="00B56E44">
        <w:t xml:space="preserve"> the fact that contracted legal aid lawyers who work alongside salaried staff at the </w:t>
      </w:r>
      <w:proofErr w:type="spellStart"/>
      <w:r w:rsidR="00276CE9" w:rsidRPr="002921DB">
        <w:rPr>
          <w:iCs/>
        </w:rPr>
        <w:t>Instituto</w:t>
      </w:r>
      <w:proofErr w:type="spellEnd"/>
      <w:r w:rsidR="00276CE9" w:rsidRPr="002921DB">
        <w:rPr>
          <w:iCs/>
        </w:rPr>
        <w:t xml:space="preserve"> de </w:t>
      </w:r>
      <w:proofErr w:type="spellStart"/>
      <w:r w:rsidR="00276CE9" w:rsidRPr="002921DB">
        <w:rPr>
          <w:iCs/>
        </w:rPr>
        <w:t>Patrocínio</w:t>
      </w:r>
      <w:proofErr w:type="spellEnd"/>
      <w:r w:rsidR="00276CE9" w:rsidRPr="002921DB">
        <w:rPr>
          <w:iCs/>
        </w:rPr>
        <w:t xml:space="preserve"> e </w:t>
      </w:r>
      <w:proofErr w:type="spellStart"/>
      <w:r w:rsidR="00276CE9" w:rsidRPr="002921DB">
        <w:rPr>
          <w:iCs/>
        </w:rPr>
        <w:t>Assistência</w:t>
      </w:r>
      <w:proofErr w:type="spellEnd"/>
      <w:r w:rsidR="00276CE9" w:rsidRPr="002921DB">
        <w:rPr>
          <w:iCs/>
        </w:rPr>
        <w:t xml:space="preserve"> </w:t>
      </w:r>
      <w:proofErr w:type="spellStart"/>
      <w:r w:rsidR="00276CE9" w:rsidRPr="002921DB">
        <w:rPr>
          <w:iCs/>
        </w:rPr>
        <w:t>Jurídica</w:t>
      </w:r>
      <w:proofErr w:type="spellEnd"/>
      <w:r w:rsidR="00276CE9" w:rsidRPr="002921DB">
        <w:rPr>
          <w:iCs/>
        </w:rPr>
        <w:t xml:space="preserve"> </w:t>
      </w:r>
      <w:r w:rsidR="00276CE9">
        <w:t>(</w:t>
      </w:r>
      <w:r w:rsidR="00B56E44" w:rsidRPr="00B56E44">
        <w:t xml:space="preserve">Institute for Legal Representation and Assistance) charge a fee for their services, as the delegation </w:t>
      </w:r>
      <w:r w:rsidR="00276CE9" w:rsidRPr="00B56E44">
        <w:t xml:space="preserve">confirmed </w:t>
      </w:r>
      <w:r w:rsidR="00B56E44" w:rsidRPr="00B56E44">
        <w:t>during its dialogue with the Committee (</w:t>
      </w:r>
      <w:r w:rsidR="00B0102B">
        <w:t>art. </w:t>
      </w:r>
      <w:r w:rsidR="00B56E44" w:rsidRPr="00B56E44">
        <w:t>2).</w:t>
      </w:r>
    </w:p>
    <w:p w:rsidR="00B56E44" w:rsidRPr="00B56E44" w:rsidRDefault="00B56E44" w:rsidP="00276CE9">
      <w:pPr>
        <w:spacing w:after="120"/>
        <w:ind w:left="1134" w:right="1134"/>
        <w:jc w:val="both"/>
        <w:rPr>
          <w:b/>
        </w:rPr>
      </w:pPr>
      <w:r w:rsidRPr="00B56E44">
        <w:rPr>
          <w:b/>
        </w:rPr>
        <w:t>The State party should take effective measures to ensure</w:t>
      </w:r>
      <w:r w:rsidR="00276CE9" w:rsidRPr="00276CE9">
        <w:rPr>
          <w:b/>
        </w:rPr>
        <w:t xml:space="preserve"> </w:t>
      </w:r>
      <w:r w:rsidR="00276CE9" w:rsidRPr="00B56E44">
        <w:rPr>
          <w:b/>
        </w:rPr>
        <w:t>that</w:t>
      </w:r>
      <w:r w:rsidRPr="00B56E44">
        <w:rPr>
          <w:b/>
        </w:rPr>
        <w:t xml:space="preserve">, in law and in practice, persons who are arrested have the benefit of all fundamental legal safeguards from the very outset of </w:t>
      </w:r>
      <w:r w:rsidR="000344FE">
        <w:rPr>
          <w:b/>
        </w:rPr>
        <w:t>their deprivation of liberty</w:t>
      </w:r>
      <w:r w:rsidRPr="00B56E44">
        <w:rPr>
          <w:b/>
        </w:rPr>
        <w:t>. These safeguards include the right to be informed of the reasons for the</w:t>
      </w:r>
      <w:r w:rsidR="00276CE9">
        <w:rPr>
          <w:b/>
        </w:rPr>
        <w:t>ir</w:t>
      </w:r>
      <w:r w:rsidRPr="00B56E44">
        <w:rPr>
          <w:b/>
        </w:rPr>
        <w:t xml:space="preserve"> arrest, access to a lawyer, the right to contact family members or other persons of the</w:t>
      </w:r>
      <w:r w:rsidR="00276CE9">
        <w:rPr>
          <w:b/>
        </w:rPr>
        <w:t>ir</w:t>
      </w:r>
      <w:r w:rsidRPr="00B56E44">
        <w:rPr>
          <w:b/>
        </w:rPr>
        <w:t xml:space="preserve"> choice, the right to have an independent medical exam</w:t>
      </w:r>
      <w:r w:rsidR="008500F6">
        <w:rPr>
          <w:b/>
        </w:rPr>
        <w:t>ination</w:t>
      </w:r>
      <w:r w:rsidRPr="00B56E44">
        <w:rPr>
          <w:b/>
        </w:rPr>
        <w:t xml:space="preserve"> performed without delay and the right to be brought before a judge within 48 hours of arrest. The State party should also take the necessary measures to provide an effective free legal aid system, </w:t>
      </w:r>
      <w:r w:rsidR="00276CE9">
        <w:rPr>
          <w:b/>
        </w:rPr>
        <w:t>especially</w:t>
      </w:r>
      <w:r w:rsidRPr="00B56E44">
        <w:rPr>
          <w:b/>
        </w:rPr>
        <w:t xml:space="preserve"> for indigent criminal suspects.</w:t>
      </w:r>
    </w:p>
    <w:p w:rsidR="00B56E44" w:rsidRPr="00B56E44" w:rsidRDefault="00571FA5" w:rsidP="00571FA5">
      <w:pPr>
        <w:pStyle w:val="H23G"/>
      </w:pPr>
      <w:r>
        <w:tab/>
      </w:r>
      <w:r>
        <w:tab/>
      </w:r>
      <w:r w:rsidR="00B56E44" w:rsidRPr="00B56E44">
        <w:t>Extrajudicial executions and excessive use of force</w:t>
      </w:r>
    </w:p>
    <w:p w:rsidR="00B56E44" w:rsidRPr="00B56E44" w:rsidRDefault="002A5FBE" w:rsidP="002A5FBE">
      <w:pPr>
        <w:pStyle w:val="SingleTxtG"/>
      </w:pPr>
      <w:r w:rsidRPr="00B56E44">
        <w:rPr>
          <w:bCs/>
        </w:rPr>
        <w:t>9.</w:t>
      </w:r>
      <w:r w:rsidRPr="00B56E44">
        <w:rPr>
          <w:bCs/>
        </w:rPr>
        <w:tab/>
      </w:r>
      <w:r w:rsidR="00B56E44" w:rsidRPr="00B56E44">
        <w:t xml:space="preserve">The Committee is gravely concerned about allegations of unlawful killings, including extrajudicial executions, by members of the police during the period under review. It </w:t>
      </w:r>
      <w:r w:rsidR="00276CE9">
        <w:t xml:space="preserve">is </w:t>
      </w:r>
      <w:r w:rsidR="00B56E44" w:rsidRPr="00B56E44">
        <w:t>also concern</w:t>
      </w:r>
      <w:r w:rsidR="00276CE9">
        <w:t>ed</w:t>
      </w:r>
      <w:r w:rsidR="00B56E44" w:rsidRPr="00B56E44">
        <w:t xml:space="preserve"> </w:t>
      </w:r>
      <w:r w:rsidR="00276CE9">
        <w:t>at</w:t>
      </w:r>
      <w:r w:rsidR="00B56E44" w:rsidRPr="00B56E44">
        <w:t xml:space="preserve"> allegations </w:t>
      </w:r>
      <w:r w:rsidR="008500F6">
        <w:t xml:space="preserve">that </w:t>
      </w:r>
      <w:r w:rsidR="008500F6" w:rsidRPr="00B56E44">
        <w:t xml:space="preserve">the police </w:t>
      </w:r>
      <w:r w:rsidR="00B56E44" w:rsidRPr="00B56E44">
        <w:t xml:space="preserve">resort to excessive and sometimes lethal force, especially when apprehending suspects and controlling demonstrations. While noting the information provided by the State party on </w:t>
      </w:r>
      <w:r w:rsidR="00467CEB">
        <w:t xml:space="preserve">several </w:t>
      </w:r>
      <w:r w:rsidR="00B56E44" w:rsidRPr="00B56E44">
        <w:t xml:space="preserve">highly publicized cases, such as the </w:t>
      </w:r>
      <w:r w:rsidR="00B56E44" w:rsidRPr="00B56E44">
        <w:rPr>
          <w:i/>
        </w:rPr>
        <w:t>Costa do Sol</w:t>
      </w:r>
      <w:r w:rsidR="00B56E44" w:rsidRPr="008500F6">
        <w:rPr>
          <w:iCs/>
        </w:rPr>
        <w:t xml:space="preserve"> case,</w:t>
      </w:r>
      <w:r w:rsidR="00B56E44" w:rsidRPr="00B56E44">
        <w:t xml:space="preserve"> the Committee regrets that it has not received additional information on investigations, prosecutions, convictions and sentences imposed in cases </w:t>
      </w:r>
      <w:r w:rsidR="008500F6">
        <w:t xml:space="preserve">involving </w:t>
      </w:r>
      <w:r w:rsidR="00B56E44" w:rsidRPr="00B56E44">
        <w:t xml:space="preserve">excessive use of force and extrajudicial executions </w:t>
      </w:r>
      <w:r w:rsidR="000344FE">
        <w:t xml:space="preserve">that </w:t>
      </w:r>
      <w:r w:rsidR="00DA564A">
        <w:t>took place</w:t>
      </w:r>
      <w:r w:rsidR="00B56E44" w:rsidRPr="00B56E44">
        <w:t xml:space="preserve"> during the period under review (arts.</w:t>
      </w:r>
      <w:r w:rsidR="00B0102B">
        <w:t> </w:t>
      </w:r>
      <w:r w:rsidR="00B56E44" w:rsidRPr="00B56E44">
        <w:t>2, 12 and 16).</w:t>
      </w:r>
    </w:p>
    <w:p w:rsidR="000344FE" w:rsidRDefault="00B56E44" w:rsidP="00AD242A">
      <w:pPr>
        <w:spacing w:after="120"/>
        <w:ind w:left="1134" w:right="1134"/>
        <w:jc w:val="both"/>
        <w:rPr>
          <w:b/>
        </w:rPr>
      </w:pPr>
      <w:r w:rsidRPr="00B56E44">
        <w:rPr>
          <w:b/>
        </w:rPr>
        <w:t xml:space="preserve">The State party should take steps to investigate promptly, effectively and impartially all allegations of </w:t>
      </w:r>
      <w:r w:rsidR="00DA564A">
        <w:rPr>
          <w:b/>
        </w:rPr>
        <w:t xml:space="preserve">the </w:t>
      </w:r>
      <w:r w:rsidRPr="00B56E44">
        <w:rPr>
          <w:b/>
        </w:rPr>
        <w:t xml:space="preserve">involvement of members of law enforcement agencies in extrajudicial executions and other unlawful killings. It should also investigate </w:t>
      </w:r>
      <w:r w:rsidR="00DA564A" w:rsidRPr="00B56E44">
        <w:rPr>
          <w:b/>
        </w:rPr>
        <w:t xml:space="preserve">without delay </w:t>
      </w:r>
      <w:r w:rsidRPr="00B56E44">
        <w:rPr>
          <w:b/>
        </w:rPr>
        <w:t>allegations of instances of excessive use of force, especially lethal force, by members of the police</w:t>
      </w:r>
      <w:r w:rsidR="00DA564A">
        <w:rPr>
          <w:b/>
        </w:rPr>
        <w:t xml:space="preserve">, </w:t>
      </w:r>
      <w:r w:rsidRPr="00B56E44">
        <w:rPr>
          <w:b/>
        </w:rPr>
        <w:t>bring those responsible for such acts</w:t>
      </w:r>
      <w:r w:rsidR="00DA564A" w:rsidRPr="00DA564A">
        <w:rPr>
          <w:b/>
        </w:rPr>
        <w:t xml:space="preserve"> </w:t>
      </w:r>
      <w:r w:rsidR="00DA564A" w:rsidRPr="00B56E44">
        <w:rPr>
          <w:b/>
        </w:rPr>
        <w:t>to justice</w:t>
      </w:r>
      <w:r w:rsidR="000344FE">
        <w:rPr>
          <w:b/>
        </w:rPr>
        <w:t xml:space="preserve"> and provide the victims with redress.</w:t>
      </w:r>
    </w:p>
    <w:p w:rsidR="00B56E44" w:rsidRPr="00B56E44" w:rsidRDefault="00B56E44" w:rsidP="00DF4F23">
      <w:pPr>
        <w:spacing w:after="120"/>
        <w:ind w:left="1134" w:right="1134"/>
        <w:jc w:val="both"/>
        <w:rPr>
          <w:b/>
        </w:rPr>
      </w:pPr>
      <w:r w:rsidRPr="00B63552">
        <w:rPr>
          <w:b/>
        </w:rPr>
        <w:t xml:space="preserve">The Committee urges the State party to implement effective measures to prevent </w:t>
      </w:r>
      <w:r w:rsidR="00AD242A" w:rsidRPr="00B63552">
        <w:rPr>
          <w:b/>
        </w:rPr>
        <w:t>law enforcement officers</w:t>
      </w:r>
      <w:r w:rsidR="00AD242A" w:rsidRPr="00B63552" w:rsidDel="00AD242A">
        <w:rPr>
          <w:b/>
        </w:rPr>
        <w:t xml:space="preserve"> </w:t>
      </w:r>
      <w:r w:rsidR="00AD242A">
        <w:rPr>
          <w:b/>
        </w:rPr>
        <w:t xml:space="preserve">from committing </w:t>
      </w:r>
      <w:r w:rsidRPr="00B63552">
        <w:rPr>
          <w:b/>
        </w:rPr>
        <w:t xml:space="preserve">acts </w:t>
      </w:r>
      <w:r w:rsidR="00AD242A" w:rsidRPr="00B63552">
        <w:rPr>
          <w:b/>
        </w:rPr>
        <w:t xml:space="preserve">such </w:t>
      </w:r>
      <w:r w:rsidRPr="00B63552">
        <w:rPr>
          <w:b/>
        </w:rPr>
        <w:t xml:space="preserve">as extrajudicial killings and </w:t>
      </w:r>
      <w:r w:rsidR="00AD242A">
        <w:rPr>
          <w:b/>
        </w:rPr>
        <w:t>us</w:t>
      </w:r>
      <w:r w:rsidR="00467CEB">
        <w:rPr>
          <w:b/>
        </w:rPr>
        <w:t>ing</w:t>
      </w:r>
      <w:r w:rsidR="00AD242A">
        <w:rPr>
          <w:b/>
        </w:rPr>
        <w:t xml:space="preserve"> </w:t>
      </w:r>
      <w:r w:rsidRPr="00B63552">
        <w:rPr>
          <w:b/>
        </w:rPr>
        <w:t>excessive force by ensuring that they comply with the Convention</w:t>
      </w:r>
      <w:r w:rsidR="00AD242A">
        <w:rPr>
          <w:b/>
        </w:rPr>
        <w:t>,</w:t>
      </w:r>
      <w:r w:rsidRPr="00B63552">
        <w:rPr>
          <w:b/>
        </w:rPr>
        <w:t xml:space="preserve"> the Code of Conduct for Law Enforcement Officials and the Basic Principles on the Use of Force and Firearms by Law Enforcement Officials (1990)</w:t>
      </w:r>
      <w:r w:rsidR="00AD242A">
        <w:rPr>
          <w:b/>
        </w:rPr>
        <w:t xml:space="preserve">. The provisions of these instruments </w:t>
      </w:r>
      <w:r w:rsidRPr="00B63552">
        <w:rPr>
          <w:b/>
        </w:rPr>
        <w:t>should be integrated into the new Police Disciplinary Regulation. In</w:t>
      </w:r>
      <w:r w:rsidR="00010537" w:rsidRPr="00B63552">
        <w:rPr>
          <w:b/>
        </w:rPr>
        <w:t> </w:t>
      </w:r>
      <w:r w:rsidRPr="00B63552">
        <w:rPr>
          <w:b/>
        </w:rPr>
        <w:t xml:space="preserve">particular, the State party should provide adequate training </w:t>
      </w:r>
      <w:r w:rsidR="007137F5">
        <w:rPr>
          <w:b/>
        </w:rPr>
        <w:t>for</w:t>
      </w:r>
      <w:r w:rsidRPr="00B63552">
        <w:rPr>
          <w:b/>
        </w:rPr>
        <w:t xml:space="preserve"> its law enforcement officials, who should receive clear instructions on the use of force and firearms in line with international standards</w:t>
      </w:r>
      <w:r w:rsidR="00467CEB">
        <w:rPr>
          <w:b/>
        </w:rPr>
        <w:t>,</w:t>
      </w:r>
      <w:r w:rsidRPr="00B63552">
        <w:rPr>
          <w:b/>
        </w:rPr>
        <w:t xml:space="preserve"> and </w:t>
      </w:r>
      <w:r w:rsidR="007137F5">
        <w:rPr>
          <w:b/>
        </w:rPr>
        <w:t>be</w:t>
      </w:r>
      <w:r w:rsidRPr="00B63552">
        <w:rPr>
          <w:b/>
        </w:rPr>
        <w:t xml:space="preserve"> informed of the liabilities they incur if the</w:t>
      </w:r>
      <w:r w:rsidR="00051A66">
        <w:rPr>
          <w:b/>
        </w:rPr>
        <w:t>y</w:t>
      </w:r>
      <w:r w:rsidRPr="00B63552">
        <w:rPr>
          <w:b/>
        </w:rPr>
        <w:t xml:space="preserve"> </w:t>
      </w:r>
      <w:r w:rsidR="00051A66">
        <w:rPr>
          <w:b/>
        </w:rPr>
        <w:t xml:space="preserve">make </w:t>
      </w:r>
      <w:r w:rsidR="00051A66" w:rsidRPr="00B63552">
        <w:rPr>
          <w:b/>
        </w:rPr>
        <w:t xml:space="preserve">unnecessary or excessive </w:t>
      </w:r>
      <w:r w:rsidRPr="00B63552">
        <w:rPr>
          <w:b/>
        </w:rPr>
        <w:t>use of force.</w:t>
      </w:r>
      <w:r w:rsidRPr="00B56E44">
        <w:rPr>
          <w:b/>
        </w:rPr>
        <w:t xml:space="preserve"> </w:t>
      </w:r>
    </w:p>
    <w:p w:rsidR="00B56E44" w:rsidRPr="00B56E44" w:rsidRDefault="00571FA5" w:rsidP="00571FA5">
      <w:pPr>
        <w:pStyle w:val="H23G"/>
      </w:pPr>
      <w:r>
        <w:tab/>
      </w:r>
      <w:r>
        <w:tab/>
      </w:r>
      <w:r w:rsidR="00B56E44" w:rsidRPr="00B56E44">
        <w:t>National human rights institution</w:t>
      </w:r>
    </w:p>
    <w:p w:rsidR="00B56E44" w:rsidRPr="00B56E44" w:rsidRDefault="002A5FBE" w:rsidP="002A5FBE">
      <w:pPr>
        <w:pStyle w:val="SingleTxtG"/>
      </w:pPr>
      <w:r w:rsidRPr="00B56E44">
        <w:rPr>
          <w:bCs/>
        </w:rPr>
        <w:t>10.</w:t>
      </w:r>
      <w:r w:rsidRPr="00B56E44">
        <w:rPr>
          <w:bCs/>
        </w:rPr>
        <w:tab/>
      </w:r>
      <w:r w:rsidR="00B56E44" w:rsidRPr="00B56E44">
        <w:t xml:space="preserve">The Committee welcomes the establishment of the National Human Rights Commission in 2012, although it regrets the lack of information regarding the resources and budget the State party </w:t>
      </w:r>
      <w:r w:rsidR="00467CEB">
        <w:t xml:space="preserve">has </w:t>
      </w:r>
      <w:r w:rsidR="00467CEB" w:rsidRPr="00B56E44">
        <w:t xml:space="preserve">allocated </w:t>
      </w:r>
      <w:r w:rsidR="00B56E44" w:rsidRPr="00B56E44">
        <w:t>for its effective functioning (</w:t>
      </w:r>
      <w:r w:rsidR="00B0102B">
        <w:t>art. </w:t>
      </w:r>
      <w:r w:rsidR="00B56E44" w:rsidRPr="00B56E44">
        <w:t>2).</w:t>
      </w:r>
    </w:p>
    <w:p w:rsidR="00B56E44" w:rsidRPr="00B56E44" w:rsidRDefault="00B56E44" w:rsidP="00467CEB">
      <w:pPr>
        <w:spacing w:after="120"/>
        <w:ind w:left="1134" w:right="1134"/>
        <w:jc w:val="both"/>
        <w:rPr>
          <w:b/>
        </w:rPr>
      </w:pPr>
      <w:r w:rsidRPr="00B56E44">
        <w:rPr>
          <w:b/>
        </w:rPr>
        <w:t xml:space="preserve">The State party should ensure that the </w:t>
      </w:r>
      <w:r w:rsidR="00467CEB" w:rsidRPr="00467CEB">
        <w:rPr>
          <w:b/>
        </w:rPr>
        <w:t xml:space="preserve">National Human Rights Commission </w:t>
      </w:r>
      <w:r w:rsidRPr="00B56E44">
        <w:rPr>
          <w:b/>
        </w:rPr>
        <w:t>has the financial, human and material resources it needs to execute its mandate effectively on a fully independent basis</w:t>
      </w:r>
      <w:r w:rsidR="00467CEB">
        <w:rPr>
          <w:b/>
        </w:rPr>
        <w:t>,</w:t>
      </w:r>
      <w:r w:rsidRPr="00B56E44">
        <w:rPr>
          <w:b/>
        </w:rPr>
        <w:t xml:space="preserve"> in accordance with the </w:t>
      </w:r>
      <w:r w:rsidR="00D13F13" w:rsidRPr="00D13F13">
        <w:rPr>
          <w:b/>
        </w:rPr>
        <w:t>principles relating to the status of national institutions for the promotion and protection of human rights</w:t>
      </w:r>
      <w:r w:rsidR="00D13F13">
        <w:rPr>
          <w:b/>
        </w:rPr>
        <w:t xml:space="preserve"> </w:t>
      </w:r>
      <w:r w:rsidRPr="00D13F13">
        <w:rPr>
          <w:b/>
        </w:rPr>
        <w:t>(</w:t>
      </w:r>
      <w:smartTag w:uri="urn:schemas-microsoft-com:office:smarttags" w:element="place">
        <w:smartTag w:uri="urn:schemas-microsoft-com:office:smarttags" w:element="City">
          <w:r w:rsidR="00D13F13" w:rsidRPr="00D13F13">
            <w:rPr>
              <w:b/>
            </w:rPr>
            <w:t>Paris</w:t>
          </w:r>
        </w:smartTag>
      </w:smartTag>
      <w:r w:rsidR="00D13F13" w:rsidRPr="00D13F13">
        <w:rPr>
          <w:b/>
        </w:rPr>
        <w:t xml:space="preserve"> Principles</w:t>
      </w:r>
      <w:r w:rsidRPr="00B56E44">
        <w:rPr>
          <w:b/>
        </w:rPr>
        <w:t xml:space="preserve">). The Committee further recommends that the </w:t>
      </w:r>
      <w:r w:rsidR="00467CEB" w:rsidRPr="00467CEB">
        <w:rPr>
          <w:b/>
        </w:rPr>
        <w:t>National Human Rights</w:t>
      </w:r>
      <w:r w:rsidR="00467CEB" w:rsidRPr="00B56E44" w:rsidDel="00467CEB">
        <w:rPr>
          <w:b/>
        </w:rPr>
        <w:t xml:space="preserve"> </w:t>
      </w:r>
      <w:r w:rsidR="00467CEB">
        <w:rPr>
          <w:b/>
        </w:rPr>
        <w:t>Commission</w:t>
      </w:r>
      <w:r w:rsidRPr="00B56E44">
        <w:rPr>
          <w:b/>
        </w:rPr>
        <w:t xml:space="preserve"> apply for accreditation to the Sub</w:t>
      </w:r>
      <w:r w:rsidR="007B19A6">
        <w:rPr>
          <w:b/>
        </w:rPr>
        <w:t>-</w:t>
      </w:r>
      <w:r w:rsidRPr="00B56E44">
        <w:rPr>
          <w:b/>
        </w:rPr>
        <w:t xml:space="preserve">committee on Accreditation of the International Coordinating Committee of National Institutions for the Promotion and Protection of Human Rights. </w:t>
      </w:r>
    </w:p>
    <w:p w:rsidR="00B56E44" w:rsidRPr="00D13F13" w:rsidRDefault="00571FA5" w:rsidP="00571FA5">
      <w:pPr>
        <w:pStyle w:val="H23G"/>
      </w:pPr>
      <w:r>
        <w:tab/>
      </w:r>
      <w:r>
        <w:tab/>
      </w:r>
      <w:r w:rsidR="00B56E44" w:rsidRPr="00D13F13">
        <w:t>Access to justice and independence of the judiciary</w:t>
      </w:r>
    </w:p>
    <w:p w:rsidR="00B56E44" w:rsidRPr="00B56E44" w:rsidRDefault="002A5FBE" w:rsidP="002A5FBE">
      <w:pPr>
        <w:pStyle w:val="SingleTxtG"/>
      </w:pPr>
      <w:r w:rsidRPr="00B56E44">
        <w:rPr>
          <w:bCs/>
        </w:rPr>
        <w:t>11.</w:t>
      </w:r>
      <w:r w:rsidRPr="00B56E44">
        <w:rPr>
          <w:bCs/>
        </w:rPr>
        <w:tab/>
      </w:r>
      <w:r w:rsidR="00B56E44" w:rsidRPr="00D13F13">
        <w:t>The Committee takes note of the adoption of an integrated strategic plan of the justice sector and the information provided by the delegation regarding judicial salaries and remuneration. However, it remains concern</w:t>
      </w:r>
      <w:r w:rsidR="00467CEB">
        <w:t>ed</w:t>
      </w:r>
      <w:r w:rsidR="00B56E44" w:rsidRPr="00D13F13">
        <w:t xml:space="preserve"> about </w:t>
      </w:r>
      <w:r w:rsidR="00426CE8" w:rsidRPr="00D13F13">
        <w:t>the low number of magistrates</w:t>
      </w:r>
      <w:r w:rsidR="00E060F3" w:rsidRPr="00D13F13">
        <w:t xml:space="preserve">, the backlog </w:t>
      </w:r>
      <w:r w:rsidR="00F57A92" w:rsidRPr="00D13F13">
        <w:t xml:space="preserve">of cases </w:t>
      </w:r>
      <w:r w:rsidR="00E060F3" w:rsidRPr="00D13F13">
        <w:t>in the courts</w:t>
      </w:r>
      <w:r w:rsidR="00426CE8" w:rsidRPr="00D13F13">
        <w:t xml:space="preserve"> and </w:t>
      </w:r>
      <w:r w:rsidR="00201650" w:rsidRPr="00D13F13">
        <w:t xml:space="preserve">reports </w:t>
      </w:r>
      <w:r w:rsidR="00B56E44" w:rsidRPr="00D13F13">
        <w:t>of “</w:t>
      </w:r>
      <w:r w:rsidR="00201650" w:rsidRPr="00D13F13">
        <w:t xml:space="preserve">a </w:t>
      </w:r>
      <w:r w:rsidR="00B56E44" w:rsidRPr="00D13F13">
        <w:t>lack of respect for</w:t>
      </w:r>
      <w:r w:rsidR="00B704ED">
        <w:t xml:space="preserve"> the presumption of innocence lengthy trials </w:t>
      </w:r>
      <w:r w:rsidR="00B56E44" w:rsidRPr="00D13F13">
        <w:t>and the inadequate implementation of the principle of equality before the law”</w:t>
      </w:r>
      <w:r w:rsidR="00BD2640" w:rsidRPr="00D13F13">
        <w:t>, as</w:t>
      </w:r>
      <w:r w:rsidR="00B56E44" w:rsidRPr="00D13F13">
        <w:t xml:space="preserve"> </w:t>
      </w:r>
      <w:r w:rsidR="00BD2640" w:rsidRPr="00D13F13">
        <w:t xml:space="preserve">described on 10 December 2010 </w:t>
      </w:r>
      <w:r w:rsidR="00B56E44" w:rsidRPr="00D13F13">
        <w:t>by the Special Rapporteur on</w:t>
      </w:r>
      <w:r w:rsidR="00B56E44" w:rsidRPr="00B56E44">
        <w:t xml:space="preserve"> the independence of judges and lawyers in </w:t>
      </w:r>
      <w:r w:rsidR="00F57A92">
        <w:t>her p</w:t>
      </w:r>
      <w:r w:rsidR="00B56E44" w:rsidRPr="00B56E44">
        <w:t xml:space="preserve">reliminary conclusions and observations </w:t>
      </w:r>
      <w:r w:rsidR="00F57A92">
        <w:t>on</w:t>
      </w:r>
      <w:r w:rsidR="00B56E44" w:rsidRPr="00B56E44">
        <w:t xml:space="preserve"> he</w:t>
      </w:r>
      <w:r w:rsidR="00BD2640">
        <w:t>r</w:t>
      </w:r>
      <w:r w:rsidR="00B56E44" w:rsidRPr="00B56E44">
        <w:t xml:space="preserve"> visit to Mozambique</w:t>
      </w:r>
      <w:r w:rsidR="00BD2640">
        <w:t xml:space="preserve"> </w:t>
      </w:r>
      <w:r w:rsidR="00B56E44" w:rsidRPr="00B56E44">
        <w:t>(</w:t>
      </w:r>
      <w:r w:rsidR="00B0102B">
        <w:t>art. </w:t>
      </w:r>
      <w:r w:rsidR="00B56E44" w:rsidRPr="00B56E44">
        <w:t>2).</w:t>
      </w:r>
    </w:p>
    <w:p w:rsidR="00B56E44" w:rsidRPr="00B56E44" w:rsidRDefault="00B56E44" w:rsidP="00854012">
      <w:pPr>
        <w:spacing w:after="120"/>
        <w:ind w:left="1134" w:right="1134"/>
        <w:jc w:val="both"/>
        <w:rPr>
          <w:b/>
        </w:rPr>
      </w:pPr>
      <w:r w:rsidRPr="00B56E44">
        <w:rPr>
          <w:b/>
        </w:rPr>
        <w:t xml:space="preserve">The State party should </w:t>
      </w:r>
      <w:r w:rsidR="00E060F3">
        <w:rPr>
          <w:b/>
        </w:rPr>
        <w:t xml:space="preserve">ensure </w:t>
      </w:r>
      <w:r w:rsidR="00854012">
        <w:rPr>
          <w:b/>
        </w:rPr>
        <w:t>the</w:t>
      </w:r>
      <w:r w:rsidR="00E060F3">
        <w:rPr>
          <w:b/>
        </w:rPr>
        <w:t xml:space="preserve"> effective functioning of the justice system and </w:t>
      </w:r>
      <w:r w:rsidRPr="00B56E44">
        <w:rPr>
          <w:b/>
        </w:rPr>
        <w:t>guarantee access to justice for all victims of torture and cruel, inhuman or degrading treatment. It should take further steps to ensure the independence and impartiality of the judiciary in the performance of its functions, in particular by implementing the recommendations of the Special Rapporteur on the independence of judges and lawyer</w:t>
      </w:r>
      <w:r w:rsidR="00F57A92">
        <w:rPr>
          <w:b/>
        </w:rPr>
        <w:t>s</w:t>
      </w:r>
      <w:r w:rsidRPr="00B56E44">
        <w:rPr>
          <w:b/>
        </w:rPr>
        <w:t xml:space="preserve"> (A/HRC/17/30/Add.2, </w:t>
      </w:r>
      <w:proofErr w:type="spellStart"/>
      <w:r w:rsidRPr="00B56E44">
        <w:rPr>
          <w:b/>
        </w:rPr>
        <w:t>paras</w:t>
      </w:r>
      <w:proofErr w:type="spellEnd"/>
      <w:r w:rsidRPr="00B56E44">
        <w:rPr>
          <w:b/>
        </w:rPr>
        <w:t>. 118-123).</w:t>
      </w:r>
    </w:p>
    <w:p w:rsidR="00B56E44" w:rsidRPr="00B56E44" w:rsidRDefault="00571FA5" w:rsidP="00571FA5">
      <w:pPr>
        <w:pStyle w:val="H23G"/>
      </w:pPr>
      <w:r>
        <w:tab/>
      </w:r>
      <w:r>
        <w:tab/>
      </w:r>
      <w:r w:rsidR="00B56E44" w:rsidRPr="00B56E44">
        <w:t>Non-refoulement and access to a fair and expeditious asylum procedure</w:t>
      </w:r>
    </w:p>
    <w:p w:rsidR="00B56E44" w:rsidRPr="00B56E44" w:rsidRDefault="002A5FBE" w:rsidP="002A5FBE">
      <w:pPr>
        <w:pStyle w:val="SingleTxtG"/>
      </w:pPr>
      <w:r w:rsidRPr="00B56E44">
        <w:rPr>
          <w:bCs/>
        </w:rPr>
        <w:t>12.</w:t>
      </w:r>
      <w:r w:rsidRPr="00B56E44">
        <w:rPr>
          <w:bCs/>
        </w:rPr>
        <w:tab/>
      </w:r>
      <w:r w:rsidR="00B56E44" w:rsidRPr="00B56E44">
        <w:t>The Committee expresses concern about report</w:t>
      </w:r>
      <w:r w:rsidR="00854012">
        <w:t>s of</w:t>
      </w:r>
      <w:r w:rsidR="00B56E44" w:rsidRPr="00B56E44">
        <w:t xml:space="preserve"> excessive delays in </w:t>
      </w:r>
      <w:r w:rsidR="00854012">
        <w:t xml:space="preserve">the </w:t>
      </w:r>
      <w:r w:rsidR="00B56E44" w:rsidRPr="00B56E44">
        <w:t xml:space="preserve">determination of refugee status. It also regrets the lack of information provided by the State party on the number of cases of refoulement, extradition and expulsion carried out during the reporting period and on the number of instances </w:t>
      </w:r>
      <w:r w:rsidR="00426CE8">
        <w:t xml:space="preserve">and type of cases </w:t>
      </w:r>
      <w:r w:rsidR="00B56E44" w:rsidRPr="00B56E44">
        <w:t>in which it has offered and/or accepted diplomatic assurances or guarantees (</w:t>
      </w:r>
      <w:r w:rsidR="00B0102B">
        <w:t>art. </w:t>
      </w:r>
      <w:r w:rsidR="00B56E44" w:rsidRPr="00B56E44">
        <w:t>3).</w:t>
      </w:r>
    </w:p>
    <w:p w:rsidR="00B56E44" w:rsidRPr="00B56E44" w:rsidRDefault="00B56E44" w:rsidP="00B56E44">
      <w:pPr>
        <w:spacing w:after="120"/>
        <w:ind w:left="1134" w:right="1134"/>
        <w:jc w:val="both"/>
        <w:rPr>
          <w:b/>
        </w:rPr>
      </w:pPr>
      <w:r w:rsidRPr="00B56E44">
        <w:rPr>
          <w:b/>
        </w:rPr>
        <w:t xml:space="preserve">The State party should take the necessary steps, in cooperation with the </w:t>
      </w:r>
      <w:r w:rsidR="002921DB">
        <w:rPr>
          <w:b/>
        </w:rPr>
        <w:t xml:space="preserve">Office of the </w:t>
      </w:r>
      <w:r w:rsidRPr="00B56E44">
        <w:rPr>
          <w:b/>
        </w:rPr>
        <w:t>United Nations High Commissioner for Refugees (UNHCR), to review its refugee status determination procedures so as to reduce the backlog of asylum applications.</w:t>
      </w:r>
    </w:p>
    <w:p w:rsidR="00B56E44" w:rsidRPr="00B56E44" w:rsidRDefault="00571FA5" w:rsidP="00571FA5">
      <w:pPr>
        <w:pStyle w:val="H23G"/>
        <w:rPr>
          <w:rFonts w:cs="Verdana"/>
          <w:szCs w:val="26"/>
          <w:lang w:eastAsia="es-ES_tradnl"/>
        </w:rPr>
      </w:pPr>
      <w:r>
        <w:rPr>
          <w:b w:val="0"/>
        </w:rPr>
        <w:tab/>
      </w:r>
      <w:r>
        <w:rPr>
          <w:b w:val="0"/>
        </w:rPr>
        <w:tab/>
      </w:r>
      <w:r w:rsidR="00B56E44" w:rsidRPr="00B56E44">
        <w:t>Jurisdiction over acts of torture</w:t>
      </w:r>
    </w:p>
    <w:p w:rsidR="00B56E44" w:rsidRPr="00B56E44" w:rsidRDefault="002A5FBE" w:rsidP="002A5FBE">
      <w:pPr>
        <w:pStyle w:val="SingleTxtG"/>
        <w:rPr>
          <w:rFonts w:cs="Verdana"/>
          <w:szCs w:val="26"/>
          <w:lang w:eastAsia="es-ES_tradnl"/>
        </w:rPr>
      </w:pPr>
      <w:r w:rsidRPr="00B56E44">
        <w:rPr>
          <w:rFonts w:cs="Verdana"/>
          <w:bCs/>
          <w:szCs w:val="26"/>
          <w:lang w:eastAsia="es-ES_tradnl"/>
        </w:rPr>
        <w:t>13.</w:t>
      </w:r>
      <w:r w:rsidRPr="00B56E44">
        <w:rPr>
          <w:rFonts w:cs="Verdana"/>
          <w:bCs/>
          <w:szCs w:val="26"/>
          <w:lang w:eastAsia="es-ES_tradnl"/>
        </w:rPr>
        <w:tab/>
      </w:r>
      <w:r w:rsidR="00B56E44" w:rsidRPr="00B56E44">
        <w:rPr>
          <w:rFonts w:cs="Verdana"/>
          <w:szCs w:val="26"/>
          <w:lang w:eastAsia="es-ES_tradnl"/>
        </w:rPr>
        <w:t xml:space="preserve">While noting that article 67 of the Constitution establishes the principles governing extraditions, the Committee is concerned at the lack of clarity </w:t>
      </w:r>
      <w:r w:rsidR="004A21D2">
        <w:rPr>
          <w:rFonts w:cs="Verdana"/>
          <w:szCs w:val="26"/>
          <w:lang w:eastAsia="es-ES_tradnl"/>
        </w:rPr>
        <w:t>regarding</w:t>
      </w:r>
      <w:r w:rsidR="00B56E44" w:rsidRPr="00B56E44">
        <w:rPr>
          <w:rFonts w:cs="Verdana"/>
          <w:szCs w:val="26"/>
          <w:lang w:eastAsia="es-ES_tradnl"/>
        </w:rPr>
        <w:t xml:space="preserve"> the existence of the necessary legislative measures establishing the State party’s jurisdiction over acts of torture (arts.</w:t>
      </w:r>
      <w:r w:rsidR="00B0102B">
        <w:rPr>
          <w:rFonts w:cs="Verdana"/>
          <w:szCs w:val="26"/>
          <w:lang w:eastAsia="es-ES_tradnl"/>
        </w:rPr>
        <w:t> </w:t>
      </w:r>
      <w:r w:rsidR="00B56E44" w:rsidRPr="00B56E44">
        <w:rPr>
          <w:rFonts w:cs="Verdana"/>
          <w:szCs w:val="26"/>
          <w:lang w:eastAsia="es-ES_tradnl"/>
        </w:rPr>
        <w:t>5, 6, 7 and 8).</w:t>
      </w:r>
    </w:p>
    <w:p w:rsidR="00B56E44" w:rsidRPr="00B56E44" w:rsidRDefault="00B56E44" w:rsidP="002B4269">
      <w:pPr>
        <w:spacing w:after="120"/>
        <w:ind w:left="1134" w:right="1134"/>
        <w:jc w:val="both"/>
        <w:rPr>
          <w:rFonts w:cs="Verdana"/>
          <w:b/>
          <w:szCs w:val="26"/>
          <w:lang w:eastAsia="es-ES_tradnl"/>
        </w:rPr>
      </w:pPr>
      <w:r w:rsidRPr="00B56E44">
        <w:rPr>
          <w:rFonts w:cs="Verdana"/>
          <w:b/>
          <w:szCs w:val="26"/>
          <w:lang w:eastAsia="es-ES_tradnl"/>
        </w:rPr>
        <w:t xml:space="preserve">The State party should ensure that its domestic legislation permits the establishment of jurisdiction </w:t>
      </w:r>
      <w:r w:rsidR="002B4269">
        <w:rPr>
          <w:rFonts w:cs="Verdana"/>
          <w:b/>
          <w:szCs w:val="26"/>
          <w:lang w:eastAsia="es-ES_tradnl"/>
        </w:rPr>
        <w:t>over</w:t>
      </w:r>
      <w:r w:rsidRPr="00B56E44">
        <w:rPr>
          <w:rFonts w:cs="Verdana"/>
          <w:b/>
          <w:szCs w:val="26"/>
          <w:lang w:eastAsia="es-ES_tradnl"/>
        </w:rPr>
        <w:t xml:space="preserve"> acts of torture</w:t>
      </w:r>
      <w:r w:rsidR="002B4269">
        <w:rPr>
          <w:rFonts w:cs="Verdana"/>
          <w:b/>
          <w:szCs w:val="26"/>
          <w:lang w:eastAsia="es-ES_tradnl"/>
        </w:rPr>
        <w:t>,</w:t>
      </w:r>
      <w:r w:rsidRPr="00B56E44">
        <w:rPr>
          <w:rFonts w:cs="Verdana"/>
          <w:b/>
          <w:szCs w:val="26"/>
          <w:lang w:eastAsia="es-ES_tradnl"/>
        </w:rPr>
        <w:t xml:space="preserve"> in accordance with article 5 of the Convention</w:t>
      </w:r>
      <w:r w:rsidR="002B4269">
        <w:rPr>
          <w:rFonts w:cs="Verdana"/>
          <w:b/>
          <w:szCs w:val="26"/>
          <w:lang w:eastAsia="es-ES_tradnl"/>
        </w:rPr>
        <w:t>. Domestic legislation should</w:t>
      </w:r>
      <w:r w:rsidRPr="00B56E44">
        <w:rPr>
          <w:rFonts w:cs="Verdana"/>
          <w:b/>
          <w:szCs w:val="26"/>
          <w:lang w:eastAsia="es-ES_tradnl"/>
        </w:rPr>
        <w:t xml:space="preserve"> includ</w:t>
      </w:r>
      <w:r w:rsidR="002B4269">
        <w:rPr>
          <w:rFonts w:cs="Verdana"/>
          <w:b/>
          <w:szCs w:val="26"/>
          <w:lang w:eastAsia="es-ES_tradnl"/>
        </w:rPr>
        <w:t>e</w:t>
      </w:r>
      <w:r w:rsidRPr="00B56E44">
        <w:rPr>
          <w:rFonts w:cs="Verdana"/>
          <w:b/>
          <w:szCs w:val="26"/>
          <w:lang w:eastAsia="es-ES_tradnl"/>
        </w:rPr>
        <w:t xml:space="preserve"> provision to bring criminal proceedings</w:t>
      </w:r>
      <w:r w:rsidR="004A21D2">
        <w:rPr>
          <w:rFonts w:cs="Verdana"/>
          <w:b/>
          <w:szCs w:val="26"/>
          <w:lang w:eastAsia="es-ES_tradnl"/>
        </w:rPr>
        <w:t>,</w:t>
      </w:r>
      <w:r w:rsidRPr="00B56E44">
        <w:rPr>
          <w:rFonts w:cs="Verdana"/>
          <w:b/>
          <w:szCs w:val="26"/>
          <w:lang w:eastAsia="es-ES_tradnl"/>
        </w:rPr>
        <w:t xml:space="preserve"> under article 7</w:t>
      </w:r>
      <w:r w:rsidR="004A21D2">
        <w:rPr>
          <w:rFonts w:cs="Verdana"/>
          <w:b/>
          <w:szCs w:val="26"/>
          <w:lang w:eastAsia="es-ES_tradnl"/>
        </w:rPr>
        <w:t>,</w:t>
      </w:r>
      <w:r w:rsidRPr="00B56E44">
        <w:rPr>
          <w:rFonts w:cs="Verdana"/>
          <w:b/>
          <w:szCs w:val="26"/>
          <w:lang w:eastAsia="es-ES_tradnl"/>
        </w:rPr>
        <w:t xml:space="preserve"> against foreign nationals who have committed acts of torture outside the territory of the State party, who are present in its territory and have not been extradited.</w:t>
      </w:r>
    </w:p>
    <w:p w:rsidR="00B56E44" w:rsidRPr="00B56E44" w:rsidRDefault="00571FA5" w:rsidP="00571FA5">
      <w:pPr>
        <w:pStyle w:val="H23G"/>
      </w:pPr>
      <w:r>
        <w:tab/>
      </w:r>
      <w:r>
        <w:tab/>
      </w:r>
      <w:r w:rsidR="00B56E44" w:rsidRPr="00B56E44">
        <w:t>Training</w:t>
      </w:r>
    </w:p>
    <w:p w:rsidR="00B56E44" w:rsidRPr="00B56E44" w:rsidRDefault="002A5FBE" w:rsidP="002A5FBE">
      <w:pPr>
        <w:pStyle w:val="SingleTxtG"/>
      </w:pPr>
      <w:r w:rsidRPr="00B56E44">
        <w:rPr>
          <w:bCs/>
        </w:rPr>
        <w:t>14.</w:t>
      </w:r>
      <w:r w:rsidRPr="00B56E44">
        <w:rPr>
          <w:bCs/>
        </w:rPr>
        <w:tab/>
      </w:r>
      <w:r w:rsidR="00B56E44" w:rsidRPr="00B56E44">
        <w:t xml:space="preserve">The Committee takes note of the information provided by the State party on </w:t>
      </w:r>
      <w:r w:rsidR="004A21D2">
        <w:t xml:space="preserve">the </w:t>
      </w:r>
      <w:r w:rsidR="00B56E44" w:rsidRPr="00B56E44">
        <w:t xml:space="preserve">training </w:t>
      </w:r>
      <w:r w:rsidR="002C6704">
        <w:t>courses</w:t>
      </w:r>
      <w:r w:rsidR="00B56E44" w:rsidRPr="00B56E44">
        <w:t xml:space="preserve"> for judges, magistrates and other public officials </w:t>
      </w:r>
      <w:r w:rsidR="004A21D2">
        <w:t xml:space="preserve">that are </w:t>
      </w:r>
      <w:r w:rsidR="00B56E44" w:rsidRPr="00B56E44">
        <w:t xml:space="preserve">taught at the Centre for Legal and Judicial Training. However, it regrets the scant information available on the evaluation of such </w:t>
      </w:r>
      <w:r w:rsidR="00EF37F1">
        <w:t>cours</w:t>
      </w:r>
      <w:r w:rsidR="00EF37F1" w:rsidRPr="00B56E44">
        <w:t xml:space="preserve">es </w:t>
      </w:r>
      <w:r w:rsidR="00B56E44" w:rsidRPr="00B56E44">
        <w:t>and their effectiveness in reducing the incidence of torture an</w:t>
      </w:r>
      <w:r w:rsidR="00EF37F1">
        <w:t>d</w:t>
      </w:r>
      <w:r w:rsidR="00B56E44" w:rsidRPr="00B56E44">
        <w:t xml:space="preserve"> ill</w:t>
      </w:r>
      <w:r w:rsidR="00EF37F1">
        <w:t>-</w:t>
      </w:r>
      <w:r w:rsidR="00B56E44" w:rsidRPr="00B56E44">
        <w:t xml:space="preserve">treatment. The Committee is also concerned at the lack of specific training </w:t>
      </w:r>
      <w:r w:rsidR="00EF37F1">
        <w:t>provided to</w:t>
      </w:r>
      <w:r w:rsidR="00B56E44" w:rsidRPr="00B56E44">
        <w:t xml:space="preserve"> law enforcement officials, judges, prosecutors, forensic doctors and medical personnel dealing with detained persons on how to detect and document physical and psychological </w:t>
      </w:r>
      <w:proofErr w:type="spellStart"/>
      <w:r w:rsidR="00B56E44" w:rsidRPr="00B56E44">
        <w:t>sequelae</w:t>
      </w:r>
      <w:proofErr w:type="spellEnd"/>
      <w:r w:rsidR="00B56E44" w:rsidRPr="00B56E44">
        <w:t xml:space="preserve"> of torture and other cruel, inhuman or degrading treatment or punishment (</w:t>
      </w:r>
      <w:r w:rsidR="00B0102B">
        <w:t>art. </w:t>
      </w:r>
      <w:r w:rsidR="00B56E44" w:rsidRPr="00B56E44">
        <w:t>10).</w:t>
      </w:r>
    </w:p>
    <w:p w:rsidR="00B56E44" w:rsidRDefault="00B56E44" w:rsidP="00571FA5">
      <w:pPr>
        <w:keepNext/>
        <w:spacing w:after="120"/>
        <w:ind w:left="1134" w:right="1134"/>
        <w:jc w:val="both"/>
        <w:rPr>
          <w:b/>
        </w:rPr>
      </w:pPr>
      <w:r w:rsidRPr="00B56E44">
        <w:rPr>
          <w:b/>
        </w:rPr>
        <w:t>The State party should:</w:t>
      </w:r>
    </w:p>
    <w:p w:rsidR="00B56E44" w:rsidRPr="00B56E44" w:rsidRDefault="00B56E44" w:rsidP="00B55257">
      <w:pPr>
        <w:pStyle w:val="SingleTxtG"/>
        <w:ind w:firstLine="567"/>
        <w:rPr>
          <w:b/>
        </w:rPr>
      </w:pPr>
      <w:r w:rsidRPr="00B56E44">
        <w:rPr>
          <w:b/>
        </w:rPr>
        <w:t>(a)</w:t>
      </w:r>
      <w:r w:rsidRPr="00B56E44">
        <w:rPr>
          <w:b/>
        </w:rPr>
        <w:tab/>
        <w:t xml:space="preserve">Provide mandatory training programmes </w:t>
      </w:r>
      <w:r w:rsidR="00EF37F1">
        <w:rPr>
          <w:b/>
        </w:rPr>
        <w:t>in order</w:t>
      </w:r>
      <w:r w:rsidRPr="00B56E44">
        <w:rPr>
          <w:b/>
        </w:rPr>
        <w:t xml:space="preserve"> to ensure that all public </w:t>
      </w:r>
      <w:r w:rsidR="003B08A1">
        <w:rPr>
          <w:b/>
        </w:rPr>
        <w:t>officials</w:t>
      </w:r>
      <w:r w:rsidRPr="00B56E44">
        <w:rPr>
          <w:b/>
        </w:rPr>
        <w:t xml:space="preserve">, in particular members of the police and prison staff, are fully aware of the provisions of the Convention, that breaches are not tolerated but </w:t>
      </w:r>
      <w:r w:rsidR="00B55257">
        <w:rPr>
          <w:b/>
        </w:rPr>
        <w:t xml:space="preserve">are </w:t>
      </w:r>
      <w:r w:rsidRPr="00B56E44">
        <w:rPr>
          <w:b/>
        </w:rPr>
        <w:t>investigated and perpetrators brought to trial;</w:t>
      </w:r>
    </w:p>
    <w:p w:rsidR="00B56E44" w:rsidRPr="00B56E44" w:rsidRDefault="00B56E44" w:rsidP="00805E71">
      <w:pPr>
        <w:pStyle w:val="SingleTxtG"/>
        <w:ind w:firstLine="567"/>
        <w:rPr>
          <w:b/>
        </w:rPr>
      </w:pPr>
      <w:r w:rsidRPr="00B56E44">
        <w:rPr>
          <w:b/>
        </w:rPr>
        <w:t>(b)</w:t>
      </w:r>
      <w:r w:rsidRPr="00B56E44">
        <w:rPr>
          <w:b/>
        </w:rPr>
        <w:tab/>
        <w:t xml:space="preserve">Assess the effectiveness and impact of training </w:t>
      </w:r>
      <w:r w:rsidR="00B55257">
        <w:rPr>
          <w:b/>
        </w:rPr>
        <w:t>courses</w:t>
      </w:r>
      <w:r w:rsidRPr="00B56E44">
        <w:rPr>
          <w:b/>
        </w:rPr>
        <w:t xml:space="preserve"> on the incidence of torture and ill-treatment;</w:t>
      </w:r>
      <w:r w:rsidR="00B55257">
        <w:rPr>
          <w:b/>
        </w:rPr>
        <w:t xml:space="preserve"> and</w:t>
      </w:r>
    </w:p>
    <w:p w:rsidR="00B56E44" w:rsidRPr="00B56E44" w:rsidRDefault="00B56E44" w:rsidP="00B55257">
      <w:pPr>
        <w:pStyle w:val="SingleTxtG"/>
        <w:ind w:firstLine="567"/>
        <w:rPr>
          <w:b/>
        </w:rPr>
      </w:pPr>
      <w:r w:rsidRPr="00B56E44">
        <w:rPr>
          <w:b/>
        </w:rPr>
        <w:t>(c)</w:t>
      </w:r>
      <w:r w:rsidRPr="00B56E44">
        <w:rPr>
          <w:b/>
        </w:rPr>
        <w:tab/>
        <w:t>Provide training on the use of the Manual on Effective Investigation and Documentation of Torture and Other Cruel, Inhuman or Degrading Treatment or Punishment (Istanbul Protocol) for all relevant personnel, including medical personnel.</w:t>
      </w:r>
    </w:p>
    <w:p w:rsidR="00B56E44" w:rsidRPr="00B56E44" w:rsidRDefault="00B56E44" w:rsidP="00B56E44">
      <w:pPr>
        <w:pStyle w:val="H23G"/>
      </w:pPr>
      <w:r>
        <w:tab/>
      </w:r>
      <w:r>
        <w:tab/>
      </w:r>
      <w:r w:rsidRPr="00B56E44">
        <w:t>Conditions of detention in prisons and police stations</w:t>
      </w:r>
    </w:p>
    <w:p w:rsidR="00B56E44" w:rsidRPr="00B56E44" w:rsidRDefault="002A5FBE" w:rsidP="002A5FBE">
      <w:pPr>
        <w:pStyle w:val="SingleTxtG"/>
      </w:pPr>
      <w:r w:rsidRPr="00B56E44">
        <w:rPr>
          <w:bCs/>
        </w:rPr>
        <w:t>15.</w:t>
      </w:r>
      <w:r w:rsidRPr="00B56E44">
        <w:rPr>
          <w:bCs/>
        </w:rPr>
        <w:tab/>
      </w:r>
      <w:r w:rsidR="003B08A1">
        <w:t xml:space="preserve">While acknowledging the </w:t>
      </w:r>
      <w:r w:rsidR="00B56E44" w:rsidRPr="00B56E44">
        <w:t xml:space="preserve">steps taken by the State party to improve conditions in detention centres, </w:t>
      </w:r>
      <w:r w:rsidR="003B08A1">
        <w:t>including</w:t>
      </w:r>
      <w:r w:rsidR="00B56E44" w:rsidRPr="00B56E44">
        <w:t xml:space="preserve"> the construction of two new penitentiaries and the allocation of additional resources, the Committee remains concerned at the extremely high levels of overcrowding and </w:t>
      </w:r>
      <w:r w:rsidR="004A21D2">
        <w:t xml:space="preserve">the </w:t>
      </w:r>
      <w:r w:rsidR="00B56E44" w:rsidRPr="00B56E44">
        <w:t xml:space="preserve">harsh conditions prevailing in detention facilities, including </w:t>
      </w:r>
      <w:r w:rsidR="00B55257" w:rsidRPr="00B56E44">
        <w:t xml:space="preserve">holding cells </w:t>
      </w:r>
      <w:r w:rsidR="00B55257">
        <w:t xml:space="preserve">in </w:t>
      </w:r>
      <w:r w:rsidR="00B56E44" w:rsidRPr="00B56E44">
        <w:t>police station</w:t>
      </w:r>
      <w:r w:rsidR="00B55257">
        <w:t>s</w:t>
      </w:r>
      <w:r w:rsidR="00B56E44" w:rsidRPr="00B56E44">
        <w:t>. According to the information provided by the State party’s delegation, 15,430 inmates in the country’s prisons were being held in facilities built to house 7,804. Furthermore, the State party’s initial report acknowledges the existence of deficiencies in the prison system, such as d</w:t>
      </w:r>
      <w:r w:rsidR="00314B18">
        <w:t>i</w:t>
      </w:r>
      <w:r w:rsidR="00B55257">
        <w:t>lapidated</w:t>
      </w:r>
      <w:r w:rsidR="00B56E44" w:rsidRPr="00B56E44">
        <w:t xml:space="preserve"> infrastructure, insufficient water supply and sanitation facilities, </w:t>
      </w:r>
      <w:r w:rsidR="00B55257">
        <w:t xml:space="preserve">the </w:t>
      </w:r>
      <w:r w:rsidR="00B56E44" w:rsidRPr="00B56E44">
        <w:t>shortage and poor quality of food and the prevalence of infectious diseases (</w:t>
      </w:r>
      <w:r w:rsidR="00B704ED">
        <w:t>para.</w:t>
      </w:r>
      <w:r w:rsidR="00B56E44" w:rsidRPr="00B56E44">
        <w:t xml:space="preserve">140). The Committee regrets that it has not received the information it requested on the </w:t>
      </w:r>
      <w:r w:rsidR="00B55257">
        <w:t>incidence</w:t>
      </w:r>
      <w:r w:rsidR="00B55257" w:rsidRPr="00B56E44">
        <w:t xml:space="preserve"> </w:t>
      </w:r>
      <w:r w:rsidR="00B56E44" w:rsidRPr="00B56E44">
        <w:t xml:space="preserve">of inter-prisoner violence. </w:t>
      </w:r>
      <w:r w:rsidR="00F03F91">
        <w:t>T</w:t>
      </w:r>
      <w:r w:rsidR="00B56E44" w:rsidRPr="00B56E44">
        <w:t xml:space="preserve">he Committee is </w:t>
      </w:r>
      <w:r w:rsidR="004A21D2">
        <w:t xml:space="preserve">also </w:t>
      </w:r>
      <w:r w:rsidR="00B56E44" w:rsidRPr="00B56E44">
        <w:t xml:space="preserve">concerned at </w:t>
      </w:r>
      <w:r w:rsidR="00314B18" w:rsidRPr="00B56E44">
        <w:t xml:space="preserve">reports </w:t>
      </w:r>
      <w:r w:rsidR="00314B18">
        <w:t xml:space="preserve">from </w:t>
      </w:r>
      <w:r w:rsidR="00B56E44" w:rsidRPr="00B56E44">
        <w:t xml:space="preserve">non-governmental </w:t>
      </w:r>
      <w:r w:rsidR="00314B18">
        <w:t xml:space="preserve">sources </w:t>
      </w:r>
      <w:r w:rsidR="00B56E44" w:rsidRPr="00B56E44">
        <w:t>of prolonged pretrial detention beyond the statutory limits prescribed by law and continued detention after the expiry of sentences (arts.</w:t>
      </w:r>
      <w:r w:rsidR="00B0102B">
        <w:t> </w:t>
      </w:r>
      <w:r w:rsidR="00B56E44" w:rsidRPr="00B56E44">
        <w:t xml:space="preserve">11 and 16). </w:t>
      </w:r>
    </w:p>
    <w:p w:rsidR="00B56E44" w:rsidRPr="00B56E44" w:rsidRDefault="00B56E44" w:rsidP="00AF279E">
      <w:pPr>
        <w:pStyle w:val="SingleTxtG"/>
        <w:rPr>
          <w:b/>
        </w:rPr>
      </w:pPr>
      <w:r w:rsidRPr="00B56E44">
        <w:rPr>
          <w:b/>
        </w:rPr>
        <w:t xml:space="preserve">The State party should continue its efforts to improve prison conditions and to reduce overcrowding. </w:t>
      </w:r>
      <w:r w:rsidR="00F03F91">
        <w:rPr>
          <w:b/>
        </w:rPr>
        <w:t>I</w:t>
      </w:r>
      <w:r w:rsidR="00F03F91" w:rsidRPr="00B56E44">
        <w:rPr>
          <w:b/>
        </w:rPr>
        <w:t>n particular</w:t>
      </w:r>
      <w:r w:rsidR="00F03F91">
        <w:rPr>
          <w:b/>
        </w:rPr>
        <w:t xml:space="preserve">, </w:t>
      </w:r>
      <w:r w:rsidR="00AF279E">
        <w:rPr>
          <w:b/>
        </w:rPr>
        <w:t>i</w:t>
      </w:r>
      <w:r w:rsidR="00F03F91">
        <w:rPr>
          <w:b/>
        </w:rPr>
        <w:t>t</w:t>
      </w:r>
      <w:r w:rsidRPr="00B56E44">
        <w:rPr>
          <w:b/>
        </w:rPr>
        <w:t xml:space="preserve"> should:</w:t>
      </w:r>
    </w:p>
    <w:p w:rsidR="00B56E44" w:rsidRPr="00B56E44" w:rsidRDefault="00B56E44" w:rsidP="00F03F91">
      <w:pPr>
        <w:pStyle w:val="SingleTxtG"/>
        <w:ind w:firstLine="567"/>
        <w:rPr>
          <w:b/>
        </w:rPr>
      </w:pPr>
      <w:r w:rsidRPr="00B56E44">
        <w:rPr>
          <w:b/>
        </w:rPr>
        <w:t>(a)</w:t>
      </w:r>
      <w:r w:rsidRPr="00B56E44">
        <w:rPr>
          <w:b/>
        </w:rPr>
        <w:tab/>
        <w:t xml:space="preserve">Take the </w:t>
      </w:r>
      <w:r w:rsidR="00F03F91" w:rsidRPr="00B56E44">
        <w:rPr>
          <w:b/>
        </w:rPr>
        <w:t xml:space="preserve">necessary </w:t>
      </w:r>
      <w:r w:rsidRPr="00B56E44">
        <w:rPr>
          <w:b/>
        </w:rPr>
        <w:t>measures to ensure that the basic needs of persons deprived of their liberty are met with regard to sanitation, medical care, food and water, in accordance with the Standard Minimum Rules for the Treatment of Prisoners;</w:t>
      </w:r>
    </w:p>
    <w:p w:rsidR="00B56E44" w:rsidRPr="00B56E44" w:rsidRDefault="00B56E44" w:rsidP="00571FA5">
      <w:pPr>
        <w:pStyle w:val="SingleTxtG"/>
        <w:ind w:firstLine="567"/>
        <w:rPr>
          <w:b/>
        </w:rPr>
      </w:pPr>
      <w:r w:rsidRPr="00B56E44">
        <w:rPr>
          <w:b/>
        </w:rPr>
        <w:t>(b)</w:t>
      </w:r>
      <w:r w:rsidRPr="00B56E44">
        <w:rPr>
          <w:b/>
        </w:rPr>
        <w:tab/>
        <w:t>Set up a system for monitoring places of detention on a regular basis with a view to ensuring that conditions of detention in the country’s prisons are compatible with the Convention and other international human rights standards;</w:t>
      </w:r>
    </w:p>
    <w:p w:rsidR="00B56E44" w:rsidRPr="00B56E44" w:rsidRDefault="00B56E44" w:rsidP="00F03F91">
      <w:pPr>
        <w:pStyle w:val="SingleTxtG"/>
        <w:ind w:firstLine="567"/>
        <w:rPr>
          <w:b/>
        </w:rPr>
      </w:pPr>
      <w:r w:rsidRPr="00B56E44">
        <w:rPr>
          <w:b/>
        </w:rPr>
        <w:t>(c)</w:t>
      </w:r>
      <w:r w:rsidRPr="00B56E44">
        <w:rPr>
          <w:b/>
        </w:rPr>
        <w:tab/>
        <w:t>Increase its efforts to re</w:t>
      </w:r>
      <w:r w:rsidR="00F03F91">
        <w:rPr>
          <w:b/>
        </w:rPr>
        <w:t>duce</w:t>
      </w:r>
      <w:r w:rsidRPr="00B56E44">
        <w:rPr>
          <w:b/>
        </w:rPr>
        <w:t xml:space="preserve"> prison overcrowding, in particular by instituting alternatives to custodial sentences </w:t>
      </w:r>
      <w:r w:rsidRPr="00B56E44">
        <w:rPr>
          <w:b/>
          <w:lang/>
        </w:rPr>
        <w:t>in accordance with the United Nations Standard Minimum Rules for Non-</w:t>
      </w:r>
      <w:r w:rsidR="00F03F91">
        <w:rPr>
          <w:b/>
          <w:lang/>
        </w:rPr>
        <w:t>c</w:t>
      </w:r>
      <w:r w:rsidRPr="00B56E44">
        <w:rPr>
          <w:b/>
          <w:lang/>
        </w:rPr>
        <w:t>ustodial Measures (</w:t>
      </w:r>
      <w:r w:rsidR="00F03F91">
        <w:rPr>
          <w:b/>
          <w:lang/>
        </w:rPr>
        <w:t xml:space="preserve">the </w:t>
      </w:r>
      <w:r w:rsidRPr="00B56E44">
        <w:rPr>
          <w:b/>
          <w:lang/>
        </w:rPr>
        <w:t>Tokyo Rules) and the United Nations Rules for the Treatment of Women Prisoners and Non-custodial Measures for Women Offenders (</w:t>
      </w:r>
      <w:r w:rsidR="00F03F91">
        <w:rPr>
          <w:b/>
          <w:lang/>
        </w:rPr>
        <w:t xml:space="preserve">the </w:t>
      </w:r>
      <w:r w:rsidRPr="00B56E44">
        <w:rPr>
          <w:b/>
          <w:lang/>
        </w:rPr>
        <w:t>Bangkok Rules);</w:t>
      </w:r>
    </w:p>
    <w:p w:rsidR="00B56E44" w:rsidRDefault="00B56E44" w:rsidP="00571FA5">
      <w:pPr>
        <w:pStyle w:val="SingleTxtG"/>
        <w:ind w:firstLine="567"/>
        <w:rPr>
          <w:b/>
        </w:rPr>
      </w:pPr>
      <w:r w:rsidRPr="00B56E44">
        <w:rPr>
          <w:b/>
        </w:rPr>
        <w:t>(d)</w:t>
      </w:r>
      <w:r w:rsidRPr="00B56E44">
        <w:rPr>
          <w:b/>
        </w:rPr>
        <w:tab/>
      </w:r>
      <w:r w:rsidR="00B76940">
        <w:rPr>
          <w:b/>
        </w:rPr>
        <w:t xml:space="preserve">Take steps to prevent inter-prisoner violence and investigate all such incidents so </w:t>
      </w:r>
      <w:r w:rsidR="00F03F91">
        <w:rPr>
          <w:b/>
        </w:rPr>
        <w:t xml:space="preserve">that </w:t>
      </w:r>
      <w:r w:rsidR="00B76940">
        <w:rPr>
          <w:b/>
        </w:rPr>
        <w:t xml:space="preserve">the suspected perpetrators may be brought to trial and victims may be protected; </w:t>
      </w:r>
      <w:r w:rsidR="00B55257">
        <w:rPr>
          <w:b/>
        </w:rPr>
        <w:t>and</w:t>
      </w:r>
    </w:p>
    <w:p w:rsidR="00B56E44" w:rsidRPr="00B56E44" w:rsidRDefault="00B56E44" w:rsidP="00F03F91">
      <w:pPr>
        <w:pStyle w:val="SingleTxtG"/>
        <w:ind w:firstLine="567"/>
        <w:rPr>
          <w:b/>
        </w:rPr>
      </w:pPr>
      <w:r w:rsidRPr="00B56E44">
        <w:rPr>
          <w:b/>
        </w:rPr>
        <w:t>(e)</w:t>
      </w:r>
      <w:r w:rsidRPr="00B56E44">
        <w:rPr>
          <w:b/>
        </w:rPr>
        <w:tab/>
        <w:t>Ensure, in law and in practice, that pretr</w:t>
      </w:r>
      <w:r w:rsidR="005E73EB">
        <w:rPr>
          <w:b/>
        </w:rPr>
        <w:t>ia</w:t>
      </w:r>
      <w:r w:rsidRPr="00B56E44">
        <w:rPr>
          <w:b/>
        </w:rPr>
        <w:t xml:space="preserve">l detention is not unduly prolonged and that inmates are not detained beyond </w:t>
      </w:r>
      <w:r w:rsidR="00F03F91">
        <w:rPr>
          <w:b/>
        </w:rPr>
        <w:t xml:space="preserve">the </w:t>
      </w:r>
      <w:r w:rsidRPr="00B56E44">
        <w:rPr>
          <w:b/>
        </w:rPr>
        <w:t>expiry of their sentence.</w:t>
      </w:r>
    </w:p>
    <w:p w:rsidR="00B56E44" w:rsidRPr="00B56E44" w:rsidRDefault="00B56E44" w:rsidP="00F03F91">
      <w:pPr>
        <w:pStyle w:val="H23G"/>
      </w:pPr>
      <w:r>
        <w:tab/>
      </w:r>
      <w:r>
        <w:tab/>
      </w:r>
      <w:r w:rsidRPr="00B56E44">
        <w:t xml:space="preserve">Juvenile </w:t>
      </w:r>
      <w:r w:rsidR="00F03F91">
        <w:t>j</w:t>
      </w:r>
      <w:r w:rsidRPr="00B56E44">
        <w:t>ustice</w:t>
      </w:r>
    </w:p>
    <w:p w:rsidR="00B56E44" w:rsidRPr="00B56E44" w:rsidRDefault="002A5FBE" w:rsidP="002A5FBE">
      <w:pPr>
        <w:pStyle w:val="SingleTxtG"/>
      </w:pPr>
      <w:r w:rsidRPr="00B56E44">
        <w:rPr>
          <w:bCs/>
        </w:rPr>
        <w:t>16.</w:t>
      </w:r>
      <w:r w:rsidRPr="00B56E44">
        <w:rPr>
          <w:bCs/>
        </w:rPr>
        <w:tab/>
      </w:r>
      <w:r w:rsidR="00B56E44" w:rsidRPr="00B56E44">
        <w:t xml:space="preserve">The Committee is concerned </w:t>
      </w:r>
      <w:r w:rsidR="00F03F91">
        <w:t>at</w:t>
      </w:r>
      <w:r w:rsidR="00B56E44" w:rsidRPr="00B56E44">
        <w:t xml:space="preserve"> reports that pretrial detention is frequent</w:t>
      </w:r>
      <w:r w:rsidR="007D3F5A">
        <w:t>ly applied</w:t>
      </w:r>
      <w:r w:rsidR="00B56E44" w:rsidRPr="00B56E44">
        <w:t xml:space="preserve"> </w:t>
      </w:r>
      <w:r w:rsidR="007D3F5A">
        <w:t>t</w:t>
      </w:r>
      <w:r w:rsidR="00B56E44" w:rsidRPr="00B56E44">
        <w:t>o juveniles and that deprivation of liberty is not used as a measure of last resort</w:t>
      </w:r>
      <w:r w:rsidR="00F03F91">
        <w:t xml:space="preserve"> for them</w:t>
      </w:r>
      <w:r w:rsidR="00B56E44" w:rsidRPr="00B56E44">
        <w:t xml:space="preserve">. Despite the existence of youth sections in two </w:t>
      </w:r>
      <w:r w:rsidR="00F03F91" w:rsidRPr="00B56E44">
        <w:t>of the country</w:t>
      </w:r>
      <w:r w:rsidR="00F03F91">
        <w:t>’s</w:t>
      </w:r>
      <w:r w:rsidR="00F03F91" w:rsidRPr="00B56E44">
        <w:t xml:space="preserve"> </w:t>
      </w:r>
      <w:r w:rsidR="00B56E44" w:rsidRPr="00B56E44">
        <w:t>main prisons, the Committee remains concerned about the placement of juvenile offenders and adult detainees in the same facilities, especially as it cannot be guaranteed that there will be no contact whatsoever between them (arts.</w:t>
      </w:r>
      <w:r w:rsidR="00B0102B">
        <w:t> </w:t>
      </w:r>
      <w:r w:rsidR="00B56E44" w:rsidRPr="00B56E44">
        <w:t>11 and 16).</w:t>
      </w:r>
    </w:p>
    <w:p w:rsidR="00B56E44" w:rsidRPr="00B56E44" w:rsidRDefault="00B56E44" w:rsidP="00F03F91">
      <w:pPr>
        <w:spacing w:after="120"/>
        <w:ind w:left="1134" w:right="1134"/>
        <w:jc w:val="both"/>
        <w:rPr>
          <w:b/>
        </w:rPr>
      </w:pPr>
      <w:r w:rsidRPr="00B56E44">
        <w:rPr>
          <w:b/>
        </w:rPr>
        <w:t xml:space="preserve">The State party should </w:t>
      </w:r>
      <w:r w:rsidR="00F03F91">
        <w:rPr>
          <w:b/>
        </w:rPr>
        <w:t>increase</w:t>
      </w:r>
      <w:r w:rsidRPr="00B56E44">
        <w:rPr>
          <w:b/>
        </w:rPr>
        <w:t xml:space="preserve"> its efforts to improve the juvenile justice system in accordance with the United Nations Standard Minimum Rules for the Administration of Juvenile Justice (</w:t>
      </w:r>
      <w:smartTag w:uri="urn:schemas-microsoft-com:office:smarttags" w:element="place">
        <w:smartTag w:uri="urn:schemas-microsoft-com:office:smarttags" w:element="City">
          <w:r w:rsidRPr="00B56E44">
            <w:rPr>
              <w:b/>
            </w:rPr>
            <w:t>Beijing</w:t>
          </w:r>
        </w:smartTag>
      </w:smartTag>
      <w:r w:rsidRPr="00B56E44">
        <w:rPr>
          <w:b/>
        </w:rPr>
        <w:t xml:space="preserve"> Rules). In particular, the State party should ensure that detention pending trial </w:t>
      </w:r>
      <w:r w:rsidR="00F03F91">
        <w:rPr>
          <w:b/>
        </w:rPr>
        <w:t>i</w:t>
      </w:r>
      <w:r w:rsidRPr="00B56E44">
        <w:rPr>
          <w:b/>
        </w:rPr>
        <w:t xml:space="preserve">s used </w:t>
      </w:r>
      <w:r w:rsidR="007D3F5A">
        <w:rPr>
          <w:b/>
        </w:rPr>
        <w:t xml:space="preserve">for juveniles </w:t>
      </w:r>
      <w:r w:rsidRPr="00B56E44">
        <w:rPr>
          <w:b/>
        </w:rPr>
        <w:t>only as a measure of last resort and f</w:t>
      </w:r>
      <w:r w:rsidR="00F03F91">
        <w:rPr>
          <w:b/>
        </w:rPr>
        <w:t>or</w:t>
      </w:r>
      <w:r w:rsidRPr="00B56E44">
        <w:rPr>
          <w:b/>
        </w:rPr>
        <w:t xml:space="preserve"> the shortest possible period of time. It should also ensure th</w:t>
      </w:r>
      <w:r w:rsidR="00F03F91">
        <w:rPr>
          <w:b/>
        </w:rPr>
        <w:t>at</w:t>
      </w:r>
      <w:r w:rsidRPr="00B56E44">
        <w:rPr>
          <w:b/>
        </w:rPr>
        <w:t xml:space="preserve"> </w:t>
      </w:r>
      <w:r w:rsidR="00F03F91" w:rsidRPr="00B56E44">
        <w:rPr>
          <w:b/>
        </w:rPr>
        <w:t xml:space="preserve">sufficient facilities </w:t>
      </w:r>
      <w:r w:rsidR="00F03F91">
        <w:rPr>
          <w:b/>
        </w:rPr>
        <w:t xml:space="preserve">are </w:t>
      </w:r>
      <w:r w:rsidRPr="00B56E44">
        <w:rPr>
          <w:b/>
        </w:rPr>
        <w:t>availabl</w:t>
      </w:r>
      <w:r w:rsidR="00F03F91">
        <w:rPr>
          <w:b/>
        </w:rPr>
        <w:t>e</w:t>
      </w:r>
      <w:r w:rsidRPr="00B56E44">
        <w:rPr>
          <w:b/>
        </w:rPr>
        <w:t xml:space="preserve"> so that all juveniles in conflict with the law are held separately from adults.</w:t>
      </w:r>
    </w:p>
    <w:p w:rsidR="00B56E44" w:rsidRPr="00B56E44" w:rsidRDefault="00571FA5" w:rsidP="00571FA5">
      <w:pPr>
        <w:pStyle w:val="H23G"/>
      </w:pPr>
      <w:r>
        <w:tab/>
      </w:r>
      <w:r>
        <w:tab/>
      </w:r>
      <w:r w:rsidR="00B56E44" w:rsidRPr="00B56E44">
        <w:t>Conditions in psychiatric hospitals</w:t>
      </w:r>
    </w:p>
    <w:p w:rsidR="00B56E44" w:rsidRPr="00B56E44" w:rsidRDefault="002A5FBE" w:rsidP="002A5FBE">
      <w:pPr>
        <w:pStyle w:val="SingleTxtG"/>
      </w:pPr>
      <w:r w:rsidRPr="00B56E44">
        <w:rPr>
          <w:bCs/>
        </w:rPr>
        <w:t>17.</w:t>
      </w:r>
      <w:r w:rsidRPr="00B56E44">
        <w:rPr>
          <w:bCs/>
        </w:rPr>
        <w:tab/>
      </w:r>
      <w:r w:rsidR="00AF279E">
        <w:t xml:space="preserve">While </w:t>
      </w:r>
      <w:r w:rsidR="00B56E44" w:rsidRPr="00B56E44">
        <w:t>tak</w:t>
      </w:r>
      <w:r w:rsidR="00AF279E">
        <w:t>ing</w:t>
      </w:r>
      <w:r w:rsidR="00B56E44" w:rsidRPr="00B56E44">
        <w:t xml:space="preserve"> into account the information </w:t>
      </w:r>
      <w:r w:rsidR="00AF279E" w:rsidRPr="00B56E44">
        <w:t xml:space="preserve">provided during the dialogue </w:t>
      </w:r>
      <w:r w:rsidR="00F03F91" w:rsidRPr="00B56E44">
        <w:t>about mental health services in Mozambique</w:t>
      </w:r>
      <w:r w:rsidR="00AF279E">
        <w:t>,</w:t>
      </w:r>
      <w:r w:rsidR="00F03F91" w:rsidRPr="00B56E44">
        <w:t xml:space="preserve"> </w:t>
      </w:r>
      <w:r w:rsidR="00AF279E">
        <w:t>t</w:t>
      </w:r>
      <w:r w:rsidR="00B56E44" w:rsidRPr="00B56E44">
        <w:t xml:space="preserve">he Committee regrets that little information was </w:t>
      </w:r>
      <w:r w:rsidR="007D3F5A">
        <w:t>supplie</w:t>
      </w:r>
      <w:r w:rsidR="00AF279E">
        <w:t xml:space="preserve">d </w:t>
      </w:r>
      <w:r w:rsidR="007D3F5A">
        <w:t>concerning</w:t>
      </w:r>
      <w:r w:rsidR="00B56E44" w:rsidRPr="00B56E44">
        <w:t xml:space="preserve"> the conditions and legal safeguards for persons placed in involuntary treatment in psychiatric facilities. In this re</w:t>
      </w:r>
      <w:r w:rsidR="00F03F91">
        <w:t>gard</w:t>
      </w:r>
      <w:r w:rsidR="00B56E44" w:rsidRPr="00B56E44">
        <w:t xml:space="preserve">, the Committee </w:t>
      </w:r>
      <w:r w:rsidR="00F03F91">
        <w:t>is</w:t>
      </w:r>
      <w:r w:rsidR="00B56E44" w:rsidRPr="00B56E44">
        <w:t xml:space="preserve"> concerned at the delegation’s statement that involuntary admissions in psychiatric hospitals are not statistically recorded (</w:t>
      </w:r>
      <w:r w:rsidR="00B0102B">
        <w:t>art. </w:t>
      </w:r>
      <w:r w:rsidR="00B56E44" w:rsidRPr="00B56E44">
        <w:t>16).</w:t>
      </w:r>
    </w:p>
    <w:p w:rsidR="00B56E44" w:rsidRPr="00B56E44" w:rsidRDefault="00B56E44" w:rsidP="00314B18">
      <w:pPr>
        <w:spacing w:after="120"/>
        <w:ind w:left="1134" w:right="1134"/>
        <w:jc w:val="both"/>
        <w:rPr>
          <w:b/>
        </w:rPr>
      </w:pPr>
      <w:r w:rsidRPr="00B56E44">
        <w:rPr>
          <w:b/>
        </w:rPr>
        <w:t xml:space="preserve">The Committee recommends that the State party take all necessary measures to ensure that persons in involuntary treatment have access to complaint mechanisms. </w:t>
      </w:r>
      <w:r w:rsidR="00B76940">
        <w:rPr>
          <w:b/>
        </w:rPr>
        <w:t>The State party should ensure that all cases of forced internment in mental health</w:t>
      </w:r>
      <w:r w:rsidR="00314B18">
        <w:rPr>
          <w:b/>
        </w:rPr>
        <w:t>-</w:t>
      </w:r>
      <w:r w:rsidR="00B76940">
        <w:rPr>
          <w:b/>
        </w:rPr>
        <w:t xml:space="preserve">care </w:t>
      </w:r>
      <w:r w:rsidR="00337F65">
        <w:rPr>
          <w:b/>
        </w:rPr>
        <w:t xml:space="preserve">institutions </w:t>
      </w:r>
      <w:r w:rsidR="00B76940">
        <w:rPr>
          <w:b/>
        </w:rPr>
        <w:t xml:space="preserve">are </w:t>
      </w:r>
      <w:r w:rsidR="00F20C71">
        <w:rPr>
          <w:b/>
        </w:rPr>
        <w:t>properly</w:t>
      </w:r>
      <w:r w:rsidR="00B76940">
        <w:rPr>
          <w:b/>
        </w:rPr>
        <w:t xml:space="preserve"> and duly registered. </w:t>
      </w:r>
      <w:r w:rsidRPr="00B56E44">
        <w:rPr>
          <w:b/>
        </w:rPr>
        <w:t>The Committee requests the State party to provide information on conditions for persons in psychiatric hospitals.</w:t>
      </w:r>
    </w:p>
    <w:p w:rsidR="00B56E44" w:rsidRPr="00B56E44" w:rsidRDefault="00B56E44" w:rsidP="00B56E44">
      <w:pPr>
        <w:pStyle w:val="H23G"/>
      </w:pPr>
      <w:r>
        <w:tab/>
      </w:r>
      <w:r>
        <w:tab/>
      </w:r>
      <w:r w:rsidRPr="00B56E44">
        <w:t>Prompt, thorough and impartial investigations</w:t>
      </w:r>
    </w:p>
    <w:p w:rsidR="00B56E44" w:rsidRPr="00B56E44" w:rsidRDefault="002A5FBE" w:rsidP="002A5FBE">
      <w:pPr>
        <w:pStyle w:val="SingleTxtG"/>
      </w:pPr>
      <w:r w:rsidRPr="00B56E44">
        <w:rPr>
          <w:bCs/>
        </w:rPr>
        <w:t>18.</w:t>
      </w:r>
      <w:r w:rsidRPr="00B56E44">
        <w:rPr>
          <w:bCs/>
        </w:rPr>
        <w:tab/>
      </w:r>
      <w:r w:rsidR="00B56E44" w:rsidRPr="00B56E44">
        <w:t>The Committee expresses concern at reports of persist</w:t>
      </w:r>
      <w:r w:rsidR="00337F65">
        <w:t xml:space="preserve">ent </w:t>
      </w:r>
      <w:r w:rsidR="00B56E44" w:rsidRPr="00B56E44">
        <w:t xml:space="preserve">impunity for </w:t>
      </w:r>
      <w:r w:rsidR="00337F65" w:rsidRPr="00B56E44">
        <w:t xml:space="preserve">police officers and prison officials </w:t>
      </w:r>
      <w:r w:rsidR="00337F65">
        <w:t xml:space="preserve">who </w:t>
      </w:r>
      <w:r w:rsidR="00B56E44" w:rsidRPr="00B56E44">
        <w:t xml:space="preserve">torture </w:t>
      </w:r>
      <w:r w:rsidR="00337F65">
        <w:t>or</w:t>
      </w:r>
      <w:r w:rsidR="00B56E44" w:rsidRPr="00B56E44">
        <w:t xml:space="preserve"> ill</w:t>
      </w:r>
      <w:r w:rsidR="00337F65">
        <w:t>-</w:t>
      </w:r>
      <w:r w:rsidR="00B56E44" w:rsidRPr="00B56E44">
        <w:t xml:space="preserve">treat arrested and detained persons. The Committee notes that, according to the information provided by the State party’s delegation, 50 cases of torture reached the sentencing stage during the period under review, with sentences ranging between </w:t>
      </w:r>
      <w:r w:rsidR="00AF279E">
        <w:t>6</w:t>
      </w:r>
      <w:r w:rsidR="00B56E44" w:rsidRPr="00B56E44">
        <w:t xml:space="preserve"> months</w:t>
      </w:r>
      <w:r w:rsidR="00337F65">
        <w:t>’</w:t>
      </w:r>
      <w:r w:rsidR="00B56E44" w:rsidRPr="00B56E44">
        <w:t xml:space="preserve"> and 27 years</w:t>
      </w:r>
      <w:r w:rsidR="00337F65">
        <w:t>’</w:t>
      </w:r>
      <w:r w:rsidR="00B56E44" w:rsidRPr="00B56E44">
        <w:t xml:space="preserve"> </w:t>
      </w:r>
      <w:r w:rsidR="00EE5A60">
        <w:t>im</w:t>
      </w:r>
      <w:r w:rsidR="00EE5A60" w:rsidRPr="00B56E44">
        <w:t>prison</w:t>
      </w:r>
      <w:r w:rsidR="00EE5A60">
        <w:t>ment</w:t>
      </w:r>
      <w:r w:rsidR="00B56E44" w:rsidRPr="00B56E44">
        <w:t>. Nonetheless, the State party was unable to provide comprehensive and disaggregated data on complaints, investigations, prosecutions and convictions in cases of torture and ill-treatment (arts.</w:t>
      </w:r>
      <w:r w:rsidR="00B0102B">
        <w:t> </w:t>
      </w:r>
      <w:r w:rsidR="00B56E44" w:rsidRPr="00B56E44">
        <w:t>2, 11, 12, 13 and 16).</w:t>
      </w:r>
    </w:p>
    <w:p w:rsidR="00B56E44" w:rsidRPr="000455CE" w:rsidRDefault="00B56E44" w:rsidP="00571FA5">
      <w:pPr>
        <w:pStyle w:val="SingleTxtG"/>
        <w:keepNext/>
        <w:rPr>
          <w:b/>
        </w:rPr>
      </w:pPr>
      <w:r w:rsidRPr="000455CE">
        <w:rPr>
          <w:b/>
        </w:rPr>
        <w:t>The State party should:</w:t>
      </w:r>
    </w:p>
    <w:p w:rsidR="00B56E44" w:rsidRPr="000455CE" w:rsidRDefault="00B56E44" w:rsidP="00585130">
      <w:pPr>
        <w:pStyle w:val="SingleTxtG"/>
        <w:ind w:firstLine="567"/>
        <w:rPr>
          <w:b/>
        </w:rPr>
      </w:pPr>
      <w:r w:rsidRPr="000455CE">
        <w:rPr>
          <w:b/>
        </w:rPr>
        <w:t>(a)</w:t>
      </w:r>
      <w:r w:rsidRPr="000455CE">
        <w:rPr>
          <w:b/>
        </w:rPr>
        <w:tab/>
        <w:t xml:space="preserve">Take appropriate measures to ensure that all allegations of torture or ill-treatment are promptly, thoroughly and impartially investigated, perpetrators are duly prosecuted and, if found guilty, </w:t>
      </w:r>
      <w:r w:rsidR="00585130">
        <w:rPr>
          <w:b/>
        </w:rPr>
        <w:t>sentenced to</w:t>
      </w:r>
      <w:r w:rsidRPr="000455CE">
        <w:rPr>
          <w:b/>
        </w:rPr>
        <w:t xml:space="preserve"> penalties </w:t>
      </w:r>
      <w:r w:rsidR="00337F65">
        <w:rPr>
          <w:b/>
        </w:rPr>
        <w:t xml:space="preserve">that </w:t>
      </w:r>
      <w:r w:rsidRPr="000455CE">
        <w:rPr>
          <w:b/>
        </w:rPr>
        <w:t>tak</w:t>
      </w:r>
      <w:r w:rsidR="00337F65">
        <w:rPr>
          <w:b/>
        </w:rPr>
        <w:t>e</w:t>
      </w:r>
      <w:r w:rsidRPr="000455CE">
        <w:rPr>
          <w:b/>
        </w:rPr>
        <w:t xml:space="preserve"> into account the grave nature of their acts</w:t>
      </w:r>
      <w:r w:rsidR="00B55257">
        <w:rPr>
          <w:b/>
        </w:rPr>
        <w:t>;</w:t>
      </w:r>
      <w:r w:rsidRPr="000455CE">
        <w:rPr>
          <w:b/>
        </w:rPr>
        <w:t xml:space="preserve"> </w:t>
      </w:r>
    </w:p>
    <w:p w:rsidR="00B56E44" w:rsidRPr="000455CE" w:rsidRDefault="00B56E44" w:rsidP="00AF279E">
      <w:pPr>
        <w:pStyle w:val="SingleTxtG"/>
        <w:ind w:firstLine="567"/>
        <w:rPr>
          <w:b/>
        </w:rPr>
      </w:pPr>
      <w:r w:rsidRPr="000455CE">
        <w:rPr>
          <w:b/>
        </w:rPr>
        <w:t>(b)</w:t>
      </w:r>
      <w:r w:rsidRPr="000455CE">
        <w:rPr>
          <w:b/>
        </w:rPr>
        <w:tab/>
        <w:t xml:space="preserve">Ensure that investigations </w:t>
      </w:r>
      <w:r w:rsidR="00337F65">
        <w:rPr>
          <w:b/>
        </w:rPr>
        <w:t xml:space="preserve">into </w:t>
      </w:r>
      <w:r w:rsidR="00337F65" w:rsidRPr="000455CE">
        <w:rPr>
          <w:b/>
        </w:rPr>
        <w:t xml:space="preserve">allegations of torture or ill-treatment </w:t>
      </w:r>
      <w:r w:rsidRPr="000455CE">
        <w:rPr>
          <w:b/>
        </w:rPr>
        <w:t xml:space="preserve">are conducted </w:t>
      </w:r>
      <w:r w:rsidR="00EE5A60">
        <w:rPr>
          <w:b/>
        </w:rPr>
        <w:t>by</w:t>
      </w:r>
      <w:r w:rsidRPr="000455CE">
        <w:rPr>
          <w:b/>
        </w:rPr>
        <w:t xml:space="preserve"> an independent body </w:t>
      </w:r>
      <w:r w:rsidR="00337F65">
        <w:rPr>
          <w:b/>
        </w:rPr>
        <w:t xml:space="preserve">that is </w:t>
      </w:r>
      <w:r w:rsidRPr="000455CE">
        <w:rPr>
          <w:b/>
        </w:rPr>
        <w:t>not under the authority of the police;</w:t>
      </w:r>
    </w:p>
    <w:p w:rsidR="00B56E44" w:rsidRPr="000455CE" w:rsidRDefault="00B56E44" w:rsidP="00571FA5">
      <w:pPr>
        <w:pStyle w:val="SingleTxtG"/>
        <w:ind w:firstLine="567"/>
        <w:rPr>
          <w:b/>
        </w:rPr>
      </w:pPr>
      <w:r w:rsidRPr="000455CE">
        <w:rPr>
          <w:b/>
        </w:rPr>
        <w:t>(c)</w:t>
      </w:r>
      <w:r w:rsidRPr="000455CE">
        <w:rPr>
          <w:b/>
        </w:rPr>
        <w:tab/>
        <w:t>Establish an independent complaints system for all persons deprived of their liberty;</w:t>
      </w:r>
      <w:r w:rsidR="00B55257">
        <w:rPr>
          <w:b/>
        </w:rPr>
        <w:t xml:space="preserve"> and</w:t>
      </w:r>
    </w:p>
    <w:p w:rsidR="00B56E44" w:rsidRPr="000455CE" w:rsidRDefault="00B56E44" w:rsidP="00AF279E">
      <w:pPr>
        <w:pStyle w:val="SingleTxtG"/>
        <w:ind w:firstLine="567"/>
        <w:rPr>
          <w:b/>
        </w:rPr>
      </w:pPr>
      <w:r w:rsidRPr="000455CE">
        <w:rPr>
          <w:b/>
        </w:rPr>
        <w:t>(d)</w:t>
      </w:r>
      <w:r w:rsidRPr="000455CE">
        <w:rPr>
          <w:b/>
        </w:rPr>
        <w:tab/>
        <w:t>Unambiguously reaffirm the absolute prohibition of torture</w:t>
      </w:r>
      <w:r w:rsidR="00AF279E">
        <w:rPr>
          <w:b/>
        </w:rPr>
        <w:t>,</w:t>
      </w:r>
      <w:r w:rsidRPr="000455CE">
        <w:rPr>
          <w:b/>
        </w:rPr>
        <w:t xml:space="preserve"> publicly condemn practices of torture </w:t>
      </w:r>
      <w:r w:rsidR="00337F65">
        <w:rPr>
          <w:b/>
        </w:rPr>
        <w:t>and issue</w:t>
      </w:r>
      <w:r w:rsidRPr="000455CE">
        <w:rPr>
          <w:b/>
        </w:rPr>
        <w:t xml:space="preserve"> a clear warning that anyone committing such acts or otherwise complicit or participating in torture will be held personally responsible before the law for </w:t>
      </w:r>
      <w:r w:rsidR="00AF279E">
        <w:rPr>
          <w:b/>
        </w:rPr>
        <w:t>those</w:t>
      </w:r>
      <w:r w:rsidRPr="000455CE">
        <w:rPr>
          <w:b/>
        </w:rPr>
        <w:t xml:space="preserve"> acts and will be subject to criminal prosecution and appropriate penalties.</w:t>
      </w:r>
    </w:p>
    <w:p w:rsidR="00B56E44" w:rsidRPr="00B56E44" w:rsidRDefault="000455CE" w:rsidP="000455CE">
      <w:pPr>
        <w:pStyle w:val="H23G"/>
      </w:pPr>
      <w:r>
        <w:tab/>
      </w:r>
      <w:r>
        <w:tab/>
      </w:r>
      <w:r w:rsidR="00B56E44" w:rsidRPr="00B56E44">
        <w:t>Deaths in custody</w:t>
      </w:r>
    </w:p>
    <w:p w:rsidR="00B56E44" w:rsidRPr="00B56E44" w:rsidRDefault="002A5FBE" w:rsidP="002A5FBE">
      <w:pPr>
        <w:pStyle w:val="SingleTxtG"/>
      </w:pPr>
      <w:r w:rsidRPr="00B56E44">
        <w:rPr>
          <w:bCs/>
        </w:rPr>
        <w:t>19.</w:t>
      </w:r>
      <w:r w:rsidRPr="00B56E44">
        <w:rPr>
          <w:bCs/>
        </w:rPr>
        <w:tab/>
      </w:r>
      <w:r w:rsidR="00B56E44" w:rsidRPr="00B56E44">
        <w:t xml:space="preserve">The Committee notes </w:t>
      </w:r>
      <w:r w:rsidR="00EE5A60">
        <w:t>that</w:t>
      </w:r>
      <w:r w:rsidR="00337F65">
        <w:t>,</w:t>
      </w:r>
      <w:r w:rsidR="00EE5A60">
        <w:t xml:space="preserve"> despite the request it made to the State party’s delegation to provide information on cases of death in custody </w:t>
      </w:r>
      <w:r w:rsidR="00337F65">
        <w:t xml:space="preserve">that </w:t>
      </w:r>
      <w:r w:rsidR="00AF279E">
        <w:t>h</w:t>
      </w:r>
      <w:r w:rsidR="00337F65">
        <w:t xml:space="preserve">ad </w:t>
      </w:r>
      <w:r w:rsidR="00EE5A60">
        <w:t xml:space="preserve">occurred during the period under review, no information has been received on this subject </w:t>
      </w:r>
      <w:r w:rsidR="00B56E44" w:rsidRPr="00B56E44">
        <w:t>(art</w:t>
      </w:r>
      <w:r w:rsidR="0091630F">
        <w:t>s</w:t>
      </w:r>
      <w:r w:rsidR="00B56E44" w:rsidRPr="00B56E44">
        <w:t>.</w:t>
      </w:r>
      <w:r w:rsidR="00B0102B">
        <w:t> </w:t>
      </w:r>
      <w:r w:rsidR="0091630F">
        <w:t xml:space="preserve">2, </w:t>
      </w:r>
      <w:r w:rsidR="00B56E44" w:rsidRPr="00B56E44">
        <w:t>11</w:t>
      </w:r>
      <w:r w:rsidR="0091630F">
        <w:t xml:space="preserve"> and 16</w:t>
      </w:r>
      <w:r w:rsidR="00B56E44" w:rsidRPr="00B56E44">
        <w:t>).</w:t>
      </w:r>
    </w:p>
    <w:p w:rsidR="00B56E44" w:rsidRDefault="00B56E44" w:rsidP="00337F65">
      <w:pPr>
        <w:spacing w:after="120"/>
        <w:ind w:left="1134" w:right="1134"/>
        <w:jc w:val="both"/>
        <w:rPr>
          <w:b/>
        </w:rPr>
      </w:pPr>
      <w:r w:rsidRPr="00B56E44">
        <w:rPr>
          <w:b/>
        </w:rPr>
        <w:t xml:space="preserve">The State party should </w:t>
      </w:r>
      <w:r w:rsidR="00D3561B">
        <w:rPr>
          <w:b/>
        </w:rPr>
        <w:t xml:space="preserve">take measures to </w:t>
      </w:r>
      <w:r w:rsidRPr="00B56E44">
        <w:rPr>
          <w:b/>
        </w:rPr>
        <w:t xml:space="preserve">ensure that all instances of death in custody are </w:t>
      </w:r>
      <w:r w:rsidR="00D3561B">
        <w:rPr>
          <w:b/>
        </w:rPr>
        <w:t xml:space="preserve">promptly </w:t>
      </w:r>
      <w:r w:rsidRPr="00B56E44">
        <w:rPr>
          <w:b/>
        </w:rPr>
        <w:t>investigated</w:t>
      </w:r>
      <w:r w:rsidR="00EE5A60">
        <w:rPr>
          <w:b/>
        </w:rPr>
        <w:t xml:space="preserve"> and </w:t>
      </w:r>
      <w:r w:rsidR="00337F65">
        <w:rPr>
          <w:b/>
        </w:rPr>
        <w:t xml:space="preserve">that </w:t>
      </w:r>
      <w:r w:rsidRPr="00B56E44">
        <w:rPr>
          <w:b/>
        </w:rPr>
        <w:t xml:space="preserve">those </w:t>
      </w:r>
      <w:r w:rsidR="00EE5A60">
        <w:rPr>
          <w:b/>
        </w:rPr>
        <w:t xml:space="preserve">found </w:t>
      </w:r>
      <w:r w:rsidRPr="00B56E44">
        <w:rPr>
          <w:b/>
        </w:rPr>
        <w:t xml:space="preserve">responsible for deaths </w:t>
      </w:r>
      <w:r w:rsidR="00337F65">
        <w:rPr>
          <w:b/>
        </w:rPr>
        <w:t xml:space="preserve">in custody that </w:t>
      </w:r>
      <w:r w:rsidRPr="00B56E44">
        <w:rPr>
          <w:b/>
        </w:rPr>
        <w:t xml:space="preserve">result from torture, ill-treatment or wilful negligence are </w:t>
      </w:r>
      <w:r w:rsidR="00E13E7D">
        <w:rPr>
          <w:b/>
        </w:rPr>
        <w:t xml:space="preserve">convicted and </w:t>
      </w:r>
      <w:r w:rsidR="00EE5A60">
        <w:rPr>
          <w:b/>
        </w:rPr>
        <w:t>adequately punished.</w:t>
      </w:r>
    </w:p>
    <w:p w:rsidR="00B56E44" w:rsidRPr="00B56E44" w:rsidRDefault="000455CE" w:rsidP="000455CE">
      <w:pPr>
        <w:pStyle w:val="H23G"/>
      </w:pPr>
      <w:r>
        <w:tab/>
      </w:r>
      <w:r>
        <w:tab/>
      </w:r>
      <w:r w:rsidR="00B56E44" w:rsidRPr="00B56E44">
        <w:t>Redress, including compensation and rehabilitation</w:t>
      </w:r>
    </w:p>
    <w:p w:rsidR="00B56E44" w:rsidRPr="00B56E44" w:rsidRDefault="002A5FBE" w:rsidP="002A5FBE">
      <w:pPr>
        <w:pStyle w:val="SingleTxtG"/>
      </w:pPr>
      <w:r w:rsidRPr="00B56E44">
        <w:rPr>
          <w:bCs/>
        </w:rPr>
        <w:t>20.</w:t>
      </w:r>
      <w:r w:rsidRPr="00B56E44">
        <w:rPr>
          <w:bCs/>
        </w:rPr>
        <w:tab/>
      </w:r>
      <w:r w:rsidR="00B56E44" w:rsidRPr="00B56E44">
        <w:t xml:space="preserve">While noting the content of article 58 of the Constitution (Right to </w:t>
      </w:r>
      <w:r w:rsidR="00AF279E">
        <w:t>c</w:t>
      </w:r>
      <w:r w:rsidR="00B56E44" w:rsidRPr="00B56E44">
        <w:t xml:space="preserve">ompensation and State </w:t>
      </w:r>
      <w:r w:rsidR="00AF279E">
        <w:t>r</w:t>
      </w:r>
      <w:r w:rsidR="00B56E44" w:rsidRPr="00B56E44">
        <w:t xml:space="preserve">esponsibility) and the existence of several institutional mechanisms to claim </w:t>
      </w:r>
      <w:r w:rsidR="00E13E7D">
        <w:t>redress</w:t>
      </w:r>
      <w:r w:rsidR="00E13E7D" w:rsidRPr="00B56E44">
        <w:t xml:space="preserve"> </w:t>
      </w:r>
      <w:r w:rsidR="00B56E44" w:rsidRPr="00B56E44">
        <w:t>for human rights violations, the Committee is concerned at reports that victims</w:t>
      </w:r>
      <w:r w:rsidR="00E13E7D">
        <w:t xml:space="preserve"> of torture and ill-treatment</w:t>
      </w:r>
      <w:r w:rsidR="00B56E44" w:rsidRPr="00B56E44">
        <w:t xml:space="preserve"> </w:t>
      </w:r>
      <w:r w:rsidR="00805E71">
        <w:t>hard</w:t>
      </w:r>
      <w:r w:rsidR="00B56E44" w:rsidRPr="003A1383">
        <w:t>ly ever receive</w:t>
      </w:r>
      <w:r w:rsidR="00B56E44" w:rsidRPr="00B56E44">
        <w:t xml:space="preserve"> </w:t>
      </w:r>
      <w:r w:rsidR="00E13E7D">
        <w:t>redress,</w:t>
      </w:r>
      <w:r w:rsidR="00B56E44" w:rsidRPr="00B56E44">
        <w:t xml:space="preserve"> including</w:t>
      </w:r>
      <w:r w:rsidR="00E13E7D">
        <w:t xml:space="preserve"> adequate compensation and </w:t>
      </w:r>
      <w:r w:rsidR="007E3CC2">
        <w:t>rehabilitation</w:t>
      </w:r>
      <w:r w:rsidR="00B56E44" w:rsidRPr="00B56E44">
        <w:t xml:space="preserve">. In this regard, the Committee regrets </w:t>
      </w:r>
      <w:r w:rsidR="005B13F1">
        <w:t xml:space="preserve">that </w:t>
      </w:r>
      <w:r w:rsidR="005B13F1" w:rsidRPr="00B56E44">
        <w:t xml:space="preserve">the State party provided </w:t>
      </w:r>
      <w:r w:rsidR="00B56E44" w:rsidRPr="00B56E44">
        <w:t xml:space="preserve">insufficient information on redress and compensation measures, including means of rehabilitation, </w:t>
      </w:r>
      <w:r w:rsidR="00093D03">
        <w:t xml:space="preserve">that have been </w:t>
      </w:r>
      <w:r w:rsidR="00B56E44" w:rsidRPr="00B56E44">
        <w:t xml:space="preserve">ordered by the courts </w:t>
      </w:r>
      <w:r w:rsidR="007E3CC2">
        <w:t xml:space="preserve">or other State bodies </w:t>
      </w:r>
      <w:r w:rsidR="00B56E44" w:rsidRPr="00B56E44">
        <w:t xml:space="preserve">and actually provided to victims of torture or their families since the entry into force of the Convention </w:t>
      </w:r>
      <w:r w:rsidR="00093D03">
        <w:t>in</w:t>
      </w:r>
      <w:r w:rsidR="007E3CC2">
        <w:t xml:space="preserve"> the State party </w:t>
      </w:r>
      <w:r w:rsidR="00B56E44" w:rsidRPr="00B56E44">
        <w:t>(</w:t>
      </w:r>
      <w:r w:rsidR="00B0102B">
        <w:t>art. </w:t>
      </w:r>
      <w:r w:rsidR="00B56E44" w:rsidRPr="00B56E44">
        <w:t>14).</w:t>
      </w:r>
    </w:p>
    <w:p w:rsidR="00B56E44" w:rsidRPr="00B56E44" w:rsidRDefault="00B56E44" w:rsidP="00585130">
      <w:pPr>
        <w:spacing w:after="120"/>
        <w:ind w:left="1134" w:right="1134"/>
        <w:jc w:val="both"/>
        <w:rPr>
          <w:b/>
        </w:rPr>
      </w:pPr>
      <w:r w:rsidRPr="00B56E44">
        <w:rPr>
          <w:b/>
        </w:rPr>
        <w:t xml:space="preserve">The State party should take the necessary steps to ensure that victims of torture and ill-treatment receive redress, including fair and adequate compensation and the means for as full </w:t>
      </w:r>
      <w:r w:rsidR="00093D03">
        <w:rPr>
          <w:b/>
        </w:rPr>
        <w:t xml:space="preserve">a </w:t>
      </w:r>
      <w:r w:rsidRPr="00B56E44">
        <w:rPr>
          <w:b/>
        </w:rPr>
        <w:t xml:space="preserve">rehabilitation as possible. The Committee draws the State party’s attention to its general comment </w:t>
      </w:r>
      <w:r w:rsidR="00A91E2E">
        <w:rPr>
          <w:b/>
        </w:rPr>
        <w:t>No. </w:t>
      </w:r>
      <w:r w:rsidRPr="00B56E44">
        <w:rPr>
          <w:b/>
        </w:rPr>
        <w:t>3 (2012) on the implementation of article 14 by State</w:t>
      </w:r>
      <w:r w:rsidR="00093D03">
        <w:rPr>
          <w:b/>
        </w:rPr>
        <w:t>s</w:t>
      </w:r>
      <w:r w:rsidRPr="00B56E44">
        <w:rPr>
          <w:b/>
        </w:rPr>
        <w:t xml:space="preserve"> parties, in which it elaborates on the nature and scope of State</w:t>
      </w:r>
      <w:r w:rsidR="00AF279E">
        <w:rPr>
          <w:b/>
        </w:rPr>
        <w:t>s</w:t>
      </w:r>
      <w:r w:rsidRPr="00B56E44">
        <w:rPr>
          <w:b/>
        </w:rPr>
        <w:t xml:space="preserve"> parties’ obligations to provide full redress to victims of torture.</w:t>
      </w:r>
    </w:p>
    <w:p w:rsidR="00B56E44" w:rsidRPr="00B56E44" w:rsidRDefault="000455CE" w:rsidP="000455CE">
      <w:pPr>
        <w:pStyle w:val="H23G"/>
      </w:pPr>
      <w:r>
        <w:tab/>
      </w:r>
      <w:r>
        <w:tab/>
      </w:r>
      <w:r w:rsidR="00B56E44" w:rsidRPr="00B56E44">
        <w:t>Coerced confessions</w:t>
      </w:r>
    </w:p>
    <w:p w:rsidR="00B56E44" w:rsidRPr="00B56E44" w:rsidRDefault="002A5FBE" w:rsidP="002A5FBE">
      <w:pPr>
        <w:pStyle w:val="SingleTxtG"/>
      </w:pPr>
      <w:r w:rsidRPr="00B56E44">
        <w:rPr>
          <w:bCs/>
        </w:rPr>
        <w:t>21.</w:t>
      </w:r>
      <w:r w:rsidRPr="00B56E44">
        <w:rPr>
          <w:bCs/>
        </w:rPr>
        <w:tab/>
      </w:r>
      <w:r w:rsidR="00B56E44" w:rsidRPr="00B56E44">
        <w:t xml:space="preserve">The Committee is concerned at reports that a number of detainees </w:t>
      </w:r>
      <w:r w:rsidR="00093D03">
        <w:t xml:space="preserve">have </w:t>
      </w:r>
      <w:r w:rsidR="00B56E44" w:rsidRPr="00B56E44">
        <w:t xml:space="preserve">alleged that they </w:t>
      </w:r>
      <w:r w:rsidR="00093D03">
        <w:t>were</w:t>
      </w:r>
      <w:r w:rsidR="00B56E44" w:rsidRPr="00B56E44">
        <w:t xml:space="preserve"> forced to sign confession documents</w:t>
      </w:r>
      <w:r w:rsidR="00314B18">
        <w:t xml:space="preserve"> </w:t>
      </w:r>
      <w:r w:rsidR="00BC6F7C">
        <w:t xml:space="preserve">without understanding the documents or </w:t>
      </w:r>
      <w:r w:rsidR="00314B18">
        <w:t xml:space="preserve">being aware of </w:t>
      </w:r>
      <w:r w:rsidR="00B56E44" w:rsidRPr="00B56E44">
        <w:t>the</w:t>
      </w:r>
      <w:r w:rsidR="00BC6F7C">
        <w:t>ir</w:t>
      </w:r>
      <w:r w:rsidR="00B56E44" w:rsidRPr="00B56E44">
        <w:t xml:space="preserve"> content. While tak</w:t>
      </w:r>
      <w:r w:rsidR="00093D03">
        <w:t>ing</w:t>
      </w:r>
      <w:r w:rsidR="00B56E44" w:rsidRPr="00B56E44">
        <w:t xml:space="preserve"> note of the constitutional safeguards establishing the inadmissibility of evidence obtained through torture, the Committee expresses concern at the lack of information on decisions taken by the Mozambican courts to refuse </w:t>
      </w:r>
      <w:r w:rsidR="00585130" w:rsidRPr="00B56E44">
        <w:t xml:space="preserve">as evidence </w:t>
      </w:r>
      <w:r w:rsidR="00B56E44" w:rsidRPr="00B56E44">
        <w:t>confessions</w:t>
      </w:r>
      <w:r w:rsidR="00585130">
        <w:t xml:space="preserve"> that were</w:t>
      </w:r>
      <w:r w:rsidR="00B56E44" w:rsidRPr="00B56E44">
        <w:t xml:space="preserve"> obtained under torture (</w:t>
      </w:r>
      <w:r w:rsidR="00B0102B">
        <w:t>art. </w:t>
      </w:r>
      <w:r w:rsidR="00B56E44" w:rsidRPr="00B56E44">
        <w:t xml:space="preserve">15). </w:t>
      </w:r>
    </w:p>
    <w:p w:rsidR="00B56E44" w:rsidRPr="000455CE" w:rsidRDefault="00B56E44" w:rsidP="00AF279E">
      <w:pPr>
        <w:pStyle w:val="SingleTxtG"/>
        <w:rPr>
          <w:b/>
        </w:rPr>
      </w:pPr>
      <w:r w:rsidRPr="000455CE">
        <w:rPr>
          <w:b/>
        </w:rPr>
        <w:t>The State party must adopt effective measures t</w:t>
      </w:r>
      <w:r w:rsidR="00CC51F1">
        <w:rPr>
          <w:b/>
        </w:rPr>
        <w:t>o</w:t>
      </w:r>
      <w:r w:rsidRPr="000455CE">
        <w:rPr>
          <w:b/>
        </w:rPr>
        <w:t xml:space="preserve"> guarantee </w:t>
      </w:r>
      <w:r w:rsidR="003A1383">
        <w:rPr>
          <w:b/>
        </w:rPr>
        <w:t xml:space="preserve">that </w:t>
      </w:r>
      <w:r w:rsidR="003A1383" w:rsidRPr="000455CE">
        <w:rPr>
          <w:b/>
        </w:rPr>
        <w:t>coerced confessions</w:t>
      </w:r>
      <w:r w:rsidR="00CC51F1">
        <w:rPr>
          <w:b/>
        </w:rPr>
        <w:t xml:space="preserve"> or statements </w:t>
      </w:r>
      <w:r w:rsidR="003A1383">
        <w:rPr>
          <w:b/>
        </w:rPr>
        <w:t xml:space="preserve">are </w:t>
      </w:r>
      <w:r w:rsidR="003A1383" w:rsidRPr="000455CE">
        <w:rPr>
          <w:b/>
        </w:rPr>
        <w:t>inadmissibl</w:t>
      </w:r>
      <w:r w:rsidR="003A1383">
        <w:rPr>
          <w:b/>
        </w:rPr>
        <w:t>e</w:t>
      </w:r>
      <w:r w:rsidR="003A1383" w:rsidRPr="000455CE">
        <w:rPr>
          <w:b/>
        </w:rPr>
        <w:t xml:space="preserve"> </w:t>
      </w:r>
      <w:r w:rsidRPr="000455CE">
        <w:rPr>
          <w:b/>
        </w:rPr>
        <w:t>in practice</w:t>
      </w:r>
      <w:r w:rsidR="003A1383">
        <w:rPr>
          <w:b/>
        </w:rPr>
        <w:t>,</w:t>
      </w:r>
      <w:r w:rsidRPr="000455CE">
        <w:rPr>
          <w:b/>
        </w:rPr>
        <w:t xml:space="preserve"> </w:t>
      </w:r>
      <w:r w:rsidR="007E3CC2" w:rsidRPr="00CC51F1">
        <w:rPr>
          <w:b/>
        </w:rPr>
        <w:t xml:space="preserve">except </w:t>
      </w:r>
      <w:r w:rsidR="00CC51F1" w:rsidRPr="00CC51F1">
        <w:rPr>
          <w:b/>
        </w:rPr>
        <w:t xml:space="preserve">when invoked </w:t>
      </w:r>
      <w:r w:rsidR="007E3CC2" w:rsidRPr="00CC51F1">
        <w:rPr>
          <w:b/>
        </w:rPr>
        <w:t xml:space="preserve">against a person </w:t>
      </w:r>
      <w:r w:rsidR="00874B95" w:rsidRPr="00CC51F1">
        <w:rPr>
          <w:b/>
        </w:rPr>
        <w:t>accused</w:t>
      </w:r>
      <w:r w:rsidR="007E3CC2" w:rsidRPr="00CC51F1">
        <w:rPr>
          <w:b/>
        </w:rPr>
        <w:t xml:space="preserve"> of torture</w:t>
      </w:r>
      <w:r w:rsidR="00874B95" w:rsidRPr="00CC51F1">
        <w:rPr>
          <w:b/>
        </w:rPr>
        <w:t xml:space="preserve"> as evidence that the statement was made</w:t>
      </w:r>
      <w:r w:rsidRPr="00CC51F1">
        <w:rPr>
          <w:b/>
        </w:rPr>
        <w:t>.</w:t>
      </w:r>
      <w:r w:rsidRPr="000455CE">
        <w:rPr>
          <w:b/>
        </w:rPr>
        <w:t xml:space="preserve"> The State party should also ensure that law enforcement officials, judges and lawyers receive training in how to detect and investigate cases </w:t>
      </w:r>
      <w:r w:rsidR="00093D03">
        <w:rPr>
          <w:b/>
        </w:rPr>
        <w:t xml:space="preserve">in </w:t>
      </w:r>
      <w:r w:rsidRPr="000455CE">
        <w:rPr>
          <w:b/>
        </w:rPr>
        <w:t>wh</w:t>
      </w:r>
      <w:r w:rsidR="00093D03">
        <w:rPr>
          <w:b/>
        </w:rPr>
        <w:t>ich</w:t>
      </w:r>
      <w:r w:rsidRPr="000455CE">
        <w:rPr>
          <w:b/>
        </w:rPr>
        <w:t xml:space="preserve"> confessions are obtained under torture. </w:t>
      </w:r>
    </w:p>
    <w:p w:rsidR="00B56E44" w:rsidRPr="000455CE" w:rsidRDefault="00B56E44" w:rsidP="00A7385F">
      <w:pPr>
        <w:pStyle w:val="SingleTxtG"/>
        <w:rPr>
          <w:b/>
        </w:rPr>
      </w:pPr>
      <w:r w:rsidRPr="000455CE">
        <w:rPr>
          <w:b/>
        </w:rPr>
        <w:t xml:space="preserve">The Committee requests the State party to include in its next report information on any specific jurisprudence excluding statements obtained as a result of torture and on any </w:t>
      </w:r>
      <w:r w:rsidR="00A7385F">
        <w:rPr>
          <w:b/>
        </w:rPr>
        <w:t xml:space="preserve">cases in which </w:t>
      </w:r>
      <w:r w:rsidRPr="000455CE">
        <w:rPr>
          <w:b/>
        </w:rPr>
        <w:t>officials have been prosecuted and punished for extracting a confession under torture.</w:t>
      </w:r>
    </w:p>
    <w:p w:rsidR="0091630F" w:rsidRPr="00B56E44" w:rsidRDefault="0091630F" w:rsidP="0091630F">
      <w:pPr>
        <w:pStyle w:val="H23G"/>
      </w:pPr>
      <w:r>
        <w:tab/>
      </w:r>
      <w:r>
        <w:tab/>
      </w:r>
      <w:r w:rsidRPr="00B56E44">
        <w:t>Lynching</w:t>
      </w:r>
    </w:p>
    <w:p w:rsidR="0091630F" w:rsidRPr="00B56E44" w:rsidRDefault="002A5FBE" w:rsidP="002A5FBE">
      <w:pPr>
        <w:pStyle w:val="SingleTxtG"/>
      </w:pPr>
      <w:r w:rsidRPr="00B56E44">
        <w:rPr>
          <w:bCs/>
        </w:rPr>
        <w:t>22.</w:t>
      </w:r>
      <w:r w:rsidRPr="00B56E44">
        <w:rPr>
          <w:bCs/>
        </w:rPr>
        <w:tab/>
      </w:r>
      <w:r w:rsidR="0091630F" w:rsidRPr="00B56E44">
        <w:t>While taking note of the delegation’s statement that the number of cases of lynching has begun to decrease</w:t>
      </w:r>
      <w:r w:rsidR="00A7385F" w:rsidRPr="00A7385F">
        <w:t xml:space="preserve"> </w:t>
      </w:r>
      <w:r w:rsidR="00A7385F" w:rsidRPr="00B56E44">
        <w:t>recently</w:t>
      </w:r>
      <w:r w:rsidR="0091630F" w:rsidRPr="00B56E44">
        <w:t>, the Committee remains concern at the persistence of this phenomenon. It also regrets that it has not received the information it requested on the outcome of investigations, related criminal proceedings and punishment of perpetrators (arts.</w:t>
      </w:r>
      <w:r w:rsidR="00B0102B">
        <w:t> </w:t>
      </w:r>
      <w:r w:rsidR="0091630F" w:rsidRPr="00B56E44">
        <w:t>2, 12 and 16).</w:t>
      </w:r>
    </w:p>
    <w:p w:rsidR="0091630F" w:rsidRPr="000455CE" w:rsidRDefault="0091630F" w:rsidP="006B54B5">
      <w:pPr>
        <w:pStyle w:val="SingleTxtG"/>
        <w:rPr>
          <w:b/>
        </w:rPr>
      </w:pPr>
      <w:r w:rsidRPr="000455CE">
        <w:rPr>
          <w:b/>
        </w:rPr>
        <w:t xml:space="preserve">The State party should continue to pursue its efforts to prevent, investigate, prosecute and punish </w:t>
      </w:r>
      <w:proofErr w:type="spellStart"/>
      <w:r w:rsidRPr="000455CE">
        <w:rPr>
          <w:b/>
        </w:rPr>
        <w:t>lynchings</w:t>
      </w:r>
      <w:proofErr w:type="spellEnd"/>
      <w:r w:rsidR="006B54B5">
        <w:rPr>
          <w:b/>
        </w:rPr>
        <w:t>, including by</w:t>
      </w:r>
      <w:r w:rsidRPr="000455CE">
        <w:rPr>
          <w:b/>
        </w:rPr>
        <w:t xml:space="preserve"> continu</w:t>
      </w:r>
      <w:r w:rsidR="006B54B5">
        <w:rPr>
          <w:b/>
        </w:rPr>
        <w:t>ing</w:t>
      </w:r>
      <w:r w:rsidRPr="000455CE">
        <w:rPr>
          <w:b/>
        </w:rPr>
        <w:t xml:space="preserve"> to conduct awareness-raising campaigns in communities.</w:t>
      </w:r>
    </w:p>
    <w:p w:rsidR="00B56E44" w:rsidRPr="00B56E44" w:rsidRDefault="00571FA5" w:rsidP="00571FA5">
      <w:pPr>
        <w:pStyle w:val="H23G"/>
      </w:pPr>
      <w:r>
        <w:tab/>
      </w:r>
      <w:r>
        <w:tab/>
      </w:r>
      <w:r w:rsidR="00B56E44" w:rsidRPr="00B56E44">
        <w:t>Violence against women and children, including domestic violence</w:t>
      </w:r>
    </w:p>
    <w:p w:rsidR="00B56E44" w:rsidRPr="00B56E44" w:rsidRDefault="002A5FBE" w:rsidP="002A5FBE">
      <w:pPr>
        <w:pStyle w:val="SingleTxtG"/>
      </w:pPr>
      <w:r w:rsidRPr="00B56E44">
        <w:rPr>
          <w:bCs/>
        </w:rPr>
        <w:t>23.</w:t>
      </w:r>
      <w:r w:rsidRPr="00B56E44">
        <w:rPr>
          <w:bCs/>
        </w:rPr>
        <w:tab/>
      </w:r>
      <w:r w:rsidR="00A7385F">
        <w:t xml:space="preserve">While </w:t>
      </w:r>
      <w:r w:rsidR="00A7385F" w:rsidRPr="00B56E44">
        <w:t>welcom</w:t>
      </w:r>
      <w:r w:rsidR="00A7385F">
        <w:t xml:space="preserve">ing </w:t>
      </w:r>
      <w:r w:rsidR="00B56E44" w:rsidRPr="00B56E44">
        <w:t>the information provided by the State party on measures taken to combat domestic violence</w:t>
      </w:r>
      <w:r w:rsidR="000455CE">
        <w:t xml:space="preserve"> (see </w:t>
      </w:r>
      <w:proofErr w:type="spellStart"/>
      <w:r w:rsidR="00B704ED">
        <w:t>para</w:t>
      </w:r>
      <w:proofErr w:type="spellEnd"/>
      <w:r w:rsidR="00B704ED">
        <w:t xml:space="preserve">. </w:t>
      </w:r>
      <w:r w:rsidR="000455CE">
        <w:t xml:space="preserve">5 </w:t>
      </w:r>
      <w:r w:rsidR="00A7385F">
        <w:t>(</w:t>
      </w:r>
      <w:r w:rsidR="000455CE">
        <w:t>c</w:t>
      </w:r>
      <w:r w:rsidR="00A7385F">
        <w:t>)</w:t>
      </w:r>
      <w:r w:rsidR="006B54B5">
        <w:t xml:space="preserve"> of the present concluding observations</w:t>
      </w:r>
      <w:r w:rsidR="00B56E44" w:rsidRPr="00B56E44">
        <w:t xml:space="preserve">), </w:t>
      </w:r>
      <w:r w:rsidR="00A7385F">
        <w:t>t</w:t>
      </w:r>
      <w:r w:rsidR="00A7385F" w:rsidRPr="00B56E44">
        <w:t xml:space="preserve">he Committee </w:t>
      </w:r>
      <w:r w:rsidR="00B56E44" w:rsidRPr="00B56E44">
        <w:t xml:space="preserve">remains concerned about the high prevalence of </w:t>
      </w:r>
      <w:r w:rsidR="00A7385F">
        <w:t>domestic</w:t>
      </w:r>
      <w:r w:rsidR="00A7385F" w:rsidRPr="00B56E44">
        <w:t xml:space="preserve"> </w:t>
      </w:r>
      <w:r w:rsidR="00B56E44" w:rsidRPr="00B56E44">
        <w:t>violence in the country. The Committee also notes with concern th</w:t>
      </w:r>
      <w:r w:rsidR="00CB28CC">
        <w:t>at the</w:t>
      </w:r>
      <w:r w:rsidR="00B56E44" w:rsidRPr="00B56E44">
        <w:t xml:space="preserve"> age o</w:t>
      </w:r>
      <w:r w:rsidR="00CB28CC">
        <w:t>f</w:t>
      </w:r>
      <w:r w:rsidR="00B56E44" w:rsidRPr="00B56E44">
        <w:t xml:space="preserve"> statutory rape </w:t>
      </w:r>
      <w:r w:rsidR="00CB28CC">
        <w:t xml:space="preserve">of a minor is </w:t>
      </w:r>
      <w:r w:rsidR="00B56E44" w:rsidRPr="00CC51F1">
        <w:t>under</w:t>
      </w:r>
      <w:r w:rsidR="00CB28CC">
        <w:t xml:space="preserve"> </w:t>
      </w:r>
      <w:r w:rsidR="00CB28CC" w:rsidRPr="00CC51F1">
        <w:t>12</w:t>
      </w:r>
      <w:r w:rsidR="00CB28CC">
        <w:t xml:space="preserve"> years</w:t>
      </w:r>
      <w:r w:rsidR="00B56E44" w:rsidRPr="00CC51F1">
        <w:t xml:space="preserve"> </w:t>
      </w:r>
      <w:r w:rsidR="00A7385F" w:rsidRPr="00CC51F1">
        <w:t>(</w:t>
      </w:r>
      <w:r w:rsidR="00B0102B" w:rsidRPr="00CC51F1">
        <w:t>art. </w:t>
      </w:r>
      <w:r w:rsidR="00B56E44" w:rsidRPr="00CC51F1">
        <w:t>394 of the Penal Code);</w:t>
      </w:r>
      <w:r w:rsidR="00B56E44" w:rsidRPr="00B56E44">
        <w:t xml:space="preserve"> that article 392 of the Penal Code includes virginity and seduction as prerequisites to define the crime of </w:t>
      </w:r>
      <w:proofErr w:type="spellStart"/>
      <w:r w:rsidR="00B56E44" w:rsidRPr="00B56E44">
        <w:rPr>
          <w:i/>
        </w:rPr>
        <w:t>estupro</w:t>
      </w:r>
      <w:proofErr w:type="spellEnd"/>
      <w:r w:rsidR="00B56E44" w:rsidRPr="00B56E44">
        <w:t>; and that</w:t>
      </w:r>
      <w:r w:rsidR="00A7385F">
        <w:t>,</w:t>
      </w:r>
      <w:r w:rsidR="00B56E44" w:rsidRPr="00B56E44">
        <w:t xml:space="preserve"> pursuant to article 400 of the Penal Code</w:t>
      </w:r>
      <w:r w:rsidR="00A7385F">
        <w:t>,</w:t>
      </w:r>
      <w:r w:rsidR="00B56E44" w:rsidRPr="00B56E44">
        <w:t xml:space="preserve"> </w:t>
      </w:r>
      <w:r w:rsidR="00D3561B">
        <w:t>a person</w:t>
      </w:r>
      <w:r w:rsidR="00D3561B" w:rsidRPr="00B56E44">
        <w:t xml:space="preserve"> </w:t>
      </w:r>
      <w:r w:rsidR="00B56E44" w:rsidRPr="00B56E44">
        <w:t>accused of a crime of rape who marries the victim is not subjected to pretrial detention (arts.</w:t>
      </w:r>
      <w:r w:rsidR="00B0102B">
        <w:t> </w:t>
      </w:r>
      <w:r w:rsidR="00B56E44" w:rsidRPr="00B56E44">
        <w:t>2 and 16).</w:t>
      </w:r>
    </w:p>
    <w:p w:rsidR="00B56E44" w:rsidRDefault="00B56E44" w:rsidP="006B54B5">
      <w:pPr>
        <w:spacing w:after="120"/>
        <w:ind w:left="1134" w:right="1134"/>
        <w:jc w:val="both"/>
        <w:rPr>
          <w:b/>
        </w:rPr>
      </w:pPr>
      <w:r w:rsidRPr="00B56E44">
        <w:rPr>
          <w:b/>
        </w:rPr>
        <w:t xml:space="preserve">The State party should ensure that </w:t>
      </w:r>
      <w:r w:rsidR="00D3561B">
        <w:rPr>
          <w:b/>
        </w:rPr>
        <w:t xml:space="preserve">all </w:t>
      </w:r>
      <w:r w:rsidRPr="00B56E44">
        <w:rPr>
          <w:b/>
        </w:rPr>
        <w:t>cases of violence against women are thoroughly investigated, perpetrators are prosecuted and</w:t>
      </w:r>
      <w:r w:rsidR="006B54B5">
        <w:rPr>
          <w:b/>
        </w:rPr>
        <w:t>,</w:t>
      </w:r>
      <w:r w:rsidRPr="00B56E44">
        <w:rPr>
          <w:b/>
        </w:rPr>
        <w:t xml:space="preserve"> if convicted, punished with appropriate sanctions, and </w:t>
      </w:r>
      <w:r w:rsidR="00CB28CC">
        <w:rPr>
          <w:b/>
        </w:rPr>
        <w:t xml:space="preserve">that </w:t>
      </w:r>
      <w:r w:rsidRPr="00B56E44">
        <w:rPr>
          <w:b/>
        </w:rPr>
        <w:t xml:space="preserve">victims </w:t>
      </w:r>
      <w:r w:rsidR="00D3561B">
        <w:rPr>
          <w:b/>
        </w:rPr>
        <w:t>obtain redress, including fair and adequate compensation</w:t>
      </w:r>
      <w:r w:rsidRPr="00B56E44">
        <w:rPr>
          <w:b/>
        </w:rPr>
        <w:t>.</w:t>
      </w:r>
    </w:p>
    <w:p w:rsidR="00B56E44" w:rsidRPr="00B56E44" w:rsidRDefault="00B56E44" w:rsidP="00A7385F">
      <w:pPr>
        <w:spacing w:after="120"/>
        <w:ind w:left="1134" w:right="1134"/>
        <w:jc w:val="both"/>
        <w:rPr>
          <w:b/>
        </w:rPr>
      </w:pPr>
      <w:r w:rsidRPr="00B56E44">
        <w:rPr>
          <w:b/>
        </w:rPr>
        <w:t xml:space="preserve">The State party should complete the process of amending the Penal Code </w:t>
      </w:r>
      <w:r w:rsidR="00A7385F">
        <w:rPr>
          <w:b/>
        </w:rPr>
        <w:t xml:space="preserve">with a </w:t>
      </w:r>
      <w:r w:rsidRPr="00B56E44">
        <w:rPr>
          <w:b/>
        </w:rPr>
        <w:t>view to bring</w:t>
      </w:r>
      <w:r w:rsidR="00A7385F">
        <w:rPr>
          <w:b/>
        </w:rPr>
        <w:t>ing</w:t>
      </w:r>
      <w:r w:rsidRPr="00B56E44">
        <w:rPr>
          <w:b/>
        </w:rPr>
        <w:t xml:space="preserve"> the provisions criminalizing various forms of sexual violence and abuse in</w:t>
      </w:r>
      <w:r w:rsidR="00A7385F">
        <w:rPr>
          <w:b/>
        </w:rPr>
        <w:t>to</w:t>
      </w:r>
      <w:r w:rsidRPr="00B56E44">
        <w:rPr>
          <w:b/>
        </w:rPr>
        <w:t xml:space="preserve"> line with its obligations under international human rights law relating to women and children.</w:t>
      </w:r>
    </w:p>
    <w:p w:rsidR="00B56E44" w:rsidRPr="000E5404" w:rsidRDefault="000455CE" w:rsidP="000455CE">
      <w:pPr>
        <w:pStyle w:val="H23G"/>
      </w:pPr>
      <w:r>
        <w:tab/>
      </w:r>
      <w:r>
        <w:tab/>
      </w:r>
      <w:r w:rsidR="00B56E44" w:rsidRPr="000E5404">
        <w:t>Violence and sexual abuse against girls in schools</w:t>
      </w:r>
    </w:p>
    <w:p w:rsidR="00B56E44" w:rsidRPr="000E5404" w:rsidRDefault="002A5FBE" w:rsidP="002A5FBE">
      <w:pPr>
        <w:pStyle w:val="SingleTxtG"/>
      </w:pPr>
      <w:r w:rsidRPr="000E5404">
        <w:rPr>
          <w:bCs/>
        </w:rPr>
        <w:t>24.</w:t>
      </w:r>
      <w:r w:rsidRPr="000E5404">
        <w:rPr>
          <w:bCs/>
        </w:rPr>
        <w:tab/>
      </w:r>
      <w:r w:rsidR="00B56E44" w:rsidRPr="000E5404">
        <w:t>The Committee is seriously concern</w:t>
      </w:r>
      <w:r w:rsidR="006B54B5">
        <w:t>ed</w:t>
      </w:r>
      <w:r w:rsidR="00B56E44" w:rsidRPr="000E5404">
        <w:t xml:space="preserve"> about violence and sexual abuse against girls in schools by teachers and male classmates. According to information before the Committee, </w:t>
      </w:r>
      <w:r w:rsidR="00154B45">
        <w:t>very</w:t>
      </w:r>
      <w:r w:rsidR="00B56E44" w:rsidRPr="000E5404">
        <w:t xml:space="preserve"> few cases are reported</w:t>
      </w:r>
      <w:r w:rsidR="00154B45">
        <w:t>,</w:t>
      </w:r>
      <w:r w:rsidR="000E5404">
        <w:t xml:space="preserve"> </w:t>
      </w:r>
      <w:r w:rsidR="00B56E44" w:rsidRPr="000E5404">
        <w:t xml:space="preserve">even </w:t>
      </w:r>
      <w:r w:rsidR="00154B45">
        <w:t>fewer</w:t>
      </w:r>
      <w:r w:rsidR="00B56E44" w:rsidRPr="000E5404">
        <w:t xml:space="preserve"> are appropriately prosecuted and the institutional response to the problem remains limited (art</w:t>
      </w:r>
      <w:r w:rsidR="000455CE" w:rsidRPr="000E5404">
        <w:t>s</w:t>
      </w:r>
      <w:r w:rsidR="00B56E44" w:rsidRPr="000E5404">
        <w:t>.</w:t>
      </w:r>
      <w:r w:rsidR="00B704ED">
        <w:t xml:space="preserve"> </w:t>
      </w:r>
      <w:r w:rsidR="00B56E44" w:rsidRPr="000E5404">
        <w:t>2 and 16).</w:t>
      </w:r>
    </w:p>
    <w:p w:rsidR="00B56E44" w:rsidRPr="000E5404" w:rsidRDefault="00B56E44" w:rsidP="009E5561">
      <w:pPr>
        <w:pStyle w:val="SingleTxtG"/>
        <w:rPr>
          <w:b/>
        </w:rPr>
      </w:pPr>
      <w:r w:rsidRPr="000E5404">
        <w:rPr>
          <w:b/>
        </w:rPr>
        <w:t>The State party should st</w:t>
      </w:r>
      <w:r w:rsidR="009E5561">
        <w:rPr>
          <w:b/>
        </w:rPr>
        <w:t>rengthen</w:t>
      </w:r>
      <w:r w:rsidRPr="000E5404">
        <w:rPr>
          <w:b/>
        </w:rPr>
        <w:t xml:space="preserve"> its efforts to eradicate violence and sexual abuse against girls in schools</w:t>
      </w:r>
      <w:r w:rsidR="00D3561B" w:rsidRPr="000E5404">
        <w:rPr>
          <w:b/>
        </w:rPr>
        <w:t xml:space="preserve"> and implement all necessary protective measures</w:t>
      </w:r>
      <w:r w:rsidRPr="000E5404">
        <w:rPr>
          <w:b/>
        </w:rPr>
        <w:t>, in particular</w:t>
      </w:r>
      <w:r w:rsidR="009E5561">
        <w:rPr>
          <w:b/>
        </w:rPr>
        <w:t xml:space="preserve"> by</w:t>
      </w:r>
      <w:r w:rsidRPr="000E5404">
        <w:rPr>
          <w:b/>
        </w:rPr>
        <w:t>:</w:t>
      </w:r>
    </w:p>
    <w:p w:rsidR="00B56E44" w:rsidRPr="000E5404" w:rsidRDefault="000455CE" w:rsidP="00277AE0">
      <w:pPr>
        <w:pStyle w:val="SingleTxtG"/>
        <w:ind w:firstLine="567"/>
        <w:rPr>
          <w:b/>
        </w:rPr>
      </w:pPr>
      <w:r w:rsidRPr="000E5404">
        <w:rPr>
          <w:b/>
        </w:rPr>
        <w:t>(</w:t>
      </w:r>
      <w:r w:rsidR="00B56E44" w:rsidRPr="000E5404">
        <w:rPr>
          <w:b/>
        </w:rPr>
        <w:t>a)</w:t>
      </w:r>
      <w:r w:rsidR="00B56E44" w:rsidRPr="000E5404">
        <w:rPr>
          <w:b/>
        </w:rPr>
        <w:tab/>
        <w:t xml:space="preserve">Taking all measures necessary to investigate, </w:t>
      </w:r>
      <w:r w:rsidR="00787B3A" w:rsidRPr="000E5404">
        <w:rPr>
          <w:b/>
        </w:rPr>
        <w:t xml:space="preserve">prosecute and </w:t>
      </w:r>
      <w:r w:rsidR="00277AE0" w:rsidRPr="000E5404">
        <w:rPr>
          <w:b/>
        </w:rPr>
        <w:t xml:space="preserve">appropriately </w:t>
      </w:r>
      <w:r w:rsidR="00787B3A" w:rsidRPr="000E5404">
        <w:rPr>
          <w:b/>
        </w:rPr>
        <w:t>punish those found guilty of such acts, and provid</w:t>
      </w:r>
      <w:r w:rsidR="00E214F0">
        <w:rPr>
          <w:b/>
        </w:rPr>
        <w:t>ing</w:t>
      </w:r>
      <w:r w:rsidR="00787B3A" w:rsidRPr="000E5404">
        <w:rPr>
          <w:b/>
        </w:rPr>
        <w:t xml:space="preserve"> the victims with redress</w:t>
      </w:r>
      <w:r w:rsidR="00B56E44" w:rsidRPr="000E5404">
        <w:rPr>
          <w:b/>
        </w:rPr>
        <w:t>;</w:t>
      </w:r>
    </w:p>
    <w:p w:rsidR="00B56E44" w:rsidRPr="000E5404" w:rsidRDefault="000455CE" w:rsidP="00E214F0">
      <w:pPr>
        <w:pStyle w:val="SingleTxtG"/>
        <w:ind w:firstLine="567"/>
        <w:rPr>
          <w:b/>
        </w:rPr>
      </w:pPr>
      <w:r w:rsidRPr="000E5404">
        <w:rPr>
          <w:b/>
        </w:rPr>
        <w:t>(</w:t>
      </w:r>
      <w:r w:rsidR="00B56E44" w:rsidRPr="000E5404">
        <w:rPr>
          <w:b/>
        </w:rPr>
        <w:t>b)</w:t>
      </w:r>
      <w:r w:rsidR="00B56E44" w:rsidRPr="000E5404">
        <w:rPr>
          <w:b/>
        </w:rPr>
        <w:tab/>
        <w:t xml:space="preserve">Making </w:t>
      </w:r>
      <w:r w:rsidR="00E214F0" w:rsidRPr="000E5404">
        <w:rPr>
          <w:b/>
        </w:rPr>
        <w:t xml:space="preserve">resources </w:t>
      </w:r>
      <w:r w:rsidR="00B56E44" w:rsidRPr="000E5404">
        <w:rPr>
          <w:b/>
        </w:rPr>
        <w:t xml:space="preserve">available </w:t>
      </w:r>
      <w:r w:rsidR="00787B3A" w:rsidRPr="000E5404">
        <w:rPr>
          <w:b/>
        </w:rPr>
        <w:t>for prevention and protection programmes</w:t>
      </w:r>
      <w:r w:rsidR="00B56E44" w:rsidRPr="000E5404">
        <w:rPr>
          <w:b/>
        </w:rPr>
        <w:t xml:space="preserve"> to eliminate the persistent pattern of violence and sexual abuse against children in schools;</w:t>
      </w:r>
    </w:p>
    <w:p w:rsidR="00B56E44" w:rsidRPr="000E5404" w:rsidRDefault="000455CE" w:rsidP="00571FA5">
      <w:pPr>
        <w:pStyle w:val="SingleTxtG"/>
        <w:ind w:firstLine="567"/>
        <w:rPr>
          <w:b/>
        </w:rPr>
      </w:pPr>
      <w:r w:rsidRPr="000E5404">
        <w:rPr>
          <w:b/>
        </w:rPr>
        <w:t>(</w:t>
      </w:r>
      <w:r w:rsidR="00B56E44" w:rsidRPr="000E5404">
        <w:rPr>
          <w:b/>
        </w:rPr>
        <w:t>c)</w:t>
      </w:r>
      <w:r w:rsidR="00B56E44" w:rsidRPr="000E5404">
        <w:rPr>
          <w:b/>
        </w:rPr>
        <w:tab/>
        <w:t>Making complaints mechanisms available to victims and their families;</w:t>
      </w:r>
    </w:p>
    <w:p w:rsidR="00B56E44" w:rsidRPr="000E5404" w:rsidRDefault="000455CE" w:rsidP="00571FA5">
      <w:pPr>
        <w:pStyle w:val="SingleTxtG"/>
        <w:ind w:firstLine="567"/>
        <w:rPr>
          <w:b/>
        </w:rPr>
      </w:pPr>
      <w:r w:rsidRPr="000E5404">
        <w:rPr>
          <w:b/>
        </w:rPr>
        <w:t>(</w:t>
      </w:r>
      <w:r w:rsidR="00B56E44" w:rsidRPr="000E5404">
        <w:rPr>
          <w:b/>
        </w:rPr>
        <w:t>d)</w:t>
      </w:r>
      <w:r w:rsidR="00B56E44" w:rsidRPr="000E5404">
        <w:rPr>
          <w:b/>
        </w:rPr>
        <w:tab/>
        <w:t>Strengthening awareness-raising and</w:t>
      </w:r>
      <w:r w:rsidR="00787B3A" w:rsidRPr="000E5404">
        <w:rPr>
          <w:b/>
        </w:rPr>
        <w:t xml:space="preserve"> mandatory</w:t>
      </w:r>
      <w:r w:rsidR="00B56E44" w:rsidRPr="000E5404">
        <w:rPr>
          <w:b/>
        </w:rPr>
        <w:t xml:space="preserve"> in-service training programmes on the subject for teaching staff;</w:t>
      </w:r>
      <w:r w:rsidR="00B55257" w:rsidRPr="000E5404">
        <w:rPr>
          <w:b/>
        </w:rPr>
        <w:t xml:space="preserve"> and</w:t>
      </w:r>
    </w:p>
    <w:p w:rsidR="00B56E44" w:rsidRPr="000455CE" w:rsidRDefault="000455CE" w:rsidP="00E214F0">
      <w:pPr>
        <w:pStyle w:val="SingleTxtG"/>
        <w:ind w:firstLine="567"/>
        <w:rPr>
          <w:b/>
        </w:rPr>
      </w:pPr>
      <w:r w:rsidRPr="000E5404">
        <w:rPr>
          <w:b/>
        </w:rPr>
        <w:t>(</w:t>
      </w:r>
      <w:r w:rsidR="00B56E44" w:rsidRPr="000E5404">
        <w:rPr>
          <w:b/>
        </w:rPr>
        <w:t>e)</w:t>
      </w:r>
      <w:r w:rsidR="00B56E44" w:rsidRPr="000E5404">
        <w:rPr>
          <w:b/>
        </w:rPr>
        <w:tab/>
        <w:t>Guaranteeing victims full acces</w:t>
      </w:r>
      <w:r w:rsidR="00B56E44" w:rsidRPr="000455CE">
        <w:rPr>
          <w:b/>
        </w:rPr>
        <w:t xml:space="preserve">s to health services specialized in family planning and the prevention and diagnosis of sexually transmitted diseases. </w:t>
      </w:r>
      <w:r w:rsidR="003F76C2">
        <w:rPr>
          <w:b/>
        </w:rPr>
        <w:t>T</w:t>
      </w:r>
      <w:r w:rsidR="00B56E44" w:rsidRPr="000455CE">
        <w:rPr>
          <w:b/>
        </w:rPr>
        <w:t xml:space="preserve">he State party should </w:t>
      </w:r>
      <w:r w:rsidR="003F76C2">
        <w:rPr>
          <w:b/>
        </w:rPr>
        <w:t>ensure that</w:t>
      </w:r>
      <w:r w:rsidR="00B56E44" w:rsidRPr="000455CE">
        <w:rPr>
          <w:b/>
        </w:rPr>
        <w:t xml:space="preserve"> victims</w:t>
      </w:r>
      <w:r w:rsidR="003F76C2">
        <w:rPr>
          <w:b/>
        </w:rPr>
        <w:t xml:space="preserve"> obtain</w:t>
      </w:r>
      <w:r w:rsidR="00B56E44" w:rsidRPr="000455CE">
        <w:rPr>
          <w:b/>
        </w:rPr>
        <w:t xml:space="preserve"> redress, including fair and adequate compensation, and the fullest possible rehabilitation.</w:t>
      </w:r>
    </w:p>
    <w:p w:rsidR="00B56E44" w:rsidRPr="00B56E44" w:rsidRDefault="000455CE" w:rsidP="009E5561">
      <w:pPr>
        <w:pStyle w:val="H23G"/>
      </w:pPr>
      <w:r>
        <w:tab/>
      </w:r>
      <w:r>
        <w:tab/>
      </w:r>
      <w:r w:rsidR="00B56E44" w:rsidRPr="00B56E44">
        <w:t>Harmful traditional practices</w:t>
      </w:r>
      <w:r w:rsidR="009E5561">
        <w:t xml:space="preserve"> </w:t>
      </w:r>
    </w:p>
    <w:p w:rsidR="00B56E44" w:rsidRPr="00B56E44" w:rsidRDefault="002A5FBE" w:rsidP="002A5FBE">
      <w:pPr>
        <w:pStyle w:val="SingleTxtG"/>
      </w:pPr>
      <w:r w:rsidRPr="00B56E44">
        <w:rPr>
          <w:bCs/>
        </w:rPr>
        <w:t>25.</w:t>
      </w:r>
      <w:r w:rsidRPr="00B56E44">
        <w:rPr>
          <w:bCs/>
        </w:rPr>
        <w:tab/>
      </w:r>
      <w:r w:rsidR="00B56E44" w:rsidRPr="00B56E44">
        <w:t xml:space="preserve">The Committee is aware of the efforts made by the State party to prevent early marriages. However, it </w:t>
      </w:r>
      <w:r w:rsidR="00E214F0">
        <w:t xml:space="preserve">remains </w:t>
      </w:r>
      <w:r w:rsidR="00B56E44" w:rsidRPr="00B56E44">
        <w:t>concern</w:t>
      </w:r>
      <w:r w:rsidR="00E214F0">
        <w:t>ed at</w:t>
      </w:r>
      <w:r w:rsidR="00B56E44" w:rsidRPr="00B56E44">
        <w:t xml:space="preserve"> the persistence of this and other harmful traditional practices, such as forced marriage, polygamy, adulthood initiation rites and child debt bondage. The Committee </w:t>
      </w:r>
      <w:r w:rsidR="00E214F0">
        <w:t xml:space="preserve">is </w:t>
      </w:r>
      <w:r w:rsidR="00B56E44" w:rsidRPr="00B56E44">
        <w:t>also concern</w:t>
      </w:r>
      <w:r w:rsidR="00E214F0">
        <w:t>ed</w:t>
      </w:r>
      <w:r w:rsidR="00B56E44" w:rsidRPr="00B56E44">
        <w:t xml:space="preserve"> at reports of corporal punishment (whipping) inflicted by some traditional authorities. Furthermore, it regrets the lack of information on the steps taken to ensure that customary law in </w:t>
      </w:r>
      <w:smartTag w:uri="urn:schemas-microsoft-com:office:smarttags" w:element="country-region">
        <w:smartTag w:uri="urn:schemas-microsoft-com:office:smarttags" w:element="place">
          <w:r w:rsidR="00B56E44" w:rsidRPr="00B56E44">
            <w:t>Mozambique</w:t>
          </w:r>
        </w:smartTag>
      </w:smartTag>
      <w:r w:rsidR="00B56E44" w:rsidRPr="00B56E44">
        <w:t xml:space="preserve"> is not incompatible with the State party’s obligations under the Convention (</w:t>
      </w:r>
      <w:r w:rsidR="00B704ED">
        <w:t xml:space="preserve">art. </w:t>
      </w:r>
      <w:r w:rsidR="00B56E44" w:rsidRPr="00B56E44">
        <w:t>16).</w:t>
      </w:r>
    </w:p>
    <w:p w:rsidR="00B56E44" w:rsidRPr="000455CE" w:rsidRDefault="00B56E44" w:rsidP="00571FA5">
      <w:pPr>
        <w:pStyle w:val="SingleTxtG"/>
        <w:keepNext/>
        <w:rPr>
          <w:b/>
        </w:rPr>
      </w:pPr>
      <w:r w:rsidRPr="000455CE">
        <w:rPr>
          <w:b/>
        </w:rPr>
        <w:t>The State party should:</w:t>
      </w:r>
    </w:p>
    <w:p w:rsidR="00B56E44" w:rsidRPr="000455CE" w:rsidRDefault="00B56E44" w:rsidP="00E214F0">
      <w:pPr>
        <w:pStyle w:val="SingleTxtG"/>
        <w:ind w:firstLine="567"/>
        <w:rPr>
          <w:b/>
        </w:rPr>
      </w:pPr>
      <w:r w:rsidRPr="000455CE">
        <w:rPr>
          <w:b/>
        </w:rPr>
        <w:t>(a)</w:t>
      </w:r>
      <w:r w:rsidRPr="000455CE">
        <w:rPr>
          <w:b/>
        </w:rPr>
        <w:tab/>
        <w:t>Strengthen its efforts to prevent and combat harmful traditional practices, particular</w:t>
      </w:r>
      <w:r w:rsidR="00E214F0">
        <w:rPr>
          <w:b/>
        </w:rPr>
        <w:t>ly</w:t>
      </w:r>
      <w:r w:rsidRPr="000455CE">
        <w:rPr>
          <w:b/>
        </w:rPr>
        <w:t xml:space="preserve"> in rural areas, and ensure that such acts are investigated and the alleged perpetrators prosecuted and, if convicted, punished with appropriate sanctions;</w:t>
      </w:r>
    </w:p>
    <w:p w:rsidR="00B56E44" w:rsidRPr="000455CE" w:rsidRDefault="00B56E44" w:rsidP="00E214F0">
      <w:pPr>
        <w:pStyle w:val="SingleTxtG"/>
        <w:ind w:firstLine="567"/>
        <w:rPr>
          <w:b/>
        </w:rPr>
      </w:pPr>
      <w:r w:rsidRPr="000455CE">
        <w:rPr>
          <w:b/>
        </w:rPr>
        <w:t>(b)</w:t>
      </w:r>
      <w:r w:rsidRPr="000455CE">
        <w:rPr>
          <w:b/>
        </w:rPr>
        <w:tab/>
        <w:t>Provide victims with legal, medical, psychological and rehabilitative services</w:t>
      </w:r>
      <w:r w:rsidR="00E214F0">
        <w:rPr>
          <w:b/>
        </w:rPr>
        <w:t xml:space="preserve"> and</w:t>
      </w:r>
      <w:r w:rsidRPr="000455CE">
        <w:rPr>
          <w:b/>
        </w:rPr>
        <w:t xml:space="preserve"> compensation, and create </w:t>
      </w:r>
      <w:r w:rsidR="00E214F0">
        <w:rPr>
          <w:b/>
        </w:rPr>
        <w:t>the</w:t>
      </w:r>
      <w:r w:rsidRPr="000455CE">
        <w:rPr>
          <w:b/>
        </w:rPr>
        <w:t xml:space="preserve"> conditions for them to report complaints without fear of reprisal;</w:t>
      </w:r>
      <w:r w:rsidR="00B55257">
        <w:rPr>
          <w:b/>
        </w:rPr>
        <w:t xml:space="preserve"> and</w:t>
      </w:r>
    </w:p>
    <w:p w:rsidR="00B56E44" w:rsidRPr="000455CE" w:rsidRDefault="00B56E44" w:rsidP="00C63BBA">
      <w:pPr>
        <w:pStyle w:val="SingleTxtG"/>
        <w:ind w:firstLine="567"/>
        <w:rPr>
          <w:b/>
        </w:rPr>
      </w:pPr>
      <w:r w:rsidRPr="000455CE">
        <w:rPr>
          <w:b/>
        </w:rPr>
        <w:t>(c)</w:t>
      </w:r>
      <w:r w:rsidRPr="000455CE">
        <w:rPr>
          <w:b/>
        </w:rPr>
        <w:tab/>
        <w:t xml:space="preserve">Provide </w:t>
      </w:r>
      <w:r w:rsidR="002B4293" w:rsidRPr="000455CE">
        <w:rPr>
          <w:b/>
        </w:rPr>
        <w:t xml:space="preserve">judges, prosecutors, law enforcement officials and traditional authorities </w:t>
      </w:r>
      <w:r w:rsidR="002B4293">
        <w:rPr>
          <w:b/>
        </w:rPr>
        <w:t xml:space="preserve">with </w:t>
      </w:r>
      <w:r w:rsidRPr="000455CE">
        <w:rPr>
          <w:b/>
        </w:rPr>
        <w:t>training on the strict application of the relevant legislation criminalizing harmful traditional practices and other forms of violence against women and children.</w:t>
      </w:r>
    </w:p>
    <w:p w:rsidR="00B56E44" w:rsidRPr="000455CE" w:rsidRDefault="00B56E44" w:rsidP="002B4293">
      <w:pPr>
        <w:pStyle w:val="SingleTxtG"/>
        <w:rPr>
          <w:b/>
        </w:rPr>
      </w:pPr>
      <w:r w:rsidRPr="000455CE">
        <w:rPr>
          <w:b/>
        </w:rPr>
        <w:t xml:space="preserve">In general, the State party should ensure that its customary law and practices are compatible with its human rights obligations, </w:t>
      </w:r>
      <w:r w:rsidR="002B4293">
        <w:rPr>
          <w:b/>
        </w:rPr>
        <w:t>particular</w:t>
      </w:r>
      <w:r w:rsidRPr="000455CE">
        <w:rPr>
          <w:b/>
        </w:rPr>
        <w:t xml:space="preserve">ly </w:t>
      </w:r>
      <w:r w:rsidR="002B4293">
        <w:rPr>
          <w:b/>
        </w:rPr>
        <w:t xml:space="preserve">those </w:t>
      </w:r>
      <w:r w:rsidRPr="000455CE">
        <w:rPr>
          <w:b/>
        </w:rPr>
        <w:t xml:space="preserve">under the Convention. </w:t>
      </w:r>
      <w:r w:rsidR="002B4293">
        <w:rPr>
          <w:b/>
        </w:rPr>
        <w:t>I</w:t>
      </w:r>
      <w:r w:rsidR="002B4293" w:rsidRPr="000455CE">
        <w:rPr>
          <w:b/>
        </w:rPr>
        <w:t>n its next periodic report</w:t>
      </w:r>
      <w:r w:rsidR="002B4293">
        <w:rPr>
          <w:b/>
        </w:rPr>
        <w:t>, t</w:t>
      </w:r>
      <w:r w:rsidRPr="000455CE">
        <w:rPr>
          <w:b/>
        </w:rPr>
        <w:t xml:space="preserve">he State party should provide information on the hierarchy between </w:t>
      </w:r>
      <w:r w:rsidR="00870B98">
        <w:rPr>
          <w:b/>
        </w:rPr>
        <w:t>traditional practices</w:t>
      </w:r>
      <w:r w:rsidR="00870B98" w:rsidRPr="000455CE">
        <w:rPr>
          <w:b/>
        </w:rPr>
        <w:t xml:space="preserve"> </w:t>
      </w:r>
      <w:r w:rsidRPr="000455CE">
        <w:rPr>
          <w:b/>
        </w:rPr>
        <w:t xml:space="preserve">and </w:t>
      </w:r>
      <w:r w:rsidR="00870B98">
        <w:rPr>
          <w:b/>
        </w:rPr>
        <w:t>codified</w:t>
      </w:r>
      <w:r w:rsidR="00870B98" w:rsidRPr="000455CE">
        <w:rPr>
          <w:b/>
        </w:rPr>
        <w:t xml:space="preserve"> </w:t>
      </w:r>
      <w:r w:rsidRPr="000455CE">
        <w:rPr>
          <w:b/>
        </w:rPr>
        <w:t>law, especially with regard to forms of discrimination against women and children.</w:t>
      </w:r>
    </w:p>
    <w:p w:rsidR="00B56E44" w:rsidRPr="00B56E44" w:rsidRDefault="000455CE" w:rsidP="004A0279">
      <w:pPr>
        <w:pStyle w:val="H23G"/>
      </w:pPr>
      <w:r>
        <w:tab/>
      </w:r>
      <w:r>
        <w:tab/>
      </w:r>
      <w:r w:rsidR="004A0279">
        <w:t>Human t</w:t>
      </w:r>
      <w:r w:rsidR="00B56E44" w:rsidRPr="00B56E44">
        <w:t>rafficking</w:t>
      </w:r>
    </w:p>
    <w:p w:rsidR="00B56E44" w:rsidRPr="00B56E44" w:rsidRDefault="002A5FBE" w:rsidP="002A5FBE">
      <w:pPr>
        <w:pStyle w:val="SingleTxtG"/>
        <w:rPr>
          <w:b/>
        </w:rPr>
      </w:pPr>
      <w:r w:rsidRPr="00B56E44">
        <w:rPr>
          <w:bCs/>
        </w:rPr>
        <w:t>26.</w:t>
      </w:r>
      <w:r w:rsidRPr="00B56E44">
        <w:rPr>
          <w:bCs/>
        </w:rPr>
        <w:tab/>
      </w:r>
      <w:r w:rsidR="00B56E44" w:rsidRPr="00B56E44">
        <w:t xml:space="preserve">The Committee takes note of the efforts made by the State party to prevent and combat human trafficking. However, it </w:t>
      </w:r>
      <w:r w:rsidR="002B4293">
        <w:t>i</w:t>
      </w:r>
      <w:r w:rsidR="00B56E44" w:rsidRPr="00B56E44">
        <w:t>s concern</w:t>
      </w:r>
      <w:r w:rsidR="002B4293">
        <w:t>ed</w:t>
      </w:r>
      <w:r w:rsidR="00B56E44" w:rsidRPr="00B56E44">
        <w:t xml:space="preserve"> at reports of internal and cross-border</w:t>
      </w:r>
      <w:r w:rsidR="00870B98">
        <w:t xml:space="preserve"> human</w:t>
      </w:r>
      <w:r w:rsidR="00B56E44" w:rsidRPr="00B56E44">
        <w:t xml:space="preserve"> trafficking for the purpose of sexual exploitation or forced labour, as well as at the information provided by the delegation on trafficking </w:t>
      </w:r>
      <w:r w:rsidR="00870B98">
        <w:t>in organs</w:t>
      </w:r>
      <w:r w:rsidR="00B56E44" w:rsidRPr="00B56E44">
        <w:t xml:space="preserve">. The Committee is </w:t>
      </w:r>
      <w:r w:rsidR="002B4293">
        <w:t xml:space="preserve">also </w:t>
      </w:r>
      <w:r w:rsidR="00B56E44" w:rsidRPr="00B56E44">
        <w:t>concerned at the lack of statistics in the State party’s report on, inter alia, the number of prosecutions, convictions and sentences of perpetrators of trafficking (arts</w:t>
      </w:r>
      <w:r w:rsidR="00B0102B">
        <w:t>. </w:t>
      </w:r>
      <w:r w:rsidR="00B56E44" w:rsidRPr="00B56E44">
        <w:t>2, 12 and 16).</w:t>
      </w:r>
    </w:p>
    <w:p w:rsidR="00B56E44" w:rsidRPr="000455CE" w:rsidRDefault="00B56E44" w:rsidP="00571FA5">
      <w:pPr>
        <w:pStyle w:val="SingleTxtG"/>
        <w:keepNext/>
        <w:rPr>
          <w:b/>
        </w:rPr>
      </w:pPr>
      <w:r w:rsidRPr="000455CE">
        <w:rPr>
          <w:b/>
        </w:rPr>
        <w:t>The State party should:</w:t>
      </w:r>
    </w:p>
    <w:p w:rsidR="00B56E44" w:rsidRDefault="00B56E44" w:rsidP="00B55257">
      <w:pPr>
        <w:pStyle w:val="SingleTxtG"/>
        <w:ind w:firstLine="567"/>
        <w:rPr>
          <w:b/>
        </w:rPr>
      </w:pPr>
      <w:r w:rsidRPr="000455CE">
        <w:rPr>
          <w:b/>
        </w:rPr>
        <w:t>(a)</w:t>
      </w:r>
      <w:r w:rsidRPr="000455CE">
        <w:rPr>
          <w:b/>
        </w:rPr>
        <w:tab/>
        <w:t>Intensify its efforts to prevent and combat trafficking in human beings, including by implementing the 2008 anti-trafficking legislation</w:t>
      </w:r>
      <w:r w:rsidR="000455CE">
        <w:rPr>
          <w:b/>
        </w:rPr>
        <w:t xml:space="preserve"> (see </w:t>
      </w:r>
      <w:proofErr w:type="spellStart"/>
      <w:r w:rsidR="00B0102B">
        <w:rPr>
          <w:b/>
        </w:rPr>
        <w:t>para</w:t>
      </w:r>
      <w:proofErr w:type="spellEnd"/>
      <w:r w:rsidR="00B0102B">
        <w:rPr>
          <w:b/>
        </w:rPr>
        <w:t>. </w:t>
      </w:r>
      <w:r w:rsidR="000455CE">
        <w:rPr>
          <w:b/>
        </w:rPr>
        <w:t>5</w:t>
      </w:r>
      <w:r w:rsidR="00010537">
        <w:rPr>
          <w:b/>
        </w:rPr>
        <w:t> </w:t>
      </w:r>
      <w:r w:rsidR="00B55257">
        <w:rPr>
          <w:b/>
        </w:rPr>
        <w:t>(</w:t>
      </w:r>
      <w:r w:rsidR="000455CE">
        <w:rPr>
          <w:b/>
        </w:rPr>
        <w:t>b</w:t>
      </w:r>
      <w:r w:rsidR="00B55257">
        <w:rPr>
          <w:b/>
        </w:rPr>
        <w:t>)</w:t>
      </w:r>
      <w:r w:rsidR="00C63BBA">
        <w:rPr>
          <w:b/>
        </w:rPr>
        <w:t xml:space="preserve"> </w:t>
      </w:r>
      <w:r w:rsidR="00C63BBA" w:rsidRPr="00C63BBA">
        <w:rPr>
          <w:b/>
        </w:rPr>
        <w:t>of the present concluding observations</w:t>
      </w:r>
      <w:r w:rsidRPr="000455CE">
        <w:rPr>
          <w:b/>
        </w:rPr>
        <w:t>) and providing protection for victims</w:t>
      </w:r>
      <w:r w:rsidR="00451302">
        <w:rPr>
          <w:b/>
        </w:rPr>
        <w:t>, including shelters and psychosocial assistance</w:t>
      </w:r>
      <w:r w:rsidRPr="000455CE">
        <w:rPr>
          <w:b/>
        </w:rPr>
        <w:t>;</w:t>
      </w:r>
    </w:p>
    <w:p w:rsidR="00B56E44" w:rsidRPr="000455CE" w:rsidRDefault="00B56E44" w:rsidP="002B4293">
      <w:pPr>
        <w:pStyle w:val="SingleTxtG"/>
        <w:ind w:firstLine="567"/>
        <w:rPr>
          <w:b/>
        </w:rPr>
      </w:pPr>
      <w:r w:rsidRPr="000455CE">
        <w:rPr>
          <w:b/>
        </w:rPr>
        <w:t>(b)</w:t>
      </w:r>
      <w:r w:rsidRPr="000455CE">
        <w:rPr>
          <w:b/>
        </w:rPr>
        <w:tab/>
        <w:t>Conduct prompt, impartial investigation</w:t>
      </w:r>
      <w:r w:rsidR="00C63BBA">
        <w:rPr>
          <w:b/>
        </w:rPr>
        <w:t>s</w:t>
      </w:r>
      <w:r w:rsidR="002B4293">
        <w:rPr>
          <w:b/>
        </w:rPr>
        <w:t xml:space="preserve"> into cases</w:t>
      </w:r>
      <w:r w:rsidRPr="000455CE">
        <w:rPr>
          <w:b/>
        </w:rPr>
        <w:t xml:space="preserve"> of human trafficking</w:t>
      </w:r>
      <w:r w:rsidR="00451302">
        <w:rPr>
          <w:b/>
        </w:rPr>
        <w:t xml:space="preserve">, </w:t>
      </w:r>
      <w:r w:rsidRPr="000455CE">
        <w:rPr>
          <w:b/>
        </w:rPr>
        <w:t xml:space="preserve">ensure that those found guilty </w:t>
      </w:r>
      <w:r w:rsidR="002B4293">
        <w:rPr>
          <w:b/>
        </w:rPr>
        <w:t>o</w:t>
      </w:r>
      <w:r w:rsidRPr="000455CE">
        <w:rPr>
          <w:b/>
        </w:rPr>
        <w:t>f such crimes are punished with penalties appropriate to the nature of their crimes</w:t>
      </w:r>
      <w:r w:rsidR="00451302">
        <w:rPr>
          <w:b/>
        </w:rPr>
        <w:t xml:space="preserve">, and </w:t>
      </w:r>
      <w:r w:rsidR="002B4293">
        <w:rPr>
          <w:b/>
        </w:rPr>
        <w:t>guarantee</w:t>
      </w:r>
      <w:r w:rsidR="002B4293" w:rsidDel="002B4293">
        <w:rPr>
          <w:b/>
        </w:rPr>
        <w:t xml:space="preserve"> </w:t>
      </w:r>
      <w:r w:rsidR="00451302">
        <w:rPr>
          <w:b/>
        </w:rPr>
        <w:t>that all victims of such acts obtain redress</w:t>
      </w:r>
      <w:r w:rsidRPr="000455CE">
        <w:rPr>
          <w:b/>
        </w:rPr>
        <w:t>;</w:t>
      </w:r>
      <w:r w:rsidR="00B55257">
        <w:rPr>
          <w:b/>
        </w:rPr>
        <w:t xml:space="preserve"> and</w:t>
      </w:r>
    </w:p>
    <w:p w:rsidR="00B56E44" w:rsidRPr="000455CE" w:rsidRDefault="00B56E44" w:rsidP="00C63BBA">
      <w:pPr>
        <w:pStyle w:val="SingleTxtG"/>
        <w:ind w:firstLine="567"/>
        <w:rPr>
          <w:b/>
        </w:rPr>
      </w:pPr>
      <w:r w:rsidRPr="000455CE">
        <w:rPr>
          <w:b/>
        </w:rPr>
        <w:t>(c)</w:t>
      </w:r>
      <w:r w:rsidRPr="000455CE">
        <w:rPr>
          <w:b/>
        </w:rPr>
        <w:tab/>
        <w:t xml:space="preserve">Conduct nationwide awareness-raising campaigns and </w:t>
      </w:r>
      <w:r w:rsidR="00C63BBA">
        <w:rPr>
          <w:b/>
        </w:rPr>
        <w:t xml:space="preserve">provide </w:t>
      </w:r>
      <w:r w:rsidRPr="000455CE">
        <w:rPr>
          <w:b/>
        </w:rPr>
        <w:t xml:space="preserve">specialized training on victim identification and investigation for </w:t>
      </w:r>
      <w:r w:rsidR="00C63BBA" w:rsidRPr="000455CE">
        <w:rPr>
          <w:b/>
        </w:rPr>
        <w:t xml:space="preserve">labour inspectors and </w:t>
      </w:r>
      <w:r w:rsidRPr="000455CE">
        <w:rPr>
          <w:b/>
        </w:rPr>
        <w:t xml:space="preserve">law enforcement officials, including the </w:t>
      </w:r>
      <w:r w:rsidRPr="00E60BAC">
        <w:rPr>
          <w:b/>
        </w:rPr>
        <w:t>Women and Child Victim Assistance Units established by the National Police</w:t>
      </w:r>
      <w:r w:rsidRPr="000455CE">
        <w:rPr>
          <w:b/>
        </w:rPr>
        <w:t>.</w:t>
      </w:r>
    </w:p>
    <w:p w:rsidR="00B56E44" w:rsidRPr="00B56E44" w:rsidRDefault="000455CE" w:rsidP="000455CE">
      <w:pPr>
        <w:pStyle w:val="H23G"/>
      </w:pPr>
      <w:r>
        <w:tab/>
      </w:r>
      <w:r>
        <w:tab/>
      </w:r>
      <w:r w:rsidR="00B56E44" w:rsidRPr="00B56E44">
        <w:t>Corporal punishment</w:t>
      </w:r>
    </w:p>
    <w:p w:rsidR="00B56E44" w:rsidRPr="00B56E44" w:rsidRDefault="002A5FBE" w:rsidP="002A5FBE">
      <w:pPr>
        <w:pStyle w:val="SingleTxtG"/>
      </w:pPr>
      <w:r w:rsidRPr="00B56E44">
        <w:rPr>
          <w:bCs/>
        </w:rPr>
        <w:t>27.</w:t>
      </w:r>
      <w:r w:rsidRPr="00B56E44">
        <w:rPr>
          <w:bCs/>
        </w:rPr>
        <w:tab/>
      </w:r>
      <w:r w:rsidR="00B56E44" w:rsidRPr="00B56E44">
        <w:t xml:space="preserve">While recognizing that corporal punishment </w:t>
      </w:r>
      <w:r w:rsidR="002B4293" w:rsidRPr="00B56E44">
        <w:t xml:space="preserve">has been abolished </w:t>
      </w:r>
      <w:r w:rsidR="00B56E44" w:rsidRPr="00B56E44">
        <w:t xml:space="preserve">as a penalty for crime and that it is prohibited in penal institutions, the Committee is concerned that </w:t>
      </w:r>
      <w:r w:rsidR="002B4293">
        <w:t>it</w:t>
      </w:r>
      <w:r w:rsidR="00B56E44" w:rsidRPr="00B56E44">
        <w:t xml:space="preserve"> is not explicitly prohibited in the home, schools and </w:t>
      </w:r>
      <w:r w:rsidR="00870B98">
        <w:t xml:space="preserve">all </w:t>
      </w:r>
      <w:r w:rsidR="00B56E44" w:rsidRPr="00B56E44">
        <w:t>care settings (</w:t>
      </w:r>
      <w:r w:rsidR="00B704ED">
        <w:t xml:space="preserve">art. </w:t>
      </w:r>
      <w:r w:rsidR="00B56E44" w:rsidRPr="00B56E44">
        <w:t>16)</w:t>
      </w:r>
      <w:r w:rsidR="00BF6656">
        <w:t>.</w:t>
      </w:r>
    </w:p>
    <w:p w:rsidR="00B56E44" w:rsidRPr="000455CE" w:rsidRDefault="00B56E44" w:rsidP="002B4293">
      <w:pPr>
        <w:pStyle w:val="SingleTxtG"/>
        <w:rPr>
          <w:b/>
        </w:rPr>
      </w:pPr>
      <w:r w:rsidRPr="000455CE">
        <w:rPr>
          <w:b/>
        </w:rPr>
        <w:t xml:space="preserve">The Committee recommends that the State party prohibit </w:t>
      </w:r>
      <w:r w:rsidR="002B4293">
        <w:rPr>
          <w:b/>
        </w:rPr>
        <w:t xml:space="preserve">the </w:t>
      </w:r>
      <w:r w:rsidRPr="000455CE">
        <w:rPr>
          <w:b/>
        </w:rPr>
        <w:t xml:space="preserve">corporal punishment of children in all settings, conduct public </w:t>
      </w:r>
      <w:r w:rsidR="002B4293" w:rsidRPr="000455CE">
        <w:rPr>
          <w:b/>
        </w:rPr>
        <w:t>awareness</w:t>
      </w:r>
      <w:r w:rsidR="002B4293">
        <w:rPr>
          <w:b/>
        </w:rPr>
        <w:t>-</w:t>
      </w:r>
      <w:r w:rsidR="002B4293" w:rsidRPr="000455CE">
        <w:rPr>
          <w:b/>
        </w:rPr>
        <w:t>rais</w:t>
      </w:r>
      <w:r w:rsidR="002B4293">
        <w:rPr>
          <w:b/>
        </w:rPr>
        <w:t>ing</w:t>
      </w:r>
      <w:r w:rsidRPr="000455CE">
        <w:rPr>
          <w:b/>
        </w:rPr>
        <w:t xml:space="preserve"> campaigns about its harmful effects, and promote positive non-violent forms of discipline as an alternative to corporal punishment.</w:t>
      </w:r>
    </w:p>
    <w:p w:rsidR="00B56E44" w:rsidRPr="00B56E44" w:rsidRDefault="000455CE" w:rsidP="002B4293">
      <w:pPr>
        <w:pStyle w:val="H23G"/>
      </w:pPr>
      <w:r>
        <w:tab/>
      </w:r>
      <w:r>
        <w:tab/>
      </w:r>
      <w:r w:rsidR="00B56E44" w:rsidRPr="00B56E44">
        <w:t xml:space="preserve">Data </w:t>
      </w:r>
      <w:r w:rsidR="002B4293">
        <w:t>c</w:t>
      </w:r>
      <w:r w:rsidR="00B56E44" w:rsidRPr="00B56E44">
        <w:t>ollection</w:t>
      </w:r>
    </w:p>
    <w:p w:rsidR="00B56E44" w:rsidRPr="00B56E44" w:rsidRDefault="002A5FBE" w:rsidP="002A5FBE">
      <w:pPr>
        <w:pStyle w:val="SingleTxtG"/>
      </w:pPr>
      <w:r w:rsidRPr="00B56E44">
        <w:rPr>
          <w:bCs/>
        </w:rPr>
        <w:t>28.</w:t>
      </w:r>
      <w:r w:rsidRPr="00B56E44">
        <w:rPr>
          <w:bCs/>
        </w:rPr>
        <w:tab/>
      </w:r>
      <w:r w:rsidR="00B56E44" w:rsidRPr="00B56E44">
        <w:t xml:space="preserve">The Committee regrets the absence of comprehensive and disaggregated data on complaints, investigations, prosecutions and convictions </w:t>
      </w:r>
      <w:r w:rsidR="002B4293">
        <w:t>in</w:t>
      </w:r>
      <w:r w:rsidR="00B56E44" w:rsidRPr="00B56E44">
        <w:t xml:space="preserve"> cases of torture and ill-treatment </w:t>
      </w:r>
      <w:r w:rsidR="002B4293">
        <w:t xml:space="preserve">perpetrated </w:t>
      </w:r>
      <w:r w:rsidR="00B56E44" w:rsidRPr="00B56E44">
        <w:t>by law enforcement and prison personnel, as well as on deaths in custody, extrajudicial executions, gender-based violence, trafficking</w:t>
      </w:r>
      <w:r w:rsidR="00870B98">
        <w:t>, lynching</w:t>
      </w:r>
      <w:r w:rsidR="00B56E44" w:rsidRPr="00B56E44">
        <w:t xml:space="preserve"> and criminal conduct related to harmful traditional practices.</w:t>
      </w:r>
    </w:p>
    <w:p w:rsidR="00B56E44" w:rsidRPr="000455CE" w:rsidRDefault="00B56E44" w:rsidP="005B2261">
      <w:pPr>
        <w:pStyle w:val="SingleTxtG"/>
        <w:rPr>
          <w:b/>
        </w:rPr>
      </w:pPr>
      <w:r w:rsidRPr="000455CE">
        <w:rPr>
          <w:b/>
        </w:rPr>
        <w:t xml:space="preserve">The State party should compile statistical data relevant to the monitoring of the implementation of the Convention at the national level, including data on complaints, investigations, prosecutions and convictions </w:t>
      </w:r>
      <w:r w:rsidR="005B2261">
        <w:rPr>
          <w:b/>
        </w:rPr>
        <w:t>in</w:t>
      </w:r>
      <w:r w:rsidRPr="000455CE">
        <w:rPr>
          <w:b/>
        </w:rPr>
        <w:t xml:space="preserve"> cases of torture and ill-treatment, deaths in custody, extrajudicial executions, enforced disappearances, gender-based violence, </w:t>
      </w:r>
      <w:r w:rsidR="00C63BBA">
        <w:rPr>
          <w:b/>
        </w:rPr>
        <w:t xml:space="preserve">human </w:t>
      </w:r>
      <w:r w:rsidRPr="000455CE">
        <w:rPr>
          <w:b/>
        </w:rPr>
        <w:t xml:space="preserve">trafficking, </w:t>
      </w:r>
      <w:r w:rsidR="00870B98">
        <w:rPr>
          <w:b/>
        </w:rPr>
        <w:t xml:space="preserve">lynching, </w:t>
      </w:r>
      <w:r w:rsidRPr="000455CE">
        <w:rPr>
          <w:b/>
        </w:rPr>
        <w:t>criminal conduct related to harmful traditional practices, as well as on means of redress, including compensation and rehabilitation, provided to victims.</w:t>
      </w:r>
    </w:p>
    <w:p w:rsidR="00B56E44" w:rsidRPr="00B56E44" w:rsidRDefault="000455CE" w:rsidP="000455CE">
      <w:pPr>
        <w:pStyle w:val="H23G"/>
      </w:pPr>
      <w:r>
        <w:tab/>
      </w:r>
      <w:r>
        <w:tab/>
      </w:r>
      <w:r w:rsidR="00B56E44" w:rsidRPr="00B56E44">
        <w:t>Other issues</w:t>
      </w:r>
    </w:p>
    <w:p w:rsidR="00B56E44" w:rsidRPr="00B56E44" w:rsidRDefault="002A5FBE" w:rsidP="002A5FBE">
      <w:pPr>
        <w:pStyle w:val="SingleTxtG"/>
        <w:rPr>
          <w:lang w:eastAsia="zh-CN"/>
        </w:rPr>
      </w:pPr>
      <w:r w:rsidRPr="00B56E44">
        <w:rPr>
          <w:bCs/>
          <w:lang w:eastAsia="zh-CN"/>
        </w:rPr>
        <w:t>29.</w:t>
      </w:r>
      <w:r w:rsidRPr="00B56E44">
        <w:rPr>
          <w:bCs/>
          <w:lang w:eastAsia="zh-CN"/>
        </w:rPr>
        <w:tab/>
      </w:r>
      <w:r w:rsidR="00B56E44" w:rsidRPr="00B56E44">
        <w:rPr>
          <w:lang w:eastAsia="zh-CN"/>
        </w:rPr>
        <w:t xml:space="preserve">The Committee recommends </w:t>
      </w:r>
      <w:r w:rsidR="00F03227">
        <w:rPr>
          <w:lang w:eastAsia="zh-CN"/>
        </w:rPr>
        <w:t xml:space="preserve">that </w:t>
      </w:r>
      <w:r w:rsidR="00B56E44" w:rsidRPr="00B56E44">
        <w:rPr>
          <w:lang w:eastAsia="zh-CN"/>
        </w:rPr>
        <w:t>the State party ratify the Optional Protocol to the Convention. It also recommends that the State party make the declarations provided for in articles 21 and 22 of the Convention in order to recognize the competence of the Committee to receive and consider communications.</w:t>
      </w:r>
    </w:p>
    <w:p w:rsidR="00426CE8" w:rsidRPr="0091630F" w:rsidRDefault="002A5FBE" w:rsidP="002A5FBE">
      <w:pPr>
        <w:pStyle w:val="SingleTxtG"/>
      </w:pPr>
      <w:r w:rsidRPr="0091630F">
        <w:rPr>
          <w:bCs/>
        </w:rPr>
        <w:t>30.</w:t>
      </w:r>
      <w:r w:rsidRPr="0091630F">
        <w:rPr>
          <w:bCs/>
        </w:rPr>
        <w:tab/>
      </w:r>
      <w:r w:rsidR="00B56E44" w:rsidRPr="00B56E44">
        <w:t xml:space="preserve">The Committee invites the State party to ratify the core United Nations human rights treaties to which it is not yet a party, namely, the International Covenant on Economic, Social and Cultural Rights and </w:t>
      </w:r>
      <w:r w:rsidR="00F03227">
        <w:t>the</w:t>
      </w:r>
      <w:r w:rsidR="00B56E44" w:rsidRPr="00B56E44">
        <w:t xml:space="preserve"> Optional Protocol</w:t>
      </w:r>
      <w:r w:rsidR="00F03227">
        <w:t xml:space="preserve"> thereto</w:t>
      </w:r>
      <w:r w:rsidR="00B56E44" w:rsidRPr="00B56E44">
        <w:t>, the Optional Protocol to the International Covenant on Civil and Political Rights and the International Convention for the Protection of All Persons from Enforced Disappearance</w:t>
      </w:r>
      <w:r w:rsidR="00426CE8" w:rsidRPr="0091630F">
        <w:t xml:space="preserve">. The Committee also invites the State party to withdraw its reservations to the Convention relating to the Status of Refugees (1951). In addition, the State party should consider becoming a party to the Convention relating to the Status of Stateless Persons </w:t>
      </w:r>
      <w:r w:rsidR="00F03227">
        <w:t>(</w:t>
      </w:r>
      <w:r w:rsidR="00426CE8" w:rsidRPr="0091630F">
        <w:t>1954</w:t>
      </w:r>
      <w:r w:rsidR="00F03227">
        <w:t>)</w:t>
      </w:r>
      <w:r w:rsidR="00426CE8" w:rsidRPr="0091630F">
        <w:t xml:space="preserve"> and the Convention on the Reduction of Statelessness </w:t>
      </w:r>
      <w:r w:rsidR="00F03227">
        <w:t>(</w:t>
      </w:r>
      <w:r w:rsidR="00426CE8" w:rsidRPr="0091630F">
        <w:t>1961</w:t>
      </w:r>
      <w:r w:rsidR="00F03227">
        <w:t>)</w:t>
      </w:r>
      <w:r w:rsidR="00426CE8" w:rsidRPr="0091630F">
        <w:t>.</w:t>
      </w:r>
    </w:p>
    <w:p w:rsidR="00B56E44" w:rsidRPr="00B56E44" w:rsidRDefault="002A5FBE" w:rsidP="002A5FBE">
      <w:pPr>
        <w:pStyle w:val="SingleTxtG"/>
        <w:rPr>
          <w:lang w:eastAsia="zh-CN"/>
        </w:rPr>
      </w:pPr>
      <w:r w:rsidRPr="00B56E44">
        <w:rPr>
          <w:bCs/>
          <w:lang w:eastAsia="zh-CN"/>
        </w:rPr>
        <w:t>31.</w:t>
      </w:r>
      <w:r w:rsidRPr="00B56E44">
        <w:rPr>
          <w:bCs/>
          <w:lang w:eastAsia="zh-CN"/>
        </w:rPr>
        <w:tab/>
      </w:r>
      <w:r w:rsidR="00B56E44" w:rsidRPr="00B56E44">
        <w:rPr>
          <w:lang w:eastAsia="zh-CN"/>
        </w:rPr>
        <w:t xml:space="preserve">The State party is requested to disseminate widely the report </w:t>
      </w:r>
      <w:r w:rsidR="00C63BBA">
        <w:rPr>
          <w:lang w:eastAsia="zh-CN"/>
        </w:rPr>
        <w:t xml:space="preserve">it </w:t>
      </w:r>
      <w:r w:rsidR="00B56E44" w:rsidRPr="00B56E44">
        <w:rPr>
          <w:lang w:eastAsia="zh-CN"/>
        </w:rPr>
        <w:t>submitted to the Committee and the Committee’s concluding observations, in appropriate languages, through official websites, the media and non-governmental organizations.</w:t>
      </w:r>
    </w:p>
    <w:p w:rsidR="00B56E44" w:rsidRPr="00B56E44" w:rsidRDefault="002A5FBE" w:rsidP="002A5FBE">
      <w:pPr>
        <w:pStyle w:val="SingleTxtG"/>
        <w:rPr>
          <w:lang w:eastAsia="zh-CN"/>
        </w:rPr>
      </w:pPr>
      <w:r w:rsidRPr="00B56E44">
        <w:rPr>
          <w:bCs/>
          <w:lang w:eastAsia="zh-CN"/>
        </w:rPr>
        <w:t>32.</w:t>
      </w:r>
      <w:r w:rsidRPr="00B56E44">
        <w:rPr>
          <w:bCs/>
          <w:lang w:eastAsia="zh-CN"/>
        </w:rPr>
        <w:tab/>
      </w:r>
      <w:r w:rsidR="00B56E44" w:rsidRPr="00B56E44">
        <w:rPr>
          <w:lang w:eastAsia="zh-CN"/>
        </w:rPr>
        <w:t xml:space="preserve">The State party is invited to submit its common core document, in accordance with the requirements of the common core document </w:t>
      </w:r>
      <w:r w:rsidR="00B56E44" w:rsidRPr="00B56E44">
        <w:t>contained</w:t>
      </w:r>
      <w:r w:rsidR="00B56E44" w:rsidRPr="00B56E44">
        <w:rPr>
          <w:lang w:eastAsia="zh-CN"/>
        </w:rPr>
        <w:t xml:space="preserve"> in the harmonized guidelines on reporting under the international human rights treaties (HRI/GEN.2/Rev.6).</w:t>
      </w:r>
    </w:p>
    <w:p w:rsidR="00B56E44" w:rsidRPr="00B56E44" w:rsidRDefault="002A5FBE" w:rsidP="002A5FBE">
      <w:pPr>
        <w:pStyle w:val="SingleTxtG"/>
      </w:pPr>
      <w:r w:rsidRPr="00B56E44">
        <w:rPr>
          <w:bCs/>
        </w:rPr>
        <w:t>33.</w:t>
      </w:r>
      <w:r w:rsidRPr="00B56E44">
        <w:rPr>
          <w:bCs/>
        </w:rPr>
        <w:tab/>
      </w:r>
      <w:r w:rsidR="00B56E44" w:rsidRPr="00B56E44">
        <w:t>The Committee requests the State party to provide, by 22 November 2014</w:t>
      </w:r>
      <w:r w:rsidR="00F03227">
        <w:t>,</w:t>
      </w:r>
      <w:r w:rsidR="00B56E44" w:rsidRPr="00B56E44">
        <w:t xml:space="preserve"> follow-up information in response to the Committee’s recommendations related to (a) ensuring or strengthening legal safeguards for persons </w:t>
      </w:r>
      <w:r w:rsidR="00F03227">
        <w:t xml:space="preserve">in </w:t>
      </w:r>
      <w:r w:rsidR="00B56E44" w:rsidRPr="00B56E44">
        <w:t>det</w:t>
      </w:r>
      <w:r w:rsidR="00F03227">
        <w:t>ention;</w:t>
      </w:r>
      <w:r w:rsidR="00B56E44" w:rsidRPr="00B56E44">
        <w:t xml:space="preserve"> (b) conducting prompt, impartial and effective investigations</w:t>
      </w:r>
      <w:r w:rsidR="00F03227">
        <w:t xml:space="preserve"> into cases of</w:t>
      </w:r>
      <w:r w:rsidR="00F03227" w:rsidRPr="00F03227">
        <w:t xml:space="preserve"> the involvement of members of law enforcement agencies in extrajudicial executions and other unlawful killings</w:t>
      </w:r>
      <w:r w:rsidR="00F03227">
        <w:t>;</w:t>
      </w:r>
      <w:r w:rsidR="00B56E44" w:rsidRPr="00B56E44">
        <w:t xml:space="preserve"> and (c) prosecuting suspects and sanctioning perpetrators of torture or ill-treatment, as contained in paragraphs</w:t>
      </w:r>
      <w:r w:rsidR="00010537">
        <w:t> </w:t>
      </w:r>
      <w:r w:rsidR="00B56E44" w:rsidRPr="00B56E44">
        <w:t>8, 9 and 18 of the present concluding observations. In addition, the Committee requests follow-up information on remedies and redress to the victims</w:t>
      </w:r>
      <w:r w:rsidR="00F03227">
        <w:t xml:space="preserve"> </w:t>
      </w:r>
      <w:r w:rsidR="00F03227" w:rsidRPr="00F03227">
        <w:t>of torture and ill-treatment</w:t>
      </w:r>
      <w:r w:rsidR="00B56E44" w:rsidRPr="00B56E44">
        <w:t>, as contained in paragraph 2</w:t>
      </w:r>
      <w:r w:rsidR="00870B98">
        <w:t>0</w:t>
      </w:r>
      <w:r w:rsidR="00B56E44" w:rsidRPr="00B56E44">
        <w:t xml:space="preserve"> of the present concluding observations.</w:t>
      </w:r>
    </w:p>
    <w:p w:rsidR="00B56E44" w:rsidRPr="00B56E44" w:rsidRDefault="002A5FBE" w:rsidP="002A5FBE">
      <w:pPr>
        <w:pStyle w:val="SingleTxtG"/>
      </w:pPr>
      <w:r w:rsidRPr="00B56E44">
        <w:rPr>
          <w:bCs/>
        </w:rPr>
        <w:t>34.</w:t>
      </w:r>
      <w:r w:rsidRPr="00B56E44">
        <w:rPr>
          <w:bCs/>
        </w:rPr>
        <w:tab/>
      </w:r>
      <w:r w:rsidR="00B56E44" w:rsidRPr="00B56E44">
        <w:t xml:space="preserve">The State party is invited to submit its next report, which will be the </w:t>
      </w:r>
      <w:r w:rsidR="00B56E44" w:rsidRPr="00B56E44">
        <w:rPr>
          <w:lang w:eastAsia="ko-KR"/>
        </w:rPr>
        <w:t>second</w:t>
      </w:r>
      <w:r w:rsidR="00B56E44" w:rsidRPr="00B56E44">
        <w:t xml:space="preserve"> periodic report, by 22 November 2017. </w:t>
      </w:r>
      <w:r w:rsidR="00FE15A2">
        <w:t>F</w:t>
      </w:r>
      <w:r w:rsidR="00B56E44" w:rsidRPr="00B56E44">
        <w:rPr>
          <w:lang/>
        </w:rPr>
        <w:t>o</w:t>
      </w:r>
      <w:r w:rsidR="00FE15A2">
        <w:rPr>
          <w:lang/>
        </w:rPr>
        <w:t>r</w:t>
      </w:r>
      <w:r w:rsidR="00B56E44" w:rsidRPr="00B56E44">
        <w:rPr>
          <w:lang/>
        </w:rPr>
        <w:t xml:space="preserve"> that purpose, the Committee invites the State party to</w:t>
      </w:r>
      <w:r w:rsidR="00FE15A2">
        <w:rPr>
          <w:lang/>
        </w:rPr>
        <w:t xml:space="preserve"> agree</w:t>
      </w:r>
      <w:r w:rsidR="00B56E44" w:rsidRPr="00B56E44">
        <w:rPr>
          <w:lang/>
        </w:rPr>
        <w:t xml:space="preserve">, by </w:t>
      </w:r>
      <w:r w:rsidR="00B56E44" w:rsidRPr="004A0279">
        <w:t>22 November 2014</w:t>
      </w:r>
      <w:r w:rsidR="00B56E44" w:rsidRPr="00F03227">
        <w:rPr>
          <w:lang w:val="en-US"/>
        </w:rPr>
        <w:t>,</w:t>
      </w:r>
      <w:r w:rsidR="00B56E44" w:rsidRPr="00B56E44">
        <w:rPr>
          <w:lang/>
        </w:rPr>
        <w:t xml:space="preserve"> to report under its optional reporting procedure, </w:t>
      </w:r>
      <w:r w:rsidR="00F03227">
        <w:rPr>
          <w:lang/>
        </w:rPr>
        <w:t xml:space="preserve">which </w:t>
      </w:r>
      <w:r w:rsidR="00F566BA">
        <w:rPr>
          <w:lang/>
        </w:rPr>
        <w:t>entails</w:t>
      </w:r>
      <w:r w:rsidR="00B56E44" w:rsidRPr="00B56E44">
        <w:rPr>
          <w:lang/>
        </w:rPr>
        <w:t xml:space="preserve"> the transmittal, by the Committee to the State party, of a list of issues prior to the submission of the report. The State party</w:t>
      </w:r>
      <w:r w:rsidR="00D51064">
        <w:rPr>
          <w:lang/>
        </w:rPr>
        <w:t>’</w:t>
      </w:r>
      <w:r w:rsidR="00B56E44" w:rsidRPr="00B56E44">
        <w:rPr>
          <w:lang/>
        </w:rPr>
        <w:t>s response to this list of issues will constitute, under article 19 of the Convention, its next periodic report.</w:t>
      </w:r>
    </w:p>
    <w:p w:rsidR="00DA45F6" w:rsidRDefault="00655ECC" w:rsidP="00655ECC">
      <w:pPr>
        <w:pStyle w:val="SingleTxtG"/>
        <w:spacing w:before="240" w:after="0"/>
        <w:jc w:val="center"/>
        <w:rPr>
          <w:u w:val="single"/>
        </w:rPr>
      </w:pPr>
      <w:r>
        <w:rPr>
          <w:u w:val="single"/>
        </w:rPr>
        <w:tab/>
      </w:r>
      <w:r>
        <w:rPr>
          <w:u w:val="single"/>
        </w:rPr>
        <w:tab/>
      </w:r>
      <w:r>
        <w:rPr>
          <w:u w:val="single"/>
        </w:rPr>
        <w:tab/>
      </w:r>
    </w:p>
    <w:sectPr w:rsidR="00DA45F6" w:rsidSect="00956D9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1560"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1E9" w:rsidRDefault="00CF61E9"/>
  </w:endnote>
  <w:endnote w:type="continuationSeparator" w:id="0">
    <w:p w:rsidR="00CF61E9" w:rsidRDefault="00CF61E9"/>
  </w:endnote>
  <w:endnote w:type="continuationNotice" w:id="1">
    <w:p w:rsidR="00CF61E9" w:rsidRDefault="00CF61E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E9" w:rsidRPr="00FD615B" w:rsidRDefault="00CF61E9" w:rsidP="00956D9A">
    <w:pPr>
      <w:pStyle w:val="Footer"/>
      <w:tabs>
        <w:tab w:val="right" w:pos="9638"/>
      </w:tabs>
    </w:pPr>
    <w:r w:rsidRPr="00FD615B">
      <w:rPr>
        <w:b/>
        <w:sz w:val="18"/>
      </w:rPr>
      <w:fldChar w:fldCharType="begin"/>
    </w:r>
    <w:r w:rsidRPr="00FD615B">
      <w:rPr>
        <w:b/>
        <w:sz w:val="18"/>
      </w:rPr>
      <w:instrText xml:space="preserve"> </w:instrText>
    </w:r>
    <w:r>
      <w:rPr>
        <w:b/>
        <w:sz w:val="18"/>
      </w:rPr>
      <w:instrText>PAGE</w:instrText>
    </w:r>
    <w:r w:rsidRPr="00FD615B">
      <w:rPr>
        <w:b/>
        <w:sz w:val="18"/>
      </w:rPr>
      <w:instrText xml:space="preserve">  \* MERGEFORMAT </w:instrText>
    </w:r>
    <w:r w:rsidRPr="00FD615B">
      <w:rPr>
        <w:b/>
        <w:sz w:val="18"/>
      </w:rPr>
      <w:fldChar w:fldCharType="separate"/>
    </w:r>
    <w:r>
      <w:rPr>
        <w:b/>
        <w:noProof/>
        <w:sz w:val="18"/>
      </w:rPr>
      <w:t>10</w:t>
    </w:r>
    <w:r w:rsidRPr="00FD615B">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E9" w:rsidRPr="00FD615B" w:rsidRDefault="00CF61E9" w:rsidP="00956D9A">
    <w:pPr>
      <w:pStyle w:val="Footer"/>
      <w:tabs>
        <w:tab w:val="right" w:pos="9638"/>
      </w:tabs>
      <w:rPr>
        <w:b/>
        <w:sz w:val="18"/>
      </w:rPr>
    </w:pPr>
    <w:r>
      <w:tab/>
    </w:r>
    <w:r w:rsidRPr="00FD615B">
      <w:rPr>
        <w:b/>
        <w:sz w:val="18"/>
      </w:rPr>
      <w:fldChar w:fldCharType="begin"/>
    </w:r>
    <w:r w:rsidRPr="00FD615B">
      <w:rPr>
        <w:b/>
        <w:sz w:val="18"/>
      </w:rPr>
      <w:instrText xml:space="preserve"> </w:instrText>
    </w:r>
    <w:r>
      <w:rPr>
        <w:b/>
        <w:sz w:val="18"/>
      </w:rPr>
      <w:instrText>PAGE</w:instrText>
    </w:r>
    <w:r w:rsidRPr="00FD615B">
      <w:rPr>
        <w:b/>
        <w:sz w:val="18"/>
      </w:rPr>
      <w:instrText xml:space="preserve">  \* MERGEFORMAT </w:instrText>
    </w:r>
    <w:r w:rsidRPr="00FD615B">
      <w:rPr>
        <w:b/>
        <w:sz w:val="18"/>
      </w:rPr>
      <w:fldChar w:fldCharType="separate"/>
    </w:r>
    <w:r>
      <w:rPr>
        <w:b/>
        <w:noProof/>
        <w:sz w:val="18"/>
      </w:rPr>
      <w:t>7</w:t>
    </w:r>
    <w:r w:rsidRPr="00FD615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E9" w:rsidRPr="00FD615B" w:rsidRDefault="00CF61E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7.3pt;margin-top:646.25pt;width:73.25pt;height:18.15pt;z-index:1;mso-position-horizontal-relative:margin;mso-position-vertical-relative:margin">
          <v:imagedata r:id="rId1" o:title="recycle_English"/>
          <w10:wrap anchorx="margin" anchory="margin"/>
        </v:shape>
      </w:pict>
    </w:r>
    <w:r>
      <w:t>GE.13-49519</w:t>
    </w:r>
    <w:r>
      <w:br/>
    </w:r>
    <w:r w:rsidRPr="00CF61E9">
      <w:rPr>
        <w:rFonts w:ascii="C39T30Lfz" w:hAnsi="C39T30Lfz"/>
        <w:sz w:val="56"/>
      </w:rPr>
      <w:t></w:t>
    </w:r>
    <w:r w:rsidRPr="00CF61E9">
      <w:rPr>
        <w:rFonts w:ascii="C39T30Lfz" w:hAnsi="C39T30Lfz"/>
        <w:sz w:val="56"/>
      </w:rPr>
      <w:t></w:t>
    </w:r>
    <w:r w:rsidRPr="00CF61E9">
      <w:rPr>
        <w:rFonts w:ascii="C39T30Lfz" w:hAnsi="C39T30Lfz"/>
        <w:sz w:val="56"/>
      </w:rPr>
      <w:t></w:t>
    </w:r>
    <w:r w:rsidRPr="00CF61E9">
      <w:rPr>
        <w:rFonts w:ascii="C39T30Lfz" w:hAnsi="C39T30Lfz"/>
        <w:sz w:val="56"/>
      </w:rPr>
      <w:t></w:t>
    </w:r>
    <w:r w:rsidRPr="00CF61E9">
      <w:rPr>
        <w:rFonts w:ascii="C39T30Lfz" w:hAnsi="C39T30Lfz"/>
        <w:sz w:val="56"/>
      </w:rPr>
      <w:t></w:t>
    </w:r>
    <w:r w:rsidRPr="00CF61E9">
      <w:rPr>
        <w:rFonts w:ascii="C39T30Lfz" w:hAnsi="C39T30Lfz"/>
        <w:sz w:val="56"/>
      </w:rPr>
      <w:t></w:t>
    </w:r>
    <w:r w:rsidRPr="00CF61E9">
      <w:rPr>
        <w:rFonts w:ascii="C39T30Lfz" w:hAnsi="C39T30Lfz"/>
        <w:sz w:val="56"/>
      </w:rPr>
      <w:t></w:t>
    </w:r>
    <w:r w:rsidRPr="00CF61E9">
      <w:rPr>
        <w:rFonts w:ascii="C39T30Lfz" w:hAnsi="C39T30Lfz"/>
        <w:sz w:val="56"/>
      </w:rPr>
      <w:t></w:t>
    </w:r>
    <w:r w:rsidRPr="00CF61E9">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1E9" w:rsidRPr="000B175B" w:rsidRDefault="00CF61E9" w:rsidP="00956D9A">
      <w:pPr>
        <w:tabs>
          <w:tab w:val="right" w:pos="2155"/>
        </w:tabs>
        <w:spacing w:after="80"/>
        <w:ind w:left="680"/>
        <w:rPr>
          <w:u w:val="single"/>
        </w:rPr>
      </w:pPr>
      <w:r>
        <w:rPr>
          <w:u w:val="single"/>
        </w:rPr>
        <w:tab/>
      </w:r>
    </w:p>
  </w:footnote>
  <w:footnote w:type="continuationSeparator" w:id="0">
    <w:p w:rsidR="00CF61E9" w:rsidRPr="00FC68B7" w:rsidRDefault="00CF61E9" w:rsidP="00956D9A">
      <w:pPr>
        <w:tabs>
          <w:tab w:val="left" w:pos="2155"/>
        </w:tabs>
        <w:spacing w:after="80"/>
        <w:ind w:left="680"/>
        <w:rPr>
          <w:u w:val="single"/>
        </w:rPr>
      </w:pPr>
      <w:r>
        <w:rPr>
          <w:u w:val="single"/>
        </w:rPr>
        <w:tab/>
      </w:r>
    </w:p>
  </w:footnote>
  <w:footnote w:type="continuationNotice" w:id="1">
    <w:p w:rsidR="00CF61E9" w:rsidRDefault="00CF61E9"/>
  </w:footnote>
  <w:footnote w:id="2">
    <w:p w:rsidR="00CF61E9" w:rsidRPr="007A6456" w:rsidRDefault="00CF61E9" w:rsidP="004A0279">
      <w:pPr>
        <w:pStyle w:val="FootnoteText"/>
      </w:pPr>
      <w:r>
        <w:rPr>
          <w:rStyle w:val="FootnoteReference"/>
        </w:rPr>
        <w:tab/>
      </w:r>
      <w:r w:rsidRPr="007A6456">
        <w:rPr>
          <w:rStyle w:val="FootnoteReference"/>
          <w:sz w:val="20"/>
          <w:vertAlign w:val="baseline"/>
        </w:rPr>
        <w:t>*</w:t>
      </w:r>
      <w:r>
        <w:rPr>
          <w:rStyle w:val="FootnoteReference"/>
          <w:sz w:val="20"/>
          <w:vertAlign w:val="baseline"/>
        </w:rPr>
        <w:tab/>
      </w:r>
      <w:r>
        <w:t>Adopted by the Committee at its fifty-first session (28 October–22 November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E9" w:rsidRPr="004F10E5" w:rsidRDefault="00CF61E9" w:rsidP="00956D9A">
    <w:pPr>
      <w:pStyle w:val="Header"/>
      <w:rPr>
        <w:lang w:val="fr-CH"/>
      </w:rPr>
    </w:pPr>
    <w:r w:rsidRPr="004F10E5">
      <w:rPr>
        <w:lang w:val="fr-CH"/>
      </w:rPr>
      <w:t>CAT/C/</w:t>
    </w:r>
    <w:r>
      <w:rPr>
        <w:lang w:val="fr-CH"/>
      </w:rPr>
      <w:t>MOZ</w:t>
    </w:r>
    <w:r w:rsidRPr="004F10E5">
      <w:rPr>
        <w:lang w:val="fr-CH"/>
      </w:rPr>
      <w:t>/CO/</w:t>
    </w:r>
    <w:r>
      <w:rPr>
        <w:lang w:val="fr-CH"/>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E9" w:rsidRPr="004F10E5" w:rsidRDefault="00CF61E9" w:rsidP="00956D9A">
    <w:pPr>
      <w:pStyle w:val="Header"/>
      <w:jc w:val="right"/>
      <w:rPr>
        <w:lang w:val="fr-CH"/>
      </w:rPr>
    </w:pPr>
    <w:r w:rsidRPr="004F10E5">
      <w:rPr>
        <w:lang w:val="fr-CH"/>
      </w:rPr>
      <w:t>CAT/C/</w:t>
    </w:r>
    <w:r>
      <w:rPr>
        <w:lang w:val="fr-CH"/>
      </w:rPr>
      <w:t>MOZ</w:t>
    </w:r>
    <w:r w:rsidRPr="004F10E5">
      <w:rPr>
        <w:lang w:val="fr-CH"/>
      </w:rPr>
      <w:t>/CO/</w:t>
    </w:r>
    <w:r>
      <w:rPr>
        <w:lang w:val="fr-CH"/>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D3"/>
    <w:multiLevelType w:val="hybridMultilevel"/>
    <w:tmpl w:val="D6A65194"/>
    <w:lvl w:ilvl="0" w:tplc="17FC6730">
      <w:start w:val="1"/>
      <w:numFmt w:val="decimal"/>
      <w:lvlText w:val="%1."/>
      <w:lvlJc w:val="left"/>
      <w:pPr>
        <w:tabs>
          <w:tab w:val="num" w:pos="2988"/>
        </w:tabs>
        <w:ind w:left="2988" w:hanging="36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4C49B3"/>
    <w:multiLevelType w:val="hybridMultilevel"/>
    <w:tmpl w:val="67CC879E"/>
    <w:lvl w:ilvl="0" w:tplc="5810E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80273FB"/>
    <w:multiLevelType w:val="hybridMultilevel"/>
    <w:tmpl w:val="2B965E64"/>
    <w:lvl w:ilvl="0" w:tplc="FC0A9088">
      <w:start w:val="1"/>
      <w:numFmt w:val="lowerLetter"/>
      <w:lvlText w:val="%1)"/>
      <w:lvlJc w:val="left"/>
      <w:pPr>
        <w:tabs>
          <w:tab w:val="num" w:pos="1494"/>
        </w:tabs>
        <w:ind w:left="1494" w:hanging="360"/>
      </w:pPr>
      <w:rPr>
        <w:rFonts w:hint="default"/>
      </w:rPr>
    </w:lvl>
    <w:lvl w:ilvl="1" w:tplc="04050019" w:tentative="1">
      <w:start w:val="1"/>
      <w:numFmt w:val="lowerLetter"/>
      <w:lvlText w:val="%2."/>
      <w:lvlJc w:val="left"/>
      <w:pPr>
        <w:tabs>
          <w:tab w:val="num" w:pos="2214"/>
        </w:tabs>
        <w:ind w:left="2214" w:hanging="360"/>
      </w:pPr>
    </w:lvl>
    <w:lvl w:ilvl="2" w:tplc="0405001B" w:tentative="1">
      <w:start w:val="1"/>
      <w:numFmt w:val="lowerRoman"/>
      <w:lvlText w:val="%3."/>
      <w:lvlJc w:val="right"/>
      <w:pPr>
        <w:tabs>
          <w:tab w:val="num" w:pos="2934"/>
        </w:tabs>
        <w:ind w:left="2934" w:hanging="180"/>
      </w:pPr>
    </w:lvl>
    <w:lvl w:ilvl="3" w:tplc="0405000F" w:tentative="1">
      <w:start w:val="1"/>
      <w:numFmt w:val="decimal"/>
      <w:lvlText w:val="%4."/>
      <w:lvlJc w:val="left"/>
      <w:pPr>
        <w:tabs>
          <w:tab w:val="num" w:pos="3654"/>
        </w:tabs>
        <w:ind w:left="3654" w:hanging="360"/>
      </w:pPr>
    </w:lvl>
    <w:lvl w:ilvl="4" w:tplc="04050019" w:tentative="1">
      <w:start w:val="1"/>
      <w:numFmt w:val="lowerLetter"/>
      <w:lvlText w:val="%5."/>
      <w:lvlJc w:val="left"/>
      <w:pPr>
        <w:tabs>
          <w:tab w:val="num" w:pos="4374"/>
        </w:tabs>
        <w:ind w:left="4374" w:hanging="360"/>
      </w:pPr>
    </w:lvl>
    <w:lvl w:ilvl="5" w:tplc="0405001B" w:tentative="1">
      <w:start w:val="1"/>
      <w:numFmt w:val="lowerRoman"/>
      <w:lvlText w:val="%6."/>
      <w:lvlJc w:val="right"/>
      <w:pPr>
        <w:tabs>
          <w:tab w:val="num" w:pos="5094"/>
        </w:tabs>
        <w:ind w:left="5094" w:hanging="180"/>
      </w:pPr>
    </w:lvl>
    <w:lvl w:ilvl="6" w:tplc="0405000F" w:tentative="1">
      <w:start w:val="1"/>
      <w:numFmt w:val="decimal"/>
      <w:lvlText w:val="%7."/>
      <w:lvlJc w:val="left"/>
      <w:pPr>
        <w:tabs>
          <w:tab w:val="num" w:pos="5814"/>
        </w:tabs>
        <w:ind w:left="5814" w:hanging="360"/>
      </w:pPr>
    </w:lvl>
    <w:lvl w:ilvl="7" w:tplc="04050019" w:tentative="1">
      <w:start w:val="1"/>
      <w:numFmt w:val="lowerLetter"/>
      <w:lvlText w:val="%8."/>
      <w:lvlJc w:val="left"/>
      <w:pPr>
        <w:tabs>
          <w:tab w:val="num" w:pos="6534"/>
        </w:tabs>
        <w:ind w:left="6534" w:hanging="360"/>
      </w:pPr>
    </w:lvl>
    <w:lvl w:ilvl="8" w:tplc="0405001B" w:tentative="1">
      <w:start w:val="1"/>
      <w:numFmt w:val="lowerRoman"/>
      <w:lvlText w:val="%9."/>
      <w:lvlJc w:val="right"/>
      <w:pPr>
        <w:tabs>
          <w:tab w:val="num" w:pos="7254"/>
        </w:tabs>
        <w:ind w:left="7254" w:hanging="180"/>
      </w:pPr>
    </w:lvl>
  </w:abstractNum>
  <w:abstractNum w:abstractNumId="4">
    <w:nsid w:val="08DE707E"/>
    <w:multiLevelType w:val="hybridMultilevel"/>
    <w:tmpl w:val="2AFA0988"/>
    <w:lvl w:ilvl="0" w:tplc="BAF00048">
      <w:start w:val="1"/>
      <w:numFmt w:val="lowerLetter"/>
      <w:lvlText w:val="(%1)"/>
      <w:lvlJc w:val="left"/>
      <w:pPr>
        <w:ind w:left="1734" w:hanging="60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0B074772"/>
    <w:multiLevelType w:val="hybridMultilevel"/>
    <w:tmpl w:val="BC28EFD2"/>
    <w:lvl w:ilvl="0" w:tplc="D868C4A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0F3050AA"/>
    <w:multiLevelType w:val="hybridMultilevel"/>
    <w:tmpl w:val="44A24880"/>
    <w:lvl w:ilvl="0" w:tplc="FC9EECB4">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150F0D14"/>
    <w:multiLevelType w:val="hybridMultilevel"/>
    <w:tmpl w:val="6338C28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03053A"/>
    <w:multiLevelType w:val="hybridMultilevel"/>
    <w:tmpl w:val="C4A2092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57D6465"/>
    <w:multiLevelType w:val="hybridMultilevel"/>
    <w:tmpl w:val="209C6360"/>
    <w:lvl w:ilvl="0" w:tplc="921826D4">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2A4849B6"/>
    <w:multiLevelType w:val="hybridMultilevel"/>
    <w:tmpl w:val="70F02DF6"/>
    <w:lvl w:ilvl="0" w:tplc="E384F03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BA9346F"/>
    <w:multiLevelType w:val="hybridMultilevel"/>
    <w:tmpl w:val="3F9A87EE"/>
    <w:lvl w:ilvl="0" w:tplc="E70EB2DC">
      <w:start w:val="1"/>
      <w:numFmt w:val="lowerLetter"/>
      <w:lvlText w:val="%1)"/>
      <w:lvlJc w:val="left"/>
      <w:pPr>
        <w:tabs>
          <w:tab w:val="num" w:pos="720"/>
        </w:tabs>
        <w:ind w:left="720" w:hanging="360"/>
      </w:pPr>
      <w:rPr>
        <w:rFonts w:ascii="Times New (W1)" w:hAnsi="Times New (W1)" w:cs="Times New (W1)"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E147F6E"/>
    <w:multiLevelType w:val="hybridMultilevel"/>
    <w:tmpl w:val="3230AE3E"/>
    <w:lvl w:ilvl="0" w:tplc="B00E8D32">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nsid w:val="38B071A3"/>
    <w:multiLevelType w:val="hybridMultilevel"/>
    <w:tmpl w:val="A8704B10"/>
    <w:lvl w:ilvl="0" w:tplc="2E90D754">
      <w:start w:val="1"/>
      <w:numFmt w:val="lowerLetter"/>
      <w:lvlText w:val="(%1)"/>
      <w:lvlJc w:val="left"/>
      <w:pPr>
        <w:ind w:left="1500" w:hanging="360"/>
      </w:pPr>
      <w:rPr>
        <w:rFonts w:hint="default"/>
        <w:b/>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nsid w:val="3C3041F8"/>
    <w:multiLevelType w:val="hybridMultilevel"/>
    <w:tmpl w:val="8E4C6B8C"/>
    <w:lvl w:ilvl="0" w:tplc="F90A9CB0">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5">
    <w:nsid w:val="3CE857BF"/>
    <w:multiLevelType w:val="hybridMultilevel"/>
    <w:tmpl w:val="CA5CA03E"/>
    <w:lvl w:ilvl="0" w:tplc="4FC0F68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3FAB3244"/>
    <w:multiLevelType w:val="hybridMultilevel"/>
    <w:tmpl w:val="FBDA615C"/>
    <w:lvl w:ilvl="0" w:tplc="CF0ED8EE">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7">
    <w:nsid w:val="42A159F0"/>
    <w:multiLevelType w:val="hybridMultilevel"/>
    <w:tmpl w:val="9474D0DE"/>
    <w:lvl w:ilvl="0" w:tplc="6602BE72">
      <w:start w:val="1"/>
      <w:numFmt w:val="lowerLetter"/>
      <w:lvlText w:val="%1)"/>
      <w:lvlJc w:val="left"/>
      <w:pPr>
        <w:tabs>
          <w:tab w:val="num" w:pos="1494"/>
        </w:tabs>
        <w:ind w:left="1494" w:hanging="360"/>
      </w:pPr>
      <w:rPr>
        <w:rFonts w:hint="default"/>
      </w:rPr>
    </w:lvl>
    <w:lvl w:ilvl="1" w:tplc="04050019" w:tentative="1">
      <w:start w:val="1"/>
      <w:numFmt w:val="lowerLetter"/>
      <w:lvlText w:val="%2."/>
      <w:lvlJc w:val="left"/>
      <w:pPr>
        <w:tabs>
          <w:tab w:val="num" w:pos="2214"/>
        </w:tabs>
        <w:ind w:left="2214" w:hanging="360"/>
      </w:pPr>
    </w:lvl>
    <w:lvl w:ilvl="2" w:tplc="0405001B" w:tentative="1">
      <w:start w:val="1"/>
      <w:numFmt w:val="lowerRoman"/>
      <w:lvlText w:val="%3."/>
      <w:lvlJc w:val="right"/>
      <w:pPr>
        <w:tabs>
          <w:tab w:val="num" w:pos="2934"/>
        </w:tabs>
        <w:ind w:left="2934" w:hanging="180"/>
      </w:pPr>
    </w:lvl>
    <w:lvl w:ilvl="3" w:tplc="0405000F" w:tentative="1">
      <w:start w:val="1"/>
      <w:numFmt w:val="decimal"/>
      <w:lvlText w:val="%4."/>
      <w:lvlJc w:val="left"/>
      <w:pPr>
        <w:tabs>
          <w:tab w:val="num" w:pos="3654"/>
        </w:tabs>
        <w:ind w:left="3654" w:hanging="360"/>
      </w:pPr>
    </w:lvl>
    <w:lvl w:ilvl="4" w:tplc="04050019" w:tentative="1">
      <w:start w:val="1"/>
      <w:numFmt w:val="lowerLetter"/>
      <w:lvlText w:val="%5."/>
      <w:lvlJc w:val="left"/>
      <w:pPr>
        <w:tabs>
          <w:tab w:val="num" w:pos="4374"/>
        </w:tabs>
        <w:ind w:left="4374" w:hanging="360"/>
      </w:pPr>
    </w:lvl>
    <w:lvl w:ilvl="5" w:tplc="0405001B" w:tentative="1">
      <w:start w:val="1"/>
      <w:numFmt w:val="lowerRoman"/>
      <w:lvlText w:val="%6."/>
      <w:lvlJc w:val="right"/>
      <w:pPr>
        <w:tabs>
          <w:tab w:val="num" w:pos="5094"/>
        </w:tabs>
        <w:ind w:left="5094" w:hanging="180"/>
      </w:pPr>
    </w:lvl>
    <w:lvl w:ilvl="6" w:tplc="0405000F" w:tentative="1">
      <w:start w:val="1"/>
      <w:numFmt w:val="decimal"/>
      <w:lvlText w:val="%7."/>
      <w:lvlJc w:val="left"/>
      <w:pPr>
        <w:tabs>
          <w:tab w:val="num" w:pos="5814"/>
        </w:tabs>
        <w:ind w:left="5814" w:hanging="360"/>
      </w:pPr>
    </w:lvl>
    <w:lvl w:ilvl="7" w:tplc="04050019" w:tentative="1">
      <w:start w:val="1"/>
      <w:numFmt w:val="lowerLetter"/>
      <w:lvlText w:val="%8."/>
      <w:lvlJc w:val="left"/>
      <w:pPr>
        <w:tabs>
          <w:tab w:val="num" w:pos="6534"/>
        </w:tabs>
        <w:ind w:left="6534" w:hanging="360"/>
      </w:pPr>
    </w:lvl>
    <w:lvl w:ilvl="8" w:tplc="0405001B" w:tentative="1">
      <w:start w:val="1"/>
      <w:numFmt w:val="lowerRoman"/>
      <w:lvlText w:val="%9."/>
      <w:lvlJc w:val="right"/>
      <w:pPr>
        <w:tabs>
          <w:tab w:val="num" w:pos="7254"/>
        </w:tabs>
        <w:ind w:left="7254" w:hanging="180"/>
      </w:pPr>
    </w:lvl>
  </w:abstractNum>
  <w:abstractNum w:abstractNumId="18">
    <w:nsid w:val="466E3EF8"/>
    <w:multiLevelType w:val="hybridMultilevel"/>
    <w:tmpl w:val="E62E3330"/>
    <w:lvl w:ilvl="0" w:tplc="B5C498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572E4396"/>
    <w:multiLevelType w:val="hybridMultilevel"/>
    <w:tmpl w:val="4DD2E956"/>
    <w:lvl w:ilvl="0" w:tplc="8D568060">
      <w:start w:val="1"/>
      <w:numFmt w:val="lowerLetter"/>
      <w:lvlText w:val="(%1)"/>
      <w:lvlJc w:val="left"/>
      <w:pPr>
        <w:ind w:left="1734" w:hanging="60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5A4D14C7"/>
    <w:multiLevelType w:val="hybridMultilevel"/>
    <w:tmpl w:val="6C161182"/>
    <w:lvl w:ilvl="0" w:tplc="2C901F62">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nsid w:val="5DCB03E3"/>
    <w:multiLevelType w:val="hybridMultilevel"/>
    <w:tmpl w:val="42E488EA"/>
    <w:lvl w:ilvl="0" w:tplc="D686681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5DDF0B55"/>
    <w:multiLevelType w:val="hybridMultilevel"/>
    <w:tmpl w:val="7D4A25A4"/>
    <w:lvl w:ilvl="0" w:tplc="8E327A90">
      <w:start w:val="1"/>
      <w:numFmt w:val="lowerLetter"/>
      <w:lvlText w:val="%1)"/>
      <w:lvlJc w:val="left"/>
      <w:pPr>
        <w:tabs>
          <w:tab w:val="num" w:pos="1494"/>
        </w:tabs>
        <w:ind w:left="1494" w:hanging="360"/>
      </w:pPr>
      <w:rPr>
        <w:rFonts w:hint="default"/>
      </w:rPr>
    </w:lvl>
    <w:lvl w:ilvl="1" w:tplc="04050019" w:tentative="1">
      <w:start w:val="1"/>
      <w:numFmt w:val="lowerLetter"/>
      <w:lvlText w:val="%2."/>
      <w:lvlJc w:val="left"/>
      <w:pPr>
        <w:tabs>
          <w:tab w:val="num" w:pos="2214"/>
        </w:tabs>
        <w:ind w:left="2214" w:hanging="360"/>
      </w:pPr>
    </w:lvl>
    <w:lvl w:ilvl="2" w:tplc="0405001B" w:tentative="1">
      <w:start w:val="1"/>
      <w:numFmt w:val="lowerRoman"/>
      <w:lvlText w:val="%3."/>
      <w:lvlJc w:val="right"/>
      <w:pPr>
        <w:tabs>
          <w:tab w:val="num" w:pos="2934"/>
        </w:tabs>
        <w:ind w:left="2934" w:hanging="180"/>
      </w:pPr>
    </w:lvl>
    <w:lvl w:ilvl="3" w:tplc="0405000F" w:tentative="1">
      <w:start w:val="1"/>
      <w:numFmt w:val="decimal"/>
      <w:lvlText w:val="%4."/>
      <w:lvlJc w:val="left"/>
      <w:pPr>
        <w:tabs>
          <w:tab w:val="num" w:pos="3654"/>
        </w:tabs>
        <w:ind w:left="3654" w:hanging="360"/>
      </w:pPr>
    </w:lvl>
    <w:lvl w:ilvl="4" w:tplc="04050019" w:tentative="1">
      <w:start w:val="1"/>
      <w:numFmt w:val="lowerLetter"/>
      <w:lvlText w:val="%5."/>
      <w:lvlJc w:val="left"/>
      <w:pPr>
        <w:tabs>
          <w:tab w:val="num" w:pos="4374"/>
        </w:tabs>
        <w:ind w:left="4374" w:hanging="360"/>
      </w:pPr>
    </w:lvl>
    <w:lvl w:ilvl="5" w:tplc="0405001B" w:tentative="1">
      <w:start w:val="1"/>
      <w:numFmt w:val="lowerRoman"/>
      <w:lvlText w:val="%6."/>
      <w:lvlJc w:val="right"/>
      <w:pPr>
        <w:tabs>
          <w:tab w:val="num" w:pos="5094"/>
        </w:tabs>
        <w:ind w:left="5094" w:hanging="180"/>
      </w:pPr>
    </w:lvl>
    <w:lvl w:ilvl="6" w:tplc="0405000F" w:tentative="1">
      <w:start w:val="1"/>
      <w:numFmt w:val="decimal"/>
      <w:lvlText w:val="%7."/>
      <w:lvlJc w:val="left"/>
      <w:pPr>
        <w:tabs>
          <w:tab w:val="num" w:pos="5814"/>
        </w:tabs>
        <w:ind w:left="5814" w:hanging="360"/>
      </w:pPr>
    </w:lvl>
    <w:lvl w:ilvl="7" w:tplc="04050019" w:tentative="1">
      <w:start w:val="1"/>
      <w:numFmt w:val="lowerLetter"/>
      <w:lvlText w:val="%8."/>
      <w:lvlJc w:val="left"/>
      <w:pPr>
        <w:tabs>
          <w:tab w:val="num" w:pos="6534"/>
        </w:tabs>
        <w:ind w:left="6534" w:hanging="360"/>
      </w:pPr>
    </w:lvl>
    <w:lvl w:ilvl="8" w:tplc="0405001B" w:tentative="1">
      <w:start w:val="1"/>
      <w:numFmt w:val="lowerRoman"/>
      <w:lvlText w:val="%9."/>
      <w:lvlJc w:val="right"/>
      <w:pPr>
        <w:tabs>
          <w:tab w:val="num" w:pos="7254"/>
        </w:tabs>
        <w:ind w:left="7254" w:hanging="180"/>
      </w:pPr>
    </w:lvl>
  </w:abstractNum>
  <w:abstractNum w:abstractNumId="23">
    <w:nsid w:val="5F922865"/>
    <w:multiLevelType w:val="hybridMultilevel"/>
    <w:tmpl w:val="3D4268EC"/>
    <w:lvl w:ilvl="0" w:tplc="19924DC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60795EC9"/>
    <w:multiLevelType w:val="hybridMultilevel"/>
    <w:tmpl w:val="7A8606A2"/>
    <w:lvl w:ilvl="0" w:tplc="8AA212D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
    <w:nsid w:val="62BC01DA"/>
    <w:multiLevelType w:val="hybridMultilevel"/>
    <w:tmpl w:val="15500878"/>
    <w:lvl w:ilvl="0" w:tplc="E2046F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CDF6D4C"/>
    <w:multiLevelType w:val="hybridMultilevel"/>
    <w:tmpl w:val="204C64BE"/>
    <w:lvl w:ilvl="0" w:tplc="CF1CF094">
      <w:start w:val="1"/>
      <w:numFmt w:val="lowerLetter"/>
      <w:lvlText w:val="%1)"/>
      <w:lvlJc w:val="left"/>
      <w:pPr>
        <w:tabs>
          <w:tab w:val="num" w:pos="2511"/>
        </w:tabs>
        <w:ind w:left="2511" w:hanging="810"/>
      </w:pPr>
      <w:rPr>
        <w:rFonts w:hint="default"/>
      </w:rPr>
    </w:lvl>
    <w:lvl w:ilvl="1" w:tplc="04050019" w:tentative="1">
      <w:start w:val="1"/>
      <w:numFmt w:val="lowerLetter"/>
      <w:lvlText w:val="%2."/>
      <w:lvlJc w:val="left"/>
      <w:pPr>
        <w:tabs>
          <w:tab w:val="num" w:pos="2781"/>
        </w:tabs>
        <w:ind w:left="2781" w:hanging="360"/>
      </w:pPr>
    </w:lvl>
    <w:lvl w:ilvl="2" w:tplc="0405001B" w:tentative="1">
      <w:start w:val="1"/>
      <w:numFmt w:val="lowerRoman"/>
      <w:lvlText w:val="%3."/>
      <w:lvlJc w:val="right"/>
      <w:pPr>
        <w:tabs>
          <w:tab w:val="num" w:pos="3501"/>
        </w:tabs>
        <w:ind w:left="3501" w:hanging="180"/>
      </w:pPr>
    </w:lvl>
    <w:lvl w:ilvl="3" w:tplc="0405000F" w:tentative="1">
      <w:start w:val="1"/>
      <w:numFmt w:val="decimal"/>
      <w:lvlText w:val="%4."/>
      <w:lvlJc w:val="left"/>
      <w:pPr>
        <w:tabs>
          <w:tab w:val="num" w:pos="4221"/>
        </w:tabs>
        <w:ind w:left="4221" w:hanging="360"/>
      </w:pPr>
    </w:lvl>
    <w:lvl w:ilvl="4" w:tplc="04050019" w:tentative="1">
      <w:start w:val="1"/>
      <w:numFmt w:val="lowerLetter"/>
      <w:lvlText w:val="%5."/>
      <w:lvlJc w:val="left"/>
      <w:pPr>
        <w:tabs>
          <w:tab w:val="num" w:pos="4941"/>
        </w:tabs>
        <w:ind w:left="4941" w:hanging="360"/>
      </w:pPr>
    </w:lvl>
    <w:lvl w:ilvl="5" w:tplc="0405001B" w:tentative="1">
      <w:start w:val="1"/>
      <w:numFmt w:val="lowerRoman"/>
      <w:lvlText w:val="%6."/>
      <w:lvlJc w:val="right"/>
      <w:pPr>
        <w:tabs>
          <w:tab w:val="num" w:pos="5661"/>
        </w:tabs>
        <w:ind w:left="5661" w:hanging="180"/>
      </w:pPr>
    </w:lvl>
    <w:lvl w:ilvl="6" w:tplc="0405000F" w:tentative="1">
      <w:start w:val="1"/>
      <w:numFmt w:val="decimal"/>
      <w:lvlText w:val="%7."/>
      <w:lvlJc w:val="left"/>
      <w:pPr>
        <w:tabs>
          <w:tab w:val="num" w:pos="6381"/>
        </w:tabs>
        <w:ind w:left="6381" w:hanging="360"/>
      </w:pPr>
    </w:lvl>
    <w:lvl w:ilvl="7" w:tplc="04050019" w:tentative="1">
      <w:start w:val="1"/>
      <w:numFmt w:val="lowerLetter"/>
      <w:lvlText w:val="%8."/>
      <w:lvlJc w:val="left"/>
      <w:pPr>
        <w:tabs>
          <w:tab w:val="num" w:pos="7101"/>
        </w:tabs>
        <w:ind w:left="7101" w:hanging="360"/>
      </w:pPr>
    </w:lvl>
    <w:lvl w:ilvl="8" w:tplc="0405001B" w:tentative="1">
      <w:start w:val="1"/>
      <w:numFmt w:val="lowerRoman"/>
      <w:lvlText w:val="%9."/>
      <w:lvlJc w:val="right"/>
      <w:pPr>
        <w:tabs>
          <w:tab w:val="num" w:pos="7821"/>
        </w:tabs>
        <w:ind w:left="7821" w:hanging="180"/>
      </w:pPr>
    </w:lvl>
  </w:abstractNum>
  <w:abstractNum w:abstractNumId="28">
    <w:nsid w:val="6E8E0A80"/>
    <w:multiLevelType w:val="hybridMultilevel"/>
    <w:tmpl w:val="1AF690C0"/>
    <w:lvl w:ilvl="0" w:tplc="B9F22AE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71FF10E0"/>
    <w:multiLevelType w:val="hybridMultilevel"/>
    <w:tmpl w:val="787CABB0"/>
    <w:lvl w:ilvl="0" w:tplc="CF0ED8EE">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30">
    <w:nsid w:val="7A8466BE"/>
    <w:multiLevelType w:val="hybridMultilevel"/>
    <w:tmpl w:val="64407AC4"/>
    <w:lvl w:ilvl="0" w:tplc="F8A440D4">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nsid w:val="7D406129"/>
    <w:multiLevelType w:val="hybridMultilevel"/>
    <w:tmpl w:val="6DCCC574"/>
    <w:lvl w:ilvl="0" w:tplc="5654545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7E472F00"/>
    <w:multiLevelType w:val="hybridMultilevel"/>
    <w:tmpl w:val="DFF450DC"/>
    <w:lvl w:ilvl="0" w:tplc="6D64177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7F5F3DD3"/>
    <w:multiLevelType w:val="hybridMultilevel"/>
    <w:tmpl w:val="7D84B332"/>
    <w:lvl w:ilvl="0" w:tplc="4268154C">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num w:numId="1">
    <w:abstractNumId w:val="1"/>
  </w:num>
  <w:num w:numId="2">
    <w:abstractNumId w:val="26"/>
  </w:num>
  <w:num w:numId="3">
    <w:abstractNumId w:val="7"/>
  </w:num>
  <w:num w:numId="4">
    <w:abstractNumId w:val="8"/>
  </w:num>
  <w:num w:numId="5">
    <w:abstractNumId w:val="11"/>
  </w:num>
  <w:num w:numId="6">
    <w:abstractNumId w:val="24"/>
  </w:num>
  <w:num w:numId="7">
    <w:abstractNumId w:val="6"/>
  </w:num>
  <w:num w:numId="8">
    <w:abstractNumId w:val="12"/>
  </w:num>
  <w:num w:numId="9">
    <w:abstractNumId w:val="27"/>
  </w:num>
  <w:num w:numId="10">
    <w:abstractNumId w:val="3"/>
  </w:num>
  <w:num w:numId="11">
    <w:abstractNumId w:val="22"/>
  </w:num>
  <w:num w:numId="12">
    <w:abstractNumId w:val="17"/>
  </w:num>
  <w:num w:numId="13">
    <w:abstractNumId w:val="13"/>
  </w:num>
  <w:num w:numId="14">
    <w:abstractNumId w:val="30"/>
  </w:num>
  <w:num w:numId="15">
    <w:abstractNumId w:val="9"/>
  </w:num>
  <w:num w:numId="16">
    <w:abstractNumId w:val="2"/>
  </w:num>
  <w:num w:numId="17">
    <w:abstractNumId w:val="25"/>
  </w:num>
  <w:num w:numId="18">
    <w:abstractNumId w:val="15"/>
  </w:num>
  <w:num w:numId="19">
    <w:abstractNumId w:val="5"/>
  </w:num>
  <w:num w:numId="20">
    <w:abstractNumId w:val="23"/>
  </w:num>
  <w:num w:numId="21">
    <w:abstractNumId w:val="21"/>
  </w:num>
  <w:num w:numId="22">
    <w:abstractNumId w:val="10"/>
  </w:num>
  <w:num w:numId="23">
    <w:abstractNumId w:val="18"/>
  </w:num>
  <w:num w:numId="24">
    <w:abstractNumId w:val="28"/>
  </w:num>
  <w:num w:numId="25">
    <w:abstractNumId w:val="32"/>
  </w:num>
  <w:num w:numId="26">
    <w:abstractNumId w:val="31"/>
  </w:num>
  <w:num w:numId="27">
    <w:abstractNumId w:val="14"/>
  </w:num>
  <w:num w:numId="28">
    <w:abstractNumId w:val="29"/>
  </w:num>
  <w:num w:numId="29">
    <w:abstractNumId w:val="16"/>
  </w:num>
  <w:num w:numId="30">
    <w:abstractNumId w:val="33"/>
  </w:num>
  <w:num w:numId="31">
    <w:abstractNumId w:val="19"/>
  </w:num>
  <w:num w:numId="32">
    <w:abstractNumId w:val="4"/>
  </w:num>
  <w:num w:numId="33">
    <w:abstractNumId w:val="0"/>
  </w:num>
  <w:num w:numId="34">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15B"/>
    <w:rsid w:val="00010537"/>
    <w:rsid w:val="000130DA"/>
    <w:rsid w:val="0001508A"/>
    <w:rsid w:val="000172E0"/>
    <w:rsid w:val="00022EE4"/>
    <w:rsid w:val="00023662"/>
    <w:rsid w:val="00032208"/>
    <w:rsid w:val="000344FE"/>
    <w:rsid w:val="00041663"/>
    <w:rsid w:val="0004347E"/>
    <w:rsid w:val="000455CE"/>
    <w:rsid w:val="00051A66"/>
    <w:rsid w:val="000561E0"/>
    <w:rsid w:val="0006654D"/>
    <w:rsid w:val="000818A2"/>
    <w:rsid w:val="000859BC"/>
    <w:rsid w:val="0009162F"/>
    <w:rsid w:val="00093241"/>
    <w:rsid w:val="00093D03"/>
    <w:rsid w:val="000942B3"/>
    <w:rsid w:val="000A1130"/>
    <w:rsid w:val="000A1E1A"/>
    <w:rsid w:val="000A4974"/>
    <w:rsid w:val="000B1849"/>
    <w:rsid w:val="000D03BC"/>
    <w:rsid w:val="000E0277"/>
    <w:rsid w:val="000E514B"/>
    <w:rsid w:val="000E5404"/>
    <w:rsid w:val="0010116D"/>
    <w:rsid w:val="00104365"/>
    <w:rsid w:val="001051BB"/>
    <w:rsid w:val="00135B80"/>
    <w:rsid w:val="00154B45"/>
    <w:rsid w:val="00160942"/>
    <w:rsid w:val="00170909"/>
    <w:rsid w:val="0017517F"/>
    <w:rsid w:val="001848C2"/>
    <w:rsid w:val="00197765"/>
    <w:rsid w:val="001A37D1"/>
    <w:rsid w:val="001B6B23"/>
    <w:rsid w:val="001C3D0C"/>
    <w:rsid w:val="001C5EF8"/>
    <w:rsid w:val="001C7CC2"/>
    <w:rsid w:val="001D1357"/>
    <w:rsid w:val="001D1E03"/>
    <w:rsid w:val="001D3205"/>
    <w:rsid w:val="001D519E"/>
    <w:rsid w:val="001D6874"/>
    <w:rsid w:val="001D70AF"/>
    <w:rsid w:val="00201650"/>
    <w:rsid w:val="002020DC"/>
    <w:rsid w:val="0020763E"/>
    <w:rsid w:val="002131EA"/>
    <w:rsid w:val="00214D1F"/>
    <w:rsid w:val="0024533B"/>
    <w:rsid w:val="00246A92"/>
    <w:rsid w:val="00256FC3"/>
    <w:rsid w:val="00274B09"/>
    <w:rsid w:val="00276CE9"/>
    <w:rsid w:val="00277AE0"/>
    <w:rsid w:val="00281C06"/>
    <w:rsid w:val="00281EA9"/>
    <w:rsid w:val="00290BC1"/>
    <w:rsid w:val="002921DB"/>
    <w:rsid w:val="00296B30"/>
    <w:rsid w:val="002A5FBE"/>
    <w:rsid w:val="002A73CD"/>
    <w:rsid w:val="002B1E82"/>
    <w:rsid w:val="002B4089"/>
    <w:rsid w:val="002B4269"/>
    <w:rsid w:val="002B4293"/>
    <w:rsid w:val="002C00B1"/>
    <w:rsid w:val="002C0B67"/>
    <w:rsid w:val="002C1DA1"/>
    <w:rsid w:val="002C6704"/>
    <w:rsid w:val="002E2638"/>
    <w:rsid w:val="002F5683"/>
    <w:rsid w:val="003053AB"/>
    <w:rsid w:val="00312BAE"/>
    <w:rsid w:val="00314B18"/>
    <w:rsid w:val="00314B81"/>
    <w:rsid w:val="003150F6"/>
    <w:rsid w:val="00322F74"/>
    <w:rsid w:val="003252D6"/>
    <w:rsid w:val="00332038"/>
    <w:rsid w:val="00334674"/>
    <w:rsid w:val="00334C1B"/>
    <w:rsid w:val="00337F65"/>
    <w:rsid w:val="0035586F"/>
    <w:rsid w:val="00367A1B"/>
    <w:rsid w:val="00370171"/>
    <w:rsid w:val="00370AC2"/>
    <w:rsid w:val="00381C65"/>
    <w:rsid w:val="00384024"/>
    <w:rsid w:val="00394D69"/>
    <w:rsid w:val="00396224"/>
    <w:rsid w:val="003A1383"/>
    <w:rsid w:val="003A65C3"/>
    <w:rsid w:val="003B08A1"/>
    <w:rsid w:val="003C4257"/>
    <w:rsid w:val="003F76C2"/>
    <w:rsid w:val="00407F12"/>
    <w:rsid w:val="004135AB"/>
    <w:rsid w:val="00417C34"/>
    <w:rsid w:val="00426CE8"/>
    <w:rsid w:val="00427826"/>
    <w:rsid w:val="00432746"/>
    <w:rsid w:val="00451302"/>
    <w:rsid w:val="0045294B"/>
    <w:rsid w:val="004548C9"/>
    <w:rsid w:val="00467CEB"/>
    <w:rsid w:val="004708DF"/>
    <w:rsid w:val="00480860"/>
    <w:rsid w:val="004871F8"/>
    <w:rsid w:val="00494054"/>
    <w:rsid w:val="004A0279"/>
    <w:rsid w:val="004A21D2"/>
    <w:rsid w:val="004A330E"/>
    <w:rsid w:val="004A751A"/>
    <w:rsid w:val="004B2468"/>
    <w:rsid w:val="004B353A"/>
    <w:rsid w:val="004B47ED"/>
    <w:rsid w:val="004C34BA"/>
    <w:rsid w:val="004C4CC2"/>
    <w:rsid w:val="004D59E5"/>
    <w:rsid w:val="00536499"/>
    <w:rsid w:val="00544996"/>
    <w:rsid w:val="005505E3"/>
    <w:rsid w:val="00571FA5"/>
    <w:rsid w:val="00585130"/>
    <w:rsid w:val="0059231E"/>
    <w:rsid w:val="00595266"/>
    <w:rsid w:val="00595F3E"/>
    <w:rsid w:val="00597792"/>
    <w:rsid w:val="005A2F2B"/>
    <w:rsid w:val="005A3775"/>
    <w:rsid w:val="005B13F1"/>
    <w:rsid w:val="005B2261"/>
    <w:rsid w:val="005E17F7"/>
    <w:rsid w:val="005E73EB"/>
    <w:rsid w:val="005F37C1"/>
    <w:rsid w:val="00600420"/>
    <w:rsid w:val="0060303B"/>
    <w:rsid w:val="0061044A"/>
    <w:rsid w:val="00613C0E"/>
    <w:rsid w:val="00616BDA"/>
    <w:rsid w:val="00623E48"/>
    <w:rsid w:val="00626CF1"/>
    <w:rsid w:val="00630D84"/>
    <w:rsid w:val="00655ECC"/>
    <w:rsid w:val="00664F7D"/>
    <w:rsid w:val="00666E16"/>
    <w:rsid w:val="0068091B"/>
    <w:rsid w:val="00685763"/>
    <w:rsid w:val="006A43E0"/>
    <w:rsid w:val="006A5534"/>
    <w:rsid w:val="006B54B5"/>
    <w:rsid w:val="006C1C9C"/>
    <w:rsid w:val="006C6341"/>
    <w:rsid w:val="006D041A"/>
    <w:rsid w:val="006E044B"/>
    <w:rsid w:val="006E3603"/>
    <w:rsid w:val="006E5D79"/>
    <w:rsid w:val="006E5DE8"/>
    <w:rsid w:val="007137F5"/>
    <w:rsid w:val="007141F7"/>
    <w:rsid w:val="00727BA1"/>
    <w:rsid w:val="007339B3"/>
    <w:rsid w:val="00734A78"/>
    <w:rsid w:val="00737529"/>
    <w:rsid w:val="00744007"/>
    <w:rsid w:val="007478FE"/>
    <w:rsid w:val="00752581"/>
    <w:rsid w:val="00765681"/>
    <w:rsid w:val="0077153B"/>
    <w:rsid w:val="00771B41"/>
    <w:rsid w:val="007813C6"/>
    <w:rsid w:val="00787B3A"/>
    <w:rsid w:val="00790046"/>
    <w:rsid w:val="007972B6"/>
    <w:rsid w:val="007A116D"/>
    <w:rsid w:val="007A40EA"/>
    <w:rsid w:val="007A5EE7"/>
    <w:rsid w:val="007A6456"/>
    <w:rsid w:val="007B19A6"/>
    <w:rsid w:val="007C2912"/>
    <w:rsid w:val="007C2F61"/>
    <w:rsid w:val="007D3F5A"/>
    <w:rsid w:val="007D5C1D"/>
    <w:rsid w:val="007D6027"/>
    <w:rsid w:val="007E3CC2"/>
    <w:rsid w:val="0080161A"/>
    <w:rsid w:val="00805E71"/>
    <w:rsid w:val="008112DE"/>
    <w:rsid w:val="008149F6"/>
    <w:rsid w:val="00814DAE"/>
    <w:rsid w:val="0082244D"/>
    <w:rsid w:val="00831C5E"/>
    <w:rsid w:val="00835E56"/>
    <w:rsid w:val="00837D39"/>
    <w:rsid w:val="00842692"/>
    <w:rsid w:val="00843DD3"/>
    <w:rsid w:val="0084662E"/>
    <w:rsid w:val="008500F6"/>
    <w:rsid w:val="00854012"/>
    <w:rsid w:val="00854CB3"/>
    <w:rsid w:val="00861223"/>
    <w:rsid w:val="00866313"/>
    <w:rsid w:val="00870B98"/>
    <w:rsid w:val="008710FD"/>
    <w:rsid w:val="0087290C"/>
    <w:rsid w:val="00872F44"/>
    <w:rsid w:val="00874B95"/>
    <w:rsid w:val="00885179"/>
    <w:rsid w:val="008852D6"/>
    <w:rsid w:val="008D2A04"/>
    <w:rsid w:val="008D591C"/>
    <w:rsid w:val="008D7171"/>
    <w:rsid w:val="008E2429"/>
    <w:rsid w:val="008F443B"/>
    <w:rsid w:val="0091630F"/>
    <w:rsid w:val="00927DC1"/>
    <w:rsid w:val="0093503C"/>
    <w:rsid w:val="0094612B"/>
    <w:rsid w:val="009466B3"/>
    <w:rsid w:val="009470F5"/>
    <w:rsid w:val="00956D9A"/>
    <w:rsid w:val="00960604"/>
    <w:rsid w:val="00967598"/>
    <w:rsid w:val="009726BC"/>
    <w:rsid w:val="00980476"/>
    <w:rsid w:val="009831A6"/>
    <w:rsid w:val="009A6A94"/>
    <w:rsid w:val="009B7E81"/>
    <w:rsid w:val="009C2608"/>
    <w:rsid w:val="009C30DF"/>
    <w:rsid w:val="009C64C6"/>
    <w:rsid w:val="009D0641"/>
    <w:rsid w:val="009D6DF3"/>
    <w:rsid w:val="009E5561"/>
    <w:rsid w:val="009F7FF3"/>
    <w:rsid w:val="00A02099"/>
    <w:rsid w:val="00A06186"/>
    <w:rsid w:val="00A06FB0"/>
    <w:rsid w:val="00A374EC"/>
    <w:rsid w:val="00A37C58"/>
    <w:rsid w:val="00A40761"/>
    <w:rsid w:val="00A43A10"/>
    <w:rsid w:val="00A7385F"/>
    <w:rsid w:val="00A7666A"/>
    <w:rsid w:val="00A82B3F"/>
    <w:rsid w:val="00A91968"/>
    <w:rsid w:val="00A91E2E"/>
    <w:rsid w:val="00AA2551"/>
    <w:rsid w:val="00AA73CD"/>
    <w:rsid w:val="00AB30A8"/>
    <w:rsid w:val="00AC2AA8"/>
    <w:rsid w:val="00AC37A2"/>
    <w:rsid w:val="00AD242A"/>
    <w:rsid w:val="00AF1274"/>
    <w:rsid w:val="00AF279E"/>
    <w:rsid w:val="00AF2D54"/>
    <w:rsid w:val="00B006AA"/>
    <w:rsid w:val="00B0102B"/>
    <w:rsid w:val="00B042BE"/>
    <w:rsid w:val="00B07A88"/>
    <w:rsid w:val="00B25229"/>
    <w:rsid w:val="00B3191E"/>
    <w:rsid w:val="00B32794"/>
    <w:rsid w:val="00B332F5"/>
    <w:rsid w:val="00B416B7"/>
    <w:rsid w:val="00B55257"/>
    <w:rsid w:val="00B562CE"/>
    <w:rsid w:val="00B56E44"/>
    <w:rsid w:val="00B5770C"/>
    <w:rsid w:val="00B63552"/>
    <w:rsid w:val="00B704ED"/>
    <w:rsid w:val="00B72CC9"/>
    <w:rsid w:val="00B76940"/>
    <w:rsid w:val="00B80313"/>
    <w:rsid w:val="00B84E32"/>
    <w:rsid w:val="00B85588"/>
    <w:rsid w:val="00B93FC9"/>
    <w:rsid w:val="00BA4047"/>
    <w:rsid w:val="00BA5E8B"/>
    <w:rsid w:val="00BB4F77"/>
    <w:rsid w:val="00BC079F"/>
    <w:rsid w:val="00BC4B8F"/>
    <w:rsid w:val="00BC6F7C"/>
    <w:rsid w:val="00BD0E2A"/>
    <w:rsid w:val="00BD2640"/>
    <w:rsid w:val="00BE1430"/>
    <w:rsid w:val="00BE1D56"/>
    <w:rsid w:val="00BE4A47"/>
    <w:rsid w:val="00BF6656"/>
    <w:rsid w:val="00BF7214"/>
    <w:rsid w:val="00C14EBD"/>
    <w:rsid w:val="00C2655E"/>
    <w:rsid w:val="00C2656D"/>
    <w:rsid w:val="00C3093C"/>
    <w:rsid w:val="00C33834"/>
    <w:rsid w:val="00C40824"/>
    <w:rsid w:val="00C46B8A"/>
    <w:rsid w:val="00C63BBA"/>
    <w:rsid w:val="00C763D1"/>
    <w:rsid w:val="00C7744C"/>
    <w:rsid w:val="00C81E22"/>
    <w:rsid w:val="00C859F6"/>
    <w:rsid w:val="00C87ECB"/>
    <w:rsid w:val="00C96389"/>
    <w:rsid w:val="00CA47B1"/>
    <w:rsid w:val="00CB28CC"/>
    <w:rsid w:val="00CC24D6"/>
    <w:rsid w:val="00CC51F1"/>
    <w:rsid w:val="00CE4B49"/>
    <w:rsid w:val="00CF4A73"/>
    <w:rsid w:val="00CF61E9"/>
    <w:rsid w:val="00D13E7E"/>
    <w:rsid w:val="00D13F13"/>
    <w:rsid w:val="00D24B00"/>
    <w:rsid w:val="00D3108E"/>
    <w:rsid w:val="00D3561B"/>
    <w:rsid w:val="00D37D4C"/>
    <w:rsid w:val="00D51064"/>
    <w:rsid w:val="00D60921"/>
    <w:rsid w:val="00D60A74"/>
    <w:rsid w:val="00D63CDB"/>
    <w:rsid w:val="00D74698"/>
    <w:rsid w:val="00D81B90"/>
    <w:rsid w:val="00D81E83"/>
    <w:rsid w:val="00D90655"/>
    <w:rsid w:val="00D93D30"/>
    <w:rsid w:val="00DA45F6"/>
    <w:rsid w:val="00DA564A"/>
    <w:rsid w:val="00DA67A3"/>
    <w:rsid w:val="00DB576D"/>
    <w:rsid w:val="00DD100C"/>
    <w:rsid w:val="00DD1D2A"/>
    <w:rsid w:val="00DD1F2D"/>
    <w:rsid w:val="00DF4F23"/>
    <w:rsid w:val="00E060F3"/>
    <w:rsid w:val="00E072D2"/>
    <w:rsid w:val="00E133B7"/>
    <w:rsid w:val="00E13E7D"/>
    <w:rsid w:val="00E16150"/>
    <w:rsid w:val="00E214F0"/>
    <w:rsid w:val="00E30F72"/>
    <w:rsid w:val="00E33A87"/>
    <w:rsid w:val="00E361F6"/>
    <w:rsid w:val="00E60BAC"/>
    <w:rsid w:val="00E60EA4"/>
    <w:rsid w:val="00E6605A"/>
    <w:rsid w:val="00E74270"/>
    <w:rsid w:val="00E77600"/>
    <w:rsid w:val="00E92CF4"/>
    <w:rsid w:val="00E94545"/>
    <w:rsid w:val="00EA7DB1"/>
    <w:rsid w:val="00EB04F2"/>
    <w:rsid w:val="00EB3CCD"/>
    <w:rsid w:val="00EC0650"/>
    <w:rsid w:val="00EC2A8E"/>
    <w:rsid w:val="00EC31B5"/>
    <w:rsid w:val="00EE5A60"/>
    <w:rsid w:val="00EF37F1"/>
    <w:rsid w:val="00EF3992"/>
    <w:rsid w:val="00EF3A34"/>
    <w:rsid w:val="00EF6D99"/>
    <w:rsid w:val="00EF786A"/>
    <w:rsid w:val="00F01CFC"/>
    <w:rsid w:val="00F03227"/>
    <w:rsid w:val="00F0357C"/>
    <w:rsid w:val="00F03F91"/>
    <w:rsid w:val="00F0635B"/>
    <w:rsid w:val="00F0649D"/>
    <w:rsid w:val="00F07A75"/>
    <w:rsid w:val="00F17B34"/>
    <w:rsid w:val="00F20C71"/>
    <w:rsid w:val="00F21FCA"/>
    <w:rsid w:val="00F2730F"/>
    <w:rsid w:val="00F36F69"/>
    <w:rsid w:val="00F50389"/>
    <w:rsid w:val="00F5417F"/>
    <w:rsid w:val="00F566BA"/>
    <w:rsid w:val="00F57A92"/>
    <w:rsid w:val="00F57A9B"/>
    <w:rsid w:val="00F6020D"/>
    <w:rsid w:val="00F86EE5"/>
    <w:rsid w:val="00F91C9D"/>
    <w:rsid w:val="00F95295"/>
    <w:rsid w:val="00FB058A"/>
    <w:rsid w:val="00FB0901"/>
    <w:rsid w:val="00FC1A1D"/>
    <w:rsid w:val="00FD4940"/>
    <w:rsid w:val="00FD7D0A"/>
    <w:rsid w:val="00FE15A2"/>
    <w:rsid w:val="00FE40A4"/>
    <w:rsid w:val="00FE74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1"/>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PlainText">
    <w:name w:val="Plain Text"/>
    <w:basedOn w:val="Normal"/>
    <w:link w:val="PlainTextChar"/>
    <w:rsid w:val="0066626D"/>
    <w:pPr>
      <w:suppressAutoHyphens w:val="0"/>
      <w:spacing w:line="240" w:lineRule="auto"/>
    </w:pPr>
    <w:rPr>
      <w:rFonts w:ascii="Courier New" w:hAnsi="Courier New" w:cs="Courier New"/>
      <w:snapToGrid w:val="0"/>
      <w:sz w:val="24"/>
    </w:rPr>
  </w:style>
  <w:style w:type="character" w:customStyle="1" w:styleId="PlainTextChar">
    <w:name w:val="Plain Text Char"/>
    <w:link w:val="PlainText"/>
    <w:rsid w:val="0066626D"/>
    <w:rPr>
      <w:rFonts w:ascii="Courier New" w:hAnsi="Courier New" w:cs="Courier New"/>
      <w:snapToGrid w:val="0"/>
      <w:sz w:val="24"/>
      <w:lang w:val="en-GB" w:eastAsia="en-US" w:bidi="ar-SA"/>
    </w:rPr>
  </w:style>
  <w:style w:type="character" w:customStyle="1" w:styleId="SingleTxtGChar">
    <w:name w:val="_ Single Txt_G Char"/>
    <w:link w:val="SingleTxtG"/>
    <w:rsid w:val="00AF2A0B"/>
    <w:rPr>
      <w:lang w:val="en-GB" w:eastAsia="en-US" w:bidi="ar-SA"/>
    </w:rPr>
  </w:style>
  <w:style w:type="paragraph" w:styleId="BalloonText">
    <w:name w:val="Balloon Text"/>
    <w:basedOn w:val="Normal"/>
    <w:semiHidden/>
    <w:rsid w:val="009F773D"/>
    <w:rPr>
      <w:rFonts w:ascii="Tahoma" w:hAnsi="Tahoma" w:cs="Tahoma"/>
      <w:sz w:val="16"/>
      <w:szCs w:val="16"/>
    </w:rPr>
  </w:style>
  <w:style w:type="paragraph" w:customStyle="1" w:styleId="Default">
    <w:name w:val="Default"/>
    <w:rsid w:val="00D35970"/>
    <w:pPr>
      <w:autoSpaceDE w:val="0"/>
      <w:autoSpaceDN w:val="0"/>
      <w:adjustRightInd w:val="0"/>
    </w:pPr>
    <w:rPr>
      <w:rFonts w:eastAsia="SimSun"/>
      <w:color w:val="000000"/>
      <w:sz w:val="24"/>
      <w:szCs w:val="24"/>
      <w:lang w:eastAsia="zh-CN"/>
    </w:rPr>
  </w:style>
  <w:style w:type="character" w:customStyle="1" w:styleId="FootnoteTextChar1">
    <w:name w:val="Footnote Text Char1"/>
    <w:aliases w:val="5_G Char"/>
    <w:link w:val="FootnoteText"/>
    <w:semiHidden/>
    <w:locked/>
    <w:rsid w:val="00B641C2"/>
    <w:rPr>
      <w:sz w:val="18"/>
      <w:lang w:val="en-GB" w:eastAsia="en-US" w:bidi="ar-SA"/>
    </w:rPr>
  </w:style>
  <w:style w:type="character" w:customStyle="1" w:styleId="apple-style-span">
    <w:name w:val="apple-style-span"/>
    <w:basedOn w:val="DefaultParagraphFont"/>
    <w:rsid w:val="00B522E9"/>
  </w:style>
  <w:style w:type="character" w:customStyle="1" w:styleId="FootnoteTextChar">
    <w:name w:val="Footnote Text Char"/>
    <w:semiHidden/>
    <w:locked/>
    <w:rsid w:val="00D4784A"/>
    <w:rPr>
      <w:rFonts w:cs="Times New Roman"/>
      <w:lang w:val="en-US" w:eastAsia="en-US"/>
    </w:rPr>
  </w:style>
  <w:style w:type="character" w:customStyle="1" w:styleId="H23GChar">
    <w:name w:val="_ H_2/3_G Char"/>
    <w:link w:val="H23G"/>
    <w:rsid w:val="00F716DE"/>
    <w:rPr>
      <w:b/>
      <w:lang w:val="en-GB" w:eastAsia="en-US" w:bidi="ar-SA"/>
    </w:rPr>
  </w:style>
  <w:style w:type="paragraph" w:styleId="ListParagraph">
    <w:name w:val="List Paragraph"/>
    <w:basedOn w:val="Normal"/>
    <w:uiPriority w:val="34"/>
    <w:qFormat/>
    <w:rsid w:val="00E30F72"/>
    <w:pPr>
      <w:ind w:left="720"/>
    </w:pPr>
  </w:style>
  <w:style w:type="character" w:customStyle="1" w:styleId="apple-converted-space">
    <w:name w:val="apple-converted-space"/>
    <w:rsid w:val="00451302"/>
  </w:style>
  <w:style w:type="character" w:styleId="CommentReference">
    <w:name w:val="annotation reference"/>
    <w:semiHidden/>
    <w:rsid w:val="003A1383"/>
    <w:rPr>
      <w:sz w:val="16"/>
      <w:szCs w:val="16"/>
    </w:rPr>
  </w:style>
  <w:style w:type="paragraph" w:styleId="CommentText">
    <w:name w:val="annotation text"/>
    <w:basedOn w:val="Normal"/>
    <w:semiHidden/>
    <w:rsid w:val="003A1383"/>
  </w:style>
  <w:style w:type="paragraph" w:styleId="CommentSubject">
    <w:name w:val="annotation subject"/>
    <w:basedOn w:val="CommentText"/>
    <w:next w:val="CommentText"/>
    <w:semiHidden/>
    <w:rsid w:val="003A1383"/>
    <w:rPr>
      <w:b/>
      <w:bCs/>
    </w:rPr>
  </w:style>
</w:styles>
</file>

<file path=word/webSettings.xml><?xml version="1.0" encoding="utf-8"?>
<w:webSettings xmlns:r="http://schemas.openxmlformats.org/officeDocument/2006/relationships" xmlns:w="http://schemas.openxmlformats.org/wordprocessingml/2006/main">
  <w:divs>
    <w:div w:id="491335205">
      <w:bodyDiv w:val="1"/>
      <w:marLeft w:val="0"/>
      <w:marRight w:val="0"/>
      <w:marTop w:val="0"/>
      <w:marBottom w:val="0"/>
      <w:divBdr>
        <w:top w:val="none" w:sz="0" w:space="0" w:color="auto"/>
        <w:left w:val="none" w:sz="0" w:space="0" w:color="auto"/>
        <w:bottom w:val="none" w:sz="0" w:space="0" w:color="auto"/>
        <w:right w:val="none" w:sz="0" w:space="0" w:color="auto"/>
      </w:divBdr>
    </w:div>
    <w:div w:id="10002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4879</Words>
  <Characters>27813</Characters>
  <Application>Microsoft Office Outlook</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CAT/C/AUS/Q/5/CRP</vt:lpstr>
    </vt:vector>
  </TitlesOfParts>
  <Company>CSD</Company>
  <LinksUpToDate>false</LinksUpToDate>
  <CharactersWithSpaces>32627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CAT/C/AUS/Q/5/CRP</dc:title>
  <dc:subject/>
  <dc:creator>OHCHR</dc:creator>
  <cp:keywords/>
  <cp:lastModifiedBy>DESK</cp:lastModifiedBy>
  <cp:revision>2</cp:revision>
  <cp:lastPrinted>2013-11-15T14:24:00Z</cp:lastPrinted>
  <dcterms:created xsi:type="dcterms:W3CDTF">2013-12-12T08:20:00Z</dcterms:created>
  <dcterms:modified xsi:type="dcterms:W3CDTF">2013-12-12T08:20:00Z</dcterms:modified>
</cp:coreProperties>
</file>