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AEFE916" w14:textId="77777777" w:rsidTr="003349E4">
        <w:trPr>
          <w:trHeight w:hRule="exact" w:val="851"/>
        </w:trPr>
        <w:tc>
          <w:tcPr>
            <w:tcW w:w="142" w:type="dxa"/>
            <w:tcBorders>
              <w:bottom w:val="single" w:sz="4" w:space="0" w:color="auto"/>
            </w:tcBorders>
          </w:tcPr>
          <w:p w14:paraId="7A4171AA" w14:textId="77777777" w:rsidR="002D5AAC" w:rsidRDefault="002D5AAC" w:rsidP="001D755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BB26D8F"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721E8E1" w14:textId="77777777" w:rsidR="002D5AAC" w:rsidRDefault="001D7558" w:rsidP="001D7558">
            <w:pPr>
              <w:jc w:val="right"/>
            </w:pPr>
            <w:r w:rsidRPr="001D7558">
              <w:rPr>
                <w:sz w:val="40"/>
              </w:rPr>
              <w:t>CRPD</w:t>
            </w:r>
            <w:r>
              <w:t>/C/MOZ/1</w:t>
            </w:r>
          </w:p>
        </w:tc>
      </w:tr>
      <w:tr w:rsidR="002D5AAC" w:rsidRPr="008063FA" w14:paraId="6BD4C888" w14:textId="77777777" w:rsidTr="003349E4">
        <w:trPr>
          <w:trHeight w:hRule="exact" w:val="2835"/>
        </w:trPr>
        <w:tc>
          <w:tcPr>
            <w:tcW w:w="1280" w:type="dxa"/>
            <w:gridSpan w:val="2"/>
            <w:tcBorders>
              <w:top w:val="single" w:sz="4" w:space="0" w:color="auto"/>
              <w:bottom w:val="single" w:sz="12" w:space="0" w:color="auto"/>
            </w:tcBorders>
          </w:tcPr>
          <w:p w14:paraId="60CDD9AA" w14:textId="77777777" w:rsidR="002D5AAC" w:rsidRDefault="002E5067" w:rsidP="003349E4">
            <w:pPr>
              <w:spacing w:before="120"/>
              <w:jc w:val="center"/>
            </w:pPr>
            <w:r>
              <w:rPr>
                <w:noProof/>
                <w:lang w:val="fr-CH" w:eastAsia="fr-CH"/>
              </w:rPr>
              <w:drawing>
                <wp:inline distT="0" distB="0" distL="0" distR="0" wp14:anchorId="01656898" wp14:editId="2A6A446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4244585"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0E8BD556" w14:textId="77777777" w:rsidR="002D5AAC" w:rsidRDefault="001D7558" w:rsidP="003349E4">
            <w:pPr>
              <w:spacing w:before="240"/>
              <w:rPr>
                <w:lang w:val="en-US"/>
              </w:rPr>
            </w:pPr>
            <w:r>
              <w:rPr>
                <w:lang w:val="en-US"/>
              </w:rPr>
              <w:t>Distr.: General</w:t>
            </w:r>
          </w:p>
          <w:p w14:paraId="25840BCD" w14:textId="77777777" w:rsidR="001D7558" w:rsidRDefault="001D7558" w:rsidP="001D7558">
            <w:pPr>
              <w:spacing w:line="240" w:lineRule="exact"/>
              <w:rPr>
                <w:lang w:val="en-US"/>
              </w:rPr>
            </w:pPr>
            <w:r>
              <w:rPr>
                <w:lang w:val="en-US"/>
              </w:rPr>
              <w:t>29 June 2020</w:t>
            </w:r>
          </w:p>
          <w:p w14:paraId="55C57CDB" w14:textId="77777777" w:rsidR="001D7558" w:rsidRDefault="001D7558" w:rsidP="001D7558">
            <w:pPr>
              <w:spacing w:line="240" w:lineRule="exact"/>
              <w:rPr>
                <w:lang w:val="en-US"/>
              </w:rPr>
            </w:pPr>
            <w:r>
              <w:rPr>
                <w:lang w:val="en-US"/>
              </w:rPr>
              <w:t>Russian</w:t>
            </w:r>
          </w:p>
          <w:p w14:paraId="1453BF0B" w14:textId="77777777" w:rsidR="001D7558" w:rsidRPr="008934D2" w:rsidRDefault="001D7558" w:rsidP="001D7558">
            <w:pPr>
              <w:spacing w:line="240" w:lineRule="exact"/>
              <w:rPr>
                <w:lang w:val="en-US"/>
              </w:rPr>
            </w:pPr>
            <w:r>
              <w:rPr>
                <w:lang w:val="en-US"/>
              </w:rPr>
              <w:t xml:space="preserve">Original: English </w:t>
            </w:r>
            <w:r w:rsidR="00C81481">
              <w:rPr>
                <w:lang w:val="en-US"/>
              </w:rPr>
              <w:br/>
            </w:r>
            <w:proofErr w:type="spellStart"/>
            <w:r>
              <w:rPr>
                <w:lang w:val="en-US"/>
              </w:rPr>
              <w:t>English</w:t>
            </w:r>
            <w:proofErr w:type="spellEnd"/>
            <w:r>
              <w:rPr>
                <w:lang w:val="en-US"/>
              </w:rPr>
              <w:t>, Russian and Spanish only</w:t>
            </w:r>
          </w:p>
        </w:tc>
      </w:tr>
    </w:tbl>
    <w:p w14:paraId="5D1E0ACE" w14:textId="77777777" w:rsidR="001D7558" w:rsidRPr="008063FA" w:rsidRDefault="001D7558" w:rsidP="001D7558">
      <w:pPr>
        <w:spacing w:before="120"/>
        <w:rPr>
          <w:sz w:val="24"/>
          <w:szCs w:val="24"/>
        </w:rPr>
      </w:pPr>
      <w:r w:rsidRPr="001D7558">
        <w:rPr>
          <w:b/>
          <w:bCs/>
          <w:sz w:val="24"/>
          <w:szCs w:val="24"/>
        </w:rPr>
        <w:t>Комитет по правам инвалидов</w:t>
      </w:r>
    </w:p>
    <w:p w14:paraId="64917559" w14:textId="77777777" w:rsidR="001D7558" w:rsidRPr="00EA1614" w:rsidRDefault="001D7558" w:rsidP="001D7558">
      <w:pPr>
        <w:pStyle w:val="HMG"/>
      </w:pPr>
      <w:r>
        <w:tab/>
      </w:r>
      <w:r>
        <w:tab/>
        <w:t>Первоначальный доклад, представленный Мозамбиком в соответствии со статьей 35 Конвенции и подлежавший представлению в</w:t>
      </w:r>
      <w:r>
        <w:rPr>
          <w:lang w:val="en-US"/>
        </w:rPr>
        <w:t> </w:t>
      </w:r>
      <w:r>
        <w:t>2014 году</w:t>
      </w:r>
      <w:r w:rsidRPr="001D7558">
        <w:rPr>
          <w:rStyle w:val="aa"/>
          <w:b w:val="0"/>
          <w:sz w:val="20"/>
          <w:vertAlign w:val="baseline"/>
        </w:rPr>
        <w:footnoteReference w:customMarkFollows="1" w:id="1"/>
        <w:t>*</w:t>
      </w:r>
    </w:p>
    <w:p w14:paraId="3B4FC27B" w14:textId="77777777" w:rsidR="00381C24" w:rsidRPr="008063FA" w:rsidRDefault="001D7558" w:rsidP="001D7558">
      <w:pPr>
        <w:pStyle w:val="SingleTxtG"/>
        <w:jc w:val="right"/>
      </w:pPr>
      <w:r>
        <w:t>[Дата получения: 3 января 2020 года]</w:t>
      </w:r>
    </w:p>
    <w:p w14:paraId="7DE4B8C7" w14:textId="77777777" w:rsidR="001D7558" w:rsidRPr="008063FA" w:rsidRDefault="001D7558">
      <w:pPr>
        <w:suppressAutoHyphens w:val="0"/>
        <w:spacing w:line="240" w:lineRule="auto"/>
        <w:rPr>
          <w:rFonts w:eastAsia="Times New Roman" w:cs="Times New Roman"/>
          <w:szCs w:val="20"/>
        </w:rPr>
      </w:pPr>
      <w:r w:rsidRPr="008063FA">
        <w:br w:type="page"/>
      </w:r>
    </w:p>
    <w:p w14:paraId="4A91B12A" w14:textId="77777777" w:rsidR="001D7558" w:rsidRPr="00EA1614" w:rsidRDefault="001D7558" w:rsidP="001D7558">
      <w:pPr>
        <w:pStyle w:val="HChG"/>
      </w:pPr>
      <w:r>
        <w:lastRenderedPageBreak/>
        <w:tab/>
      </w:r>
      <w:r>
        <w:tab/>
        <w:t>Аббревиатуры и сокращения</w:t>
      </w:r>
      <w:bookmarkStart w:id="0" w:name="_Toc44077473"/>
      <w:bookmarkEnd w:id="0"/>
    </w:p>
    <w:p w14:paraId="2A2DFE9A" w14:textId="77777777" w:rsidR="008063FA" w:rsidRPr="00EA1614" w:rsidRDefault="008063FA" w:rsidP="001D7558">
      <w:pPr>
        <w:pStyle w:val="SingleTxtG"/>
        <w:tabs>
          <w:tab w:val="clear" w:pos="2268"/>
        </w:tabs>
        <w:ind w:left="2835" w:hanging="1701"/>
      </w:pPr>
      <w:r>
        <w:t>ВИЧ</w:t>
      </w:r>
      <w:r>
        <w:tab/>
      </w:r>
      <w:r>
        <w:tab/>
        <w:t>Вирус иммунодефицита человека</w:t>
      </w:r>
    </w:p>
    <w:p w14:paraId="418D10F1" w14:textId="77777777" w:rsidR="008063FA" w:rsidRPr="001D7558" w:rsidRDefault="008063FA" w:rsidP="001D7558">
      <w:pPr>
        <w:pStyle w:val="SingleTxtG"/>
        <w:tabs>
          <w:tab w:val="clear" w:pos="2268"/>
        </w:tabs>
        <w:ind w:left="2835" w:hanging="1701"/>
      </w:pPr>
      <w:r>
        <w:t>ГССД</w:t>
      </w:r>
      <w:r>
        <w:tab/>
      </w:r>
      <w:r>
        <w:tab/>
        <w:t>Государственный секретарь по социальным делам</w:t>
      </w:r>
    </w:p>
    <w:p w14:paraId="5BCFD3D4" w14:textId="77777777" w:rsidR="008063FA" w:rsidRPr="00EA1614" w:rsidRDefault="008063FA" w:rsidP="00E509D1">
      <w:pPr>
        <w:pStyle w:val="SingleTxtG"/>
        <w:tabs>
          <w:tab w:val="clear" w:pos="2268"/>
        </w:tabs>
        <w:ind w:left="2835" w:hanging="1701"/>
        <w:jc w:val="left"/>
      </w:pPr>
      <w:r>
        <w:t>ИППИТАК</w:t>
      </w:r>
      <w:r>
        <w:tab/>
        <w:t xml:space="preserve">Институт профессиональной подготовки и исследований в области труда им. Алберту Касиму </w:t>
      </w:r>
    </w:p>
    <w:p w14:paraId="4EFE4388" w14:textId="77777777" w:rsidR="008063FA" w:rsidRPr="00EA1614" w:rsidRDefault="008063FA" w:rsidP="001D7558">
      <w:pPr>
        <w:pStyle w:val="SingleTxtG"/>
        <w:tabs>
          <w:tab w:val="clear" w:pos="2268"/>
        </w:tabs>
        <w:ind w:left="2835" w:hanging="1701"/>
      </w:pPr>
      <w:r>
        <w:t>КРМ</w:t>
      </w:r>
      <w:r>
        <w:tab/>
      </w:r>
      <w:r>
        <w:tab/>
        <w:t>Конституция Республики Мозамбик</w:t>
      </w:r>
    </w:p>
    <w:p w14:paraId="0B71983E" w14:textId="77777777" w:rsidR="008063FA" w:rsidRPr="00EA1614" w:rsidRDefault="008063FA" w:rsidP="001D7558">
      <w:pPr>
        <w:pStyle w:val="SingleTxtG"/>
        <w:tabs>
          <w:tab w:val="clear" w:pos="2268"/>
        </w:tabs>
        <w:ind w:left="2835" w:hanging="1701"/>
      </w:pPr>
      <w:r>
        <w:t>МГДСД</w:t>
      </w:r>
      <w:r>
        <w:tab/>
        <w:t>Министерство по гендерным вопросам, делам детей и социальной деятельности</w:t>
      </w:r>
    </w:p>
    <w:p w14:paraId="1FEA4237" w14:textId="77777777" w:rsidR="008063FA" w:rsidRPr="00EA1614" w:rsidRDefault="008063FA" w:rsidP="001D7558">
      <w:pPr>
        <w:pStyle w:val="SingleTxtG"/>
        <w:tabs>
          <w:tab w:val="clear" w:pos="2268"/>
        </w:tabs>
        <w:ind w:left="2835" w:hanging="1701"/>
      </w:pPr>
      <w:r>
        <w:t>МДИ</w:t>
      </w:r>
      <w:r>
        <w:tab/>
      </w:r>
      <w:r>
        <w:tab/>
        <w:t>Медико-демографическое исследование</w:t>
      </w:r>
    </w:p>
    <w:p w14:paraId="78FAFA97" w14:textId="77777777" w:rsidR="008063FA" w:rsidRPr="00EA1614" w:rsidRDefault="008063FA" w:rsidP="001D7558">
      <w:pPr>
        <w:pStyle w:val="SingleTxtG"/>
        <w:tabs>
          <w:tab w:val="clear" w:pos="2268"/>
        </w:tabs>
        <w:ind w:left="2835" w:hanging="1701"/>
      </w:pPr>
      <w:r>
        <w:t>МЗ</w:t>
      </w:r>
      <w:r>
        <w:tab/>
      </w:r>
      <w:r>
        <w:tab/>
        <w:t>Министерство здравоохранения</w:t>
      </w:r>
    </w:p>
    <w:p w14:paraId="4F6C5F0D" w14:textId="77777777" w:rsidR="008063FA" w:rsidRPr="00EA1614" w:rsidRDefault="008063FA" w:rsidP="001D7558">
      <w:pPr>
        <w:pStyle w:val="SingleTxtG"/>
        <w:tabs>
          <w:tab w:val="clear" w:pos="2268"/>
        </w:tabs>
        <w:ind w:left="2835" w:hanging="1701"/>
      </w:pPr>
      <w:r>
        <w:t>МКПИ</w:t>
      </w:r>
      <w:r>
        <w:tab/>
        <w:t>Международная конвенция о правах инвалидов</w:t>
      </w:r>
    </w:p>
    <w:p w14:paraId="0B875AA8" w14:textId="77777777" w:rsidR="008063FA" w:rsidRPr="00EA1614" w:rsidRDefault="008063FA" w:rsidP="001D7558">
      <w:pPr>
        <w:pStyle w:val="SingleTxtG"/>
        <w:tabs>
          <w:tab w:val="clear" w:pos="2268"/>
        </w:tabs>
        <w:ind w:left="2835" w:hanging="1701"/>
      </w:pPr>
      <w:r>
        <w:t>МОЧР</w:t>
      </w:r>
      <w:r>
        <w:tab/>
      </w:r>
      <w:r>
        <w:tab/>
        <w:t>Министерство образования и человеческого развития</w:t>
      </w:r>
    </w:p>
    <w:p w14:paraId="62AD85D8" w14:textId="77777777" w:rsidR="008063FA" w:rsidRPr="00EA1614" w:rsidRDefault="008063FA" w:rsidP="001D7558">
      <w:pPr>
        <w:pStyle w:val="SingleTxtG"/>
        <w:tabs>
          <w:tab w:val="clear" w:pos="2268"/>
        </w:tabs>
        <w:ind w:left="2835" w:hanging="1701"/>
      </w:pPr>
      <w:r>
        <w:t>МТЗСО</w:t>
      </w:r>
      <w:r>
        <w:tab/>
        <w:t>Министерство труда, занятости и социального обеспечения</w:t>
      </w:r>
    </w:p>
    <w:p w14:paraId="35F48CC1" w14:textId="77777777" w:rsidR="008063FA" w:rsidRPr="00EA1614" w:rsidRDefault="008063FA" w:rsidP="00E509D1">
      <w:pPr>
        <w:pStyle w:val="SingleTxtG"/>
        <w:tabs>
          <w:tab w:val="clear" w:pos="2268"/>
        </w:tabs>
        <w:ind w:left="2835" w:hanging="1701"/>
        <w:jc w:val="left"/>
      </w:pPr>
      <w:r>
        <w:t>НИППЗ</w:t>
      </w:r>
      <w:r>
        <w:tab/>
        <w:t>Национальный институт профессиональной подготовки и занятости</w:t>
      </w:r>
    </w:p>
    <w:p w14:paraId="01C8A76D" w14:textId="77777777" w:rsidR="008063FA" w:rsidRPr="00EA1614" w:rsidRDefault="008063FA" w:rsidP="001D7558">
      <w:pPr>
        <w:pStyle w:val="SingleTxtG"/>
        <w:tabs>
          <w:tab w:val="clear" w:pos="2268"/>
        </w:tabs>
        <w:ind w:left="2835" w:hanging="1701"/>
      </w:pPr>
      <w:r>
        <w:t>НИС</w:t>
      </w:r>
      <w:r>
        <w:tab/>
      </w:r>
      <w:r>
        <w:tab/>
        <w:t>Национальный институт статистики</w:t>
      </w:r>
    </w:p>
    <w:p w14:paraId="09CBB5E0" w14:textId="77777777" w:rsidR="008063FA" w:rsidRPr="00EA1614" w:rsidRDefault="008063FA" w:rsidP="001D7558">
      <w:pPr>
        <w:pStyle w:val="SingleTxtG"/>
        <w:tabs>
          <w:tab w:val="clear" w:pos="2268"/>
        </w:tabs>
        <w:ind w:left="2835" w:hanging="1701"/>
      </w:pPr>
      <w:r>
        <w:t>НИСД</w:t>
      </w:r>
      <w:r>
        <w:tab/>
      </w:r>
      <w:r>
        <w:tab/>
        <w:t>Национальный институт социальных действий</w:t>
      </w:r>
    </w:p>
    <w:p w14:paraId="670D0B78" w14:textId="77777777" w:rsidR="008063FA" w:rsidRPr="00EA1614" w:rsidRDefault="008063FA" w:rsidP="001D7558">
      <w:pPr>
        <w:pStyle w:val="SingleTxtG"/>
        <w:tabs>
          <w:tab w:val="clear" w:pos="2268"/>
        </w:tabs>
        <w:ind w:left="2835" w:hanging="1701"/>
      </w:pPr>
      <w:r>
        <w:t>НИСО</w:t>
      </w:r>
      <w:r>
        <w:tab/>
      </w:r>
      <w:r>
        <w:tab/>
        <w:t>Национальный институт социального обеспечения</w:t>
      </w:r>
    </w:p>
    <w:p w14:paraId="7A7DFB28" w14:textId="77777777" w:rsidR="008063FA" w:rsidRPr="00EA1614" w:rsidRDefault="008063FA" w:rsidP="001D7558">
      <w:pPr>
        <w:pStyle w:val="SingleTxtG"/>
        <w:tabs>
          <w:tab w:val="clear" w:pos="2268"/>
        </w:tabs>
        <w:ind w:left="2835" w:hanging="1701"/>
      </w:pPr>
      <w:r>
        <w:t>НПДД</w:t>
      </w:r>
      <w:r>
        <w:tab/>
      </w:r>
      <w:r>
        <w:tab/>
        <w:t>Национальный план действий в интересах детей</w:t>
      </w:r>
    </w:p>
    <w:p w14:paraId="4E19391F" w14:textId="77777777" w:rsidR="008063FA" w:rsidRPr="00EA1614" w:rsidRDefault="008063FA" w:rsidP="001D7558">
      <w:pPr>
        <w:pStyle w:val="SingleTxtG"/>
        <w:tabs>
          <w:tab w:val="clear" w:pos="2268"/>
        </w:tabs>
        <w:ind w:left="2835" w:hanging="1701"/>
      </w:pPr>
      <w:r>
        <w:t>НПДИ</w:t>
      </w:r>
      <w:r>
        <w:tab/>
        <w:t xml:space="preserve">Национальный план действий в области инвалидности </w:t>
      </w:r>
    </w:p>
    <w:p w14:paraId="38B14363" w14:textId="77777777" w:rsidR="008063FA" w:rsidRPr="00EA1614" w:rsidRDefault="008063FA" w:rsidP="001D7558">
      <w:pPr>
        <w:pStyle w:val="SingleTxtG"/>
        <w:tabs>
          <w:tab w:val="clear" w:pos="2268"/>
        </w:tabs>
        <w:ind w:left="2835" w:hanging="1701"/>
      </w:pPr>
      <w:r>
        <w:t>НСБСЗ</w:t>
      </w:r>
      <w:r>
        <w:tab/>
        <w:t>Национальная стратегия в области базовой социальной защиты</w:t>
      </w:r>
    </w:p>
    <w:p w14:paraId="037300BD" w14:textId="77777777" w:rsidR="008063FA" w:rsidRPr="00EA1614" w:rsidRDefault="008063FA" w:rsidP="001D7558">
      <w:pPr>
        <w:pStyle w:val="SingleTxtG"/>
        <w:tabs>
          <w:tab w:val="clear" w:pos="2268"/>
        </w:tabs>
        <w:ind w:left="2835" w:hanging="1701"/>
      </w:pPr>
      <w:r>
        <w:t>НСДД</w:t>
      </w:r>
      <w:r>
        <w:tab/>
      </w:r>
      <w:r>
        <w:tab/>
        <w:t>Национальный совет по делам детей</w:t>
      </w:r>
    </w:p>
    <w:p w14:paraId="6DF008FB" w14:textId="77777777" w:rsidR="008063FA" w:rsidRPr="00EA1614" w:rsidRDefault="008063FA" w:rsidP="001D7558">
      <w:pPr>
        <w:pStyle w:val="SingleTxtG"/>
        <w:tabs>
          <w:tab w:val="clear" w:pos="2268"/>
        </w:tabs>
        <w:ind w:left="2835" w:hanging="1701"/>
      </w:pPr>
      <w:r>
        <w:t>НСДИ</w:t>
      </w:r>
      <w:r>
        <w:tab/>
      </w:r>
      <w:r>
        <w:tab/>
        <w:t xml:space="preserve">Национальный совет по делам инвалидов </w:t>
      </w:r>
    </w:p>
    <w:p w14:paraId="2C957979" w14:textId="77777777" w:rsidR="008063FA" w:rsidRPr="00EA1614" w:rsidRDefault="008063FA" w:rsidP="001D7558">
      <w:pPr>
        <w:pStyle w:val="SingleTxtG"/>
        <w:tabs>
          <w:tab w:val="clear" w:pos="2268"/>
        </w:tabs>
        <w:ind w:left="2835" w:hanging="1701"/>
      </w:pPr>
      <w:r>
        <w:t>НССД</w:t>
      </w:r>
      <w:r>
        <w:tab/>
      </w:r>
      <w:r>
        <w:tab/>
        <w:t>Национальный совет социальных действий</w:t>
      </w:r>
    </w:p>
    <w:p w14:paraId="7D61ED32" w14:textId="77777777" w:rsidR="008063FA" w:rsidRPr="00EA1614" w:rsidRDefault="008063FA" w:rsidP="001D7558">
      <w:pPr>
        <w:pStyle w:val="SingleTxtG"/>
        <w:tabs>
          <w:tab w:val="clear" w:pos="2268"/>
        </w:tabs>
        <w:ind w:left="2835" w:hanging="1701"/>
      </w:pPr>
      <w:r>
        <w:t>ПБСС</w:t>
      </w:r>
      <w:r>
        <w:tab/>
      </w:r>
      <w:r>
        <w:tab/>
        <w:t>Программа базового социального субсидирования</w:t>
      </w:r>
    </w:p>
    <w:p w14:paraId="30D599FD" w14:textId="77777777" w:rsidR="008063FA" w:rsidRPr="00EA1614" w:rsidRDefault="008063FA" w:rsidP="001D7558">
      <w:pPr>
        <w:pStyle w:val="SingleTxtG"/>
        <w:tabs>
          <w:tab w:val="clear" w:pos="2268"/>
        </w:tabs>
        <w:ind w:left="2835" w:hanging="1701"/>
      </w:pPr>
      <w:r>
        <w:t>ПДСУД</w:t>
      </w:r>
      <w:r>
        <w:tab/>
        <w:t>План действий по защите сирот и уязвимых детей</w:t>
      </w:r>
    </w:p>
    <w:p w14:paraId="0D815E72" w14:textId="77777777" w:rsidR="008063FA" w:rsidRPr="00EA1614" w:rsidRDefault="008063FA" w:rsidP="001D7558">
      <w:pPr>
        <w:pStyle w:val="SingleTxtG"/>
        <w:tabs>
          <w:tab w:val="clear" w:pos="2268"/>
        </w:tabs>
        <w:ind w:left="2835" w:hanging="1701"/>
      </w:pPr>
      <w:r>
        <w:t>ППП</w:t>
      </w:r>
      <w:r>
        <w:tab/>
      </w:r>
      <w:r>
        <w:tab/>
        <w:t>Пятилетний план правительства</w:t>
      </w:r>
    </w:p>
    <w:p w14:paraId="37110598" w14:textId="77777777" w:rsidR="008063FA" w:rsidRPr="00EA1614" w:rsidRDefault="008063FA" w:rsidP="001D7558">
      <w:pPr>
        <w:pStyle w:val="SingleTxtG"/>
        <w:tabs>
          <w:tab w:val="clear" w:pos="2268"/>
        </w:tabs>
        <w:ind w:left="2835" w:hanging="1701"/>
      </w:pPr>
      <w:r>
        <w:t>ППСП</w:t>
      </w:r>
      <w:r>
        <w:tab/>
      </w:r>
      <w:r>
        <w:tab/>
        <w:t>Программа прямой социальной поддержки</w:t>
      </w:r>
    </w:p>
    <w:p w14:paraId="23106B51" w14:textId="77777777" w:rsidR="008063FA" w:rsidRPr="00EA1614" w:rsidRDefault="008063FA" w:rsidP="00E509D1">
      <w:pPr>
        <w:pStyle w:val="SingleTxtG"/>
        <w:tabs>
          <w:tab w:val="clear" w:pos="2268"/>
        </w:tabs>
        <w:ind w:left="2835" w:hanging="1701"/>
        <w:jc w:val="left"/>
      </w:pPr>
      <w:r>
        <w:t>ПСМПТ</w:t>
      </w:r>
      <w:r>
        <w:tab/>
        <w:t>Программа социальных мер по стимулированию производительног</w:t>
      </w:r>
      <w:bookmarkStart w:id="1" w:name="_GoBack"/>
      <w:bookmarkEnd w:id="1"/>
      <w:r>
        <w:t>о труда</w:t>
      </w:r>
    </w:p>
    <w:p w14:paraId="47F1C6C3" w14:textId="77777777" w:rsidR="008063FA" w:rsidRPr="00EA1614" w:rsidRDefault="008063FA" w:rsidP="001D7558">
      <w:pPr>
        <w:pStyle w:val="SingleTxtG"/>
        <w:tabs>
          <w:tab w:val="clear" w:pos="2268"/>
        </w:tabs>
        <w:ind w:left="2835" w:hanging="1701"/>
      </w:pPr>
      <w:r>
        <w:t>ПССД</w:t>
      </w:r>
      <w:r>
        <w:tab/>
      </w:r>
      <w:r>
        <w:tab/>
        <w:t>Программа Службы социальных действий</w:t>
      </w:r>
    </w:p>
    <w:p w14:paraId="2162F37E" w14:textId="77777777" w:rsidR="008063FA" w:rsidRPr="00EA1614" w:rsidRDefault="008063FA" w:rsidP="001D7558">
      <w:pPr>
        <w:pStyle w:val="SingleTxtG"/>
        <w:tabs>
          <w:tab w:val="clear" w:pos="2268"/>
        </w:tabs>
        <w:ind w:left="2835" w:hanging="1701"/>
      </w:pPr>
      <w:r>
        <w:t>ПСЭР</w:t>
      </w:r>
      <w:r>
        <w:tab/>
      </w:r>
      <w:r>
        <w:tab/>
        <w:t>План социально-экономического развития</w:t>
      </w:r>
    </w:p>
    <w:p w14:paraId="6C23FBA4" w14:textId="77777777" w:rsidR="008063FA" w:rsidRPr="00EA1614" w:rsidRDefault="008063FA" w:rsidP="001D7558">
      <w:pPr>
        <w:pStyle w:val="SingleTxtG"/>
        <w:tabs>
          <w:tab w:val="clear" w:pos="2268"/>
        </w:tabs>
        <w:ind w:left="2835" w:hanging="1701"/>
      </w:pPr>
      <w:r>
        <w:t>САДК</w:t>
      </w:r>
      <w:r>
        <w:tab/>
      </w:r>
      <w:r>
        <w:tab/>
        <w:t>Сообщество по вопросам развития стран юга Африки</w:t>
      </w:r>
    </w:p>
    <w:p w14:paraId="3B79BEBC" w14:textId="77777777" w:rsidR="008063FA" w:rsidRPr="00EA1614" w:rsidRDefault="008063FA" w:rsidP="001D7558">
      <w:pPr>
        <w:pStyle w:val="SingleTxtG"/>
        <w:tabs>
          <w:tab w:val="clear" w:pos="2268"/>
        </w:tabs>
        <w:ind w:left="2835" w:hanging="1701"/>
      </w:pPr>
      <w:r>
        <w:t>СПИД</w:t>
      </w:r>
      <w:r>
        <w:tab/>
      </w:r>
      <w:r>
        <w:tab/>
        <w:t>Синдром приобретенного иммунодефицита</w:t>
      </w:r>
    </w:p>
    <w:p w14:paraId="5FBBA14A" w14:textId="77777777" w:rsidR="001D7558" w:rsidRDefault="001D7558">
      <w:pPr>
        <w:suppressAutoHyphens w:val="0"/>
        <w:spacing w:line="240" w:lineRule="auto"/>
        <w:rPr>
          <w:rFonts w:eastAsia="Times New Roman" w:cs="Times New Roman"/>
          <w:szCs w:val="20"/>
        </w:rPr>
      </w:pPr>
      <w:r>
        <w:br w:type="page"/>
      </w:r>
    </w:p>
    <w:p w14:paraId="3C277C69" w14:textId="77777777" w:rsidR="001D7558" w:rsidRDefault="002A0501" w:rsidP="002A0501">
      <w:pPr>
        <w:pStyle w:val="HChG"/>
      </w:pPr>
      <w:r>
        <w:lastRenderedPageBreak/>
        <w:tab/>
      </w:r>
      <w:r w:rsidR="001D7558">
        <w:t>I.</w:t>
      </w:r>
      <w:r w:rsidR="001D7558">
        <w:tab/>
        <w:t>Введение</w:t>
      </w:r>
    </w:p>
    <w:p w14:paraId="51DC8A88" w14:textId="77777777" w:rsidR="001D7558" w:rsidRDefault="001D7558" w:rsidP="001D7558">
      <w:pPr>
        <w:pStyle w:val="SingleTxtG"/>
      </w:pPr>
      <w:r>
        <w:t>1.</w:t>
      </w:r>
      <w:r>
        <w:tab/>
        <w:t>Правительство Республики Мозамбик ратифицировало Международную конвенцию 2012 года о правах инвалидов (МКПИ), поскольку считает ее важным базовым инструментом для поощрения прав человека, в частности прав инвалидов, и</w:t>
      </w:r>
      <w:r w:rsidR="002A0501">
        <w:rPr>
          <w:lang w:val="en-US"/>
        </w:rPr>
        <w:t> </w:t>
      </w:r>
      <w:r>
        <w:t>тем самым подтверждает свою приверженность ее осуществлению на практике.</w:t>
      </w:r>
    </w:p>
    <w:p w14:paraId="14BB5AB3" w14:textId="77777777" w:rsidR="001D7558" w:rsidRDefault="001D7558" w:rsidP="001D7558">
      <w:pPr>
        <w:pStyle w:val="SingleTxtG"/>
      </w:pPr>
      <w:r>
        <w:t>2.</w:t>
      </w:r>
      <w:r>
        <w:tab/>
        <w:t xml:space="preserve">Пункт 1 статьи 35 Конвенции о правах инвалидов требует, чтобы государства-члены представляли Комитету по правам инвалидов доклады об осуществлении Конвенции: первый доклад </w:t>
      </w:r>
      <w:r w:rsidR="002A0501" w:rsidRPr="002A0501">
        <w:t>—</w:t>
      </w:r>
      <w:r>
        <w:t xml:space="preserve"> через два года после ее ратификации, а последующие </w:t>
      </w:r>
      <w:r w:rsidR="002A0501" w:rsidRPr="002A0501">
        <w:t>—</w:t>
      </w:r>
      <w:r>
        <w:t xml:space="preserve"> не реже чем раз в четыре года.</w:t>
      </w:r>
    </w:p>
    <w:p w14:paraId="72934FF4" w14:textId="77777777" w:rsidR="001D7558" w:rsidRDefault="001D7558" w:rsidP="001D7558">
      <w:pPr>
        <w:pStyle w:val="SingleTxtG"/>
      </w:pPr>
      <w:r>
        <w:t>3.</w:t>
      </w:r>
      <w:r>
        <w:tab/>
        <w:t>В этой связи Мозамбик, в соответствии с типовой формой отчетности Организации Объединенных Наций, подготовил настоящий доклад, в котором рассказывается об основных мерах, принятых различными заинтересованными сторонами, участвующими в осуществлении Международной конвенции о правах инвалидов, и прогрессе, достигнутом со времени ее ратификации, т.</w:t>
      </w:r>
      <w:r w:rsidR="002A0501">
        <w:rPr>
          <w:lang w:val="en-US"/>
        </w:rPr>
        <w:t> </w:t>
      </w:r>
      <w:r>
        <w:t xml:space="preserve">е. в период </w:t>
      </w:r>
      <w:r w:rsidR="002A0501">
        <w:br/>
      </w:r>
      <w:r>
        <w:t>2012</w:t>
      </w:r>
      <w:r w:rsidR="002A0501" w:rsidRPr="002A0501">
        <w:t>–</w:t>
      </w:r>
      <w:r>
        <w:t xml:space="preserve">2017 годов. </w:t>
      </w:r>
    </w:p>
    <w:p w14:paraId="186F360F" w14:textId="77777777" w:rsidR="001D7558" w:rsidRDefault="001D7558" w:rsidP="001D7558">
      <w:pPr>
        <w:pStyle w:val="SingleTxtG"/>
      </w:pPr>
      <w:r>
        <w:t>4.</w:t>
      </w:r>
      <w:r>
        <w:tab/>
        <w:t>Первая часть доклада состоит из введения и разделов, посвященных методологическим процедурам, общим сведениям о стране и общим рамкам защиты и поощрения прав инвалидов. Во второй части рассказывается об общих и конкретных мерах, принятых в целях осуществления Конвенции.</w:t>
      </w:r>
    </w:p>
    <w:p w14:paraId="7D799F02" w14:textId="77777777" w:rsidR="001D7558" w:rsidRDefault="002A0501" w:rsidP="002A0501">
      <w:pPr>
        <w:pStyle w:val="HChG"/>
      </w:pPr>
      <w:r>
        <w:tab/>
      </w:r>
      <w:r w:rsidR="001D7558">
        <w:t>II.</w:t>
      </w:r>
      <w:r w:rsidR="001D7558">
        <w:tab/>
        <w:t xml:space="preserve">Методологические процедуры </w:t>
      </w:r>
    </w:p>
    <w:p w14:paraId="3DD60D75" w14:textId="77777777" w:rsidR="001D7558" w:rsidRDefault="001D7558" w:rsidP="001D7558">
      <w:pPr>
        <w:pStyle w:val="SingleTxtG"/>
      </w:pPr>
      <w:r>
        <w:t>5.</w:t>
      </w:r>
      <w:r>
        <w:tab/>
        <w:t>Настоящий доклад был подготовлен на основе анализа качественных и количественных данных, которые были собраны среди ключевых заинтересованных сторон, занимающихся проблемами инвалидности. Кроме того, с целью получения информации для подготовки всеобъемлющего доклада были проведены внутренние консультации, а также на уровне Руководящего комитета по правам инвалидов Национального совета социальных действий.</w:t>
      </w:r>
    </w:p>
    <w:p w14:paraId="57CF138D" w14:textId="77777777" w:rsidR="001D7558" w:rsidRDefault="002A0501" w:rsidP="002A0501">
      <w:pPr>
        <w:pStyle w:val="HChG"/>
      </w:pPr>
      <w:r>
        <w:tab/>
      </w:r>
      <w:r w:rsidR="001D7558">
        <w:t>III.</w:t>
      </w:r>
      <w:r w:rsidR="001D7558">
        <w:tab/>
        <w:t xml:space="preserve">Общие сведения о Мозамбике </w:t>
      </w:r>
    </w:p>
    <w:p w14:paraId="3E2DDE17" w14:textId="77777777" w:rsidR="001D7558" w:rsidRDefault="002A0501" w:rsidP="002A0501">
      <w:pPr>
        <w:pStyle w:val="H1G"/>
      </w:pPr>
      <w:r>
        <w:tab/>
      </w:r>
      <w:r w:rsidR="001D7558">
        <w:t>A.</w:t>
      </w:r>
      <w:r w:rsidR="001D7558">
        <w:tab/>
        <w:t xml:space="preserve">Географическое положение </w:t>
      </w:r>
    </w:p>
    <w:p w14:paraId="00ADF858" w14:textId="77777777" w:rsidR="001D7558" w:rsidRDefault="001D7558" w:rsidP="001D7558">
      <w:pPr>
        <w:pStyle w:val="SingleTxtG"/>
      </w:pPr>
      <w:r>
        <w:t>6.</w:t>
      </w:r>
      <w:r>
        <w:tab/>
        <w:t>Республика Мозамбик расположена на юго-восточном побережье Африки. Ее</w:t>
      </w:r>
      <w:r w:rsidR="002A0501">
        <w:rPr>
          <w:lang w:val="en-US"/>
        </w:rPr>
        <w:t> </w:t>
      </w:r>
      <w:r>
        <w:t>общая площадь составляет 799 380 км</w:t>
      </w:r>
      <w:r w:rsidRPr="002A0501">
        <w:rPr>
          <w:vertAlign w:val="superscript"/>
        </w:rPr>
        <w:t>2</w:t>
      </w:r>
      <w:r>
        <w:t xml:space="preserve">, при этом она состоит из </w:t>
      </w:r>
      <w:r w:rsidR="002A0501" w:rsidRPr="002A0501">
        <w:t>11</w:t>
      </w:r>
      <w:r>
        <w:t xml:space="preserve"> провинций: Ньяса, </w:t>
      </w:r>
      <w:proofErr w:type="spellStart"/>
      <w:r>
        <w:t>Кабу-Делгаду</w:t>
      </w:r>
      <w:proofErr w:type="spellEnd"/>
      <w:r>
        <w:t xml:space="preserve">, </w:t>
      </w:r>
      <w:proofErr w:type="spellStart"/>
      <w:r>
        <w:t>Нампула</w:t>
      </w:r>
      <w:proofErr w:type="spellEnd"/>
      <w:r>
        <w:t xml:space="preserve">, Замбезия, Тете, </w:t>
      </w:r>
      <w:proofErr w:type="spellStart"/>
      <w:r>
        <w:t>Маника</w:t>
      </w:r>
      <w:proofErr w:type="spellEnd"/>
      <w:r>
        <w:t xml:space="preserve">, </w:t>
      </w:r>
      <w:proofErr w:type="spellStart"/>
      <w:r>
        <w:t>Софала</w:t>
      </w:r>
      <w:proofErr w:type="spellEnd"/>
      <w:r>
        <w:t xml:space="preserve">, Иньямбане, Газа, провинция Мапуту и город Мапуту. Столица Мозамбика </w:t>
      </w:r>
      <w:r w:rsidR="002A0501" w:rsidRPr="002A0501">
        <w:t>—</w:t>
      </w:r>
      <w:r>
        <w:t xml:space="preserve"> город Мапуту. </w:t>
      </w:r>
    </w:p>
    <w:p w14:paraId="2D1CEF3C" w14:textId="77777777" w:rsidR="001D7558" w:rsidRDefault="001D7558" w:rsidP="001D7558">
      <w:pPr>
        <w:pStyle w:val="SingleTxtG"/>
      </w:pPr>
      <w:r>
        <w:t>7.</w:t>
      </w:r>
      <w:r>
        <w:tab/>
        <w:t>Мозамбик граничит с Танзанией на севере, Южной Африкой (</w:t>
      </w:r>
      <w:proofErr w:type="spellStart"/>
      <w:r>
        <w:t>Квазулу</w:t>
      </w:r>
      <w:proofErr w:type="spellEnd"/>
      <w:r>
        <w:t xml:space="preserve"> </w:t>
      </w:r>
      <w:proofErr w:type="spellStart"/>
      <w:r>
        <w:t>Натал</w:t>
      </w:r>
      <w:proofErr w:type="spellEnd"/>
      <w:r>
        <w:t xml:space="preserve">) и Свазилендом (Эсватини) </w:t>
      </w:r>
      <w:r w:rsidR="002A0501" w:rsidRPr="002A0501">
        <w:t>—</w:t>
      </w:r>
      <w:r>
        <w:t xml:space="preserve"> на юге, с Малави, Замбией, Зимбабве и Южной Африкой</w:t>
      </w:r>
      <w:r w:rsidR="002A0501">
        <w:rPr>
          <w:lang w:val="en-US"/>
        </w:rPr>
        <w:t> </w:t>
      </w:r>
      <w:r w:rsidR="002A0501" w:rsidRPr="002A0501">
        <w:t>—</w:t>
      </w:r>
      <w:r>
        <w:t xml:space="preserve"> на западе, а его восточные границы омывает Индийский океан. Мозамбик является членом Сообщества по вопросам развития стран юга Африки (САДК). </w:t>
      </w:r>
    </w:p>
    <w:p w14:paraId="4A128B2B" w14:textId="77777777" w:rsidR="001D7558" w:rsidRDefault="002A0501" w:rsidP="002A0501">
      <w:pPr>
        <w:pStyle w:val="H1G"/>
      </w:pPr>
      <w:r>
        <w:tab/>
      </w:r>
      <w:r w:rsidR="001D7558">
        <w:t>B.</w:t>
      </w:r>
      <w:r w:rsidR="001D7558">
        <w:tab/>
        <w:t>Демографический состав населения</w:t>
      </w:r>
    </w:p>
    <w:p w14:paraId="4471C2B5" w14:textId="77777777" w:rsidR="001D7558" w:rsidRDefault="001D7558" w:rsidP="001D7558">
      <w:pPr>
        <w:pStyle w:val="SingleTxtG"/>
      </w:pPr>
      <w:r>
        <w:t>8.</w:t>
      </w:r>
      <w:r>
        <w:tab/>
        <w:t>По данным переписи населения 2007 года, в стране насчитывалось приблизительно 475 011 инвалидов, что было эквивалентно 2,3</w:t>
      </w:r>
      <w:r w:rsidR="002A0501" w:rsidRPr="002A0501">
        <w:t xml:space="preserve"> </w:t>
      </w:r>
      <w:r>
        <w:t>% от общей численности населения Мозамбика, которая на тот момент составляла 23</w:t>
      </w:r>
      <w:r w:rsidR="002A0501">
        <w:rPr>
          <w:lang w:val="en-US"/>
        </w:rPr>
        <w:t> </w:t>
      </w:r>
      <w:r>
        <w:t>700</w:t>
      </w:r>
      <w:r w:rsidR="002A0501">
        <w:rPr>
          <w:lang w:val="en-US"/>
        </w:rPr>
        <w:t> </w:t>
      </w:r>
      <w:r>
        <w:t>715</w:t>
      </w:r>
      <w:r w:rsidR="002A0501">
        <w:rPr>
          <w:lang w:val="en-US"/>
        </w:rPr>
        <w:t> </w:t>
      </w:r>
      <w:r>
        <w:t>человек. В ходе переписи также указывались причины инвалидности, которые с учетом полученных данных затем были расположены в следующем порядке значимости: заболевания (57,9</w:t>
      </w:r>
      <w:r w:rsidR="002A0501" w:rsidRPr="002A0501">
        <w:t xml:space="preserve"> </w:t>
      </w:r>
      <w:r>
        <w:t>%); инвалидность с рождения (33,1</w:t>
      </w:r>
      <w:r w:rsidR="002A0501" w:rsidRPr="002A0501">
        <w:t xml:space="preserve"> </w:t>
      </w:r>
      <w:r>
        <w:t>%) и иные причины</w:t>
      </w:r>
      <w:r w:rsidR="002A0501">
        <w:rPr>
          <w:lang w:val="en-US"/>
        </w:rPr>
        <w:t> </w:t>
      </w:r>
      <w:r>
        <w:t>(6,8</w:t>
      </w:r>
      <w:r w:rsidR="002A0501" w:rsidRPr="002A0501">
        <w:t xml:space="preserve"> </w:t>
      </w:r>
      <w:r>
        <w:t>%). Кроме того, в рамках переписи была собрана информация о видах инвалидности, таких как ампутация нижних конечностей, ног (20,7</w:t>
      </w:r>
      <w:r w:rsidR="002A0501" w:rsidRPr="002A0501">
        <w:t xml:space="preserve"> </w:t>
      </w:r>
      <w:r>
        <w:t>%), потеря слуха (12,7</w:t>
      </w:r>
      <w:r w:rsidR="002A0501" w:rsidRPr="002A0501">
        <w:t xml:space="preserve"> </w:t>
      </w:r>
      <w:r>
        <w:t>%), потеря зрения (9,4</w:t>
      </w:r>
      <w:r w:rsidR="002A0501" w:rsidRPr="002A0501">
        <w:t xml:space="preserve"> </w:t>
      </w:r>
      <w:r>
        <w:t>%), психические расстройства (8,5</w:t>
      </w:r>
      <w:r w:rsidR="002A0501" w:rsidRPr="002A0501">
        <w:t xml:space="preserve"> </w:t>
      </w:r>
      <w:r>
        <w:t xml:space="preserve">%), ампутация верхних </w:t>
      </w:r>
      <w:r>
        <w:lastRenderedPageBreak/>
        <w:t>конечностей, рук (8,2</w:t>
      </w:r>
      <w:r w:rsidR="002A0501" w:rsidRPr="002A0501">
        <w:t xml:space="preserve"> </w:t>
      </w:r>
      <w:r>
        <w:t>%), паралич (7,3</w:t>
      </w:r>
      <w:r w:rsidR="002A0501" w:rsidRPr="002A0501">
        <w:t xml:space="preserve"> </w:t>
      </w:r>
      <w:r>
        <w:t>%) и прочие виды инвалидности (35,2</w:t>
      </w:r>
      <w:r w:rsidR="002A0501" w:rsidRPr="002A0501">
        <w:t xml:space="preserve"> </w:t>
      </w:r>
      <w:r>
        <w:t xml:space="preserve">%). Источник </w:t>
      </w:r>
      <w:r w:rsidR="002A0501" w:rsidRPr="008063FA">
        <w:t>—</w:t>
      </w:r>
      <w:r>
        <w:t xml:space="preserve"> INE 2007. </w:t>
      </w:r>
    </w:p>
    <w:p w14:paraId="5B475FE3" w14:textId="77777777" w:rsidR="001D7558" w:rsidRDefault="001D7558" w:rsidP="001D7558">
      <w:pPr>
        <w:pStyle w:val="SingleTxtG"/>
      </w:pPr>
      <w:r>
        <w:t>9.</w:t>
      </w:r>
      <w:r>
        <w:tab/>
        <w:t>В августе 2017 года была проведена еще одна всеобщая перепись населения, предварительные результаты которой показали, что общая численность населения Мозамбика оценивается в 28 861 863 человека, однако подробные и окончательные результаты о лицах с инвалидностью еще не опубликованы.</w:t>
      </w:r>
    </w:p>
    <w:p w14:paraId="5C3661E7" w14:textId="77777777" w:rsidR="001D7558" w:rsidRDefault="001D7558" w:rsidP="001D7558">
      <w:pPr>
        <w:pStyle w:val="SingleTxtG"/>
      </w:pPr>
      <w:r>
        <w:t>10.</w:t>
      </w:r>
      <w:r>
        <w:tab/>
        <w:t>Население Мозамбика проживает преимущественно в сельских районах, при этом его плотность сильно варьируется: этот показатель является самым высоким в городе Мапуту, где он составляет около 4139 человек на квадратный километр, а</w:t>
      </w:r>
      <w:r w:rsidR="002A0501">
        <w:rPr>
          <w:lang w:val="en-US"/>
        </w:rPr>
        <w:t> </w:t>
      </w:r>
      <w:r>
        <w:t xml:space="preserve">самым низким в провинции Ньяса </w:t>
      </w:r>
      <w:r w:rsidR="002A0501" w:rsidRPr="002A0501">
        <w:t>—</w:t>
      </w:r>
      <w:r>
        <w:t xml:space="preserve"> приблизительно 13 человек на квадратный километр. Средняя плотность населения в стране составляет около 32 человек на квадратный километр (INE, </w:t>
      </w:r>
      <w:proofErr w:type="spellStart"/>
      <w:r>
        <w:t>Culture</w:t>
      </w:r>
      <w:proofErr w:type="spellEnd"/>
      <w:r>
        <w:t xml:space="preserve"> </w:t>
      </w:r>
      <w:proofErr w:type="spellStart"/>
      <w:r>
        <w:t>Statistics</w:t>
      </w:r>
      <w:proofErr w:type="spellEnd"/>
      <w:r>
        <w:t>, 2015).</w:t>
      </w:r>
    </w:p>
    <w:p w14:paraId="2D56BDFA" w14:textId="77777777" w:rsidR="001D7558" w:rsidRDefault="00EB540D" w:rsidP="00EB540D">
      <w:pPr>
        <w:pStyle w:val="H1G"/>
      </w:pPr>
      <w:r>
        <w:tab/>
      </w:r>
      <w:r w:rsidR="001D7558">
        <w:t>C.</w:t>
      </w:r>
      <w:r w:rsidR="001D7558">
        <w:tab/>
        <w:t xml:space="preserve">Культура и религия </w:t>
      </w:r>
    </w:p>
    <w:p w14:paraId="73C2D83D" w14:textId="77777777" w:rsidR="001D7558" w:rsidRDefault="001D7558" w:rsidP="001D7558">
      <w:pPr>
        <w:pStyle w:val="SingleTxtG"/>
      </w:pPr>
      <w:r>
        <w:t>11.</w:t>
      </w:r>
      <w:r>
        <w:tab/>
        <w:t>Культура является важным инструментом патриотического воспитания и укрепления национального единства. Пение, танцы, поэзия, скульптура, живопись и другие формы культурного самовыражения всегда играли важную роль в мобилизации граждан Мозамбика на борьбу за сохранение и отстаивание культурного достоинства.</w:t>
      </w:r>
    </w:p>
    <w:p w14:paraId="14EE93C0" w14:textId="77777777" w:rsidR="001D7558" w:rsidRDefault="001D7558" w:rsidP="001D7558">
      <w:pPr>
        <w:pStyle w:val="SingleTxtG"/>
      </w:pPr>
      <w:r>
        <w:t>12.</w:t>
      </w:r>
      <w:r>
        <w:tab/>
        <w:t xml:space="preserve">Официальным языком страны является португальский, но в ней существует множество национальных языков. </w:t>
      </w:r>
    </w:p>
    <w:p w14:paraId="1FA6DC55" w14:textId="77777777" w:rsidR="001D7558" w:rsidRDefault="001D7558" w:rsidP="001D7558">
      <w:pPr>
        <w:pStyle w:val="SingleTxtG"/>
      </w:pPr>
      <w:r>
        <w:t>13.</w:t>
      </w:r>
      <w:r>
        <w:tab/>
        <w:t xml:space="preserve">Что касается религии, то значительная часть населения Мозамбика, помимо африканских религий, исповедует христианство. Одной из преобладающих религий также является ислам, особенно в северной части страны. </w:t>
      </w:r>
    </w:p>
    <w:p w14:paraId="5F5F6977" w14:textId="77777777" w:rsidR="001D7558" w:rsidRDefault="001D7558" w:rsidP="001D7558">
      <w:pPr>
        <w:pStyle w:val="SingleTxtG"/>
      </w:pPr>
      <w:r>
        <w:t>14.</w:t>
      </w:r>
      <w:r>
        <w:tab/>
        <w:t xml:space="preserve">Следует отметить, что статья 12 Конституции Республики закрепляет принцип светского характера государства, в соответствии с которым религия должна быть отделена от государственной власти. Она также устанавливает, что религиозные конфессии свободны в своей организации и в осуществлении своих культовых функций и должны соблюдать законы государства. </w:t>
      </w:r>
    </w:p>
    <w:p w14:paraId="6A5DEA19" w14:textId="77777777" w:rsidR="001D7558" w:rsidRDefault="00EB540D" w:rsidP="00EB540D">
      <w:pPr>
        <w:pStyle w:val="H1G"/>
      </w:pPr>
      <w:r>
        <w:tab/>
      </w:r>
      <w:r w:rsidR="001D7558">
        <w:t>D.</w:t>
      </w:r>
      <w:r w:rsidR="001D7558">
        <w:tab/>
        <w:t xml:space="preserve">Политическая, экономическая и социальная ситуация </w:t>
      </w:r>
    </w:p>
    <w:p w14:paraId="2FEAA231" w14:textId="77777777" w:rsidR="001D7558" w:rsidRDefault="001D7558" w:rsidP="001D7558">
      <w:pPr>
        <w:pStyle w:val="SingleTxtG"/>
      </w:pPr>
      <w:r>
        <w:t>15.</w:t>
      </w:r>
      <w:r>
        <w:tab/>
        <w:t>В 2014 году в стране состоялись пятые демократические и мирные президентские и парламентские выборы. Правительство уделяет приоритетное внимание политическому диалогу, подтверждая свою приверженность политической стабильности и примирению.</w:t>
      </w:r>
    </w:p>
    <w:p w14:paraId="575CF4DC" w14:textId="77777777" w:rsidR="001D7558" w:rsidRDefault="001D7558" w:rsidP="001D7558">
      <w:pPr>
        <w:pStyle w:val="SingleTxtG"/>
      </w:pPr>
      <w:r>
        <w:t>16.</w:t>
      </w:r>
      <w:r>
        <w:tab/>
        <w:t>Одной из ключевых целей повестки дня правительства является сокращение масштабов нищеты. В этой связи в 2015 году оно утвердило Национальную стратегию развития (на 2015</w:t>
      </w:r>
      <w:r w:rsidR="00EB540D" w:rsidRPr="00EB540D">
        <w:t>–</w:t>
      </w:r>
      <w:r>
        <w:t>2035 годы), направленную на повышение уровня жизни населения посредством структурной перестройки экономики, расширения и диверсификации производственной базы. Ключевыми стратегическими принципами упомянутой стратегии развития являются: a) развитие человеческого капитала; b) развитие вспомогательной производственной инфраструктуры; с) исследования, инновации и технологические разработки; d) институциональное развитие.</w:t>
      </w:r>
    </w:p>
    <w:p w14:paraId="242A8B91" w14:textId="77777777" w:rsidR="001D7558" w:rsidRDefault="001D7558" w:rsidP="001D7558">
      <w:pPr>
        <w:pStyle w:val="SingleTxtG"/>
      </w:pPr>
      <w:r>
        <w:t>17.</w:t>
      </w:r>
      <w:r>
        <w:tab/>
        <w:t>Согласно результатам обследования бюджетов семей, проведенного НИС (FBS 2014/15), масштабы нищеты в стране сократились с примерно 54</w:t>
      </w:r>
      <w:r w:rsidR="00EB540D" w:rsidRPr="00EB540D">
        <w:t xml:space="preserve"> </w:t>
      </w:r>
      <w:r>
        <w:t>% в 2008/</w:t>
      </w:r>
      <w:r w:rsidR="00EB540D" w:rsidRPr="00EB540D">
        <w:t>0</w:t>
      </w:r>
      <w:r>
        <w:t>9 году до 46,1</w:t>
      </w:r>
      <w:r w:rsidR="00EB540D" w:rsidRPr="00EB540D">
        <w:t xml:space="preserve"> </w:t>
      </w:r>
      <w:r>
        <w:t xml:space="preserve">% в 2014/15 году. Анализ по провинциям указывает на более высокий уровень бедности в </w:t>
      </w:r>
      <w:proofErr w:type="spellStart"/>
      <w:r>
        <w:t>Кабу-Делгаду</w:t>
      </w:r>
      <w:proofErr w:type="spellEnd"/>
      <w:r>
        <w:t xml:space="preserve"> (60,6</w:t>
      </w:r>
      <w:r w:rsidR="00EB540D" w:rsidRPr="00EB540D">
        <w:t xml:space="preserve"> </w:t>
      </w:r>
      <w:r>
        <w:t>%), Замбезии (57,1</w:t>
      </w:r>
      <w:r w:rsidR="00EB540D" w:rsidRPr="00EB540D">
        <w:t xml:space="preserve"> </w:t>
      </w:r>
      <w:r>
        <w:t>%) и Тете (56,1</w:t>
      </w:r>
      <w:r w:rsidR="00EB540D" w:rsidRPr="00EB540D">
        <w:t xml:space="preserve"> </w:t>
      </w:r>
      <w:r>
        <w:t xml:space="preserve">%). В городе Мапуту и провинции Мапуту зарегистрированы самые низкие показатели </w:t>
      </w:r>
      <w:r w:rsidR="00EB540D" w:rsidRPr="00EB540D">
        <w:t>—</w:t>
      </w:r>
      <w:r>
        <w:t xml:space="preserve"> соответственно 11,6</w:t>
      </w:r>
      <w:r w:rsidR="00EB540D">
        <w:rPr>
          <w:lang w:val="en-US"/>
        </w:rPr>
        <w:t> </w:t>
      </w:r>
      <w:r w:rsidR="00EB540D" w:rsidRPr="00EB540D">
        <w:t>%</w:t>
      </w:r>
      <w:r>
        <w:t xml:space="preserve"> и 18,9</w:t>
      </w:r>
      <w:r w:rsidR="00EB540D" w:rsidRPr="00EB540D">
        <w:t xml:space="preserve"> </w:t>
      </w:r>
      <w:r>
        <w:t xml:space="preserve">% (MEF, </w:t>
      </w:r>
      <w:proofErr w:type="spellStart"/>
      <w:r>
        <w:t>Poverty</w:t>
      </w:r>
      <w:proofErr w:type="spellEnd"/>
      <w:r>
        <w:t xml:space="preserve"> </w:t>
      </w:r>
      <w:proofErr w:type="spellStart"/>
      <w:r>
        <w:t>and</w:t>
      </w:r>
      <w:proofErr w:type="spellEnd"/>
      <w:r>
        <w:t xml:space="preserve"> </w:t>
      </w:r>
      <w:proofErr w:type="spellStart"/>
      <w:r>
        <w:t>Welfare</w:t>
      </w:r>
      <w:proofErr w:type="spellEnd"/>
      <w:r>
        <w:t xml:space="preserve"> </w:t>
      </w:r>
      <w:proofErr w:type="spellStart"/>
      <w:r>
        <w:t>in</w:t>
      </w:r>
      <w:proofErr w:type="spellEnd"/>
      <w:r>
        <w:t xml:space="preserve"> </w:t>
      </w:r>
      <w:proofErr w:type="spellStart"/>
      <w:r>
        <w:t>Mozambique</w:t>
      </w:r>
      <w:proofErr w:type="spellEnd"/>
      <w:r>
        <w:t xml:space="preserve">: </w:t>
      </w:r>
      <w:proofErr w:type="spellStart"/>
      <w:r>
        <w:t>Fourth</w:t>
      </w:r>
      <w:proofErr w:type="spellEnd"/>
      <w:r>
        <w:t xml:space="preserve"> </w:t>
      </w:r>
      <w:proofErr w:type="spellStart"/>
      <w:r>
        <w:t>National</w:t>
      </w:r>
      <w:proofErr w:type="spellEnd"/>
      <w:r>
        <w:t xml:space="preserve"> </w:t>
      </w:r>
      <w:proofErr w:type="spellStart"/>
      <w:r>
        <w:t>Assessment</w:t>
      </w:r>
      <w:proofErr w:type="spellEnd"/>
      <w:r>
        <w:t>, 2016).</w:t>
      </w:r>
    </w:p>
    <w:p w14:paraId="0F3905E2" w14:textId="77777777" w:rsidR="001D7558" w:rsidRDefault="001D7558" w:rsidP="001D7558">
      <w:pPr>
        <w:pStyle w:val="SingleTxtG"/>
      </w:pPr>
      <w:r>
        <w:t>18.</w:t>
      </w:r>
      <w:r>
        <w:tab/>
        <w:t xml:space="preserve">Данные о развитии человеческого потенциала свидетельствуют об улучшении доступа к медицинскому обслуживанию, образованию (как к начальному, так и к среднему), социальной защите, особенно в сельских районах, а также о владении </w:t>
      </w:r>
      <w:r>
        <w:lastRenderedPageBreak/>
        <w:t>домашними хозяйствами долгосрочными активами и качестве жилья, что свидетельствует о позитивных тенденциях в достижении стратегических приоритетов правительства. Эти улучшения являются результатом расширения социальной инфраструктуры и инвестиций в базовые (</w:t>
      </w:r>
      <w:proofErr w:type="spellStart"/>
      <w:r>
        <w:t>ненакопительные</w:t>
      </w:r>
      <w:proofErr w:type="spellEnd"/>
      <w:r>
        <w:t>), накопительные и дополнительные схемы социального обеспечения.</w:t>
      </w:r>
    </w:p>
    <w:p w14:paraId="19A3582A" w14:textId="77777777" w:rsidR="001D7558" w:rsidRDefault="001D7558" w:rsidP="001D7558">
      <w:pPr>
        <w:pStyle w:val="SingleTxtG"/>
      </w:pPr>
      <w:r>
        <w:t>19.</w:t>
      </w:r>
      <w:r>
        <w:tab/>
        <w:t>В период 2008/</w:t>
      </w:r>
      <w:r w:rsidR="00EB540D" w:rsidRPr="00EB540D">
        <w:t>0</w:t>
      </w:r>
      <w:r>
        <w:t>9</w:t>
      </w:r>
      <w:r w:rsidR="00EB540D" w:rsidRPr="00EB540D">
        <w:t>–</w:t>
      </w:r>
      <w:r>
        <w:t>2014/15 годов расширился доступ к питьевой воде, при этом доля домохозяйств, пользующихся надежными источниками водоснабжения, увеличилась с 40,5</w:t>
      </w:r>
      <w:r w:rsidR="00EB540D" w:rsidRPr="00EB540D">
        <w:t xml:space="preserve"> %</w:t>
      </w:r>
      <w:r>
        <w:t xml:space="preserve"> до 50,9</w:t>
      </w:r>
      <w:r w:rsidR="00EB540D" w:rsidRPr="00EB540D">
        <w:t xml:space="preserve"> </w:t>
      </w:r>
      <w:r>
        <w:t>% (FBS 2008/</w:t>
      </w:r>
      <w:r w:rsidR="00EB540D" w:rsidRPr="00EB540D">
        <w:t>0</w:t>
      </w:r>
      <w:r>
        <w:t>9 и 2014/</w:t>
      </w:r>
      <w:r w:rsidR="00EB540D" w:rsidRPr="00EB540D">
        <w:t>1</w:t>
      </w:r>
      <w:r>
        <w:t>5). В городских районах, где преобладает централизованное водоснабжение, доля населения, имеющего доступ к безопасным источникам воды, увеличилась с 64,7</w:t>
      </w:r>
      <w:r w:rsidR="00EB540D" w:rsidRPr="00EB540D">
        <w:t xml:space="preserve"> %</w:t>
      </w:r>
      <w:r>
        <w:t xml:space="preserve"> до 82,5</w:t>
      </w:r>
      <w:r w:rsidR="00EB540D" w:rsidRPr="00EB540D">
        <w:t xml:space="preserve"> </w:t>
      </w:r>
      <w:r>
        <w:t>%.</w:t>
      </w:r>
    </w:p>
    <w:p w14:paraId="2A7A0B6A" w14:textId="77777777" w:rsidR="001D7558" w:rsidRDefault="001D7558" w:rsidP="001D7558">
      <w:pPr>
        <w:pStyle w:val="SingleTxtG"/>
      </w:pPr>
      <w:r>
        <w:t>20.</w:t>
      </w:r>
      <w:r>
        <w:tab/>
        <w:t>Прогресс в области санитарии был достигнут благодаря увеличению доли домашних хозяйств, имеющих доступ к санитарным услугам, с 16</w:t>
      </w:r>
      <w:r w:rsidR="00EB540D" w:rsidRPr="00EB540D">
        <w:t xml:space="preserve"> </w:t>
      </w:r>
      <w:r>
        <w:t>% в 2008/09 году до 26,9</w:t>
      </w:r>
      <w:r w:rsidR="00EB540D" w:rsidRPr="00EB540D">
        <w:t xml:space="preserve"> </w:t>
      </w:r>
      <w:r>
        <w:t>% в 2014/15 году. Наибольшие трудности возникают в сельских районах, где доступ к санитарным услугам имеют 13,2</w:t>
      </w:r>
      <w:r w:rsidR="00EB540D" w:rsidRPr="00EB540D">
        <w:t xml:space="preserve"> </w:t>
      </w:r>
      <w:r>
        <w:t>% домохозяйств против 57,8</w:t>
      </w:r>
      <w:r w:rsidR="00EB540D" w:rsidRPr="00EB540D">
        <w:t xml:space="preserve"> </w:t>
      </w:r>
      <w:r>
        <w:t xml:space="preserve">% в городских районах (IOF 2014/15). </w:t>
      </w:r>
    </w:p>
    <w:p w14:paraId="2714B847" w14:textId="77777777" w:rsidR="001D7558" w:rsidRDefault="001D7558" w:rsidP="001D7558">
      <w:pPr>
        <w:pStyle w:val="SingleTxtG"/>
      </w:pPr>
      <w:r>
        <w:t>21.</w:t>
      </w:r>
      <w:r>
        <w:tab/>
        <w:t>Уровень неграмотности снизился с 49,9</w:t>
      </w:r>
      <w:r w:rsidR="00EB540D" w:rsidRPr="00EB540D">
        <w:t xml:space="preserve"> </w:t>
      </w:r>
      <w:r>
        <w:t>% в 2008/09 году до 44,9</w:t>
      </w:r>
      <w:r w:rsidR="00EB540D" w:rsidRPr="00EB540D">
        <w:t xml:space="preserve"> </w:t>
      </w:r>
      <w:r>
        <w:t>% в 2014/15</w:t>
      </w:r>
      <w:r w:rsidR="00EB540D">
        <w:rPr>
          <w:lang w:val="en-US"/>
        </w:rPr>
        <w:t> </w:t>
      </w:r>
      <w:r>
        <w:t>году. Сокращение наблюдалось в отношении обоих полов и во всех возрастных группах, за исключением возрастной группы от 15 до 19 лет, причем как в городских, так и в сельских районах (IOF 2008/</w:t>
      </w:r>
      <w:r w:rsidR="00EB540D" w:rsidRPr="00EB540D">
        <w:t>0</w:t>
      </w:r>
      <w:r>
        <w:t>9 и 2014/15).</w:t>
      </w:r>
    </w:p>
    <w:p w14:paraId="60EE3C4E" w14:textId="77777777" w:rsidR="001D7558" w:rsidRDefault="001D7558" w:rsidP="001D7558">
      <w:pPr>
        <w:pStyle w:val="SingleTxtG"/>
      </w:pPr>
      <w:r>
        <w:t>22.</w:t>
      </w:r>
      <w:r>
        <w:tab/>
        <w:t>Доля населения, имеющего доступ к школьному образованию, увеличилась с 59,6</w:t>
      </w:r>
      <w:r w:rsidR="00EB540D" w:rsidRPr="00EB540D">
        <w:t xml:space="preserve"> </w:t>
      </w:r>
      <w:r>
        <w:t>% в 2008 году до 67,6</w:t>
      </w:r>
      <w:r w:rsidR="00EB540D" w:rsidRPr="00EB540D">
        <w:t xml:space="preserve"> </w:t>
      </w:r>
      <w:r>
        <w:t>% в 2014/15 году (IOF, 2008/</w:t>
      </w:r>
      <w:r w:rsidR="005E7DBA" w:rsidRPr="005E7DBA">
        <w:t>0</w:t>
      </w:r>
      <w:r>
        <w:t>9 и 2014/15).</w:t>
      </w:r>
    </w:p>
    <w:p w14:paraId="2E8C653D" w14:textId="77777777" w:rsidR="001D7558" w:rsidRDefault="001D7558" w:rsidP="001D7558">
      <w:pPr>
        <w:pStyle w:val="SingleTxtG"/>
      </w:pPr>
      <w:r>
        <w:t>23.</w:t>
      </w:r>
      <w:r>
        <w:tab/>
        <w:t>Распространенность ВИЧ/СПИДа среди населения в возрасте от 15 до 49 лет составляет около 13,2</w:t>
      </w:r>
      <w:r w:rsidR="005E7DBA" w:rsidRPr="005E7DBA">
        <w:t xml:space="preserve"> </w:t>
      </w:r>
      <w:r>
        <w:t>%, при этом среди женщин (15,4</w:t>
      </w:r>
      <w:r w:rsidR="005E7DBA" w:rsidRPr="005E7DBA">
        <w:t xml:space="preserve"> </w:t>
      </w:r>
      <w:r>
        <w:t>%) она выше, чем среди мужчин (10,1</w:t>
      </w:r>
      <w:r w:rsidR="005E7DBA" w:rsidRPr="005E7DBA">
        <w:t xml:space="preserve"> </w:t>
      </w:r>
      <w:r>
        <w:t>%). К началу 2015 год</w:t>
      </w:r>
      <w:r w:rsidR="005E7DBA">
        <w:t>а</w:t>
      </w:r>
      <w:r>
        <w:t xml:space="preserve"> в Мозамбике насчитывалось в общей сложности приблизительно 1,5 миллиона ВИЧ-инфицированных.</w:t>
      </w:r>
    </w:p>
    <w:p w14:paraId="5B149406" w14:textId="77777777" w:rsidR="001D7558" w:rsidRDefault="001D7558" w:rsidP="001D7558">
      <w:pPr>
        <w:pStyle w:val="SingleTxtG"/>
      </w:pPr>
      <w:r>
        <w:t>24.</w:t>
      </w:r>
      <w:r>
        <w:tab/>
        <w:t>Одной из основных проблем, стоящих перед системой здравоохранения Мозамбика, является малярия, из-за которой в стране велики показатели заболеваемости и смертности, инвалидности и нищеты. Согласно данным обследования ИМАСИДА, 2015 год, показатель заболеваемости малярией среди детей в возрасте 6</w:t>
      </w:r>
      <w:r w:rsidR="005E7DBA">
        <w:t>–</w:t>
      </w:r>
      <w:r>
        <w:t>59 месяцев увеличился за период 2011</w:t>
      </w:r>
      <w:r w:rsidR="005E7DBA">
        <w:t>–</w:t>
      </w:r>
      <w:r>
        <w:t>2015 годов с 35</w:t>
      </w:r>
      <w:r w:rsidR="005E7DBA">
        <w:t xml:space="preserve"> %</w:t>
      </w:r>
      <w:r>
        <w:t xml:space="preserve"> до 40</w:t>
      </w:r>
      <w:r w:rsidR="005E7DBA">
        <w:t xml:space="preserve"> </w:t>
      </w:r>
      <w:r>
        <w:t>%, причем в сельских районах (47</w:t>
      </w:r>
      <w:r w:rsidR="005E7DBA">
        <w:t xml:space="preserve"> </w:t>
      </w:r>
      <w:r>
        <w:t>%) он был выше, чем в городских (19</w:t>
      </w:r>
      <w:r w:rsidR="005E7DBA">
        <w:t xml:space="preserve"> </w:t>
      </w:r>
      <w:r>
        <w:t>%).</w:t>
      </w:r>
    </w:p>
    <w:p w14:paraId="3F7F933B" w14:textId="77777777" w:rsidR="001D7558" w:rsidRDefault="001D7558" w:rsidP="001D7558">
      <w:pPr>
        <w:pStyle w:val="SingleTxtG"/>
      </w:pPr>
      <w:r>
        <w:t>25.</w:t>
      </w:r>
      <w:r>
        <w:tab/>
        <w:t>Мозамбик подвержен таким стихийным бедствиям, как засухи, циклоны и наводнения, которые имеют негативные социально-экономические последствия. Наводнения приводят к гибели людей и перемещению населения. Они негативно сказываются на экономической и социальной деятельности, а также вызывают повреждение и разрушение таких объектов инфраструктуры, как дороги, мосты, больницы и школы. В последние годы были зарегистрированы землетрясения малой магнитуды.</w:t>
      </w:r>
    </w:p>
    <w:p w14:paraId="1C400B3D" w14:textId="77777777" w:rsidR="001D7558" w:rsidRDefault="001D7558" w:rsidP="001D7558">
      <w:pPr>
        <w:pStyle w:val="SingleTxtG"/>
      </w:pPr>
      <w:r>
        <w:t>26.</w:t>
      </w:r>
      <w:r>
        <w:tab/>
        <w:t>Мозамбик добился прогресса в достижении Целей в области устойчивого развития, о чем, в частности, свидетельствует улучшение показателей социальной защиты, здравоохранения, образования, водоснабжения и санитарии. Вместе с тем существуют проблемы в части улучшения доступа к качественным базовым социальным услугам, увеличения финансирования для расширения программ социальной защиты и устранения препятствий на пути полного осуществления прав инвалидов, таких как нищета, насилие и вредная социальная практика. Поэтому необходимо продолжать усилия по обеспечению поощрения и защиты прав этой группы населения.</w:t>
      </w:r>
    </w:p>
    <w:p w14:paraId="5FFBDD9A" w14:textId="77777777" w:rsidR="001D7558" w:rsidRDefault="005E7DBA" w:rsidP="005E7DBA">
      <w:pPr>
        <w:pStyle w:val="HChG"/>
      </w:pPr>
      <w:r>
        <w:lastRenderedPageBreak/>
        <w:tab/>
      </w:r>
      <w:r w:rsidR="001D7558">
        <w:t>IV.</w:t>
      </w:r>
      <w:r w:rsidR="001D7558">
        <w:tab/>
        <w:t xml:space="preserve">Общие рамки защиты и поощрения прав инвалидов </w:t>
      </w:r>
    </w:p>
    <w:p w14:paraId="5C7150DC" w14:textId="77777777" w:rsidR="001D7558" w:rsidRDefault="005E7DBA" w:rsidP="005E7DBA">
      <w:pPr>
        <w:pStyle w:val="H1G"/>
      </w:pPr>
      <w:r>
        <w:tab/>
      </w:r>
      <w:r w:rsidR="001D7558">
        <w:t>A.</w:t>
      </w:r>
      <w:r w:rsidR="001D7558">
        <w:tab/>
        <w:t xml:space="preserve">Правовые положения </w:t>
      </w:r>
    </w:p>
    <w:p w14:paraId="0237E1B1" w14:textId="77777777" w:rsidR="001D7558" w:rsidRDefault="001D7558" w:rsidP="001D7558">
      <w:pPr>
        <w:pStyle w:val="SingleTxtG"/>
      </w:pPr>
      <w:r>
        <w:t>27.</w:t>
      </w:r>
      <w:r>
        <w:tab/>
        <w:t xml:space="preserve">Конституция Республики устанавливает равенство граждан Мозамбика без какого бы то ни было различия, в частности ее статьи 35, 37 и 125, которые упоминаются ниже: </w:t>
      </w:r>
    </w:p>
    <w:p w14:paraId="34D9E7A4" w14:textId="77777777" w:rsidR="001D7558" w:rsidRDefault="001D7558" w:rsidP="005E7DBA">
      <w:pPr>
        <w:pStyle w:val="Bullet1G"/>
      </w:pPr>
      <w:r>
        <w:tab/>
        <w:t xml:space="preserve">Статья 35, </w:t>
      </w:r>
      <w:r w:rsidR="005E7DBA">
        <w:t>«</w:t>
      </w:r>
      <w:r>
        <w:t>Все граждане равны перед законом, пользуются одинаковыми правами и имеют одинаковые обязанности независимо от цвета кожи, расы, пола, этнического происхождения, места рождения, вероисповедания, уровня образования, статуса, семейного положения родителей, профессии и политических убеждений</w:t>
      </w:r>
      <w:r w:rsidR="005E7DBA">
        <w:t>»</w:t>
      </w:r>
      <w:r w:rsidR="005E7DBA">
        <w:rPr>
          <w:rStyle w:val="aa"/>
        </w:rPr>
        <w:footnoteReference w:id="2"/>
      </w:r>
      <w:r>
        <w:t xml:space="preserve">. </w:t>
      </w:r>
    </w:p>
    <w:p w14:paraId="26985C18" w14:textId="77777777" w:rsidR="001D7558" w:rsidRDefault="001D7558" w:rsidP="005E7DBA">
      <w:pPr>
        <w:pStyle w:val="Bullet1G"/>
      </w:pPr>
      <w:r>
        <w:tab/>
        <w:t xml:space="preserve">Статья 37, </w:t>
      </w:r>
      <w:r w:rsidR="005E7DBA">
        <w:t>«</w:t>
      </w:r>
      <w:r>
        <w:t>Граждане-инвалиды в полном объеме пользуются правами, закрепленными в Конституции Республики, и несут те же обязанности, что и другие граждане, за исключением тех, которые они не способны выполнять в силу своей инвалидности</w:t>
      </w:r>
      <w:r w:rsidR="005E7DBA">
        <w:t>»</w:t>
      </w:r>
      <w:r>
        <w:t>.</w:t>
      </w:r>
    </w:p>
    <w:p w14:paraId="3E11C336" w14:textId="77777777" w:rsidR="001D7558" w:rsidRDefault="001D7558" w:rsidP="005E7DBA">
      <w:pPr>
        <w:pStyle w:val="Bullet1G"/>
      </w:pPr>
      <w:r>
        <w:tab/>
        <w:t xml:space="preserve">Статья 125, пункт 1, </w:t>
      </w:r>
      <w:r w:rsidR="005E7DBA">
        <w:t>«</w:t>
      </w:r>
      <w:r>
        <w:t>Граждане-инвалиды имеют права на особую защиту со стороны общества и государства</w:t>
      </w:r>
      <w:r w:rsidR="005E7DBA">
        <w:t>»</w:t>
      </w:r>
      <w:r>
        <w:t>.</w:t>
      </w:r>
    </w:p>
    <w:p w14:paraId="4A7AB4D3" w14:textId="77777777" w:rsidR="001D7558" w:rsidRDefault="001D7558" w:rsidP="001D7558">
      <w:pPr>
        <w:pStyle w:val="SingleTxtG"/>
      </w:pPr>
      <w:r>
        <w:t>28.</w:t>
      </w:r>
      <w:r>
        <w:tab/>
        <w:t xml:space="preserve">Страна приняла другие положения, направленные на обеспечение равных прав и возможностей для граждан при одновременном поощрении уважения многообразия и прав инвалидов, а именно: </w:t>
      </w:r>
    </w:p>
    <w:p w14:paraId="6077E40F" w14:textId="77777777" w:rsidR="001D7558" w:rsidRDefault="001D7558" w:rsidP="001D7558">
      <w:pPr>
        <w:pStyle w:val="SingleTxtG"/>
      </w:pPr>
      <w:r>
        <w:tab/>
        <w:t>а)</w:t>
      </w:r>
      <w:r>
        <w:tab/>
        <w:t>Закон о труде (Закон № 23/2007 от 1 августа), в статье 28 которого рекомендуется принимать адекватные меры для обеспечения инвалидов надлежащей работой и наделения их одинаковыми с другими трудящимися правами и обязанностями в части доступа к трудоустройству, профессиональной подготовки и развития карьеры;</w:t>
      </w:r>
    </w:p>
    <w:p w14:paraId="7274F261" w14:textId="77777777" w:rsidR="001D7558" w:rsidRDefault="001D7558" w:rsidP="001D7558">
      <w:pPr>
        <w:pStyle w:val="SingleTxtG"/>
      </w:pPr>
      <w:r>
        <w:tab/>
        <w:t>b)</w:t>
      </w:r>
      <w:r>
        <w:tab/>
        <w:t xml:space="preserve">Закон о национальной системе образования (Закон № 6/92 от 6 мая), который гласит, что </w:t>
      </w:r>
      <w:r w:rsidR="005E7DBA">
        <w:t>«</w:t>
      </w:r>
      <w:r>
        <w:t>право на образование имеют все граждане</w:t>
      </w:r>
      <w:r w:rsidR="005E7DBA">
        <w:t>»</w:t>
      </w:r>
      <w:r>
        <w:t>, включая инвалидов, без какой бы то ни было дискриминации;</w:t>
      </w:r>
    </w:p>
    <w:p w14:paraId="0B8378C4" w14:textId="77777777" w:rsidR="001D7558" w:rsidRDefault="001D7558" w:rsidP="001D7558">
      <w:pPr>
        <w:pStyle w:val="SingleTxtG"/>
      </w:pPr>
      <w:r>
        <w:tab/>
        <w:t>с)</w:t>
      </w:r>
      <w:r>
        <w:tab/>
        <w:t>Закон о спорте (Закон № 11/2002 от 12 марта), который направлен на приобщение всех граждан, включая инвалидов, к занятию спортом;</w:t>
      </w:r>
    </w:p>
    <w:p w14:paraId="4DBC9EB1" w14:textId="77777777" w:rsidR="001D7558" w:rsidRDefault="001D7558" w:rsidP="001D7558">
      <w:pPr>
        <w:pStyle w:val="SingleTxtG"/>
      </w:pPr>
      <w:r>
        <w:tab/>
        <w:t>d)</w:t>
      </w:r>
      <w:r>
        <w:tab/>
        <w:t>Закон о медицинской помощи и лекарственном обеспечении (Закон</w:t>
      </w:r>
      <w:r w:rsidR="005E7DBA">
        <w:t> </w:t>
      </w:r>
      <w:r>
        <w:t>№</w:t>
      </w:r>
      <w:r w:rsidR="005E7DBA">
        <w:t> </w:t>
      </w:r>
      <w:r>
        <w:t>4/87 от 19 января), в соответствии с которым первичная медицинская помощь и лекарства должны бесплатно предоставляться всем гражданам, включая инвалидов;</w:t>
      </w:r>
    </w:p>
    <w:p w14:paraId="5820BB93" w14:textId="77777777" w:rsidR="001D7558" w:rsidRDefault="001D7558" w:rsidP="001D7558">
      <w:pPr>
        <w:pStyle w:val="SingleTxtG"/>
      </w:pPr>
      <w:r>
        <w:tab/>
        <w:t>e)</w:t>
      </w:r>
      <w:r>
        <w:tab/>
        <w:t>Закон о семье (Закон № 10/2004 от 25 августа), который закрепляет равенство прав мужчин и женщин в семье; государство также признает семью в качестве одного из основных элементов и первичной ячейки общества;</w:t>
      </w:r>
    </w:p>
    <w:p w14:paraId="7AC8D6FB" w14:textId="77777777" w:rsidR="001D7558" w:rsidRDefault="001D7558" w:rsidP="001D7558">
      <w:pPr>
        <w:pStyle w:val="SingleTxtG"/>
      </w:pPr>
      <w:r>
        <w:tab/>
        <w:t>f)</w:t>
      </w:r>
      <w:r>
        <w:tab/>
        <w:t xml:space="preserve">Закон о бытовом насилии в отношении женщин (Закон </w:t>
      </w:r>
      <w:r w:rsidR="005E7DBA">
        <w:t xml:space="preserve">№ </w:t>
      </w:r>
      <w:r>
        <w:t>29/2009 от 29</w:t>
      </w:r>
      <w:r w:rsidR="005E7DBA">
        <w:t> </w:t>
      </w:r>
      <w:r>
        <w:t>сентября), который направлен на предупреждение бытового насилия, обеспечение жертвам необходимой защиты, наказание правонарушителей и создание инструментов, необходимых государственным органам для ликвидации бытового насилия;</w:t>
      </w:r>
    </w:p>
    <w:p w14:paraId="05EC608F" w14:textId="77777777" w:rsidR="001D7558" w:rsidRDefault="001D7558" w:rsidP="001D7558">
      <w:pPr>
        <w:pStyle w:val="SingleTxtG"/>
      </w:pPr>
      <w:r>
        <w:tab/>
        <w:t>g)</w:t>
      </w:r>
      <w:r>
        <w:tab/>
        <w:t>Закон о системе социальной защиты (Закон № 4/2007 от 7 февраля), в</w:t>
      </w:r>
      <w:r w:rsidR="005E7DBA">
        <w:t> </w:t>
      </w:r>
      <w:r>
        <w:t>котором определена структура системы социальной защиты. В этом Законе также затрагиваются вопросы, связанные с правом на равную социальную защиту для всех людей, а также право инвалидов на создание семьи, здоровье, образование и особую защиту;</w:t>
      </w:r>
    </w:p>
    <w:p w14:paraId="58410DB6" w14:textId="77777777" w:rsidR="001D7558" w:rsidRDefault="001D7558" w:rsidP="001D7558">
      <w:pPr>
        <w:pStyle w:val="SingleTxtG"/>
      </w:pPr>
      <w:r>
        <w:tab/>
        <w:t>h)</w:t>
      </w:r>
      <w:r>
        <w:tab/>
        <w:t>Правила перевозок пассажиров (Декрет-закон № 11/2009 от 29 мая), в</w:t>
      </w:r>
      <w:r w:rsidR="006D3015">
        <w:t> </w:t>
      </w:r>
      <w:r>
        <w:t xml:space="preserve">соответствии с которыми люди с ограниченными возможностями освобождаются от </w:t>
      </w:r>
      <w:r>
        <w:lastRenderedPageBreak/>
        <w:t>платы за проезд в общественном транспорте, и им предоставляется 50</w:t>
      </w:r>
      <w:r w:rsidR="006D3015">
        <w:t xml:space="preserve"> </w:t>
      </w:r>
      <w:r>
        <w:t>% скидка на проезд между провинциями;</w:t>
      </w:r>
    </w:p>
    <w:p w14:paraId="52B7EF0F" w14:textId="77777777" w:rsidR="001D7558" w:rsidRDefault="001D7558" w:rsidP="001D7558">
      <w:pPr>
        <w:pStyle w:val="SingleTxtG"/>
      </w:pPr>
      <w:r>
        <w:tab/>
        <w:t>i)</w:t>
      </w:r>
      <w:r>
        <w:tab/>
        <w:t xml:space="preserve">Правила установки и эксплуатации технических средств обеспечения доступности и использования систем обслуживания и общественных мест для лиц с физической инвалидностью или с ограниченными возможностями передвижения (Декрет № 53/2008 от 30 декабря), цель которых состоит в создании для инвалидов благоприятных условий доступа к общественным местам путем устранения архитектурных барьеров. </w:t>
      </w:r>
    </w:p>
    <w:p w14:paraId="755AFA86" w14:textId="77777777" w:rsidR="001D7558" w:rsidRDefault="006D3015" w:rsidP="006D3015">
      <w:pPr>
        <w:pStyle w:val="H1G"/>
      </w:pPr>
      <w:r>
        <w:tab/>
      </w:r>
      <w:r w:rsidR="001D7558">
        <w:t>B.</w:t>
      </w:r>
      <w:r w:rsidR="001D7558">
        <w:tab/>
        <w:t>Политика, планы и стратегии правительства</w:t>
      </w:r>
    </w:p>
    <w:p w14:paraId="3E49CBFC" w14:textId="77777777" w:rsidR="001D7558" w:rsidRDefault="001D7558" w:rsidP="001D7558">
      <w:pPr>
        <w:pStyle w:val="SingleTxtG"/>
      </w:pPr>
      <w:r>
        <w:t>29.</w:t>
      </w:r>
      <w:r>
        <w:tab/>
        <w:t xml:space="preserve">Правительство Мозамбика утвердило целый комплекс программных мер, стратегий и планов действий в интересах обеспечения социальной интеграции инвалидов, среди которых особого внимания заслуживают: </w:t>
      </w:r>
    </w:p>
    <w:p w14:paraId="30234C34" w14:textId="77777777" w:rsidR="001D7558" w:rsidRDefault="001D7558" w:rsidP="006D3015">
      <w:pPr>
        <w:pStyle w:val="Bullet1G"/>
      </w:pPr>
      <w:r>
        <w:tab/>
        <w:t>Политика в области социальных действий, которая была пересмотрена на основании Постановления</w:t>
      </w:r>
      <w:r w:rsidR="00E509D1">
        <w:t xml:space="preserve"> №</w:t>
      </w:r>
      <w:r>
        <w:t xml:space="preserve"> 46/2017 от 2 ноября, и которая призвана служить руководством для различных заинтересованных сторон в их деятельности по решению социальных проблем в стране; </w:t>
      </w:r>
    </w:p>
    <w:p w14:paraId="552F2F92" w14:textId="77777777" w:rsidR="001D7558" w:rsidRDefault="001D7558" w:rsidP="006D3015">
      <w:pPr>
        <w:pStyle w:val="Bullet1G"/>
      </w:pPr>
      <w:r>
        <w:tab/>
        <w:t xml:space="preserve">Политика в интересах инвалидов и Стратегия ее осуществления (Постановление № 20/99 от 23 июня) </w:t>
      </w:r>
      <w:r w:rsidR="006D3015">
        <w:t>—</w:t>
      </w:r>
      <w:r>
        <w:t xml:space="preserve"> руководящий документ, определяющий приоритетные направления деятельности правительства и гражданского общества по решению проблемы инвалидности; </w:t>
      </w:r>
    </w:p>
    <w:p w14:paraId="0E40D539" w14:textId="77777777" w:rsidR="001D7558" w:rsidRDefault="001D7558" w:rsidP="006D3015">
      <w:pPr>
        <w:pStyle w:val="Bullet1G"/>
      </w:pPr>
      <w:r>
        <w:tab/>
        <w:t xml:space="preserve">Гендерная политика и Стратегия ее осуществления, утвержденные Постановлением </w:t>
      </w:r>
      <w:r w:rsidR="00E509D1">
        <w:t xml:space="preserve">№ </w:t>
      </w:r>
      <w:r>
        <w:t xml:space="preserve">19/2007 от 15 мая и пересмотренные в 2018 году, которые направлены на обеспечение участия мужчин и женщин и предоставления им доступа к равным правам и возможностям, а также того, чтобы все граждане вносили вклад в устойчивое развитие и сокращение масштабов нищеты без какой-либо дискриминации по признаку физического или сенсорного состояния; </w:t>
      </w:r>
    </w:p>
    <w:p w14:paraId="6840B5BC" w14:textId="77777777" w:rsidR="001D7558" w:rsidRDefault="001D7558" w:rsidP="006D3015">
      <w:pPr>
        <w:pStyle w:val="Bullet1G"/>
      </w:pPr>
      <w:r>
        <w:tab/>
        <w:t>Стратегия в интересах лиц с инвалидностью в государственном секторе на 2009</w:t>
      </w:r>
      <w:r w:rsidR="006D3015">
        <w:t>–</w:t>
      </w:r>
      <w:r>
        <w:t>2013 годы (Постановление № 68/2009 от 27 ноября), которая направлена на обеспечение возможностей трудоустройства инвалидов путем закрепления прав и обязанностей, касающихся доступа к работе в государственном секторе, а также гарантий занятости;</w:t>
      </w:r>
    </w:p>
    <w:p w14:paraId="1588D8D2" w14:textId="77777777" w:rsidR="001D7558" w:rsidRDefault="001D7558" w:rsidP="006D3015">
      <w:pPr>
        <w:pStyle w:val="Bullet1G"/>
      </w:pPr>
      <w:r>
        <w:tab/>
        <w:t>Национальная стратегия в области базовой социальной защиты (НСБСЗ на 2010</w:t>
      </w:r>
      <w:r w:rsidR="006D3015">
        <w:t>–</w:t>
      </w:r>
      <w:r>
        <w:t>2014 годы и НСБСЗ на 2016</w:t>
      </w:r>
      <w:r w:rsidR="006D3015">
        <w:t>–</w:t>
      </w:r>
      <w:r>
        <w:t xml:space="preserve">2024 годы) </w:t>
      </w:r>
      <w:r w:rsidR="006D3015">
        <w:t>—</w:t>
      </w:r>
      <w:r>
        <w:t xml:space="preserve"> документ, содержащий стратегические руководящие указания в отношении деятельности по четырем основным направлениям, а именно: прямые социальные действия, здравоохранение, образование и социально-продуктивные действия. Каждое из этих направлений включает стратегии деятельности в интересах людей с инвалидностью; </w:t>
      </w:r>
    </w:p>
    <w:p w14:paraId="3DF2BCDE" w14:textId="77777777" w:rsidR="001D7558" w:rsidRDefault="001D7558" w:rsidP="006D3015">
      <w:pPr>
        <w:pStyle w:val="Bullet1G"/>
      </w:pPr>
      <w:r>
        <w:tab/>
        <w:t>Стратегический план Министерства по делам женщин и социальному обеспечению (2011</w:t>
      </w:r>
      <w:r w:rsidR="006D3015">
        <w:t>–</w:t>
      </w:r>
      <w:r>
        <w:t xml:space="preserve">2015 годы), который направлен на укрепление потенциала сектора в части принятия мер и улучшения положения в области предоставления услуг наиболее уязвимым целевым группам, таким как пожилые люди, инвалиды, дети и женщины, а также другие лица, живущие в условиях нищеты и находящиеся в уязвимом положении; </w:t>
      </w:r>
    </w:p>
    <w:p w14:paraId="24445C8E" w14:textId="77777777" w:rsidR="001D7558" w:rsidRDefault="001D7558" w:rsidP="006D3015">
      <w:pPr>
        <w:pStyle w:val="Bullet1G"/>
      </w:pPr>
      <w:r>
        <w:tab/>
        <w:t>Стратегический план Министерства образования (2012</w:t>
      </w:r>
      <w:r w:rsidR="006D3015">
        <w:t>–</w:t>
      </w:r>
      <w:r>
        <w:t>2016 годы), основное внимание в котором уделяется обеспечению качественного образования для всех детей, особенно инклюзивного образования;</w:t>
      </w:r>
    </w:p>
    <w:p w14:paraId="6D9F6722" w14:textId="77777777" w:rsidR="001D7558" w:rsidRDefault="001D7558" w:rsidP="006D3015">
      <w:pPr>
        <w:pStyle w:val="Bullet1G"/>
      </w:pPr>
      <w:r>
        <w:tab/>
        <w:t>Национальный план по вопросам инвалидности (НПИ на 2012</w:t>
      </w:r>
      <w:r w:rsidR="006D3015">
        <w:t>–</w:t>
      </w:r>
      <w:r>
        <w:t xml:space="preserve">2019 годы), который представляет собой инструмент </w:t>
      </w:r>
      <w:proofErr w:type="spellStart"/>
      <w:r>
        <w:t>многосекторального</w:t>
      </w:r>
      <w:proofErr w:type="spellEnd"/>
      <w:r>
        <w:t xml:space="preserve"> планирования основных действий в этой области и определяет стратегии, приоритеты и секторальные мероприятия, направленные на обеспечение поощрения и защиты </w:t>
      </w:r>
      <w:r>
        <w:lastRenderedPageBreak/>
        <w:t>прав, а также участия инвалидов в процессе осуществления мероприятий, призванных содействовать их социальному благополучию;</w:t>
      </w:r>
    </w:p>
    <w:p w14:paraId="1744825C" w14:textId="77777777" w:rsidR="001D7558" w:rsidRDefault="001D7558" w:rsidP="006D3015">
      <w:pPr>
        <w:pStyle w:val="Bullet1G"/>
      </w:pPr>
      <w:r>
        <w:tab/>
        <w:t>Национальный план по улучшению положения женщин на 2010</w:t>
      </w:r>
      <w:r w:rsidR="006D3015">
        <w:t>–</w:t>
      </w:r>
      <w:r>
        <w:t xml:space="preserve">2014 годы, который предусматривает принятие мер по расширению экономических и социальных прав и возможностей женщин, в том числе женщин-инвалидов. </w:t>
      </w:r>
    </w:p>
    <w:p w14:paraId="3A49B267" w14:textId="77777777" w:rsidR="001D7558" w:rsidRDefault="006D3015" w:rsidP="006D3015">
      <w:pPr>
        <w:pStyle w:val="HChG"/>
      </w:pPr>
      <w:r>
        <w:tab/>
      </w:r>
      <w:r w:rsidR="001D7558">
        <w:t>V.</w:t>
      </w:r>
      <w:r w:rsidR="001D7558">
        <w:tab/>
        <w:t>Общие меры по осуществлению Конвенции</w:t>
      </w:r>
    </w:p>
    <w:p w14:paraId="384DEEFD" w14:textId="77777777" w:rsidR="001D7558" w:rsidRDefault="001D7558" w:rsidP="001D7558">
      <w:pPr>
        <w:pStyle w:val="SingleTxtG"/>
      </w:pPr>
      <w:r>
        <w:t>30.</w:t>
      </w:r>
      <w:r>
        <w:tab/>
        <w:t xml:space="preserve">Мозамбик, будучи демократическим правовым государством, привержен своему обязательству гарантировать осуществление прав на создание свободного, справедливого и единого общества путем поощрения действий, обеспечивающих всеобщее благо на основе конституционных принципов. </w:t>
      </w:r>
    </w:p>
    <w:p w14:paraId="20D62406" w14:textId="77777777" w:rsidR="001D7558" w:rsidRDefault="001D7558" w:rsidP="001D7558">
      <w:pPr>
        <w:pStyle w:val="SingleTxtG"/>
      </w:pPr>
      <w:r>
        <w:t>31.</w:t>
      </w:r>
      <w:r>
        <w:tab/>
        <w:t>Конституция Республики Мозамбик устанавливает порядок принятия международных конвенций и их инкорпорирования во внутреннее законодательство после ратификации и опубликования в правительственном официальном бюллетене и придает им юридическую силу и легитимность.</w:t>
      </w:r>
    </w:p>
    <w:p w14:paraId="5230B1ED" w14:textId="77777777" w:rsidR="001D7558" w:rsidRDefault="001D7558" w:rsidP="001D7558">
      <w:pPr>
        <w:pStyle w:val="SingleTxtG"/>
      </w:pPr>
      <w:r>
        <w:t>32.</w:t>
      </w:r>
      <w:r>
        <w:tab/>
        <w:t>С этой целью Мозамбик проводит инклюзивную политику, основанную на конституционном признании инвалидов полноправными гражданами и подкрепленную рядом норм для поощрения и защиты прав человека инвалидов посредством осуществления различных стратегий и секторальных планов. Признано, что инвалиды как граждане играют активную роль в жизни государства и эффективно пользуются своими правами человека, что обеспечивает соблюдение принципа «Ничего для нас без нас!».</w:t>
      </w:r>
    </w:p>
    <w:p w14:paraId="3126B055" w14:textId="77777777" w:rsidR="001D7558" w:rsidRDefault="001D7558" w:rsidP="001D7558">
      <w:pPr>
        <w:pStyle w:val="SingleTxtG"/>
      </w:pPr>
      <w:r>
        <w:t>33.</w:t>
      </w:r>
      <w:r>
        <w:tab/>
        <w:t xml:space="preserve">Страна ратифицировала Конвенцию о правах инвалидов и Факультативный протокол к ней и тем самым поставила перед собой задачу привести национальное законодательство в соответствие с определением инвалидности и должным образом адаптировать свою государственную политику. Реализация принципов Конвенции на практике происходит постепенно, при этом разрабатываемые программы и планы по защите инвалидов предусматривают: </w:t>
      </w:r>
    </w:p>
    <w:p w14:paraId="3447818D" w14:textId="77777777" w:rsidR="001D7558" w:rsidRDefault="001D7558" w:rsidP="001D7558">
      <w:pPr>
        <w:pStyle w:val="SingleTxtG"/>
      </w:pPr>
      <w:r>
        <w:tab/>
        <w:t>а)</w:t>
      </w:r>
      <w:r>
        <w:tab/>
        <w:t xml:space="preserve">в краткосрочной перспективе </w:t>
      </w:r>
      <w:r w:rsidR="00C125F8">
        <w:t>—</w:t>
      </w:r>
      <w:r>
        <w:t xml:space="preserve"> всесторонний учет вопросов, связанных с инвалидностью, в различных правительственных и неправительственных программах, осуществление правил, касающихся доступа инвалидов на рынок труда и к государственным услугам, принятие мер, с тем чтобы эта целевая группа имела доступ к информации, передаваемой СМИ;</w:t>
      </w:r>
    </w:p>
    <w:p w14:paraId="3641BB71" w14:textId="77777777" w:rsidR="001D7558" w:rsidRDefault="001D7558" w:rsidP="001D7558">
      <w:pPr>
        <w:pStyle w:val="SingleTxtG"/>
      </w:pPr>
      <w:r>
        <w:tab/>
        <w:t>b)</w:t>
      </w:r>
      <w:r>
        <w:tab/>
        <w:t xml:space="preserve">в среднесрочной перспективе </w:t>
      </w:r>
      <w:r w:rsidR="00C125F8">
        <w:t>—</w:t>
      </w:r>
      <w:r>
        <w:t xml:space="preserve"> укрепление политики в области инклюзивного образования для лиц с инвалидностью; осуществление программ по устранению барьеров, которые мешают или препятствуют полноценному участию инвалидов в жизни общества;</w:t>
      </w:r>
    </w:p>
    <w:p w14:paraId="12C0A0E4" w14:textId="77777777" w:rsidR="001D7558" w:rsidRDefault="001D7558" w:rsidP="001D7558">
      <w:pPr>
        <w:pStyle w:val="SingleTxtG"/>
      </w:pPr>
      <w:r>
        <w:tab/>
        <w:t>с)</w:t>
      </w:r>
      <w:r>
        <w:tab/>
        <w:t xml:space="preserve">в долгосрочной перспективе </w:t>
      </w:r>
      <w:r w:rsidR="00C125F8">
        <w:t>—</w:t>
      </w:r>
      <w:r>
        <w:t xml:space="preserve"> разработку информационных систем и определение показателей для баз данных и статистики по инвалидам, законодательству, техническим </w:t>
      </w:r>
      <w:proofErr w:type="spellStart"/>
      <w:r>
        <w:t>ассистивным</w:t>
      </w:r>
      <w:proofErr w:type="spellEnd"/>
      <w:r>
        <w:t xml:space="preserve"> средствам, справочной литературе и подготовке. </w:t>
      </w:r>
    </w:p>
    <w:p w14:paraId="02E8FF35" w14:textId="77777777" w:rsidR="001D7558" w:rsidRDefault="001D7558" w:rsidP="001D7558">
      <w:pPr>
        <w:pStyle w:val="SingleTxtG"/>
      </w:pPr>
      <w:r>
        <w:t>34.</w:t>
      </w:r>
      <w:r>
        <w:tab/>
        <w:t xml:space="preserve">Однако по-прежнему существуют проблемы, связанные с наличием в стране надежных статистических данных для выработки предложений по различным направлениям государственной политики. </w:t>
      </w:r>
    </w:p>
    <w:p w14:paraId="3F934675" w14:textId="77777777" w:rsidR="001D7558" w:rsidRDefault="001D7558" w:rsidP="001D7558">
      <w:pPr>
        <w:pStyle w:val="SingleTxtG"/>
      </w:pPr>
      <w:r>
        <w:t>35.</w:t>
      </w:r>
      <w:r>
        <w:tab/>
        <w:t xml:space="preserve">В рассматриваемый период в стране были разработаны некоторые меры, которые способствуют применению принципов Конвенции, и которые описываются ниже. </w:t>
      </w:r>
    </w:p>
    <w:p w14:paraId="1002C4CF" w14:textId="77777777" w:rsidR="001D7558" w:rsidRDefault="001D7558" w:rsidP="00C125F8">
      <w:pPr>
        <w:pStyle w:val="H23G"/>
      </w:pPr>
      <w:r>
        <w:lastRenderedPageBreak/>
        <w:tab/>
      </w:r>
      <w:r>
        <w:tab/>
        <w:t>Статьи 1</w:t>
      </w:r>
      <w:r w:rsidR="00974910" w:rsidRPr="00974910">
        <w:t>–</w:t>
      </w:r>
      <w:r>
        <w:t xml:space="preserve">3 </w:t>
      </w:r>
      <w:r w:rsidR="00C125F8">
        <w:br/>
      </w:r>
      <w:r>
        <w:t>Цель, определения и принципы</w:t>
      </w:r>
    </w:p>
    <w:p w14:paraId="5544FC8F" w14:textId="77777777" w:rsidR="001D7558" w:rsidRDefault="001D7558" w:rsidP="001D7558">
      <w:pPr>
        <w:pStyle w:val="SingleTxtG"/>
      </w:pPr>
      <w:r>
        <w:t>36.</w:t>
      </w:r>
      <w:r>
        <w:tab/>
        <w:t>Для лучшего понимания положения дел с инвалидностью представляется целесообразным еще раз вернуться к концепции инвалидности и лиц с инвалидностью в Мозамбике.</w:t>
      </w:r>
    </w:p>
    <w:p w14:paraId="5299DF1A" w14:textId="77777777" w:rsidR="001D7558" w:rsidRDefault="001D7558" w:rsidP="001D7558">
      <w:pPr>
        <w:pStyle w:val="SingleTxtG"/>
      </w:pPr>
      <w:r>
        <w:t>37.</w:t>
      </w:r>
      <w:r>
        <w:tab/>
        <w:t>Согласно Постановлению № 20/99 от 23 июня, на основании которого была утверждена Политика в интересах инвалидов, инвалидность представляет собой любое снижение или утрату способности к нормальной жизнедеятельности в результате тех или иных ограничений.</w:t>
      </w:r>
    </w:p>
    <w:p w14:paraId="7410CA86" w14:textId="77777777" w:rsidR="001D7558" w:rsidRDefault="001D7558" w:rsidP="001D7558">
      <w:pPr>
        <w:pStyle w:val="SingleTxtG"/>
      </w:pPr>
      <w:r>
        <w:t>38.</w:t>
      </w:r>
      <w:r>
        <w:tab/>
        <w:t>Инвалиды — это лица, которые в силу врожд</w:t>
      </w:r>
      <w:r w:rsidR="00974910">
        <w:t>е</w:t>
      </w:r>
      <w:r>
        <w:t>нных или приобрет</w:t>
      </w:r>
      <w:r w:rsidR="00974910">
        <w:t>е</w:t>
      </w:r>
      <w:r>
        <w:t xml:space="preserve">нных аномалий (анатомического, физиологического, сенсорного или психического характера) ограничены в возможностях или не способны самостоятельно обеспечивать свою нормальную жизнедеятельность из-за физических и/или социальных барьеров. </w:t>
      </w:r>
    </w:p>
    <w:p w14:paraId="43366DF7" w14:textId="77777777" w:rsidR="001D7558" w:rsidRDefault="001D7558" w:rsidP="001D7558">
      <w:pPr>
        <w:pStyle w:val="SingleTxtG"/>
      </w:pPr>
      <w:r>
        <w:t>39.</w:t>
      </w:r>
      <w:r>
        <w:tab/>
        <w:t xml:space="preserve">Эти концепции и определяют подход к инвалидности, который, как это предусмотрено в Конвенции, охватывает всю совокупность категорий признаков и различные аспекты взаимодействия с социальной средой, и демонстрируют, что страна занимается вопросами социальной интеграции всех инвалидов на основе общих принципов, изложенных в статье 3 Конвенции, уделяя при этом особое внимание поощрению уважения присущего человеку достоинства, обеспечению равенства прав и возможностей и признанию особенностей инвалидов в качестве компонента людского многообразия. </w:t>
      </w:r>
    </w:p>
    <w:p w14:paraId="1A257D2A" w14:textId="77777777" w:rsidR="001D7558" w:rsidRDefault="001D7558" w:rsidP="00974910">
      <w:pPr>
        <w:pStyle w:val="H23G"/>
      </w:pPr>
      <w:r>
        <w:tab/>
      </w:r>
      <w:r>
        <w:tab/>
        <w:t xml:space="preserve">Статья 4 </w:t>
      </w:r>
      <w:r w:rsidR="00974910">
        <w:br/>
      </w:r>
      <w:r>
        <w:t xml:space="preserve">Обязательства </w:t>
      </w:r>
    </w:p>
    <w:p w14:paraId="2B3F8555" w14:textId="77777777" w:rsidR="001D7558" w:rsidRDefault="001D7558" w:rsidP="001D7558">
      <w:pPr>
        <w:pStyle w:val="SingleTxtG"/>
      </w:pPr>
      <w:r>
        <w:t>40.</w:t>
      </w:r>
      <w:r>
        <w:tab/>
        <w:t xml:space="preserve">В этой статье говорится, что </w:t>
      </w:r>
      <w:r w:rsidR="00974910">
        <w:t>«</w:t>
      </w:r>
      <w:r>
        <w:t>государства-члены принимают меры для обеспечения и поощрения полного соблюдения всех прав человека и основных свобод всех инвалидов без какой бы то ни было дискриминации по признаку инвалидности</w:t>
      </w:r>
      <w:r w:rsidR="00974910">
        <w:t>»</w:t>
      </w:r>
      <w:r>
        <w:t xml:space="preserve">. </w:t>
      </w:r>
    </w:p>
    <w:p w14:paraId="3EEAD5E3" w14:textId="77777777" w:rsidR="001D7558" w:rsidRDefault="001D7558" w:rsidP="001D7558">
      <w:pPr>
        <w:pStyle w:val="SingleTxtG"/>
      </w:pPr>
      <w:r>
        <w:t>41.</w:t>
      </w:r>
      <w:r>
        <w:tab/>
        <w:t xml:space="preserve">Статья 3 Конституции Республики, посвященная демократическому верховенству права, гласит: </w:t>
      </w:r>
      <w:r w:rsidR="00974910">
        <w:t>«</w:t>
      </w:r>
      <w:r>
        <w:t>Республика Мозамбик является государством, основывающимся на плюрализме мнений, демократических политических институтах, уважении и гарантировании основных прав и свобод человека</w:t>
      </w:r>
      <w:r w:rsidR="00974910">
        <w:t>»</w:t>
      </w:r>
      <w:r>
        <w:t xml:space="preserve">. Эта статья свидетельствует о том, что Мозамбик является государством, в котором существует свободное, справедливое и инклюзивное общество, где делается все необходимое для того, чтобы гарантировать благополучие человека. Мозамбик обязуется выполнить свои обязательства в отношении признания гражданской правосубъектности инвалидов. </w:t>
      </w:r>
    </w:p>
    <w:p w14:paraId="521C2E4B" w14:textId="77777777" w:rsidR="001D7558" w:rsidRDefault="001D7558" w:rsidP="001D7558">
      <w:pPr>
        <w:pStyle w:val="SingleTxtG"/>
      </w:pPr>
      <w:r>
        <w:t>42.</w:t>
      </w:r>
      <w:r>
        <w:tab/>
        <w:t xml:space="preserve">Статья 73 Конституции Республики о всеобщем избирательном праве гласит: </w:t>
      </w:r>
      <w:r w:rsidR="00974910">
        <w:t>«</w:t>
      </w:r>
      <w:r>
        <w:t>Народ Мозамбика осуществляет политическую власть посредством участия во всеобщих, прямых, равных, тайных и периодически проводимых выборах, на которых он избирает своих представителей, через референдумы по наиболее важным национальным вопросам и посредством постоянного демократического участия граждан в жизни нации</w:t>
      </w:r>
      <w:r w:rsidR="00974910">
        <w:t>»</w:t>
      </w:r>
      <w:r>
        <w:t>, что свидетельствует о равенстве прав всех граждан без какого бы то ни было различия, при этом к избирательным урнам инвалиды пропускаются без очереди, сообщения для них транслируются на языке жестов и им разрешено приходить в избирательные участки в сопровождении помощников.</w:t>
      </w:r>
    </w:p>
    <w:p w14:paraId="1E28E25E" w14:textId="77777777" w:rsidR="001D7558" w:rsidRDefault="001D7558" w:rsidP="001D7558">
      <w:pPr>
        <w:pStyle w:val="SingleTxtG"/>
      </w:pPr>
      <w:r>
        <w:t>43.</w:t>
      </w:r>
      <w:r>
        <w:tab/>
        <w:t xml:space="preserve">Статья 79 Конституции Республики (право на подачу петиций и жалоб) гасит: </w:t>
      </w:r>
      <w:r w:rsidR="00974910">
        <w:t>«</w:t>
      </w:r>
      <w:r>
        <w:t>Все граждане имеют право обращаться с петициями, жалобами и претензиями в компетентный орган с требованием восстановления нарушенных ими прав или в интересах общего блага</w:t>
      </w:r>
      <w:r w:rsidR="00974910">
        <w:t>»</w:t>
      </w:r>
      <w:r>
        <w:t>. Декретом № 30/2001 от 15 октября были утверждены Правила функционирования служб государственного управления, в которых приоритет в сфере государственных услуг отдается лицам с инвалидностью.</w:t>
      </w:r>
    </w:p>
    <w:p w14:paraId="2180F1F0" w14:textId="77777777" w:rsidR="001D7558" w:rsidRDefault="001D7558" w:rsidP="00974910">
      <w:pPr>
        <w:pStyle w:val="H23G"/>
      </w:pPr>
      <w:r>
        <w:lastRenderedPageBreak/>
        <w:tab/>
      </w:r>
      <w:r>
        <w:tab/>
        <w:t xml:space="preserve">Статья 5 </w:t>
      </w:r>
      <w:r w:rsidR="00974910">
        <w:br/>
      </w:r>
      <w:r>
        <w:t>Равенство и недискриминация</w:t>
      </w:r>
    </w:p>
    <w:p w14:paraId="6ACE4A18" w14:textId="77777777" w:rsidR="001D7558" w:rsidRDefault="001D7558" w:rsidP="001D7558">
      <w:pPr>
        <w:pStyle w:val="SingleTxtG"/>
      </w:pPr>
      <w:r>
        <w:t>44.</w:t>
      </w:r>
      <w:r>
        <w:tab/>
        <w:t xml:space="preserve">Эта статья гласит: </w:t>
      </w:r>
      <w:r w:rsidR="00974910">
        <w:t>«</w:t>
      </w:r>
      <w:r>
        <w:t>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r w:rsidR="00974910">
        <w:t>»</w:t>
      </w:r>
      <w:r>
        <w:t>.</w:t>
      </w:r>
    </w:p>
    <w:p w14:paraId="06FD669F" w14:textId="77777777" w:rsidR="001D7558" w:rsidRDefault="001D7558" w:rsidP="001D7558">
      <w:pPr>
        <w:pStyle w:val="SingleTxtG"/>
      </w:pPr>
      <w:r>
        <w:t>45.</w:t>
      </w:r>
      <w:r>
        <w:tab/>
        <w:t>В свою очередь Конституция Республики гласит:</w:t>
      </w:r>
    </w:p>
    <w:p w14:paraId="42568474" w14:textId="77777777" w:rsidR="001D7558" w:rsidRDefault="001D7558" w:rsidP="00C70E00">
      <w:pPr>
        <w:pStyle w:val="Bullet1G"/>
      </w:pPr>
      <w:r>
        <w:tab/>
        <w:t xml:space="preserve">Статья 35 (Принципы универсальности и равенства) </w:t>
      </w:r>
      <w:r w:rsidR="00C70E00">
        <w:t>—</w:t>
      </w:r>
      <w:r>
        <w:t xml:space="preserve"> </w:t>
      </w:r>
      <w:r w:rsidR="00C70E00">
        <w:t>«</w:t>
      </w:r>
      <w:r>
        <w:t>Все граждане равны перед законом, они пользуются одинаковыми правами и имеют одинаковые обязанности</w:t>
      </w:r>
      <w:r w:rsidR="00C70E00">
        <w:t>»</w:t>
      </w:r>
      <w:r>
        <w:t>.</w:t>
      </w:r>
    </w:p>
    <w:p w14:paraId="0C2433CE" w14:textId="77777777" w:rsidR="001D7558" w:rsidRDefault="001D7558" w:rsidP="00C70E00">
      <w:pPr>
        <w:pStyle w:val="Bullet1G"/>
      </w:pPr>
      <w:r>
        <w:tab/>
        <w:t xml:space="preserve">Статья 37 (Инвалиды) </w:t>
      </w:r>
      <w:r w:rsidR="00C70E00">
        <w:t>—</w:t>
      </w:r>
      <w:r>
        <w:t xml:space="preserve"> </w:t>
      </w:r>
      <w:r w:rsidR="00C70E00">
        <w:t>«</w:t>
      </w:r>
      <w:r>
        <w:t>Граждане с инвалидностью обладают всеми правами, провозглашенными в Конституции, и имеют равные со всеми другими гражданами обязанности, за исключением тех, которые они не могут осуществлять или выполнять по причине своей инвалидности</w:t>
      </w:r>
      <w:r w:rsidR="00C70E00">
        <w:t>»</w:t>
      </w:r>
      <w:r>
        <w:t>.</w:t>
      </w:r>
    </w:p>
    <w:p w14:paraId="63E41B42" w14:textId="77777777" w:rsidR="001D7558" w:rsidRDefault="001D7558" w:rsidP="00C70E00">
      <w:pPr>
        <w:pStyle w:val="Bullet1G"/>
      </w:pPr>
      <w:r>
        <w:tab/>
        <w:t xml:space="preserve">Пункт 3 статьи 125 (Инвалиды) </w:t>
      </w:r>
      <w:r w:rsidR="00C70E00">
        <w:t>—</w:t>
      </w:r>
      <w:r>
        <w:t xml:space="preserve"> </w:t>
      </w:r>
      <w:r w:rsidR="00C70E00">
        <w:t>«</w:t>
      </w:r>
      <w:r>
        <w:t>Государство содействует созданию необходимых условий для экономической и социальной интеграции инвалидов</w:t>
      </w:r>
      <w:r w:rsidR="00C70E00">
        <w:t>»</w:t>
      </w:r>
      <w:r>
        <w:t>.</w:t>
      </w:r>
    </w:p>
    <w:p w14:paraId="40F6A05F" w14:textId="77777777" w:rsidR="001D7558" w:rsidRDefault="001D7558" w:rsidP="00C70E00">
      <w:pPr>
        <w:pStyle w:val="H23G"/>
      </w:pPr>
      <w:r>
        <w:tab/>
      </w:r>
      <w:r>
        <w:tab/>
        <w:t xml:space="preserve">Статья 8 </w:t>
      </w:r>
      <w:r w:rsidR="00C70E00">
        <w:br/>
      </w:r>
      <w:r>
        <w:t>Просветительно-воспитательная работа</w:t>
      </w:r>
    </w:p>
    <w:p w14:paraId="50733DD8" w14:textId="77777777" w:rsidR="001D7558" w:rsidRDefault="001D7558" w:rsidP="001D7558">
      <w:pPr>
        <w:pStyle w:val="SingleTxtG"/>
      </w:pPr>
      <w:r>
        <w:t>46.</w:t>
      </w:r>
      <w:r>
        <w:tab/>
        <w:t xml:space="preserve">Эта статья гласит: </w:t>
      </w:r>
      <w:r w:rsidR="00C70E00">
        <w:t>«</w:t>
      </w:r>
      <w:r>
        <w:t>Государства-члены должны повышать просвещенность всего общества, в том числе на уровне семьи, в вопросах инвалидности и укреплять уважение прав и достоинства инвалидов</w:t>
      </w:r>
      <w:r w:rsidR="00C70E00">
        <w:t>»</w:t>
      </w:r>
      <w:r>
        <w:t xml:space="preserve">. </w:t>
      </w:r>
    </w:p>
    <w:p w14:paraId="70185F6F" w14:textId="77777777" w:rsidR="001D7558" w:rsidRDefault="001D7558" w:rsidP="001D7558">
      <w:pPr>
        <w:pStyle w:val="SingleTxtG"/>
      </w:pPr>
      <w:r>
        <w:t>47.</w:t>
      </w:r>
      <w:r>
        <w:tab/>
        <w:t>В этой связи были приняты следующие меры:</w:t>
      </w:r>
    </w:p>
    <w:p w14:paraId="7212089A" w14:textId="77777777" w:rsidR="001D7558" w:rsidRDefault="001D7558" w:rsidP="001D7558">
      <w:pPr>
        <w:pStyle w:val="SingleTxtG"/>
      </w:pPr>
      <w:r>
        <w:tab/>
        <w:t>а)</w:t>
      </w:r>
      <w:r>
        <w:tab/>
        <w:t xml:space="preserve">распространение 1500 экземпляров Декрета </w:t>
      </w:r>
      <w:r w:rsidR="00C70E00">
        <w:t xml:space="preserve">№ </w:t>
      </w:r>
      <w:r>
        <w:t>53/2008 от 30 декабря, на</w:t>
      </w:r>
      <w:r w:rsidR="00C70E00">
        <w:t> </w:t>
      </w:r>
      <w:r>
        <w:t xml:space="preserve">основании которого были утверждены Правила обеспечения доступности; </w:t>
      </w:r>
    </w:p>
    <w:p w14:paraId="38E0EFB6" w14:textId="77777777" w:rsidR="001D7558" w:rsidRDefault="001D7558" w:rsidP="001D7558">
      <w:pPr>
        <w:pStyle w:val="SingleTxtG"/>
      </w:pPr>
      <w:r>
        <w:tab/>
        <w:t>b)</w:t>
      </w:r>
      <w:r>
        <w:tab/>
        <w:t>проведение для молодых людей различного социального происхождения практических семинаров по различным темам, в том числе по проблемам инвалидов; в общей сложности в них приняли участие около 153 385 молодых людей;</w:t>
      </w:r>
    </w:p>
    <w:p w14:paraId="2858E505" w14:textId="77777777" w:rsidR="001D7558" w:rsidRDefault="001D7558" w:rsidP="001D7558">
      <w:pPr>
        <w:pStyle w:val="SingleTxtG"/>
      </w:pPr>
      <w:r>
        <w:tab/>
        <w:t>с)</w:t>
      </w:r>
      <w:r>
        <w:tab/>
        <w:t>проведение информационных мероприятий, посвященных правам инвалидов: 76 семинаров, 234 дискуссии и 1280 практических семинаров;</w:t>
      </w:r>
    </w:p>
    <w:p w14:paraId="7556CABA" w14:textId="77777777" w:rsidR="001D7558" w:rsidRDefault="001D7558" w:rsidP="001D7558">
      <w:pPr>
        <w:pStyle w:val="SingleTxtG"/>
      </w:pPr>
      <w:r>
        <w:tab/>
        <w:t>d)</w:t>
      </w:r>
      <w:r>
        <w:tab/>
        <w:t xml:space="preserve">проведение в больницах практических семинаров и внешних консультаций, посвященных правам и обязанностям пользователей и сопровождающих их лиц, а также их поведению при различных патологиях. </w:t>
      </w:r>
    </w:p>
    <w:p w14:paraId="1DAC4094" w14:textId="77777777" w:rsidR="001D7558" w:rsidRDefault="001D7558" w:rsidP="001D7558">
      <w:pPr>
        <w:pStyle w:val="SingleTxtG"/>
      </w:pPr>
      <w:r>
        <w:t>48.</w:t>
      </w:r>
      <w:r>
        <w:tab/>
        <w:t>Эти меры позволили повысить осведомленность о правах инвалидов, что способствовало снижению масштабов их стигматизации и дискриминации. В</w:t>
      </w:r>
      <w:r w:rsidR="00C70E00">
        <w:t> </w:t>
      </w:r>
      <w:r>
        <w:t>результате вопросы инвалидности уже стоят на повестке дня страны, хотя их решение должно быть более действенным для обеспечения эффективного удовлетворения потребностей инвалидов.</w:t>
      </w:r>
    </w:p>
    <w:p w14:paraId="74361CBE" w14:textId="77777777" w:rsidR="001D7558" w:rsidRDefault="001D7558" w:rsidP="00C70E00">
      <w:pPr>
        <w:pStyle w:val="H23G"/>
      </w:pPr>
      <w:r>
        <w:tab/>
      </w:r>
      <w:r>
        <w:tab/>
        <w:t xml:space="preserve">Статьи 9 и 20 </w:t>
      </w:r>
      <w:r w:rsidR="00C70E00">
        <w:br/>
      </w:r>
      <w:r>
        <w:t>Доступность и индивидуальная мобильность</w:t>
      </w:r>
    </w:p>
    <w:p w14:paraId="5AF9A0F4" w14:textId="77777777" w:rsidR="001D7558" w:rsidRDefault="001D7558" w:rsidP="001D7558">
      <w:pPr>
        <w:pStyle w:val="SingleTxtG"/>
      </w:pPr>
      <w:r>
        <w:t>49.</w:t>
      </w:r>
      <w:r>
        <w:tab/>
        <w:t>В соответствии с этими статьями государства-члены должны принимать надлежащие меры для обеспечения инвалидам доступа к физическому окружению, к</w:t>
      </w:r>
      <w:r w:rsidR="00C70E00">
        <w:t> </w:t>
      </w:r>
      <w:r>
        <w:t xml:space="preserve">транспорту, к информации и связи, включая информационно-коммуникационные технологии, а также к другим объектам и услугам, открытым или предоставляемым для населения, как в городских, так и в сельских районах. Эти меры должны также предусматривать выявление и устранение препятствий и барьеров, мешающих доступности. Государства-члены принимают эффективные меры для обеспечения как можно большей индивидуальной мобильности инвалидов. </w:t>
      </w:r>
    </w:p>
    <w:p w14:paraId="35A09B44" w14:textId="77777777" w:rsidR="001D7558" w:rsidRDefault="001D7558" w:rsidP="001D7558">
      <w:pPr>
        <w:pStyle w:val="SingleTxtG"/>
      </w:pPr>
      <w:r>
        <w:t>50.</w:t>
      </w:r>
      <w:r>
        <w:tab/>
        <w:t>В связи с этими статьями были приняты следующие меры:</w:t>
      </w:r>
    </w:p>
    <w:p w14:paraId="6D714562" w14:textId="77777777" w:rsidR="001D7558" w:rsidRDefault="001D7558" w:rsidP="001D7558">
      <w:pPr>
        <w:pStyle w:val="SingleTxtG"/>
      </w:pPr>
      <w:r>
        <w:tab/>
        <w:t>а)</w:t>
      </w:r>
      <w:r>
        <w:tab/>
        <w:t xml:space="preserve">в соответствии с Декретом </w:t>
      </w:r>
      <w:r w:rsidR="00C70E00">
        <w:t xml:space="preserve">№ </w:t>
      </w:r>
      <w:r>
        <w:t xml:space="preserve">53/2008 от 30 ноября о Правилах установки и эксплуатации технических средств обеспечения доступности и использования </w:t>
      </w:r>
      <w:r>
        <w:lastRenderedPageBreak/>
        <w:t>систем обслуживания и общественных мест для лиц с физической инвалидностью или с ограниченными возможностями передвижения на всех уровнях в рамках курсов по основам гражданственности проводятся занятия, посвященные обеспечению доступности всех общественных зданий;</w:t>
      </w:r>
    </w:p>
    <w:p w14:paraId="2D7FBDF5" w14:textId="77777777" w:rsidR="001D7558" w:rsidRDefault="001D7558" w:rsidP="001D7558">
      <w:pPr>
        <w:pStyle w:val="SingleTxtG"/>
      </w:pPr>
      <w:r>
        <w:tab/>
        <w:t>b)</w:t>
      </w:r>
      <w:r>
        <w:tab/>
        <w:t>в провинциях и дистриктах проведена проверка 634 общественных зданий (школ, больниц и других государственных административных зданий); в</w:t>
      </w:r>
      <w:r w:rsidR="00C70E00">
        <w:t> </w:t>
      </w:r>
      <w:r>
        <w:t xml:space="preserve">случаях, когда выявлялись строительные и архитектурные аспекты, не отвечавшие техническим спецификациям, изложенным в правилах обеспечения доступности, рекомендовались корректирующие меры по соответствующей адаптации этих зданий; </w:t>
      </w:r>
    </w:p>
    <w:p w14:paraId="18A73580" w14:textId="77777777" w:rsidR="001D7558" w:rsidRDefault="001D7558" w:rsidP="001D7558">
      <w:pPr>
        <w:pStyle w:val="SingleTxtG"/>
      </w:pPr>
      <w:r>
        <w:tab/>
        <w:t>с)</w:t>
      </w:r>
      <w:r>
        <w:tab/>
        <w:t xml:space="preserve">на общественных автостоянках для инвалидов оснащены парковочные места, обозначенные соответствующей разметкой; </w:t>
      </w:r>
    </w:p>
    <w:p w14:paraId="61BC2CA4" w14:textId="77777777" w:rsidR="001D7558" w:rsidRDefault="001D7558" w:rsidP="001D7558">
      <w:pPr>
        <w:pStyle w:val="SingleTxtG"/>
      </w:pPr>
      <w:r>
        <w:tab/>
        <w:t>d)</w:t>
      </w:r>
      <w:r>
        <w:tab/>
        <w:t>принят Декрет № 12/2017 от 4 мая о правовом механизме, требующем предварительного утверждения проектов государственных зданий. Цель этого Декрета состоит в том, чтобы обеспечить соблюдение правил, касающихся доступности;</w:t>
      </w:r>
    </w:p>
    <w:p w14:paraId="0B0971D0" w14:textId="77777777" w:rsidR="001D7558" w:rsidRDefault="001D7558" w:rsidP="001D7558">
      <w:pPr>
        <w:pStyle w:val="SingleTxtG"/>
      </w:pPr>
      <w:r>
        <w:tab/>
        <w:t>e)</w:t>
      </w:r>
      <w:r>
        <w:tab/>
        <w:t xml:space="preserve">созданы лаборатория и два учебно-методических центра по </w:t>
      </w:r>
      <w:proofErr w:type="spellStart"/>
      <w:r>
        <w:t>ассистивным</w:t>
      </w:r>
      <w:proofErr w:type="spellEnd"/>
      <w:r>
        <w:t xml:space="preserve"> технологиям для удовлетворения потребностей людей с нарушениями зрения.</w:t>
      </w:r>
    </w:p>
    <w:p w14:paraId="045FF110" w14:textId="77777777" w:rsidR="001D7558" w:rsidRDefault="001D7558" w:rsidP="001D7558">
      <w:pPr>
        <w:pStyle w:val="SingleTxtG"/>
      </w:pPr>
      <w:r>
        <w:t>51.</w:t>
      </w:r>
      <w:r>
        <w:tab/>
        <w:t>Информационно-просветительские мероприятия, посвященные вопросам обеспечения доступности, а также надзор и контроль в общественных зданиях способствуют самостоятельности/независимости инвалидов, нуждающихся в таких услугах, а также привлечению внимания различных поставщиков к необходимости сделать их услуги более доступными.</w:t>
      </w:r>
    </w:p>
    <w:p w14:paraId="6FAFA4A3" w14:textId="77777777" w:rsidR="001D7558" w:rsidRDefault="001D7558" w:rsidP="001D7558">
      <w:pPr>
        <w:pStyle w:val="SingleTxtG"/>
      </w:pPr>
      <w:r>
        <w:t>52.</w:t>
      </w:r>
      <w:r>
        <w:tab/>
        <w:t xml:space="preserve">С одной стороны, решение проблемы индивидуальной мобильности связано с процессами поощрения личной автономии инвалидов путем предоставления им средств компенсации, а также создания условий доступности в зданиях и общественных местах в городской среде. С другой стороны, выделение инвалидам парковочных мест и мест в общественном транспорте обеспечило их перемещение из одной точки в другую в приемлемых условиях, хотя по-прежнему существует необходимость в улучшении доступа к общественному транспорту. </w:t>
      </w:r>
    </w:p>
    <w:p w14:paraId="404BF966" w14:textId="77777777" w:rsidR="001D7558" w:rsidRDefault="00EF4536" w:rsidP="00EF4536">
      <w:pPr>
        <w:pStyle w:val="HChG"/>
      </w:pPr>
      <w:r>
        <w:tab/>
      </w:r>
      <w:r w:rsidR="001D7558">
        <w:t>VI.</w:t>
      </w:r>
      <w:r w:rsidR="001D7558">
        <w:tab/>
        <w:t>Конкретные положения</w:t>
      </w:r>
    </w:p>
    <w:p w14:paraId="3DABA562" w14:textId="77777777" w:rsidR="001D7558" w:rsidRDefault="001D7558" w:rsidP="00EF4536">
      <w:pPr>
        <w:pStyle w:val="H23G"/>
      </w:pPr>
      <w:r>
        <w:tab/>
      </w:r>
      <w:r>
        <w:tab/>
        <w:t xml:space="preserve">Статья 10 </w:t>
      </w:r>
      <w:r w:rsidR="00EF4536">
        <w:br/>
      </w:r>
      <w:r>
        <w:t>Право на жизнь</w:t>
      </w:r>
    </w:p>
    <w:p w14:paraId="7CF46695" w14:textId="77777777" w:rsidR="001D7558" w:rsidRDefault="001D7558" w:rsidP="001D7558">
      <w:pPr>
        <w:pStyle w:val="SingleTxtG"/>
      </w:pPr>
      <w:r>
        <w:t>53.</w:t>
      </w:r>
      <w:r>
        <w:tab/>
        <w:t xml:space="preserve">Эта статья гласит: </w:t>
      </w:r>
      <w:r w:rsidR="00EF4536">
        <w:t>«</w:t>
      </w:r>
      <w:r>
        <w:t>Государства-члены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r w:rsidR="00EF4536">
        <w:t>»</w:t>
      </w:r>
      <w:r>
        <w:t>.</w:t>
      </w:r>
    </w:p>
    <w:p w14:paraId="471054FE" w14:textId="77777777" w:rsidR="001D7558" w:rsidRDefault="001D7558" w:rsidP="001D7558">
      <w:pPr>
        <w:pStyle w:val="SingleTxtG"/>
      </w:pPr>
      <w:r>
        <w:t>54.</w:t>
      </w:r>
      <w:r>
        <w:tab/>
        <w:t>В Мозамбике право на жизнь закреплено в статье 40 Конституции Республики, которая гласит, что каждый гражданин имеет право на жизнь, физическую и моральную неприкосновенность и не может быть подвергнут пыткам или жестокому бесчеловечному обращению. Это право является неотъемлемым правом любого человека.</w:t>
      </w:r>
    </w:p>
    <w:p w14:paraId="58997FA5" w14:textId="77777777" w:rsidR="001D7558" w:rsidRDefault="001D7558" w:rsidP="001D7558">
      <w:pPr>
        <w:pStyle w:val="SingleTxtG"/>
      </w:pPr>
      <w:r>
        <w:t>55.</w:t>
      </w:r>
      <w:r>
        <w:tab/>
        <w:t xml:space="preserve">В целях реагирования на ситуации, связанные с нарушением права на жизнь, приняты и применяются следующие инструменты и механизмы защиты прав инвалидов: </w:t>
      </w:r>
    </w:p>
    <w:p w14:paraId="13C2C1F3" w14:textId="77777777" w:rsidR="001D7558" w:rsidRDefault="001D7558" w:rsidP="001D7558">
      <w:pPr>
        <w:pStyle w:val="SingleTxtG"/>
      </w:pPr>
      <w:r>
        <w:tab/>
        <w:t>а)</w:t>
      </w:r>
      <w:r>
        <w:tab/>
        <w:t xml:space="preserve">Гражданский кодекс и Гражданский процессуальный кодекс в своих статьях 2 и 4 гарантируют право на доступ к правосудию для всех граждан; </w:t>
      </w:r>
    </w:p>
    <w:p w14:paraId="3197350F" w14:textId="77777777" w:rsidR="001D7558" w:rsidRDefault="001D7558" w:rsidP="001D7558">
      <w:pPr>
        <w:pStyle w:val="SingleTxtG"/>
      </w:pPr>
      <w:r>
        <w:tab/>
        <w:t>b)</w:t>
      </w:r>
      <w:r>
        <w:tab/>
      </w:r>
      <w:proofErr w:type="spellStart"/>
      <w:r>
        <w:t>Многосекторальный</w:t>
      </w:r>
      <w:proofErr w:type="spellEnd"/>
      <w:r>
        <w:t xml:space="preserve"> план действий по решению проблем людей с пигментацией и их защите.</w:t>
      </w:r>
    </w:p>
    <w:p w14:paraId="10DB599E" w14:textId="77777777" w:rsidR="001D7558" w:rsidRDefault="001D7558" w:rsidP="001D7558">
      <w:pPr>
        <w:pStyle w:val="SingleTxtG"/>
      </w:pPr>
      <w:r>
        <w:t>56.</w:t>
      </w:r>
      <w:r>
        <w:tab/>
        <w:t>Также создана Национальная комиссия по правам человека, которая следит за соблюдением прав человека в стране.</w:t>
      </w:r>
    </w:p>
    <w:p w14:paraId="4A09BBB8" w14:textId="77777777" w:rsidR="001D7558" w:rsidRDefault="001D7558" w:rsidP="001D7558">
      <w:pPr>
        <w:pStyle w:val="SingleTxtG"/>
      </w:pPr>
      <w:r>
        <w:t>57.</w:t>
      </w:r>
      <w:r>
        <w:tab/>
        <w:t xml:space="preserve">Меры, принятые для обеспечения права на жизнь, позволили сократить число случаев отказа от детей-инвалидов и их смерти, похищения и убийства лиц с </w:t>
      </w:r>
      <w:r>
        <w:lastRenderedPageBreak/>
        <w:t>альбинизмом, а также способствовали формированию в обществе понимани</w:t>
      </w:r>
      <w:r w:rsidR="00EF4536">
        <w:t>я</w:t>
      </w:r>
      <w:r>
        <w:t xml:space="preserve"> прав человека. </w:t>
      </w:r>
    </w:p>
    <w:p w14:paraId="727359F5" w14:textId="77777777" w:rsidR="001D7558" w:rsidRDefault="001D7558" w:rsidP="00EF4536">
      <w:pPr>
        <w:pStyle w:val="H23G"/>
      </w:pPr>
      <w:r>
        <w:tab/>
      </w:r>
      <w:r>
        <w:tab/>
        <w:t xml:space="preserve">Статья 11 </w:t>
      </w:r>
      <w:r w:rsidR="00EF4536">
        <w:br/>
      </w:r>
      <w:r>
        <w:t>Ситуации риска и чрезвычайные гуманитарные ситуации</w:t>
      </w:r>
    </w:p>
    <w:p w14:paraId="4E4EFD38" w14:textId="77777777" w:rsidR="001D7558" w:rsidRDefault="001D7558" w:rsidP="001D7558">
      <w:pPr>
        <w:pStyle w:val="SingleTxtG"/>
      </w:pPr>
      <w:r>
        <w:t>58.</w:t>
      </w:r>
      <w:r>
        <w:tab/>
        <w:t>Эта статья гласит, что государства-члены принимают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14:paraId="475538DE" w14:textId="77777777" w:rsidR="001D7558" w:rsidRDefault="001D7558" w:rsidP="001D7558">
      <w:pPr>
        <w:pStyle w:val="SingleTxtG"/>
      </w:pPr>
      <w:r>
        <w:t>59.</w:t>
      </w:r>
      <w:r>
        <w:tab/>
        <w:t xml:space="preserve">Закон </w:t>
      </w:r>
      <w:r w:rsidR="00E509D1">
        <w:t xml:space="preserve">№ </w:t>
      </w:r>
      <w:r>
        <w:t xml:space="preserve">15/2014 от 20 июня устанавливает правовые рамки для организации работ в связи с бедствиями, включая меры по их предупреждению и смягчению их последствий, а его статьи 21 и 37 гласят: </w:t>
      </w:r>
    </w:p>
    <w:p w14:paraId="2B73693A" w14:textId="77777777" w:rsidR="001D7558" w:rsidRDefault="00EF4536" w:rsidP="00EF4536">
      <w:pPr>
        <w:pStyle w:val="SingleTxtG"/>
        <w:ind w:left="1701" w:hanging="567"/>
      </w:pPr>
      <w:r>
        <w:tab/>
        <w:t>«</w:t>
      </w:r>
      <w:r w:rsidR="001D7558">
        <w:t>Государственные и частные средства массовой информации должны представлять надлежащую информацию об организации работ в связи с бедствиями, а в случае объявления тревоги распространять сообщения о соответствующих мерах, принимаемых на национальном или местном уровнях</w:t>
      </w:r>
      <w:r>
        <w:t>»</w:t>
      </w:r>
      <w:r w:rsidR="001D7558">
        <w:t>.</w:t>
      </w:r>
    </w:p>
    <w:p w14:paraId="0598A1FA" w14:textId="77777777" w:rsidR="001D7558" w:rsidRDefault="00EF4536" w:rsidP="00EF4536">
      <w:pPr>
        <w:pStyle w:val="SingleTxtG"/>
        <w:ind w:left="1701" w:hanging="567"/>
      </w:pPr>
      <w:r>
        <w:tab/>
        <w:t>«</w:t>
      </w:r>
      <w:r w:rsidR="001D7558">
        <w:t>Особо уязвимые группы, такие как пожилые лица, женщины, дети, больные и инвалиды, имеют право на особую защиту, включая право на первоочередную эвакуацию и переселение, право на особую защиту от злоупотреблений в период чрезвычайного положения, право на непрерывность образования; кроме того, в соответствии с уголовным законодательством, факт совершения преступления в отношении уязвимых лиц является отягчающим обстоятельством</w:t>
      </w:r>
      <w:r>
        <w:t>»</w:t>
      </w:r>
      <w:r w:rsidR="001D7558">
        <w:t xml:space="preserve">. </w:t>
      </w:r>
    </w:p>
    <w:p w14:paraId="4B8AA75F" w14:textId="77777777" w:rsidR="001D7558" w:rsidRDefault="001D7558" w:rsidP="001D7558">
      <w:pPr>
        <w:pStyle w:val="SingleTxtG"/>
      </w:pPr>
      <w:r>
        <w:t>60.</w:t>
      </w:r>
      <w:r>
        <w:tab/>
        <w:t>В деятельности по защите инвалидов в чрезвычайных гуманитарных ситуациях участвуют различные субъекты (правительство, гражданское общество, предприниматели, государственные и частные учреждения и отдельные лица), при этом инвалидам при оказании помощи и обеспечении ухода уделяется первоочередное внимание.</w:t>
      </w:r>
    </w:p>
    <w:p w14:paraId="2143C027" w14:textId="77777777" w:rsidR="001D7558" w:rsidRDefault="001D7558" w:rsidP="001D7558">
      <w:pPr>
        <w:pStyle w:val="SingleTxtG"/>
      </w:pPr>
      <w:r>
        <w:t>61.</w:t>
      </w:r>
      <w:r>
        <w:tab/>
        <w:t>В целях защиты инвалидов в ситуациях риска, включая вооруженные конфликты и стихийные бедствия, правительство обеспечивает, чтобы им уделялось приоритетное внимание в рамках эвакуации, оказания помощи и переселения.</w:t>
      </w:r>
    </w:p>
    <w:p w14:paraId="3F2F6D70" w14:textId="77777777" w:rsidR="001D7558" w:rsidRDefault="001D7558" w:rsidP="001D7558">
      <w:pPr>
        <w:pStyle w:val="SingleTxtG"/>
      </w:pPr>
      <w:r>
        <w:t>62.</w:t>
      </w:r>
      <w:r>
        <w:tab/>
        <w:t>Эти меры позволили ликвидировать различные формы дискриминации в отношении инвалидов, находящихся в уязвимом положении или переживших потрясения, вызванные различными обстоятельствами, включая изменение климата, а</w:t>
      </w:r>
      <w:r w:rsidR="00EF4536">
        <w:t> </w:t>
      </w:r>
      <w:r>
        <w:t xml:space="preserve">также обеспечить им в приоритетном порядке доступ к гуманитарной помощи и переселение. </w:t>
      </w:r>
    </w:p>
    <w:p w14:paraId="1986304A" w14:textId="77777777" w:rsidR="001D7558" w:rsidRDefault="001D7558" w:rsidP="00EF4536">
      <w:pPr>
        <w:pStyle w:val="H23G"/>
      </w:pPr>
      <w:r>
        <w:tab/>
      </w:r>
      <w:r>
        <w:tab/>
        <w:t xml:space="preserve">Статья 12 </w:t>
      </w:r>
      <w:r w:rsidR="00EF4536">
        <w:br/>
      </w:r>
      <w:r>
        <w:t>Равенство перед законом</w:t>
      </w:r>
    </w:p>
    <w:p w14:paraId="4BF74F1D" w14:textId="77777777" w:rsidR="001D7558" w:rsidRDefault="001D7558" w:rsidP="001D7558">
      <w:pPr>
        <w:pStyle w:val="SingleTxtG"/>
      </w:pPr>
      <w:r>
        <w:t>63.</w:t>
      </w:r>
      <w:r>
        <w:tab/>
        <w:t>Эта статья гласит, что государства-члены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w:t>
      </w:r>
    </w:p>
    <w:p w14:paraId="69A2E945" w14:textId="77777777" w:rsidR="001D7558" w:rsidRDefault="001D7558" w:rsidP="001D7558">
      <w:pPr>
        <w:pStyle w:val="SingleTxtG"/>
      </w:pPr>
      <w:r>
        <w:t>64.</w:t>
      </w:r>
      <w:r>
        <w:tab/>
        <w:t xml:space="preserve">Согласно статье 35 Конституции Республики, все граждане равны перед законом, пользуются одинаковыми правами и имеют одинаковые обязанности независимо от цвета кожи, расы, пола, этнического происхождения, места рождения, вероисповедания, социального и семейного положения родителей, профессии и политических убеждений. </w:t>
      </w:r>
    </w:p>
    <w:p w14:paraId="29DBDED3" w14:textId="77777777" w:rsidR="001D7558" w:rsidRDefault="001D7558" w:rsidP="001D7558">
      <w:pPr>
        <w:pStyle w:val="SingleTxtG"/>
      </w:pPr>
      <w:r>
        <w:t>65.</w:t>
      </w:r>
      <w:r>
        <w:tab/>
        <w:t xml:space="preserve">Инвалиды участвуют в процессе выработки законодательства с целью обеспечения удовлетворения их особых потребностей и недопущения ограничений и изоляции в различных сферах жизни. </w:t>
      </w:r>
    </w:p>
    <w:p w14:paraId="7300078F" w14:textId="77777777" w:rsidR="001D7558" w:rsidRDefault="001D7558" w:rsidP="001D7558">
      <w:pPr>
        <w:pStyle w:val="SingleTxtG"/>
      </w:pPr>
      <w:r>
        <w:lastRenderedPageBreak/>
        <w:t>66.</w:t>
      </w:r>
      <w:r>
        <w:tab/>
        <w:t xml:space="preserve">Инвалиды, через их общественные объединения, привлекаются к дискуссиям и участвуют в обсуждениях по затрагивающим их вопросам, а также в оценках осуществления законодательства и других документов по правам человека. </w:t>
      </w:r>
    </w:p>
    <w:p w14:paraId="632F0104" w14:textId="77777777" w:rsidR="001D7558" w:rsidRDefault="001D7558" w:rsidP="001D7558">
      <w:pPr>
        <w:pStyle w:val="SingleTxtG"/>
      </w:pPr>
      <w:r>
        <w:t>67.</w:t>
      </w:r>
      <w:r>
        <w:tab/>
        <w:t>Благодаря этим правовым рамкам различные аспекты инвалидности были интегрированы в законодательство в таких областях, как здравоохранение, образование, занятость, транспорт, спорт и т.</w:t>
      </w:r>
      <w:r w:rsidR="00EF4536">
        <w:t xml:space="preserve"> </w:t>
      </w:r>
      <w:r>
        <w:t xml:space="preserve">д., а общественные объединения смогли проводить деятельность, дополняющую действия правительства, и отстаивать права инвалидов. </w:t>
      </w:r>
    </w:p>
    <w:p w14:paraId="1D46F143" w14:textId="77777777" w:rsidR="001D7558" w:rsidRDefault="001D7558" w:rsidP="00EF4536">
      <w:pPr>
        <w:pStyle w:val="H23G"/>
      </w:pPr>
      <w:r>
        <w:tab/>
      </w:r>
      <w:r>
        <w:tab/>
        <w:t xml:space="preserve">Статья 13 </w:t>
      </w:r>
      <w:r w:rsidR="00EF4536">
        <w:br/>
      </w:r>
      <w:r>
        <w:t>Доступ к правосудию</w:t>
      </w:r>
    </w:p>
    <w:p w14:paraId="45A26604" w14:textId="77777777" w:rsidR="001D7558" w:rsidRDefault="001D7558" w:rsidP="001D7558">
      <w:pPr>
        <w:pStyle w:val="SingleTxtG"/>
      </w:pPr>
      <w:r>
        <w:t>68.</w:t>
      </w:r>
      <w:r>
        <w:tab/>
        <w:t xml:space="preserve">В соответствии с этой статьей государства-члены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 </w:t>
      </w:r>
    </w:p>
    <w:p w14:paraId="023076A8" w14:textId="77777777" w:rsidR="001D7558" w:rsidRDefault="001D7558" w:rsidP="001D7558">
      <w:pPr>
        <w:pStyle w:val="SingleTxtG"/>
      </w:pPr>
      <w:r>
        <w:t>69.</w:t>
      </w:r>
      <w:r>
        <w:tab/>
        <w:t xml:space="preserve">Статья 59 Конституции Республики закрепляет право применять нормы уголовного законодательства, а статья 62 </w:t>
      </w:r>
      <w:r w:rsidR="00EF4536">
        <w:t>—</w:t>
      </w:r>
      <w:r>
        <w:t xml:space="preserve"> право обращаться в суд.</w:t>
      </w:r>
    </w:p>
    <w:p w14:paraId="1844BE49" w14:textId="77777777" w:rsidR="001D7558" w:rsidRDefault="001D7558" w:rsidP="001D7558">
      <w:pPr>
        <w:pStyle w:val="SingleTxtG"/>
      </w:pPr>
      <w:r>
        <w:t>70.</w:t>
      </w:r>
      <w:r>
        <w:tab/>
        <w:t>Благодаря деятельности Института бесплатной юридической помощи (ИБЮП) инвалиды получают помощь и юридические консультации на безвозмездной основе.</w:t>
      </w:r>
    </w:p>
    <w:p w14:paraId="2044B34A" w14:textId="77777777" w:rsidR="001D7558" w:rsidRDefault="001D7558" w:rsidP="001D7558">
      <w:pPr>
        <w:pStyle w:val="SingleTxtG"/>
      </w:pPr>
      <w:r>
        <w:t>71.</w:t>
      </w:r>
      <w:r>
        <w:tab/>
        <w:t xml:space="preserve">В целях предотвращения злоупотреблений и нарушений прав человека было создано Государственное управление по делам семьи и детей, которое отвечает за защиту и обеспечение прав лиц, пострадавших от насилия, в том числе инвалидов. </w:t>
      </w:r>
    </w:p>
    <w:p w14:paraId="069EF447" w14:textId="77777777" w:rsidR="001D7558" w:rsidRDefault="001D7558" w:rsidP="001D7558">
      <w:pPr>
        <w:pStyle w:val="SingleTxtG"/>
      </w:pPr>
      <w:r>
        <w:t>72.</w:t>
      </w:r>
      <w:r>
        <w:tab/>
        <w:t>В Мозамбике инвалиды имеют право на юридическую помощь. С целью обеспечения его реализации на судебных процессах и других заседаниях, проводимых учреждениями системы отправления правосудия, присутствуют сурдопереводчики.</w:t>
      </w:r>
    </w:p>
    <w:p w14:paraId="1B0E0BD5" w14:textId="77777777" w:rsidR="001D7558" w:rsidRDefault="001D7558" w:rsidP="001D7558">
      <w:pPr>
        <w:pStyle w:val="SingleTxtG"/>
      </w:pPr>
      <w:r>
        <w:t>73.</w:t>
      </w:r>
      <w:r>
        <w:tab/>
        <w:t>Хотя учреждения системы отправления правосудия стремятся удовлетворять потребности людей с различными видами инвалидности, по-прежнему существует необходимость в улучшении различных форм доступности, от физической доступности учреждений до коммуникационной доступности, которая предусматривает использование языка жестов и других альтернативных технических средств, обеспечивающих эффективную коммуникацию.</w:t>
      </w:r>
    </w:p>
    <w:p w14:paraId="04E89B29" w14:textId="77777777" w:rsidR="001D7558" w:rsidRDefault="001D7558" w:rsidP="00591918">
      <w:pPr>
        <w:pStyle w:val="H23G"/>
      </w:pPr>
      <w:r>
        <w:tab/>
      </w:r>
      <w:r>
        <w:tab/>
        <w:t xml:space="preserve">Статьи 14 и 17 </w:t>
      </w:r>
      <w:r w:rsidR="00591918">
        <w:br/>
      </w:r>
      <w:r>
        <w:t xml:space="preserve">Свобода, личная неприкосновенность и защита личной целостности </w:t>
      </w:r>
    </w:p>
    <w:p w14:paraId="6A9530E2" w14:textId="77777777" w:rsidR="001D7558" w:rsidRDefault="001D7558" w:rsidP="001D7558">
      <w:pPr>
        <w:pStyle w:val="SingleTxtG"/>
      </w:pPr>
      <w:r>
        <w:t>74.</w:t>
      </w:r>
      <w:r>
        <w:tab/>
        <w:t>Согласно этим статьям, государства-члены должны обеспечить, чтобы в том случае, если на основании какой-либо процедуры инвалиды лишаются свободы, им</w:t>
      </w:r>
      <w:r w:rsidR="00591918">
        <w:t> </w:t>
      </w:r>
      <w:r>
        <w:t xml:space="preserve">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 Каждый инвалид имеет право на уважение его физической и психической целостности наравне с другими. </w:t>
      </w:r>
    </w:p>
    <w:p w14:paraId="788148C2" w14:textId="77777777" w:rsidR="001D7558" w:rsidRDefault="001D7558" w:rsidP="001D7558">
      <w:pPr>
        <w:pStyle w:val="SingleTxtG"/>
      </w:pPr>
      <w:r>
        <w:t>75.</w:t>
      </w:r>
      <w:r>
        <w:tab/>
        <w:t>Статья 59 Конституции Республики устанавливает, что в Мозамбике каждый человек имеет право на личную неприкосновенность, и что никто не может быть арестован и подвергнут суду иначе, как на основании закона.</w:t>
      </w:r>
    </w:p>
    <w:p w14:paraId="12D12195" w14:textId="77777777" w:rsidR="001D7558" w:rsidRDefault="001D7558" w:rsidP="001D7558">
      <w:pPr>
        <w:pStyle w:val="SingleTxtG"/>
      </w:pPr>
      <w:r>
        <w:t>76.</w:t>
      </w:r>
      <w:r>
        <w:tab/>
        <w:t xml:space="preserve">Согласно статье 62 Конституции Республики, государство гарантирует всем гражданам доступ к судам, а обвиняемым </w:t>
      </w:r>
      <w:r w:rsidR="00591918">
        <w:t>—</w:t>
      </w:r>
      <w:r>
        <w:t xml:space="preserve"> право на защиту и право на юридическую помощь и юридическое представительство.</w:t>
      </w:r>
    </w:p>
    <w:p w14:paraId="7C020234" w14:textId="77777777" w:rsidR="001D7558" w:rsidRDefault="001D7558" w:rsidP="001D7558">
      <w:pPr>
        <w:pStyle w:val="SingleTxtG"/>
      </w:pPr>
      <w:r>
        <w:t>77.</w:t>
      </w:r>
      <w:r>
        <w:tab/>
        <w:t>Большинство государственных и частных учреждений следуют нормам, предусматривающим приоритетное обслуживание инвалидов, несмотря на проблемы в области обеспечения архитектурной и коммуникационной доступности.</w:t>
      </w:r>
    </w:p>
    <w:p w14:paraId="741B841E" w14:textId="77777777" w:rsidR="001D7558" w:rsidRDefault="001D7558" w:rsidP="00591918">
      <w:pPr>
        <w:pStyle w:val="H23G"/>
      </w:pPr>
      <w:r>
        <w:lastRenderedPageBreak/>
        <w:tab/>
      </w:r>
      <w:r>
        <w:tab/>
        <w:t xml:space="preserve">Статьи 15 и 16 </w:t>
      </w:r>
      <w:r w:rsidR="00591918">
        <w:br/>
      </w:r>
      <w:r>
        <w:t xml:space="preserve">Свобода от пыток и жестоких, бесчеловечных или унижающих достоинство видов обращения и наказания, эксплуатации, насилия и надругательства </w:t>
      </w:r>
    </w:p>
    <w:p w14:paraId="5EA85D38" w14:textId="77777777" w:rsidR="001D7558" w:rsidRDefault="001D7558" w:rsidP="001D7558">
      <w:pPr>
        <w:pStyle w:val="SingleTxtG"/>
      </w:pPr>
      <w:r>
        <w:t>78.</w:t>
      </w:r>
      <w:r>
        <w:tab/>
        <w:t>Согласно этим статьям, государства-члены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 Государства-члены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w:t>
      </w:r>
    </w:p>
    <w:p w14:paraId="7C0D23F4" w14:textId="77777777" w:rsidR="001D7558" w:rsidRDefault="001D7558" w:rsidP="001D7558">
      <w:pPr>
        <w:pStyle w:val="SingleTxtG"/>
      </w:pPr>
      <w:r>
        <w:t>79.</w:t>
      </w:r>
      <w:r>
        <w:tab/>
        <w:t xml:space="preserve">Мозамбикское государство обеспечивает защиту инвалидов от насилия посредством: </w:t>
      </w:r>
    </w:p>
    <w:p w14:paraId="1F293616" w14:textId="77777777" w:rsidR="001D7558" w:rsidRDefault="001D7558" w:rsidP="001D7558">
      <w:pPr>
        <w:pStyle w:val="SingleTxtG"/>
      </w:pPr>
      <w:r>
        <w:tab/>
        <w:t>а)</w:t>
      </w:r>
      <w:r>
        <w:tab/>
        <w:t xml:space="preserve">осуществления Закона </w:t>
      </w:r>
      <w:r w:rsidR="00B96077">
        <w:t xml:space="preserve">№ </w:t>
      </w:r>
      <w:r>
        <w:t>29/2009 о бытовом насилии в отношении женщин;</w:t>
      </w:r>
    </w:p>
    <w:p w14:paraId="0B0CB9F2" w14:textId="77777777" w:rsidR="001D7558" w:rsidRDefault="001D7558" w:rsidP="001D7558">
      <w:pPr>
        <w:pStyle w:val="SingleTxtG"/>
      </w:pPr>
      <w:r>
        <w:tab/>
        <w:t>b)</w:t>
      </w:r>
      <w:r>
        <w:tab/>
        <w:t>осуществления Закона № 6/2008 от 9 июля о предупреждении и пресечении торговли людьми, особенно женщинами и детьми;</w:t>
      </w:r>
    </w:p>
    <w:p w14:paraId="02462520" w14:textId="77777777" w:rsidR="001D7558" w:rsidRDefault="001D7558" w:rsidP="001D7558">
      <w:pPr>
        <w:pStyle w:val="SingleTxtG"/>
      </w:pPr>
      <w:r>
        <w:tab/>
        <w:t>с)</w:t>
      </w:r>
      <w:r>
        <w:tab/>
        <w:t>обеспечения работы Государственного управления по оказанию поддержки семьям и детям, пострадавшим от насилия;</w:t>
      </w:r>
    </w:p>
    <w:p w14:paraId="580AF68B" w14:textId="77777777" w:rsidR="001D7558" w:rsidRDefault="001D7558" w:rsidP="001D7558">
      <w:pPr>
        <w:pStyle w:val="SingleTxtG"/>
      </w:pPr>
      <w:r>
        <w:tab/>
        <w:t>d)</w:t>
      </w:r>
      <w:r>
        <w:tab/>
        <w:t xml:space="preserve">обеспечения соблюдения прав человека инвалидов в тюрьмах и благотворительных учреждениях. </w:t>
      </w:r>
    </w:p>
    <w:p w14:paraId="37A11C00" w14:textId="77777777" w:rsidR="001D7558" w:rsidRDefault="001D7558" w:rsidP="00B96077">
      <w:pPr>
        <w:pStyle w:val="H23G"/>
      </w:pPr>
      <w:r>
        <w:tab/>
      </w:r>
      <w:r>
        <w:tab/>
        <w:t xml:space="preserve">Статья 18 </w:t>
      </w:r>
      <w:r w:rsidR="00B96077">
        <w:br/>
      </w:r>
      <w:r>
        <w:t xml:space="preserve">Свобода передвижения и гражданство </w:t>
      </w:r>
    </w:p>
    <w:p w14:paraId="3ABBECE3" w14:textId="77777777" w:rsidR="001D7558" w:rsidRDefault="001D7558" w:rsidP="001D7558">
      <w:pPr>
        <w:pStyle w:val="SingleTxtG"/>
      </w:pPr>
      <w:r>
        <w:t>80.</w:t>
      </w:r>
      <w:r>
        <w:tab/>
        <w:t xml:space="preserve">Согласно этой статье, государства-члены признают права инвалидов на свободу передвижения, на свободу выбора местожительства и на гражданство наравне с другими. </w:t>
      </w:r>
    </w:p>
    <w:p w14:paraId="567BA5D7" w14:textId="77777777" w:rsidR="001D7558" w:rsidRDefault="001D7558" w:rsidP="001D7558">
      <w:pPr>
        <w:pStyle w:val="SingleTxtG"/>
      </w:pPr>
      <w:r>
        <w:t>81.</w:t>
      </w:r>
      <w:r>
        <w:tab/>
        <w:t xml:space="preserve">Свобода передвижения и право на гражданство закреплены в статьях 5 и 55 Конституции Республики и гарантируются государством. </w:t>
      </w:r>
    </w:p>
    <w:p w14:paraId="60962017" w14:textId="77777777" w:rsidR="001D7558" w:rsidRDefault="001D7558" w:rsidP="001D7558">
      <w:pPr>
        <w:pStyle w:val="SingleTxtG"/>
      </w:pPr>
      <w:r>
        <w:t>82.</w:t>
      </w:r>
      <w:r>
        <w:tab/>
        <w:t>Инвалиды активно участвуют в процессах развития страны и могут свободно передвигаться и осуществлять свою деятельность во всех уголках страны. Однако по</w:t>
      </w:r>
      <w:r w:rsidR="00B96077">
        <w:noBreakHyphen/>
      </w:r>
      <w:r>
        <w:t>прежнему существуют некоторые барьеры, препятствующие их полноценному участию.</w:t>
      </w:r>
    </w:p>
    <w:p w14:paraId="7A59FD46" w14:textId="77777777" w:rsidR="001D7558" w:rsidRDefault="001D7558" w:rsidP="00B96077">
      <w:pPr>
        <w:pStyle w:val="H23G"/>
      </w:pPr>
      <w:r>
        <w:tab/>
      </w:r>
      <w:r>
        <w:tab/>
        <w:t xml:space="preserve">Статья 19 </w:t>
      </w:r>
      <w:r w:rsidR="00B96077">
        <w:br/>
      </w:r>
      <w:r>
        <w:t>Самостоятельный образ жизни и вовлеченность в местное сообщество</w:t>
      </w:r>
    </w:p>
    <w:p w14:paraId="69566E59" w14:textId="77777777" w:rsidR="001D7558" w:rsidRDefault="001D7558" w:rsidP="001D7558">
      <w:pPr>
        <w:pStyle w:val="SingleTxtG"/>
      </w:pPr>
      <w:r>
        <w:t>83.</w:t>
      </w:r>
      <w:r>
        <w:tab/>
        <w:t xml:space="preserve">В соответствии с этой статьей государства </w:t>
      </w:r>
      <w:r w:rsidR="00B96077">
        <w:t>—</w:t>
      </w:r>
      <w:r>
        <w:t xml:space="preserve"> участники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w:t>
      </w:r>
    </w:p>
    <w:p w14:paraId="33D4395B" w14:textId="77777777" w:rsidR="001D7558" w:rsidRDefault="001D7558" w:rsidP="001D7558">
      <w:pPr>
        <w:pStyle w:val="SingleTxtG"/>
      </w:pPr>
      <w:r>
        <w:t>84.</w:t>
      </w:r>
      <w:r>
        <w:tab/>
        <w:t xml:space="preserve">Политика в области социальных действий (Постановление </w:t>
      </w:r>
      <w:r w:rsidR="00E509D1">
        <w:t xml:space="preserve">№ </w:t>
      </w:r>
      <w:r>
        <w:t>46/2017 от 2</w:t>
      </w:r>
      <w:r w:rsidR="00E509D1">
        <w:t> </w:t>
      </w:r>
      <w:r>
        <w:t xml:space="preserve">ноября) закрепляет принцип недопущения институционализации, который лежит в основе ухода за уязвимыми группами, и в соответствии с которым дети, престарелые и инвалиды должны находиться в семье и общине, а их институционализация допускается лишь в тех случаях, когда интеграция в семью или общину невозможна. Таким образом, эта политика содействует осуществлению программ на уровне общин, в частности программ реабилитации, информационного обслуживания, консультирования и социальной помощи. </w:t>
      </w:r>
    </w:p>
    <w:p w14:paraId="6FA9168C" w14:textId="77777777" w:rsidR="001D7558" w:rsidRDefault="001D7558" w:rsidP="001D7558">
      <w:pPr>
        <w:pStyle w:val="SingleTxtG"/>
      </w:pPr>
      <w:r>
        <w:t>85.</w:t>
      </w:r>
      <w:r>
        <w:tab/>
        <w:t>Было распределено 27 626 средств обеспечения мобильности, среди которых следует особо выделить протезы голени, протезы нижней конечности выше коленного сустава, вспомогательные приспособления для ходьбы, инвалидные коляски, ортопедическую обувь, шины для нижних и верхних конечностей и ортопедические стельки.</w:t>
      </w:r>
    </w:p>
    <w:p w14:paraId="44D2E56E" w14:textId="77777777" w:rsidR="001D7558" w:rsidRPr="00E2588B" w:rsidRDefault="00562756" w:rsidP="00562756">
      <w:pPr>
        <w:pStyle w:val="H23G"/>
        <w:rPr>
          <w:b w:val="0"/>
        </w:rPr>
      </w:pPr>
      <w:bookmarkStart w:id="2" w:name="_Toc44077499"/>
      <w:r>
        <w:lastRenderedPageBreak/>
        <w:tab/>
      </w:r>
      <w:r>
        <w:tab/>
      </w:r>
      <w:r w:rsidR="001D7558" w:rsidRPr="00562756">
        <w:rPr>
          <w:b w:val="0"/>
          <w:bCs/>
        </w:rPr>
        <w:t>Таблица 1</w:t>
      </w:r>
      <w:bookmarkEnd w:id="2"/>
      <w:r>
        <w:br/>
      </w:r>
      <w:r w:rsidR="001D7558" w:rsidRPr="00562756">
        <w:t>Выделение средств обеспечения мобильности</w:t>
      </w:r>
    </w:p>
    <w:tbl>
      <w:tblPr>
        <w:tblW w:w="7370" w:type="dxa"/>
        <w:tblInd w:w="1134" w:type="dxa"/>
        <w:tblLayout w:type="fixed"/>
        <w:tblCellMar>
          <w:left w:w="0" w:type="dxa"/>
          <w:right w:w="0" w:type="dxa"/>
        </w:tblCellMar>
        <w:tblLook w:val="04A0" w:firstRow="1" w:lastRow="0" w:firstColumn="1" w:lastColumn="0" w:noHBand="0" w:noVBand="1"/>
      </w:tblPr>
      <w:tblGrid>
        <w:gridCol w:w="1484"/>
        <w:gridCol w:w="737"/>
        <w:gridCol w:w="1023"/>
        <w:gridCol w:w="1023"/>
        <w:gridCol w:w="1023"/>
        <w:gridCol w:w="1023"/>
        <w:gridCol w:w="1057"/>
      </w:tblGrid>
      <w:tr w:rsidR="001D7558" w:rsidRPr="00562756" w14:paraId="1B6B6562" w14:textId="77777777" w:rsidTr="00562756">
        <w:trPr>
          <w:tblHeader/>
        </w:trPr>
        <w:tc>
          <w:tcPr>
            <w:tcW w:w="14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9B88E71" w14:textId="77777777" w:rsidR="001D7558" w:rsidRPr="00562756" w:rsidRDefault="001D7558" w:rsidP="00562756">
            <w:pPr>
              <w:spacing w:before="80" w:after="80" w:line="200" w:lineRule="exact"/>
              <w:ind w:left="28"/>
              <w:rPr>
                <w:rFonts w:cs="Times New Roman"/>
                <w:i/>
                <w:sz w:val="16"/>
              </w:rPr>
            </w:pPr>
            <w:r w:rsidRPr="00562756">
              <w:rPr>
                <w:rFonts w:cs="Times New Roman"/>
                <w:i/>
                <w:sz w:val="16"/>
              </w:rPr>
              <w:t>Виды средств обеспечения мобильности</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83D6AF3" w14:textId="77777777" w:rsidR="001D7558" w:rsidRPr="00562756" w:rsidRDefault="001D7558" w:rsidP="00562756">
            <w:pPr>
              <w:spacing w:before="80" w:after="80" w:line="200" w:lineRule="exact"/>
              <w:ind w:left="28"/>
              <w:jc w:val="right"/>
              <w:rPr>
                <w:rFonts w:cs="Times New Roman"/>
                <w:i/>
                <w:sz w:val="16"/>
              </w:rPr>
            </w:pPr>
            <w:r w:rsidRPr="00562756">
              <w:rPr>
                <w:rFonts w:cs="Times New Roman"/>
                <w:i/>
                <w:sz w:val="16"/>
              </w:rPr>
              <w:t>2013</w:t>
            </w:r>
          </w:p>
        </w:tc>
        <w:tc>
          <w:tcPr>
            <w:tcW w:w="102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73CEDAE" w14:textId="77777777" w:rsidR="001D7558" w:rsidRPr="00562756" w:rsidRDefault="001D7558" w:rsidP="00562756">
            <w:pPr>
              <w:spacing w:before="80" w:after="80" w:line="200" w:lineRule="exact"/>
              <w:ind w:left="28"/>
              <w:jc w:val="right"/>
              <w:rPr>
                <w:rFonts w:cs="Times New Roman"/>
                <w:i/>
                <w:sz w:val="16"/>
              </w:rPr>
            </w:pPr>
            <w:r w:rsidRPr="00562756">
              <w:rPr>
                <w:rFonts w:cs="Times New Roman"/>
                <w:i/>
                <w:sz w:val="16"/>
              </w:rPr>
              <w:t>2014</w:t>
            </w:r>
          </w:p>
        </w:tc>
        <w:tc>
          <w:tcPr>
            <w:tcW w:w="102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776FA4A" w14:textId="77777777" w:rsidR="001D7558" w:rsidRPr="00562756" w:rsidRDefault="001D7558" w:rsidP="00562756">
            <w:pPr>
              <w:spacing w:before="80" w:after="80" w:line="200" w:lineRule="exact"/>
              <w:ind w:left="28"/>
              <w:jc w:val="right"/>
              <w:rPr>
                <w:rFonts w:cs="Times New Roman"/>
                <w:i/>
                <w:sz w:val="16"/>
              </w:rPr>
            </w:pPr>
            <w:r w:rsidRPr="00562756">
              <w:rPr>
                <w:rFonts w:cs="Times New Roman"/>
                <w:i/>
                <w:sz w:val="16"/>
              </w:rPr>
              <w:t>2015</w:t>
            </w:r>
          </w:p>
        </w:tc>
        <w:tc>
          <w:tcPr>
            <w:tcW w:w="102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A6CA6B3" w14:textId="77777777" w:rsidR="001D7558" w:rsidRPr="00562756" w:rsidRDefault="001D7558" w:rsidP="00562756">
            <w:pPr>
              <w:spacing w:before="80" w:after="80" w:line="200" w:lineRule="exact"/>
              <w:ind w:left="28"/>
              <w:jc w:val="right"/>
              <w:rPr>
                <w:rFonts w:cs="Times New Roman"/>
                <w:i/>
                <w:sz w:val="16"/>
              </w:rPr>
            </w:pPr>
            <w:r w:rsidRPr="00562756">
              <w:rPr>
                <w:rFonts w:cs="Times New Roman"/>
                <w:i/>
                <w:sz w:val="16"/>
              </w:rPr>
              <w:t>2016</w:t>
            </w:r>
          </w:p>
        </w:tc>
        <w:tc>
          <w:tcPr>
            <w:tcW w:w="102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543F53F" w14:textId="77777777" w:rsidR="001D7558" w:rsidRPr="00562756" w:rsidRDefault="001D7558" w:rsidP="00562756">
            <w:pPr>
              <w:spacing w:before="80" w:after="80" w:line="200" w:lineRule="exact"/>
              <w:ind w:left="28"/>
              <w:jc w:val="right"/>
              <w:rPr>
                <w:rFonts w:cs="Times New Roman"/>
                <w:i/>
                <w:sz w:val="16"/>
              </w:rPr>
            </w:pPr>
            <w:r w:rsidRPr="00562756">
              <w:rPr>
                <w:rFonts w:cs="Times New Roman"/>
                <w:i/>
                <w:sz w:val="16"/>
              </w:rPr>
              <w:t>2017</w:t>
            </w:r>
          </w:p>
        </w:tc>
        <w:tc>
          <w:tcPr>
            <w:tcW w:w="105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B245205" w14:textId="77777777" w:rsidR="001D7558" w:rsidRPr="00562756" w:rsidRDefault="001D7558" w:rsidP="00562756">
            <w:pPr>
              <w:spacing w:before="80" w:after="80" w:line="200" w:lineRule="exact"/>
              <w:ind w:left="28"/>
              <w:jc w:val="right"/>
              <w:rPr>
                <w:rFonts w:cs="Times New Roman"/>
                <w:i/>
                <w:sz w:val="16"/>
              </w:rPr>
            </w:pPr>
            <w:r w:rsidRPr="00562756">
              <w:rPr>
                <w:rFonts w:cs="Times New Roman"/>
                <w:i/>
                <w:sz w:val="16"/>
              </w:rPr>
              <w:t>Всего</w:t>
            </w:r>
          </w:p>
        </w:tc>
      </w:tr>
      <w:tr w:rsidR="001D7558" w:rsidRPr="00562756" w14:paraId="694D1CB6" w14:textId="77777777" w:rsidTr="00562756">
        <w:tc>
          <w:tcPr>
            <w:tcW w:w="1484" w:type="dxa"/>
            <w:tcBorders>
              <w:top w:val="single" w:sz="12" w:space="0" w:color="auto"/>
            </w:tcBorders>
            <w:shd w:val="clear" w:color="auto" w:fill="auto"/>
            <w:noWrap/>
            <w:tcMar>
              <w:top w:w="0" w:type="dxa"/>
              <w:left w:w="0" w:type="dxa"/>
              <w:bottom w:w="0" w:type="dxa"/>
              <w:right w:w="0" w:type="dxa"/>
            </w:tcMar>
          </w:tcPr>
          <w:p w14:paraId="021D12BC" w14:textId="77777777" w:rsidR="001D7558" w:rsidRPr="00562756" w:rsidRDefault="001D7558" w:rsidP="00562756">
            <w:pPr>
              <w:spacing w:before="40" w:after="40" w:line="220" w:lineRule="exact"/>
              <w:rPr>
                <w:rFonts w:cs="Times New Roman"/>
                <w:sz w:val="18"/>
              </w:rPr>
            </w:pPr>
            <w:r w:rsidRPr="00562756">
              <w:rPr>
                <w:rFonts w:cs="Times New Roman"/>
                <w:sz w:val="18"/>
              </w:rPr>
              <w:t>Протезы</w:t>
            </w:r>
          </w:p>
        </w:tc>
        <w:tc>
          <w:tcPr>
            <w:tcW w:w="737" w:type="dxa"/>
            <w:tcBorders>
              <w:top w:val="single" w:sz="12" w:space="0" w:color="auto"/>
            </w:tcBorders>
            <w:shd w:val="clear" w:color="auto" w:fill="auto"/>
            <w:noWrap/>
            <w:tcMar>
              <w:top w:w="0" w:type="dxa"/>
              <w:left w:w="0" w:type="dxa"/>
              <w:bottom w:w="0" w:type="dxa"/>
              <w:right w:w="0" w:type="dxa"/>
            </w:tcMar>
            <w:vAlign w:val="bottom"/>
          </w:tcPr>
          <w:p w14:paraId="30645744"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665</w:t>
            </w:r>
          </w:p>
        </w:tc>
        <w:tc>
          <w:tcPr>
            <w:tcW w:w="1023" w:type="dxa"/>
            <w:tcBorders>
              <w:top w:val="single" w:sz="12" w:space="0" w:color="auto"/>
            </w:tcBorders>
            <w:shd w:val="clear" w:color="auto" w:fill="auto"/>
            <w:noWrap/>
            <w:tcMar>
              <w:top w:w="0" w:type="dxa"/>
              <w:left w:w="0" w:type="dxa"/>
              <w:bottom w:w="0" w:type="dxa"/>
              <w:right w:w="0" w:type="dxa"/>
            </w:tcMar>
            <w:vAlign w:val="bottom"/>
          </w:tcPr>
          <w:p w14:paraId="1474A28D"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772</w:t>
            </w:r>
          </w:p>
        </w:tc>
        <w:tc>
          <w:tcPr>
            <w:tcW w:w="1023" w:type="dxa"/>
            <w:tcBorders>
              <w:top w:val="single" w:sz="12" w:space="0" w:color="auto"/>
            </w:tcBorders>
            <w:shd w:val="clear" w:color="auto" w:fill="auto"/>
            <w:noWrap/>
            <w:tcMar>
              <w:top w:w="0" w:type="dxa"/>
              <w:left w:w="0" w:type="dxa"/>
              <w:bottom w:w="0" w:type="dxa"/>
              <w:right w:w="0" w:type="dxa"/>
            </w:tcMar>
            <w:vAlign w:val="bottom"/>
          </w:tcPr>
          <w:p w14:paraId="598CB358"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709</w:t>
            </w:r>
          </w:p>
        </w:tc>
        <w:tc>
          <w:tcPr>
            <w:tcW w:w="1023" w:type="dxa"/>
            <w:tcBorders>
              <w:top w:val="single" w:sz="12" w:space="0" w:color="auto"/>
            </w:tcBorders>
            <w:shd w:val="clear" w:color="auto" w:fill="auto"/>
            <w:noWrap/>
            <w:tcMar>
              <w:top w:w="0" w:type="dxa"/>
              <w:left w:w="0" w:type="dxa"/>
              <w:bottom w:w="0" w:type="dxa"/>
              <w:right w:w="0" w:type="dxa"/>
            </w:tcMar>
            <w:vAlign w:val="bottom"/>
          </w:tcPr>
          <w:p w14:paraId="05C912AF"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510</w:t>
            </w:r>
          </w:p>
        </w:tc>
        <w:tc>
          <w:tcPr>
            <w:tcW w:w="1023" w:type="dxa"/>
            <w:tcBorders>
              <w:top w:val="single" w:sz="12" w:space="0" w:color="auto"/>
            </w:tcBorders>
            <w:shd w:val="clear" w:color="auto" w:fill="auto"/>
            <w:noWrap/>
            <w:tcMar>
              <w:top w:w="0" w:type="dxa"/>
              <w:left w:w="0" w:type="dxa"/>
              <w:bottom w:w="0" w:type="dxa"/>
              <w:right w:w="0" w:type="dxa"/>
            </w:tcMar>
            <w:vAlign w:val="bottom"/>
          </w:tcPr>
          <w:p w14:paraId="0DDE83A4"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510</w:t>
            </w:r>
          </w:p>
        </w:tc>
        <w:tc>
          <w:tcPr>
            <w:tcW w:w="1057" w:type="dxa"/>
            <w:tcBorders>
              <w:top w:val="single" w:sz="12" w:space="0" w:color="auto"/>
            </w:tcBorders>
            <w:shd w:val="clear" w:color="auto" w:fill="auto"/>
            <w:noWrap/>
            <w:tcMar>
              <w:top w:w="0" w:type="dxa"/>
              <w:left w:w="0" w:type="dxa"/>
              <w:bottom w:w="0" w:type="dxa"/>
              <w:right w:w="0" w:type="dxa"/>
            </w:tcMar>
            <w:vAlign w:val="bottom"/>
          </w:tcPr>
          <w:p w14:paraId="2C6CE9AB"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3 166</w:t>
            </w:r>
          </w:p>
        </w:tc>
      </w:tr>
      <w:tr w:rsidR="001D7558" w:rsidRPr="00562756" w14:paraId="798FA4F0" w14:textId="77777777" w:rsidTr="00562756">
        <w:tc>
          <w:tcPr>
            <w:tcW w:w="1484" w:type="dxa"/>
            <w:shd w:val="clear" w:color="auto" w:fill="auto"/>
            <w:noWrap/>
            <w:tcMar>
              <w:top w:w="0" w:type="dxa"/>
              <w:left w:w="0" w:type="dxa"/>
              <w:bottom w:w="0" w:type="dxa"/>
              <w:right w:w="0" w:type="dxa"/>
            </w:tcMar>
          </w:tcPr>
          <w:p w14:paraId="4E5358EB" w14:textId="77777777" w:rsidR="001D7558" w:rsidRPr="00562756" w:rsidRDefault="001D7558" w:rsidP="00562756">
            <w:pPr>
              <w:spacing w:before="40" w:after="40" w:line="220" w:lineRule="exact"/>
              <w:rPr>
                <w:rFonts w:cs="Times New Roman"/>
                <w:sz w:val="18"/>
              </w:rPr>
            </w:pPr>
            <w:proofErr w:type="spellStart"/>
            <w:r w:rsidRPr="00562756">
              <w:rPr>
                <w:rFonts w:cs="Times New Roman"/>
                <w:sz w:val="18"/>
              </w:rPr>
              <w:t>Ортезы</w:t>
            </w:r>
            <w:proofErr w:type="spellEnd"/>
          </w:p>
        </w:tc>
        <w:tc>
          <w:tcPr>
            <w:tcW w:w="737" w:type="dxa"/>
            <w:shd w:val="clear" w:color="auto" w:fill="auto"/>
            <w:noWrap/>
            <w:tcMar>
              <w:top w:w="0" w:type="dxa"/>
              <w:left w:w="0" w:type="dxa"/>
              <w:bottom w:w="0" w:type="dxa"/>
              <w:right w:w="0" w:type="dxa"/>
            </w:tcMar>
            <w:vAlign w:val="bottom"/>
          </w:tcPr>
          <w:p w14:paraId="6E87114D"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1 101</w:t>
            </w:r>
          </w:p>
        </w:tc>
        <w:tc>
          <w:tcPr>
            <w:tcW w:w="1023" w:type="dxa"/>
            <w:shd w:val="clear" w:color="auto" w:fill="auto"/>
            <w:noWrap/>
            <w:tcMar>
              <w:top w:w="0" w:type="dxa"/>
              <w:left w:w="0" w:type="dxa"/>
              <w:bottom w:w="0" w:type="dxa"/>
              <w:right w:w="0" w:type="dxa"/>
            </w:tcMar>
            <w:vAlign w:val="bottom"/>
          </w:tcPr>
          <w:p w14:paraId="4EAFA052"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1 118</w:t>
            </w:r>
          </w:p>
        </w:tc>
        <w:tc>
          <w:tcPr>
            <w:tcW w:w="1023" w:type="dxa"/>
            <w:shd w:val="clear" w:color="auto" w:fill="auto"/>
            <w:noWrap/>
            <w:tcMar>
              <w:top w:w="0" w:type="dxa"/>
              <w:left w:w="0" w:type="dxa"/>
              <w:bottom w:w="0" w:type="dxa"/>
              <w:right w:w="0" w:type="dxa"/>
            </w:tcMar>
            <w:vAlign w:val="bottom"/>
          </w:tcPr>
          <w:p w14:paraId="42A6529D"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1 224</w:t>
            </w:r>
          </w:p>
        </w:tc>
        <w:tc>
          <w:tcPr>
            <w:tcW w:w="1023" w:type="dxa"/>
            <w:shd w:val="clear" w:color="auto" w:fill="auto"/>
            <w:noWrap/>
            <w:tcMar>
              <w:top w:w="0" w:type="dxa"/>
              <w:left w:w="0" w:type="dxa"/>
              <w:bottom w:w="0" w:type="dxa"/>
              <w:right w:w="0" w:type="dxa"/>
            </w:tcMar>
            <w:vAlign w:val="bottom"/>
          </w:tcPr>
          <w:p w14:paraId="01BC2F4D"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1 401</w:t>
            </w:r>
          </w:p>
        </w:tc>
        <w:tc>
          <w:tcPr>
            <w:tcW w:w="1023" w:type="dxa"/>
            <w:shd w:val="clear" w:color="auto" w:fill="auto"/>
            <w:noWrap/>
            <w:tcMar>
              <w:top w:w="0" w:type="dxa"/>
              <w:left w:w="0" w:type="dxa"/>
              <w:bottom w:w="0" w:type="dxa"/>
              <w:right w:w="0" w:type="dxa"/>
            </w:tcMar>
            <w:vAlign w:val="bottom"/>
          </w:tcPr>
          <w:p w14:paraId="2B6F3D6B"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1 041</w:t>
            </w:r>
          </w:p>
        </w:tc>
        <w:tc>
          <w:tcPr>
            <w:tcW w:w="1057" w:type="dxa"/>
            <w:shd w:val="clear" w:color="auto" w:fill="auto"/>
            <w:noWrap/>
            <w:tcMar>
              <w:top w:w="0" w:type="dxa"/>
              <w:left w:w="0" w:type="dxa"/>
              <w:bottom w:w="0" w:type="dxa"/>
              <w:right w:w="0" w:type="dxa"/>
            </w:tcMar>
            <w:vAlign w:val="bottom"/>
          </w:tcPr>
          <w:p w14:paraId="6593FE4C"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5 885</w:t>
            </w:r>
          </w:p>
        </w:tc>
      </w:tr>
      <w:tr w:rsidR="001D7558" w:rsidRPr="00562756" w14:paraId="1D7A7789" w14:textId="77777777" w:rsidTr="00562756">
        <w:tc>
          <w:tcPr>
            <w:tcW w:w="1484" w:type="dxa"/>
            <w:shd w:val="clear" w:color="auto" w:fill="auto"/>
            <w:noWrap/>
            <w:tcMar>
              <w:top w:w="0" w:type="dxa"/>
              <w:left w:w="0" w:type="dxa"/>
              <w:bottom w:w="0" w:type="dxa"/>
              <w:right w:w="0" w:type="dxa"/>
            </w:tcMar>
          </w:tcPr>
          <w:p w14:paraId="16B78AA5" w14:textId="77777777" w:rsidR="001D7558" w:rsidRPr="00562756" w:rsidRDefault="001D7558" w:rsidP="00562756">
            <w:pPr>
              <w:spacing w:before="40" w:after="40" w:line="220" w:lineRule="exact"/>
              <w:rPr>
                <w:rFonts w:cs="Times New Roman"/>
                <w:sz w:val="18"/>
              </w:rPr>
            </w:pPr>
            <w:r w:rsidRPr="00562756">
              <w:rPr>
                <w:rFonts w:cs="Times New Roman"/>
                <w:sz w:val="18"/>
              </w:rPr>
              <w:t>Ортопедическая обувь</w:t>
            </w:r>
          </w:p>
        </w:tc>
        <w:tc>
          <w:tcPr>
            <w:tcW w:w="737" w:type="dxa"/>
            <w:shd w:val="clear" w:color="auto" w:fill="auto"/>
            <w:noWrap/>
            <w:tcMar>
              <w:top w:w="0" w:type="dxa"/>
              <w:left w:w="0" w:type="dxa"/>
              <w:bottom w:w="0" w:type="dxa"/>
              <w:right w:w="0" w:type="dxa"/>
            </w:tcMar>
            <w:vAlign w:val="bottom"/>
          </w:tcPr>
          <w:p w14:paraId="1A4E8E5F"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763</w:t>
            </w:r>
          </w:p>
        </w:tc>
        <w:tc>
          <w:tcPr>
            <w:tcW w:w="1023" w:type="dxa"/>
            <w:shd w:val="clear" w:color="auto" w:fill="auto"/>
            <w:noWrap/>
            <w:tcMar>
              <w:top w:w="0" w:type="dxa"/>
              <w:left w:w="0" w:type="dxa"/>
              <w:bottom w:w="0" w:type="dxa"/>
              <w:right w:w="0" w:type="dxa"/>
            </w:tcMar>
            <w:vAlign w:val="bottom"/>
          </w:tcPr>
          <w:p w14:paraId="52B88F5A"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1 015</w:t>
            </w:r>
          </w:p>
        </w:tc>
        <w:tc>
          <w:tcPr>
            <w:tcW w:w="1023" w:type="dxa"/>
            <w:shd w:val="clear" w:color="auto" w:fill="auto"/>
            <w:noWrap/>
            <w:tcMar>
              <w:top w:w="0" w:type="dxa"/>
              <w:left w:w="0" w:type="dxa"/>
              <w:bottom w:w="0" w:type="dxa"/>
              <w:right w:w="0" w:type="dxa"/>
            </w:tcMar>
            <w:vAlign w:val="bottom"/>
          </w:tcPr>
          <w:p w14:paraId="0D605C6B"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1 061</w:t>
            </w:r>
          </w:p>
        </w:tc>
        <w:tc>
          <w:tcPr>
            <w:tcW w:w="1023" w:type="dxa"/>
            <w:shd w:val="clear" w:color="auto" w:fill="auto"/>
            <w:noWrap/>
            <w:tcMar>
              <w:top w:w="0" w:type="dxa"/>
              <w:left w:w="0" w:type="dxa"/>
              <w:bottom w:w="0" w:type="dxa"/>
              <w:right w:w="0" w:type="dxa"/>
            </w:tcMar>
            <w:vAlign w:val="bottom"/>
          </w:tcPr>
          <w:p w14:paraId="44C63DDA"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820</w:t>
            </w:r>
          </w:p>
        </w:tc>
        <w:tc>
          <w:tcPr>
            <w:tcW w:w="1023" w:type="dxa"/>
            <w:shd w:val="clear" w:color="auto" w:fill="auto"/>
            <w:noWrap/>
            <w:tcMar>
              <w:top w:w="0" w:type="dxa"/>
              <w:left w:w="0" w:type="dxa"/>
              <w:bottom w:w="0" w:type="dxa"/>
              <w:right w:w="0" w:type="dxa"/>
            </w:tcMar>
            <w:vAlign w:val="bottom"/>
          </w:tcPr>
          <w:p w14:paraId="043FAAE4"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562</w:t>
            </w:r>
          </w:p>
        </w:tc>
        <w:tc>
          <w:tcPr>
            <w:tcW w:w="1057" w:type="dxa"/>
            <w:shd w:val="clear" w:color="auto" w:fill="auto"/>
            <w:noWrap/>
            <w:tcMar>
              <w:top w:w="0" w:type="dxa"/>
              <w:left w:w="0" w:type="dxa"/>
              <w:bottom w:w="0" w:type="dxa"/>
              <w:right w:w="0" w:type="dxa"/>
            </w:tcMar>
            <w:vAlign w:val="bottom"/>
          </w:tcPr>
          <w:p w14:paraId="198BA660"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4 221</w:t>
            </w:r>
          </w:p>
        </w:tc>
      </w:tr>
      <w:tr w:rsidR="001D7558" w:rsidRPr="00562756" w14:paraId="2B4B9FFF" w14:textId="77777777" w:rsidTr="00562756">
        <w:tc>
          <w:tcPr>
            <w:tcW w:w="1484" w:type="dxa"/>
            <w:shd w:val="clear" w:color="auto" w:fill="auto"/>
            <w:noWrap/>
            <w:tcMar>
              <w:top w:w="0" w:type="dxa"/>
              <w:left w:w="0" w:type="dxa"/>
              <w:bottom w:w="0" w:type="dxa"/>
              <w:right w:w="0" w:type="dxa"/>
            </w:tcMar>
          </w:tcPr>
          <w:p w14:paraId="7E488142" w14:textId="77777777" w:rsidR="001D7558" w:rsidRPr="00562756" w:rsidRDefault="001D7558" w:rsidP="00562756">
            <w:pPr>
              <w:spacing w:before="40" w:after="40" w:line="220" w:lineRule="exact"/>
              <w:rPr>
                <w:rFonts w:cs="Times New Roman"/>
                <w:sz w:val="18"/>
              </w:rPr>
            </w:pPr>
            <w:r w:rsidRPr="00562756">
              <w:rPr>
                <w:rFonts w:cs="Times New Roman"/>
                <w:sz w:val="18"/>
              </w:rPr>
              <w:t>Вспомогательные приспособления для ходьбы</w:t>
            </w:r>
          </w:p>
        </w:tc>
        <w:tc>
          <w:tcPr>
            <w:tcW w:w="737" w:type="dxa"/>
            <w:shd w:val="clear" w:color="auto" w:fill="auto"/>
            <w:noWrap/>
            <w:tcMar>
              <w:top w:w="0" w:type="dxa"/>
              <w:left w:w="0" w:type="dxa"/>
              <w:bottom w:w="0" w:type="dxa"/>
              <w:right w:w="0" w:type="dxa"/>
            </w:tcMar>
            <w:vAlign w:val="bottom"/>
          </w:tcPr>
          <w:p w14:paraId="3E93AD8C"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2 181</w:t>
            </w:r>
          </w:p>
        </w:tc>
        <w:tc>
          <w:tcPr>
            <w:tcW w:w="1023" w:type="dxa"/>
            <w:shd w:val="clear" w:color="auto" w:fill="auto"/>
            <w:noWrap/>
            <w:tcMar>
              <w:top w:w="0" w:type="dxa"/>
              <w:left w:w="0" w:type="dxa"/>
              <w:bottom w:w="0" w:type="dxa"/>
              <w:right w:w="0" w:type="dxa"/>
            </w:tcMar>
            <w:vAlign w:val="bottom"/>
          </w:tcPr>
          <w:p w14:paraId="4275B557"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2 302</w:t>
            </w:r>
          </w:p>
        </w:tc>
        <w:tc>
          <w:tcPr>
            <w:tcW w:w="1023" w:type="dxa"/>
            <w:shd w:val="clear" w:color="auto" w:fill="auto"/>
            <w:noWrap/>
            <w:tcMar>
              <w:top w:w="0" w:type="dxa"/>
              <w:left w:w="0" w:type="dxa"/>
              <w:bottom w:w="0" w:type="dxa"/>
              <w:right w:w="0" w:type="dxa"/>
            </w:tcMar>
            <w:vAlign w:val="bottom"/>
          </w:tcPr>
          <w:p w14:paraId="38BAB082"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2 512</w:t>
            </w:r>
          </w:p>
        </w:tc>
        <w:tc>
          <w:tcPr>
            <w:tcW w:w="1023" w:type="dxa"/>
            <w:shd w:val="clear" w:color="auto" w:fill="auto"/>
            <w:noWrap/>
            <w:tcMar>
              <w:top w:w="0" w:type="dxa"/>
              <w:left w:w="0" w:type="dxa"/>
              <w:bottom w:w="0" w:type="dxa"/>
              <w:right w:w="0" w:type="dxa"/>
            </w:tcMar>
            <w:vAlign w:val="bottom"/>
          </w:tcPr>
          <w:p w14:paraId="6D124643"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2 242</w:t>
            </w:r>
          </w:p>
        </w:tc>
        <w:tc>
          <w:tcPr>
            <w:tcW w:w="1023" w:type="dxa"/>
            <w:shd w:val="clear" w:color="auto" w:fill="auto"/>
            <w:noWrap/>
            <w:tcMar>
              <w:top w:w="0" w:type="dxa"/>
              <w:left w:w="0" w:type="dxa"/>
              <w:bottom w:w="0" w:type="dxa"/>
              <w:right w:w="0" w:type="dxa"/>
            </w:tcMar>
            <w:vAlign w:val="bottom"/>
          </w:tcPr>
          <w:p w14:paraId="711E6CC7"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1 014</w:t>
            </w:r>
          </w:p>
        </w:tc>
        <w:tc>
          <w:tcPr>
            <w:tcW w:w="1057" w:type="dxa"/>
            <w:shd w:val="clear" w:color="auto" w:fill="auto"/>
            <w:noWrap/>
            <w:tcMar>
              <w:top w:w="0" w:type="dxa"/>
              <w:left w:w="0" w:type="dxa"/>
              <w:bottom w:w="0" w:type="dxa"/>
              <w:right w:w="0" w:type="dxa"/>
            </w:tcMar>
            <w:vAlign w:val="bottom"/>
          </w:tcPr>
          <w:p w14:paraId="373FF29F"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10 251</w:t>
            </w:r>
          </w:p>
        </w:tc>
      </w:tr>
      <w:tr w:rsidR="001D7558" w:rsidRPr="00562756" w14:paraId="503A696A" w14:textId="77777777" w:rsidTr="00562756">
        <w:tc>
          <w:tcPr>
            <w:tcW w:w="1484" w:type="dxa"/>
            <w:shd w:val="clear" w:color="auto" w:fill="auto"/>
            <w:noWrap/>
            <w:tcMar>
              <w:top w:w="0" w:type="dxa"/>
              <w:left w:w="0" w:type="dxa"/>
              <w:bottom w:w="0" w:type="dxa"/>
              <w:right w:w="0" w:type="dxa"/>
            </w:tcMar>
          </w:tcPr>
          <w:p w14:paraId="0F45B223" w14:textId="77777777" w:rsidR="001D7558" w:rsidRPr="00562756" w:rsidRDefault="001D7558" w:rsidP="00562756">
            <w:pPr>
              <w:spacing w:before="40" w:after="40" w:line="220" w:lineRule="exact"/>
              <w:rPr>
                <w:rFonts w:cs="Times New Roman"/>
                <w:sz w:val="18"/>
              </w:rPr>
            </w:pPr>
            <w:r w:rsidRPr="00562756">
              <w:rPr>
                <w:rFonts w:cs="Times New Roman"/>
                <w:sz w:val="18"/>
              </w:rPr>
              <w:t>Инвалидные коляски</w:t>
            </w:r>
          </w:p>
        </w:tc>
        <w:tc>
          <w:tcPr>
            <w:tcW w:w="737" w:type="dxa"/>
            <w:shd w:val="clear" w:color="auto" w:fill="auto"/>
            <w:noWrap/>
            <w:tcMar>
              <w:top w:w="0" w:type="dxa"/>
              <w:left w:w="0" w:type="dxa"/>
              <w:bottom w:w="0" w:type="dxa"/>
              <w:right w:w="0" w:type="dxa"/>
            </w:tcMar>
            <w:vAlign w:val="bottom"/>
          </w:tcPr>
          <w:p w14:paraId="7FCF9A8A"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548</w:t>
            </w:r>
          </w:p>
        </w:tc>
        <w:tc>
          <w:tcPr>
            <w:tcW w:w="1023" w:type="dxa"/>
            <w:shd w:val="clear" w:color="auto" w:fill="auto"/>
            <w:noWrap/>
            <w:tcMar>
              <w:top w:w="0" w:type="dxa"/>
              <w:left w:w="0" w:type="dxa"/>
              <w:bottom w:w="0" w:type="dxa"/>
              <w:right w:w="0" w:type="dxa"/>
            </w:tcMar>
            <w:vAlign w:val="bottom"/>
          </w:tcPr>
          <w:p w14:paraId="5A689851"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518</w:t>
            </w:r>
          </w:p>
        </w:tc>
        <w:tc>
          <w:tcPr>
            <w:tcW w:w="1023" w:type="dxa"/>
            <w:shd w:val="clear" w:color="auto" w:fill="auto"/>
            <w:noWrap/>
            <w:tcMar>
              <w:top w:w="0" w:type="dxa"/>
              <w:left w:w="0" w:type="dxa"/>
              <w:bottom w:w="0" w:type="dxa"/>
              <w:right w:w="0" w:type="dxa"/>
            </w:tcMar>
            <w:vAlign w:val="bottom"/>
          </w:tcPr>
          <w:p w14:paraId="79A842C0"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519</w:t>
            </w:r>
          </w:p>
        </w:tc>
        <w:tc>
          <w:tcPr>
            <w:tcW w:w="1023" w:type="dxa"/>
            <w:shd w:val="clear" w:color="auto" w:fill="auto"/>
            <w:noWrap/>
            <w:tcMar>
              <w:top w:w="0" w:type="dxa"/>
              <w:left w:w="0" w:type="dxa"/>
              <w:bottom w:w="0" w:type="dxa"/>
              <w:right w:w="0" w:type="dxa"/>
            </w:tcMar>
            <w:vAlign w:val="bottom"/>
          </w:tcPr>
          <w:p w14:paraId="4715AC19"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64</w:t>
            </w:r>
          </w:p>
        </w:tc>
        <w:tc>
          <w:tcPr>
            <w:tcW w:w="1023" w:type="dxa"/>
            <w:shd w:val="clear" w:color="auto" w:fill="auto"/>
            <w:noWrap/>
            <w:tcMar>
              <w:top w:w="0" w:type="dxa"/>
              <w:left w:w="0" w:type="dxa"/>
              <w:bottom w:w="0" w:type="dxa"/>
              <w:right w:w="0" w:type="dxa"/>
            </w:tcMar>
            <w:vAlign w:val="bottom"/>
          </w:tcPr>
          <w:p w14:paraId="257807BC"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112</w:t>
            </w:r>
          </w:p>
        </w:tc>
        <w:tc>
          <w:tcPr>
            <w:tcW w:w="1057" w:type="dxa"/>
            <w:shd w:val="clear" w:color="auto" w:fill="auto"/>
            <w:noWrap/>
            <w:tcMar>
              <w:top w:w="0" w:type="dxa"/>
              <w:left w:w="0" w:type="dxa"/>
              <w:bottom w:w="0" w:type="dxa"/>
              <w:right w:w="0" w:type="dxa"/>
            </w:tcMar>
            <w:vAlign w:val="bottom"/>
          </w:tcPr>
          <w:p w14:paraId="08CD8A2C"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1 761</w:t>
            </w:r>
          </w:p>
        </w:tc>
      </w:tr>
      <w:tr w:rsidR="001D7558" w:rsidRPr="00562756" w14:paraId="2BF8F589" w14:textId="77777777" w:rsidTr="00562756">
        <w:tc>
          <w:tcPr>
            <w:tcW w:w="1484" w:type="dxa"/>
            <w:shd w:val="clear" w:color="auto" w:fill="auto"/>
            <w:noWrap/>
            <w:tcMar>
              <w:top w:w="0" w:type="dxa"/>
              <w:left w:w="0" w:type="dxa"/>
              <w:bottom w:w="0" w:type="dxa"/>
              <w:right w:w="0" w:type="dxa"/>
            </w:tcMar>
          </w:tcPr>
          <w:p w14:paraId="6BEAE085" w14:textId="77777777" w:rsidR="001D7558" w:rsidRPr="00562756" w:rsidRDefault="001D7558" w:rsidP="00562756">
            <w:pPr>
              <w:spacing w:before="40" w:after="40" w:line="220" w:lineRule="exact"/>
              <w:rPr>
                <w:rFonts w:cs="Times New Roman"/>
                <w:sz w:val="18"/>
              </w:rPr>
            </w:pPr>
            <w:r w:rsidRPr="00562756">
              <w:rPr>
                <w:rFonts w:cs="Times New Roman"/>
                <w:sz w:val="18"/>
              </w:rPr>
              <w:t>Тр</w:t>
            </w:r>
            <w:r w:rsidR="00562756">
              <w:rPr>
                <w:rFonts w:cs="Times New Roman"/>
                <w:sz w:val="18"/>
              </w:rPr>
              <w:t>е</w:t>
            </w:r>
            <w:r w:rsidRPr="00562756">
              <w:rPr>
                <w:rFonts w:cs="Times New Roman"/>
                <w:sz w:val="18"/>
              </w:rPr>
              <w:t>хкол</w:t>
            </w:r>
            <w:r w:rsidR="00562756">
              <w:rPr>
                <w:rFonts w:cs="Times New Roman"/>
                <w:sz w:val="18"/>
              </w:rPr>
              <w:t>е</w:t>
            </w:r>
            <w:r w:rsidRPr="00562756">
              <w:rPr>
                <w:rFonts w:cs="Times New Roman"/>
                <w:sz w:val="18"/>
              </w:rPr>
              <w:t>сные велосипеды</w:t>
            </w:r>
          </w:p>
        </w:tc>
        <w:tc>
          <w:tcPr>
            <w:tcW w:w="737" w:type="dxa"/>
            <w:shd w:val="clear" w:color="auto" w:fill="auto"/>
            <w:noWrap/>
            <w:tcMar>
              <w:top w:w="0" w:type="dxa"/>
              <w:left w:w="0" w:type="dxa"/>
              <w:bottom w:w="0" w:type="dxa"/>
              <w:right w:w="0" w:type="dxa"/>
            </w:tcMar>
            <w:vAlign w:val="bottom"/>
          </w:tcPr>
          <w:p w14:paraId="2CB4466E"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281</w:t>
            </w:r>
          </w:p>
        </w:tc>
        <w:tc>
          <w:tcPr>
            <w:tcW w:w="1023" w:type="dxa"/>
            <w:shd w:val="clear" w:color="auto" w:fill="auto"/>
            <w:noWrap/>
            <w:tcMar>
              <w:top w:w="0" w:type="dxa"/>
              <w:left w:w="0" w:type="dxa"/>
              <w:bottom w:w="0" w:type="dxa"/>
              <w:right w:w="0" w:type="dxa"/>
            </w:tcMar>
            <w:vAlign w:val="bottom"/>
          </w:tcPr>
          <w:p w14:paraId="1AFEA408" w14:textId="77777777" w:rsidR="001D7558" w:rsidRPr="00562756" w:rsidRDefault="001D7558" w:rsidP="00562756">
            <w:pPr>
              <w:spacing w:before="40" w:after="40" w:line="220" w:lineRule="exact"/>
              <w:jc w:val="right"/>
              <w:rPr>
                <w:rFonts w:cs="Times New Roman"/>
                <w:sz w:val="18"/>
              </w:rPr>
            </w:pPr>
          </w:p>
        </w:tc>
        <w:tc>
          <w:tcPr>
            <w:tcW w:w="1023" w:type="dxa"/>
            <w:shd w:val="clear" w:color="auto" w:fill="auto"/>
            <w:noWrap/>
            <w:tcMar>
              <w:top w:w="0" w:type="dxa"/>
              <w:left w:w="0" w:type="dxa"/>
              <w:bottom w:w="0" w:type="dxa"/>
              <w:right w:w="0" w:type="dxa"/>
            </w:tcMar>
            <w:vAlign w:val="bottom"/>
          </w:tcPr>
          <w:p w14:paraId="35E797FB"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343</w:t>
            </w:r>
          </w:p>
        </w:tc>
        <w:tc>
          <w:tcPr>
            <w:tcW w:w="1023" w:type="dxa"/>
            <w:shd w:val="clear" w:color="auto" w:fill="auto"/>
            <w:noWrap/>
            <w:tcMar>
              <w:top w:w="0" w:type="dxa"/>
              <w:left w:w="0" w:type="dxa"/>
              <w:bottom w:w="0" w:type="dxa"/>
              <w:right w:w="0" w:type="dxa"/>
            </w:tcMar>
            <w:vAlign w:val="bottom"/>
          </w:tcPr>
          <w:p w14:paraId="10BE4031"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218</w:t>
            </w:r>
          </w:p>
        </w:tc>
        <w:tc>
          <w:tcPr>
            <w:tcW w:w="1023" w:type="dxa"/>
            <w:shd w:val="clear" w:color="auto" w:fill="auto"/>
            <w:noWrap/>
            <w:tcMar>
              <w:top w:w="0" w:type="dxa"/>
              <w:left w:w="0" w:type="dxa"/>
              <w:bottom w:w="0" w:type="dxa"/>
              <w:right w:w="0" w:type="dxa"/>
            </w:tcMar>
            <w:vAlign w:val="bottom"/>
          </w:tcPr>
          <w:p w14:paraId="6DB160A1"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170</w:t>
            </w:r>
          </w:p>
        </w:tc>
        <w:tc>
          <w:tcPr>
            <w:tcW w:w="1057" w:type="dxa"/>
            <w:shd w:val="clear" w:color="auto" w:fill="auto"/>
            <w:noWrap/>
            <w:tcMar>
              <w:top w:w="0" w:type="dxa"/>
              <w:left w:w="0" w:type="dxa"/>
              <w:bottom w:w="0" w:type="dxa"/>
              <w:right w:w="0" w:type="dxa"/>
            </w:tcMar>
            <w:vAlign w:val="bottom"/>
          </w:tcPr>
          <w:p w14:paraId="48D4EF9B"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1 012</w:t>
            </w:r>
          </w:p>
        </w:tc>
      </w:tr>
      <w:tr w:rsidR="001D7558" w:rsidRPr="00562756" w14:paraId="57D09C73" w14:textId="77777777" w:rsidTr="00562756">
        <w:tc>
          <w:tcPr>
            <w:tcW w:w="1484" w:type="dxa"/>
            <w:tcBorders>
              <w:bottom w:val="single" w:sz="4" w:space="0" w:color="auto"/>
            </w:tcBorders>
            <w:shd w:val="clear" w:color="auto" w:fill="auto"/>
            <w:noWrap/>
            <w:tcMar>
              <w:top w:w="0" w:type="dxa"/>
              <w:left w:w="0" w:type="dxa"/>
              <w:bottom w:w="0" w:type="dxa"/>
              <w:right w:w="0" w:type="dxa"/>
            </w:tcMar>
          </w:tcPr>
          <w:p w14:paraId="08F055A6" w14:textId="77777777" w:rsidR="001D7558" w:rsidRPr="00562756" w:rsidRDefault="001D7558" w:rsidP="00562756">
            <w:pPr>
              <w:spacing w:before="40" w:after="40" w:line="220" w:lineRule="exact"/>
              <w:rPr>
                <w:rFonts w:cs="Times New Roman"/>
                <w:sz w:val="18"/>
              </w:rPr>
            </w:pPr>
            <w:r w:rsidRPr="00562756">
              <w:rPr>
                <w:rFonts w:cs="Times New Roman"/>
                <w:sz w:val="18"/>
              </w:rPr>
              <w:t xml:space="preserve">Прочие </w:t>
            </w:r>
          </w:p>
        </w:tc>
        <w:tc>
          <w:tcPr>
            <w:tcW w:w="737" w:type="dxa"/>
            <w:tcBorders>
              <w:bottom w:val="single" w:sz="4" w:space="0" w:color="auto"/>
            </w:tcBorders>
            <w:shd w:val="clear" w:color="auto" w:fill="auto"/>
            <w:noWrap/>
            <w:tcMar>
              <w:top w:w="0" w:type="dxa"/>
              <w:left w:w="0" w:type="dxa"/>
              <w:bottom w:w="0" w:type="dxa"/>
              <w:right w:w="0" w:type="dxa"/>
            </w:tcMar>
            <w:vAlign w:val="bottom"/>
          </w:tcPr>
          <w:p w14:paraId="071282B9"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456</w:t>
            </w:r>
          </w:p>
        </w:tc>
        <w:tc>
          <w:tcPr>
            <w:tcW w:w="1023" w:type="dxa"/>
            <w:tcBorders>
              <w:bottom w:val="single" w:sz="4" w:space="0" w:color="auto"/>
            </w:tcBorders>
            <w:shd w:val="clear" w:color="auto" w:fill="auto"/>
            <w:noWrap/>
            <w:tcMar>
              <w:top w:w="0" w:type="dxa"/>
              <w:left w:w="0" w:type="dxa"/>
              <w:bottom w:w="0" w:type="dxa"/>
              <w:right w:w="0" w:type="dxa"/>
            </w:tcMar>
            <w:vAlign w:val="bottom"/>
          </w:tcPr>
          <w:p w14:paraId="6C2D9645"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297</w:t>
            </w:r>
          </w:p>
        </w:tc>
        <w:tc>
          <w:tcPr>
            <w:tcW w:w="1023" w:type="dxa"/>
            <w:tcBorders>
              <w:bottom w:val="single" w:sz="4" w:space="0" w:color="auto"/>
            </w:tcBorders>
            <w:shd w:val="clear" w:color="auto" w:fill="auto"/>
            <w:noWrap/>
            <w:tcMar>
              <w:top w:w="0" w:type="dxa"/>
              <w:left w:w="0" w:type="dxa"/>
              <w:bottom w:w="0" w:type="dxa"/>
              <w:right w:w="0" w:type="dxa"/>
            </w:tcMar>
            <w:vAlign w:val="bottom"/>
          </w:tcPr>
          <w:p w14:paraId="2BEAD592"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234</w:t>
            </w:r>
          </w:p>
        </w:tc>
        <w:tc>
          <w:tcPr>
            <w:tcW w:w="1023" w:type="dxa"/>
            <w:tcBorders>
              <w:bottom w:val="single" w:sz="4" w:space="0" w:color="auto"/>
            </w:tcBorders>
            <w:shd w:val="clear" w:color="auto" w:fill="auto"/>
            <w:noWrap/>
            <w:tcMar>
              <w:top w:w="0" w:type="dxa"/>
              <w:left w:w="0" w:type="dxa"/>
              <w:bottom w:w="0" w:type="dxa"/>
              <w:right w:w="0" w:type="dxa"/>
            </w:tcMar>
            <w:vAlign w:val="bottom"/>
          </w:tcPr>
          <w:p w14:paraId="6B10094B"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194</w:t>
            </w:r>
          </w:p>
        </w:tc>
        <w:tc>
          <w:tcPr>
            <w:tcW w:w="1023" w:type="dxa"/>
            <w:tcBorders>
              <w:bottom w:val="single" w:sz="4" w:space="0" w:color="auto"/>
            </w:tcBorders>
            <w:shd w:val="clear" w:color="auto" w:fill="auto"/>
            <w:noWrap/>
            <w:tcMar>
              <w:top w:w="0" w:type="dxa"/>
              <w:left w:w="0" w:type="dxa"/>
              <w:bottom w:w="0" w:type="dxa"/>
              <w:right w:w="0" w:type="dxa"/>
            </w:tcMar>
            <w:vAlign w:val="bottom"/>
          </w:tcPr>
          <w:p w14:paraId="6141787B"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149</w:t>
            </w:r>
          </w:p>
        </w:tc>
        <w:tc>
          <w:tcPr>
            <w:tcW w:w="1057" w:type="dxa"/>
            <w:tcBorders>
              <w:bottom w:val="single" w:sz="4" w:space="0" w:color="auto"/>
            </w:tcBorders>
            <w:shd w:val="clear" w:color="auto" w:fill="auto"/>
            <w:noWrap/>
            <w:tcMar>
              <w:top w:w="0" w:type="dxa"/>
              <w:left w:w="0" w:type="dxa"/>
              <w:bottom w:w="0" w:type="dxa"/>
              <w:right w:w="0" w:type="dxa"/>
            </w:tcMar>
            <w:vAlign w:val="bottom"/>
          </w:tcPr>
          <w:p w14:paraId="27B7F8CD" w14:textId="77777777" w:rsidR="001D7558" w:rsidRPr="00562756" w:rsidRDefault="001D7558" w:rsidP="00562756">
            <w:pPr>
              <w:spacing w:before="40" w:after="40" w:line="220" w:lineRule="exact"/>
              <w:jc w:val="right"/>
              <w:rPr>
                <w:rFonts w:cs="Times New Roman"/>
                <w:sz w:val="18"/>
              </w:rPr>
            </w:pPr>
            <w:r w:rsidRPr="00562756">
              <w:rPr>
                <w:rFonts w:cs="Times New Roman"/>
                <w:sz w:val="18"/>
              </w:rPr>
              <w:t>1 330</w:t>
            </w:r>
          </w:p>
        </w:tc>
      </w:tr>
      <w:tr w:rsidR="001D7558" w:rsidRPr="00562756" w14:paraId="70EDBA07" w14:textId="77777777" w:rsidTr="00562756">
        <w:tc>
          <w:tcPr>
            <w:tcW w:w="1484" w:type="dxa"/>
            <w:tcBorders>
              <w:top w:val="single" w:sz="4" w:space="0" w:color="auto"/>
              <w:bottom w:val="single" w:sz="12" w:space="0" w:color="auto"/>
            </w:tcBorders>
            <w:shd w:val="clear" w:color="auto" w:fill="auto"/>
            <w:noWrap/>
            <w:tcMar>
              <w:top w:w="0" w:type="dxa"/>
              <w:left w:w="0" w:type="dxa"/>
              <w:bottom w:w="0" w:type="dxa"/>
              <w:right w:w="0" w:type="dxa"/>
            </w:tcMar>
          </w:tcPr>
          <w:p w14:paraId="790EC8A8" w14:textId="77777777" w:rsidR="001D7558" w:rsidRPr="00562756" w:rsidRDefault="001D7558" w:rsidP="00562756">
            <w:pPr>
              <w:spacing w:before="80" w:after="80" w:line="220" w:lineRule="exact"/>
              <w:ind w:left="283"/>
              <w:rPr>
                <w:rFonts w:cs="Times New Roman"/>
                <w:b/>
                <w:sz w:val="18"/>
              </w:rPr>
            </w:pPr>
            <w:r w:rsidRPr="00562756">
              <w:rPr>
                <w:rFonts w:cs="Times New Roman"/>
                <w:b/>
                <w:sz w:val="18"/>
              </w:rPr>
              <w:t xml:space="preserve">Всего </w:t>
            </w:r>
          </w:p>
        </w:tc>
        <w:tc>
          <w:tcPr>
            <w:tcW w:w="737"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4734CFEA" w14:textId="77777777" w:rsidR="001D7558" w:rsidRPr="00562756" w:rsidRDefault="001D7558" w:rsidP="00562756">
            <w:pPr>
              <w:spacing w:before="80" w:after="80" w:line="220" w:lineRule="exact"/>
              <w:jc w:val="right"/>
              <w:rPr>
                <w:rFonts w:cs="Times New Roman"/>
                <w:b/>
                <w:sz w:val="18"/>
              </w:rPr>
            </w:pPr>
            <w:r w:rsidRPr="00562756">
              <w:rPr>
                <w:rFonts w:cs="Times New Roman"/>
                <w:b/>
                <w:sz w:val="18"/>
              </w:rPr>
              <w:t>5 995</w:t>
            </w:r>
          </w:p>
        </w:tc>
        <w:tc>
          <w:tcPr>
            <w:tcW w:w="102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01919A6" w14:textId="77777777" w:rsidR="001D7558" w:rsidRPr="00562756" w:rsidRDefault="001D7558" w:rsidP="00562756">
            <w:pPr>
              <w:spacing w:before="80" w:after="80" w:line="220" w:lineRule="exact"/>
              <w:jc w:val="right"/>
              <w:rPr>
                <w:rFonts w:cs="Times New Roman"/>
                <w:b/>
                <w:sz w:val="18"/>
              </w:rPr>
            </w:pPr>
            <w:r w:rsidRPr="00562756">
              <w:rPr>
                <w:rFonts w:cs="Times New Roman"/>
                <w:b/>
                <w:sz w:val="18"/>
              </w:rPr>
              <w:t>6 022</w:t>
            </w:r>
          </w:p>
        </w:tc>
        <w:tc>
          <w:tcPr>
            <w:tcW w:w="102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DF9E6BE" w14:textId="77777777" w:rsidR="001D7558" w:rsidRPr="00562756" w:rsidRDefault="001D7558" w:rsidP="00562756">
            <w:pPr>
              <w:spacing w:before="80" w:after="80" w:line="220" w:lineRule="exact"/>
              <w:jc w:val="right"/>
              <w:rPr>
                <w:rFonts w:cs="Times New Roman"/>
                <w:b/>
                <w:sz w:val="18"/>
              </w:rPr>
            </w:pPr>
            <w:r w:rsidRPr="00562756">
              <w:rPr>
                <w:rFonts w:cs="Times New Roman"/>
                <w:b/>
                <w:sz w:val="18"/>
              </w:rPr>
              <w:t>6 602</w:t>
            </w:r>
          </w:p>
        </w:tc>
        <w:tc>
          <w:tcPr>
            <w:tcW w:w="102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27160761" w14:textId="77777777" w:rsidR="001D7558" w:rsidRPr="00562756" w:rsidRDefault="001D7558" w:rsidP="00562756">
            <w:pPr>
              <w:spacing w:before="80" w:after="80" w:line="220" w:lineRule="exact"/>
              <w:jc w:val="right"/>
              <w:rPr>
                <w:rFonts w:cs="Times New Roman"/>
                <w:b/>
                <w:sz w:val="18"/>
              </w:rPr>
            </w:pPr>
            <w:r w:rsidRPr="00562756">
              <w:rPr>
                <w:rFonts w:cs="Times New Roman"/>
                <w:b/>
                <w:sz w:val="18"/>
              </w:rPr>
              <w:t>5 449</w:t>
            </w:r>
          </w:p>
        </w:tc>
        <w:tc>
          <w:tcPr>
            <w:tcW w:w="102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1325CD90" w14:textId="77777777" w:rsidR="001D7558" w:rsidRPr="00562756" w:rsidRDefault="001D7558" w:rsidP="00562756">
            <w:pPr>
              <w:spacing w:before="80" w:after="80" w:line="220" w:lineRule="exact"/>
              <w:jc w:val="right"/>
              <w:rPr>
                <w:rFonts w:cs="Times New Roman"/>
                <w:b/>
                <w:sz w:val="18"/>
              </w:rPr>
            </w:pPr>
            <w:r w:rsidRPr="00562756">
              <w:rPr>
                <w:rFonts w:cs="Times New Roman"/>
                <w:b/>
                <w:sz w:val="18"/>
              </w:rPr>
              <w:t>3 558</w:t>
            </w:r>
          </w:p>
        </w:tc>
        <w:tc>
          <w:tcPr>
            <w:tcW w:w="1057"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2C4BBF11" w14:textId="77777777" w:rsidR="001D7558" w:rsidRPr="00562756" w:rsidRDefault="001D7558" w:rsidP="00562756">
            <w:pPr>
              <w:spacing w:before="80" w:after="80" w:line="220" w:lineRule="exact"/>
              <w:jc w:val="right"/>
              <w:rPr>
                <w:rFonts w:cs="Times New Roman"/>
                <w:b/>
                <w:sz w:val="18"/>
              </w:rPr>
            </w:pPr>
            <w:r w:rsidRPr="00562756">
              <w:rPr>
                <w:rFonts w:cs="Times New Roman"/>
                <w:b/>
                <w:sz w:val="18"/>
              </w:rPr>
              <w:t>27 626</w:t>
            </w:r>
          </w:p>
        </w:tc>
      </w:tr>
    </w:tbl>
    <w:p w14:paraId="6B0689FD" w14:textId="77777777" w:rsidR="001D7558" w:rsidRPr="00562756" w:rsidRDefault="001D7558" w:rsidP="00562756">
      <w:pPr>
        <w:spacing w:before="120" w:line="220" w:lineRule="exact"/>
        <w:ind w:left="1134" w:right="1134" w:firstLine="170"/>
        <w:rPr>
          <w:sz w:val="18"/>
          <w:szCs w:val="18"/>
          <w:lang w:val="en-US"/>
        </w:rPr>
      </w:pPr>
      <w:r w:rsidRPr="00562756">
        <w:rPr>
          <w:i/>
          <w:iCs/>
          <w:sz w:val="18"/>
          <w:szCs w:val="18"/>
        </w:rPr>
        <w:t>Источник</w:t>
      </w:r>
      <w:r w:rsidRPr="00562756">
        <w:rPr>
          <w:sz w:val="18"/>
          <w:szCs w:val="18"/>
          <w:lang w:val="en-US"/>
        </w:rPr>
        <w:t xml:space="preserve">: MH, MICO, MGCSA </w:t>
      </w:r>
      <w:r w:rsidRPr="00562756">
        <w:rPr>
          <w:sz w:val="18"/>
          <w:szCs w:val="18"/>
        </w:rPr>
        <w:t>и</w:t>
      </w:r>
      <w:r w:rsidRPr="00562756">
        <w:rPr>
          <w:sz w:val="18"/>
          <w:szCs w:val="18"/>
          <w:lang w:val="en-US"/>
        </w:rPr>
        <w:t xml:space="preserve"> MLESS Balance Reports.</w:t>
      </w:r>
    </w:p>
    <w:p w14:paraId="74E89B07" w14:textId="77777777" w:rsidR="001D7558" w:rsidRPr="00EA1614" w:rsidRDefault="001D7558" w:rsidP="001D7558">
      <w:pPr>
        <w:pStyle w:val="SingleTxtG"/>
        <w:spacing w:before="240"/>
      </w:pPr>
      <w:r>
        <w:t>86.</w:t>
      </w:r>
      <w:r>
        <w:tab/>
        <w:t>Инвалиды участвуют в общинных процессах через организации гражданского общества, религиозные органы и общинный консультационный форум.</w:t>
      </w:r>
    </w:p>
    <w:p w14:paraId="1A905FF2" w14:textId="77777777" w:rsidR="001D7558" w:rsidRPr="00EA1614" w:rsidRDefault="001D7558" w:rsidP="001D7558">
      <w:pPr>
        <w:pStyle w:val="SingleTxtG"/>
      </w:pPr>
      <w:r>
        <w:t>87.</w:t>
      </w:r>
      <w:r>
        <w:tab/>
        <w:t>В Мозамбике инвалиды ведут самостоятельный образ жизни, т</w:t>
      </w:r>
      <w:r w:rsidR="00562756">
        <w:t>.</w:t>
      </w:r>
      <w:r>
        <w:t xml:space="preserve"> е</w:t>
      </w:r>
      <w:r w:rsidR="00562756">
        <w:t>.</w:t>
      </w:r>
      <w:r>
        <w:t xml:space="preserve"> они сами, без какого-либо постороннего вмешательства, решают, где им жить и что им делать. Однако из-за некоторых сложившихся представлений отношение к инвалидам в ряде случаев является чрезмерно попечительным. </w:t>
      </w:r>
    </w:p>
    <w:p w14:paraId="2FBD78E4" w14:textId="77777777" w:rsidR="001D7558" w:rsidRPr="00EA1614" w:rsidRDefault="001D7558" w:rsidP="00562756">
      <w:pPr>
        <w:pStyle w:val="H23G"/>
      </w:pPr>
      <w:r>
        <w:tab/>
      </w:r>
      <w:r>
        <w:tab/>
        <w:t xml:space="preserve">Статья 21 </w:t>
      </w:r>
      <w:r w:rsidR="00562756">
        <w:br/>
      </w:r>
      <w:r>
        <w:t xml:space="preserve">Свобода выражения мнения и убеждений и доступ к информации </w:t>
      </w:r>
      <w:bookmarkStart w:id="3" w:name="_Toc44077500"/>
      <w:bookmarkEnd w:id="3"/>
    </w:p>
    <w:p w14:paraId="12D3A297" w14:textId="77777777" w:rsidR="001D7558" w:rsidRPr="00EA1614" w:rsidRDefault="001D7558" w:rsidP="001D7558">
      <w:pPr>
        <w:pStyle w:val="SingleTxtG"/>
      </w:pPr>
      <w:r>
        <w:t>88.</w:t>
      </w:r>
      <w:r>
        <w:tab/>
        <w:t>Согласно этой статье, государства-члены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w:t>
      </w:r>
    </w:p>
    <w:p w14:paraId="5C113393" w14:textId="77777777" w:rsidR="001D7558" w:rsidRPr="00EA1614" w:rsidRDefault="001D7558" w:rsidP="001D7558">
      <w:pPr>
        <w:pStyle w:val="SingleTxtG"/>
      </w:pPr>
      <w:r>
        <w:t>89.</w:t>
      </w:r>
      <w:r>
        <w:tab/>
        <w:t xml:space="preserve">В целях выполнения этой статьи Конвенции приняты следующие меры: </w:t>
      </w:r>
    </w:p>
    <w:p w14:paraId="1AF47B80" w14:textId="77777777" w:rsidR="001D7558" w:rsidRPr="00EA1614" w:rsidRDefault="001D7558" w:rsidP="001D7558">
      <w:pPr>
        <w:pStyle w:val="SingleTxtG"/>
      </w:pPr>
      <w:r>
        <w:tab/>
        <w:t>а)</w:t>
      </w:r>
      <w:r>
        <w:tab/>
        <w:t>утвержден Закон о праве на информацию (Закон № 34/2014 от 31</w:t>
      </w:r>
      <w:r w:rsidR="005142EE">
        <w:t> </w:t>
      </w:r>
      <w:r>
        <w:t xml:space="preserve">декабря), пункт а) статьи 18 которого гласит, что </w:t>
      </w:r>
      <w:r w:rsidR="005142EE">
        <w:t>«</w:t>
      </w:r>
      <w:r>
        <w:t>право на информацию может реализовываться в устной и письменной форме или на языке жестов</w:t>
      </w:r>
      <w:r w:rsidR="005142EE">
        <w:t>»</w:t>
      </w:r>
      <w:r>
        <w:t>;</w:t>
      </w:r>
    </w:p>
    <w:p w14:paraId="3032A2F6" w14:textId="77777777" w:rsidR="001D7558" w:rsidRPr="00EA1614" w:rsidRDefault="001D7558" w:rsidP="001D7558">
      <w:pPr>
        <w:pStyle w:val="SingleTxtG"/>
      </w:pPr>
      <w:r>
        <w:tab/>
        <w:t>b)</w:t>
      </w:r>
      <w:r>
        <w:tab/>
        <w:t>обеспечивается перевод на язык жестов в рамках проведения публичных мероприятий и предоставления государственных услуг, а также при трансляции некоторых телевизионных программ;</w:t>
      </w:r>
    </w:p>
    <w:p w14:paraId="21A27975" w14:textId="77777777" w:rsidR="001D7558" w:rsidRPr="00EA1614" w:rsidRDefault="001D7558" w:rsidP="001D7558">
      <w:pPr>
        <w:pStyle w:val="SingleTxtG"/>
      </w:pPr>
      <w:r>
        <w:tab/>
        <w:t>с)</w:t>
      </w:r>
      <w:r>
        <w:tab/>
        <w:t>перевод на язык Брайля двух брошюр, первая из которых (20</w:t>
      </w:r>
      <w:r w:rsidR="005142EE">
        <w:t> </w:t>
      </w:r>
      <w:r>
        <w:t>экземпляров) представляет собой руководство для лекторских групп, а вторая (80</w:t>
      </w:r>
      <w:r w:rsidR="005142EE">
        <w:t> </w:t>
      </w:r>
      <w:r>
        <w:t xml:space="preserve">экземпляров) </w:t>
      </w:r>
      <w:r w:rsidR="005142EE">
        <w:t>—</w:t>
      </w:r>
      <w:r>
        <w:t xml:space="preserve"> упрощенную информацию о сексуальном и репродуктивном здоровье для лиц с нарушениями зрения с целью облегчения им доступа к информации по этим вопросам;</w:t>
      </w:r>
    </w:p>
    <w:p w14:paraId="711A38EB" w14:textId="77777777" w:rsidR="001D7558" w:rsidRPr="00EA1614" w:rsidRDefault="001D7558" w:rsidP="001D7558">
      <w:pPr>
        <w:pStyle w:val="SingleTxtG"/>
      </w:pPr>
      <w:r>
        <w:tab/>
        <w:t>d)</w:t>
      </w:r>
      <w:r>
        <w:tab/>
        <w:t>воспроизведение и распространение 11 комплектов аудиоматериалов по вопросам сексуального и репродуктивного здоровья;</w:t>
      </w:r>
    </w:p>
    <w:p w14:paraId="16069126" w14:textId="77777777" w:rsidR="001D7558" w:rsidRPr="00EA1614" w:rsidRDefault="001D7558" w:rsidP="001D7558">
      <w:pPr>
        <w:pStyle w:val="SingleTxtG"/>
      </w:pPr>
      <w:r>
        <w:tab/>
        <w:t>e)</w:t>
      </w:r>
      <w:r>
        <w:tab/>
        <w:t>воспроизведение и распространение 454 экземпляров аудиоматериалов: 227 по Национальному плану по вопросам инвалидности и 227 по Международной конвенции о правах инвалидов;</w:t>
      </w:r>
    </w:p>
    <w:p w14:paraId="14FB295C" w14:textId="77777777" w:rsidR="001D7558" w:rsidRPr="00EA1614" w:rsidRDefault="001D7558" w:rsidP="001D7558">
      <w:pPr>
        <w:pStyle w:val="SingleTxtG"/>
      </w:pPr>
      <w:r>
        <w:lastRenderedPageBreak/>
        <w:tab/>
        <w:t>f)</w:t>
      </w:r>
      <w:r>
        <w:tab/>
        <w:t xml:space="preserve">воспроизведение и распространение на языке Брайля 30 экземпляров молодежной политики для облегчения доступа лиц с нарушениями зрения к информации по вопросам молодежи. </w:t>
      </w:r>
    </w:p>
    <w:p w14:paraId="026E7E00" w14:textId="77777777" w:rsidR="001D7558" w:rsidRPr="00EA1614" w:rsidRDefault="001D7558" w:rsidP="001D7558">
      <w:pPr>
        <w:pStyle w:val="SingleTxtG"/>
      </w:pPr>
      <w:r>
        <w:t>90.</w:t>
      </w:r>
      <w:r>
        <w:tab/>
        <w:t>Предпринятые действия чрезвычайно важны, однако доступ к информации по</w:t>
      </w:r>
      <w:r w:rsidR="005142EE">
        <w:noBreakHyphen/>
      </w:r>
      <w:r>
        <w:t>прежнему является проблемой для страны.</w:t>
      </w:r>
    </w:p>
    <w:p w14:paraId="63E475BA" w14:textId="77777777" w:rsidR="001D7558" w:rsidRPr="00EA1614" w:rsidRDefault="001D7558" w:rsidP="005142EE">
      <w:pPr>
        <w:pStyle w:val="H23G"/>
      </w:pPr>
      <w:r>
        <w:tab/>
      </w:r>
      <w:r>
        <w:tab/>
        <w:t xml:space="preserve">Статьи 22 и 23 </w:t>
      </w:r>
      <w:r w:rsidR="005142EE">
        <w:br/>
      </w:r>
      <w:r>
        <w:t xml:space="preserve">Неприкосновенность частной жизни и уважение дома и семьи </w:t>
      </w:r>
      <w:bookmarkStart w:id="4" w:name="_Toc44077501"/>
      <w:bookmarkEnd w:id="4"/>
    </w:p>
    <w:p w14:paraId="4E855576" w14:textId="77777777" w:rsidR="001D7558" w:rsidRPr="00EA1614" w:rsidRDefault="001D7558" w:rsidP="001D7558">
      <w:pPr>
        <w:pStyle w:val="SingleTxtG"/>
      </w:pPr>
      <w:r>
        <w:t>91.</w:t>
      </w:r>
      <w:r>
        <w:tab/>
        <w:t>Государства-члены охраняют конфиденциальность сведений о личности, состоянии здоровья и реабилитации инвалидов наравне с другими. Государства-члены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w:t>
      </w:r>
    </w:p>
    <w:p w14:paraId="6C2C6821" w14:textId="77777777" w:rsidR="001D7558" w:rsidRPr="00EA1614" w:rsidRDefault="001D7558" w:rsidP="001D7558">
      <w:pPr>
        <w:pStyle w:val="SingleTxtG"/>
      </w:pPr>
      <w:r>
        <w:t>92.</w:t>
      </w:r>
      <w:r>
        <w:tab/>
        <w:t xml:space="preserve">Статья 41 Конституции Республики, посвященная личным правам, гласит: </w:t>
      </w:r>
      <w:r w:rsidR="005142EE">
        <w:t>«</w:t>
      </w:r>
      <w:r>
        <w:t>Каждый гражданин имеет право на достоинство, доброе имя, репутацию, а также право на защиту своей репутации в глазах общественности и право на неприкосновенность своей частной жизни</w:t>
      </w:r>
      <w:r w:rsidR="005142EE">
        <w:t>»</w:t>
      </w:r>
      <w:r>
        <w:t>.</w:t>
      </w:r>
    </w:p>
    <w:p w14:paraId="7EA3B923" w14:textId="77777777" w:rsidR="001D7558" w:rsidRPr="00EA1614" w:rsidRDefault="001D7558" w:rsidP="001D7558">
      <w:pPr>
        <w:pStyle w:val="SingleTxtG"/>
      </w:pPr>
      <w:r>
        <w:t>93.</w:t>
      </w:r>
      <w:r>
        <w:tab/>
        <w:t>Право на неприкосновенность частной жизни закреплено за всеми гражданами, в том числе за инвалидами, из чего следует, что никто не должен никоим образом вмешиваться в личные дела других лиц.</w:t>
      </w:r>
    </w:p>
    <w:p w14:paraId="6A027D5B" w14:textId="77777777" w:rsidR="001D7558" w:rsidRPr="00EA1614" w:rsidRDefault="001D7558" w:rsidP="001D7558">
      <w:pPr>
        <w:pStyle w:val="SingleTxtG"/>
      </w:pPr>
      <w:r>
        <w:t>94.</w:t>
      </w:r>
      <w:r>
        <w:tab/>
        <w:t xml:space="preserve">Статья 119 Конституции Республики гарантирует признание и защиту семьи. Кроме того, она закрепляет принцип, согласно которому брак основывается на свободном согласии, за исключением случаев, когда существуют правовые препятствия. </w:t>
      </w:r>
    </w:p>
    <w:p w14:paraId="7C8FFFD2" w14:textId="77777777" w:rsidR="001D7558" w:rsidRPr="00EA1614" w:rsidRDefault="001D7558" w:rsidP="001D7558">
      <w:pPr>
        <w:pStyle w:val="SingleTxtG"/>
      </w:pPr>
      <w:r>
        <w:t>95.</w:t>
      </w:r>
      <w:r>
        <w:tab/>
        <w:t>В стране существуют гетерогенные или гомогенные семьи, состоящие из людей с инвалидностью и без нее или полностью из инвалидов, независимо от типологии. Однако, укрепление или ослабление семьи зависит от культурных факторов.</w:t>
      </w:r>
    </w:p>
    <w:p w14:paraId="3B560D7B" w14:textId="77777777" w:rsidR="001D7558" w:rsidRPr="00EA1614" w:rsidRDefault="001D7558" w:rsidP="005142EE">
      <w:pPr>
        <w:pStyle w:val="H23G"/>
      </w:pPr>
      <w:r>
        <w:tab/>
      </w:r>
      <w:r>
        <w:tab/>
        <w:t xml:space="preserve">Статья 24 </w:t>
      </w:r>
      <w:r w:rsidR="005142EE">
        <w:br/>
      </w:r>
      <w:r>
        <w:t xml:space="preserve">Образование </w:t>
      </w:r>
      <w:bookmarkStart w:id="5" w:name="_Toc44077502"/>
      <w:bookmarkEnd w:id="5"/>
    </w:p>
    <w:p w14:paraId="6F4FFAA0" w14:textId="77777777" w:rsidR="001D7558" w:rsidRPr="00EA1614" w:rsidRDefault="001D7558" w:rsidP="001D7558">
      <w:pPr>
        <w:pStyle w:val="SingleTxtG"/>
      </w:pPr>
      <w:r>
        <w:t>96.</w:t>
      </w:r>
      <w:r>
        <w:tab/>
        <w:t xml:space="preserve">Эта статья гласит: </w:t>
      </w:r>
      <w:r w:rsidR="005142EE">
        <w:t>«</w:t>
      </w:r>
      <w:r>
        <w:t>Государства-члены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w:t>
      </w:r>
      <w:r w:rsidR="005142EE">
        <w:t>»</w:t>
      </w:r>
      <w:r>
        <w:t>.</w:t>
      </w:r>
    </w:p>
    <w:p w14:paraId="6A4ECF3F" w14:textId="77777777" w:rsidR="001D7558" w:rsidRPr="00EA1614" w:rsidRDefault="001D7558" w:rsidP="001D7558">
      <w:pPr>
        <w:pStyle w:val="SingleTxtG"/>
      </w:pPr>
      <w:r>
        <w:t>97.</w:t>
      </w:r>
      <w:r>
        <w:tab/>
        <w:t>В соответствии со статьей 88 Конституции Республики все граждане имеют право на образование.</w:t>
      </w:r>
    </w:p>
    <w:p w14:paraId="6C719F4B" w14:textId="77777777" w:rsidR="001D7558" w:rsidRPr="00EA1614" w:rsidRDefault="001D7558" w:rsidP="001D7558">
      <w:pPr>
        <w:pStyle w:val="SingleTxtG"/>
      </w:pPr>
      <w:r>
        <w:t>98.</w:t>
      </w:r>
      <w:r>
        <w:tab/>
        <w:t>Закон о национальной системе образования (Закон № 6/92 от 6 мая) также закрепляет право на образование для всех детей, независимо от их состояния.</w:t>
      </w:r>
    </w:p>
    <w:p w14:paraId="5DF8E04D" w14:textId="77777777" w:rsidR="001D7558" w:rsidRPr="00EA1614" w:rsidRDefault="001D7558" w:rsidP="001D7558">
      <w:pPr>
        <w:pStyle w:val="SingleTxtG"/>
      </w:pPr>
      <w:r>
        <w:t>99.</w:t>
      </w:r>
      <w:r>
        <w:tab/>
        <w:t>Стратегический план в области образования на 2012</w:t>
      </w:r>
      <w:r w:rsidR="005142EE">
        <w:t>–</w:t>
      </w:r>
      <w:r>
        <w:t>2016 годы направлен на обеспечение инклюзивности образования и равного доступа к нему, особенно для детей с особыми образовательными потребностями.</w:t>
      </w:r>
    </w:p>
    <w:p w14:paraId="2FC1E515" w14:textId="77777777" w:rsidR="001D7558" w:rsidRPr="00EA1614" w:rsidRDefault="001D7558" w:rsidP="001D7558">
      <w:pPr>
        <w:pStyle w:val="SingleTxtG"/>
      </w:pPr>
      <w:r>
        <w:t>100.</w:t>
      </w:r>
      <w:r>
        <w:tab/>
        <w:t xml:space="preserve">В этой связи следует отметить следующее: </w:t>
      </w:r>
    </w:p>
    <w:p w14:paraId="3C7E1AD0" w14:textId="77777777" w:rsidR="001D7558" w:rsidRPr="00EA1614" w:rsidRDefault="001D7558" w:rsidP="001D7558">
      <w:pPr>
        <w:pStyle w:val="SingleTxtG"/>
      </w:pPr>
      <w:r>
        <w:tab/>
        <w:t>а)</w:t>
      </w:r>
      <w:r>
        <w:tab/>
        <w:t>правительство приняло стратегию инклюзивного образования, призванную содействовать интеграции инвалидов в обычные школы. Благодаря ее реализации в систему образования на всех уровнях были интегрированы 87</w:t>
      </w:r>
      <w:r w:rsidR="005142EE">
        <w:t> </w:t>
      </w:r>
      <w:r>
        <w:t>820</w:t>
      </w:r>
      <w:r w:rsidR="005142EE">
        <w:t> </w:t>
      </w:r>
      <w:r>
        <w:t>учащихся с особыми образовательными потребностями;</w:t>
      </w:r>
    </w:p>
    <w:p w14:paraId="4CD782A4" w14:textId="77777777" w:rsidR="001D7558" w:rsidRPr="00EA1614" w:rsidRDefault="001D7558" w:rsidP="001D7558">
      <w:pPr>
        <w:pStyle w:val="SingleTxtG"/>
      </w:pPr>
      <w:r>
        <w:tab/>
        <w:t>b)</w:t>
      </w:r>
      <w:r>
        <w:tab/>
        <w:t>в Мозамбике действует девять специальных школ, пять в Мапуту (две</w:t>
      </w:r>
      <w:r w:rsidR="005142EE">
        <w:t> </w:t>
      </w:r>
      <w:r>
        <w:t xml:space="preserve">государственные, две частные и одна общинная), две в провинции </w:t>
      </w:r>
      <w:proofErr w:type="spellStart"/>
      <w:r>
        <w:t>Софала</w:t>
      </w:r>
      <w:proofErr w:type="spellEnd"/>
      <w:r>
        <w:t>, одна в провинции Тете и одна в провинции Замбезия. В специальных школах обучаются 367</w:t>
      </w:r>
      <w:r w:rsidR="005142EE">
        <w:t> </w:t>
      </w:r>
      <w:r>
        <w:t>учащихся с особыми образовательными потребностями;</w:t>
      </w:r>
    </w:p>
    <w:p w14:paraId="02BBA8B2" w14:textId="77777777" w:rsidR="001D7558" w:rsidRPr="00EA1614" w:rsidRDefault="001D7558" w:rsidP="001D7558">
      <w:pPr>
        <w:pStyle w:val="SingleTxtG"/>
      </w:pPr>
      <w:r>
        <w:tab/>
        <w:t>с)</w:t>
      </w:r>
      <w:r>
        <w:tab/>
        <w:t xml:space="preserve">в соответствии с Постановление министерства № 191/2011 от 25 июля в стране создано три учебно-методических центра по вопросам инклюзивного </w:t>
      </w:r>
      <w:r>
        <w:lastRenderedPageBreak/>
        <w:t xml:space="preserve">образования (в провинциях Газа, Тете и </w:t>
      </w:r>
      <w:proofErr w:type="spellStart"/>
      <w:r>
        <w:t>Нампула</w:t>
      </w:r>
      <w:proofErr w:type="spellEnd"/>
      <w:r>
        <w:t>). Эти многофункциональные образовательные учреждения занимаются вопросами диагностики и профориентации, выпускают специальные дидактические материалы, проводят подготовку учителей для работы с детьми и молодыми людьми с особыми и обычными образовательными потребностями, ведут преподавание с дошкольного возраста до 12-го класса. Ежегодно эти центры оказывают помощь приблизительно 650 учащимся с особыми образовательными потребностями;</w:t>
      </w:r>
    </w:p>
    <w:p w14:paraId="74436357" w14:textId="77777777" w:rsidR="001D7558" w:rsidRPr="00EA1614" w:rsidRDefault="001D7558" w:rsidP="001D7558">
      <w:pPr>
        <w:pStyle w:val="SingleTxtG"/>
      </w:pPr>
      <w:r>
        <w:tab/>
        <w:t>d)</w:t>
      </w:r>
      <w:r>
        <w:tab/>
        <w:t xml:space="preserve">180 комплектов для развития инклюзивного спорта, 1000 комплектов инклюзивно-образовательных учебников, 75 принтеров на шрифте Брайля, 60 коробок бумаги для </w:t>
      </w:r>
      <w:proofErr w:type="spellStart"/>
      <w:r>
        <w:t>брайлевской</w:t>
      </w:r>
      <w:proofErr w:type="spellEnd"/>
      <w:r>
        <w:t xml:space="preserve"> печати, 150 грифельных досок и наборов мела, 180 тростей для слепых, 130 счётов, 30 кубинских ритмических инструментов, 20 домино, 150</w:t>
      </w:r>
      <w:r w:rsidR="005D0FA5">
        <w:t> </w:t>
      </w:r>
      <w:r>
        <w:t>ручных азбук, 100 книг (детских и научных), 130 геометрических фигур, 100</w:t>
      </w:r>
      <w:r w:rsidR="005D0FA5">
        <w:t> </w:t>
      </w:r>
      <w:r>
        <w:t>сборно-разборных кукол, 130 игр-головоломок, 30 конструкторов, 30 игр для развития памяти, 30 математических игр, 30 геометрических фигур, 30 скакалок, 15</w:t>
      </w:r>
      <w:r w:rsidR="005D0FA5">
        <w:t> </w:t>
      </w:r>
      <w:r>
        <w:t>наборов плюра, 50 восковых цветных мелков, 50 цветных карандашей, 30 ножниц, 10 коробок с клеем, 30 пластификаторов и 70 словарей мозамбикского языка жестов. Следует отметить, что в учебно-методических центрах по вопросам инклюзивного образования было проведено в общей сложности 30 тестов оценки психологического состояния, по 10 в каждом;</w:t>
      </w:r>
    </w:p>
    <w:p w14:paraId="58470707" w14:textId="77777777" w:rsidR="001D7558" w:rsidRPr="00EA1614" w:rsidRDefault="001D7558" w:rsidP="001D7558">
      <w:pPr>
        <w:pStyle w:val="SingleTxtG"/>
      </w:pPr>
      <w:r>
        <w:tab/>
        <w:t>e)</w:t>
      </w:r>
      <w:r>
        <w:tab/>
        <w:t>в рамках деятельности на общинном уровне программами инклюзивного обучения грамоте было охвачено 265 взрослых-инвалидов;</w:t>
      </w:r>
    </w:p>
    <w:p w14:paraId="37E58337" w14:textId="77777777" w:rsidR="001D7558" w:rsidRPr="00EA1614" w:rsidRDefault="001D7558" w:rsidP="001D7558">
      <w:pPr>
        <w:pStyle w:val="SingleTxtG"/>
      </w:pPr>
      <w:r>
        <w:tab/>
        <w:t>f)</w:t>
      </w:r>
      <w:r>
        <w:tab/>
        <w:t>в настоящее время проводится пересмотр учебной программы для педагогических институтов с целью уделения особого внимания особым образовательным потребностям;</w:t>
      </w:r>
    </w:p>
    <w:p w14:paraId="7AE7AF7E" w14:textId="77777777" w:rsidR="001D7558" w:rsidRPr="00EA1614" w:rsidRDefault="001D7558" w:rsidP="001D7558">
      <w:pPr>
        <w:pStyle w:val="SingleTxtG"/>
      </w:pPr>
      <w:r>
        <w:tab/>
        <w:t>g)</w:t>
      </w:r>
      <w:r>
        <w:tab/>
        <w:t>предметы, посвященные образованию лиц с особыми потребностями, системе Брайля и мозамбикскому языку жестов, были включены в программу подготовки учителей 12+3 классов с целью более подробного изучения вопросов, касающихся инвалидов и окружающих их лиц, а также трудностей, связанных с получением ими образования;</w:t>
      </w:r>
    </w:p>
    <w:p w14:paraId="25445ECD" w14:textId="77777777" w:rsidR="001D7558" w:rsidRPr="00EA1614" w:rsidRDefault="001D7558" w:rsidP="001D7558">
      <w:pPr>
        <w:pStyle w:val="SingleTxtG"/>
      </w:pPr>
      <w:r>
        <w:tab/>
        <w:t>h)</w:t>
      </w:r>
      <w:r>
        <w:tab/>
        <w:t>в интересах непрерывной подготовки учителей было разработано два модуля: один по системе Брайля, а второй по языку жестов</w:t>
      </w:r>
      <w:r w:rsidR="0093648A">
        <w:t>. Д</w:t>
      </w:r>
      <w:r>
        <w:t xml:space="preserve">ля оказания помощи учащимся с особыми образовательными потребностями было разработано специальное методическое пособие; </w:t>
      </w:r>
    </w:p>
    <w:p w14:paraId="4AF592D9" w14:textId="77777777" w:rsidR="001D7558" w:rsidRPr="00EA1614" w:rsidRDefault="001D7558" w:rsidP="001D7558">
      <w:pPr>
        <w:pStyle w:val="SingleTxtG"/>
      </w:pPr>
      <w:r>
        <w:tab/>
        <w:t>i)</w:t>
      </w:r>
      <w:r>
        <w:tab/>
        <w:t>подготовку по языку жестов, шрифту Брайля и диагностике прошли 330</w:t>
      </w:r>
      <w:r w:rsidR="00F83903">
        <w:t> </w:t>
      </w:r>
      <w:r>
        <w:t>директоров школ и преподавателей, а преподаватели технических училищ, выпускающих специалистов по гражданскому строительству, электротехнике и плотницкому делу, прошли краткосрочные курсы по вопросам, касающимся инвалидов;</w:t>
      </w:r>
    </w:p>
    <w:p w14:paraId="4A0F6766" w14:textId="77777777" w:rsidR="001D7558" w:rsidRPr="00EA1614" w:rsidRDefault="001D7558" w:rsidP="001D7558">
      <w:pPr>
        <w:pStyle w:val="SingleTxtG"/>
      </w:pPr>
      <w:r>
        <w:tab/>
        <w:t>j)</w:t>
      </w:r>
      <w:r>
        <w:tab/>
        <w:t xml:space="preserve">конкретные вопросы, посвященные образованию лиц с особыми потребностями, включены в новые модели подготовки учителей по предмету </w:t>
      </w:r>
      <w:r w:rsidR="00F83903">
        <w:t>«</w:t>
      </w:r>
      <w:r>
        <w:t>Психология</w:t>
      </w:r>
      <w:r w:rsidR="00F83903">
        <w:t>»</w:t>
      </w:r>
      <w:r>
        <w:t xml:space="preserve"> с целью обеспечения социально-педагогической интеграции и дополнительной поддержки детей и молодых людей с особыми образовательными потребностями.</w:t>
      </w:r>
    </w:p>
    <w:p w14:paraId="4BFE825B" w14:textId="77777777" w:rsidR="001D7558" w:rsidRPr="00EA1614" w:rsidRDefault="001D7558" w:rsidP="001D7558">
      <w:pPr>
        <w:pStyle w:val="SingleTxtG"/>
      </w:pPr>
      <w:r>
        <w:t>101.</w:t>
      </w:r>
      <w:r>
        <w:tab/>
        <w:t xml:space="preserve">Увеличению числа лиц с инвалидностью в школах способствовали меры по информированию общественности и общин, что привело к повышению спроса на подготовку учителей и пересмотр учебных программ с целью обеспечения инклюзивного образования. Однако стране по-прежнему необходимо укреплять соответствующие технические условия и повышать осведомленность общества о праве инвалидов на образование. </w:t>
      </w:r>
    </w:p>
    <w:p w14:paraId="7DDBAFC7" w14:textId="77777777" w:rsidR="001D7558" w:rsidRPr="00EA1614" w:rsidRDefault="001D7558" w:rsidP="00F83903">
      <w:pPr>
        <w:pStyle w:val="H23G"/>
      </w:pPr>
      <w:r>
        <w:tab/>
      </w:r>
      <w:r>
        <w:tab/>
        <w:t xml:space="preserve">Статьи 25 и 26 </w:t>
      </w:r>
      <w:r w:rsidR="00F83903">
        <w:br/>
      </w:r>
      <w:r>
        <w:t xml:space="preserve">Здоровье, </w:t>
      </w:r>
      <w:proofErr w:type="spellStart"/>
      <w:r>
        <w:t>абилитация</w:t>
      </w:r>
      <w:proofErr w:type="spellEnd"/>
      <w:r>
        <w:t xml:space="preserve"> и реабилитация </w:t>
      </w:r>
      <w:bookmarkStart w:id="6" w:name="_Toc44077503"/>
      <w:bookmarkEnd w:id="6"/>
    </w:p>
    <w:p w14:paraId="6FF35383" w14:textId="77777777" w:rsidR="001D7558" w:rsidRPr="00EA1614" w:rsidRDefault="001D7558" w:rsidP="001D7558">
      <w:pPr>
        <w:pStyle w:val="SingleTxtG"/>
      </w:pPr>
      <w:r>
        <w:t>102.</w:t>
      </w:r>
      <w:r>
        <w:tab/>
        <w:t xml:space="preserve">В соответствии со статьей 25 </w:t>
      </w:r>
      <w:r w:rsidR="00F83903">
        <w:t>«</w:t>
      </w:r>
      <w:r>
        <w:t xml:space="preserve">государства-члены признают, что инвалиды имеют право на наивысший достижимый уровень здоровья без дискриминации по признаку инвалидности. Государства-члены принимают все надлежащие меры для </w:t>
      </w:r>
      <w:r>
        <w:lastRenderedPageBreak/>
        <w:t>обеспечения доступа инвалидов к услугам в сфере здравоохранения, учитывающим гендерную специфику, в том числе к реабилитации по состоянию здоровья</w:t>
      </w:r>
      <w:r w:rsidR="00F83903">
        <w:t>»</w:t>
      </w:r>
      <w:r>
        <w:t>.</w:t>
      </w:r>
    </w:p>
    <w:p w14:paraId="64D7A9EB" w14:textId="77777777" w:rsidR="001D7558" w:rsidRPr="00EA1614" w:rsidRDefault="001D7558" w:rsidP="001D7558">
      <w:pPr>
        <w:pStyle w:val="SingleTxtG"/>
      </w:pPr>
      <w:r>
        <w:t>103.</w:t>
      </w:r>
      <w:r>
        <w:tab/>
        <w:t xml:space="preserve">Статья 26 предусматривает, что государства-члены принимают, в том числе при поддержке со стороны инвалидов, эффективные и надлежащие меры к тому, чтобы наделить инвалидов возможностью для достижения и сохранения полных физических, умственных, социальных и профессиональных способностей и полного включения и вовлечения во все аспекты жизни. С этой целью страны-члены организуют, укрепляют и расширяют комплексные </w:t>
      </w:r>
      <w:proofErr w:type="spellStart"/>
      <w:r>
        <w:t>абилитационные</w:t>
      </w:r>
      <w:proofErr w:type="spellEnd"/>
      <w:r>
        <w:t xml:space="preserve"> и реабилитационные услуги и программы, особенно в сфере здравоохранения, занятости, образования и социального обслуживания.</w:t>
      </w:r>
    </w:p>
    <w:p w14:paraId="409E9AC7" w14:textId="77777777" w:rsidR="001D7558" w:rsidRPr="00EA1614" w:rsidRDefault="001D7558" w:rsidP="001D7558">
      <w:pPr>
        <w:pStyle w:val="SingleTxtG"/>
      </w:pPr>
      <w:r>
        <w:t>104.</w:t>
      </w:r>
      <w:r>
        <w:tab/>
        <w:t>Статья 89 Конституции закрепляет право на здоровье и медико-санитарную помощь.</w:t>
      </w:r>
    </w:p>
    <w:p w14:paraId="1FA4882E" w14:textId="77777777" w:rsidR="001D7558" w:rsidRPr="00EA1614" w:rsidRDefault="001D7558" w:rsidP="001D7558">
      <w:pPr>
        <w:pStyle w:val="SingleTxtG"/>
      </w:pPr>
      <w:r>
        <w:t>105.</w:t>
      </w:r>
      <w:r>
        <w:tab/>
        <w:t>В целях выполнения этих статей Конвенции Мозамбиком приняты следующие меры:</w:t>
      </w:r>
    </w:p>
    <w:p w14:paraId="060915EB" w14:textId="77777777" w:rsidR="001D7558" w:rsidRPr="00EA1614" w:rsidRDefault="001D7558" w:rsidP="001D7558">
      <w:pPr>
        <w:pStyle w:val="Bullet1G"/>
        <w:numPr>
          <w:ilvl w:val="0"/>
          <w:numId w:val="22"/>
        </w:numPr>
      </w:pPr>
      <w:r>
        <w:t>проведена подготовка 107 техников по вопросам, касающимся физической терапии и реабилитации;</w:t>
      </w:r>
    </w:p>
    <w:p w14:paraId="259A9D9B" w14:textId="77777777" w:rsidR="001D7558" w:rsidRPr="00EA1614" w:rsidRDefault="001D7558" w:rsidP="001D7558">
      <w:pPr>
        <w:pStyle w:val="Bullet1G"/>
        <w:numPr>
          <w:ilvl w:val="0"/>
          <w:numId w:val="22"/>
        </w:numPr>
      </w:pPr>
      <w:r>
        <w:t xml:space="preserve">проведена подготовка 10 поставщиков медицинских услуг и 10 лекторских групп по вопросам сексуального и репродуктивного здоровья инвалидов в провинциях </w:t>
      </w:r>
      <w:proofErr w:type="spellStart"/>
      <w:r>
        <w:t>Софала</w:t>
      </w:r>
      <w:proofErr w:type="spellEnd"/>
      <w:r>
        <w:t xml:space="preserve">, </w:t>
      </w:r>
      <w:proofErr w:type="spellStart"/>
      <w:r>
        <w:t>Нампула</w:t>
      </w:r>
      <w:proofErr w:type="spellEnd"/>
      <w:r>
        <w:t xml:space="preserve"> и </w:t>
      </w:r>
      <w:proofErr w:type="spellStart"/>
      <w:r>
        <w:t>Кабу-Делгаду</w:t>
      </w:r>
      <w:proofErr w:type="spellEnd"/>
      <w:r>
        <w:t>;</w:t>
      </w:r>
    </w:p>
    <w:p w14:paraId="379D16DB" w14:textId="77777777" w:rsidR="001D7558" w:rsidRPr="00EA1614" w:rsidRDefault="001D7558" w:rsidP="001D7558">
      <w:pPr>
        <w:pStyle w:val="Bullet1G"/>
        <w:numPr>
          <w:ilvl w:val="0"/>
          <w:numId w:val="22"/>
        </w:numPr>
      </w:pPr>
      <w:r>
        <w:t xml:space="preserve">выездными физиотерапевтическими и ортопедическими службами оказана помощь 153 735 пациентам. </w:t>
      </w:r>
    </w:p>
    <w:p w14:paraId="20829758" w14:textId="77777777" w:rsidR="001D7558" w:rsidRPr="00EA1614" w:rsidRDefault="001D7558" w:rsidP="00F83903">
      <w:pPr>
        <w:pStyle w:val="H23G"/>
      </w:pPr>
      <w:r>
        <w:tab/>
      </w:r>
      <w:r>
        <w:tab/>
        <w:t xml:space="preserve">Статья 27 </w:t>
      </w:r>
      <w:r w:rsidR="00F83903">
        <w:br/>
      </w:r>
      <w:r>
        <w:t>Труд, занятость и профессиональная подготовка</w:t>
      </w:r>
      <w:bookmarkStart w:id="7" w:name="_Toc44077504"/>
      <w:bookmarkEnd w:id="7"/>
    </w:p>
    <w:p w14:paraId="4CF4BEE5" w14:textId="77777777" w:rsidR="001D7558" w:rsidRPr="00EA1614" w:rsidRDefault="001D7558" w:rsidP="001D7558">
      <w:pPr>
        <w:pStyle w:val="SingleTxtG"/>
      </w:pPr>
      <w:r>
        <w:t>106.</w:t>
      </w:r>
      <w:r>
        <w:tab/>
        <w:t>Согласно этой статье, государства-члены должны признавать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Государства-члены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w:t>
      </w:r>
    </w:p>
    <w:p w14:paraId="644C2C4F" w14:textId="77777777" w:rsidR="001D7558" w:rsidRPr="00EA1614" w:rsidRDefault="001D7558" w:rsidP="001D7558">
      <w:pPr>
        <w:pStyle w:val="SingleTxtG"/>
      </w:pPr>
      <w:r>
        <w:t>107.</w:t>
      </w:r>
      <w:r>
        <w:tab/>
        <w:t>Закон о труде (Закон № 23/2007 от 1 августа), в соответствии с его статьей 28, распространяется на всех лиц.</w:t>
      </w:r>
    </w:p>
    <w:p w14:paraId="594CB9B9" w14:textId="77777777" w:rsidR="001D7558" w:rsidRPr="00EA1614" w:rsidRDefault="001D7558" w:rsidP="001D7558">
      <w:pPr>
        <w:pStyle w:val="SingleTxtG"/>
      </w:pPr>
      <w:r>
        <w:t>108.</w:t>
      </w:r>
      <w:r>
        <w:tab/>
        <w:t>Цель Стратегии в интересах лиц с инвалидностью в государственном секторе (2009</w:t>
      </w:r>
      <w:r w:rsidR="004B764B">
        <w:t>–</w:t>
      </w:r>
      <w:r>
        <w:t>2013 годы) состояла в том, чтобы обеспечить инвалидам возможности трудоустройства посредством соблюдения прав и обязанностей, касающихся доступа к работе, а также гарантий занятости.</w:t>
      </w:r>
    </w:p>
    <w:p w14:paraId="6F7DE50A" w14:textId="77777777" w:rsidR="001D7558" w:rsidRPr="00EA1614" w:rsidRDefault="001D7558" w:rsidP="001D7558">
      <w:pPr>
        <w:pStyle w:val="SingleTxtG"/>
      </w:pPr>
      <w:r>
        <w:t>109.</w:t>
      </w:r>
      <w:r>
        <w:tab/>
        <w:t>Обучение на различных курсах профессиональной подготовки в таких областях, как кройка и шитье одежды, информатика, парикмахерское дело, управление малым бизнесом, рыбоводство, кузнечное дело, сантехника, вычислительная техника и секретарская работа, прошли в стране 900 инвалидов.</w:t>
      </w:r>
    </w:p>
    <w:p w14:paraId="4BC8B3FB" w14:textId="34091A57" w:rsidR="001D7558" w:rsidRPr="00EA1614" w:rsidRDefault="004B764B" w:rsidP="00394163">
      <w:pPr>
        <w:pStyle w:val="H23G"/>
        <w:ind w:left="0" w:right="0" w:firstLine="0"/>
        <w:rPr>
          <w:b w:val="0"/>
        </w:rPr>
      </w:pPr>
      <w:bookmarkStart w:id="8" w:name="_Toc44077505"/>
      <w:r>
        <w:tab/>
      </w:r>
      <w:r w:rsidR="001D7558" w:rsidRPr="004B764B">
        <w:rPr>
          <w:b w:val="0"/>
          <w:bCs/>
        </w:rPr>
        <w:t>Таблица 2</w:t>
      </w:r>
      <w:bookmarkEnd w:id="8"/>
      <w:r>
        <w:br/>
      </w:r>
      <w:r w:rsidR="001D7558" w:rsidRPr="004B764B">
        <w:t>Инвалиды, прошедшие обучение на различных курсах профессиональной подготовки</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0"/>
        <w:gridCol w:w="581"/>
        <w:gridCol w:w="581"/>
        <w:gridCol w:w="666"/>
        <w:gridCol w:w="666"/>
        <w:gridCol w:w="667"/>
        <w:gridCol w:w="509"/>
        <w:gridCol w:w="509"/>
        <w:gridCol w:w="510"/>
        <w:gridCol w:w="571"/>
        <w:gridCol w:w="571"/>
        <w:gridCol w:w="571"/>
        <w:gridCol w:w="617"/>
        <w:gridCol w:w="617"/>
        <w:gridCol w:w="618"/>
        <w:gridCol w:w="805"/>
      </w:tblGrid>
      <w:tr w:rsidR="001D7558" w:rsidRPr="004B764B" w14:paraId="7CA2B7C1" w14:textId="77777777" w:rsidTr="005E7DBA">
        <w:trPr>
          <w:tblHeader/>
        </w:trPr>
        <w:tc>
          <w:tcPr>
            <w:tcW w:w="1742" w:type="dxa"/>
            <w:gridSpan w:val="3"/>
            <w:tcBorders>
              <w:top w:val="single" w:sz="4" w:space="0" w:color="auto"/>
              <w:bottom w:val="single" w:sz="4" w:space="0" w:color="auto"/>
            </w:tcBorders>
            <w:shd w:val="clear" w:color="auto" w:fill="auto"/>
            <w:tcMar>
              <w:top w:w="0" w:type="dxa"/>
              <w:left w:w="0" w:type="dxa"/>
              <w:bottom w:w="0" w:type="dxa"/>
              <w:right w:w="0" w:type="dxa"/>
            </w:tcMar>
            <w:vAlign w:val="bottom"/>
          </w:tcPr>
          <w:p w14:paraId="6DAD8E0E" w14:textId="77777777" w:rsidR="001D7558" w:rsidRPr="004B764B" w:rsidRDefault="001D7558" w:rsidP="005E7DBA">
            <w:pPr>
              <w:suppressAutoHyphens w:val="0"/>
              <w:spacing w:before="80" w:after="80" w:line="200" w:lineRule="exact"/>
              <w:ind w:right="113"/>
              <w:jc w:val="center"/>
              <w:rPr>
                <w:i/>
                <w:sz w:val="16"/>
                <w:szCs w:val="16"/>
              </w:rPr>
            </w:pPr>
            <w:r w:rsidRPr="004B764B">
              <w:rPr>
                <w:i/>
                <w:iCs/>
                <w:sz w:val="16"/>
                <w:szCs w:val="16"/>
              </w:rPr>
              <w:t>2013</w:t>
            </w:r>
          </w:p>
        </w:tc>
        <w:tc>
          <w:tcPr>
            <w:tcW w:w="1999" w:type="dxa"/>
            <w:gridSpan w:val="3"/>
            <w:tcBorders>
              <w:top w:val="single" w:sz="4" w:space="0" w:color="auto"/>
              <w:bottom w:val="single" w:sz="4" w:space="0" w:color="auto"/>
            </w:tcBorders>
            <w:shd w:val="clear" w:color="auto" w:fill="auto"/>
            <w:tcMar>
              <w:top w:w="0" w:type="dxa"/>
              <w:left w:w="0" w:type="dxa"/>
              <w:bottom w:w="0" w:type="dxa"/>
              <w:right w:w="0" w:type="dxa"/>
            </w:tcMar>
            <w:vAlign w:val="bottom"/>
          </w:tcPr>
          <w:p w14:paraId="362FA22D" w14:textId="77777777" w:rsidR="001D7558" w:rsidRPr="004B764B" w:rsidRDefault="001D7558" w:rsidP="005E7DBA">
            <w:pPr>
              <w:suppressAutoHyphens w:val="0"/>
              <w:spacing w:before="80" w:after="80" w:line="200" w:lineRule="exact"/>
              <w:ind w:right="113"/>
              <w:jc w:val="center"/>
              <w:rPr>
                <w:i/>
                <w:sz w:val="16"/>
                <w:szCs w:val="16"/>
              </w:rPr>
            </w:pPr>
            <w:r w:rsidRPr="004B764B">
              <w:rPr>
                <w:i/>
                <w:iCs/>
                <w:sz w:val="16"/>
                <w:szCs w:val="16"/>
              </w:rPr>
              <w:t>2014</w:t>
            </w:r>
          </w:p>
        </w:tc>
        <w:tc>
          <w:tcPr>
            <w:tcW w:w="1528" w:type="dxa"/>
            <w:gridSpan w:val="3"/>
            <w:tcBorders>
              <w:top w:val="single" w:sz="4" w:space="0" w:color="auto"/>
              <w:bottom w:val="single" w:sz="4" w:space="0" w:color="auto"/>
            </w:tcBorders>
            <w:shd w:val="clear" w:color="auto" w:fill="auto"/>
            <w:tcMar>
              <w:top w:w="0" w:type="dxa"/>
              <w:left w:w="0" w:type="dxa"/>
              <w:bottom w:w="0" w:type="dxa"/>
              <w:right w:w="0" w:type="dxa"/>
            </w:tcMar>
            <w:vAlign w:val="bottom"/>
          </w:tcPr>
          <w:p w14:paraId="5C6D722F" w14:textId="77777777" w:rsidR="001D7558" w:rsidRPr="004B764B" w:rsidRDefault="001D7558" w:rsidP="005E7DBA">
            <w:pPr>
              <w:suppressAutoHyphens w:val="0"/>
              <w:spacing w:before="80" w:after="80" w:line="200" w:lineRule="exact"/>
              <w:ind w:right="113"/>
              <w:jc w:val="center"/>
              <w:rPr>
                <w:i/>
                <w:sz w:val="16"/>
                <w:szCs w:val="16"/>
              </w:rPr>
            </w:pPr>
            <w:r w:rsidRPr="004B764B">
              <w:rPr>
                <w:i/>
                <w:iCs/>
                <w:sz w:val="16"/>
                <w:szCs w:val="16"/>
              </w:rPr>
              <w:t>2015</w:t>
            </w:r>
          </w:p>
        </w:tc>
        <w:tc>
          <w:tcPr>
            <w:tcW w:w="1713" w:type="dxa"/>
            <w:gridSpan w:val="3"/>
            <w:tcBorders>
              <w:top w:val="single" w:sz="4" w:space="0" w:color="auto"/>
              <w:bottom w:val="single" w:sz="4" w:space="0" w:color="auto"/>
            </w:tcBorders>
            <w:shd w:val="clear" w:color="auto" w:fill="auto"/>
            <w:tcMar>
              <w:top w:w="0" w:type="dxa"/>
              <w:left w:w="0" w:type="dxa"/>
              <w:bottom w:w="0" w:type="dxa"/>
              <w:right w:w="0" w:type="dxa"/>
            </w:tcMar>
            <w:vAlign w:val="bottom"/>
          </w:tcPr>
          <w:p w14:paraId="6DC26D1B" w14:textId="77777777" w:rsidR="001D7558" w:rsidRPr="004B764B" w:rsidRDefault="001D7558" w:rsidP="005E7DBA">
            <w:pPr>
              <w:suppressAutoHyphens w:val="0"/>
              <w:spacing w:before="80" w:after="80" w:line="200" w:lineRule="exact"/>
              <w:ind w:right="113"/>
              <w:jc w:val="center"/>
              <w:rPr>
                <w:i/>
                <w:sz w:val="16"/>
                <w:szCs w:val="16"/>
              </w:rPr>
            </w:pPr>
            <w:r w:rsidRPr="004B764B">
              <w:rPr>
                <w:i/>
                <w:iCs/>
                <w:sz w:val="16"/>
                <w:szCs w:val="16"/>
              </w:rPr>
              <w:t>2016</w:t>
            </w:r>
          </w:p>
        </w:tc>
        <w:tc>
          <w:tcPr>
            <w:tcW w:w="1852" w:type="dxa"/>
            <w:gridSpan w:val="3"/>
            <w:tcBorders>
              <w:top w:val="single" w:sz="4" w:space="0" w:color="auto"/>
              <w:bottom w:val="single" w:sz="4" w:space="0" w:color="auto"/>
            </w:tcBorders>
            <w:shd w:val="clear" w:color="auto" w:fill="auto"/>
            <w:tcMar>
              <w:top w:w="0" w:type="dxa"/>
              <w:left w:w="0" w:type="dxa"/>
              <w:bottom w:w="0" w:type="dxa"/>
              <w:right w:w="0" w:type="dxa"/>
            </w:tcMar>
            <w:vAlign w:val="bottom"/>
          </w:tcPr>
          <w:p w14:paraId="56E0A48F" w14:textId="77777777" w:rsidR="001D7558" w:rsidRPr="004B764B" w:rsidRDefault="001D7558" w:rsidP="005E7DBA">
            <w:pPr>
              <w:suppressAutoHyphens w:val="0"/>
              <w:spacing w:before="80" w:after="80" w:line="200" w:lineRule="exact"/>
              <w:ind w:right="113"/>
              <w:jc w:val="center"/>
              <w:rPr>
                <w:i/>
                <w:sz w:val="16"/>
                <w:szCs w:val="16"/>
              </w:rPr>
            </w:pPr>
            <w:r w:rsidRPr="004B764B">
              <w:rPr>
                <w:i/>
                <w:iCs/>
                <w:sz w:val="16"/>
                <w:szCs w:val="16"/>
              </w:rPr>
              <w:t>2017</w:t>
            </w:r>
          </w:p>
        </w:tc>
        <w:tc>
          <w:tcPr>
            <w:tcW w:w="805"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315F69E"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Всего</w:t>
            </w:r>
          </w:p>
        </w:tc>
      </w:tr>
      <w:tr w:rsidR="001D7558" w:rsidRPr="004B764B" w14:paraId="77FA470B" w14:textId="77777777" w:rsidTr="005E7DBA">
        <w:tc>
          <w:tcPr>
            <w:tcW w:w="580" w:type="dxa"/>
            <w:tcBorders>
              <w:top w:val="single" w:sz="4" w:space="0" w:color="auto"/>
              <w:bottom w:val="single" w:sz="12" w:space="0" w:color="auto"/>
            </w:tcBorders>
            <w:shd w:val="clear" w:color="auto" w:fill="auto"/>
            <w:tcMar>
              <w:top w:w="0" w:type="dxa"/>
              <w:left w:w="0" w:type="dxa"/>
              <w:bottom w:w="0" w:type="dxa"/>
              <w:right w:w="0" w:type="dxa"/>
            </w:tcMar>
          </w:tcPr>
          <w:p w14:paraId="09705557" w14:textId="77777777" w:rsidR="001D7558" w:rsidRPr="004B764B" w:rsidRDefault="001D7558" w:rsidP="005E7DBA">
            <w:pPr>
              <w:suppressAutoHyphens w:val="0"/>
              <w:spacing w:before="80" w:after="80" w:line="200" w:lineRule="exact"/>
              <w:ind w:right="113"/>
              <w:rPr>
                <w:i/>
                <w:sz w:val="16"/>
                <w:szCs w:val="16"/>
              </w:rPr>
            </w:pPr>
            <w:r w:rsidRPr="004B764B">
              <w:rPr>
                <w:i/>
                <w:iCs/>
                <w:sz w:val="16"/>
                <w:szCs w:val="16"/>
              </w:rPr>
              <w:t>М</w:t>
            </w:r>
          </w:p>
        </w:tc>
        <w:tc>
          <w:tcPr>
            <w:tcW w:w="58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5869624"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Ж</w:t>
            </w:r>
          </w:p>
        </w:tc>
        <w:tc>
          <w:tcPr>
            <w:tcW w:w="58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73AAB03"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М/Ж</w:t>
            </w:r>
          </w:p>
        </w:tc>
        <w:tc>
          <w:tcPr>
            <w:tcW w:w="66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0BF53F3"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M</w:t>
            </w:r>
          </w:p>
        </w:tc>
        <w:tc>
          <w:tcPr>
            <w:tcW w:w="66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7048484"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Ж</w:t>
            </w:r>
          </w:p>
        </w:tc>
        <w:tc>
          <w:tcPr>
            <w:tcW w:w="66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35CA3E2"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М/Ж</w:t>
            </w:r>
          </w:p>
        </w:tc>
        <w:tc>
          <w:tcPr>
            <w:tcW w:w="50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407C62F"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M</w:t>
            </w:r>
          </w:p>
        </w:tc>
        <w:tc>
          <w:tcPr>
            <w:tcW w:w="50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94AAB94"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M</w:t>
            </w:r>
          </w:p>
        </w:tc>
        <w:tc>
          <w:tcPr>
            <w:tcW w:w="51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0A51094"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М/Ж</w:t>
            </w:r>
          </w:p>
        </w:tc>
        <w:tc>
          <w:tcPr>
            <w:tcW w:w="57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779C001"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M</w:t>
            </w:r>
          </w:p>
        </w:tc>
        <w:tc>
          <w:tcPr>
            <w:tcW w:w="57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4C7AFB9"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M</w:t>
            </w:r>
          </w:p>
        </w:tc>
        <w:tc>
          <w:tcPr>
            <w:tcW w:w="57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BACF903"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М/Ж</w:t>
            </w:r>
          </w:p>
        </w:tc>
        <w:tc>
          <w:tcPr>
            <w:tcW w:w="61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5D9D9C2"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M</w:t>
            </w:r>
          </w:p>
        </w:tc>
        <w:tc>
          <w:tcPr>
            <w:tcW w:w="61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183B016"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Ж</w:t>
            </w:r>
          </w:p>
        </w:tc>
        <w:tc>
          <w:tcPr>
            <w:tcW w:w="61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406EFD8"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М/Ж</w:t>
            </w:r>
          </w:p>
        </w:tc>
        <w:tc>
          <w:tcPr>
            <w:tcW w:w="80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92BFFA0" w14:textId="77777777" w:rsidR="001D7558" w:rsidRPr="004B764B" w:rsidRDefault="001D7558" w:rsidP="005E7DBA">
            <w:pPr>
              <w:suppressAutoHyphens w:val="0"/>
              <w:spacing w:before="80" w:after="80" w:line="200" w:lineRule="exact"/>
              <w:ind w:right="113"/>
              <w:jc w:val="right"/>
              <w:rPr>
                <w:i/>
                <w:sz w:val="16"/>
                <w:szCs w:val="16"/>
              </w:rPr>
            </w:pPr>
            <w:r w:rsidRPr="004B764B">
              <w:rPr>
                <w:i/>
                <w:iCs/>
                <w:sz w:val="16"/>
                <w:szCs w:val="16"/>
              </w:rPr>
              <w:t>М/Ж</w:t>
            </w:r>
          </w:p>
        </w:tc>
      </w:tr>
      <w:tr w:rsidR="001D7558" w:rsidRPr="004B764B" w14:paraId="7EE66750" w14:textId="77777777" w:rsidTr="005E7DBA">
        <w:tc>
          <w:tcPr>
            <w:tcW w:w="580" w:type="dxa"/>
            <w:tcBorders>
              <w:top w:val="single" w:sz="12" w:space="0" w:color="auto"/>
            </w:tcBorders>
            <w:shd w:val="clear" w:color="auto" w:fill="auto"/>
            <w:tcMar>
              <w:top w:w="0" w:type="dxa"/>
              <w:left w:w="0" w:type="dxa"/>
              <w:bottom w:w="0" w:type="dxa"/>
              <w:right w:w="0" w:type="dxa"/>
            </w:tcMar>
          </w:tcPr>
          <w:p w14:paraId="5784761B" w14:textId="77777777" w:rsidR="001D7558" w:rsidRPr="004B764B" w:rsidRDefault="001D7558" w:rsidP="005E7DBA">
            <w:pPr>
              <w:suppressAutoHyphens w:val="0"/>
              <w:spacing w:before="40" w:after="40" w:line="220" w:lineRule="exact"/>
              <w:ind w:right="113"/>
              <w:rPr>
                <w:sz w:val="18"/>
                <w:szCs w:val="18"/>
              </w:rPr>
            </w:pPr>
            <w:r w:rsidRPr="004B764B">
              <w:rPr>
                <w:sz w:val="18"/>
                <w:szCs w:val="18"/>
              </w:rPr>
              <w:t>63</w:t>
            </w:r>
          </w:p>
        </w:tc>
        <w:tc>
          <w:tcPr>
            <w:tcW w:w="581" w:type="dxa"/>
            <w:tcBorders>
              <w:top w:val="single" w:sz="12" w:space="0" w:color="auto"/>
            </w:tcBorders>
            <w:shd w:val="clear" w:color="auto" w:fill="auto"/>
            <w:tcMar>
              <w:top w:w="0" w:type="dxa"/>
              <w:left w:w="0" w:type="dxa"/>
              <w:bottom w:w="0" w:type="dxa"/>
              <w:right w:w="0" w:type="dxa"/>
            </w:tcMar>
            <w:vAlign w:val="bottom"/>
          </w:tcPr>
          <w:p w14:paraId="0FB3CAD8"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101</w:t>
            </w:r>
          </w:p>
        </w:tc>
        <w:tc>
          <w:tcPr>
            <w:tcW w:w="581" w:type="dxa"/>
            <w:tcBorders>
              <w:top w:val="single" w:sz="12" w:space="0" w:color="auto"/>
            </w:tcBorders>
            <w:shd w:val="clear" w:color="auto" w:fill="auto"/>
            <w:tcMar>
              <w:top w:w="0" w:type="dxa"/>
              <w:left w:w="0" w:type="dxa"/>
              <w:bottom w:w="0" w:type="dxa"/>
              <w:right w:w="0" w:type="dxa"/>
            </w:tcMar>
            <w:vAlign w:val="bottom"/>
          </w:tcPr>
          <w:p w14:paraId="7F797C8F"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164</w:t>
            </w:r>
          </w:p>
        </w:tc>
        <w:tc>
          <w:tcPr>
            <w:tcW w:w="666" w:type="dxa"/>
            <w:tcBorders>
              <w:top w:val="single" w:sz="12" w:space="0" w:color="auto"/>
            </w:tcBorders>
            <w:shd w:val="clear" w:color="auto" w:fill="auto"/>
            <w:tcMar>
              <w:top w:w="0" w:type="dxa"/>
              <w:left w:w="0" w:type="dxa"/>
              <w:bottom w:w="0" w:type="dxa"/>
              <w:right w:w="0" w:type="dxa"/>
            </w:tcMar>
            <w:vAlign w:val="bottom"/>
          </w:tcPr>
          <w:p w14:paraId="72AC6DB6"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54</w:t>
            </w:r>
          </w:p>
        </w:tc>
        <w:tc>
          <w:tcPr>
            <w:tcW w:w="666" w:type="dxa"/>
            <w:tcBorders>
              <w:top w:val="single" w:sz="12" w:space="0" w:color="auto"/>
            </w:tcBorders>
            <w:shd w:val="clear" w:color="auto" w:fill="auto"/>
            <w:tcMar>
              <w:top w:w="0" w:type="dxa"/>
              <w:left w:w="0" w:type="dxa"/>
              <w:bottom w:w="0" w:type="dxa"/>
              <w:right w:w="0" w:type="dxa"/>
            </w:tcMar>
            <w:vAlign w:val="bottom"/>
          </w:tcPr>
          <w:p w14:paraId="5BF9D162"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222</w:t>
            </w:r>
          </w:p>
        </w:tc>
        <w:tc>
          <w:tcPr>
            <w:tcW w:w="667" w:type="dxa"/>
            <w:tcBorders>
              <w:top w:val="single" w:sz="12" w:space="0" w:color="auto"/>
            </w:tcBorders>
            <w:shd w:val="clear" w:color="auto" w:fill="auto"/>
            <w:tcMar>
              <w:top w:w="0" w:type="dxa"/>
              <w:left w:w="0" w:type="dxa"/>
              <w:bottom w:w="0" w:type="dxa"/>
              <w:right w:w="0" w:type="dxa"/>
            </w:tcMar>
            <w:vAlign w:val="bottom"/>
          </w:tcPr>
          <w:p w14:paraId="19E27698"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276</w:t>
            </w:r>
          </w:p>
        </w:tc>
        <w:tc>
          <w:tcPr>
            <w:tcW w:w="509" w:type="dxa"/>
            <w:tcBorders>
              <w:top w:val="single" w:sz="12" w:space="0" w:color="auto"/>
            </w:tcBorders>
            <w:shd w:val="clear" w:color="auto" w:fill="auto"/>
            <w:tcMar>
              <w:top w:w="0" w:type="dxa"/>
              <w:left w:w="0" w:type="dxa"/>
              <w:bottom w:w="0" w:type="dxa"/>
              <w:right w:w="0" w:type="dxa"/>
            </w:tcMar>
            <w:vAlign w:val="bottom"/>
          </w:tcPr>
          <w:p w14:paraId="1FEC5E77"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38</w:t>
            </w:r>
          </w:p>
        </w:tc>
        <w:tc>
          <w:tcPr>
            <w:tcW w:w="509" w:type="dxa"/>
            <w:tcBorders>
              <w:top w:val="single" w:sz="12" w:space="0" w:color="auto"/>
            </w:tcBorders>
            <w:shd w:val="clear" w:color="auto" w:fill="auto"/>
            <w:tcMar>
              <w:top w:w="0" w:type="dxa"/>
              <w:left w:w="0" w:type="dxa"/>
              <w:bottom w:w="0" w:type="dxa"/>
              <w:right w:w="0" w:type="dxa"/>
            </w:tcMar>
            <w:vAlign w:val="bottom"/>
          </w:tcPr>
          <w:p w14:paraId="49F0CC61"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80</w:t>
            </w:r>
          </w:p>
        </w:tc>
        <w:tc>
          <w:tcPr>
            <w:tcW w:w="510" w:type="dxa"/>
            <w:tcBorders>
              <w:top w:val="single" w:sz="12" w:space="0" w:color="auto"/>
            </w:tcBorders>
            <w:shd w:val="clear" w:color="auto" w:fill="auto"/>
            <w:tcMar>
              <w:top w:w="0" w:type="dxa"/>
              <w:left w:w="0" w:type="dxa"/>
              <w:bottom w:w="0" w:type="dxa"/>
              <w:right w:w="0" w:type="dxa"/>
            </w:tcMar>
            <w:vAlign w:val="bottom"/>
          </w:tcPr>
          <w:p w14:paraId="35DD7437"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118</w:t>
            </w:r>
          </w:p>
        </w:tc>
        <w:tc>
          <w:tcPr>
            <w:tcW w:w="571" w:type="dxa"/>
            <w:tcBorders>
              <w:top w:val="single" w:sz="12" w:space="0" w:color="auto"/>
            </w:tcBorders>
            <w:shd w:val="clear" w:color="auto" w:fill="auto"/>
            <w:tcMar>
              <w:top w:w="0" w:type="dxa"/>
              <w:left w:w="0" w:type="dxa"/>
              <w:bottom w:w="0" w:type="dxa"/>
              <w:right w:w="0" w:type="dxa"/>
            </w:tcMar>
            <w:vAlign w:val="bottom"/>
          </w:tcPr>
          <w:p w14:paraId="0BC026B1"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92</w:t>
            </w:r>
          </w:p>
        </w:tc>
        <w:tc>
          <w:tcPr>
            <w:tcW w:w="571" w:type="dxa"/>
            <w:tcBorders>
              <w:top w:val="single" w:sz="12" w:space="0" w:color="auto"/>
            </w:tcBorders>
            <w:shd w:val="clear" w:color="auto" w:fill="auto"/>
            <w:tcMar>
              <w:top w:w="0" w:type="dxa"/>
              <w:left w:w="0" w:type="dxa"/>
              <w:bottom w:w="0" w:type="dxa"/>
              <w:right w:w="0" w:type="dxa"/>
            </w:tcMar>
            <w:vAlign w:val="bottom"/>
          </w:tcPr>
          <w:p w14:paraId="65991D6E"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86</w:t>
            </w:r>
          </w:p>
        </w:tc>
        <w:tc>
          <w:tcPr>
            <w:tcW w:w="571" w:type="dxa"/>
            <w:tcBorders>
              <w:top w:val="single" w:sz="12" w:space="0" w:color="auto"/>
            </w:tcBorders>
            <w:shd w:val="clear" w:color="auto" w:fill="auto"/>
            <w:tcMar>
              <w:top w:w="0" w:type="dxa"/>
              <w:left w:w="0" w:type="dxa"/>
              <w:bottom w:w="0" w:type="dxa"/>
              <w:right w:w="0" w:type="dxa"/>
            </w:tcMar>
            <w:vAlign w:val="bottom"/>
          </w:tcPr>
          <w:p w14:paraId="3E0AE997"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178</w:t>
            </w:r>
          </w:p>
        </w:tc>
        <w:tc>
          <w:tcPr>
            <w:tcW w:w="617" w:type="dxa"/>
            <w:tcBorders>
              <w:top w:val="single" w:sz="12" w:space="0" w:color="auto"/>
            </w:tcBorders>
            <w:shd w:val="clear" w:color="auto" w:fill="auto"/>
            <w:tcMar>
              <w:top w:w="0" w:type="dxa"/>
              <w:left w:w="0" w:type="dxa"/>
              <w:bottom w:w="0" w:type="dxa"/>
              <w:right w:w="0" w:type="dxa"/>
            </w:tcMar>
            <w:vAlign w:val="bottom"/>
          </w:tcPr>
          <w:p w14:paraId="43B01D86"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111</w:t>
            </w:r>
          </w:p>
        </w:tc>
        <w:tc>
          <w:tcPr>
            <w:tcW w:w="617" w:type="dxa"/>
            <w:tcBorders>
              <w:top w:val="single" w:sz="12" w:space="0" w:color="auto"/>
            </w:tcBorders>
            <w:shd w:val="clear" w:color="auto" w:fill="auto"/>
            <w:tcMar>
              <w:top w:w="0" w:type="dxa"/>
              <w:left w:w="0" w:type="dxa"/>
              <w:bottom w:w="0" w:type="dxa"/>
              <w:right w:w="0" w:type="dxa"/>
            </w:tcMar>
            <w:vAlign w:val="bottom"/>
          </w:tcPr>
          <w:p w14:paraId="56696516"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53</w:t>
            </w:r>
          </w:p>
        </w:tc>
        <w:tc>
          <w:tcPr>
            <w:tcW w:w="618" w:type="dxa"/>
            <w:tcBorders>
              <w:top w:val="single" w:sz="12" w:space="0" w:color="auto"/>
            </w:tcBorders>
            <w:shd w:val="clear" w:color="auto" w:fill="auto"/>
            <w:tcMar>
              <w:top w:w="0" w:type="dxa"/>
              <w:left w:w="0" w:type="dxa"/>
              <w:bottom w:w="0" w:type="dxa"/>
              <w:right w:w="0" w:type="dxa"/>
            </w:tcMar>
            <w:vAlign w:val="bottom"/>
          </w:tcPr>
          <w:p w14:paraId="2457DACE"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 xml:space="preserve">164 </w:t>
            </w:r>
          </w:p>
        </w:tc>
        <w:tc>
          <w:tcPr>
            <w:tcW w:w="805" w:type="dxa"/>
            <w:tcBorders>
              <w:top w:val="single" w:sz="12" w:space="0" w:color="auto"/>
            </w:tcBorders>
            <w:shd w:val="clear" w:color="auto" w:fill="auto"/>
            <w:tcMar>
              <w:top w:w="0" w:type="dxa"/>
              <w:left w:w="0" w:type="dxa"/>
              <w:bottom w:w="0" w:type="dxa"/>
              <w:right w:w="0" w:type="dxa"/>
            </w:tcMar>
            <w:vAlign w:val="bottom"/>
          </w:tcPr>
          <w:p w14:paraId="5971D432" w14:textId="77777777" w:rsidR="001D7558" w:rsidRPr="004B764B" w:rsidRDefault="001D7558" w:rsidP="005E7DBA">
            <w:pPr>
              <w:suppressAutoHyphens w:val="0"/>
              <w:spacing w:before="40" w:after="40" w:line="220" w:lineRule="exact"/>
              <w:ind w:right="113"/>
              <w:jc w:val="right"/>
              <w:rPr>
                <w:sz w:val="18"/>
                <w:szCs w:val="18"/>
              </w:rPr>
            </w:pPr>
            <w:r w:rsidRPr="004B764B">
              <w:rPr>
                <w:sz w:val="18"/>
                <w:szCs w:val="18"/>
              </w:rPr>
              <w:t>900</w:t>
            </w:r>
          </w:p>
        </w:tc>
      </w:tr>
    </w:tbl>
    <w:p w14:paraId="68167081" w14:textId="77777777" w:rsidR="001D7558" w:rsidRPr="004B764B" w:rsidRDefault="001D7558" w:rsidP="004B764B">
      <w:pPr>
        <w:spacing w:before="120" w:line="220" w:lineRule="exact"/>
        <w:ind w:right="1134" w:firstLine="170"/>
        <w:rPr>
          <w:sz w:val="18"/>
          <w:szCs w:val="18"/>
        </w:rPr>
      </w:pPr>
      <w:r w:rsidRPr="004B764B">
        <w:rPr>
          <w:i/>
          <w:iCs/>
          <w:sz w:val="18"/>
          <w:szCs w:val="18"/>
        </w:rPr>
        <w:t>Источник</w:t>
      </w:r>
      <w:r w:rsidRPr="004B764B">
        <w:rPr>
          <w:sz w:val="18"/>
          <w:szCs w:val="18"/>
        </w:rPr>
        <w:t xml:space="preserve">: NIVTE, CINFORTECNICA, RAVIM и </w:t>
      </w:r>
      <w:proofErr w:type="spellStart"/>
      <w:r w:rsidRPr="004B764B">
        <w:rPr>
          <w:sz w:val="18"/>
          <w:szCs w:val="18"/>
        </w:rPr>
        <w:t>Handicap</w:t>
      </w:r>
      <w:proofErr w:type="spellEnd"/>
      <w:r w:rsidRPr="004B764B">
        <w:rPr>
          <w:sz w:val="18"/>
          <w:szCs w:val="18"/>
        </w:rPr>
        <w:t xml:space="preserve"> </w:t>
      </w:r>
      <w:proofErr w:type="spellStart"/>
      <w:r w:rsidRPr="004B764B">
        <w:rPr>
          <w:sz w:val="18"/>
          <w:szCs w:val="18"/>
        </w:rPr>
        <w:t>International</w:t>
      </w:r>
      <w:proofErr w:type="spellEnd"/>
      <w:r w:rsidRPr="004B764B">
        <w:rPr>
          <w:sz w:val="18"/>
          <w:szCs w:val="18"/>
        </w:rPr>
        <w:t>.</w:t>
      </w:r>
    </w:p>
    <w:p w14:paraId="3FE6FC39" w14:textId="77777777" w:rsidR="001D7558" w:rsidRPr="00EA1614" w:rsidRDefault="001D7558" w:rsidP="001D7558">
      <w:pPr>
        <w:pStyle w:val="SingleTxtG"/>
        <w:spacing w:before="240"/>
      </w:pPr>
      <w:r>
        <w:t>110.</w:t>
      </w:r>
      <w:r>
        <w:tab/>
        <w:t xml:space="preserve">Шесть молодых людей-инвалидов в провинциях </w:t>
      </w:r>
      <w:proofErr w:type="spellStart"/>
      <w:r>
        <w:t>Нампула</w:t>
      </w:r>
      <w:proofErr w:type="spellEnd"/>
      <w:r>
        <w:t xml:space="preserve">, Газа и Мапуту также прошли подготовку по вопросам добровольческой деятельности. </w:t>
      </w:r>
    </w:p>
    <w:p w14:paraId="1B66FE1C" w14:textId="77777777" w:rsidR="001D7558" w:rsidRPr="00EA1614" w:rsidRDefault="001D7558" w:rsidP="004B764B">
      <w:pPr>
        <w:pStyle w:val="H23G"/>
      </w:pPr>
      <w:r>
        <w:lastRenderedPageBreak/>
        <w:tab/>
      </w:r>
      <w:r>
        <w:tab/>
        <w:t xml:space="preserve">Статья 28 </w:t>
      </w:r>
      <w:r w:rsidR="004B764B">
        <w:br/>
      </w:r>
      <w:r>
        <w:t>Уровень качества жизни и надлежащая социальная защита</w:t>
      </w:r>
      <w:bookmarkStart w:id="9" w:name="_Toc44077506"/>
      <w:bookmarkEnd w:id="9"/>
    </w:p>
    <w:p w14:paraId="592F451F" w14:textId="77777777" w:rsidR="001D7558" w:rsidRPr="00EA1614" w:rsidRDefault="001D7558" w:rsidP="001D7558">
      <w:pPr>
        <w:pStyle w:val="SingleTxtG"/>
      </w:pPr>
      <w:r>
        <w:t>111.</w:t>
      </w:r>
      <w:r>
        <w:tab/>
        <w:t xml:space="preserve">В соответствии с этой статьей государства-члены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 </w:t>
      </w:r>
    </w:p>
    <w:p w14:paraId="057BA502" w14:textId="77777777" w:rsidR="001D7558" w:rsidRPr="00EA1614" w:rsidRDefault="001D7558" w:rsidP="001D7558">
      <w:pPr>
        <w:pStyle w:val="SingleTxtG"/>
      </w:pPr>
      <w:r>
        <w:t>112.</w:t>
      </w:r>
      <w:r>
        <w:tab/>
        <w:t xml:space="preserve">Для осуществления этого права мозамбикское государство приняло следующие меры: </w:t>
      </w:r>
    </w:p>
    <w:p w14:paraId="73760308" w14:textId="77777777" w:rsidR="001D7558" w:rsidRPr="00EA1614" w:rsidRDefault="001D7558" w:rsidP="001D7558">
      <w:pPr>
        <w:pStyle w:val="SingleTxtG"/>
      </w:pPr>
      <w:r>
        <w:tab/>
        <w:t>а)</w:t>
      </w:r>
      <w:r>
        <w:tab/>
        <w:t>расширение, предоставление и повышение качества основных услуг; содействие созданию благоприятной деловой среды для отечественных и иностранных инвестиций; поощрение национального предпринимательства и укрепление профессиональной технической подготовки в целях обеспечения устойчивого и инклюзивного экономического роста; создание большего количества рабочих мест и повышение производительности труда и доходов сельских и городских домохозяйств. В результате выполнения этого обязательства масштабы нищеты в Мозамбике сократились с 54,1</w:t>
      </w:r>
      <w:r w:rsidR="004B764B">
        <w:t xml:space="preserve"> %</w:t>
      </w:r>
      <w:r>
        <w:t xml:space="preserve"> до 46,1</w:t>
      </w:r>
      <w:r w:rsidR="004B764B">
        <w:t xml:space="preserve"> </w:t>
      </w:r>
      <w:r>
        <w:t>% (2015/16 HBS);</w:t>
      </w:r>
    </w:p>
    <w:p w14:paraId="115F4AC9" w14:textId="77777777" w:rsidR="001D7558" w:rsidRPr="00EA1614" w:rsidRDefault="001D7558" w:rsidP="001D7558">
      <w:pPr>
        <w:pStyle w:val="SingleTxtG"/>
      </w:pPr>
      <w:r>
        <w:tab/>
        <w:t>b)</w:t>
      </w:r>
      <w:r>
        <w:tab/>
        <w:t xml:space="preserve">осуществление по линии Национальной стратегии в области базовой социальной защиты программ социальной помощи лицам и группам, находящимся в уязвимом положении, включая инвалидов, в частности: </w:t>
      </w:r>
    </w:p>
    <w:p w14:paraId="0FC4C4AF" w14:textId="77777777" w:rsidR="001D7558" w:rsidRPr="00EA1614" w:rsidRDefault="001D7558" w:rsidP="001D7558">
      <w:pPr>
        <w:pStyle w:val="SingleTxtG"/>
        <w:ind w:left="1701"/>
      </w:pPr>
      <w:r>
        <w:t>i)</w:t>
      </w:r>
      <w:r>
        <w:tab/>
        <w:t>Программы прямой социальной поддержки, в рамках которой оказывается социальная помощь в виде товаров или оплаты услуг для выхода из чрезвычайных ситуаций, усугубляющих уязвимость;</w:t>
      </w:r>
    </w:p>
    <w:p w14:paraId="0ABA21E1" w14:textId="77777777" w:rsidR="001D7558" w:rsidRPr="00EA1614" w:rsidRDefault="001D7558" w:rsidP="001D7558">
      <w:pPr>
        <w:pStyle w:val="SingleTxtG"/>
        <w:ind w:left="1701"/>
      </w:pPr>
      <w:proofErr w:type="spellStart"/>
      <w:r>
        <w:t>ii</w:t>
      </w:r>
      <w:proofErr w:type="spellEnd"/>
      <w:r>
        <w:t>)</w:t>
      </w:r>
      <w:r>
        <w:tab/>
        <w:t>Программы базового социального субсидирования, предусматривающей оказание социальной помощи посредством ежемесячных денежных выплат домашним хозяйствам, в состав которых входят лица с ограниченной трудоспособностью, в том числе инвалиды;</w:t>
      </w:r>
    </w:p>
    <w:p w14:paraId="21B25FF9" w14:textId="77777777" w:rsidR="001D7558" w:rsidRPr="00EA1614" w:rsidRDefault="001D7558" w:rsidP="001D7558">
      <w:pPr>
        <w:pStyle w:val="SingleTxtG"/>
        <w:ind w:left="1701"/>
      </w:pPr>
      <w:proofErr w:type="spellStart"/>
      <w:r>
        <w:t>iii</w:t>
      </w:r>
      <w:proofErr w:type="spellEnd"/>
      <w:r>
        <w:t>)</w:t>
      </w:r>
      <w:r>
        <w:tab/>
        <w:t>Программы социальных мер по стимулированию производительного труда, которая направлена на поощрение социально-экономической интеграции трудоспособных лиц, относящихся к наиболее уязвимым группам населения, включая инвалидов, которые могут работать; Программы Службы социальных действий, которая предусматривает прием беспомощных лиц и инвалидов в социальные учреждения.</w:t>
      </w:r>
    </w:p>
    <w:p w14:paraId="5318A5E1" w14:textId="77777777" w:rsidR="001D7558" w:rsidRPr="00BF0B84" w:rsidRDefault="00BF0B84" w:rsidP="00BF0B84">
      <w:pPr>
        <w:pStyle w:val="H23G"/>
      </w:pPr>
      <w:bookmarkStart w:id="10" w:name="_Toc44077507"/>
      <w:r>
        <w:tab/>
      </w:r>
      <w:r>
        <w:tab/>
      </w:r>
      <w:r w:rsidR="001D7558" w:rsidRPr="00BF0B84">
        <w:rPr>
          <w:b w:val="0"/>
          <w:bCs/>
        </w:rPr>
        <w:t>Таблица 6</w:t>
      </w:r>
      <w:bookmarkEnd w:id="10"/>
      <w:r w:rsidRPr="00BF0B84">
        <w:rPr>
          <w:b w:val="0"/>
          <w:bCs/>
        </w:rPr>
        <w:br/>
      </w:r>
      <w:r w:rsidR="001D7558" w:rsidRPr="00BF0B84">
        <w:t>Помощь, оказанная инвалидам в рамках программ в области базовой социальной защиты в период 2012</w:t>
      </w:r>
      <w:r>
        <w:t>–</w:t>
      </w:r>
      <w:r w:rsidR="001D7558" w:rsidRPr="00BF0B84">
        <w:t>2017 годов</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672"/>
        <w:gridCol w:w="784"/>
        <w:gridCol w:w="741"/>
        <w:gridCol w:w="700"/>
        <w:gridCol w:w="672"/>
        <w:gridCol w:w="644"/>
        <w:gridCol w:w="609"/>
      </w:tblGrid>
      <w:tr w:rsidR="00BF0B84" w:rsidRPr="00BF0B84" w14:paraId="1FE3C2F0" w14:textId="77777777" w:rsidTr="00BF0B84">
        <w:trPr>
          <w:tblHeader/>
        </w:trPr>
        <w:tc>
          <w:tcPr>
            <w:tcW w:w="254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3A07B15" w14:textId="77777777" w:rsidR="001D7558" w:rsidRPr="00BF0B84" w:rsidRDefault="001D7558" w:rsidP="00BF0B84">
            <w:pPr>
              <w:spacing w:before="80" w:after="80" w:line="200" w:lineRule="exact"/>
              <w:ind w:left="28"/>
              <w:rPr>
                <w:rFonts w:cs="Times New Roman"/>
                <w:i/>
                <w:sz w:val="16"/>
              </w:rPr>
            </w:pPr>
            <w:r w:rsidRPr="00BF0B84">
              <w:rPr>
                <w:rFonts w:cs="Times New Roman"/>
                <w:i/>
                <w:sz w:val="16"/>
              </w:rPr>
              <w:t>Программы</w:t>
            </w:r>
          </w:p>
        </w:tc>
        <w:tc>
          <w:tcPr>
            <w:tcW w:w="67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E9EC65E" w14:textId="77777777" w:rsidR="001D7558" w:rsidRPr="00BF0B84" w:rsidRDefault="001D7558" w:rsidP="00BF0B84">
            <w:pPr>
              <w:spacing w:before="80" w:after="80" w:line="200" w:lineRule="exact"/>
              <w:ind w:left="28"/>
              <w:jc w:val="right"/>
              <w:rPr>
                <w:rFonts w:cs="Times New Roman"/>
                <w:i/>
                <w:sz w:val="16"/>
              </w:rPr>
            </w:pPr>
            <w:r w:rsidRPr="00BF0B84">
              <w:rPr>
                <w:rFonts w:cs="Times New Roman"/>
                <w:i/>
                <w:sz w:val="16"/>
              </w:rPr>
              <w:t>2012</w:t>
            </w:r>
          </w:p>
        </w:tc>
        <w:tc>
          <w:tcPr>
            <w:tcW w:w="7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C2CFA29" w14:textId="77777777" w:rsidR="001D7558" w:rsidRPr="00BF0B84" w:rsidRDefault="001D7558" w:rsidP="00BF0B84">
            <w:pPr>
              <w:spacing w:before="80" w:after="80" w:line="200" w:lineRule="exact"/>
              <w:ind w:left="28"/>
              <w:jc w:val="right"/>
              <w:rPr>
                <w:rFonts w:cs="Times New Roman"/>
                <w:i/>
                <w:sz w:val="16"/>
              </w:rPr>
            </w:pPr>
            <w:r w:rsidRPr="00BF0B84">
              <w:rPr>
                <w:rFonts w:cs="Times New Roman"/>
                <w:i/>
                <w:sz w:val="16"/>
              </w:rPr>
              <w:t>2013</w:t>
            </w:r>
          </w:p>
        </w:tc>
        <w:tc>
          <w:tcPr>
            <w:tcW w:w="74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485D408" w14:textId="77777777" w:rsidR="001D7558" w:rsidRPr="00BF0B84" w:rsidRDefault="001D7558" w:rsidP="00BF0B84">
            <w:pPr>
              <w:spacing w:before="80" w:after="80" w:line="200" w:lineRule="exact"/>
              <w:ind w:left="28"/>
              <w:jc w:val="right"/>
              <w:rPr>
                <w:rFonts w:cs="Times New Roman"/>
                <w:i/>
                <w:sz w:val="16"/>
              </w:rPr>
            </w:pPr>
            <w:r w:rsidRPr="00BF0B84">
              <w:rPr>
                <w:rFonts w:cs="Times New Roman"/>
                <w:i/>
                <w:sz w:val="16"/>
              </w:rPr>
              <w:t>2014</w:t>
            </w:r>
          </w:p>
        </w:tc>
        <w:tc>
          <w:tcPr>
            <w:tcW w:w="70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D240847" w14:textId="77777777" w:rsidR="001D7558" w:rsidRPr="00BF0B84" w:rsidRDefault="001D7558" w:rsidP="00BF0B84">
            <w:pPr>
              <w:spacing w:before="80" w:after="80" w:line="200" w:lineRule="exact"/>
              <w:ind w:left="28"/>
              <w:jc w:val="right"/>
              <w:rPr>
                <w:rFonts w:cs="Times New Roman"/>
                <w:i/>
                <w:sz w:val="16"/>
              </w:rPr>
            </w:pPr>
            <w:r w:rsidRPr="00BF0B84">
              <w:rPr>
                <w:rFonts w:cs="Times New Roman"/>
                <w:i/>
                <w:sz w:val="16"/>
              </w:rPr>
              <w:t>2015</w:t>
            </w:r>
          </w:p>
        </w:tc>
        <w:tc>
          <w:tcPr>
            <w:tcW w:w="67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A5E6FAC" w14:textId="77777777" w:rsidR="001D7558" w:rsidRPr="00BF0B84" w:rsidRDefault="001D7558" w:rsidP="00BF0B84">
            <w:pPr>
              <w:spacing w:before="80" w:after="80" w:line="200" w:lineRule="exact"/>
              <w:ind w:left="28"/>
              <w:jc w:val="right"/>
              <w:rPr>
                <w:rFonts w:cs="Times New Roman"/>
                <w:i/>
                <w:sz w:val="16"/>
              </w:rPr>
            </w:pPr>
            <w:r w:rsidRPr="00BF0B84">
              <w:rPr>
                <w:rFonts w:cs="Times New Roman"/>
                <w:i/>
                <w:sz w:val="16"/>
              </w:rPr>
              <w:t>2016</w:t>
            </w:r>
          </w:p>
        </w:tc>
        <w:tc>
          <w:tcPr>
            <w:tcW w:w="64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3EEF832" w14:textId="77777777" w:rsidR="001D7558" w:rsidRPr="00BF0B84" w:rsidRDefault="001D7558" w:rsidP="00BF0B84">
            <w:pPr>
              <w:spacing w:before="80" w:after="80" w:line="200" w:lineRule="exact"/>
              <w:ind w:left="28"/>
              <w:jc w:val="right"/>
              <w:rPr>
                <w:rFonts w:cs="Times New Roman"/>
                <w:i/>
                <w:sz w:val="16"/>
              </w:rPr>
            </w:pPr>
            <w:r w:rsidRPr="00BF0B84">
              <w:rPr>
                <w:rFonts w:cs="Times New Roman"/>
                <w:i/>
                <w:sz w:val="16"/>
              </w:rPr>
              <w:t>2017</w:t>
            </w:r>
          </w:p>
        </w:tc>
        <w:tc>
          <w:tcPr>
            <w:tcW w:w="60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1B4606C" w14:textId="77777777" w:rsidR="001D7558" w:rsidRPr="00BF0B84" w:rsidRDefault="001D7558" w:rsidP="00BF0B84">
            <w:pPr>
              <w:spacing w:before="80" w:after="80" w:line="200" w:lineRule="exact"/>
              <w:ind w:left="28"/>
              <w:jc w:val="right"/>
              <w:rPr>
                <w:rFonts w:cs="Times New Roman"/>
                <w:i/>
                <w:sz w:val="16"/>
              </w:rPr>
            </w:pPr>
            <w:r w:rsidRPr="00BF0B84">
              <w:rPr>
                <w:rFonts w:cs="Times New Roman"/>
                <w:i/>
                <w:sz w:val="16"/>
              </w:rPr>
              <w:t>Всего</w:t>
            </w:r>
          </w:p>
        </w:tc>
      </w:tr>
      <w:tr w:rsidR="00BF0B84" w:rsidRPr="00BF0B84" w14:paraId="611A6BA7" w14:textId="77777777" w:rsidTr="00BF0B84">
        <w:tc>
          <w:tcPr>
            <w:tcW w:w="2548" w:type="dxa"/>
            <w:tcBorders>
              <w:top w:val="single" w:sz="12" w:space="0" w:color="auto"/>
            </w:tcBorders>
            <w:shd w:val="clear" w:color="auto" w:fill="auto"/>
            <w:tcMar>
              <w:top w:w="0" w:type="dxa"/>
              <w:left w:w="0" w:type="dxa"/>
              <w:bottom w:w="0" w:type="dxa"/>
              <w:right w:w="0" w:type="dxa"/>
            </w:tcMar>
          </w:tcPr>
          <w:p w14:paraId="7FBA3166" w14:textId="77777777" w:rsidR="001D7558" w:rsidRPr="00BF0B84" w:rsidRDefault="001D7558" w:rsidP="00BF0B84">
            <w:pPr>
              <w:spacing w:before="40" w:after="40" w:line="220" w:lineRule="exact"/>
              <w:rPr>
                <w:rFonts w:cs="Times New Roman"/>
                <w:sz w:val="18"/>
              </w:rPr>
            </w:pPr>
            <w:r w:rsidRPr="00BF0B84">
              <w:rPr>
                <w:rFonts w:cs="Times New Roman"/>
                <w:sz w:val="18"/>
              </w:rPr>
              <w:t>Программа базового социального субсидирования</w:t>
            </w:r>
          </w:p>
        </w:tc>
        <w:tc>
          <w:tcPr>
            <w:tcW w:w="672" w:type="dxa"/>
            <w:tcBorders>
              <w:top w:val="single" w:sz="12" w:space="0" w:color="auto"/>
            </w:tcBorders>
            <w:shd w:val="clear" w:color="auto" w:fill="auto"/>
            <w:tcMar>
              <w:top w:w="0" w:type="dxa"/>
              <w:left w:w="0" w:type="dxa"/>
              <w:bottom w:w="0" w:type="dxa"/>
              <w:right w:w="0" w:type="dxa"/>
            </w:tcMar>
            <w:vAlign w:val="bottom"/>
          </w:tcPr>
          <w:p w14:paraId="25060972"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13 890</w:t>
            </w:r>
          </w:p>
        </w:tc>
        <w:tc>
          <w:tcPr>
            <w:tcW w:w="784" w:type="dxa"/>
            <w:tcBorders>
              <w:top w:val="single" w:sz="12" w:space="0" w:color="auto"/>
            </w:tcBorders>
            <w:shd w:val="clear" w:color="auto" w:fill="auto"/>
            <w:tcMar>
              <w:top w:w="0" w:type="dxa"/>
              <w:left w:w="0" w:type="dxa"/>
              <w:bottom w:w="0" w:type="dxa"/>
              <w:right w:w="0" w:type="dxa"/>
            </w:tcMar>
            <w:vAlign w:val="bottom"/>
          </w:tcPr>
          <w:p w14:paraId="73A529C3"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15 927</w:t>
            </w:r>
          </w:p>
        </w:tc>
        <w:tc>
          <w:tcPr>
            <w:tcW w:w="741" w:type="dxa"/>
            <w:tcBorders>
              <w:top w:val="single" w:sz="12" w:space="0" w:color="auto"/>
            </w:tcBorders>
            <w:shd w:val="clear" w:color="auto" w:fill="auto"/>
            <w:tcMar>
              <w:top w:w="0" w:type="dxa"/>
              <w:left w:w="0" w:type="dxa"/>
              <w:bottom w:w="0" w:type="dxa"/>
              <w:right w:w="0" w:type="dxa"/>
            </w:tcMar>
            <w:vAlign w:val="bottom"/>
          </w:tcPr>
          <w:p w14:paraId="22400565"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18 520</w:t>
            </w:r>
          </w:p>
        </w:tc>
        <w:tc>
          <w:tcPr>
            <w:tcW w:w="700" w:type="dxa"/>
            <w:tcBorders>
              <w:top w:val="single" w:sz="12" w:space="0" w:color="auto"/>
            </w:tcBorders>
            <w:shd w:val="clear" w:color="auto" w:fill="auto"/>
            <w:tcMar>
              <w:top w:w="0" w:type="dxa"/>
              <w:left w:w="0" w:type="dxa"/>
              <w:bottom w:w="0" w:type="dxa"/>
              <w:right w:w="0" w:type="dxa"/>
            </w:tcMar>
            <w:vAlign w:val="bottom"/>
          </w:tcPr>
          <w:p w14:paraId="0D1BA85F"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18 121</w:t>
            </w:r>
          </w:p>
        </w:tc>
        <w:tc>
          <w:tcPr>
            <w:tcW w:w="672" w:type="dxa"/>
            <w:tcBorders>
              <w:top w:val="single" w:sz="12" w:space="0" w:color="auto"/>
            </w:tcBorders>
            <w:shd w:val="clear" w:color="auto" w:fill="auto"/>
            <w:tcMar>
              <w:top w:w="0" w:type="dxa"/>
              <w:left w:w="0" w:type="dxa"/>
              <w:bottom w:w="0" w:type="dxa"/>
              <w:right w:w="0" w:type="dxa"/>
            </w:tcMar>
            <w:vAlign w:val="bottom"/>
          </w:tcPr>
          <w:p w14:paraId="7916EC38"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18 785</w:t>
            </w:r>
          </w:p>
        </w:tc>
        <w:tc>
          <w:tcPr>
            <w:tcW w:w="644" w:type="dxa"/>
            <w:tcBorders>
              <w:top w:val="single" w:sz="12" w:space="0" w:color="auto"/>
            </w:tcBorders>
            <w:shd w:val="clear" w:color="auto" w:fill="auto"/>
            <w:tcMar>
              <w:top w:w="0" w:type="dxa"/>
              <w:left w:w="0" w:type="dxa"/>
              <w:bottom w:w="0" w:type="dxa"/>
              <w:right w:w="0" w:type="dxa"/>
            </w:tcMar>
            <w:vAlign w:val="bottom"/>
          </w:tcPr>
          <w:p w14:paraId="7F712AE2"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19 682</w:t>
            </w:r>
          </w:p>
        </w:tc>
        <w:tc>
          <w:tcPr>
            <w:tcW w:w="609" w:type="dxa"/>
            <w:tcBorders>
              <w:top w:val="single" w:sz="12" w:space="0" w:color="auto"/>
            </w:tcBorders>
            <w:shd w:val="clear" w:color="auto" w:fill="auto"/>
            <w:tcMar>
              <w:top w:w="0" w:type="dxa"/>
              <w:left w:w="0" w:type="dxa"/>
              <w:bottom w:w="0" w:type="dxa"/>
              <w:right w:w="0" w:type="dxa"/>
            </w:tcMar>
            <w:vAlign w:val="bottom"/>
          </w:tcPr>
          <w:p w14:paraId="33871AC3" w14:textId="77777777" w:rsidR="001D7558" w:rsidRPr="00BF0B84" w:rsidRDefault="00BF0B84" w:rsidP="00BF0B84">
            <w:pPr>
              <w:spacing w:before="40" w:after="40" w:line="220" w:lineRule="exact"/>
              <w:jc w:val="right"/>
              <w:rPr>
                <w:rFonts w:cs="Times New Roman"/>
                <w:sz w:val="18"/>
              </w:rPr>
            </w:pPr>
            <w:r>
              <w:rPr>
                <w:rFonts w:cs="Times New Roman"/>
                <w:sz w:val="18"/>
              </w:rPr>
              <w:t>–</w:t>
            </w:r>
          </w:p>
        </w:tc>
      </w:tr>
      <w:tr w:rsidR="001D7558" w:rsidRPr="00BF0B84" w14:paraId="020DA6DB" w14:textId="77777777" w:rsidTr="00BF0B84">
        <w:tc>
          <w:tcPr>
            <w:tcW w:w="2548" w:type="dxa"/>
            <w:shd w:val="clear" w:color="auto" w:fill="auto"/>
            <w:tcMar>
              <w:top w:w="0" w:type="dxa"/>
              <w:left w:w="0" w:type="dxa"/>
              <w:bottom w:w="0" w:type="dxa"/>
              <w:right w:w="0" w:type="dxa"/>
            </w:tcMar>
          </w:tcPr>
          <w:p w14:paraId="4DA0C414" w14:textId="77777777" w:rsidR="001D7558" w:rsidRPr="00BF0B84" w:rsidRDefault="001D7558" w:rsidP="00BF0B84">
            <w:pPr>
              <w:spacing w:before="40" w:after="40" w:line="220" w:lineRule="exact"/>
              <w:rPr>
                <w:rFonts w:cs="Times New Roman"/>
                <w:sz w:val="18"/>
              </w:rPr>
            </w:pPr>
            <w:r w:rsidRPr="00BF0B84">
              <w:rPr>
                <w:rFonts w:cs="Times New Roman"/>
                <w:sz w:val="18"/>
              </w:rPr>
              <w:t>Программа прямой социальной поддержки</w:t>
            </w:r>
          </w:p>
        </w:tc>
        <w:tc>
          <w:tcPr>
            <w:tcW w:w="672" w:type="dxa"/>
            <w:shd w:val="clear" w:color="auto" w:fill="auto"/>
            <w:tcMar>
              <w:top w:w="0" w:type="dxa"/>
              <w:left w:w="0" w:type="dxa"/>
              <w:bottom w:w="0" w:type="dxa"/>
              <w:right w:w="0" w:type="dxa"/>
            </w:tcMar>
            <w:vAlign w:val="bottom"/>
          </w:tcPr>
          <w:p w14:paraId="2B8F0803"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2 616</w:t>
            </w:r>
          </w:p>
        </w:tc>
        <w:tc>
          <w:tcPr>
            <w:tcW w:w="784" w:type="dxa"/>
            <w:shd w:val="clear" w:color="auto" w:fill="auto"/>
            <w:tcMar>
              <w:top w:w="0" w:type="dxa"/>
              <w:left w:w="0" w:type="dxa"/>
              <w:bottom w:w="0" w:type="dxa"/>
              <w:right w:w="0" w:type="dxa"/>
            </w:tcMar>
            <w:vAlign w:val="bottom"/>
          </w:tcPr>
          <w:p w14:paraId="29331F47"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3 184</w:t>
            </w:r>
          </w:p>
        </w:tc>
        <w:tc>
          <w:tcPr>
            <w:tcW w:w="741" w:type="dxa"/>
            <w:shd w:val="clear" w:color="auto" w:fill="auto"/>
            <w:tcMar>
              <w:top w:w="0" w:type="dxa"/>
              <w:left w:w="0" w:type="dxa"/>
              <w:bottom w:w="0" w:type="dxa"/>
              <w:right w:w="0" w:type="dxa"/>
            </w:tcMar>
            <w:vAlign w:val="bottom"/>
          </w:tcPr>
          <w:p w14:paraId="2943A582"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5 625</w:t>
            </w:r>
          </w:p>
        </w:tc>
        <w:tc>
          <w:tcPr>
            <w:tcW w:w="700" w:type="dxa"/>
            <w:shd w:val="clear" w:color="auto" w:fill="auto"/>
            <w:tcMar>
              <w:top w:w="0" w:type="dxa"/>
              <w:left w:w="0" w:type="dxa"/>
              <w:bottom w:w="0" w:type="dxa"/>
              <w:right w:w="0" w:type="dxa"/>
            </w:tcMar>
            <w:vAlign w:val="bottom"/>
          </w:tcPr>
          <w:p w14:paraId="23314757"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2 435</w:t>
            </w:r>
          </w:p>
        </w:tc>
        <w:tc>
          <w:tcPr>
            <w:tcW w:w="672" w:type="dxa"/>
            <w:shd w:val="clear" w:color="auto" w:fill="auto"/>
            <w:tcMar>
              <w:top w:w="0" w:type="dxa"/>
              <w:left w:w="0" w:type="dxa"/>
              <w:bottom w:w="0" w:type="dxa"/>
              <w:right w:w="0" w:type="dxa"/>
            </w:tcMar>
            <w:vAlign w:val="bottom"/>
          </w:tcPr>
          <w:p w14:paraId="348AA9A6"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824</w:t>
            </w:r>
          </w:p>
        </w:tc>
        <w:tc>
          <w:tcPr>
            <w:tcW w:w="644" w:type="dxa"/>
            <w:shd w:val="clear" w:color="auto" w:fill="auto"/>
            <w:tcMar>
              <w:top w:w="0" w:type="dxa"/>
              <w:left w:w="0" w:type="dxa"/>
              <w:bottom w:w="0" w:type="dxa"/>
              <w:right w:w="0" w:type="dxa"/>
            </w:tcMar>
            <w:vAlign w:val="bottom"/>
          </w:tcPr>
          <w:p w14:paraId="469B255D"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1 889</w:t>
            </w:r>
          </w:p>
        </w:tc>
        <w:tc>
          <w:tcPr>
            <w:tcW w:w="609" w:type="dxa"/>
            <w:shd w:val="clear" w:color="auto" w:fill="auto"/>
            <w:tcMar>
              <w:top w:w="0" w:type="dxa"/>
              <w:left w:w="0" w:type="dxa"/>
              <w:bottom w:w="0" w:type="dxa"/>
              <w:right w:w="0" w:type="dxa"/>
            </w:tcMar>
            <w:vAlign w:val="bottom"/>
          </w:tcPr>
          <w:p w14:paraId="48F53561"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16 573</w:t>
            </w:r>
          </w:p>
        </w:tc>
      </w:tr>
      <w:tr w:rsidR="001D7558" w:rsidRPr="00BF0B84" w14:paraId="20B64F74" w14:textId="77777777" w:rsidTr="00BF0B84">
        <w:tc>
          <w:tcPr>
            <w:tcW w:w="2548" w:type="dxa"/>
            <w:shd w:val="clear" w:color="auto" w:fill="auto"/>
            <w:tcMar>
              <w:top w:w="0" w:type="dxa"/>
              <w:left w:w="0" w:type="dxa"/>
              <w:bottom w:w="0" w:type="dxa"/>
              <w:right w:w="0" w:type="dxa"/>
            </w:tcMar>
          </w:tcPr>
          <w:p w14:paraId="60C6C027" w14:textId="77777777" w:rsidR="001D7558" w:rsidRPr="00BF0B84" w:rsidRDefault="001D7558" w:rsidP="00BF0B84">
            <w:pPr>
              <w:spacing w:before="40" w:after="40" w:line="220" w:lineRule="exact"/>
              <w:rPr>
                <w:rFonts w:cs="Times New Roman"/>
                <w:sz w:val="18"/>
              </w:rPr>
            </w:pPr>
            <w:r w:rsidRPr="00BF0B84">
              <w:rPr>
                <w:rFonts w:cs="Times New Roman"/>
                <w:sz w:val="18"/>
              </w:rPr>
              <w:t>Программы Службы социальных действий</w:t>
            </w:r>
          </w:p>
        </w:tc>
        <w:tc>
          <w:tcPr>
            <w:tcW w:w="672" w:type="dxa"/>
            <w:shd w:val="clear" w:color="auto" w:fill="auto"/>
            <w:tcMar>
              <w:top w:w="0" w:type="dxa"/>
              <w:left w:w="0" w:type="dxa"/>
              <w:bottom w:w="0" w:type="dxa"/>
              <w:right w:w="0" w:type="dxa"/>
            </w:tcMar>
            <w:vAlign w:val="bottom"/>
          </w:tcPr>
          <w:p w14:paraId="43C67289"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482</w:t>
            </w:r>
          </w:p>
        </w:tc>
        <w:tc>
          <w:tcPr>
            <w:tcW w:w="784" w:type="dxa"/>
            <w:shd w:val="clear" w:color="auto" w:fill="auto"/>
            <w:tcMar>
              <w:top w:w="0" w:type="dxa"/>
              <w:left w:w="0" w:type="dxa"/>
              <w:bottom w:w="0" w:type="dxa"/>
              <w:right w:w="0" w:type="dxa"/>
            </w:tcMar>
            <w:vAlign w:val="bottom"/>
          </w:tcPr>
          <w:p w14:paraId="2F24BE7F"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954</w:t>
            </w:r>
          </w:p>
        </w:tc>
        <w:tc>
          <w:tcPr>
            <w:tcW w:w="741" w:type="dxa"/>
            <w:shd w:val="clear" w:color="auto" w:fill="auto"/>
            <w:tcMar>
              <w:top w:w="0" w:type="dxa"/>
              <w:left w:w="0" w:type="dxa"/>
              <w:bottom w:w="0" w:type="dxa"/>
              <w:right w:w="0" w:type="dxa"/>
            </w:tcMar>
            <w:vAlign w:val="bottom"/>
          </w:tcPr>
          <w:p w14:paraId="2FACE7FA"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285</w:t>
            </w:r>
          </w:p>
        </w:tc>
        <w:tc>
          <w:tcPr>
            <w:tcW w:w="700" w:type="dxa"/>
            <w:shd w:val="clear" w:color="auto" w:fill="auto"/>
            <w:tcMar>
              <w:top w:w="0" w:type="dxa"/>
              <w:left w:w="0" w:type="dxa"/>
              <w:bottom w:w="0" w:type="dxa"/>
              <w:right w:w="0" w:type="dxa"/>
            </w:tcMar>
            <w:vAlign w:val="bottom"/>
          </w:tcPr>
          <w:p w14:paraId="174C337F"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134</w:t>
            </w:r>
          </w:p>
        </w:tc>
        <w:tc>
          <w:tcPr>
            <w:tcW w:w="672" w:type="dxa"/>
            <w:shd w:val="clear" w:color="auto" w:fill="auto"/>
            <w:tcMar>
              <w:top w:w="0" w:type="dxa"/>
              <w:left w:w="0" w:type="dxa"/>
              <w:bottom w:w="0" w:type="dxa"/>
              <w:right w:w="0" w:type="dxa"/>
            </w:tcMar>
            <w:vAlign w:val="bottom"/>
          </w:tcPr>
          <w:p w14:paraId="61604229"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118</w:t>
            </w:r>
          </w:p>
        </w:tc>
        <w:tc>
          <w:tcPr>
            <w:tcW w:w="644" w:type="dxa"/>
            <w:shd w:val="clear" w:color="auto" w:fill="auto"/>
            <w:tcMar>
              <w:top w:w="0" w:type="dxa"/>
              <w:left w:w="0" w:type="dxa"/>
              <w:bottom w:w="0" w:type="dxa"/>
              <w:right w:w="0" w:type="dxa"/>
            </w:tcMar>
            <w:vAlign w:val="bottom"/>
          </w:tcPr>
          <w:p w14:paraId="44D7137C"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356</w:t>
            </w:r>
          </w:p>
        </w:tc>
        <w:tc>
          <w:tcPr>
            <w:tcW w:w="609" w:type="dxa"/>
            <w:shd w:val="clear" w:color="auto" w:fill="auto"/>
            <w:tcMar>
              <w:top w:w="0" w:type="dxa"/>
              <w:left w:w="0" w:type="dxa"/>
              <w:bottom w:w="0" w:type="dxa"/>
              <w:right w:w="0" w:type="dxa"/>
            </w:tcMar>
            <w:vAlign w:val="bottom"/>
          </w:tcPr>
          <w:p w14:paraId="0A1347CE" w14:textId="77777777" w:rsidR="001D7558" w:rsidRPr="00BF0B84" w:rsidRDefault="00BF0B84" w:rsidP="00BF0B84">
            <w:pPr>
              <w:spacing w:before="40" w:after="40" w:line="220" w:lineRule="exact"/>
              <w:jc w:val="right"/>
              <w:rPr>
                <w:rFonts w:cs="Times New Roman"/>
                <w:sz w:val="18"/>
              </w:rPr>
            </w:pPr>
            <w:r>
              <w:rPr>
                <w:rFonts w:cs="Times New Roman"/>
                <w:sz w:val="18"/>
              </w:rPr>
              <w:t>–</w:t>
            </w:r>
          </w:p>
        </w:tc>
      </w:tr>
      <w:tr w:rsidR="00BF0B84" w:rsidRPr="00BF0B84" w14:paraId="532AA0C9" w14:textId="77777777" w:rsidTr="00BF0B84">
        <w:tc>
          <w:tcPr>
            <w:tcW w:w="2548" w:type="dxa"/>
            <w:tcBorders>
              <w:bottom w:val="single" w:sz="4" w:space="0" w:color="auto"/>
            </w:tcBorders>
            <w:shd w:val="clear" w:color="auto" w:fill="auto"/>
            <w:tcMar>
              <w:top w:w="0" w:type="dxa"/>
              <w:left w:w="0" w:type="dxa"/>
              <w:bottom w:w="0" w:type="dxa"/>
              <w:right w:w="0" w:type="dxa"/>
            </w:tcMar>
          </w:tcPr>
          <w:p w14:paraId="0D12CFAA" w14:textId="77777777" w:rsidR="001D7558" w:rsidRPr="00BF0B84" w:rsidRDefault="001D7558" w:rsidP="00BF0B84">
            <w:pPr>
              <w:spacing w:before="40" w:after="40" w:line="220" w:lineRule="exact"/>
              <w:rPr>
                <w:rFonts w:cs="Times New Roman"/>
                <w:sz w:val="18"/>
              </w:rPr>
            </w:pPr>
            <w:r w:rsidRPr="00BF0B84">
              <w:rPr>
                <w:rFonts w:cs="Times New Roman"/>
                <w:sz w:val="18"/>
              </w:rPr>
              <w:t>Программа социальных мер по</w:t>
            </w:r>
            <w:r w:rsidR="00BF0B84">
              <w:rPr>
                <w:rFonts w:cs="Times New Roman"/>
                <w:sz w:val="18"/>
              </w:rPr>
              <w:t> </w:t>
            </w:r>
            <w:r w:rsidRPr="00BF0B84">
              <w:rPr>
                <w:rFonts w:cs="Times New Roman"/>
                <w:sz w:val="18"/>
              </w:rPr>
              <w:t>стимулированию производительного труда</w:t>
            </w:r>
          </w:p>
        </w:tc>
        <w:tc>
          <w:tcPr>
            <w:tcW w:w="672" w:type="dxa"/>
            <w:tcBorders>
              <w:bottom w:val="single" w:sz="4" w:space="0" w:color="auto"/>
            </w:tcBorders>
            <w:shd w:val="clear" w:color="auto" w:fill="auto"/>
            <w:tcMar>
              <w:top w:w="0" w:type="dxa"/>
              <w:left w:w="0" w:type="dxa"/>
              <w:bottom w:w="0" w:type="dxa"/>
              <w:right w:w="0" w:type="dxa"/>
            </w:tcMar>
            <w:vAlign w:val="bottom"/>
          </w:tcPr>
          <w:p w14:paraId="25B55AEA" w14:textId="77777777" w:rsidR="001D7558" w:rsidRPr="00BF0B84" w:rsidRDefault="00BF0B84" w:rsidP="00BF0B84">
            <w:pPr>
              <w:spacing w:before="40" w:after="40" w:line="220" w:lineRule="exact"/>
              <w:jc w:val="right"/>
              <w:rPr>
                <w:rFonts w:cs="Times New Roman"/>
                <w:sz w:val="18"/>
              </w:rPr>
            </w:pPr>
            <w:r>
              <w:rPr>
                <w:rFonts w:cs="Times New Roman"/>
                <w:sz w:val="18"/>
              </w:rPr>
              <w:t>–</w:t>
            </w:r>
          </w:p>
        </w:tc>
        <w:tc>
          <w:tcPr>
            <w:tcW w:w="784" w:type="dxa"/>
            <w:tcBorders>
              <w:bottom w:val="single" w:sz="4" w:space="0" w:color="auto"/>
            </w:tcBorders>
            <w:shd w:val="clear" w:color="auto" w:fill="auto"/>
            <w:tcMar>
              <w:top w:w="0" w:type="dxa"/>
              <w:left w:w="0" w:type="dxa"/>
              <w:bottom w:w="0" w:type="dxa"/>
              <w:right w:w="0" w:type="dxa"/>
            </w:tcMar>
            <w:vAlign w:val="bottom"/>
          </w:tcPr>
          <w:p w14:paraId="396D98A7" w14:textId="77777777" w:rsidR="001D7558" w:rsidRPr="00BF0B84" w:rsidRDefault="00BF0B84" w:rsidP="00BF0B84">
            <w:pPr>
              <w:spacing w:before="40" w:after="40" w:line="220" w:lineRule="exact"/>
              <w:jc w:val="right"/>
              <w:rPr>
                <w:rFonts w:cs="Times New Roman"/>
                <w:sz w:val="18"/>
              </w:rPr>
            </w:pPr>
            <w:r>
              <w:rPr>
                <w:rFonts w:cs="Times New Roman"/>
                <w:sz w:val="18"/>
              </w:rPr>
              <w:t>–</w:t>
            </w:r>
          </w:p>
        </w:tc>
        <w:tc>
          <w:tcPr>
            <w:tcW w:w="741" w:type="dxa"/>
            <w:tcBorders>
              <w:bottom w:val="single" w:sz="4" w:space="0" w:color="auto"/>
            </w:tcBorders>
            <w:shd w:val="clear" w:color="auto" w:fill="auto"/>
            <w:tcMar>
              <w:top w:w="0" w:type="dxa"/>
              <w:left w:w="0" w:type="dxa"/>
              <w:bottom w:w="0" w:type="dxa"/>
              <w:right w:w="0" w:type="dxa"/>
            </w:tcMar>
            <w:vAlign w:val="bottom"/>
          </w:tcPr>
          <w:p w14:paraId="3C8609BF" w14:textId="77777777" w:rsidR="001D7558" w:rsidRPr="00BF0B84" w:rsidRDefault="00BF0B84" w:rsidP="00BF0B84">
            <w:pPr>
              <w:spacing w:before="40" w:after="40" w:line="220" w:lineRule="exact"/>
              <w:jc w:val="right"/>
              <w:rPr>
                <w:rFonts w:cs="Times New Roman"/>
                <w:sz w:val="18"/>
              </w:rPr>
            </w:pPr>
            <w:r>
              <w:rPr>
                <w:rFonts w:cs="Times New Roman"/>
                <w:sz w:val="18"/>
              </w:rPr>
              <w:t>–</w:t>
            </w:r>
          </w:p>
        </w:tc>
        <w:tc>
          <w:tcPr>
            <w:tcW w:w="700" w:type="dxa"/>
            <w:tcBorders>
              <w:bottom w:val="single" w:sz="4" w:space="0" w:color="auto"/>
            </w:tcBorders>
            <w:shd w:val="clear" w:color="auto" w:fill="auto"/>
            <w:tcMar>
              <w:top w:w="0" w:type="dxa"/>
              <w:left w:w="0" w:type="dxa"/>
              <w:bottom w:w="0" w:type="dxa"/>
              <w:right w:w="0" w:type="dxa"/>
            </w:tcMar>
            <w:vAlign w:val="bottom"/>
          </w:tcPr>
          <w:p w14:paraId="7D30BE5F" w14:textId="77777777" w:rsidR="001D7558" w:rsidRPr="00BF0B84" w:rsidRDefault="00BF0B84" w:rsidP="00BF0B84">
            <w:pPr>
              <w:spacing w:before="40" w:after="40" w:line="220" w:lineRule="exact"/>
              <w:jc w:val="right"/>
              <w:rPr>
                <w:rFonts w:cs="Times New Roman"/>
                <w:sz w:val="18"/>
              </w:rPr>
            </w:pPr>
            <w:r>
              <w:rPr>
                <w:rFonts w:cs="Times New Roman"/>
                <w:sz w:val="18"/>
              </w:rPr>
              <w:t>–</w:t>
            </w:r>
          </w:p>
        </w:tc>
        <w:tc>
          <w:tcPr>
            <w:tcW w:w="672" w:type="dxa"/>
            <w:tcBorders>
              <w:bottom w:val="single" w:sz="4" w:space="0" w:color="auto"/>
            </w:tcBorders>
            <w:shd w:val="clear" w:color="auto" w:fill="auto"/>
            <w:tcMar>
              <w:top w:w="0" w:type="dxa"/>
              <w:left w:w="0" w:type="dxa"/>
              <w:bottom w:w="0" w:type="dxa"/>
              <w:right w:w="0" w:type="dxa"/>
            </w:tcMar>
            <w:vAlign w:val="bottom"/>
          </w:tcPr>
          <w:p w14:paraId="5204487C"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10 000</w:t>
            </w:r>
          </w:p>
        </w:tc>
        <w:tc>
          <w:tcPr>
            <w:tcW w:w="644" w:type="dxa"/>
            <w:tcBorders>
              <w:bottom w:val="single" w:sz="4" w:space="0" w:color="auto"/>
            </w:tcBorders>
            <w:shd w:val="clear" w:color="auto" w:fill="auto"/>
            <w:tcMar>
              <w:top w:w="0" w:type="dxa"/>
              <w:left w:w="0" w:type="dxa"/>
              <w:bottom w:w="0" w:type="dxa"/>
              <w:right w:w="0" w:type="dxa"/>
            </w:tcMar>
            <w:vAlign w:val="bottom"/>
          </w:tcPr>
          <w:p w14:paraId="095D8E33" w14:textId="77777777" w:rsidR="001D7558" w:rsidRPr="00BF0B84" w:rsidRDefault="001D7558" w:rsidP="00BF0B84">
            <w:pPr>
              <w:spacing w:before="40" w:after="40" w:line="220" w:lineRule="exact"/>
              <w:jc w:val="right"/>
              <w:rPr>
                <w:rFonts w:cs="Times New Roman"/>
                <w:sz w:val="18"/>
              </w:rPr>
            </w:pPr>
            <w:r w:rsidRPr="00BF0B84">
              <w:rPr>
                <w:rFonts w:cs="Times New Roman"/>
                <w:sz w:val="18"/>
              </w:rPr>
              <w:t>10 000</w:t>
            </w:r>
          </w:p>
        </w:tc>
        <w:tc>
          <w:tcPr>
            <w:tcW w:w="609" w:type="dxa"/>
            <w:tcBorders>
              <w:bottom w:val="single" w:sz="4" w:space="0" w:color="auto"/>
            </w:tcBorders>
            <w:shd w:val="clear" w:color="auto" w:fill="auto"/>
            <w:tcMar>
              <w:top w:w="0" w:type="dxa"/>
              <w:left w:w="0" w:type="dxa"/>
              <w:bottom w:w="0" w:type="dxa"/>
              <w:right w:w="0" w:type="dxa"/>
            </w:tcMar>
            <w:vAlign w:val="bottom"/>
          </w:tcPr>
          <w:p w14:paraId="6524E323" w14:textId="77777777" w:rsidR="001D7558" w:rsidRPr="00BF0B84" w:rsidRDefault="00BF0B84" w:rsidP="00BF0B84">
            <w:pPr>
              <w:spacing w:before="40" w:after="40" w:line="220" w:lineRule="exact"/>
              <w:jc w:val="right"/>
              <w:rPr>
                <w:rFonts w:cs="Times New Roman"/>
                <w:sz w:val="18"/>
              </w:rPr>
            </w:pPr>
            <w:r>
              <w:rPr>
                <w:rFonts w:cs="Times New Roman"/>
                <w:sz w:val="18"/>
              </w:rPr>
              <w:t>–</w:t>
            </w:r>
          </w:p>
        </w:tc>
      </w:tr>
      <w:tr w:rsidR="00BF0B84" w:rsidRPr="00BF0B84" w14:paraId="2D18B8A4" w14:textId="77777777" w:rsidTr="00BF0B84">
        <w:tc>
          <w:tcPr>
            <w:tcW w:w="2548" w:type="dxa"/>
            <w:tcBorders>
              <w:top w:val="single" w:sz="4" w:space="0" w:color="auto"/>
              <w:bottom w:val="single" w:sz="12" w:space="0" w:color="auto"/>
            </w:tcBorders>
            <w:shd w:val="clear" w:color="auto" w:fill="auto"/>
            <w:tcMar>
              <w:top w:w="0" w:type="dxa"/>
              <w:left w:w="0" w:type="dxa"/>
              <w:bottom w:w="0" w:type="dxa"/>
              <w:right w:w="0" w:type="dxa"/>
            </w:tcMar>
          </w:tcPr>
          <w:p w14:paraId="25672E84" w14:textId="77777777" w:rsidR="001D7558" w:rsidRPr="00BF0B84" w:rsidRDefault="001D7558" w:rsidP="00BF0B84">
            <w:pPr>
              <w:spacing w:before="80" w:after="80" w:line="220" w:lineRule="exact"/>
              <w:ind w:left="283"/>
              <w:rPr>
                <w:rFonts w:cs="Times New Roman"/>
                <w:b/>
                <w:sz w:val="18"/>
              </w:rPr>
            </w:pPr>
            <w:r w:rsidRPr="00BF0B84">
              <w:rPr>
                <w:rFonts w:cs="Times New Roman"/>
                <w:b/>
                <w:sz w:val="18"/>
              </w:rPr>
              <w:t xml:space="preserve">Всего </w:t>
            </w:r>
          </w:p>
        </w:tc>
        <w:tc>
          <w:tcPr>
            <w:tcW w:w="67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2703C39" w14:textId="77777777" w:rsidR="001D7558" w:rsidRPr="00BF0B84" w:rsidRDefault="001D7558" w:rsidP="00BF0B84">
            <w:pPr>
              <w:spacing w:before="80" w:after="80" w:line="220" w:lineRule="exact"/>
              <w:jc w:val="right"/>
              <w:rPr>
                <w:rFonts w:cs="Times New Roman"/>
                <w:b/>
                <w:sz w:val="18"/>
              </w:rPr>
            </w:pPr>
            <w:r w:rsidRPr="00BF0B84">
              <w:rPr>
                <w:rFonts w:cs="Times New Roman"/>
                <w:b/>
                <w:sz w:val="18"/>
              </w:rPr>
              <w:t>16 988</w:t>
            </w:r>
          </w:p>
        </w:tc>
        <w:tc>
          <w:tcPr>
            <w:tcW w:w="78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6C30803" w14:textId="77777777" w:rsidR="001D7558" w:rsidRPr="00BF0B84" w:rsidRDefault="001D7558" w:rsidP="00BF0B84">
            <w:pPr>
              <w:spacing w:before="80" w:after="80" w:line="220" w:lineRule="exact"/>
              <w:jc w:val="right"/>
              <w:rPr>
                <w:rFonts w:cs="Times New Roman"/>
                <w:b/>
                <w:sz w:val="18"/>
              </w:rPr>
            </w:pPr>
            <w:r w:rsidRPr="00BF0B84">
              <w:rPr>
                <w:rFonts w:cs="Times New Roman"/>
                <w:b/>
                <w:sz w:val="18"/>
              </w:rPr>
              <w:t>20 065</w:t>
            </w:r>
          </w:p>
        </w:tc>
        <w:tc>
          <w:tcPr>
            <w:tcW w:w="74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3172280" w14:textId="77777777" w:rsidR="001D7558" w:rsidRPr="00BF0B84" w:rsidRDefault="001D7558" w:rsidP="00BF0B84">
            <w:pPr>
              <w:spacing w:before="80" w:after="80" w:line="220" w:lineRule="exact"/>
              <w:jc w:val="right"/>
              <w:rPr>
                <w:rFonts w:cs="Times New Roman"/>
                <w:b/>
                <w:sz w:val="18"/>
              </w:rPr>
            </w:pPr>
            <w:r w:rsidRPr="00BF0B84">
              <w:rPr>
                <w:rFonts w:cs="Times New Roman"/>
                <w:b/>
                <w:sz w:val="18"/>
              </w:rPr>
              <w:t>24 430</w:t>
            </w:r>
          </w:p>
        </w:tc>
        <w:tc>
          <w:tcPr>
            <w:tcW w:w="70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99356F3" w14:textId="77777777" w:rsidR="001D7558" w:rsidRPr="00BF0B84" w:rsidRDefault="001D7558" w:rsidP="00BF0B84">
            <w:pPr>
              <w:spacing w:before="80" w:after="80" w:line="220" w:lineRule="exact"/>
              <w:jc w:val="right"/>
              <w:rPr>
                <w:rFonts w:cs="Times New Roman"/>
                <w:b/>
                <w:sz w:val="18"/>
              </w:rPr>
            </w:pPr>
            <w:r w:rsidRPr="00BF0B84">
              <w:rPr>
                <w:rFonts w:cs="Times New Roman"/>
                <w:b/>
                <w:sz w:val="18"/>
              </w:rPr>
              <w:t>20 690</w:t>
            </w:r>
          </w:p>
        </w:tc>
        <w:tc>
          <w:tcPr>
            <w:tcW w:w="67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47B88F0" w14:textId="77777777" w:rsidR="001D7558" w:rsidRPr="00BF0B84" w:rsidRDefault="001D7558" w:rsidP="00BF0B84">
            <w:pPr>
              <w:spacing w:before="80" w:after="80" w:line="220" w:lineRule="exact"/>
              <w:jc w:val="right"/>
              <w:rPr>
                <w:rFonts w:cs="Times New Roman"/>
                <w:b/>
                <w:sz w:val="18"/>
              </w:rPr>
            </w:pPr>
            <w:r w:rsidRPr="00BF0B84">
              <w:rPr>
                <w:rFonts w:cs="Times New Roman"/>
                <w:b/>
                <w:sz w:val="18"/>
              </w:rPr>
              <w:t>20 727</w:t>
            </w:r>
          </w:p>
        </w:tc>
        <w:tc>
          <w:tcPr>
            <w:tcW w:w="64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2411ECE" w14:textId="77777777" w:rsidR="001D7558" w:rsidRPr="00BF0B84" w:rsidRDefault="001D7558" w:rsidP="00BF0B84">
            <w:pPr>
              <w:spacing w:before="80" w:after="80" w:line="220" w:lineRule="exact"/>
              <w:jc w:val="right"/>
              <w:rPr>
                <w:rFonts w:cs="Times New Roman"/>
                <w:b/>
                <w:sz w:val="18"/>
              </w:rPr>
            </w:pPr>
            <w:r w:rsidRPr="00BF0B84">
              <w:rPr>
                <w:rFonts w:cs="Times New Roman"/>
                <w:b/>
                <w:sz w:val="18"/>
              </w:rPr>
              <w:t>46 611</w:t>
            </w:r>
          </w:p>
        </w:tc>
        <w:tc>
          <w:tcPr>
            <w:tcW w:w="60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747807B" w14:textId="77777777" w:rsidR="001D7558" w:rsidRPr="00BF0B84" w:rsidRDefault="00BF0B84" w:rsidP="00BF0B84">
            <w:pPr>
              <w:spacing w:before="80" w:after="80" w:line="220" w:lineRule="exact"/>
              <w:jc w:val="right"/>
              <w:rPr>
                <w:rFonts w:cs="Times New Roman"/>
                <w:b/>
                <w:sz w:val="18"/>
              </w:rPr>
            </w:pPr>
            <w:r w:rsidRPr="00BF0B84">
              <w:rPr>
                <w:rFonts w:cs="Times New Roman"/>
                <w:b/>
                <w:sz w:val="18"/>
              </w:rPr>
              <w:t>–</w:t>
            </w:r>
          </w:p>
        </w:tc>
      </w:tr>
    </w:tbl>
    <w:p w14:paraId="287040C6" w14:textId="77777777" w:rsidR="001D7558" w:rsidRPr="00BF0B84" w:rsidRDefault="001D7558" w:rsidP="00BF0B84">
      <w:pPr>
        <w:pStyle w:val="SingleTxtG"/>
        <w:spacing w:before="120" w:after="0" w:line="220" w:lineRule="exact"/>
        <w:ind w:firstLine="170"/>
        <w:jc w:val="left"/>
        <w:rPr>
          <w:sz w:val="18"/>
          <w:szCs w:val="18"/>
          <w:lang w:val="en-US"/>
        </w:rPr>
      </w:pPr>
      <w:r w:rsidRPr="00BF0B84">
        <w:rPr>
          <w:i/>
          <w:iCs/>
          <w:sz w:val="18"/>
          <w:szCs w:val="18"/>
        </w:rPr>
        <w:t>Источник</w:t>
      </w:r>
      <w:r w:rsidRPr="00BF0B84">
        <w:rPr>
          <w:sz w:val="18"/>
          <w:szCs w:val="18"/>
          <w:lang w:val="en-US"/>
        </w:rPr>
        <w:t>: Annual Reports for Economic and Social Plan Balance Reports 2012–2017, MGCAS.</w:t>
      </w:r>
    </w:p>
    <w:p w14:paraId="7571B38F" w14:textId="77777777" w:rsidR="001D7558" w:rsidRPr="00EA1614" w:rsidRDefault="001D7558" w:rsidP="00BF0B84">
      <w:pPr>
        <w:pStyle w:val="SingleTxtG"/>
        <w:spacing w:before="240" w:after="240"/>
        <w:rPr>
          <w:lang w:eastAsia="zh-CN"/>
        </w:rPr>
      </w:pPr>
      <w:r>
        <w:t>113.</w:t>
      </w:r>
      <w:r>
        <w:tab/>
        <w:t>В тот же период инвалиды пользовались системой обязательного социального страхования по линии Национального института социального страхования, что видно из приводимой ниже таблицы:</w:t>
      </w:r>
    </w:p>
    <w:p w14:paraId="260267AB" w14:textId="77777777" w:rsidR="001D7558" w:rsidRPr="00EA1614" w:rsidRDefault="00BF0B84" w:rsidP="00BF0B84">
      <w:pPr>
        <w:pStyle w:val="H23G"/>
        <w:rPr>
          <w:b w:val="0"/>
        </w:rPr>
      </w:pPr>
      <w:bookmarkStart w:id="11" w:name="_Toc44077508"/>
      <w:r>
        <w:lastRenderedPageBreak/>
        <w:tab/>
      </w:r>
      <w:r>
        <w:tab/>
      </w:r>
      <w:r w:rsidR="001D7558" w:rsidRPr="00BF0B84">
        <w:rPr>
          <w:b w:val="0"/>
          <w:bCs/>
        </w:rPr>
        <w:t>Таблица 7</w:t>
      </w:r>
      <w:bookmarkEnd w:id="11"/>
      <w:r>
        <w:br/>
      </w:r>
      <w:r w:rsidR="001D7558" w:rsidRPr="00BF0B84">
        <w:t>Инвалиды-бенефициары системы обязательного социального страхования</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66"/>
        <w:gridCol w:w="1034"/>
        <w:gridCol w:w="1034"/>
        <w:gridCol w:w="1034"/>
        <w:gridCol w:w="1034"/>
        <w:gridCol w:w="1034"/>
        <w:gridCol w:w="1034"/>
      </w:tblGrid>
      <w:tr w:rsidR="001D7558" w:rsidRPr="00BF0B84" w14:paraId="05BC8A46" w14:textId="77777777" w:rsidTr="00BF0B84">
        <w:trPr>
          <w:tblHeader/>
        </w:trPr>
        <w:tc>
          <w:tcPr>
            <w:tcW w:w="1411" w:type="dxa"/>
            <w:shd w:val="clear" w:color="auto" w:fill="auto"/>
            <w:tcMar>
              <w:top w:w="0" w:type="dxa"/>
              <w:left w:w="0" w:type="dxa"/>
              <w:bottom w:w="0" w:type="dxa"/>
              <w:right w:w="0" w:type="dxa"/>
            </w:tcMar>
            <w:vAlign w:val="bottom"/>
          </w:tcPr>
          <w:p w14:paraId="454FC232" w14:textId="77777777" w:rsidR="001D7558" w:rsidRPr="00BF0B84" w:rsidRDefault="001D7558" w:rsidP="00BF0B84">
            <w:pPr>
              <w:suppressAutoHyphens w:val="0"/>
              <w:spacing w:before="80" w:after="80" w:line="200" w:lineRule="exact"/>
              <w:ind w:left="28"/>
              <w:rPr>
                <w:rFonts w:cs="Times New Roman"/>
                <w:i/>
                <w:sz w:val="16"/>
              </w:rPr>
            </w:pPr>
            <w:r w:rsidRPr="00BF0B84">
              <w:rPr>
                <w:rFonts w:cs="Times New Roman"/>
                <w:i/>
                <w:sz w:val="16"/>
              </w:rPr>
              <w:t xml:space="preserve">Год </w:t>
            </w:r>
          </w:p>
        </w:tc>
        <w:tc>
          <w:tcPr>
            <w:tcW w:w="1252" w:type="dxa"/>
            <w:shd w:val="clear" w:color="auto" w:fill="auto"/>
            <w:tcMar>
              <w:top w:w="0" w:type="dxa"/>
              <w:left w:w="0" w:type="dxa"/>
              <w:bottom w:w="0" w:type="dxa"/>
              <w:right w:w="0" w:type="dxa"/>
            </w:tcMar>
            <w:vAlign w:val="bottom"/>
          </w:tcPr>
          <w:p w14:paraId="1FD9BF0C" w14:textId="77777777" w:rsidR="001D7558" w:rsidRPr="00BF0B84" w:rsidRDefault="001D7558" w:rsidP="00BF0B84">
            <w:pPr>
              <w:suppressAutoHyphens w:val="0"/>
              <w:spacing w:before="80" w:after="80" w:line="200" w:lineRule="exact"/>
              <w:ind w:left="28"/>
              <w:jc w:val="right"/>
              <w:rPr>
                <w:rFonts w:cs="Times New Roman"/>
                <w:i/>
                <w:sz w:val="16"/>
              </w:rPr>
            </w:pPr>
            <w:r w:rsidRPr="00BF0B84">
              <w:rPr>
                <w:rFonts w:cs="Times New Roman"/>
                <w:i/>
                <w:sz w:val="16"/>
              </w:rPr>
              <w:t>2012</w:t>
            </w:r>
          </w:p>
        </w:tc>
        <w:tc>
          <w:tcPr>
            <w:tcW w:w="1252" w:type="dxa"/>
            <w:shd w:val="clear" w:color="auto" w:fill="auto"/>
            <w:tcMar>
              <w:top w:w="0" w:type="dxa"/>
              <w:left w:w="0" w:type="dxa"/>
              <w:bottom w:w="0" w:type="dxa"/>
              <w:right w:w="0" w:type="dxa"/>
            </w:tcMar>
            <w:vAlign w:val="bottom"/>
          </w:tcPr>
          <w:p w14:paraId="7F8302C0" w14:textId="77777777" w:rsidR="001D7558" w:rsidRPr="00BF0B84" w:rsidRDefault="001D7558" w:rsidP="00BF0B84">
            <w:pPr>
              <w:suppressAutoHyphens w:val="0"/>
              <w:spacing w:before="80" w:after="80" w:line="200" w:lineRule="exact"/>
              <w:ind w:left="28"/>
              <w:jc w:val="right"/>
              <w:rPr>
                <w:rFonts w:cs="Times New Roman"/>
                <w:i/>
                <w:sz w:val="16"/>
              </w:rPr>
            </w:pPr>
            <w:r w:rsidRPr="00BF0B84">
              <w:rPr>
                <w:rFonts w:cs="Times New Roman"/>
                <w:i/>
                <w:sz w:val="16"/>
              </w:rPr>
              <w:t>2013</w:t>
            </w:r>
          </w:p>
        </w:tc>
        <w:tc>
          <w:tcPr>
            <w:tcW w:w="1252" w:type="dxa"/>
            <w:shd w:val="clear" w:color="auto" w:fill="auto"/>
            <w:tcMar>
              <w:top w:w="0" w:type="dxa"/>
              <w:left w:w="0" w:type="dxa"/>
              <w:bottom w:w="0" w:type="dxa"/>
              <w:right w:w="0" w:type="dxa"/>
            </w:tcMar>
            <w:vAlign w:val="bottom"/>
          </w:tcPr>
          <w:p w14:paraId="600D8652" w14:textId="77777777" w:rsidR="001D7558" w:rsidRPr="00BF0B84" w:rsidRDefault="001D7558" w:rsidP="00BF0B84">
            <w:pPr>
              <w:suppressAutoHyphens w:val="0"/>
              <w:spacing w:before="80" w:after="80" w:line="200" w:lineRule="exact"/>
              <w:ind w:left="28"/>
              <w:jc w:val="right"/>
              <w:rPr>
                <w:rFonts w:cs="Times New Roman"/>
                <w:i/>
                <w:sz w:val="16"/>
              </w:rPr>
            </w:pPr>
            <w:r w:rsidRPr="00BF0B84">
              <w:rPr>
                <w:rFonts w:cs="Times New Roman"/>
                <w:i/>
                <w:sz w:val="16"/>
              </w:rPr>
              <w:t>2014</w:t>
            </w:r>
          </w:p>
        </w:tc>
        <w:tc>
          <w:tcPr>
            <w:tcW w:w="1252" w:type="dxa"/>
            <w:shd w:val="clear" w:color="auto" w:fill="auto"/>
            <w:tcMar>
              <w:top w:w="0" w:type="dxa"/>
              <w:left w:w="0" w:type="dxa"/>
              <w:bottom w:w="0" w:type="dxa"/>
              <w:right w:w="0" w:type="dxa"/>
            </w:tcMar>
            <w:vAlign w:val="bottom"/>
          </w:tcPr>
          <w:p w14:paraId="01E6DA53" w14:textId="77777777" w:rsidR="001D7558" w:rsidRPr="00BF0B84" w:rsidRDefault="001D7558" w:rsidP="00BF0B84">
            <w:pPr>
              <w:suppressAutoHyphens w:val="0"/>
              <w:spacing w:before="80" w:after="80" w:line="200" w:lineRule="exact"/>
              <w:ind w:left="28"/>
              <w:jc w:val="right"/>
              <w:rPr>
                <w:rFonts w:cs="Times New Roman"/>
                <w:i/>
                <w:sz w:val="16"/>
              </w:rPr>
            </w:pPr>
            <w:r w:rsidRPr="00BF0B84">
              <w:rPr>
                <w:rFonts w:cs="Times New Roman"/>
                <w:i/>
                <w:sz w:val="16"/>
              </w:rPr>
              <w:t>2015</w:t>
            </w:r>
          </w:p>
        </w:tc>
        <w:tc>
          <w:tcPr>
            <w:tcW w:w="1252" w:type="dxa"/>
            <w:shd w:val="clear" w:color="auto" w:fill="auto"/>
            <w:tcMar>
              <w:top w:w="0" w:type="dxa"/>
              <w:left w:w="0" w:type="dxa"/>
              <w:bottom w:w="0" w:type="dxa"/>
              <w:right w:w="0" w:type="dxa"/>
            </w:tcMar>
            <w:vAlign w:val="bottom"/>
          </w:tcPr>
          <w:p w14:paraId="10525029" w14:textId="77777777" w:rsidR="001D7558" w:rsidRPr="00BF0B84" w:rsidRDefault="001D7558" w:rsidP="00BF0B84">
            <w:pPr>
              <w:suppressAutoHyphens w:val="0"/>
              <w:spacing w:before="80" w:after="80" w:line="200" w:lineRule="exact"/>
              <w:ind w:left="28"/>
              <w:jc w:val="right"/>
              <w:rPr>
                <w:rFonts w:cs="Times New Roman"/>
                <w:i/>
                <w:sz w:val="16"/>
              </w:rPr>
            </w:pPr>
            <w:r w:rsidRPr="00BF0B84">
              <w:rPr>
                <w:rFonts w:cs="Times New Roman"/>
                <w:i/>
                <w:sz w:val="16"/>
              </w:rPr>
              <w:t>2016</w:t>
            </w:r>
          </w:p>
        </w:tc>
        <w:tc>
          <w:tcPr>
            <w:tcW w:w="1252" w:type="dxa"/>
            <w:shd w:val="clear" w:color="auto" w:fill="auto"/>
            <w:tcMar>
              <w:top w:w="0" w:type="dxa"/>
              <w:left w:w="0" w:type="dxa"/>
              <w:bottom w:w="0" w:type="dxa"/>
              <w:right w:w="0" w:type="dxa"/>
            </w:tcMar>
            <w:vAlign w:val="bottom"/>
          </w:tcPr>
          <w:p w14:paraId="40D9FC9B" w14:textId="77777777" w:rsidR="001D7558" w:rsidRPr="00BF0B84" w:rsidRDefault="001D7558" w:rsidP="00BF0B84">
            <w:pPr>
              <w:suppressAutoHyphens w:val="0"/>
              <w:spacing w:before="80" w:after="80" w:line="200" w:lineRule="exact"/>
              <w:ind w:left="28"/>
              <w:jc w:val="right"/>
              <w:rPr>
                <w:rFonts w:cs="Times New Roman"/>
                <w:i/>
                <w:sz w:val="16"/>
              </w:rPr>
            </w:pPr>
            <w:r w:rsidRPr="00BF0B84">
              <w:rPr>
                <w:rFonts w:cs="Times New Roman"/>
                <w:i/>
                <w:sz w:val="16"/>
              </w:rPr>
              <w:t>2017</w:t>
            </w:r>
          </w:p>
        </w:tc>
      </w:tr>
      <w:tr w:rsidR="001D7558" w:rsidRPr="00BF0B84" w14:paraId="2E0B6F5C" w14:textId="77777777" w:rsidTr="00BF0B84">
        <w:tc>
          <w:tcPr>
            <w:tcW w:w="1411" w:type="dxa"/>
            <w:shd w:val="clear" w:color="auto" w:fill="auto"/>
            <w:tcMar>
              <w:top w:w="0" w:type="dxa"/>
              <w:left w:w="0" w:type="dxa"/>
              <w:bottom w:w="0" w:type="dxa"/>
              <w:right w:w="0" w:type="dxa"/>
            </w:tcMar>
          </w:tcPr>
          <w:p w14:paraId="2D11493E" w14:textId="77777777" w:rsidR="001D7558" w:rsidRPr="00BF0B84" w:rsidRDefault="001D7558" w:rsidP="00BF0B84">
            <w:pPr>
              <w:suppressAutoHyphens w:val="0"/>
              <w:spacing w:before="40" w:after="40" w:line="220" w:lineRule="exact"/>
              <w:rPr>
                <w:rFonts w:cs="Times New Roman"/>
                <w:sz w:val="18"/>
              </w:rPr>
            </w:pPr>
            <w:r w:rsidRPr="00BF0B84">
              <w:rPr>
                <w:rFonts w:cs="Times New Roman"/>
                <w:sz w:val="18"/>
              </w:rPr>
              <w:t>Бенефициары</w:t>
            </w:r>
          </w:p>
        </w:tc>
        <w:tc>
          <w:tcPr>
            <w:tcW w:w="1252" w:type="dxa"/>
            <w:shd w:val="clear" w:color="auto" w:fill="auto"/>
            <w:tcMar>
              <w:top w:w="0" w:type="dxa"/>
              <w:left w:w="0" w:type="dxa"/>
              <w:bottom w:w="0" w:type="dxa"/>
              <w:right w:w="0" w:type="dxa"/>
            </w:tcMar>
            <w:vAlign w:val="bottom"/>
          </w:tcPr>
          <w:p w14:paraId="0B3390A4" w14:textId="77777777" w:rsidR="001D7558" w:rsidRPr="00BF0B84" w:rsidRDefault="001D7558" w:rsidP="00BF0B84">
            <w:pPr>
              <w:suppressAutoHyphens w:val="0"/>
              <w:spacing w:before="40" w:after="40" w:line="220" w:lineRule="exact"/>
              <w:jc w:val="right"/>
              <w:rPr>
                <w:rFonts w:cs="Times New Roman"/>
                <w:sz w:val="18"/>
              </w:rPr>
            </w:pPr>
            <w:r w:rsidRPr="00BF0B84">
              <w:rPr>
                <w:rFonts w:cs="Times New Roman"/>
                <w:sz w:val="18"/>
              </w:rPr>
              <w:t>1 259</w:t>
            </w:r>
          </w:p>
        </w:tc>
        <w:tc>
          <w:tcPr>
            <w:tcW w:w="1252" w:type="dxa"/>
            <w:shd w:val="clear" w:color="auto" w:fill="auto"/>
            <w:tcMar>
              <w:top w:w="0" w:type="dxa"/>
              <w:left w:w="0" w:type="dxa"/>
              <w:bottom w:w="0" w:type="dxa"/>
              <w:right w:w="0" w:type="dxa"/>
            </w:tcMar>
            <w:vAlign w:val="bottom"/>
          </w:tcPr>
          <w:p w14:paraId="54409122" w14:textId="77777777" w:rsidR="001D7558" w:rsidRPr="00BF0B84" w:rsidRDefault="001D7558" w:rsidP="00BF0B84">
            <w:pPr>
              <w:suppressAutoHyphens w:val="0"/>
              <w:spacing w:before="40" w:after="40" w:line="220" w:lineRule="exact"/>
              <w:jc w:val="right"/>
              <w:rPr>
                <w:rFonts w:cs="Times New Roman"/>
                <w:sz w:val="18"/>
              </w:rPr>
            </w:pPr>
            <w:r w:rsidRPr="00BF0B84">
              <w:rPr>
                <w:rFonts w:cs="Times New Roman"/>
                <w:sz w:val="18"/>
              </w:rPr>
              <w:t>1 301</w:t>
            </w:r>
          </w:p>
        </w:tc>
        <w:tc>
          <w:tcPr>
            <w:tcW w:w="1252" w:type="dxa"/>
            <w:shd w:val="clear" w:color="auto" w:fill="auto"/>
            <w:tcMar>
              <w:top w:w="0" w:type="dxa"/>
              <w:left w:w="0" w:type="dxa"/>
              <w:bottom w:w="0" w:type="dxa"/>
              <w:right w:w="0" w:type="dxa"/>
            </w:tcMar>
            <w:vAlign w:val="bottom"/>
          </w:tcPr>
          <w:p w14:paraId="4C0CAFF9" w14:textId="77777777" w:rsidR="001D7558" w:rsidRPr="00BF0B84" w:rsidRDefault="001D7558" w:rsidP="00BF0B84">
            <w:pPr>
              <w:suppressAutoHyphens w:val="0"/>
              <w:spacing w:before="40" w:after="40" w:line="220" w:lineRule="exact"/>
              <w:jc w:val="right"/>
              <w:rPr>
                <w:rFonts w:cs="Times New Roman"/>
                <w:sz w:val="18"/>
              </w:rPr>
            </w:pPr>
            <w:r w:rsidRPr="00BF0B84">
              <w:rPr>
                <w:rFonts w:cs="Times New Roman"/>
                <w:sz w:val="18"/>
              </w:rPr>
              <w:t>1 281</w:t>
            </w:r>
          </w:p>
        </w:tc>
        <w:tc>
          <w:tcPr>
            <w:tcW w:w="1252" w:type="dxa"/>
            <w:shd w:val="clear" w:color="auto" w:fill="auto"/>
            <w:tcMar>
              <w:top w:w="0" w:type="dxa"/>
              <w:left w:w="0" w:type="dxa"/>
              <w:bottom w:w="0" w:type="dxa"/>
              <w:right w:w="0" w:type="dxa"/>
            </w:tcMar>
            <w:vAlign w:val="bottom"/>
          </w:tcPr>
          <w:p w14:paraId="1DC7CF82" w14:textId="77777777" w:rsidR="001D7558" w:rsidRPr="00BF0B84" w:rsidRDefault="001D7558" w:rsidP="00BF0B84">
            <w:pPr>
              <w:suppressAutoHyphens w:val="0"/>
              <w:spacing w:before="40" w:after="40" w:line="220" w:lineRule="exact"/>
              <w:jc w:val="right"/>
              <w:rPr>
                <w:rFonts w:cs="Times New Roman"/>
                <w:sz w:val="18"/>
              </w:rPr>
            </w:pPr>
            <w:r w:rsidRPr="00BF0B84">
              <w:rPr>
                <w:rFonts w:cs="Times New Roman"/>
                <w:sz w:val="18"/>
              </w:rPr>
              <w:t>1 300</w:t>
            </w:r>
          </w:p>
        </w:tc>
        <w:tc>
          <w:tcPr>
            <w:tcW w:w="1252" w:type="dxa"/>
            <w:shd w:val="clear" w:color="auto" w:fill="auto"/>
            <w:tcMar>
              <w:top w:w="0" w:type="dxa"/>
              <w:left w:w="0" w:type="dxa"/>
              <w:bottom w:w="0" w:type="dxa"/>
              <w:right w:w="0" w:type="dxa"/>
            </w:tcMar>
            <w:vAlign w:val="bottom"/>
          </w:tcPr>
          <w:p w14:paraId="15705EDC" w14:textId="77777777" w:rsidR="001D7558" w:rsidRPr="00BF0B84" w:rsidRDefault="001D7558" w:rsidP="00BF0B84">
            <w:pPr>
              <w:suppressAutoHyphens w:val="0"/>
              <w:spacing w:before="40" w:after="40" w:line="220" w:lineRule="exact"/>
              <w:jc w:val="right"/>
              <w:rPr>
                <w:rFonts w:cs="Times New Roman"/>
                <w:sz w:val="18"/>
              </w:rPr>
            </w:pPr>
            <w:r w:rsidRPr="00BF0B84">
              <w:rPr>
                <w:rFonts w:cs="Times New Roman"/>
                <w:sz w:val="18"/>
              </w:rPr>
              <w:t>1 328</w:t>
            </w:r>
          </w:p>
        </w:tc>
        <w:tc>
          <w:tcPr>
            <w:tcW w:w="1252" w:type="dxa"/>
            <w:shd w:val="clear" w:color="auto" w:fill="auto"/>
            <w:tcMar>
              <w:top w:w="0" w:type="dxa"/>
              <w:left w:w="0" w:type="dxa"/>
              <w:bottom w:w="0" w:type="dxa"/>
              <w:right w:w="0" w:type="dxa"/>
            </w:tcMar>
            <w:vAlign w:val="bottom"/>
          </w:tcPr>
          <w:p w14:paraId="12F3CCFB" w14:textId="77777777" w:rsidR="001D7558" w:rsidRPr="00BF0B84" w:rsidRDefault="001D7558" w:rsidP="00BF0B84">
            <w:pPr>
              <w:suppressAutoHyphens w:val="0"/>
              <w:spacing w:before="40" w:after="40" w:line="220" w:lineRule="exact"/>
              <w:jc w:val="right"/>
              <w:rPr>
                <w:rFonts w:cs="Times New Roman"/>
                <w:sz w:val="18"/>
              </w:rPr>
            </w:pPr>
            <w:r w:rsidRPr="00BF0B84">
              <w:rPr>
                <w:rFonts w:cs="Times New Roman"/>
                <w:sz w:val="18"/>
              </w:rPr>
              <w:t>1 370</w:t>
            </w:r>
          </w:p>
        </w:tc>
      </w:tr>
    </w:tbl>
    <w:p w14:paraId="07BBDC6A" w14:textId="77777777" w:rsidR="001D7558" w:rsidRPr="00BF0B84" w:rsidRDefault="001D7558" w:rsidP="00BF0B84">
      <w:pPr>
        <w:spacing w:before="120" w:line="220" w:lineRule="exact"/>
        <w:ind w:left="1134" w:right="1134" w:firstLine="170"/>
        <w:rPr>
          <w:sz w:val="18"/>
          <w:szCs w:val="18"/>
          <w:lang w:val="en-US"/>
        </w:rPr>
      </w:pPr>
      <w:r w:rsidRPr="00BF0B84">
        <w:rPr>
          <w:i/>
          <w:iCs/>
          <w:sz w:val="18"/>
          <w:szCs w:val="18"/>
        </w:rPr>
        <w:t>Источник</w:t>
      </w:r>
      <w:r w:rsidRPr="00BF0B84">
        <w:rPr>
          <w:sz w:val="18"/>
          <w:szCs w:val="18"/>
          <w:lang w:val="en-US"/>
        </w:rPr>
        <w:t>: National Institute for Social Safety (INSS).</w:t>
      </w:r>
    </w:p>
    <w:p w14:paraId="4D0386A1" w14:textId="77777777" w:rsidR="001D7558" w:rsidRPr="00EA1614" w:rsidRDefault="001D7558" w:rsidP="001D7558">
      <w:pPr>
        <w:pStyle w:val="SingleTxtG"/>
        <w:spacing w:before="240"/>
      </w:pPr>
      <w:r>
        <w:t>114.</w:t>
      </w:r>
      <w:r>
        <w:tab/>
        <w:t>В 2016 году была утверждена Национальная стратегия в области базовой социальной защиты на 2016</w:t>
      </w:r>
      <w:r w:rsidR="00BF0B84">
        <w:t>–</w:t>
      </w:r>
      <w:r>
        <w:t>2024 годы, которая предусматривает реализацию конкретных программ по предотвращению социальных рисков и обеспечению ухода за инвалидами.</w:t>
      </w:r>
    </w:p>
    <w:p w14:paraId="1B50AA34" w14:textId="77777777" w:rsidR="001D7558" w:rsidRPr="00EA1614" w:rsidRDefault="001D7558" w:rsidP="00BF0B84">
      <w:pPr>
        <w:pStyle w:val="H23G"/>
      </w:pPr>
      <w:r>
        <w:tab/>
      </w:r>
      <w:r>
        <w:tab/>
        <w:t xml:space="preserve">Статьи 29 и 30 </w:t>
      </w:r>
      <w:r w:rsidR="00C24906">
        <w:br/>
      </w:r>
      <w:r>
        <w:t>Участие в общественной, политической и культурной жизни, проведении досуга и отдыха и занятии спортом</w:t>
      </w:r>
      <w:bookmarkStart w:id="12" w:name="_Toc44077509"/>
      <w:bookmarkEnd w:id="12"/>
    </w:p>
    <w:p w14:paraId="009E4CF5" w14:textId="77777777" w:rsidR="001D7558" w:rsidRPr="00EA1614" w:rsidRDefault="001D7558" w:rsidP="001D7558">
      <w:pPr>
        <w:pStyle w:val="SingleTxtG"/>
      </w:pPr>
      <w:r>
        <w:t>115.</w:t>
      </w:r>
      <w:r>
        <w:tab/>
        <w:t>Согласно этим статьям, государства-члены должны обеспечивать, чтобы инвалиды могли участвовать, прямо или через свободно выбранных представителей, в</w:t>
      </w:r>
      <w:r w:rsidR="00C24906">
        <w:t> </w:t>
      </w:r>
      <w:r>
        <w:t>политической и общественной жизни наравне с другими, в том числе имели право и возможность голосовать и быть избранными. Они должны также признать право инвалидов на доступ к таким местам культурных мероприятий или услуг, как театры, музеи, кинотеатры, библиотеки и туристические услуги, а также, в наиболее возможной степени, к памятникам и объектам, имеющим национальную культурную значимость.</w:t>
      </w:r>
    </w:p>
    <w:p w14:paraId="53FB1218" w14:textId="77777777" w:rsidR="001D7558" w:rsidRPr="00EA1614" w:rsidRDefault="001D7558" w:rsidP="001D7558">
      <w:pPr>
        <w:pStyle w:val="SingleTxtG"/>
      </w:pPr>
      <w:r>
        <w:t>116.</w:t>
      </w:r>
      <w:r>
        <w:tab/>
        <w:t>Конституция Республики в своих статьях 52, 93, 94 гарантирует защиту свободы ассоциации, права на физическую культуру и спорт, а также свободы культурного творчества.</w:t>
      </w:r>
    </w:p>
    <w:p w14:paraId="61F1FA4F" w14:textId="77777777" w:rsidR="001D7558" w:rsidRPr="00EA1614" w:rsidRDefault="001D7558" w:rsidP="001D7558">
      <w:pPr>
        <w:pStyle w:val="SingleTxtG"/>
      </w:pPr>
      <w:r>
        <w:t>117.</w:t>
      </w:r>
      <w:r>
        <w:tab/>
        <w:t xml:space="preserve">Статья 4 Закона о выборах (Закон </w:t>
      </w:r>
      <w:r w:rsidR="00E509D1">
        <w:t xml:space="preserve">№ </w:t>
      </w:r>
      <w:r>
        <w:t>4/2013 от 22 февраля) гласит, что избирательное право является личным и неотъемлемым правом граждан.</w:t>
      </w:r>
    </w:p>
    <w:p w14:paraId="1B1C9AF8" w14:textId="77777777" w:rsidR="001D7558" w:rsidRPr="00EA1614" w:rsidRDefault="001D7558" w:rsidP="001D7558">
      <w:pPr>
        <w:pStyle w:val="SingleTxtG"/>
      </w:pPr>
      <w:r>
        <w:t>118.</w:t>
      </w:r>
      <w:r>
        <w:tab/>
        <w:t>Для обеспечения полноценного участия инвалидов приняты следующие меры:</w:t>
      </w:r>
    </w:p>
    <w:p w14:paraId="3371CFA5" w14:textId="77777777" w:rsidR="001D7558" w:rsidRPr="00EA1614" w:rsidRDefault="001D7558" w:rsidP="001D7558">
      <w:pPr>
        <w:pStyle w:val="SingleTxtG"/>
      </w:pPr>
      <w:r>
        <w:tab/>
        <w:t>а)</w:t>
      </w:r>
      <w:r>
        <w:tab/>
        <w:t>создание 27 ассоциаций, объединяющих лиц с физической инвалидностью, нарушениями слуха, зрения, интеллектуальной инвалидностью, множественными формами инвалидности и альбинизмом, которые интересуются спортом, в частности детскими, женскими и военно-прикладными видами спорта, и</w:t>
      </w:r>
      <w:r w:rsidR="00C24906">
        <w:t> </w:t>
      </w:r>
      <w:r>
        <w:t>оказывающих им содействие;</w:t>
      </w:r>
    </w:p>
    <w:p w14:paraId="3037C595" w14:textId="77777777" w:rsidR="001D7558" w:rsidRPr="00EA1614" w:rsidRDefault="001D7558" w:rsidP="001D7558">
      <w:pPr>
        <w:pStyle w:val="SingleTxtG"/>
      </w:pPr>
      <w:r>
        <w:tab/>
        <w:t>b)</w:t>
      </w:r>
      <w:r>
        <w:tab/>
        <w:t>подготовка 135 преподавателей по вопросам, касающимся инклюзивного спорта;</w:t>
      </w:r>
    </w:p>
    <w:p w14:paraId="66A3BA65" w14:textId="77777777" w:rsidR="001D7558" w:rsidRPr="00EA1614" w:rsidRDefault="001D7558" w:rsidP="001D7558">
      <w:pPr>
        <w:pStyle w:val="SingleTxtG"/>
      </w:pPr>
      <w:r>
        <w:tab/>
        <w:t>с)</w:t>
      </w:r>
      <w:r>
        <w:tab/>
        <w:t>подготовка 29 технических специалистов по вопросам, касающимся организации занятий спортом и приобретения спортивного оборудования для инвалидов;</w:t>
      </w:r>
    </w:p>
    <w:p w14:paraId="3232A9A8" w14:textId="77777777" w:rsidR="001D7558" w:rsidRPr="00EA1614" w:rsidRDefault="001D7558" w:rsidP="001D7558">
      <w:pPr>
        <w:pStyle w:val="SingleTxtG"/>
      </w:pPr>
      <w:r>
        <w:tab/>
        <w:t>d)</w:t>
      </w:r>
      <w:r>
        <w:tab/>
        <w:t>приобретение 80 спортивных комплектов для учащихся инклюзивных образовательных центров и обычных школ;</w:t>
      </w:r>
    </w:p>
    <w:p w14:paraId="5CA35A43" w14:textId="77777777" w:rsidR="001D7558" w:rsidRPr="00EA1614" w:rsidRDefault="001D7558" w:rsidP="001D7558">
      <w:pPr>
        <w:pStyle w:val="SingleTxtG"/>
      </w:pPr>
      <w:r>
        <w:tab/>
        <w:t>e)</w:t>
      </w:r>
      <w:r>
        <w:tab/>
        <w:t xml:space="preserve">обеспечение участия в соревнованиях по легкой атлетике 206 молодых людей с инвалидностью, в том числе 103 </w:t>
      </w:r>
      <w:r w:rsidR="00C24906">
        <w:t>—</w:t>
      </w:r>
      <w:r>
        <w:t xml:space="preserve"> с нарушениями слуха (18 жен. и 85 муж.), 91 </w:t>
      </w:r>
      <w:r w:rsidR="00C24906">
        <w:t>—</w:t>
      </w:r>
      <w:r>
        <w:t xml:space="preserve"> с нарушениями зрения (46 жен. и 45 муж.), 11 </w:t>
      </w:r>
      <w:r w:rsidR="00C24906">
        <w:t>—</w:t>
      </w:r>
      <w:r>
        <w:t xml:space="preserve"> с физической инвалидностью (4 жен. и 7 муж.) и </w:t>
      </w:r>
      <w:r w:rsidR="00C24906">
        <w:t>1</w:t>
      </w:r>
      <w:r>
        <w:t xml:space="preserve"> спортсмена с психическими нарушениями, а в соревнованиях по </w:t>
      </w:r>
      <w:proofErr w:type="spellStart"/>
      <w:r>
        <w:t>бочче</w:t>
      </w:r>
      <w:proofErr w:type="spellEnd"/>
      <w:r>
        <w:t xml:space="preserve"> </w:t>
      </w:r>
      <w:r w:rsidR="00C24906">
        <w:t>—</w:t>
      </w:r>
      <w:r>
        <w:t xml:space="preserve"> 58 молодых людей с инвалидностью (33 муж. и 25 жен.);</w:t>
      </w:r>
    </w:p>
    <w:p w14:paraId="01CA9A14" w14:textId="77777777" w:rsidR="001D7558" w:rsidRPr="00EA1614" w:rsidRDefault="001D7558" w:rsidP="001D7558">
      <w:pPr>
        <w:pStyle w:val="SingleTxtG"/>
      </w:pPr>
      <w:r>
        <w:tab/>
        <w:t>f)</w:t>
      </w:r>
      <w:r>
        <w:tab/>
        <w:t>приспособление 30 рекреационных и спортивных объектов к потребностям людей с инвалидностью;</w:t>
      </w:r>
    </w:p>
    <w:p w14:paraId="5485ADA8" w14:textId="77777777" w:rsidR="001D7558" w:rsidRPr="00EA1614" w:rsidRDefault="001D7558" w:rsidP="001D7558">
      <w:pPr>
        <w:pStyle w:val="SingleTxtG"/>
      </w:pPr>
      <w:r>
        <w:tab/>
        <w:t>g)</w:t>
      </w:r>
      <w:r>
        <w:tab/>
        <w:t>техническая и финансовая поддержка Мозамбикской спортивной федерации инвалидов и Паралимпийского комитета;</w:t>
      </w:r>
    </w:p>
    <w:p w14:paraId="2763EF4F" w14:textId="77777777" w:rsidR="001D7558" w:rsidRPr="00EA1614" w:rsidRDefault="001D7558" w:rsidP="001D7558">
      <w:pPr>
        <w:pStyle w:val="SingleTxtG"/>
      </w:pPr>
      <w:r>
        <w:tab/>
        <w:t>h)</w:t>
      </w:r>
      <w:r>
        <w:tab/>
        <w:t>ежегодное участие инвалидов в школьных спортивных и национальных культурных фестивалях;</w:t>
      </w:r>
    </w:p>
    <w:p w14:paraId="3FE07C0C" w14:textId="77777777" w:rsidR="001D7558" w:rsidRPr="00EA1614" w:rsidRDefault="001D7558" w:rsidP="001D7558">
      <w:pPr>
        <w:pStyle w:val="SingleTxtG"/>
      </w:pPr>
      <w:r>
        <w:lastRenderedPageBreak/>
        <w:tab/>
        <w:t>i)</w:t>
      </w:r>
      <w:r>
        <w:tab/>
        <w:t>участие спортсменов-инвалидов в Паралимпийских играх в Лондоне в 2012 году и в Бразилии в 2016 году;</w:t>
      </w:r>
    </w:p>
    <w:p w14:paraId="2203A3BD" w14:textId="77777777" w:rsidR="001D7558" w:rsidRPr="00EA1614" w:rsidRDefault="001D7558" w:rsidP="001D7558">
      <w:pPr>
        <w:pStyle w:val="SingleTxtG"/>
      </w:pPr>
      <w:r>
        <w:tab/>
        <w:t>j)</w:t>
      </w:r>
      <w:r>
        <w:tab/>
        <w:t>участие инвалидов в процессе принятия решений благодаря их назначению на руководящие должности и вхождению в состав национальных и местных представительских органов;</w:t>
      </w:r>
    </w:p>
    <w:p w14:paraId="00AD592A" w14:textId="77777777" w:rsidR="001D7558" w:rsidRPr="00EA1614" w:rsidRDefault="001D7558" w:rsidP="001D7558">
      <w:pPr>
        <w:pStyle w:val="SingleTxtG"/>
      </w:pPr>
      <w:r>
        <w:tab/>
        <w:t>k)</w:t>
      </w:r>
      <w:r>
        <w:tab/>
        <w:t>проведение тренировочного мероприятия по обеспечению доступа к избирательным участкам, цель которого состояла в том, чтобы гарантировать каждому гражданину его конституционное право голоса, а также наличие избирательных материалов для лиц с нарушениями зрения.</w:t>
      </w:r>
    </w:p>
    <w:p w14:paraId="15424906" w14:textId="77777777" w:rsidR="001D7558" w:rsidRPr="00EA1614" w:rsidRDefault="00C24906" w:rsidP="00C24906">
      <w:pPr>
        <w:pStyle w:val="HChG"/>
      </w:pPr>
      <w:bookmarkStart w:id="13" w:name="_Toc24970961"/>
      <w:r>
        <w:tab/>
      </w:r>
      <w:r w:rsidR="001D7558">
        <w:t>VII.</w:t>
      </w:r>
      <w:r w:rsidR="001D7558">
        <w:tab/>
        <w:t xml:space="preserve">Женщины-инвалиды и дети-инвалиды </w:t>
      </w:r>
      <w:bookmarkStart w:id="14" w:name="_Toc44077510"/>
      <w:bookmarkEnd w:id="13"/>
      <w:bookmarkEnd w:id="14"/>
    </w:p>
    <w:p w14:paraId="2AF81777" w14:textId="77777777" w:rsidR="001D7558" w:rsidRPr="00EA1614" w:rsidRDefault="001D7558" w:rsidP="00C24906">
      <w:pPr>
        <w:pStyle w:val="H23G"/>
      </w:pPr>
      <w:r>
        <w:tab/>
      </w:r>
      <w:r>
        <w:tab/>
        <w:t xml:space="preserve">Статья 6 </w:t>
      </w:r>
      <w:r w:rsidR="00C24906">
        <w:br/>
      </w:r>
      <w:r>
        <w:t>Женщины-инвалиды</w:t>
      </w:r>
      <w:bookmarkStart w:id="15" w:name="_Toc44077511"/>
      <w:bookmarkEnd w:id="15"/>
    </w:p>
    <w:p w14:paraId="0AA8FCA0" w14:textId="77777777" w:rsidR="001D7558" w:rsidRPr="00EA1614" w:rsidRDefault="001D7558" w:rsidP="001D7558">
      <w:pPr>
        <w:pStyle w:val="SingleTxtG"/>
      </w:pPr>
      <w:r>
        <w:t>119.</w:t>
      </w:r>
      <w:r>
        <w:tab/>
        <w:t xml:space="preserve">Согласно этой статье, </w:t>
      </w:r>
      <w:r w:rsidR="00C24906">
        <w:t>«</w:t>
      </w:r>
      <w:r>
        <w:t>Государства-члены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r w:rsidR="00C24906">
        <w:t>»</w:t>
      </w:r>
      <w:r>
        <w:t>.</w:t>
      </w:r>
    </w:p>
    <w:p w14:paraId="0FF02D6E" w14:textId="77777777" w:rsidR="001D7558" w:rsidRPr="00EA1614" w:rsidRDefault="001D7558" w:rsidP="001D7558">
      <w:pPr>
        <w:pStyle w:val="SingleTxtG"/>
      </w:pPr>
      <w:r>
        <w:t>120.</w:t>
      </w:r>
      <w:r>
        <w:tab/>
        <w:t xml:space="preserve">Во исполнение статьи 36 Конституции Республики, которая закрепляет принцип гендерного равенства и гласит, что </w:t>
      </w:r>
      <w:r w:rsidR="00C24906">
        <w:t>«</w:t>
      </w:r>
      <w:r>
        <w:t>мужчины и женщины, согласно закону, равны во всех областях политической, экономической, социальной и культурной жизни</w:t>
      </w:r>
      <w:r w:rsidR="00C24906">
        <w:t>»</w:t>
      </w:r>
      <w:r>
        <w:t>, особое внимание уделяется:</w:t>
      </w:r>
    </w:p>
    <w:p w14:paraId="0C0B7FA3" w14:textId="77777777" w:rsidR="001D7558" w:rsidRPr="00EA1614" w:rsidRDefault="001D7558" w:rsidP="001D7558">
      <w:pPr>
        <w:pStyle w:val="SingleTxtG"/>
      </w:pPr>
      <w:r>
        <w:tab/>
        <w:t>а)</w:t>
      </w:r>
      <w:r>
        <w:tab/>
        <w:t>Гендерной политике и Стратегии ее осуществления (Постановление №</w:t>
      </w:r>
      <w:r w:rsidR="00C24906">
        <w:t> </w:t>
      </w:r>
      <w:r>
        <w:t>19/2007 от 15 мая), которые направлены на обеспечение равенства между мужчинами и женщинами без каких бы то ни было различий;</w:t>
      </w:r>
    </w:p>
    <w:p w14:paraId="302C418E" w14:textId="77777777" w:rsidR="001D7558" w:rsidRPr="00EA1614" w:rsidRDefault="001D7558" w:rsidP="001D7558">
      <w:pPr>
        <w:pStyle w:val="SingleTxtG"/>
      </w:pPr>
      <w:r>
        <w:tab/>
        <w:t>b)</w:t>
      </w:r>
      <w:r>
        <w:tab/>
        <w:t xml:space="preserve">Национальному плану по улучшению положения женщин на </w:t>
      </w:r>
      <w:r w:rsidR="00C24906">
        <w:br/>
      </w:r>
      <w:r>
        <w:t>2010</w:t>
      </w:r>
      <w:r w:rsidR="00C24906">
        <w:t>–</w:t>
      </w:r>
      <w:r>
        <w:t xml:space="preserve">2014 годы (Постановление </w:t>
      </w:r>
      <w:r w:rsidR="00C24906">
        <w:t xml:space="preserve">№ </w:t>
      </w:r>
      <w:r>
        <w:t>63/2010 от 31 декабря), в котором определены меры по расширению прав и возможностей женщин;</w:t>
      </w:r>
    </w:p>
    <w:p w14:paraId="2CDBC2A9" w14:textId="77777777" w:rsidR="001D7558" w:rsidRPr="00EA1614" w:rsidRDefault="001D7558" w:rsidP="001D7558">
      <w:pPr>
        <w:pStyle w:val="SingleTxtG"/>
      </w:pPr>
      <w:r>
        <w:tab/>
        <w:t>с)</w:t>
      </w:r>
      <w:r>
        <w:tab/>
        <w:t xml:space="preserve">Правилам предпрофессиональной стажировки (Декрет </w:t>
      </w:r>
      <w:r w:rsidR="00E509D1">
        <w:t xml:space="preserve">№ </w:t>
      </w:r>
      <w:r>
        <w:t>35/2013 от 2</w:t>
      </w:r>
      <w:r w:rsidR="00C24906">
        <w:t> </w:t>
      </w:r>
      <w:r>
        <w:t xml:space="preserve">августа), в </w:t>
      </w:r>
      <w:r w:rsidR="00C24906">
        <w:t xml:space="preserve">которых </w:t>
      </w:r>
      <w:r>
        <w:t>первоочередное внимание уделяется женщинам-инвалидам и которые не предусматривают какого-либо возрастного ценза;</w:t>
      </w:r>
    </w:p>
    <w:p w14:paraId="05C795F7" w14:textId="77777777" w:rsidR="001D7558" w:rsidRPr="00EA1614" w:rsidRDefault="001D7558" w:rsidP="001D7558">
      <w:pPr>
        <w:pStyle w:val="SingleTxtG"/>
      </w:pPr>
      <w:r>
        <w:tab/>
        <w:t>d)</w:t>
      </w:r>
      <w:r>
        <w:tab/>
        <w:t>обеспечению государством включения женщин-инвалидов и девочек-инвалидов во все программы в области расширения прав и возможностей, социальной защиты и сексуального и репродуктивного здоровья. Однако по-прежнему бытуют некоторые представления, препятствующие полноценному участию женщин-инвалидов во всех сферах жизни.</w:t>
      </w:r>
    </w:p>
    <w:p w14:paraId="54D0E847" w14:textId="77777777" w:rsidR="001D7558" w:rsidRPr="00EA1614" w:rsidRDefault="001D7558" w:rsidP="00C24906">
      <w:pPr>
        <w:pStyle w:val="H23G"/>
      </w:pPr>
      <w:r>
        <w:tab/>
      </w:r>
      <w:r>
        <w:tab/>
        <w:t xml:space="preserve">Статья 7 </w:t>
      </w:r>
      <w:r w:rsidR="00C24906">
        <w:br/>
      </w:r>
      <w:r>
        <w:t>Дети-инвалиды</w:t>
      </w:r>
      <w:bookmarkStart w:id="16" w:name="_Toc44077512"/>
      <w:bookmarkEnd w:id="16"/>
    </w:p>
    <w:p w14:paraId="6D6BCF2F" w14:textId="77777777" w:rsidR="001D7558" w:rsidRPr="00EA1614" w:rsidRDefault="001D7558" w:rsidP="001D7558">
      <w:pPr>
        <w:pStyle w:val="SingleTxtG"/>
      </w:pPr>
      <w:r>
        <w:t>121.</w:t>
      </w:r>
      <w:r>
        <w:tab/>
        <w:t xml:space="preserve">Согласно этой статье, </w:t>
      </w:r>
      <w:r w:rsidR="00C24906">
        <w:t>«</w:t>
      </w:r>
      <w:r>
        <w:t>Государства-члены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r w:rsidR="00C24906">
        <w:t>»</w:t>
      </w:r>
      <w:r>
        <w:t>.</w:t>
      </w:r>
    </w:p>
    <w:p w14:paraId="5BF82912" w14:textId="77777777" w:rsidR="001D7558" w:rsidRPr="00EA1614" w:rsidRDefault="001D7558" w:rsidP="001D7558">
      <w:pPr>
        <w:pStyle w:val="SingleTxtG"/>
      </w:pPr>
      <w:r>
        <w:t>122.</w:t>
      </w:r>
      <w:r>
        <w:tab/>
        <w:t>Во исполнение этой статьи:</w:t>
      </w:r>
    </w:p>
    <w:p w14:paraId="5A4C8010" w14:textId="77777777" w:rsidR="001D7558" w:rsidRPr="00EA1614" w:rsidRDefault="001D7558" w:rsidP="001D7558">
      <w:pPr>
        <w:pStyle w:val="SingleTxtG"/>
      </w:pPr>
      <w:r>
        <w:tab/>
        <w:t>а)</w:t>
      </w:r>
      <w:r>
        <w:tab/>
        <w:t xml:space="preserve">принят Закон о поощрении и защите прав детей (Закон </w:t>
      </w:r>
      <w:r w:rsidR="00E509D1">
        <w:t xml:space="preserve">№ </w:t>
      </w:r>
      <w:r>
        <w:t>7/2008 от 9</w:t>
      </w:r>
      <w:r w:rsidR="00E509D1">
        <w:t> </w:t>
      </w:r>
      <w:r>
        <w:t>июля);</w:t>
      </w:r>
    </w:p>
    <w:p w14:paraId="43D9CE90" w14:textId="77777777" w:rsidR="001D7558" w:rsidRPr="00EA1614" w:rsidRDefault="001D7558" w:rsidP="001D7558">
      <w:pPr>
        <w:pStyle w:val="SingleTxtG"/>
      </w:pPr>
      <w:r>
        <w:tab/>
        <w:t>b)</w:t>
      </w:r>
      <w:r>
        <w:tab/>
        <w:t xml:space="preserve">осуществляется Национальный план в интересах детей на </w:t>
      </w:r>
      <w:r w:rsidR="00C24906">
        <w:br/>
      </w:r>
      <w:r>
        <w:t>2013</w:t>
      </w:r>
      <w:r w:rsidR="00C24906">
        <w:t>–</w:t>
      </w:r>
      <w:r>
        <w:t>2019 годы, который обеспечивает защиту прав детей-инвалидов;</w:t>
      </w:r>
    </w:p>
    <w:p w14:paraId="15D6419B" w14:textId="77777777" w:rsidR="001D7558" w:rsidRPr="00CF286C" w:rsidRDefault="001D7558" w:rsidP="001D7558">
      <w:pPr>
        <w:pStyle w:val="SingleTxtG"/>
      </w:pPr>
      <w:r>
        <w:tab/>
        <w:t>с)</w:t>
      </w:r>
      <w:r>
        <w:tab/>
        <w:t xml:space="preserve">дети-инвалиды имеют право участвовать и выражать свое мнение по затрагивающим их вопросам на различных форумах, в том числе в районных, провинциальных и национальных детских парламентах. Высказываемые ими озабоченности принимаются во внимание и учитываются в планах секторов, отвечающих за реализацию их прав. Вместе с тем по-прежнему существует </w:t>
      </w:r>
      <w:r>
        <w:lastRenderedPageBreak/>
        <w:t>необходимость в устранении некоторых негативных установок, препятствующих развитию потенциала детей-инвалидов и участию наравне с другими детьми.</w:t>
      </w:r>
    </w:p>
    <w:p w14:paraId="579FA23C" w14:textId="77777777" w:rsidR="001D7558" w:rsidRPr="00EA1614" w:rsidRDefault="00D356E0" w:rsidP="00C24906">
      <w:pPr>
        <w:pStyle w:val="HChG"/>
      </w:pPr>
      <w:bookmarkStart w:id="17" w:name="_Toc24970962"/>
      <w:r>
        <w:tab/>
      </w:r>
      <w:r w:rsidR="001D7558">
        <w:t>VIII.</w:t>
      </w:r>
      <w:r w:rsidR="001D7558">
        <w:tab/>
        <w:t xml:space="preserve">Другие общие статьи </w:t>
      </w:r>
      <w:bookmarkStart w:id="18" w:name="_Toc44077513"/>
      <w:bookmarkEnd w:id="17"/>
      <w:bookmarkEnd w:id="18"/>
    </w:p>
    <w:p w14:paraId="221FCA37" w14:textId="77777777" w:rsidR="001D7558" w:rsidRPr="00EA1614" w:rsidRDefault="001D7558" w:rsidP="00D356E0">
      <w:pPr>
        <w:pStyle w:val="H23G"/>
      </w:pPr>
      <w:r>
        <w:tab/>
      </w:r>
      <w:r>
        <w:tab/>
        <w:t xml:space="preserve">Статья 31 </w:t>
      </w:r>
      <w:r w:rsidR="00D356E0">
        <w:br/>
      </w:r>
      <w:r>
        <w:t>Статистика и сбор данных</w:t>
      </w:r>
      <w:bookmarkStart w:id="19" w:name="_Toc44077514"/>
      <w:bookmarkEnd w:id="19"/>
    </w:p>
    <w:p w14:paraId="389D6178" w14:textId="77777777" w:rsidR="001D7558" w:rsidRPr="00EA1614" w:rsidRDefault="001D7558" w:rsidP="001D7558">
      <w:pPr>
        <w:pStyle w:val="SingleTxtG"/>
      </w:pPr>
      <w:r>
        <w:t>123.</w:t>
      </w:r>
      <w:r>
        <w:tab/>
        <w:t>Согласно этой статье, государства-члены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Конвенции.</w:t>
      </w:r>
    </w:p>
    <w:p w14:paraId="08B108FF" w14:textId="77777777" w:rsidR="001D7558" w:rsidRPr="00EA1614" w:rsidRDefault="001D7558" w:rsidP="001D7558">
      <w:pPr>
        <w:pStyle w:val="SingleTxtG"/>
      </w:pPr>
      <w:r>
        <w:t>124.</w:t>
      </w:r>
      <w:r>
        <w:tab/>
        <w:t>В этой связи государство каждые 10 лет проводит всеобщую перепись населения, последняя из которых состоялась в 2017 году и данные которой до сих пор обрабатываются Национальным институтом статистики. Однако, по оценкам этого органа</w:t>
      </w:r>
      <w:r w:rsidR="00D356E0">
        <w:t>,</w:t>
      </w:r>
      <w:r>
        <w:t xml:space="preserve"> в стране в 2017 году насчитывалось приблизительно 85 000 инвалидов.</w:t>
      </w:r>
    </w:p>
    <w:p w14:paraId="0AB2CE4B" w14:textId="77777777" w:rsidR="001D7558" w:rsidRPr="00EA1614" w:rsidRDefault="001D7558" w:rsidP="001D7558">
      <w:pPr>
        <w:pStyle w:val="SingleTxtG"/>
      </w:pPr>
      <w:r>
        <w:t>125.</w:t>
      </w:r>
      <w:r>
        <w:tab/>
        <w:t xml:space="preserve">В этом контексте особое внимание уделяется сбору и </w:t>
      </w:r>
      <w:proofErr w:type="spellStart"/>
      <w:r>
        <w:t>дезагрегированию</w:t>
      </w:r>
      <w:proofErr w:type="spellEnd"/>
      <w:r>
        <w:t xml:space="preserve"> данных по полу и видам инвалидности.</w:t>
      </w:r>
    </w:p>
    <w:p w14:paraId="08A0DACE" w14:textId="77777777" w:rsidR="001D7558" w:rsidRPr="00EA1614" w:rsidRDefault="001D7558" w:rsidP="00D356E0">
      <w:pPr>
        <w:pStyle w:val="H23G"/>
      </w:pPr>
      <w:r>
        <w:tab/>
      </w:r>
      <w:r>
        <w:tab/>
        <w:t xml:space="preserve">Статья 32 </w:t>
      </w:r>
      <w:r w:rsidR="00D356E0">
        <w:br/>
      </w:r>
      <w:r>
        <w:t>Международное сотрудничество</w:t>
      </w:r>
      <w:bookmarkStart w:id="20" w:name="_Toc44077515"/>
      <w:bookmarkEnd w:id="20"/>
    </w:p>
    <w:p w14:paraId="1DF6D639" w14:textId="77777777" w:rsidR="001D7558" w:rsidRPr="00EA1614" w:rsidRDefault="001D7558" w:rsidP="001D7558">
      <w:pPr>
        <w:pStyle w:val="SingleTxtG"/>
      </w:pPr>
      <w:r>
        <w:t>126.</w:t>
      </w:r>
      <w:r>
        <w:tab/>
        <w:t>Поддержка, оказываемая как правительству, так и гражданскому обществу в вопросах решения проблемы инвалидности в Мозамбике, невелика. Аналогичным образом, в этой области не наблюдается укрепления и развития технического потенциала.</w:t>
      </w:r>
    </w:p>
    <w:p w14:paraId="218503D4" w14:textId="77777777" w:rsidR="001D7558" w:rsidRPr="00EA1614" w:rsidRDefault="001D7558" w:rsidP="001D7558">
      <w:pPr>
        <w:pStyle w:val="SingleTxtG"/>
      </w:pPr>
      <w:r>
        <w:t>127.</w:t>
      </w:r>
      <w:r>
        <w:tab/>
        <w:t>Планы и стратегии страны в этой области приведены в соответствие с Целями в области устойчивого развития.</w:t>
      </w:r>
    </w:p>
    <w:p w14:paraId="06F09B8F" w14:textId="77777777" w:rsidR="001D7558" w:rsidRPr="00EA1614" w:rsidRDefault="001D7558" w:rsidP="00D356E0">
      <w:pPr>
        <w:pStyle w:val="H23G"/>
      </w:pPr>
      <w:r>
        <w:tab/>
      </w:r>
      <w:r>
        <w:tab/>
        <w:t xml:space="preserve">Статья 33 </w:t>
      </w:r>
      <w:r w:rsidR="00D356E0">
        <w:br/>
      </w:r>
      <w:r>
        <w:t>Осуществление и последующая деятельность на национальном уровне</w:t>
      </w:r>
      <w:bookmarkStart w:id="21" w:name="_Toc44077516"/>
      <w:bookmarkEnd w:id="21"/>
    </w:p>
    <w:p w14:paraId="578C719F" w14:textId="77777777" w:rsidR="001D7558" w:rsidRPr="00EA1614" w:rsidRDefault="001D7558" w:rsidP="001D7558">
      <w:pPr>
        <w:pStyle w:val="SingleTxtG"/>
      </w:pPr>
      <w:r>
        <w:t>128.</w:t>
      </w:r>
      <w:r>
        <w:tab/>
        <w:t>Осуществление Конвенции обеспечивается благодаря мерам, принимаемым правительством в рамках его Пятилетнего плана и Национального плана по решению проблемы инвалидности, а также посредством включения соответствующих вопросов в секторальные экономические и социальные планы.</w:t>
      </w:r>
    </w:p>
    <w:p w14:paraId="41EFD533" w14:textId="77777777" w:rsidR="001D7558" w:rsidRPr="00EA1614" w:rsidRDefault="001D7558" w:rsidP="001D7558">
      <w:pPr>
        <w:pStyle w:val="SingleTxtG"/>
      </w:pPr>
      <w:r>
        <w:t>129.</w:t>
      </w:r>
      <w:r>
        <w:tab/>
        <w:t>Министерство по гендерным вопросам, делам детей и социальной деятельности, будучи правительственным органом, занимающимся вопросами инвалидности, наладило более тесные связи между правительственными структурами, гражданским обществом и частным сектором в целях обеспечения осуществления различных положений законодательства и планов, посвященных решению проблемы инвалидности.</w:t>
      </w:r>
    </w:p>
    <w:p w14:paraId="28D2E9B5" w14:textId="77777777" w:rsidR="001D7558" w:rsidRDefault="001D7558" w:rsidP="001D7558">
      <w:pPr>
        <w:pStyle w:val="SingleTxtG"/>
      </w:pPr>
      <w:r>
        <w:t>130.</w:t>
      </w:r>
      <w:r>
        <w:tab/>
        <w:t>Созданы координационные центры для согласования действий по осуществлению прав инвалидов, в том числе положений Конвенции. Согласование действий обеспечивается Комитетом по правам инвалидов, который проводит регулярные заседания в рамках Национального совета социальных действий (Декрет</w:t>
      </w:r>
      <w:r w:rsidR="00D356E0">
        <w:t> </w:t>
      </w:r>
      <w:r w:rsidR="00E509D1">
        <w:t xml:space="preserve">№ </w:t>
      </w:r>
      <w:r>
        <w:t>38/2015 от 31 декабря).</w:t>
      </w:r>
    </w:p>
    <w:p w14:paraId="3E5C98F9" w14:textId="77777777" w:rsidR="001D7558" w:rsidRPr="001D7558" w:rsidRDefault="001D7558" w:rsidP="001D7558">
      <w:pPr>
        <w:pStyle w:val="SingleTxtG"/>
        <w:spacing w:before="240" w:after="0"/>
        <w:jc w:val="center"/>
        <w:rPr>
          <w:u w:val="single"/>
        </w:rPr>
      </w:pPr>
      <w:r>
        <w:rPr>
          <w:u w:val="single"/>
        </w:rPr>
        <w:tab/>
      </w:r>
      <w:r>
        <w:rPr>
          <w:u w:val="single"/>
        </w:rPr>
        <w:tab/>
      </w:r>
      <w:r>
        <w:rPr>
          <w:u w:val="single"/>
        </w:rPr>
        <w:tab/>
      </w:r>
    </w:p>
    <w:sectPr w:rsidR="001D7558" w:rsidRPr="001D7558" w:rsidSect="001D755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7BE7" w14:textId="77777777" w:rsidR="008063FA" w:rsidRPr="00A312BC" w:rsidRDefault="008063FA" w:rsidP="00A312BC"/>
  </w:endnote>
  <w:endnote w:type="continuationSeparator" w:id="0">
    <w:p w14:paraId="6AACACF9" w14:textId="77777777" w:rsidR="008063FA" w:rsidRPr="00A312BC" w:rsidRDefault="008063F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7D09" w14:textId="77777777" w:rsidR="008063FA" w:rsidRPr="001D7558" w:rsidRDefault="008063FA">
    <w:pPr>
      <w:pStyle w:val="a8"/>
    </w:pPr>
    <w:r w:rsidRPr="001D7558">
      <w:rPr>
        <w:b/>
        <w:sz w:val="18"/>
      </w:rPr>
      <w:fldChar w:fldCharType="begin"/>
    </w:r>
    <w:r w:rsidRPr="001D7558">
      <w:rPr>
        <w:b/>
        <w:sz w:val="18"/>
      </w:rPr>
      <w:instrText xml:space="preserve"> PAGE  \* MERGEFORMAT </w:instrText>
    </w:r>
    <w:r w:rsidRPr="001D7558">
      <w:rPr>
        <w:b/>
        <w:sz w:val="18"/>
      </w:rPr>
      <w:fldChar w:fldCharType="separate"/>
    </w:r>
    <w:r w:rsidRPr="001D7558">
      <w:rPr>
        <w:b/>
        <w:noProof/>
        <w:sz w:val="18"/>
      </w:rPr>
      <w:t>2</w:t>
    </w:r>
    <w:r w:rsidRPr="001D7558">
      <w:rPr>
        <w:b/>
        <w:sz w:val="18"/>
      </w:rPr>
      <w:fldChar w:fldCharType="end"/>
    </w:r>
    <w:r>
      <w:rPr>
        <w:b/>
        <w:sz w:val="18"/>
      </w:rPr>
      <w:tab/>
    </w:r>
    <w:r>
      <w:t>GE.20-08547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ABA7" w14:textId="77777777" w:rsidR="008063FA" w:rsidRPr="001D7558" w:rsidRDefault="008063FA" w:rsidP="001D7558">
    <w:pPr>
      <w:pStyle w:val="a8"/>
      <w:tabs>
        <w:tab w:val="clear" w:pos="9639"/>
        <w:tab w:val="right" w:pos="9638"/>
      </w:tabs>
      <w:rPr>
        <w:b/>
        <w:sz w:val="18"/>
      </w:rPr>
    </w:pPr>
    <w:r>
      <w:t>GE.20-08547</w:t>
    </w:r>
    <w:r>
      <w:tab/>
    </w:r>
    <w:r w:rsidRPr="001D7558">
      <w:rPr>
        <w:b/>
        <w:sz w:val="18"/>
      </w:rPr>
      <w:fldChar w:fldCharType="begin"/>
    </w:r>
    <w:r w:rsidRPr="001D7558">
      <w:rPr>
        <w:b/>
        <w:sz w:val="18"/>
      </w:rPr>
      <w:instrText xml:space="preserve"> PAGE  \* MERGEFORMAT </w:instrText>
    </w:r>
    <w:r w:rsidRPr="001D7558">
      <w:rPr>
        <w:b/>
        <w:sz w:val="18"/>
      </w:rPr>
      <w:fldChar w:fldCharType="separate"/>
    </w:r>
    <w:r w:rsidRPr="001D7558">
      <w:rPr>
        <w:b/>
        <w:noProof/>
        <w:sz w:val="18"/>
      </w:rPr>
      <w:t>3</w:t>
    </w:r>
    <w:r w:rsidRPr="001D75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CC8D" w14:textId="77777777" w:rsidR="008063FA" w:rsidRPr="001D7558" w:rsidRDefault="008063FA" w:rsidP="001D7558">
    <w:pPr>
      <w:spacing w:before="120" w:line="240" w:lineRule="auto"/>
    </w:pPr>
    <w:r>
      <w:t>GE.</w:t>
    </w:r>
    <w:r>
      <w:rPr>
        <w:b/>
        <w:noProof/>
        <w:lang w:val="fr-CH" w:eastAsia="fr-CH"/>
      </w:rPr>
      <w:drawing>
        <wp:anchor distT="0" distB="0" distL="114300" distR="114300" simplePos="0" relativeHeight="251658240" behindDoc="0" locked="0" layoutInCell="1" allowOverlap="1" wp14:anchorId="2BCAE5D3" wp14:editId="21DF8AA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20-08547  (R)</w:t>
    </w:r>
    <w:r>
      <w:rPr>
        <w:noProof/>
      </w:rPr>
      <w:drawing>
        <wp:anchor distT="0" distB="0" distL="114300" distR="114300" simplePos="0" relativeHeight="251659264" behindDoc="0" locked="0" layoutInCell="1" allowOverlap="1" wp14:anchorId="44509393" wp14:editId="623A540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030221  030221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1022" w14:textId="77777777" w:rsidR="008063FA" w:rsidRPr="001075E9" w:rsidRDefault="008063FA" w:rsidP="001075E9">
      <w:pPr>
        <w:tabs>
          <w:tab w:val="right" w:pos="2155"/>
        </w:tabs>
        <w:spacing w:after="80" w:line="240" w:lineRule="auto"/>
        <w:ind w:left="680"/>
        <w:rPr>
          <w:u w:val="single"/>
        </w:rPr>
      </w:pPr>
      <w:r>
        <w:rPr>
          <w:u w:val="single"/>
        </w:rPr>
        <w:tab/>
      </w:r>
    </w:p>
  </w:footnote>
  <w:footnote w:type="continuationSeparator" w:id="0">
    <w:p w14:paraId="04212F60" w14:textId="77777777" w:rsidR="008063FA" w:rsidRDefault="008063FA" w:rsidP="00407B78">
      <w:pPr>
        <w:tabs>
          <w:tab w:val="right" w:pos="2155"/>
        </w:tabs>
        <w:spacing w:after="80"/>
        <w:ind w:left="680"/>
        <w:rPr>
          <w:u w:val="single"/>
        </w:rPr>
      </w:pPr>
      <w:r>
        <w:rPr>
          <w:u w:val="single"/>
        </w:rPr>
        <w:tab/>
      </w:r>
    </w:p>
  </w:footnote>
  <w:footnote w:id="1">
    <w:p w14:paraId="72B58FE3" w14:textId="77777777" w:rsidR="008063FA" w:rsidRPr="00EA1614" w:rsidRDefault="008063FA" w:rsidP="001D7558">
      <w:pPr>
        <w:pStyle w:val="ad"/>
        <w:rPr>
          <w:szCs w:val="18"/>
        </w:rPr>
      </w:pPr>
      <w:r>
        <w:tab/>
      </w:r>
      <w:r w:rsidRPr="001D7558">
        <w:rPr>
          <w:sz w:val="20"/>
        </w:rPr>
        <w:t>*</w:t>
      </w:r>
      <w:r>
        <w:tab/>
        <w:t>Настоящий документ выпускается без официального редактирования.</w:t>
      </w:r>
    </w:p>
  </w:footnote>
  <w:footnote w:id="2">
    <w:p w14:paraId="3A5DFC63" w14:textId="77777777" w:rsidR="008063FA" w:rsidRDefault="008063FA">
      <w:pPr>
        <w:pStyle w:val="ad"/>
      </w:pPr>
      <w:r>
        <w:tab/>
      </w:r>
      <w:r>
        <w:rPr>
          <w:rStyle w:val="aa"/>
        </w:rPr>
        <w:footnoteRef/>
      </w:r>
      <w:r>
        <w:tab/>
      </w:r>
      <w:r w:rsidRPr="005E7DBA">
        <w:t xml:space="preserve">Конституция Республики </w:t>
      </w:r>
      <w:r>
        <w:t>—</w:t>
      </w:r>
      <w:r w:rsidRPr="005E7DBA">
        <w:t xml:space="preserve"> статьи 35, 37 и 125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1581" w14:textId="5F9819FC" w:rsidR="008063FA" w:rsidRPr="001D7558" w:rsidRDefault="008063FA">
    <w:pPr>
      <w:pStyle w:val="a5"/>
    </w:pPr>
    <w:fldSimple w:instr=" TITLE  \* MERGEFORMAT ">
      <w:r w:rsidR="00657392">
        <w:t>CRPD/C/MOZ/1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C2DE" w14:textId="02C6ADF2" w:rsidR="008063FA" w:rsidRPr="001D7558" w:rsidRDefault="008063FA" w:rsidP="001D7558">
    <w:pPr>
      <w:pStyle w:val="a5"/>
      <w:jc w:val="right"/>
    </w:pPr>
    <w:fldSimple w:instr=" TITLE  \* MERGEFORMAT ">
      <w:r w:rsidR="00657392">
        <w:t>CRPD/C/MOZ/1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422B9A"/>
    <w:multiLevelType w:val="hybridMultilevel"/>
    <w:tmpl w:val="EB56064E"/>
    <w:lvl w:ilvl="0" w:tplc="C5AE3AE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D4"/>
    <w:rsid w:val="00011089"/>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D7558"/>
    <w:rsid w:val="001E4CE6"/>
    <w:rsid w:val="001E7B61"/>
    <w:rsid w:val="001F540B"/>
    <w:rsid w:val="00215062"/>
    <w:rsid w:val="002523A5"/>
    <w:rsid w:val="0027441B"/>
    <w:rsid w:val="002846B3"/>
    <w:rsid w:val="002A0501"/>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4163"/>
    <w:rsid w:val="003958D0"/>
    <w:rsid w:val="003B00E5"/>
    <w:rsid w:val="00407B78"/>
    <w:rsid w:val="00424203"/>
    <w:rsid w:val="00452493"/>
    <w:rsid w:val="00453318"/>
    <w:rsid w:val="00454E07"/>
    <w:rsid w:val="00472C5C"/>
    <w:rsid w:val="004B764B"/>
    <w:rsid w:val="0050108D"/>
    <w:rsid w:val="00513081"/>
    <w:rsid w:val="005142D8"/>
    <w:rsid w:val="005142EE"/>
    <w:rsid w:val="00517901"/>
    <w:rsid w:val="00526683"/>
    <w:rsid w:val="00562756"/>
    <w:rsid w:val="005709E0"/>
    <w:rsid w:val="00572E19"/>
    <w:rsid w:val="00591918"/>
    <w:rsid w:val="005961C8"/>
    <w:rsid w:val="005966F1"/>
    <w:rsid w:val="005A24E0"/>
    <w:rsid w:val="005D0FA5"/>
    <w:rsid w:val="005D7914"/>
    <w:rsid w:val="005E2B41"/>
    <w:rsid w:val="005E7DBA"/>
    <w:rsid w:val="005F0B42"/>
    <w:rsid w:val="00657392"/>
    <w:rsid w:val="00681A10"/>
    <w:rsid w:val="006A1ED8"/>
    <w:rsid w:val="006B5625"/>
    <w:rsid w:val="006C2031"/>
    <w:rsid w:val="006D3015"/>
    <w:rsid w:val="006D461A"/>
    <w:rsid w:val="006F35EE"/>
    <w:rsid w:val="007021FF"/>
    <w:rsid w:val="00712895"/>
    <w:rsid w:val="00757357"/>
    <w:rsid w:val="007C3F50"/>
    <w:rsid w:val="008063FA"/>
    <w:rsid w:val="00806737"/>
    <w:rsid w:val="00825F8D"/>
    <w:rsid w:val="00833758"/>
    <w:rsid w:val="00834B71"/>
    <w:rsid w:val="0086445C"/>
    <w:rsid w:val="008934D2"/>
    <w:rsid w:val="00894693"/>
    <w:rsid w:val="008974D4"/>
    <w:rsid w:val="008A08D7"/>
    <w:rsid w:val="008B6909"/>
    <w:rsid w:val="00903712"/>
    <w:rsid w:val="00906890"/>
    <w:rsid w:val="00906901"/>
    <w:rsid w:val="00911BE4"/>
    <w:rsid w:val="0093648A"/>
    <w:rsid w:val="00951972"/>
    <w:rsid w:val="009608F3"/>
    <w:rsid w:val="00974910"/>
    <w:rsid w:val="00983128"/>
    <w:rsid w:val="00992580"/>
    <w:rsid w:val="00996D61"/>
    <w:rsid w:val="009A24AC"/>
    <w:rsid w:val="00A14DA8"/>
    <w:rsid w:val="00A312BC"/>
    <w:rsid w:val="00A84021"/>
    <w:rsid w:val="00A84D35"/>
    <w:rsid w:val="00A917B3"/>
    <w:rsid w:val="00AB4B51"/>
    <w:rsid w:val="00AC12E8"/>
    <w:rsid w:val="00B10CC7"/>
    <w:rsid w:val="00B36DF7"/>
    <w:rsid w:val="00B539E7"/>
    <w:rsid w:val="00B62458"/>
    <w:rsid w:val="00B739FE"/>
    <w:rsid w:val="00B96077"/>
    <w:rsid w:val="00BC18B2"/>
    <w:rsid w:val="00BD33EE"/>
    <w:rsid w:val="00BF0B84"/>
    <w:rsid w:val="00C106D6"/>
    <w:rsid w:val="00C125F8"/>
    <w:rsid w:val="00C24906"/>
    <w:rsid w:val="00C60F0C"/>
    <w:rsid w:val="00C70E00"/>
    <w:rsid w:val="00C805C9"/>
    <w:rsid w:val="00C81481"/>
    <w:rsid w:val="00C92939"/>
    <w:rsid w:val="00CA1679"/>
    <w:rsid w:val="00CB151C"/>
    <w:rsid w:val="00CE28F5"/>
    <w:rsid w:val="00CE5A1A"/>
    <w:rsid w:val="00CF55F6"/>
    <w:rsid w:val="00D0533E"/>
    <w:rsid w:val="00D33D63"/>
    <w:rsid w:val="00D356E0"/>
    <w:rsid w:val="00D90028"/>
    <w:rsid w:val="00D90138"/>
    <w:rsid w:val="00DD78D1"/>
    <w:rsid w:val="00DE32CD"/>
    <w:rsid w:val="00DF71B9"/>
    <w:rsid w:val="00E30B7B"/>
    <w:rsid w:val="00E509D1"/>
    <w:rsid w:val="00E73F76"/>
    <w:rsid w:val="00E74465"/>
    <w:rsid w:val="00E77684"/>
    <w:rsid w:val="00E92F15"/>
    <w:rsid w:val="00EA2C9F"/>
    <w:rsid w:val="00EA420E"/>
    <w:rsid w:val="00EB540D"/>
    <w:rsid w:val="00ED0BDA"/>
    <w:rsid w:val="00EF1360"/>
    <w:rsid w:val="00EF3220"/>
    <w:rsid w:val="00EF4536"/>
    <w:rsid w:val="00F25B74"/>
    <w:rsid w:val="00F43903"/>
    <w:rsid w:val="00F8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4C794"/>
  <w15:docId w15:val="{BCFE8E74-8B25-4ED8-9523-CE76CBBD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uiPriority w:val="9"/>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1D755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FB78-1B2D-448B-A361-EEEE74A0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22</Pages>
  <Words>8159</Words>
  <Characters>54258</Characters>
  <Application>Microsoft Office Word</Application>
  <DocSecurity>0</DocSecurity>
  <Lines>1205</Lines>
  <Paragraphs>524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CRPD/C/MOZ/1</vt:lpstr>
      <vt:lpstr>A/</vt:lpstr>
      <vt:lpstr>A/</vt:lpstr>
    </vt:vector>
  </TitlesOfParts>
  <Company>DCM</Company>
  <LinksUpToDate>false</LinksUpToDate>
  <CharactersWithSpaces>61893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CRPD/C/MOZ/1</dc:title>
  <dc:subject/>
  <dc:creator>Marina KOROTKOVA</dc:creator>
  <cp:keywords/>
  <cp:lastModifiedBy>Ekaterina SALYNSKAYA</cp:lastModifiedBy>
  <cp:revision>3</cp:revision>
  <cp:lastPrinted>2021-02-03T16:14:00Z</cp:lastPrinted>
  <dcterms:created xsi:type="dcterms:W3CDTF">2021-02-03T16:14:00Z</dcterms:created>
  <dcterms:modified xsi:type="dcterms:W3CDTF">2021-02-03T16:14:00Z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