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714913" w:rsidRPr="00E7090D">
        <w:trPr>
          <w:cantSplit/>
          <w:trHeight w:hRule="exact" w:val="851"/>
        </w:trPr>
        <w:tc>
          <w:tcPr>
            <w:tcW w:w="1276" w:type="dxa"/>
            <w:tcBorders>
              <w:bottom w:val="single" w:sz="4" w:space="0" w:color="auto"/>
            </w:tcBorders>
            <w:vAlign w:val="bottom"/>
          </w:tcPr>
          <w:p w:rsidR="00714913" w:rsidRPr="00E7090D" w:rsidRDefault="00714913" w:rsidP="009E219B">
            <w:pPr>
              <w:spacing w:after="80"/>
              <w:rPr>
                <w:lang w:val="fr-CH"/>
              </w:rPr>
            </w:pPr>
            <w:bookmarkStart w:id="0" w:name="_GoBack"/>
            <w:bookmarkEnd w:id="0"/>
          </w:p>
        </w:tc>
        <w:tc>
          <w:tcPr>
            <w:tcW w:w="2268" w:type="dxa"/>
            <w:tcBorders>
              <w:bottom w:val="single" w:sz="4" w:space="0" w:color="auto"/>
            </w:tcBorders>
            <w:vAlign w:val="bottom"/>
          </w:tcPr>
          <w:p w:rsidR="00714913" w:rsidRPr="00E7090D" w:rsidRDefault="00714913" w:rsidP="009E219B">
            <w:pPr>
              <w:spacing w:after="80" w:line="300" w:lineRule="exact"/>
              <w:rPr>
                <w:b/>
                <w:sz w:val="24"/>
                <w:szCs w:val="24"/>
                <w:lang w:val="fr-CH"/>
              </w:rPr>
            </w:pPr>
            <w:r w:rsidRPr="00E7090D">
              <w:rPr>
                <w:sz w:val="28"/>
                <w:szCs w:val="28"/>
                <w:lang w:val="fr-CH"/>
              </w:rPr>
              <w:t>Nations</w:t>
            </w:r>
            <w:r>
              <w:rPr>
                <w:sz w:val="28"/>
                <w:szCs w:val="28"/>
                <w:lang w:val="fr-CH"/>
              </w:rPr>
              <w:t xml:space="preserve"> Unies</w:t>
            </w:r>
          </w:p>
        </w:tc>
        <w:tc>
          <w:tcPr>
            <w:tcW w:w="6095" w:type="dxa"/>
            <w:gridSpan w:val="2"/>
            <w:tcBorders>
              <w:bottom w:val="single" w:sz="4" w:space="0" w:color="auto"/>
            </w:tcBorders>
            <w:vAlign w:val="bottom"/>
          </w:tcPr>
          <w:p w:rsidR="00714913" w:rsidRPr="00E7090D" w:rsidRDefault="00714913" w:rsidP="009E219B">
            <w:pPr>
              <w:suppressAutoHyphens w:val="0"/>
              <w:spacing w:after="20"/>
              <w:jc w:val="right"/>
              <w:rPr>
                <w:lang w:val="fr-CH"/>
              </w:rPr>
            </w:pPr>
            <w:r w:rsidRPr="00E7090D">
              <w:rPr>
                <w:sz w:val="40"/>
                <w:lang w:val="fr-CH"/>
              </w:rPr>
              <w:t>CAT</w:t>
            </w:r>
            <w:r w:rsidRPr="00E7090D">
              <w:rPr>
                <w:lang w:val="fr-CH"/>
              </w:rPr>
              <w:t>/C/SR.10</w:t>
            </w:r>
            <w:r>
              <w:rPr>
                <w:lang w:val="fr-CH"/>
              </w:rPr>
              <w:t>78</w:t>
            </w:r>
          </w:p>
        </w:tc>
      </w:tr>
      <w:tr w:rsidR="00714913" w:rsidRPr="00191F12">
        <w:trPr>
          <w:cantSplit/>
          <w:trHeight w:hRule="exact" w:val="2835"/>
        </w:trPr>
        <w:tc>
          <w:tcPr>
            <w:tcW w:w="1276" w:type="dxa"/>
            <w:tcBorders>
              <w:top w:val="single" w:sz="4" w:space="0" w:color="auto"/>
              <w:bottom w:val="single" w:sz="12" w:space="0" w:color="auto"/>
            </w:tcBorders>
          </w:tcPr>
          <w:p w:rsidR="00714913" w:rsidRPr="00E7090D" w:rsidRDefault="00714913" w:rsidP="009E219B">
            <w:pPr>
              <w:spacing w:before="120"/>
              <w:jc w:val="center"/>
              <w:rPr>
                <w:lang w:val="fr-CH"/>
              </w:rPr>
            </w:pPr>
            <w:r w:rsidRPr="0086543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_unlogo" style="width:54.75pt;height:45pt;visibility:visible">
                  <v:imagedata r:id="rId7" o:title=""/>
                </v:shape>
              </w:pict>
            </w:r>
          </w:p>
        </w:tc>
        <w:tc>
          <w:tcPr>
            <w:tcW w:w="5528" w:type="dxa"/>
            <w:gridSpan w:val="2"/>
            <w:tcBorders>
              <w:top w:val="single" w:sz="4" w:space="0" w:color="auto"/>
              <w:bottom w:val="single" w:sz="12" w:space="0" w:color="auto"/>
            </w:tcBorders>
          </w:tcPr>
          <w:p w:rsidR="00714913" w:rsidRPr="00F743AA" w:rsidRDefault="00F743AA" w:rsidP="009E219B">
            <w:pPr>
              <w:spacing w:before="120" w:line="380" w:lineRule="exact"/>
              <w:rPr>
                <w:lang w:val="fr-CH"/>
              </w:rPr>
            </w:pPr>
            <w:r w:rsidRPr="00F743AA">
              <w:rPr>
                <w:b/>
                <w:sz w:val="34"/>
                <w:szCs w:val="34"/>
                <w:lang w:val="fr-CH"/>
              </w:rPr>
              <w:t>Convention contre</w:t>
            </w:r>
            <w:r w:rsidRPr="00F743AA">
              <w:rPr>
                <w:b/>
                <w:sz w:val="34"/>
                <w:szCs w:val="34"/>
                <w:lang w:val="fr-CH"/>
              </w:rPr>
              <w:br/>
              <w:t>la torture et autres peines</w:t>
            </w:r>
            <w:r w:rsidRPr="00F743AA">
              <w:rPr>
                <w:b/>
                <w:sz w:val="34"/>
                <w:szCs w:val="34"/>
                <w:lang w:val="fr-CH"/>
              </w:rPr>
              <w:br/>
              <w:t>ou traitements cruels,</w:t>
            </w:r>
            <w:r w:rsidRPr="00F743AA">
              <w:rPr>
                <w:b/>
                <w:sz w:val="34"/>
                <w:szCs w:val="34"/>
                <w:lang w:val="fr-CH"/>
              </w:rPr>
              <w:br/>
              <w:t>inhumains ou dégradants</w:t>
            </w:r>
          </w:p>
        </w:tc>
        <w:tc>
          <w:tcPr>
            <w:tcW w:w="2835" w:type="dxa"/>
            <w:tcBorders>
              <w:top w:val="single" w:sz="4" w:space="0" w:color="auto"/>
              <w:bottom w:val="single" w:sz="12" w:space="0" w:color="auto"/>
            </w:tcBorders>
          </w:tcPr>
          <w:p w:rsidR="00714913" w:rsidRPr="00E7090D" w:rsidRDefault="00F743AA" w:rsidP="00F743AA">
            <w:pPr>
              <w:suppressAutoHyphens w:val="0"/>
              <w:spacing w:before="240" w:line="240" w:lineRule="exact"/>
              <w:rPr>
                <w:lang w:val="fr-CH"/>
              </w:rPr>
            </w:pPr>
            <w:r>
              <w:rPr>
                <w:lang w:val="fr-CH"/>
              </w:rPr>
              <w:t>Distr.</w:t>
            </w:r>
            <w:r w:rsidR="00714913" w:rsidRPr="00E7090D">
              <w:rPr>
                <w:lang w:val="fr-CH"/>
              </w:rPr>
              <w:t xml:space="preserve"> </w:t>
            </w:r>
            <w:r w:rsidR="00714913">
              <w:rPr>
                <w:lang w:val="fr-CH"/>
              </w:rPr>
              <w:t>générale</w:t>
            </w:r>
          </w:p>
          <w:p w:rsidR="00714913" w:rsidRPr="00E7090D" w:rsidRDefault="002B5422" w:rsidP="002B5422">
            <w:pPr>
              <w:suppressAutoHyphens w:val="0"/>
              <w:rPr>
                <w:lang w:val="fr-CH"/>
              </w:rPr>
            </w:pPr>
            <w:r>
              <w:rPr>
                <w:lang w:val="fr-CH"/>
              </w:rPr>
              <w:t>1</w:t>
            </w:r>
            <w:r w:rsidRPr="002B5422">
              <w:rPr>
                <w:vertAlign w:val="superscript"/>
                <w:lang w:val="fr-CH"/>
              </w:rPr>
              <w:t>er</w:t>
            </w:r>
            <w:r>
              <w:rPr>
                <w:lang w:val="fr-CH"/>
              </w:rPr>
              <w:t xml:space="preserve"> octobre </w:t>
            </w:r>
            <w:r w:rsidR="00F743AA">
              <w:rPr>
                <w:lang w:val="fr-CH"/>
              </w:rPr>
              <w:t>2013</w:t>
            </w:r>
          </w:p>
          <w:p w:rsidR="00714913" w:rsidRPr="00E7090D" w:rsidRDefault="00714913" w:rsidP="009E219B">
            <w:pPr>
              <w:suppressAutoHyphens w:val="0"/>
              <w:rPr>
                <w:lang w:val="fr-CH"/>
              </w:rPr>
            </w:pPr>
            <w:r w:rsidRPr="00E7090D">
              <w:rPr>
                <w:lang w:val="fr-CH"/>
              </w:rPr>
              <w:t>Français</w:t>
            </w:r>
          </w:p>
          <w:p w:rsidR="00714913" w:rsidRPr="00E7090D" w:rsidRDefault="00714913" w:rsidP="009E219B">
            <w:pPr>
              <w:suppressAutoHyphens w:val="0"/>
              <w:rPr>
                <w:lang w:val="fr-CH"/>
              </w:rPr>
            </w:pPr>
            <w:r w:rsidRPr="00E7090D">
              <w:rPr>
                <w:lang w:val="fr-CH"/>
              </w:rPr>
              <w:t>Original: anglais</w:t>
            </w:r>
          </w:p>
        </w:tc>
      </w:tr>
    </w:tbl>
    <w:p w:rsidR="00714913" w:rsidRPr="00E7090D" w:rsidRDefault="00714913" w:rsidP="009E219B">
      <w:pPr>
        <w:spacing w:before="120"/>
        <w:rPr>
          <w:b/>
          <w:sz w:val="24"/>
          <w:lang w:val="fr-CH"/>
        </w:rPr>
      </w:pPr>
      <w:r w:rsidRPr="00E7090D">
        <w:rPr>
          <w:b/>
          <w:sz w:val="24"/>
          <w:lang w:val="fr-CH"/>
        </w:rPr>
        <w:t>Comit</w:t>
      </w:r>
      <w:r>
        <w:rPr>
          <w:b/>
          <w:sz w:val="24"/>
          <w:lang w:val="fr-CH"/>
        </w:rPr>
        <w:t>é contre la t</w:t>
      </w:r>
      <w:r w:rsidRPr="00E7090D">
        <w:rPr>
          <w:b/>
          <w:sz w:val="24"/>
          <w:lang w:val="fr-CH"/>
        </w:rPr>
        <w:t>orture</w:t>
      </w:r>
    </w:p>
    <w:p w:rsidR="00714913" w:rsidRPr="00E31031" w:rsidRDefault="00714913" w:rsidP="009E219B">
      <w:pPr>
        <w:spacing w:after="120"/>
        <w:rPr>
          <w:b/>
          <w:snapToGrid w:val="0"/>
          <w:lang w:val="fr-CH"/>
        </w:rPr>
      </w:pPr>
      <w:r w:rsidRPr="00E31031">
        <w:rPr>
          <w:b/>
          <w:snapToGrid w:val="0"/>
          <w:lang w:val="fr-CH"/>
        </w:rPr>
        <w:t>Quarante-huitième session</w:t>
      </w:r>
    </w:p>
    <w:p w:rsidR="00F743AA" w:rsidRDefault="00714913" w:rsidP="00F743AA">
      <w:pPr>
        <w:spacing w:after="120"/>
        <w:rPr>
          <w:snapToGrid w:val="0"/>
          <w:lang w:val="fr-CH"/>
        </w:rPr>
      </w:pPr>
      <w:r w:rsidRPr="00E31031">
        <w:rPr>
          <w:b/>
          <w:snapToGrid w:val="0"/>
          <w:lang w:val="fr-CH"/>
        </w:rPr>
        <w:t xml:space="preserve">Compte rendu analytique de la </w:t>
      </w:r>
      <w:r>
        <w:rPr>
          <w:b/>
          <w:snapToGrid w:val="0"/>
          <w:lang w:val="fr-CH"/>
        </w:rPr>
        <w:t>première partie (publique)</w:t>
      </w:r>
      <w:r w:rsidR="00F743AA" w:rsidRPr="00F743AA">
        <w:rPr>
          <w:rStyle w:val="FootnoteReference"/>
          <w:bCs/>
          <w:snapToGrid w:val="0"/>
          <w:sz w:val="20"/>
          <w:vertAlign w:val="baseline"/>
          <w:lang w:val="fr-CH"/>
        </w:rPr>
        <w:footnoteReference w:customMarkFollows="1" w:id="2"/>
        <w:t>*</w:t>
      </w:r>
      <w:r>
        <w:rPr>
          <w:b/>
          <w:snapToGrid w:val="0"/>
          <w:lang w:val="fr-CH"/>
        </w:rPr>
        <w:t xml:space="preserve"> de la </w:t>
      </w:r>
      <w:r w:rsidRPr="00E31031">
        <w:rPr>
          <w:b/>
          <w:snapToGrid w:val="0"/>
          <w:lang w:val="fr-CH"/>
        </w:rPr>
        <w:t>10</w:t>
      </w:r>
      <w:r>
        <w:rPr>
          <w:b/>
          <w:snapToGrid w:val="0"/>
          <w:lang w:val="fr-CH"/>
        </w:rPr>
        <w:t>78</w:t>
      </w:r>
      <w:r w:rsidRPr="00E31031">
        <w:rPr>
          <w:b/>
          <w:snapToGrid w:val="0"/>
          <w:vertAlign w:val="superscript"/>
          <w:lang w:val="fr-CH"/>
        </w:rPr>
        <w:t>e</w:t>
      </w:r>
      <w:r w:rsidRPr="00E31031">
        <w:rPr>
          <w:b/>
          <w:snapToGrid w:val="0"/>
          <w:lang w:val="fr-CH"/>
        </w:rPr>
        <w:t xml:space="preserve"> séance</w:t>
      </w:r>
      <w:r>
        <w:rPr>
          <w:b/>
          <w:snapToGrid w:val="0"/>
          <w:lang w:val="fr-CH"/>
        </w:rPr>
        <w:t xml:space="preserve"> </w:t>
      </w:r>
      <w:r w:rsidRPr="00E31031">
        <w:rPr>
          <w:b/>
          <w:snapToGrid w:val="0"/>
          <w:lang w:val="fr-CH"/>
        </w:rPr>
        <w:br/>
      </w:r>
      <w:r w:rsidR="00F743AA" w:rsidRPr="00E31031">
        <w:rPr>
          <w:snapToGrid w:val="0"/>
          <w:lang w:val="fr-CH"/>
        </w:rPr>
        <w:t xml:space="preserve">Tenue </w:t>
      </w:r>
      <w:r w:rsidRPr="00E31031">
        <w:rPr>
          <w:snapToGrid w:val="0"/>
          <w:lang w:val="fr-CH"/>
        </w:rPr>
        <w:t xml:space="preserve">au Palais </w:t>
      </w:r>
      <w:r>
        <w:rPr>
          <w:snapToGrid w:val="0"/>
          <w:lang w:val="fr-CH"/>
        </w:rPr>
        <w:t>Wilson</w:t>
      </w:r>
      <w:r w:rsidRPr="00E31031">
        <w:rPr>
          <w:snapToGrid w:val="0"/>
          <w:lang w:val="fr-CH"/>
        </w:rPr>
        <w:t xml:space="preserve">, à Genève, le </w:t>
      </w:r>
      <w:r>
        <w:rPr>
          <w:snapToGrid w:val="0"/>
          <w:lang w:val="fr-CH"/>
        </w:rPr>
        <w:t xml:space="preserve">mardi 22 mai </w:t>
      </w:r>
      <w:r w:rsidRPr="00E31031">
        <w:rPr>
          <w:snapToGrid w:val="0"/>
          <w:lang w:val="fr-CH"/>
        </w:rPr>
        <w:t>2012</w:t>
      </w:r>
      <w:r>
        <w:rPr>
          <w:snapToGrid w:val="0"/>
          <w:lang w:val="fr-CH"/>
        </w:rPr>
        <w:t>,</w:t>
      </w:r>
      <w:r w:rsidRPr="00E31031">
        <w:rPr>
          <w:snapToGrid w:val="0"/>
          <w:lang w:val="fr-CH"/>
        </w:rPr>
        <w:t xml:space="preserve"> à 1</w:t>
      </w:r>
      <w:r>
        <w:rPr>
          <w:snapToGrid w:val="0"/>
          <w:lang w:val="fr-CH"/>
        </w:rPr>
        <w:t>0 heures</w:t>
      </w:r>
    </w:p>
    <w:p w:rsidR="00714913" w:rsidRPr="00F743AA" w:rsidRDefault="00F743AA" w:rsidP="00F743AA">
      <w:pPr>
        <w:tabs>
          <w:tab w:val="left" w:pos="182"/>
          <w:tab w:val="right" w:pos="992"/>
          <w:tab w:val="left" w:pos="1276"/>
          <w:tab w:val="right" w:leader="dot" w:pos="8504"/>
        </w:tabs>
        <w:spacing w:after="120"/>
        <w:rPr>
          <w:snapToGrid w:val="0"/>
          <w:lang w:val="fr-CH"/>
        </w:rPr>
      </w:pPr>
      <w:r>
        <w:rPr>
          <w:i/>
        </w:rPr>
        <w:tab/>
      </w:r>
      <w:r w:rsidRPr="00FB2C6D">
        <w:rPr>
          <w:i/>
        </w:rPr>
        <w:t>Président</w:t>
      </w:r>
      <w:r>
        <w:t xml:space="preserve">: </w:t>
      </w:r>
      <w:r>
        <w:tab/>
        <w:t>M. Grossman</w:t>
      </w:r>
    </w:p>
    <w:p w:rsidR="00714913" w:rsidRPr="00E31031" w:rsidRDefault="00714913" w:rsidP="009E219B">
      <w:pPr>
        <w:spacing w:before="240" w:after="240" w:line="360" w:lineRule="exact"/>
        <w:rPr>
          <w:snapToGrid w:val="0"/>
          <w:sz w:val="28"/>
          <w:szCs w:val="28"/>
          <w:lang w:val="fr-CH"/>
        </w:rPr>
      </w:pPr>
      <w:r>
        <w:rPr>
          <w:snapToGrid w:val="0"/>
          <w:sz w:val="28"/>
          <w:szCs w:val="28"/>
          <w:lang w:val="fr-CH"/>
        </w:rPr>
        <w:t>Sommaire</w:t>
      </w:r>
    </w:p>
    <w:p w:rsidR="00714913" w:rsidRPr="009E219B" w:rsidRDefault="00714913" w:rsidP="00BC6432">
      <w:pPr>
        <w:pStyle w:val="SingleTxtG"/>
        <w:jc w:val="left"/>
        <w:rPr>
          <w:lang w:val="fr-CH"/>
        </w:rPr>
      </w:pPr>
      <w:r w:rsidRPr="009E219B">
        <w:rPr>
          <w:lang w:val="fr-CH"/>
        </w:rPr>
        <w:t xml:space="preserve">Examen des rapports </w:t>
      </w:r>
      <w:r>
        <w:rPr>
          <w:lang w:val="fr-CH"/>
        </w:rPr>
        <w:t>soumis</w:t>
      </w:r>
      <w:r w:rsidRPr="009E219B">
        <w:rPr>
          <w:lang w:val="fr-CH"/>
        </w:rPr>
        <w:t xml:space="preserve"> par les États parties en application de l</w:t>
      </w:r>
      <w:r>
        <w:rPr>
          <w:lang w:val="fr-CH"/>
        </w:rPr>
        <w:t>’</w:t>
      </w:r>
      <w:r w:rsidRPr="009E219B">
        <w:rPr>
          <w:lang w:val="fr-CH"/>
        </w:rPr>
        <w:t xml:space="preserve">article 19 </w:t>
      </w:r>
      <w:r>
        <w:rPr>
          <w:lang w:val="fr-CH"/>
        </w:rPr>
        <w:t>de la Convention</w:t>
      </w:r>
      <w:r w:rsidRPr="009E219B">
        <w:rPr>
          <w:lang w:val="fr-CH"/>
        </w:rPr>
        <w:t xml:space="preserve"> (</w:t>
      </w:r>
      <w:r>
        <w:rPr>
          <w:i/>
          <w:lang w:val="fr-CH"/>
        </w:rPr>
        <w:t>suite</w:t>
      </w:r>
      <w:r w:rsidRPr="009E219B">
        <w:rPr>
          <w:lang w:val="fr-CH"/>
        </w:rPr>
        <w:t>)</w:t>
      </w:r>
    </w:p>
    <w:p w:rsidR="00714913" w:rsidRPr="009E219B" w:rsidRDefault="00714913" w:rsidP="00BC6432">
      <w:pPr>
        <w:pStyle w:val="SingleTxtG"/>
        <w:jc w:val="left"/>
        <w:rPr>
          <w:i/>
          <w:lang w:val="fr-CH"/>
        </w:rPr>
      </w:pPr>
      <w:r w:rsidRPr="009E219B">
        <w:rPr>
          <w:lang w:val="fr-CH"/>
        </w:rPr>
        <w:tab/>
      </w:r>
      <w:r w:rsidRPr="009E219B">
        <w:rPr>
          <w:i/>
          <w:lang w:val="fr-CH"/>
        </w:rPr>
        <w:t>Deuxième rapport périodique de Cuba</w:t>
      </w:r>
    </w:p>
    <w:p w:rsidR="00714913" w:rsidRPr="00DF3444" w:rsidRDefault="00714913" w:rsidP="00BC6432">
      <w:pPr>
        <w:pStyle w:val="SingleTxtG"/>
        <w:rPr>
          <w:i/>
          <w:lang w:val="fr-CH"/>
        </w:rPr>
      </w:pPr>
      <w:r w:rsidRPr="00DF3444">
        <w:rPr>
          <w:lang w:val="fr-CH"/>
        </w:rPr>
        <w:br w:type="page"/>
      </w:r>
      <w:r w:rsidRPr="00DF3444">
        <w:rPr>
          <w:i/>
          <w:lang w:val="fr-CH"/>
        </w:rPr>
        <w:t>La séance est ouverte à 10 heures.</w:t>
      </w:r>
    </w:p>
    <w:p w:rsidR="00714913" w:rsidRPr="00DF3444" w:rsidRDefault="00362B06" w:rsidP="00362B06">
      <w:pPr>
        <w:pStyle w:val="H23G"/>
        <w:rPr>
          <w:lang w:val="fr-CH"/>
        </w:rPr>
      </w:pPr>
      <w:r>
        <w:rPr>
          <w:lang w:val="fr-CH"/>
        </w:rPr>
        <w:tab/>
      </w:r>
      <w:r>
        <w:rPr>
          <w:lang w:val="fr-CH"/>
        </w:rPr>
        <w:tab/>
      </w:r>
      <w:r w:rsidR="00714913" w:rsidRPr="00DF3444">
        <w:rPr>
          <w:lang w:val="fr-CH"/>
        </w:rPr>
        <w:t xml:space="preserve">Examen des rapports </w:t>
      </w:r>
      <w:r w:rsidR="00714913">
        <w:rPr>
          <w:lang w:val="fr-CH"/>
        </w:rPr>
        <w:t>soumis</w:t>
      </w:r>
      <w:r w:rsidR="00714913" w:rsidRPr="00DF3444">
        <w:rPr>
          <w:lang w:val="fr-CH"/>
        </w:rPr>
        <w:t xml:space="preserve"> par les États parties en application de l</w:t>
      </w:r>
      <w:r w:rsidR="00714913">
        <w:rPr>
          <w:lang w:val="fr-CH"/>
        </w:rPr>
        <w:t>’</w:t>
      </w:r>
      <w:r w:rsidR="00714913" w:rsidRPr="00DF3444">
        <w:rPr>
          <w:lang w:val="fr-CH"/>
        </w:rPr>
        <w:t xml:space="preserve">article 19 de la Convention </w:t>
      </w:r>
      <w:r w:rsidR="00714913" w:rsidRPr="002B5422">
        <w:rPr>
          <w:b w:val="0"/>
          <w:bCs/>
          <w:lang w:val="fr-CH"/>
        </w:rPr>
        <w:t>(</w:t>
      </w:r>
      <w:r w:rsidR="00714913" w:rsidRPr="002B5422">
        <w:rPr>
          <w:b w:val="0"/>
          <w:bCs/>
          <w:i/>
          <w:lang w:val="fr-CH"/>
        </w:rPr>
        <w:t>suite</w:t>
      </w:r>
      <w:r w:rsidR="00714913" w:rsidRPr="002B5422">
        <w:rPr>
          <w:b w:val="0"/>
          <w:bCs/>
          <w:lang w:val="fr-CH"/>
        </w:rPr>
        <w:t>)</w:t>
      </w:r>
    </w:p>
    <w:p w:rsidR="00714913" w:rsidRPr="00DF3444" w:rsidRDefault="00362B06" w:rsidP="00362B06">
      <w:pPr>
        <w:pStyle w:val="H4G"/>
        <w:rPr>
          <w:lang w:val="fr-CH"/>
        </w:rPr>
      </w:pPr>
      <w:r>
        <w:rPr>
          <w:lang w:val="fr-CH"/>
        </w:rPr>
        <w:tab/>
      </w:r>
      <w:r>
        <w:rPr>
          <w:lang w:val="fr-CH"/>
        </w:rPr>
        <w:tab/>
      </w:r>
      <w:r w:rsidR="00714913" w:rsidRPr="00DF3444">
        <w:rPr>
          <w:lang w:val="fr-CH"/>
        </w:rPr>
        <w:t xml:space="preserve">Deuxième rapport périodique de Cuba </w:t>
      </w:r>
      <w:r w:rsidR="00714913" w:rsidRPr="00362B06">
        <w:rPr>
          <w:i w:val="0"/>
          <w:iCs/>
          <w:lang w:val="fr-CH"/>
        </w:rPr>
        <w:t>(CAT/C/CUB/2; CAT/C/CUB/Q/2 et Add.1)</w:t>
      </w:r>
    </w:p>
    <w:p w:rsidR="00714913" w:rsidRPr="00362B06" w:rsidRDefault="00362B06" w:rsidP="00362B06">
      <w:pPr>
        <w:pStyle w:val="SingleTxtG"/>
        <w:rPr>
          <w:i/>
          <w:iCs/>
          <w:lang w:val="fr-CH"/>
        </w:rPr>
      </w:pPr>
      <w:r>
        <w:rPr>
          <w:lang w:val="fr-CH"/>
        </w:rPr>
        <w:t>1.</w:t>
      </w:r>
      <w:r>
        <w:rPr>
          <w:lang w:val="fr-CH"/>
        </w:rPr>
        <w:tab/>
      </w:r>
      <w:r w:rsidR="00714913" w:rsidRPr="00362B06">
        <w:rPr>
          <w:i/>
          <w:iCs/>
          <w:lang w:val="fr-CH"/>
        </w:rPr>
        <w:t>À l’invitation du Président, la délégation de Cuba prend place à la table du Comité.</w:t>
      </w:r>
    </w:p>
    <w:p w:rsidR="00714913" w:rsidRDefault="00362B06" w:rsidP="00362B06">
      <w:pPr>
        <w:pStyle w:val="SingleTxtG"/>
        <w:rPr>
          <w:lang w:val="fr-CH"/>
        </w:rPr>
      </w:pPr>
      <w:r>
        <w:rPr>
          <w:bCs/>
          <w:lang w:val="fr-CH"/>
        </w:rPr>
        <w:t>2.</w:t>
      </w:r>
      <w:r>
        <w:rPr>
          <w:bCs/>
          <w:lang w:val="fr-CH"/>
        </w:rPr>
        <w:tab/>
      </w:r>
      <w:r w:rsidR="00714913" w:rsidRPr="00DF3444">
        <w:rPr>
          <w:b/>
          <w:lang w:val="fr-CH"/>
        </w:rPr>
        <w:t>M. Pino Bécquer</w:t>
      </w:r>
      <w:r w:rsidR="00714913">
        <w:rPr>
          <w:lang w:val="fr-CH"/>
        </w:rPr>
        <w:t xml:space="preserve"> (Cuba) dit que le deuxième rapport périodique de Cuba est le résultat de larges consultations participatives auxquelles ont été associés des organes du Gouvernement et de l’État, le Parlement, des ONG et d’autres institutions, qui ont procédé ensemble à une évaluation objective de l’application effective de la Convention par le pays.</w:t>
      </w:r>
    </w:p>
    <w:p w:rsidR="00714913" w:rsidRDefault="00362B06" w:rsidP="00362B06">
      <w:pPr>
        <w:pStyle w:val="SingleTxtG"/>
        <w:rPr>
          <w:lang w:val="fr-CH"/>
        </w:rPr>
      </w:pPr>
      <w:r>
        <w:rPr>
          <w:lang w:val="fr-CH"/>
        </w:rPr>
        <w:t>3.</w:t>
      </w:r>
      <w:r>
        <w:rPr>
          <w:lang w:val="fr-CH"/>
        </w:rPr>
        <w:tab/>
      </w:r>
      <w:r w:rsidR="00714913">
        <w:rPr>
          <w:lang w:val="fr-CH"/>
        </w:rPr>
        <w:t xml:space="preserve">La torture et les peines et traitements cruels, inhumains et dégradants étaient couramment pratiqués par les autorités cubaines jusqu’en 1959 et ont atteint un paroxysme pendant la dictature sanglante de Fulgencio Batista. La révolution cubaine, inspirée par des valeurs humaines et éthiques, a mis fin à de telles pratiques. Cuba s’est acquitté de ses obligations au titre de la Convention depuis qu’il est devenu un État partie en 1995. Cependant, l’État n’est pas en mesure d’exercer sa souveraineté sur le territoire qui est actuellement occupé par la base navale des États-Unis dans la baie de Guantánamo, base qui a été convertie en centre international de torture. </w:t>
      </w:r>
    </w:p>
    <w:p w:rsidR="00714913" w:rsidRDefault="00362B06" w:rsidP="002B5422">
      <w:pPr>
        <w:pStyle w:val="SingleTxtG"/>
        <w:rPr>
          <w:lang w:val="fr-CH"/>
        </w:rPr>
      </w:pPr>
      <w:r>
        <w:rPr>
          <w:lang w:val="fr-CH"/>
        </w:rPr>
        <w:t>4.</w:t>
      </w:r>
      <w:r>
        <w:rPr>
          <w:lang w:val="fr-CH"/>
        </w:rPr>
        <w:tab/>
      </w:r>
      <w:r w:rsidR="00714913">
        <w:rPr>
          <w:lang w:val="fr-CH"/>
        </w:rPr>
        <w:t>Certains aspects du régime pénitentiaire et des conditions de détention doivent encore être améliorés. Il est important de noter, cependant, que malgré les difficultés économiques que Cuba a rencontrées, il n’a jamais invoqué ces difficultés pour justifier un déni de justice ou empêcher des personnes privées de liberté de jouir de leurs droits fondamentaux. Le Plan directeur pour l’investissement dans le régime pénitentiaire, qui porte sur la période allant jusqu’à 2017, est en cours d’application, et le budget alloué permettra de rénover progressivement les locaux pénitentiaires et d’améliorer les conditions de vie. Les travaux de modernisation sont déjà achevés dans un grand nombre d’unités de visite –</w:t>
      </w:r>
      <w:r w:rsidR="002B5422">
        <w:rPr>
          <w:lang w:val="fr-CH"/>
        </w:rPr>
        <w:t xml:space="preserve"> </w:t>
      </w:r>
      <w:r w:rsidR="00714913">
        <w:rPr>
          <w:lang w:val="fr-CH"/>
        </w:rPr>
        <w:t>visites générales et conjugales – d’espaces cuisine et repas, de salles de classe et d’unités de soins médicaux.</w:t>
      </w:r>
    </w:p>
    <w:p w:rsidR="00714913" w:rsidRPr="0072285E" w:rsidRDefault="00522350" w:rsidP="00362B06">
      <w:pPr>
        <w:pStyle w:val="SingleTxtG"/>
        <w:rPr>
          <w:lang w:val="fr-CH" w:eastAsia="fr-CH"/>
        </w:rPr>
      </w:pPr>
      <w:r>
        <w:rPr>
          <w:lang w:val="fr-CH"/>
        </w:rPr>
        <w:t>5.</w:t>
      </w:r>
      <w:r>
        <w:rPr>
          <w:lang w:val="fr-CH"/>
        </w:rPr>
        <w:tab/>
      </w:r>
      <w:r w:rsidR="00714913" w:rsidRPr="00147A5F">
        <w:rPr>
          <w:lang w:val="fr-CH"/>
        </w:rPr>
        <w:t>Les 95 Règles minima pour le traitement des détenus sont une pierre angulaire du régime pénitentiaire cubain. Des moyens d</w:t>
      </w:r>
      <w:r w:rsidR="00714913">
        <w:rPr>
          <w:lang w:val="fr-CH"/>
        </w:rPr>
        <w:t>’</w:t>
      </w:r>
      <w:r w:rsidR="00714913" w:rsidRPr="00147A5F">
        <w:rPr>
          <w:lang w:val="fr-CH"/>
        </w:rPr>
        <w:t xml:space="preserve">enseignement sont en place, et </w:t>
      </w:r>
      <w:r w:rsidR="00714913">
        <w:rPr>
          <w:lang w:val="fr-CH"/>
        </w:rPr>
        <w:t>l</w:t>
      </w:r>
      <w:r w:rsidR="00714913" w:rsidRPr="00147A5F">
        <w:rPr>
          <w:lang w:val="fr-CH"/>
        </w:rPr>
        <w:t>es personnes privées de leur liberté sont encouragées à améliorer leur conduite par un système prévoyant une réduction progressive de la sé</w:t>
      </w:r>
      <w:r w:rsidR="00714913">
        <w:rPr>
          <w:lang w:val="fr-CH"/>
        </w:rPr>
        <w:t xml:space="preserve">vérité </w:t>
      </w:r>
      <w:r w:rsidR="00714913" w:rsidRPr="00147A5F">
        <w:rPr>
          <w:lang w:val="fr-CH"/>
        </w:rPr>
        <w:t>du régime carcéral, avec pour objectif l</w:t>
      </w:r>
      <w:r w:rsidR="00714913">
        <w:rPr>
          <w:lang w:val="fr-CH"/>
        </w:rPr>
        <w:t>’</w:t>
      </w:r>
      <w:r w:rsidR="00714913" w:rsidRPr="00147A5F">
        <w:rPr>
          <w:lang w:val="fr-CH"/>
        </w:rPr>
        <w:t>octroi d</w:t>
      </w:r>
      <w:r w:rsidR="00714913">
        <w:rPr>
          <w:lang w:val="fr-CH"/>
        </w:rPr>
        <w:t>’</w:t>
      </w:r>
      <w:r w:rsidR="00714913" w:rsidRPr="00147A5F">
        <w:rPr>
          <w:lang w:val="fr-CH"/>
        </w:rPr>
        <w:t xml:space="preserve">une libération anticipée. Des dispositions ont également été prises en vue de faciliter la réinsertion sociale, plus particulièrement des jeunes. La population carcérale a bénéficié de programmes </w:t>
      </w:r>
      <w:r w:rsidR="00714913">
        <w:rPr>
          <w:lang w:val="fr-CH"/>
        </w:rPr>
        <w:t xml:space="preserve">éducatifs </w:t>
      </w:r>
      <w:r w:rsidR="00714913" w:rsidRPr="00147A5F">
        <w:rPr>
          <w:lang w:val="fr-CH"/>
        </w:rPr>
        <w:t>qui se sont traduits par une amélioration des relations entre les détenus et leur famille, par de meilleures communications avec le personnel pénitentiaire et les agents chargés de la réadaptation, et par un environnement carcéral tourné vers l</w:t>
      </w:r>
      <w:r w:rsidR="00714913">
        <w:rPr>
          <w:lang w:val="fr-CH"/>
        </w:rPr>
        <w:t>’</w:t>
      </w:r>
      <w:r w:rsidR="00714913" w:rsidRPr="00147A5F">
        <w:rPr>
          <w:lang w:val="fr-CH"/>
        </w:rPr>
        <w:t xml:space="preserve">avenir. Quarante-sept pour cent </w:t>
      </w:r>
      <w:r w:rsidR="00714913" w:rsidRPr="00147A5F">
        <w:rPr>
          <w:lang w:val="fr-FR" w:eastAsia="fr-CH"/>
        </w:rPr>
        <w:t xml:space="preserve">de la population carcérale </w:t>
      </w:r>
      <w:r w:rsidR="00714913">
        <w:rPr>
          <w:lang w:val="fr-FR" w:eastAsia="fr-CH"/>
        </w:rPr>
        <w:t xml:space="preserve">suivent aujourd’hui un enseignement </w:t>
      </w:r>
      <w:r w:rsidR="00714913" w:rsidRPr="00147A5F">
        <w:rPr>
          <w:lang w:val="fr-FR" w:eastAsia="fr-CH"/>
        </w:rPr>
        <w:t>à différents niveaux</w:t>
      </w:r>
      <w:r w:rsidR="00714913">
        <w:rPr>
          <w:lang w:val="fr-FR" w:eastAsia="fr-CH"/>
        </w:rPr>
        <w:t xml:space="preserve">, 43 % suivent </w:t>
      </w:r>
      <w:r w:rsidR="00714913" w:rsidRPr="00147A5F">
        <w:rPr>
          <w:lang w:val="fr-FR" w:eastAsia="fr-CH"/>
        </w:rPr>
        <w:t xml:space="preserve">des cours de formation </w:t>
      </w:r>
      <w:r w:rsidR="00714913">
        <w:rPr>
          <w:lang w:val="fr-FR" w:eastAsia="fr-CH"/>
        </w:rPr>
        <w:t xml:space="preserve">professionnelle </w:t>
      </w:r>
      <w:r w:rsidR="00714913" w:rsidRPr="00147A5F">
        <w:rPr>
          <w:lang w:val="fr-FR" w:eastAsia="fr-CH"/>
        </w:rPr>
        <w:t>et 3</w:t>
      </w:r>
      <w:r w:rsidR="00714913">
        <w:rPr>
          <w:lang w:val="fr-FR" w:eastAsia="fr-CH"/>
        </w:rPr>
        <w:t> </w:t>
      </w:r>
      <w:r w:rsidR="00714913" w:rsidRPr="00147A5F">
        <w:rPr>
          <w:lang w:val="fr-FR" w:eastAsia="fr-CH"/>
        </w:rPr>
        <w:t xml:space="preserve">079 </w:t>
      </w:r>
      <w:r w:rsidR="00714913">
        <w:rPr>
          <w:lang w:val="fr-FR" w:eastAsia="fr-CH"/>
        </w:rPr>
        <w:t xml:space="preserve">détenus ont achevé des </w:t>
      </w:r>
      <w:r w:rsidR="00714913" w:rsidRPr="00147A5F">
        <w:rPr>
          <w:lang w:val="fr-FR" w:eastAsia="fr-CH"/>
        </w:rPr>
        <w:t xml:space="preserve">études universitaires depuis 2002. </w:t>
      </w:r>
      <w:r w:rsidR="00714913">
        <w:rPr>
          <w:lang w:val="fr-FR" w:eastAsia="fr-CH"/>
        </w:rPr>
        <w:t xml:space="preserve">À titre </w:t>
      </w:r>
      <w:r w:rsidR="00714913" w:rsidRPr="00147A5F">
        <w:rPr>
          <w:lang w:val="fr-FR" w:eastAsia="fr-CH"/>
        </w:rPr>
        <w:t xml:space="preserve">humanitaire, </w:t>
      </w:r>
      <w:r w:rsidR="00714913">
        <w:rPr>
          <w:lang w:val="fr-FR" w:eastAsia="fr-CH"/>
        </w:rPr>
        <w:t xml:space="preserve">des grâces ont été </w:t>
      </w:r>
      <w:r w:rsidR="00714913" w:rsidRPr="00147A5F">
        <w:rPr>
          <w:lang w:val="fr-FR" w:eastAsia="fr-CH"/>
        </w:rPr>
        <w:t>accordé</w:t>
      </w:r>
      <w:r w:rsidR="00714913">
        <w:rPr>
          <w:lang w:val="fr-FR" w:eastAsia="fr-CH"/>
        </w:rPr>
        <w:t>es</w:t>
      </w:r>
      <w:r w:rsidR="00714913" w:rsidRPr="00147A5F">
        <w:rPr>
          <w:lang w:val="fr-FR" w:eastAsia="fr-CH"/>
        </w:rPr>
        <w:t xml:space="preserve"> en 2011, dans l</w:t>
      </w:r>
      <w:r w:rsidR="00714913">
        <w:rPr>
          <w:lang w:val="fr-FR" w:eastAsia="fr-CH"/>
        </w:rPr>
        <w:t>e</w:t>
      </w:r>
      <w:r w:rsidR="00714913" w:rsidRPr="00147A5F">
        <w:rPr>
          <w:lang w:val="fr-FR" w:eastAsia="fr-CH"/>
        </w:rPr>
        <w:t xml:space="preserve"> strict</w:t>
      </w:r>
      <w:r w:rsidR="00714913">
        <w:rPr>
          <w:lang w:val="fr-FR" w:eastAsia="fr-CH"/>
        </w:rPr>
        <w:t xml:space="preserve"> respect de la loi</w:t>
      </w:r>
      <w:r w:rsidR="00714913" w:rsidRPr="00147A5F">
        <w:rPr>
          <w:lang w:val="fr-FR" w:eastAsia="fr-CH"/>
        </w:rPr>
        <w:t xml:space="preserve">, à </w:t>
      </w:r>
      <w:r w:rsidR="00714913">
        <w:rPr>
          <w:lang w:val="fr-FR" w:eastAsia="fr-CH"/>
        </w:rPr>
        <w:t>2 </w:t>
      </w:r>
      <w:r w:rsidR="00714913" w:rsidRPr="00147A5F">
        <w:rPr>
          <w:lang w:val="fr-FR" w:eastAsia="fr-CH"/>
        </w:rPr>
        <w:t xml:space="preserve">992 personnes condamnées, </w:t>
      </w:r>
      <w:r w:rsidR="00714913">
        <w:rPr>
          <w:lang w:val="fr-FR" w:eastAsia="fr-CH"/>
        </w:rPr>
        <w:t xml:space="preserve">parmi lesquelles des </w:t>
      </w:r>
      <w:r w:rsidR="00714913" w:rsidRPr="00147A5F">
        <w:rPr>
          <w:lang w:val="fr-FR" w:eastAsia="fr-CH"/>
        </w:rPr>
        <w:t>jeunes dont le niveau de développement culturel et les perspectives de réinsertion sociale s</w:t>
      </w:r>
      <w:r w:rsidR="00714913">
        <w:rPr>
          <w:lang w:val="fr-FR" w:eastAsia="fr-CH"/>
        </w:rPr>
        <w:t xml:space="preserve">’étaient </w:t>
      </w:r>
      <w:r w:rsidR="00714913" w:rsidRPr="00147A5F">
        <w:rPr>
          <w:lang w:val="fr-FR" w:eastAsia="fr-CH"/>
        </w:rPr>
        <w:t>amélioré</w:t>
      </w:r>
      <w:r w:rsidR="00714913">
        <w:rPr>
          <w:lang w:val="fr-FR" w:eastAsia="fr-CH"/>
        </w:rPr>
        <w:t>s</w:t>
      </w:r>
      <w:r w:rsidR="00714913" w:rsidRPr="00147A5F">
        <w:rPr>
          <w:lang w:val="fr-FR" w:eastAsia="fr-CH"/>
        </w:rPr>
        <w:t>. Chaque année</w:t>
      </w:r>
      <w:r w:rsidR="00714913">
        <w:rPr>
          <w:lang w:val="fr-FR" w:eastAsia="fr-CH"/>
        </w:rPr>
        <w:t xml:space="preserve">, la Cour </w:t>
      </w:r>
      <w:r w:rsidR="00714913" w:rsidRPr="00147A5F">
        <w:rPr>
          <w:lang w:val="fr-FR" w:eastAsia="fr-CH"/>
        </w:rPr>
        <w:t xml:space="preserve">suprême </w:t>
      </w:r>
      <w:r w:rsidR="00714913">
        <w:rPr>
          <w:lang w:val="fr-FR" w:eastAsia="fr-CH"/>
        </w:rPr>
        <w:t>du peuple,</w:t>
      </w:r>
      <w:r w:rsidR="00714913" w:rsidRPr="00147A5F">
        <w:rPr>
          <w:lang w:val="fr-FR" w:eastAsia="fr-CH"/>
        </w:rPr>
        <w:t xml:space="preserve"> le</w:t>
      </w:r>
      <w:r w:rsidR="00714913">
        <w:rPr>
          <w:lang w:val="fr-FR" w:eastAsia="fr-CH"/>
        </w:rPr>
        <w:t xml:space="preserve"> Cabinet du </w:t>
      </w:r>
      <w:r w:rsidR="00714913" w:rsidRPr="00147A5F">
        <w:rPr>
          <w:lang w:val="fr-FR" w:eastAsia="fr-CH"/>
        </w:rPr>
        <w:t xml:space="preserve">Procureur </w:t>
      </w:r>
      <w:r w:rsidR="00714913">
        <w:rPr>
          <w:lang w:val="fr-FR" w:eastAsia="fr-CH"/>
        </w:rPr>
        <w:t xml:space="preserve">général </w:t>
      </w:r>
      <w:r w:rsidR="00714913" w:rsidRPr="00147A5F">
        <w:rPr>
          <w:lang w:val="fr-FR" w:eastAsia="fr-CH"/>
        </w:rPr>
        <w:t xml:space="preserve">de la République et </w:t>
      </w:r>
      <w:r w:rsidR="00714913">
        <w:rPr>
          <w:lang w:val="fr-FR" w:eastAsia="fr-CH"/>
        </w:rPr>
        <w:t>l</w:t>
      </w:r>
      <w:r w:rsidR="00714913" w:rsidRPr="00147A5F">
        <w:rPr>
          <w:lang w:val="fr-FR" w:eastAsia="fr-CH"/>
        </w:rPr>
        <w:t xml:space="preserve">es unités spécialisées du </w:t>
      </w:r>
      <w:r w:rsidR="00714913">
        <w:rPr>
          <w:lang w:val="fr-FR" w:eastAsia="fr-CH"/>
        </w:rPr>
        <w:t>M</w:t>
      </w:r>
      <w:r w:rsidR="00714913" w:rsidRPr="00147A5F">
        <w:rPr>
          <w:lang w:val="fr-FR" w:eastAsia="fr-CH"/>
        </w:rPr>
        <w:t>inistère de l</w:t>
      </w:r>
      <w:r w:rsidR="00714913">
        <w:rPr>
          <w:lang w:val="fr-FR" w:eastAsia="fr-CH"/>
        </w:rPr>
        <w:t>’</w:t>
      </w:r>
      <w:r w:rsidR="00714913" w:rsidRPr="00147A5F">
        <w:rPr>
          <w:lang w:val="fr-FR" w:eastAsia="fr-CH"/>
        </w:rPr>
        <w:t xml:space="preserve">intérieur </w:t>
      </w:r>
      <w:r w:rsidR="00714913">
        <w:rPr>
          <w:lang w:val="fr-FR" w:eastAsia="fr-CH"/>
        </w:rPr>
        <w:t xml:space="preserve">procèdent à l’évaluation </w:t>
      </w:r>
      <w:r w:rsidR="00714913" w:rsidRPr="00147A5F">
        <w:rPr>
          <w:lang w:val="fr-FR" w:eastAsia="fr-CH"/>
        </w:rPr>
        <w:t xml:space="preserve">systématique </w:t>
      </w:r>
      <w:r w:rsidR="00714913">
        <w:rPr>
          <w:lang w:val="fr-FR" w:eastAsia="fr-CH"/>
        </w:rPr>
        <w:t>des personnes</w:t>
      </w:r>
      <w:r w:rsidR="00714913" w:rsidRPr="00147A5F">
        <w:rPr>
          <w:lang w:val="fr-FR" w:eastAsia="fr-CH"/>
        </w:rPr>
        <w:t xml:space="preserve"> condamné</w:t>
      </w:r>
      <w:r w:rsidR="00714913">
        <w:rPr>
          <w:lang w:val="fr-FR" w:eastAsia="fr-CH"/>
        </w:rPr>
        <w:t>e</w:t>
      </w:r>
      <w:r w:rsidR="00714913" w:rsidRPr="00147A5F">
        <w:rPr>
          <w:lang w:val="fr-FR" w:eastAsia="fr-CH"/>
        </w:rPr>
        <w:t>s</w:t>
      </w:r>
      <w:r w:rsidR="00714913">
        <w:rPr>
          <w:lang w:val="fr-FR" w:eastAsia="fr-CH"/>
        </w:rPr>
        <w:t xml:space="preserve"> et approuvent leur libération anticipée, compte tenu de</w:t>
      </w:r>
      <w:r w:rsidR="00714913" w:rsidRPr="00147A5F">
        <w:rPr>
          <w:lang w:val="fr-FR" w:eastAsia="fr-CH"/>
        </w:rPr>
        <w:t xml:space="preserve"> leur comportement, </w:t>
      </w:r>
      <w:r w:rsidR="00714913">
        <w:rPr>
          <w:lang w:val="fr-FR" w:eastAsia="fr-CH"/>
        </w:rPr>
        <w:t xml:space="preserve">de la nature des </w:t>
      </w:r>
      <w:r w:rsidR="00714913" w:rsidRPr="00147A5F">
        <w:rPr>
          <w:lang w:val="fr-FR" w:eastAsia="fr-CH"/>
        </w:rPr>
        <w:t>infractions commises</w:t>
      </w:r>
      <w:r w:rsidR="00714913">
        <w:rPr>
          <w:lang w:val="fr-FR" w:eastAsia="fr-CH"/>
        </w:rPr>
        <w:t>,</w:t>
      </w:r>
      <w:r w:rsidR="00714913" w:rsidRPr="00147A5F">
        <w:rPr>
          <w:lang w:val="fr-FR" w:eastAsia="fr-CH"/>
        </w:rPr>
        <w:t xml:space="preserve"> </w:t>
      </w:r>
      <w:r w:rsidR="00714913">
        <w:rPr>
          <w:lang w:val="fr-FR" w:eastAsia="fr-CH"/>
        </w:rPr>
        <w:t>de leur situation familiale et de leur état de santé.</w:t>
      </w:r>
    </w:p>
    <w:p w:rsidR="00714913" w:rsidRPr="0072285E" w:rsidRDefault="00522350" w:rsidP="00362B06">
      <w:pPr>
        <w:pStyle w:val="SingleTxtG"/>
        <w:rPr>
          <w:lang w:val="fr-CH" w:eastAsia="fr-CH"/>
        </w:rPr>
      </w:pPr>
      <w:r>
        <w:rPr>
          <w:lang w:val="fr-FR" w:eastAsia="fr-CH"/>
        </w:rPr>
        <w:t>6.</w:t>
      </w:r>
      <w:r>
        <w:rPr>
          <w:lang w:val="fr-FR" w:eastAsia="fr-CH"/>
        </w:rPr>
        <w:tab/>
      </w:r>
      <w:r w:rsidR="00714913" w:rsidRPr="0072285E">
        <w:rPr>
          <w:lang w:val="fr-FR" w:eastAsia="fr-CH"/>
        </w:rPr>
        <w:t xml:space="preserve">La législation </w:t>
      </w:r>
      <w:r w:rsidR="00714913">
        <w:rPr>
          <w:lang w:val="fr-FR" w:eastAsia="fr-CH"/>
        </w:rPr>
        <w:t>existante</w:t>
      </w:r>
      <w:r w:rsidR="00714913" w:rsidRPr="0072285E">
        <w:rPr>
          <w:lang w:val="fr-FR" w:eastAsia="fr-CH"/>
        </w:rPr>
        <w:t>, y compris les instruments applicables aux lieux de détention, co</w:t>
      </w:r>
      <w:r w:rsidR="00714913">
        <w:rPr>
          <w:lang w:val="fr-FR" w:eastAsia="fr-CH"/>
        </w:rPr>
        <w:t xml:space="preserve">mporte les garanties </w:t>
      </w:r>
      <w:r w:rsidR="00714913" w:rsidRPr="0072285E">
        <w:rPr>
          <w:lang w:val="fr-FR" w:eastAsia="fr-CH"/>
        </w:rPr>
        <w:t xml:space="preserve">universellement acceptées visant à protéger </w:t>
      </w:r>
      <w:r w:rsidR="00714913">
        <w:rPr>
          <w:lang w:val="fr-FR" w:eastAsia="fr-CH"/>
        </w:rPr>
        <w:t xml:space="preserve">toutes </w:t>
      </w:r>
      <w:r w:rsidR="00714913" w:rsidRPr="0072285E">
        <w:rPr>
          <w:lang w:val="fr-FR" w:eastAsia="fr-CH"/>
        </w:rPr>
        <w:t xml:space="preserve">les personnes contre la torture et autres peines ou traitements cruels, inhumains ou dégradants. Des mesures </w:t>
      </w:r>
      <w:r w:rsidR="00714913">
        <w:rPr>
          <w:lang w:val="fr-FR" w:eastAsia="fr-CH"/>
        </w:rPr>
        <w:t xml:space="preserve">pratiques </w:t>
      </w:r>
      <w:r w:rsidR="00714913" w:rsidRPr="0072285E">
        <w:rPr>
          <w:lang w:val="fr-FR" w:eastAsia="fr-CH"/>
        </w:rPr>
        <w:t xml:space="preserve">ont été également prises </w:t>
      </w:r>
      <w:r w:rsidR="00714913">
        <w:rPr>
          <w:lang w:val="fr-FR" w:eastAsia="fr-CH"/>
        </w:rPr>
        <w:t>afin de prévenir la commission d’</w:t>
      </w:r>
      <w:r w:rsidR="00714913" w:rsidRPr="0072285E">
        <w:rPr>
          <w:lang w:val="fr-FR" w:eastAsia="fr-CH"/>
        </w:rPr>
        <w:t xml:space="preserve">actes </w:t>
      </w:r>
      <w:r w:rsidR="00714913">
        <w:rPr>
          <w:lang w:val="fr-FR" w:eastAsia="fr-CH"/>
        </w:rPr>
        <w:t xml:space="preserve">constituant une violation de </w:t>
      </w:r>
      <w:r w:rsidR="00714913" w:rsidRPr="0072285E">
        <w:rPr>
          <w:lang w:val="fr-FR" w:eastAsia="fr-CH"/>
        </w:rPr>
        <w:t>la</w:t>
      </w:r>
      <w:r w:rsidR="00714913">
        <w:rPr>
          <w:lang w:val="fr-FR" w:eastAsia="fr-CH"/>
        </w:rPr>
        <w:t xml:space="preserve"> </w:t>
      </w:r>
      <w:r w:rsidR="00714913" w:rsidRPr="0072285E">
        <w:rPr>
          <w:lang w:val="fr-FR" w:eastAsia="fr-CH"/>
        </w:rPr>
        <w:t xml:space="preserve">Convention et </w:t>
      </w:r>
      <w:r w:rsidR="00714913">
        <w:rPr>
          <w:lang w:val="fr-FR" w:eastAsia="fr-CH"/>
        </w:rPr>
        <w:t>contraires à la législation nationale</w:t>
      </w:r>
      <w:r w:rsidR="00714913" w:rsidRPr="0072285E">
        <w:rPr>
          <w:lang w:val="fr-FR" w:eastAsia="fr-CH"/>
        </w:rPr>
        <w:t xml:space="preserve">. Les définitions </w:t>
      </w:r>
      <w:r w:rsidR="00714913">
        <w:rPr>
          <w:lang w:val="fr-FR" w:eastAsia="fr-CH"/>
        </w:rPr>
        <w:t xml:space="preserve">que le droit pénal cubain donne des </w:t>
      </w:r>
      <w:r w:rsidR="00714913" w:rsidRPr="0072285E">
        <w:rPr>
          <w:lang w:val="fr-FR" w:eastAsia="fr-CH"/>
        </w:rPr>
        <w:t xml:space="preserve">infractions </w:t>
      </w:r>
      <w:r w:rsidR="00714913">
        <w:rPr>
          <w:lang w:val="fr-FR" w:eastAsia="fr-CH"/>
        </w:rPr>
        <w:t>concernées sont</w:t>
      </w:r>
      <w:r w:rsidR="00714913" w:rsidRPr="0072285E">
        <w:rPr>
          <w:lang w:val="fr-FR" w:eastAsia="fr-CH"/>
        </w:rPr>
        <w:t xml:space="preserve"> compatibles avec les dispositions de la Convention, et </w:t>
      </w:r>
      <w:r w:rsidR="00714913">
        <w:rPr>
          <w:lang w:val="fr-FR" w:eastAsia="fr-CH"/>
        </w:rPr>
        <w:t xml:space="preserve">les </w:t>
      </w:r>
      <w:r w:rsidR="00714913" w:rsidRPr="0072285E">
        <w:rPr>
          <w:lang w:val="fr-FR" w:eastAsia="fr-CH"/>
        </w:rPr>
        <w:t xml:space="preserve">actes de torture et </w:t>
      </w:r>
      <w:r w:rsidR="00714913">
        <w:rPr>
          <w:lang w:val="fr-FR" w:eastAsia="fr-CH"/>
        </w:rPr>
        <w:t xml:space="preserve">les </w:t>
      </w:r>
      <w:r w:rsidR="00714913" w:rsidRPr="0072285E">
        <w:rPr>
          <w:lang w:val="fr-FR" w:eastAsia="fr-CH"/>
        </w:rPr>
        <w:t>mauvais trait</w:t>
      </w:r>
      <w:r w:rsidR="00714913">
        <w:rPr>
          <w:lang w:val="fr-FR" w:eastAsia="fr-CH"/>
        </w:rPr>
        <w:t>ements sont absolument interdit</w:t>
      </w:r>
      <w:r w:rsidR="00714913" w:rsidRPr="0072285E">
        <w:rPr>
          <w:lang w:val="fr-FR" w:eastAsia="fr-CH"/>
        </w:rPr>
        <w:t>s. L</w:t>
      </w:r>
      <w:r w:rsidR="00714913">
        <w:rPr>
          <w:lang w:val="fr-FR" w:eastAsia="fr-CH"/>
        </w:rPr>
        <w:t>’</w:t>
      </w:r>
      <w:r w:rsidR="00714913" w:rsidRPr="0072285E">
        <w:rPr>
          <w:lang w:val="fr-FR" w:eastAsia="fr-CH"/>
        </w:rPr>
        <w:t>impunité n</w:t>
      </w:r>
      <w:r w:rsidR="00714913">
        <w:rPr>
          <w:lang w:val="fr-FR" w:eastAsia="fr-CH"/>
        </w:rPr>
        <w:t xml:space="preserve">’est ni </w:t>
      </w:r>
      <w:r w:rsidR="00714913" w:rsidRPr="0072285E">
        <w:rPr>
          <w:lang w:val="fr-FR" w:eastAsia="fr-CH"/>
        </w:rPr>
        <w:t xml:space="preserve">tolérée </w:t>
      </w:r>
      <w:r w:rsidR="00714913">
        <w:rPr>
          <w:lang w:val="fr-FR" w:eastAsia="fr-CH"/>
        </w:rPr>
        <w:t>ni</w:t>
      </w:r>
      <w:r w:rsidR="00714913" w:rsidRPr="0072285E">
        <w:rPr>
          <w:lang w:val="fr-FR" w:eastAsia="fr-CH"/>
        </w:rPr>
        <w:t xml:space="preserve"> protégée par </w:t>
      </w:r>
      <w:r w:rsidR="00714913">
        <w:rPr>
          <w:lang w:val="fr-FR" w:eastAsia="fr-CH"/>
        </w:rPr>
        <w:t>d</w:t>
      </w:r>
      <w:r w:rsidR="00714913" w:rsidRPr="0072285E">
        <w:rPr>
          <w:lang w:val="fr-FR" w:eastAsia="fr-CH"/>
        </w:rPr>
        <w:t xml:space="preserve">es lois ou </w:t>
      </w:r>
      <w:r w:rsidR="00714913">
        <w:rPr>
          <w:lang w:val="fr-FR" w:eastAsia="fr-CH"/>
        </w:rPr>
        <w:t xml:space="preserve">des </w:t>
      </w:r>
      <w:r w:rsidR="00714913" w:rsidRPr="0072285E">
        <w:rPr>
          <w:lang w:val="fr-FR" w:eastAsia="fr-CH"/>
        </w:rPr>
        <w:t>règlements</w:t>
      </w:r>
      <w:r w:rsidR="00714913">
        <w:rPr>
          <w:lang w:val="fr-FR" w:eastAsia="fr-CH"/>
        </w:rPr>
        <w:t xml:space="preserve"> quels qu’ils soient</w:t>
      </w:r>
      <w:r w:rsidR="00714913" w:rsidRPr="0072285E">
        <w:rPr>
          <w:lang w:val="fr-FR" w:eastAsia="fr-CH"/>
        </w:rPr>
        <w:t>.</w:t>
      </w:r>
    </w:p>
    <w:p w:rsidR="00714913" w:rsidRPr="0072285E" w:rsidRDefault="00522350" w:rsidP="002B5422">
      <w:pPr>
        <w:pStyle w:val="SingleTxtG"/>
        <w:rPr>
          <w:lang w:val="fr-CH" w:eastAsia="fr-CH"/>
        </w:rPr>
      </w:pPr>
      <w:r>
        <w:rPr>
          <w:lang w:val="fr-FR" w:eastAsia="fr-CH"/>
        </w:rPr>
        <w:t>7.</w:t>
      </w:r>
      <w:r>
        <w:rPr>
          <w:lang w:val="fr-FR" w:eastAsia="fr-CH"/>
        </w:rPr>
        <w:tab/>
      </w:r>
      <w:r w:rsidR="00714913">
        <w:rPr>
          <w:lang w:val="fr-FR" w:eastAsia="fr-CH"/>
        </w:rPr>
        <w:t>Cependant</w:t>
      </w:r>
      <w:r w:rsidR="00714913" w:rsidRPr="0072285E">
        <w:rPr>
          <w:lang w:val="fr-FR" w:eastAsia="fr-CH"/>
        </w:rPr>
        <w:t xml:space="preserve">, les autorités cubaines </w:t>
      </w:r>
      <w:r w:rsidR="00714913">
        <w:rPr>
          <w:lang w:val="fr-FR" w:eastAsia="fr-CH"/>
        </w:rPr>
        <w:t xml:space="preserve">ne sont pas </w:t>
      </w:r>
      <w:r w:rsidR="00714913" w:rsidRPr="0072285E">
        <w:rPr>
          <w:lang w:val="fr-FR" w:eastAsia="fr-CH"/>
        </w:rPr>
        <w:t xml:space="preserve">satisfaites </w:t>
      </w:r>
      <w:r w:rsidR="00714913">
        <w:rPr>
          <w:lang w:val="fr-FR" w:eastAsia="fr-CH"/>
        </w:rPr>
        <w:t xml:space="preserve">des résultats obtenus jusqu’à présent et prennent </w:t>
      </w:r>
      <w:r w:rsidR="00714913" w:rsidRPr="0072285E">
        <w:rPr>
          <w:lang w:val="fr-FR" w:eastAsia="fr-CH"/>
        </w:rPr>
        <w:t xml:space="preserve">des mesures pour garantir le respect de toutes les dispositions normatives et pratiques de la Convention. Par exemple, des études </w:t>
      </w:r>
      <w:r w:rsidR="00714913">
        <w:rPr>
          <w:lang w:val="fr-FR" w:eastAsia="fr-CH"/>
        </w:rPr>
        <w:t>s</w:t>
      </w:r>
      <w:r w:rsidR="00714913" w:rsidRPr="0072285E">
        <w:rPr>
          <w:lang w:val="fr-FR" w:eastAsia="fr-CH"/>
        </w:rPr>
        <w:t xml:space="preserve">ont </w:t>
      </w:r>
      <w:r w:rsidR="00714913">
        <w:rPr>
          <w:lang w:val="fr-FR" w:eastAsia="fr-CH"/>
        </w:rPr>
        <w:t xml:space="preserve">en cours </w:t>
      </w:r>
      <w:r w:rsidR="00714913" w:rsidRPr="0072285E">
        <w:rPr>
          <w:lang w:val="fr-FR" w:eastAsia="fr-CH"/>
        </w:rPr>
        <w:t xml:space="preserve">en vue </w:t>
      </w:r>
      <w:r w:rsidR="00714913">
        <w:rPr>
          <w:lang w:val="fr-FR" w:eastAsia="fr-CH"/>
        </w:rPr>
        <w:t xml:space="preserve">d’amender et de mettre à jour </w:t>
      </w:r>
      <w:r w:rsidR="00714913" w:rsidRPr="0072285E">
        <w:rPr>
          <w:lang w:val="fr-FR" w:eastAsia="fr-CH"/>
        </w:rPr>
        <w:t>le Code pénal. La définition du crime de torture se</w:t>
      </w:r>
      <w:r w:rsidR="00714913">
        <w:rPr>
          <w:lang w:val="fr-FR" w:eastAsia="fr-CH"/>
        </w:rPr>
        <w:t>ra</w:t>
      </w:r>
      <w:r w:rsidR="00714913" w:rsidRPr="0072285E">
        <w:rPr>
          <w:lang w:val="fr-FR" w:eastAsia="fr-CH"/>
        </w:rPr>
        <w:t xml:space="preserve"> plus explicite et </w:t>
      </w:r>
      <w:r w:rsidR="00714913">
        <w:rPr>
          <w:lang w:val="fr-FR" w:eastAsia="fr-CH"/>
        </w:rPr>
        <w:t xml:space="preserve">sera alignée sur </w:t>
      </w:r>
      <w:r w:rsidR="00714913" w:rsidRPr="0072285E">
        <w:rPr>
          <w:lang w:val="fr-FR" w:eastAsia="fr-CH"/>
        </w:rPr>
        <w:t xml:space="preserve">la Convention. </w:t>
      </w:r>
      <w:r w:rsidR="00714913">
        <w:rPr>
          <w:lang w:val="fr-FR" w:eastAsia="fr-CH"/>
        </w:rPr>
        <w:t>L’Assemblée n</w:t>
      </w:r>
      <w:r w:rsidR="00714913" w:rsidRPr="0072285E">
        <w:rPr>
          <w:lang w:val="fr-FR" w:eastAsia="fr-CH"/>
        </w:rPr>
        <w:t>ational</w:t>
      </w:r>
      <w:r w:rsidR="00714913">
        <w:rPr>
          <w:lang w:val="fr-FR" w:eastAsia="fr-CH"/>
        </w:rPr>
        <w:t>e</w:t>
      </w:r>
      <w:r w:rsidR="00714913" w:rsidRPr="0072285E">
        <w:rPr>
          <w:lang w:val="fr-FR" w:eastAsia="fr-CH"/>
        </w:rPr>
        <w:t xml:space="preserve"> </w:t>
      </w:r>
      <w:r w:rsidR="00714913">
        <w:rPr>
          <w:lang w:val="fr-FR" w:eastAsia="fr-CH"/>
        </w:rPr>
        <w:t>du pouvoir populaire a</w:t>
      </w:r>
      <w:r w:rsidR="00714913" w:rsidRPr="0072285E">
        <w:rPr>
          <w:lang w:val="fr-FR" w:eastAsia="fr-CH"/>
        </w:rPr>
        <w:t xml:space="preserve"> décidé</w:t>
      </w:r>
      <w:r w:rsidR="00714913">
        <w:rPr>
          <w:lang w:val="fr-FR" w:eastAsia="fr-CH"/>
        </w:rPr>
        <w:t>,</w:t>
      </w:r>
      <w:r w:rsidR="00714913" w:rsidRPr="0072285E">
        <w:rPr>
          <w:lang w:val="fr-FR" w:eastAsia="fr-CH"/>
        </w:rPr>
        <w:t xml:space="preserve"> en décembre 2011</w:t>
      </w:r>
      <w:r w:rsidR="00714913">
        <w:rPr>
          <w:lang w:val="fr-FR" w:eastAsia="fr-CH"/>
        </w:rPr>
        <w:t xml:space="preserve">, de rénover </w:t>
      </w:r>
      <w:r w:rsidR="00714913" w:rsidRPr="0072285E">
        <w:rPr>
          <w:lang w:val="fr-FR" w:eastAsia="fr-CH"/>
        </w:rPr>
        <w:t xml:space="preserve">la législation pénale. </w:t>
      </w:r>
      <w:r w:rsidR="00714913">
        <w:rPr>
          <w:lang w:val="fr-FR" w:eastAsia="fr-CH"/>
        </w:rPr>
        <w:t>Cependant, les d</w:t>
      </w:r>
      <w:r w:rsidR="00714913" w:rsidRPr="0072285E">
        <w:rPr>
          <w:lang w:val="fr-FR" w:eastAsia="fr-CH"/>
        </w:rPr>
        <w:t xml:space="preserve">ifficultés matérielles, y compris le blocus économique imposé par le </w:t>
      </w:r>
      <w:r w:rsidR="00714913">
        <w:rPr>
          <w:lang w:val="fr-FR" w:eastAsia="fr-CH"/>
        </w:rPr>
        <w:t>G</w:t>
      </w:r>
      <w:r w:rsidR="00714913" w:rsidRPr="0072285E">
        <w:rPr>
          <w:lang w:val="fr-FR" w:eastAsia="fr-CH"/>
        </w:rPr>
        <w:t xml:space="preserve">ouvernement des États-Unis, </w:t>
      </w:r>
      <w:r w:rsidR="00714913">
        <w:rPr>
          <w:lang w:val="fr-FR" w:eastAsia="fr-CH"/>
        </w:rPr>
        <w:t xml:space="preserve">ont entravé </w:t>
      </w:r>
      <w:r w:rsidR="00714913" w:rsidRPr="0072285E">
        <w:rPr>
          <w:lang w:val="fr-FR" w:eastAsia="fr-CH"/>
        </w:rPr>
        <w:t>la rénovation de certain</w:t>
      </w:r>
      <w:r w:rsidR="00714913">
        <w:rPr>
          <w:lang w:val="fr-FR" w:eastAsia="fr-CH"/>
        </w:rPr>
        <w:t>e</w:t>
      </w:r>
      <w:r w:rsidR="00714913" w:rsidRPr="0072285E">
        <w:rPr>
          <w:lang w:val="fr-FR" w:eastAsia="fr-CH"/>
        </w:rPr>
        <w:t xml:space="preserve">s </w:t>
      </w:r>
      <w:r w:rsidR="00714913">
        <w:rPr>
          <w:lang w:val="fr-FR" w:eastAsia="fr-CH"/>
        </w:rPr>
        <w:t>installations carcérales</w:t>
      </w:r>
      <w:r w:rsidR="00714913" w:rsidRPr="0072285E">
        <w:rPr>
          <w:lang w:val="fr-FR" w:eastAsia="fr-CH"/>
        </w:rPr>
        <w:t>. Le blocus touch</w:t>
      </w:r>
      <w:r w:rsidR="00714913">
        <w:rPr>
          <w:lang w:val="fr-FR" w:eastAsia="fr-CH"/>
        </w:rPr>
        <w:t>e</w:t>
      </w:r>
      <w:r w:rsidR="00714913" w:rsidRPr="0072285E">
        <w:rPr>
          <w:lang w:val="fr-FR" w:eastAsia="fr-CH"/>
        </w:rPr>
        <w:t xml:space="preserve"> tous les aspects de la vie</w:t>
      </w:r>
      <w:r w:rsidR="00714913">
        <w:rPr>
          <w:lang w:val="fr-FR" w:eastAsia="fr-CH"/>
        </w:rPr>
        <w:t xml:space="preserve"> à Cuba</w:t>
      </w:r>
      <w:r w:rsidR="00714913" w:rsidRPr="0072285E">
        <w:rPr>
          <w:lang w:val="fr-FR" w:eastAsia="fr-CH"/>
        </w:rPr>
        <w:t xml:space="preserve"> et </w:t>
      </w:r>
      <w:r w:rsidR="00714913">
        <w:rPr>
          <w:lang w:val="fr-FR" w:eastAsia="fr-CH"/>
        </w:rPr>
        <w:t xml:space="preserve">les dommages qu’il </w:t>
      </w:r>
      <w:r w:rsidR="00714913" w:rsidRPr="0072285E">
        <w:rPr>
          <w:lang w:val="fr-FR" w:eastAsia="fr-CH"/>
        </w:rPr>
        <w:t>a infligé</w:t>
      </w:r>
      <w:r w:rsidR="00714913">
        <w:rPr>
          <w:lang w:val="fr-FR" w:eastAsia="fr-CH"/>
        </w:rPr>
        <w:t>s</w:t>
      </w:r>
      <w:r w:rsidR="00714913" w:rsidRPr="0072285E">
        <w:rPr>
          <w:lang w:val="fr-FR" w:eastAsia="fr-CH"/>
        </w:rPr>
        <w:t xml:space="preserve"> </w:t>
      </w:r>
      <w:r w:rsidR="00714913">
        <w:rPr>
          <w:lang w:val="fr-FR" w:eastAsia="fr-CH"/>
        </w:rPr>
        <w:t xml:space="preserve">à l’économie s’élèvent à </w:t>
      </w:r>
      <w:r w:rsidR="00714913" w:rsidRPr="0072285E">
        <w:rPr>
          <w:lang w:val="fr-FR" w:eastAsia="fr-CH"/>
        </w:rPr>
        <w:t>104</w:t>
      </w:r>
      <w:r w:rsidR="00714913">
        <w:rPr>
          <w:lang w:val="fr-FR" w:eastAsia="fr-CH"/>
        </w:rPr>
        <w:t> </w:t>
      </w:r>
      <w:r w:rsidR="00714913" w:rsidRPr="0072285E">
        <w:rPr>
          <w:lang w:val="fr-FR" w:eastAsia="fr-CH"/>
        </w:rPr>
        <w:t xml:space="preserve">000 millions </w:t>
      </w:r>
      <w:r w:rsidR="00714913">
        <w:rPr>
          <w:lang w:val="fr-FR" w:eastAsia="fr-CH"/>
        </w:rPr>
        <w:t xml:space="preserve">de dollars </w:t>
      </w:r>
      <w:r w:rsidR="002B5422">
        <w:rPr>
          <w:lang w:val="fr-FR" w:eastAsia="fr-CH"/>
        </w:rPr>
        <w:t xml:space="preserve">des </w:t>
      </w:r>
      <w:r w:rsidR="00714913">
        <w:rPr>
          <w:lang w:val="fr-FR" w:eastAsia="fr-CH"/>
        </w:rPr>
        <w:t>É</w:t>
      </w:r>
      <w:r w:rsidR="002B5422">
        <w:rPr>
          <w:lang w:val="fr-FR" w:eastAsia="fr-CH"/>
        </w:rPr>
        <w:t>tats</w:t>
      </w:r>
      <w:r w:rsidR="00714913">
        <w:rPr>
          <w:lang w:val="fr-FR" w:eastAsia="fr-CH"/>
        </w:rPr>
        <w:t>-U</w:t>
      </w:r>
      <w:r w:rsidR="002B5422">
        <w:rPr>
          <w:lang w:val="fr-FR" w:eastAsia="fr-CH"/>
        </w:rPr>
        <w:t>nis</w:t>
      </w:r>
      <w:r w:rsidR="00714913" w:rsidRPr="0072285E">
        <w:rPr>
          <w:lang w:val="fr-FR" w:eastAsia="fr-CH"/>
        </w:rPr>
        <w:t>.</w:t>
      </w:r>
    </w:p>
    <w:p w:rsidR="00714913" w:rsidRPr="00157F4F" w:rsidRDefault="00522350" w:rsidP="00362B06">
      <w:pPr>
        <w:pStyle w:val="SingleTxtG"/>
        <w:rPr>
          <w:lang w:val="fr-CH" w:eastAsia="fr-CH"/>
        </w:rPr>
      </w:pPr>
      <w:r>
        <w:rPr>
          <w:lang w:val="fr-CH" w:eastAsia="fr-CH"/>
        </w:rPr>
        <w:t>8.</w:t>
      </w:r>
      <w:r>
        <w:rPr>
          <w:lang w:val="fr-CH" w:eastAsia="fr-CH"/>
        </w:rPr>
        <w:tab/>
      </w:r>
      <w:r w:rsidR="00714913">
        <w:rPr>
          <w:lang w:val="fr-CH" w:eastAsia="fr-CH"/>
        </w:rPr>
        <w:t xml:space="preserve">L’établissement de statistiques est un défi pour tous </w:t>
      </w:r>
      <w:r w:rsidR="00714913" w:rsidRPr="00157F4F">
        <w:rPr>
          <w:lang w:val="fr-FR" w:eastAsia="fr-CH"/>
        </w:rPr>
        <w:t xml:space="preserve">les pays en développement et </w:t>
      </w:r>
      <w:r w:rsidR="00714913">
        <w:rPr>
          <w:lang w:val="fr-FR" w:eastAsia="fr-CH"/>
        </w:rPr>
        <w:t xml:space="preserve">l’intervenant </w:t>
      </w:r>
      <w:r w:rsidR="00714913" w:rsidRPr="00157F4F">
        <w:rPr>
          <w:lang w:val="fr-FR" w:eastAsia="fr-CH"/>
        </w:rPr>
        <w:t>n</w:t>
      </w:r>
      <w:r w:rsidR="00714913">
        <w:rPr>
          <w:lang w:val="fr-FR" w:eastAsia="fr-CH"/>
        </w:rPr>
        <w:t>’est</w:t>
      </w:r>
      <w:r w:rsidR="00714913" w:rsidRPr="00157F4F">
        <w:rPr>
          <w:lang w:val="fr-FR" w:eastAsia="fr-CH"/>
        </w:rPr>
        <w:t xml:space="preserve"> p</w:t>
      </w:r>
      <w:r w:rsidR="00714913">
        <w:rPr>
          <w:lang w:val="fr-FR" w:eastAsia="fr-CH"/>
        </w:rPr>
        <w:t>as en mesure de</w:t>
      </w:r>
      <w:r w:rsidR="00714913" w:rsidRPr="00157F4F">
        <w:rPr>
          <w:lang w:val="fr-FR" w:eastAsia="fr-CH"/>
        </w:rPr>
        <w:t xml:space="preserve"> fournir </w:t>
      </w:r>
      <w:r w:rsidR="00714913">
        <w:rPr>
          <w:lang w:val="fr-FR" w:eastAsia="fr-CH"/>
        </w:rPr>
        <w:t xml:space="preserve">au Comité </w:t>
      </w:r>
      <w:r w:rsidR="00714913" w:rsidRPr="00157F4F">
        <w:rPr>
          <w:lang w:val="fr-FR" w:eastAsia="fr-CH"/>
        </w:rPr>
        <w:t>toutes les données statistiques détaillées qu</w:t>
      </w:r>
      <w:r w:rsidR="00714913">
        <w:rPr>
          <w:lang w:val="fr-FR" w:eastAsia="fr-CH"/>
        </w:rPr>
        <w:t>’</w:t>
      </w:r>
      <w:r w:rsidR="00714913" w:rsidRPr="00157F4F">
        <w:rPr>
          <w:lang w:val="fr-FR" w:eastAsia="fr-CH"/>
        </w:rPr>
        <w:t>il a</w:t>
      </w:r>
      <w:r w:rsidR="00714913">
        <w:rPr>
          <w:lang w:val="fr-FR" w:eastAsia="fr-CH"/>
        </w:rPr>
        <w:t xml:space="preserve"> </w:t>
      </w:r>
      <w:r w:rsidR="00714913" w:rsidRPr="00157F4F">
        <w:rPr>
          <w:lang w:val="fr-FR" w:eastAsia="fr-CH"/>
        </w:rPr>
        <w:t>demandé</w:t>
      </w:r>
      <w:r w:rsidR="00714913">
        <w:rPr>
          <w:lang w:val="fr-FR" w:eastAsia="fr-CH"/>
        </w:rPr>
        <w:t>es</w:t>
      </w:r>
      <w:r w:rsidR="00714913" w:rsidRPr="00157F4F">
        <w:rPr>
          <w:lang w:val="fr-FR" w:eastAsia="fr-CH"/>
        </w:rPr>
        <w:t>. L</w:t>
      </w:r>
      <w:r w:rsidR="00714913">
        <w:rPr>
          <w:lang w:val="fr-FR" w:eastAsia="fr-CH"/>
        </w:rPr>
        <w:t>a l</w:t>
      </w:r>
      <w:r w:rsidR="00714913" w:rsidRPr="00157F4F">
        <w:rPr>
          <w:lang w:val="fr-FR" w:eastAsia="fr-CH"/>
        </w:rPr>
        <w:t xml:space="preserve">égislation pénale cubaine ne </w:t>
      </w:r>
      <w:r w:rsidR="00714913">
        <w:rPr>
          <w:lang w:val="fr-FR" w:eastAsia="fr-CH"/>
        </w:rPr>
        <w:t xml:space="preserve">donne </w:t>
      </w:r>
      <w:r w:rsidR="00714913" w:rsidRPr="00157F4F">
        <w:rPr>
          <w:lang w:val="fr-FR" w:eastAsia="fr-CH"/>
        </w:rPr>
        <w:t xml:space="preserve">pas </w:t>
      </w:r>
      <w:r w:rsidR="00714913">
        <w:rPr>
          <w:lang w:val="fr-FR" w:eastAsia="fr-CH"/>
        </w:rPr>
        <w:t xml:space="preserve">de </w:t>
      </w:r>
      <w:r w:rsidR="00714913" w:rsidRPr="00157F4F">
        <w:rPr>
          <w:lang w:val="fr-FR" w:eastAsia="fr-CH"/>
        </w:rPr>
        <w:t>définition de l</w:t>
      </w:r>
      <w:r w:rsidR="00714913">
        <w:rPr>
          <w:lang w:val="fr-FR" w:eastAsia="fr-CH"/>
        </w:rPr>
        <w:t>’</w:t>
      </w:r>
      <w:r w:rsidR="00714913" w:rsidRPr="00157F4F">
        <w:rPr>
          <w:lang w:val="fr-FR" w:eastAsia="fr-CH"/>
        </w:rPr>
        <w:t xml:space="preserve">infraction de violence </w:t>
      </w:r>
      <w:r w:rsidR="00714913">
        <w:rPr>
          <w:lang w:val="fr-FR" w:eastAsia="fr-CH"/>
        </w:rPr>
        <w:t>faite aux femmes</w:t>
      </w:r>
      <w:r w:rsidR="00714913" w:rsidRPr="00157F4F">
        <w:rPr>
          <w:lang w:val="fr-FR" w:eastAsia="fr-CH"/>
        </w:rPr>
        <w:t>, mais impos</w:t>
      </w:r>
      <w:r w:rsidR="00714913">
        <w:rPr>
          <w:lang w:val="fr-FR" w:eastAsia="fr-CH"/>
        </w:rPr>
        <w:t>e</w:t>
      </w:r>
      <w:r w:rsidR="00714913" w:rsidRPr="00157F4F">
        <w:rPr>
          <w:lang w:val="fr-FR" w:eastAsia="fr-CH"/>
        </w:rPr>
        <w:t xml:space="preserve"> des sanctions </w:t>
      </w:r>
      <w:r w:rsidR="00714913">
        <w:rPr>
          <w:lang w:val="fr-FR" w:eastAsia="fr-CH"/>
        </w:rPr>
        <w:t xml:space="preserve">applicables aux comportements qui pourraient </w:t>
      </w:r>
      <w:r w:rsidR="00714913" w:rsidRPr="00157F4F">
        <w:rPr>
          <w:lang w:val="fr-FR" w:eastAsia="fr-CH"/>
        </w:rPr>
        <w:t xml:space="preserve">constituer une telle infraction et </w:t>
      </w:r>
      <w:r w:rsidR="00714913">
        <w:rPr>
          <w:lang w:val="fr-FR" w:eastAsia="fr-CH"/>
        </w:rPr>
        <w:t>à</w:t>
      </w:r>
      <w:r w:rsidR="00714913" w:rsidRPr="00157F4F">
        <w:rPr>
          <w:lang w:val="fr-FR" w:eastAsia="fr-CH"/>
        </w:rPr>
        <w:t xml:space="preserve"> la violence en général. </w:t>
      </w:r>
      <w:r w:rsidR="00714913">
        <w:rPr>
          <w:lang w:val="fr-FR" w:eastAsia="fr-CH"/>
        </w:rPr>
        <w:t xml:space="preserve">Il est </w:t>
      </w:r>
      <w:r w:rsidR="00714913" w:rsidRPr="00157F4F">
        <w:rPr>
          <w:lang w:val="fr-FR" w:eastAsia="fr-CH"/>
        </w:rPr>
        <w:t xml:space="preserve">difficile, </w:t>
      </w:r>
      <w:r w:rsidR="00714913">
        <w:rPr>
          <w:lang w:val="fr-FR" w:eastAsia="fr-CH"/>
        </w:rPr>
        <w:t xml:space="preserve">cependant, de fournir des statistiques désagrégées sur le nombre de poursuites intentées </w:t>
      </w:r>
      <w:r w:rsidR="00714913" w:rsidRPr="00157F4F">
        <w:rPr>
          <w:lang w:val="fr-FR" w:eastAsia="fr-CH"/>
        </w:rPr>
        <w:t xml:space="preserve">pour </w:t>
      </w:r>
      <w:r w:rsidR="00714913">
        <w:rPr>
          <w:lang w:val="fr-FR" w:eastAsia="fr-CH"/>
        </w:rPr>
        <w:t>des cas de violence faite aux femmes</w:t>
      </w:r>
      <w:r w:rsidR="00714913" w:rsidRPr="00157F4F">
        <w:rPr>
          <w:lang w:val="fr-FR" w:eastAsia="fr-CH"/>
        </w:rPr>
        <w:t>.</w:t>
      </w:r>
    </w:p>
    <w:p w:rsidR="00714913" w:rsidRDefault="00522350" w:rsidP="00362B06">
      <w:pPr>
        <w:pStyle w:val="SingleTxtG"/>
        <w:rPr>
          <w:lang w:val="fr-FR" w:eastAsia="fr-CH"/>
        </w:rPr>
      </w:pPr>
      <w:r>
        <w:rPr>
          <w:lang w:val="fr-CH" w:eastAsia="fr-CH"/>
        </w:rPr>
        <w:t>9.</w:t>
      </w:r>
      <w:r>
        <w:rPr>
          <w:lang w:val="fr-CH" w:eastAsia="fr-CH"/>
        </w:rPr>
        <w:tab/>
      </w:r>
      <w:r w:rsidR="00714913" w:rsidRPr="00157F4F">
        <w:rPr>
          <w:lang w:val="fr-CH" w:eastAsia="fr-CH"/>
        </w:rPr>
        <w:t>Le retard avec lequel le rapport est présenté n</w:t>
      </w:r>
      <w:r w:rsidR="00714913">
        <w:rPr>
          <w:lang w:val="fr-CH" w:eastAsia="fr-CH"/>
        </w:rPr>
        <w:t>’</w:t>
      </w:r>
      <w:r w:rsidR="00714913" w:rsidRPr="00157F4F">
        <w:rPr>
          <w:lang w:val="fr-CH" w:eastAsia="fr-CH"/>
        </w:rPr>
        <w:t xml:space="preserve">implique </w:t>
      </w:r>
      <w:r w:rsidR="00714913">
        <w:rPr>
          <w:lang w:val="fr-CH" w:eastAsia="fr-CH"/>
        </w:rPr>
        <w:t xml:space="preserve">de la part de Cuba aucune </w:t>
      </w:r>
      <w:r w:rsidR="00714913" w:rsidRPr="00157F4F">
        <w:rPr>
          <w:lang w:val="fr-CH" w:eastAsia="fr-CH"/>
        </w:rPr>
        <w:t>négligen</w:t>
      </w:r>
      <w:r w:rsidR="00714913">
        <w:rPr>
          <w:lang w:val="fr-CH" w:eastAsia="fr-CH"/>
        </w:rPr>
        <w:t>ce</w:t>
      </w:r>
      <w:r w:rsidR="00714913" w:rsidRPr="00157F4F">
        <w:rPr>
          <w:lang w:val="fr-CH" w:eastAsia="fr-CH"/>
        </w:rPr>
        <w:t xml:space="preserve"> dans l</w:t>
      </w:r>
      <w:r w:rsidR="00714913">
        <w:rPr>
          <w:lang w:val="fr-CH" w:eastAsia="fr-CH"/>
        </w:rPr>
        <w:t>’</w:t>
      </w:r>
      <w:r w:rsidR="00714913" w:rsidRPr="00157F4F">
        <w:rPr>
          <w:lang w:val="fr-CH" w:eastAsia="fr-CH"/>
        </w:rPr>
        <w:t xml:space="preserve">exécution de ses obligations au titre de la Convention. Le dialogue actuel a lieu dans des circonstances particulières. Cuba est victime </w:t>
      </w:r>
      <w:r w:rsidR="00714913">
        <w:rPr>
          <w:lang w:val="fr-CH" w:eastAsia="fr-CH"/>
        </w:rPr>
        <w:t xml:space="preserve">d’une politique </w:t>
      </w:r>
      <w:r w:rsidR="00714913" w:rsidRPr="00157F4F">
        <w:rPr>
          <w:lang w:val="fr-CH" w:eastAsia="fr-CH"/>
        </w:rPr>
        <w:t>hostile du Gouvernements des États-Unis, destiné</w:t>
      </w:r>
      <w:r w:rsidR="00714913">
        <w:rPr>
          <w:lang w:val="fr-CH" w:eastAsia="fr-CH"/>
        </w:rPr>
        <w:t>e</w:t>
      </w:r>
      <w:r w:rsidR="00714913" w:rsidRPr="00157F4F">
        <w:rPr>
          <w:lang w:val="fr-CH" w:eastAsia="fr-CH"/>
        </w:rPr>
        <w:t xml:space="preserve"> à favoriser l</w:t>
      </w:r>
      <w:r w:rsidR="00714913">
        <w:rPr>
          <w:lang w:val="fr-CH" w:eastAsia="fr-CH"/>
        </w:rPr>
        <w:t>’</w:t>
      </w:r>
      <w:r w:rsidR="00714913" w:rsidRPr="00157F4F">
        <w:rPr>
          <w:lang w:val="fr-CH" w:eastAsia="fr-CH"/>
        </w:rPr>
        <w:t>instabilité int</w:t>
      </w:r>
      <w:r w:rsidR="00714913">
        <w:rPr>
          <w:lang w:val="fr-CH" w:eastAsia="fr-CH"/>
        </w:rPr>
        <w:t xml:space="preserve">érieure </w:t>
      </w:r>
      <w:r w:rsidR="00714913" w:rsidRPr="00157F4F">
        <w:rPr>
          <w:lang w:val="fr-CH" w:eastAsia="fr-CH"/>
        </w:rPr>
        <w:t>et à renverser l</w:t>
      </w:r>
      <w:r w:rsidR="00714913">
        <w:rPr>
          <w:lang w:val="fr-CH" w:eastAsia="fr-CH"/>
        </w:rPr>
        <w:t>’</w:t>
      </w:r>
      <w:r w:rsidR="00714913" w:rsidRPr="00157F4F">
        <w:rPr>
          <w:lang w:val="fr-CH" w:eastAsia="fr-CH"/>
        </w:rPr>
        <w:t>ordre constitutionnel choisi librement par le peuple cubain, en d</w:t>
      </w:r>
      <w:r w:rsidR="00714913">
        <w:rPr>
          <w:lang w:val="fr-CH" w:eastAsia="fr-CH"/>
        </w:rPr>
        <w:t>’</w:t>
      </w:r>
      <w:r w:rsidR="00183A9E">
        <w:rPr>
          <w:lang w:val="fr-CH" w:eastAsia="fr-CH"/>
        </w:rPr>
        <w:t>autres termes à promouvoir un «changement de régime</w:t>
      </w:r>
      <w:r w:rsidR="00714913" w:rsidRPr="00157F4F">
        <w:rPr>
          <w:lang w:val="fr-CH" w:eastAsia="fr-CH"/>
        </w:rPr>
        <w:t>». Les mécanismes des Nations Unies chargés des droits de l</w:t>
      </w:r>
      <w:r w:rsidR="00714913">
        <w:rPr>
          <w:lang w:val="fr-CH" w:eastAsia="fr-CH"/>
        </w:rPr>
        <w:t>’</w:t>
      </w:r>
      <w:r w:rsidR="00714913" w:rsidRPr="00157F4F">
        <w:rPr>
          <w:lang w:val="fr-CH" w:eastAsia="fr-CH"/>
        </w:rPr>
        <w:t>homme sont en outre manipulés à cette fin. Ceux qui sont derrière la campagne contre le pays de l</w:t>
      </w:r>
      <w:r w:rsidR="00714913">
        <w:rPr>
          <w:lang w:val="fr-CH" w:eastAsia="fr-CH"/>
        </w:rPr>
        <w:t>’</w:t>
      </w:r>
      <w:r w:rsidR="00714913" w:rsidRPr="00157F4F">
        <w:rPr>
          <w:lang w:val="fr-CH" w:eastAsia="fr-CH"/>
        </w:rPr>
        <w:t xml:space="preserve">intervenant </w:t>
      </w:r>
      <w:r w:rsidR="00714913">
        <w:rPr>
          <w:lang w:val="fr-CH" w:eastAsia="fr-CH"/>
        </w:rPr>
        <w:t>ont</w:t>
      </w:r>
      <w:r w:rsidR="00714913" w:rsidRPr="00157F4F">
        <w:rPr>
          <w:lang w:val="fr-FR" w:eastAsia="fr-CH"/>
        </w:rPr>
        <w:t xml:space="preserve"> eu recours </w:t>
      </w:r>
      <w:r w:rsidR="00714913">
        <w:rPr>
          <w:lang w:val="fr-FR" w:eastAsia="fr-CH"/>
        </w:rPr>
        <w:t xml:space="preserve">à des </w:t>
      </w:r>
      <w:r w:rsidR="00714913" w:rsidRPr="00157F4F">
        <w:rPr>
          <w:lang w:val="fr-FR" w:eastAsia="fr-CH"/>
        </w:rPr>
        <w:t xml:space="preserve">mensonges et </w:t>
      </w:r>
      <w:r w:rsidR="00714913">
        <w:rPr>
          <w:lang w:val="fr-FR" w:eastAsia="fr-CH"/>
        </w:rPr>
        <w:t>à d</w:t>
      </w:r>
      <w:r w:rsidR="00714913" w:rsidRPr="00157F4F">
        <w:rPr>
          <w:lang w:val="fr-FR" w:eastAsia="fr-CH"/>
        </w:rPr>
        <w:t>es distorsions des faits. Le Comité d</w:t>
      </w:r>
      <w:r w:rsidR="00714913">
        <w:rPr>
          <w:lang w:val="fr-FR" w:eastAsia="fr-CH"/>
        </w:rPr>
        <w:t xml:space="preserve">oit </w:t>
      </w:r>
      <w:r w:rsidR="00714913" w:rsidRPr="00157F4F">
        <w:rPr>
          <w:lang w:val="fr-FR" w:eastAsia="fr-CH"/>
        </w:rPr>
        <w:t xml:space="preserve">être </w:t>
      </w:r>
      <w:r w:rsidR="00714913">
        <w:rPr>
          <w:lang w:val="fr-FR" w:eastAsia="fr-CH"/>
        </w:rPr>
        <w:t xml:space="preserve">conscient </w:t>
      </w:r>
      <w:r w:rsidR="00714913" w:rsidRPr="00157F4F">
        <w:rPr>
          <w:lang w:val="fr-FR" w:eastAsia="fr-CH"/>
        </w:rPr>
        <w:t xml:space="preserve">de ces circonstances pour </w:t>
      </w:r>
      <w:r w:rsidR="00714913">
        <w:rPr>
          <w:lang w:val="fr-FR" w:eastAsia="fr-CH"/>
        </w:rPr>
        <w:t xml:space="preserve">conduire une évaluation </w:t>
      </w:r>
      <w:r w:rsidR="00714913" w:rsidRPr="00157F4F">
        <w:rPr>
          <w:lang w:val="fr-FR" w:eastAsia="fr-CH"/>
        </w:rPr>
        <w:t>objecti</w:t>
      </w:r>
      <w:r w:rsidR="00714913">
        <w:rPr>
          <w:lang w:val="fr-FR" w:eastAsia="fr-CH"/>
        </w:rPr>
        <w:t>ve</w:t>
      </w:r>
      <w:r w:rsidR="00714913" w:rsidRPr="00157F4F">
        <w:rPr>
          <w:lang w:val="fr-FR" w:eastAsia="fr-CH"/>
        </w:rPr>
        <w:t xml:space="preserve"> et impartiale de la situation à Cuba. Cuba a</w:t>
      </w:r>
      <w:r w:rsidR="00714913">
        <w:rPr>
          <w:lang w:val="fr-FR" w:eastAsia="fr-CH"/>
        </w:rPr>
        <w:t xml:space="preserve"> </w:t>
      </w:r>
      <w:r w:rsidR="00714913" w:rsidRPr="00157F4F">
        <w:rPr>
          <w:lang w:val="fr-FR" w:eastAsia="fr-CH"/>
        </w:rPr>
        <w:t xml:space="preserve">répondu </w:t>
      </w:r>
      <w:r w:rsidR="00714913">
        <w:rPr>
          <w:lang w:val="fr-FR" w:eastAsia="fr-CH"/>
        </w:rPr>
        <w:t xml:space="preserve">aux </w:t>
      </w:r>
      <w:r w:rsidR="00714913" w:rsidRPr="00157F4F">
        <w:rPr>
          <w:lang w:val="fr-FR" w:eastAsia="fr-CH"/>
        </w:rPr>
        <w:t>communication</w:t>
      </w:r>
      <w:r w:rsidR="00714913">
        <w:rPr>
          <w:lang w:val="fr-FR" w:eastAsia="fr-CH"/>
        </w:rPr>
        <w:t>s qu’</w:t>
      </w:r>
      <w:r w:rsidR="00714913" w:rsidRPr="00157F4F">
        <w:rPr>
          <w:lang w:val="fr-FR" w:eastAsia="fr-CH"/>
        </w:rPr>
        <w:t>il a</w:t>
      </w:r>
      <w:r w:rsidR="00714913">
        <w:rPr>
          <w:lang w:val="fr-FR" w:eastAsia="fr-CH"/>
        </w:rPr>
        <w:t xml:space="preserve"> </w:t>
      </w:r>
      <w:r w:rsidR="00714913" w:rsidRPr="00157F4F">
        <w:rPr>
          <w:lang w:val="fr-FR" w:eastAsia="fr-CH"/>
        </w:rPr>
        <w:t>reçu</w:t>
      </w:r>
      <w:r w:rsidR="00714913">
        <w:rPr>
          <w:lang w:val="fr-FR" w:eastAsia="fr-CH"/>
        </w:rPr>
        <w:t>es</w:t>
      </w:r>
      <w:r w:rsidR="00714913" w:rsidRPr="00157F4F">
        <w:rPr>
          <w:lang w:val="fr-FR" w:eastAsia="fr-CH"/>
        </w:rPr>
        <w:t xml:space="preserve"> de</w:t>
      </w:r>
      <w:r w:rsidR="00714913">
        <w:rPr>
          <w:lang w:val="fr-FR" w:eastAsia="fr-CH"/>
        </w:rPr>
        <w:t xml:space="preserve">s procédures de l’ONU chargées </w:t>
      </w:r>
      <w:r w:rsidR="00714913" w:rsidRPr="00157F4F">
        <w:rPr>
          <w:lang w:val="fr-FR" w:eastAsia="fr-CH"/>
        </w:rPr>
        <w:t>des droits de l</w:t>
      </w:r>
      <w:r w:rsidR="00714913">
        <w:rPr>
          <w:lang w:val="fr-FR" w:eastAsia="fr-CH"/>
        </w:rPr>
        <w:t>’</w:t>
      </w:r>
      <w:r w:rsidR="00714913" w:rsidRPr="00157F4F">
        <w:rPr>
          <w:lang w:val="fr-FR" w:eastAsia="fr-CH"/>
        </w:rPr>
        <w:t>homme</w:t>
      </w:r>
      <w:r w:rsidR="00714913">
        <w:rPr>
          <w:lang w:val="fr-FR" w:eastAsia="fr-CH"/>
        </w:rPr>
        <w:t>, mais déplore que les sources et</w:t>
      </w:r>
      <w:r w:rsidR="00714913" w:rsidRPr="00157F4F">
        <w:rPr>
          <w:lang w:val="fr-FR" w:eastAsia="fr-CH"/>
        </w:rPr>
        <w:t xml:space="preserve"> la crédibilité des allégations </w:t>
      </w:r>
      <w:r w:rsidR="00714913">
        <w:rPr>
          <w:lang w:val="fr-FR" w:eastAsia="fr-CH"/>
        </w:rPr>
        <w:t>n’aient pas été examinées de plus près.</w:t>
      </w:r>
    </w:p>
    <w:p w:rsidR="00714913" w:rsidRPr="000708B9" w:rsidRDefault="00522350" w:rsidP="00362B06">
      <w:pPr>
        <w:pStyle w:val="SingleTxtG"/>
        <w:rPr>
          <w:lang w:val="fr-CH" w:eastAsia="fr-CH"/>
        </w:rPr>
      </w:pPr>
      <w:r>
        <w:rPr>
          <w:lang w:val="fr-FR" w:eastAsia="fr-CH"/>
        </w:rPr>
        <w:t>10.</w:t>
      </w:r>
      <w:r>
        <w:rPr>
          <w:lang w:val="fr-FR" w:eastAsia="fr-CH"/>
        </w:rPr>
        <w:tab/>
      </w:r>
      <w:r w:rsidR="00714913" w:rsidRPr="000708B9">
        <w:rPr>
          <w:lang w:val="fr-FR" w:eastAsia="fr-CH"/>
        </w:rPr>
        <w:t>Le</w:t>
      </w:r>
      <w:r w:rsidR="00714913">
        <w:rPr>
          <w:lang w:val="fr-FR" w:eastAsia="fr-CH"/>
        </w:rPr>
        <w:t xml:space="preserve">s </w:t>
      </w:r>
      <w:r w:rsidR="00714913" w:rsidRPr="000708B9">
        <w:rPr>
          <w:lang w:val="fr-FR" w:eastAsia="fr-CH"/>
        </w:rPr>
        <w:t xml:space="preserve">questions </w:t>
      </w:r>
      <w:r w:rsidR="00714913">
        <w:rPr>
          <w:lang w:val="fr-FR" w:eastAsia="fr-CH"/>
        </w:rPr>
        <w:t xml:space="preserve">très diverses figurant sur la liste établie </w:t>
      </w:r>
      <w:r w:rsidR="00714913" w:rsidRPr="000708B9">
        <w:rPr>
          <w:lang w:val="fr-FR" w:eastAsia="fr-CH"/>
        </w:rPr>
        <w:t xml:space="preserve">par le Comité </w:t>
      </w:r>
      <w:r w:rsidR="00714913">
        <w:rPr>
          <w:lang w:val="fr-FR" w:eastAsia="fr-CH"/>
        </w:rPr>
        <w:t xml:space="preserve">ont nécessité des </w:t>
      </w:r>
      <w:r w:rsidR="00714913" w:rsidRPr="000708B9">
        <w:rPr>
          <w:lang w:val="fr-FR" w:eastAsia="fr-CH"/>
        </w:rPr>
        <w:t>consultations nationales</w:t>
      </w:r>
      <w:r w:rsidR="00714913">
        <w:rPr>
          <w:lang w:val="fr-FR" w:eastAsia="fr-CH"/>
        </w:rPr>
        <w:t xml:space="preserve"> d’une grande ampleur</w:t>
      </w:r>
      <w:r w:rsidR="00714913" w:rsidRPr="000708B9">
        <w:rPr>
          <w:lang w:val="fr-FR" w:eastAsia="fr-CH"/>
        </w:rPr>
        <w:t xml:space="preserve">. Certaines </w:t>
      </w:r>
      <w:r w:rsidR="00714913">
        <w:rPr>
          <w:lang w:val="fr-FR" w:eastAsia="fr-CH"/>
        </w:rPr>
        <w:t xml:space="preserve">de ces </w:t>
      </w:r>
      <w:r w:rsidR="00714913" w:rsidRPr="000708B9">
        <w:rPr>
          <w:lang w:val="fr-FR" w:eastAsia="fr-CH"/>
        </w:rPr>
        <w:t xml:space="preserve">questions semblent </w:t>
      </w:r>
      <w:r w:rsidR="00714913">
        <w:rPr>
          <w:lang w:val="fr-FR" w:eastAsia="fr-CH"/>
        </w:rPr>
        <w:t xml:space="preserve">avoir </w:t>
      </w:r>
      <w:r w:rsidR="00714913" w:rsidRPr="000708B9">
        <w:rPr>
          <w:lang w:val="fr-FR" w:eastAsia="fr-CH"/>
        </w:rPr>
        <w:t>été formulé</w:t>
      </w:r>
      <w:r w:rsidR="00714913">
        <w:rPr>
          <w:lang w:val="fr-FR" w:eastAsia="fr-CH"/>
        </w:rPr>
        <w:t>e</w:t>
      </w:r>
      <w:r w:rsidR="00714913" w:rsidRPr="000708B9">
        <w:rPr>
          <w:lang w:val="fr-FR" w:eastAsia="fr-CH"/>
        </w:rPr>
        <w:t>s sur la base d</w:t>
      </w:r>
      <w:r w:rsidR="00714913">
        <w:rPr>
          <w:lang w:val="fr-FR" w:eastAsia="fr-CH"/>
        </w:rPr>
        <w:t>’</w:t>
      </w:r>
      <w:r w:rsidR="00714913" w:rsidRPr="000708B9">
        <w:rPr>
          <w:lang w:val="fr-FR" w:eastAsia="fr-CH"/>
        </w:rPr>
        <w:t xml:space="preserve">allégations </w:t>
      </w:r>
      <w:r w:rsidR="00714913">
        <w:rPr>
          <w:lang w:val="fr-FR" w:eastAsia="fr-CH"/>
        </w:rPr>
        <w:t xml:space="preserve">biaisées </w:t>
      </w:r>
      <w:r w:rsidR="00714913" w:rsidRPr="000708B9">
        <w:rPr>
          <w:lang w:val="fr-FR" w:eastAsia="fr-CH"/>
        </w:rPr>
        <w:t xml:space="preserve">et fausses </w:t>
      </w:r>
      <w:r w:rsidR="00714913">
        <w:rPr>
          <w:lang w:val="fr-FR" w:eastAsia="fr-CH"/>
        </w:rPr>
        <w:t xml:space="preserve">émanant </w:t>
      </w:r>
      <w:r w:rsidR="00714913" w:rsidRPr="000708B9">
        <w:rPr>
          <w:lang w:val="fr-FR" w:eastAsia="fr-CH"/>
        </w:rPr>
        <w:t xml:space="preserve">de sources qui </w:t>
      </w:r>
      <w:r w:rsidR="00714913">
        <w:rPr>
          <w:lang w:val="fr-FR" w:eastAsia="fr-CH"/>
        </w:rPr>
        <w:t xml:space="preserve">appuient </w:t>
      </w:r>
      <w:r w:rsidR="00714913" w:rsidRPr="000708B9">
        <w:rPr>
          <w:lang w:val="fr-FR" w:eastAsia="fr-CH"/>
        </w:rPr>
        <w:t xml:space="preserve">la politique hostile du </w:t>
      </w:r>
      <w:r w:rsidR="00714913">
        <w:rPr>
          <w:lang w:val="fr-FR" w:eastAsia="fr-CH"/>
        </w:rPr>
        <w:t>G</w:t>
      </w:r>
      <w:r w:rsidR="00714913" w:rsidRPr="000708B9">
        <w:rPr>
          <w:lang w:val="fr-FR" w:eastAsia="fr-CH"/>
        </w:rPr>
        <w:t xml:space="preserve">ouvernement des États-Unis. Par exemple, </w:t>
      </w:r>
      <w:r w:rsidR="00714913">
        <w:rPr>
          <w:lang w:val="fr-FR" w:eastAsia="fr-CH"/>
        </w:rPr>
        <w:t xml:space="preserve">la </w:t>
      </w:r>
      <w:r w:rsidR="00714913" w:rsidRPr="000708B9">
        <w:rPr>
          <w:lang w:val="fr-FR" w:eastAsia="fr-CH"/>
        </w:rPr>
        <w:t xml:space="preserve">question 22 de la liste mentionne </w:t>
      </w:r>
      <w:r w:rsidR="00714913">
        <w:rPr>
          <w:lang w:val="fr-FR" w:eastAsia="fr-CH"/>
        </w:rPr>
        <w:t>d</w:t>
      </w:r>
      <w:r w:rsidR="00714913" w:rsidRPr="000708B9">
        <w:rPr>
          <w:lang w:val="fr-FR" w:eastAsia="fr-CH"/>
        </w:rPr>
        <w:t xml:space="preserve">es personnes qui </w:t>
      </w:r>
      <w:r w:rsidR="00714913">
        <w:rPr>
          <w:lang w:val="fr-FR" w:eastAsia="fr-CH"/>
        </w:rPr>
        <w:t>se</w:t>
      </w:r>
      <w:r w:rsidR="00714913" w:rsidRPr="000708B9">
        <w:rPr>
          <w:lang w:val="fr-FR" w:eastAsia="fr-CH"/>
        </w:rPr>
        <w:t>raient en grève de la faim. Certain</w:t>
      </w:r>
      <w:r w:rsidR="00714913">
        <w:rPr>
          <w:lang w:val="fr-FR" w:eastAsia="fr-CH"/>
        </w:rPr>
        <w:t>e</w:t>
      </w:r>
      <w:r w:rsidR="00714913" w:rsidRPr="000708B9">
        <w:rPr>
          <w:lang w:val="fr-FR" w:eastAsia="fr-CH"/>
        </w:rPr>
        <w:t>s des personnes concernées n</w:t>
      </w:r>
      <w:r w:rsidR="00714913">
        <w:rPr>
          <w:lang w:val="fr-FR" w:eastAsia="fr-CH"/>
        </w:rPr>
        <w:t xml:space="preserve">’étaient même </w:t>
      </w:r>
      <w:r w:rsidR="00714913" w:rsidRPr="000708B9">
        <w:rPr>
          <w:lang w:val="fr-FR" w:eastAsia="fr-CH"/>
        </w:rPr>
        <w:t xml:space="preserve">pas </w:t>
      </w:r>
      <w:r w:rsidR="00714913">
        <w:rPr>
          <w:lang w:val="fr-FR" w:eastAsia="fr-CH"/>
        </w:rPr>
        <w:t xml:space="preserve">détenues </w:t>
      </w:r>
      <w:r w:rsidR="00714913" w:rsidRPr="000708B9">
        <w:rPr>
          <w:lang w:val="fr-FR" w:eastAsia="fr-CH"/>
        </w:rPr>
        <w:t>à l</w:t>
      </w:r>
      <w:r w:rsidR="00714913">
        <w:rPr>
          <w:lang w:val="fr-FR" w:eastAsia="fr-CH"/>
        </w:rPr>
        <w:t>’</w:t>
      </w:r>
      <w:r w:rsidR="00714913" w:rsidRPr="000708B9">
        <w:rPr>
          <w:lang w:val="fr-FR" w:eastAsia="fr-CH"/>
        </w:rPr>
        <w:t>époque et d</w:t>
      </w:r>
      <w:r w:rsidR="00714913">
        <w:rPr>
          <w:lang w:val="fr-FR" w:eastAsia="fr-CH"/>
        </w:rPr>
        <w:t>’</w:t>
      </w:r>
      <w:r w:rsidR="00714913" w:rsidRPr="000708B9">
        <w:rPr>
          <w:lang w:val="fr-FR" w:eastAsia="fr-CH"/>
        </w:rPr>
        <w:t xml:space="preserve">autres </w:t>
      </w:r>
      <w:r w:rsidR="00714913">
        <w:rPr>
          <w:lang w:val="fr-FR" w:eastAsia="fr-CH"/>
        </w:rPr>
        <w:t xml:space="preserve">n’ont </w:t>
      </w:r>
      <w:r w:rsidR="00714913" w:rsidRPr="000708B9">
        <w:rPr>
          <w:lang w:val="fr-FR" w:eastAsia="fr-CH"/>
        </w:rPr>
        <w:t xml:space="preserve">jamais </w:t>
      </w:r>
      <w:r w:rsidR="00714913">
        <w:rPr>
          <w:lang w:val="fr-FR" w:eastAsia="fr-CH"/>
        </w:rPr>
        <w:t xml:space="preserve">entrepris de </w:t>
      </w:r>
      <w:r w:rsidR="00714913" w:rsidRPr="000708B9">
        <w:rPr>
          <w:lang w:val="fr-FR" w:eastAsia="fr-CH"/>
        </w:rPr>
        <w:t xml:space="preserve">grève de la faim. Les autorités cubaines </w:t>
      </w:r>
      <w:r w:rsidR="00714913">
        <w:rPr>
          <w:lang w:val="fr-FR" w:eastAsia="fr-CH"/>
        </w:rPr>
        <w:t>observe</w:t>
      </w:r>
      <w:r w:rsidR="00714913" w:rsidRPr="000708B9">
        <w:rPr>
          <w:lang w:val="fr-FR" w:eastAsia="fr-CH"/>
        </w:rPr>
        <w:t xml:space="preserve">nt strictement la </w:t>
      </w:r>
      <w:r w:rsidR="00714913">
        <w:rPr>
          <w:lang w:val="fr-FR" w:eastAsia="fr-CH"/>
        </w:rPr>
        <w:t>D</w:t>
      </w:r>
      <w:r w:rsidR="00714913" w:rsidRPr="000708B9">
        <w:rPr>
          <w:lang w:val="fr-FR" w:eastAsia="fr-CH"/>
        </w:rPr>
        <w:t>éclaration de Malte de l</w:t>
      </w:r>
      <w:r w:rsidR="00714913">
        <w:rPr>
          <w:lang w:val="fr-FR" w:eastAsia="fr-CH"/>
        </w:rPr>
        <w:t>’</w:t>
      </w:r>
      <w:r w:rsidR="00714913" w:rsidRPr="000708B9">
        <w:rPr>
          <w:lang w:val="fr-FR" w:eastAsia="fr-CH"/>
        </w:rPr>
        <w:t xml:space="preserve">Association médicale mondiale </w:t>
      </w:r>
      <w:r w:rsidR="00714913">
        <w:rPr>
          <w:lang w:val="fr-FR" w:eastAsia="fr-CH"/>
        </w:rPr>
        <w:t>sur les grévistes de la faim lorsqu’elles ont à traiter des cas de ce genre</w:t>
      </w:r>
      <w:r w:rsidR="00714913" w:rsidRPr="000708B9">
        <w:rPr>
          <w:lang w:val="fr-FR" w:eastAsia="fr-CH"/>
        </w:rPr>
        <w:t xml:space="preserve">. </w:t>
      </w:r>
      <w:r w:rsidR="00714913">
        <w:rPr>
          <w:lang w:val="fr-FR" w:eastAsia="fr-CH"/>
        </w:rPr>
        <w:t>Une assistance médicale de qualité est assurée.</w:t>
      </w:r>
      <w:r w:rsidR="00714913" w:rsidRPr="000708B9">
        <w:rPr>
          <w:lang w:val="fr-FR" w:eastAsia="fr-CH"/>
        </w:rPr>
        <w:t xml:space="preserve"> Toutes les personnes privées de leur</w:t>
      </w:r>
      <w:r w:rsidR="00714913">
        <w:rPr>
          <w:lang w:val="fr-FR" w:eastAsia="fr-CH"/>
        </w:rPr>
        <w:t xml:space="preserve"> liberté reçoivent de</w:t>
      </w:r>
      <w:r w:rsidR="00714913" w:rsidRPr="000708B9">
        <w:rPr>
          <w:lang w:val="fr-FR" w:eastAsia="fr-CH"/>
        </w:rPr>
        <w:t>s soins médicaux gratuit</w:t>
      </w:r>
      <w:r w:rsidR="00714913">
        <w:rPr>
          <w:lang w:val="fr-FR" w:eastAsia="fr-CH"/>
        </w:rPr>
        <w:t>s</w:t>
      </w:r>
      <w:r w:rsidR="00714913" w:rsidRPr="000708B9">
        <w:rPr>
          <w:lang w:val="fr-FR" w:eastAsia="fr-CH"/>
        </w:rPr>
        <w:t xml:space="preserve"> et </w:t>
      </w:r>
      <w:r w:rsidR="00714913">
        <w:rPr>
          <w:lang w:val="fr-FR" w:eastAsia="fr-CH"/>
        </w:rPr>
        <w:t xml:space="preserve">des soins stomatologiques </w:t>
      </w:r>
      <w:r w:rsidR="00714913" w:rsidRPr="000708B9">
        <w:rPr>
          <w:lang w:val="fr-FR" w:eastAsia="fr-CH"/>
        </w:rPr>
        <w:t>garantis.</w:t>
      </w:r>
    </w:p>
    <w:p w:rsidR="00714913" w:rsidRPr="00E46C2D" w:rsidRDefault="00522350" w:rsidP="00362B06">
      <w:pPr>
        <w:pStyle w:val="SingleTxtG"/>
        <w:rPr>
          <w:lang w:val="fr-CH" w:eastAsia="fr-CH"/>
        </w:rPr>
      </w:pPr>
      <w:r>
        <w:rPr>
          <w:lang w:val="fr-CH" w:eastAsia="fr-CH"/>
        </w:rPr>
        <w:t>11.</w:t>
      </w:r>
      <w:r>
        <w:rPr>
          <w:lang w:val="fr-CH" w:eastAsia="fr-CH"/>
        </w:rPr>
        <w:tab/>
      </w:r>
      <w:r w:rsidR="00714913" w:rsidRPr="00E46C2D">
        <w:rPr>
          <w:lang w:val="fr-CH" w:eastAsia="fr-CH"/>
        </w:rPr>
        <w:t>À la question 26</w:t>
      </w:r>
      <w:r w:rsidR="00714913" w:rsidRPr="00E46C2D">
        <w:rPr>
          <w:lang w:val="fr-FR" w:eastAsia="fr-CH"/>
        </w:rPr>
        <w:t xml:space="preserve">, des données statistiques sont demandées sur les plaintes </w:t>
      </w:r>
      <w:r w:rsidR="00714913">
        <w:rPr>
          <w:lang w:val="fr-FR" w:eastAsia="fr-CH"/>
        </w:rPr>
        <w:t xml:space="preserve">concernant des </w:t>
      </w:r>
      <w:r w:rsidR="00714913" w:rsidRPr="00E46C2D">
        <w:rPr>
          <w:lang w:val="fr-FR" w:eastAsia="fr-CH"/>
        </w:rPr>
        <w:t>actes de torture ou de</w:t>
      </w:r>
      <w:r w:rsidR="00714913">
        <w:rPr>
          <w:lang w:val="fr-FR" w:eastAsia="fr-CH"/>
        </w:rPr>
        <w:t>s</w:t>
      </w:r>
      <w:r w:rsidR="00714913" w:rsidRPr="00E46C2D">
        <w:rPr>
          <w:lang w:val="fr-FR" w:eastAsia="fr-CH"/>
        </w:rPr>
        <w:t xml:space="preserve"> mauvais traitements. Le Cabinet du Procureur général de la République accorde une haute priorité aux informations, aux plaintes et aux pétitions émanant de</w:t>
      </w:r>
      <w:r w:rsidR="00714913">
        <w:rPr>
          <w:lang w:val="fr-FR" w:eastAsia="fr-CH"/>
        </w:rPr>
        <w:t>s</w:t>
      </w:r>
      <w:r w:rsidR="00714913" w:rsidRPr="00E46C2D">
        <w:rPr>
          <w:lang w:val="fr-FR" w:eastAsia="fr-CH"/>
        </w:rPr>
        <w:t xml:space="preserve"> citoyens faisant état d</w:t>
      </w:r>
      <w:r w:rsidR="00714913">
        <w:rPr>
          <w:lang w:val="fr-FR" w:eastAsia="fr-CH"/>
        </w:rPr>
        <w:t>’</w:t>
      </w:r>
      <w:r w:rsidR="00714913" w:rsidRPr="00E46C2D">
        <w:rPr>
          <w:lang w:val="fr-FR" w:eastAsia="fr-CH"/>
        </w:rPr>
        <w:t xml:space="preserve">une conduite irrégulière et de violations des normes juridiques. Entre 2007 et 2011, le </w:t>
      </w:r>
      <w:r w:rsidR="00714913">
        <w:rPr>
          <w:lang w:val="fr-FR" w:eastAsia="fr-CH"/>
        </w:rPr>
        <w:t xml:space="preserve">Cabinet du Procureur général a </w:t>
      </w:r>
      <w:r w:rsidR="00714913" w:rsidRPr="00E46C2D">
        <w:rPr>
          <w:lang w:val="fr-FR" w:eastAsia="fr-CH"/>
        </w:rPr>
        <w:t>traité 419</w:t>
      </w:r>
      <w:r w:rsidR="00714913">
        <w:rPr>
          <w:lang w:val="fr-FR" w:eastAsia="fr-CH"/>
        </w:rPr>
        <w:t> 982 informations</w:t>
      </w:r>
      <w:r w:rsidR="00714913" w:rsidRPr="00E46C2D">
        <w:rPr>
          <w:lang w:val="fr-FR" w:eastAsia="fr-CH"/>
        </w:rPr>
        <w:t>, plaintes ou pétitions</w:t>
      </w:r>
      <w:r w:rsidR="00714913">
        <w:rPr>
          <w:lang w:val="fr-FR" w:eastAsia="fr-CH"/>
        </w:rPr>
        <w:t>, émanant de citoyens,</w:t>
      </w:r>
      <w:r w:rsidR="00714913" w:rsidRPr="00E46C2D">
        <w:rPr>
          <w:lang w:val="fr-FR" w:eastAsia="fr-CH"/>
        </w:rPr>
        <w:t xml:space="preserve"> </w:t>
      </w:r>
      <w:r w:rsidR="00714913">
        <w:rPr>
          <w:lang w:val="fr-FR" w:eastAsia="fr-CH"/>
        </w:rPr>
        <w:t xml:space="preserve">concernant des procédures </w:t>
      </w:r>
      <w:r w:rsidR="00714913" w:rsidRPr="00E46C2D">
        <w:rPr>
          <w:lang w:val="fr-FR" w:eastAsia="fr-CH"/>
        </w:rPr>
        <w:t>civil</w:t>
      </w:r>
      <w:r w:rsidR="00714913">
        <w:rPr>
          <w:lang w:val="fr-FR" w:eastAsia="fr-CH"/>
        </w:rPr>
        <w:t>es</w:t>
      </w:r>
      <w:r w:rsidR="00714913" w:rsidRPr="00E46C2D">
        <w:rPr>
          <w:lang w:val="fr-FR" w:eastAsia="fr-CH"/>
        </w:rPr>
        <w:t xml:space="preserve">, </w:t>
      </w:r>
      <w:r w:rsidR="00714913">
        <w:rPr>
          <w:lang w:val="fr-FR" w:eastAsia="fr-CH"/>
        </w:rPr>
        <w:t>pénales ou</w:t>
      </w:r>
      <w:r w:rsidR="00714913" w:rsidRPr="00E46C2D">
        <w:rPr>
          <w:lang w:val="fr-FR" w:eastAsia="fr-CH"/>
        </w:rPr>
        <w:t xml:space="preserve"> administrative</w:t>
      </w:r>
      <w:r w:rsidR="00714913">
        <w:rPr>
          <w:lang w:val="fr-FR" w:eastAsia="fr-CH"/>
        </w:rPr>
        <w:t>s ou le droit du travail.</w:t>
      </w:r>
      <w:r w:rsidR="00714913" w:rsidRPr="00E46C2D">
        <w:rPr>
          <w:lang w:val="fr-FR" w:eastAsia="fr-CH"/>
        </w:rPr>
        <w:t xml:space="preserve"> </w:t>
      </w:r>
      <w:r w:rsidR="00714913">
        <w:rPr>
          <w:lang w:val="fr-FR" w:eastAsia="fr-CH"/>
        </w:rPr>
        <w:t>À la suite d</w:t>
      </w:r>
      <w:r w:rsidR="00714913" w:rsidRPr="00E46C2D">
        <w:rPr>
          <w:lang w:val="fr-FR" w:eastAsia="fr-CH"/>
        </w:rPr>
        <w:t xml:space="preserve">es enquêtes </w:t>
      </w:r>
      <w:r w:rsidR="00714913">
        <w:rPr>
          <w:lang w:val="fr-FR" w:eastAsia="fr-CH"/>
        </w:rPr>
        <w:t xml:space="preserve">menées </w:t>
      </w:r>
      <w:r w:rsidR="00714913" w:rsidRPr="00E46C2D">
        <w:rPr>
          <w:lang w:val="fr-FR" w:eastAsia="fr-CH"/>
        </w:rPr>
        <w:t xml:space="preserve">sur </w:t>
      </w:r>
      <w:r w:rsidR="00714913">
        <w:rPr>
          <w:lang w:val="fr-FR" w:eastAsia="fr-CH"/>
        </w:rPr>
        <w:t xml:space="preserve">les 263 </w:t>
      </w:r>
      <w:r w:rsidR="00714913" w:rsidRPr="00E46C2D">
        <w:rPr>
          <w:lang w:val="fr-FR" w:eastAsia="fr-CH"/>
        </w:rPr>
        <w:t xml:space="preserve">plaintes </w:t>
      </w:r>
      <w:r w:rsidR="00714913">
        <w:rPr>
          <w:lang w:val="fr-FR" w:eastAsia="fr-CH"/>
        </w:rPr>
        <w:t xml:space="preserve">faisant état </w:t>
      </w:r>
      <w:r w:rsidR="00714913" w:rsidRPr="00E46C2D">
        <w:rPr>
          <w:lang w:val="fr-FR" w:eastAsia="fr-CH"/>
        </w:rPr>
        <w:t xml:space="preserve">de mauvais traitements dans </w:t>
      </w:r>
      <w:r w:rsidR="00714913">
        <w:rPr>
          <w:lang w:val="fr-FR" w:eastAsia="fr-CH"/>
        </w:rPr>
        <w:t>d</w:t>
      </w:r>
      <w:r w:rsidR="00714913" w:rsidRPr="00E46C2D">
        <w:rPr>
          <w:lang w:val="fr-FR" w:eastAsia="fr-CH"/>
        </w:rPr>
        <w:t xml:space="preserve">es </w:t>
      </w:r>
      <w:r w:rsidR="00714913">
        <w:rPr>
          <w:lang w:val="fr-FR" w:eastAsia="fr-CH"/>
        </w:rPr>
        <w:t xml:space="preserve">locaux pénitentiaires </w:t>
      </w:r>
      <w:r w:rsidR="00714913" w:rsidRPr="00E46C2D">
        <w:rPr>
          <w:lang w:val="fr-FR" w:eastAsia="fr-CH"/>
        </w:rPr>
        <w:t xml:space="preserve">ou </w:t>
      </w:r>
      <w:r w:rsidR="00714913">
        <w:rPr>
          <w:lang w:val="fr-FR" w:eastAsia="fr-CH"/>
        </w:rPr>
        <w:t xml:space="preserve">dans des </w:t>
      </w:r>
      <w:r w:rsidR="00714913" w:rsidRPr="00E46C2D">
        <w:rPr>
          <w:lang w:val="fr-FR" w:eastAsia="fr-CH"/>
        </w:rPr>
        <w:t>centres de détention, l</w:t>
      </w:r>
      <w:r w:rsidR="00714913">
        <w:rPr>
          <w:lang w:val="fr-FR" w:eastAsia="fr-CH"/>
        </w:rPr>
        <w:t xml:space="preserve">e Cabinet du Procureur général </w:t>
      </w:r>
      <w:r w:rsidR="00714913" w:rsidRPr="00E46C2D">
        <w:rPr>
          <w:lang w:val="fr-FR" w:eastAsia="fr-CH"/>
        </w:rPr>
        <w:t xml:space="preserve">a constaté que 46 </w:t>
      </w:r>
      <w:r w:rsidR="00714913">
        <w:rPr>
          <w:lang w:val="fr-FR" w:eastAsia="fr-CH"/>
        </w:rPr>
        <w:t>fonctionnaires chargés de l’application des lois encouraient une</w:t>
      </w:r>
      <w:r w:rsidR="00714913" w:rsidRPr="00E46C2D">
        <w:rPr>
          <w:lang w:val="fr-FR" w:eastAsia="fr-CH"/>
        </w:rPr>
        <w:t xml:space="preserve"> responsabilité pénale. </w:t>
      </w:r>
    </w:p>
    <w:p w:rsidR="00714913" w:rsidRPr="000708B9" w:rsidRDefault="00522350" w:rsidP="00362B06">
      <w:pPr>
        <w:pStyle w:val="SingleTxtG"/>
        <w:rPr>
          <w:lang w:val="fr-CH" w:eastAsia="fr-CH"/>
        </w:rPr>
      </w:pPr>
      <w:r>
        <w:rPr>
          <w:lang w:val="fr-FR" w:eastAsia="fr-CH"/>
        </w:rPr>
        <w:t>12.</w:t>
      </w:r>
      <w:r>
        <w:rPr>
          <w:lang w:val="fr-FR" w:eastAsia="fr-CH"/>
        </w:rPr>
        <w:tab/>
      </w:r>
      <w:r w:rsidR="00714913" w:rsidRPr="000708B9">
        <w:rPr>
          <w:lang w:val="fr-FR" w:eastAsia="fr-CH"/>
        </w:rPr>
        <w:t xml:space="preserve">Les personnes </w:t>
      </w:r>
      <w:r w:rsidR="00714913">
        <w:rPr>
          <w:lang w:val="fr-FR" w:eastAsia="fr-CH"/>
        </w:rPr>
        <w:t xml:space="preserve">qualifiées de </w:t>
      </w:r>
      <w:r w:rsidR="00714913" w:rsidRPr="000708B9">
        <w:rPr>
          <w:lang w:val="fr-FR" w:eastAsia="fr-CH"/>
        </w:rPr>
        <w:t>«d</w:t>
      </w:r>
      <w:r w:rsidR="00820A0C">
        <w:rPr>
          <w:lang w:val="fr-FR" w:eastAsia="fr-CH"/>
        </w:rPr>
        <w:t>éfenseurs des droits de l’homme</w:t>
      </w:r>
      <w:r w:rsidR="00714913" w:rsidRPr="000708B9">
        <w:rPr>
          <w:lang w:val="fr-FR" w:eastAsia="fr-CH"/>
        </w:rPr>
        <w:t xml:space="preserve">» visées à la question 32 et </w:t>
      </w:r>
      <w:r w:rsidR="00714913">
        <w:rPr>
          <w:lang w:val="fr-FR" w:eastAsia="fr-CH"/>
        </w:rPr>
        <w:t xml:space="preserve">dans le </w:t>
      </w:r>
      <w:r w:rsidR="00714913" w:rsidRPr="000708B9">
        <w:rPr>
          <w:lang w:val="fr-FR" w:eastAsia="fr-CH"/>
        </w:rPr>
        <w:t xml:space="preserve">reste de la liste </w:t>
      </w:r>
      <w:r w:rsidR="00714913">
        <w:rPr>
          <w:lang w:val="fr-FR" w:eastAsia="fr-CH"/>
        </w:rPr>
        <w:t xml:space="preserve">ne remplissent pas les conditions requises par la Déclaration de 1998 relatives aux défenseurs des droits de l’homme pour recevoir </w:t>
      </w:r>
      <w:r w:rsidR="00714913" w:rsidRPr="000708B9">
        <w:rPr>
          <w:lang w:val="fr-FR" w:eastAsia="fr-CH"/>
        </w:rPr>
        <w:t>une telle appellation</w:t>
      </w:r>
      <w:r w:rsidR="00714913">
        <w:rPr>
          <w:lang w:val="fr-FR" w:eastAsia="fr-CH"/>
        </w:rPr>
        <w:t>.</w:t>
      </w:r>
      <w:r w:rsidR="00714913" w:rsidRPr="000708B9">
        <w:rPr>
          <w:lang w:val="fr-FR" w:eastAsia="fr-CH"/>
        </w:rPr>
        <w:t xml:space="preserve"> Agissant au service et </w:t>
      </w:r>
      <w:r w:rsidR="00714913">
        <w:rPr>
          <w:lang w:val="fr-FR" w:eastAsia="fr-CH"/>
        </w:rPr>
        <w:t xml:space="preserve">selon les instructions </w:t>
      </w:r>
      <w:r w:rsidR="00714913" w:rsidRPr="000708B9">
        <w:rPr>
          <w:lang w:val="fr-FR" w:eastAsia="fr-CH"/>
        </w:rPr>
        <w:t>d</w:t>
      </w:r>
      <w:r w:rsidR="00714913">
        <w:rPr>
          <w:lang w:val="fr-FR" w:eastAsia="fr-CH"/>
        </w:rPr>
        <w:t>’</w:t>
      </w:r>
      <w:r w:rsidR="00714913" w:rsidRPr="000708B9">
        <w:rPr>
          <w:lang w:val="fr-FR" w:eastAsia="fr-CH"/>
        </w:rPr>
        <w:t xml:space="preserve">une puissance étrangère, </w:t>
      </w:r>
      <w:r w:rsidR="00714913">
        <w:rPr>
          <w:lang w:val="fr-FR" w:eastAsia="fr-CH"/>
        </w:rPr>
        <w:t xml:space="preserve">elles cherchent </w:t>
      </w:r>
      <w:r w:rsidR="00714913" w:rsidRPr="000708B9">
        <w:rPr>
          <w:lang w:val="fr-FR" w:eastAsia="fr-CH"/>
        </w:rPr>
        <w:t xml:space="preserve">essentiellement </w:t>
      </w:r>
      <w:r w:rsidR="00714913">
        <w:rPr>
          <w:lang w:val="fr-FR" w:eastAsia="fr-CH"/>
        </w:rPr>
        <w:t xml:space="preserve">à saper </w:t>
      </w:r>
      <w:r w:rsidR="00714913" w:rsidRPr="000708B9">
        <w:rPr>
          <w:lang w:val="fr-FR" w:eastAsia="fr-CH"/>
        </w:rPr>
        <w:t>et détruire l</w:t>
      </w:r>
      <w:r w:rsidR="00714913">
        <w:rPr>
          <w:lang w:val="fr-FR" w:eastAsia="fr-CH"/>
        </w:rPr>
        <w:t>’</w:t>
      </w:r>
      <w:r w:rsidR="00714913" w:rsidRPr="000708B9">
        <w:rPr>
          <w:lang w:val="fr-FR" w:eastAsia="fr-CH"/>
        </w:rPr>
        <w:t xml:space="preserve">ordre juridique interne </w:t>
      </w:r>
      <w:r w:rsidR="00714913">
        <w:rPr>
          <w:lang w:val="fr-FR" w:eastAsia="fr-CH"/>
        </w:rPr>
        <w:t>de Cuba</w:t>
      </w:r>
      <w:r w:rsidR="00714913" w:rsidRPr="000708B9">
        <w:rPr>
          <w:lang w:val="fr-FR" w:eastAsia="fr-CH"/>
        </w:rPr>
        <w:t>, dans le cadre d</w:t>
      </w:r>
      <w:r w:rsidR="00714913">
        <w:rPr>
          <w:lang w:val="fr-FR" w:eastAsia="fr-CH"/>
        </w:rPr>
        <w:t xml:space="preserve">uquel devraient être conduites </w:t>
      </w:r>
      <w:r w:rsidR="00714913" w:rsidRPr="000708B9">
        <w:rPr>
          <w:lang w:val="fr-FR" w:eastAsia="fr-CH"/>
        </w:rPr>
        <w:t xml:space="preserve">toutes les activités </w:t>
      </w:r>
      <w:r w:rsidR="00714913">
        <w:rPr>
          <w:lang w:val="fr-FR" w:eastAsia="fr-CH"/>
        </w:rPr>
        <w:t>de cette nature</w:t>
      </w:r>
      <w:r w:rsidR="00714913" w:rsidRPr="000708B9">
        <w:rPr>
          <w:lang w:val="fr-FR" w:eastAsia="fr-CH"/>
        </w:rPr>
        <w:t>, conformément à l</w:t>
      </w:r>
      <w:r w:rsidR="00714913">
        <w:rPr>
          <w:lang w:val="fr-FR" w:eastAsia="fr-CH"/>
        </w:rPr>
        <w:t>’article </w:t>
      </w:r>
      <w:r w:rsidR="00714913" w:rsidRPr="000708B9">
        <w:rPr>
          <w:lang w:val="fr-FR" w:eastAsia="fr-CH"/>
        </w:rPr>
        <w:t xml:space="preserve">3 de la </w:t>
      </w:r>
      <w:r w:rsidR="00714913">
        <w:rPr>
          <w:lang w:val="fr-FR" w:eastAsia="fr-CH"/>
        </w:rPr>
        <w:t>D</w:t>
      </w:r>
      <w:r w:rsidR="00714913" w:rsidRPr="000708B9">
        <w:rPr>
          <w:lang w:val="fr-FR" w:eastAsia="fr-CH"/>
        </w:rPr>
        <w:t xml:space="preserve">éclaration. À Cuba, les </w:t>
      </w:r>
      <w:r w:rsidR="00714913">
        <w:rPr>
          <w:lang w:val="fr-FR" w:eastAsia="fr-CH"/>
        </w:rPr>
        <w:t xml:space="preserve">véritables </w:t>
      </w:r>
      <w:r w:rsidR="00714913" w:rsidRPr="000708B9">
        <w:rPr>
          <w:lang w:val="fr-FR" w:eastAsia="fr-CH"/>
        </w:rPr>
        <w:t>défenseurs des droits de l</w:t>
      </w:r>
      <w:r w:rsidR="00714913">
        <w:rPr>
          <w:lang w:val="fr-FR" w:eastAsia="fr-CH"/>
        </w:rPr>
        <w:t>’</w:t>
      </w:r>
      <w:r w:rsidR="00714913" w:rsidRPr="000708B9">
        <w:rPr>
          <w:lang w:val="fr-FR" w:eastAsia="fr-CH"/>
        </w:rPr>
        <w:t xml:space="preserve">homme </w:t>
      </w:r>
      <w:r w:rsidR="00714913">
        <w:rPr>
          <w:lang w:val="fr-FR" w:eastAsia="fr-CH"/>
        </w:rPr>
        <w:t xml:space="preserve">sont </w:t>
      </w:r>
      <w:r w:rsidR="00714913" w:rsidRPr="000708B9">
        <w:rPr>
          <w:lang w:val="fr-FR" w:eastAsia="fr-CH"/>
        </w:rPr>
        <w:t>protégés. Personne n</w:t>
      </w:r>
      <w:r w:rsidR="00714913">
        <w:rPr>
          <w:lang w:val="fr-FR" w:eastAsia="fr-CH"/>
        </w:rPr>
        <w:t>’</w:t>
      </w:r>
      <w:r w:rsidR="00714913" w:rsidRPr="000708B9">
        <w:rPr>
          <w:lang w:val="fr-FR" w:eastAsia="fr-CH"/>
        </w:rPr>
        <w:t>a</w:t>
      </w:r>
      <w:r w:rsidR="00714913">
        <w:rPr>
          <w:lang w:val="fr-FR" w:eastAsia="fr-CH"/>
        </w:rPr>
        <w:t xml:space="preserve"> </w:t>
      </w:r>
      <w:r w:rsidR="00714913" w:rsidRPr="000708B9">
        <w:rPr>
          <w:lang w:val="fr-FR" w:eastAsia="fr-CH"/>
        </w:rPr>
        <w:t xml:space="preserve">été </w:t>
      </w:r>
      <w:r w:rsidR="00714913">
        <w:rPr>
          <w:lang w:val="fr-FR" w:eastAsia="fr-CH"/>
        </w:rPr>
        <w:t xml:space="preserve">poursuivi </w:t>
      </w:r>
      <w:r w:rsidR="00714913" w:rsidRPr="000708B9">
        <w:rPr>
          <w:lang w:val="fr-FR" w:eastAsia="fr-CH"/>
        </w:rPr>
        <w:t xml:space="preserve">ou puni pour avoir exercé </w:t>
      </w:r>
      <w:r w:rsidR="00714913">
        <w:rPr>
          <w:lang w:val="fr-FR" w:eastAsia="fr-CH"/>
        </w:rPr>
        <w:t>l’un quelconque d</w:t>
      </w:r>
      <w:r w:rsidR="00714913" w:rsidRPr="000708B9">
        <w:rPr>
          <w:lang w:val="fr-FR" w:eastAsia="fr-CH"/>
        </w:rPr>
        <w:t>e</w:t>
      </w:r>
      <w:r w:rsidR="00714913">
        <w:rPr>
          <w:lang w:val="fr-FR" w:eastAsia="fr-CH"/>
        </w:rPr>
        <w:t xml:space="preserve"> ce</w:t>
      </w:r>
      <w:r w:rsidR="00714913" w:rsidRPr="000708B9">
        <w:rPr>
          <w:lang w:val="fr-FR" w:eastAsia="fr-CH"/>
        </w:rPr>
        <w:t>s droits, y compris le droit à la liberté d</w:t>
      </w:r>
      <w:r w:rsidR="00714913">
        <w:rPr>
          <w:lang w:val="fr-FR" w:eastAsia="fr-CH"/>
        </w:rPr>
        <w:t>’</w:t>
      </w:r>
      <w:r w:rsidR="00714913" w:rsidRPr="000708B9">
        <w:rPr>
          <w:lang w:val="fr-FR" w:eastAsia="fr-CH"/>
        </w:rPr>
        <w:t xml:space="preserve">expression, </w:t>
      </w:r>
      <w:r w:rsidR="00714913">
        <w:rPr>
          <w:lang w:val="fr-FR" w:eastAsia="fr-CH"/>
        </w:rPr>
        <w:t>d’</w:t>
      </w:r>
      <w:r w:rsidR="00714913" w:rsidRPr="000708B9">
        <w:rPr>
          <w:lang w:val="fr-FR" w:eastAsia="fr-CH"/>
        </w:rPr>
        <w:t>opinion et d</w:t>
      </w:r>
      <w:r w:rsidR="00714913">
        <w:rPr>
          <w:lang w:val="fr-FR" w:eastAsia="fr-CH"/>
        </w:rPr>
        <w:t>’</w:t>
      </w:r>
      <w:r w:rsidR="00714913" w:rsidRPr="000708B9">
        <w:rPr>
          <w:lang w:val="fr-FR" w:eastAsia="fr-CH"/>
        </w:rPr>
        <w:t>association, garanti</w:t>
      </w:r>
      <w:r w:rsidR="00714913">
        <w:rPr>
          <w:lang w:val="fr-FR" w:eastAsia="fr-CH"/>
        </w:rPr>
        <w:t>s</w:t>
      </w:r>
      <w:r w:rsidR="00714913" w:rsidRPr="000708B9">
        <w:rPr>
          <w:lang w:val="fr-FR" w:eastAsia="fr-CH"/>
        </w:rPr>
        <w:t xml:space="preserve"> par la Constitution et les lois de la République, qui sont </w:t>
      </w:r>
      <w:r w:rsidR="00714913">
        <w:rPr>
          <w:lang w:val="fr-FR" w:eastAsia="fr-CH"/>
        </w:rPr>
        <w:t xml:space="preserve">entièrement </w:t>
      </w:r>
      <w:r w:rsidR="00714913" w:rsidRPr="000708B9">
        <w:rPr>
          <w:lang w:val="fr-FR" w:eastAsia="fr-CH"/>
        </w:rPr>
        <w:t>compatibles avec les instruments internationaux relatifs aux droits de l</w:t>
      </w:r>
      <w:r w:rsidR="00714913">
        <w:rPr>
          <w:lang w:val="fr-FR" w:eastAsia="fr-CH"/>
        </w:rPr>
        <w:t>’</w:t>
      </w:r>
      <w:r w:rsidR="00714913" w:rsidRPr="000708B9">
        <w:rPr>
          <w:lang w:val="fr-FR" w:eastAsia="fr-CH"/>
        </w:rPr>
        <w:t xml:space="preserve">homme. Enfin, </w:t>
      </w:r>
      <w:r w:rsidR="00714913">
        <w:rPr>
          <w:lang w:val="fr-FR" w:eastAsia="fr-CH"/>
        </w:rPr>
        <w:t>l’intervenant note</w:t>
      </w:r>
      <w:r w:rsidR="00714913" w:rsidRPr="000708B9">
        <w:rPr>
          <w:lang w:val="fr-FR" w:eastAsia="fr-CH"/>
        </w:rPr>
        <w:t xml:space="preserve"> que Cuba </w:t>
      </w:r>
      <w:r w:rsidR="00714913">
        <w:rPr>
          <w:lang w:val="fr-FR" w:eastAsia="fr-CH"/>
        </w:rPr>
        <w:t>n’</w:t>
      </w:r>
      <w:r w:rsidR="00714913" w:rsidRPr="000708B9">
        <w:rPr>
          <w:lang w:val="fr-FR" w:eastAsia="fr-CH"/>
        </w:rPr>
        <w:t xml:space="preserve">a </w:t>
      </w:r>
      <w:r w:rsidR="00714913">
        <w:rPr>
          <w:lang w:val="fr-FR" w:eastAsia="fr-CH"/>
        </w:rPr>
        <w:t xml:space="preserve">épargné aucun </w:t>
      </w:r>
      <w:r w:rsidR="00714913" w:rsidRPr="000708B9">
        <w:rPr>
          <w:lang w:val="fr-FR" w:eastAsia="fr-CH"/>
        </w:rPr>
        <w:t xml:space="preserve">effort pour </w:t>
      </w:r>
      <w:r w:rsidR="00714913">
        <w:rPr>
          <w:lang w:val="fr-FR" w:eastAsia="fr-CH"/>
        </w:rPr>
        <w:t>donner suite aux</w:t>
      </w:r>
      <w:r w:rsidR="00714913" w:rsidRPr="000708B9">
        <w:rPr>
          <w:lang w:val="fr-FR" w:eastAsia="fr-CH"/>
        </w:rPr>
        <w:t xml:space="preserve"> recommandations </w:t>
      </w:r>
      <w:r w:rsidR="00714913">
        <w:rPr>
          <w:lang w:val="fr-FR" w:eastAsia="fr-CH"/>
        </w:rPr>
        <w:t xml:space="preserve">formulées </w:t>
      </w:r>
      <w:r w:rsidR="00714913" w:rsidRPr="000708B9">
        <w:rPr>
          <w:lang w:val="fr-FR" w:eastAsia="fr-CH"/>
        </w:rPr>
        <w:t>par l</w:t>
      </w:r>
      <w:r w:rsidR="00714913">
        <w:rPr>
          <w:lang w:val="fr-FR" w:eastAsia="fr-CH"/>
        </w:rPr>
        <w:t>e Comité</w:t>
      </w:r>
      <w:r w:rsidR="00714913" w:rsidRPr="000708B9">
        <w:rPr>
          <w:lang w:val="fr-FR" w:eastAsia="fr-CH"/>
        </w:rPr>
        <w:t xml:space="preserve"> en 1997.</w:t>
      </w:r>
    </w:p>
    <w:p w:rsidR="00714913" w:rsidRPr="000708B9" w:rsidRDefault="00522350" w:rsidP="00362B06">
      <w:pPr>
        <w:pStyle w:val="SingleTxtG"/>
        <w:rPr>
          <w:lang w:val="fr-CH" w:eastAsia="fr-CH"/>
        </w:rPr>
      </w:pPr>
      <w:r>
        <w:rPr>
          <w:lang w:val="fr-CH" w:eastAsia="fr-CH"/>
        </w:rPr>
        <w:t>13.</w:t>
      </w:r>
      <w:r>
        <w:rPr>
          <w:lang w:val="fr-CH" w:eastAsia="fr-CH"/>
        </w:rPr>
        <w:tab/>
      </w:r>
      <w:r w:rsidR="00714913" w:rsidRPr="000708B9">
        <w:rPr>
          <w:b/>
          <w:bCs/>
          <w:lang w:val="fr-CH" w:eastAsia="fr-CH"/>
        </w:rPr>
        <w:t>M. Mariño Menéndez</w:t>
      </w:r>
      <w:r w:rsidR="00714913" w:rsidRPr="000708B9">
        <w:rPr>
          <w:b/>
          <w:bCs/>
          <w:lang w:val="fr-FR" w:eastAsia="fr-CH"/>
        </w:rPr>
        <w:t xml:space="preserve"> </w:t>
      </w:r>
      <w:r w:rsidR="00714913" w:rsidRPr="000708B9">
        <w:rPr>
          <w:lang w:val="fr-FR" w:eastAsia="fr-CH"/>
        </w:rPr>
        <w:t xml:space="preserve">(Rapporteur de pays), notant </w:t>
      </w:r>
      <w:r w:rsidR="00714913">
        <w:rPr>
          <w:lang w:val="fr-FR" w:eastAsia="fr-CH"/>
        </w:rPr>
        <w:t xml:space="preserve">le ferme </w:t>
      </w:r>
      <w:r w:rsidR="00714913" w:rsidRPr="000708B9">
        <w:rPr>
          <w:lang w:val="fr-FR" w:eastAsia="fr-CH"/>
        </w:rPr>
        <w:t>attachement de l</w:t>
      </w:r>
      <w:r w:rsidR="00714913">
        <w:rPr>
          <w:lang w:val="fr-FR" w:eastAsia="fr-CH"/>
        </w:rPr>
        <w:t>’</w:t>
      </w:r>
      <w:r w:rsidR="00714913" w:rsidRPr="000708B9">
        <w:rPr>
          <w:lang w:val="fr-FR" w:eastAsia="fr-CH"/>
        </w:rPr>
        <w:t>État partie à sa souveraineté, s</w:t>
      </w:r>
      <w:r w:rsidR="00714913">
        <w:rPr>
          <w:lang w:val="fr-FR" w:eastAsia="fr-CH"/>
        </w:rPr>
        <w:t>e réjouit que l’État partie accepte une surveillance</w:t>
      </w:r>
      <w:r w:rsidR="00714913" w:rsidRPr="000708B9">
        <w:rPr>
          <w:lang w:val="fr-FR" w:eastAsia="fr-CH"/>
        </w:rPr>
        <w:t xml:space="preserve"> international</w:t>
      </w:r>
      <w:r w:rsidR="00714913">
        <w:rPr>
          <w:lang w:val="fr-FR" w:eastAsia="fr-CH"/>
        </w:rPr>
        <w:t>e</w:t>
      </w:r>
      <w:r w:rsidR="00714913" w:rsidRPr="000708B9">
        <w:rPr>
          <w:lang w:val="fr-FR" w:eastAsia="fr-CH"/>
        </w:rPr>
        <w:t xml:space="preserve">, par exemple </w:t>
      </w:r>
      <w:r w:rsidR="00714913">
        <w:rPr>
          <w:lang w:val="fr-FR" w:eastAsia="fr-CH"/>
        </w:rPr>
        <w:t xml:space="preserve">de la part du </w:t>
      </w:r>
      <w:r w:rsidR="00714913" w:rsidRPr="000708B9">
        <w:rPr>
          <w:lang w:val="fr-FR" w:eastAsia="fr-CH"/>
        </w:rPr>
        <w:t xml:space="preserve">Comité et </w:t>
      </w:r>
      <w:r w:rsidR="00714913">
        <w:rPr>
          <w:lang w:val="fr-FR" w:eastAsia="fr-CH"/>
        </w:rPr>
        <w:t xml:space="preserve">du </w:t>
      </w:r>
      <w:r w:rsidR="00714913" w:rsidRPr="000708B9">
        <w:rPr>
          <w:lang w:val="fr-FR" w:eastAsia="fr-CH"/>
        </w:rPr>
        <w:t xml:space="preserve">groupe de travail </w:t>
      </w:r>
      <w:r w:rsidR="00714913">
        <w:rPr>
          <w:lang w:val="fr-FR" w:eastAsia="fr-CH"/>
        </w:rPr>
        <w:t xml:space="preserve">de l’Examen périodique </w:t>
      </w:r>
      <w:r w:rsidR="00714913" w:rsidRPr="000708B9">
        <w:rPr>
          <w:lang w:val="fr-FR" w:eastAsia="fr-CH"/>
        </w:rPr>
        <w:t>universel. En tant que Rapporteur</w:t>
      </w:r>
      <w:r w:rsidR="00714913">
        <w:rPr>
          <w:lang w:val="fr-FR" w:eastAsia="fr-CH"/>
        </w:rPr>
        <w:t xml:space="preserve"> de pays</w:t>
      </w:r>
      <w:r w:rsidR="00714913" w:rsidRPr="000708B9">
        <w:rPr>
          <w:lang w:val="fr-FR" w:eastAsia="fr-CH"/>
        </w:rPr>
        <w:t xml:space="preserve">, </w:t>
      </w:r>
      <w:r w:rsidR="00714913">
        <w:rPr>
          <w:lang w:val="fr-FR" w:eastAsia="fr-CH"/>
        </w:rPr>
        <w:t xml:space="preserve">l’intervenant a </w:t>
      </w:r>
      <w:r w:rsidR="00714913" w:rsidRPr="000708B9">
        <w:rPr>
          <w:lang w:val="fr-FR" w:eastAsia="fr-CH"/>
        </w:rPr>
        <w:t>également consulté les rapports de la Commission interaméricaine des droits de l</w:t>
      </w:r>
      <w:r w:rsidR="00714913">
        <w:rPr>
          <w:lang w:val="fr-FR" w:eastAsia="fr-CH"/>
        </w:rPr>
        <w:t>’</w:t>
      </w:r>
      <w:r w:rsidR="00714913" w:rsidRPr="000708B9">
        <w:rPr>
          <w:lang w:val="fr-FR" w:eastAsia="fr-CH"/>
        </w:rPr>
        <w:t xml:space="preserve">homme, qui </w:t>
      </w:r>
      <w:r w:rsidR="00714913">
        <w:rPr>
          <w:lang w:val="fr-FR" w:eastAsia="fr-CH"/>
        </w:rPr>
        <w:t xml:space="preserve">est sans doute </w:t>
      </w:r>
      <w:r w:rsidR="00714913" w:rsidRPr="000708B9">
        <w:rPr>
          <w:lang w:val="fr-FR" w:eastAsia="fr-CH"/>
        </w:rPr>
        <w:t>au-dessus de tout soupçon.</w:t>
      </w:r>
    </w:p>
    <w:p w:rsidR="00714913" w:rsidRPr="000708B9" w:rsidRDefault="00522350" w:rsidP="00362B06">
      <w:pPr>
        <w:pStyle w:val="SingleTxtG"/>
        <w:rPr>
          <w:lang w:val="fr-CH" w:eastAsia="fr-CH"/>
        </w:rPr>
      </w:pPr>
      <w:r>
        <w:rPr>
          <w:lang w:val="fr-CH" w:eastAsia="fr-CH"/>
        </w:rPr>
        <w:t>14.</w:t>
      </w:r>
      <w:r>
        <w:rPr>
          <w:lang w:val="fr-CH" w:eastAsia="fr-CH"/>
        </w:rPr>
        <w:tab/>
      </w:r>
      <w:r w:rsidR="00714913" w:rsidRPr="000708B9">
        <w:rPr>
          <w:lang w:val="fr-CH" w:eastAsia="fr-CH"/>
        </w:rPr>
        <w:t>Cuba</w:t>
      </w:r>
      <w:r w:rsidR="00714913">
        <w:rPr>
          <w:lang w:val="fr-CH" w:eastAsia="fr-CH"/>
        </w:rPr>
        <w:t xml:space="preserve"> </w:t>
      </w:r>
      <w:r w:rsidR="00714913" w:rsidRPr="000708B9">
        <w:rPr>
          <w:lang w:val="fr-FR" w:eastAsia="fr-CH"/>
        </w:rPr>
        <w:t>est un petit pays qui p</w:t>
      </w:r>
      <w:r w:rsidR="00714913">
        <w:rPr>
          <w:lang w:val="fr-FR" w:eastAsia="fr-CH"/>
        </w:rPr>
        <w:t>eut être fier de réussites majeures dans les</w:t>
      </w:r>
      <w:r w:rsidR="00714913" w:rsidRPr="000708B9">
        <w:rPr>
          <w:lang w:val="fr-FR" w:eastAsia="fr-CH"/>
        </w:rPr>
        <w:t xml:space="preserve"> domaines du développement social, de</w:t>
      </w:r>
      <w:r w:rsidR="00714913">
        <w:rPr>
          <w:lang w:val="fr-FR" w:eastAsia="fr-CH"/>
        </w:rPr>
        <w:t>s</w:t>
      </w:r>
      <w:r w:rsidR="00714913" w:rsidRPr="000708B9">
        <w:rPr>
          <w:lang w:val="fr-FR" w:eastAsia="fr-CH"/>
        </w:rPr>
        <w:t xml:space="preserve"> soins de santé et d</w:t>
      </w:r>
      <w:r w:rsidR="00714913">
        <w:rPr>
          <w:lang w:val="fr-FR" w:eastAsia="fr-CH"/>
        </w:rPr>
        <w:t>e l’</w:t>
      </w:r>
      <w:r w:rsidR="00714913" w:rsidRPr="000708B9">
        <w:rPr>
          <w:lang w:val="fr-FR" w:eastAsia="fr-CH"/>
        </w:rPr>
        <w:t xml:space="preserve">éducation. Comme </w:t>
      </w:r>
      <w:r w:rsidR="00714913">
        <w:rPr>
          <w:lang w:val="fr-FR" w:eastAsia="fr-CH"/>
        </w:rPr>
        <w:t xml:space="preserve">indiqué </w:t>
      </w:r>
      <w:r w:rsidR="00714913" w:rsidRPr="000708B9">
        <w:rPr>
          <w:lang w:val="fr-FR" w:eastAsia="fr-CH"/>
        </w:rPr>
        <w:t xml:space="preserve">par la délégation, il </w:t>
      </w:r>
      <w:r w:rsidR="00714913">
        <w:rPr>
          <w:lang w:val="fr-FR" w:eastAsia="fr-CH"/>
        </w:rPr>
        <w:t xml:space="preserve">a un très puissant </w:t>
      </w:r>
      <w:r w:rsidR="00714913" w:rsidRPr="000708B9">
        <w:rPr>
          <w:lang w:val="fr-FR" w:eastAsia="fr-CH"/>
        </w:rPr>
        <w:t xml:space="preserve">voisin qui est hostile au régime cubain, </w:t>
      </w:r>
      <w:r w:rsidR="00714913">
        <w:rPr>
          <w:lang w:val="fr-FR" w:eastAsia="fr-CH"/>
        </w:rPr>
        <w:t>état de fait qui a eu toute une gamme de</w:t>
      </w:r>
      <w:r w:rsidR="00714913" w:rsidRPr="000708B9">
        <w:rPr>
          <w:lang w:val="fr-FR" w:eastAsia="fr-CH"/>
        </w:rPr>
        <w:t xml:space="preserve"> conséquences </w:t>
      </w:r>
      <w:r w:rsidR="00714913">
        <w:rPr>
          <w:lang w:val="fr-FR" w:eastAsia="fr-CH"/>
        </w:rPr>
        <w:t xml:space="preserve">économiques et </w:t>
      </w:r>
      <w:r w:rsidR="00714913" w:rsidRPr="000708B9">
        <w:rPr>
          <w:lang w:val="fr-FR" w:eastAsia="fr-CH"/>
        </w:rPr>
        <w:t xml:space="preserve">politiques, dont le Comité a </w:t>
      </w:r>
      <w:r w:rsidR="00714913">
        <w:rPr>
          <w:lang w:val="fr-FR" w:eastAsia="fr-CH"/>
        </w:rPr>
        <w:t xml:space="preserve">généralement </w:t>
      </w:r>
      <w:r w:rsidR="00714913" w:rsidRPr="000708B9">
        <w:rPr>
          <w:lang w:val="fr-FR" w:eastAsia="fr-CH"/>
        </w:rPr>
        <w:t xml:space="preserve">tenu compte. </w:t>
      </w:r>
      <w:r w:rsidR="00714913">
        <w:rPr>
          <w:lang w:val="fr-FR" w:eastAsia="fr-CH"/>
        </w:rPr>
        <w:t>Les d</w:t>
      </w:r>
      <w:r w:rsidR="00714913" w:rsidRPr="000708B9">
        <w:rPr>
          <w:lang w:val="fr-FR" w:eastAsia="fr-CH"/>
        </w:rPr>
        <w:t>roits de l</w:t>
      </w:r>
      <w:r w:rsidR="00714913">
        <w:rPr>
          <w:lang w:val="fr-FR" w:eastAsia="fr-CH"/>
        </w:rPr>
        <w:t>’</w:t>
      </w:r>
      <w:r w:rsidR="00714913" w:rsidRPr="000708B9">
        <w:rPr>
          <w:lang w:val="fr-FR" w:eastAsia="fr-CH"/>
        </w:rPr>
        <w:t xml:space="preserve">homme sont indivisibles et interdépendants, comme </w:t>
      </w:r>
      <w:r w:rsidR="00714913">
        <w:rPr>
          <w:lang w:val="fr-FR" w:eastAsia="fr-CH"/>
        </w:rPr>
        <w:t xml:space="preserve">il est </w:t>
      </w:r>
      <w:r w:rsidR="00714913" w:rsidRPr="000708B9">
        <w:rPr>
          <w:lang w:val="fr-FR" w:eastAsia="fr-CH"/>
        </w:rPr>
        <w:t xml:space="preserve">reconnu </w:t>
      </w:r>
      <w:r w:rsidR="00714913">
        <w:rPr>
          <w:lang w:val="fr-FR" w:eastAsia="fr-CH"/>
        </w:rPr>
        <w:t xml:space="preserve">dans la Déclaration et le Programme d’action de Vienne de </w:t>
      </w:r>
      <w:r w:rsidR="00714913" w:rsidRPr="000708B9">
        <w:rPr>
          <w:lang w:val="fr-FR" w:eastAsia="fr-CH"/>
        </w:rPr>
        <w:t xml:space="preserve">1993. </w:t>
      </w:r>
      <w:r w:rsidR="00714913">
        <w:rPr>
          <w:lang w:val="fr-FR" w:eastAsia="fr-CH"/>
        </w:rPr>
        <w:t>Les progrès concernant les d</w:t>
      </w:r>
      <w:r w:rsidR="00714913" w:rsidRPr="000708B9">
        <w:rPr>
          <w:lang w:val="fr-FR" w:eastAsia="fr-CH"/>
        </w:rPr>
        <w:t>roits économiques, sociaux et culturels devraient s</w:t>
      </w:r>
      <w:r w:rsidR="00714913">
        <w:rPr>
          <w:lang w:val="fr-FR" w:eastAsia="fr-CH"/>
        </w:rPr>
        <w:t>’</w:t>
      </w:r>
      <w:r w:rsidR="00714913" w:rsidRPr="000708B9">
        <w:rPr>
          <w:lang w:val="fr-FR" w:eastAsia="fr-CH"/>
        </w:rPr>
        <w:t xml:space="preserve">accompagner de progrès </w:t>
      </w:r>
      <w:r w:rsidR="00714913">
        <w:rPr>
          <w:lang w:val="fr-FR" w:eastAsia="fr-CH"/>
        </w:rPr>
        <w:t>dans le domaine des droits civils et politiques. Vu l’</w:t>
      </w:r>
      <w:r w:rsidR="00714913" w:rsidRPr="000708B9">
        <w:rPr>
          <w:lang w:val="fr-FR" w:eastAsia="fr-CH"/>
        </w:rPr>
        <w:t>absence de statistiques</w:t>
      </w:r>
      <w:r w:rsidR="00714913">
        <w:rPr>
          <w:lang w:val="fr-FR" w:eastAsia="fr-CH"/>
        </w:rPr>
        <w:t>, plus spécialement en ce qui concerne</w:t>
      </w:r>
      <w:r w:rsidR="00714913" w:rsidRPr="000708B9">
        <w:rPr>
          <w:lang w:val="fr-FR" w:eastAsia="fr-CH"/>
        </w:rPr>
        <w:t xml:space="preserve"> l</w:t>
      </w:r>
      <w:r w:rsidR="00714913">
        <w:rPr>
          <w:lang w:val="fr-FR" w:eastAsia="fr-CH"/>
        </w:rPr>
        <w:t>’</w:t>
      </w:r>
      <w:r w:rsidR="00714913" w:rsidRPr="000708B9">
        <w:rPr>
          <w:lang w:val="fr-FR" w:eastAsia="fr-CH"/>
        </w:rPr>
        <w:t xml:space="preserve">application des dispositions de la Convention dans les lieux de privation de liberté, </w:t>
      </w:r>
      <w:r w:rsidR="00714913">
        <w:rPr>
          <w:lang w:val="fr-FR" w:eastAsia="fr-CH"/>
        </w:rPr>
        <w:t>le</w:t>
      </w:r>
      <w:r w:rsidR="00714913" w:rsidRPr="000708B9">
        <w:rPr>
          <w:lang w:val="fr-FR" w:eastAsia="fr-CH"/>
        </w:rPr>
        <w:t xml:space="preserve"> Comité </w:t>
      </w:r>
      <w:r w:rsidR="00714913">
        <w:rPr>
          <w:lang w:val="fr-FR" w:eastAsia="fr-CH"/>
        </w:rPr>
        <w:t xml:space="preserve">peut difficilement suivre </w:t>
      </w:r>
      <w:r w:rsidR="00714913" w:rsidRPr="000708B9">
        <w:rPr>
          <w:lang w:val="fr-FR" w:eastAsia="fr-CH"/>
        </w:rPr>
        <w:t>la situation dans l</w:t>
      </w:r>
      <w:r w:rsidR="00714913">
        <w:rPr>
          <w:lang w:val="fr-FR" w:eastAsia="fr-CH"/>
        </w:rPr>
        <w:t>’</w:t>
      </w:r>
      <w:r w:rsidR="00714913" w:rsidRPr="000708B9">
        <w:rPr>
          <w:lang w:val="fr-FR" w:eastAsia="fr-CH"/>
        </w:rPr>
        <w:t xml:space="preserve">État partie. Tout en </w:t>
      </w:r>
      <w:r w:rsidR="00714913">
        <w:rPr>
          <w:lang w:val="fr-FR" w:eastAsia="fr-CH"/>
        </w:rPr>
        <w:t xml:space="preserve">accueillant avec satisfaction </w:t>
      </w:r>
      <w:r w:rsidR="00714913" w:rsidRPr="000708B9">
        <w:rPr>
          <w:lang w:val="fr-FR" w:eastAsia="fr-CH"/>
        </w:rPr>
        <w:t xml:space="preserve">les chiffres </w:t>
      </w:r>
      <w:r w:rsidR="00714913">
        <w:rPr>
          <w:lang w:val="fr-FR" w:eastAsia="fr-CH"/>
        </w:rPr>
        <w:t xml:space="preserve">soumis par la délégation au sujet des </w:t>
      </w:r>
      <w:r w:rsidR="00714913" w:rsidRPr="000708B9">
        <w:rPr>
          <w:lang w:val="fr-FR" w:eastAsia="fr-CH"/>
        </w:rPr>
        <w:t xml:space="preserve">plaintes </w:t>
      </w:r>
      <w:r w:rsidR="00714913">
        <w:rPr>
          <w:lang w:val="fr-FR" w:eastAsia="fr-CH"/>
        </w:rPr>
        <w:t xml:space="preserve">présentées </w:t>
      </w:r>
      <w:r w:rsidR="00714913" w:rsidRPr="000708B9">
        <w:rPr>
          <w:lang w:val="fr-FR" w:eastAsia="fr-CH"/>
        </w:rPr>
        <w:t>au cours de la période 2007-2011</w:t>
      </w:r>
      <w:r w:rsidR="00714913">
        <w:rPr>
          <w:lang w:val="fr-FR" w:eastAsia="fr-CH"/>
        </w:rPr>
        <w:t>, l’intervenant souligne</w:t>
      </w:r>
      <w:r w:rsidR="00714913" w:rsidRPr="000708B9">
        <w:rPr>
          <w:lang w:val="fr-FR" w:eastAsia="fr-CH"/>
        </w:rPr>
        <w:t xml:space="preserve"> la nécessité d</w:t>
      </w:r>
      <w:r w:rsidR="00714913">
        <w:rPr>
          <w:lang w:val="fr-FR" w:eastAsia="fr-CH"/>
        </w:rPr>
        <w:t xml:space="preserve">e </w:t>
      </w:r>
      <w:r w:rsidR="00714913" w:rsidRPr="000708B9">
        <w:rPr>
          <w:lang w:val="fr-FR" w:eastAsia="fr-CH"/>
        </w:rPr>
        <w:t xml:space="preserve">statistiques </w:t>
      </w:r>
      <w:r w:rsidR="00714913">
        <w:rPr>
          <w:lang w:val="fr-FR" w:eastAsia="fr-CH"/>
        </w:rPr>
        <w:t xml:space="preserve">supplémentaires </w:t>
      </w:r>
      <w:r w:rsidR="00714913" w:rsidRPr="000708B9">
        <w:rPr>
          <w:lang w:val="fr-FR" w:eastAsia="fr-CH"/>
        </w:rPr>
        <w:t>désagrégées.</w:t>
      </w:r>
    </w:p>
    <w:p w:rsidR="00714913" w:rsidRPr="000708B9" w:rsidRDefault="00522350" w:rsidP="00362B06">
      <w:pPr>
        <w:pStyle w:val="SingleTxtG"/>
        <w:rPr>
          <w:lang w:val="fr-CH" w:eastAsia="fr-CH"/>
        </w:rPr>
      </w:pPr>
      <w:r>
        <w:rPr>
          <w:lang w:val="fr-FR" w:eastAsia="fr-CH"/>
        </w:rPr>
        <w:t>15.</w:t>
      </w:r>
      <w:r>
        <w:rPr>
          <w:lang w:val="fr-FR" w:eastAsia="fr-CH"/>
        </w:rPr>
        <w:tab/>
      </w:r>
      <w:r w:rsidR="00714913">
        <w:rPr>
          <w:lang w:val="fr-FR" w:eastAsia="fr-CH"/>
        </w:rPr>
        <w:t xml:space="preserve">Comme le Comité l’a </w:t>
      </w:r>
      <w:r w:rsidR="00714913" w:rsidRPr="000708B9">
        <w:rPr>
          <w:lang w:val="fr-FR" w:eastAsia="fr-CH"/>
        </w:rPr>
        <w:t xml:space="preserve">recommandé dans ses </w:t>
      </w:r>
      <w:r w:rsidR="00714913">
        <w:rPr>
          <w:lang w:val="fr-FR" w:eastAsia="fr-CH"/>
        </w:rPr>
        <w:t xml:space="preserve">observations finales </w:t>
      </w:r>
      <w:r w:rsidR="00714913" w:rsidRPr="000708B9">
        <w:rPr>
          <w:lang w:val="fr-FR" w:eastAsia="fr-CH"/>
        </w:rPr>
        <w:t>sur le rapport initial de l</w:t>
      </w:r>
      <w:r w:rsidR="00714913">
        <w:rPr>
          <w:lang w:val="fr-FR" w:eastAsia="fr-CH"/>
        </w:rPr>
        <w:t>’</w:t>
      </w:r>
      <w:r w:rsidR="00714913" w:rsidRPr="000708B9">
        <w:rPr>
          <w:lang w:val="fr-FR" w:eastAsia="fr-CH"/>
        </w:rPr>
        <w:t>État partie (A/53/44), la torture, telle qu</w:t>
      </w:r>
      <w:r w:rsidR="00714913">
        <w:rPr>
          <w:lang w:val="fr-FR" w:eastAsia="fr-CH"/>
        </w:rPr>
        <w:t>’elle</w:t>
      </w:r>
      <w:r w:rsidR="00714913" w:rsidRPr="000708B9">
        <w:rPr>
          <w:lang w:val="fr-FR" w:eastAsia="fr-CH"/>
        </w:rPr>
        <w:t xml:space="preserve"> </w:t>
      </w:r>
      <w:r w:rsidR="00714913">
        <w:rPr>
          <w:lang w:val="fr-FR" w:eastAsia="fr-CH"/>
        </w:rPr>
        <w:t xml:space="preserve">est </w:t>
      </w:r>
      <w:r w:rsidR="00714913" w:rsidRPr="000708B9">
        <w:rPr>
          <w:lang w:val="fr-FR" w:eastAsia="fr-CH"/>
        </w:rPr>
        <w:t>définie dans la Convention, d</w:t>
      </w:r>
      <w:r w:rsidR="00714913">
        <w:rPr>
          <w:lang w:val="fr-FR" w:eastAsia="fr-CH"/>
        </w:rPr>
        <w:t>evra</w:t>
      </w:r>
      <w:r w:rsidR="00714913" w:rsidRPr="000708B9">
        <w:rPr>
          <w:lang w:val="fr-FR" w:eastAsia="fr-CH"/>
        </w:rPr>
        <w:t>it être clairement identifié</w:t>
      </w:r>
      <w:r w:rsidR="00714913">
        <w:rPr>
          <w:lang w:val="fr-FR" w:eastAsia="fr-CH"/>
        </w:rPr>
        <w:t>e</w:t>
      </w:r>
      <w:r w:rsidR="00714913" w:rsidRPr="000708B9">
        <w:rPr>
          <w:lang w:val="fr-FR" w:eastAsia="fr-CH"/>
        </w:rPr>
        <w:t xml:space="preserve"> et criminalisée. </w:t>
      </w:r>
      <w:r w:rsidR="00714913">
        <w:rPr>
          <w:lang w:val="fr-FR" w:eastAsia="fr-CH"/>
        </w:rPr>
        <w:t>C’est pourquoi l’intervenant accueille avec satisfaction l’</w:t>
      </w:r>
      <w:r w:rsidR="00714913" w:rsidRPr="000708B9">
        <w:rPr>
          <w:lang w:val="fr-FR" w:eastAsia="fr-CH"/>
        </w:rPr>
        <w:t xml:space="preserve">annonce </w:t>
      </w:r>
      <w:r w:rsidR="00714913">
        <w:rPr>
          <w:lang w:val="fr-FR" w:eastAsia="fr-CH"/>
        </w:rPr>
        <w:t xml:space="preserve">faite par </w:t>
      </w:r>
      <w:r w:rsidR="00714913" w:rsidRPr="000708B9">
        <w:rPr>
          <w:lang w:val="fr-FR" w:eastAsia="fr-CH"/>
        </w:rPr>
        <w:t>la délégation</w:t>
      </w:r>
      <w:r w:rsidR="00714913">
        <w:rPr>
          <w:lang w:val="fr-FR" w:eastAsia="fr-CH"/>
        </w:rPr>
        <w:t>, selon laquelle l’Assemblée nationale du pouvoir du peuple a</w:t>
      </w:r>
      <w:r w:rsidR="00714913" w:rsidRPr="000708B9">
        <w:rPr>
          <w:lang w:val="fr-FR" w:eastAsia="fr-CH"/>
        </w:rPr>
        <w:t xml:space="preserve"> approuvé la modification et l</w:t>
      </w:r>
      <w:r w:rsidR="00714913">
        <w:rPr>
          <w:lang w:val="fr-FR" w:eastAsia="fr-CH"/>
        </w:rPr>
        <w:t>a mise à jour du</w:t>
      </w:r>
      <w:r w:rsidR="00714913" w:rsidRPr="000708B9">
        <w:rPr>
          <w:lang w:val="fr-FR" w:eastAsia="fr-CH"/>
        </w:rPr>
        <w:t xml:space="preserve"> Code </w:t>
      </w:r>
      <w:r w:rsidR="00714913">
        <w:rPr>
          <w:lang w:val="fr-FR" w:eastAsia="fr-CH"/>
        </w:rPr>
        <w:t>pénal</w:t>
      </w:r>
      <w:r w:rsidR="00714913" w:rsidRPr="000708B9">
        <w:rPr>
          <w:lang w:val="fr-FR" w:eastAsia="fr-CH"/>
        </w:rPr>
        <w:t xml:space="preserve">. </w:t>
      </w:r>
      <w:r w:rsidR="00714913">
        <w:rPr>
          <w:lang w:val="fr-FR" w:eastAsia="fr-CH"/>
        </w:rPr>
        <w:t xml:space="preserve">Certes, </w:t>
      </w:r>
      <w:r w:rsidR="00714913" w:rsidRPr="000708B9">
        <w:rPr>
          <w:lang w:val="fr-FR" w:eastAsia="fr-CH"/>
        </w:rPr>
        <w:t xml:space="preserve">comme il est </w:t>
      </w:r>
      <w:r w:rsidR="00714913">
        <w:rPr>
          <w:lang w:val="fr-FR" w:eastAsia="fr-CH"/>
        </w:rPr>
        <w:t xml:space="preserve">noté </w:t>
      </w:r>
      <w:r w:rsidR="00714913" w:rsidRPr="000708B9">
        <w:rPr>
          <w:lang w:val="fr-FR" w:eastAsia="fr-CH"/>
        </w:rPr>
        <w:t xml:space="preserve">dans le rapport, la législation pénale cubaine </w:t>
      </w:r>
      <w:r w:rsidR="00714913">
        <w:rPr>
          <w:lang w:val="fr-FR" w:eastAsia="fr-CH"/>
        </w:rPr>
        <w:t xml:space="preserve">comporte </w:t>
      </w:r>
      <w:r w:rsidR="00714913" w:rsidRPr="000708B9">
        <w:rPr>
          <w:lang w:val="fr-FR" w:eastAsia="fr-CH"/>
        </w:rPr>
        <w:t xml:space="preserve">toute une </w:t>
      </w:r>
      <w:r w:rsidR="00714913">
        <w:rPr>
          <w:lang w:val="fr-FR" w:eastAsia="fr-CH"/>
        </w:rPr>
        <w:t xml:space="preserve">série </w:t>
      </w:r>
      <w:r w:rsidR="00714913" w:rsidRPr="000708B9">
        <w:rPr>
          <w:lang w:val="fr-FR" w:eastAsia="fr-CH"/>
        </w:rPr>
        <w:t>d</w:t>
      </w:r>
      <w:r w:rsidR="00714913">
        <w:rPr>
          <w:lang w:val="fr-FR" w:eastAsia="fr-CH"/>
        </w:rPr>
        <w:t>’</w:t>
      </w:r>
      <w:r w:rsidR="00714913" w:rsidRPr="000708B9">
        <w:rPr>
          <w:lang w:val="fr-FR" w:eastAsia="fr-CH"/>
        </w:rPr>
        <w:t xml:space="preserve">infractions </w:t>
      </w:r>
      <w:r w:rsidR="00714913">
        <w:rPr>
          <w:lang w:val="fr-FR" w:eastAsia="fr-CH"/>
        </w:rPr>
        <w:t>pouvant être des éléments constitutifs du crime de</w:t>
      </w:r>
      <w:r w:rsidR="00714913" w:rsidRPr="000708B9">
        <w:rPr>
          <w:lang w:val="fr-FR" w:eastAsia="fr-CH"/>
        </w:rPr>
        <w:t xml:space="preserve"> torture, </w:t>
      </w:r>
      <w:r w:rsidR="00714913">
        <w:rPr>
          <w:lang w:val="fr-FR" w:eastAsia="fr-CH"/>
        </w:rPr>
        <w:t xml:space="preserve">par exemple </w:t>
      </w:r>
      <w:r w:rsidR="00714913" w:rsidRPr="000708B9">
        <w:rPr>
          <w:lang w:val="fr-FR" w:eastAsia="fr-CH"/>
        </w:rPr>
        <w:t>l</w:t>
      </w:r>
      <w:r w:rsidR="00714913">
        <w:rPr>
          <w:lang w:val="fr-FR" w:eastAsia="fr-CH"/>
        </w:rPr>
        <w:t>’</w:t>
      </w:r>
      <w:r w:rsidR="00714913" w:rsidRPr="000708B9">
        <w:rPr>
          <w:lang w:val="fr-FR" w:eastAsia="fr-CH"/>
        </w:rPr>
        <w:t xml:space="preserve">abus </w:t>
      </w:r>
      <w:r w:rsidR="00714913">
        <w:rPr>
          <w:lang w:val="fr-FR" w:eastAsia="fr-CH"/>
        </w:rPr>
        <w:t>d’autorité</w:t>
      </w:r>
      <w:r w:rsidR="00714913" w:rsidRPr="000708B9">
        <w:rPr>
          <w:lang w:val="fr-FR" w:eastAsia="fr-CH"/>
        </w:rPr>
        <w:t xml:space="preserve">, </w:t>
      </w:r>
      <w:r w:rsidR="00714913">
        <w:rPr>
          <w:lang w:val="fr-FR" w:eastAsia="fr-CH"/>
        </w:rPr>
        <w:t>les voies de fait</w:t>
      </w:r>
      <w:r w:rsidR="00714913" w:rsidRPr="000708B9">
        <w:rPr>
          <w:lang w:val="fr-FR" w:eastAsia="fr-CH"/>
        </w:rPr>
        <w:t xml:space="preserve">, </w:t>
      </w:r>
      <w:r w:rsidR="00714913">
        <w:rPr>
          <w:lang w:val="fr-FR" w:eastAsia="fr-CH"/>
        </w:rPr>
        <w:t xml:space="preserve">la </w:t>
      </w:r>
      <w:r w:rsidR="00714913" w:rsidRPr="000708B9">
        <w:rPr>
          <w:lang w:val="fr-FR" w:eastAsia="fr-CH"/>
        </w:rPr>
        <w:t xml:space="preserve">privation de liberté, </w:t>
      </w:r>
      <w:r w:rsidR="00714913">
        <w:rPr>
          <w:lang w:val="fr-FR" w:eastAsia="fr-CH"/>
        </w:rPr>
        <w:t xml:space="preserve">les </w:t>
      </w:r>
      <w:r w:rsidR="00714913" w:rsidRPr="000708B9">
        <w:rPr>
          <w:lang w:val="fr-FR" w:eastAsia="fr-CH"/>
        </w:rPr>
        <w:t xml:space="preserve">menaces, </w:t>
      </w:r>
      <w:r w:rsidR="00714913">
        <w:rPr>
          <w:lang w:val="fr-FR" w:eastAsia="fr-CH"/>
        </w:rPr>
        <w:t xml:space="preserve">la </w:t>
      </w:r>
      <w:r w:rsidR="00714913" w:rsidRPr="000708B9">
        <w:rPr>
          <w:lang w:val="fr-FR" w:eastAsia="fr-CH"/>
        </w:rPr>
        <w:t xml:space="preserve">contrainte, </w:t>
      </w:r>
      <w:r w:rsidR="00714913">
        <w:rPr>
          <w:lang w:val="fr-FR" w:eastAsia="fr-CH"/>
        </w:rPr>
        <w:t xml:space="preserve">les sévices </w:t>
      </w:r>
      <w:r w:rsidR="00714913" w:rsidRPr="000708B9">
        <w:rPr>
          <w:lang w:val="fr-FR" w:eastAsia="fr-CH"/>
        </w:rPr>
        <w:t xml:space="preserve">sexuels et </w:t>
      </w:r>
      <w:r w:rsidR="00714913">
        <w:rPr>
          <w:lang w:val="fr-FR" w:eastAsia="fr-CH"/>
        </w:rPr>
        <w:t>la maltraitance des</w:t>
      </w:r>
      <w:r w:rsidR="00714913" w:rsidRPr="000708B9">
        <w:rPr>
          <w:lang w:val="fr-FR" w:eastAsia="fr-CH"/>
        </w:rPr>
        <w:t xml:space="preserve"> prisonniers de guerre, </w:t>
      </w:r>
      <w:r w:rsidR="00714913">
        <w:rPr>
          <w:lang w:val="fr-FR" w:eastAsia="fr-CH"/>
        </w:rPr>
        <w:t xml:space="preserve">mais </w:t>
      </w:r>
      <w:r w:rsidR="00714913" w:rsidRPr="000708B9">
        <w:rPr>
          <w:lang w:val="fr-FR" w:eastAsia="fr-CH"/>
        </w:rPr>
        <w:t xml:space="preserve">la </w:t>
      </w:r>
      <w:r w:rsidR="00714913">
        <w:rPr>
          <w:lang w:val="fr-FR" w:eastAsia="fr-CH"/>
        </w:rPr>
        <w:t xml:space="preserve">certitude </w:t>
      </w:r>
      <w:r w:rsidR="00714913" w:rsidRPr="000708B9">
        <w:rPr>
          <w:lang w:val="fr-FR" w:eastAsia="fr-CH"/>
        </w:rPr>
        <w:t xml:space="preserve">juridique </w:t>
      </w:r>
      <w:r w:rsidR="00714913">
        <w:rPr>
          <w:lang w:val="fr-FR" w:eastAsia="fr-CH"/>
        </w:rPr>
        <w:t xml:space="preserve">implique </w:t>
      </w:r>
      <w:r w:rsidR="00714913" w:rsidRPr="000708B9">
        <w:rPr>
          <w:lang w:val="fr-FR" w:eastAsia="fr-CH"/>
        </w:rPr>
        <w:t>nécessaire</w:t>
      </w:r>
      <w:r w:rsidR="00714913">
        <w:rPr>
          <w:lang w:val="fr-FR" w:eastAsia="fr-CH"/>
        </w:rPr>
        <w:t xml:space="preserve">ment </w:t>
      </w:r>
      <w:r w:rsidR="00714913" w:rsidRPr="000708B9">
        <w:rPr>
          <w:lang w:val="fr-FR" w:eastAsia="fr-CH"/>
        </w:rPr>
        <w:t xml:space="preserve">que la torture </w:t>
      </w:r>
      <w:r w:rsidR="00714913">
        <w:rPr>
          <w:lang w:val="fr-FR" w:eastAsia="fr-CH"/>
        </w:rPr>
        <w:t xml:space="preserve">soit </w:t>
      </w:r>
      <w:r w:rsidR="00714913" w:rsidRPr="000708B9">
        <w:rPr>
          <w:lang w:val="fr-FR" w:eastAsia="fr-CH"/>
        </w:rPr>
        <w:t xml:space="preserve">définie </w:t>
      </w:r>
      <w:r w:rsidR="00714913">
        <w:rPr>
          <w:lang w:val="fr-FR" w:eastAsia="fr-CH"/>
        </w:rPr>
        <w:t>en tant qu’</w:t>
      </w:r>
      <w:r w:rsidR="00714913" w:rsidRPr="000708B9">
        <w:rPr>
          <w:lang w:val="fr-FR" w:eastAsia="fr-CH"/>
        </w:rPr>
        <w:t xml:space="preserve">infraction distincte et </w:t>
      </w:r>
      <w:r w:rsidR="00714913">
        <w:rPr>
          <w:lang w:val="fr-FR" w:eastAsia="fr-CH"/>
        </w:rPr>
        <w:t>soit passible d’une peine correspondant à</w:t>
      </w:r>
      <w:r w:rsidR="00714913" w:rsidRPr="000708B9">
        <w:rPr>
          <w:lang w:val="fr-FR" w:eastAsia="fr-CH"/>
        </w:rPr>
        <w:t xml:space="preserve"> la gravité du crime.</w:t>
      </w:r>
    </w:p>
    <w:p w:rsidR="00714913" w:rsidRPr="000708B9" w:rsidRDefault="00522350" w:rsidP="00362B06">
      <w:pPr>
        <w:pStyle w:val="SingleTxtG"/>
        <w:rPr>
          <w:lang w:val="fr-CH" w:eastAsia="fr-CH"/>
        </w:rPr>
      </w:pPr>
      <w:r>
        <w:rPr>
          <w:lang w:val="fr-FR" w:eastAsia="fr-CH"/>
        </w:rPr>
        <w:t>16.</w:t>
      </w:r>
      <w:r>
        <w:rPr>
          <w:lang w:val="fr-FR" w:eastAsia="fr-CH"/>
        </w:rPr>
        <w:tab/>
      </w:r>
      <w:r w:rsidR="00714913" w:rsidRPr="000708B9">
        <w:rPr>
          <w:lang w:val="fr-FR" w:eastAsia="fr-CH"/>
        </w:rPr>
        <w:t xml:space="preserve">Selon la Constitution, les traités internationaux </w:t>
      </w:r>
      <w:r w:rsidR="00714913">
        <w:rPr>
          <w:lang w:val="fr-FR" w:eastAsia="fr-CH"/>
        </w:rPr>
        <w:t>l’emportent</w:t>
      </w:r>
      <w:r w:rsidR="00714913" w:rsidRPr="000708B9">
        <w:rPr>
          <w:lang w:val="fr-FR" w:eastAsia="fr-CH"/>
        </w:rPr>
        <w:t xml:space="preserve"> sur le droit interne. </w:t>
      </w:r>
      <w:r w:rsidR="00714913">
        <w:rPr>
          <w:lang w:val="fr-FR" w:eastAsia="fr-CH"/>
        </w:rPr>
        <w:t>L’intervenant demande</w:t>
      </w:r>
      <w:r w:rsidR="00714913" w:rsidRPr="000708B9">
        <w:rPr>
          <w:lang w:val="fr-FR" w:eastAsia="fr-CH"/>
        </w:rPr>
        <w:t xml:space="preserve"> si la Convention a été invoquée directement dans </w:t>
      </w:r>
      <w:r w:rsidR="00714913">
        <w:rPr>
          <w:lang w:val="fr-FR" w:eastAsia="fr-CH"/>
        </w:rPr>
        <w:t>un</w:t>
      </w:r>
      <w:r w:rsidR="00714913" w:rsidRPr="000708B9">
        <w:rPr>
          <w:lang w:val="fr-FR" w:eastAsia="fr-CH"/>
        </w:rPr>
        <w:t xml:space="preserve"> jugement </w:t>
      </w:r>
      <w:r w:rsidR="00714913">
        <w:rPr>
          <w:lang w:val="fr-FR" w:eastAsia="fr-CH"/>
        </w:rPr>
        <w:t xml:space="preserve">prononcé </w:t>
      </w:r>
      <w:r w:rsidR="00714913" w:rsidRPr="000708B9">
        <w:rPr>
          <w:lang w:val="fr-FR" w:eastAsia="fr-CH"/>
        </w:rPr>
        <w:t>par un tribunal cubain. Le Comité estime que la peine de mort constitu</w:t>
      </w:r>
      <w:r w:rsidR="00714913">
        <w:rPr>
          <w:lang w:val="fr-FR" w:eastAsia="fr-CH"/>
        </w:rPr>
        <w:t>e</w:t>
      </w:r>
      <w:r w:rsidR="00714913" w:rsidRPr="000708B9">
        <w:rPr>
          <w:lang w:val="fr-FR" w:eastAsia="fr-CH"/>
        </w:rPr>
        <w:t xml:space="preserve"> un traitement inhumain et recommand</w:t>
      </w:r>
      <w:r w:rsidR="00714913">
        <w:rPr>
          <w:lang w:val="fr-FR" w:eastAsia="fr-CH"/>
        </w:rPr>
        <w:t>e</w:t>
      </w:r>
      <w:r w:rsidR="00714913" w:rsidRPr="000708B9">
        <w:rPr>
          <w:lang w:val="fr-FR" w:eastAsia="fr-CH"/>
        </w:rPr>
        <w:t xml:space="preserve"> </w:t>
      </w:r>
      <w:r w:rsidR="00714913">
        <w:rPr>
          <w:lang w:val="fr-FR" w:eastAsia="fr-CH"/>
        </w:rPr>
        <w:t xml:space="preserve">aux </w:t>
      </w:r>
      <w:r w:rsidR="00714913" w:rsidRPr="000708B9">
        <w:rPr>
          <w:lang w:val="fr-FR" w:eastAsia="fr-CH"/>
        </w:rPr>
        <w:t>États parties de</w:t>
      </w:r>
      <w:r w:rsidR="00714913">
        <w:rPr>
          <w:lang w:val="fr-FR" w:eastAsia="fr-CH"/>
        </w:rPr>
        <w:t xml:space="preserve"> l’</w:t>
      </w:r>
      <w:r w:rsidR="00714913" w:rsidRPr="000708B9">
        <w:rPr>
          <w:lang w:val="fr-FR" w:eastAsia="fr-CH"/>
        </w:rPr>
        <w:t>abolir. Il sembl</w:t>
      </w:r>
      <w:r w:rsidR="00714913">
        <w:rPr>
          <w:lang w:val="fr-FR" w:eastAsia="fr-CH"/>
        </w:rPr>
        <w:t>e y avoir à Cuba un</w:t>
      </w:r>
      <w:r w:rsidR="00714913" w:rsidRPr="000708B9">
        <w:rPr>
          <w:lang w:val="fr-FR" w:eastAsia="fr-CH"/>
        </w:rPr>
        <w:t xml:space="preserve"> moratoire </w:t>
      </w:r>
      <w:r w:rsidR="00714913" w:rsidRPr="00CD5F6D">
        <w:rPr>
          <w:lang w:val="fr-FR" w:eastAsia="fr-CH"/>
        </w:rPr>
        <w:t>de fait</w:t>
      </w:r>
      <w:r w:rsidR="00714913" w:rsidRPr="000708B9">
        <w:rPr>
          <w:lang w:val="fr-FR" w:eastAsia="fr-CH"/>
        </w:rPr>
        <w:t>, puisqu</w:t>
      </w:r>
      <w:r w:rsidR="00820A0C">
        <w:rPr>
          <w:lang w:val="fr-FR" w:eastAsia="fr-CH"/>
        </w:rPr>
        <w:t xml:space="preserve">e </w:t>
      </w:r>
      <w:r w:rsidR="00714913" w:rsidRPr="000708B9">
        <w:rPr>
          <w:lang w:val="fr-FR" w:eastAsia="fr-CH"/>
        </w:rPr>
        <w:t xml:space="preserve">aucune </w:t>
      </w:r>
      <w:r w:rsidR="00714913">
        <w:rPr>
          <w:lang w:val="fr-FR" w:eastAsia="fr-CH"/>
        </w:rPr>
        <w:t xml:space="preserve">condamnation à la </w:t>
      </w:r>
      <w:r w:rsidR="00714913" w:rsidRPr="000708B9">
        <w:rPr>
          <w:lang w:val="fr-FR" w:eastAsia="fr-CH"/>
        </w:rPr>
        <w:t>peine de mort n</w:t>
      </w:r>
      <w:r w:rsidR="00714913">
        <w:rPr>
          <w:lang w:val="fr-FR" w:eastAsia="fr-CH"/>
        </w:rPr>
        <w:t>’</w:t>
      </w:r>
      <w:r w:rsidR="00714913" w:rsidRPr="000708B9">
        <w:rPr>
          <w:lang w:val="fr-FR" w:eastAsia="fr-CH"/>
        </w:rPr>
        <w:t>a</w:t>
      </w:r>
      <w:r w:rsidR="00714913">
        <w:rPr>
          <w:lang w:val="fr-FR" w:eastAsia="fr-CH"/>
        </w:rPr>
        <w:t xml:space="preserve"> </w:t>
      </w:r>
      <w:r w:rsidR="00714913" w:rsidRPr="000708B9">
        <w:rPr>
          <w:lang w:val="fr-FR" w:eastAsia="fr-CH"/>
        </w:rPr>
        <w:t xml:space="preserve">été prononcée depuis 2003. </w:t>
      </w:r>
      <w:r w:rsidR="00714913">
        <w:rPr>
          <w:lang w:val="fr-FR" w:eastAsia="fr-CH"/>
        </w:rPr>
        <w:t xml:space="preserve">L’intervenant </w:t>
      </w:r>
      <w:r w:rsidR="00714913" w:rsidRPr="000708B9">
        <w:rPr>
          <w:lang w:val="fr-FR" w:eastAsia="fr-CH"/>
        </w:rPr>
        <w:t xml:space="preserve">demande si les autorités </w:t>
      </w:r>
      <w:r w:rsidR="00714913">
        <w:rPr>
          <w:lang w:val="fr-FR" w:eastAsia="fr-CH"/>
        </w:rPr>
        <w:t>ont l’intention d’</w:t>
      </w:r>
      <w:r w:rsidR="00714913" w:rsidRPr="000708B9">
        <w:rPr>
          <w:lang w:val="fr-FR" w:eastAsia="fr-CH"/>
        </w:rPr>
        <w:t xml:space="preserve">adopter une </w:t>
      </w:r>
      <w:r w:rsidR="00714913">
        <w:rPr>
          <w:lang w:val="fr-FR" w:eastAsia="fr-CH"/>
        </w:rPr>
        <w:t xml:space="preserve">législation </w:t>
      </w:r>
      <w:r w:rsidR="00714913" w:rsidRPr="000708B9">
        <w:rPr>
          <w:lang w:val="fr-FR" w:eastAsia="fr-CH"/>
        </w:rPr>
        <w:t xml:space="preserve">abolissant </w:t>
      </w:r>
      <w:r w:rsidR="00714913">
        <w:rPr>
          <w:lang w:val="fr-FR" w:eastAsia="fr-CH"/>
        </w:rPr>
        <w:t xml:space="preserve">entièrement </w:t>
      </w:r>
      <w:r w:rsidR="00714913" w:rsidRPr="000708B9">
        <w:rPr>
          <w:lang w:val="fr-FR" w:eastAsia="fr-CH"/>
        </w:rPr>
        <w:t xml:space="preserve">la peine de </w:t>
      </w:r>
      <w:r w:rsidR="00714913">
        <w:rPr>
          <w:lang w:val="fr-FR" w:eastAsia="fr-CH"/>
        </w:rPr>
        <w:t>mort</w:t>
      </w:r>
      <w:r w:rsidR="00714913" w:rsidRPr="000708B9">
        <w:rPr>
          <w:lang w:val="fr-FR" w:eastAsia="fr-CH"/>
        </w:rPr>
        <w:t>.</w:t>
      </w:r>
    </w:p>
    <w:p w:rsidR="00714913" w:rsidRPr="00767D0D" w:rsidRDefault="00522350" w:rsidP="0099352D">
      <w:pPr>
        <w:pStyle w:val="SingleTxtG"/>
        <w:rPr>
          <w:lang w:val="fr-CH" w:eastAsia="fr-CH"/>
        </w:rPr>
      </w:pPr>
      <w:r>
        <w:rPr>
          <w:lang w:val="fr-CH" w:eastAsia="fr-CH"/>
        </w:rPr>
        <w:t>17.</w:t>
      </w:r>
      <w:r>
        <w:rPr>
          <w:lang w:val="fr-CH" w:eastAsia="fr-CH"/>
        </w:rPr>
        <w:tab/>
      </w:r>
      <w:r w:rsidR="00714913">
        <w:rPr>
          <w:lang w:val="fr-CH" w:eastAsia="fr-CH"/>
        </w:rPr>
        <w:t xml:space="preserve">Les </w:t>
      </w:r>
      <w:r w:rsidR="00714913" w:rsidRPr="000708B9">
        <w:rPr>
          <w:lang w:val="fr-FR" w:eastAsia="fr-CH"/>
        </w:rPr>
        <w:t xml:space="preserve">États parties </w:t>
      </w:r>
      <w:r w:rsidR="00714913">
        <w:rPr>
          <w:lang w:val="fr-FR" w:eastAsia="fr-CH"/>
        </w:rPr>
        <w:t xml:space="preserve">sont </w:t>
      </w:r>
      <w:r w:rsidR="00714913" w:rsidRPr="000708B9">
        <w:rPr>
          <w:lang w:val="fr-FR" w:eastAsia="fr-CH"/>
        </w:rPr>
        <w:t>tenus d</w:t>
      </w:r>
      <w:r w:rsidR="00714913">
        <w:rPr>
          <w:lang w:val="fr-FR" w:eastAsia="fr-CH"/>
        </w:rPr>
        <w:t>’</w:t>
      </w:r>
      <w:r w:rsidR="00714913" w:rsidRPr="000708B9">
        <w:rPr>
          <w:lang w:val="fr-FR" w:eastAsia="fr-CH"/>
        </w:rPr>
        <w:t>adopter des mesures vis</w:t>
      </w:r>
      <w:r w:rsidR="00714913">
        <w:rPr>
          <w:lang w:val="fr-FR" w:eastAsia="fr-CH"/>
        </w:rPr>
        <w:t xml:space="preserve">ant </w:t>
      </w:r>
      <w:r w:rsidR="00714913" w:rsidRPr="000708B9">
        <w:rPr>
          <w:lang w:val="fr-FR" w:eastAsia="fr-CH"/>
        </w:rPr>
        <w:t>à prévenir et é</w:t>
      </w:r>
      <w:r w:rsidR="00714913">
        <w:rPr>
          <w:lang w:val="fr-FR" w:eastAsia="fr-CH"/>
        </w:rPr>
        <w:t xml:space="preserve">liminer le recours des forces de l’ordre à </w:t>
      </w:r>
      <w:r w:rsidR="00714913" w:rsidRPr="000708B9">
        <w:rPr>
          <w:lang w:val="fr-FR" w:eastAsia="fr-CH"/>
        </w:rPr>
        <w:t xml:space="preserve">la torture et </w:t>
      </w:r>
      <w:r w:rsidR="00714913">
        <w:rPr>
          <w:lang w:val="fr-FR" w:eastAsia="fr-CH"/>
        </w:rPr>
        <w:t xml:space="preserve">aux </w:t>
      </w:r>
      <w:r w:rsidR="00714913" w:rsidRPr="000708B9">
        <w:rPr>
          <w:lang w:val="fr-FR" w:eastAsia="fr-CH"/>
        </w:rPr>
        <w:t xml:space="preserve">mauvais traitements. </w:t>
      </w:r>
      <w:r w:rsidR="00714913">
        <w:rPr>
          <w:lang w:val="fr-FR" w:eastAsia="fr-CH"/>
        </w:rPr>
        <w:t xml:space="preserve">L’intervenant voudrait </w:t>
      </w:r>
      <w:r w:rsidR="00714913" w:rsidRPr="000708B9">
        <w:rPr>
          <w:lang w:val="fr-FR" w:eastAsia="fr-CH"/>
        </w:rPr>
        <w:t xml:space="preserve">savoir qui </w:t>
      </w:r>
      <w:r w:rsidR="00714913">
        <w:rPr>
          <w:lang w:val="fr-FR" w:eastAsia="fr-CH"/>
        </w:rPr>
        <w:t xml:space="preserve">est </w:t>
      </w:r>
      <w:r w:rsidR="00714913" w:rsidRPr="000708B9">
        <w:rPr>
          <w:lang w:val="fr-FR" w:eastAsia="fr-CH"/>
        </w:rPr>
        <w:t xml:space="preserve">officiellement </w:t>
      </w:r>
      <w:r w:rsidR="00714913">
        <w:rPr>
          <w:lang w:val="fr-FR" w:eastAsia="fr-CH"/>
        </w:rPr>
        <w:t>autorisé à</w:t>
      </w:r>
      <w:r w:rsidR="00714913" w:rsidRPr="000708B9">
        <w:rPr>
          <w:lang w:val="fr-FR" w:eastAsia="fr-CH"/>
        </w:rPr>
        <w:t xml:space="preserve"> détenir une personne </w:t>
      </w:r>
      <w:r w:rsidR="00714913">
        <w:rPr>
          <w:lang w:val="fr-FR" w:eastAsia="fr-CH"/>
        </w:rPr>
        <w:t>au nom</w:t>
      </w:r>
      <w:r w:rsidR="00714913" w:rsidRPr="000708B9">
        <w:rPr>
          <w:lang w:val="fr-FR" w:eastAsia="fr-CH"/>
        </w:rPr>
        <w:t xml:space="preserve"> de l</w:t>
      </w:r>
      <w:r w:rsidR="00714913">
        <w:rPr>
          <w:lang w:val="fr-FR" w:eastAsia="fr-CH"/>
        </w:rPr>
        <w:t>’</w:t>
      </w:r>
      <w:r w:rsidR="00714913" w:rsidRPr="000708B9">
        <w:rPr>
          <w:lang w:val="fr-FR" w:eastAsia="fr-CH"/>
        </w:rPr>
        <w:t>État. Par exemple, un</w:t>
      </w:r>
      <w:r w:rsidR="00714913">
        <w:rPr>
          <w:lang w:val="fr-FR" w:eastAsia="fr-CH"/>
        </w:rPr>
        <w:t>e personne</w:t>
      </w:r>
      <w:r w:rsidR="00714913" w:rsidRPr="000708B9">
        <w:rPr>
          <w:lang w:val="fr-FR" w:eastAsia="fr-CH"/>
        </w:rPr>
        <w:t xml:space="preserve"> peut</w:t>
      </w:r>
      <w:r w:rsidR="00714913">
        <w:rPr>
          <w:lang w:val="fr-FR" w:eastAsia="fr-CH"/>
        </w:rPr>
        <w:t>-elle</w:t>
      </w:r>
      <w:r w:rsidR="00714913" w:rsidRPr="000708B9">
        <w:rPr>
          <w:lang w:val="fr-FR" w:eastAsia="fr-CH"/>
        </w:rPr>
        <w:t xml:space="preserve"> être détenu</w:t>
      </w:r>
      <w:r w:rsidR="00714913">
        <w:rPr>
          <w:lang w:val="fr-FR" w:eastAsia="fr-CH"/>
        </w:rPr>
        <w:t>e</w:t>
      </w:r>
      <w:r w:rsidR="00714913" w:rsidRPr="000708B9">
        <w:rPr>
          <w:lang w:val="fr-FR" w:eastAsia="fr-CH"/>
        </w:rPr>
        <w:t xml:space="preserve"> par les services de renseignement? Il y a</w:t>
      </w:r>
      <w:r w:rsidR="00714913">
        <w:rPr>
          <w:lang w:val="fr-FR" w:eastAsia="fr-CH"/>
        </w:rPr>
        <w:t xml:space="preserve"> </w:t>
      </w:r>
      <w:r w:rsidR="00714913" w:rsidRPr="000708B9">
        <w:rPr>
          <w:lang w:val="fr-FR" w:eastAsia="fr-CH"/>
        </w:rPr>
        <w:t>une pratique</w:t>
      </w:r>
      <w:r w:rsidR="00714913">
        <w:rPr>
          <w:lang w:val="fr-FR" w:eastAsia="fr-CH"/>
        </w:rPr>
        <w:t>, connue sous le nom d’arrestation ou détention de courte durée, qui aurait pour but d’exercer un contrôle</w:t>
      </w:r>
      <w:r w:rsidR="00714913" w:rsidRPr="000708B9">
        <w:rPr>
          <w:lang w:val="fr-FR" w:eastAsia="fr-CH"/>
        </w:rPr>
        <w:t xml:space="preserve"> </w:t>
      </w:r>
      <w:r w:rsidR="00714913">
        <w:rPr>
          <w:lang w:val="fr-FR" w:eastAsia="fr-CH"/>
        </w:rPr>
        <w:t xml:space="preserve">sur </w:t>
      </w:r>
      <w:r w:rsidR="00714913" w:rsidRPr="000708B9">
        <w:rPr>
          <w:lang w:val="fr-FR" w:eastAsia="fr-CH"/>
        </w:rPr>
        <w:t>les activités politiques de certains partis. Selon la Commission interaméricaine des droits de l</w:t>
      </w:r>
      <w:r w:rsidR="00714913">
        <w:rPr>
          <w:lang w:val="fr-FR" w:eastAsia="fr-CH"/>
        </w:rPr>
        <w:t>’</w:t>
      </w:r>
      <w:r w:rsidR="00714913" w:rsidRPr="000708B9">
        <w:rPr>
          <w:lang w:val="fr-FR" w:eastAsia="fr-CH"/>
        </w:rPr>
        <w:t xml:space="preserve">homme, qui a utilisé </w:t>
      </w:r>
      <w:r w:rsidR="00714913">
        <w:rPr>
          <w:lang w:val="fr-FR" w:eastAsia="fr-CH"/>
        </w:rPr>
        <w:t xml:space="preserve">l’expression </w:t>
      </w:r>
      <w:r w:rsidR="00714913" w:rsidRPr="000708B9">
        <w:rPr>
          <w:lang w:val="fr-FR" w:eastAsia="fr-CH"/>
        </w:rPr>
        <w:t xml:space="preserve">détention arbitraire temporaire, la période de détention, qui </w:t>
      </w:r>
      <w:r w:rsidR="00714913">
        <w:rPr>
          <w:lang w:val="fr-FR" w:eastAsia="fr-CH"/>
        </w:rPr>
        <w:t>est</w:t>
      </w:r>
      <w:r w:rsidR="00714913" w:rsidRPr="000708B9">
        <w:rPr>
          <w:lang w:val="fr-FR" w:eastAsia="fr-CH"/>
        </w:rPr>
        <w:t xml:space="preserve"> </w:t>
      </w:r>
      <w:r w:rsidR="00714913">
        <w:rPr>
          <w:lang w:val="fr-FR" w:eastAsia="fr-CH"/>
        </w:rPr>
        <w:t>initialement de</w:t>
      </w:r>
      <w:r w:rsidR="00714913" w:rsidRPr="000708B9">
        <w:rPr>
          <w:lang w:val="fr-FR" w:eastAsia="fr-CH"/>
        </w:rPr>
        <w:t xml:space="preserve"> </w:t>
      </w:r>
      <w:r w:rsidR="0099352D">
        <w:rPr>
          <w:lang w:val="fr-FR" w:eastAsia="fr-CH"/>
        </w:rPr>
        <w:t>vingt-quatre</w:t>
      </w:r>
      <w:r w:rsidR="00714913" w:rsidRPr="000708B9">
        <w:rPr>
          <w:lang w:val="fr-FR" w:eastAsia="fr-CH"/>
        </w:rPr>
        <w:t xml:space="preserve"> heures, p</w:t>
      </w:r>
      <w:r w:rsidR="00714913">
        <w:rPr>
          <w:lang w:val="fr-FR" w:eastAsia="fr-CH"/>
        </w:rPr>
        <w:t xml:space="preserve">eut </w:t>
      </w:r>
      <w:r w:rsidR="00714913" w:rsidRPr="000708B9">
        <w:rPr>
          <w:lang w:val="fr-FR" w:eastAsia="fr-CH"/>
        </w:rPr>
        <w:t xml:space="preserve">être </w:t>
      </w:r>
      <w:r w:rsidR="00714913">
        <w:rPr>
          <w:lang w:val="fr-FR" w:eastAsia="fr-CH"/>
        </w:rPr>
        <w:t>prolongée j</w:t>
      </w:r>
      <w:r w:rsidR="00714913" w:rsidRPr="000708B9">
        <w:rPr>
          <w:lang w:val="fr-FR" w:eastAsia="fr-CH"/>
        </w:rPr>
        <w:t>usqu</w:t>
      </w:r>
      <w:r w:rsidR="00714913">
        <w:rPr>
          <w:lang w:val="fr-FR" w:eastAsia="fr-CH"/>
        </w:rPr>
        <w:t>’</w:t>
      </w:r>
      <w:r w:rsidR="00714913" w:rsidRPr="000708B9">
        <w:rPr>
          <w:lang w:val="fr-FR" w:eastAsia="fr-CH"/>
        </w:rPr>
        <w:t xml:space="preserve">à </w:t>
      </w:r>
      <w:r w:rsidR="00714913">
        <w:rPr>
          <w:lang w:val="fr-FR" w:eastAsia="fr-CH"/>
        </w:rPr>
        <w:t>sept</w:t>
      </w:r>
      <w:r w:rsidR="00714913" w:rsidRPr="000708B9">
        <w:rPr>
          <w:lang w:val="fr-FR" w:eastAsia="fr-CH"/>
        </w:rPr>
        <w:t xml:space="preserve"> jours. </w:t>
      </w:r>
      <w:r w:rsidR="00714913">
        <w:rPr>
          <w:lang w:val="fr-FR" w:eastAsia="fr-CH"/>
        </w:rPr>
        <w:t xml:space="preserve">L’intervenant demande </w:t>
      </w:r>
      <w:r w:rsidR="00714913" w:rsidRPr="000708B9">
        <w:rPr>
          <w:lang w:val="fr-FR" w:eastAsia="fr-CH"/>
        </w:rPr>
        <w:t xml:space="preserve">si la détention de courte durée </w:t>
      </w:r>
      <w:r w:rsidR="00714913">
        <w:rPr>
          <w:lang w:val="fr-FR" w:eastAsia="fr-CH"/>
        </w:rPr>
        <w:t xml:space="preserve">est consignée dans un registre </w:t>
      </w:r>
      <w:r w:rsidR="00714913" w:rsidRPr="000708B9">
        <w:rPr>
          <w:lang w:val="fr-FR" w:eastAsia="fr-CH"/>
        </w:rPr>
        <w:t>officiel</w:t>
      </w:r>
      <w:r w:rsidR="00714913">
        <w:rPr>
          <w:lang w:val="fr-FR" w:eastAsia="fr-CH"/>
        </w:rPr>
        <w:t xml:space="preserve">, si les personnes détenues peuvent contacter leur </w:t>
      </w:r>
      <w:r w:rsidR="00714913" w:rsidRPr="000708B9">
        <w:rPr>
          <w:lang w:val="fr-FR" w:eastAsia="fr-CH"/>
        </w:rPr>
        <w:t xml:space="preserve">famille et combien de temps </w:t>
      </w:r>
      <w:r w:rsidR="00714913">
        <w:rPr>
          <w:lang w:val="fr-FR" w:eastAsia="fr-CH"/>
        </w:rPr>
        <w:t xml:space="preserve">dure habituellement ce type de </w:t>
      </w:r>
      <w:r w:rsidR="00714913" w:rsidRPr="000708B9">
        <w:rPr>
          <w:lang w:val="fr-FR" w:eastAsia="fr-CH"/>
        </w:rPr>
        <w:t xml:space="preserve">détention. Selon le rapport, </w:t>
      </w:r>
      <w:r w:rsidR="00714913">
        <w:rPr>
          <w:lang w:val="fr-FR" w:eastAsia="fr-CH"/>
        </w:rPr>
        <w:t>l’</w:t>
      </w:r>
      <w:r w:rsidR="00714913" w:rsidRPr="00820C6B">
        <w:rPr>
          <w:i/>
          <w:iCs/>
          <w:lang w:val="fr-FR" w:eastAsia="fr-CH"/>
        </w:rPr>
        <w:t xml:space="preserve">habeas corpus </w:t>
      </w:r>
      <w:r w:rsidR="00714913">
        <w:rPr>
          <w:lang w:val="fr-FR" w:eastAsia="fr-CH"/>
        </w:rPr>
        <w:t>est garanti</w:t>
      </w:r>
      <w:r w:rsidR="00714913" w:rsidRPr="000708B9">
        <w:rPr>
          <w:lang w:val="fr-FR" w:eastAsia="fr-CH"/>
        </w:rPr>
        <w:t xml:space="preserve"> en vertu de la législation cubaine. </w:t>
      </w:r>
      <w:r w:rsidR="00714913">
        <w:rPr>
          <w:lang w:val="fr-FR" w:eastAsia="fr-CH"/>
        </w:rPr>
        <w:t xml:space="preserve">L’intervenant </w:t>
      </w:r>
      <w:r w:rsidR="00714913" w:rsidRPr="000708B9">
        <w:rPr>
          <w:lang w:val="fr-FR" w:eastAsia="fr-CH"/>
        </w:rPr>
        <w:t xml:space="preserve">voudrait savoir si </w:t>
      </w:r>
      <w:r w:rsidR="00714913">
        <w:rPr>
          <w:lang w:val="fr-FR" w:eastAsia="fr-CH"/>
        </w:rPr>
        <w:t>l’</w:t>
      </w:r>
      <w:r w:rsidR="00714913" w:rsidRPr="00820C6B">
        <w:rPr>
          <w:i/>
          <w:iCs/>
          <w:lang w:val="fr-FR" w:eastAsia="fr-CH"/>
        </w:rPr>
        <w:t xml:space="preserve">habeas corpus </w:t>
      </w:r>
      <w:r w:rsidR="00714913" w:rsidRPr="000708B9">
        <w:rPr>
          <w:lang w:val="fr-FR" w:eastAsia="fr-CH"/>
        </w:rPr>
        <w:t>s</w:t>
      </w:r>
      <w:r w:rsidR="00714913">
        <w:rPr>
          <w:lang w:val="fr-FR" w:eastAsia="fr-CH"/>
        </w:rPr>
        <w:t>’</w:t>
      </w:r>
      <w:r w:rsidR="00714913" w:rsidRPr="000708B9">
        <w:rPr>
          <w:lang w:val="fr-FR" w:eastAsia="fr-CH"/>
        </w:rPr>
        <w:t>appliqu</w:t>
      </w:r>
      <w:r w:rsidR="00714913">
        <w:rPr>
          <w:lang w:val="fr-FR" w:eastAsia="fr-CH"/>
        </w:rPr>
        <w:t>e</w:t>
      </w:r>
      <w:r w:rsidR="00714913" w:rsidRPr="000708B9">
        <w:rPr>
          <w:lang w:val="fr-FR" w:eastAsia="fr-CH"/>
        </w:rPr>
        <w:t xml:space="preserve"> également à la détention de courte durée et, </w:t>
      </w:r>
      <w:r w:rsidR="00714913">
        <w:rPr>
          <w:lang w:val="fr-FR" w:eastAsia="fr-CH"/>
        </w:rPr>
        <w:t>dans l’affirmative</w:t>
      </w:r>
      <w:r w:rsidR="00714913" w:rsidRPr="000708B9">
        <w:rPr>
          <w:lang w:val="fr-FR" w:eastAsia="fr-CH"/>
        </w:rPr>
        <w:t>, s</w:t>
      </w:r>
      <w:r w:rsidR="00714913">
        <w:rPr>
          <w:lang w:val="fr-FR" w:eastAsia="fr-CH"/>
        </w:rPr>
        <w:t>’</w:t>
      </w:r>
      <w:r w:rsidR="00714913" w:rsidRPr="000708B9">
        <w:rPr>
          <w:lang w:val="fr-FR" w:eastAsia="fr-CH"/>
        </w:rPr>
        <w:t xml:space="preserve">il </w:t>
      </w:r>
      <w:r w:rsidR="00714913">
        <w:rPr>
          <w:lang w:val="fr-FR" w:eastAsia="fr-CH"/>
        </w:rPr>
        <w:t xml:space="preserve">y a des décisions judiciaires </w:t>
      </w:r>
      <w:r w:rsidR="00714913" w:rsidRPr="000708B9">
        <w:rPr>
          <w:lang w:val="fr-FR" w:eastAsia="fr-CH"/>
        </w:rPr>
        <w:t>pertinentes. Il s</w:t>
      </w:r>
      <w:r w:rsidR="00714913">
        <w:rPr>
          <w:lang w:val="fr-FR" w:eastAsia="fr-CH"/>
        </w:rPr>
        <w:t xml:space="preserve">’interroge sur </w:t>
      </w:r>
      <w:r w:rsidR="00714913" w:rsidRPr="000708B9">
        <w:rPr>
          <w:lang w:val="fr-FR" w:eastAsia="fr-CH"/>
        </w:rPr>
        <w:t>la distinction</w:t>
      </w:r>
      <w:r w:rsidR="00714913">
        <w:rPr>
          <w:lang w:val="fr-FR" w:eastAsia="fr-CH"/>
        </w:rPr>
        <w:t xml:space="preserve"> faite dans le </w:t>
      </w:r>
      <w:r w:rsidR="00714913" w:rsidRPr="000708B9">
        <w:rPr>
          <w:lang w:val="fr-FR" w:eastAsia="fr-CH"/>
        </w:rPr>
        <w:t xml:space="preserve">Code de procédure pénale </w:t>
      </w:r>
      <w:r w:rsidR="00714913">
        <w:rPr>
          <w:lang w:val="fr-FR" w:eastAsia="fr-CH"/>
        </w:rPr>
        <w:t xml:space="preserve">entre la </w:t>
      </w:r>
      <w:r w:rsidR="00714913" w:rsidRPr="000708B9">
        <w:rPr>
          <w:lang w:val="fr-FR" w:eastAsia="fr-CH"/>
        </w:rPr>
        <w:t xml:space="preserve">détention provisoire et </w:t>
      </w:r>
      <w:r w:rsidR="00714913">
        <w:rPr>
          <w:lang w:val="fr-FR" w:eastAsia="fr-CH"/>
        </w:rPr>
        <w:t>la détention avant jugement et demande</w:t>
      </w:r>
      <w:r w:rsidR="00714913" w:rsidRPr="000708B9">
        <w:rPr>
          <w:lang w:val="fr-FR" w:eastAsia="fr-CH"/>
        </w:rPr>
        <w:t xml:space="preserve"> si le </w:t>
      </w:r>
      <w:r w:rsidR="00714913">
        <w:rPr>
          <w:lang w:val="fr-FR" w:eastAsia="fr-CH"/>
        </w:rPr>
        <w:t>P</w:t>
      </w:r>
      <w:r w:rsidR="00714913" w:rsidRPr="000708B9">
        <w:rPr>
          <w:lang w:val="fr-FR" w:eastAsia="fr-CH"/>
        </w:rPr>
        <w:t xml:space="preserve">rocureur général de la République </w:t>
      </w:r>
      <w:r w:rsidR="00714913">
        <w:rPr>
          <w:lang w:val="fr-FR" w:eastAsia="fr-CH"/>
        </w:rPr>
        <w:t>peut faire passer</w:t>
      </w:r>
      <w:r w:rsidR="00714913" w:rsidRPr="000708B9">
        <w:rPr>
          <w:lang w:val="fr-FR" w:eastAsia="fr-CH"/>
        </w:rPr>
        <w:t xml:space="preserve"> un détenu d</w:t>
      </w:r>
      <w:r w:rsidR="00714913">
        <w:rPr>
          <w:lang w:val="fr-FR" w:eastAsia="fr-CH"/>
        </w:rPr>
        <w:t>’</w:t>
      </w:r>
      <w:r w:rsidR="00714913" w:rsidRPr="000708B9">
        <w:rPr>
          <w:lang w:val="fr-FR" w:eastAsia="fr-CH"/>
        </w:rPr>
        <w:t xml:space="preserve">une catégorie de détention à </w:t>
      </w:r>
      <w:r w:rsidR="00714913">
        <w:rPr>
          <w:lang w:val="fr-FR" w:eastAsia="fr-CH"/>
        </w:rPr>
        <w:t xml:space="preserve">une </w:t>
      </w:r>
      <w:r w:rsidR="00714913" w:rsidRPr="000708B9">
        <w:rPr>
          <w:lang w:val="fr-FR" w:eastAsia="fr-CH"/>
        </w:rPr>
        <w:t xml:space="preserve">autre. Il </w:t>
      </w:r>
      <w:r w:rsidR="00714913">
        <w:rPr>
          <w:lang w:val="fr-FR" w:eastAsia="fr-CH"/>
        </w:rPr>
        <w:t>s’interroge aussi sur l</w:t>
      </w:r>
      <w:r w:rsidR="00714913" w:rsidRPr="000708B9">
        <w:rPr>
          <w:lang w:val="fr-FR" w:eastAsia="fr-CH"/>
        </w:rPr>
        <w:t>es circonstances dans le</w:t>
      </w:r>
      <w:r w:rsidR="00714913">
        <w:rPr>
          <w:lang w:val="fr-FR" w:eastAsia="fr-CH"/>
        </w:rPr>
        <w:t>s</w:t>
      </w:r>
      <w:r w:rsidR="00714913" w:rsidRPr="000708B9">
        <w:rPr>
          <w:lang w:val="fr-FR" w:eastAsia="fr-CH"/>
        </w:rPr>
        <w:t>quel</w:t>
      </w:r>
      <w:r w:rsidR="00714913">
        <w:rPr>
          <w:lang w:val="fr-FR" w:eastAsia="fr-CH"/>
        </w:rPr>
        <w:t>les</w:t>
      </w:r>
      <w:r w:rsidR="00714913" w:rsidRPr="000708B9">
        <w:rPr>
          <w:lang w:val="fr-FR" w:eastAsia="fr-CH"/>
        </w:rPr>
        <w:t xml:space="preserve"> </w:t>
      </w:r>
      <w:r w:rsidR="00714913">
        <w:rPr>
          <w:lang w:val="fr-FR" w:eastAsia="fr-CH"/>
        </w:rPr>
        <w:t xml:space="preserve">les deux </w:t>
      </w:r>
      <w:r w:rsidR="00714913" w:rsidRPr="000708B9">
        <w:rPr>
          <w:lang w:val="fr-FR" w:eastAsia="fr-CH"/>
        </w:rPr>
        <w:t>forme</w:t>
      </w:r>
      <w:r w:rsidR="00714913">
        <w:rPr>
          <w:lang w:val="fr-FR" w:eastAsia="fr-CH"/>
        </w:rPr>
        <w:t>s</w:t>
      </w:r>
      <w:r w:rsidR="00714913" w:rsidRPr="000708B9">
        <w:rPr>
          <w:lang w:val="fr-FR" w:eastAsia="fr-CH"/>
        </w:rPr>
        <w:t xml:space="preserve"> de détention </w:t>
      </w:r>
      <w:r w:rsidR="00714913">
        <w:rPr>
          <w:lang w:val="fr-FR" w:eastAsia="fr-CH"/>
        </w:rPr>
        <w:t xml:space="preserve">peuvent </w:t>
      </w:r>
      <w:r w:rsidR="00714913" w:rsidRPr="000708B9">
        <w:rPr>
          <w:lang w:val="fr-FR" w:eastAsia="fr-CH"/>
        </w:rPr>
        <w:t>être prolongée</w:t>
      </w:r>
      <w:r w:rsidR="00714913">
        <w:rPr>
          <w:lang w:val="fr-FR" w:eastAsia="fr-CH"/>
        </w:rPr>
        <w:t>s</w:t>
      </w:r>
      <w:r w:rsidR="00714913" w:rsidRPr="000708B9">
        <w:rPr>
          <w:lang w:val="fr-FR" w:eastAsia="fr-CH"/>
        </w:rPr>
        <w:t xml:space="preserve"> </w:t>
      </w:r>
      <w:r w:rsidR="00714913">
        <w:rPr>
          <w:lang w:val="fr-FR" w:eastAsia="fr-CH"/>
        </w:rPr>
        <w:t>jusqu’à</w:t>
      </w:r>
      <w:r w:rsidR="00714913" w:rsidRPr="000708B9">
        <w:rPr>
          <w:lang w:val="fr-FR" w:eastAsia="fr-CH"/>
        </w:rPr>
        <w:t xml:space="preserve"> </w:t>
      </w:r>
      <w:r w:rsidR="00820A0C">
        <w:rPr>
          <w:lang w:val="fr-FR" w:eastAsia="fr-CH"/>
        </w:rPr>
        <w:t>cent quatre-vingts</w:t>
      </w:r>
      <w:r w:rsidR="00714913" w:rsidRPr="000708B9">
        <w:rPr>
          <w:lang w:val="fr-FR" w:eastAsia="fr-CH"/>
        </w:rPr>
        <w:t xml:space="preserve"> jours. </w:t>
      </w:r>
    </w:p>
    <w:p w:rsidR="00714913" w:rsidRPr="000708B9" w:rsidRDefault="00522350" w:rsidP="00362B06">
      <w:pPr>
        <w:pStyle w:val="SingleTxtG"/>
        <w:rPr>
          <w:lang w:val="fr-CH" w:eastAsia="fr-CH"/>
        </w:rPr>
      </w:pPr>
      <w:r>
        <w:rPr>
          <w:lang w:val="fr-FR" w:eastAsia="fr-CH"/>
        </w:rPr>
        <w:t>18.</w:t>
      </w:r>
      <w:r>
        <w:rPr>
          <w:lang w:val="fr-FR" w:eastAsia="fr-CH"/>
        </w:rPr>
        <w:tab/>
      </w:r>
      <w:r w:rsidR="00714913" w:rsidRPr="000708B9">
        <w:rPr>
          <w:lang w:val="fr-FR" w:eastAsia="fr-CH"/>
        </w:rPr>
        <w:t xml:space="preserve">Le Comité a été informé de certaines pratiques </w:t>
      </w:r>
      <w:r w:rsidR="00714913">
        <w:rPr>
          <w:lang w:val="fr-FR" w:eastAsia="fr-CH"/>
        </w:rPr>
        <w:t xml:space="preserve">qui auraient cours </w:t>
      </w:r>
      <w:r w:rsidR="00714913" w:rsidRPr="000708B9">
        <w:rPr>
          <w:lang w:val="fr-FR" w:eastAsia="fr-CH"/>
        </w:rPr>
        <w:t>à Cuba</w:t>
      </w:r>
      <w:r w:rsidR="00714913">
        <w:rPr>
          <w:lang w:val="fr-FR" w:eastAsia="fr-CH"/>
        </w:rPr>
        <w:t>,</w:t>
      </w:r>
      <w:r w:rsidR="00714913" w:rsidRPr="000708B9">
        <w:rPr>
          <w:lang w:val="fr-FR" w:eastAsia="fr-CH"/>
        </w:rPr>
        <w:t xml:space="preserve"> qui sembl</w:t>
      </w:r>
      <w:r w:rsidR="00714913">
        <w:rPr>
          <w:lang w:val="fr-FR" w:eastAsia="fr-CH"/>
        </w:rPr>
        <w:t xml:space="preserve">ent </w:t>
      </w:r>
      <w:r w:rsidR="00714913" w:rsidRPr="000708B9">
        <w:rPr>
          <w:lang w:val="fr-FR" w:eastAsia="fr-CH"/>
        </w:rPr>
        <w:t xml:space="preserve">constituer un traitement inhumain, par exemple les menaces collectives ou les actes de répudiation ou de harcèlement dirigés contre des </w:t>
      </w:r>
      <w:r w:rsidR="00714913">
        <w:rPr>
          <w:lang w:val="fr-FR" w:eastAsia="fr-CH"/>
        </w:rPr>
        <w:t xml:space="preserve">militants </w:t>
      </w:r>
      <w:r w:rsidR="00714913" w:rsidRPr="000708B9">
        <w:rPr>
          <w:lang w:val="fr-FR" w:eastAsia="fr-CH"/>
        </w:rPr>
        <w:t xml:space="preserve">sociaux ou politiques ou des opposants </w:t>
      </w:r>
      <w:r w:rsidR="00714913">
        <w:rPr>
          <w:lang w:val="fr-FR" w:eastAsia="fr-CH"/>
        </w:rPr>
        <w:t>a</w:t>
      </w:r>
      <w:r w:rsidR="00714913" w:rsidRPr="000708B9">
        <w:rPr>
          <w:lang w:val="fr-FR" w:eastAsia="fr-CH"/>
        </w:rPr>
        <w:t xml:space="preserve">u régime. </w:t>
      </w:r>
      <w:r w:rsidR="00714913">
        <w:rPr>
          <w:lang w:val="fr-FR" w:eastAsia="fr-CH"/>
        </w:rPr>
        <w:t>L’intervenant demande</w:t>
      </w:r>
      <w:r w:rsidR="00714913" w:rsidRPr="000708B9">
        <w:rPr>
          <w:lang w:val="fr-FR" w:eastAsia="fr-CH"/>
        </w:rPr>
        <w:t xml:space="preserve"> si les autorités ont pris des mesures contre les auteurs de tels actes. Notant l</w:t>
      </w:r>
      <w:r w:rsidR="00714913">
        <w:rPr>
          <w:lang w:val="fr-FR" w:eastAsia="fr-CH"/>
        </w:rPr>
        <w:t>’</w:t>
      </w:r>
      <w:r w:rsidR="00714913" w:rsidRPr="000708B9">
        <w:rPr>
          <w:lang w:val="fr-FR" w:eastAsia="fr-CH"/>
        </w:rPr>
        <w:t xml:space="preserve">existence </w:t>
      </w:r>
      <w:r w:rsidR="00714913">
        <w:rPr>
          <w:lang w:val="fr-FR" w:eastAsia="fr-CH"/>
        </w:rPr>
        <w:t xml:space="preserve">à Cuba </w:t>
      </w:r>
      <w:r w:rsidR="00714913" w:rsidRPr="000708B9">
        <w:rPr>
          <w:lang w:val="fr-FR" w:eastAsia="fr-CH"/>
        </w:rPr>
        <w:t xml:space="preserve">de centres de détention </w:t>
      </w:r>
      <w:r w:rsidR="00714913">
        <w:rPr>
          <w:lang w:val="fr-FR" w:eastAsia="fr-CH"/>
        </w:rPr>
        <w:t xml:space="preserve">qui ne sont pas soumis </w:t>
      </w:r>
      <w:r w:rsidR="00714913" w:rsidRPr="000708B9">
        <w:rPr>
          <w:lang w:val="fr-FR" w:eastAsia="fr-CH"/>
        </w:rPr>
        <w:t xml:space="preserve">au contrôle du Procureur général de la République ou </w:t>
      </w:r>
      <w:r w:rsidR="00714913">
        <w:rPr>
          <w:lang w:val="fr-FR" w:eastAsia="fr-CH"/>
        </w:rPr>
        <w:t>d</w:t>
      </w:r>
      <w:r w:rsidR="00714913" w:rsidRPr="000708B9">
        <w:rPr>
          <w:lang w:val="fr-FR" w:eastAsia="fr-CH"/>
        </w:rPr>
        <w:t>es tribunaux, il demand</w:t>
      </w:r>
      <w:r w:rsidR="00714913">
        <w:rPr>
          <w:lang w:val="fr-FR" w:eastAsia="fr-CH"/>
        </w:rPr>
        <w:t>e</w:t>
      </w:r>
      <w:r w:rsidR="00714913" w:rsidRPr="000708B9">
        <w:rPr>
          <w:lang w:val="fr-FR" w:eastAsia="fr-CH"/>
        </w:rPr>
        <w:t xml:space="preserve"> </w:t>
      </w:r>
      <w:r w:rsidR="00714913">
        <w:rPr>
          <w:lang w:val="fr-FR" w:eastAsia="fr-CH"/>
        </w:rPr>
        <w:t xml:space="preserve">combien il y a de </w:t>
      </w:r>
      <w:r w:rsidR="00714913" w:rsidRPr="000708B9">
        <w:rPr>
          <w:lang w:val="fr-FR" w:eastAsia="fr-CH"/>
        </w:rPr>
        <w:t xml:space="preserve">ces centres et combien de personnes </w:t>
      </w:r>
      <w:r w:rsidR="00714913">
        <w:rPr>
          <w:lang w:val="fr-FR" w:eastAsia="fr-CH"/>
        </w:rPr>
        <w:t>y sont détenues</w:t>
      </w:r>
      <w:r w:rsidR="00714913" w:rsidRPr="000708B9">
        <w:rPr>
          <w:lang w:val="fr-FR" w:eastAsia="fr-CH"/>
        </w:rPr>
        <w:t xml:space="preserve">. </w:t>
      </w:r>
      <w:r w:rsidR="00714913">
        <w:rPr>
          <w:lang w:val="fr-FR" w:eastAsia="fr-CH"/>
        </w:rPr>
        <w:t xml:space="preserve">Quand des </w:t>
      </w:r>
      <w:r w:rsidR="00714913" w:rsidRPr="000708B9">
        <w:rPr>
          <w:lang w:val="fr-FR" w:eastAsia="fr-CH"/>
        </w:rPr>
        <w:t>décès surv</w:t>
      </w:r>
      <w:r w:rsidR="00714913">
        <w:rPr>
          <w:lang w:val="fr-FR" w:eastAsia="fr-CH"/>
        </w:rPr>
        <w:t>iennent dans d</w:t>
      </w:r>
      <w:r w:rsidR="00714913" w:rsidRPr="000708B9">
        <w:rPr>
          <w:lang w:val="fr-FR" w:eastAsia="fr-CH"/>
        </w:rPr>
        <w:t>es lieux de détention, quel</w:t>
      </w:r>
      <w:r w:rsidR="00714913">
        <w:rPr>
          <w:lang w:val="fr-FR" w:eastAsia="fr-CH"/>
        </w:rPr>
        <w:t xml:space="preserve">le sorte </w:t>
      </w:r>
      <w:r w:rsidR="00714913" w:rsidRPr="000708B9">
        <w:rPr>
          <w:lang w:val="fr-FR" w:eastAsia="fr-CH"/>
        </w:rPr>
        <w:t>d</w:t>
      </w:r>
      <w:r w:rsidR="00714913">
        <w:rPr>
          <w:lang w:val="fr-FR" w:eastAsia="fr-CH"/>
        </w:rPr>
        <w:t>’</w:t>
      </w:r>
      <w:r w:rsidR="00714913" w:rsidRPr="000708B9">
        <w:rPr>
          <w:lang w:val="fr-FR" w:eastAsia="fr-CH"/>
        </w:rPr>
        <w:t xml:space="preserve">enquête </w:t>
      </w:r>
      <w:r w:rsidR="00820C6B">
        <w:rPr>
          <w:lang w:val="fr-FR" w:eastAsia="fr-CH"/>
        </w:rPr>
        <w:t>est</w:t>
      </w:r>
      <w:r w:rsidR="00714913">
        <w:rPr>
          <w:lang w:val="fr-FR" w:eastAsia="fr-CH"/>
        </w:rPr>
        <w:t xml:space="preserve"> conduite et </w:t>
      </w:r>
      <w:r w:rsidR="00714913" w:rsidRPr="000708B9">
        <w:rPr>
          <w:lang w:val="fr-FR" w:eastAsia="fr-CH"/>
        </w:rPr>
        <w:t xml:space="preserve">les résultats </w:t>
      </w:r>
      <w:r w:rsidR="00714913">
        <w:rPr>
          <w:lang w:val="fr-FR" w:eastAsia="fr-CH"/>
        </w:rPr>
        <w:t xml:space="preserve">sont-ils </w:t>
      </w:r>
      <w:r w:rsidR="00714913" w:rsidRPr="000708B9">
        <w:rPr>
          <w:lang w:val="fr-FR" w:eastAsia="fr-CH"/>
        </w:rPr>
        <w:t>rendus publics?</w:t>
      </w:r>
    </w:p>
    <w:p w:rsidR="00714913" w:rsidRPr="000708B9" w:rsidRDefault="00522350" w:rsidP="00362B06">
      <w:pPr>
        <w:pStyle w:val="SingleTxtG"/>
        <w:rPr>
          <w:lang w:val="fr-CH" w:eastAsia="fr-CH"/>
        </w:rPr>
      </w:pPr>
      <w:r>
        <w:rPr>
          <w:lang w:val="fr-FR" w:eastAsia="fr-CH"/>
        </w:rPr>
        <w:t>19.</w:t>
      </w:r>
      <w:r>
        <w:rPr>
          <w:lang w:val="fr-FR" w:eastAsia="fr-CH"/>
        </w:rPr>
        <w:tab/>
      </w:r>
      <w:r w:rsidR="00714913">
        <w:rPr>
          <w:lang w:val="fr-FR" w:eastAsia="fr-CH"/>
        </w:rPr>
        <w:t xml:space="preserve">L’intervenant </w:t>
      </w:r>
      <w:r w:rsidR="00714913" w:rsidRPr="000708B9">
        <w:rPr>
          <w:lang w:val="fr-FR" w:eastAsia="fr-CH"/>
        </w:rPr>
        <w:t>recommand</w:t>
      </w:r>
      <w:r w:rsidR="00714913">
        <w:rPr>
          <w:lang w:val="fr-FR" w:eastAsia="fr-CH"/>
        </w:rPr>
        <w:t>e</w:t>
      </w:r>
      <w:r w:rsidR="00714913" w:rsidRPr="000708B9">
        <w:rPr>
          <w:lang w:val="fr-FR" w:eastAsia="fr-CH"/>
        </w:rPr>
        <w:t xml:space="preserve"> que Cuba ratifie la Convention relative au statut des réfugiés et le </w:t>
      </w:r>
      <w:r w:rsidR="00714913">
        <w:rPr>
          <w:lang w:val="fr-FR" w:eastAsia="fr-CH"/>
        </w:rPr>
        <w:t>P</w:t>
      </w:r>
      <w:r w:rsidR="00714913" w:rsidRPr="000708B9">
        <w:rPr>
          <w:lang w:val="fr-FR" w:eastAsia="fr-CH"/>
        </w:rPr>
        <w:t>rotocole s</w:t>
      </w:r>
      <w:r w:rsidR="00714913">
        <w:rPr>
          <w:lang w:val="fr-FR" w:eastAsia="fr-CH"/>
        </w:rPr>
        <w:t>’</w:t>
      </w:r>
      <w:r w:rsidR="00714913" w:rsidRPr="000708B9">
        <w:rPr>
          <w:lang w:val="fr-FR" w:eastAsia="fr-CH"/>
        </w:rPr>
        <w:t>y rapportant, la Convention sur la réduction des cas d</w:t>
      </w:r>
      <w:r w:rsidR="00714913">
        <w:rPr>
          <w:lang w:val="fr-FR" w:eastAsia="fr-CH"/>
        </w:rPr>
        <w:t>’</w:t>
      </w:r>
      <w:r w:rsidR="00714913" w:rsidRPr="000708B9">
        <w:rPr>
          <w:lang w:val="fr-FR" w:eastAsia="fr-CH"/>
        </w:rPr>
        <w:t xml:space="preserve">apatridie et la Convention relative au statut des apatrides. Cuba a signé le Pacte </w:t>
      </w:r>
      <w:r w:rsidR="00714913">
        <w:rPr>
          <w:lang w:val="fr-FR" w:eastAsia="fr-CH"/>
        </w:rPr>
        <w:t>i</w:t>
      </w:r>
      <w:r w:rsidR="00714913" w:rsidRPr="000708B9">
        <w:rPr>
          <w:lang w:val="fr-FR" w:eastAsia="fr-CH"/>
        </w:rPr>
        <w:t xml:space="preserve">nternational relatif aux droits civils et politiques et le Pacte </w:t>
      </w:r>
      <w:r w:rsidR="00714913">
        <w:rPr>
          <w:lang w:val="fr-FR" w:eastAsia="fr-CH"/>
        </w:rPr>
        <w:t>i</w:t>
      </w:r>
      <w:r w:rsidR="00714913" w:rsidRPr="000708B9">
        <w:rPr>
          <w:lang w:val="fr-FR" w:eastAsia="fr-CH"/>
        </w:rPr>
        <w:t>nternational relatif aux droits économiques, sociaux et culturels, mais ne le</w:t>
      </w:r>
      <w:r w:rsidR="00714913">
        <w:rPr>
          <w:lang w:val="fr-FR" w:eastAsia="fr-CH"/>
        </w:rPr>
        <w:t xml:space="preserve">s </w:t>
      </w:r>
      <w:r w:rsidR="00714913" w:rsidRPr="000708B9">
        <w:rPr>
          <w:lang w:val="fr-FR" w:eastAsia="fr-CH"/>
        </w:rPr>
        <w:t>a</w:t>
      </w:r>
      <w:r w:rsidR="00714913">
        <w:rPr>
          <w:lang w:val="fr-FR" w:eastAsia="fr-CH"/>
        </w:rPr>
        <w:t xml:space="preserve"> </w:t>
      </w:r>
      <w:r w:rsidR="00714913" w:rsidRPr="000708B9">
        <w:rPr>
          <w:lang w:val="fr-FR" w:eastAsia="fr-CH"/>
        </w:rPr>
        <w:t>pas encore ratifié</w:t>
      </w:r>
      <w:r w:rsidR="00714913">
        <w:rPr>
          <w:lang w:val="fr-FR" w:eastAsia="fr-CH"/>
        </w:rPr>
        <w:t>s</w:t>
      </w:r>
      <w:r w:rsidR="00714913" w:rsidRPr="000708B9">
        <w:rPr>
          <w:lang w:val="fr-FR" w:eastAsia="fr-CH"/>
        </w:rPr>
        <w:t xml:space="preserve">. </w:t>
      </w:r>
      <w:r w:rsidR="00714913">
        <w:rPr>
          <w:lang w:val="fr-FR" w:eastAsia="fr-CH"/>
        </w:rPr>
        <w:t>Néanmoins, l’intervenant est heureux de noter que le Pacte i</w:t>
      </w:r>
      <w:r w:rsidR="00714913" w:rsidRPr="000708B9">
        <w:rPr>
          <w:lang w:val="fr-FR" w:eastAsia="fr-CH"/>
        </w:rPr>
        <w:t xml:space="preserve">nternational relatif aux droits économiques, sociaux et culturels </w:t>
      </w:r>
      <w:r w:rsidR="00714913">
        <w:rPr>
          <w:lang w:val="fr-FR" w:eastAsia="fr-CH"/>
        </w:rPr>
        <w:t>fait</w:t>
      </w:r>
      <w:r w:rsidR="00714913" w:rsidRPr="000708B9">
        <w:rPr>
          <w:lang w:val="fr-FR" w:eastAsia="fr-CH"/>
        </w:rPr>
        <w:t xml:space="preserve"> partie des </w:t>
      </w:r>
      <w:r w:rsidR="00714913">
        <w:rPr>
          <w:lang w:val="fr-FR" w:eastAsia="fr-CH"/>
        </w:rPr>
        <w:t xml:space="preserve">stages </w:t>
      </w:r>
      <w:r w:rsidR="00714913" w:rsidRPr="000708B9">
        <w:rPr>
          <w:lang w:val="fr-FR" w:eastAsia="fr-CH"/>
        </w:rPr>
        <w:t xml:space="preserve">de formation </w:t>
      </w:r>
      <w:r w:rsidR="00714913">
        <w:rPr>
          <w:lang w:val="fr-FR" w:eastAsia="fr-CH"/>
        </w:rPr>
        <w:t xml:space="preserve">que </w:t>
      </w:r>
      <w:r w:rsidR="00714913" w:rsidRPr="000708B9">
        <w:rPr>
          <w:lang w:val="fr-FR" w:eastAsia="fr-CH"/>
        </w:rPr>
        <w:t>l</w:t>
      </w:r>
      <w:r w:rsidR="00714913">
        <w:rPr>
          <w:lang w:val="fr-FR" w:eastAsia="fr-CH"/>
        </w:rPr>
        <w:t>’</w:t>
      </w:r>
      <w:r w:rsidR="00714913" w:rsidRPr="000708B9">
        <w:rPr>
          <w:lang w:val="fr-FR" w:eastAsia="fr-CH"/>
        </w:rPr>
        <w:t xml:space="preserve">État partie </w:t>
      </w:r>
      <w:r w:rsidR="00714913">
        <w:rPr>
          <w:lang w:val="fr-FR" w:eastAsia="fr-CH"/>
        </w:rPr>
        <w:t xml:space="preserve">organise à l’intention </w:t>
      </w:r>
      <w:r w:rsidR="00714913" w:rsidRPr="000708B9">
        <w:rPr>
          <w:lang w:val="fr-FR" w:eastAsia="fr-CH"/>
        </w:rPr>
        <w:t>des juges et des procureurs.</w:t>
      </w:r>
    </w:p>
    <w:p w:rsidR="00714913" w:rsidRPr="002E36A6" w:rsidRDefault="00522350" w:rsidP="007C0DAA">
      <w:pPr>
        <w:pStyle w:val="SingleTxtG"/>
        <w:rPr>
          <w:lang w:val="fr-CH" w:eastAsia="fr-CH"/>
        </w:rPr>
      </w:pPr>
      <w:r>
        <w:rPr>
          <w:lang w:val="fr-FR" w:eastAsia="fr-CH"/>
        </w:rPr>
        <w:t>20.</w:t>
      </w:r>
      <w:r>
        <w:rPr>
          <w:lang w:val="fr-FR" w:eastAsia="fr-CH"/>
        </w:rPr>
        <w:tab/>
      </w:r>
      <w:r w:rsidR="00714913" w:rsidRPr="002E36A6">
        <w:rPr>
          <w:lang w:val="fr-FR" w:eastAsia="fr-CH"/>
        </w:rPr>
        <w:t>Le Comité a eu connaissance de cas d</w:t>
      </w:r>
      <w:r w:rsidR="00714913">
        <w:rPr>
          <w:lang w:val="fr-FR" w:eastAsia="fr-CH"/>
        </w:rPr>
        <w:t>’</w:t>
      </w:r>
      <w:r w:rsidR="00714913" w:rsidRPr="002E36A6">
        <w:rPr>
          <w:lang w:val="fr-FR" w:eastAsia="fr-CH"/>
        </w:rPr>
        <w:t>expulsion</w:t>
      </w:r>
      <w:r w:rsidR="00714913">
        <w:rPr>
          <w:lang w:val="fr-FR" w:eastAsia="fr-CH"/>
        </w:rPr>
        <w:t xml:space="preserve"> forcée </w:t>
      </w:r>
      <w:r w:rsidR="00714913" w:rsidRPr="002E36A6">
        <w:rPr>
          <w:lang w:val="fr-FR" w:eastAsia="fr-CH"/>
        </w:rPr>
        <w:t xml:space="preserve">ou </w:t>
      </w:r>
      <w:r w:rsidR="00714913">
        <w:rPr>
          <w:lang w:val="fr-FR" w:eastAsia="fr-CH"/>
        </w:rPr>
        <w:t xml:space="preserve">de bannissement </w:t>
      </w:r>
      <w:r w:rsidR="00714913" w:rsidRPr="002E36A6">
        <w:rPr>
          <w:lang w:val="fr-FR" w:eastAsia="fr-CH"/>
        </w:rPr>
        <w:t>permanent de citoyens cubains par l</w:t>
      </w:r>
      <w:r w:rsidR="00714913">
        <w:rPr>
          <w:lang w:val="fr-FR" w:eastAsia="fr-CH"/>
        </w:rPr>
        <w:t>’</w:t>
      </w:r>
      <w:r w:rsidR="00714913" w:rsidRPr="002E36A6">
        <w:rPr>
          <w:lang w:val="fr-FR" w:eastAsia="fr-CH"/>
        </w:rPr>
        <w:t xml:space="preserve">État partie. Les personnes concernées </w:t>
      </w:r>
      <w:r w:rsidR="00714913">
        <w:rPr>
          <w:lang w:val="fr-FR" w:eastAsia="fr-CH"/>
        </w:rPr>
        <w:t xml:space="preserve">se verraient refuser la </w:t>
      </w:r>
      <w:r w:rsidR="00714913" w:rsidRPr="002E36A6">
        <w:rPr>
          <w:lang w:val="fr-FR" w:eastAsia="fr-CH"/>
        </w:rPr>
        <w:t>possibilité de retour</w:t>
      </w:r>
      <w:r w:rsidR="00714913">
        <w:rPr>
          <w:lang w:val="fr-FR" w:eastAsia="fr-CH"/>
        </w:rPr>
        <w:t>ner</w:t>
      </w:r>
      <w:r w:rsidR="00714913" w:rsidRPr="002E36A6">
        <w:rPr>
          <w:lang w:val="fr-FR" w:eastAsia="fr-CH"/>
        </w:rPr>
        <w:t xml:space="preserve"> et </w:t>
      </w:r>
      <w:r w:rsidR="00714913">
        <w:rPr>
          <w:lang w:val="fr-FR" w:eastAsia="fr-CH"/>
        </w:rPr>
        <w:t>s’exposeraient à des poursuites pénales si elles</w:t>
      </w:r>
      <w:r w:rsidR="00714913" w:rsidRPr="002E36A6">
        <w:rPr>
          <w:lang w:val="fr-FR" w:eastAsia="fr-CH"/>
        </w:rPr>
        <w:t xml:space="preserve"> entr</w:t>
      </w:r>
      <w:r w:rsidR="00714913">
        <w:rPr>
          <w:lang w:val="fr-FR" w:eastAsia="fr-CH"/>
        </w:rPr>
        <w:t>aient</w:t>
      </w:r>
      <w:r w:rsidR="00714913" w:rsidRPr="002E36A6">
        <w:rPr>
          <w:lang w:val="fr-FR" w:eastAsia="fr-CH"/>
        </w:rPr>
        <w:t xml:space="preserve"> dans le pays. Leur statut est donc </w:t>
      </w:r>
      <w:r w:rsidR="00714913">
        <w:rPr>
          <w:lang w:val="fr-FR" w:eastAsia="fr-CH"/>
        </w:rPr>
        <w:t>l’</w:t>
      </w:r>
      <w:r w:rsidR="00714913" w:rsidRPr="002E36A6">
        <w:rPr>
          <w:lang w:val="fr-FR" w:eastAsia="fr-CH"/>
        </w:rPr>
        <w:t xml:space="preserve">équivalent </w:t>
      </w:r>
      <w:r w:rsidR="00714913">
        <w:rPr>
          <w:lang w:val="fr-FR" w:eastAsia="fr-CH"/>
        </w:rPr>
        <w:t>du statut d’</w:t>
      </w:r>
      <w:r w:rsidR="00714913" w:rsidRPr="002E36A6">
        <w:rPr>
          <w:lang w:val="fr-FR" w:eastAsia="fr-CH"/>
        </w:rPr>
        <w:t xml:space="preserve">apatride. </w:t>
      </w:r>
      <w:r w:rsidR="00714913">
        <w:rPr>
          <w:lang w:val="fr-FR" w:eastAsia="fr-CH"/>
        </w:rPr>
        <w:t xml:space="preserve">L’intervenant </w:t>
      </w:r>
      <w:r w:rsidR="00714913" w:rsidRPr="002E36A6">
        <w:rPr>
          <w:lang w:val="fr-FR" w:eastAsia="fr-CH"/>
        </w:rPr>
        <w:t>demand</w:t>
      </w:r>
      <w:r w:rsidR="00714913">
        <w:rPr>
          <w:lang w:val="fr-FR" w:eastAsia="fr-CH"/>
        </w:rPr>
        <w:t>e</w:t>
      </w:r>
      <w:r w:rsidR="00714913" w:rsidRPr="002E36A6">
        <w:rPr>
          <w:lang w:val="fr-FR" w:eastAsia="fr-CH"/>
        </w:rPr>
        <w:t xml:space="preserve"> si leurs enfants p</w:t>
      </w:r>
      <w:r w:rsidR="00714913">
        <w:rPr>
          <w:lang w:val="fr-FR" w:eastAsia="fr-CH"/>
        </w:rPr>
        <w:t xml:space="preserve">euvent </w:t>
      </w:r>
      <w:r w:rsidR="00714913" w:rsidRPr="002E36A6">
        <w:rPr>
          <w:lang w:val="fr-FR" w:eastAsia="fr-CH"/>
        </w:rPr>
        <w:t xml:space="preserve">acquérir la </w:t>
      </w:r>
      <w:r w:rsidR="00714913">
        <w:rPr>
          <w:lang w:val="fr-FR" w:eastAsia="fr-CH"/>
        </w:rPr>
        <w:t xml:space="preserve">nationalité </w:t>
      </w:r>
      <w:r w:rsidR="00714913" w:rsidRPr="002E36A6">
        <w:rPr>
          <w:lang w:val="fr-FR" w:eastAsia="fr-CH"/>
        </w:rPr>
        <w:t xml:space="preserve">cubaine. </w:t>
      </w:r>
      <w:r w:rsidR="00714913">
        <w:rPr>
          <w:lang w:val="fr-FR" w:eastAsia="fr-CH"/>
        </w:rPr>
        <w:t>L’expulsion est une option qui a été</w:t>
      </w:r>
      <w:r w:rsidR="00714913" w:rsidRPr="002E36A6">
        <w:rPr>
          <w:lang w:val="fr-FR" w:eastAsia="fr-CH"/>
        </w:rPr>
        <w:t xml:space="preserve"> apparemment </w:t>
      </w:r>
      <w:r w:rsidR="00714913">
        <w:rPr>
          <w:lang w:val="fr-FR" w:eastAsia="fr-CH"/>
        </w:rPr>
        <w:t xml:space="preserve">offerte à certains détenus, mais ils ont </w:t>
      </w:r>
      <w:r w:rsidR="00714913" w:rsidRPr="002E36A6">
        <w:rPr>
          <w:lang w:val="fr-FR" w:eastAsia="fr-CH"/>
        </w:rPr>
        <w:t xml:space="preserve">préféré rester dans le pays. </w:t>
      </w:r>
      <w:r w:rsidR="00714913">
        <w:rPr>
          <w:lang w:val="fr-FR" w:eastAsia="fr-CH"/>
        </w:rPr>
        <w:t xml:space="preserve">L’intervenant demande quelle est </w:t>
      </w:r>
      <w:r w:rsidR="00714913" w:rsidRPr="002E36A6">
        <w:rPr>
          <w:lang w:val="fr-FR" w:eastAsia="fr-CH"/>
        </w:rPr>
        <w:t xml:space="preserve">leur situation actuelle. </w:t>
      </w:r>
      <w:r w:rsidR="00714913">
        <w:rPr>
          <w:lang w:val="fr-FR" w:eastAsia="fr-CH"/>
        </w:rPr>
        <w:t>Au demeurant</w:t>
      </w:r>
      <w:r w:rsidR="00714913" w:rsidRPr="002E36A6">
        <w:rPr>
          <w:lang w:val="fr-FR" w:eastAsia="fr-CH"/>
        </w:rPr>
        <w:t>, José Daniel Ferrer a</w:t>
      </w:r>
      <w:r w:rsidR="00714913">
        <w:rPr>
          <w:lang w:val="fr-FR" w:eastAsia="fr-CH"/>
        </w:rPr>
        <w:t xml:space="preserve"> </w:t>
      </w:r>
      <w:r w:rsidR="00714913" w:rsidRPr="002E36A6">
        <w:rPr>
          <w:lang w:val="fr-FR" w:eastAsia="fr-CH"/>
        </w:rPr>
        <w:t xml:space="preserve">été </w:t>
      </w:r>
      <w:r w:rsidR="00714913">
        <w:rPr>
          <w:lang w:val="fr-FR" w:eastAsia="fr-CH"/>
        </w:rPr>
        <w:t xml:space="preserve">libéré </w:t>
      </w:r>
      <w:r w:rsidR="00714913" w:rsidRPr="002E36A6">
        <w:rPr>
          <w:lang w:val="fr-FR" w:eastAsia="fr-CH"/>
        </w:rPr>
        <w:t>de prison</w:t>
      </w:r>
      <w:r w:rsidR="00714913">
        <w:rPr>
          <w:lang w:val="fr-FR" w:eastAsia="fr-CH"/>
        </w:rPr>
        <w:t>,</w:t>
      </w:r>
      <w:r w:rsidR="00714913" w:rsidRPr="002E36A6">
        <w:rPr>
          <w:lang w:val="fr-FR" w:eastAsia="fr-CH"/>
        </w:rPr>
        <w:t xml:space="preserve"> mais informé </w:t>
      </w:r>
      <w:r w:rsidR="00714913">
        <w:rPr>
          <w:lang w:val="fr-FR" w:eastAsia="fr-CH"/>
        </w:rPr>
        <w:t>qu’il faisait encore l’objet d’inculpation pour</w:t>
      </w:r>
      <w:r w:rsidR="00714913" w:rsidRPr="002E36A6">
        <w:rPr>
          <w:lang w:val="fr-FR" w:eastAsia="fr-CH"/>
        </w:rPr>
        <w:t xml:space="preserve"> «désordre</w:t>
      </w:r>
      <w:r w:rsidR="00714913">
        <w:rPr>
          <w:lang w:val="fr-FR" w:eastAsia="fr-CH"/>
        </w:rPr>
        <w:t xml:space="preserve"> public</w:t>
      </w:r>
      <w:r w:rsidR="00714913" w:rsidRPr="002E36A6">
        <w:rPr>
          <w:lang w:val="fr-FR" w:eastAsia="fr-CH"/>
        </w:rPr>
        <w:t>».</w:t>
      </w:r>
    </w:p>
    <w:p w:rsidR="00714913" w:rsidRPr="002E36A6" w:rsidRDefault="00754D3E" w:rsidP="00362B06">
      <w:pPr>
        <w:pStyle w:val="SingleTxtG"/>
        <w:rPr>
          <w:lang w:val="fr-CH" w:eastAsia="fr-CH"/>
        </w:rPr>
      </w:pPr>
      <w:r>
        <w:rPr>
          <w:lang w:val="fr-FR" w:eastAsia="fr-CH"/>
        </w:rPr>
        <w:t>21.</w:t>
      </w:r>
      <w:r>
        <w:rPr>
          <w:lang w:val="fr-FR" w:eastAsia="fr-CH"/>
        </w:rPr>
        <w:tab/>
      </w:r>
      <w:r w:rsidR="00714913" w:rsidRPr="002E36A6">
        <w:rPr>
          <w:lang w:val="fr-FR" w:eastAsia="fr-CH"/>
        </w:rPr>
        <w:t>Le Comité a</w:t>
      </w:r>
      <w:r w:rsidR="00714913">
        <w:rPr>
          <w:lang w:val="fr-FR" w:eastAsia="fr-CH"/>
        </w:rPr>
        <w:t xml:space="preserve"> eu connaissance d’informations selon lesquelles les </w:t>
      </w:r>
      <w:r w:rsidR="00714913" w:rsidRPr="002E36A6">
        <w:rPr>
          <w:lang w:val="fr-FR" w:eastAsia="fr-CH"/>
        </w:rPr>
        <w:t>mouvement</w:t>
      </w:r>
      <w:r w:rsidR="00714913">
        <w:rPr>
          <w:lang w:val="fr-FR" w:eastAsia="fr-CH"/>
        </w:rPr>
        <w:t>s</w:t>
      </w:r>
      <w:r w:rsidR="00714913" w:rsidRPr="002E36A6">
        <w:rPr>
          <w:lang w:val="fr-FR" w:eastAsia="fr-CH"/>
        </w:rPr>
        <w:t xml:space="preserve"> de certaines personnes </w:t>
      </w:r>
      <w:r w:rsidR="00714913">
        <w:rPr>
          <w:lang w:val="fr-FR" w:eastAsia="fr-CH"/>
        </w:rPr>
        <w:t xml:space="preserve">à l’intérieur </w:t>
      </w:r>
      <w:r w:rsidR="00714913" w:rsidRPr="002E36A6">
        <w:rPr>
          <w:lang w:val="fr-FR" w:eastAsia="fr-CH"/>
        </w:rPr>
        <w:t>de l</w:t>
      </w:r>
      <w:r w:rsidR="00714913">
        <w:rPr>
          <w:lang w:val="fr-FR" w:eastAsia="fr-CH"/>
        </w:rPr>
        <w:t>’</w:t>
      </w:r>
      <w:r w:rsidR="00714913" w:rsidRPr="002E36A6">
        <w:rPr>
          <w:lang w:val="fr-FR" w:eastAsia="fr-CH"/>
        </w:rPr>
        <w:t xml:space="preserve">État </w:t>
      </w:r>
      <w:r w:rsidR="00714913">
        <w:rPr>
          <w:lang w:val="fr-FR" w:eastAsia="fr-CH"/>
        </w:rPr>
        <w:t xml:space="preserve">partie seraient soumis à des </w:t>
      </w:r>
      <w:r w:rsidR="00714913" w:rsidRPr="002E36A6">
        <w:rPr>
          <w:lang w:val="fr-FR" w:eastAsia="fr-CH"/>
        </w:rPr>
        <w:t>restr</w:t>
      </w:r>
      <w:r w:rsidR="00714913">
        <w:rPr>
          <w:lang w:val="fr-FR" w:eastAsia="fr-CH"/>
        </w:rPr>
        <w:t>ictions, ce qui serait une forme de surveillance ou de punition</w:t>
      </w:r>
      <w:r w:rsidR="00714913" w:rsidRPr="002E36A6">
        <w:rPr>
          <w:lang w:val="fr-FR" w:eastAsia="fr-CH"/>
        </w:rPr>
        <w:t xml:space="preserve">. </w:t>
      </w:r>
      <w:r w:rsidR="00714913">
        <w:rPr>
          <w:lang w:val="fr-FR" w:eastAsia="fr-CH"/>
        </w:rPr>
        <w:t xml:space="preserve">L’intervenant demande quelle est l’autorité qui refuse à des personnes le droit de se déplacer </w:t>
      </w:r>
      <w:r w:rsidR="00714913" w:rsidRPr="002E36A6">
        <w:rPr>
          <w:lang w:val="fr-FR" w:eastAsia="fr-CH"/>
        </w:rPr>
        <w:t xml:space="preserve">librement </w:t>
      </w:r>
      <w:r w:rsidR="00714913">
        <w:rPr>
          <w:lang w:val="fr-FR" w:eastAsia="fr-CH"/>
        </w:rPr>
        <w:t xml:space="preserve">à travers le </w:t>
      </w:r>
      <w:r w:rsidR="00714913" w:rsidRPr="002E36A6">
        <w:rPr>
          <w:lang w:val="fr-FR" w:eastAsia="fr-CH"/>
        </w:rPr>
        <w:t xml:space="preserve">pays et combien de personnes </w:t>
      </w:r>
      <w:r w:rsidR="00714913">
        <w:rPr>
          <w:lang w:val="fr-FR" w:eastAsia="fr-CH"/>
        </w:rPr>
        <w:t xml:space="preserve">sont </w:t>
      </w:r>
      <w:r w:rsidR="00714913" w:rsidRPr="002E36A6">
        <w:rPr>
          <w:lang w:val="fr-FR" w:eastAsia="fr-CH"/>
        </w:rPr>
        <w:t>actuellement touché</w:t>
      </w:r>
      <w:r w:rsidR="00714913">
        <w:rPr>
          <w:lang w:val="fr-FR" w:eastAsia="fr-CH"/>
        </w:rPr>
        <w:t>e</w:t>
      </w:r>
      <w:r w:rsidR="00714913" w:rsidRPr="002E36A6">
        <w:rPr>
          <w:lang w:val="fr-FR" w:eastAsia="fr-CH"/>
        </w:rPr>
        <w:t xml:space="preserve">s par </w:t>
      </w:r>
      <w:r w:rsidR="00714913">
        <w:rPr>
          <w:lang w:val="fr-FR" w:eastAsia="fr-CH"/>
        </w:rPr>
        <w:t>de tell</w:t>
      </w:r>
      <w:r w:rsidR="00714913" w:rsidRPr="002E36A6">
        <w:rPr>
          <w:lang w:val="fr-FR" w:eastAsia="fr-CH"/>
        </w:rPr>
        <w:t>es restrictions. Étant donné la générosité habituelle de l</w:t>
      </w:r>
      <w:r w:rsidR="00714913">
        <w:rPr>
          <w:lang w:val="fr-FR" w:eastAsia="fr-CH"/>
        </w:rPr>
        <w:t>’</w:t>
      </w:r>
      <w:r w:rsidR="00714913" w:rsidRPr="002E36A6">
        <w:rPr>
          <w:lang w:val="fr-FR" w:eastAsia="fr-CH"/>
        </w:rPr>
        <w:t xml:space="preserve">État </w:t>
      </w:r>
      <w:r w:rsidR="00714913">
        <w:rPr>
          <w:lang w:val="fr-FR" w:eastAsia="fr-CH"/>
        </w:rPr>
        <w:t xml:space="preserve">partie dans les questions </w:t>
      </w:r>
      <w:r w:rsidR="00714913" w:rsidRPr="002E36A6">
        <w:rPr>
          <w:lang w:val="fr-FR" w:eastAsia="fr-CH"/>
        </w:rPr>
        <w:t>d</w:t>
      </w:r>
      <w:r w:rsidR="00714913">
        <w:rPr>
          <w:lang w:val="fr-FR" w:eastAsia="fr-CH"/>
        </w:rPr>
        <w:t>’</w:t>
      </w:r>
      <w:r w:rsidR="00714913" w:rsidRPr="002E36A6">
        <w:rPr>
          <w:lang w:val="fr-FR" w:eastAsia="fr-CH"/>
        </w:rPr>
        <w:t>asile, il demand</w:t>
      </w:r>
      <w:r w:rsidR="00714913">
        <w:rPr>
          <w:lang w:val="fr-FR" w:eastAsia="fr-CH"/>
        </w:rPr>
        <w:t>e</w:t>
      </w:r>
      <w:r w:rsidR="00714913" w:rsidRPr="002E36A6">
        <w:rPr>
          <w:lang w:val="fr-FR" w:eastAsia="fr-CH"/>
        </w:rPr>
        <w:t xml:space="preserve"> s</w:t>
      </w:r>
      <w:r w:rsidR="00714913">
        <w:rPr>
          <w:lang w:val="fr-FR" w:eastAsia="fr-CH"/>
        </w:rPr>
        <w:t xml:space="preserve">i une approche plus compatissante </w:t>
      </w:r>
      <w:r w:rsidR="00714913" w:rsidRPr="002E36A6">
        <w:rPr>
          <w:lang w:val="fr-FR" w:eastAsia="fr-CH"/>
        </w:rPr>
        <w:t xml:space="preserve">pourrait être </w:t>
      </w:r>
      <w:r w:rsidR="00714913">
        <w:rPr>
          <w:lang w:val="fr-FR" w:eastAsia="fr-CH"/>
        </w:rPr>
        <w:t xml:space="preserve">adaptée à l’égard des </w:t>
      </w:r>
      <w:r w:rsidR="00714913" w:rsidRPr="002E36A6">
        <w:rPr>
          <w:lang w:val="fr-FR" w:eastAsia="fr-CH"/>
        </w:rPr>
        <w:t xml:space="preserve">migrants en situation irrégulière. </w:t>
      </w:r>
      <w:r w:rsidR="00714913">
        <w:rPr>
          <w:lang w:val="fr-FR" w:eastAsia="fr-CH"/>
        </w:rPr>
        <w:t>Actuellement, i</w:t>
      </w:r>
      <w:r w:rsidR="00714913" w:rsidRPr="002E36A6">
        <w:rPr>
          <w:lang w:val="fr-FR" w:eastAsia="fr-CH"/>
        </w:rPr>
        <w:t xml:space="preserve">l semble </w:t>
      </w:r>
      <w:r w:rsidR="00714913">
        <w:rPr>
          <w:lang w:val="fr-FR" w:eastAsia="fr-CH"/>
        </w:rPr>
        <w:t>qu’</w:t>
      </w:r>
      <w:r w:rsidR="00714913" w:rsidRPr="002E36A6">
        <w:rPr>
          <w:lang w:val="fr-FR" w:eastAsia="fr-CH"/>
        </w:rPr>
        <w:t xml:space="preserve">ils </w:t>
      </w:r>
      <w:r w:rsidR="00714913">
        <w:rPr>
          <w:lang w:val="fr-FR" w:eastAsia="fr-CH"/>
        </w:rPr>
        <w:t xml:space="preserve">puissent </w:t>
      </w:r>
      <w:r w:rsidR="00714913" w:rsidRPr="002E36A6">
        <w:rPr>
          <w:lang w:val="fr-FR" w:eastAsia="fr-CH"/>
        </w:rPr>
        <w:t xml:space="preserve">être </w:t>
      </w:r>
      <w:r w:rsidR="00714913">
        <w:rPr>
          <w:lang w:val="fr-FR" w:eastAsia="fr-CH"/>
        </w:rPr>
        <w:t>r</w:t>
      </w:r>
      <w:r w:rsidR="00714913" w:rsidRPr="002E36A6">
        <w:rPr>
          <w:lang w:val="fr-FR" w:eastAsia="fr-CH"/>
        </w:rPr>
        <w:t>envoyés dans leur pays d</w:t>
      </w:r>
      <w:r w:rsidR="00714913">
        <w:rPr>
          <w:lang w:val="fr-FR" w:eastAsia="fr-CH"/>
        </w:rPr>
        <w:t>’</w:t>
      </w:r>
      <w:r w:rsidR="00714913" w:rsidRPr="002E36A6">
        <w:rPr>
          <w:lang w:val="fr-FR" w:eastAsia="fr-CH"/>
        </w:rPr>
        <w:t xml:space="preserve">origine </w:t>
      </w:r>
      <w:r w:rsidR="00714913">
        <w:rPr>
          <w:lang w:val="fr-FR" w:eastAsia="fr-CH"/>
        </w:rPr>
        <w:t xml:space="preserve">au mépris </w:t>
      </w:r>
      <w:r w:rsidR="00714913" w:rsidRPr="002E36A6">
        <w:rPr>
          <w:lang w:val="fr-FR" w:eastAsia="fr-CH"/>
        </w:rPr>
        <w:t xml:space="preserve">du principe de non-refoulement. </w:t>
      </w:r>
      <w:r w:rsidR="00714913">
        <w:rPr>
          <w:lang w:val="fr-FR" w:eastAsia="fr-CH"/>
        </w:rPr>
        <w:t xml:space="preserve">L’intervenant </w:t>
      </w:r>
      <w:r w:rsidR="00714913" w:rsidRPr="002E36A6">
        <w:rPr>
          <w:lang w:val="fr-FR" w:eastAsia="fr-CH"/>
        </w:rPr>
        <w:t>demand</w:t>
      </w:r>
      <w:r w:rsidR="00714913">
        <w:rPr>
          <w:lang w:val="fr-FR" w:eastAsia="fr-CH"/>
        </w:rPr>
        <w:t>e</w:t>
      </w:r>
      <w:r w:rsidR="00714913" w:rsidRPr="002E36A6">
        <w:rPr>
          <w:lang w:val="fr-FR" w:eastAsia="fr-CH"/>
        </w:rPr>
        <w:t xml:space="preserve"> combien </w:t>
      </w:r>
      <w:r w:rsidR="00714913">
        <w:rPr>
          <w:lang w:val="fr-FR" w:eastAsia="fr-CH"/>
        </w:rPr>
        <w:t xml:space="preserve">il y a eu, à ce jour, </w:t>
      </w:r>
      <w:r w:rsidR="00714913" w:rsidRPr="002E36A6">
        <w:rPr>
          <w:lang w:val="fr-FR" w:eastAsia="fr-CH"/>
        </w:rPr>
        <w:t xml:space="preserve">de personnes </w:t>
      </w:r>
      <w:r w:rsidR="00714913">
        <w:rPr>
          <w:lang w:val="fr-FR" w:eastAsia="fr-CH"/>
        </w:rPr>
        <w:t xml:space="preserve">qui ont </w:t>
      </w:r>
      <w:r w:rsidR="00714913" w:rsidRPr="002E36A6">
        <w:rPr>
          <w:lang w:val="fr-FR" w:eastAsia="fr-CH"/>
        </w:rPr>
        <w:t>été traité</w:t>
      </w:r>
      <w:r w:rsidR="00714913">
        <w:rPr>
          <w:lang w:val="fr-FR" w:eastAsia="fr-CH"/>
        </w:rPr>
        <w:t>e</w:t>
      </w:r>
      <w:r w:rsidR="00714913" w:rsidRPr="002E36A6">
        <w:rPr>
          <w:lang w:val="fr-FR" w:eastAsia="fr-CH"/>
        </w:rPr>
        <w:t xml:space="preserve">s de cette </w:t>
      </w:r>
      <w:r w:rsidR="00714913">
        <w:rPr>
          <w:lang w:val="fr-FR" w:eastAsia="fr-CH"/>
        </w:rPr>
        <w:t>manière</w:t>
      </w:r>
      <w:r w:rsidR="00714913" w:rsidRPr="002E36A6">
        <w:rPr>
          <w:lang w:val="fr-FR" w:eastAsia="fr-CH"/>
        </w:rPr>
        <w:t xml:space="preserve">. </w:t>
      </w:r>
    </w:p>
    <w:p w:rsidR="00714913" w:rsidRPr="002E36A6" w:rsidRDefault="00754D3E" w:rsidP="00362B06">
      <w:pPr>
        <w:pStyle w:val="SingleTxtG"/>
        <w:rPr>
          <w:lang w:val="fr-CH" w:eastAsia="fr-CH"/>
        </w:rPr>
      </w:pPr>
      <w:r>
        <w:rPr>
          <w:lang w:val="fr-FR" w:eastAsia="fr-CH"/>
        </w:rPr>
        <w:t>22.</w:t>
      </w:r>
      <w:r>
        <w:rPr>
          <w:lang w:val="fr-FR" w:eastAsia="fr-CH"/>
        </w:rPr>
        <w:tab/>
      </w:r>
      <w:r w:rsidR="00714913">
        <w:rPr>
          <w:lang w:val="fr-FR" w:eastAsia="fr-CH"/>
        </w:rPr>
        <w:t xml:space="preserve">À propos de la question </w:t>
      </w:r>
      <w:r w:rsidR="00714913" w:rsidRPr="002E36A6">
        <w:rPr>
          <w:lang w:val="fr-FR" w:eastAsia="fr-CH"/>
        </w:rPr>
        <w:t>de l</w:t>
      </w:r>
      <w:r w:rsidR="00714913">
        <w:rPr>
          <w:lang w:val="fr-FR" w:eastAsia="fr-CH"/>
        </w:rPr>
        <w:t>’</w:t>
      </w:r>
      <w:r w:rsidR="00714913" w:rsidRPr="002E36A6">
        <w:rPr>
          <w:lang w:val="fr-FR" w:eastAsia="fr-CH"/>
        </w:rPr>
        <w:t xml:space="preserve">indépendance de la </w:t>
      </w:r>
      <w:r w:rsidR="00714913">
        <w:rPr>
          <w:lang w:val="fr-FR" w:eastAsia="fr-CH"/>
        </w:rPr>
        <w:t>justice</w:t>
      </w:r>
      <w:r w:rsidR="00714913" w:rsidRPr="002E36A6">
        <w:rPr>
          <w:lang w:val="fr-FR" w:eastAsia="fr-CH"/>
        </w:rPr>
        <w:t xml:space="preserve">, </w:t>
      </w:r>
      <w:r w:rsidR="00714913">
        <w:rPr>
          <w:lang w:val="fr-FR" w:eastAsia="fr-CH"/>
        </w:rPr>
        <w:t xml:space="preserve">l’intervenant aimerait connaître les observations </w:t>
      </w:r>
      <w:r w:rsidR="00714913" w:rsidRPr="002E36A6">
        <w:rPr>
          <w:lang w:val="fr-FR" w:eastAsia="fr-CH"/>
        </w:rPr>
        <w:t>de la délégation sur le rapport</w:t>
      </w:r>
      <w:r w:rsidR="00714913">
        <w:rPr>
          <w:lang w:val="fr-FR" w:eastAsia="fr-CH"/>
        </w:rPr>
        <w:t xml:space="preserve"> de</w:t>
      </w:r>
      <w:r w:rsidR="00714913" w:rsidRPr="002E36A6">
        <w:rPr>
          <w:lang w:val="fr-FR" w:eastAsia="fr-CH"/>
        </w:rPr>
        <w:t xml:space="preserve"> 2011 de la Commission interaméricaine des droits de l</w:t>
      </w:r>
      <w:r w:rsidR="00714913">
        <w:rPr>
          <w:lang w:val="fr-FR" w:eastAsia="fr-CH"/>
        </w:rPr>
        <w:t>’</w:t>
      </w:r>
      <w:r w:rsidR="00714913" w:rsidRPr="002E36A6">
        <w:rPr>
          <w:lang w:val="fr-FR" w:eastAsia="fr-CH"/>
        </w:rPr>
        <w:t>homme, qui a</w:t>
      </w:r>
      <w:r w:rsidR="00714913">
        <w:rPr>
          <w:lang w:val="fr-FR" w:eastAsia="fr-CH"/>
        </w:rPr>
        <w:t xml:space="preserve"> </w:t>
      </w:r>
      <w:r w:rsidR="00714913" w:rsidRPr="002E36A6">
        <w:rPr>
          <w:lang w:val="fr-FR" w:eastAsia="fr-CH"/>
        </w:rPr>
        <w:t>indiqué que la subordination des tribunaux de l</w:t>
      </w:r>
      <w:r w:rsidR="00714913">
        <w:rPr>
          <w:lang w:val="fr-FR" w:eastAsia="fr-CH"/>
        </w:rPr>
        <w:t>’</w:t>
      </w:r>
      <w:r w:rsidR="00714913" w:rsidRPr="002E36A6">
        <w:rPr>
          <w:lang w:val="fr-FR" w:eastAsia="fr-CH"/>
        </w:rPr>
        <w:t xml:space="preserve">État partie </w:t>
      </w:r>
      <w:r w:rsidR="00714913">
        <w:rPr>
          <w:lang w:val="fr-FR" w:eastAsia="fr-CH"/>
        </w:rPr>
        <w:t xml:space="preserve">au </w:t>
      </w:r>
      <w:r w:rsidR="00714913" w:rsidRPr="002E36A6">
        <w:rPr>
          <w:lang w:val="fr-FR" w:eastAsia="fr-CH"/>
        </w:rPr>
        <w:t>Conseil d</w:t>
      </w:r>
      <w:r w:rsidR="00714913">
        <w:rPr>
          <w:lang w:val="fr-FR" w:eastAsia="fr-CH"/>
        </w:rPr>
        <w:t>’É</w:t>
      </w:r>
      <w:r w:rsidR="00714913" w:rsidRPr="002E36A6">
        <w:rPr>
          <w:lang w:val="fr-FR" w:eastAsia="fr-CH"/>
        </w:rPr>
        <w:t>tat, présidé par le chef de l</w:t>
      </w:r>
      <w:r w:rsidR="00714913">
        <w:rPr>
          <w:lang w:val="fr-FR" w:eastAsia="fr-CH"/>
        </w:rPr>
        <w:t>’É</w:t>
      </w:r>
      <w:r w:rsidR="00714913" w:rsidRPr="002E36A6">
        <w:rPr>
          <w:lang w:val="fr-FR" w:eastAsia="fr-CH"/>
        </w:rPr>
        <w:t>tat, signifi</w:t>
      </w:r>
      <w:r w:rsidR="00714913">
        <w:rPr>
          <w:lang w:val="fr-FR" w:eastAsia="fr-CH"/>
        </w:rPr>
        <w:t>ait</w:t>
      </w:r>
      <w:r w:rsidR="00714913" w:rsidRPr="002E36A6">
        <w:rPr>
          <w:lang w:val="fr-FR" w:eastAsia="fr-CH"/>
        </w:rPr>
        <w:t xml:space="preserve"> que le pouvoir judiciaire </w:t>
      </w:r>
      <w:r w:rsidR="00714913">
        <w:rPr>
          <w:lang w:val="fr-FR" w:eastAsia="fr-CH"/>
        </w:rPr>
        <w:t xml:space="preserve">était </w:t>
      </w:r>
      <w:r w:rsidR="00714913" w:rsidRPr="002E36A6">
        <w:rPr>
          <w:lang w:val="fr-FR" w:eastAsia="fr-CH"/>
        </w:rPr>
        <w:t>directement responsable devant l</w:t>
      </w:r>
      <w:r w:rsidR="00714913">
        <w:rPr>
          <w:lang w:val="fr-FR" w:eastAsia="fr-CH"/>
        </w:rPr>
        <w:t>’</w:t>
      </w:r>
      <w:r w:rsidR="00714913" w:rsidRPr="002E36A6">
        <w:rPr>
          <w:lang w:val="fr-FR" w:eastAsia="fr-CH"/>
        </w:rPr>
        <w:t xml:space="preserve">exécutif. Le même rapport </w:t>
      </w:r>
      <w:r w:rsidR="00714913">
        <w:rPr>
          <w:lang w:val="fr-FR" w:eastAsia="fr-CH"/>
        </w:rPr>
        <w:t>jugeait préoccupantes l</w:t>
      </w:r>
      <w:r w:rsidR="00714913" w:rsidRPr="002E36A6">
        <w:rPr>
          <w:lang w:val="fr-FR" w:eastAsia="fr-CH"/>
        </w:rPr>
        <w:t>es dispositions de l</w:t>
      </w:r>
      <w:r w:rsidR="00714913">
        <w:rPr>
          <w:lang w:val="fr-FR" w:eastAsia="fr-CH"/>
        </w:rPr>
        <w:t>’</w:t>
      </w:r>
      <w:r w:rsidR="00714913" w:rsidRPr="002E36A6">
        <w:rPr>
          <w:lang w:val="fr-FR" w:eastAsia="fr-CH"/>
        </w:rPr>
        <w:t xml:space="preserve">article 72 du Code pénal, qui </w:t>
      </w:r>
      <w:r w:rsidR="00714913">
        <w:rPr>
          <w:lang w:val="fr-FR" w:eastAsia="fr-CH"/>
        </w:rPr>
        <w:t>qualifie d’infraction un état dit</w:t>
      </w:r>
      <w:r w:rsidR="00714913" w:rsidRPr="002E36A6">
        <w:rPr>
          <w:lang w:val="fr-FR" w:eastAsia="fr-CH"/>
        </w:rPr>
        <w:t xml:space="preserve"> «</w:t>
      </w:r>
      <w:r w:rsidR="007C0DAA">
        <w:rPr>
          <w:lang w:val="fr-FR" w:eastAsia="fr-CH"/>
        </w:rPr>
        <w:t>état dangereux</w:t>
      </w:r>
      <w:r w:rsidR="00714913" w:rsidRPr="002E36A6">
        <w:rPr>
          <w:lang w:val="fr-FR" w:eastAsia="fr-CH"/>
        </w:rPr>
        <w:t>» (</w:t>
      </w:r>
      <w:r w:rsidR="00714913" w:rsidRPr="002E36A6">
        <w:rPr>
          <w:iCs/>
          <w:lang w:val="fr-FR" w:eastAsia="fr-CH"/>
        </w:rPr>
        <w:t>estado peligroso</w:t>
      </w:r>
      <w:r w:rsidR="00714913" w:rsidRPr="002E36A6">
        <w:rPr>
          <w:lang w:val="fr-FR" w:eastAsia="fr-CH"/>
        </w:rPr>
        <w:t xml:space="preserve">), et </w:t>
      </w:r>
      <w:r w:rsidR="00714913">
        <w:rPr>
          <w:lang w:val="fr-FR" w:eastAsia="fr-CH"/>
        </w:rPr>
        <w:t>d</w:t>
      </w:r>
      <w:r w:rsidR="00714913" w:rsidRPr="002E36A6">
        <w:rPr>
          <w:lang w:val="fr-FR" w:eastAsia="fr-CH"/>
        </w:rPr>
        <w:t>es articles 479 et 480 d</w:t>
      </w:r>
      <w:r w:rsidR="00714913">
        <w:rPr>
          <w:lang w:val="fr-FR" w:eastAsia="fr-CH"/>
        </w:rPr>
        <w:t>u Code</w:t>
      </w:r>
      <w:r w:rsidR="00714913" w:rsidRPr="002E36A6">
        <w:rPr>
          <w:lang w:val="fr-FR" w:eastAsia="fr-CH"/>
        </w:rPr>
        <w:t xml:space="preserve"> de procédure pénale</w:t>
      </w:r>
      <w:r w:rsidR="00714913">
        <w:rPr>
          <w:lang w:val="fr-FR" w:eastAsia="fr-CH"/>
        </w:rPr>
        <w:t xml:space="preserve"> prévoyant une procédure sommaire spécialement accélérée</w:t>
      </w:r>
      <w:r w:rsidR="00714913" w:rsidRPr="002E36A6">
        <w:rPr>
          <w:lang w:val="fr-FR" w:eastAsia="fr-CH"/>
        </w:rPr>
        <w:t xml:space="preserve">. </w:t>
      </w:r>
      <w:r w:rsidR="00714913">
        <w:rPr>
          <w:lang w:val="fr-FR" w:eastAsia="fr-CH"/>
        </w:rPr>
        <w:t>L’intervenant accueillerait avec intérêt des informations complémentaires sur ces</w:t>
      </w:r>
      <w:r w:rsidR="00714913" w:rsidRPr="002E36A6">
        <w:rPr>
          <w:lang w:val="fr-FR" w:eastAsia="fr-CH"/>
        </w:rPr>
        <w:t xml:space="preserve"> aspects de la législation de l</w:t>
      </w:r>
      <w:r w:rsidR="00714913">
        <w:rPr>
          <w:lang w:val="fr-FR" w:eastAsia="fr-CH"/>
        </w:rPr>
        <w:t>’</w:t>
      </w:r>
      <w:r w:rsidR="00714913" w:rsidRPr="002E36A6">
        <w:rPr>
          <w:lang w:val="fr-FR" w:eastAsia="fr-CH"/>
        </w:rPr>
        <w:t xml:space="preserve">État partie, </w:t>
      </w:r>
      <w:r w:rsidR="00714913">
        <w:rPr>
          <w:lang w:val="fr-FR" w:eastAsia="fr-CH"/>
        </w:rPr>
        <w:t xml:space="preserve">y compris </w:t>
      </w:r>
      <w:r w:rsidR="00714913" w:rsidRPr="002E36A6">
        <w:rPr>
          <w:lang w:val="fr-FR" w:eastAsia="fr-CH"/>
        </w:rPr>
        <w:t>des statistiques sur le nombre des procédures sommaires</w:t>
      </w:r>
      <w:r w:rsidR="00714913">
        <w:rPr>
          <w:lang w:val="fr-FR" w:eastAsia="fr-CH"/>
        </w:rPr>
        <w:t xml:space="preserve"> visées</w:t>
      </w:r>
      <w:r w:rsidR="00714913" w:rsidRPr="002E36A6">
        <w:rPr>
          <w:lang w:val="fr-FR" w:eastAsia="fr-CH"/>
        </w:rPr>
        <w:t>. Il demand</w:t>
      </w:r>
      <w:r w:rsidR="00714913">
        <w:rPr>
          <w:lang w:val="fr-FR" w:eastAsia="fr-CH"/>
        </w:rPr>
        <w:t xml:space="preserve">e </w:t>
      </w:r>
      <w:r w:rsidR="00714913" w:rsidRPr="002E36A6">
        <w:rPr>
          <w:lang w:val="fr-FR" w:eastAsia="fr-CH"/>
        </w:rPr>
        <w:t>s</w:t>
      </w:r>
      <w:r w:rsidR="00714913">
        <w:rPr>
          <w:lang w:val="fr-FR" w:eastAsia="fr-CH"/>
        </w:rPr>
        <w:t>’</w:t>
      </w:r>
      <w:r w:rsidR="00714913" w:rsidRPr="002E36A6">
        <w:rPr>
          <w:lang w:val="fr-FR" w:eastAsia="fr-CH"/>
        </w:rPr>
        <w:t>il y a</w:t>
      </w:r>
      <w:r w:rsidR="00714913">
        <w:rPr>
          <w:lang w:val="fr-FR" w:eastAsia="fr-CH"/>
        </w:rPr>
        <w:t xml:space="preserve"> </w:t>
      </w:r>
      <w:r w:rsidR="00714913" w:rsidRPr="002E36A6">
        <w:rPr>
          <w:lang w:val="fr-FR" w:eastAsia="fr-CH"/>
        </w:rPr>
        <w:t xml:space="preserve">eu une enquête indépendante et transparente </w:t>
      </w:r>
      <w:r w:rsidR="00714913">
        <w:rPr>
          <w:lang w:val="fr-FR" w:eastAsia="fr-CH"/>
        </w:rPr>
        <w:t>au sujet du décès de M. </w:t>
      </w:r>
      <w:r w:rsidR="00714913" w:rsidRPr="002E36A6">
        <w:rPr>
          <w:lang w:val="fr-FR" w:eastAsia="fr-CH"/>
        </w:rPr>
        <w:t>Juan Wilfredo Soto García</w:t>
      </w:r>
      <w:r w:rsidR="00714913">
        <w:rPr>
          <w:lang w:val="fr-FR" w:eastAsia="fr-CH"/>
        </w:rPr>
        <w:t>,</w:t>
      </w:r>
      <w:r w:rsidR="00714913" w:rsidRPr="002E36A6">
        <w:rPr>
          <w:lang w:val="fr-FR" w:eastAsia="fr-CH"/>
        </w:rPr>
        <w:t xml:space="preserve"> sur</w:t>
      </w:r>
      <w:r w:rsidR="00714913">
        <w:rPr>
          <w:lang w:val="fr-FR" w:eastAsia="fr-CH"/>
        </w:rPr>
        <w:t>venu le</w:t>
      </w:r>
      <w:r w:rsidR="00714913" w:rsidRPr="002E36A6">
        <w:rPr>
          <w:lang w:val="fr-FR" w:eastAsia="fr-CH"/>
        </w:rPr>
        <w:t xml:space="preserve"> 7 mai 2011 apparemment à la suite de coups qu</w:t>
      </w:r>
      <w:r w:rsidR="00714913">
        <w:rPr>
          <w:lang w:val="fr-FR" w:eastAsia="fr-CH"/>
        </w:rPr>
        <w:t>’</w:t>
      </w:r>
      <w:r w:rsidR="00714913" w:rsidRPr="002E36A6">
        <w:rPr>
          <w:lang w:val="fr-FR" w:eastAsia="fr-CH"/>
        </w:rPr>
        <w:t>il avait reçu</w:t>
      </w:r>
      <w:r w:rsidR="00714913">
        <w:rPr>
          <w:lang w:val="fr-FR" w:eastAsia="fr-CH"/>
        </w:rPr>
        <w:t>s</w:t>
      </w:r>
      <w:r w:rsidR="00714913" w:rsidRPr="002E36A6">
        <w:rPr>
          <w:lang w:val="fr-FR" w:eastAsia="fr-CH"/>
        </w:rPr>
        <w:t xml:space="preserve">. </w:t>
      </w:r>
      <w:r w:rsidR="00714913">
        <w:rPr>
          <w:lang w:val="fr-FR" w:eastAsia="fr-CH"/>
        </w:rPr>
        <w:t xml:space="preserve">L’intervenant </w:t>
      </w:r>
      <w:r w:rsidR="00714913" w:rsidRPr="002E36A6">
        <w:rPr>
          <w:lang w:val="fr-FR" w:eastAsia="fr-CH"/>
        </w:rPr>
        <w:t xml:space="preserve">voudrait savoir si </w:t>
      </w:r>
      <w:r w:rsidR="00714913">
        <w:rPr>
          <w:lang w:val="fr-FR" w:eastAsia="fr-CH"/>
        </w:rPr>
        <w:t>d</w:t>
      </w:r>
      <w:r w:rsidR="00714913" w:rsidRPr="002E36A6">
        <w:rPr>
          <w:lang w:val="fr-FR" w:eastAsia="fr-CH"/>
        </w:rPr>
        <w:t xml:space="preserve">es citoyens étrangers qui </w:t>
      </w:r>
      <w:r w:rsidR="00714913">
        <w:rPr>
          <w:lang w:val="fr-FR" w:eastAsia="fr-CH"/>
        </w:rPr>
        <w:t xml:space="preserve">auraient </w:t>
      </w:r>
      <w:r w:rsidR="00714913" w:rsidRPr="002E36A6">
        <w:rPr>
          <w:lang w:val="fr-FR" w:eastAsia="fr-CH"/>
        </w:rPr>
        <w:t>commis des actes de torture à l</w:t>
      </w:r>
      <w:r w:rsidR="00714913">
        <w:rPr>
          <w:lang w:val="fr-FR" w:eastAsia="fr-CH"/>
        </w:rPr>
        <w:t>’</w:t>
      </w:r>
      <w:r w:rsidR="00714913" w:rsidRPr="002E36A6">
        <w:rPr>
          <w:lang w:val="fr-FR" w:eastAsia="fr-CH"/>
        </w:rPr>
        <w:t>étranger, mais qui se trouv</w:t>
      </w:r>
      <w:r w:rsidR="00714913">
        <w:rPr>
          <w:lang w:val="fr-FR" w:eastAsia="fr-CH"/>
        </w:rPr>
        <w:t>ent</w:t>
      </w:r>
      <w:r w:rsidR="00714913" w:rsidRPr="002E36A6">
        <w:rPr>
          <w:lang w:val="fr-FR" w:eastAsia="fr-CH"/>
        </w:rPr>
        <w:t xml:space="preserve"> sur le sol cubain</w:t>
      </w:r>
      <w:r w:rsidR="00714913">
        <w:rPr>
          <w:lang w:val="fr-FR" w:eastAsia="fr-CH"/>
        </w:rPr>
        <w:t>,</w:t>
      </w:r>
      <w:r w:rsidR="00714913" w:rsidRPr="002E36A6">
        <w:rPr>
          <w:lang w:val="fr-FR" w:eastAsia="fr-CH"/>
        </w:rPr>
        <w:t xml:space="preserve"> </w:t>
      </w:r>
      <w:r w:rsidR="00714913">
        <w:rPr>
          <w:lang w:val="fr-FR" w:eastAsia="fr-CH"/>
        </w:rPr>
        <w:t xml:space="preserve">ont </w:t>
      </w:r>
      <w:r w:rsidR="00714913" w:rsidRPr="002E36A6">
        <w:rPr>
          <w:lang w:val="fr-FR" w:eastAsia="fr-CH"/>
        </w:rPr>
        <w:t xml:space="preserve">été </w:t>
      </w:r>
      <w:r w:rsidR="00714913">
        <w:rPr>
          <w:lang w:val="fr-FR" w:eastAsia="fr-CH"/>
        </w:rPr>
        <w:t>jugés à Cuba</w:t>
      </w:r>
      <w:r w:rsidR="00714913" w:rsidRPr="002E36A6">
        <w:rPr>
          <w:lang w:val="fr-FR" w:eastAsia="fr-CH"/>
        </w:rPr>
        <w:t xml:space="preserve"> conformément aux dispositions de l</w:t>
      </w:r>
      <w:r w:rsidR="00714913">
        <w:rPr>
          <w:lang w:val="fr-FR" w:eastAsia="fr-CH"/>
        </w:rPr>
        <w:t>’</w:t>
      </w:r>
      <w:r w:rsidR="00714913" w:rsidRPr="002E36A6">
        <w:rPr>
          <w:lang w:val="fr-FR" w:eastAsia="fr-CH"/>
        </w:rPr>
        <w:t>article 5 de la Convention. Enfin, il s</w:t>
      </w:r>
      <w:r w:rsidR="00714913">
        <w:rPr>
          <w:lang w:val="fr-FR" w:eastAsia="fr-CH"/>
        </w:rPr>
        <w:t xml:space="preserve">’interroge sur l’étendue des compétences de </w:t>
      </w:r>
      <w:r w:rsidR="00714913" w:rsidRPr="002E36A6">
        <w:rPr>
          <w:lang w:val="fr-FR" w:eastAsia="fr-CH"/>
        </w:rPr>
        <w:t xml:space="preserve">la juridiction militaire, </w:t>
      </w:r>
      <w:r w:rsidR="00714913">
        <w:rPr>
          <w:lang w:val="fr-FR" w:eastAsia="fr-CH"/>
        </w:rPr>
        <w:t xml:space="preserve">et, plus </w:t>
      </w:r>
      <w:r w:rsidR="00714913" w:rsidRPr="002E36A6">
        <w:rPr>
          <w:lang w:val="fr-FR" w:eastAsia="fr-CH"/>
        </w:rPr>
        <w:t>particuli</w:t>
      </w:r>
      <w:r w:rsidR="00714913">
        <w:rPr>
          <w:lang w:val="fr-FR" w:eastAsia="fr-CH"/>
        </w:rPr>
        <w:t>èrement, voudrait savoir si des</w:t>
      </w:r>
      <w:r w:rsidR="00714913" w:rsidRPr="002E36A6">
        <w:rPr>
          <w:lang w:val="fr-FR" w:eastAsia="fr-CH"/>
        </w:rPr>
        <w:t xml:space="preserve"> civils </w:t>
      </w:r>
      <w:r w:rsidR="00714913">
        <w:rPr>
          <w:lang w:val="fr-FR" w:eastAsia="fr-CH"/>
        </w:rPr>
        <w:t xml:space="preserve">peuvent </w:t>
      </w:r>
      <w:r w:rsidR="00714913" w:rsidRPr="002E36A6">
        <w:rPr>
          <w:lang w:val="fr-FR" w:eastAsia="fr-CH"/>
        </w:rPr>
        <w:t>être jugés par des tribunaux militaires et</w:t>
      </w:r>
      <w:r w:rsidR="00714913">
        <w:rPr>
          <w:lang w:val="fr-FR" w:eastAsia="fr-CH"/>
        </w:rPr>
        <w:t>,</w:t>
      </w:r>
      <w:r w:rsidR="00714913" w:rsidRPr="002E36A6">
        <w:rPr>
          <w:lang w:val="fr-FR" w:eastAsia="fr-CH"/>
        </w:rPr>
        <w:t xml:space="preserve"> dans l</w:t>
      </w:r>
      <w:r w:rsidR="00714913">
        <w:rPr>
          <w:lang w:val="fr-FR" w:eastAsia="fr-CH"/>
        </w:rPr>
        <w:t>’</w:t>
      </w:r>
      <w:r w:rsidR="00714913" w:rsidRPr="002E36A6">
        <w:rPr>
          <w:lang w:val="fr-FR" w:eastAsia="fr-CH"/>
        </w:rPr>
        <w:t>affirmative,</w:t>
      </w:r>
      <w:r w:rsidR="00714913">
        <w:rPr>
          <w:lang w:val="fr-FR" w:eastAsia="fr-CH"/>
        </w:rPr>
        <w:t xml:space="preserve"> à</w:t>
      </w:r>
      <w:r w:rsidR="00714913" w:rsidRPr="002E36A6">
        <w:rPr>
          <w:lang w:val="fr-FR" w:eastAsia="fr-CH"/>
        </w:rPr>
        <w:t xml:space="preserve"> quelles restrictions</w:t>
      </w:r>
      <w:r w:rsidR="00714913">
        <w:rPr>
          <w:lang w:val="fr-FR" w:eastAsia="fr-CH"/>
        </w:rPr>
        <w:t xml:space="preserve"> est soumise cette procédure</w:t>
      </w:r>
      <w:r w:rsidR="00714913" w:rsidRPr="002E36A6">
        <w:rPr>
          <w:lang w:val="fr-FR" w:eastAsia="fr-CH"/>
        </w:rPr>
        <w:t>.</w:t>
      </w:r>
    </w:p>
    <w:p w:rsidR="00714913" w:rsidRPr="0074234C" w:rsidRDefault="00754D3E" w:rsidP="00362B06">
      <w:pPr>
        <w:pStyle w:val="SingleTxtG"/>
        <w:rPr>
          <w:lang w:val="fr-CH" w:eastAsia="fr-CH"/>
        </w:rPr>
      </w:pPr>
      <w:r>
        <w:rPr>
          <w:lang w:val="fr-CH" w:eastAsia="fr-CH"/>
        </w:rPr>
        <w:t>23.</w:t>
      </w:r>
      <w:r>
        <w:rPr>
          <w:lang w:val="fr-CH" w:eastAsia="fr-CH"/>
        </w:rPr>
        <w:tab/>
      </w:r>
      <w:r w:rsidR="00714913" w:rsidRPr="002E36A6">
        <w:rPr>
          <w:b/>
          <w:bCs/>
          <w:lang w:val="fr-CH" w:eastAsia="fr-CH"/>
        </w:rPr>
        <w:t>M</w:t>
      </w:r>
      <w:r w:rsidR="00714913" w:rsidRPr="003606E5">
        <w:rPr>
          <w:b/>
          <w:bCs/>
          <w:vertAlign w:val="superscript"/>
          <w:lang w:val="fr-CH" w:eastAsia="fr-CH"/>
        </w:rPr>
        <w:t>me</w:t>
      </w:r>
      <w:r w:rsidR="00714913">
        <w:rPr>
          <w:b/>
          <w:bCs/>
          <w:lang w:val="fr-CH" w:eastAsia="fr-CH"/>
        </w:rPr>
        <w:t xml:space="preserve"> </w:t>
      </w:r>
      <w:r w:rsidR="00714913" w:rsidRPr="002E36A6">
        <w:rPr>
          <w:b/>
          <w:bCs/>
          <w:lang w:val="fr-CH" w:eastAsia="fr-CH"/>
        </w:rPr>
        <w:t>Sveaass</w:t>
      </w:r>
      <w:r w:rsidR="00714913" w:rsidRPr="002E36A6">
        <w:rPr>
          <w:b/>
          <w:bCs/>
          <w:lang w:val="fr-FR" w:eastAsia="fr-CH"/>
        </w:rPr>
        <w:t xml:space="preserve"> </w:t>
      </w:r>
      <w:r w:rsidR="00714913" w:rsidRPr="002E36A6">
        <w:rPr>
          <w:lang w:val="fr-FR" w:eastAsia="fr-CH"/>
        </w:rPr>
        <w:t>(Rapporteur de pays) demand</w:t>
      </w:r>
      <w:r w:rsidR="00714913">
        <w:rPr>
          <w:lang w:val="fr-FR" w:eastAsia="fr-CH"/>
        </w:rPr>
        <w:t>e</w:t>
      </w:r>
      <w:r w:rsidR="00714913" w:rsidRPr="002E36A6">
        <w:rPr>
          <w:lang w:val="fr-FR" w:eastAsia="fr-CH"/>
        </w:rPr>
        <w:t xml:space="preserve"> </w:t>
      </w:r>
      <w:r w:rsidR="00714913">
        <w:rPr>
          <w:lang w:val="fr-FR" w:eastAsia="fr-CH"/>
        </w:rPr>
        <w:t xml:space="preserve">des renseignements plus détaillés sur </w:t>
      </w:r>
      <w:r w:rsidR="00714913" w:rsidRPr="002E36A6">
        <w:rPr>
          <w:lang w:val="fr-FR" w:eastAsia="fr-CH"/>
        </w:rPr>
        <w:t>les organisations</w:t>
      </w:r>
      <w:r w:rsidR="00714913">
        <w:rPr>
          <w:lang w:val="fr-FR" w:eastAsia="fr-CH"/>
        </w:rPr>
        <w:t xml:space="preserve"> (en particulier les</w:t>
      </w:r>
      <w:r w:rsidR="00714913" w:rsidRPr="002E36A6">
        <w:rPr>
          <w:lang w:val="fr-FR" w:eastAsia="fr-CH"/>
        </w:rPr>
        <w:t xml:space="preserve"> organisations de la société civile</w:t>
      </w:r>
      <w:r w:rsidR="00714913">
        <w:rPr>
          <w:lang w:val="fr-FR" w:eastAsia="fr-CH"/>
        </w:rPr>
        <w:t>) qui ont</w:t>
      </w:r>
      <w:r w:rsidR="00714913" w:rsidRPr="002E36A6">
        <w:rPr>
          <w:lang w:val="fr-FR" w:eastAsia="fr-CH"/>
        </w:rPr>
        <w:t xml:space="preserve"> participé à la préparation du rapport périodique et </w:t>
      </w:r>
      <w:r w:rsidR="00714913">
        <w:rPr>
          <w:lang w:val="fr-FR" w:eastAsia="fr-CH"/>
        </w:rPr>
        <w:t xml:space="preserve">voudrait savoir selon quelles modalités </w:t>
      </w:r>
      <w:r w:rsidR="00714913" w:rsidRPr="002E36A6">
        <w:rPr>
          <w:lang w:val="fr-FR" w:eastAsia="fr-CH"/>
        </w:rPr>
        <w:t xml:space="preserve">exactement </w:t>
      </w:r>
      <w:r w:rsidR="00714913">
        <w:rPr>
          <w:lang w:val="fr-FR" w:eastAsia="fr-CH"/>
        </w:rPr>
        <w:t>elles ont apporté leur concours</w:t>
      </w:r>
      <w:r w:rsidR="00714913" w:rsidRPr="002E36A6">
        <w:rPr>
          <w:lang w:val="fr-FR" w:eastAsia="fr-CH"/>
        </w:rPr>
        <w:t>. Elle demand</w:t>
      </w:r>
      <w:r w:rsidR="00714913">
        <w:rPr>
          <w:lang w:val="fr-FR" w:eastAsia="fr-CH"/>
        </w:rPr>
        <w:t>e</w:t>
      </w:r>
      <w:r w:rsidR="00714913" w:rsidRPr="002E36A6">
        <w:rPr>
          <w:lang w:val="fr-FR" w:eastAsia="fr-CH"/>
        </w:rPr>
        <w:t xml:space="preserve"> si l</w:t>
      </w:r>
      <w:r w:rsidR="00714913">
        <w:rPr>
          <w:lang w:val="fr-FR" w:eastAsia="fr-CH"/>
        </w:rPr>
        <w:t>’</w:t>
      </w:r>
      <w:r w:rsidR="00714913" w:rsidRPr="002E36A6">
        <w:rPr>
          <w:lang w:val="fr-FR" w:eastAsia="fr-CH"/>
        </w:rPr>
        <w:t>État partie envisage d</w:t>
      </w:r>
      <w:r w:rsidR="00714913">
        <w:rPr>
          <w:lang w:val="fr-FR" w:eastAsia="fr-CH"/>
        </w:rPr>
        <w:t xml:space="preserve">’engager </w:t>
      </w:r>
      <w:r w:rsidR="00714913" w:rsidRPr="002E36A6">
        <w:rPr>
          <w:lang w:val="fr-FR" w:eastAsia="fr-CH"/>
        </w:rPr>
        <w:t>un processus de consultation</w:t>
      </w:r>
      <w:r w:rsidR="00714913">
        <w:rPr>
          <w:lang w:val="fr-FR" w:eastAsia="fr-CH"/>
        </w:rPr>
        <w:t>s</w:t>
      </w:r>
      <w:r w:rsidR="00714913" w:rsidRPr="002E36A6">
        <w:rPr>
          <w:lang w:val="fr-FR" w:eastAsia="fr-CH"/>
        </w:rPr>
        <w:t xml:space="preserve"> </w:t>
      </w:r>
      <w:r w:rsidR="00714913">
        <w:rPr>
          <w:lang w:val="fr-FR" w:eastAsia="fr-CH"/>
        </w:rPr>
        <w:t xml:space="preserve">pour </w:t>
      </w:r>
      <w:r w:rsidR="00714913" w:rsidRPr="002E36A6">
        <w:rPr>
          <w:lang w:val="fr-FR" w:eastAsia="fr-CH"/>
        </w:rPr>
        <w:t xml:space="preserve">la mise en œuvre des observations finales du Comité. Le Comité a reçu des </w:t>
      </w:r>
      <w:r w:rsidR="00714913">
        <w:rPr>
          <w:lang w:val="fr-FR" w:eastAsia="fr-CH"/>
        </w:rPr>
        <w:t>informations détaillées sur les</w:t>
      </w:r>
      <w:r w:rsidR="00714913" w:rsidRPr="002E36A6">
        <w:rPr>
          <w:lang w:val="fr-FR" w:eastAsia="fr-CH"/>
        </w:rPr>
        <w:t xml:space="preserve"> difficultés rencontrées par les personnes actives dans les organisations de la société civile, en particulier </w:t>
      </w:r>
      <w:r w:rsidR="00714913">
        <w:rPr>
          <w:lang w:val="fr-FR" w:eastAsia="fr-CH"/>
        </w:rPr>
        <w:t xml:space="preserve">celles </w:t>
      </w:r>
      <w:r w:rsidR="00714913" w:rsidRPr="002E36A6">
        <w:rPr>
          <w:lang w:val="fr-FR" w:eastAsia="fr-CH"/>
        </w:rPr>
        <w:t xml:space="preserve">qui se définissent </w:t>
      </w:r>
      <w:r w:rsidR="00714913">
        <w:rPr>
          <w:lang w:val="fr-FR" w:eastAsia="fr-CH"/>
        </w:rPr>
        <w:t xml:space="preserve">elles-mêmes comme des </w:t>
      </w:r>
      <w:r w:rsidR="00714913" w:rsidRPr="002E36A6">
        <w:rPr>
          <w:lang w:val="fr-FR" w:eastAsia="fr-CH"/>
        </w:rPr>
        <w:t>défenseurs des droits de l</w:t>
      </w:r>
      <w:r w:rsidR="00714913">
        <w:rPr>
          <w:lang w:val="fr-FR" w:eastAsia="fr-CH"/>
        </w:rPr>
        <w:t>’</w:t>
      </w:r>
      <w:r w:rsidR="00714913" w:rsidRPr="002E36A6">
        <w:rPr>
          <w:lang w:val="fr-FR" w:eastAsia="fr-CH"/>
        </w:rPr>
        <w:t xml:space="preserve">homme ou </w:t>
      </w:r>
      <w:r w:rsidR="00714913">
        <w:rPr>
          <w:lang w:val="fr-FR" w:eastAsia="fr-CH"/>
        </w:rPr>
        <w:t xml:space="preserve">qui expriment </w:t>
      </w:r>
      <w:r w:rsidR="00714913" w:rsidRPr="002E36A6">
        <w:rPr>
          <w:lang w:val="fr-FR" w:eastAsia="fr-CH"/>
        </w:rPr>
        <w:t xml:space="preserve">des opinions critiques. </w:t>
      </w:r>
      <w:r w:rsidR="00714913">
        <w:rPr>
          <w:lang w:val="fr-FR" w:eastAsia="fr-CH"/>
        </w:rPr>
        <w:t>C’</w:t>
      </w:r>
      <w:r w:rsidR="00714913" w:rsidRPr="002E36A6">
        <w:rPr>
          <w:lang w:val="fr-FR" w:eastAsia="fr-CH"/>
        </w:rPr>
        <w:t xml:space="preserve">est </w:t>
      </w:r>
      <w:r w:rsidR="00714913">
        <w:rPr>
          <w:lang w:val="fr-FR" w:eastAsia="fr-CH"/>
        </w:rPr>
        <w:t xml:space="preserve">pourtant </w:t>
      </w:r>
      <w:r w:rsidR="00714913" w:rsidRPr="002E36A6">
        <w:rPr>
          <w:lang w:val="fr-FR" w:eastAsia="fr-CH"/>
        </w:rPr>
        <w:t xml:space="preserve">un droit fondamental </w:t>
      </w:r>
      <w:r w:rsidR="00714913">
        <w:rPr>
          <w:lang w:val="fr-FR" w:eastAsia="fr-CH"/>
        </w:rPr>
        <w:t xml:space="preserve">de la personne de pouvoir </w:t>
      </w:r>
      <w:r w:rsidR="00714913" w:rsidRPr="002E36A6">
        <w:rPr>
          <w:lang w:val="fr-FR" w:eastAsia="fr-CH"/>
        </w:rPr>
        <w:t xml:space="preserve">exprimer une opinion. </w:t>
      </w:r>
      <w:r w:rsidR="00714913">
        <w:rPr>
          <w:lang w:val="fr-FR" w:eastAsia="fr-CH"/>
        </w:rPr>
        <w:t>Des ONG comme la</w:t>
      </w:r>
      <w:r w:rsidR="00714913" w:rsidRPr="002E36A6">
        <w:rPr>
          <w:lang w:val="fr-FR" w:eastAsia="fr-CH"/>
        </w:rPr>
        <w:t xml:space="preserve"> Comisión Cubana de Derechos Humanos y Reconciliación Nacional et le Consejo de Relatores de Derechos Humanos de Cuba </w:t>
      </w:r>
      <w:r w:rsidR="00714913">
        <w:rPr>
          <w:lang w:val="fr-FR" w:eastAsia="fr-CH"/>
        </w:rPr>
        <w:t>auraient tenté depuis 1987 de se faire enregistrer comme organisations</w:t>
      </w:r>
      <w:r w:rsidR="00714913" w:rsidRPr="002E36A6">
        <w:rPr>
          <w:lang w:val="fr-FR" w:eastAsia="fr-CH"/>
        </w:rPr>
        <w:t xml:space="preserve"> de la société civile. </w:t>
      </w:r>
      <w:r w:rsidR="00714913">
        <w:rPr>
          <w:lang w:val="fr-FR" w:eastAsia="fr-CH"/>
        </w:rPr>
        <w:t xml:space="preserve">L’intervenante </w:t>
      </w:r>
      <w:r w:rsidR="00714913" w:rsidRPr="002E36A6">
        <w:rPr>
          <w:lang w:val="fr-FR" w:eastAsia="fr-CH"/>
        </w:rPr>
        <w:t>demand</w:t>
      </w:r>
      <w:r w:rsidR="00714913">
        <w:rPr>
          <w:lang w:val="fr-FR" w:eastAsia="fr-CH"/>
        </w:rPr>
        <w:t>e</w:t>
      </w:r>
      <w:r w:rsidR="00714913" w:rsidRPr="002E36A6">
        <w:rPr>
          <w:lang w:val="fr-FR" w:eastAsia="fr-CH"/>
        </w:rPr>
        <w:t xml:space="preserve"> quels critères </w:t>
      </w:r>
      <w:r w:rsidR="00714913">
        <w:rPr>
          <w:lang w:val="fr-FR" w:eastAsia="fr-CH"/>
        </w:rPr>
        <w:t xml:space="preserve">les </w:t>
      </w:r>
      <w:r w:rsidR="00714913" w:rsidRPr="002E36A6">
        <w:rPr>
          <w:lang w:val="fr-FR" w:eastAsia="fr-CH"/>
        </w:rPr>
        <w:t xml:space="preserve">ONG </w:t>
      </w:r>
      <w:r w:rsidR="00714913">
        <w:rPr>
          <w:lang w:val="fr-FR" w:eastAsia="fr-CH"/>
        </w:rPr>
        <w:t xml:space="preserve">doivent remplir pour être officiellement </w:t>
      </w:r>
      <w:r w:rsidR="00714913" w:rsidRPr="002E36A6">
        <w:rPr>
          <w:lang w:val="fr-FR" w:eastAsia="fr-CH"/>
        </w:rPr>
        <w:t>enregistr</w:t>
      </w:r>
      <w:r w:rsidR="00714913">
        <w:rPr>
          <w:lang w:val="fr-FR" w:eastAsia="fr-CH"/>
        </w:rPr>
        <w:t xml:space="preserve">ées </w:t>
      </w:r>
      <w:r w:rsidR="00714913" w:rsidRPr="002E36A6">
        <w:rPr>
          <w:lang w:val="fr-FR" w:eastAsia="fr-CH"/>
        </w:rPr>
        <w:t xml:space="preserve">et comment </w:t>
      </w:r>
      <w:r w:rsidR="00714913">
        <w:rPr>
          <w:lang w:val="fr-FR" w:eastAsia="fr-CH"/>
        </w:rPr>
        <w:t xml:space="preserve">se déroule </w:t>
      </w:r>
      <w:r w:rsidR="00714913" w:rsidRPr="002E36A6">
        <w:rPr>
          <w:lang w:val="fr-FR" w:eastAsia="fr-CH"/>
        </w:rPr>
        <w:t xml:space="preserve">le processus </w:t>
      </w:r>
      <w:r w:rsidR="00714913">
        <w:rPr>
          <w:lang w:val="fr-FR" w:eastAsia="fr-CH"/>
        </w:rPr>
        <w:t>d’enregistrement.</w:t>
      </w:r>
    </w:p>
    <w:p w:rsidR="00714913" w:rsidRPr="002E36A6" w:rsidRDefault="00754D3E" w:rsidP="00362B06">
      <w:pPr>
        <w:pStyle w:val="SingleTxtG"/>
        <w:rPr>
          <w:lang w:val="fr-CH" w:eastAsia="fr-CH"/>
        </w:rPr>
      </w:pPr>
      <w:r>
        <w:rPr>
          <w:lang w:val="fr-FR" w:eastAsia="fr-CH"/>
        </w:rPr>
        <w:t>24.</w:t>
      </w:r>
      <w:r>
        <w:rPr>
          <w:lang w:val="fr-FR" w:eastAsia="fr-CH"/>
        </w:rPr>
        <w:tab/>
      </w:r>
      <w:r w:rsidR="00714913" w:rsidRPr="002E36A6">
        <w:rPr>
          <w:lang w:val="fr-FR" w:eastAsia="fr-CH"/>
        </w:rPr>
        <w:t xml:space="preserve">Il serait utile de savoir si les détenus </w:t>
      </w:r>
      <w:r w:rsidR="00714913">
        <w:rPr>
          <w:lang w:val="fr-FR" w:eastAsia="fr-CH"/>
        </w:rPr>
        <w:t>s</w:t>
      </w:r>
      <w:r w:rsidR="00714913" w:rsidRPr="002E36A6">
        <w:rPr>
          <w:lang w:val="fr-FR" w:eastAsia="fr-CH"/>
        </w:rPr>
        <w:t xml:space="preserve">ont informés par écrit ou oralement de leur droit de </w:t>
      </w:r>
      <w:r w:rsidR="00714913">
        <w:rPr>
          <w:lang w:val="fr-FR" w:eastAsia="fr-CH"/>
        </w:rPr>
        <w:t xml:space="preserve">désigner </w:t>
      </w:r>
      <w:r w:rsidR="00714913" w:rsidRPr="002E36A6">
        <w:rPr>
          <w:lang w:val="fr-FR" w:eastAsia="fr-CH"/>
        </w:rPr>
        <w:t>un avocat, et s</w:t>
      </w:r>
      <w:r w:rsidR="00714913">
        <w:rPr>
          <w:lang w:val="fr-FR" w:eastAsia="fr-CH"/>
        </w:rPr>
        <w:t>’</w:t>
      </w:r>
      <w:r w:rsidR="00714913" w:rsidRPr="002E36A6">
        <w:rPr>
          <w:lang w:val="fr-FR" w:eastAsia="fr-CH"/>
        </w:rPr>
        <w:t xml:space="preserve">il </w:t>
      </w:r>
      <w:r w:rsidR="00714913">
        <w:rPr>
          <w:lang w:val="fr-FR" w:eastAsia="fr-CH"/>
        </w:rPr>
        <w:t xml:space="preserve">y a </w:t>
      </w:r>
      <w:r w:rsidR="00714913" w:rsidRPr="002E36A6">
        <w:rPr>
          <w:lang w:val="fr-FR" w:eastAsia="fr-CH"/>
        </w:rPr>
        <w:t>un délai maxim</w:t>
      </w:r>
      <w:r w:rsidR="00714913">
        <w:rPr>
          <w:lang w:val="fr-FR" w:eastAsia="fr-CH"/>
        </w:rPr>
        <w:t>um</w:t>
      </w:r>
      <w:r w:rsidR="00714913" w:rsidRPr="002E36A6">
        <w:rPr>
          <w:lang w:val="fr-FR" w:eastAsia="fr-CH"/>
        </w:rPr>
        <w:t xml:space="preserve"> </w:t>
      </w:r>
      <w:r w:rsidR="00714913">
        <w:rPr>
          <w:lang w:val="fr-FR" w:eastAsia="fr-CH"/>
        </w:rPr>
        <w:t>pour</w:t>
      </w:r>
      <w:r w:rsidR="00714913" w:rsidRPr="002E36A6">
        <w:rPr>
          <w:lang w:val="fr-FR" w:eastAsia="fr-CH"/>
        </w:rPr>
        <w:t xml:space="preserve"> la notification de ce droit. Dans l</w:t>
      </w:r>
      <w:r w:rsidR="00714913">
        <w:rPr>
          <w:lang w:val="fr-FR" w:eastAsia="fr-CH"/>
        </w:rPr>
        <w:t>’</w:t>
      </w:r>
      <w:r w:rsidR="00714913" w:rsidRPr="002E36A6">
        <w:rPr>
          <w:lang w:val="fr-FR" w:eastAsia="fr-CH"/>
        </w:rPr>
        <w:t xml:space="preserve">affirmative, ces règles </w:t>
      </w:r>
      <w:r w:rsidR="00714913">
        <w:rPr>
          <w:lang w:val="fr-FR" w:eastAsia="fr-CH"/>
        </w:rPr>
        <w:t>sont-elles rigoureusement suivies et quels</w:t>
      </w:r>
      <w:r w:rsidR="00714913" w:rsidRPr="002E36A6">
        <w:rPr>
          <w:lang w:val="fr-FR" w:eastAsia="fr-CH"/>
        </w:rPr>
        <w:t xml:space="preserve"> mécanismes de contrôle </w:t>
      </w:r>
      <w:r w:rsidR="00714913">
        <w:rPr>
          <w:lang w:val="fr-FR" w:eastAsia="fr-CH"/>
        </w:rPr>
        <w:t>existe-il pour assurer l’observation effective de leur application</w:t>
      </w:r>
      <w:r w:rsidR="00714913" w:rsidRPr="002E36A6">
        <w:rPr>
          <w:lang w:val="fr-FR" w:eastAsia="fr-CH"/>
        </w:rPr>
        <w:t xml:space="preserve">? </w:t>
      </w:r>
      <w:r w:rsidR="00714913">
        <w:rPr>
          <w:lang w:val="fr-FR" w:eastAsia="fr-CH"/>
        </w:rPr>
        <w:t xml:space="preserve">L’intervenante aimerait entendre les observations </w:t>
      </w:r>
      <w:r w:rsidR="00714913" w:rsidRPr="002E36A6">
        <w:rPr>
          <w:lang w:val="fr-FR" w:eastAsia="fr-CH"/>
        </w:rPr>
        <w:t xml:space="preserve">de la délégation </w:t>
      </w:r>
      <w:r w:rsidR="00714913">
        <w:rPr>
          <w:lang w:val="fr-FR" w:eastAsia="fr-CH"/>
        </w:rPr>
        <w:t xml:space="preserve">sur </w:t>
      </w:r>
      <w:r w:rsidR="00714913" w:rsidRPr="002E36A6">
        <w:rPr>
          <w:lang w:val="fr-FR" w:eastAsia="fr-CH"/>
        </w:rPr>
        <w:t>la légitimité de l</w:t>
      </w:r>
      <w:r w:rsidR="00714913">
        <w:rPr>
          <w:lang w:val="fr-FR" w:eastAsia="fr-CH"/>
        </w:rPr>
        <w:t>’</w:t>
      </w:r>
      <w:r w:rsidR="00714913" w:rsidRPr="002E36A6">
        <w:rPr>
          <w:lang w:val="fr-FR" w:eastAsia="fr-CH"/>
        </w:rPr>
        <w:t xml:space="preserve">infraction </w:t>
      </w:r>
      <w:r w:rsidR="00714913">
        <w:rPr>
          <w:lang w:val="fr-FR" w:eastAsia="fr-CH"/>
        </w:rPr>
        <w:t xml:space="preserve">dite </w:t>
      </w:r>
      <w:r w:rsidR="00714913" w:rsidRPr="002E36A6">
        <w:rPr>
          <w:lang w:val="fr-FR" w:eastAsia="fr-CH"/>
        </w:rPr>
        <w:t>d</w:t>
      </w:r>
      <w:r w:rsidR="0064652E">
        <w:rPr>
          <w:lang w:val="fr-FR" w:eastAsia="fr-CH"/>
        </w:rPr>
        <w:t>’«</w:t>
      </w:r>
      <w:r w:rsidR="00714913">
        <w:rPr>
          <w:lang w:val="fr-FR" w:eastAsia="fr-CH"/>
        </w:rPr>
        <w:t xml:space="preserve">état </w:t>
      </w:r>
      <w:r w:rsidR="00714913" w:rsidRPr="002E36A6">
        <w:rPr>
          <w:lang w:val="fr-FR" w:eastAsia="fr-CH"/>
        </w:rPr>
        <w:t>danger</w:t>
      </w:r>
      <w:r w:rsidR="0064652E">
        <w:rPr>
          <w:lang w:val="fr-FR" w:eastAsia="fr-CH"/>
        </w:rPr>
        <w:t>eux</w:t>
      </w:r>
      <w:r w:rsidR="00714913" w:rsidRPr="002E36A6">
        <w:rPr>
          <w:lang w:val="fr-FR" w:eastAsia="fr-CH"/>
        </w:rPr>
        <w:t xml:space="preserve">» et </w:t>
      </w:r>
      <w:r w:rsidR="00714913">
        <w:rPr>
          <w:lang w:val="fr-FR" w:eastAsia="fr-CH"/>
        </w:rPr>
        <w:t xml:space="preserve">sur </w:t>
      </w:r>
      <w:r w:rsidR="00714913" w:rsidRPr="002E36A6">
        <w:rPr>
          <w:lang w:val="fr-FR" w:eastAsia="fr-CH"/>
        </w:rPr>
        <w:t>sa compatibilité avec la présomption d</w:t>
      </w:r>
      <w:r w:rsidR="00714913">
        <w:rPr>
          <w:lang w:val="fr-FR" w:eastAsia="fr-CH"/>
        </w:rPr>
        <w:t>’</w:t>
      </w:r>
      <w:r w:rsidR="00714913" w:rsidRPr="002E36A6">
        <w:rPr>
          <w:lang w:val="fr-FR" w:eastAsia="fr-CH"/>
        </w:rPr>
        <w:t>innocence. Elle demand</w:t>
      </w:r>
      <w:r w:rsidR="00714913">
        <w:rPr>
          <w:lang w:val="fr-FR" w:eastAsia="fr-CH"/>
        </w:rPr>
        <w:t>e</w:t>
      </w:r>
      <w:r w:rsidR="00714913" w:rsidRPr="002E36A6">
        <w:rPr>
          <w:lang w:val="fr-FR" w:eastAsia="fr-CH"/>
        </w:rPr>
        <w:t xml:space="preserve"> combien de personnes </w:t>
      </w:r>
      <w:r w:rsidR="00714913">
        <w:rPr>
          <w:lang w:val="fr-FR" w:eastAsia="fr-CH"/>
        </w:rPr>
        <w:t xml:space="preserve">sont </w:t>
      </w:r>
      <w:r w:rsidR="00714913" w:rsidRPr="002E36A6">
        <w:rPr>
          <w:lang w:val="fr-FR" w:eastAsia="fr-CH"/>
        </w:rPr>
        <w:t>actuellement détenu</w:t>
      </w:r>
      <w:r w:rsidR="00714913">
        <w:rPr>
          <w:lang w:val="fr-FR" w:eastAsia="fr-CH"/>
        </w:rPr>
        <w:t>e</w:t>
      </w:r>
      <w:r w:rsidR="00714913" w:rsidRPr="002E36A6">
        <w:rPr>
          <w:lang w:val="fr-FR" w:eastAsia="fr-CH"/>
        </w:rPr>
        <w:t>s sur la base de ce</w:t>
      </w:r>
      <w:r w:rsidR="00714913">
        <w:rPr>
          <w:lang w:val="fr-FR" w:eastAsia="fr-CH"/>
        </w:rPr>
        <w:t xml:space="preserve"> chef d’inculpation </w:t>
      </w:r>
      <w:r w:rsidR="00714913" w:rsidRPr="002E36A6">
        <w:rPr>
          <w:lang w:val="fr-FR" w:eastAsia="fr-CH"/>
        </w:rPr>
        <w:t xml:space="preserve">et si les </w:t>
      </w:r>
      <w:r w:rsidR="00714913">
        <w:rPr>
          <w:lang w:val="fr-FR" w:eastAsia="fr-CH"/>
        </w:rPr>
        <w:t xml:space="preserve">infractions </w:t>
      </w:r>
      <w:r w:rsidR="00714913" w:rsidRPr="002E36A6">
        <w:rPr>
          <w:lang w:val="fr-FR" w:eastAsia="fr-CH"/>
        </w:rPr>
        <w:t xml:space="preserve">qui ont motivé </w:t>
      </w:r>
      <w:r w:rsidR="00714913">
        <w:rPr>
          <w:lang w:val="fr-FR" w:eastAsia="fr-CH"/>
        </w:rPr>
        <w:t xml:space="preserve">l’inculpation sont </w:t>
      </w:r>
      <w:r w:rsidR="00714913" w:rsidRPr="002E36A6">
        <w:rPr>
          <w:lang w:val="fr-FR" w:eastAsia="fr-CH"/>
        </w:rPr>
        <w:t xml:space="preserve">spécifiées. Le Comité </w:t>
      </w:r>
      <w:r w:rsidR="00714913">
        <w:rPr>
          <w:lang w:val="fr-FR" w:eastAsia="fr-CH"/>
        </w:rPr>
        <w:t>accueillerait avec intérêt toute annonce de plan concernant</w:t>
      </w:r>
      <w:r w:rsidR="00714913" w:rsidRPr="002E36A6">
        <w:rPr>
          <w:lang w:val="fr-FR" w:eastAsia="fr-CH"/>
        </w:rPr>
        <w:t xml:space="preserve"> </w:t>
      </w:r>
      <w:r w:rsidR="00714913">
        <w:rPr>
          <w:lang w:val="fr-FR" w:eastAsia="fr-CH"/>
        </w:rPr>
        <w:t xml:space="preserve">la révision de </w:t>
      </w:r>
      <w:r w:rsidR="00714913" w:rsidRPr="002E36A6">
        <w:rPr>
          <w:lang w:val="fr-FR" w:eastAsia="fr-CH"/>
        </w:rPr>
        <w:t>l</w:t>
      </w:r>
      <w:r w:rsidR="00714913">
        <w:rPr>
          <w:lang w:val="fr-FR" w:eastAsia="fr-CH"/>
        </w:rPr>
        <w:t>’</w:t>
      </w:r>
      <w:r w:rsidR="00714913" w:rsidRPr="002E36A6">
        <w:rPr>
          <w:lang w:val="fr-FR" w:eastAsia="fr-CH"/>
        </w:rPr>
        <w:t xml:space="preserve">article du Code pénal </w:t>
      </w:r>
      <w:r w:rsidR="00714913">
        <w:rPr>
          <w:lang w:val="fr-FR" w:eastAsia="fr-CH"/>
        </w:rPr>
        <w:t>relatif à ce</w:t>
      </w:r>
      <w:r w:rsidR="00714913" w:rsidRPr="002E36A6">
        <w:rPr>
          <w:lang w:val="fr-FR" w:eastAsia="fr-CH"/>
        </w:rPr>
        <w:t>tte infraction. Il serait également utile d</w:t>
      </w:r>
      <w:r w:rsidR="00714913">
        <w:rPr>
          <w:lang w:val="fr-FR" w:eastAsia="fr-CH"/>
        </w:rPr>
        <w:t xml:space="preserve">’avoir </w:t>
      </w:r>
      <w:r w:rsidR="00714913" w:rsidRPr="002E36A6">
        <w:rPr>
          <w:lang w:val="fr-FR" w:eastAsia="fr-CH"/>
        </w:rPr>
        <w:t>de</w:t>
      </w:r>
      <w:r w:rsidR="00714913">
        <w:rPr>
          <w:lang w:val="fr-FR" w:eastAsia="fr-CH"/>
        </w:rPr>
        <w:t>s</w:t>
      </w:r>
      <w:r w:rsidR="00714913" w:rsidRPr="002E36A6">
        <w:rPr>
          <w:lang w:val="fr-FR" w:eastAsia="fr-CH"/>
        </w:rPr>
        <w:t xml:space="preserve"> données sur le nombre de </w:t>
      </w:r>
      <w:r w:rsidR="00714913">
        <w:rPr>
          <w:lang w:val="fr-FR" w:eastAsia="fr-CH"/>
        </w:rPr>
        <w:t xml:space="preserve">personnes </w:t>
      </w:r>
      <w:r w:rsidR="00714913" w:rsidRPr="002E36A6">
        <w:rPr>
          <w:lang w:val="fr-FR" w:eastAsia="fr-CH"/>
        </w:rPr>
        <w:t xml:space="preserve">actuellement </w:t>
      </w:r>
      <w:r w:rsidR="00714913">
        <w:rPr>
          <w:lang w:val="fr-FR" w:eastAsia="fr-CH"/>
        </w:rPr>
        <w:t xml:space="preserve">détenues </w:t>
      </w:r>
      <w:r w:rsidR="00714913" w:rsidRPr="002E36A6">
        <w:rPr>
          <w:lang w:val="fr-FR" w:eastAsia="fr-CH"/>
        </w:rPr>
        <w:t xml:space="preserve">dans le système </w:t>
      </w:r>
      <w:r w:rsidR="00714913">
        <w:rPr>
          <w:lang w:val="fr-FR" w:eastAsia="fr-CH"/>
        </w:rPr>
        <w:t>pénitentiaire et sur les charges retenues contre elles</w:t>
      </w:r>
      <w:r w:rsidR="00714913" w:rsidRPr="002E36A6">
        <w:rPr>
          <w:lang w:val="fr-FR" w:eastAsia="fr-CH"/>
        </w:rPr>
        <w:t>. L</w:t>
      </w:r>
      <w:r w:rsidR="00714913">
        <w:rPr>
          <w:lang w:val="fr-FR" w:eastAsia="fr-CH"/>
        </w:rPr>
        <w:t>’</w:t>
      </w:r>
      <w:r w:rsidR="00714913" w:rsidRPr="002E36A6">
        <w:rPr>
          <w:lang w:val="fr-FR" w:eastAsia="fr-CH"/>
        </w:rPr>
        <w:t>État partie a affirmé qu</w:t>
      </w:r>
      <w:r w:rsidR="00714913">
        <w:rPr>
          <w:lang w:val="fr-FR" w:eastAsia="fr-CH"/>
        </w:rPr>
        <w:t>’un</w:t>
      </w:r>
      <w:r w:rsidR="00714913" w:rsidRPr="002E36A6">
        <w:rPr>
          <w:lang w:val="fr-FR" w:eastAsia="fr-CH"/>
        </w:rPr>
        <w:t xml:space="preserve">e formation </w:t>
      </w:r>
      <w:r w:rsidR="00714913">
        <w:rPr>
          <w:lang w:val="fr-FR" w:eastAsia="fr-CH"/>
        </w:rPr>
        <w:t xml:space="preserve">était dispensée sur la conduite appropriée </w:t>
      </w:r>
      <w:r w:rsidR="00714913" w:rsidRPr="002E36A6">
        <w:rPr>
          <w:lang w:val="fr-FR" w:eastAsia="fr-CH"/>
        </w:rPr>
        <w:t xml:space="preserve">des examens </w:t>
      </w:r>
      <w:r w:rsidR="00714913">
        <w:rPr>
          <w:lang w:val="fr-FR" w:eastAsia="fr-CH"/>
        </w:rPr>
        <w:t>de médecine légale et sur l’application</w:t>
      </w:r>
      <w:r w:rsidR="00714913" w:rsidRPr="002E36A6">
        <w:rPr>
          <w:lang w:val="fr-FR" w:eastAsia="fr-CH"/>
        </w:rPr>
        <w:t xml:space="preserve"> du </w:t>
      </w:r>
      <w:r w:rsidR="00714913">
        <w:rPr>
          <w:lang w:val="fr-FR" w:eastAsia="fr-CH"/>
        </w:rPr>
        <w:t>P</w:t>
      </w:r>
      <w:r w:rsidR="00714913" w:rsidRPr="002E36A6">
        <w:rPr>
          <w:lang w:val="fr-FR" w:eastAsia="fr-CH"/>
        </w:rPr>
        <w:t>rotocole d</w:t>
      </w:r>
      <w:r w:rsidR="00714913">
        <w:rPr>
          <w:lang w:val="fr-FR" w:eastAsia="fr-CH"/>
        </w:rPr>
        <w:t>’</w:t>
      </w:r>
      <w:r w:rsidR="00714913" w:rsidRPr="002E36A6">
        <w:rPr>
          <w:lang w:val="fr-FR" w:eastAsia="fr-CH"/>
        </w:rPr>
        <w:t>Istanbul. Il serait utile de savoir ce qu</w:t>
      </w:r>
      <w:r w:rsidR="00714913">
        <w:rPr>
          <w:lang w:val="fr-FR" w:eastAsia="fr-CH"/>
        </w:rPr>
        <w:t xml:space="preserve">’il advient des </w:t>
      </w:r>
      <w:r w:rsidR="00714913" w:rsidRPr="002E36A6">
        <w:rPr>
          <w:lang w:val="fr-FR" w:eastAsia="fr-CH"/>
        </w:rPr>
        <w:t xml:space="preserve">rapports </w:t>
      </w:r>
      <w:r w:rsidR="00714913">
        <w:rPr>
          <w:lang w:val="fr-FR" w:eastAsia="fr-CH"/>
        </w:rPr>
        <w:t>sur l</w:t>
      </w:r>
      <w:r w:rsidR="00714913" w:rsidRPr="002E36A6">
        <w:rPr>
          <w:lang w:val="fr-FR" w:eastAsia="fr-CH"/>
        </w:rPr>
        <w:t xml:space="preserve">es examens </w:t>
      </w:r>
      <w:r w:rsidR="00714913">
        <w:rPr>
          <w:lang w:val="fr-FR" w:eastAsia="fr-CH"/>
        </w:rPr>
        <w:t>de médecine légale</w:t>
      </w:r>
      <w:r w:rsidR="00714913" w:rsidRPr="002E36A6">
        <w:rPr>
          <w:lang w:val="fr-FR" w:eastAsia="fr-CH"/>
        </w:rPr>
        <w:t>, qui demand</w:t>
      </w:r>
      <w:r w:rsidR="00714913">
        <w:rPr>
          <w:lang w:val="fr-FR" w:eastAsia="fr-CH"/>
        </w:rPr>
        <w:t>e ces rapport dans</w:t>
      </w:r>
      <w:r w:rsidR="00714913" w:rsidRPr="002E36A6">
        <w:rPr>
          <w:lang w:val="fr-FR" w:eastAsia="fr-CH"/>
        </w:rPr>
        <w:t xml:space="preserve"> les lieux de détention et </w:t>
      </w:r>
      <w:r w:rsidR="00714913">
        <w:rPr>
          <w:lang w:val="fr-FR" w:eastAsia="fr-CH"/>
        </w:rPr>
        <w:t>combien d’</w:t>
      </w:r>
      <w:r w:rsidR="00714913" w:rsidRPr="002E36A6">
        <w:rPr>
          <w:lang w:val="fr-FR" w:eastAsia="fr-CH"/>
        </w:rPr>
        <w:t xml:space="preserve">examens </w:t>
      </w:r>
      <w:r w:rsidR="00714913">
        <w:rPr>
          <w:lang w:val="fr-FR" w:eastAsia="fr-CH"/>
        </w:rPr>
        <w:t xml:space="preserve">ont été effectués dans les locaux de détention de la police à seule fin </w:t>
      </w:r>
      <w:r w:rsidR="00714913" w:rsidRPr="002E36A6">
        <w:rPr>
          <w:lang w:val="fr-FR" w:eastAsia="fr-CH"/>
        </w:rPr>
        <w:t>de documenter et d</w:t>
      </w:r>
      <w:r w:rsidR="00714913">
        <w:rPr>
          <w:lang w:val="fr-FR" w:eastAsia="fr-CH"/>
        </w:rPr>
        <w:t xml:space="preserve">e rechercher </w:t>
      </w:r>
      <w:r w:rsidR="00714913" w:rsidRPr="002E36A6">
        <w:rPr>
          <w:lang w:val="fr-FR" w:eastAsia="fr-CH"/>
        </w:rPr>
        <w:t>des signes de torture et de mauvais traitements.</w:t>
      </w:r>
    </w:p>
    <w:p w:rsidR="00714913" w:rsidRPr="002E36A6" w:rsidRDefault="00754D3E" w:rsidP="00362B06">
      <w:pPr>
        <w:pStyle w:val="SingleTxtG"/>
        <w:rPr>
          <w:lang w:val="fr-CH" w:eastAsia="fr-CH"/>
        </w:rPr>
      </w:pPr>
      <w:r>
        <w:rPr>
          <w:lang w:val="fr-FR" w:eastAsia="fr-CH"/>
        </w:rPr>
        <w:t>25.</w:t>
      </w:r>
      <w:r>
        <w:rPr>
          <w:lang w:val="fr-FR" w:eastAsia="fr-CH"/>
        </w:rPr>
        <w:tab/>
      </w:r>
      <w:r w:rsidR="00714913" w:rsidRPr="002E36A6">
        <w:rPr>
          <w:lang w:val="fr-FR" w:eastAsia="fr-CH"/>
        </w:rPr>
        <w:t xml:space="preserve">Le Comité a reçu des </w:t>
      </w:r>
      <w:r w:rsidR="00714913">
        <w:rPr>
          <w:lang w:val="fr-FR" w:eastAsia="fr-CH"/>
        </w:rPr>
        <w:t xml:space="preserve">informations signalant </w:t>
      </w:r>
      <w:r w:rsidR="00714913" w:rsidRPr="002E36A6">
        <w:rPr>
          <w:lang w:val="fr-FR" w:eastAsia="fr-CH"/>
        </w:rPr>
        <w:t xml:space="preserve">de </w:t>
      </w:r>
      <w:r w:rsidR="00714913">
        <w:rPr>
          <w:lang w:val="fr-FR" w:eastAsia="fr-CH"/>
        </w:rPr>
        <w:t xml:space="preserve">mauvaises conditions dans les </w:t>
      </w:r>
      <w:r w:rsidR="00714913" w:rsidRPr="002E36A6">
        <w:rPr>
          <w:lang w:val="fr-FR" w:eastAsia="fr-CH"/>
        </w:rPr>
        <w:t>prison</w:t>
      </w:r>
      <w:r w:rsidR="00714913">
        <w:rPr>
          <w:lang w:val="fr-FR" w:eastAsia="fr-CH"/>
        </w:rPr>
        <w:t>s</w:t>
      </w:r>
      <w:r w:rsidR="00714913" w:rsidRPr="002E36A6">
        <w:rPr>
          <w:lang w:val="fr-FR" w:eastAsia="fr-CH"/>
        </w:rPr>
        <w:t xml:space="preserve"> </w:t>
      </w:r>
      <w:r w:rsidR="00714913">
        <w:rPr>
          <w:lang w:val="fr-FR" w:eastAsia="fr-CH"/>
        </w:rPr>
        <w:t xml:space="preserve">et les lieux </w:t>
      </w:r>
      <w:r w:rsidR="00714913" w:rsidRPr="002E36A6">
        <w:rPr>
          <w:lang w:val="fr-FR" w:eastAsia="fr-CH"/>
        </w:rPr>
        <w:t xml:space="preserve">de détention de </w:t>
      </w:r>
      <w:r w:rsidR="00714913">
        <w:rPr>
          <w:lang w:val="fr-FR" w:eastAsia="fr-CH"/>
        </w:rPr>
        <w:t xml:space="preserve">la </w:t>
      </w:r>
      <w:r w:rsidR="00714913" w:rsidRPr="002E36A6">
        <w:rPr>
          <w:lang w:val="fr-FR" w:eastAsia="fr-CH"/>
        </w:rPr>
        <w:t>police dans l</w:t>
      </w:r>
      <w:r w:rsidR="00714913">
        <w:rPr>
          <w:lang w:val="fr-FR" w:eastAsia="fr-CH"/>
        </w:rPr>
        <w:t>’</w:t>
      </w:r>
      <w:r w:rsidR="00714913" w:rsidRPr="002E36A6">
        <w:rPr>
          <w:lang w:val="fr-FR" w:eastAsia="fr-CH"/>
        </w:rPr>
        <w:t xml:space="preserve">État partie, </w:t>
      </w:r>
      <w:r w:rsidR="00714913">
        <w:rPr>
          <w:lang w:val="fr-FR" w:eastAsia="fr-CH"/>
        </w:rPr>
        <w:t>y compris un</w:t>
      </w:r>
      <w:r w:rsidR="00714913" w:rsidRPr="002E36A6">
        <w:rPr>
          <w:lang w:val="fr-FR" w:eastAsia="fr-CH"/>
        </w:rPr>
        <w:t xml:space="preserve"> manque d</w:t>
      </w:r>
      <w:r w:rsidR="00714913">
        <w:rPr>
          <w:lang w:val="fr-FR" w:eastAsia="fr-CH"/>
        </w:rPr>
        <w:t>’</w:t>
      </w:r>
      <w:r w:rsidR="00714913" w:rsidRPr="002E36A6">
        <w:rPr>
          <w:lang w:val="fr-FR" w:eastAsia="fr-CH"/>
        </w:rPr>
        <w:t xml:space="preserve">eau et de nourriture, </w:t>
      </w:r>
      <w:r w:rsidR="00714913">
        <w:rPr>
          <w:lang w:val="fr-FR" w:eastAsia="fr-CH"/>
        </w:rPr>
        <w:t xml:space="preserve">des cas de détention à des </w:t>
      </w:r>
      <w:r w:rsidR="00714913" w:rsidRPr="002E36A6">
        <w:rPr>
          <w:lang w:val="fr-FR" w:eastAsia="fr-CH"/>
        </w:rPr>
        <w:t>température</w:t>
      </w:r>
      <w:r w:rsidR="00714913">
        <w:rPr>
          <w:lang w:val="fr-FR" w:eastAsia="fr-CH"/>
        </w:rPr>
        <w:t>s trop basses</w:t>
      </w:r>
      <w:r w:rsidR="00714913" w:rsidRPr="002E36A6">
        <w:rPr>
          <w:lang w:val="fr-FR" w:eastAsia="fr-CH"/>
        </w:rPr>
        <w:t xml:space="preserve"> et </w:t>
      </w:r>
      <w:r w:rsidR="00714913">
        <w:rPr>
          <w:lang w:val="fr-FR" w:eastAsia="fr-CH"/>
        </w:rPr>
        <w:t>le recours fréquent à la mise à l’</w:t>
      </w:r>
      <w:r w:rsidR="00714913" w:rsidRPr="002E36A6">
        <w:rPr>
          <w:lang w:val="fr-FR" w:eastAsia="fr-CH"/>
        </w:rPr>
        <w:t xml:space="preserve">isolement </w:t>
      </w:r>
      <w:r w:rsidR="00714913">
        <w:rPr>
          <w:lang w:val="fr-FR" w:eastAsia="fr-CH"/>
        </w:rPr>
        <w:t>comme mesure disciplinaire</w:t>
      </w:r>
      <w:r w:rsidR="00714913" w:rsidRPr="002E36A6">
        <w:rPr>
          <w:lang w:val="fr-FR" w:eastAsia="fr-CH"/>
        </w:rPr>
        <w:t xml:space="preserve">. </w:t>
      </w:r>
      <w:r w:rsidR="00714913">
        <w:rPr>
          <w:lang w:val="fr-FR" w:eastAsia="fr-CH"/>
        </w:rPr>
        <w:t xml:space="preserve">Bien que </w:t>
      </w:r>
      <w:r w:rsidR="00714913" w:rsidRPr="002E36A6">
        <w:rPr>
          <w:lang w:val="fr-FR" w:eastAsia="fr-CH"/>
        </w:rPr>
        <w:t xml:space="preserve">les visites familiales </w:t>
      </w:r>
      <w:r w:rsidR="00714913">
        <w:rPr>
          <w:lang w:val="fr-FR" w:eastAsia="fr-CH"/>
        </w:rPr>
        <w:t xml:space="preserve">soient </w:t>
      </w:r>
      <w:r w:rsidR="00714913" w:rsidRPr="002E36A6">
        <w:rPr>
          <w:lang w:val="fr-FR" w:eastAsia="fr-CH"/>
        </w:rPr>
        <w:t>autorisé</w:t>
      </w:r>
      <w:r w:rsidR="00714913">
        <w:rPr>
          <w:lang w:val="fr-FR" w:eastAsia="fr-CH"/>
        </w:rPr>
        <w:t>e</w:t>
      </w:r>
      <w:r w:rsidR="00714913" w:rsidRPr="002E36A6">
        <w:rPr>
          <w:lang w:val="fr-FR" w:eastAsia="fr-CH"/>
        </w:rPr>
        <w:t xml:space="preserve">s, certains détenus seraient </w:t>
      </w:r>
      <w:r w:rsidR="00714913">
        <w:rPr>
          <w:lang w:val="fr-FR" w:eastAsia="fr-CH"/>
        </w:rPr>
        <w:t xml:space="preserve">placés </w:t>
      </w:r>
      <w:r w:rsidR="00714913" w:rsidRPr="002E36A6">
        <w:rPr>
          <w:lang w:val="fr-FR" w:eastAsia="fr-CH"/>
        </w:rPr>
        <w:t xml:space="preserve">dans des centres si </w:t>
      </w:r>
      <w:r w:rsidR="00714913">
        <w:rPr>
          <w:lang w:val="fr-FR" w:eastAsia="fr-CH"/>
        </w:rPr>
        <w:t xml:space="preserve">éloignés de leur domicile que leurs proches ne peuvent pas y faire de </w:t>
      </w:r>
      <w:r w:rsidR="00714913" w:rsidRPr="002E36A6">
        <w:rPr>
          <w:lang w:val="fr-FR" w:eastAsia="fr-CH"/>
        </w:rPr>
        <w:t>fréquentes</w:t>
      </w:r>
      <w:r w:rsidR="00714913">
        <w:rPr>
          <w:lang w:val="fr-FR" w:eastAsia="fr-CH"/>
        </w:rPr>
        <w:t xml:space="preserve"> visites</w:t>
      </w:r>
      <w:r w:rsidR="00714913" w:rsidRPr="002E36A6">
        <w:rPr>
          <w:lang w:val="fr-FR" w:eastAsia="fr-CH"/>
        </w:rPr>
        <w:t>. Tou</w:t>
      </w:r>
      <w:r w:rsidR="00714913">
        <w:rPr>
          <w:lang w:val="fr-FR" w:eastAsia="fr-CH"/>
        </w:rPr>
        <w:t>te</w:t>
      </w:r>
      <w:r w:rsidR="00714913" w:rsidRPr="002E36A6">
        <w:rPr>
          <w:lang w:val="fr-FR" w:eastAsia="fr-CH"/>
        </w:rPr>
        <w:t xml:space="preserve">s les </w:t>
      </w:r>
      <w:r w:rsidR="00714913">
        <w:rPr>
          <w:lang w:val="fr-FR" w:eastAsia="fr-CH"/>
        </w:rPr>
        <w:t xml:space="preserve">personnes incarcérées </w:t>
      </w:r>
      <w:r w:rsidR="00714913" w:rsidRPr="002E36A6">
        <w:rPr>
          <w:lang w:val="fr-FR" w:eastAsia="fr-CH"/>
        </w:rPr>
        <w:t>ont le droit d</w:t>
      </w:r>
      <w:r w:rsidR="00714913">
        <w:rPr>
          <w:lang w:val="fr-FR" w:eastAsia="fr-CH"/>
        </w:rPr>
        <w:t>’</w:t>
      </w:r>
      <w:r w:rsidR="00714913" w:rsidRPr="002E36A6">
        <w:rPr>
          <w:lang w:val="fr-FR" w:eastAsia="fr-CH"/>
        </w:rPr>
        <w:t>être détenu</w:t>
      </w:r>
      <w:r w:rsidR="00714913">
        <w:rPr>
          <w:lang w:val="fr-FR" w:eastAsia="fr-CH"/>
        </w:rPr>
        <w:t>e</w:t>
      </w:r>
      <w:r w:rsidR="00714913" w:rsidRPr="002E36A6">
        <w:rPr>
          <w:lang w:val="fr-FR" w:eastAsia="fr-CH"/>
        </w:rPr>
        <w:t xml:space="preserve">s dans des conditions </w:t>
      </w:r>
      <w:r w:rsidR="00714913">
        <w:rPr>
          <w:lang w:val="fr-FR" w:eastAsia="fr-CH"/>
        </w:rPr>
        <w:t xml:space="preserve">conformes </w:t>
      </w:r>
      <w:r w:rsidR="00714913" w:rsidRPr="002E36A6">
        <w:rPr>
          <w:lang w:val="fr-FR" w:eastAsia="fr-CH"/>
        </w:rPr>
        <w:t>aux normes énoncées dans les instruments internationaux pertinents, indépendamment de l</w:t>
      </w:r>
      <w:r w:rsidR="00714913">
        <w:rPr>
          <w:lang w:val="fr-FR" w:eastAsia="fr-CH"/>
        </w:rPr>
        <w:t>’infraction commise ou de l</w:t>
      </w:r>
      <w:r w:rsidR="00714913" w:rsidRPr="002E36A6">
        <w:rPr>
          <w:lang w:val="fr-FR" w:eastAsia="fr-CH"/>
        </w:rPr>
        <w:t xml:space="preserve">eur origine. Le Comité souhaiterait </w:t>
      </w:r>
      <w:r w:rsidR="00714913">
        <w:rPr>
          <w:lang w:val="fr-FR" w:eastAsia="fr-CH"/>
        </w:rPr>
        <w:t xml:space="preserve">avoir des informations complémentaires </w:t>
      </w:r>
      <w:r w:rsidR="00714913" w:rsidRPr="002E36A6">
        <w:rPr>
          <w:lang w:val="fr-FR" w:eastAsia="fr-CH"/>
        </w:rPr>
        <w:t>sur les conditions de détention dans l</w:t>
      </w:r>
      <w:r w:rsidR="00714913">
        <w:rPr>
          <w:lang w:val="fr-FR" w:eastAsia="fr-CH"/>
        </w:rPr>
        <w:t>’</w:t>
      </w:r>
      <w:r w:rsidR="00714913" w:rsidRPr="002E36A6">
        <w:rPr>
          <w:lang w:val="fr-FR" w:eastAsia="fr-CH"/>
        </w:rPr>
        <w:t xml:space="preserve">État partie. </w:t>
      </w:r>
      <w:r w:rsidR="00714913">
        <w:rPr>
          <w:lang w:val="fr-FR" w:eastAsia="fr-CH"/>
        </w:rPr>
        <w:t xml:space="preserve">L’intervenante accueillerait </w:t>
      </w:r>
      <w:r w:rsidR="00714913" w:rsidRPr="002E36A6">
        <w:rPr>
          <w:lang w:val="fr-FR" w:eastAsia="fr-CH"/>
        </w:rPr>
        <w:t xml:space="preserve">également </w:t>
      </w:r>
      <w:r w:rsidR="00714913">
        <w:rPr>
          <w:lang w:val="fr-FR" w:eastAsia="fr-CH"/>
        </w:rPr>
        <w:t xml:space="preserve">avec intérêt des éclaircissements </w:t>
      </w:r>
      <w:r w:rsidR="00714913" w:rsidRPr="002E36A6">
        <w:rPr>
          <w:lang w:val="fr-FR" w:eastAsia="fr-CH"/>
        </w:rPr>
        <w:t>sur le statut juridique des défenseurs des droits de l</w:t>
      </w:r>
      <w:r w:rsidR="00714913">
        <w:rPr>
          <w:lang w:val="fr-FR" w:eastAsia="fr-CH"/>
        </w:rPr>
        <w:t>’</w:t>
      </w:r>
      <w:r w:rsidR="00714913" w:rsidRPr="002E36A6">
        <w:rPr>
          <w:lang w:val="fr-FR" w:eastAsia="fr-CH"/>
        </w:rPr>
        <w:t xml:space="preserve">homme qui </w:t>
      </w:r>
      <w:r w:rsidR="00714913">
        <w:rPr>
          <w:lang w:val="fr-FR" w:eastAsia="fr-CH"/>
        </w:rPr>
        <w:t xml:space="preserve">ont </w:t>
      </w:r>
      <w:r w:rsidR="00714913" w:rsidRPr="002E36A6">
        <w:rPr>
          <w:lang w:val="fr-FR" w:eastAsia="fr-CH"/>
        </w:rPr>
        <w:t xml:space="preserve">été </w:t>
      </w:r>
      <w:r w:rsidR="00714913">
        <w:rPr>
          <w:lang w:val="fr-FR" w:eastAsia="fr-CH"/>
        </w:rPr>
        <w:t xml:space="preserve">bannis après avoir été libérés de prison </w:t>
      </w:r>
      <w:r w:rsidR="00714913" w:rsidRPr="002E36A6">
        <w:rPr>
          <w:lang w:val="fr-FR" w:eastAsia="fr-CH"/>
        </w:rPr>
        <w:t>en 2010 et 2011 dans le cadre d</w:t>
      </w:r>
      <w:r w:rsidR="00714913">
        <w:rPr>
          <w:lang w:val="fr-FR" w:eastAsia="fr-CH"/>
        </w:rPr>
        <w:t>’</w:t>
      </w:r>
      <w:r w:rsidR="00714913" w:rsidRPr="002E36A6">
        <w:rPr>
          <w:lang w:val="fr-FR" w:eastAsia="fr-CH"/>
        </w:rPr>
        <w:t>un accord avec l</w:t>
      </w:r>
      <w:r w:rsidR="00714913">
        <w:rPr>
          <w:lang w:val="fr-FR" w:eastAsia="fr-CH"/>
        </w:rPr>
        <w:t>’É</w:t>
      </w:r>
      <w:r w:rsidR="00714913" w:rsidRPr="002E36A6">
        <w:rPr>
          <w:lang w:val="fr-FR" w:eastAsia="fr-CH"/>
        </w:rPr>
        <w:t xml:space="preserve">glise catholique, et </w:t>
      </w:r>
      <w:r w:rsidR="00714913">
        <w:rPr>
          <w:lang w:val="fr-FR" w:eastAsia="fr-CH"/>
        </w:rPr>
        <w:t xml:space="preserve">aussi sur le statut juridique de </w:t>
      </w:r>
      <w:r w:rsidR="00714913" w:rsidRPr="002E36A6">
        <w:rPr>
          <w:lang w:val="fr-FR" w:eastAsia="fr-CH"/>
        </w:rPr>
        <w:t xml:space="preserve">ceux qui </w:t>
      </w:r>
      <w:r w:rsidR="00714913">
        <w:rPr>
          <w:lang w:val="fr-FR" w:eastAsia="fr-CH"/>
        </w:rPr>
        <w:t xml:space="preserve">ont </w:t>
      </w:r>
      <w:r w:rsidR="00714913" w:rsidRPr="002E36A6">
        <w:rPr>
          <w:lang w:val="fr-FR" w:eastAsia="fr-CH"/>
        </w:rPr>
        <w:t>choisi de rester dans l</w:t>
      </w:r>
      <w:r w:rsidR="00714913">
        <w:rPr>
          <w:lang w:val="fr-FR" w:eastAsia="fr-CH"/>
        </w:rPr>
        <w:t>’</w:t>
      </w:r>
      <w:r w:rsidR="00714913" w:rsidRPr="002E36A6">
        <w:rPr>
          <w:lang w:val="fr-FR" w:eastAsia="fr-CH"/>
        </w:rPr>
        <w:t>État partie.</w:t>
      </w:r>
    </w:p>
    <w:p w:rsidR="00714913" w:rsidRPr="002E36A6" w:rsidRDefault="00754D3E" w:rsidP="00362B06">
      <w:pPr>
        <w:pStyle w:val="SingleTxtG"/>
        <w:rPr>
          <w:lang w:val="fr-CH" w:eastAsia="fr-CH"/>
        </w:rPr>
      </w:pPr>
      <w:r>
        <w:rPr>
          <w:lang w:val="fr-FR" w:eastAsia="fr-CH"/>
        </w:rPr>
        <w:t>26.</w:t>
      </w:r>
      <w:r>
        <w:rPr>
          <w:lang w:val="fr-FR" w:eastAsia="fr-CH"/>
        </w:rPr>
        <w:tab/>
      </w:r>
      <w:r w:rsidR="00714913" w:rsidRPr="002E36A6">
        <w:rPr>
          <w:lang w:val="fr-FR" w:eastAsia="fr-CH"/>
        </w:rPr>
        <w:t xml:space="preserve">Tout en accueillant avec satisfaction les </w:t>
      </w:r>
      <w:r w:rsidR="00714913">
        <w:rPr>
          <w:lang w:val="fr-FR" w:eastAsia="fr-CH"/>
        </w:rPr>
        <w:t xml:space="preserve">renseignements communiqués en réponse </w:t>
      </w:r>
      <w:r w:rsidR="00714913" w:rsidRPr="002E36A6">
        <w:rPr>
          <w:lang w:val="fr-FR" w:eastAsia="fr-CH"/>
        </w:rPr>
        <w:t xml:space="preserve">à la question 17 de la liste, </w:t>
      </w:r>
      <w:r w:rsidR="00714913">
        <w:rPr>
          <w:lang w:val="fr-FR" w:eastAsia="fr-CH"/>
        </w:rPr>
        <w:t xml:space="preserve">l’intervenante demande </w:t>
      </w:r>
      <w:r w:rsidR="00714913" w:rsidRPr="002E36A6">
        <w:rPr>
          <w:lang w:val="fr-FR" w:eastAsia="fr-CH"/>
        </w:rPr>
        <w:t xml:space="preserve">des </w:t>
      </w:r>
      <w:r w:rsidR="00714913">
        <w:rPr>
          <w:lang w:val="fr-FR" w:eastAsia="fr-CH"/>
        </w:rPr>
        <w:t xml:space="preserve">précisions au sujet </w:t>
      </w:r>
      <w:r w:rsidR="00714913" w:rsidRPr="002E36A6">
        <w:rPr>
          <w:lang w:val="fr-FR" w:eastAsia="fr-CH"/>
        </w:rPr>
        <w:t>des mandats en vertu d</w:t>
      </w:r>
      <w:r w:rsidR="00714913">
        <w:rPr>
          <w:lang w:val="fr-FR" w:eastAsia="fr-CH"/>
        </w:rPr>
        <w:t>es</w:t>
      </w:r>
      <w:r w:rsidR="00714913" w:rsidRPr="002E36A6">
        <w:rPr>
          <w:lang w:val="fr-FR" w:eastAsia="fr-CH"/>
        </w:rPr>
        <w:t>quel</w:t>
      </w:r>
      <w:r w:rsidR="00714913">
        <w:rPr>
          <w:lang w:val="fr-FR" w:eastAsia="fr-CH"/>
        </w:rPr>
        <w:t>s</w:t>
      </w:r>
      <w:r w:rsidR="00714913" w:rsidRPr="002E36A6">
        <w:rPr>
          <w:lang w:val="fr-FR" w:eastAsia="fr-CH"/>
        </w:rPr>
        <w:t xml:space="preserve"> des organisations nationales et sociales </w:t>
      </w:r>
      <w:r w:rsidR="00714913">
        <w:rPr>
          <w:lang w:val="fr-FR" w:eastAsia="fr-CH"/>
        </w:rPr>
        <w:t>conduisent des visites dans les prisons</w:t>
      </w:r>
      <w:r w:rsidR="00714913" w:rsidRPr="002E36A6">
        <w:rPr>
          <w:lang w:val="fr-FR" w:eastAsia="fr-CH"/>
        </w:rPr>
        <w:t xml:space="preserve">. Il serait </w:t>
      </w:r>
      <w:r w:rsidR="00714913">
        <w:rPr>
          <w:lang w:val="fr-FR" w:eastAsia="fr-CH"/>
        </w:rPr>
        <w:t xml:space="preserve">intéressant </w:t>
      </w:r>
      <w:r w:rsidR="00714913" w:rsidRPr="002E36A6">
        <w:rPr>
          <w:lang w:val="fr-FR" w:eastAsia="fr-CH"/>
        </w:rPr>
        <w:t xml:space="preserve">de savoir quelles organisations </w:t>
      </w:r>
      <w:r w:rsidR="00714913">
        <w:rPr>
          <w:lang w:val="fr-FR" w:eastAsia="fr-CH"/>
        </w:rPr>
        <w:t>effectuent de telles</w:t>
      </w:r>
      <w:r w:rsidR="00714913" w:rsidRPr="002E36A6">
        <w:rPr>
          <w:lang w:val="fr-FR" w:eastAsia="fr-CH"/>
        </w:rPr>
        <w:t xml:space="preserve"> visites et à qui il</w:t>
      </w:r>
      <w:r w:rsidR="00714913">
        <w:rPr>
          <w:lang w:val="fr-FR" w:eastAsia="fr-CH"/>
        </w:rPr>
        <w:t xml:space="preserve"> en est rendu compte</w:t>
      </w:r>
      <w:r w:rsidR="00714913" w:rsidRPr="002E36A6">
        <w:rPr>
          <w:lang w:val="fr-FR" w:eastAsia="fr-CH"/>
        </w:rPr>
        <w:t xml:space="preserve">. Elle demande si </w:t>
      </w:r>
      <w:r w:rsidR="00714913">
        <w:rPr>
          <w:lang w:val="fr-FR" w:eastAsia="fr-CH"/>
        </w:rPr>
        <w:t xml:space="preserve">le </w:t>
      </w:r>
      <w:r w:rsidR="00714913" w:rsidRPr="002E36A6">
        <w:rPr>
          <w:lang w:val="fr-FR" w:eastAsia="fr-CH"/>
        </w:rPr>
        <w:t xml:space="preserve">personnel du Comité </w:t>
      </w:r>
      <w:r w:rsidR="0064652E" w:rsidRPr="002E36A6">
        <w:rPr>
          <w:lang w:val="fr-FR" w:eastAsia="fr-CH"/>
        </w:rPr>
        <w:t xml:space="preserve">international </w:t>
      </w:r>
      <w:r w:rsidR="00714913" w:rsidRPr="002E36A6">
        <w:rPr>
          <w:lang w:val="fr-FR" w:eastAsia="fr-CH"/>
        </w:rPr>
        <w:t>de la Croix-</w:t>
      </w:r>
      <w:r w:rsidR="00714913">
        <w:rPr>
          <w:lang w:val="fr-FR" w:eastAsia="fr-CH"/>
        </w:rPr>
        <w:t>R</w:t>
      </w:r>
      <w:r w:rsidR="00714913" w:rsidRPr="002E36A6">
        <w:rPr>
          <w:lang w:val="fr-FR" w:eastAsia="fr-CH"/>
        </w:rPr>
        <w:t xml:space="preserve">ouge pourrait </w:t>
      </w:r>
      <w:r w:rsidR="00714913">
        <w:rPr>
          <w:lang w:val="fr-FR" w:eastAsia="fr-CH"/>
        </w:rPr>
        <w:t xml:space="preserve">effectuer </w:t>
      </w:r>
      <w:r w:rsidR="00714913" w:rsidRPr="002E36A6">
        <w:rPr>
          <w:lang w:val="fr-FR" w:eastAsia="fr-CH"/>
        </w:rPr>
        <w:t xml:space="preserve">des visites inopinées dans </w:t>
      </w:r>
      <w:r w:rsidR="00714913">
        <w:rPr>
          <w:lang w:val="fr-FR" w:eastAsia="fr-CH"/>
        </w:rPr>
        <w:t>d</w:t>
      </w:r>
      <w:r w:rsidR="00714913" w:rsidRPr="002E36A6">
        <w:rPr>
          <w:lang w:val="fr-FR" w:eastAsia="fr-CH"/>
        </w:rPr>
        <w:t>es lieux de détention dans l</w:t>
      </w:r>
      <w:r w:rsidR="00714913">
        <w:rPr>
          <w:lang w:val="fr-FR" w:eastAsia="fr-CH"/>
        </w:rPr>
        <w:t>’É</w:t>
      </w:r>
      <w:r w:rsidR="00714913" w:rsidRPr="002E36A6">
        <w:rPr>
          <w:lang w:val="fr-FR" w:eastAsia="fr-CH"/>
        </w:rPr>
        <w:t>tat partie et s</w:t>
      </w:r>
      <w:r w:rsidR="00714913">
        <w:rPr>
          <w:lang w:val="fr-FR" w:eastAsia="fr-CH"/>
        </w:rPr>
        <w:t>’</w:t>
      </w:r>
      <w:r w:rsidR="00714913" w:rsidRPr="002E36A6">
        <w:rPr>
          <w:lang w:val="fr-FR" w:eastAsia="fr-CH"/>
        </w:rPr>
        <w:t>i</w:t>
      </w:r>
      <w:r w:rsidR="00714913">
        <w:rPr>
          <w:lang w:val="fr-FR" w:eastAsia="fr-CH"/>
        </w:rPr>
        <w:t xml:space="preserve">l aurait la possibilité de </w:t>
      </w:r>
      <w:r w:rsidR="00714913" w:rsidRPr="002E36A6">
        <w:rPr>
          <w:lang w:val="fr-FR" w:eastAsia="fr-CH"/>
        </w:rPr>
        <w:t xml:space="preserve">parler </w:t>
      </w:r>
      <w:r w:rsidR="00714913">
        <w:rPr>
          <w:lang w:val="fr-FR" w:eastAsia="fr-CH"/>
        </w:rPr>
        <w:t xml:space="preserve">en privé à des </w:t>
      </w:r>
      <w:r w:rsidR="00714913" w:rsidRPr="002E36A6">
        <w:rPr>
          <w:lang w:val="fr-FR" w:eastAsia="fr-CH"/>
        </w:rPr>
        <w:t xml:space="preserve">détenus au cours de ces visites. Notant que </w:t>
      </w:r>
      <w:r w:rsidR="00714913">
        <w:rPr>
          <w:lang w:val="fr-FR" w:eastAsia="fr-CH"/>
        </w:rPr>
        <w:t xml:space="preserve">les </w:t>
      </w:r>
      <w:r w:rsidR="00714913" w:rsidRPr="002E36A6">
        <w:rPr>
          <w:lang w:val="fr-FR" w:eastAsia="fr-CH"/>
        </w:rPr>
        <w:t>responsable</w:t>
      </w:r>
      <w:r w:rsidR="00714913">
        <w:rPr>
          <w:lang w:val="fr-FR" w:eastAsia="fr-CH"/>
        </w:rPr>
        <w:t>s</w:t>
      </w:r>
      <w:r w:rsidR="00714913" w:rsidRPr="002E36A6">
        <w:rPr>
          <w:lang w:val="fr-FR" w:eastAsia="fr-CH"/>
        </w:rPr>
        <w:t xml:space="preserve"> d</w:t>
      </w:r>
      <w:r w:rsidR="00714913">
        <w:rPr>
          <w:lang w:val="fr-FR" w:eastAsia="fr-CH"/>
        </w:rPr>
        <w:t xml:space="preserve">u décès </w:t>
      </w:r>
      <w:r w:rsidR="00714913" w:rsidRPr="002E36A6">
        <w:rPr>
          <w:lang w:val="fr-FR" w:eastAsia="fr-CH"/>
        </w:rPr>
        <w:t xml:space="preserve">de 26 patients </w:t>
      </w:r>
      <w:r w:rsidR="00714913">
        <w:rPr>
          <w:lang w:val="fr-FR" w:eastAsia="fr-CH"/>
        </w:rPr>
        <w:t xml:space="preserve">survenu </w:t>
      </w:r>
      <w:r w:rsidR="00714913" w:rsidRPr="002E36A6">
        <w:rPr>
          <w:lang w:val="fr-FR" w:eastAsia="fr-CH"/>
        </w:rPr>
        <w:t xml:space="preserve">en janvier 2010 dans un hôpital psychiatrique de la Havane </w:t>
      </w:r>
      <w:r w:rsidR="00714913">
        <w:rPr>
          <w:lang w:val="fr-FR" w:eastAsia="fr-CH"/>
        </w:rPr>
        <w:t xml:space="preserve">ont été </w:t>
      </w:r>
      <w:r w:rsidR="00EA37EA">
        <w:rPr>
          <w:lang w:val="fr-FR" w:eastAsia="fr-CH"/>
        </w:rPr>
        <w:t>inculpé</w:t>
      </w:r>
      <w:r w:rsidR="00714913">
        <w:rPr>
          <w:lang w:val="fr-FR" w:eastAsia="fr-CH"/>
        </w:rPr>
        <w:t xml:space="preserve">s </w:t>
      </w:r>
      <w:r w:rsidR="00714913" w:rsidRPr="002E36A6">
        <w:rPr>
          <w:lang w:val="fr-FR" w:eastAsia="fr-CH"/>
        </w:rPr>
        <w:t>d</w:t>
      </w:r>
      <w:r w:rsidR="00714913">
        <w:rPr>
          <w:lang w:val="fr-FR" w:eastAsia="fr-CH"/>
        </w:rPr>
        <w:t>’</w:t>
      </w:r>
      <w:r w:rsidR="00714913" w:rsidRPr="002E36A6">
        <w:rPr>
          <w:lang w:val="fr-FR" w:eastAsia="fr-CH"/>
        </w:rPr>
        <w:t>abandon, de négligence et de détournement de fonds, elle demand</w:t>
      </w:r>
      <w:r w:rsidR="00714913">
        <w:rPr>
          <w:lang w:val="fr-FR" w:eastAsia="fr-CH"/>
        </w:rPr>
        <w:t>e</w:t>
      </w:r>
      <w:r w:rsidR="00714913" w:rsidRPr="002E36A6">
        <w:rPr>
          <w:lang w:val="fr-FR" w:eastAsia="fr-CH"/>
        </w:rPr>
        <w:t xml:space="preserve"> quelles mesures et </w:t>
      </w:r>
      <w:r w:rsidR="00714913">
        <w:rPr>
          <w:lang w:val="fr-FR" w:eastAsia="fr-CH"/>
        </w:rPr>
        <w:t>quel</w:t>
      </w:r>
      <w:r w:rsidR="00714913" w:rsidRPr="002E36A6">
        <w:rPr>
          <w:lang w:val="fr-FR" w:eastAsia="fr-CH"/>
        </w:rPr>
        <w:t xml:space="preserve">les </w:t>
      </w:r>
      <w:r w:rsidR="00714913">
        <w:rPr>
          <w:lang w:val="fr-FR" w:eastAsia="fr-CH"/>
        </w:rPr>
        <w:t>garanties ont été</w:t>
      </w:r>
      <w:r w:rsidR="00714913" w:rsidRPr="002E36A6">
        <w:rPr>
          <w:lang w:val="fr-FR" w:eastAsia="fr-CH"/>
        </w:rPr>
        <w:t xml:space="preserve"> mises en place pour qu</w:t>
      </w:r>
      <w:r w:rsidR="00714913">
        <w:rPr>
          <w:lang w:val="fr-FR" w:eastAsia="fr-CH"/>
        </w:rPr>
        <w:t>’</w:t>
      </w:r>
      <w:r w:rsidR="00714913" w:rsidRPr="002E36A6">
        <w:rPr>
          <w:lang w:val="fr-FR" w:eastAsia="fr-CH"/>
        </w:rPr>
        <w:t xml:space="preserve">une telle tragédie </w:t>
      </w:r>
      <w:r w:rsidR="00714913">
        <w:rPr>
          <w:lang w:val="fr-FR" w:eastAsia="fr-CH"/>
        </w:rPr>
        <w:t xml:space="preserve">ne puisse pas se produire </w:t>
      </w:r>
      <w:r w:rsidR="00714913" w:rsidRPr="002E36A6">
        <w:rPr>
          <w:lang w:val="fr-FR" w:eastAsia="fr-CH"/>
        </w:rPr>
        <w:t>à l</w:t>
      </w:r>
      <w:r w:rsidR="00714913">
        <w:rPr>
          <w:lang w:val="fr-FR" w:eastAsia="fr-CH"/>
        </w:rPr>
        <w:t>’</w:t>
      </w:r>
      <w:r w:rsidR="00714913" w:rsidRPr="002E36A6">
        <w:rPr>
          <w:lang w:val="fr-FR" w:eastAsia="fr-CH"/>
        </w:rPr>
        <w:t xml:space="preserve">avenir. Il serait intéressant de savoir si les patients survivants de cet hôpital et les </w:t>
      </w:r>
      <w:r w:rsidR="00714913">
        <w:rPr>
          <w:lang w:val="fr-FR" w:eastAsia="fr-CH"/>
        </w:rPr>
        <w:t xml:space="preserve">proches </w:t>
      </w:r>
      <w:r w:rsidR="00714913" w:rsidRPr="002E36A6">
        <w:rPr>
          <w:lang w:val="fr-FR" w:eastAsia="fr-CH"/>
        </w:rPr>
        <w:t xml:space="preserve">parents de ceux qui </w:t>
      </w:r>
      <w:r w:rsidR="00714913">
        <w:rPr>
          <w:lang w:val="fr-FR" w:eastAsia="fr-CH"/>
        </w:rPr>
        <w:t xml:space="preserve">sont décédés ont </w:t>
      </w:r>
      <w:r w:rsidR="00714913" w:rsidRPr="002E36A6">
        <w:rPr>
          <w:lang w:val="fr-FR" w:eastAsia="fr-CH"/>
        </w:rPr>
        <w:t>reçu une indemni</w:t>
      </w:r>
      <w:r w:rsidR="00714913">
        <w:rPr>
          <w:lang w:val="fr-FR" w:eastAsia="fr-CH"/>
        </w:rPr>
        <w:t>té</w:t>
      </w:r>
      <w:r w:rsidR="00714913" w:rsidRPr="002E36A6">
        <w:rPr>
          <w:lang w:val="fr-FR" w:eastAsia="fr-CH"/>
        </w:rPr>
        <w:t xml:space="preserve">. Le Comité souhaite </w:t>
      </w:r>
      <w:r w:rsidR="00714913">
        <w:rPr>
          <w:lang w:val="fr-FR" w:eastAsia="fr-CH"/>
        </w:rPr>
        <w:t xml:space="preserve">avoir des renseignements complémentaires </w:t>
      </w:r>
      <w:r w:rsidR="00714913" w:rsidRPr="002E36A6">
        <w:rPr>
          <w:lang w:val="fr-FR" w:eastAsia="fr-CH"/>
        </w:rPr>
        <w:t xml:space="preserve">sur le cadre juridique </w:t>
      </w:r>
      <w:r w:rsidR="00714913">
        <w:rPr>
          <w:lang w:val="fr-FR" w:eastAsia="fr-CH"/>
        </w:rPr>
        <w:t xml:space="preserve">applicable à </w:t>
      </w:r>
      <w:r w:rsidR="00714913" w:rsidRPr="002E36A6">
        <w:rPr>
          <w:lang w:val="fr-FR" w:eastAsia="fr-CH"/>
        </w:rPr>
        <w:t xml:space="preserve">la privation de liberté </w:t>
      </w:r>
      <w:r w:rsidR="00714913">
        <w:rPr>
          <w:lang w:val="fr-FR" w:eastAsia="fr-CH"/>
        </w:rPr>
        <w:t>pour maladie mentale,</w:t>
      </w:r>
      <w:r w:rsidR="00714913" w:rsidRPr="002E36A6">
        <w:rPr>
          <w:lang w:val="fr-FR" w:eastAsia="fr-CH"/>
        </w:rPr>
        <w:t xml:space="preserve"> y compris </w:t>
      </w:r>
      <w:r w:rsidR="00714913">
        <w:rPr>
          <w:lang w:val="fr-FR" w:eastAsia="fr-CH"/>
        </w:rPr>
        <w:t xml:space="preserve">des précisions sur les </w:t>
      </w:r>
      <w:r w:rsidR="00714913" w:rsidRPr="002E36A6">
        <w:rPr>
          <w:lang w:val="fr-FR" w:eastAsia="fr-CH"/>
        </w:rPr>
        <w:t xml:space="preserve">dispositions </w:t>
      </w:r>
      <w:r w:rsidR="00714913">
        <w:rPr>
          <w:lang w:val="fr-FR" w:eastAsia="fr-CH"/>
        </w:rPr>
        <w:t xml:space="preserve">juridiques </w:t>
      </w:r>
      <w:r w:rsidR="00714913" w:rsidRPr="002E36A6">
        <w:rPr>
          <w:lang w:val="fr-FR" w:eastAsia="fr-CH"/>
        </w:rPr>
        <w:t xml:space="preserve">en vertu desquelles les </w:t>
      </w:r>
      <w:r w:rsidR="00714913">
        <w:rPr>
          <w:lang w:val="fr-FR" w:eastAsia="fr-CH"/>
        </w:rPr>
        <w:t>malades peuvent</w:t>
      </w:r>
      <w:r w:rsidR="00714913" w:rsidRPr="002E36A6">
        <w:rPr>
          <w:lang w:val="fr-FR" w:eastAsia="fr-CH"/>
        </w:rPr>
        <w:t xml:space="preserve"> être placés </w:t>
      </w:r>
      <w:r w:rsidR="00714913">
        <w:rPr>
          <w:lang w:val="fr-FR" w:eastAsia="fr-CH"/>
        </w:rPr>
        <w:t>en hôpital psychiatrique contre leur volonté</w:t>
      </w:r>
      <w:r w:rsidR="00714913" w:rsidRPr="002E36A6">
        <w:rPr>
          <w:lang w:val="fr-FR" w:eastAsia="fr-CH"/>
        </w:rPr>
        <w:t>.</w:t>
      </w:r>
    </w:p>
    <w:p w:rsidR="00714913" w:rsidRPr="002E36A6" w:rsidRDefault="00754D3E" w:rsidP="00362B06">
      <w:pPr>
        <w:pStyle w:val="SingleTxtG"/>
        <w:rPr>
          <w:lang w:val="fr-CH" w:eastAsia="fr-CH"/>
        </w:rPr>
      </w:pPr>
      <w:r>
        <w:rPr>
          <w:lang w:val="fr-FR" w:eastAsia="fr-CH"/>
        </w:rPr>
        <w:t>27.</w:t>
      </w:r>
      <w:r>
        <w:rPr>
          <w:lang w:val="fr-FR" w:eastAsia="fr-CH"/>
        </w:rPr>
        <w:tab/>
      </w:r>
      <w:r w:rsidR="00714913">
        <w:rPr>
          <w:lang w:val="fr-FR" w:eastAsia="fr-CH"/>
        </w:rPr>
        <w:t xml:space="preserve">L’intervenante </w:t>
      </w:r>
      <w:r w:rsidR="00714913" w:rsidRPr="002E36A6">
        <w:rPr>
          <w:lang w:val="fr-FR" w:eastAsia="fr-CH"/>
        </w:rPr>
        <w:t>accueill</w:t>
      </w:r>
      <w:r w:rsidR="00714913">
        <w:rPr>
          <w:lang w:val="fr-FR" w:eastAsia="fr-CH"/>
        </w:rPr>
        <w:t>e</w:t>
      </w:r>
      <w:r w:rsidR="00714913" w:rsidRPr="002E36A6">
        <w:rPr>
          <w:lang w:val="fr-FR" w:eastAsia="fr-CH"/>
        </w:rPr>
        <w:t xml:space="preserve"> </w:t>
      </w:r>
      <w:r w:rsidR="00714913">
        <w:rPr>
          <w:lang w:val="fr-FR" w:eastAsia="fr-CH"/>
        </w:rPr>
        <w:t xml:space="preserve">avec satisfaction </w:t>
      </w:r>
      <w:r w:rsidR="00714913" w:rsidRPr="002E36A6">
        <w:rPr>
          <w:lang w:val="fr-FR" w:eastAsia="fr-CH"/>
        </w:rPr>
        <w:t>les statistiques que le chef de la délégation a</w:t>
      </w:r>
      <w:r w:rsidR="00714913">
        <w:rPr>
          <w:lang w:val="fr-FR" w:eastAsia="fr-CH"/>
        </w:rPr>
        <w:t xml:space="preserve"> communiquées au sujet d</w:t>
      </w:r>
      <w:r w:rsidR="00714913" w:rsidRPr="002E36A6">
        <w:rPr>
          <w:lang w:val="fr-FR" w:eastAsia="fr-CH"/>
        </w:rPr>
        <w:t>es plaintes reçues entre 2007 et 2011</w:t>
      </w:r>
      <w:r w:rsidR="00714913" w:rsidRPr="002E1359">
        <w:rPr>
          <w:lang w:val="fr-FR" w:eastAsia="fr-CH"/>
        </w:rPr>
        <w:t xml:space="preserve"> </w:t>
      </w:r>
      <w:r w:rsidR="00714913" w:rsidRPr="002E36A6">
        <w:rPr>
          <w:lang w:val="fr-FR" w:eastAsia="fr-CH"/>
        </w:rPr>
        <w:t xml:space="preserve">par le </w:t>
      </w:r>
      <w:r w:rsidR="00714913">
        <w:rPr>
          <w:lang w:val="fr-FR" w:eastAsia="fr-CH"/>
        </w:rPr>
        <w:t xml:space="preserve">Cabinet </w:t>
      </w:r>
      <w:r w:rsidR="00714913" w:rsidRPr="002E36A6">
        <w:rPr>
          <w:lang w:val="fr-FR" w:eastAsia="fr-CH"/>
        </w:rPr>
        <w:t xml:space="preserve">du Procureur général de la République. </w:t>
      </w:r>
      <w:r w:rsidR="00714913">
        <w:rPr>
          <w:lang w:val="fr-FR" w:eastAsia="fr-CH"/>
        </w:rPr>
        <w:t>I</w:t>
      </w:r>
      <w:r w:rsidR="00714913" w:rsidRPr="002E36A6">
        <w:rPr>
          <w:lang w:val="fr-FR" w:eastAsia="fr-CH"/>
        </w:rPr>
        <w:t xml:space="preserve">l serait </w:t>
      </w:r>
      <w:r w:rsidR="00714913">
        <w:rPr>
          <w:lang w:val="fr-FR" w:eastAsia="fr-CH"/>
        </w:rPr>
        <w:t xml:space="preserve">cependant </w:t>
      </w:r>
      <w:r w:rsidR="00714913" w:rsidRPr="002E36A6">
        <w:rPr>
          <w:lang w:val="fr-FR" w:eastAsia="fr-CH"/>
        </w:rPr>
        <w:t>utile d</w:t>
      </w:r>
      <w:r w:rsidR="00714913">
        <w:rPr>
          <w:lang w:val="fr-FR" w:eastAsia="fr-CH"/>
        </w:rPr>
        <w:t>’</w:t>
      </w:r>
      <w:r w:rsidR="00714913" w:rsidRPr="002E36A6">
        <w:rPr>
          <w:lang w:val="fr-FR" w:eastAsia="fr-CH"/>
        </w:rPr>
        <w:t xml:space="preserve">avoir </w:t>
      </w:r>
      <w:r w:rsidR="00714913">
        <w:rPr>
          <w:lang w:val="fr-FR" w:eastAsia="fr-CH"/>
        </w:rPr>
        <w:t xml:space="preserve">davantage </w:t>
      </w:r>
      <w:r w:rsidR="00714913" w:rsidRPr="002E36A6">
        <w:rPr>
          <w:lang w:val="fr-FR" w:eastAsia="fr-CH"/>
        </w:rPr>
        <w:t>d</w:t>
      </w:r>
      <w:r w:rsidR="00714913">
        <w:rPr>
          <w:lang w:val="fr-FR" w:eastAsia="fr-CH"/>
        </w:rPr>
        <w:t>’</w:t>
      </w:r>
      <w:r w:rsidR="00714913" w:rsidRPr="002E36A6">
        <w:rPr>
          <w:lang w:val="fr-FR" w:eastAsia="fr-CH"/>
        </w:rPr>
        <w:t xml:space="preserve">informations sur les </w:t>
      </w:r>
      <w:r w:rsidR="00714913">
        <w:rPr>
          <w:lang w:val="fr-FR" w:eastAsia="fr-CH"/>
        </w:rPr>
        <w:t xml:space="preserve">questions </w:t>
      </w:r>
      <w:r w:rsidR="00714913" w:rsidRPr="002E36A6">
        <w:rPr>
          <w:lang w:val="fr-FR" w:eastAsia="fr-CH"/>
        </w:rPr>
        <w:t>soulevé</w:t>
      </w:r>
      <w:r w:rsidR="00714913">
        <w:rPr>
          <w:lang w:val="fr-FR" w:eastAsia="fr-CH"/>
        </w:rPr>
        <w:t>e</w:t>
      </w:r>
      <w:r w:rsidR="00714913" w:rsidRPr="002E36A6">
        <w:rPr>
          <w:lang w:val="fr-FR" w:eastAsia="fr-CH"/>
        </w:rPr>
        <w:t xml:space="preserve">s dans </w:t>
      </w:r>
      <w:r w:rsidR="00714913">
        <w:rPr>
          <w:lang w:val="fr-FR" w:eastAsia="fr-CH"/>
        </w:rPr>
        <w:t>c</w:t>
      </w:r>
      <w:r w:rsidR="00714913" w:rsidRPr="002E36A6">
        <w:rPr>
          <w:lang w:val="fr-FR" w:eastAsia="fr-CH"/>
        </w:rPr>
        <w:t xml:space="preserve">es plaintes. En particulier, </w:t>
      </w:r>
      <w:r w:rsidR="00714913">
        <w:rPr>
          <w:lang w:val="fr-FR" w:eastAsia="fr-CH"/>
        </w:rPr>
        <w:t xml:space="preserve">l’intervenante </w:t>
      </w:r>
      <w:r w:rsidR="00714913" w:rsidRPr="002E36A6">
        <w:rPr>
          <w:lang w:val="fr-FR" w:eastAsia="fr-CH"/>
        </w:rPr>
        <w:t>demand</w:t>
      </w:r>
      <w:r w:rsidR="00714913">
        <w:rPr>
          <w:lang w:val="fr-FR" w:eastAsia="fr-CH"/>
        </w:rPr>
        <w:t>e</w:t>
      </w:r>
      <w:r w:rsidR="00714913" w:rsidRPr="002E36A6">
        <w:rPr>
          <w:lang w:val="fr-FR" w:eastAsia="fr-CH"/>
        </w:rPr>
        <w:t xml:space="preserve"> un compte rendu plus détaillé des 263 plaintes </w:t>
      </w:r>
      <w:r w:rsidR="00714913">
        <w:rPr>
          <w:lang w:val="fr-FR" w:eastAsia="fr-CH"/>
        </w:rPr>
        <w:t xml:space="preserve">faisant état </w:t>
      </w:r>
      <w:r w:rsidR="00714913" w:rsidRPr="002E36A6">
        <w:rPr>
          <w:lang w:val="fr-FR" w:eastAsia="fr-CH"/>
        </w:rPr>
        <w:t xml:space="preserve">de mauvais traitements dans </w:t>
      </w:r>
      <w:r w:rsidR="00714913">
        <w:rPr>
          <w:lang w:val="fr-FR" w:eastAsia="fr-CH"/>
        </w:rPr>
        <w:t>d</w:t>
      </w:r>
      <w:r w:rsidR="00714913" w:rsidRPr="002E36A6">
        <w:rPr>
          <w:lang w:val="fr-FR" w:eastAsia="fr-CH"/>
        </w:rPr>
        <w:t>es centres de détention</w:t>
      </w:r>
      <w:r w:rsidR="00714913">
        <w:rPr>
          <w:lang w:val="fr-FR" w:eastAsia="fr-CH"/>
        </w:rPr>
        <w:t>, ainsi qu’</w:t>
      </w:r>
      <w:r w:rsidR="00714913" w:rsidRPr="002E36A6">
        <w:rPr>
          <w:lang w:val="fr-FR" w:eastAsia="fr-CH"/>
        </w:rPr>
        <w:t xml:space="preserve">une indication des mesures </w:t>
      </w:r>
      <w:r w:rsidR="00714913">
        <w:rPr>
          <w:lang w:val="fr-FR" w:eastAsia="fr-CH"/>
        </w:rPr>
        <w:t xml:space="preserve">qui ont </w:t>
      </w:r>
      <w:r w:rsidR="00714913" w:rsidRPr="002E36A6">
        <w:rPr>
          <w:lang w:val="fr-FR" w:eastAsia="fr-CH"/>
        </w:rPr>
        <w:t xml:space="preserve">été prises contre les </w:t>
      </w:r>
      <w:r w:rsidR="00714913">
        <w:rPr>
          <w:lang w:val="fr-FR" w:eastAsia="fr-CH"/>
        </w:rPr>
        <w:t>auteurs de ces faits</w:t>
      </w:r>
      <w:r w:rsidR="00714913" w:rsidRPr="002E36A6">
        <w:rPr>
          <w:lang w:val="fr-FR" w:eastAsia="fr-CH"/>
        </w:rPr>
        <w:t xml:space="preserve">. Elle </w:t>
      </w:r>
      <w:r w:rsidR="00714913">
        <w:rPr>
          <w:lang w:val="fr-FR" w:eastAsia="fr-CH"/>
        </w:rPr>
        <w:t xml:space="preserve">aimerait savoir s’il y a en place </w:t>
      </w:r>
      <w:r w:rsidR="00714913" w:rsidRPr="002E36A6">
        <w:rPr>
          <w:lang w:val="fr-FR" w:eastAsia="fr-CH"/>
        </w:rPr>
        <w:t xml:space="preserve">des mécanismes </w:t>
      </w:r>
      <w:r w:rsidR="00714913">
        <w:rPr>
          <w:lang w:val="fr-FR" w:eastAsia="fr-CH"/>
        </w:rPr>
        <w:t>permettant d’</w:t>
      </w:r>
      <w:r w:rsidR="00714913" w:rsidRPr="002E36A6">
        <w:rPr>
          <w:lang w:val="fr-FR" w:eastAsia="fr-CH"/>
        </w:rPr>
        <w:t>enregistre</w:t>
      </w:r>
      <w:r w:rsidR="00714913">
        <w:rPr>
          <w:lang w:val="fr-FR" w:eastAsia="fr-CH"/>
        </w:rPr>
        <w:t>r l</w:t>
      </w:r>
      <w:r w:rsidR="00714913" w:rsidRPr="002E36A6">
        <w:rPr>
          <w:lang w:val="fr-FR" w:eastAsia="fr-CH"/>
        </w:rPr>
        <w:t>es plaintes anonymement. Elle demande des éclaircissements sur le fait</w:t>
      </w:r>
      <w:r w:rsidR="00714913">
        <w:rPr>
          <w:lang w:val="fr-FR" w:eastAsia="fr-CH"/>
        </w:rPr>
        <w:t xml:space="preserve"> que réparation ne peut être obtenue par les</w:t>
      </w:r>
      <w:r w:rsidR="00714913" w:rsidRPr="002E36A6">
        <w:rPr>
          <w:lang w:val="fr-FR" w:eastAsia="fr-CH"/>
        </w:rPr>
        <w:t xml:space="preserve"> victimes de torture</w:t>
      </w:r>
      <w:r w:rsidR="00714913">
        <w:rPr>
          <w:lang w:val="fr-FR" w:eastAsia="fr-CH"/>
        </w:rPr>
        <w:t xml:space="preserve"> qu’</w:t>
      </w:r>
      <w:r w:rsidR="00714913" w:rsidRPr="002E36A6">
        <w:rPr>
          <w:lang w:val="fr-FR" w:eastAsia="fr-CH"/>
        </w:rPr>
        <w:t xml:space="preserve">à </w:t>
      </w:r>
      <w:r w:rsidR="00714913">
        <w:rPr>
          <w:lang w:val="fr-FR" w:eastAsia="fr-CH"/>
        </w:rPr>
        <w:t xml:space="preserve">condition </w:t>
      </w:r>
      <w:r w:rsidR="00714913" w:rsidRPr="002E36A6">
        <w:rPr>
          <w:lang w:val="fr-FR" w:eastAsia="fr-CH"/>
        </w:rPr>
        <w:t>que l</w:t>
      </w:r>
      <w:r w:rsidR="00714913">
        <w:rPr>
          <w:lang w:val="fr-FR" w:eastAsia="fr-CH"/>
        </w:rPr>
        <w:t>’indemnisation ait</w:t>
      </w:r>
      <w:r w:rsidR="00714913" w:rsidRPr="002E36A6">
        <w:rPr>
          <w:lang w:val="fr-FR" w:eastAsia="fr-CH"/>
        </w:rPr>
        <w:t xml:space="preserve"> été ordonnée par les tribunaux et </w:t>
      </w:r>
      <w:r w:rsidR="00714913">
        <w:rPr>
          <w:lang w:val="fr-FR" w:eastAsia="fr-CH"/>
        </w:rPr>
        <w:t xml:space="preserve">soit </w:t>
      </w:r>
      <w:r w:rsidR="00714913" w:rsidRPr="002E36A6">
        <w:rPr>
          <w:lang w:val="fr-FR" w:eastAsia="fr-CH"/>
        </w:rPr>
        <w:t>le résultat d</w:t>
      </w:r>
      <w:r w:rsidR="00714913">
        <w:rPr>
          <w:lang w:val="fr-FR" w:eastAsia="fr-CH"/>
        </w:rPr>
        <w:t>’</w:t>
      </w:r>
      <w:r w:rsidR="00714913" w:rsidRPr="002E36A6">
        <w:rPr>
          <w:lang w:val="fr-FR" w:eastAsia="fr-CH"/>
        </w:rPr>
        <w:t>une condamnation pénale. Elle demand</w:t>
      </w:r>
      <w:r w:rsidR="00714913">
        <w:rPr>
          <w:lang w:val="fr-FR" w:eastAsia="fr-CH"/>
        </w:rPr>
        <w:t xml:space="preserve">e combien il y a eu de </w:t>
      </w:r>
      <w:r w:rsidR="00714913" w:rsidRPr="002E36A6">
        <w:rPr>
          <w:lang w:val="fr-FR" w:eastAsia="fr-CH"/>
        </w:rPr>
        <w:t>cas enregistré</w:t>
      </w:r>
      <w:r w:rsidR="00714913">
        <w:rPr>
          <w:lang w:val="fr-FR" w:eastAsia="fr-CH"/>
        </w:rPr>
        <w:t>s d’indemnisation</w:t>
      </w:r>
      <w:r w:rsidR="00714913" w:rsidRPr="002E36A6">
        <w:rPr>
          <w:lang w:val="fr-FR" w:eastAsia="fr-CH"/>
        </w:rPr>
        <w:t xml:space="preserve"> pour </w:t>
      </w:r>
      <w:r w:rsidR="00714913">
        <w:rPr>
          <w:lang w:val="fr-FR" w:eastAsia="fr-CH"/>
        </w:rPr>
        <w:t xml:space="preserve">faits </w:t>
      </w:r>
      <w:r w:rsidR="00714913" w:rsidRPr="002E36A6">
        <w:rPr>
          <w:lang w:val="fr-FR" w:eastAsia="fr-CH"/>
        </w:rPr>
        <w:t>de torture ou mauvais traitements et s</w:t>
      </w:r>
      <w:r w:rsidR="00714913">
        <w:rPr>
          <w:lang w:val="fr-FR" w:eastAsia="fr-CH"/>
        </w:rPr>
        <w:t>’</w:t>
      </w:r>
      <w:r w:rsidR="00714913" w:rsidRPr="002E36A6">
        <w:rPr>
          <w:lang w:val="fr-FR" w:eastAsia="fr-CH"/>
        </w:rPr>
        <w:t>il y a eu des cas dans les</w:t>
      </w:r>
      <w:r w:rsidR="00714913">
        <w:rPr>
          <w:lang w:val="fr-FR" w:eastAsia="fr-CH"/>
        </w:rPr>
        <w:t>quels des</w:t>
      </w:r>
      <w:r w:rsidR="00714913" w:rsidRPr="002E36A6">
        <w:rPr>
          <w:lang w:val="fr-FR" w:eastAsia="fr-CH"/>
        </w:rPr>
        <w:t xml:space="preserve"> victimes de violence </w:t>
      </w:r>
      <w:r w:rsidR="00714913">
        <w:rPr>
          <w:lang w:val="fr-FR" w:eastAsia="fr-CH"/>
        </w:rPr>
        <w:t xml:space="preserve">ont été indemnisées en </w:t>
      </w:r>
      <w:r w:rsidR="00714913" w:rsidRPr="002E36A6">
        <w:rPr>
          <w:lang w:val="fr-FR" w:eastAsia="fr-CH"/>
        </w:rPr>
        <w:t>raison d</w:t>
      </w:r>
      <w:r w:rsidR="00714913">
        <w:rPr>
          <w:lang w:val="fr-FR" w:eastAsia="fr-CH"/>
        </w:rPr>
        <w:t>’</w:t>
      </w:r>
      <w:r w:rsidR="00714913" w:rsidRPr="002E36A6">
        <w:rPr>
          <w:lang w:val="fr-FR" w:eastAsia="fr-CH"/>
        </w:rPr>
        <w:t>un manque</w:t>
      </w:r>
      <w:r w:rsidR="00714913">
        <w:rPr>
          <w:lang w:val="fr-FR" w:eastAsia="fr-CH"/>
        </w:rPr>
        <w:t>ment</w:t>
      </w:r>
      <w:r w:rsidR="00714913" w:rsidRPr="002E36A6">
        <w:rPr>
          <w:lang w:val="fr-FR" w:eastAsia="fr-CH"/>
        </w:rPr>
        <w:t xml:space="preserve"> </w:t>
      </w:r>
      <w:r w:rsidR="00714913">
        <w:rPr>
          <w:lang w:val="fr-FR" w:eastAsia="fr-CH"/>
        </w:rPr>
        <w:t>à l’obligation de diligence des</w:t>
      </w:r>
      <w:r w:rsidR="00714913" w:rsidRPr="002E36A6">
        <w:rPr>
          <w:lang w:val="fr-FR" w:eastAsia="fr-CH"/>
        </w:rPr>
        <w:t xml:space="preserve"> </w:t>
      </w:r>
      <w:r w:rsidR="00714913">
        <w:rPr>
          <w:lang w:val="fr-FR" w:eastAsia="fr-CH"/>
        </w:rPr>
        <w:t>autorités de police</w:t>
      </w:r>
      <w:r w:rsidR="00714913" w:rsidRPr="002E36A6">
        <w:rPr>
          <w:lang w:val="fr-FR" w:eastAsia="fr-CH"/>
        </w:rPr>
        <w:t>.</w:t>
      </w:r>
    </w:p>
    <w:p w:rsidR="00714913" w:rsidRPr="002E36A6" w:rsidRDefault="00754D3E" w:rsidP="00362B06">
      <w:pPr>
        <w:pStyle w:val="SingleTxtG"/>
        <w:rPr>
          <w:lang w:val="fr-CH" w:eastAsia="fr-CH"/>
        </w:rPr>
      </w:pPr>
      <w:r>
        <w:rPr>
          <w:lang w:val="fr-FR" w:eastAsia="fr-CH"/>
        </w:rPr>
        <w:t>28.</w:t>
      </w:r>
      <w:r>
        <w:rPr>
          <w:lang w:val="fr-FR" w:eastAsia="fr-CH"/>
        </w:rPr>
        <w:tab/>
      </w:r>
      <w:r w:rsidR="00714913" w:rsidRPr="002E36A6">
        <w:rPr>
          <w:lang w:val="fr-FR" w:eastAsia="fr-CH"/>
        </w:rPr>
        <w:t xml:space="preserve">Le Comité </w:t>
      </w:r>
      <w:r w:rsidR="00714913">
        <w:rPr>
          <w:lang w:val="fr-FR" w:eastAsia="fr-CH"/>
        </w:rPr>
        <w:t xml:space="preserve">se dit préoccupé par des informations selon lesquelles des personnes qui organisent </w:t>
      </w:r>
      <w:r w:rsidR="00714913" w:rsidRPr="002E36A6">
        <w:rPr>
          <w:lang w:val="fr-FR" w:eastAsia="fr-CH"/>
        </w:rPr>
        <w:t xml:space="preserve">des manifestations </w:t>
      </w:r>
      <w:r w:rsidR="00714913">
        <w:rPr>
          <w:lang w:val="fr-FR" w:eastAsia="fr-CH"/>
        </w:rPr>
        <w:t>sur la voie publique</w:t>
      </w:r>
      <w:r w:rsidR="00714913" w:rsidRPr="002E36A6">
        <w:rPr>
          <w:lang w:val="fr-FR" w:eastAsia="fr-CH"/>
        </w:rPr>
        <w:t xml:space="preserve">, </w:t>
      </w:r>
      <w:r w:rsidR="00714913">
        <w:rPr>
          <w:lang w:val="fr-FR" w:eastAsia="fr-CH"/>
        </w:rPr>
        <w:t xml:space="preserve">en particulier </w:t>
      </w:r>
      <w:r w:rsidR="00714913" w:rsidRPr="002E36A6">
        <w:rPr>
          <w:lang w:val="fr-FR" w:eastAsia="fr-CH"/>
        </w:rPr>
        <w:t>des défenseurs des droits de l</w:t>
      </w:r>
      <w:r w:rsidR="00714913">
        <w:rPr>
          <w:lang w:val="fr-FR" w:eastAsia="fr-CH"/>
        </w:rPr>
        <w:t>’</w:t>
      </w:r>
      <w:r w:rsidR="00714913" w:rsidRPr="002E36A6">
        <w:rPr>
          <w:lang w:val="fr-FR" w:eastAsia="fr-CH"/>
        </w:rPr>
        <w:t xml:space="preserve">homme, des journalistes et des écrivains, </w:t>
      </w:r>
      <w:r w:rsidR="00714913">
        <w:rPr>
          <w:lang w:val="fr-FR" w:eastAsia="fr-CH"/>
        </w:rPr>
        <w:t>s</w:t>
      </w:r>
      <w:r w:rsidR="00714913" w:rsidRPr="002E36A6">
        <w:rPr>
          <w:lang w:val="fr-FR" w:eastAsia="fr-CH"/>
        </w:rPr>
        <w:t>ont systématiquement arrêté</w:t>
      </w:r>
      <w:r w:rsidR="00714913">
        <w:rPr>
          <w:lang w:val="fr-FR" w:eastAsia="fr-CH"/>
        </w:rPr>
        <w:t>e</w:t>
      </w:r>
      <w:r w:rsidR="00714913" w:rsidRPr="002E36A6">
        <w:rPr>
          <w:lang w:val="fr-FR" w:eastAsia="fr-CH"/>
        </w:rPr>
        <w:t xml:space="preserve">s </w:t>
      </w:r>
      <w:r w:rsidR="00714913">
        <w:rPr>
          <w:lang w:val="fr-FR" w:eastAsia="fr-CH"/>
        </w:rPr>
        <w:t xml:space="preserve">parce que présumées susciter </w:t>
      </w:r>
      <w:r w:rsidR="00714913" w:rsidRPr="002E36A6">
        <w:rPr>
          <w:lang w:val="fr-FR" w:eastAsia="fr-CH"/>
        </w:rPr>
        <w:t>de</w:t>
      </w:r>
      <w:r w:rsidR="00714913">
        <w:rPr>
          <w:lang w:val="fr-FR" w:eastAsia="fr-CH"/>
        </w:rPr>
        <w:t>s</w:t>
      </w:r>
      <w:r w:rsidR="00714913" w:rsidRPr="002E36A6">
        <w:rPr>
          <w:lang w:val="fr-FR" w:eastAsia="fr-CH"/>
        </w:rPr>
        <w:t xml:space="preserve"> désordre</w:t>
      </w:r>
      <w:r w:rsidR="00714913">
        <w:rPr>
          <w:lang w:val="fr-FR" w:eastAsia="fr-CH"/>
        </w:rPr>
        <w:t>s</w:t>
      </w:r>
      <w:r w:rsidR="00714913" w:rsidRPr="002E36A6">
        <w:rPr>
          <w:lang w:val="fr-FR" w:eastAsia="fr-CH"/>
        </w:rPr>
        <w:t xml:space="preserve"> public</w:t>
      </w:r>
      <w:r w:rsidR="00714913">
        <w:rPr>
          <w:lang w:val="fr-FR" w:eastAsia="fr-CH"/>
        </w:rPr>
        <w:t>s</w:t>
      </w:r>
      <w:r w:rsidR="00714913" w:rsidRPr="002E36A6">
        <w:rPr>
          <w:lang w:val="fr-FR" w:eastAsia="fr-CH"/>
        </w:rPr>
        <w:t xml:space="preserve">. </w:t>
      </w:r>
      <w:r w:rsidR="00714913">
        <w:rPr>
          <w:lang w:val="fr-FR" w:eastAsia="fr-CH"/>
        </w:rPr>
        <w:t>Apparemment, l</w:t>
      </w:r>
      <w:r w:rsidR="00714913" w:rsidRPr="002E36A6">
        <w:rPr>
          <w:lang w:val="fr-FR" w:eastAsia="fr-CH"/>
        </w:rPr>
        <w:t xml:space="preserve">es autorités </w:t>
      </w:r>
      <w:r w:rsidR="00714913">
        <w:rPr>
          <w:lang w:val="fr-FR" w:eastAsia="fr-CH"/>
        </w:rPr>
        <w:t xml:space="preserve">font un usage excessif de la force et se montrent </w:t>
      </w:r>
      <w:r w:rsidR="00714913" w:rsidRPr="002E36A6">
        <w:rPr>
          <w:lang w:val="fr-FR" w:eastAsia="fr-CH"/>
        </w:rPr>
        <w:t>excessive</w:t>
      </w:r>
      <w:r w:rsidR="00714913">
        <w:rPr>
          <w:lang w:val="fr-FR" w:eastAsia="fr-CH"/>
        </w:rPr>
        <w:t>ment brutales pendant ces arrestations qui semblent devenir de plus en plus fréquentes</w:t>
      </w:r>
      <w:r w:rsidR="00714913" w:rsidRPr="002E36A6">
        <w:rPr>
          <w:lang w:val="fr-FR" w:eastAsia="fr-CH"/>
        </w:rPr>
        <w:t xml:space="preserve">. </w:t>
      </w:r>
      <w:r w:rsidR="00714913">
        <w:rPr>
          <w:lang w:val="fr-FR" w:eastAsia="fr-CH"/>
        </w:rPr>
        <w:t xml:space="preserve">L’intervenante </w:t>
      </w:r>
      <w:r w:rsidR="00714913" w:rsidRPr="002E36A6">
        <w:rPr>
          <w:lang w:val="fr-FR" w:eastAsia="fr-CH"/>
        </w:rPr>
        <w:t>demand</w:t>
      </w:r>
      <w:r w:rsidR="00714913">
        <w:rPr>
          <w:lang w:val="fr-FR" w:eastAsia="fr-CH"/>
        </w:rPr>
        <w:t>e</w:t>
      </w:r>
      <w:r w:rsidR="00714913" w:rsidRPr="002E36A6">
        <w:rPr>
          <w:lang w:val="fr-FR" w:eastAsia="fr-CH"/>
        </w:rPr>
        <w:t xml:space="preserve"> quelles mesures l</w:t>
      </w:r>
      <w:r w:rsidR="00714913">
        <w:rPr>
          <w:lang w:val="fr-FR" w:eastAsia="fr-CH"/>
        </w:rPr>
        <w:t>’</w:t>
      </w:r>
      <w:r w:rsidR="00714913" w:rsidRPr="002E36A6">
        <w:rPr>
          <w:lang w:val="fr-FR" w:eastAsia="fr-CH"/>
        </w:rPr>
        <w:t>État partie en</w:t>
      </w:r>
      <w:r w:rsidR="00714913">
        <w:rPr>
          <w:lang w:val="fr-FR" w:eastAsia="fr-CH"/>
        </w:rPr>
        <w:t xml:space="preserve">tend </w:t>
      </w:r>
      <w:r w:rsidR="00714913" w:rsidRPr="002E36A6">
        <w:rPr>
          <w:lang w:val="fr-FR" w:eastAsia="fr-CH"/>
        </w:rPr>
        <w:t xml:space="preserve">prendre </w:t>
      </w:r>
      <w:r w:rsidR="00714913">
        <w:rPr>
          <w:lang w:val="fr-FR" w:eastAsia="fr-CH"/>
        </w:rPr>
        <w:t xml:space="preserve">face à cette pratique </w:t>
      </w:r>
      <w:r w:rsidR="00714913" w:rsidRPr="002E36A6">
        <w:rPr>
          <w:lang w:val="fr-FR" w:eastAsia="fr-CH"/>
        </w:rPr>
        <w:t xml:space="preserve">inacceptable. </w:t>
      </w:r>
      <w:r w:rsidR="00714913">
        <w:rPr>
          <w:lang w:val="fr-FR" w:eastAsia="fr-CH"/>
        </w:rPr>
        <w:t xml:space="preserve">Au demeurant, les </w:t>
      </w:r>
      <w:r w:rsidR="00714913" w:rsidRPr="002E36A6">
        <w:rPr>
          <w:lang w:val="fr-FR" w:eastAsia="fr-CH"/>
        </w:rPr>
        <w:t xml:space="preserve">dissidents, </w:t>
      </w:r>
      <w:r w:rsidR="00714913">
        <w:rPr>
          <w:lang w:val="fr-FR" w:eastAsia="fr-CH"/>
        </w:rPr>
        <w:t xml:space="preserve">plus spécialement les membres du mouvement Femmes </w:t>
      </w:r>
      <w:r w:rsidR="00714913" w:rsidRPr="002E36A6">
        <w:rPr>
          <w:lang w:val="fr-FR" w:eastAsia="fr-CH"/>
        </w:rPr>
        <w:t xml:space="preserve">en blanc, </w:t>
      </w:r>
      <w:r w:rsidR="00714913">
        <w:rPr>
          <w:lang w:val="fr-FR" w:eastAsia="fr-CH"/>
        </w:rPr>
        <w:t>subiraient des harcèlements, des pierres seraient lancées sur leur domicile</w:t>
      </w:r>
      <w:r w:rsidR="00714913" w:rsidRPr="002E36A6">
        <w:rPr>
          <w:lang w:val="fr-FR" w:eastAsia="fr-CH"/>
        </w:rPr>
        <w:t xml:space="preserve">, leurs enfants </w:t>
      </w:r>
      <w:r w:rsidR="00714913">
        <w:rPr>
          <w:lang w:val="fr-FR" w:eastAsia="fr-CH"/>
        </w:rPr>
        <w:t xml:space="preserve">seraient </w:t>
      </w:r>
      <w:r w:rsidR="00714913" w:rsidRPr="002E36A6">
        <w:rPr>
          <w:lang w:val="fr-FR" w:eastAsia="fr-CH"/>
        </w:rPr>
        <w:t xml:space="preserve">victimes </w:t>
      </w:r>
      <w:r w:rsidR="00714913">
        <w:rPr>
          <w:lang w:val="fr-FR" w:eastAsia="fr-CH"/>
        </w:rPr>
        <w:t xml:space="preserve">de discrimination </w:t>
      </w:r>
      <w:r w:rsidR="00714913" w:rsidRPr="002E36A6">
        <w:rPr>
          <w:lang w:val="fr-FR" w:eastAsia="fr-CH"/>
        </w:rPr>
        <w:t>à l</w:t>
      </w:r>
      <w:r w:rsidR="00714913">
        <w:rPr>
          <w:lang w:val="fr-FR" w:eastAsia="fr-CH"/>
        </w:rPr>
        <w:t>’</w:t>
      </w:r>
      <w:r w:rsidR="00714913" w:rsidRPr="002E36A6">
        <w:rPr>
          <w:lang w:val="fr-FR" w:eastAsia="fr-CH"/>
        </w:rPr>
        <w:t>école, leurs proches</w:t>
      </w:r>
      <w:r w:rsidR="00714913">
        <w:rPr>
          <w:lang w:val="fr-FR" w:eastAsia="fr-CH"/>
        </w:rPr>
        <w:t xml:space="preserve"> seraient contraints de quitter </w:t>
      </w:r>
      <w:r w:rsidR="00714913" w:rsidRPr="002E36A6">
        <w:rPr>
          <w:lang w:val="fr-FR" w:eastAsia="fr-CH"/>
        </w:rPr>
        <w:t xml:space="preserve">leur emploi, </w:t>
      </w:r>
      <w:r w:rsidR="00714913">
        <w:rPr>
          <w:lang w:val="fr-FR" w:eastAsia="fr-CH"/>
        </w:rPr>
        <w:t xml:space="preserve">et </w:t>
      </w:r>
      <w:r w:rsidR="00714913" w:rsidRPr="002E36A6">
        <w:rPr>
          <w:lang w:val="fr-FR" w:eastAsia="fr-CH"/>
        </w:rPr>
        <w:t xml:space="preserve">la surveillance des opposants au </w:t>
      </w:r>
      <w:r w:rsidR="00714913">
        <w:rPr>
          <w:lang w:val="fr-FR" w:eastAsia="fr-CH"/>
        </w:rPr>
        <w:t>G</w:t>
      </w:r>
      <w:r w:rsidR="00714913" w:rsidRPr="002E36A6">
        <w:rPr>
          <w:lang w:val="fr-FR" w:eastAsia="fr-CH"/>
        </w:rPr>
        <w:t xml:space="preserve">ouvernement </w:t>
      </w:r>
      <w:r w:rsidR="00714913">
        <w:rPr>
          <w:lang w:val="fr-FR" w:eastAsia="fr-CH"/>
        </w:rPr>
        <w:t>serait une pratique courante</w:t>
      </w:r>
      <w:r w:rsidR="00714913" w:rsidRPr="002E36A6">
        <w:rPr>
          <w:lang w:val="fr-FR" w:eastAsia="fr-CH"/>
        </w:rPr>
        <w:t xml:space="preserve">. </w:t>
      </w:r>
      <w:r w:rsidR="00714913">
        <w:rPr>
          <w:lang w:val="fr-FR" w:eastAsia="fr-CH"/>
        </w:rPr>
        <w:t xml:space="preserve">L’intervenante voudrait </w:t>
      </w:r>
      <w:r w:rsidR="00714913" w:rsidRPr="002E36A6">
        <w:rPr>
          <w:lang w:val="fr-FR" w:eastAsia="fr-CH"/>
        </w:rPr>
        <w:t xml:space="preserve">savoir comment </w:t>
      </w:r>
      <w:r w:rsidR="00714913">
        <w:rPr>
          <w:lang w:val="fr-FR" w:eastAsia="fr-CH"/>
        </w:rPr>
        <w:t xml:space="preserve">peut s’expliquer l’apparente absence de </w:t>
      </w:r>
      <w:r w:rsidR="00714913" w:rsidRPr="002E36A6">
        <w:rPr>
          <w:lang w:val="fr-FR" w:eastAsia="fr-CH"/>
        </w:rPr>
        <w:t xml:space="preserve">protection </w:t>
      </w:r>
      <w:r w:rsidR="00714913">
        <w:rPr>
          <w:lang w:val="fr-FR" w:eastAsia="fr-CH"/>
        </w:rPr>
        <w:t>de c</w:t>
      </w:r>
      <w:r w:rsidR="00714913" w:rsidRPr="002E36A6">
        <w:rPr>
          <w:lang w:val="fr-FR" w:eastAsia="fr-CH"/>
        </w:rPr>
        <w:t>es personnes</w:t>
      </w:r>
      <w:r w:rsidR="00714913">
        <w:rPr>
          <w:lang w:val="fr-FR" w:eastAsia="fr-CH"/>
        </w:rPr>
        <w:t>,</w:t>
      </w:r>
      <w:r w:rsidR="00714913" w:rsidRPr="002E36A6">
        <w:rPr>
          <w:lang w:val="fr-FR" w:eastAsia="fr-CH"/>
        </w:rPr>
        <w:t xml:space="preserve"> combien </w:t>
      </w:r>
      <w:r w:rsidR="00714913">
        <w:rPr>
          <w:lang w:val="fr-FR" w:eastAsia="fr-CH"/>
        </w:rPr>
        <w:t xml:space="preserve">il y a </w:t>
      </w:r>
      <w:r w:rsidR="00714913" w:rsidRPr="002E36A6">
        <w:rPr>
          <w:lang w:val="fr-FR" w:eastAsia="fr-CH"/>
        </w:rPr>
        <w:t xml:space="preserve">de victimes </w:t>
      </w:r>
      <w:r w:rsidR="00EA37EA">
        <w:rPr>
          <w:lang w:val="fr-FR" w:eastAsia="fr-CH"/>
        </w:rPr>
        <w:t>d’actes dits de répudiation («</w:t>
      </w:r>
      <w:r w:rsidR="00714913" w:rsidRPr="002E36A6">
        <w:rPr>
          <w:lang w:val="fr-FR" w:eastAsia="fr-CH"/>
        </w:rPr>
        <w:t>actos de repudio</w:t>
      </w:r>
      <w:r w:rsidR="00714913">
        <w:rPr>
          <w:lang w:val="fr-FR" w:eastAsia="fr-CH"/>
        </w:rPr>
        <w:t>»</w:t>
      </w:r>
      <w:r w:rsidR="00714913" w:rsidRPr="002E36A6">
        <w:rPr>
          <w:lang w:val="fr-FR" w:eastAsia="fr-CH"/>
        </w:rPr>
        <w:t xml:space="preserve">) </w:t>
      </w:r>
      <w:r w:rsidR="00714913">
        <w:rPr>
          <w:lang w:val="fr-FR" w:eastAsia="fr-CH"/>
        </w:rPr>
        <w:t xml:space="preserve">et combien d’auteurs de tels actes ont </w:t>
      </w:r>
      <w:r w:rsidR="00714913" w:rsidRPr="002E36A6">
        <w:rPr>
          <w:lang w:val="fr-FR" w:eastAsia="fr-CH"/>
        </w:rPr>
        <w:t>été arrêtés et</w:t>
      </w:r>
      <w:r w:rsidR="00714913">
        <w:rPr>
          <w:lang w:val="fr-FR" w:eastAsia="fr-CH"/>
        </w:rPr>
        <w:t xml:space="preserve">, en particulier, elle demande des renseignements à jour sur la situation juridique de </w:t>
      </w:r>
      <w:r w:rsidR="00714913" w:rsidRPr="002E36A6">
        <w:rPr>
          <w:lang w:val="fr-FR" w:eastAsia="fr-CH"/>
        </w:rPr>
        <w:t>M. Oscar Elias Biscet,</w:t>
      </w:r>
      <w:r w:rsidR="00714913">
        <w:rPr>
          <w:lang w:val="fr-FR" w:eastAsia="fr-CH"/>
        </w:rPr>
        <w:t xml:space="preserve"> de</w:t>
      </w:r>
      <w:r w:rsidR="00714913" w:rsidRPr="002E36A6">
        <w:rPr>
          <w:lang w:val="fr-FR" w:eastAsia="fr-CH"/>
        </w:rPr>
        <w:t xml:space="preserve"> M.</w:t>
      </w:r>
      <w:r w:rsidR="00714913">
        <w:rPr>
          <w:lang w:val="fr-FR" w:eastAsia="fr-CH"/>
        </w:rPr>
        <w:t> </w:t>
      </w:r>
      <w:r w:rsidR="00714913" w:rsidRPr="002E36A6">
        <w:rPr>
          <w:lang w:val="fr-FR" w:eastAsia="fr-CH"/>
        </w:rPr>
        <w:t xml:space="preserve">José Daniel Ferrer García et </w:t>
      </w:r>
      <w:r w:rsidR="00714913">
        <w:rPr>
          <w:lang w:val="fr-FR" w:eastAsia="fr-CH"/>
        </w:rPr>
        <w:t xml:space="preserve">de </w:t>
      </w:r>
      <w:r w:rsidR="00714913" w:rsidRPr="002E36A6">
        <w:rPr>
          <w:lang w:val="fr-FR" w:eastAsia="fr-CH"/>
        </w:rPr>
        <w:t xml:space="preserve">sa famille et </w:t>
      </w:r>
      <w:r w:rsidR="00714913">
        <w:rPr>
          <w:lang w:val="fr-FR" w:eastAsia="fr-CH"/>
        </w:rPr>
        <w:t xml:space="preserve">de </w:t>
      </w:r>
      <w:r w:rsidR="00714913" w:rsidRPr="002E36A6">
        <w:rPr>
          <w:lang w:val="fr-FR" w:eastAsia="fr-CH"/>
        </w:rPr>
        <w:t xml:space="preserve">M. Calixto Ramón Martínez Arias. Le Comité </w:t>
      </w:r>
      <w:r w:rsidR="00714913">
        <w:rPr>
          <w:lang w:val="fr-FR" w:eastAsia="fr-CH"/>
        </w:rPr>
        <w:t>voudrait aussi avoir des précisions sur les</w:t>
      </w:r>
      <w:r w:rsidR="00714913" w:rsidRPr="002E36A6">
        <w:rPr>
          <w:lang w:val="fr-FR" w:eastAsia="fr-CH"/>
        </w:rPr>
        <w:t xml:space="preserve"> enquête</w:t>
      </w:r>
      <w:r w:rsidR="00714913">
        <w:rPr>
          <w:lang w:val="fr-FR" w:eastAsia="fr-CH"/>
        </w:rPr>
        <w:t>s</w:t>
      </w:r>
      <w:r w:rsidR="00714913" w:rsidRPr="002E36A6">
        <w:rPr>
          <w:lang w:val="fr-FR" w:eastAsia="fr-CH"/>
        </w:rPr>
        <w:t xml:space="preserve"> </w:t>
      </w:r>
      <w:r w:rsidR="00714913">
        <w:rPr>
          <w:lang w:val="fr-FR" w:eastAsia="fr-CH"/>
        </w:rPr>
        <w:t xml:space="preserve">dont aurait pu faire l’objet </w:t>
      </w:r>
      <w:r w:rsidR="00714913" w:rsidRPr="002E36A6">
        <w:rPr>
          <w:lang w:val="fr-FR" w:eastAsia="fr-CH"/>
        </w:rPr>
        <w:t>le décès de M. Wilmar Villar Mendoza</w:t>
      </w:r>
      <w:r w:rsidR="00714913">
        <w:rPr>
          <w:lang w:val="fr-FR" w:eastAsia="fr-CH"/>
        </w:rPr>
        <w:t>, membre de l’Unión Patriótica d</w:t>
      </w:r>
      <w:r w:rsidR="00714913" w:rsidRPr="002E36A6">
        <w:rPr>
          <w:lang w:val="fr-FR" w:eastAsia="fr-CH"/>
        </w:rPr>
        <w:t>e</w:t>
      </w:r>
      <w:r w:rsidR="00714913">
        <w:rPr>
          <w:lang w:val="fr-FR" w:eastAsia="fr-CH"/>
        </w:rPr>
        <w:t xml:space="preserve"> Cuba</w:t>
      </w:r>
      <w:r w:rsidR="00714913" w:rsidRPr="002E36A6">
        <w:rPr>
          <w:lang w:val="fr-FR" w:eastAsia="fr-CH"/>
        </w:rPr>
        <w:t xml:space="preserve">, </w:t>
      </w:r>
      <w:r w:rsidR="00714913">
        <w:rPr>
          <w:lang w:val="fr-FR" w:eastAsia="fr-CH"/>
        </w:rPr>
        <w:t xml:space="preserve">qui a trouvé la mort </w:t>
      </w:r>
      <w:r w:rsidR="00714913" w:rsidRPr="002E36A6">
        <w:rPr>
          <w:lang w:val="fr-FR" w:eastAsia="fr-CH"/>
        </w:rPr>
        <w:t>le 18 janvier 2012 à l</w:t>
      </w:r>
      <w:r w:rsidR="00714913">
        <w:rPr>
          <w:lang w:val="fr-FR" w:eastAsia="fr-CH"/>
        </w:rPr>
        <w:t>’</w:t>
      </w:r>
      <w:r w:rsidR="00714913" w:rsidRPr="002E36A6">
        <w:rPr>
          <w:lang w:val="fr-FR" w:eastAsia="fr-CH"/>
        </w:rPr>
        <w:t xml:space="preserve">hôpital de Juan Bruno Zayas à Santiago de Cuba. Enfin, tout en </w:t>
      </w:r>
      <w:r w:rsidR="00714913">
        <w:rPr>
          <w:lang w:val="fr-FR" w:eastAsia="fr-CH"/>
        </w:rPr>
        <w:t xml:space="preserve">se félicitant de l’apparent </w:t>
      </w:r>
      <w:r w:rsidR="00714913" w:rsidRPr="002E36A6">
        <w:rPr>
          <w:lang w:val="fr-FR" w:eastAsia="fr-CH"/>
        </w:rPr>
        <w:t>moratoire sur la peine de mort</w:t>
      </w:r>
      <w:r w:rsidR="00714913">
        <w:rPr>
          <w:lang w:val="fr-FR" w:eastAsia="fr-CH"/>
        </w:rPr>
        <w:t xml:space="preserve"> appliqué dans </w:t>
      </w:r>
      <w:r w:rsidR="00714913" w:rsidRPr="002E36A6">
        <w:rPr>
          <w:lang w:val="fr-FR" w:eastAsia="fr-CH"/>
        </w:rPr>
        <w:t>l</w:t>
      </w:r>
      <w:r w:rsidR="00714913">
        <w:rPr>
          <w:lang w:val="fr-FR" w:eastAsia="fr-CH"/>
        </w:rPr>
        <w:t>’</w:t>
      </w:r>
      <w:r w:rsidR="00714913" w:rsidRPr="002E36A6">
        <w:rPr>
          <w:lang w:val="fr-FR" w:eastAsia="fr-CH"/>
        </w:rPr>
        <w:t xml:space="preserve">État partie, elle </w:t>
      </w:r>
      <w:r w:rsidR="00714913">
        <w:rPr>
          <w:lang w:val="fr-FR" w:eastAsia="fr-CH"/>
        </w:rPr>
        <w:t xml:space="preserve">prie instamment </w:t>
      </w:r>
      <w:r w:rsidR="00714913" w:rsidRPr="002E36A6">
        <w:rPr>
          <w:lang w:val="fr-FR" w:eastAsia="fr-CH"/>
        </w:rPr>
        <w:t xml:space="preserve">le </w:t>
      </w:r>
      <w:r w:rsidR="00714913">
        <w:rPr>
          <w:lang w:val="fr-FR" w:eastAsia="fr-CH"/>
        </w:rPr>
        <w:t>G</w:t>
      </w:r>
      <w:r w:rsidR="00714913" w:rsidRPr="002E36A6">
        <w:rPr>
          <w:lang w:val="fr-FR" w:eastAsia="fr-CH"/>
        </w:rPr>
        <w:t xml:space="preserve">ouvernement </w:t>
      </w:r>
      <w:r w:rsidR="00714913">
        <w:rPr>
          <w:lang w:val="fr-FR" w:eastAsia="fr-CH"/>
        </w:rPr>
        <w:t>d’</w:t>
      </w:r>
      <w:r w:rsidR="00714913" w:rsidRPr="002E36A6">
        <w:rPr>
          <w:lang w:val="fr-FR" w:eastAsia="fr-CH"/>
        </w:rPr>
        <w:t xml:space="preserve">amender le Code </w:t>
      </w:r>
      <w:r w:rsidR="00714913">
        <w:rPr>
          <w:lang w:val="fr-FR" w:eastAsia="fr-CH"/>
        </w:rPr>
        <w:t xml:space="preserve">pénal </w:t>
      </w:r>
      <w:r w:rsidR="00714913" w:rsidRPr="002E36A6">
        <w:rPr>
          <w:lang w:val="fr-FR" w:eastAsia="fr-CH"/>
        </w:rPr>
        <w:t>afin d</w:t>
      </w:r>
      <w:r w:rsidR="00714913">
        <w:rPr>
          <w:lang w:val="fr-FR" w:eastAsia="fr-CH"/>
        </w:rPr>
        <w:t>’</w:t>
      </w:r>
      <w:r w:rsidR="00714913" w:rsidRPr="002E36A6">
        <w:rPr>
          <w:lang w:val="fr-FR" w:eastAsia="fr-CH"/>
        </w:rPr>
        <w:t>abolir l</w:t>
      </w:r>
      <w:r w:rsidR="00714913">
        <w:rPr>
          <w:lang w:val="fr-FR" w:eastAsia="fr-CH"/>
        </w:rPr>
        <w:t>a peine de mort</w:t>
      </w:r>
      <w:r w:rsidR="00714913" w:rsidRPr="002E36A6">
        <w:rPr>
          <w:lang w:val="fr-FR" w:eastAsia="fr-CH"/>
        </w:rPr>
        <w:t>.</w:t>
      </w:r>
    </w:p>
    <w:p w:rsidR="00714913" w:rsidRPr="002E36A6" w:rsidRDefault="00754D3E" w:rsidP="00362B06">
      <w:pPr>
        <w:pStyle w:val="SingleTxtG"/>
        <w:rPr>
          <w:lang w:val="fr-CH" w:eastAsia="fr-CH"/>
        </w:rPr>
      </w:pPr>
      <w:r>
        <w:rPr>
          <w:lang w:val="fr-CH" w:eastAsia="fr-CH"/>
        </w:rPr>
        <w:t>29.</w:t>
      </w:r>
      <w:r>
        <w:rPr>
          <w:lang w:val="fr-CH" w:eastAsia="fr-CH"/>
        </w:rPr>
        <w:tab/>
      </w:r>
      <w:r w:rsidR="00714913" w:rsidRPr="002E36A6">
        <w:rPr>
          <w:b/>
          <w:bCs/>
          <w:lang w:val="fr-CH" w:eastAsia="fr-CH"/>
        </w:rPr>
        <w:t>M. Bruni</w:t>
      </w:r>
      <w:r w:rsidR="00714913" w:rsidRPr="002E36A6">
        <w:rPr>
          <w:b/>
          <w:bCs/>
          <w:lang w:val="fr-FR" w:eastAsia="fr-CH"/>
        </w:rPr>
        <w:t xml:space="preserve"> </w:t>
      </w:r>
      <w:r w:rsidR="00714913" w:rsidRPr="002E36A6">
        <w:rPr>
          <w:lang w:val="fr-FR" w:eastAsia="fr-CH"/>
        </w:rPr>
        <w:t>demand</w:t>
      </w:r>
      <w:r w:rsidR="00714913">
        <w:rPr>
          <w:lang w:val="fr-FR" w:eastAsia="fr-CH"/>
        </w:rPr>
        <w:t>e</w:t>
      </w:r>
      <w:r w:rsidR="00714913" w:rsidRPr="002E36A6">
        <w:rPr>
          <w:lang w:val="fr-FR" w:eastAsia="fr-CH"/>
        </w:rPr>
        <w:t xml:space="preserve"> des </w:t>
      </w:r>
      <w:r w:rsidR="00714913">
        <w:rPr>
          <w:lang w:val="fr-FR" w:eastAsia="fr-CH"/>
        </w:rPr>
        <w:t xml:space="preserve">précisions complémentaires </w:t>
      </w:r>
      <w:r w:rsidR="00714913" w:rsidRPr="002E36A6">
        <w:rPr>
          <w:lang w:val="fr-FR" w:eastAsia="fr-CH"/>
        </w:rPr>
        <w:t>sur la définition juridique d</w:t>
      </w:r>
      <w:r w:rsidR="00714913">
        <w:rPr>
          <w:lang w:val="fr-FR" w:eastAsia="fr-CH"/>
        </w:rPr>
        <w:t>’</w:t>
      </w:r>
      <w:r w:rsidR="00714913" w:rsidRPr="002E36A6">
        <w:rPr>
          <w:lang w:val="fr-FR" w:eastAsia="fr-CH"/>
        </w:rPr>
        <w:t>une infraction contre la s</w:t>
      </w:r>
      <w:r w:rsidR="00714913">
        <w:rPr>
          <w:lang w:val="fr-FR" w:eastAsia="fr-CH"/>
        </w:rPr>
        <w:t xml:space="preserve">écurité </w:t>
      </w:r>
      <w:r w:rsidR="00714913" w:rsidRPr="002E36A6">
        <w:rPr>
          <w:lang w:val="fr-FR" w:eastAsia="fr-CH"/>
        </w:rPr>
        <w:t>de l</w:t>
      </w:r>
      <w:r w:rsidR="00714913">
        <w:rPr>
          <w:lang w:val="fr-FR" w:eastAsia="fr-CH"/>
        </w:rPr>
        <w:t>’É</w:t>
      </w:r>
      <w:r w:rsidR="00714913" w:rsidRPr="002E36A6">
        <w:rPr>
          <w:lang w:val="fr-FR" w:eastAsia="fr-CH"/>
        </w:rPr>
        <w:t>tat. Il serait utile d</w:t>
      </w:r>
      <w:r w:rsidR="00714913">
        <w:rPr>
          <w:lang w:val="fr-FR" w:eastAsia="fr-CH"/>
        </w:rPr>
        <w:t>’avoir des renseignements</w:t>
      </w:r>
      <w:r w:rsidR="00714913" w:rsidRPr="002E36A6">
        <w:rPr>
          <w:lang w:val="fr-FR" w:eastAsia="fr-CH"/>
        </w:rPr>
        <w:t xml:space="preserve"> sur les affaires dans le</w:t>
      </w:r>
      <w:r w:rsidR="00714913">
        <w:rPr>
          <w:lang w:val="fr-FR" w:eastAsia="fr-CH"/>
        </w:rPr>
        <w:t>s</w:t>
      </w:r>
      <w:r w:rsidR="00714913" w:rsidRPr="002E36A6">
        <w:rPr>
          <w:lang w:val="fr-FR" w:eastAsia="fr-CH"/>
        </w:rPr>
        <w:t>quel</w:t>
      </w:r>
      <w:r w:rsidR="00714913">
        <w:rPr>
          <w:lang w:val="fr-FR" w:eastAsia="fr-CH"/>
        </w:rPr>
        <w:t xml:space="preserve">les des personnes </w:t>
      </w:r>
      <w:r w:rsidR="00714913" w:rsidRPr="002E36A6">
        <w:rPr>
          <w:lang w:val="fr-FR" w:eastAsia="fr-CH"/>
        </w:rPr>
        <w:t>ont été poursuivi</w:t>
      </w:r>
      <w:r w:rsidR="00714913">
        <w:rPr>
          <w:lang w:val="fr-FR" w:eastAsia="fr-CH"/>
        </w:rPr>
        <w:t>e</w:t>
      </w:r>
      <w:r w:rsidR="00714913" w:rsidRPr="002E36A6">
        <w:rPr>
          <w:lang w:val="fr-FR" w:eastAsia="fr-CH"/>
        </w:rPr>
        <w:t xml:space="preserve">s pour de telles infractions, y compris </w:t>
      </w:r>
      <w:r w:rsidR="00714913">
        <w:rPr>
          <w:lang w:val="fr-FR" w:eastAsia="fr-CH"/>
        </w:rPr>
        <w:t xml:space="preserve">sur </w:t>
      </w:r>
      <w:r w:rsidR="00714913" w:rsidRPr="002E36A6">
        <w:rPr>
          <w:lang w:val="fr-FR" w:eastAsia="fr-CH"/>
        </w:rPr>
        <w:t xml:space="preserve">les </w:t>
      </w:r>
      <w:r w:rsidR="00714913">
        <w:rPr>
          <w:lang w:val="fr-FR" w:eastAsia="fr-CH"/>
        </w:rPr>
        <w:t>chefs d’</w:t>
      </w:r>
      <w:r w:rsidR="00714913" w:rsidRPr="002E36A6">
        <w:rPr>
          <w:lang w:val="fr-FR" w:eastAsia="fr-CH"/>
        </w:rPr>
        <w:t>accusation</w:t>
      </w:r>
      <w:r w:rsidR="00714913">
        <w:rPr>
          <w:lang w:val="fr-FR" w:eastAsia="fr-CH"/>
        </w:rPr>
        <w:t xml:space="preserve"> retenu</w:t>
      </w:r>
      <w:r w:rsidR="00714913" w:rsidRPr="002E36A6">
        <w:rPr>
          <w:lang w:val="fr-FR" w:eastAsia="fr-CH"/>
        </w:rPr>
        <w:t>s</w:t>
      </w:r>
      <w:r w:rsidR="00714913">
        <w:rPr>
          <w:lang w:val="fr-FR" w:eastAsia="fr-CH"/>
        </w:rPr>
        <w:t xml:space="preserve"> contre elles et sur les peines qui leur ont été</w:t>
      </w:r>
      <w:r w:rsidR="00714913" w:rsidRPr="002E36A6">
        <w:rPr>
          <w:lang w:val="fr-FR" w:eastAsia="fr-CH"/>
        </w:rPr>
        <w:t xml:space="preserve"> imposées. Étant donné que l</w:t>
      </w:r>
      <w:r w:rsidR="00714913">
        <w:rPr>
          <w:lang w:val="fr-FR" w:eastAsia="fr-CH"/>
        </w:rPr>
        <w:t>’</w:t>
      </w:r>
      <w:r w:rsidR="00714913" w:rsidRPr="002E36A6">
        <w:rPr>
          <w:lang w:val="fr-FR" w:eastAsia="fr-CH"/>
        </w:rPr>
        <w:t>État partie n</w:t>
      </w:r>
      <w:r w:rsidR="00714913">
        <w:rPr>
          <w:lang w:val="fr-FR" w:eastAsia="fr-CH"/>
        </w:rPr>
        <w:t>’</w:t>
      </w:r>
      <w:r w:rsidR="00714913" w:rsidRPr="002E36A6">
        <w:rPr>
          <w:lang w:val="fr-FR" w:eastAsia="fr-CH"/>
        </w:rPr>
        <w:t>a</w:t>
      </w:r>
      <w:r w:rsidR="00714913">
        <w:rPr>
          <w:lang w:val="fr-FR" w:eastAsia="fr-CH"/>
        </w:rPr>
        <w:t xml:space="preserve"> </w:t>
      </w:r>
      <w:r w:rsidR="00714913" w:rsidRPr="002E36A6">
        <w:rPr>
          <w:lang w:val="fr-FR" w:eastAsia="fr-CH"/>
        </w:rPr>
        <w:t xml:space="preserve">pas signé </w:t>
      </w:r>
      <w:r w:rsidR="00714913">
        <w:rPr>
          <w:lang w:val="fr-FR" w:eastAsia="fr-CH"/>
        </w:rPr>
        <w:t>de</w:t>
      </w:r>
      <w:r w:rsidR="00714913" w:rsidRPr="002E36A6">
        <w:rPr>
          <w:lang w:val="fr-FR" w:eastAsia="fr-CH"/>
        </w:rPr>
        <w:t xml:space="preserve"> traités d</w:t>
      </w:r>
      <w:r w:rsidR="00714913">
        <w:rPr>
          <w:lang w:val="fr-FR" w:eastAsia="fr-CH"/>
        </w:rPr>
        <w:t>’</w:t>
      </w:r>
      <w:r w:rsidR="00714913" w:rsidRPr="002E36A6">
        <w:rPr>
          <w:lang w:val="fr-FR" w:eastAsia="fr-CH"/>
        </w:rPr>
        <w:t xml:space="preserve">extradition concernant la torture, </w:t>
      </w:r>
      <w:r w:rsidR="00714913">
        <w:rPr>
          <w:lang w:val="fr-FR" w:eastAsia="fr-CH"/>
        </w:rPr>
        <w:t xml:space="preserve">l’intervenant demande </w:t>
      </w:r>
      <w:r w:rsidR="00714913" w:rsidRPr="002E36A6">
        <w:rPr>
          <w:lang w:val="fr-FR" w:eastAsia="fr-CH"/>
        </w:rPr>
        <w:t xml:space="preserve">si la Convention </w:t>
      </w:r>
      <w:r w:rsidR="00714913">
        <w:rPr>
          <w:lang w:val="fr-FR" w:eastAsia="fr-CH"/>
        </w:rPr>
        <w:t xml:space="preserve">est </w:t>
      </w:r>
      <w:r w:rsidR="00714913" w:rsidRPr="002E36A6">
        <w:rPr>
          <w:lang w:val="fr-FR" w:eastAsia="fr-CH"/>
        </w:rPr>
        <w:t xml:space="preserve">considérée comme </w:t>
      </w:r>
      <w:r w:rsidR="00714913">
        <w:rPr>
          <w:lang w:val="fr-FR" w:eastAsia="fr-CH"/>
        </w:rPr>
        <w:t>constituant la base</w:t>
      </w:r>
      <w:r w:rsidR="00714913" w:rsidRPr="002E36A6">
        <w:rPr>
          <w:lang w:val="fr-FR" w:eastAsia="fr-CH"/>
        </w:rPr>
        <w:t xml:space="preserve"> juridique de l</w:t>
      </w:r>
      <w:r w:rsidR="00714913">
        <w:rPr>
          <w:lang w:val="fr-FR" w:eastAsia="fr-CH"/>
        </w:rPr>
        <w:t>’</w:t>
      </w:r>
      <w:r w:rsidR="00714913" w:rsidRPr="002E36A6">
        <w:rPr>
          <w:lang w:val="fr-FR" w:eastAsia="fr-CH"/>
        </w:rPr>
        <w:t xml:space="preserve">extradition </w:t>
      </w:r>
      <w:r w:rsidR="00714913">
        <w:rPr>
          <w:lang w:val="fr-FR" w:eastAsia="fr-CH"/>
        </w:rPr>
        <w:t>en ce qui concerne le crime</w:t>
      </w:r>
      <w:r w:rsidR="00714913" w:rsidRPr="002E36A6">
        <w:rPr>
          <w:lang w:val="fr-FR" w:eastAsia="fr-CH"/>
        </w:rPr>
        <w:t xml:space="preserve"> de torture, comme </w:t>
      </w:r>
      <w:r w:rsidR="00714913">
        <w:rPr>
          <w:lang w:val="fr-FR" w:eastAsia="fr-CH"/>
        </w:rPr>
        <w:t xml:space="preserve">il est </w:t>
      </w:r>
      <w:r w:rsidR="00714913" w:rsidRPr="002E36A6">
        <w:rPr>
          <w:lang w:val="fr-FR" w:eastAsia="fr-CH"/>
        </w:rPr>
        <w:t>recommandé à l</w:t>
      </w:r>
      <w:r w:rsidR="00714913">
        <w:rPr>
          <w:lang w:val="fr-FR" w:eastAsia="fr-CH"/>
        </w:rPr>
        <w:t>’</w:t>
      </w:r>
      <w:r w:rsidR="00714913" w:rsidRPr="002E36A6">
        <w:rPr>
          <w:lang w:val="fr-FR" w:eastAsia="fr-CH"/>
        </w:rPr>
        <w:t>article 8, paragraphe 2, de la Convention.</w:t>
      </w:r>
    </w:p>
    <w:p w:rsidR="00714913" w:rsidRPr="0050369B" w:rsidRDefault="00754D3E" w:rsidP="00362B06">
      <w:pPr>
        <w:pStyle w:val="SingleTxtG"/>
        <w:rPr>
          <w:lang w:val="fr-CH" w:eastAsia="fr-CH"/>
        </w:rPr>
      </w:pPr>
      <w:r>
        <w:rPr>
          <w:lang w:val="fr-FR" w:eastAsia="fr-CH"/>
        </w:rPr>
        <w:t>30.</w:t>
      </w:r>
      <w:r>
        <w:rPr>
          <w:lang w:val="fr-FR" w:eastAsia="fr-CH"/>
        </w:rPr>
        <w:tab/>
      </w:r>
      <w:r w:rsidR="00714913">
        <w:rPr>
          <w:lang w:val="fr-FR" w:eastAsia="fr-CH"/>
        </w:rPr>
        <w:t>L’intervenant voudrait savoir si</w:t>
      </w:r>
      <w:r w:rsidR="00714913" w:rsidRPr="002E36A6">
        <w:rPr>
          <w:lang w:val="fr-FR" w:eastAsia="fr-CH"/>
        </w:rPr>
        <w:t xml:space="preserve"> le </w:t>
      </w:r>
      <w:r w:rsidR="00714913">
        <w:rPr>
          <w:lang w:val="fr-FR" w:eastAsia="fr-CH"/>
        </w:rPr>
        <w:t>G</w:t>
      </w:r>
      <w:r w:rsidR="00714913" w:rsidRPr="002E36A6">
        <w:rPr>
          <w:lang w:val="fr-FR" w:eastAsia="fr-CH"/>
        </w:rPr>
        <w:t xml:space="preserve">ouvernement </w:t>
      </w:r>
      <w:r w:rsidR="00714913">
        <w:rPr>
          <w:lang w:val="fr-FR" w:eastAsia="fr-CH"/>
        </w:rPr>
        <w:t xml:space="preserve">a </w:t>
      </w:r>
      <w:r w:rsidR="00714913" w:rsidRPr="002E36A6">
        <w:rPr>
          <w:lang w:val="fr-FR" w:eastAsia="fr-CH"/>
        </w:rPr>
        <w:t xml:space="preserve">une liste officielle des lieux de détention </w:t>
      </w:r>
      <w:r w:rsidR="00714913">
        <w:rPr>
          <w:lang w:val="fr-FR" w:eastAsia="fr-CH"/>
        </w:rPr>
        <w:t>dans lesquels d</w:t>
      </w:r>
      <w:r w:rsidR="00714913" w:rsidRPr="002E36A6">
        <w:rPr>
          <w:lang w:val="fr-FR" w:eastAsia="fr-CH"/>
        </w:rPr>
        <w:t>es personnes p</w:t>
      </w:r>
      <w:r w:rsidR="00714913">
        <w:rPr>
          <w:lang w:val="fr-FR" w:eastAsia="fr-CH"/>
        </w:rPr>
        <w:t xml:space="preserve">euvent </w:t>
      </w:r>
      <w:r w:rsidR="00714913" w:rsidRPr="002E36A6">
        <w:rPr>
          <w:lang w:val="fr-FR" w:eastAsia="fr-CH"/>
        </w:rPr>
        <w:t>être privées de leur liberté. Dans l</w:t>
      </w:r>
      <w:r w:rsidR="00714913">
        <w:rPr>
          <w:lang w:val="fr-FR" w:eastAsia="fr-CH"/>
        </w:rPr>
        <w:t>’</w:t>
      </w:r>
      <w:r w:rsidR="00714913" w:rsidRPr="002E36A6">
        <w:rPr>
          <w:lang w:val="fr-FR" w:eastAsia="fr-CH"/>
        </w:rPr>
        <w:t xml:space="preserve">affirmative, il serait utile de savoir si la détention en dehors de ces lieux constitue automatiquement une violation de la </w:t>
      </w:r>
      <w:r w:rsidR="00714913">
        <w:rPr>
          <w:lang w:val="fr-FR" w:eastAsia="fr-CH"/>
        </w:rPr>
        <w:t>l</w:t>
      </w:r>
      <w:r w:rsidR="00714913" w:rsidRPr="002E36A6">
        <w:rPr>
          <w:lang w:val="fr-FR" w:eastAsia="fr-CH"/>
        </w:rPr>
        <w:t xml:space="preserve">oi et si </w:t>
      </w:r>
      <w:r w:rsidR="00714913">
        <w:rPr>
          <w:lang w:val="fr-FR" w:eastAsia="fr-CH"/>
        </w:rPr>
        <w:t xml:space="preserve">les </w:t>
      </w:r>
      <w:r w:rsidR="00714913" w:rsidRPr="002E36A6">
        <w:rPr>
          <w:lang w:val="fr-FR" w:eastAsia="fr-CH"/>
        </w:rPr>
        <w:t>responsables de ce</w:t>
      </w:r>
      <w:r w:rsidR="00714913">
        <w:rPr>
          <w:lang w:val="fr-FR" w:eastAsia="fr-CH"/>
        </w:rPr>
        <w:t>tte détention</w:t>
      </w:r>
      <w:r w:rsidR="00714913" w:rsidRPr="002E36A6">
        <w:rPr>
          <w:lang w:val="fr-FR" w:eastAsia="fr-CH"/>
        </w:rPr>
        <w:t xml:space="preserve"> ill</w:t>
      </w:r>
      <w:r w:rsidR="00714913">
        <w:rPr>
          <w:lang w:val="fr-FR" w:eastAsia="fr-CH"/>
        </w:rPr>
        <w:t>icite sont</w:t>
      </w:r>
      <w:r w:rsidR="00714913" w:rsidRPr="002E36A6">
        <w:rPr>
          <w:lang w:val="fr-FR" w:eastAsia="fr-CH"/>
        </w:rPr>
        <w:t xml:space="preserve"> automatiquement</w:t>
      </w:r>
      <w:r w:rsidR="00714913" w:rsidRPr="0050369B">
        <w:rPr>
          <w:lang w:val="fr-FR" w:eastAsia="fr-CH"/>
        </w:rPr>
        <w:t xml:space="preserve"> </w:t>
      </w:r>
      <w:r w:rsidR="00714913" w:rsidRPr="002E36A6">
        <w:rPr>
          <w:lang w:val="fr-FR" w:eastAsia="fr-CH"/>
        </w:rPr>
        <w:t xml:space="preserve">poursuivis. </w:t>
      </w:r>
      <w:r w:rsidR="00714913">
        <w:rPr>
          <w:lang w:val="fr-FR" w:eastAsia="fr-CH"/>
        </w:rPr>
        <w:t xml:space="preserve">L’intervenant </w:t>
      </w:r>
      <w:r w:rsidR="00714913" w:rsidRPr="002E36A6">
        <w:rPr>
          <w:lang w:val="fr-FR" w:eastAsia="fr-CH"/>
        </w:rPr>
        <w:t>demand</w:t>
      </w:r>
      <w:r w:rsidR="00714913">
        <w:rPr>
          <w:lang w:val="fr-FR" w:eastAsia="fr-CH"/>
        </w:rPr>
        <w:t>e</w:t>
      </w:r>
      <w:r w:rsidR="00714913" w:rsidRPr="002E36A6">
        <w:rPr>
          <w:lang w:val="fr-FR" w:eastAsia="fr-CH"/>
        </w:rPr>
        <w:t xml:space="preserve"> des </w:t>
      </w:r>
      <w:r w:rsidR="00714913">
        <w:rPr>
          <w:lang w:val="fr-FR" w:eastAsia="fr-CH"/>
        </w:rPr>
        <w:t xml:space="preserve">chiffres </w:t>
      </w:r>
      <w:r w:rsidR="00714913" w:rsidRPr="002E36A6">
        <w:rPr>
          <w:lang w:val="fr-FR" w:eastAsia="fr-CH"/>
        </w:rPr>
        <w:t xml:space="preserve">sur le taux </w:t>
      </w:r>
      <w:r w:rsidR="00714913">
        <w:rPr>
          <w:lang w:val="fr-FR" w:eastAsia="fr-CH"/>
        </w:rPr>
        <w:t xml:space="preserve">actuel </w:t>
      </w:r>
      <w:r w:rsidR="00714913" w:rsidRPr="002E36A6">
        <w:rPr>
          <w:lang w:val="fr-FR" w:eastAsia="fr-CH"/>
        </w:rPr>
        <w:t>d</w:t>
      </w:r>
      <w:r w:rsidR="00714913">
        <w:rPr>
          <w:lang w:val="fr-FR" w:eastAsia="fr-CH"/>
        </w:rPr>
        <w:t>’</w:t>
      </w:r>
      <w:r w:rsidR="00714913" w:rsidRPr="002E36A6">
        <w:rPr>
          <w:lang w:val="fr-FR" w:eastAsia="fr-CH"/>
        </w:rPr>
        <w:t xml:space="preserve">occupation </w:t>
      </w:r>
      <w:r w:rsidR="00714913">
        <w:rPr>
          <w:lang w:val="fr-FR" w:eastAsia="fr-CH"/>
        </w:rPr>
        <w:t xml:space="preserve">dans le </w:t>
      </w:r>
      <w:r w:rsidR="00714913" w:rsidRPr="002E36A6">
        <w:rPr>
          <w:lang w:val="fr-FR" w:eastAsia="fr-CH"/>
        </w:rPr>
        <w:t xml:space="preserve">système pénitentiaire, </w:t>
      </w:r>
      <w:r w:rsidR="00714913">
        <w:rPr>
          <w:lang w:val="fr-FR" w:eastAsia="fr-CH"/>
        </w:rPr>
        <w:t xml:space="preserve">chiffres qui montreraient </w:t>
      </w:r>
      <w:r w:rsidR="00714913" w:rsidRPr="002E36A6">
        <w:rPr>
          <w:lang w:val="fr-FR" w:eastAsia="fr-CH"/>
        </w:rPr>
        <w:t>si l</w:t>
      </w:r>
      <w:r w:rsidR="00714913">
        <w:rPr>
          <w:lang w:val="fr-FR" w:eastAsia="fr-CH"/>
        </w:rPr>
        <w:t>e</w:t>
      </w:r>
      <w:r w:rsidR="00714913" w:rsidRPr="002E36A6">
        <w:rPr>
          <w:lang w:val="fr-FR" w:eastAsia="fr-CH"/>
        </w:rPr>
        <w:t xml:space="preserve"> surp</w:t>
      </w:r>
      <w:r w:rsidR="00714913">
        <w:rPr>
          <w:lang w:val="fr-FR" w:eastAsia="fr-CH"/>
        </w:rPr>
        <w:t>euplement carcéral</w:t>
      </w:r>
      <w:r w:rsidR="00714913" w:rsidRPr="002E36A6">
        <w:rPr>
          <w:lang w:val="fr-FR" w:eastAsia="fr-CH"/>
        </w:rPr>
        <w:t xml:space="preserve"> </w:t>
      </w:r>
      <w:r w:rsidR="00714913">
        <w:rPr>
          <w:lang w:val="fr-FR" w:eastAsia="fr-CH"/>
        </w:rPr>
        <w:t xml:space="preserve">est </w:t>
      </w:r>
      <w:r w:rsidR="00714913" w:rsidRPr="002E36A6">
        <w:rPr>
          <w:lang w:val="fr-FR" w:eastAsia="fr-CH"/>
        </w:rPr>
        <w:t>un problème dans l</w:t>
      </w:r>
      <w:r w:rsidR="00714913">
        <w:rPr>
          <w:lang w:val="fr-FR" w:eastAsia="fr-CH"/>
        </w:rPr>
        <w:t>’</w:t>
      </w:r>
      <w:r w:rsidR="00714913" w:rsidRPr="002E36A6">
        <w:rPr>
          <w:lang w:val="fr-FR" w:eastAsia="fr-CH"/>
        </w:rPr>
        <w:t xml:space="preserve">État partie. </w:t>
      </w:r>
      <w:r w:rsidR="00714913">
        <w:rPr>
          <w:lang w:val="fr-FR" w:eastAsia="fr-CH"/>
        </w:rPr>
        <w:t xml:space="preserve">Si </w:t>
      </w:r>
      <w:r w:rsidR="00714913" w:rsidRPr="002E36A6">
        <w:rPr>
          <w:lang w:val="fr-FR" w:eastAsia="fr-CH"/>
        </w:rPr>
        <w:t xml:space="preserve">les prisons </w:t>
      </w:r>
      <w:r w:rsidR="00714913">
        <w:rPr>
          <w:lang w:val="fr-FR" w:eastAsia="fr-CH"/>
        </w:rPr>
        <w:t xml:space="preserve">sont </w:t>
      </w:r>
      <w:r w:rsidR="00714913" w:rsidRPr="002E36A6">
        <w:rPr>
          <w:lang w:val="fr-FR" w:eastAsia="fr-CH"/>
        </w:rPr>
        <w:t xml:space="preserve">surpeuplées, </w:t>
      </w:r>
      <w:r w:rsidR="00714913">
        <w:rPr>
          <w:lang w:val="fr-FR" w:eastAsia="fr-CH"/>
        </w:rPr>
        <w:t xml:space="preserve">l’intervenant voudrait </w:t>
      </w:r>
      <w:r w:rsidR="00714913" w:rsidRPr="002E36A6">
        <w:rPr>
          <w:lang w:val="fr-FR" w:eastAsia="fr-CH"/>
        </w:rPr>
        <w:t xml:space="preserve">savoir comment les autorités </w:t>
      </w:r>
      <w:r w:rsidR="00714913">
        <w:rPr>
          <w:lang w:val="fr-FR" w:eastAsia="fr-CH"/>
        </w:rPr>
        <w:t>envisagent de traiter ce problème</w:t>
      </w:r>
      <w:r w:rsidR="00714913" w:rsidRPr="002E36A6">
        <w:rPr>
          <w:lang w:val="fr-FR" w:eastAsia="fr-CH"/>
        </w:rPr>
        <w:t>. Il demand</w:t>
      </w:r>
      <w:r w:rsidR="00714913">
        <w:rPr>
          <w:lang w:val="fr-FR" w:eastAsia="fr-CH"/>
        </w:rPr>
        <w:t>e</w:t>
      </w:r>
      <w:r w:rsidR="00714913" w:rsidRPr="002E36A6">
        <w:rPr>
          <w:lang w:val="fr-FR" w:eastAsia="fr-CH"/>
        </w:rPr>
        <w:t xml:space="preserve"> si les rapports </w:t>
      </w:r>
      <w:r w:rsidR="00714913">
        <w:rPr>
          <w:lang w:val="fr-FR" w:eastAsia="fr-CH"/>
        </w:rPr>
        <w:t xml:space="preserve">rendant compte </w:t>
      </w:r>
      <w:r w:rsidR="00714913" w:rsidRPr="002E36A6">
        <w:rPr>
          <w:lang w:val="fr-FR" w:eastAsia="fr-CH"/>
        </w:rPr>
        <w:t xml:space="preserve">des visites du Procureur général dans les lieux de détention </w:t>
      </w:r>
      <w:r w:rsidR="00714913">
        <w:rPr>
          <w:lang w:val="fr-FR" w:eastAsia="fr-CH"/>
        </w:rPr>
        <w:t>s</w:t>
      </w:r>
      <w:r w:rsidR="00714913" w:rsidRPr="002E36A6">
        <w:rPr>
          <w:lang w:val="fr-FR" w:eastAsia="fr-CH"/>
        </w:rPr>
        <w:t xml:space="preserve">ont publiés. Il serait </w:t>
      </w:r>
      <w:r w:rsidR="00714913">
        <w:rPr>
          <w:lang w:val="fr-FR" w:eastAsia="fr-CH"/>
        </w:rPr>
        <w:t>intéressant d’avoir d</w:t>
      </w:r>
      <w:r w:rsidR="00714913" w:rsidRPr="002E36A6">
        <w:rPr>
          <w:lang w:val="fr-FR" w:eastAsia="fr-CH"/>
        </w:rPr>
        <w:t xml:space="preserve">es détails </w:t>
      </w:r>
      <w:r w:rsidR="00714913">
        <w:rPr>
          <w:lang w:val="fr-FR" w:eastAsia="fr-CH"/>
        </w:rPr>
        <w:t xml:space="preserve">sur les constatations faites </w:t>
      </w:r>
      <w:r w:rsidR="00714913" w:rsidRPr="002E36A6">
        <w:rPr>
          <w:lang w:val="fr-FR" w:eastAsia="fr-CH"/>
        </w:rPr>
        <w:t xml:space="preserve">et </w:t>
      </w:r>
      <w:r w:rsidR="00714913">
        <w:rPr>
          <w:lang w:val="fr-FR" w:eastAsia="fr-CH"/>
        </w:rPr>
        <w:t>l</w:t>
      </w:r>
      <w:r w:rsidR="00714913" w:rsidRPr="002E36A6">
        <w:rPr>
          <w:lang w:val="fr-FR" w:eastAsia="fr-CH"/>
        </w:rPr>
        <w:t xml:space="preserve">es recommandations formulées dans ces rapports. </w:t>
      </w:r>
      <w:r w:rsidR="00714913">
        <w:rPr>
          <w:lang w:val="fr-FR" w:eastAsia="fr-CH"/>
        </w:rPr>
        <w:t>L’intervenant serait heureux d’avoir une description des</w:t>
      </w:r>
      <w:r w:rsidR="00714913" w:rsidRPr="002E36A6">
        <w:rPr>
          <w:lang w:val="fr-FR" w:eastAsia="fr-CH"/>
        </w:rPr>
        <w:t xml:space="preserve"> conditions de détention </w:t>
      </w:r>
      <w:r w:rsidR="00714913">
        <w:rPr>
          <w:lang w:val="fr-FR" w:eastAsia="fr-CH"/>
        </w:rPr>
        <w:t>dans l</w:t>
      </w:r>
      <w:r w:rsidR="00714913" w:rsidRPr="002E36A6">
        <w:rPr>
          <w:lang w:val="fr-FR" w:eastAsia="fr-CH"/>
        </w:rPr>
        <w:t xml:space="preserve">es cellules </w:t>
      </w:r>
      <w:r w:rsidR="00714913">
        <w:rPr>
          <w:lang w:val="fr-FR" w:eastAsia="fr-CH"/>
        </w:rPr>
        <w:t>d</w:t>
      </w:r>
      <w:r w:rsidR="00714913" w:rsidRPr="002E36A6">
        <w:rPr>
          <w:lang w:val="fr-FR" w:eastAsia="fr-CH"/>
        </w:rPr>
        <w:t>es commissariats de police d</w:t>
      </w:r>
      <w:r w:rsidR="00714913">
        <w:rPr>
          <w:lang w:val="fr-FR" w:eastAsia="fr-CH"/>
        </w:rPr>
        <w:t>e</w:t>
      </w:r>
      <w:r w:rsidR="00714913" w:rsidRPr="002E36A6">
        <w:rPr>
          <w:lang w:val="fr-FR" w:eastAsia="fr-CH"/>
        </w:rPr>
        <w:t xml:space="preserve"> l</w:t>
      </w:r>
      <w:r w:rsidR="00714913">
        <w:rPr>
          <w:lang w:val="fr-FR" w:eastAsia="fr-CH"/>
        </w:rPr>
        <w:t>’</w:t>
      </w:r>
      <w:r w:rsidR="00714913" w:rsidRPr="002E36A6">
        <w:rPr>
          <w:lang w:val="fr-FR" w:eastAsia="fr-CH"/>
        </w:rPr>
        <w:t>État partie.</w:t>
      </w:r>
    </w:p>
    <w:p w:rsidR="00714913" w:rsidRPr="0050369B" w:rsidRDefault="00754D3E" w:rsidP="00362B06">
      <w:pPr>
        <w:pStyle w:val="SingleTxtG"/>
        <w:rPr>
          <w:lang w:val="fr-CH" w:eastAsia="fr-CH"/>
        </w:rPr>
      </w:pPr>
      <w:r>
        <w:rPr>
          <w:lang w:val="fr-CH" w:eastAsia="fr-CH"/>
        </w:rPr>
        <w:t>31.</w:t>
      </w:r>
      <w:r>
        <w:rPr>
          <w:lang w:val="fr-CH" w:eastAsia="fr-CH"/>
        </w:rPr>
        <w:tab/>
      </w:r>
      <w:r w:rsidR="00714913" w:rsidRPr="0050369B">
        <w:rPr>
          <w:b/>
          <w:bCs/>
          <w:lang w:val="fr-CH" w:eastAsia="fr-CH"/>
        </w:rPr>
        <w:t>M</w:t>
      </w:r>
      <w:r w:rsidR="00714913" w:rsidRPr="0050369B">
        <w:rPr>
          <w:b/>
          <w:bCs/>
          <w:vertAlign w:val="superscript"/>
          <w:lang w:val="fr-CH" w:eastAsia="fr-CH"/>
        </w:rPr>
        <w:t>me</w:t>
      </w:r>
      <w:r w:rsidR="00714913" w:rsidRPr="0050369B">
        <w:rPr>
          <w:b/>
          <w:bCs/>
          <w:lang w:val="fr-CH" w:eastAsia="fr-CH"/>
        </w:rPr>
        <w:t xml:space="preserve"> Belmir</w:t>
      </w:r>
      <w:r w:rsidR="00714913" w:rsidRPr="0050369B">
        <w:rPr>
          <w:b/>
          <w:bCs/>
          <w:lang w:val="fr-FR" w:eastAsia="fr-CH"/>
        </w:rPr>
        <w:t xml:space="preserve"> </w:t>
      </w:r>
      <w:r w:rsidR="00714913" w:rsidRPr="0050369B">
        <w:rPr>
          <w:lang w:val="fr-FR" w:eastAsia="fr-CH"/>
        </w:rPr>
        <w:t>dit qu</w:t>
      </w:r>
      <w:r w:rsidR="00714913">
        <w:rPr>
          <w:lang w:val="fr-FR" w:eastAsia="fr-CH"/>
        </w:rPr>
        <w:t>’</w:t>
      </w:r>
      <w:r w:rsidR="00714913" w:rsidRPr="0050369B">
        <w:rPr>
          <w:lang w:val="fr-FR" w:eastAsia="fr-CH"/>
        </w:rPr>
        <w:t xml:space="preserve">elle ne </w:t>
      </w:r>
      <w:r w:rsidR="00714913">
        <w:rPr>
          <w:lang w:val="fr-FR" w:eastAsia="fr-CH"/>
        </w:rPr>
        <w:t xml:space="preserve">parvient </w:t>
      </w:r>
      <w:r w:rsidR="00714913" w:rsidRPr="0050369B">
        <w:rPr>
          <w:lang w:val="fr-FR" w:eastAsia="fr-CH"/>
        </w:rPr>
        <w:t xml:space="preserve">pas </w:t>
      </w:r>
      <w:r w:rsidR="00714913">
        <w:rPr>
          <w:lang w:val="fr-FR" w:eastAsia="fr-CH"/>
        </w:rPr>
        <w:t xml:space="preserve">à comprendre </w:t>
      </w:r>
      <w:r w:rsidR="00714913" w:rsidRPr="0050369B">
        <w:rPr>
          <w:lang w:val="fr-FR" w:eastAsia="fr-CH"/>
        </w:rPr>
        <w:t>comment l</w:t>
      </w:r>
      <w:r w:rsidR="00714913">
        <w:rPr>
          <w:lang w:val="fr-FR" w:eastAsia="fr-CH"/>
        </w:rPr>
        <w:t>’</w:t>
      </w:r>
      <w:r w:rsidR="00714913" w:rsidRPr="0050369B">
        <w:rPr>
          <w:lang w:val="fr-FR" w:eastAsia="fr-CH"/>
        </w:rPr>
        <w:t xml:space="preserve">État partie </w:t>
      </w:r>
      <w:r w:rsidR="00714913">
        <w:rPr>
          <w:lang w:val="fr-FR" w:eastAsia="fr-CH"/>
        </w:rPr>
        <w:t xml:space="preserve">peut affirmer que la justice </w:t>
      </w:r>
      <w:r w:rsidR="00714913" w:rsidRPr="0050369B">
        <w:rPr>
          <w:lang w:val="fr-FR" w:eastAsia="fr-CH"/>
        </w:rPr>
        <w:t>est indépendant</w:t>
      </w:r>
      <w:r w:rsidR="00714913">
        <w:rPr>
          <w:lang w:val="fr-FR" w:eastAsia="fr-CH"/>
        </w:rPr>
        <w:t>e</w:t>
      </w:r>
      <w:r w:rsidR="00714913" w:rsidRPr="0050369B">
        <w:rPr>
          <w:lang w:val="fr-FR" w:eastAsia="fr-CH"/>
        </w:rPr>
        <w:t>, étant donné qu</w:t>
      </w:r>
      <w:r w:rsidR="00714913">
        <w:rPr>
          <w:lang w:val="fr-FR" w:eastAsia="fr-CH"/>
        </w:rPr>
        <w:t>’elle est manifestement</w:t>
      </w:r>
      <w:r w:rsidR="00714913" w:rsidRPr="0050369B">
        <w:rPr>
          <w:lang w:val="fr-FR" w:eastAsia="fr-CH"/>
        </w:rPr>
        <w:t xml:space="preserve"> subordonné</w:t>
      </w:r>
      <w:r w:rsidR="00714913">
        <w:rPr>
          <w:lang w:val="fr-FR" w:eastAsia="fr-CH"/>
        </w:rPr>
        <w:t>e</w:t>
      </w:r>
      <w:r w:rsidR="00714913" w:rsidRPr="0050369B">
        <w:rPr>
          <w:lang w:val="fr-FR" w:eastAsia="fr-CH"/>
        </w:rPr>
        <w:t xml:space="preserve"> </w:t>
      </w:r>
      <w:r w:rsidR="00714913">
        <w:rPr>
          <w:lang w:val="fr-FR" w:eastAsia="fr-CH"/>
        </w:rPr>
        <w:t xml:space="preserve">à </w:t>
      </w:r>
      <w:r w:rsidR="00714913" w:rsidRPr="0050369B">
        <w:rPr>
          <w:lang w:val="fr-FR" w:eastAsia="fr-CH"/>
        </w:rPr>
        <w:t>l</w:t>
      </w:r>
      <w:r w:rsidR="00714913">
        <w:rPr>
          <w:lang w:val="fr-FR" w:eastAsia="fr-CH"/>
        </w:rPr>
        <w:t>’</w:t>
      </w:r>
      <w:r w:rsidR="00714913" w:rsidRPr="0050369B">
        <w:rPr>
          <w:lang w:val="fr-FR" w:eastAsia="fr-CH"/>
        </w:rPr>
        <w:t>Assemblée nationale d</w:t>
      </w:r>
      <w:r w:rsidR="00714913">
        <w:rPr>
          <w:lang w:val="fr-FR" w:eastAsia="fr-CH"/>
        </w:rPr>
        <w:t>u pouvoir</w:t>
      </w:r>
      <w:r w:rsidR="00714913" w:rsidRPr="0050369B">
        <w:rPr>
          <w:lang w:val="fr-FR" w:eastAsia="fr-CH"/>
        </w:rPr>
        <w:t xml:space="preserve"> </w:t>
      </w:r>
      <w:r w:rsidR="00714913">
        <w:rPr>
          <w:lang w:val="fr-FR" w:eastAsia="fr-CH"/>
        </w:rPr>
        <w:t xml:space="preserve">du peuple </w:t>
      </w:r>
      <w:r w:rsidR="00714913" w:rsidRPr="0050369B">
        <w:rPr>
          <w:lang w:val="fr-FR" w:eastAsia="fr-CH"/>
        </w:rPr>
        <w:t xml:space="preserve">et </w:t>
      </w:r>
      <w:r w:rsidR="00714913">
        <w:rPr>
          <w:lang w:val="fr-FR" w:eastAsia="fr-CH"/>
        </w:rPr>
        <w:t xml:space="preserve">au </w:t>
      </w:r>
      <w:r w:rsidR="00714913" w:rsidRPr="0050369B">
        <w:rPr>
          <w:lang w:val="fr-FR" w:eastAsia="fr-CH"/>
        </w:rPr>
        <w:t>Conseil d</w:t>
      </w:r>
      <w:r w:rsidR="00714913">
        <w:rPr>
          <w:lang w:val="fr-FR" w:eastAsia="fr-CH"/>
        </w:rPr>
        <w:t>’É</w:t>
      </w:r>
      <w:r w:rsidR="00714913" w:rsidRPr="0050369B">
        <w:rPr>
          <w:lang w:val="fr-FR" w:eastAsia="fr-CH"/>
        </w:rPr>
        <w:t xml:space="preserve">tat. </w:t>
      </w:r>
      <w:r w:rsidR="00714913">
        <w:rPr>
          <w:lang w:val="fr-FR" w:eastAsia="fr-CH"/>
        </w:rPr>
        <w:t>De plus</w:t>
      </w:r>
      <w:r w:rsidR="00714913" w:rsidRPr="0050369B">
        <w:rPr>
          <w:lang w:val="fr-FR" w:eastAsia="fr-CH"/>
        </w:rPr>
        <w:t>, l</w:t>
      </w:r>
      <w:r w:rsidR="00714913">
        <w:rPr>
          <w:lang w:val="fr-FR" w:eastAsia="fr-CH"/>
        </w:rPr>
        <w:t>’</w:t>
      </w:r>
      <w:r w:rsidR="00714913" w:rsidRPr="0050369B">
        <w:rPr>
          <w:lang w:val="fr-FR" w:eastAsia="fr-CH"/>
        </w:rPr>
        <w:t xml:space="preserve">État partie a affirmé que les tribunaux militaires </w:t>
      </w:r>
      <w:r w:rsidR="00714913">
        <w:rPr>
          <w:lang w:val="fr-FR" w:eastAsia="fr-CH"/>
        </w:rPr>
        <w:t xml:space="preserve">pouvaient </w:t>
      </w:r>
      <w:r w:rsidR="00714913" w:rsidRPr="0050369B">
        <w:rPr>
          <w:lang w:val="fr-FR" w:eastAsia="fr-CH"/>
        </w:rPr>
        <w:t xml:space="preserve">juger des civils dans certaines circonstances. Étant donné que la justice </w:t>
      </w:r>
      <w:r w:rsidR="00714913">
        <w:rPr>
          <w:lang w:val="fr-FR" w:eastAsia="fr-CH"/>
        </w:rPr>
        <w:t xml:space="preserve">est </w:t>
      </w:r>
      <w:r w:rsidR="00714913" w:rsidRPr="0050369B">
        <w:rPr>
          <w:lang w:val="fr-FR" w:eastAsia="fr-CH"/>
        </w:rPr>
        <w:t>le dernier bastion de l</w:t>
      </w:r>
      <w:r w:rsidR="00714913">
        <w:rPr>
          <w:lang w:val="fr-FR" w:eastAsia="fr-CH"/>
        </w:rPr>
        <w:t>’</w:t>
      </w:r>
      <w:r w:rsidR="00714913" w:rsidRPr="0050369B">
        <w:rPr>
          <w:lang w:val="fr-FR" w:eastAsia="fr-CH"/>
        </w:rPr>
        <w:t>espoir pour les victimes d</w:t>
      </w:r>
      <w:r w:rsidR="00714913">
        <w:rPr>
          <w:lang w:val="fr-FR" w:eastAsia="fr-CH"/>
        </w:rPr>
        <w:t>’une infraction</w:t>
      </w:r>
      <w:r w:rsidR="00714913" w:rsidRPr="0050369B">
        <w:rPr>
          <w:lang w:val="fr-FR" w:eastAsia="fr-CH"/>
        </w:rPr>
        <w:t xml:space="preserve">, </w:t>
      </w:r>
      <w:r w:rsidR="00714913">
        <w:rPr>
          <w:lang w:val="fr-FR" w:eastAsia="fr-CH"/>
        </w:rPr>
        <w:t xml:space="preserve">l’intervenante prie </w:t>
      </w:r>
      <w:r w:rsidR="00714913" w:rsidRPr="0050369B">
        <w:rPr>
          <w:lang w:val="fr-FR" w:eastAsia="fr-CH"/>
        </w:rPr>
        <w:t>instamment</w:t>
      </w:r>
      <w:r w:rsidR="00714913">
        <w:rPr>
          <w:lang w:val="fr-FR" w:eastAsia="fr-CH"/>
        </w:rPr>
        <w:t xml:space="preserve"> </w:t>
      </w:r>
      <w:r w:rsidR="00714913" w:rsidRPr="0050369B">
        <w:rPr>
          <w:lang w:val="fr-FR" w:eastAsia="fr-CH"/>
        </w:rPr>
        <w:t>l</w:t>
      </w:r>
      <w:r w:rsidR="00714913">
        <w:rPr>
          <w:lang w:val="fr-FR" w:eastAsia="fr-CH"/>
        </w:rPr>
        <w:t>’</w:t>
      </w:r>
      <w:r w:rsidR="00714913" w:rsidRPr="0050369B">
        <w:rPr>
          <w:lang w:val="fr-FR" w:eastAsia="fr-CH"/>
        </w:rPr>
        <w:t xml:space="preserve">État partie de veiller à ce que son système judiciaire </w:t>
      </w:r>
      <w:r w:rsidR="00714913">
        <w:rPr>
          <w:lang w:val="fr-FR" w:eastAsia="fr-CH"/>
        </w:rPr>
        <w:t xml:space="preserve">soit réellement </w:t>
      </w:r>
      <w:r w:rsidR="00714913" w:rsidRPr="0050369B">
        <w:rPr>
          <w:lang w:val="fr-FR" w:eastAsia="fr-CH"/>
        </w:rPr>
        <w:t>indépendant.</w:t>
      </w:r>
    </w:p>
    <w:p w:rsidR="00714913" w:rsidRPr="0050369B" w:rsidRDefault="00754D3E" w:rsidP="00362B06">
      <w:pPr>
        <w:pStyle w:val="SingleTxtG"/>
        <w:rPr>
          <w:lang w:val="fr-CH" w:eastAsia="fr-CH"/>
        </w:rPr>
      </w:pPr>
      <w:r>
        <w:rPr>
          <w:lang w:val="fr-CH" w:eastAsia="fr-CH"/>
        </w:rPr>
        <w:t>32.</w:t>
      </w:r>
      <w:r>
        <w:rPr>
          <w:lang w:val="fr-CH" w:eastAsia="fr-CH"/>
        </w:rPr>
        <w:tab/>
      </w:r>
      <w:r w:rsidR="00714913" w:rsidRPr="0050369B">
        <w:rPr>
          <w:b/>
          <w:bCs/>
          <w:lang w:val="fr-CH" w:eastAsia="fr-CH"/>
        </w:rPr>
        <w:t>M. Gaye</w:t>
      </w:r>
      <w:r w:rsidR="00714913" w:rsidRPr="0050369B">
        <w:rPr>
          <w:b/>
          <w:bCs/>
          <w:lang w:val="fr-FR" w:eastAsia="fr-CH"/>
        </w:rPr>
        <w:t xml:space="preserve"> </w:t>
      </w:r>
      <w:r w:rsidR="00714913">
        <w:rPr>
          <w:lang w:val="fr-FR" w:eastAsia="fr-CH"/>
        </w:rPr>
        <w:t xml:space="preserve">voudrait </w:t>
      </w:r>
      <w:r w:rsidR="00714913" w:rsidRPr="0050369B">
        <w:rPr>
          <w:lang w:val="fr-FR" w:eastAsia="fr-CH"/>
        </w:rPr>
        <w:t>savoir s</w:t>
      </w:r>
      <w:r w:rsidR="00714913">
        <w:rPr>
          <w:lang w:val="fr-FR" w:eastAsia="fr-CH"/>
        </w:rPr>
        <w:t>’il</w:t>
      </w:r>
      <w:r w:rsidR="00714913" w:rsidRPr="0050369B">
        <w:rPr>
          <w:lang w:val="fr-FR" w:eastAsia="fr-CH"/>
        </w:rPr>
        <w:t xml:space="preserve"> </w:t>
      </w:r>
      <w:r w:rsidR="00714913">
        <w:rPr>
          <w:lang w:val="fr-FR" w:eastAsia="fr-CH"/>
        </w:rPr>
        <w:t xml:space="preserve">est permis aux </w:t>
      </w:r>
      <w:r w:rsidR="00714913" w:rsidRPr="0050369B">
        <w:rPr>
          <w:lang w:val="fr-FR" w:eastAsia="fr-CH"/>
        </w:rPr>
        <w:t xml:space="preserve">personnes en détention </w:t>
      </w:r>
      <w:r w:rsidR="00714913">
        <w:rPr>
          <w:lang w:val="fr-FR" w:eastAsia="fr-CH"/>
        </w:rPr>
        <w:t>d’</w:t>
      </w:r>
      <w:r w:rsidR="00714913" w:rsidRPr="0050369B">
        <w:rPr>
          <w:lang w:val="fr-FR" w:eastAsia="fr-CH"/>
        </w:rPr>
        <w:t>être examiné</w:t>
      </w:r>
      <w:r w:rsidR="00714913">
        <w:rPr>
          <w:lang w:val="fr-FR" w:eastAsia="fr-CH"/>
        </w:rPr>
        <w:t>es</w:t>
      </w:r>
      <w:r w:rsidR="00714913" w:rsidRPr="0050369B">
        <w:rPr>
          <w:lang w:val="fr-FR" w:eastAsia="fr-CH"/>
        </w:rPr>
        <w:t xml:space="preserve"> par un médecin de leur choix. Il demand</w:t>
      </w:r>
      <w:r w:rsidR="00714913">
        <w:rPr>
          <w:lang w:val="fr-FR" w:eastAsia="fr-CH"/>
        </w:rPr>
        <w:t>e</w:t>
      </w:r>
      <w:r w:rsidR="00714913" w:rsidRPr="0050369B">
        <w:rPr>
          <w:lang w:val="fr-FR" w:eastAsia="fr-CH"/>
        </w:rPr>
        <w:t xml:space="preserve"> s</w:t>
      </w:r>
      <w:r w:rsidR="00714913">
        <w:rPr>
          <w:lang w:val="fr-FR" w:eastAsia="fr-CH"/>
        </w:rPr>
        <w:t>’</w:t>
      </w:r>
      <w:r w:rsidR="00714913" w:rsidRPr="0050369B">
        <w:rPr>
          <w:lang w:val="fr-FR" w:eastAsia="fr-CH"/>
        </w:rPr>
        <w:t>il y a un</w:t>
      </w:r>
      <w:r w:rsidR="00714913">
        <w:rPr>
          <w:lang w:val="fr-FR" w:eastAsia="fr-CH"/>
        </w:rPr>
        <w:t xml:space="preserve">e période </w:t>
      </w:r>
      <w:r w:rsidR="00714913" w:rsidRPr="0050369B">
        <w:rPr>
          <w:lang w:val="fr-FR" w:eastAsia="fr-CH"/>
        </w:rPr>
        <w:t xml:space="preserve">maximum </w:t>
      </w:r>
      <w:r w:rsidR="00714913">
        <w:rPr>
          <w:lang w:val="fr-FR" w:eastAsia="fr-CH"/>
        </w:rPr>
        <w:t xml:space="preserve">à l’expiration de laquelle </w:t>
      </w:r>
      <w:r w:rsidR="00714913" w:rsidRPr="0050369B">
        <w:rPr>
          <w:lang w:val="fr-FR" w:eastAsia="fr-CH"/>
        </w:rPr>
        <w:t xml:space="preserve">une personne </w:t>
      </w:r>
      <w:r w:rsidR="00714913">
        <w:rPr>
          <w:lang w:val="fr-FR" w:eastAsia="fr-CH"/>
        </w:rPr>
        <w:t xml:space="preserve">maintenue </w:t>
      </w:r>
      <w:r w:rsidR="00714913" w:rsidRPr="0050369B">
        <w:rPr>
          <w:lang w:val="fr-FR" w:eastAsia="fr-CH"/>
        </w:rPr>
        <w:t xml:space="preserve">en détention </w:t>
      </w:r>
      <w:r w:rsidR="00714913">
        <w:rPr>
          <w:lang w:val="fr-FR" w:eastAsia="fr-CH"/>
        </w:rPr>
        <w:t xml:space="preserve">avant jugement </w:t>
      </w:r>
      <w:r w:rsidR="00714913" w:rsidRPr="0050369B">
        <w:rPr>
          <w:lang w:val="fr-FR" w:eastAsia="fr-CH"/>
        </w:rPr>
        <w:t xml:space="preserve">doit être </w:t>
      </w:r>
      <w:r w:rsidR="00714913">
        <w:rPr>
          <w:lang w:val="fr-FR" w:eastAsia="fr-CH"/>
        </w:rPr>
        <w:t xml:space="preserve">traduite </w:t>
      </w:r>
      <w:r w:rsidR="00714913" w:rsidRPr="0050369B">
        <w:rPr>
          <w:lang w:val="fr-FR" w:eastAsia="fr-CH"/>
        </w:rPr>
        <w:t xml:space="preserve">devant un tribunal, </w:t>
      </w:r>
      <w:r w:rsidR="00714913">
        <w:rPr>
          <w:lang w:val="fr-FR" w:eastAsia="fr-CH"/>
        </w:rPr>
        <w:t xml:space="preserve">car </w:t>
      </w:r>
      <w:r w:rsidR="00714913" w:rsidRPr="0050369B">
        <w:rPr>
          <w:lang w:val="fr-FR" w:eastAsia="fr-CH"/>
        </w:rPr>
        <w:t>il ressort du rapport périodique de l</w:t>
      </w:r>
      <w:r w:rsidR="00714913">
        <w:rPr>
          <w:lang w:val="fr-FR" w:eastAsia="fr-CH"/>
        </w:rPr>
        <w:t>’</w:t>
      </w:r>
      <w:r w:rsidR="00714913" w:rsidRPr="0050369B">
        <w:rPr>
          <w:lang w:val="fr-FR" w:eastAsia="fr-CH"/>
        </w:rPr>
        <w:t>État partie que l</w:t>
      </w:r>
      <w:r w:rsidR="00714913">
        <w:rPr>
          <w:lang w:val="fr-FR" w:eastAsia="fr-CH"/>
        </w:rPr>
        <w:t>’</w:t>
      </w:r>
      <w:r w:rsidR="00714913" w:rsidRPr="0050369B">
        <w:rPr>
          <w:lang w:val="fr-FR" w:eastAsia="fr-CH"/>
        </w:rPr>
        <w:t xml:space="preserve">examen du dossier préliminaire </w:t>
      </w:r>
      <w:r w:rsidR="00714913">
        <w:rPr>
          <w:lang w:val="fr-FR" w:eastAsia="fr-CH"/>
        </w:rPr>
        <w:t xml:space="preserve">de l’affaire peut se </w:t>
      </w:r>
      <w:r w:rsidR="00714913" w:rsidRPr="0050369B">
        <w:rPr>
          <w:lang w:val="fr-FR" w:eastAsia="fr-CH"/>
        </w:rPr>
        <w:t>prolong</w:t>
      </w:r>
      <w:r w:rsidR="00714913">
        <w:rPr>
          <w:lang w:val="fr-FR" w:eastAsia="fr-CH"/>
        </w:rPr>
        <w:t>er</w:t>
      </w:r>
      <w:r w:rsidR="00714913" w:rsidRPr="0050369B">
        <w:rPr>
          <w:lang w:val="fr-FR" w:eastAsia="fr-CH"/>
        </w:rPr>
        <w:t xml:space="preserve"> indéfiniment. </w:t>
      </w:r>
      <w:r w:rsidR="00714913">
        <w:rPr>
          <w:lang w:val="fr-FR" w:eastAsia="fr-CH"/>
        </w:rPr>
        <w:t xml:space="preserve">L’intervenant est déconcerté </w:t>
      </w:r>
      <w:r w:rsidR="00714913" w:rsidRPr="0050369B">
        <w:rPr>
          <w:lang w:val="fr-FR" w:eastAsia="fr-CH"/>
        </w:rPr>
        <w:t xml:space="preserve">par le fait que </w:t>
      </w:r>
      <w:r w:rsidR="00714913" w:rsidRPr="00271B1F">
        <w:rPr>
          <w:lang w:val="fr-FR" w:eastAsia="fr-CH"/>
        </w:rPr>
        <w:t>l’</w:t>
      </w:r>
      <w:r w:rsidR="00714913" w:rsidRPr="00EA37EA">
        <w:rPr>
          <w:i/>
          <w:iCs/>
          <w:lang w:val="fr-FR" w:eastAsia="fr-CH"/>
        </w:rPr>
        <w:t>habeas corpus</w:t>
      </w:r>
      <w:r w:rsidR="00714913" w:rsidRPr="0050369B">
        <w:rPr>
          <w:lang w:val="fr-FR" w:eastAsia="fr-CH"/>
        </w:rPr>
        <w:t xml:space="preserve"> n</w:t>
      </w:r>
      <w:r w:rsidR="00714913">
        <w:rPr>
          <w:lang w:val="fr-FR" w:eastAsia="fr-CH"/>
        </w:rPr>
        <w:t>e s’applique pas</w:t>
      </w:r>
      <w:r w:rsidR="00714913" w:rsidRPr="0050369B">
        <w:rPr>
          <w:lang w:val="fr-FR" w:eastAsia="fr-CH"/>
        </w:rPr>
        <w:t xml:space="preserve"> lorsque la privation de liberté résulte </w:t>
      </w:r>
      <w:r w:rsidR="00714913">
        <w:rPr>
          <w:lang w:val="fr-FR" w:eastAsia="fr-CH"/>
        </w:rPr>
        <w:t>d’</w:t>
      </w:r>
      <w:r w:rsidR="00714913" w:rsidRPr="0050369B">
        <w:rPr>
          <w:lang w:val="fr-FR" w:eastAsia="fr-CH"/>
        </w:rPr>
        <w:t>un</w:t>
      </w:r>
      <w:r w:rsidR="00714913">
        <w:rPr>
          <w:lang w:val="fr-FR" w:eastAsia="fr-CH"/>
        </w:rPr>
        <w:t>e</w:t>
      </w:r>
      <w:r w:rsidR="00714913" w:rsidRPr="0050369B">
        <w:rPr>
          <w:lang w:val="fr-FR" w:eastAsia="fr-CH"/>
        </w:rPr>
        <w:t xml:space="preserve"> </w:t>
      </w:r>
      <w:r w:rsidR="00714913">
        <w:rPr>
          <w:lang w:val="fr-FR" w:eastAsia="fr-CH"/>
        </w:rPr>
        <w:t>sentence ou d’une ordonnance de mise en détention avant jugement rendue dans une procédure</w:t>
      </w:r>
      <w:r w:rsidR="00714913" w:rsidRPr="0050369B">
        <w:rPr>
          <w:lang w:val="fr-FR" w:eastAsia="fr-CH"/>
        </w:rPr>
        <w:t xml:space="preserve"> pénale, comme indiqué dans le rapport.</w:t>
      </w:r>
    </w:p>
    <w:p w:rsidR="00714913" w:rsidRPr="0050369B" w:rsidRDefault="00754D3E" w:rsidP="00362B06">
      <w:pPr>
        <w:pStyle w:val="SingleTxtG"/>
        <w:rPr>
          <w:lang w:val="fr-CH" w:eastAsia="fr-CH"/>
        </w:rPr>
      </w:pPr>
      <w:r>
        <w:rPr>
          <w:lang w:val="fr-FR" w:eastAsia="fr-CH"/>
        </w:rPr>
        <w:t>33.</w:t>
      </w:r>
      <w:r>
        <w:rPr>
          <w:lang w:val="fr-FR" w:eastAsia="fr-CH"/>
        </w:rPr>
        <w:tab/>
      </w:r>
      <w:r w:rsidR="00714913">
        <w:rPr>
          <w:lang w:val="fr-FR" w:eastAsia="fr-CH"/>
        </w:rPr>
        <w:t xml:space="preserve">Étant donné </w:t>
      </w:r>
      <w:r w:rsidR="00714913" w:rsidRPr="0050369B">
        <w:rPr>
          <w:lang w:val="fr-FR" w:eastAsia="fr-CH"/>
        </w:rPr>
        <w:t>l</w:t>
      </w:r>
      <w:r w:rsidR="00714913">
        <w:rPr>
          <w:lang w:val="fr-FR" w:eastAsia="fr-CH"/>
        </w:rPr>
        <w:t>’</w:t>
      </w:r>
      <w:r w:rsidR="00714913" w:rsidRPr="0050369B">
        <w:rPr>
          <w:lang w:val="fr-FR" w:eastAsia="fr-CH"/>
        </w:rPr>
        <w:t>absence dans la législation cubaine d</w:t>
      </w:r>
      <w:r w:rsidR="00714913">
        <w:rPr>
          <w:lang w:val="fr-FR" w:eastAsia="fr-CH"/>
        </w:rPr>
        <w:t>’</w:t>
      </w:r>
      <w:r w:rsidR="00714913" w:rsidRPr="0050369B">
        <w:rPr>
          <w:lang w:val="fr-FR" w:eastAsia="fr-CH"/>
        </w:rPr>
        <w:t xml:space="preserve">une définition </w:t>
      </w:r>
      <w:r w:rsidR="00714913">
        <w:rPr>
          <w:lang w:val="fr-FR" w:eastAsia="fr-CH"/>
        </w:rPr>
        <w:t xml:space="preserve">du crime de </w:t>
      </w:r>
      <w:r w:rsidR="00714913" w:rsidRPr="0050369B">
        <w:rPr>
          <w:lang w:val="fr-FR" w:eastAsia="fr-CH"/>
        </w:rPr>
        <w:t xml:space="preserve">torture </w:t>
      </w:r>
      <w:r w:rsidR="00714913">
        <w:rPr>
          <w:lang w:val="fr-FR" w:eastAsia="fr-CH"/>
        </w:rPr>
        <w:t>en tant que tel</w:t>
      </w:r>
      <w:r w:rsidR="00714913" w:rsidRPr="0050369B">
        <w:rPr>
          <w:lang w:val="fr-FR" w:eastAsia="fr-CH"/>
        </w:rPr>
        <w:t xml:space="preserve">, </w:t>
      </w:r>
      <w:r w:rsidR="00714913">
        <w:rPr>
          <w:lang w:val="fr-FR" w:eastAsia="fr-CH"/>
        </w:rPr>
        <w:t xml:space="preserve">l’intervenant voudrait </w:t>
      </w:r>
      <w:r w:rsidR="00714913" w:rsidRPr="0050369B">
        <w:rPr>
          <w:lang w:val="fr-FR" w:eastAsia="fr-CH"/>
        </w:rPr>
        <w:t xml:space="preserve">savoir sur quelle base </w:t>
      </w:r>
      <w:r w:rsidR="00714913">
        <w:rPr>
          <w:lang w:val="fr-FR" w:eastAsia="fr-CH"/>
        </w:rPr>
        <w:t>d</w:t>
      </w:r>
      <w:r w:rsidR="00714913" w:rsidRPr="0050369B">
        <w:rPr>
          <w:lang w:val="fr-FR" w:eastAsia="fr-CH"/>
        </w:rPr>
        <w:t>es personnes pourraient être accusé</w:t>
      </w:r>
      <w:r w:rsidR="00714913">
        <w:rPr>
          <w:lang w:val="fr-FR" w:eastAsia="fr-CH"/>
        </w:rPr>
        <w:t>e</w:t>
      </w:r>
      <w:r w:rsidR="00714913" w:rsidRPr="0050369B">
        <w:rPr>
          <w:lang w:val="fr-FR" w:eastAsia="fr-CH"/>
        </w:rPr>
        <w:t xml:space="preserve">s de </w:t>
      </w:r>
      <w:r w:rsidR="00714913">
        <w:rPr>
          <w:lang w:val="fr-FR" w:eastAsia="fr-CH"/>
        </w:rPr>
        <w:t>la commission d’</w:t>
      </w:r>
      <w:r w:rsidR="00714913" w:rsidRPr="0050369B">
        <w:rPr>
          <w:lang w:val="fr-FR" w:eastAsia="fr-CH"/>
        </w:rPr>
        <w:t>actes de torture. Il demand</w:t>
      </w:r>
      <w:r w:rsidR="00714913">
        <w:rPr>
          <w:lang w:val="fr-FR" w:eastAsia="fr-CH"/>
        </w:rPr>
        <w:t>e si une personne n’ayant pas la nationalité cubaine qui se trouve sur le</w:t>
      </w:r>
      <w:r w:rsidR="00714913" w:rsidRPr="0050369B">
        <w:rPr>
          <w:lang w:val="fr-FR" w:eastAsia="fr-CH"/>
        </w:rPr>
        <w:t xml:space="preserve"> territoire cubain et </w:t>
      </w:r>
      <w:r w:rsidR="00714913">
        <w:rPr>
          <w:lang w:val="fr-FR" w:eastAsia="fr-CH"/>
        </w:rPr>
        <w:t xml:space="preserve">qui a </w:t>
      </w:r>
      <w:r w:rsidR="00714913" w:rsidRPr="0050369B">
        <w:rPr>
          <w:lang w:val="fr-FR" w:eastAsia="fr-CH"/>
        </w:rPr>
        <w:t>commis une telle infraction dans un autre État p</w:t>
      </w:r>
      <w:r w:rsidR="00714913">
        <w:rPr>
          <w:lang w:val="fr-FR" w:eastAsia="fr-CH"/>
        </w:rPr>
        <w:t xml:space="preserve">eut </w:t>
      </w:r>
      <w:r w:rsidR="00714913" w:rsidRPr="0050369B">
        <w:rPr>
          <w:lang w:val="fr-FR" w:eastAsia="fr-CH"/>
        </w:rPr>
        <w:t>être jugé</w:t>
      </w:r>
      <w:r w:rsidR="00714913">
        <w:rPr>
          <w:lang w:val="fr-FR" w:eastAsia="fr-CH"/>
        </w:rPr>
        <w:t>e</w:t>
      </w:r>
      <w:r w:rsidR="00714913" w:rsidRPr="0050369B">
        <w:rPr>
          <w:lang w:val="fr-FR" w:eastAsia="fr-CH"/>
        </w:rPr>
        <w:t xml:space="preserve"> à Cuba. On ne </w:t>
      </w:r>
      <w:r w:rsidR="00714913">
        <w:rPr>
          <w:lang w:val="fr-FR" w:eastAsia="fr-CH"/>
        </w:rPr>
        <w:t xml:space="preserve">voit pas clairement, à la lecture du </w:t>
      </w:r>
      <w:r w:rsidR="00714913" w:rsidRPr="0050369B">
        <w:rPr>
          <w:lang w:val="fr-FR" w:eastAsia="fr-CH"/>
        </w:rPr>
        <w:t>rapport de l</w:t>
      </w:r>
      <w:r w:rsidR="00714913">
        <w:rPr>
          <w:lang w:val="fr-FR" w:eastAsia="fr-CH"/>
        </w:rPr>
        <w:t>’</w:t>
      </w:r>
      <w:r w:rsidR="00714913" w:rsidRPr="0050369B">
        <w:rPr>
          <w:lang w:val="fr-FR" w:eastAsia="fr-CH"/>
        </w:rPr>
        <w:t>État partie</w:t>
      </w:r>
      <w:r w:rsidR="00714913">
        <w:rPr>
          <w:lang w:val="fr-FR" w:eastAsia="fr-CH"/>
        </w:rPr>
        <w:t>,</w:t>
      </w:r>
      <w:r w:rsidR="00714913" w:rsidRPr="0050369B">
        <w:rPr>
          <w:lang w:val="fr-FR" w:eastAsia="fr-CH"/>
        </w:rPr>
        <w:t xml:space="preserve"> quelles infractions exactement relèvent de la </w:t>
      </w:r>
      <w:r w:rsidR="00714913">
        <w:rPr>
          <w:lang w:val="fr-FR" w:eastAsia="fr-CH"/>
        </w:rPr>
        <w:t xml:space="preserve">compétence </w:t>
      </w:r>
      <w:r w:rsidR="00714913" w:rsidRPr="0050369B">
        <w:rPr>
          <w:lang w:val="fr-FR" w:eastAsia="fr-CH"/>
        </w:rPr>
        <w:t xml:space="preserve">universelle de Cuba. </w:t>
      </w:r>
      <w:r w:rsidR="00714913">
        <w:rPr>
          <w:lang w:val="fr-FR" w:eastAsia="fr-CH"/>
        </w:rPr>
        <w:t xml:space="preserve">L’intervenant voudrait </w:t>
      </w:r>
      <w:r w:rsidR="00714913" w:rsidRPr="0050369B">
        <w:rPr>
          <w:lang w:val="fr-FR" w:eastAsia="fr-CH"/>
        </w:rPr>
        <w:t xml:space="preserve">savoir si </w:t>
      </w:r>
      <w:r w:rsidR="00714913">
        <w:rPr>
          <w:lang w:val="fr-FR" w:eastAsia="fr-CH"/>
        </w:rPr>
        <w:t>d</w:t>
      </w:r>
      <w:r w:rsidR="00714913" w:rsidRPr="0050369B">
        <w:rPr>
          <w:lang w:val="fr-FR" w:eastAsia="fr-CH"/>
        </w:rPr>
        <w:t xml:space="preserve">es mesures sont en place pour protéger les </w:t>
      </w:r>
      <w:r w:rsidR="00714913">
        <w:rPr>
          <w:lang w:val="fr-FR" w:eastAsia="fr-CH"/>
        </w:rPr>
        <w:t>fonctionnaires chargés de l’application des lois qui signalent ou refusent d’exécuter des</w:t>
      </w:r>
      <w:r w:rsidR="00714913" w:rsidRPr="0050369B">
        <w:rPr>
          <w:lang w:val="fr-FR" w:eastAsia="fr-CH"/>
        </w:rPr>
        <w:t xml:space="preserve"> ordres donnés par </w:t>
      </w:r>
      <w:r w:rsidR="00714913">
        <w:rPr>
          <w:lang w:val="fr-FR" w:eastAsia="fr-CH"/>
        </w:rPr>
        <w:t>d</w:t>
      </w:r>
      <w:r w:rsidR="00714913" w:rsidRPr="0050369B">
        <w:rPr>
          <w:lang w:val="fr-FR" w:eastAsia="fr-CH"/>
        </w:rPr>
        <w:t xml:space="preserve">es supérieurs </w:t>
      </w:r>
      <w:r w:rsidR="00714913">
        <w:rPr>
          <w:lang w:val="fr-FR" w:eastAsia="fr-CH"/>
        </w:rPr>
        <w:t>de commettre des actes de</w:t>
      </w:r>
      <w:r w:rsidR="00714913" w:rsidRPr="0050369B">
        <w:rPr>
          <w:lang w:val="fr-FR" w:eastAsia="fr-CH"/>
        </w:rPr>
        <w:t xml:space="preserve"> torture. Il </w:t>
      </w:r>
      <w:r w:rsidR="00714913">
        <w:rPr>
          <w:lang w:val="fr-FR" w:eastAsia="fr-CH"/>
        </w:rPr>
        <w:t>demande</w:t>
      </w:r>
      <w:r w:rsidR="00714913" w:rsidRPr="0050369B">
        <w:rPr>
          <w:lang w:val="fr-FR" w:eastAsia="fr-CH"/>
        </w:rPr>
        <w:t xml:space="preserve"> également </w:t>
      </w:r>
      <w:r w:rsidR="00714913">
        <w:rPr>
          <w:lang w:val="fr-FR" w:eastAsia="fr-CH"/>
        </w:rPr>
        <w:t xml:space="preserve">davantage de renseignements </w:t>
      </w:r>
      <w:r w:rsidR="00714913" w:rsidRPr="0050369B">
        <w:rPr>
          <w:lang w:val="fr-FR" w:eastAsia="fr-CH"/>
        </w:rPr>
        <w:t>sur le rôle du Fonds d</w:t>
      </w:r>
      <w:r w:rsidR="00714913">
        <w:rPr>
          <w:lang w:val="fr-FR" w:eastAsia="fr-CH"/>
        </w:rPr>
        <w:t>’</w:t>
      </w:r>
      <w:r w:rsidR="00714913" w:rsidRPr="0050369B">
        <w:rPr>
          <w:lang w:val="fr-FR" w:eastAsia="fr-CH"/>
        </w:rPr>
        <w:t xml:space="preserve">indemnisation prévu </w:t>
      </w:r>
      <w:r w:rsidR="00714913">
        <w:rPr>
          <w:lang w:val="fr-FR" w:eastAsia="fr-CH"/>
        </w:rPr>
        <w:t xml:space="preserve">dans </w:t>
      </w:r>
      <w:r w:rsidR="00714913" w:rsidRPr="0050369B">
        <w:rPr>
          <w:lang w:val="fr-FR" w:eastAsia="fr-CH"/>
        </w:rPr>
        <w:t>le Code pénal.</w:t>
      </w:r>
    </w:p>
    <w:p w:rsidR="00714913" w:rsidRPr="0050369B" w:rsidRDefault="00754D3E" w:rsidP="00362B06">
      <w:pPr>
        <w:pStyle w:val="SingleTxtG"/>
        <w:rPr>
          <w:lang w:val="fr-CH" w:eastAsia="fr-CH"/>
        </w:rPr>
      </w:pPr>
      <w:r>
        <w:rPr>
          <w:lang w:val="fr-CH" w:eastAsia="fr-CH"/>
        </w:rPr>
        <w:t>34.</w:t>
      </w:r>
      <w:r>
        <w:rPr>
          <w:lang w:val="fr-CH" w:eastAsia="fr-CH"/>
        </w:rPr>
        <w:tab/>
      </w:r>
      <w:r w:rsidR="00714913" w:rsidRPr="0050369B">
        <w:rPr>
          <w:b/>
          <w:bCs/>
          <w:lang w:val="fr-CH" w:eastAsia="fr-CH"/>
        </w:rPr>
        <w:t>M</w:t>
      </w:r>
      <w:r w:rsidR="00714913" w:rsidRPr="0050369B">
        <w:rPr>
          <w:b/>
          <w:bCs/>
          <w:vertAlign w:val="superscript"/>
          <w:lang w:val="fr-CH" w:eastAsia="fr-CH"/>
        </w:rPr>
        <w:t>me</w:t>
      </w:r>
      <w:r w:rsidR="00714913" w:rsidRPr="0050369B">
        <w:rPr>
          <w:b/>
          <w:bCs/>
          <w:lang w:val="fr-CH" w:eastAsia="fr-CH"/>
        </w:rPr>
        <w:t xml:space="preserve"> Gaer</w:t>
      </w:r>
      <w:r w:rsidR="00714913" w:rsidRPr="0050369B">
        <w:rPr>
          <w:lang w:val="fr-FR" w:eastAsia="fr-CH"/>
        </w:rPr>
        <w:t>, notant l</w:t>
      </w:r>
      <w:r w:rsidR="00714913">
        <w:rPr>
          <w:lang w:val="fr-FR" w:eastAsia="fr-CH"/>
        </w:rPr>
        <w:t>’</w:t>
      </w:r>
      <w:r w:rsidR="00714913" w:rsidRPr="0050369B">
        <w:rPr>
          <w:lang w:val="fr-FR" w:eastAsia="fr-CH"/>
        </w:rPr>
        <w:t>affirmation de l</w:t>
      </w:r>
      <w:r w:rsidR="00714913">
        <w:rPr>
          <w:lang w:val="fr-FR" w:eastAsia="fr-CH"/>
        </w:rPr>
        <w:t>’</w:t>
      </w:r>
      <w:r w:rsidR="00714913" w:rsidRPr="0050369B">
        <w:rPr>
          <w:lang w:val="fr-FR" w:eastAsia="fr-CH"/>
        </w:rPr>
        <w:t xml:space="preserve">État partie </w:t>
      </w:r>
      <w:r w:rsidR="00714913">
        <w:rPr>
          <w:lang w:val="fr-FR" w:eastAsia="fr-CH"/>
        </w:rPr>
        <w:t xml:space="preserve">selon laquelle </w:t>
      </w:r>
      <w:r w:rsidR="00714913" w:rsidRPr="0050369B">
        <w:rPr>
          <w:lang w:val="fr-FR" w:eastAsia="fr-CH"/>
        </w:rPr>
        <w:t xml:space="preserve">les </w:t>
      </w:r>
      <w:r w:rsidR="00714913">
        <w:rPr>
          <w:lang w:val="fr-FR" w:eastAsia="fr-CH"/>
        </w:rPr>
        <w:t xml:space="preserve">requêtes des détenus concernant </w:t>
      </w:r>
      <w:r w:rsidR="00714913" w:rsidRPr="0050369B">
        <w:rPr>
          <w:lang w:val="fr-FR" w:eastAsia="fr-CH"/>
        </w:rPr>
        <w:t>de</w:t>
      </w:r>
      <w:r w:rsidR="00714913">
        <w:rPr>
          <w:lang w:val="fr-FR" w:eastAsia="fr-CH"/>
        </w:rPr>
        <w:t>s</w:t>
      </w:r>
      <w:r w:rsidR="00714913" w:rsidRPr="0050369B">
        <w:rPr>
          <w:lang w:val="fr-FR" w:eastAsia="fr-CH"/>
        </w:rPr>
        <w:t xml:space="preserve"> mauvais traitements physiques ou psychologiques </w:t>
      </w:r>
      <w:r w:rsidR="00714913">
        <w:rPr>
          <w:lang w:val="fr-FR" w:eastAsia="fr-CH"/>
        </w:rPr>
        <w:t>f</w:t>
      </w:r>
      <w:r w:rsidR="00714913" w:rsidRPr="0050369B">
        <w:rPr>
          <w:lang w:val="fr-FR" w:eastAsia="fr-CH"/>
        </w:rPr>
        <w:t xml:space="preserve">ont </w:t>
      </w:r>
      <w:r w:rsidR="00714913">
        <w:rPr>
          <w:lang w:val="fr-FR" w:eastAsia="fr-CH"/>
        </w:rPr>
        <w:t>l’objet d’une enquête du</w:t>
      </w:r>
      <w:r w:rsidR="00714913" w:rsidRPr="0050369B">
        <w:rPr>
          <w:lang w:val="fr-FR" w:eastAsia="fr-CH"/>
        </w:rPr>
        <w:t xml:space="preserve"> </w:t>
      </w:r>
      <w:r w:rsidR="00714913">
        <w:rPr>
          <w:lang w:val="fr-FR" w:eastAsia="fr-CH"/>
        </w:rPr>
        <w:t xml:space="preserve">cabinet du </w:t>
      </w:r>
      <w:r w:rsidR="00714913" w:rsidRPr="0050369B">
        <w:rPr>
          <w:lang w:val="fr-FR" w:eastAsia="fr-CH"/>
        </w:rPr>
        <w:t xml:space="preserve">Procureur général de la République, </w:t>
      </w:r>
      <w:r w:rsidR="00714913">
        <w:rPr>
          <w:lang w:val="fr-FR" w:eastAsia="fr-CH"/>
        </w:rPr>
        <w:t xml:space="preserve">dit </w:t>
      </w:r>
      <w:r w:rsidR="00714913" w:rsidRPr="0050369B">
        <w:rPr>
          <w:lang w:val="fr-FR" w:eastAsia="fr-CH"/>
        </w:rPr>
        <w:t>qu</w:t>
      </w:r>
      <w:r w:rsidR="00714913">
        <w:rPr>
          <w:lang w:val="fr-FR" w:eastAsia="fr-CH"/>
        </w:rPr>
        <w:t>’</w:t>
      </w:r>
      <w:r w:rsidR="00714913" w:rsidRPr="0050369B">
        <w:rPr>
          <w:lang w:val="fr-FR" w:eastAsia="fr-CH"/>
        </w:rPr>
        <w:t xml:space="preserve">elle </w:t>
      </w:r>
      <w:r w:rsidR="00714913">
        <w:rPr>
          <w:lang w:val="fr-FR" w:eastAsia="fr-CH"/>
        </w:rPr>
        <w:t xml:space="preserve">voudrait </w:t>
      </w:r>
      <w:r w:rsidR="00714913" w:rsidRPr="0050369B">
        <w:rPr>
          <w:lang w:val="fr-FR" w:eastAsia="fr-CH"/>
        </w:rPr>
        <w:t xml:space="preserve">savoir combien de plaintes </w:t>
      </w:r>
      <w:r w:rsidR="00714913">
        <w:rPr>
          <w:lang w:val="fr-FR" w:eastAsia="fr-CH"/>
        </w:rPr>
        <w:t xml:space="preserve">de ce type ont fait </w:t>
      </w:r>
      <w:r w:rsidR="00714913" w:rsidRPr="0050369B">
        <w:rPr>
          <w:lang w:val="fr-FR" w:eastAsia="fr-CH"/>
        </w:rPr>
        <w:t>l</w:t>
      </w:r>
      <w:r w:rsidR="00714913">
        <w:rPr>
          <w:lang w:val="fr-FR" w:eastAsia="fr-CH"/>
        </w:rPr>
        <w:t>’</w:t>
      </w:r>
      <w:r w:rsidR="00714913" w:rsidRPr="0050369B">
        <w:rPr>
          <w:lang w:val="fr-FR" w:eastAsia="fr-CH"/>
        </w:rPr>
        <w:t>objet d</w:t>
      </w:r>
      <w:r w:rsidR="00714913">
        <w:rPr>
          <w:lang w:val="fr-FR" w:eastAsia="fr-CH"/>
        </w:rPr>
        <w:t>’</w:t>
      </w:r>
      <w:r w:rsidR="00714913" w:rsidRPr="0050369B">
        <w:rPr>
          <w:lang w:val="fr-FR" w:eastAsia="fr-CH"/>
        </w:rPr>
        <w:t>une enquête et quel</w:t>
      </w:r>
      <w:r w:rsidR="00714913">
        <w:rPr>
          <w:lang w:val="fr-FR" w:eastAsia="fr-CH"/>
        </w:rPr>
        <w:t xml:space="preserve"> en a </w:t>
      </w:r>
      <w:r w:rsidR="00714913" w:rsidRPr="0050369B">
        <w:rPr>
          <w:lang w:val="fr-FR" w:eastAsia="fr-CH"/>
        </w:rPr>
        <w:t xml:space="preserve">été le résultat. </w:t>
      </w:r>
      <w:r w:rsidR="00714913">
        <w:rPr>
          <w:lang w:val="fr-FR" w:eastAsia="fr-CH"/>
        </w:rPr>
        <w:t>D</w:t>
      </w:r>
      <w:r w:rsidR="00714913" w:rsidRPr="0050369B">
        <w:rPr>
          <w:lang w:val="fr-FR" w:eastAsia="fr-CH"/>
        </w:rPr>
        <w:t xml:space="preserve">es fonctionnaires </w:t>
      </w:r>
      <w:r w:rsidR="00714913">
        <w:rPr>
          <w:lang w:val="fr-FR" w:eastAsia="fr-CH"/>
        </w:rPr>
        <w:t>ont-ils fait l’objet de sanctions préliminaires à la suite de ces enquêtes</w:t>
      </w:r>
      <w:r w:rsidR="00714913" w:rsidRPr="0050369B">
        <w:rPr>
          <w:lang w:val="fr-FR" w:eastAsia="fr-CH"/>
        </w:rPr>
        <w:t xml:space="preserve">? </w:t>
      </w:r>
      <w:r w:rsidR="00714913">
        <w:rPr>
          <w:lang w:val="fr-FR" w:eastAsia="fr-CH"/>
        </w:rPr>
        <w:t>L’intervenante demande</w:t>
      </w:r>
      <w:r w:rsidR="00714913" w:rsidRPr="0050369B">
        <w:rPr>
          <w:lang w:val="fr-FR" w:eastAsia="fr-CH"/>
        </w:rPr>
        <w:t xml:space="preserve"> si les familles des personnes décédées </w:t>
      </w:r>
      <w:r w:rsidR="00714913">
        <w:rPr>
          <w:lang w:val="fr-FR" w:eastAsia="fr-CH"/>
        </w:rPr>
        <w:t>p</w:t>
      </w:r>
      <w:r w:rsidR="00714913" w:rsidRPr="0050369B">
        <w:rPr>
          <w:lang w:val="fr-FR" w:eastAsia="fr-CH"/>
        </w:rPr>
        <w:t>en</w:t>
      </w:r>
      <w:r w:rsidR="00714913">
        <w:rPr>
          <w:lang w:val="fr-FR" w:eastAsia="fr-CH"/>
        </w:rPr>
        <w:t>dant leur</w:t>
      </w:r>
      <w:r w:rsidR="00714913" w:rsidRPr="0050369B">
        <w:rPr>
          <w:lang w:val="fr-FR" w:eastAsia="fr-CH"/>
        </w:rPr>
        <w:t xml:space="preserve"> détention </w:t>
      </w:r>
      <w:r w:rsidR="00714913">
        <w:rPr>
          <w:lang w:val="fr-FR" w:eastAsia="fr-CH"/>
        </w:rPr>
        <w:t>peuvent organiser d</w:t>
      </w:r>
      <w:r w:rsidR="00714913" w:rsidRPr="0050369B">
        <w:rPr>
          <w:lang w:val="fr-FR" w:eastAsia="fr-CH"/>
        </w:rPr>
        <w:t xml:space="preserve">es autopsies indépendantes </w:t>
      </w:r>
      <w:r w:rsidR="00714913">
        <w:rPr>
          <w:lang w:val="fr-FR" w:eastAsia="fr-CH"/>
        </w:rPr>
        <w:t xml:space="preserve">effectuées </w:t>
      </w:r>
      <w:r w:rsidR="00714913" w:rsidRPr="0050369B">
        <w:rPr>
          <w:lang w:val="fr-FR" w:eastAsia="fr-CH"/>
        </w:rPr>
        <w:t xml:space="preserve">par des médecins </w:t>
      </w:r>
      <w:r w:rsidR="00714913">
        <w:rPr>
          <w:lang w:val="fr-FR" w:eastAsia="fr-CH"/>
        </w:rPr>
        <w:t>de leur choix</w:t>
      </w:r>
      <w:r w:rsidR="00714913" w:rsidRPr="0050369B">
        <w:rPr>
          <w:lang w:val="fr-FR" w:eastAsia="fr-CH"/>
        </w:rPr>
        <w:t xml:space="preserve">. Toute information </w:t>
      </w:r>
      <w:r w:rsidR="00714913">
        <w:rPr>
          <w:lang w:val="fr-FR" w:eastAsia="fr-CH"/>
        </w:rPr>
        <w:t xml:space="preserve">que </w:t>
      </w:r>
      <w:r w:rsidR="00714913" w:rsidRPr="0050369B">
        <w:rPr>
          <w:lang w:val="fr-FR" w:eastAsia="fr-CH"/>
        </w:rPr>
        <w:t xml:space="preserve">la délégation </w:t>
      </w:r>
      <w:r w:rsidR="00714913">
        <w:rPr>
          <w:lang w:val="fr-FR" w:eastAsia="fr-CH"/>
        </w:rPr>
        <w:t xml:space="preserve">pourrait communiquer </w:t>
      </w:r>
      <w:r w:rsidR="00714913" w:rsidRPr="0050369B">
        <w:rPr>
          <w:lang w:val="fr-FR" w:eastAsia="fr-CH"/>
        </w:rPr>
        <w:t xml:space="preserve">sur le sort des </w:t>
      </w:r>
      <w:r w:rsidR="00714913">
        <w:rPr>
          <w:lang w:val="fr-FR" w:eastAsia="fr-CH"/>
        </w:rPr>
        <w:t xml:space="preserve">détenus </w:t>
      </w:r>
      <w:r w:rsidR="00714913" w:rsidRPr="0050369B">
        <w:rPr>
          <w:lang w:val="fr-FR" w:eastAsia="fr-CH"/>
        </w:rPr>
        <w:t>en grève de la faim, dont le</w:t>
      </w:r>
      <w:r w:rsidR="00714913">
        <w:rPr>
          <w:lang w:val="fr-FR" w:eastAsia="fr-CH"/>
        </w:rPr>
        <w:t>s</w:t>
      </w:r>
      <w:r w:rsidR="00714913" w:rsidRPr="0050369B">
        <w:rPr>
          <w:lang w:val="fr-FR" w:eastAsia="fr-CH"/>
        </w:rPr>
        <w:t xml:space="preserve"> nom</w:t>
      </w:r>
      <w:r w:rsidR="00714913">
        <w:rPr>
          <w:lang w:val="fr-FR" w:eastAsia="fr-CH"/>
        </w:rPr>
        <w:t>s</w:t>
      </w:r>
      <w:r w:rsidR="00714913" w:rsidRPr="0050369B">
        <w:rPr>
          <w:lang w:val="fr-FR" w:eastAsia="fr-CH"/>
        </w:rPr>
        <w:t xml:space="preserve"> figur</w:t>
      </w:r>
      <w:r w:rsidR="00714913">
        <w:rPr>
          <w:lang w:val="fr-FR" w:eastAsia="fr-CH"/>
        </w:rPr>
        <w:t xml:space="preserve">ent dans </w:t>
      </w:r>
      <w:r w:rsidR="00714913" w:rsidRPr="0050369B">
        <w:rPr>
          <w:lang w:val="fr-FR" w:eastAsia="fr-CH"/>
        </w:rPr>
        <w:t xml:space="preserve">la liste </w:t>
      </w:r>
      <w:r w:rsidR="00714913">
        <w:rPr>
          <w:lang w:val="fr-FR" w:eastAsia="fr-CH"/>
        </w:rPr>
        <w:t>des points à traiter (CAT/C/CUB/Q/2, par. </w:t>
      </w:r>
      <w:r w:rsidR="00714913" w:rsidRPr="0050369B">
        <w:rPr>
          <w:lang w:val="fr-FR" w:eastAsia="fr-CH"/>
        </w:rPr>
        <w:t xml:space="preserve">22), serait </w:t>
      </w:r>
      <w:r w:rsidR="00714913">
        <w:rPr>
          <w:lang w:val="fr-FR" w:eastAsia="fr-CH"/>
        </w:rPr>
        <w:t>accueillie avec intérêt</w:t>
      </w:r>
      <w:r w:rsidR="00714913" w:rsidRPr="0050369B">
        <w:rPr>
          <w:lang w:val="fr-FR" w:eastAsia="fr-CH"/>
        </w:rPr>
        <w:t xml:space="preserve">. </w:t>
      </w:r>
      <w:r w:rsidR="00714913">
        <w:rPr>
          <w:lang w:val="fr-FR" w:eastAsia="fr-CH"/>
        </w:rPr>
        <w:t>L’intervenante</w:t>
      </w:r>
      <w:r w:rsidR="00714913" w:rsidRPr="0050369B">
        <w:rPr>
          <w:lang w:val="fr-FR" w:eastAsia="fr-CH"/>
        </w:rPr>
        <w:t xml:space="preserve"> </w:t>
      </w:r>
      <w:r w:rsidR="00714913">
        <w:rPr>
          <w:lang w:val="fr-FR" w:eastAsia="fr-CH"/>
        </w:rPr>
        <w:t>demande</w:t>
      </w:r>
      <w:r w:rsidR="00714913" w:rsidRPr="0050369B">
        <w:rPr>
          <w:lang w:val="fr-FR" w:eastAsia="fr-CH"/>
        </w:rPr>
        <w:t xml:space="preserve"> également des informations sur la situation d</w:t>
      </w:r>
      <w:r w:rsidR="00714913">
        <w:rPr>
          <w:lang w:val="fr-FR" w:eastAsia="fr-CH"/>
        </w:rPr>
        <w:t>’</w:t>
      </w:r>
      <w:r w:rsidR="00714913" w:rsidRPr="0050369B">
        <w:rPr>
          <w:lang w:val="fr-FR" w:eastAsia="fr-CH"/>
        </w:rPr>
        <w:t xml:space="preserve">Alan Gross, qui </w:t>
      </w:r>
      <w:r w:rsidR="00714913">
        <w:rPr>
          <w:lang w:val="fr-FR" w:eastAsia="fr-CH"/>
        </w:rPr>
        <w:t xml:space="preserve">est actuellement détenu sans avoir été inculpé et qui s’est </w:t>
      </w:r>
      <w:r w:rsidR="00714913" w:rsidRPr="0050369B">
        <w:rPr>
          <w:lang w:val="fr-FR" w:eastAsia="fr-CH"/>
        </w:rPr>
        <w:t xml:space="preserve">plaint des mauvaises conditions </w:t>
      </w:r>
      <w:r w:rsidR="00714913">
        <w:rPr>
          <w:lang w:val="fr-FR" w:eastAsia="fr-CH"/>
        </w:rPr>
        <w:t>de détention</w:t>
      </w:r>
      <w:r w:rsidR="00714913" w:rsidRPr="0050369B">
        <w:rPr>
          <w:lang w:val="fr-FR" w:eastAsia="fr-CH"/>
        </w:rPr>
        <w:t xml:space="preserve">. Elle </w:t>
      </w:r>
      <w:r w:rsidR="00714913">
        <w:rPr>
          <w:lang w:val="fr-FR" w:eastAsia="fr-CH"/>
        </w:rPr>
        <w:t xml:space="preserve">renouvelle </w:t>
      </w:r>
      <w:r w:rsidR="00714913" w:rsidRPr="0050369B">
        <w:rPr>
          <w:lang w:val="fr-FR" w:eastAsia="fr-CH"/>
        </w:rPr>
        <w:t xml:space="preserve">la demande </w:t>
      </w:r>
      <w:r w:rsidR="00714913">
        <w:rPr>
          <w:lang w:val="fr-FR" w:eastAsia="fr-CH"/>
        </w:rPr>
        <w:t>d’informations formulée par le</w:t>
      </w:r>
      <w:r w:rsidR="00714913" w:rsidRPr="0050369B">
        <w:rPr>
          <w:lang w:val="fr-FR" w:eastAsia="fr-CH"/>
        </w:rPr>
        <w:t xml:space="preserve"> Comité </w:t>
      </w:r>
      <w:r w:rsidR="00714913">
        <w:rPr>
          <w:lang w:val="fr-FR" w:eastAsia="fr-CH"/>
        </w:rPr>
        <w:t>au sujet de</w:t>
      </w:r>
      <w:r w:rsidR="00714913" w:rsidRPr="0050369B">
        <w:rPr>
          <w:lang w:val="fr-FR" w:eastAsia="fr-CH"/>
        </w:rPr>
        <w:t xml:space="preserve"> la situation des défenseurs des droits de l</w:t>
      </w:r>
      <w:r w:rsidR="00714913">
        <w:rPr>
          <w:lang w:val="fr-FR" w:eastAsia="fr-CH"/>
        </w:rPr>
        <w:t>’</w:t>
      </w:r>
      <w:r w:rsidR="00714913" w:rsidRPr="0050369B">
        <w:rPr>
          <w:lang w:val="fr-FR" w:eastAsia="fr-CH"/>
        </w:rPr>
        <w:t xml:space="preserve">homme, y compris </w:t>
      </w:r>
      <w:r w:rsidR="00714913">
        <w:rPr>
          <w:lang w:val="fr-FR" w:eastAsia="fr-CH"/>
        </w:rPr>
        <w:t xml:space="preserve">du groupe des Femmes </w:t>
      </w:r>
      <w:r w:rsidR="00714913" w:rsidRPr="0050369B">
        <w:rPr>
          <w:lang w:val="fr-FR" w:eastAsia="fr-CH"/>
        </w:rPr>
        <w:t>en blanc (CAT/C/CUB/Q/2, par. 32).</w:t>
      </w:r>
    </w:p>
    <w:p w:rsidR="00714913" w:rsidRPr="0050369B" w:rsidRDefault="00754D3E" w:rsidP="00EA37EA">
      <w:pPr>
        <w:pStyle w:val="SingleTxtG"/>
        <w:rPr>
          <w:lang w:val="fr-CH" w:eastAsia="fr-CH"/>
        </w:rPr>
      </w:pPr>
      <w:r>
        <w:rPr>
          <w:lang w:val="fr-FR" w:eastAsia="fr-CH"/>
        </w:rPr>
        <w:t>35.</w:t>
      </w:r>
      <w:r>
        <w:rPr>
          <w:lang w:val="fr-FR" w:eastAsia="fr-CH"/>
        </w:rPr>
        <w:tab/>
      </w:r>
      <w:r w:rsidR="00714913" w:rsidRPr="0050369B">
        <w:rPr>
          <w:lang w:val="fr-FR" w:eastAsia="fr-CH"/>
        </w:rPr>
        <w:t>Elle invit</w:t>
      </w:r>
      <w:r w:rsidR="00714913">
        <w:rPr>
          <w:lang w:val="fr-FR" w:eastAsia="fr-CH"/>
        </w:rPr>
        <w:t>e</w:t>
      </w:r>
      <w:r w:rsidR="00714913" w:rsidRPr="0050369B">
        <w:rPr>
          <w:lang w:val="fr-FR" w:eastAsia="fr-CH"/>
        </w:rPr>
        <w:t xml:space="preserve"> la délégation </w:t>
      </w:r>
      <w:r w:rsidR="00714913">
        <w:rPr>
          <w:lang w:val="fr-FR" w:eastAsia="fr-CH"/>
        </w:rPr>
        <w:t xml:space="preserve">à </w:t>
      </w:r>
      <w:r w:rsidR="00714913" w:rsidRPr="0050369B">
        <w:rPr>
          <w:lang w:val="fr-FR" w:eastAsia="fr-CH"/>
        </w:rPr>
        <w:t>expliquer pourquoi l</w:t>
      </w:r>
      <w:r w:rsidR="00714913">
        <w:rPr>
          <w:lang w:val="fr-FR" w:eastAsia="fr-CH"/>
        </w:rPr>
        <w:t>’</w:t>
      </w:r>
      <w:r w:rsidR="00714913" w:rsidRPr="0050369B">
        <w:rPr>
          <w:lang w:val="fr-FR" w:eastAsia="fr-CH"/>
        </w:rPr>
        <w:t xml:space="preserve">État partie a rejeté les recommandations, </w:t>
      </w:r>
      <w:r w:rsidR="00714913">
        <w:rPr>
          <w:lang w:val="fr-FR" w:eastAsia="fr-CH"/>
        </w:rPr>
        <w:t xml:space="preserve">figurant </w:t>
      </w:r>
      <w:r w:rsidR="00714913" w:rsidRPr="0050369B">
        <w:rPr>
          <w:lang w:val="fr-FR" w:eastAsia="fr-CH"/>
        </w:rPr>
        <w:t>dans le rapport du groupe de travail sur l</w:t>
      </w:r>
      <w:r w:rsidR="00714913">
        <w:rPr>
          <w:lang w:val="fr-FR" w:eastAsia="fr-CH"/>
        </w:rPr>
        <w:t>’E</w:t>
      </w:r>
      <w:r w:rsidR="00714913" w:rsidRPr="0050369B">
        <w:rPr>
          <w:lang w:val="fr-FR" w:eastAsia="fr-CH"/>
        </w:rPr>
        <w:t xml:space="preserve">xamen périodique universel (A/HRC/11/22, par. 132), </w:t>
      </w:r>
      <w:r w:rsidR="00714913">
        <w:rPr>
          <w:lang w:val="fr-FR" w:eastAsia="fr-CH"/>
        </w:rPr>
        <w:t xml:space="preserve">demandant la libération des </w:t>
      </w:r>
      <w:r w:rsidR="00714913" w:rsidRPr="0050369B">
        <w:rPr>
          <w:lang w:val="fr-FR" w:eastAsia="fr-CH"/>
        </w:rPr>
        <w:t xml:space="preserve">prisonniers </w:t>
      </w:r>
      <w:r w:rsidR="00714913">
        <w:rPr>
          <w:lang w:val="fr-FR" w:eastAsia="fr-CH"/>
        </w:rPr>
        <w:t>de conscience, et à expliquer</w:t>
      </w:r>
      <w:r w:rsidR="00714913" w:rsidRPr="0050369B">
        <w:rPr>
          <w:lang w:val="fr-FR" w:eastAsia="fr-CH"/>
        </w:rPr>
        <w:t xml:space="preserve"> exactement </w:t>
      </w:r>
      <w:r w:rsidR="00714913">
        <w:rPr>
          <w:lang w:val="fr-FR" w:eastAsia="fr-CH"/>
        </w:rPr>
        <w:t xml:space="preserve">de </w:t>
      </w:r>
      <w:r w:rsidR="00714913" w:rsidRPr="0050369B">
        <w:rPr>
          <w:lang w:val="fr-FR" w:eastAsia="fr-CH"/>
        </w:rPr>
        <w:t xml:space="preserve">quels droits </w:t>
      </w:r>
      <w:r w:rsidR="00714913">
        <w:rPr>
          <w:lang w:val="fr-FR" w:eastAsia="fr-CH"/>
        </w:rPr>
        <w:t>jouissent c</w:t>
      </w:r>
      <w:r w:rsidR="00714913" w:rsidRPr="0050369B">
        <w:rPr>
          <w:lang w:val="fr-FR" w:eastAsia="fr-CH"/>
        </w:rPr>
        <w:t>es personnes dans l</w:t>
      </w:r>
      <w:r w:rsidR="00714913">
        <w:rPr>
          <w:lang w:val="fr-FR" w:eastAsia="fr-CH"/>
        </w:rPr>
        <w:t>’</w:t>
      </w:r>
      <w:r w:rsidR="00714913" w:rsidRPr="0050369B">
        <w:rPr>
          <w:lang w:val="fr-FR" w:eastAsia="fr-CH"/>
        </w:rPr>
        <w:t xml:space="preserve">État partie. Elle </w:t>
      </w:r>
      <w:r w:rsidR="00714913">
        <w:rPr>
          <w:lang w:val="fr-FR" w:eastAsia="fr-CH"/>
        </w:rPr>
        <w:t xml:space="preserve">renouvelle </w:t>
      </w:r>
      <w:r w:rsidR="00714913" w:rsidRPr="0050369B">
        <w:rPr>
          <w:lang w:val="fr-FR" w:eastAsia="fr-CH"/>
        </w:rPr>
        <w:t xml:space="preserve">la demande </w:t>
      </w:r>
      <w:r w:rsidR="00714913">
        <w:rPr>
          <w:lang w:val="fr-FR" w:eastAsia="fr-CH"/>
        </w:rPr>
        <w:t>d’informations formulée par le</w:t>
      </w:r>
      <w:r w:rsidR="00714913" w:rsidRPr="0050369B">
        <w:rPr>
          <w:lang w:val="fr-FR" w:eastAsia="fr-CH"/>
        </w:rPr>
        <w:t xml:space="preserve"> Comité </w:t>
      </w:r>
      <w:r w:rsidR="00714913">
        <w:rPr>
          <w:lang w:val="fr-FR" w:eastAsia="fr-CH"/>
        </w:rPr>
        <w:t>au sujet d’éventuels refus enregistrés d’aide judiciaire qui se seraient produits au cours de la période à l’examen,</w:t>
      </w:r>
      <w:r w:rsidR="00714913" w:rsidRPr="0050369B">
        <w:rPr>
          <w:lang w:val="fr-FR" w:eastAsia="fr-CH"/>
        </w:rPr>
        <w:t xml:space="preserve"> et demand</w:t>
      </w:r>
      <w:r w:rsidR="00714913">
        <w:rPr>
          <w:lang w:val="fr-FR" w:eastAsia="fr-CH"/>
        </w:rPr>
        <w:t>e</w:t>
      </w:r>
      <w:r w:rsidR="00714913" w:rsidRPr="0050369B">
        <w:rPr>
          <w:lang w:val="fr-FR" w:eastAsia="fr-CH"/>
        </w:rPr>
        <w:t xml:space="preserve"> combien de visites </w:t>
      </w:r>
      <w:r w:rsidR="00714913">
        <w:rPr>
          <w:lang w:val="fr-FR" w:eastAsia="fr-CH"/>
        </w:rPr>
        <w:t>ont été effectuées au cours de la même période</w:t>
      </w:r>
      <w:r w:rsidR="00714913" w:rsidRPr="0050369B">
        <w:rPr>
          <w:lang w:val="fr-FR" w:eastAsia="fr-CH"/>
        </w:rPr>
        <w:t xml:space="preserve"> par le Comité </w:t>
      </w:r>
      <w:r w:rsidR="00EA37EA">
        <w:rPr>
          <w:lang w:val="fr-FR" w:eastAsia="fr-CH"/>
        </w:rPr>
        <w:t>i</w:t>
      </w:r>
      <w:r w:rsidR="00714913" w:rsidRPr="0050369B">
        <w:rPr>
          <w:lang w:val="fr-FR" w:eastAsia="fr-CH"/>
        </w:rPr>
        <w:t xml:space="preserve">nternational de la Croix-Rouge dans </w:t>
      </w:r>
      <w:r w:rsidR="00714913">
        <w:rPr>
          <w:lang w:val="fr-FR" w:eastAsia="fr-CH"/>
        </w:rPr>
        <w:t>les lieux de détention</w:t>
      </w:r>
      <w:r w:rsidR="00714913" w:rsidRPr="0050369B">
        <w:rPr>
          <w:lang w:val="fr-FR" w:eastAsia="fr-CH"/>
        </w:rPr>
        <w:t>.</w:t>
      </w:r>
    </w:p>
    <w:p w:rsidR="00714913" w:rsidRPr="0050369B" w:rsidRDefault="00754D3E" w:rsidP="009750BD">
      <w:pPr>
        <w:pStyle w:val="SingleTxtG"/>
        <w:rPr>
          <w:lang w:val="fr-CH" w:eastAsia="fr-CH"/>
        </w:rPr>
      </w:pPr>
      <w:r>
        <w:rPr>
          <w:lang w:val="fr-CH" w:eastAsia="fr-CH"/>
        </w:rPr>
        <w:t>36.</w:t>
      </w:r>
      <w:r>
        <w:rPr>
          <w:lang w:val="fr-CH" w:eastAsia="fr-CH"/>
        </w:rPr>
        <w:tab/>
      </w:r>
      <w:r w:rsidR="00714913" w:rsidRPr="0050369B">
        <w:rPr>
          <w:b/>
          <w:bCs/>
          <w:lang w:val="fr-CH" w:eastAsia="fr-CH"/>
        </w:rPr>
        <w:t>M. Wang</w:t>
      </w:r>
      <w:r w:rsidR="00714913" w:rsidRPr="0050369B">
        <w:rPr>
          <w:b/>
          <w:bCs/>
          <w:lang w:val="fr-FR" w:eastAsia="fr-CH"/>
        </w:rPr>
        <w:t xml:space="preserve"> </w:t>
      </w:r>
      <w:r w:rsidR="00714913" w:rsidRPr="0050369B">
        <w:rPr>
          <w:lang w:val="fr-FR" w:eastAsia="fr-CH"/>
        </w:rPr>
        <w:t>Xuexian, notant que l</w:t>
      </w:r>
      <w:r w:rsidR="00714913">
        <w:rPr>
          <w:lang w:val="fr-FR" w:eastAsia="fr-CH"/>
        </w:rPr>
        <w:t>’</w:t>
      </w:r>
      <w:r w:rsidR="00714913" w:rsidRPr="0050369B">
        <w:rPr>
          <w:lang w:val="fr-FR" w:eastAsia="fr-CH"/>
        </w:rPr>
        <w:t>État partie n</w:t>
      </w:r>
      <w:r w:rsidR="00714913">
        <w:rPr>
          <w:lang w:val="fr-FR" w:eastAsia="fr-CH"/>
        </w:rPr>
        <w:t>’</w:t>
      </w:r>
      <w:r w:rsidR="00714913" w:rsidRPr="0050369B">
        <w:rPr>
          <w:lang w:val="fr-FR" w:eastAsia="fr-CH"/>
        </w:rPr>
        <w:t>oblige pas les demandeurs d</w:t>
      </w:r>
      <w:r w:rsidR="00714913">
        <w:rPr>
          <w:lang w:val="fr-FR" w:eastAsia="fr-CH"/>
        </w:rPr>
        <w:t>’</w:t>
      </w:r>
      <w:r w:rsidR="00714913" w:rsidRPr="0050369B">
        <w:rPr>
          <w:lang w:val="fr-FR" w:eastAsia="fr-CH"/>
        </w:rPr>
        <w:t>asile à retourner dans leur pays d</w:t>
      </w:r>
      <w:r w:rsidR="00714913">
        <w:rPr>
          <w:lang w:val="fr-FR" w:eastAsia="fr-CH"/>
        </w:rPr>
        <w:t>’</w:t>
      </w:r>
      <w:r w:rsidR="00714913" w:rsidRPr="0050369B">
        <w:rPr>
          <w:lang w:val="fr-FR" w:eastAsia="fr-CH"/>
        </w:rPr>
        <w:t>origine si le Haut-Commissa</w:t>
      </w:r>
      <w:r w:rsidR="00714913">
        <w:rPr>
          <w:lang w:val="fr-FR" w:eastAsia="fr-CH"/>
        </w:rPr>
        <w:t>riat</w:t>
      </w:r>
      <w:r w:rsidR="00714913" w:rsidRPr="0050369B">
        <w:rPr>
          <w:lang w:val="fr-FR" w:eastAsia="fr-CH"/>
        </w:rPr>
        <w:t xml:space="preserve"> des Nations Unies pour les réfugiés </w:t>
      </w:r>
      <w:r w:rsidR="00714913">
        <w:rPr>
          <w:lang w:val="fr-FR" w:eastAsia="fr-CH"/>
        </w:rPr>
        <w:t xml:space="preserve">ne répond pas à </w:t>
      </w:r>
      <w:r w:rsidR="00714913" w:rsidRPr="0050369B">
        <w:rPr>
          <w:lang w:val="fr-FR" w:eastAsia="fr-CH"/>
        </w:rPr>
        <w:t>leurs demandes d</w:t>
      </w:r>
      <w:r w:rsidR="00714913">
        <w:rPr>
          <w:lang w:val="fr-FR" w:eastAsia="fr-CH"/>
        </w:rPr>
        <w:t>’</w:t>
      </w:r>
      <w:r w:rsidR="00714913" w:rsidRPr="0050369B">
        <w:rPr>
          <w:lang w:val="fr-FR" w:eastAsia="fr-CH"/>
        </w:rPr>
        <w:t xml:space="preserve">asile dans </w:t>
      </w:r>
      <w:r w:rsidR="00714913">
        <w:rPr>
          <w:lang w:val="fr-FR" w:eastAsia="fr-CH"/>
        </w:rPr>
        <w:t xml:space="preserve">la période </w:t>
      </w:r>
      <w:r w:rsidR="00714913" w:rsidRPr="0050369B">
        <w:rPr>
          <w:lang w:val="fr-FR" w:eastAsia="fr-CH"/>
        </w:rPr>
        <w:t xml:space="preserve">de </w:t>
      </w:r>
      <w:r w:rsidR="009750BD">
        <w:rPr>
          <w:lang w:val="fr-FR" w:eastAsia="fr-CH"/>
        </w:rPr>
        <w:t>quatre-vingt-dix</w:t>
      </w:r>
      <w:r w:rsidR="00714913" w:rsidRPr="0050369B">
        <w:rPr>
          <w:lang w:val="fr-FR" w:eastAsia="fr-CH"/>
        </w:rPr>
        <w:t xml:space="preserve"> jours </w:t>
      </w:r>
      <w:r w:rsidR="00714913">
        <w:rPr>
          <w:lang w:val="fr-FR" w:eastAsia="fr-CH"/>
        </w:rPr>
        <w:t>pendant laquelle ils sont</w:t>
      </w:r>
      <w:r w:rsidR="00714913" w:rsidRPr="0050369B">
        <w:rPr>
          <w:lang w:val="fr-FR" w:eastAsia="fr-CH"/>
        </w:rPr>
        <w:t xml:space="preserve"> autorisés à rester dans le pays, demand</w:t>
      </w:r>
      <w:r w:rsidR="00714913">
        <w:rPr>
          <w:lang w:val="fr-FR" w:eastAsia="fr-CH"/>
        </w:rPr>
        <w:t>e</w:t>
      </w:r>
      <w:r w:rsidR="00714913" w:rsidRPr="0050369B">
        <w:rPr>
          <w:lang w:val="fr-FR" w:eastAsia="fr-CH"/>
        </w:rPr>
        <w:t xml:space="preserve"> où ils </w:t>
      </w:r>
      <w:r w:rsidR="00714913">
        <w:rPr>
          <w:lang w:val="fr-FR" w:eastAsia="fr-CH"/>
        </w:rPr>
        <w:t>s</w:t>
      </w:r>
      <w:r w:rsidR="00714913" w:rsidRPr="0050369B">
        <w:rPr>
          <w:lang w:val="fr-FR" w:eastAsia="fr-CH"/>
        </w:rPr>
        <w:t xml:space="preserve">ont envoyés à la place. </w:t>
      </w:r>
      <w:r w:rsidR="00714913">
        <w:rPr>
          <w:lang w:val="fr-FR" w:eastAsia="fr-CH"/>
        </w:rPr>
        <w:t xml:space="preserve">L’intervenant voudrait </w:t>
      </w:r>
      <w:r w:rsidR="00714913" w:rsidRPr="0050369B">
        <w:rPr>
          <w:lang w:val="fr-FR" w:eastAsia="fr-CH"/>
        </w:rPr>
        <w:t xml:space="preserve">aussi savoir quelles </w:t>
      </w:r>
      <w:r w:rsidR="00714913">
        <w:rPr>
          <w:lang w:val="fr-FR" w:eastAsia="fr-CH"/>
        </w:rPr>
        <w:t xml:space="preserve">sanctions ont </w:t>
      </w:r>
      <w:r w:rsidR="00714913" w:rsidRPr="0050369B">
        <w:rPr>
          <w:lang w:val="fr-FR" w:eastAsia="fr-CH"/>
        </w:rPr>
        <w:t xml:space="preserve">été </w:t>
      </w:r>
      <w:r w:rsidR="00714913">
        <w:rPr>
          <w:lang w:val="fr-FR" w:eastAsia="fr-CH"/>
        </w:rPr>
        <w:t>prononcées contre les 46 agents des forces de l’ordre à propos desquels le Cabinet</w:t>
      </w:r>
      <w:r w:rsidR="00714913" w:rsidRPr="0050369B">
        <w:rPr>
          <w:lang w:val="fr-FR" w:eastAsia="fr-CH"/>
        </w:rPr>
        <w:t xml:space="preserve"> d</w:t>
      </w:r>
      <w:r w:rsidR="00714913">
        <w:rPr>
          <w:lang w:val="fr-FR" w:eastAsia="fr-CH"/>
        </w:rPr>
        <w:t>e l’</w:t>
      </w:r>
      <w:r w:rsidR="009750BD">
        <w:rPr>
          <w:lang w:val="fr-FR" w:eastAsia="fr-CH"/>
        </w:rPr>
        <w:t>a</w:t>
      </w:r>
      <w:r w:rsidR="00714913">
        <w:rPr>
          <w:lang w:val="fr-FR" w:eastAsia="fr-CH"/>
        </w:rPr>
        <w:t xml:space="preserve">vocat général, à la suite de son enquête sur des plaintes faisant état de cas de </w:t>
      </w:r>
      <w:r w:rsidR="00714913" w:rsidRPr="0050369B">
        <w:rPr>
          <w:lang w:val="fr-FR" w:eastAsia="fr-CH"/>
        </w:rPr>
        <w:t>mauvais traitements</w:t>
      </w:r>
      <w:r w:rsidR="00714913">
        <w:rPr>
          <w:lang w:val="fr-FR" w:eastAsia="fr-CH"/>
        </w:rPr>
        <w:t>, a estimé qu’ils étaient passibles de poursuites pénales</w:t>
      </w:r>
      <w:r w:rsidR="00714913" w:rsidRPr="0050369B">
        <w:rPr>
          <w:lang w:val="fr-FR" w:eastAsia="fr-CH"/>
        </w:rPr>
        <w:t xml:space="preserve">. </w:t>
      </w:r>
      <w:r w:rsidR="00714913">
        <w:rPr>
          <w:lang w:val="fr-FR" w:eastAsia="fr-CH"/>
        </w:rPr>
        <w:t xml:space="preserve">Une indemnité a-t-elle </w:t>
      </w:r>
      <w:r w:rsidR="00714913" w:rsidRPr="0050369B">
        <w:rPr>
          <w:lang w:val="fr-FR" w:eastAsia="fr-CH"/>
        </w:rPr>
        <w:t xml:space="preserve">été </w:t>
      </w:r>
      <w:r w:rsidR="00714913">
        <w:rPr>
          <w:lang w:val="fr-FR" w:eastAsia="fr-CH"/>
        </w:rPr>
        <w:t>accordée aux victimes</w:t>
      </w:r>
      <w:r w:rsidR="00714913" w:rsidRPr="0050369B">
        <w:rPr>
          <w:lang w:val="fr-FR" w:eastAsia="fr-CH"/>
        </w:rPr>
        <w:t xml:space="preserve">? </w:t>
      </w:r>
      <w:r w:rsidR="00714913">
        <w:rPr>
          <w:lang w:val="fr-FR" w:eastAsia="fr-CH"/>
        </w:rPr>
        <w:t xml:space="preserve">L’intervenant répète </w:t>
      </w:r>
      <w:r w:rsidR="00714913" w:rsidRPr="0050369B">
        <w:rPr>
          <w:lang w:val="fr-FR" w:eastAsia="fr-CH"/>
        </w:rPr>
        <w:t xml:space="preserve">la demande </w:t>
      </w:r>
      <w:r w:rsidR="00714913">
        <w:rPr>
          <w:lang w:val="fr-FR" w:eastAsia="fr-CH"/>
        </w:rPr>
        <w:t xml:space="preserve">d’informations formulée par le </w:t>
      </w:r>
      <w:r w:rsidR="00714913" w:rsidRPr="0050369B">
        <w:rPr>
          <w:lang w:val="fr-FR" w:eastAsia="fr-CH"/>
        </w:rPr>
        <w:t xml:space="preserve">Comité sur </w:t>
      </w:r>
      <w:r w:rsidR="00714913">
        <w:rPr>
          <w:lang w:val="fr-FR" w:eastAsia="fr-CH"/>
        </w:rPr>
        <w:t>d’éventuels jugements d’irrecevabilité prononcés par les tribunaux au motif qu’il avait été fait usage d’éléments de preuve ou de</w:t>
      </w:r>
      <w:r w:rsidR="00714913" w:rsidRPr="0050369B">
        <w:rPr>
          <w:lang w:val="fr-FR" w:eastAsia="fr-CH"/>
        </w:rPr>
        <w:t xml:space="preserve"> témoignage</w:t>
      </w:r>
      <w:r w:rsidR="00714913">
        <w:rPr>
          <w:lang w:val="fr-FR" w:eastAsia="fr-CH"/>
        </w:rPr>
        <w:t>s</w:t>
      </w:r>
      <w:r w:rsidR="00714913" w:rsidRPr="0050369B">
        <w:rPr>
          <w:lang w:val="fr-FR" w:eastAsia="fr-CH"/>
        </w:rPr>
        <w:t xml:space="preserve"> obtenu</w:t>
      </w:r>
      <w:r w:rsidR="00714913">
        <w:rPr>
          <w:lang w:val="fr-FR" w:eastAsia="fr-CH"/>
        </w:rPr>
        <w:t>s</w:t>
      </w:r>
      <w:r w:rsidR="00714913" w:rsidRPr="0050369B">
        <w:rPr>
          <w:lang w:val="fr-FR" w:eastAsia="fr-CH"/>
        </w:rPr>
        <w:t xml:space="preserve"> </w:t>
      </w:r>
      <w:r w:rsidR="00714913">
        <w:rPr>
          <w:lang w:val="fr-FR" w:eastAsia="fr-CH"/>
        </w:rPr>
        <w:t xml:space="preserve">en recourant à </w:t>
      </w:r>
      <w:r w:rsidR="00714913" w:rsidRPr="0050369B">
        <w:rPr>
          <w:lang w:val="fr-FR" w:eastAsia="fr-CH"/>
        </w:rPr>
        <w:t xml:space="preserve">la torture ou </w:t>
      </w:r>
      <w:r w:rsidR="00714913">
        <w:rPr>
          <w:lang w:val="fr-FR" w:eastAsia="fr-CH"/>
        </w:rPr>
        <w:t xml:space="preserve">à des </w:t>
      </w:r>
      <w:r w:rsidR="00714913" w:rsidRPr="0050369B">
        <w:rPr>
          <w:lang w:val="fr-FR" w:eastAsia="fr-CH"/>
        </w:rPr>
        <w:t xml:space="preserve">mauvais traitements. </w:t>
      </w:r>
      <w:r w:rsidR="00714913">
        <w:rPr>
          <w:lang w:val="fr-FR" w:eastAsia="fr-CH"/>
        </w:rPr>
        <w:t xml:space="preserve">L’intervenant voudrait </w:t>
      </w:r>
      <w:r w:rsidR="00714913" w:rsidRPr="0050369B">
        <w:rPr>
          <w:lang w:val="fr-FR" w:eastAsia="fr-CH"/>
        </w:rPr>
        <w:t>savoir si la présomption d</w:t>
      </w:r>
      <w:r w:rsidR="00714913">
        <w:rPr>
          <w:lang w:val="fr-FR" w:eastAsia="fr-CH"/>
        </w:rPr>
        <w:t>’</w:t>
      </w:r>
      <w:r w:rsidR="00714913" w:rsidRPr="0050369B">
        <w:rPr>
          <w:lang w:val="fr-FR" w:eastAsia="fr-CH"/>
        </w:rPr>
        <w:t xml:space="preserve">innocence et le droit de </w:t>
      </w:r>
      <w:r w:rsidR="00714913">
        <w:rPr>
          <w:lang w:val="fr-FR" w:eastAsia="fr-CH"/>
        </w:rPr>
        <w:t>rester silencieux ont</w:t>
      </w:r>
      <w:r w:rsidR="00714913" w:rsidRPr="0050369B">
        <w:rPr>
          <w:lang w:val="fr-FR" w:eastAsia="fr-CH"/>
        </w:rPr>
        <w:t xml:space="preserve"> été incorporé</w:t>
      </w:r>
      <w:r w:rsidR="00714913">
        <w:rPr>
          <w:lang w:val="fr-FR" w:eastAsia="fr-CH"/>
        </w:rPr>
        <w:t>s</w:t>
      </w:r>
      <w:r w:rsidR="00714913" w:rsidRPr="0050369B">
        <w:rPr>
          <w:lang w:val="fr-FR" w:eastAsia="fr-CH"/>
        </w:rPr>
        <w:t xml:space="preserve"> </w:t>
      </w:r>
      <w:r w:rsidR="00714913">
        <w:rPr>
          <w:lang w:val="fr-FR" w:eastAsia="fr-CH"/>
        </w:rPr>
        <w:t xml:space="preserve">à </w:t>
      </w:r>
      <w:r w:rsidR="00714913" w:rsidRPr="0050369B">
        <w:rPr>
          <w:lang w:val="fr-FR" w:eastAsia="fr-CH"/>
        </w:rPr>
        <w:t>la législation de l</w:t>
      </w:r>
      <w:r w:rsidR="00714913">
        <w:rPr>
          <w:lang w:val="fr-FR" w:eastAsia="fr-CH"/>
        </w:rPr>
        <w:t>’</w:t>
      </w:r>
      <w:r w:rsidR="00714913" w:rsidRPr="0050369B">
        <w:rPr>
          <w:lang w:val="fr-FR" w:eastAsia="fr-CH"/>
        </w:rPr>
        <w:t>État partie.</w:t>
      </w:r>
    </w:p>
    <w:p w:rsidR="00714913" w:rsidRPr="0050369B" w:rsidRDefault="00754D3E" w:rsidP="007C0DAA">
      <w:pPr>
        <w:pStyle w:val="SingleTxtG"/>
        <w:rPr>
          <w:lang w:val="fr-CH" w:eastAsia="fr-CH"/>
        </w:rPr>
      </w:pPr>
      <w:r>
        <w:rPr>
          <w:lang w:val="fr-CH" w:eastAsia="fr-CH"/>
        </w:rPr>
        <w:t>37.</w:t>
      </w:r>
      <w:r>
        <w:rPr>
          <w:lang w:val="fr-CH" w:eastAsia="fr-CH"/>
        </w:rPr>
        <w:tab/>
      </w:r>
      <w:r w:rsidR="00714913" w:rsidRPr="0050369B">
        <w:rPr>
          <w:b/>
          <w:bCs/>
          <w:lang w:val="fr-CH" w:eastAsia="fr-CH"/>
        </w:rPr>
        <w:t>M. Tugushi</w:t>
      </w:r>
      <w:r w:rsidR="00714913" w:rsidRPr="0050369B">
        <w:rPr>
          <w:lang w:val="fr-FR" w:eastAsia="fr-CH"/>
        </w:rPr>
        <w:t>, notant l</w:t>
      </w:r>
      <w:r w:rsidR="00714913">
        <w:rPr>
          <w:lang w:val="fr-FR" w:eastAsia="fr-CH"/>
        </w:rPr>
        <w:t>’</w:t>
      </w:r>
      <w:r w:rsidR="00714913" w:rsidRPr="0050369B">
        <w:rPr>
          <w:lang w:val="fr-FR" w:eastAsia="fr-CH"/>
        </w:rPr>
        <w:t>affirmation de l</w:t>
      </w:r>
      <w:r w:rsidR="00714913">
        <w:rPr>
          <w:lang w:val="fr-FR" w:eastAsia="fr-CH"/>
        </w:rPr>
        <w:t>’</w:t>
      </w:r>
      <w:r w:rsidR="00714913" w:rsidRPr="0050369B">
        <w:rPr>
          <w:lang w:val="fr-FR" w:eastAsia="fr-CH"/>
        </w:rPr>
        <w:t xml:space="preserve">État partie </w:t>
      </w:r>
      <w:r w:rsidR="00714913">
        <w:rPr>
          <w:lang w:val="fr-FR" w:eastAsia="fr-CH"/>
        </w:rPr>
        <w:t>selon laquelle le Cabinet</w:t>
      </w:r>
      <w:r w:rsidR="00714913" w:rsidRPr="0050369B">
        <w:rPr>
          <w:lang w:val="fr-FR" w:eastAsia="fr-CH"/>
        </w:rPr>
        <w:t xml:space="preserve"> du Procureur général de la République jou</w:t>
      </w:r>
      <w:r w:rsidR="00714913">
        <w:rPr>
          <w:lang w:val="fr-FR" w:eastAsia="fr-CH"/>
        </w:rPr>
        <w:t>e</w:t>
      </w:r>
      <w:r w:rsidR="00714913" w:rsidRPr="0050369B">
        <w:rPr>
          <w:lang w:val="fr-FR" w:eastAsia="fr-CH"/>
        </w:rPr>
        <w:t xml:space="preserve"> le rôle d</w:t>
      </w:r>
      <w:r w:rsidR="00714913">
        <w:rPr>
          <w:lang w:val="fr-FR" w:eastAsia="fr-CH"/>
        </w:rPr>
        <w:t>’</w:t>
      </w:r>
      <w:r w:rsidR="00714913" w:rsidRPr="0050369B">
        <w:rPr>
          <w:lang w:val="fr-FR" w:eastAsia="fr-CH"/>
        </w:rPr>
        <w:t xml:space="preserve">institution nationale </w:t>
      </w:r>
      <w:r w:rsidR="00714913">
        <w:rPr>
          <w:lang w:val="fr-FR" w:eastAsia="fr-CH"/>
        </w:rPr>
        <w:t xml:space="preserve">de défense </w:t>
      </w:r>
      <w:r w:rsidR="00714913" w:rsidRPr="0050369B">
        <w:rPr>
          <w:lang w:val="fr-FR" w:eastAsia="fr-CH"/>
        </w:rPr>
        <w:t>des droits de l</w:t>
      </w:r>
      <w:r w:rsidR="00714913">
        <w:rPr>
          <w:lang w:val="fr-FR" w:eastAsia="fr-CH"/>
        </w:rPr>
        <w:t>’</w:t>
      </w:r>
      <w:r w:rsidR="00714913" w:rsidRPr="0050369B">
        <w:rPr>
          <w:lang w:val="fr-FR" w:eastAsia="fr-CH"/>
        </w:rPr>
        <w:t>homme, soulign</w:t>
      </w:r>
      <w:r w:rsidR="00714913">
        <w:rPr>
          <w:lang w:val="fr-FR" w:eastAsia="fr-CH"/>
        </w:rPr>
        <w:t>e</w:t>
      </w:r>
      <w:r w:rsidR="00714913" w:rsidRPr="0050369B">
        <w:rPr>
          <w:lang w:val="fr-FR" w:eastAsia="fr-CH"/>
        </w:rPr>
        <w:t xml:space="preserve"> que le Comité </w:t>
      </w:r>
      <w:r w:rsidR="00714913">
        <w:rPr>
          <w:lang w:val="fr-FR" w:eastAsia="fr-CH"/>
        </w:rPr>
        <w:t xml:space="preserve">voudrait </w:t>
      </w:r>
      <w:r w:rsidR="00714913" w:rsidRPr="0050369B">
        <w:rPr>
          <w:lang w:val="fr-FR" w:eastAsia="fr-CH"/>
        </w:rPr>
        <w:t xml:space="preserve">savoir si </w:t>
      </w:r>
      <w:r w:rsidR="00714913">
        <w:rPr>
          <w:lang w:val="fr-FR" w:eastAsia="fr-CH"/>
        </w:rPr>
        <w:t xml:space="preserve">l’État partie </w:t>
      </w:r>
      <w:r w:rsidR="00714913" w:rsidRPr="0050369B">
        <w:rPr>
          <w:lang w:val="fr-FR" w:eastAsia="fr-CH"/>
        </w:rPr>
        <w:t xml:space="preserve">envisage de </w:t>
      </w:r>
      <w:r w:rsidR="00714913">
        <w:rPr>
          <w:lang w:val="fr-FR" w:eastAsia="fr-CH"/>
        </w:rPr>
        <w:t xml:space="preserve">créer </w:t>
      </w:r>
      <w:r w:rsidR="00714913" w:rsidRPr="0050369B">
        <w:rPr>
          <w:lang w:val="fr-FR" w:eastAsia="fr-CH"/>
        </w:rPr>
        <w:t>une telle institution conform</w:t>
      </w:r>
      <w:r w:rsidR="00714913">
        <w:rPr>
          <w:lang w:val="fr-FR" w:eastAsia="fr-CH"/>
        </w:rPr>
        <w:t xml:space="preserve">ément </w:t>
      </w:r>
      <w:r w:rsidR="00714913" w:rsidRPr="0050369B">
        <w:rPr>
          <w:lang w:val="fr-FR" w:eastAsia="fr-CH"/>
        </w:rPr>
        <w:t xml:space="preserve">aux </w:t>
      </w:r>
      <w:r w:rsidR="00714913">
        <w:rPr>
          <w:lang w:val="fr-FR" w:eastAsia="fr-CH"/>
        </w:rPr>
        <w:t>P</w:t>
      </w:r>
      <w:r w:rsidR="00714913" w:rsidRPr="0050369B">
        <w:rPr>
          <w:lang w:val="fr-FR" w:eastAsia="fr-CH"/>
        </w:rPr>
        <w:t xml:space="preserve">rincipes de Paris. Il </w:t>
      </w:r>
      <w:r w:rsidR="00714913">
        <w:rPr>
          <w:lang w:val="fr-FR" w:eastAsia="fr-CH"/>
        </w:rPr>
        <w:t xml:space="preserve">voudrait </w:t>
      </w:r>
      <w:r w:rsidR="00714913" w:rsidRPr="0050369B">
        <w:rPr>
          <w:lang w:val="fr-FR" w:eastAsia="fr-CH"/>
        </w:rPr>
        <w:t>aussi savoir si l</w:t>
      </w:r>
      <w:r w:rsidR="00714913">
        <w:rPr>
          <w:lang w:val="fr-FR" w:eastAsia="fr-CH"/>
        </w:rPr>
        <w:t>’</w:t>
      </w:r>
      <w:r w:rsidR="00714913" w:rsidRPr="0050369B">
        <w:rPr>
          <w:lang w:val="fr-FR" w:eastAsia="fr-CH"/>
        </w:rPr>
        <w:t xml:space="preserve">État partie </w:t>
      </w:r>
      <w:r w:rsidR="00714913">
        <w:rPr>
          <w:lang w:val="fr-FR" w:eastAsia="fr-CH"/>
        </w:rPr>
        <w:t xml:space="preserve">envisage </w:t>
      </w:r>
      <w:r w:rsidR="00714913" w:rsidRPr="0050369B">
        <w:rPr>
          <w:lang w:val="fr-FR" w:eastAsia="fr-CH"/>
        </w:rPr>
        <w:t>d</w:t>
      </w:r>
      <w:r w:rsidR="00714913">
        <w:rPr>
          <w:lang w:val="fr-FR" w:eastAsia="fr-CH"/>
        </w:rPr>
        <w:t>’</w:t>
      </w:r>
      <w:r w:rsidR="00714913" w:rsidRPr="0050369B">
        <w:rPr>
          <w:lang w:val="fr-FR" w:eastAsia="fr-CH"/>
        </w:rPr>
        <w:t xml:space="preserve">adhérer au </w:t>
      </w:r>
      <w:r w:rsidR="00714913">
        <w:rPr>
          <w:lang w:val="fr-FR" w:eastAsia="fr-CH"/>
        </w:rPr>
        <w:t>P</w:t>
      </w:r>
      <w:r w:rsidR="00714913" w:rsidRPr="0050369B">
        <w:rPr>
          <w:lang w:val="fr-FR" w:eastAsia="fr-CH"/>
        </w:rPr>
        <w:t xml:space="preserve">rotocole facultatif </w:t>
      </w:r>
      <w:r w:rsidR="00714913">
        <w:rPr>
          <w:lang w:val="fr-FR" w:eastAsia="fr-CH"/>
        </w:rPr>
        <w:t xml:space="preserve">se rapportant </w:t>
      </w:r>
      <w:r w:rsidR="00714913" w:rsidRPr="0050369B">
        <w:rPr>
          <w:lang w:val="fr-FR" w:eastAsia="fr-CH"/>
        </w:rPr>
        <w:t xml:space="preserve">à la Convention contre la </w:t>
      </w:r>
      <w:r w:rsidR="00714913">
        <w:rPr>
          <w:lang w:val="fr-FR" w:eastAsia="fr-CH"/>
        </w:rPr>
        <w:t>t</w:t>
      </w:r>
      <w:r w:rsidR="00714913" w:rsidRPr="0050369B">
        <w:rPr>
          <w:lang w:val="fr-FR" w:eastAsia="fr-CH"/>
        </w:rPr>
        <w:t xml:space="preserve">orture et autres </w:t>
      </w:r>
      <w:r w:rsidR="00714913">
        <w:rPr>
          <w:lang w:val="fr-FR" w:eastAsia="fr-CH"/>
        </w:rPr>
        <w:t xml:space="preserve">peines ou </w:t>
      </w:r>
      <w:r w:rsidR="00714913" w:rsidRPr="0050369B">
        <w:rPr>
          <w:lang w:val="fr-FR" w:eastAsia="fr-CH"/>
        </w:rPr>
        <w:t xml:space="preserve">traitements cruels, inhumains ou dégradants et de mettre en place un mécanisme </w:t>
      </w:r>
      <w:r w:rsidR="00714913">
        <w:rPr>
          <w:lang w:val="fr-FR" w:eastAsia="fr-CH"/>
        </w:rPr>
        <w:t xml:space="preserve">national </w:t>
      </w:r>
      <w:r w:rsidR="00714913" w:rsidRPr="0050369B">
        <w:rPr>
          <w:lang w:val="fr-FR" w:eastAsia="fr-CH"/>
        </w:rPr>
        <w:t xml:space="preserve">de prévention. Dans ce contexte, il </w:t>
      </w:r>
      <w:r w:rsidR="00714913">
        <w:rPr>
          <w:lang w:val="fr-FR" w:eastAsia="fr-CH"/>
        </w:rPr>
        <w:t xml:space="preserve">rappelle </w:t>
      </w:r>
      <w:r w:rsidR="00714913" w:rsidRPr="0050369B">
        <w:rPr>
          <w:lang w:val="fr-FR" w:eastAsia="fr-CH"/>
        </w:rPr>
        <w:t>que le Comité a</w:t>
      </w:r>
      <w:r w:rsidR="00714913">
        <w:rPr>
          <w:lang w:val="fr-FR" w:eastAsia="fr-CH"/>
        </w:rPr>
        <w:t xml:space="preserve"> </w:t>
      </w:r>
      <w:r w:rsidR="00714913" w:rsidRPr="0050369B">
        <w:rPr>
          <w:lang w:val="fr-FR" w:eastAsia="fr-CH"/>
        </w:rPr>
        <w:t>reçu de nombreu</w:t>
      </w:r>
      <w:r w:rsidR="00714913">
        <w:rPr>
          <w:lang w:val="fr-FR" w:eastAsia="fr-CH"/>
        </w:rPr>
        <w:t>ses informations signalant de</w:t>
      </w:r>
      <w:r w:rsidR="00714913" w:rsidRPr="0050369B">
        <w:rPr>
          <w:lang w:val="fr-FR" w:eastAsia="fr-CH"/>
        </w:rPr>
        <w:t xml:space="preserve"> mauvaises conditions carcérales, ainsi </w:t>
      </w:r>
      <w:r w:rsidR="00714913">
        <w:rPr>
          <w:lang w:val="fr-FR" w:eastAsia="fr-CH"/>
        </w:rPr>
        <w:t>que des</w:t>
      </w:r>
      <w:r w:rsidR="00714913" w:rsidRPr="0050369B">
        <w:rPr>
          <w:lang w:val="fr-FR" w:eastAsia="fr-CH"/>
        </w:rPr>
        <w:t xml:space="preserve"> passages à tabac de détenus et </w:t>
      </w:r>
      <w:r w:rsidR="00714913">
        <w:rPr>
          <w:lang w:val="fr-FR" w:eastAsia="fr-CH"/>
        </w:rPr>
        <w:t>le recours à la détention à</w:t>
      </w:r>
      <w:r w:rsidR="00714913" w:rsidRPr="0050369B">
        <w:rPr>
          <w:lang w:val="fr-FR" w:eastAsia="fr-CH"/>
        </w:rPr>
        <w:t xml:space="preserve"> l</w:t>
      </w:r>
      <w:r w:rsidR="00714913">
        <w:rPr>
          <w:lang w:val="fr-FR" w:eastAsia="fr-CH"/>
        </w:rPr>
        <w:t>’</w:t>
      </w:r>
      <w:r w:rsidR="00714913" w:rsidRPr="0050369B">
        <w:rPr>
          <w:lang w:val="fr-FR" w:eastAsia="fr-CH"/>
        </w:rPr>
        <w:t>isolement. Il demand</w:t>
      </w:r>
      <w:r w:rsidR="00714913">
        <w:rPr>
          <w:lang w:val="fr-FR" w:eastAsia="fr-CH"/>
        </w:rPr>
        <w:t xml:space="preserve">e des précisions au sujet d’informations selon lesquelles, </w:t>
      </w:r>
      <w:r w:rsidR="00714913" w:rsidRPr="0050369B">
        <w:rPr>
          <w:lang w:val="fr-FR" w:eastAsia="fr-CH"/>
        </w:rPr>
        <w:t xml:space="preserve">en 2010 et </w:t>
      </w:r>
      <w:r w:rsidR="00714913">
        <w:rPr>
          <w:lang w:val="fr-FR" w:eastAsia="fr-CH"/>
        </w:rPr>
        <w:t xml:space="preserve">en </w:t>
      </w:r>
      <w:r w:rsidR="00714913" w:rsidRPr="0050369B">
        <w:rPr>
          <w:lang w:val="fr-FR" w:eastAsia="fr-CH"/>
        </w:rPr>
        <w:t xml:space="preserve">2011, </w:t>
      </w:r>
      <w:r w:rsidR="00714913">
        <w:rPr>
          <w:lang w:val="fr-FR" w:eastAsia="fr-CH"/>
        </w:rPr>
        <w:t>il a été proposé à certains détenus de choisir de s’exiler de Cuba au lieu d’être condamnés à des peines d’emprisonnement</w:t>
      </w:r>
      <w:r w:rsidR="00714913" w:rsidRPr="0050369B">
        <w:rPr>
          <w:lang w:val="fr-FR" w:eastAsia="fr-CH"/>
        </w:rPr>
        <w:t xml:space="preserve"> </w:t>
      </w:r>
      <w:r w:rsidR="00714913">
        <w:rPr>
          <w:lang w:val="fr-FR" w:eastAsia="fr-CH"/>
        </w:rPr>
        <w:t xml:space="preserve">d’une durée pouvant aller </w:t>
      </w:r>
      <w:r w:rsidR="00714913" w:rsidRPr="0050369B">
        <w:rPr>
          <w:lang w:val="fr-FR" w:eastAsia="fr-CH"/>
        </w:rPr>
        <w:t>jusqu</w:t>
      </w:r>
      <w:r w:rsidR="00714913">
        <w:rPr>
          <w:lang w:val="fr-FR" w:eastAsia="fr-CH"/>
        </w:rPr>
        <w:t>’</w:t>
      </w:r>
      <w:r w:rsidR="00714913" w:rsidRPr="0050369B">
        <w:rPr>
          <w:lang w:val="fr-FR" w:eastAsia="fr-CH"/>
        </w:rPr>
        <w:t xml:space="preserve">à </w:t>
      </w:r>
      <w:r w:rsidR="007C0DAA">
        <w:rPr>
          <w:lang w:val="fr-FR" w:eastAsia="fr-CH"/>
        </w:rPr>
        <w:t>dix</w:t>
      </w:r>
      <w:r w:rsidR="00714913" w:rsidRPr="0050369B">
        <w:rPr>
          <w:lang w:val="fr-FR" w:eastAsia="fr-CH"/>
        </w:rPr>
        <w:t xml:space="preserve"> ans.</w:t>
      </w:r>
    </w:p>
    <w:p w:rsidR="00714913" w:rsidRPr="0050369B" w:rsidRDefault="00754D3E" w:rsidP="00362B06">
      <w:pPr>
        <w:pStyle w:val="SingleTxtG"/>
        <w:rPr>
          <w:lang w:val="fr-CH" w:eastAsia="fr-CH"/>
        </w:rPr>
      </w:pPr>
      <w:r>
        <w:rPr>
          <w:lang w:val="fr-CH" w:eastAsia="fr-CH"/>
        </w:rPr>
        <w:t>38.</w:t>
      </w:r>
      <w:r>
        <w:rPr>
          <w:lang w:val="fr-CH" w:eastAsia="fr-CH"/>
        </w:rPr>
        <w:tab/>
      </w:r>
      <w:r w:rsidR="00714913" w:rsidRPr="0050369B">
        <w:rPr>
          <w:b/>
          <w:bCs/>
          <w:lang w:val="fr-CH" w:eastAsia="fr-CH"/>
        </w:rPr>
        <w:t>L</w:t>
      </w:r>
      <w:r w:rsidR="00714913">
        <w:rPr>
          <w:b/>
          <w:bCs/>
          <w:lang w:val="fr-CH" w:eastAsia="fr-CH"/>
        </w:rPr>
        <w:t>e Président</w:t>
      </w:r>
      <w:r w:rsidR="00714913" w:rsidRPr="0050369B">
        <w:rPr>
          <w:b/>
          <w:bCs/>
          <w:lang w:val="fr-FR" w:eastAsia="fr-CH"/>
        </w:rPr>
        <w:t xml:space="preserve"> </w:t>
      </w:r>
      <w:r w:rsidR="00714913" w:rsidRPr="0050369B">
        <w:rPr>
          <w:lang w:val="fr-FR" w:eastAsia="fr-CH"/>
        </w:rPr>
        <w:t>se</w:t>
      </w:r>
      <w:r w:rsidR="00714913">
        <w:rPr>
          <w:lang w:val="fr-FR" w:eastAsia="fr-CH"/>
        </w:rPr>
        <w:t xml:space="preserve"> </w:t>
      </w:r>
      <w:r w:rsidR="00714913" w:rsidRPr="0050369B">
        <w:rPr>
          <w:lang w:val="fr-FR" w:eastAsia="fr-CH"/>
        </w:rPr>
        <w:t xml:space="preserve">félicite du moratoire sur la peine de mort </w:t>
      </w:r>
      <w:r w:rsidR="00714913">
        <w:rPr>
          <w:lang w:val="fr-FR" w:eastAsia="fr-CH"/>
        </w:rPr>
        <w:t xml:space="preserve">existant </w:t>
      </w:r>
      <w:r w:rsidR="00714913" w:rsidRPr="0050369B">
        <w:rPr>
          <w:lang w:val="fr-FR" w:eastAsia="fr-CH"/>
        </w:rPr>
        <w:t>à Cuba, où la dernière condamnation à mort a</w:t>
      </w:r>
      <w:r w:rsidR="00714913">
        <w:rPr>
          <w:lang w:val="fr-FR" w:eastAsia="fr-CH"/>
        </w:rPr>
        <w:t xml:space="preserve"> </w:t>
      </w:r>
      <w:r w:rsidR="00714913" w:rsidRPr="0050369B">
        <w:rPr>
          <w:lang w:val="fr-FR" w:eastAsia="fr-CH"/>
        </w:rPr>
        <w:t xml:space="preserve">été </w:t>
      </w:r>
      <w:r w:rsidR="00714913">
        <w:rPr>
          <w:lang w:val="fr-FR" w:eastAsia="fr-CH"/>
        </w:rPr>
        <w:t xml:space="preserve">exécutée </w:t>
      </w:r>
      <w:r w:rsidR="00714913" w:rsidRPr="0050369B">
        <w:rPr>
          <w:lang w:val="fr-FR" w:eastAsia="fr-CH"/>
        </w:rPr>
        <w:t>de façon sommaire en 2003, mais observ</w:t>
      </w:r>
      <w:r w:rsidR="00714913">
        <w:rPr>
          <w:lang w:val="fr-FR" w:eastAsia="fr-CH"/>
        </w:rPr>
        <w:t>e</w:t>
      </w:r>
      <w:r w:rsidR="00714913" w:rsidRPr="0050369B">
        <w:rPr>
          <w:lang w:val="fr-FR" w:eastAsia="fr-CH"/>
        </w:rPr>
        <w:t xml:space="preserve"> </w:t>
      </w:r>
      <w:r w:rsidR="00714913">
        <w:rPr>
          <w:lang w:val="fr-FR" w:eastAsia="fr-CH"/>
        </w:rPr>
        <w:t>que la peine de mort fait toujours partie du Code pénal et peut être la peine applicable à une large gamme</w:t>
      </w:r>
      <w:r w:rsidR="00714913" w:rsidRPr="0050369B">
        <w:rPr>
          <w:lang w:val="fr-FR" w:eastAsia="fr-CH"/>
        </w:rPr>
        <w:t xml:space="preserve"> d</w:t>
      </w:r>
      <w:r w:rsidR="00714913">
        <w:rPr>
          <w:lang w:val="fr-FR" w:eastAsia="fr-CH"/>
        </w:rPr>
        <w:t>’</w:t>
      </w:r>
      <w:r w:rsidR="00714913" w:rsidRPr="0050369B">
        <w:rPr>
          <w:lang w:val="fr-FR" w:eastAsia="fr-CH"/>
        </w:rPr>
        <w:t>infractions. Il demand</w:t>
      </w:r>
      <w:r w:rsidR="00714913">
        <w:rPr>
          <w:lang w:val="fr-FR" w:eastAsia="fr-CH"/>
        </w:rPr>
        <w:t xml:space="preserve">e si les amendements qu’il est envisagé d’apporter au Code pénal comporteront </w:t>
      </w:r>
      <w:r w:rsidR="00714913" w:rsidRPr="0050369B">
        <w:rPr>
          <w:lang w:val="fr-FR" w:eastAsia="fr-CH"/>
        </w:rPr>
        <w:t xml:space="preserve">des modifications </w:t>
      </w:r>
      <w:r w:rsidR="00714913">
        <w:rPr>
          <w:lang w:val="fr-FR" w:eastAsia="fr-CH"/>
        </w:rPr>
        <w:t xml:space="preserve">concernant l’application de </w:t>
      </w:r>
      <w:r w:rsidR="00714913" w:rsidRPr="0050369B">
        <w:rPr>
          <w:lang w:val="fr-FR" w:eastAsia="fr-CH"/>
        </w:rPr>
        <w:t xml:space="preserve">la peine de mort. Il </w:t>
      </w:r>
      <w:r w:rsidR="00714913">
        <w:rPr>
          <w:lang w:val="fr-FR" w:eastAsia="fr-CH"/>
        </w:rPr>
        <w:t xml:space="preserve">voudrait aussi savoir </w:t>
      </w:r>
      <w:r w:rsidR="00714913" w:rsidRPr="0050369B">
        <w:rPr>
          <w:lang w:val="fr-FR" w:eastAsia="fr-CH"/>
        </w:rPr>
        <w:t>s</w:t>
      </w:r>
      <w:r w:rsidR="00714913">
        <w:rPr>
          <w:lang w:val="fr-FR" w:eastAsia="fr-CH"/>
        </w:rPr>
        <w:t>’</w:t>
      </w:r>
      <w:r w:rsidR="00714913" w:rsidRPr="0050369B">
        <w:rPr>
          <w:lang w:val="fr-FR" w:eastAsia="fr-CH"/>
        </w:rPr>
        <w:t>il est vrai que l</w:t>
      </w:r>
      <w:r w:rsidR="00714913">
        <w:rPr>
          <w:lang w:val="fr-FR" w:eastAsia="fr-CH"/>
        </w:rPr>
        <w:t>’</w:t>
      </w:r>
      <w:r w:rsidR="00714913" w:rsidRPr="0050369B">
        <w:rPr>
          <w:lang w:val="fr-FR" w:eastAsia="fr-CH"/>
        </w:rPr>
        <w:t xml:space="preserve">article 75 du Code pénal, qui prévoit la détention préventive de personnes </w:t>
      </w:r>
      <w:r w:rsidR="00714913">
        <w:rPr>
          <w:lang w:val="fr-FR" w:eastAsia="fr-CH"/>
        </w:rPr>
        <w:t xml:space="preserve">soupçonnées de pouvoir </w:t>
      </w:r>
      <w:r w:rsidR="00714913" w:rsidRPr="0050369B">
        <w:rPr>
          <w:lang w:val="fr-FR" w:eastAsia="fr-CH"/>
        </w:rPr>
        <w:t>commettre une infraction pénale</w:t>
      </w:r>
      <w:r w:rsidR="00714913">
        <w:rPr>
          <w:lang w:val="fr-FR" w:eastAsia="fr-CH"/>
        </w:rPr>
        <w:t>,</w:t>
      </w:r>
      <w:r w:rsidR="00714913" w:rsidRPr="0050369B">
        <w:rPr>
          <w:lang w:val="fr-FR" w:eastAsia="fr-CH"/>
        </w:rPr>
        <w:t xml:space="preserve"> a été </w:t>
      </w:r>
      <w:r w:rsidR="00714913">
        <w:rPr>
          <w:lang w:val="fr-FR" w:eastAsia="fr-CH"/>
        </w:rPr>
        <w:t xml:space="preserve">largement </w:t>
      </w:r>
      <w:r w:rsidR="00714913" w:rsidRPr="0050369B">
        <w:rPr>
          <w:lang w:val="fr-FR" w:eastAsia="fr-CH"/>
        </w:rPr>
        <w:t xml:space="preserve">utilisé comme arme contre </w:t>
      </w:r>
      <w:r w:rsidR="00714913">
        <w:rPr>
          <w:lang w:val="fr-FR" w:eastAsia="fr-CH"/>
        </w:rPr>
        <w:t>d</w:t>
      </w:r>
      <w:r w:rsidR="00714913" w:rsidRPr="0050369B">
        <w:rPr>
          <w:lang w:val="fr-FR" w:eastAsia="fr-CH"/>
        </w:rPr>
        <w:t>es opposants politiques de l</w:t>
      </w:r>
      <w:r w:rsidR="00714913">
        <w:rPr>
          <w:lang w:val="fr-FR" w:eastAsia="fr-CH"/>
        </w:rPr>
        <w:t>’</w:t>
      </w:r>
      <w:r w:rsidR="00714913" w:rsidRPr="0050369B">
        <w:rPr>
          <w:lang w:val="fr-FR" w:eastAsia="fr-CH"/>
        </w:rPr>
        <w:t>État. Selon la Comisión Cubana de Derechos Humanos y Reconciliación Nacional, plus de 2</w:t>
      </w:r>
      <w:r w:rsidR="00714913">
        <w:rPr>
          <w:lang w:val="fr-FR" w:eastAsia="fr-CH"/>
        </w:rPr>
        <w:t> </w:t>
      </w:r>
      <w:r w:rsidR="00714913" w:rsidRPr="0050369B">
        <w:rPr>
          <w:lang w:val="fr-FR" w:eastAsia="fr-CH"/>
        </w:rPr>
        <w:t xml:space="preserve">500 personnes </w:t>
      </w:r>
      <w:r w:rsidR="00714913">
        <w:rPr>
          <w:lang w:val="fr-FR" w:eastAsia="fr-CH"/>
        </w:rPr>
        <w:t xml:space="preserve">ont été temporairement </w:t>
      </w:r>
      <w:r w:rsidR="00714913" w:rsidRPr="0050369B">
        <w:rPr>
          <w:lang w:val="fr-FR" w:eastAsia="fr-CH"/>
        </w:rPr>
        <w:t>détenu</w:t>
      </w:r>
      <w:r w:rsidR="00714913">
        <w:rPr>
          <w:lang w:val="fr-FR" w:eastAsia="fr-CH"/>
        </w:rPr>
        <w:t>e</w:t>
      </w:r>
      <w:r w:rsidR="00714913" w:rsidRPr="0050369B">
        <w:rPr>
          <w:lang w:val="fr-FR" w:eastAsia="fr-CH"/>
        </w:rPr>
        <w:t>s pour des raisons politiques dans l</w:t>
      </w:r>
      <w:r w:rsidR="00714913">
        <w:rPr>
          <w:lang w:val="fr-FR" w:eastAsia="fr-CH"/>
        </w:rPr>
        <w:t>’</w:t>
      </w:r>
      <w:r w:rsidR="00714913" w:rsidRPr="0050369B">
        <w:rPr>
          <w:lang w:val="fr-FR" w:eastAsia="fr-CH"/>
        </w:rPr>
        <w:t xml:space="preserve">État partie </w:t>
      </w:r>
      <w:r w:rsidR="00714913">
        <w:rPr>
          <w:lang w:val="fr-FR" w:eastAsia="fr-CH"/>
        </w:rPr>
        <w:t>au cours d</w:t>
      </w:r>
      <w:r w:rsidR="00714913" w:rsidRPr="0050369B">
        <w:rPr>
          <w:lang w:val="fr-FR" w:eastAsia="fr-CH"/>
        </w:rPr>
        <w:t xml:space="preserve">es neuf premiers mois de 2011. </w:t>
      </w:r>
      <w:r w:rsidR="00714913">
        <w:rPr>
          <w:lang w:val="fr-FR" w:eastAsia="fr-CH"/>
        </w:rPr>
        <w:t>Les a</w:t>
      </w:r>
      <w:r w:rsidR="00714913" w:rsidRPr="0050369B">
        <w:rPr>
          <w:lang w:val="fr-FR" w:eastAsia="fr-CH"/>
        </w:rPr>
        <w:t xml:space="preserve">rticles 72 à 75 du Code pénal, </w:t>
      </w:r>
      <w:r w:rsidR="00714913">
        <w:rPr>
          <w:lang w:val="fr-FR" w:eastAsia="fr-CH"/>
        </w:rPr>
        <w:t xml:space="preserve">qui concernent </w:t>
      </w:r>
      <w:r w:rsidR="00714913" w:rsidRPr="0050369B">
        <w:rPr>
          <w:lang w:val="fr-FR" w:eastAsia="fr-CH"/>
        </w:rPr>
        <w:t xml:space="preserve">les mesures contre les délinquants potentiels, </w:t>
      </w:r>
      <w:r w:rsidR="00714913">
        <w:rPr>
          <w:lang w:val="fr-FR" w:eastAsia="fr-CH"/>
        </w:rPr>
        <w:t>seront-ils amendés</w:t>
      </w:r>
      <w:r w:rsidR="00714913" w:rsidRPr="0050369B">
        <w:rPr>
          <w:lang w:val="fr-FR" w:eastAsia="fr-CH"/>
        </w:rPr>
        <w:t xml:space="preserve">? </w:t>
      </w:r>
      <w:r w:rsidR="00714913">
        <w:rPr>
          <w:lang w:val="fr-FR" w:eastAsia="fr-CH"/>
        </w:rPr>
        <w:t xml:space="preserve">L’intervenant voudrait </w:t>
      </w:r>
      <w:r w:rsidR="00714913" w:rsidRPr="0050369B">
        <w:rPr>
          <w:lang w:val="fr-FR" w:eastAsia="fr-CH"/>
        </w:rPr>
        <w:t>savoir si l</w:t>
      </w:r>
      <w:r w:rsidR="00714913">
        <w:rPr>
          <w:lang w:val="fr-FR" w:eastAsia="fr-CH"/>
        </w:rPr>
        <w:t>’</w:t>
      </w:r>
      <w:r w:rsidR="00714913" w:rsidRPr="0050369B">
        <w:rPr>
          <w:lang w:val="fr-FR" w:eastAsia="fr-CH"/>
        </w:rPr>
        <w:t>arrestation et le passage à tabac de représentants de l</w:t>
      </w:r>
      <w:r w:rsidR="00714913">
        <w:rPr>
          <w:lang w:val="fr-FR" w:eastAsia="fr-CH"/>
        </w:rPr>
        <w:t>’</w:t>
      </w:r>
      <w:r w:rsidR="00714913" w:rsidRPr="0050369B">
        <w:rPr>
          <w:lang w:val="fr-FR" w:eastAsia="fr-CH"/>
        </w:rPr>
        <w:t xml:space="preserve">opposition, </w:t>
      </w:r>
      <w:r w:rsidR="00714913">
        <w:rPr>
          <w:lang w:val="fr-FR" w:eastAsia="fr-CH"/>
        </w:rPr>
        <w:t>y compris d’au moins 22 </w:t>
      </w:r>
      <w:r w:rsidR="00714913" w:rsidRPr="0050369B">
        <w:rPr>
          <w:lang w:val="fr-FR" w:eastAsia="fr-CH"/>
        </w:rPr>
        <w:t xml:space="preserve">membres </w:t>
      </w:r>
      <w:r w:rsidR="00714913">
        <w:rPr>
          <w:lang w:val="fr-FR" w:eastAsia="fr-CH"/>
        </w:rPr>
        <w:t xml:space="preserve">du groupe des Femmes en </w:t>
      </w:r>
      <w:r w:rsidR="00714913" w:rsidRPr="0050369B">
        <w:rPr>
          <w:lang w:val="fr-FR" w:eastAsia="fr-CH"/>
        </w:rPr>
        <w:t xml:space="preserve">blanc, </w:t>
      </w:r>
      <w:r w:rsidR="00714913">
        <w:rPr>
          <w:lang w:val="fr-FR" w:eastAsia="fr-CH"/>
        </w:rPr>
        <w:t xml:space="preserve">ont fait l’objet d’enquêtes et, dans l’affirmative, </w:t>
      </w:r>
      <w:r w:rsidR="00714913" w:rsidRPr="0050369B">
        <w:rPr>
          <w:lang w:val="fr-FR" w:eastAsia="fr-CH"/>
        </w:rPr>
        <w:t>avec quels résultats. Il encourage l</w:t>
      </w:r>
      <w:r w:rsidR="00714913">
        <w:rPr>
          <w:lang w:val="fr-FR" w:eastAsia="fr-CH"/>
        </w:rPr>
        <w:t>’</w:t>
      </w:r>
      <w:r w:rsidR="00714913" w:rsidRPr="0050369B">
        <w:rPr>
          <w:lang w:val="fr-FR" w:eastAsia="fr-CH"/>
        </w:rPr>
        <w:t xml:space="preserve">État partie </w:t>
      </w:r>
      <w:r w:rsidR="00714913">
        <w:rPr>
          <w:lang w:val="fr-FR" w:eastAsia="fr-CH"/>
        </w:rPr>
        <w:t xml:space="preserve">à </w:t>
      </w:r>
      <w:r w:rsidR="00714913" w:rsidRPr="0050369B">
        <w:rPr>
          <w:lang w:val="fr-FR" w:eastAsia="fr-CH"/>
        </w:rPr>
        <w:t xml:space="preserve">fixer une date pour une visite à Cuba </w:t>
      </w:r>
      <w:r w:rsidR="00714913">
        <w:rPr>
          <w:lang w:val="fr-FR" w:eastAsia="fr-CH"/>
        </w:rPr>
        <w:t xml:space="preserve">du </w:t>
      </w:r>
      <w:r w:rsidR="00714913" w:rsidRPr="0050369B">
        <w:rPr>
          <w:lang w:val="fr-FR" w:eastAsia="fr-CH"/>
        </w:rPr>
        <w:t xml:space="preserve">Rapporteur spécial sur la torture et autres </w:t>
      </w:r>
      <w:r w:rsidR="00714913">
        <w:rPr>
          <w:lang w:val="fr-FR" w:eastAsia="fr-CH"/>
        </w:rPr>
        <w:t xml:space="preserve">peines ou </w:t>
      </w:r>
      <w:r w:rsidR="00714913" w:rsidRPr="0050369B">
        <w:rPr>
          <w:lang w:val="fr-FR" w:eastAsia="fr-CH"/>
        </w:rPr>
        <w:t xml:space="preserve">traitements cruels, inhumains ou dégradants, </w:t>
      </w:r>
      <w:r w:rsidR="00714913">
        <w:rPr>
          <w:lang w:val="fr-FR" w:eastAsia="fr-CH"/>
        </w:rPr>
        <w:t xml:space="preserve">auquel Cuba a </w:t>
      </w:r>
      <w:r w:rsidR="00714913" w:rsidRPr="0050369B">
        <w:rPr>
          <w:lang w:val="fr-FR" w:eastAsia="fr-CH"/>
        </w:rPr>
        <w:t>adressé une invitation en 2009.</w:t>
      </w:r>
    </w:p>
    <w:p w:rsidR="00714913" w:rsidRPr="0050369B" w:rsidRDefault="00754D3E" w:rsidP="00362B06">
      <w:pPr>
        <w:pStyle w:val="SingleTxtG"/>
        <w:rPr>
          <w:lang w:val="fr-CH" w:eastAsia="fr-CH"/>
        </w:rPr>
      </w:pPr>
      <w:r>
        <w:rPr>
          <w:lang w:val="fr-CH" w:eastAsia="fr-CH"/>
        </w:rPr>
        <w:t>39.</w:t>
      </w:r>
      <w:r>
        <w:rPr>
          <w:lang w:val="fr-CH" w:eastAsia="fr-CH"/>
        </w:rPr>
        <w:tab/>
      </w:r>
      <w:r w:rsidR="00714913" w:rsidRPr="0050369B">
        <w:rPr>
          <w:b/>
          <w:bCs/>
          <w:lang w:val="fr-CH" w:eastAsia="fr-CH"/>
        </w:rPr>
        <w:t>M. Reyes Rodríguez</w:t>
      </w:r>
      <w:r w:rsidR="00714913" w:rsidRPr="0050369B">
        <w:rPr>
          <w:b/>
          <w:bCs/>
          <w:lang w:val="fr-FR" w:eastAsia="fr-CH"/>
        </w:rPr>
        <w:t xml:space="preserve"> </w:t>
      </w:r>
      <w:r w:rsidR="00714913" w:rsidRPr="0050369B">
        <w:rPr>
          <w:lang w:val="fr-CH" w:eastAsia="fr-CH"/>
        </w:rPr>
        <w:t>(Cuba)</w:t>
      </w:r>
      <w:r w:rsidR="00714913">
        <w:rPr>
          <w:lang w:val="fr-CH" w:eastAsia="fr-CH"/>
        </w:rPr>
        <w:t xml:space="preserve"> dit qu’il juge préoccupant qu’il n’est pas été accordé à sa </w:t>
      </w:r>
      <w:r w:rsidR="00714913" w:rsidRPr="0050369B">
        <w:rPr>
          <w:lang w:val="fr-CH" w:eastAsia="fr-CH"/>
        </w:rPr>
        <w:t xml:space="preserve">délégation suffisamment </w:t>
      </w:r>
      <w:r w:rsidR="00714913">
        <w:rPr>
          <w:lang w:val="fr-CH" w:eastAsia="fr-CH"/>
        </w:rPr>
        <w:t xml:space="preserve">de possibilités </w:t>
      </w:r>
      <w:r w:rsidR="00714913" w:rsidRPr="0050369B">
        <w:rPr>
          <w:lang w:val="fr-CH" w:eastAsia="fr-CH"/>
        </w:rPr>
        <w:t>de réfuter ce qu</w:t>
      </w:r>
      <w:r w:rsidR="00714913">
        <w:rPr>
          <w:lang w:val="fr-CH" w:eastAsia="fr-CH"/>
        </w:rPr>
        <w:t xml:space="preserve">’elle </w:t>
      </w:r>
      <w:r w:rsidR="00714913" w:rsidRPr="0050369B">
        <w:rPr>
          <w:lang w:val="fr-CH" w:eastAsia="fr-CH"/>
        </w:rPr>
        <w:t>consid</w:t>
      </w:r>
      <w:r w:rsidR="00714913">
        <w:rPr>
          <w:lang w:val="fr-CH" w:eastAsia="fr-CH"/>
        </w:rPr>
        <w:t xml:space="preserve">ère comme </w:t>
      </w:r>
      <w:r w:rsidR="00714913" w:rsidRPr="0050369B">
        <w:rPr>
          <w:lang w:val="fr-CH" w:eastAsia="fr-CH"/>
        </w:rPr>
        <w:t>de fausses allégations</w:t>
      </w:r>
      <w:r w:rsidR="00714913">
        <w:rPr>
          <w:lang w:val="fr-CH" w:eastAsia="fr-CH"/>
        </w:rPr>
        <w:t>,</w:t>
      </w:r>
      <w:r w:rsidR="00714913" w:rsidRPr="0050369B">
        <w:rPr>
          <w:lang w:val="fr-CH" w:eastAsia="fr-CH"/>
        </w:rPr>
        <w:t xml:space="preserve"> mais qu</w:t>
      </w:r>
      <w:r w:rsidR="00714913">
        <w:rPr>
          <w:lang w:val="fr-CH" w:eastAsia="fr-CH"/>
        </w:rPr>
        <w:t xml:space="preserve">’il est </w:t>
      </w:r>
      <w:r w:rsidR="00714913" w:rsidRPr="0050369B">
        <w:rPr>
          <w:lang w:val="fr-CH" w:eastAsia="fr-CH"/>
        </w:rPr>
        <w:t xml:space="preserve">prêt à </w:t>
      </w:r>
      <w:r w:rsidR="00714913">
        <w:rPr>
          <w:lang w:val="fr-CH" w:eastAsia="fr-CH"/>
        </w:rPr>
        <w:t xml:space="preserve">examiner toute question </w:t>
      </w:r>
      <w:r w:rsidR="00714913" w:rsidRPr="0050369B">
        <w:rPr>
          <w:lang w:val="fr-CH" w:eastAsia="fr-CH"/>
        </w:rPr>
        <w:t xml:space="preserve">que le Comité souhaite </w:t>
      </w:r>
      <w:r w:rsidR="00714913">
        <w:rPr>
          <w:lang w:val="fr-CH" w:eastAsia="fr-CH"/>
        </w:rPr>
        <w:t>soulever</w:t>
      </w:r>
      <w:r w:rsidR="00714913" w:rsidRPr="0050369B">
        <w:rPr>
          <w:lang w:val="fr-CH" w:eastAsia="fr-CH"/>
        </w:rPr>
        <w:t>.</w:t>
      </w:r>
    </w:p>
    <w:p w:rsidR="00714913" w:rsidRPr="0050369B" w:rsidRDefault="00754D3E" w:rsidP="00362B06">
      <w:pPr>
        <w:pStyle w:val="SingleTxtG"/>
        <w:rPr>
          <w:lang w:val="fr-CH" w:eastAsia="fr-CH"/>
        </w:rPr>
      </w:pPr>
      <w:r>
        <w:rPr>
          <w:lang w:val="fr-CH" w:eastAsia="fr-CH"/>
        </w:rPr>
        <w:t>40.</w:t>
      </w:r>
      <w:r>
        <w:rPr>
          <w:lang w:val="fr-CH" w:eastAsia="fr-CH"/>
        </w:rPr>
        <w:tab/>
      </w:r>
      <w:r w:rsidR="00714913" w:rsidRPr="0050369B">
        <w:rPr>
          <w:b/>
          <w:bCs/>
          <w:lang w:val="fr-CH" w:eastAsia="fr-CH"/>
        </w:rPr>
        <w:t>L</w:t>
      </w:r>
      <w:r w:rsidR="00714913">
        <w:rPr>
          <w:b/>
          <w:bCs/>
          <w:lang w:val="fr-CH" w:eastAsia="fr-CH"/>
        </w:rPr>
        <w:t>e</w:t>
      </w:r>
      <w:r w:rsidR="00714913" w:rsidRPr="0050369B">
        <w:rPr>
          <w:b/>
          <w:bCs/>
          <w:lang w:val="fr-CH" w:eastAsia="fr-CH"/>
        </w:rPr>
        <w:t xml:space="preserve"> Président</w:t>
      </w:r>
      <w:r w:rsidR="00714913" w:rsidRPr="0050369B">
        <w:rPr>
          <w:b/>
          <w:bCs/>
          <w:lang w:val="fr-FR" w:eastAsia="fr-CH"/>
        </w:rPr>
        <w:t xml:space="preserve"> </w:t>
      </w:r>
      <w:r w:rsidR="00714913" w:rsidRPr="00A56448">
        <w:rPr>
          <w:bCs/>
          <w:lang w:val="fr-FR" w:eastAsia="fr-CH"/>
        </w:rPr>
        <w:t>donne</w:t>
      </w:r>
      <w:r w:rsidR="00714913">
        <w:rPr>
          <w:lang w:val="fr-CH" w:eastAsia="fr-CH"/>
        </w:rPr>
        <w:t xml:space="preserve"> à </w:t>
      </w:r>
      <w:r w:rsidR="00714913" w:rsidRPr="0050369B">
        <w:rPr>
          <w:lang w:val="fr-CH" w:eastAsia="fr-CH"/>
        </w:rPr>
        <w:t xml:space="preserve">la délégation </w:t>
      </w:r>
      <w:r w:rsidR="00714913">
        <w:rPr>
          <w:lang w:val="fr-CH" w:eastAsia="fr-CH"/>
        </w:rPr>
        <w:t>l’assurance que toutes les</w:t>
      </w:r>
      <w:r w:rsidR="00714913" w:rsidRPr="0050369B">
        <w:rPr>
          <w:lang w:val="fr-CH" w:eastAsia="fr-CH"/>
        </w:rPr>
        <w:t xml:space="preserve"> possibilité</w:t>
      </w:r>
      <w:r w:rsidR="00714913">
        <w:rPr>
          <w:lang w:val="fr-CH" w:eastAsia="fr-CH"/>
        </w:rPr>
        <w:t>s lui seront offertes, lors de la</w:t>
      </w:r>
      <w:r w:rsidR="00714913" w:rsidRPr="0050369B">
        <w:rPr>
          <w:lang w:val="fr-CH" w:eastAsia="fr-CH"/>
        </w:rPr>
        <w:t xml:space="preserve"> prochaine réunion </w:t>
      </w:r>
      <w:r w:rsidR="00714913">
        <w:rPr>
          <w:lang w:val="fr-CH" w:eastAsia="fr-CH"/>
        </w:rPr>
        <w:t xml:space="preserve">du Comité </w:t>
      </w:r>
      <w:r w:rsidR="00714913" w:rsidRPr="0050369B">
        <w:rPr>
          <w:lang w:val="fr-CH" w:eastAsia="fr-CH"/>
        </w:rPr>
        <w:t>avec l</w:t>
      </w:r>
      <w:r w:rsidR="00714913">
        <w:rPr>
          <w:lang w:val="fr-CH" w:eastAsia="fr-CH"/>
        </w:rPr>
        <w:t>’É</w:t>
      </w:r>
      <w:r w:rsidR="00714913" w:rsidRPr="0050369B">
        <w:rPr>
          <w:lang w:val="fr-CH" w:eastAsia="fr-CH"/>
        </w:rPr>
        <w:t>tat partie</w:t>
      </w:r>
      <w:r w:rsidR="00714913">
        <w:rPr>
          <w:lang w:val="fr-CH" w:eastAsia="fr-CH"/>
        </w:rPr>
        <w:t xml:space="preserve">, </w:t>
      </w:r>
      <w:r w:rsidR="00714913" w:rsidRPr="0050369B">
        <w:rPr>
          <w:lang w:val="fr-CH" w:eastAsia="fr-CH"/>
        </w:rPr>
        <w:t>de contester les vues exprimées par les membres du Comité.</w:t>
      </w:r>
    </w:p>
    <w:p w:rsidR="00714913" w:rsidRDefault="00714913" w:rsidP="00754D3E">
      <w:pPr>
        <w:suppressAutoHyphens w:val="0"/>
        <w:spacing w:after="120"/>
        <w:ind w:left="1134" w:right="1134"/>
        <w:jc w:val="both"/>
        <w:rPr>
          <w:u w:val="single"/>
          <w:lang w:val="fr-CH" w:eastAsia="fr-CH"/>
        </w:rPr>
      </w:pPr>
      <w:r w:rsidRPr="0050369B">
        <w:rPr>
          <w:i/>
          <w:iCs/>
          <w:lang w:val="fr-FR" w:eastAsia="fr-CH"/>
        </w:rPr>
        <w:t xml:space="preserve">La partie publique de la séance </w:t>
      </w:r>
      <w:r>
        <w:rPr>
          <w:i/>
          <w:iCs/>
          <w:lang w:val="fr-FR" w:eastAsia="fr-CH"/>
        </w:rPr>
        <w:t xml:space="preserve">prend fin </w:t>
      </w:r>
      <w:r w:rsidRPr="0050369B">
        <w:rPr>
          <w:i/>
          <w:iCs/>
          <w:lang w:val="fr-FR" w:eastAsia="fr-CH"/>
        </w:rPr>
        <w:t>à 12</w:t>
      </w:r>
      <w:r>
        <w:rPr>
          <w:i/>
          <w:iCs/>
          <w:lang w:val="fr-FR" w:eastAsia="fr-CH"/>
        </w:rPr>
        <w:t xml:space="preserve"> h </w:t>
      </w:r>
      <w:r w:rsidRPr="0050369B">
        <w:rPr>
          <w:i/>
          <w:iCs/>
          <w:lang w:val="fr-FR" w:eastAsia="fr-CH"/>
        </w:rPr>
        <w:t>5</w:t>
      </w:r>
      <w:r>
        <w:rPr>
          <w:i/>
          <w:iCs/>
          <w:lang w:val="fr-FR" w:eastAsia="fr-CH"/>
        </w:rPr>
        <w:t>.</w:t>
      </w:r>
      <w:r w:rsidR="00754D3E">
        <w:rPr>
          <w:u w:val="single"/>
          <w:lang w:val="fr-CH" w:eastAsia="fr-CH"/>
        </w:rPr>
        <w:t xml:space="preserve"> </w:t>
      </w:r>
    </w:p>
    <w:sectPr w:rsidR="00714913" w:rsidSect="00F743A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D1" w:rsidRDefault="006D64D1"/>
  </w:endnote>
  <w:endnote w:type="continuationSeparator" w:id="0">
    <w:p w:rsidR="006D64D1" w:rsidRDefault="006D64D1"/>
  </w:endnote>
  <w:endnote w:type="continuationNotice" w:id="1">
    <w:p w:rsidR="006D64D1" w:rsidRDefault="006D64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A" w:rsidRPr="002D7F07" w:rsidRDefault="00EA37EA" w:rsidP="00F743AA">
    <w:pPr>
      <w:pStyle w:val="Footer"/>
      <w:tabs>
        <w:tab w:val="right" w:pos="9598"/>
      </w:tabs>
    </w:pPr>
    <w:r w:rsidRPr="002D7F07">
      <w:rPr>
        <w:b/>
        <w:sz w:val="18"/>
      </w:rPr>
      <w:fldChar w:fldCharType="begin"/>
    </w:r>
    <w:r w:rsidRPr="002D7F07">
      <w:rPr>
        <w:b/>
        <w:sz w:val="18"/>
      </w:rPr>
      <w:instrText xml:space="preserve"> PAGE  \* MERGEFORMAT </w:instrText>
    </w:r>
    <w:r w:rsidRPr="002D7F07">
      <w:rPr>
        <w:b/>
        <w:sz w:val="18"/>
      </w:rPr>
      <w:fldChar w:fldCharType="separate"/>
    </w:r>
    <w:r w:rsidR="00271B1F">
      <w:rPr>
        <w:b/>
        <w:noProof/>
        <w:sz w:val="18"/>
      </w:rPr>
      <w:t>2</w:t>
    </w:r>
    <w:r w:rsidRPr="002D7F07">
      <w:rPr>
        <w:b/>
        <w:sz w:val="18"/>
      </w:rPr>
      <w:fldChar w:fldCharType="end"/>
    </w:r>
    <w:r>
      <w:rPr>
        <w:sz w:val="18"/>
      </w:rPr>
      <w:tab/>
    </w:r>
    <w:r>
      <w:t>GE.12-42886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A" w:rsidRPr="002D7F07" w:rsidRDefault="00EA37EA" w:rsidP="002D7F07">
    <w:pPr>
      <w:pStyle w:val="Footer"/>
      <w:tabs>
        <w:tab w:val="right" w:pos="9598"/>
      </w:tabs>
      <w:rPr>
        <w:b/>
        <w:sz w:val="18"/>
      </w:rPr>
    </w:pPr>
    <w:r>
      <w:t>GE.12-42886  (EXT)</w:t>
    </w:r>
    <w:r>
      <w:tab/>
    </w:r>
    <w:r w:rsidRPr="002D7F07">
      <w:rPr>
        <w:b/>
        <w:sz w:val="18"/>
      </w:rPr>
      <w:fldChar w:fldCharType="begin"/>
    </w:r>
    <w:r w:rsidRPr="002D7F07">
      <w:rPr>
        <w:b/>
        <w:sz w:val="18"/>
      </w:rPr>
      <w:instrText xml:space="preserve"> PAGE  \* MERGEFORMAT </w:instrText>
    </w:r>
    <w:r w:rsidRPr="002D7F07">
      <w:rPr>
        <w:b/>
        <w:sz w:val="18"/>
      </w:rPr>
      <w:fldChar w:fldCharType="separate"/>
    </w:r>
    <w:r w:rsidR="00271B1F">
      <w:rPr>
        <w:b/>
        <w:noProof/>
        <w:sz w:val="18"/>
      </w:rPr>
      <w:t>9</w:t>
    </w:r>
    <w:r w:rsidRPr="002D7F0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A" w:rsidRPr="00E31031" w:rsidRDefault="00EA37EA" w:rsidP="00362B06">
    <w:pPr>
      <w:pStyle w:val="FootnoteText"/>
      <w:pBdr>
        <w:bottom w:val="single" w:sz="4" w:space="1" w:color="auto"/>
      </w:pBdr>
      <w:rPr>
        <w:lang w:val="fr-CH"/>
      </w:rPr>
    </w:pPr>
  </w:p>
  <w:p w:rsidR="00EA37EA" w:rsidRPr="00FC755B" w:rsidRDefault="00EA37EA" w:rsidP="00362B06">
    <w:pPr>
      <w:pStyle w:val="FootnoteTextChar"/>
      <w:tabs>
        <w:tab w:val="left" w:pos="1080"/>
      </w:tabs>
      <w:suppressAutoHyphens w:val="0"/>
      <w:spacing w:after="120" w:line="240" w:lineRule="auto"/>
      <w:ind w:left="1080" w:right="1134"/>
      <w:rPr>
        <w:sz w:val="18"/>
        <w:szCs w:val="18"/>
        <w:lang w:val="fr-FR"/>
      </w:rPr>
    </w:pPr>
    <w:r w:rsidRPr="00FC755B">
      <w:rPr>
        <w:sz w:val="18"/>
        <w:szCs w:val="18"/>
        <w:lang w:val="fr-FR"/>
      </w:rPr>
      <w:t>Le présent compte rendu est sujet à rectifications.</w:t>
    </w:r>
  </w:p>
  <w:p w:rsidR="00EA37EA" w:rsidRPr="00FC755B" w:rsidRDefault="00EA37EA" w:rsidP="00362B06">
    <w:pPr>
      <w:pStyle w:val="FootnoteTextChar"/>
      <w:tabs>
        <w:tab w:val="left" w:pos="1080"/>
      </w:tabs>
      <w:suppressAutoHyphens w:val="0"/>
      <w:spacing w:after="120" w:line="240" w:lineRule="auto"/>
      <w:ind w:left="1080" w:right="1134"/>
      <w:rPr>
        <w:sz w:val="18"/>
        <w:szCs w:val="18"/>
        <w:lang w:val="fr-FR"/>
      </w:rPr>
    </w:pPr>
    <w:r w:rsidRPr="00FC755B">
      <w:rPr>
        <w:sz w:val="18"/>
        <w:szCs w:val="18"/>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FC755B">
      <w:rPr>
        <w:i/>
        <w:iCs/>
        <w:sz w:val="18"/>
        <w:szCs w:val="18"/>
        <w:lang w:val="fr-FR"/>
      </w:rPr>
      <w:t>une semaine au plus tard à compter de la date du présent document</w:t>
    </w:r>
    <w:r w:rsidRPr="00FC755B">
      <w:rPr>
        <w:sz w:val="18"/>
        <w:szCs w:val="18"/>
        <w:lang w:val="fr-FR"/>
      </w:rPr>
      <w:t>, au Groupe d’édition, bureau E.4108, Palais des Nations, Genève.</w:t>
    </w:r>
  </w:p>
  <w:p w:rsidR="00EA37EA" w:rsidRPr="00E31031" w:rsidRDefault="00EA37EA" w:rsidP="00362B06">
    <w:pPr>
      <w:pStyle w:val="FootnoteTextChar"/>
      <w:tabs>
        <w:tab w:val="left" w:pos="1080"/>
      </w:tabs>
      <w:suppressAutoHyphens w:val="0"/>
      <w:spacing w:after="240" w:line="240" w:lineRule="auto"/>
      <w:ind w:left="1077" w:right="1134"/>
      <w:rPr>
        <w:lang w:val="fr-CH"/>
      </w:rPr>
    </w:pPr>
    <w:r w:rsidRPr="00AA1DB9">
      <w:rPr>
        <w:sz w:val="18"/>
        <w:szCs w:val="18"/>
        <w:lang w:val="fr-FR"/>
      </w:rPr>
      <w:t>Les rectifications aux comptes rendus des séances publiques du Comité seront groupées dans un rectificatif unique qui sera publié peu après la session.</w:t>
    </w:r>
  </w:p>
  <w:p w:rsidR="00EA37EA" w:rsidRPr="007E2A1D" w:rsidRDefault="00EA37EA" w:rsidP="00F743AA">
    <w:pPr>
      <w:pStyle w:val="Footer"/>
      <w:tabs>
        <w:tab w:val="right" w:pos="9498"/>
      </w:tabs>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7.9pt;width:86.95pt;height:18.35pt;z-index:1">
          <v:imagedata r:id="rId1" o:title="recycle_French"/>
        </v:shape>
      </w:pict>
    </w:r>
    <w:r>
      <w:rPr>
        <w:sz w:val="20"/>
      </w:rPr>
      <w:t>GE.12-42886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D1" w:rsidRPr="000B175B" w:rsidRDefault="006D64D1" w:rsidP="000B175B">
      <w:pPr>
        <w:tabs>
          <w:tab w:val="right" w:pos="2155"/>
        </w:tabs>
        <w:spacing w:after="80"/>
        <w:ind w:left="680"/>
        <w:rPr>
          <w:u w:val="single"/>
        </w:rPr>
      </w:pPr>
      <w:r>
        <w:rPr>
          <w:u w:val="single"/>
        </w:rPr>
        <w:tab/>
      </w:r>
    </w:p>
  </w:footnote>
  <w:footnote w:type="continuationSeparator" w:id="0">
    <w:p w:rsidR="006D64D1" w:rsidRPr="00FC68B7" w:rsidRDefault="006D64D1" w:rsidP="00FC68B7">
      <w:pPr>
        <w:tabs>
          <w:tab w:val="left" w:pos="2155"/>
        </w:tabs>
        <w:spacing w:after="80"/>
        <w:ind w:left="680"/>
        <w:rPr>
          <w:u w:val="single"/>
        </w:rPr>
      </w:pPr>
      <w:r>
        <w:rPr>
          <w:u w:val="single"/>
        </w:rPr>
        <w:tab/>
      </w:r>
    </w:p>
  </w:footnote>
  <w:footnote w:type="continuationNotice" w:id="1">
    <w:p w:rsidR="006D64D1" w:rsidRDefault="006D64D1"/>
  </w:footnote>
  <w:footnote w:id="2">
    <w:p w:rsidR="00EA37EA" w:rsidRPr="00F743AA" w:rsidRDefault="00EA37EA">
      <w:pPr>
        <w:pStyle w:val="FootnoteText"/>
        <w:rPr>
          <w:lang w:val="fr-CH"/>
        </w:rPr>
      </w:pPr>
      <w:r>
        <w:tab/>
      </w:r>
      <w:r w:rsidRPr="00F743AA">
        <w:rPr>
          <w:rStyle w:val="FootnoteReference"/>
          <w:sz w:val="20"/>
          <w:vertAlign w:val="baseline"/>
        </w:rPr>
        <w:t>*</w:t>
      </w:r>
      <w:r>
        <w:rPr>
          <w:sz w:val="20"/>
        </w:rPr>
        <w:tab/>
      </w:r>
      <w:r w:rsidRPr="009E219B">
        <w:rPr>
          <w:lang w:val="fr-CH"/>
        </w:rPr>
        <w:t>Le compte rendu analytique de la deuxième partie (privée) de la séance est publié sous la cote CAT/C/SR.1078/Add.1.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A" w:rsidRPr="002D7F07" w:rsidRDefault="00EA37EA" w:rsidP="002D7F07">
    <w:pPr>
      <w:pStyle w:val="Header"/>
    </w:pPr>
    <w:r w:rsidRPr="002D7F07">
      <w:t>CAT/C/SR.1078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A" w:rsidRPr="002D7F07" w:rsidRDefault="00EA37EA" w:rsidP="002D7F07">
    <w:pPr>
      <w:pStyle w:val="Header"/>
      <w:jc w:val="right"/>
    </w:pPr>
    <w:r w:rsidRPr="002D7F07">
      <w:t>CAT/C/SR.1078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03F66D62"/>
    <w:lvl w:ilvl="0" w:tplc="AE686C80">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AD253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803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B418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4"/>
  </w:num>
  <w:num w:numId="23">
    <w:abstractNumId w:val="10"/>
  </w:num>
  <w:num w:numId="24">
    <w:abstractNumId w:val="18"/>
  </w:num>
  <w:num w:numId="25">
    <w:abstractNumId w:val="13"/>
  </w:num>
  <w:num w:numId="26">
    <w:abstractNumId w:val="11"/>
  </w:num>
  <w:num w:numId="27">
    <w:abstractNumId w:val="17"/>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544"/>
    <w:rsid w:val="000168F1"/>
    <w:rsid w:val="00027F2B"/>
    <w:rsid w:val="00050F6B"/>
    <w:rsid w:val="00054D61"/>
    <w:rsid w:val="000708B9"/>
    <w:rsid w:val="00072C8C"/>
    <w:rsid w:val="000733B5"/>
    <w:rsid w:val="000931C0"/>
    <w:rsid w:val="000B175B"/>
    <w:rsid w:val="000B3A0F"/>
    <w:rsid w:val="000B4322"/>
    <w:rsid w:val="000B4EF7"/>
    <w:rsid w:val="000B7A84"/>
    <w:rsid w:val="000C2D2E"/>
    <w:rsid w:val="000C6CD1"/>
    <w:rsid w:val="000D739F"/>
    <w:rsid w:val="000E0415"/>
    <w:rsid w:val="001103AA"/>
    <w:rsid w:val="00122F08"/>
    <w:rsid w:val="00130539"/>
    <w:rsid w:val="00147A5F"/>
    <w:rsid w:val="00151B55"/>
    <w:rsid w:val="00157F4F"/>
    <w:rsid w:val="0016072D"/>
    <w:rsid w:val="00163266"/>
    <w:rsid w:val="00183A9E"/>
    <w:rsid w:val="00191F12"/>
    <w:rsid w:val="001B0C71"/>
    <w:rsid w:val="001B4B04"/>
    <w:rsid w:val="001C1544"/>
    <w:rsid w:val="001C6663"/>
    <w:rsid w:val="001C7895"/>
    <w:rsid w:val="001D26DF"/>
    <w:rsid w:val="001E6639"/>
    <w:rsid w:val="00202DA8"/>
    <w:rsid w:val="00211E0B"/>
    <w:rsid w:val="00215508"/>
    <w:rsid w:val="00242700"/>
    <w:rsid w:val="002519E2"/>
    <w:rsid w:val="002534C4"/>
    <w:rsid w:val="00257F1E"/>
    <w:rsid w:val="002611EE"/>
    <w:rsid w:val="00264292"/>
    <w:rsid w:val="00264AC4"/>
    <w:rsid w:val="00271B1F"/>
    <w:rsid w:val="00292104"/>
    <w:rsid w:val="002B5422"/>
    <w:rsid w:val="002D7F07"/>
    <w:rsid w:val="002E1359"/>
    <w:rsid w:val="002E36A6"/>
    <w:rsid w:val="002F175C"/>
    <w:rsid w:val="002F7B74"/>
    <w:rsid w:val="003219F4"/>
    <w:rsid w:val="003229D8"/>
    <w:rsid w:val="00326E72"/>
    <w:rsid w:val="0034301B"/>
    <w:rsid w:val="00352709"/>
    <w:rsid w:val="003606E5"/>
    <w:rsid w:val="00362B06"/>
    <w:rsid w:val="0036359E"/>
    <w:rsid w:val="00371178"/>
    <w:rsid w:val="003776EF"/>
    <w:rsid w:val="003A6810"/>
    <w:rsid w:val="003B7328"/>
    <w:rsid w:val="003C0C4E"/>
    <w:rsid w:val="003C2CC4"/>
    <w:rsid w:val="003D2C9D"/>
    <w:rsid w:val="003D4B23"/>
    <w:rsid w:val="003E616B"/>
    <w:rsid w:val="003F0898"/>
    <w:rsid w:val="003F280A"/>
    <w:rsid w:val="00410C89"/>
    <w:rsid w:val="00424B47"/>
    <w:rsid w:val="00425C8E"/>
    <w:rsid w:val="00426B9B"/>
    <w:rsid w:val="004325CB"/>
    <w:rsid w:val="00440653"/>
    <w:rsid w:val="00441FE1"/>
    <w:rsid w:val="00443F4C"/>
    <w:rsid w:val="0045495B"/>
    <w:rsid w:val="00456549"/>
    <w:rsid w:val="0047693D"/>
    <w:rsid w:val="004A3A3E"/>
    <w:rsid w:val="004D4CD5"/>
    <w:rsid w:val="004E1B91"/>
    <w:rsid w:val="0050369B"/>
    <w:rsid w:val="00505616"/>
    <w:rsid w:val="00522350"/>
    <w:rsid w:val="0053559B"/>
    <w:rsid w:val="005369F2"/>
    <w:rsid w:val="005420F2"/>
    <w:rsid w:val="005840BF"/>
    <w:rsid w:val="005B1BF6"/>
    <w:rsid w:val="005B3C21"/>
    <w:rsid w:val="005B3DB3"/>
    <w:rsid w:val="006001EE"/>
    <w:rsid w:val="00604FA8"/>
    <w:rsid w:val="00611FC4"/>
    <w:rsid w:val="006176FB"/>
    <w:rsid w:val="00640B26"/>
    <w:rsid w:val="00642088"/>
    <w:rsid w:val="0064652E"/>
    <w:rsid w:val="006500BC"/>
    <w:rsid w:val="00652D0A"/>
    <w:rsid w:val="00672416"/>
    <w:rsid w:val="00674500"/>
    <w:rsid w:val="006978D3"/>
    <w:rsid w:val="006D088C"/>
    <w:rsid w:val="006D64D1"/>
    <w:rsid w:val="006E4EE9"/>
    <w:rsid w:val="006E564B"/>
    <w:rsid w:val="006E6E4C"/>
    <w:rsid w:val="006F5711"/>
    <w:rsid w:val="00703C3C"/>
    <w:rsid w:val="00703CDA"/>
    <w:rsid w:val="00714913"/>
    <w:rsid w:val="0072285E"/>
    <w:rsid w:val="007240D9"/>
    <w:rsid w:val="0072632A"/>
    <w:rsid w:val="0074234C"/>
    <w:rsid w:val="00754D3E"/>
    <w:rsid w:val="00767D0D"/>
    <w:rsid w:val="007B6BA5"/>
    <w:rsid w:val="007C0DAA"/>
    <w:rsid w:val="007C3390"/>
    <w:rsid w:val="007C4F4B"/>
    <w:rsid w:val="007D56AB"/>
    <w:rsid w:val="007E2A1D"/>
    <w:rsid w:val="007E36B7"/>
    <w:rsid w:val="007E6511"/>
    <w:rsid w:val="007F6611"/>
    <w:rsid w:val="007F6CAD"/>
    <w:rsid w:val="00820A0C"/>
    <w:rsid w:val="00820C6B"/>
    <w:rsid w:val="008242D7"/>
    <w:rsid w:val="008633A7"/>
    <w:rsid w:val="0086369D"/>
    <w:rsid w:val="00865435"/>
    <w:rsid w:val="00871253"/>
    <w:rsid w:val="008979B1"/>
    <w:rsid w:val="008A6B25"/>
    <w:rsid w:val="008A6C4F"/>
    <w:rsid w:val="008B2335"/>
    <w:rsid w:val="008B5DA0"/>
    <w:rsid w:val="008C2B9A"/>
    <w:rsid w:val="008D4462"/>
    <w:rsid w:val="008F6259"/>
    <w:rsid w:val="008F7C49"/>
    <w:rsid w:val="009026B5"/>
    <w:rsid w:val="0090482F"/>
    <w:rsid w:val="009154B7"/>
    <w:rsid w:val="009223CA"/>
    <w:rsid w:val="00940F93"/>
    <w:rsid w:val="00944090"/>
    <w:rsid w:val="009750BD"/>
    <w:rsid w:val="009803DC"/>
    <w:rsid w:val="009824ED"/>
    <w:rsid w:val="0099352D"/>
    <w:rsid w:val="00995E1A"/>
    <w:rsid w:val="009A1140"/>
    <w:rsid w:val="009C4E87"/>
    <w:rsid w:val="009D2E82"/>
    <w:rsid w:val="009E219B"/>
    <w:rsid w:val="009F6D8F"/>
    <w:rsid w:val="00A01489"/>
    <w:rsid w:val="00A03DD4"/>
    <w:rsid w:val="00A162CE"/>
    <w:rsid w:val="00A43596"/>
    <w:rsid w:val="00A5384B"/>
    <w:rsid w:val="00A56448"/>
    <w:rsid w:val="00A72F22"/>
    <w:rsid w:val="00A748A6"/>
    <w:rsid w:val="00A776B4"/>
    <w:rsid w:val="00A94361"/>
    <w:rsid w:val="00AA64F3"/>
    <w:rsid w:val="00AC5CD6"/>
    <w:rsid w:val="00AD6A63"/>
    <w:rsid w:val="00AD6AF8"/>
    <w:rsid w:val="00AF39BE"/>
    <w:rsid w:val="00B20FFB"/>
    <w:rsid w:val="00B30179"/>
    <w:rsid w:val="00B317E5"/>
    <w:rsid w:val="00B33CB1"/>
    <w:rsid w:val="00B541E4"/>
    <w:rsid w:val="00B56E9C"/>
    <w:rsid w:val="00B64B1F"/>
    <w:rsid w:val="00B6553F"/>
    <w:rsid w:val="00B81E12"/>
    <w:rsid w:val="00BA276C"/>
    <w:rsid w:val="00BB6B22"/>
    <w:rsid w:val="00BC6432"/>
    <w:rsid w:val="00BC74E9"/>
    <w:rsid w:val="00BE7C1F"/>
    <w:rsid w:val="00BF68A8"/>
    <w:rsid w:val="00C01FF8"/>
    <w:rsid w:val="00C03596"/>
    <w:rsid w:val="00C14865"/>
    <w:rsid w:val="00C439CD"/>
    <w:rsid w:val="00C4429E"/>
    <w:rsid w:val="00C463DD"/>
    <w:rsid w:val="00C46705"/>
    <w:rsid w:val="00C4724C"/>
    <w:rsid w:val="00C629A0"/>
    <w:rsid w:val="00C6559E"/>
    <w:rsid w:val="00C73735"/>
    <w:rsid w:val="00C74501"/>
    <w:rsid w:val="00C745C3"/>
    <w:rsid w:val="00C84491"/>
    <w:rsid w:val="00CA19B5"/>
    <w:rsid w:val="00CB44AC"/>
    <w:rsid w:val="00CC2A3F"/>
    <w:rsid w:val="00CD577F"/>
    <w:rsid w:val="00CD5F6D"/>
    <w:rsid w:val="00CD6FE5"/>
    <w:rsid w:val="00CE0E13"/>
    <w:rsid w:val="00CE4A8F"/>
    <w:rsid w:val="00D051B1"/>
    <w:rsid w:val="00D146BA"/>
    <w:rsid w:val="00D2031B"/>
    <w:rsid w:val="00D25FE2"/>
    <w:rsid w:val="00D34284"/>
    <w:rsid w:val="00D3689A"/>
    <w:rsid w:val="00D41A47"/>
    <w:rsid w:val="00D43252"/>
    <w:rsid w:val="00D515F7"/>
    <w:rsid w:val="00D93FE0"/>
    <w:rsid w:val="00D95303"/>
    <w:rsid w:val="00D9692D"/>
    <w:rsid w:val="00D978C6"/>
    <w:rsid w:val="00DA3C1C"/>
    <w:rsid w:val="00DA7F3D"/>
    <w:rsid w:val="00DB4D26"/>
    <w:rsid w:val="00DC31BF"/>
    <w:rsid w:val="00DC54AA"/>
    <w:rsid w:val="00DD0683"/>
    <w:rsid w:val="00DD0E54"/>
    <w:rsid w:val="00DD1965"/>
    <w:rsid w:val="00DE5CF5"/>
    <w:rsid w:val="00DF3444"/>
    <w:rsid w:val="00DF3B61"/>
    <w:rsid w:val="00DF6BEF"/>
    <w:rsid w:val="00E04E50"/>
    <w:rsid w:val="00E26D05"/>
    <w:rsid w:val="00E31031"/>
    <w:rsid w:val="00E34517"/>
    <w:rsid w:val="00E46C2D"/>
    <w:rsid w:val="00E53C6D"/>
    <w:rsid w:val="00E7090D"/>
    <w:rsid w:val="00E71BC8"/>
    <w:rsid w:val="00E7260F"/>
    <w:rsid w:val="00E803B3"/>
    <w:rsid w:val="00E96630"/>
    <w:rsid w:val="00EA37EA"/>
    <w:rsid w:val="00EA7DFF"/>
    <w:rsid w:val="00EB69E8"/>
    <w:rsid w:val="00EC5EE3"/>
    <w:rsid w:val="00ED7A2A"/>
    <w:rsid w:val="00EF1D7F"/>
    <w:rsid w:val="00EF241D"/>
    <w:rsid w:val="00EF6DFD"/>
    <w:rsid w:val="00F151F6"/>
    <w:rsid w:val="00F36171"/>
    <w:rsid w:val="00F5600C"/>
    <w:rsid w:val="00F706AE"/>
    <w:rsid w:val="00F743AA"/>
    <w:rsid w:val="00FB3FEB"/>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8C2B9A"/>
    <w:pPr>
      <w:spacing w:line="240" w:lineRule="auto"/>
      <w:outlineLvl w:val="1"/>
    </w:pPr>
  </w:style>
  <w:style w:type="paragraph" w:styleId="Heading3">
    <w:name w:val="heading 3"/>
    <w:basedOn w:val="Normal"/>
    <w:next w:val="Normal"/>
    <w:qFormat/>
    <w:rsid w:val="008C2B9A"/>
    <w:pPr>
      <w:spacing w:line="240" w:lineRule="auto"/>
      <w:outlineLvl w:val="2"/>
    </w:pPr>
  </w:style>
  <w:style w:type="paragraph" w:styleId="Heading4">
    <w:name w:val="heading 4"/>
    <w:basedOn w:val="Normal"/>
    <w:next w:val="Normal"/>
    <w:qFormat/>
    <w:rsid w:val="008C2B9A"/>
    <w:pPr>
      <w:spacing w:line="240" w:lineRule="auto"/>
      <w:outlineLvl w:val="3"/>
    </w:pPr>
  </w:style>
  <w:style w:type="paragraph" w:styleId="Heading5">
    <w:name w:val="heading 5"/>
    <w:basedOn w:val="Normal"/>
    <w:next w:val="Normal"/>
    <w:qFormat/>
    <w:rsid w:val="008C2B9A"/>
    <w:pPr>
      <w:spacing w:line="240" w:lineRule="auto"/>
      <w:outlineLvl w:val="4"/>
    </w:pPr>
  </w:style>
  <w:style w:type="paragraph" w:styleId="Heading6">
    <w:name w:val="heading 6"/>
    <w:basedOn w:val="Normal"/>
    <w:next w:val="Normal"/>
    <w:qFormat/>
    <w:rsid w:val="008C2B9A"/>
    <w:pPr>
      <w:spacing w:line="240" w:lineRule="auto"/>
      <w:outlineLvl w:val="5"/>
    </w:pPr>
  </w:style>
  <w:style w:type="paragraph" w:styleId="Heading7">
    <w:name w:val="heading 7"/>
    <w:basedOn w:val="Normal"/>
    <w:next w:val="Normal"/>
    <w:qFormat/>
    <w:rsid w:val="008C2B9A"/>
    <w:pPr>
      <w:spacing w:line="240" w:lineRule="auto"/>
      <w:outlineLvl w:val="6"/>
    </w:pPr>
  </w:style>
  <w:style w:type="paragraph" w:styleId="Heading8">
    <w:name w:val="heading 8"/>
    <w:basedOn w:val="Normal"/>
    <w:next w:val="Normal"/>
    <w:qFormat/>
    <w:rsid w:val="008C2B9A"/>
    <w:pPr>
      <w:spacing w:line="240" w:lineRule="auto"/>
      <w:outlineLvl w:val="7"/>
    </w:pPr>
  </w:style>
  <w:style w:type="paragraph" w:styleId="Heading9">
    <w:name w:val="heading 9"/>
    <w:basedOn w:val="Normal"/>
    <w:next w:val="Normal"/>
    <w:qFormat/>
    <w:rsid w:val="008C2B9A"/>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rsid w:val="008C2B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C2B9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8C2B9A"/>
    <w:pPr>
      <w:numPr>
        <w:numId w:val="23"/>
      </w:numPr>
    </w:pPr>
  </w:style>
  <w:style w:type="paragraph" w:customStyle="1" w:styleId="SingleTxtG">
    <w:name w:val="_ Single Txt_G"/>
    <w:basedOn w:val="Normal"/>
    <w:rsid w:val="008C2B9A"/>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sid w:val="008C2B9A"/>
    <w:rPr>
      <w:rFonts w:cs="Courier New"/>
    </w:rPr>
  </w:style>
  <w:style w:type="paragraph" w:styleId="BodyText">
    <w:name w:val="Body Text"/>
    <w:basedOn w:val="Normal"/>
    <w:next w:val="Normal"/>
    <w:semiHidden/>
    <w:rsid w:val="008C2B9A"/>
  </w:style>
  <w:style w:type="paragraph" w:styleId="BodyTextIndent">
    <w:name w:val="Body Text Indent"/>
    <w:basedOn w:val="Normal"/>
    <w:semiHidden/>
    <w:rsid w:val="008C2B9A"/>
    <w:pPr>
      <w:spacing w:after="120"/>
      <w:ind w:left="283"/>
    </w:pPr>
  </w:style>
  <w:style w:type="paragraph" w:styleId="BlockText">
    <w:name w:val="Block Text"/>
    <w:basedOn w:val="Normal"/>
    <w:semiHidden/>
    <w:rsid w:val="008C2B9A"/>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2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sid w:val="008C2B9A"/>
    <w:rPr>
      <w:sz w:val="6"/>
    </w:rPr>
  </w:style>
  <w:style w:type="paragraph" w:styleId="CommentText">
    <w:name w:val="annotation text"/>
    <w:basedOn w:val="Normal"/>
    <w:semiHidden/>
    <w:rsid w:val="008C2B9A"/>
  </w:style>
  <w:style w:type="character" w:styleId="LineNumber">
    <w:name w:val="line number"/>
    <w:basedOn w:val="DefaultParagraphFont"/>
    <w:semiHidden/>
    <w:rsid w:val="008C2B9A"/>
    <w:rPr>
      <w:sz w:val="14"/>
    </w:rPr>
  </w:style>
  <w:style w:type="paragraph" w:customStyle="1" w:styleId="Bullet2G">
    <w:name w:val="_Bullet 2_G"/>
    <w:basedOn w:val="Normal"/>
    <w:rsid w:val="003C2CC4"/>
    <w:pPr>
      <w:numPr>
        <w:numId w:val="22"/>
      </w:numPr>
      <w:spacing w:after="120"/>
      <w:ind w:right="1134"/>
      <w:jc w:val="both"/>
    </w:pPr>
  </w:style>
  <w:style w:type="paragraph" w:customStyle="1" w:styleId="H1G">
    <w:name w:val="_ H_1_G"/>
    <w:basedOn w:val="Normal"/>
    <w:next w:val="Normal"/>
    <w:rsid w:val="008C2B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C2B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C2B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C2B9A"/>
    <w:pPr>
      <w:keepNext/>
      <w:keepLines/>
      <w:tabs>
        <w:tab w:val="right" w:pos="851"/>
      </w:tabs>
      <w:spacing w:before="240" w:after="120" w:line="240" w:lineRule="exact"/>
      <w:ind w:left="1134" w:right="1134" w:hanging="1134"/>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rPr>
      <w:rFonts w:cs="Times New Roman"/>
    </w:rPr>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rPr>
  </w:style>
  <w:style w:type="character" w:styleId="HTMLCode">
    <w:name w:val="HTML Code"/>
    <w:basedOn w:val="DefaultParagraphFont"/>
    <w:semiHidden/>
    <w:rsid w:val="008A6C4F"/>
    <w:rPr>
      <w:rFonts w:ascii="Courier New" w:hAnsi="Courier New"/>
      <w:sz w:val="20"/>
    </w:rPr>
  </w:style>
  <w:style w:type="character" w:styleId="HTMLDefinition">
    <w:name w:val="HTML Definition"/>
    <w:basedOn w:val="DefaultParagraphFont"/>
    <w:semiHidden/>
    <w:rsid w:val="008A6C4F"/>
    <w:rPr>
      <w:i/>
    </w:rPr>
  </w:style>
  <w:style w:type="character" w:styleId="HTMLKeyboard">
    <w:name w:val="HTML Keyboard"/>
    <w:basedOn w:val="DefaultParagraphFont"/>
    <w:semiHidden/>
    <w:rsid w:val="008A6C4F"/>
    <w:rPr>
      <w:rFonts w:ascii="Courier New" w:hAnsi="Courier New"/>
      <w:sz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rPr>
  </w:style>
  <w:style w:type="character" w:styleId="HTMLTypewriter">
    <w:name w:val="HTML Typewriter"/>
    <w:basedOn w:val="DefaultParagraphFont"/>
    <w:semiHidden/>
    <w:rsid w:val="008A6C4F"/>
    <w:rPr>
      <w:rFonts w:ascii="Courier New" w:hAnsi="Courier New"/>
      <w:sz w:val="20"/>
    </w:rPr>
  </w:style>
  <w:style w:type="character" w:styleId="HTMLVariable">
    <w:name w:val="HTML Variable"/>
    <w:basedOn w:val="DefaultParagraphFont"/>
    <w:semiHidden/>
    <w:rsid w:val="008A6C4F"/>
    <w:rPr>
      <w:i/>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16"/>
      </w:numPr>
    </w:pPr>
  </w:style>
  <w:style w:type="paragraph" w:styleId="ListBullet2">
    <w:name w:val="List Bullet 2"/>
    <w:basedOn w:val="Normal"/>
    <w:semiHidden/>
    <w:rsid w:val="008A6C4F"/>
    <w:pPr>
      <w:numPr>
        <w:numId w:val="17"/>
      </w:numPr>
    </w:pPr>
  </w:style>
  <w:style w:type="paragraph" w:styleId="ListBullet3">
    <w:name w:val="List Bullet 3"/>
    <w:basedOn w:val="Normal"/>
    <w:semiHidden/>
    <w:rsid w:val="008A6C4F"/>
    <w:pPr>
      <w:numPr>
        <w:numId w:val="18"/>
      </w:numPr>
    </w:pPr>
  </w:style>
  <w:style w:type="paragraph" w:styleId="ListBullet4">
    <w:name w:val="List Bullet 4"/>
    <w:basedOn w:val="Normal"/>
    <w:semiHidden/>
    <w:rsid w:val="008A6C4F"/>
    <w:pPr>
      <w:numPr>
        <w:numId w:val="19"/>
      </w:numPr>
    </w:pPr>
  </w:style>
  <w:style w:type="paragraph" w:styleId="ListBullet5">
    <w:name w:val="List Bullet 5"/>
    <w:basedOn w:val="Normal"/>
    <w:semiHidden/>
    <w:rsid w:val="008A6C4F"/>
    <w:pPr>
      <w:numPr>
        <w:numId w:val="2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15"/>
      </w:numPr>
    </w:pPr>
  </w:style>
  <w:style w:type="paragraph" w:styleId="ListNumber2">
    <w:name w:val="List Number 2"/>
    <w:basedOn w:val="Normal"/>
    <w:semiHidden/>
    <w:rsid w:val="008A6C4F"/>
    <w:pPr>
      <w:numPr>
        <w:numId w:val="14"/>
      </w:numPr>
    </w:pPr>
  </w:style>
  <w:style w:type="paragraph" w:styleId="ListNumber3">
    <w:name w:val="List Number 3"/>
    <w:basedOn w:val="Normal"/>
    <w:semiHidden/>
    <w:rsid w:val="008A6C4F"/>
    <w:pPr>
      <w:numPr>
        <w:numId w:val="13"/>
      </w:numPr>
    </w:pPr>
  </w:style>
  <w:style w:type="paragraph" w:styleId="ListNumber4">
    <w:name w:val="List Number 4"/>
    <w:basedOn w:val="Normal"/>
    <w:semiHidden/>
    <w:rsid w:val="008A6C4F"/>
    <w:pPr>
      <w:numPr>
        <w:numId w:val="11"/>
      </w:numPr>
    </w:pPr>
  </w:style>
  <w:style w:type="paragraph" w:styleId="ListNumber5">
    <w:name w:val="List Number 5"/>
    <w:basedOn w:val="Normal"/>
    <w:semiHidden/>
    <w:rsid w:val="008A6C4F"/>
    <w:pPr>
      <w:numPr>
        <w:numId w:val="1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9E219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9E219B"/>
    <w:rPr>
      <w:rFonts w:ascii="Tahoma" w:hAnsi="Tahoma" w:cs="Tahoma"/>
      <w:sz w:val="16"/>
      <w:szCs w:val="16"/>
      <w:lang w:val="en-GB" w:eastAsia="en-US"/>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basedOn w:val="DefaultParagraphFont"/>
    <w:link w:val="FootnoteText"/>
    <w:locked/>
    <w:rsid w:val="00DF3444"/>
    <w:rPr>
      <w:rFonts w:cs="Times New Roman"/>
      <w:sz w:val="18"/>
      <w:lang w:val="en-GB" w:eastAsia="en-US"/>
    </w:rPr>
  </w:style>
  <w:style w:type="numbering" w:styleId="ArticleSection">
    <w:name w:val="Outline List 3"/>
    <w:basedOn w:val="NoList"/>
    <w:rsid w:val="00B07A50"/>
    <w:pPr>
      <w:numPr>
        <w:numId w:val="26"/>
      </w:numPr>
    </w:pPr>
  </w:style>
  <w:style w:type="numbering" w:styleId="1ai">
    <w:name w:val="Outline List 1"/>
    <w:basedOn w:val="NoList"/>
    <w:rsid w:val="00B07A50"/>
    <w:pPr>
      <w:numPr>
        <w:numId w:val="25"/>
      </w:numPr>
    </w:pPr>
  </w:style>
  <w:style w:type="numbering" w:styleId="111111">
    <w:name w:val="Outline List 2"/>
    <w:basedOn w:val="NoList"/>
    <w:rsid w:val="00B07A50"/>
    <w:pPr>
      <w:numPr>
        <w:numId w:val="24"/>
      </w:numPr>
    </w:pPr>
  </w:style>
  <w:style w:type="character" w:customStyle="1" w:styleId="ftCarCar">
    <w:name w:val="ft Car Car"/>
    <w:rsid w:val="00362B06"/>
    <w:rPr>
      <w:sz w:val="18"/>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5669</Words>
  <Characters>32317</Characters>
  <Application>Microsoft Office Outlook</Application>
  <DocSecurity>4</DocSecurity>
  <Lines>269</Lines>
  <Paragraphs>75</Paragraphs>
  <ScaleCrop>false</ScaleCrop>
  <HeadingPairs>
    <vt:vector size="2" baseType="variant">
      <vt:variant>
        <vt:lpstr>Titre</vt:lpstr>
      </vt:variant>
      <vt:variant>
        <vt:i4>1</vt:i4>
      </vt:variant>
    </vt:vector>
  </HeadingPairs>
  <TitlesOfParts>
    <vt:vector size="1" baseType="lpstr">
      <vt:lpstr>1242885</vt:lpstr>
    </vt:vector>
  </TitlesOfParts>
  <Company>CSD</Company>
  <LinksUpToDate>false</LinksUpToDate>
  <CharactersWithSpaces>37911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1242885</dc:title>
  <dc:subject/>
  <dc:creator>Giltsoff</dc:creator>
  <cp:keywords>CAT/C/SR.1078</cp:keywords>
  <dc:description/>
  <cp:lastModifiedBy>DCM</cp:lastModifiedBy>
  <cp:revision>2</cp:revision>
  <cp:lastPrinted>2013-05-18T12:43:00Z</cp:lastPrinted>
  <dcterms:created xsi:type="dcterms:W3CDTF">2013-10-01T14:22:00Z</dcterms:created>
  <dcterms:modified xsi:type="dcterms:W3CDTF">2013-10-01T14:22:00Z</dcterms:modified>
</cp:coreProperties>
</file>