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837CB" w:rsidRPr="00DB58B5" w14:paraId="6057516F" w14:textId="77777777" w:rsidTr="00DB6530">
        <w:trPr>
          <w:trHeight w:hRule="exact" w:val="851"/>
        </w:trPr>
        <w:tc>
          <w:tcPr>
            <w:tcW w:w="1276" w:type="dxa"/>
            <w:tcBorders>
              <w:bottom w:val="single" w:sz="4" w:space="0" w:color="auto"/>
            </w:tcBorders>
          </w:tcPr>
          <w:p w14:paraId="4E037E6B" w14:textId="7252C2DA" w:rsidR="00F837CB" w:rsidRPr="00DB58B5" w:rsidRDefault="00F837CB" w:rsidP="00DB6530"/>
        </w:tc>
        <w:tc>
          <w:tcPr>
            <w:tcW w:w="2268" w:type="dxa"/>
            <w:tcBorders>
              <w:bottom w:val="single" w:sz="4" w:space="0" w:color="auto"/>
            </w:tcBorders>
            <w:vAlign w:val="bottom"/>
          </w:tcPr>
          <w:p w14:paraId="7715B6A5" w14:textId="77777777" w:rsidR="00F837CB" w:rsidRPr="001B64FC" w:rsidRDefault="00F837CB" w:rsidP="00DB6530">
            <w:pPr>
              <w:spacing w:after="80" w:line="300" w:lineRule="exact"/>
              <w:rPr>
                <w:sz w:val="28"/>
              </w:rPr>
            </w:pPr>
            <w:r w:rsidRPr="001B64FC">
              <w:rPr>
                <w:sz w:val="28"/>
              </w:rPr>
              <w:t>Naciones Unidas</w:t>
            </w:r>
          </w:p>
        </w:tc>
        <w:tc>
          <w:tcPr>
            <w:tcW w:w="6095" w:type="dxa"/>
            <w:gridSpan w:val="2"/>
            <w:tcBorders>
              <w:bottom w:val="single" w:sz="4" w:space="0" w:color="auto"/>
            </w:tcBorders>
            <w:vAlign w:val="bottom"/>
          </w:tcPr>
          <w:p w14:paraId="170CC7BD" w14:textId="685FEA34" w:rsidR="00F837CB" w:rsidRPr="00DB58B5" w:rsidRDefault="00F837CB" w:rsidP="00DB6530">
            <w:pPr>
              <w:jc w:val="right"/>
            </w:pPr>
            <w:r w:rsidRPr="00CF2735">
              <w:rPr>
                <w:sz w:val="40"/>
              </w:rPr>
              <w:t>CAT</w:t>
            </w:r>
            <w:r w:rsidR="007B77C5">
              <w:t>/OP/ESP/2</w:t>
            </w:r>
          </w:p>
        </w:tc>
      </w:tr>
      <w:tr w:rsidR="00F837CB" w:rsidRPr="00620065" w14:paraId="26E42FF0" w14:textId="77777777" w:rsidTr="00DB6530">
        <w:trPr>
          <w:trHeight w:hRule="exact" w:val="2835"/>
        </w:trPr>
        <w:tc>
          <w:tcPr>
            <w:tcW w:w="1276" w:type="dxa"/>
            <w:tcBorders>
              <w:top w:val="single" w:sz="4" w:space="0" w:color="auto"/>
              <w:bottom w:val="single" w:sz="12" w:space="0" w:color="auto"/>
            </w:tcBorders>
          </w:tcPr>
          <w:p w14:paraId="10DBFCDF" w14:textId="10D1552B" w:rsidR="00F837CB" w:rsidRPr="00DB58B5" w:rsidRDefault="004612B6" w:rsidP="00DB6530">
            <w:pPr>
              <w:spacing w:before="120"/>
              <w:jc w:val="center"/>
            </w:pPr>
            <w:r w:rsidRPr="00620065">
              <w:rPr>
                <w:noProof/>
                <w:lang w:eastAsia="zh-CN"/>
              </w:rPr>
              <w:drawing>
                <wp:inline distT="0" distB="0" distL="0" distR="0" wp14:anchorId="271C7D80" wp14:editId="2016413C">
                  <wp:extent cx="713740" cy="591820"/>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74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80BFEA" w14:textId="77777777" w:rsidR="00F837CB" w:rsidRPr="003164D3" w:rsidRDefault="00F837CB" w:rsidP="00DB6530">
            <w:pPr>
              <w:spacing w:before="120" w:line="380" w:lineRule="exact"/>
              <w:rPr>
                <w:b/>
                <w:sz w:val="34"/>
                <w:szCs w:val="34"/>
              </w:rPr>
            </w:pPr>
            <w:r w:rsidRPr="003164D3">
              <w:rPr>
                <w:b/>
                <w:sz w:val="34"/>
                <w:szCs w:val="34"/>
              </w:rPr>
              <w:t>Protocolo Facultativo de la</w:t>
            </w:r>
            <w:r w:rsidRPr="003164D3">
              <w:rPr>
                <w:b/>
                <w:sz w:val="34"/>
                <w:szCs w:val="34"/>
              </w:rPr>
              <w:br/>
              <w:t>Convención contra la Tortura</w:t>
            </w:r>
            <w:r w:rsidRPr="003164D3">
              <w:rPr>
                <w:b/>
                <w:sz w:val="34"/>
                <w:szCs w:val="34"/>
              </w:rPr>
              <w:br/>
              <w:t>y Otros Tratos o Penas Crueles,</w:t>
            </w:r>
            <w:r w:rsidRPr="003164D3">
              <w:rPr>
                <w:b/>
                <w:sz w:val="34"/>
                <w:szCs w:val="34"/>
              </w:rPr>
              <w:br/>
              <w:t>Inhumanos o Degradantes</w:t>
            </w:r>
          </w:p>
        </w:tc>
        <w:tc>
          <w:tcPr>
            <w:tcW w:w="2835" w:type="dxa"/>
            <w:tcBorders>
              <w:top w:val="single" w:sz="4" w:space="0" w:color="auto"/>
              <w:bottom w:val="single" w:sz="12" w:space="0" w:color="auto"/>
            </w:tcBorders>
          </w:tcPr>
          <w:p w14:paraId="004F6A19" w14:textId="42A8C3E0" w:rsidR="00F837CB" w:rsidRPr="001B64FC" w:rsidRDefault="00F837CB" w:rsidP="00F84397">
            <w:pPr>
              <w:spacing w:before="240" w:line="240" w:lineRule="exact"/>
            </w:pPr>
            <w:r w:rsidRPr="001B64FC">
              <w:t xml:space="preserve">Distr. </w:t>
            </w:r>
            <w:r w:rsidR="00995D0E" w:rsidRPr="00995D0E">
              <w:t>general</w:t>
            </w:r>
            <w:r w:rsidR="00995D0E" w:rsidRPr="00995D0E" w:rsidDel="00995D0E">
              <w:t xml:space="preserve"> </w:t>
            </w:r>
          </w:p>
          <w:p w14:paraId="01A5FEC1" w14:textId="07216DEE" w:rsidR="00F837CB" w:rsidRPr="001B64FC" w:rsidRDefault="00372C85" w:rsidP="00372C85">
            <w:pPr>
              <w:spacing w:line="240" w:lineRule="exact"/>
            </w:pPr>
            <w:r>
              <w:t>4</w:t>
            </w:r>
            <w:r w:rsidR="00935F1C">
              <w:t xml:space="preserve"> </w:t>
            </w:r>
            <w:r w:rsidR="00995D0E">
              <w:t xml:space="preserve">de </w:t>
            </w:r>
            <w:r>
              <w:t>septiembre</w:t>
            </w:r>
            <w:r w:rsidR="00ED4690">
              <w:t xml:space="preserve"> de </w:t>
            </w:r>
            <w:r w:rsidR="00F837CB" w:rsidRPr="001B64FC">
              <w:t>2018</w:t>
            </w:r>
          </w:p>
          <w:p w14:paraId="582AD208" w14:textId="77777777" w:rsidR="00F837CB" w:rsidRPr="001B64FC" w:rsidRDefault="00F837CB" w:rsidP="00DB6530">
            <w:pPr>
              <w:spacing w:line="240" w:lineRule="exact"/>
            </w:pPr>
          </w:p>
          <w:p w14:paraId="7DC873A7" w14:textId="6C854F9F" w:rsidR="00F837CB" w:rsidRPr="001B64FC" w:rsidRDefault="00F837CB" w:rsidP="001F147D">
            <w:pPr>
              <w:spacing w:line="240" w:lineRule="exact"/>
            </w:pPr>
            <w:r w:rsidRPr="001B64FC">
              <w:t>Original: español</w:t>
            </w:r>
          </w:p>
          <w:p w14:paraId="0E09BEAA" w14:textId="3424FC3C" w:rsidR="00F837CB" w:rsidRPr="001B64FC" w:rsidRDefault="0045448D" w:rsidP="00DB6530">
            <w:pPr>
              <w:spacing w:line="240" w:lineRule="exact"/>
            </w:pPr>
            <w:r w:rsidRPr="0045448D">
              <w:rPr>
                <w:lang w:val="es-ES_tradnl"/>
              </w:rPr>
              <w:t xml:space="preserve">Español, </w:t>
            </w:r>
            <w:r w:rsidR="006B2C29">
              <w:rPr>
                <w:lang w:val="es-ES_tradnl"/>
              </w:rPr>
              <w:t xml:space="preserve">francés e </w:t>
            </w:r>
            <w:r w:rsidRPr="0045448D">
              <w:rPr>
                <w:lang w:val="es-ES_tradnl"/>
              </w:rPr>
              <w:t>inglés únicamente</w:t>
            </w:r>
          </w:p>
        </w:tc>
      </w:tr>
    </w:tbl>
    <w:p w14:paraId="1B0FDC29" w14:textId="77777777" w:rsidR="00F837CB" w:rsidRPr="001B64FC" w:rsidRDefault="00F837CB" w:rsidP="00F837CB">
      <w:pPr>
        <w:spacing w:before="120" w:after="240" w:line="240" w:lineRule="auto"/>
        <w:rPr>
          <w:b/>
          <w:sz w:val="24"/>
          <w:szCs w:val="24"/>
        </w:rPr>
      </w:pPr>
      <w:r w:rsidRPr="001B64FC">
        <w:rPr>
          <w:b/>
          <w:sz w:val="24"/>
          <w:szCs w:val="24"/>
        </w:rPr>
        <w:t>Subcomité para la Prevención de la Tortura y Otros</w:t>
      </w:r>
      <w:r w:rsidRPr="001B64FC">
        <w:rPr>
          <w:b/>
          <w:sz w:val="24"/>
          <w:szCs w:val="24"/>
        </w:rPr>
        <w:br/>
        <w:t>Tratos o Penas Crueles, Inhumanos o Degradantes</w:t>
      </w:r>
    </w:p>
    <w:p w14:paraId="4A7DDFCB" w14:textId="09ED5A59" w:rsidR="00F837CB" w:rsidRPr="001B64FC" w:rsidRDefault="00F837CB" w:rsidP="001B64FC">
      <w:pPr>
        <w:pStyle w:val="HMG"/>
      </w:pPr>
      <w:r w:rsidRPr="001B64FC">
        <w:tab/>
      </w:r>
      <w:r w:rsidRPr="001B64FC">
        <w:tab/>
      </w:r>
      <w:r w:rsidR="00467DAE" w:rsidRPr="001B64FC">
        <w:t>Visita a España del 15 al 26 de octubre de 2017: observaciones y recomendaciones dirigidas al mecanismo nacional de prevención</w:t>
      </w:r>
    </w:p>
    <w:p w14:paraId="59FF52D9" w14:textId="2E5E05AC" w:rsidR="00F837CB" w:rsidRPr="003B5B25" w:rsidRDefault="00F837CB" w:rsidP="000E7414">
      <w:pPr>
        <w:pStyle w:val="HChG"/>
      </w:pPr>
      <w:r w:rsidRPr="001B64FC">
        <w:tab/>
      </w:r>
      <w:r w:rsidRPr="001B64FC">
        <w:tab/>
      </w:r>
      <w:r w:rsidR="0041503B" w:rsidRPr="001B64FC">
        <w:t xml:space="preserve">Informe del </w:t>
      </w:r>
      <w:r w:rsidR="00FF575B" w:rsidRPr="001B64FC">
        <w:t>S</w:t>
      </w:r>
      <w:r w:rsidR="0041503B" w:rsidRPr="001B64FC">
        <w:t>ubcomité</w:t>
      </w:r>
      <w:r w:rsidR="00467DAE" w:rsidRPr="001B64FC">
        <w:rPr>
          <w:rStyle w:val="Refdenotaalpie"/>
          <w:b w:val="0"/>
          <w:sz w:val="20"/>
          <w:vertAlign w:val="baseline"/>
        </w:rPr>
        <w:footnoteReference w:customMarkFollows="1" w:id="2"/>
        <w:t>*</w:t>
      </w:r>
      <w:r w:rsidR="00ED4690" w:rsidRPr="001B64FC">
        <w:rPr>
          <w:rStyle w:val="Refdenotaalpie"/>
          <w:b w:val="0"/>
          <w:sz w:val="20"/>
        </w:rPr>
        <w:t>,</w:t>
      </w:r>
      <w:r w:rsidR="00467DAE" w:rsidRPr="001B64FC">
        <w:rPr>
          <w:b w:val="0"/>
          <w:sz w:val="20"/>
          <w:vertAlign w:val="superscript"/>
        </w:rPr>
        <w:t xml:space="preserve"> </w:t>
      </w:r>
      <w:r w:rsidR="00467DAE" w:rsidRPr="001B64FC">
        <w:rPr>
          <w:rStyle w:val="Refdenotaalpie"/>
          <w:b w:val="0"/>
          <w:sz w:val="20"/>
          <w:vertAlign w:val="baseline"/>
        </w:rPr>
        <w:footnoteReference w:customMarkFollows="1" w:id="3"/>
        <w:t>**</w:t>
      </w:r>
      <w:r w:rsidR="00467DAE" w:rsidRPr="001B64FC">
        <w:rPr>
          <w:b w:val="0"/>
        </w:rPr>
        <w:t xml:space="preserve"> </w:t>
      </w:r>
    </w:p>
    <w:p w14:paraId="49C62CB6" w14:textId="77777777" w:rsidR="00F837CB" w:rsidRPr="001B64FC" w:rsidRDefault="00F837CB" w:rsidP="00F837CB">
      <w:pPr>
        <w:spacing w:before="120" w:line="240" w:lineRule="exact"/>
        <w:rPr>
          <w:bCs/>
        </w:rPr>
      </w:pPr>
    </w:p>
    <w:p w14:paraId="52AE1E0E" w14:textId="77777777" w:rsidR="00F837CB" w:rsidRPr="001B64FC" w:rsidRDefault="00F837CB" w:rsidP="00F837CB">
      <w:r w:rsidRPr="001B64FC">
        <w:br w:type="page"/>
      </w:r>
    </w:p>
    <w:p w14:paraId="7CC3D40D" w14:textId="77777777" w:rsidR="00F837CB" w:rsidRPr="001B64FC" w:rsidRDefault="00F837CB" w:rsidP="001B64FC">
      <w:pPr>
        <w:spacing w:after="120"/>
        <w:rPr>
          <w:sz w:val="28"/>
        </w:rPr>
      </w:pPr>
      <w:r w:rsidRPr="001B64FC">
        <w:rPr>
          <w:sz w:val="28"/>
        </w:rPr>
        <w:lastRenderedPageBreak/>
        <w:t>Índice</w:t>
      </w:r>
      <w:bookmarkStart w:id="0" w:name="_GoBack"/>
      <w:bookmarkEnd w:id="0"/>
    </w:p>
    <w:p w14:paraId="7FAAF62C" w14:textId="1633C9F7" w:rsidR="00F837CB" w:rsidRPr="001B64FC" w:rsidRDefault="00F837CB" w:rsidP="001B64FC">
      <w:pPr>
        <w:tabs>
          <w:tab w:val="right" w:pos="9638"/>
        </w:tabs>
        <w:spacing w:after="120"/>
        <w:ind w:left="283"/>
      </w:pPr>
      <w:r w:rsidRPr="001B64FC">
        <w:rPr>
          <w:i/>
          <w:sz w:val="18"/>
        </w:rPr>
        <w:tab/>
        <w:t>Página</w:t>
      </w:r>
    </w:p>
    <w:p w14:paraId="5CB2F523" w14:textId="5BD7C845" w:rsidR="00F837CB" w:rsidRPr="001B64FC" w:rsidRDefault="00F837CB" w:rsidP="001B64FC">
      <w:pPr>
        <w:tabs>
          <w:tab w:val="right" w:pos="850"/>
          <w:tab w:val="left" w:pos="1134"/>
          <w:tab w:val="left" w:pos="1559"/>
          <w:tab w:val="left" w:pos="1984"/>
          <w:tab w:val="left" w:leader="dot" w:pos="8787"/>
          <w:tab w:val="right" w:pos="9638"/>
        </w:tabs>
        <w:spacing w:after="120"/>
      </w:pPr>
      <w:r w:rsidRPr="001B64FC">
        <w:tab/>
        <w:t>I.</w:t>
      </w:r>
      <w:r w:rsidRPr="001B64FC">
        <w:tab/>
        <w:t>Introducción</w:t>
      </w:r>
      <w:r w:rsidRPr="001B64FC">
        <w:tab/>
      </w:r>
      <w:r w:rsidRPr="001B64FC">
        <w:tab/>
        <w:t>3</w:t>
      </w:r>
    </w:p>
    <w:p w14:paraId="587322FE" w14:textId="2C75C9C1" w:rsidR="00F837CB" w:rsidRPr="001B64FC" w:rsidRDefault="00F837CB" w:rsidP="001B64FC">
      <w:pPr>
        <w:tabs>
          <w:tab w:val="right" w:pos="850"/>
          <w:tab w:val="left" w:pos="1134"/>
          <w:tab w:val="left" w:pos="1559"/>
          <w:tab w:val="left" w:pos="1984"/>
          <w:tab w:val="left" w:leader="dot" w:pos="8787"/>
          <w:tab w:val="right" w:pos="9638"/>
        </w:tabs>
        <w:spacing w:after="120"/>
      </w:pPr>
      <w:r w:rsidRPr="001B64FC">
        <w:tab/>
        <w:t>II.</w:t>
      </w:r>
      <w:r w:rsidRPr="001B64FC">
        <w:tab/>
        <w:t>El mecanismo nacional de prevención</w:t>
      </w:r>
      <w:r w:rsidRPr="001B64FC">
        <w:tab/>
      </w:r>
      <w:r w:rsidRPr="001B64FC">
        <w:tab/>
        <w:t>3</w:t>
      </w:r>
    </w:p>
    <w:p w14:paraId="54125DF6" w14:textId="37A33FE1" w:rsidR="00F837CB" w:rsidRPr="001B64FC" w:rsidRDefault="00F837CB" w:rsidP="001B64FC">
      <w:pPr>
        <w:tabs>
          <w:tab w:val="right" w:pos="850"/>
          <w:tab w:val="left" w:pos="1134"/>
          <w:tab w:val="left" w:pos="1559"/>
          <w:tab w:val="left" w:pos="1984"/>
          <w:tab w:val="left" w:leader="dot" w:pos="8787"/>
          <w:tab w:val="right" w:pos="9638"/>
        </w:tabs>
        <w:spacing w:after="120"/>
      </w:pPr>
      <w:r w:rsidRPr="001B64FC">
        <w:tab/>
        <w:t>III.</w:t>
      </w:r>
      <w:r w:rsidRPr="001B64FC">
        <w:tab/>
        <w:t xml:space="preserve">Recomendaciones al </w:t>
      </w:r>
      <w:r w:rsidR="00456D8E" w:rsidRPr="000779D2">
        <w:t>m</w:t>
      </w:r>
      <w:r w:rsidRPr="001B64FC">
        <w:t xml:space="preserve">ecanismo </w:t>
      </w:r>
      <w:r w:rsidR="00456D8E" w:rsidRPr="000779D2">
        <w:t>n</w:t>
      </w:r>
      <w:r w:rsidR="00F64E50" w:rsidRPr="001B64FC">
        <w:t xml:space="preserve">acional de </w:t>
      </w:r>
      <w:r w:rsidR="00456D8E" w:rsidRPr="000779D2">
        <w:t>p</w:t>
      </w:r>
      <w:r w:rsidR="00F64E50" w:rsidRPr="001B64FC">
        <w:t>revención</w:t>
      </w:r>
      <w:r w:rsidR="00F64E50" w:rsidRPr="001B64FC">
        <w:tab/>
      </w:r>
      <w:r w:rsidR="00F64E50" w:rsidRPr="001B64FC">
        <w:tab/>
        <w:t>4</w:t>
      </w:r>
    </w:p>
    <w:p w14:paraId="5FAB9197" w14:textId="77777777" w:rsidR="00F837CB" w:rsidRPr="001B64FC" w:rsidRDefault="00F837CB" w:rsidP="0045448D">
      <w:pPr>
        <w:pStyle w:val="H56G"/>
        <w:tabs>
          <w:tab w:val="right" w:pos="9356"/>
        </w:tabs>
      </w:pPr>
      <w:r w:rsidRPr="001B64FC">
        <w:tab/>
        <w:t>Anexos</w:t>
      </w:r>
    </w:p>
    <w:p w14:paraId="53FD24EC" w14:textId="0CD65C01" w:rsidR="00F837CB" w:rsidRPr="001B64FC" w:rsidRDefault="00F837CB" w:rsidP="001B64FC">
      <w:pPr>
        <w:tabs>
          <w:tab w:val="right" w:pos="850"/>
          <w:tab w:val="left" w:pos="1134"/>
          <w:tab w:val="left" w:pos="1559"/>
          <w:tab w:val="left" w:pos="1984"/>
          <w:tab w:val="left" w:leader="dot" w:pos="8787"/>
          <w:tab w:val="right" w:pos="9638"/>
        </w:tabs>
        <w:spacing w:after="120"/>
      </w:pPr>
      <w:r w:rsidRPr="001B64FC">
        <w:tab/>
        <w:t>I.</w:t>
      </w:r>
      <w:r w:rsidRPr="001B64FC">
        <w:tab/>
        <w:t>Lista de las personas con q</w:t>
      </w:r>
      <w:r w:rsidR="00F64E50" w:rsidRPr="001B64FC">
        <w:t>uienes se reunió el Subcomité</w:t>
      </w:r>
      <w:r w:rsidR="00F64E50" w:rsidRPr="001B64FC">
        <w:tab/>
      </w:r>
      <w:r w:rsidR="00F64E50" w:rsidRPr="001B64FC">
        <w:tab/>
        <w:t>8</w:t>
      </w:r>
    </w:p>
    <w:p w14:paraId="317E4E1F" w14:textId="16944DDC" w:rsidR="00F837CB" w:rsidRPr="001B64FC" w:rsidRDefault="00F837CB" w:rsidP="001B64FC">
      <w:pPr>
        <w:tabs>
          <w:tab w:val="right" w:pos="850"/>
          <w:tab w:val="left" w:pos="1134"/>
          <w:tab w:val="left" w:pos="1559"/>
          <w:tab w:val="left" w:pos="1984"/>
          <w:tab w:val="left" w:leader="dot" w:pos="8787"/>
          <w:tab w:val="right" w:pos="9638"/>
        </w:tabs>
        <w:spacing w:after="120"/>
      </w:pPr>
      <w:r w:rsidRPr="001B64FC">
        <w:tab/>
        <w:t>II.</w:t>
      </w:r>
      <w:r w:rsidRPr="001B64FC">
        <w:tab/>
        <w:t>Lugares de pri</w:t>
      </w:r>
      <w:r w:rsidR="00F64E50" w:rsidRPr="001B64FC">
        <w:t>vación de libertad visitados</w:t>
      </w:r>
      <w:r w:rsidR="00F64E50" w:rsidRPr="001B64FC">
        <w:tab/>
      </w:r>
      <w:r w:rsidR="00F64E50" w:rsidRPr="001B64FC">
        <w:tab/>
        <w:t>11</w:t>
      </w:r>
    </w:p>
    <w:p w14:paraId="5587D3AD" w14:textId="77777777" w:rsidR="00F837CB" w:rsidRPr="001B64FC" w:rsidRDefault="00F837CB" w:rsidP="00F837CB">
      <w:pPr>
        <w:pStyle w:val="HChG"/>
        <w:ind w:left="0" w:firstLine="0"/>
      </w:pPr>
      <w:r w:rsidRPr="001B64FC">
        <w:br w:type="page"/>
      </w:r>
      <w:r w:rsidRPr="001B64FC">
        <w:lastRenderedPageBreak/>
        <w:tab/>
        <w:t>I.</w:t>
      </w:r>
      <w:r w:rsidRPr="001B64FC">
        <w:tab/>
        <w:t>Introducción</w:t>
      </w:r>
    </w:p>
    <w:p w14:paraId="56D07A93" w14:textId="22BD167F" w:rsidR="00F837CB" w:rsidRPr="001B64FC" w:rsidRDefault="00F837CB">
      <w:pPr>
        <w:pStyle w:val="SingleTxtG"/>
        <w:rPr>
          <w:sz w:val="24"/>
          <w:szCs w:val="24"/>
        </w:rPr>
      </w:pPr>
      <w:r w:rsidRPr="001B64FC">
        <w:t>1.</w:t>
      </w:r>
      <w:r w:rsidRPr="001B64FC">
        <w:tab/>
        <w:t xml:space="preserve">En el marco de su mandato según el Protocolo Facultativo de la Convención contra la Tortura y Otros Tratos o Penas Crueles, Inhumanos o Degradantes, el Subcomité para la Prevención de la Tortura </w:t>
      </w:r>
      <w:r w:rsidR="00ED4690" w:rsidRPr="001B64FC">
        <w:t xml:space="preserve">y Otros Tratos o Penas Crueles, Inhumanos o Degradantes </w:t>
      </w:r>
      <w:r w:rsidRPr="001B64FC">
        <w:t xml:space="preserve">realizó </w:t>
      </w:r>
      <w:r w:rsidR="00ED4690" w:rsidRPr="000779D2">
        <w:t>s</w:t>
      </w:r>
      <w:r w:rsidRPr="001B64FC">
        <w:t>u visita regular a España del 15 al 26 de octubre de 2017.</w:t>
      </w:r>
    </w:p>
    <w:p w14:paraId="16FB345E" w14:textId="76B66F9F" w:rsidR="00F837CB" w:rsidRPr="001B64FC" w:rsidRDefault="00F837CB">
      <w:pPr>
        <w:pStyle w:val="SingleTxtG"/>
      </w:pPr>
      <w:r w:rsidRPr="001B64FC">
        <w:t>2.</w:t>
      </w:r>
      <w:r w:rsidRPr="001B64FC">
        <w:tab/>
        <w:t>El Subcomité estuvo representado por sus miembros Felipe Villavicencio Terreros (</w:t>
      </w:r>
      <w:r w:rsidR="00ED4690" w:rsidRPr="001B64FC">
        <w:t>j</w:t>
      </w:r>
      <w:r w:rsidRPr="001B64FC">
        <w:t>efe de la delegación), Lorena González Pinto (</w:t>
      </w:r>
      <w:r w:rsidR="00ED4690" w:rsidRPr="001B64FC">
        <w:t>v</w:t>
      </w:r>
      <w:r w:rsidRPr="001B64FC">
        <w:t>icepresidenta del Subcomité), Nora Sveaass (</w:t>
      </w:r>
      <w:r w:rsidR="00ED4690" w:rsidRPr="001B64FC">
        <w:t>v</w:t>
      </w:r>
      <w:r w:rsidRPr="001B64FC">
        <w:t>icepresidenta del Subcomité), Roberto Michel Feh</w:t>
      </w:r>
      <w:r w:rsidR="00447533">
        <w:t>é</w:t>
      </w:r>
      <w:r w:rsidRPr="001B64FC">
        <w:t xml:space="preserve">r Pérez y Abdallah Ounnir. </w:t>
      </w:r>
    </w:p>
    <w:p w14:paraId="3E14C141" w14:textId="77777777" w:rsidR="00F837CB" w:rsidRPr="001B64FC" w:rsidRDefault="00F837CB" w:rsidP="00F837CB">
      <w:pPr>
        <w:pStyle w:val="SingleTxtG"/>
      </w:pPr>
      <w:r w:rsidRPr="001B64FC">
        <w:t>3.</w:t>
      </w:r>
      <w:r w:rsidRPr="001B64FC">
        <w:tab/>
        <w:t>El Subcomité contó con la asistencia de tres oficiales de derechos humanos y dos oficiales de seguridad de la Oficina del Alto Comisionado de las Naciones Unidas para los Derechos Humanos.</w:t>
      </w:r>
    </w:p>
    <w:p w14:paraId="3D46C2EA" w14:textId="4FE50BD7" w:rsidR="00F837CB" w:rsidRPr="001B64FC" w:rsidRDefault="00F837CB" w:rsidP="00372C85">
      <w:pPr>
        <w:pStyle w:val="SingleTxtG"/>
      </w:pPr>
      <w:r w:rsidRPr="001B64FC">
        <w:t>4.</w:t>
      </w:r>
      <w:r w:rsidRPr="001B64FC">
        <w:tab/>
        <w:t xml:space="preserve">España ratificó la Convención contra la Tortura y Otros Tratos o Penas Crueles, Inhumanos o Degradantes el 21 de octubre de 1987 y ratificó su Protocolo Facultativo el 4 de abril de 2006. La Ley Orgánica </w:t>
      </w:r>
      <w:r w:rsidR="006F13E9">
        <w:t>núm</w:t>
      </w:r>
      <w:r w:rsidR="003D1869">
        <w:t>. </w:t>
      </w:r>
      <w:r w:rsidRPr="001B64FC">
        <w:t xml:space="preserve">1/2009 de 3 de noviembre introdujo una disposición final única en la Ley Orgánica del Defensor del Pueblo por la que se atribuyó la condición de </w:t>
      </w:r>
      <w:r w:rsidR="00A935B7" w:rsidRPr="001B64FC">
        <w:t>m</w:t>
      </w:r>
      <w:r w:rsidRPr="001B64FC">
        <w:t xml:space="preserve">ecanismo </w:t>
      </w:r>
      <w:r w:rsidR="00A935B7" w:rsidRPr="001B64FC">
        <w:t>n</w:t>
      </w:r>
      <w:r w:rsidRPr="001B64FC">
        <w:t xml:space="preserve">acional de </w:t>
      </w:r>
      <w:r w:rsidR="00A935B7" w:rsidRPr="001B64FC">
        <w:t>p</w:t>
      </w:r>
      <w:r w:rsidRPr="001B64FC">
        <w:t>revención de España al Defensor del Pueblo.</w:t>
      </w:r>
    </w:p>
    <w:p w14:paraId="5EB05EDA" w14:textId="335243FA" w:rsidR="00F837CB" w:rsidRPr="001B64FC" w:rsidRDefault="00F837CB">
      <w:pPr>
        <w:pStyle w:val="SingleTxtG"/>
      </w:pPr>
      <w:r w:rsidRPr="001B64FC">
        <w:t>5.</w:t>
      </w:r>
      <w:r w:rsidRPr="001B64FC">
        <w:tab/>
        <w:t xml:space="preserve">Uno de los objetivos de la visita fue brindar asesoramiento y asistencia técnica al mecanismo nacional de prevención de la tortura español, conforme a lo dispuesto por el </w:t>
      </w:r>
      <w:r w:rsidR="003D1869" w:rsidRPr="001B64FC">
        <w:t>art</w:t>
      </w:r>
      <w:r w:rsidR="003D1869" w:rsidRPr="000779D2">
        <w:t>ículo</w:t>
      </w:r>
      <w:r w:rsidR="003D1869">
        <w:t> </w:t>
      </w:r>
      <w:r w:rsidRPr="001B64FC">
        <w:t>11</w:t>
      </w:r>
      <w:r w:rsidR="00A31423" w:rsidRPr="000779D2">
        <w:t>, apdo</w:t>
      </w:r>
      <w:r w:rsidR="003D1869" w:rsidRPr="000779D2">
        <w:t>.</w:t>
      </w:r>
      <w:r w:rsidR="003D1869">
        <w:t> </w:t>
      </w:r>
      <w:r w:rsidRPr="001B64FC">
        <w:t>b)</w:t>
      </w:r>
      <w:r w:rsidR="00A31423" w:rsidRPr="000779D2">
        <w:t>,</w:t>
      </w:r>
      <w:r w:rsidRPr="001B64FC">
        <w:t xml:space="preserve"> del Protocolo Facultativo. Asimismo, la visita tuvo como objetivo reforzar la capacidad y el mandato del mecanismo nacional de prevención</w:t>
      </w:r>
      <w:r w:rsidR="00A34659" w:rsidRPr="000779D2">
        <w:t>.</w:t>
      </w:r>
    </w:p>
    <w:p w14:paraId="2F33B4DA" w14:textId="002CD2AA" w:rsidR="00F837CB" w:rsidRPr="001B64FC" w:rsidRDefault="00F837CB">
      <w:pPr>
        <w:pStyle w:val="SingleTxtG"/>
      </w:pPr>
      <w:r w:rsidRPr="001B64FC">
        <w:t>6.</w:t>
      </w:r>
      <w:r w:rsidRPr="001B64FC">
        <w:tab/>
        <w:t xml:space="preserve">El presente informe contiene una serie de recomendaciones al </w:t>
      </w:r>
      <w:r w:rsidR="00A34659" w:rsidRPr="000779D2">
        <w:t>mecanismo nacional de prevención</w:t>
      </w:r>
      <w:r w:rsidRPr="001B64FC">
        <w:t xml:space="preserve"> de España. Estas recomendaciones se enmarcan en la obligación del Subcomité de ofrecer formación y asistencia técnica con miras a aumentar la capacidad de los </w:t>
      </w:r>
      <w:r w:rsidR="00A34659" w:rsidRPr="000779D2">
        <w:t>mecanismos nacionales de prevención</w:t>
      </w:r>
      <w:r w:rsidRPr="001B64FC">
        <w:t xml:space="preserve"> y de ayudar y asesorar a los </w:t>
      </w:r>
      <w:r w:rsidR="00A34659" w:rsidRPr="000779D2">
        <w:t>mecanismos nacionales de prevención</w:t>
      </w:r>
      <w:r w:rsidRPr="001B64FC">
        <w:t xml:space="preserve"> en la evaluación de las necesidades y las medidas destinadas a fortalecer la protección de personas privadas de su libertad contra la tortura y otros malos tratos, de conformidad con el </w:t>
      </w:r>
      <w:r w:rsidR="003D1869" w:rsidRPr="001B64FC">
        <w:t>artículo</w:t>
      </w:r>
      <w:r w:rsidR="003D1869">
        <w:t> </w:t>
      </w:r>
      <w:r w:rsidRPr="001B64FC">
        <w:t xml:space="preserve">11, </w:t>
      </w:r>
      <w:r w:rsidR="00AD2512" w:rsidRPr="000779D2">
        <w:t>apdo</w:t>
      </w:r>
      <w:r w:rsidR="003D1869" w:rsidRPr="000779D2">
        <w:t>.</w:t>
      </w:r>
      <w:r w:rsidR="003D1869">
        <w:t> </w:t>
      </w:r>
      <w:r w:rsidRPr="001B64FC">
        <w:t>b</w:t>
      </w:r>
      <w:r w:rsidR="00AD2512" w:rsidRPr="000779D2">
        <w:t>)</w:t>
      </w:r>
      <w:r w:rsidRPr="001B64FC">
        <w:t>, inc</w:t>
      </w:r>
      <w:r w:rsidR="00AD2512" w:rsidRPr="000779D2">
        <w:t>s</w:t>
      </w:r>
      <w:r w:rsidR="003D1869" w:rsidRPr="000779D2">
        <w:t>.</w:t>
      </w:r>
      <w:r w:rsidR="003D1869">
        <w:t> </w:t>
      </w:r>
      <w:r w:rsidRPr="001B64FC">
        <w:t>ii</w:t>
      </w:r>
      <w:r w:rsidR="00AD2512" w:rsidRPr="000779D2">
        <w:t>)</w:t>
      </w:r>
      <w:r w:rsidRPr="001B64FC">
        <w:t xml:space="preserve"> y iii</w:t>
      </w:r>
      <w:r w:rsidR="00AD2512" w:rsidRPr="000779D2">
        <w:t>)</w:t>
      </w:r>
      <w:r w:rsidR="00974229" w:rsidRPr="000779D2">
        <w:t>,</w:t>
      </w:r>
      <w:r w:rsidRPr="001B64FC">
        <w:t xml:space="preserve"> del Protocolo Facultativo.</w:t>
      </w:r>
    </w:p>
    <w:p w14:paraId="6DADD8FF" w14:textId="477BC97B" w:rsidR="00F837CB" w:rsidRPr="001B64FC" w:rsidRDefault="00F837CB" w:rsidP="00F837CB">
      <w:pPr>
        <w:pStyle w:val="SingleTxtG"/>
      </w:pPr>
      <w:r w:rsidRPr="001B64FC">
        <w:t>7.</w:t>
      </w:r>
      <w:r w:rsidRPr="001B64FC">
        <w:tab/>
        <w:t xml:space="preserve">El informe se envía al </w:t>
      </w:r>
      <w:r w:rsidR="00A34659" w:rsidRPr="000779D2">
        <w:t>mecanismo nacional de prevención</w:t>
      </w:r>
      <w:r w:rsidRPr="001B64FC">
        <w:t xml:space="preserve"> de España con carácter confidencial, y queda al criterio del </w:t>
      </w:r>
      <w:r w:rsidR="00A34659" w:rsidRPr="000779D2">
        <w:t>mecanismo nacional de prevención</w:t>
      </w:r>
      <w:r w:rsidRPr="001B64FC">
        <w:t xml:space="preserve"> decidir su publicación. Sin embargo, </w:t>
      </w:r>
      <w:r w:rsidRPr="000444B9">
        <w:rPr>
          <w:b/>
          <w:bCs/>
        </w:rPr>
        <w:t>el</w:t>
      </w:r>
      <w:r w:rsidRPr="000444B9">
        <w:rPr>
          <w:b/>
        </w:rPr>
        <w:t xml:space="preserve"> </w:t>
      </w:r>
      <w:r w:rsidR="00A34659" w:rsidRPr="000444B9">
        <w:rPr>
          <w:b/>
        </w:rPr>
        <w:t>Subcomité</w:t>
      </w:r>
      <w:r w:rsidRPr="000444B9">
        <w:rPr>
          <w:b/>
        </w:rPr>
        <w:t xml:space="preserve"> recomienda al </w:t>
      </w:r>
      <w:r w:rsidR="00A34659" w:rsidRPr="000444B9">
        <w:rPr>
          <w:b/>
        </w:rPr>
        <w:t>mecanismo nacional de prevención</w:t>
      </w:r>
      <w:r w:rsidRPr="000444B9">
        <w:rPr>
          <w:b/>
        </w:rPr>
        <w:t xml:space="preserve"> que haga público el informe y solicita que se le notifique esa decisión</w:t>
      </w:r>
      <w:r w:rsidRPr="001B64FC">
        <w:t>.</w:t>
      </w:r>
    </w:p>
    <w:p w14:paraId="416AAB9E" w14:textId="72ED5756" w:rsidR="00F837CB" w:rsidRPr="001B64FC" w:rsidRDefault="00F837CB" w:rsidP="00F837CB">
      <w:pPr>
        <w:pStyle w:val="SingleTxtG"/>
      </w:pPr>
      <w:r w:rsidRPr="001B64FC">
        <w:t>8.</w:t>
      </w:r>
      <w:r w:rsidRPr="001B64FC">
        <w:tab/>
        <w:t>El Subcomité realizará recomendaciones al Estado parte, las que serán objeto de un informe separado y confidencial, dirigido a las autoridades españolas.</w:t>
      </w:r>
    </w:p>
    <w:p w14:paraId="3446A557" w14:textId="163C6E6A" w:rsidR="00F837CB" w:rsidRPr="001B64FC" w:rsidRDefault="00F837CB" w:rsidP="00F837CB">
      <w:pPr>
        <w:pStyle w:val="SingleTxtG"/>
      </w:pPr>
      <w:r w:rsidRPr="001B64FC">
        <w:t>9.</w:t>
      </w:r>
      <w:r w:rsidRPr="001B64FC">
        <w:tab/>
        <w:t xml:space="preserve">El Subcomité desea expresar su agradecimiento al </w:t>
      </w:r>
      <w:r w:rsidR="00A34659" w:rsidRPr="000779D2">
        <w:t>mecanismo nacional de prevención</w:t>
      </w:r>
      <w:r w:rsidRPr="001B64FC">
        <w:t xml:space="preserve"> por su asistencia y colaboración en la planificación y realización de esta visita. </w:t>
      </w:r>
    </w:p>
    <w:p w14:paraId="1541C563" w14:textId="77777777" w:rsidR="00F837CB" w:rsidRPr="001B64FC" w:rsidRDefault="00F837CB" w:rsidP="00F837CB">
      <w:pPr>
        <w:pStyle w:val="HChG"/>
      </w:pPr>
      <w:r w:rsidRPr="001B64FC">
        <w:tab/>
        <w:t>II.</w:t>
      </w:r>
      <w:r w:rsidRPr="001B64FC">
        <w:tab/>
        <w:t xml:space="preserve">El mecanismo nacional de prevención </w:t>
      </w:r>
    </w:p>
    <w:p w14:paraId="173E2515" w14:textId="529A67F3" w:rsidR="00F837CB" w:rsidRPr="001B64FC" w:rsidRDefault="00F837CB" w:rsidP="00372C85">
      <w:pPr>
        <w:pStyle w:val="SingleTxtG"/>
      </w:pPr>
      <w:r w:rsidRPr="001B64FC">
        <w:t>10.</w:t>
      </w:r>
      <w:r w:rsidRPr="001B64FC">
        <w:tab/>
        <w:t xml:space="preserve">La Ley Orgánica </w:t>
      </w:r>
      <w:r w:rsidR="006F13E9">
        <w:t>núm</w:t>
      </w:r>
      <w:r w:rsidR="003D1869">
        <w:t>. </w:t>
      </w:r>
      <w:r w:rsidRPr="001B64FC">
        <w:t xml:space="preserve">1/2009 de 3 de noviembre que introdujo una disposición final única en la Ley Orgánica del Defensor del Pueblo, le atribuyó la condición de </w:t>
      </w:r>
      <w:r w:rsidR="00A34659" w:rsidRPr="001B64FC">
        <w:t>mecanismo nacional de prevención</w:t>
      </w:r>
      <w:r w:rsidRPr="001B64FC">
        <w:t xml:space="preserve"> de España al Defensor del Pueblo. </w:t>
      </w:r>
      <w:r w:rsidRPr="001B64FC">
        <w:rPr>
          <w:lang w:eastAsia="en-GB"/>
        </w:rPr>
        <w:t xml:space="preserve">El </w:t>
      </w:r>
      <w:r w:rsidR="00A34659" w:rsidRPr="001B64FC">
        <w:rPr>
          <w:lang w:eastAsia="en-GB"/>
        </w:rPr>
        <w:t>mecanismo nacional de prevención</w:t>
      </w:r>
      <w:r w:rsidRPr="001B64FC">
        <w:rPr>
          <w:lang w:eastAsia="en-GB"/>
        </w:rPr>
        <w:t xml:space="preserve"> se ha constituido como una unidad dentro de la estructura orgánica del Defensor del Pueblo, compuesta por un responsable, asesores técnicos, asistentes administrativos y que cuenta </w:t>
      </w:r>
      <w:r w:rsidR="006A10D1" w:rsidRPr="001B64FC">
        <w:rPr>
          <w:lang w:eastAsia="en-GB"/>
        </w:rPr>
        <w:t xml:space="preserve">asimismo </w:t>
      </w:r>
      <w:r w:rsidRPr="001B64FC">
        <w:rPr>
          <w:lang w:eastAsia="en-GB"/>
        </w:rPr>
        <w:t xml:space="preserve">con la asistencia de expertos externos. Además, el </w:t>
      </w:r>
      <w:r w:rsidR="00A34659" w:rsidRPr="001B64FC">
        <w:rPr>
          <w:lang w:eastAsia="en-GB"/>
        </w:rPr>
        <w:t>mecanismo nacional de prevención</w:t>
      </w:r>
      <w:r w:rsidRPr="001B64FC">
        <w:rPr>
          <w:lang w:eastAsia="en-GB"/>
        </w:rPr>
        <w:t xml:space="preserve"> tiene un </w:t>
      </w:r>
      <w:r w:rsidR="006A10D1" w:rsidRPr="001B64FC">
        <w:rPr>
          <w:lang w:eastAsia="en-GB"/>
        </w:rPr>
        <w:t>c</w:t>
      </w:r>
      <w:r w:rsidRPr="001B64FC">
        <w:rPr>
          <w:lang w:eastAsia="en-GB"/>
        </w:rPr>
        <w:t xml:space="preserve">onsejo </w:t>
      </w:r>
      <w:r w:rsidR="006A10D1" w:rsidRPr="001B64FC">
        <w:rPr>
          <w:lang w:eastAsia="en-GB"/>
        </w:rPr>
        <w:t>a</w:t>
      </w:r>
      <w:r w:rsidRPr="001B64FC">
        <w:rPr>
          <w:lang w:eastAsia="en-GB"/>
        </w:rPr>
        <w:t>sesor como órgano de cooperación técnica y jurídica,</w:t>
      </w:r>
      <w:r w:rsidRPr="001B64FC">
        <w:t xml:space="preserve"> integrado por personas propuestas por los colegios profesionales y personas de reconocida trayectoria en la defensa de los derechos humanos o en los ámbitos relacionados con el tratamiento a personas privadas de libertad a través de convocatoria pública. </w:t>
      </w:r>
    </w:p>
    <w:p w14:paraId="4621605C" w14:textId="3E0AD4FE" w:rsidR="00F837CB" w:rsidRPr="001B64FC" w:rsidRDefault="00F837CB">
      <w:pPr>
        <w:pStyle w:val="SingleTxtG"/>
      </w:pPr>
      <w:r w:rsidRPr="001B64FC">
        <w:rPr>
          <w:lang w:eastAsia="en-GB"/>
        </w:rPr>
        <w:t>11.</w:t>
      </w:r>
      <w:r w:rsidRPr="001B64FC">
        <w:rPr>
          <w:lang w:eastAsia="en-GB"/>
        </w:rPr>
        <w:tab/>
        <w:t xml:space="preserve">El </w:t>
      </w:r>
      <w:r w:rsidR="00A34659" w:rsidRPr="001B64FC">
        <w:rPr>
          <w:lang w:eastAsia="en-GB"/>
        </w:rPr>
        <w:t>mecanismo nacional de prevención</w:t>
      </w:r>
      <w:r w:rsidRPr="001B64FC">
        <w:rPr>
          <w:lang w:eastAsia="en-GB"/>
        </w:rPr>
        <w:t xml:space="preserve"> </w:t>
      </w:r>
      <w:r w:rsidRPr="001B64FC">
        <w:t xml:space="preserve">tiene a </w:t>
      </w:r>
      <w:r w:rsidRPr="001B64FC">
        <w:rPr>
          <w:lang w:eastAsia="en-GB"/>
        </w:rPr>
        <w:t>su</w:t>
      </w:r>
      <w:r w:rsidRPr="001B64FC">
        <w:t xml:space="preserve"> cargo llevar a cabo visitas periódicas a los lugares en que se encuentran personas privadas de libertad dependientes de las distintas </w:t>
      </w:r>
      <w:r w:rsidR="00950A9C" w:rsidRPr="001B64FC">
        <w:t>a</w:t>
      </w:r>
      <w:r w:rsidRPr="001B64FC">
        <w:t xml:space="preserve">dministraciones </w:t>
      </w:r>
      <w:r w:rsidR="00950A9C" w:rsidRPr="001B64FC">
        <w:t>p</w:t>
      </w:r>
      <w:r w:rsidRPr="001B64FC">
        <w:t xml:space="preserve">úblicas españolas con el objetivo de realizar recomendaciones dirigidas </w:t>
      </w:r>
      <w:r w:rsidR="00491B72" w:rsidRPr="001B64FC">
        <w:t xml:space="preserve">a </w:t>
      </w:r>
      <w:r w:rsidRPr="001B64FC">
        <w:t xml:space="preserve">prevenir la tortura y otros tratos o penas crueles, inhumanos o </w:t>
      </w:r>
      <w:r w:rsidRPr="001B64FC">
        <w:lastRenderedPageBreak/>
        <w:t xml:space="preserve">degradantes. El </w:t>
      </w:r>
      <w:r w:rsidR="00A34659" w:rsidRPr="001B64FC">
        <w:t>mecanismo nacional de prevención</w:t>
      </w:r>
      <w:r w:rsidRPr="001B64FC">
        <w:t xml:space="preserve"> reconoce que tiene competencia para realizar visitas regulares no anunciadas a lugares tales como </w:t>
      </w:r>
      <w:r w:rsidR="00602BBF" w:rsidRPr="001B64FC">
        <w:t>c</w:t>
      </w:r>
      <w:r w:rsidRPr="001B64FC">
        <w:t xml:space="preserve">omisarías del Cuerpo Nacional de Policía, </w:t>
      </w:r>
      <w:r w:rsidR="00602BBF" w:rsidRPr="001B64FC">
        <w:t>c</w:t>
      </w:r>
      <w:r w:rsidRPr="001B64FC">
        <w:t xml:space="preserve">uarteles de la Guardia Civil, </w:t>
      </w:r>
      <w:r w:rsidR="00602BBF" w:rsidRPr="001B64FC">
        <w:t>c</w:t>
      </w:r>
      <w:r w:rsidRPr="001B64FC">
        <w:t xml:space="preserve">omisarías de Policías Autonómicas, </w:t>
      </w:r>
      <w:r w:rsidR="00602BBF" w:rsidRPr="001B64FC">
        <w:t>d</w:t>
      </w:r>
      <w:r w:rsidRPr="001B64FC">
        <w:t xml:space="preserve">ependencias de la policía local, </w:t>
      </w:r>
      <w:r w:rsidR="00602BBF" w:rsidRPr="001B64FC">
        <w:t>e</w:t>
      </w:r>
      <w:r w:rsidRPr="001B64FC">
        <w:t xml:space="preserve">stablecimientos militares, </w:t>
      </w:r>
      <w:r w:rsidR="00602BBF" w:rsidRPr="001B64FC">
        <w:t>d</w:t>
      </w:r>
      <w:r w:rsidRPr="001B64FC">
        <w:t xml:space="preserve">epósitos municipales de detenidos, </w:t>
      </w:r>
      <w:r w:rsidR="00602BBF" w:rsidRPr="001B64FC">
        <w:t>d</w:t>
      </w:r>
      <w:r w:rsidRPr="001B64FC">
        <w:t xml:space="preserve">epósitos judiciales de detenidos, </w:t>
      </w:r>
      <w:r w:rsidR="00602BBF" w:rsidRPr="001B64FC">
        <w:t>c</w:t>
      </w:r>
      <w:r w:rsidRPr="001B64FC">
        <w:t xml:space="preserve">entros de internamiento de menores, </w:t>
      </w:r>
      <w:r w:rsidR="00602BBF" w:rsidRPr="001B64FC">
        <w:t>c</w:t>
      </w:r>
      <w:r w:rsidRPr="001B64FC">
        <w:t xml:space="preserve">entros de </w:t>
      </w:r>
      <w:r w:rsidR="00602BBF" w:rsidRPr="001B64FC">
        <w:t>i</w:t>
      </w:r>
      <w:r w:rsidRPr="001B64FC">
        <w:t xml:space="preserve">nternamiento de </w:t>
      </w:r>
      <w:r w:rsidR="00602BBF" w:rsidRPr="001B64FC">
        <w:t>e</w:t>
      </w:r>
      <w:r w:rsidRPr="001B64FC">
        <w:t xml:space="preserve">xtranjeros, </w:t>
      </w:r>
      <w:r w:rsidR="00602BBF" w:rsidRPr="001B64FC">
        <w:t>c</w:t>
      </w:r>
      <w:r w:rsidRPr="001B64FC">
        <w:t xml:space="preserve">entros de control fronterizo con instalaciones policiales en aeropuertos, puertos, fronteras terrestres, </w:t>
      </w:r>
      <w:r w:rsidR="00602BBF" w:rsidRPr="001B64FC">
        <w:t>c</w:t>
      </w:r>
      <w:r w:rsidRPr="001B64FC">
        <w:t xml:space="preserve">entros hospitalarios, </w:t>
      </w:r>
      <w:r w:rsidR="00602BBF" w:rsidRPr="001B64FC">
        <w:t>h</w:t>
      </w:r>
      <w:r w:rsidRPr="001B64FC">
        <w:t xml:space="preserve">ospitales psiquiátricos, </w:t>
      </w:r>
      <w:r w:rsidR="00602BBF" w:rsidRPr="001B64FC">
        <w:t>c</w:t>
      </w:r>
      <w:r w:rsidRPr="001B64FC">
        <w:t xml:space="preserve">entros geriátricos, </w:t>
      </w:r>
      <w:r w:rsidR="00602BBF" w:rsidRPr="001B64FC">
        <w:t>n</w:t>
      </w:r>
      <w:r w:rsidRPr="001B64FC">
        <w:t xml:space="preserve">aves donde permanecen confinados polizones, o transportes de las </w:t>
      </w:r>
      <w:r w:rsidR="00602BBF" w:rsidRPr="001B64FC">
        <w:t>f</w:t>
      </w:r>
      <w:r w:rsidRPr="001B64FC">
        <w:t xml:space="preserve">uerzas y </w:t>
      </w:r>
      <w:r w:rsidR="00602BBF" w:rsidRPr="001B64FC">
        <w:t>c</w:t>
      </w:r>
      <w:r w:rsidRPr="001B64FC">
        <w:t xml:space="preserve">uerpos de </w:t>
      </w:r>
      <w:r w:rsidR="00602BBF" w:rsidRPr="001B64FC">
        <w:t>s</w:t>
      </w:r>
      <w:r w:rsidRPr="001B64FC">
        <w:t>eguridad del Estado para traslados de personas privadas de libertad.</w:t>
      </w:r>
    </w:p>
    <w:p w14:paraId="097A7913" w14:textId="474672F8" w:rsidR="00F837CB" w:rsidRPr="001B64FC" w:rsidRDefault="00F837CB">
      <w:pPr>
        <w:pStyle w:val="SingleTxtG"/>
        <w:rPr>
          <w:sz w:val="24"/>
          <w:szCs w:val="24"/>
          <w:lang w:eastAsia="en-GB"/>
        </w:rPr>
      </w:pPr>
      <w:r w:rsidRPr="001B64FC">
        <w:t>12.</w:t>
      </w:r>
      <w:r w:rsidRPr="001B64FC">
        <w:tab/>
        <w:t xml:space="preserve">En el marco de </w:t>
      </w:r>
      <w:r w:rsidR="00B72E61" w:rsidRPr="000779D2">
        <w:t>su</w:t>
      </w:r>
      <w:r w:rsidRPr="001B64FC">
        <w:t xml:space="preserve"> visita regular a España, el Subcomité sostuvo dos reuniones con el </w:t>
      </w:r>
      <w:r w:rsidR="00A34659" w:rsidRPr="000779D2">
        <w:t>mecanismo nacional de prevención</w:t>
      </w:r>
      <w:r w:rsidRPr="001B64FC">
        <w:t xml:space="preserve"> y realizó una visita conjunta a un centro de detención</w:t>
      </w:r>
      <w:r w:rsidRPr="001B64FC">
        <w:rPr>
          <w:rStyle w:val="Refdenotaalpie"/>
        </w:rPr>
        <w:footnoteReference w:id="4"/>
      </w:r>
      <w:r w:rsidRPr="001B64FC">
        <w:t xml:space="preserve">. La elección del lugar a visitar fue una propuesta realizada por la delegación del Subcomité, la cual fue aceptada por el </w:t>
      </w:r>
      <w:r w:rsidR="00A34659" w:rsidRPr="000779D2">
        <w:t>mecanismo nacional de prevención</w:t>
      </w:r>
      <w:r w:rsidRPr="001B64FC">
        <w:t xml:space="preserve"> que originalmente había previsto y se había organizado para realizar una visita a un lugar de detención diferente. Durante la visita, el </w:t>
      </w:r>
      <w:r w:rsidR="00A34659" w:rsidRPr="000779D2">
        <w:t>Subcomité</w:t>
      </w:r>
      <w:r w:rsidRPr="001B64FC">
        <w:t xml:space="preserve"> adoptó un rol secundario, y los miembros del </w:t>
      </w:r>
      <w:r w:rsidR="00A34659" w:rsidRPr="000779D2">
        <w:t>mecanismo nacional de prevención</w:t>
      </w:r>
      <w:r w:rsidRPr="001B64FC">
        <w:t xml:space="preserve"> lideraron la delegación, así como todas las acciones e intervenciones ejecutadas durante la visita.</w:t>
      </w:r>
      <w:r w:rsidRPr="001B64FC">
        <w:rPr>
          <w:sz w:val="24"/>
          <w:szCs w:val="24"/>
          <w:lang w:eastAsia="en-GB"/>
        </w:rPr>
        <w:t xml:space="preserve"> </w:t>
      </w:r>
    </w:p>
    <w:p w14:paraId="6282D259" w14:textId="14B04D17" w:rsidR="00F837CB" w:rsidRPr="001B64FC" w:rsidRDefault="00F837CB">
      <w:pPr>
        <w:pStyle w:val="HChG"/>
      </w:pPr>
      <w:r w:rsidRPr="001B64FC">
        <w:tab/>
        <w:t>III.</w:t>
      </w:r>
      <w:r w:rsidRPr="001B64FC">
        <w:tab/>
        <w:t xml:space="preserve">Recomendaciones al </w:t>
      </w:r>
      <w:r w:rsidR="00AB02FA" w:rsidRPr="000779D2">
        <w:t>m</w:t>
      </w:r>
      <w:r w:rsidRPr="001B64FC">
        <w:t xml:space="preserve">ecanismo </w:t>
      </w:r>
      <w:r w:rsidR="00AB02FA" w:rsidRPr="000779D2">
        <w:t>n</w:t>
      </w:r>
      <w:r w:rsidRPr="001B64FC">
        <w:t xml:space="preserve">acional de </w:t>
      </w:r>
      <w:r w:rsidR="00AB02FA" w:rsidRPr="000779D2">
        <w:t>p</w:t>
      </w:r>
      <w:r w:rsidRPr="001B64FC">
        <w:t xml:space="preserve">revención </w:t>
      </w:r>
    </w:p>
    <w:p w14:paraId="4FCC8855" w14:textId="3D56D4D0" w:rsidR="00F837CB" w:rsidRPr="001B64FC" w:rsidRDefault="00F837CB">
      <w:pPr>
        <w:pStyle w:val="SingleTxtG"/>
      </w:pPr>
      <w:r w:rsidRPr="001B64FC">
        <w:t>13.</w:t>
      </w:r>
      <w:r w:rsidRPr="001B64FC">
        <w:tab/>
        <w:t xml:space="preserve">Durante la visita conjunta realizada, el </w:t>
      </w:r>
      <w:r w:rsidR="00A34659" w:rsidRPr="000779D2">
        <w:t>Subcomité</w:t>
      </w:r>
      <w:r w:rsidRPr="001B64FC">
        <w:t xml:space="preserve"> pudo observar la metodología de trabajo del </w:t>
      </w:r>
      <w:r w:rsidR="00A34659" w:rsidRPr="000779D2">
        <w:t>mecanismo nacional de prevención</w:t>
      </w:r>
      <w:r w:rsidRPr="001B64FC">
        <w:t xml:space="preserve"> y en general se llevó una buena impresión del trabajo realizado por </w:t>
      </w:r>
      <w:r w:rsidR="00871C35" w:rsidRPr="000779D2">
        <w:t>e</w:t>
      </w:r>
      <w:r w:rsidRPr="001B64FC">
        <w:t xml:space="preserve">ste. Entre algunos de los primeros aspectos positivos a destacar se encuentra la capacidad de reacción del equipo del </w:t>
      </w:r>
      <w:r w:rsidR="00A34659" w:rsidRPr="001B64FC">
        <w:t>mecanismo nacional de prevención</w:t>
      </w:r>
      <w:r w:rsidRPr="001B64FC">
        <w:t xml:space="preserve">, especialmente ante la solicitud realizada a último momento por el </w:t>
      </w:r>
      <w:r w:rsidR="00A34659" w:rsidRPr="001B64FC">
        <w:t>Subcomité</w:t>
      </w:r>
      <w:r w:rsidRPr="001B64FC">
        <w:t xml:space="preserve"> para llevar a cabo la visita conjunta a un centro de detención diferente al que inicialmente habían previsto. Asimismo, debe resaltarse el trabajo y el profesionalismo de los integrantes del </w:t>
      </w:r>
      <w:r w:rsidR="00A34659" w:rsidRPr="001B64FC">
        <w:t>mecanismo nacional de prevención</w:t>
      </w:r>
      <w:r w:rsidRPr="001B64FC">
        <w:t xml:space="preserve">, la experiencia y capacidad de sus profesionales externos, con un especial énfasis en quienes están encargados del análisis de las historias clínicas. El </w:t>
      </w:r>
      <w:r w:rsidR="00A34659" w:rsidRPr="001B64FC">
        <w:t>Subcomité</w:t>
      </w:r>
      <w:r w:rsidRPr="001B64FC">
        <w:t xml:space="preserve"> considera adecuada la utilización de medios modernos de comunicación entre el equipo que llevó a cabo la visita, lo que facilita la inmediatez para contrastar información y situaciones a observar de manera coordinada simultánea o sucesivamente, y sobre todo por tratarse de un centro penitenciario de amplia dimensión. </w:t>
      </w:r>
    </w:p>
    <w:p w14:paraId="74970336" w14:textId="610A277F" w:rsidR="00F837CB" w:rsidRPr="001B64FC" w:rsidRDefault="00F837CB" w:rsidP="00F837CB">
      <w:pPr>
        <w:pStyle w:val="SingleTxtG"/>
      </w:pPr>
      <w:r w:rsidRPr="001B64FC">
        <w:t>14.</w:t>
      </w:r>
      <w:r w:rsidRPr="001B64FC">
        <w:tab/>
        <w:t xml:space="preserve">Durante la visita, el </w:t>
      </w:r>
      <w:r w:rsidR="00A34659" w:rsidRPr="001B64FC">
        <w:t>Subcomité</w:t>
      </w:r>
      <w:r w:rsidRPr="001B64FC">
        <w:t xml:space="preserve"> observó que el </w:t>
      </w:r>
      <w:r w:rsidR="00A34659" w:rsidRPr="001B64FC">
        <w:t>mecanismo nacional de prevención</w:t>
      </w:r>
      <w:r w:rsidRPr="001B64FC">
        <w:t xml:space="preserve"> informó a las autoridades carcelarias sobre la metodología a utilizar durante la misma; preguntó por estadísticas (por ejemplo, el promedio de tiempo transcurrido para la progresión de los grados, número de detenidos en los diferentes regímenes); solicitó información sobre la utilización de sujeciones mecánicas, el acceso al psiquiatra y acerca de las garantías de las personas privadas de libertad que están en diferentes regímenes. El </w:t>
      </w:r>
      <w:r w:rsidR="00A34659" w:rsidRPr="001B64FC">
        <w:t>Subcomité</w:t>
      </w:r>
      <w:r w:rsidRPr="001B64FC">
        <w:t xml:space="preserve"> considera pertinente que el </w:t>
      </w:r>
      <w:r w:rsidR="00A34659" w:rsidRPr="001B64FC">
        <w:t>mecanismo nacional de prevención</w:t>
      </w:r>
      <w:r w:rsidRPr="001B64FC">
        <w:t xml:space="preserve"> haya solicitado a las autoridades penitenciarias el acceso a hechos registrados a través de su sistema de videograbación de incidentes y visualización y análisis de los videos. </w:t>
      </w:r>
    </w:p>
    <w:p w14:paraId="606322C1" w14:textId="10B71A37" w:rsidR="00F837CB" w:rsidRPr="001B64FC" w:rsidRDefault="00F837CB">
      <w:pPr>
        <w:pStyle w:val="SingleTxtG"/>
      </w:pPr>
      <w:r w:rsidRPr="001B64FC">
        <w:t>15.</w:t>
      </w:r>
      <w:r w:rsidRPr="001B64FC">
        <w:tab/>
        <w:t xml:space="preserve">Por otro lado, el </w:t>
      </w:r>
      <w:r w:rsidR="00A34659" w:rsidRPr="001B64FC">
        <w:t>Subcomité</w:t>
      </w:r>
      <w:r w:rsidRPr="001B64FC">
        <w:t xml:space="preserve"> tuvo conocimiento de la elaboración de diferentes documentos relativos a la prevención de la tortura, entre los que destaca la “Guía de buenas prácticas en contenciones mecánicas” de 2017, </w:t>
      </w:r>
      <w:r w:rsidR="00D37C08" w:rsidRPr="001B64FC">
        <w:t xml:space="preserve">la </w:t>
      </w:r>
      <w:r w:rsidRPr="001B64FC">
        <w:t>cual es considerad</w:t>
      </w:r>
      <w:r w:rsidR="00D37C08" w:rsidRPr="001B64FC">
        <w:t>a</w:t>
      </w:r>
      <w:r w:rsidRPr="001B64FC">
        <w:t xml:space="preserve"> como un documento muy completo y por ello, el </w:t>
      </w:r>
      <w:r w:rsidR="00A34659" w:rsidRPr="001B64FC">
        <w:t>Subcomité</w:t>
      </w:r>
      <w:r w:rsidRPr="001B64FC">
        <w:t xml:space="preserve"> a</w:t>
      </w:r>
      <w:r w:rsidR="00D37C08" w:rsidRPr="001B64FC">
        <w:t xml:space="preserve">lienta </w:t>
      </w:r>
      <w:r w:rsidRPr="001B64FC">
        <w:t xml:space="preserve">al </w:t>
      </w:r>
      <w:r w:rsidR="00A34659" w:rsidRPr="001B64FC">
        <w:t>mecanismo nacional de prevención</w:t>
      </w:r>
      <w:r w:rsidRPr="001B64FC">
        <w:t xml:space="preserve"> a su amplia divulgación. Al final de la visita, el </w:t>
      </w:r>
      <w:r w:rsidR="00A34659" w:rsidRPr="001B64FC">
        <w:t>Subcomité</w:t>
      </w:r>
      <w:r w:rsidRPr="001B64FC">
        <w:t xml:space="preserve"> sostuvo una reunión con los miembros del </w:t>
      </w:r>
      <w:r w:rsidR="00A34659" w:rsidRPr="001B64FC">
        <w:t>mecanismo nacional de prevención</w:t>
      </w:r>
      <w:r w:rsidRPr="001B64FC">
        <w:t xml:space="preserve"> y con integrantes del </w:t>
      </w:r>
      <w:r w:rsidR="00D37C08" w:rsidRPr="001B64FC">
        <w:t>c</w:t>
      </w:r>
      <w:r w:rsidRPr="001B64FC">
        <w:t xml:space="preserve">onsejo </w:t>
      </w:r>
      <w:r w:rsidR="00D37C08" w:rsidRPr="001B64FC">
        <w:t>a</w:t>
      </w:r>
      <w:r w:rsidRPr="001B64FC">
        <w:t xml:space="preserve">sesor, en la </w:t>
      </w:r>
      <w:r w:rsidR="009211AE" w:rsidRPr="001B64FC">
        <w:t xml:space="preserve">que </w:t>
      </w:r>
      <w:r w:rsidRPr="001B64FC">
        <w:t xml:space="preserve">adelantó algunas de sus principales preocupaciones, las cuales se detallan en el presente informe. </w:t>
      </w:r>
    </w:p>
    <w:p w14:paraId="563934EE" w14:textId="77777777" w:rsidR="00F837CB" w:rsidRPr="001B64FC" w:rsidRDefault="00F837CB" w:rsidP="006A07D5">
      <w:pPr>
        <w:pStyle w:val="H1G"/>
      </w:pPr>
      <w:r w:rsidRPr="001B64FC">
        <w:lastRenderedPageBreak/>
        <w:tab/>
      </w:r>
      <w:r w:rsidRPr="001B64FC">
        <w:tab/>
        <w:t>Recomendaciones de carácter institucional</w:t>
      </w:r>
    </w:p>
    <w:p w14:paraId="6BB08119" w14:textId="77777777" w:rsidR="00F837CB" w:rsidRPr="001B64FC" w:rsidRDefault="00F837CB" w:rsidP="001B64FC">
      <w:pPr>
        <w:pStyle w:val="H23G"/>
      </w:pPr>
      <w:r w:rsidRPr="001B64FC">
        <w:tab/>
      </w:r>
      <w:r w:rsidRPr="001B64FC">
        <w:tab/>
        <w:t>Visibilidad e independencia</w:t>
      </w:r>
    </w:p>
    <w:p w14:paraId="6D5598D6" w14:textId="27F6548B" w:rsidR="00F837CB" w:rsidRPr="001B64FC" w:rsidRDefault="00F837CB">
      <w:pPr>
        <w:pStyle w:val="SingleTxtG"/>
      </w:pPr>
      <w:r w:rsidRPr="001B64FC">
        <w:t>16.</w:t>
      </w:r>
      <w:r w:rsidRPr="001B64FC">
        <w:tab/>
        <w:t xml:space="preserve">El Subcomité observó que el </w:t>
      </w:r>
      <w:r w:rsidR="00A34659" w:rsidRPr="001B64FC">
        <w:t>mecanismo nacional de prevención</w:t>
      </w:r>
      <w:r w:rsidRPr="001B64FC">
        <w:t xml:space="preserve"> no ha logrado diferenciar su imagen de la del Defensor del Pueblo. En este sentido, el </w:t>
      </w:r>
      <w:r w:rsidR="00A34659" w:rsidRPr="001B64FC">
        <w:t>mecanismo nacional de prevención</w:t>
      </w:r>
      <w:r w:rsidRPr="001B64FC">
        <w:t xml:space="preserve"> parece no haber conseguido desarrollar una estrategia suficientemente eficaz relativa a la metodología de visita y diálogo en su calidad de </w:t>
      </w:r>
      <w:r w:rsidR="00A34659" w:rsidRPr="001B64FC">
        <w:t>mecanismo nacional de prevención</w:t>
      </w:r>
      <w:r w:rsidRPr="001B64FC">
        <w:t xml:space="preserve">, diferenciado del Defensor del Pueblo. Esto origina un efecto de invisibilidad ante las personas privadas de libertad, las autoridades y la sociedad civil. En la mayoría de los centros visitados por el </w:t>
      </w:r>
      <w:r w:rsidR="00A34659" w:rsidRPr="001B64FC">
        <w:t>Subcomité</w:t>
      </w:r>
      <w:r w:rsidRPr="001B64FC">
        <w:t xml:space="preserve"> no se conocía del mandato ni de la existencia del </w:t>
      </w:r>
      <w:r w:rsidR="00A34659" w:rsidRPr="001B64FC">
        <w:t>mecanismo nacional de prevención</w:t>
      </w:r>
      <w:r w:rsidRPr="001B64FC">
        <w:t>.</w:t>
      </w:r>
    </w:p>
    <w:p w14:paraId="07D53438" w14:textId="7E11EDF9" w:rsidR="00F837CB" w:rsidRPr="001B64FC" w:rsidRDefault="00F837CB">
      <w:pPr>
        <w:pStyle w:val="SingleTxtG"/>
        <w:rPr>
          <w:b/>
          <w:bCs/>
        </w:rPr>
      </w:pPr>
      <w:r w:rsidRPr="001B64FC">
        <w:t>17.</w:t>
      </w:r>
      <w:r w:rsidRPr="001B64FC">
        <w:tab/>
      </w:r>
      <w:r w:rsidRPr="001B64FC">
        <w:rPr>
          <w:b/>
        </w:rPr>
        <w:t xml:space="preserve">El </w:t>
      </w:r>
      <w:r w:rsidR="00A34659" w:rsidRPr="001B64FC">
        <w:rPr>
          <w:b/>
        </w:rPr>
        <w:t>Subcomité</w:t>
      </w:r>
      <w:r w:rsidRPr="001B64FC">
        <w:rPr>
          <w:b/>
        </w:rPr>
        <w:t xml:space="preserve"> recomienda al </w:t>
      </w:r>
      <w:r w:rsidR="00A34659" w:rsidRPr="001B64FC">
        <w:rPr>
          <w:b/>
        </w:rPr>
        <w:t>mecanismo nacional de prevención</w:t>
      </w:r>
      <w:r w:rsidRPr="001B64FC">
        <w:rPr>
          <w:b/>
        </w:rPr>
        <w:t xml:space="preserve"> que se desarrolle una estrategia más intensa que le permita identificar a su equipo de manera diferenciada del Defensor del Pueblo y que le permita dar a conocer la especificidad de su mandato entre las personas privadas de libertad, organizaciones de la sociedad civil y autoridades</w:t>
      </w:r>
      <w:r w:rsidR="00974229" w:rsidRPr="001B64FC">
        <w:rPr>
          <w:b/>
        </w:rPr>
        <w:t xml:space="preserve"> (</w:t>
      </w:r>
      <w:r w:rsidR="00447533">
        <w:rPr>
          <w:b/>
        </w:rPr>
        <w:t xml:space="preserve">véase </w:t>
      </w:r>
      <w:r w:rsidR="00974229" w:rsidRPr="001B64FC">
        <w:rPr>
          <w:b/>
        </w:rPr>
        <w:t>CAT/OP/12/5, párr. 32)</w:t>
      </w:r>
      <w:r w:rsidRPr="001B64FC">
        <w:rPr>
          <w:b/>
        </w:rPr>
        <w:t xml:space="preserve">. </w:t>
      </w:r>
      <w:r w:rsidRPr="001B64FC">
        <w:rPr>
          <w:b/>
          <w:bCs/>
        </w:rPr>
        <w:t>En ese sentido, el Subcomité recomienda que</w:t>
      </w:r>
      <w:r w:rsidR="00923A19" w:rsidRPr="001B64FC">
        <w:rPr>
          <w:b/>
          <w:bCs/>
        </w:rPr>
        <w:t>,</w:t>
      </w:r>
      <w:r w:rsidRPr="001B64FC">
        <w:rPr>
          <w:b/>
          <w:bCs/>
        </w:rPr>
        <w:t xml:space="preserve"> por ejemplo, se organicen campañas de concienciación y otras actividades de promoción, incluida la producción y distribución de materiales en diversos idiomas sobre la especificidad del mandato y las actividades del mecanismo nacional de prevención, y que se analice la posibilidad de que los integrantes del </w:t>
      </w:r>
      <w:r w:rsidR="00A34659" w:rsidRPr="001B64FC">
        <w:rPr>
          <w:b/>
          <w:bCs/>
        </w:rPr>
        <w:t>mecanismo nacional de prevención</w:t>
      </w:r>
      <w:r w:rsidRPr="001B64FC">
        <w:rPr>
          <w:b/>
          <w:bCs/>
        </w:rPr>
        <w:t xml:space="preserve"> dispongan de chalecos u otra indumentaria, con colores propios, símbolos o logos que claramente los diferencien del mandato de la institución del Defensor del Pueblo.</w:t>
      </w:r>
    </w:p>
    <w:p w14:paraId="6DB03175" w14:textId="70A0245B" w:rsidR="00F837CB" w:rsidRPr="001B64FC" w:rsidRDefault="00F837CB">
      <w:pPr>
        <w:pStyle w:val="SingleTxtG"/>
      </w:pPr>
      <w:r w:rsidRPr="001B64FC">
        <w:t>18.</w:t>
      </w:r>
      <w:r w:rsidRPr="001B64FC">
        <w:tab/>
        <w:t xml:space="preserve">El Subcomité identificó la falta de asignación de un presupuesto específico suficiente, debido a que el mismo se encuentra de manera indiferenciada dentro del presupuesto asignado al Defensor del Pueblo. Esta falta de presupuesto específico dificulta al </w:t>
      </w:r>
      <w:r w:rsidR="00A34659" w:rsidRPr="000779D2">
        <w:t>mecanismo nacional de prevención</w:t>
      </w:r>
      <w:r w:rsidRPr="001B64FC">
        <w:t xml:space="preserve"> llevar a cabo su mandato de prevención de la tortura y malos tratos con cobertura nacional de manera eficaz. En ese sentido, el </w:t>
      </w:r>
      <w:r w:rsidR="00A34659" w:rsidRPr="001B64FC">
        <w:t>Subcomité</w:t>
      </w:r>
      <w:r w:rsidRPr="001B64FC">
        <w:t xml:space="preserve"> considera que el </w:t>
      </w:r>
      <w:r w:rsidR="00A34659" w:rsidRPr="001B64FC">
        <w:t>mecanismo nacional de prevención</w:t>
      </w:r>
      <w:r w:rsidRPr="001B64FC">
        <w:t xml:space="preserve"> no cuenta con un número suficiente de profesionales para llevar a cabo el mandato de carácter nacional que tiene asignado. El </w:t>
      </w:r>
      <w:r w:rsidR="00A34659" w:rsidRPr="001B64FC">
        <w:t>Subcomité</w:t>
      </w:r>
      <w:r w:rsidRPr="001B64FC">
        <w:t xml:space="preserve"> advirtió que es necesario que el </w:t>
      </w:r>
      <w:r w:rsidR="00A34659" w:rsidRPr="001B64FC">
        <w:t>mecanismo nacional de prevención</w:t>
      </w:r>
      <w:r w:rsidRPr="001B64FC">
        <w:t xml:space="preserve"> incorpore especialistas, tales como médicos, psicólogos y otros, para fortalecerlo de manera interdisciplinaria. Es importante señalar que </w:t>
      </w:r>
      <w:r w:rsidR="001B7D0B" w:rsidRPr="001B64FC">
        <w:t>las directrices del Subcomité relativas a los mecanismos nacionales de prevención indican explícitamente que “[e]l mecanismo nacional de prevención debe gozar de una total autonomía financiera y funcional en el ejercicio de las funciones que se le encomiendan en el Protocolo Facultativo” (</w:t>
      </w:r>
      <w:r w:rsidR="00447533">
        <w:t xml:space="preserve">véase </w:t>
      </w:r>
      <w:r w:rsidR="001B7D0B" w:rsidRPr="001B64FC">
        <w:t>CAT/OP/12/5, párr. 12).</w:t>
      </w:r>
    </w:p>
    <w:p w14:paraId="1B664C6B" w14:textId="1C5D1AC9" w:rsidR="00F837CB" w:rsidRPr="001B64FC" w:rsidRDefault="00F837CB">
      <w:pPr>
        <w:pStyle w:val="SingleTxtG"/>
        <w:rPr>
          <w:b/>
        </w:rPr>
      </w:pPr>
      <w:r w:rsidRPr="001B64FC">
        <w:t>19.</w:t>
      </w:r>
      <w:r w:rsidRPr="001B64FC">
        <w:rPr>
          <w:b/>
        </w:rPr>
        <w:tab/>
        <w:t xml:space="preserve">El </w:t>
      </w:r>
      <w:r w:rsidR="00A34659" w:rsidRPr="000779D2">
        <w:rPr>
          <w:b/>
        </w:rPr>
        <w:t>Subcomité</w:t>
      </w:r>
      <w:r w:rsidRPr="001B64FC">
        <w:rPr>
          <w:b/>
        </w:rPr>
        <w:t xml:space="preserve"> recomienda al </w:t>
      </w:r>
      <w:r w:rsidR="00A34659" w:rsidRPr="000779D2">
        <w:rPr>
          <w:b/>
        </w:rPr>
        <w:t>mecanismo nacional de prevención</w:t>
      </w:r>
      <w:r w:rsidRPr="001B64FC">
        <w:rPr>
          <w:b/>
        </w:rPr>
        <w:t xml:space="preserve"> la presentación de una propuesta al Poder Legislativo y llevar a cabo acciones de incidencia y sensibilización a fin de poder contar con un presupuesto propio que le garantice el desempeño de su mandato de manera más efectiva.</w:t>
      </w:r>
      <w:r w:rsidRPr="001B64FC">
        <w:rPr>
          <w:b/>
          <w:bCs/>
        </w:rPr>
        <w:t xml:space="preserve"> El </w:t>
      </w:r>
      <w:r w:rsidR="00A34659" w:rsidRPr="001B64FC">
        <w:rPr>
          <w:b/>
          <w:bCs/>
        </w:rPr>
        <w:t>Subcomité</w:t>
      </w:r>
      <w:r w:rsidRPr="001B64FC">
        <w:rPr>
          <w:b/>
          <w:bCs/>
        </w:rPr>
        <w:t xml:space="preserve"> también recomienda que se adopten las medidas apropiadas a fin de que se separe internamente el presupuesto para el funcionamiento del </w:t>
      </w:r>
      <w:r w:rsidR="00A34659" w:rsidRPr="001B64FC">
        <w:rPr>
          <w:b/>
          <w:bCs/>
        </w:rPr>
        <w:t>mecanismo nacional de prevención</w:t>
      </w:r>
      <w:r w:rsidRPr="001B64FC">
        <w:rPr>
          <w:b/>
          <w:bCs/>
        </w:rPr>
        <w:t xml:space="preserve"> del presupuesto general del Defensor del Pueblo. </w:t>
      </w:r>
      <w:r w:rsidRPr="001B64FC">
        <w:rPr>
          <w:b/>
        </w:rPr>
        <w:t xml:space="preserve">Asimismo, le recomienda que adopte las medidas necesarias para consolidar un equipo de técnicos y profesionales interdisciplinario que le permita llevar a cabo el mandato de prevención de la tortura de manera adecuada. </w:t>
      </w:r>
    </w:p>
    <w:p w14:paraId="3E8E628A" w14:textId="77777777" w:rsidR="00F837CB" w:rsidRPr="001B64FC" w:rsidRDefault="00F837CB" w:rsidP="006A07D5">
      <w:pPr>
        <w:pStyle w:val="H1G"/>
      </w:pPr>
      <w:r w:rsidRPr="001B64FC">
        <w:tab/>
      </w:r>
      <w:r w:rsidRPr="001B64FC">
        <w:tab/>
        <w:t>Recomendaciones de carácter metodológico</w:t>
      </w:r>
    </w:p>
    <w:p w14:paraId="77670E6A" w14:textId="77777777" w:rsidR="00F837CB" w:rsidRPr="001B64FC" w:rsidRDefault="00F837CB" w:rsidP="001B64FC">
      <w:pPr>
        <w:pStyle w:val="H23G"/>
      </w:pPr>
      <w:r w:rsidRPr="001B64FC">
        <w:tab/>
      </w:r>
      <w:r w:rsidRPr="001B64FC">
        <w:tab/>
        <w:t>Metodología de entrevistas</w:t>
      </w:r>
    </w:p>
    <w:p w14:paraId="47A0E0E2" w14:textId="0ED1E8DE" w:rsidR="00F837CB" w:rsidRPr="001B64FC" w:rsidRDefault="00F837CB">
      <w:pPr>
        <w:pStyle w:val="SingleTxtG"/>
        <w:rPr>
          <w:sz w:val="24"/>
          <w:szCs w:val="24"/>
        </w:rPr>
      </w:pPr>
      <w:r w:rsidRPr="001B64FC">
        <w:t>20.</w:t>
      </w:r>
      <w:r w:rsidRPr="001B64FC">
        <w:tab/>
        <w:t xml:space="preserve">El </w:t>
      </w:r>
      <w:r w:rsidR="00A34659" w:rsidRPr="001B64FC">
        <w:t>Subcomité</w:t>
      </w:r>
      <w:r w:rsidRPr="001B64FC">
        <w:t xml:space="preserve"> pudo observar algunos problemas relacionados con las técnicas de la entrevista. En algunas ocasiones, el entrevistador omitió iniciar la entrevista refiriéndose a la confidencialidad de la misma y a las salvaguardias frente a los riesgos de represalias. Asimismo, en ocasiones, el entrevistador daba la respuesta dentro de la misma pregunta y en ocasiones se cortaba de manera abrupta a los detenidos. La explicación sobre el mandato </w:t>
      </w:r>
      <w:r w:rsidRPr="001B64FC">
        <w:lastRenderedPageBreak/>
        <w:t xml:space="preserve">del </w:t>
      </w:r>
      <w:r w:rsidR="00A34659" w:rsidRPr="001B64FC">
        <w:t>mecanismo nacional de prevención</w:t>
      </w:r>
      <w:r w:rsidRPr="001B64FC">
        <w:t xml:space="preserve"> era muy corta, no se establece ninguna diferencia entre el manda</w:t>
      </w:r>
      <w:r w:rsidR="00923A19" w:rsidRPr="001B64FC">
        <w:t>t</w:t>
      </w:r>
      <w:r w:rsidRPr="001B64FC">
        <w:t xml:space="preserve">o del Defensor y del </w:t>
      </w:r>
      <w:r w:rsidR="00A34659" w:rsidRPr="001B64FC">
        <w:t>mecanismo nacional de prevención</w:t>
      </w:r>
      <w:r w:rsidRPr="001B64FC">
        <w:t>, lo que origina que a los detenidos les parezca que son lo mismo. En algunos casos, no se pidió autorización para tomar fotografías de la celda, y tampoco se aseguró que los guardias estuvieran suficientemente alejados para que no escuchen la entrevista. En algunos casos tampoco se hizo ninguna pregunta sobre el proceso judicial en contra de la persona detenida entrevistada o respecto al contacto con su abogado</w:t>
      </w:r>
      <w:r w:rsidRPr="001B64FC">
        <w:rPr>
          <w:sz w:val="24"/>
          <w:szCs w:val="24"/>
        </w:rPr>
        <w:t xml:space="preserve">. </w:t>
      </w:r>
    </w:p>
    <w:p w14:paraId="01E018FE" w14:textId="4E3FAB2C" w:rsidR="00F837CB" w:rsidRPr="001B64FC" w:rsidRDefault="00F837CB">
      <w:pPr>
        <w:pStyle w:val="SingleTxtG"/>
        <w:rPr>
          <w:b/>
        </w:rPr>
      </w:pPr>
      <w:r w:rsidRPr="008422E3">
        <w:t>21.</w:t>
      </w:r>
      <w:r w:rsidRPr="008422E3">
        <w:tab/>
      </w:r>
      <w:r w:rsidRPr="001B64FC">
        <w:rPr>
          <w:b/>
        </w:rPr>
        <w:t xml:space="preserve">El </w:t>
      </w:r>
      <w:r w:rsidR="00A34659" w:rsidRPr="001B64FC">
        <w:rPr>
          <w:b/>
        </w:rPr>
        <w:t>Subcomité</w:t>
      </w:r>
      <w:r w:rsidRPr="001B64FC">
        <w:rPr>
          <w:b/>
        </w:rPr>
        <w:t xml:space="preserve"> recomienda al </w:t>
      </w:r>
      <w:r w:rsidR="00A34659" w:rsidRPr="001B64FC">
        <w:rPr>
          <w:b/>
        </w:rPr>
        <w:t>mecanismo nacional de prevención</w:t>
      </w:r>
      <w:r w:rsidRPr="001B64FC">
        <w:rPr>
          <w:b/>
        </w:rPr>
        <w:t xml:space="preserve"> que lleve a cabo un proceso de revisión y actualización de las técnicas de entrevistas del equipo del </w:t>
      </w:r>
      <w:r w:rsidR="00A34659" w:rsidRPr="001B64FC">
        <w:rPr>
          <w:b/>
        </w:rPr>
        <w:t>mecanismo nacional de prevención</w:t>
      </w:r>
      <w:r w:rsidR="00672902" w:rsidRPr="001B64FC">
        <w:rPr>
          <w:b/>
        </w:rPr>
        <w:t xml:space="preserve"> (</w:t>
      </w:r>
      <w:r w:rsidR="00447533">
        <w:rPr>
          <w:b/>
        </w:rPr>
        <w:t xml:space="preserve">véase </w:t>
      </w:r>
      <w:r w:rsidR="00672902" w:rsidRPr="001B64FC">
        <w:rPr>
          <w:b/>
        </w:rPr>
        <w:t>CAT/OP/12/5, párr. 31)</w:t>
      </w:r>
      <w:r w:rsidRPr="001B64FC">
        <w:rPr>
          <w:b/>
        </w:rPr>
        <w:t xml:space="preserve">. La metodología de las entrevistas debe ser mejorada de manera que se logren entrevistas abiertas en profundidad con las personas privadas de libertad y que incidan en la confidencialidad que permitan el hallazgo de torturas y malos tratos y de las situaciones estructurales que las permiten o promueven. Asimismo, el </w:t>
      </w:r>
      <w:r w:rsidR="00A34659" w:rsidRPr="001B64FC">
        <w:rPr>
          <w:b/>
        </w:rPr>
        <w:t>Subcomité</w:t>
      </w:r>
      <w:r w:rsidRPr="001B64FC">
        <w:rPr>
          <w:b/>
        </w:rPr>
        <w:t xml:space="preserve"> recomienda al </w:t>
      </w:r>
      <w:r w:rsidR="00A34659" w:rsidRPr="001B64FC">
        <w:rPr>
          <w:b/>
        </w:rPr>
        <w:t>mecanismo nacional de prevención</w:t>
      </w:r>
      <w:r w:rsidRPr="001B64FC">
        <w:rPr>
          <w:b/>
        </w:rPr>
        <w:t xml:space="preserve"> que adopte una estrategia para prevenir los posibles casos de represalias en contra de las personas entrevistadas. </w:t>
      </w:r>
    </w:p>
    <w:p w14:paraId="5A1D1091" w14:textId="77777777" w:rsidR="00F837CB" w:rsidRPr="001B64FC" w:rsidRDefault="00F837CB" w:rsidP="001B64FC">
      <w:pPr>
        <w:pStyle w:val="H23G"/>
      </w:pPr>
      <w:r w:rsidRPr="001B64FC">
        <w:tab/>
      </w:r>
      <w:r w:rsidRPr="001B64FC">
        <w:tab/>
        <w:t xml:space="preserve">Intérpretes </w:t>
      </w:r>
    </w:p>
    <w:p w14:paraId="28117524" w14:textId="4CABF550" w:rsidR="00F837CB" w:rsidRPr="001B64FC" w:rsidRDefault="00F837CB" w:rsidP="00A76DFF">
      <w:pPr>
        <w:pStyle w:val="SingleTxtG"/>
      </w:pPr>
      <w:r w:rsidRPr="001B64FC">
        <w:t>22.</w:t>
      </w:r>
      <w:r w:rsidRPr="001B64FC">
        <w:tab/>
        <w:t xml:space="preserve">Dado el alto porcentaje de personas privadas de libertad que hablan otros idiomas diferentes al español y que se encuentran en distintos centros de privación de libertad, resulta imprescindible que el </w:t>
      </w:r>
      <w:r w:rsidR="00A34659" w:rsidRPr="001B64FC">
        <w:t>mecanismo nacional de prevención</w:t>
      </w:r>
      <w:r w:rsidRPr="001B64FC">
        <w:t xml:space="preserve"> busque la manera de contar con suficientes intérpretes que le permitan cumplir con su función adecuadamente. </w:t>
      </w:r>
    </w:p>
    <w:p w14:paraId="40C7B4E7" w14:textId="15D79F57" w:rsidR="00F837CB" w:rsidRPr="001B64FC" w:rsidRDefault="00F837CB" w:rsidP="00F837CB">
      <w:pPr>
        <w:pStyle w:val="SingleTxtG"/>
      </w:pPr>
      <w:r w:rsidRPr="008422E3">
        <w:t>23.</w:t>
      </w:r>
      <w:r w:rsidRPr="008422E3">
        <w:tab/>
      </w:r>
      <w:r w:rsidRPr="001B64FC">
        <w:rPr>
          <w:b/>
        </w:rPr>
        <w:t xml:space="preserve">El </w:t>
      </w:r>
      <w:r w:rsidR="00A34659" w:rsidRPr="001B64FC">
        <w:rPr>
          <w:b/>
        </w:rPr>
        <w:t>Subcomité</w:t>
      </w:r>
      <w:r w:rsidRPr="001B64FC">
        <w:rPr>
          <w:b/>
        </w:rPr>
        <w:t xml:space="preserve"> recomienda al </w:t>
      </w:r>
      <w:r w:rsidR="00A34659" w:rsidRPr="001B64FC">
        <w:rPr>
          <w:b/>
        </w:rPr>
        <w:t>mecanismo nacional de prevención</w:t>
      </w:r>
      <w:r w:rsidRPr="001B64FC">
        <w:rPr>
          <w:b/>
        </w:rPr>
        <w:t xml:space="preserve"> que tome las medidas necesarias para contar </w:t>
      </w:r>
      <w:r w:rsidR="00923A19" w:rsidRPr="001B64FC">
        <w:rPr>
          <w:b/>
        </w:rPr>
        <w:t xml:space="preserve">con </w:t>
      </w:r>
      <w:r w:rsidRPr="001B64FC">
        <w:rPr>
          <w:b/>
        </w:rPr>
        <w:t xml:space="preserve">un número suficiente de intérpretes, a fin de que pueda llevar a cabo entrevistas a personas privadas de libertad que no hablan español. Asimismo, le recomienda que desarrolle y cuente con material de información general sobre su mandato, y sobre cómo presentar quejas ante el Defensor del Pueblo en casos relativos a tortura y malos tratos, en idiomas diferentes al español. </w:t>
      </w:r>
    </w:p>
    <w:p w14:paraId="4873DF0E" w14:textId="77777777" w:rsidR="00F837CB" w:rsidRPr="001B64FC" w:rsidRDefault="00F837CB" w:rsidP="001B64FC">
      <w:pPr>
        <w:pStyle w:val="H23G"/>
      </w:pPr>
      <w:r w:rsidRPr="001B64FC">
        <w:tab/>
      </w:r>
      <w:r w:rsidRPr="001B64FC">
        <w:tab/>
        <w:t>Quejas</w:t>
      </w:r>
    </w:p>
    <w:p w14:paraId="2040ED76" w14:textId="2E801E48" w:rsidR="00F837CB" w:rsidRPr="001B64FC" w:rsidRDefault="00F837CB" w:rsidP="00A76DFF">
      <w:pPr>
        <w:pStyle w:val="SingleTxtG"/>
      </w:pPr>
      <w:r w:rsidRPr="001B64FC">
        <w:t>24.</w:t>
      </w:r>
      <w:r w:rsidRPr="001B64FC">
        <w:tab/>
        <w:t xml:space="preserve">El </w:t>
      </w:r>
      <w:r w:rsidR="00A34659" w:rsidRPr="001B64FC">
        <w:t>Subcomité</w:t>
      </w:r>
      <w:r w:rsidRPr="001B64FC">
        <w:t xml:space="preserve"> pudo constatar entre las personas privadas de libertad su inquietud sobre el trámite de sus quejas sobre torturas y malos tratos presentadas al Defensor del Pueblo. Precisamente la imagen indiferenciada en los mandatos del </w:t>
      </w:r>
      <w:r w:rsidR="00A34659" w:rsidRPr="001B64FC">
        <w:t>mecanismo nacional de prevención</w:t>
      </w:r>
      <w:r w:rsidRPr="001B64FC">
        <w:t xml:space="preserve"> y el Defensor del Pueblo tiene como consecuencia generar confusión entre las personas privadas de libertad, lo que se evidenció cuando el personal del </w:t>
      </w:r>
      <w:r w:rsidR="00A34659" w:rsidRPr="001B64FC">
        <w:t>mecanismo nacional de prevención</w:t>
      </w:r>
      <w:r w:rsidRPr="001B64FC">
        <w:t xml:space="preserve"> recibió preguntas de las personas privadas de libertad sobre el estado de sus quejas.</w:t>
      </w:r>
    </w:p>
    <w:p w14:paraId="75E28561" w14:textId="30614D45" w:rsidR="00F837CB" w:rsidRPr="001B64FC" w:rsidRDefault="00F837CB" w:rsidP="00F837CB">
      <w:pPr>
        <w:pStyle w:val="SingleTxtG"/>
        <w:rPr>
          <w:b/>
        </w:rPr>
      </w:pPr>
      <w:r w:rsidRPr="008422E3">
        <w:t>25.</w:t>
      </w:r>
      <w:r w:rsidRPr="008422E3">
        <w:tab/>
      </w:r>
      <w:r w:rsidRPr="001B64FC">
        <w:rPr>
          <w:b/>
        </w:rPr>
        <w:t xml:space="preserve">El </w:t>
      </w:r>
      <w:r w:rsidR="00A34659" w:rsidRPr="001B64FC">
        <w:rPr>
          <w:b/>
        </w:rPr>
        <w:t>Subcomité</w:t>
      </w:r>
      <w:r w:rsidRPr="001B64FC">
        <w:rPr>
          <w:b/>
        </w:rPr>
        <w:t xml:space="preserve"> recomienda que</w:t>
      </w:r>
      <w:r w:rsidRPr="001B64FC">
        <w:rPr>
          <w:b/>
          <w:bCs/>
        </w:rPr>
        <w:t xml:space="preserve"> se explique de manera sistemática a los privados de libertad sobre la diferencia de mandatos del </w:t>
      </w:r>
      <w:r w:rsidR="00A34659" w:rsidRPr="001B64FC">
        <w:rPr>
          <w:b/>
          <w:bCs/>
        </w:rPr>
        <w:t>mecanismo nacional de prevención</w:t>
      </w:r>
      <w:r w:rsidRPr="001B64FC">
        <w:rPr>
          <w:b/>
          <w:bCs/>
        </w:rPr>
        <w:t xml:space="preserve"> y la institución del Defensor del Pueblo, y que </w:t>
      </w:r>
      <w:r w:rsidRPr="001B64FC">
        <w:rPr>
          <w:b/>
        </w:rPr>
        <w:t xml:space="preserve">el </w:t>
      </w:r>
      <w:r w:rsidR="00A34659" w:rsidRPr="001B64FC">
        <w:rPr>
          <w:b/>
        </w:rPr>
        <w:t>mecanismo nacional de prevención</w:t>
      </w:r>
      <w:r w:rsidRPr="001B64FC">
        <w:rPr>
          <w:b/>
        </w:rPr>
        <w:t xml:space="preserve"> adopte las medidas necesarias para mejorar los mecanismos de derivación e información de casos individuales identificados por el </w:t>
      </w:r>
      <w:r w:rsidR="00A34659" w:rsidRPr="001B64FC">
        <w:rPr>
          <w:b/>
        </w:rPr>
        <w:t>mecanismo nacional de prevención</w:t>
      </w:r>
      <w:r w:rsidRPr="001B64FC">
        <w:rPr>
          <w:b/>
        </w:rPr>
        <w:t xml:space="preserve"> en sus visitas para el tratamiento de quejas por parte del Defensor del Pueblo.</w:t>
      </w:r>
    </w:p>
    <w:p w14:paraId="0E23DF50" w14:textId="77777777" w:rsidR="00F837CB" w:rsidRPr="001B64FC" w:rsidRDefault="00F837CB" w:rsidP="001B64FC">
      <w:pPr>
        <w:pStyle w:val="H23G"/>
      </w:pPr>
      <w:r w:rsidRPr="001B64FC">
        <w:tab/>
      </w:r>
      <w:r w:rsidRPr="001B64FC">
        <w:tab/>
        <w:t xml:space="preserve">Estrategia de seguimiento de recomendaciones </w:t>
      </w:r>
    </w:p>
    <w:p w14:paraId="113ACA52" w14:textId="78A8CEAD" w:rsidR="00F837CB" w:rsidRPr="001B64FC" w:rsidRDefault="00F837CB">
      <w:pPr>
        <w:pStyle w:val="SingleTxtG"/>
      </w:pPr>
      <w:r w:rsidRPr="001B64FC">
        <w:t>26.</w:t>
      </w:r>
      <w:r w:rsidRPr="001B64FC">
        <w:tab/>
        <w:t xml:space="preserve">El </w:t>
      </w:r>
      <w:r w:rsidR="00A34659" w:rsidRPr="001B64FC">
        <w:t>Subcomité</w:t>
      </w:r>
      <w:r w:rsidRPr="001B64FC">
        <w:t xml:space="preserve"> reconoce que el </w:t>
      </w:r>
      <w:r w:rsidR="00A34659" w:rsidRPr="001B64FC">
        <w:t>mecanismo nacional de prevención</w:t>
      </w:r>
      <w:r w:rsidRPr="001B64FC">
        <w:t xml:space="preserve"> realiza informes a las autoridades de los centros después de las visitas realizadas, formula recomendaciones, cuenta con una matriz de seguimiento y sus recomendaciones son frecuentemente usadas para fundamentar decisiones por parte de las autoridades. Sin embargo, el </w:t>
      </w:r>
      <w:r w:rsidR="00A34659" w:rsidRPr="001B64FC">
        <w:t>Subcomité</w:t>
      </w:r>
      <w:r w:rsidRPr="001B64FC">
        <w:t xml:space="preserve"> considera que estas acciones no resultan suficientes para el diálogo cooperativo con las altas autoridades y para llevar a cabo un seguimiento efectivo de la aplicación de sus recomendaciones.</w:t>
      </w:r>
    </w:p>
    <w:p w14:paraId="17705F7E" w14:textId="07A282B9" w:rsidR="00F837CB" w:rsidRPr="001B64FC" w:rsidRDefault="00F837CB">
      <w:pPr>
        <w:pStyle w:val="SingleTxtG"/>
        <w:rPr>
          <w:b/>
        </w:rPr>
      </w:pPr>
      <w:r w:rsidRPr="001B64FC">
        <w:t>27.</w:t>
      </w:r>
      <w:r w:rsidRPr="001B64FC">
        <w:tab/>
      </w:r>
      <w:r w:rsidRPr="001B64FC">
        <w:rPr>
          <w:b/>
        </w:rPr>
        <w:t xml:space="preserve">El </w:t>
      </w:r>
      <w:r w:rsidR="00A34659" w:rsidRPr="000779D2">
        <w:rPr>
          <w:b/>
        </w:rPr>
        <w:t>Subcomité</w:t>
      </w:r>
      <w:r w:rsidRPr="001B64FC">
        <w:rPr>
          <w:b/>
        </w:rPr>
        <w:t xml:space="preserve"> recomienda al </w:t>
      </w:r>
      <w:r w:rsidR="00A34659" w:rsidRPr="000779D2">
        <w:rPr>
          <w:b/>
        </w:rPr>
        <w:t>mecanismo nacional de prevención</w:t>
      </w:r>
      <w:r w:rsidRPr="001B64FC">
        <w:rPr>
          <w:b/>
        </w:rPr>
        <w:t xml:space="preserve"> que luego de las visitas se presenten las recomendaciones a las autoridades relevantes con mayor </w:t>
      </w:r>
      <w:r w:rsidRPr="001B64FC">
        <w:rPr>
          <w:b/>
        </w:rPr>
        <w:lastRenderedPageBreak/>
        <w:t xml:space="preserve">celeridad y que las visitas de seguimiento a las mismas se realicen con prontitud. El </w:t>
      </w:r>
      <w:r w:rsidR="00A34659" w:rsidRPr="001B64FC">
        <w:rPr>
          <w:b/>
        </w:rPr>
        <w:t>Subcomité</w:t>
      </w:r>
      <w:r w:rsidRPr="001B64FC">
        <w:rPr>
          <w:b/>
        </w:rPr>
        <w:t xml:space="preserve"> también recomienda aumentar las visitas de seguimiento de las recomendaciones formuladas a las autoridades de los centros. El </w:t>
      </w:r>
      <w:r w:rsidR="00A34659" w:rsidRPr="001B64FC">
        <w:rPr>
          <w:b/>
        </w:rPr>
        <w:t>Subcomité</w:t>
      </w:r>
      <w:r w:rsidRPr="001B64FC">
        <w:rPr>
          <w:b/>
        </w:rPr>
        <w:t xml:space="preserve"> recomienda al </w:t>
      </w:r>
      <w:r w:rsidR="00A34659" w:rsidRPr="001B64FC">
        <w:rPr>
          <w:b/>
        </w:rPr>
        <w:t>mecanismo nacional de prevención</w:t>
      </w:r>
      <w:r w:rsidRPr="001B64FC">
        <w:rPr>
          <w:b/>
        </w:rPr>
        <w:t xml:space="preserve"> que establezca, de ser posible junto con las autoridades pertinentes, un mecanismo de seguimiento efectivo a las recomendaciones que emite</w:t>
      </w:r>
      <w:r w:rsidR="00672902" w:rsidRPr="001B64FC">
        <w:rPr>
          <w:b/>
        </w:rPr>
        <w:t xml:space="preserve"> (</w:t>
      </w:r>
      <w:r w:rsidR="00447533">
        <w:rPr>
          <w:b/>
        </w:rPr>
        <w:t xml:space="preserve">véase </w:t>
      </w:r>
      <w:r w:rsidR="00672902" w:rsidRPr="001B64FC">
        <w:rPr>
          <w:b/>
        </w:rPr>
        <w:t>CAT/OP/12/5, párrs. 36 y 38)</w:t>
      </w:r>
      <w:r w:rsidRPr="001B64FC">
        <w:rPr>
          <w:b/>
        </w:rPr>
        <w:t>.</w:t>
      </w:r>
    </w:p>
    <w:p w14:paraId="65F3CAEF" w14:textId="514CC74C" w:rsidR="00F837CB" w:rsidRPr="001B64FC" w:rsidRDefault="00F837CB" w:rsidP="00F837CB">
      <w:pPr>
        <w:pStyle w:val="SingleTxtG"/>
        <w:rPr>
          <w:b/>
        </w:rPr>
      </w:pPr>
      <w:r w:rsidRPr="001B64FC">
        <w:t>28.</w:t>
      </w:r>
      <w:r w:rsidRPr="001B64FC">
        <w:tab/>
      </w:r>
      <w:r w:rsidRPr="001B64FC">
        <w:rPr>
          <w:b/>
        </w:rPr>
        <w:t xml:space="preserve">El </w:t>
      </w:r>
      <w:r w:rsidR="00A34659" w:rsidRPr="001B64FC">
        <w:rPr>
          <w:b/>
        </w:rPr>
        <w:t>Subcomité</w:t>
      </w:r>
      <w:r w:rsidRPr="001B64FC">
        <w:rPr>
          <w:b/>
        </w:rPr>
        <w:t xml:space="preserve"> recomienda al </w:t>
      </w:r>
      <w:r w:rsidR="00A34659" w:rsidRPr="001B64FC">
        <w:rPr>
          <w:b/>
        </w:rPr>
        <w:t>mecanismo nacional de prevención</w:t>
      </w:r>
      <w:r w:rsidRPr="001B64FC">
        <w:rPr>
          <w:b/>
        </w:rPr>
        <w:t xml:space="preserve"> que adopte las medidas necesarias para fortalecer su interacción de manera efectiva, con la sociedad civil y las Defensorías del Pueblo autonómicas en el cumplimiento de su mandato. </w:t>
      </w:r>
    </w:p>
    <w:p w14:paraId="54BD2889" w14:textId="3AEFE8DA" w:rsidR="00F837CB" w:rsidRPr="001B64FC" w:rsidRDefault="00F837CB">
      <w:pPr>
        <w:pStyle w:val="SingleTxtG"/>
      </w:pPr>
      <w:r w:rsidRPr="001B64FC">
        <w:t>29.</w:t>
      </w:r>
      <w:r w:rsidRPr="001B64FC">
        <w:tab/>
        <w:t xml:space="preserve">El </w:t>
      </w:r>
      <w:r w:rsidR="00A34659" w:rsidRPr="001B64FC">
        <w:t>Subcomité</w:t>
      </w:r>
      <w:r w:rsidRPr="001B64FC">
        <w:t xml:space="preserve"> desea resaltar que estos problemas han sido reconocidos </w:t>
      </w:r>
      <w:r w:rsidR="008C2B51" w:rsidRPr="001B64FC">
        <w:t xml:space="preserve">por </w:t>
      </w:r>
      <w:r w:rsidRPr="001B64FC">
        <w:t xml:space="preserve">el </w:t>
      </w:r>
      <w:r w:rsidR="00A34659" w:rsidRPr="001B64FC">
        <w:t>mecanismo nacional de prevención</w:t>
      </w:r>
      <w:r w:rsidRPr="001B64FC">
        <w:t xml:space="preserve"> en los diálogos mantenidos durante la visita. </w:t>
      </w:r>
    </w:p>
    <w:p w14:paraId="77C8F751" w14:textId="5929386C" w:rsidR="00F837CB" w:rsidRPr="001B64FC" w:rsidRDefault="00F837CB" w:rsidP="00F837CB">
      <w:pPr>
        <w:pStyle w:val="SingleTxtG"/>
        <w:rPr>
          <w:rFonts w:ascii="inherit" w:hAnsi="inherit" w:cs="Courier New" w:hint="eastAsia"/>
          <w:b/>
          <w:color w:val="212121"/>
          <w:lang w:eastAsia="en-GB"/>
        </w:rPr>
      </w:pPr>
      <w:r w:rsidRPr="008422E3">
        <w:t>30.</w:t>
      </w:r>
      <w:r w:rsidRPr="008422E3">
        <w:tab/>
      </w:r>
      <w:r w:rsidRPr="001B64FC">
        <w:rPr>
          <w:rFonts w:ascii="inherit" w:hAnsi="inherit" w:cs="Courier New"/>
          <w:b/>
          <w:color w:val="212121"/>
          <w:lang w:eastAsia="en-GB"/>
        </w:rPr>
        <w:t xml:space="preserve">El </w:t>
      </w:r>
      <w:r w:rsidR="00A34659" w:rsidRPr="000779D2">
        <w:rPr>
          <w:rFonts w:ascii="inherit" w:hAnsi="inherit" w:cs="Courier New"/>
          <w:b/>
          <w:color w:val="212121"/>
          <w:lang w:eastAsia="en-GB"/>
        </w:rPr>
        <w:t>Subcomité</w:t>
      </w:r>
      <w:r w:rsidRPr="001B64FC">
        <w:rPr>
          <w:rFonts w:ascii="inherit" w:hAnsi="inherit" w:cs="Courier New"/>
          <w:b/>
          <w:color w:val="212121"/>
          <w:lang w:eastAsia="en-GB"/>
        </w:rPr>
        <w:t xml:space="preserve"> </w:t>
      </w:r>
      <w:r w:rsidRPr="001B64FC">
        <w:rPr>
          <w:b/>
        </w:rPr>
        <w:t>también</w:t>
      </w:r>
      <w:r w:rsidRPr="001B64FC">
        <w:rPr>
          <w:rFonts w:ascii="inherit" w:hAnsi="inherit" w:cs="Courier New"/>
          <w:b/>
          <w:color w:val="212121"/>
          <w:lang w:eastAsia="en-GB"/>
        </w:rPr>
        <w:t xml:space="preserve"> alienta al </w:t>
      </w:r>
      <w:r w:rsidR="00A34659" w:rsidRPr="000779D2">
        <w:rPr>
          <w:rFonts w:ascii="inherit" w:hAnsi="inherit" w:cs="Courier New"/>
          <w:b/>
          <w:color w:val="212121"/>
          <w:lang w:eastAsia="en-GB"/>
        </w:rPr>
        <w:t>mecanismo nacional de prevención</w:t>
      </w:r>
      <w:r w:rsidRPr="001B64FC">
        <w:rPr>
          <w:rFonts w:ascii="inherit" w:hAnsi="inherit" w:cs="Courier New"/>
          <w:b/>
          <w:color w:val="212121"/>
          <w:lang w:eastAsia="en-GB"/>
        </w:rPr>
        <w:t xml:space="preserve"> a que transmita sus informes anuales al </w:t>
      </w:r>
      <w:r w:rsidR="00A34659" w:rsidRPr="000779D2">
        <w:rPr>
          <w:rFonts w:ascii="inherit" w:hAnsi="inherit" w:cs="Courier New"/>
          <w:b/>
          <w:color w:val="212121"/>
          <w:lang w:eastAsia="en-GB"/>
        </w:rPr>
        <w:t>Subcomité</w:t>
      </w:r>
      <w:r w:rsidRPr="001B64FC">
        <w:rPr>
          <w:rFonts w:ascii="inherit" w:hAnsi="inherit" w:cs="Courier New"/>
          <w:b/>
          <w:color w:val="212121"/>
          <w:lang w:eastAsia="en-GB"/>
        </w:rPr>
        <w:t xml:space="preserve"> y reafirma su disposición a ayudarle a alcanzar el objetivo compartido de prevenir la tortura y los malos tratos.</w:t>
      </w:r>
    </w:p>
    <w:p w14:paraId="73C4DFAD" w14:textId="7D5BD3EA" w:rsidR="00F837CB" w:rsidRPr="001B64FC" w:rsidRDefault="00F837CB" w:rsidP="00F837CB">
      <w:pPr>
        <w:pStyle w:val="SingleTxtG"/>
        <w:rPr>
          <w:rFonts w:ascii="inherit" w:hAnsi="inherit" w:cs="Courier New" w:hint="eastAsia"/>
          <w:b/>
          <w:color w:val="212121"/>
          <w:lang w:eastAsia="en-GB"/>
        </w:rPr>
      </w:pPr>
      <w:r w:rsidRPr="008422E3">
        <w:t>31.</w:t>
      </w:r>
      <w:r w:rsidRPr="008422E3">
        <w:tab/>
      </w:r>
      <w:r w:rsidRPr="001B64FC">
        <w:rPr>
          <w:rFonts w:ascii="inherit" w:hAnsi="inherit" w:cs="Courier New"/>
          <w:b/>
          <w:color w:val="212121"/>
          <w:lang w:eastAsia="en-GB"/>
        </w:rPr>
        <w:t xml:space="preserve">El </w:t>
      </w:r>
      <w:r w:rsidR="00A34659" w:rsidRPr="000779D2">
        <w:rPr>
          <w:rFonts w:ascii="inherit" w:hAnsi="inherit" w:cs="Courier New"/>
          <w:b/>
          <w:color w:val="212121"/>
          <w:lang w:eastAsia="en-GB"/>
        </w:rPr>
        <w:t>Subcomité</w:t>
      </w:r>
      <w:r w:rsidRPr="001B64FC">
        <w:rPr>
          <w:rFonts w:ascii="inherit" w:hAnsi="inherit" w:cs="Courier New"/>
          <w:b/>
          <w:color w:val="212121"/>
          <w:lang w:eastAsia="en-GB"/>
        </w:rPr>
        <w:t xml:space="preserve"> recomienda al </w:t>
      </w:r>
      <w:r w:rsidR="00A34659" w:rsidRPr="000779D2">
        <w:rPr>
          <w:rFonts w:ascii="inherit" w:hAnsi="inherit" w:cs="Courier New"/>
          <w:b/>
          <w:color w:val="212121"/>
          <w:lang w:eastAsia="en-GB"/>
        </w:rPr>
        <w:t>mecanismo nacional de prevención</w:t>
      </w:r>
      <w:r w:rsidRPr="001B64FC">
        <w:rPr>
          <w:rFonts w:ascii="inherit" w:hAnsi="inherit" w:cs="Courier New"/>
          <w:b/>
          <w:color w:val="212121"/>
          <w:lang w:eastAsia="en-GB"/>
        </w:rPr>
        <w:t xml:space="preserve"> que haga público el presente informe y le solicita que le notifique la decisión a este respecto.</w:t>
      </w:r>
    </w:p>
    <w:p w14:paraId="32CC6889" w14:textId="77777777" w:rsidR="008E59AB" w:rsidRPr="000779D2" w:rsidRDefault="008E59AB">
      <w:pPr>
        <w:spacing w:line="240" w:lineRule="auto"/>
        <w:rPr>
          <w:rFonts w:eastAsia="Arial Unicode MS"/>
          <w:b/>
          <w:sz w:val="28"/>
          <w:u w:color="000000"/>
          <w:bdr w:val="nil"/>
        </w:rPr>
      </w:pPr>
      <w:r w:rsidRPr="000779D2">
        <w:rPr>
          <w:rFonts w:eastAsia="Arial Unicode MS"/>
          <w:u w:color="000000"/>
          <w:bdr w:val="nil"/>
        </w:rPr>
        <w:br w:type="page"/>
      </w:r>
    </w:p>
    <w:p w14:paraId="397A9D56" w14:textId="1BAC0F1C" w:rsidR="008E59AB" w:rsidRPr="001B64FC" w:rsidRDefault="008E59AB" w:rsidP="00A76DFF">
      <w:pPr>
        <w:pStyle w:val="HChG"/>
        <w:rPr>
          <w:rFonts w:eastAsia="Arial Unicode MS"/>
          <w:u w:color="000000"/>
          <w:bdr w:val="nil"/>
        </w:rPr>
      </w:pPr>
      <w:r w:rsidRPr="001B64FC">
        <w:rPr>
          <w:rFonts w:eastAsia="Arial Unicode MS"/>
          <w:u w:color="000000"/>
          <w:bdr w:val="nil"/>
        </w:rPr>
        <w:lastRenderedPageBreak/>
        <w:t>Anexo I</w:t>
      </w:r>
    </w:p>
    <w:p w14:paraId="0CB4C730" w14:textId="77777777" w:rsidR="008E59AB" w:rsidRPr="001B64FC" w:rsidRDefault="008E59AB" w:rsidP="00A76DFF">
      <w:pPr>
        <w:pStyle w:val="HChG"/>
        <w:rPr>
          <w:rFonts w:eastAsia="Times New Roman Bold"/>
          <w:u w:color="000000"/>
          <w:bdr w:val="nil"/>
        </w:rPr>
      </w:pPr>
      <w:r w:rsidRPr="001B64FC">
        <w:rPr>
          <w:rFonts w:eastAsia="Arial Unicode MS"/>
          <w:u w:color="000000"/>
          <w:bdr w:val="nil"/>
        </w:rPr>
        <w:tab/>
      </w:r>
      <w:r w:rsidRPr="001B64FC">
        <w:rPr>
          <w:rFonts w:eastAsia="Arial Unicode MS"/>
          <w:u w:color="000000"/>
          <w:bdr w:val="nil"/>
        </w:rPr>
        <w:tab/>
        <w:t>Lista de las personas con quienes se reunió el Subcomité</w:t>
      </w:r>
    </w:p>
    <w:p w14:paraId="0E4A3503" w14:textId="40FC97DE" w:rsidR="008E59AB" w:rsidRPr="001B64FC" w:rsidRDefault="00A76DFF" w:rsidP="00A76DFF">
      <w:pPr>
        <w:pStyle w:val="H1G"/>
        <w:rPr>
          <w:rFonts w:eastAsia="Times New Roman Bold"/>
          <w:u w:color="000000"/>
          <w:bdr w:val="nil"/>
        </w:rPr>
      </w:pPr>
      <w:r>
        <w:rPr>
          <w:rFonts w:eastAsia="Arial Unicode MS"/>
          <w:u w:color="000000"/>
          <w:bdr w:val="nil"/>
        </w:rPr>
        <w:tab/>
      </w:r>
      <w:r w:rsidR="008E59AB" w:rsidRPr="001B64FC">
        <w:rPr>
          <w:rFonts w:eastAsia="Arial Unicode MS"/>
          <w:u w:color="000000"/>
          <w:bdr w:val="nil"/>
        </w:rPr>
        <w:t>A.</w:t>
      </w:r>
      <w:r w:rsidR="008E59AB" w:rsidRPr="001B64FC">
        <w:rPr>
          <w:rFonts w:eastAsia="Arial Unicode MS"/>
          <w:u w:color="000000"/>
          <w:bdr w:val="nil"/>
        </w:rPr>
        <w:tab/>
        <w:t>Autoridades</w:t>
      </w:r>
    </w:p>
    <w:p w14:paraId="4FE06CE3" w14:textId="7C3CBFE8" w:rsidR="008E59AB" w:rsidRPr="001B64FC" w:rsidRDefault="00A76DFF" w:rsidP="001B64FC">
      <w:pPr>
        <w:pStyle w:val="H23G"/>
        <w:rPr>
          <w:rFonts w:eastAsia="Arial Unicode MS"/>
          <w:u w:color="000000"/>
          <w:bdr w:val="nil"/>
        </w:rPr>
      </w:pPr>
      <w:r>
        <w:rPr>
          <w:rFonts w:eastAsia="Arial Unicode MS"/>
          <w:u w:color="000000"/>
          <w:bdr w:val="nil"/>
        </w:rPr>
        <w:tab/>
      </w:r>
      <w:r>
        <w:rPr>
          <w:rFonts w:eastAsia="Arial Unicode MS"/>
          <w:u w:color="000000"/>
          <w:bdr w:val="nil"/>
        </w:rPr>
        <w:tab/>
      </w:r>
      <w:r w:rsidR="008E59AB" w:rsidRPr="001B64FC">
        <w:rPr>
          <w:rFonts w:eastAsia="Arial Unicode MS"/>
          <w:u w:color="000000"/>
          <w:bdr w:val="nil"/>
        </w:rPr>
        <w:t>Ministerio de Asuntos Exteriores y Cooperación</w:t>
      </w:r>
    </w:p>
    <w:p w14:paraId="6FBE0E2A" w14:textId="77777777" w:rsidR="008E59AB" w:rsidRPr="001B64FC" w:rsidRDefault="008E59AB" w:rsidP="00A76DFF">
      <w:pPr>
        <w:pStyle w:val="Bullet1G"/>
        <w:rPr>
          <w:rFonts w:eastAsia="Arial Unicode MS"/>
        </w:rPr>
      </w:pPr>
      <w:r w:rsidRPr="001B64FC">
        <w:rPr>
          <w:rFonts w:eastAsia="Arial Unicode MS"/>
        </w:rPr>
        <w:t>Pablo Ruíz-Jarabo Quemada, Embajador en Misión Especial para los Derechos Humanos, la Democracia y el Estado de Derecho</w:t>
      </w:r>
    </w:p>
    <w:p w14:paraId="693248F5" w14:textId="77777777" w:rsidR="008E59AB" w:rsidRPr="001B64FC" w:rsidRDefault="008E59AB" w:rsidP="001B64FC">
      <w:pPr>
        <w:pStyle w:val="Bullet1G"/>
        <w:rPr>
          <w:rFonts w:eastAsia="Arial Unicode MS"/>
        </w:rPr>
      </w:pPr>
      <w:r w:rsidRPr="001B64FC">
        <w:rPr>
          <w:rFonts w:eastAsia="Arial Unicode MS"/>
        </w:rPr>
        <w:t>Adela Díaz Bernárdez, Directora de la Oficina de Derechos Humanos</w:t>
      </w:r>
    </w:p>
    <w:p w14:paraId="4925C7D4" w14:textId="075A1E5B" w:rsidR="008E59AB" w:rsidRPr="001B64FC" w:rsidRDefault="00A76DFF" w:rsidP="001B64FC">
      <w:pPr>
        <w:pStyle w:val="H23G"/>
        <w:rPr>
          <w:rFonts w:eastAsia="Arial Unicode MS"/>
          <w:u w:color="000000"/>
          <w:bdr w:val="nil"/>
        </w:rPr>
      </w:pPr>
      <w:r>
        <w:rPr>
          <w:rFonts w:eastAsia="Arial Unicode MS"/>
          <w:u w:color="000000"/>
          <w:bdr w:val="nil"/>
        </w:rPr>
        <w:tab/>
      </w:r>
      <w:r>
        <w:rPr>
          <w:rFonts w:eastAsia="Arial Unicode MS"/>
          <w:u w:color="000000"/>
          <w:bdr w:val="nil"/>
        </w:rPr>
        <w:tab/>
      </w:r>
      <w:r w:rsidR="008E59AB" w:rsidRPr="001B64FC">
        <w:rPr>
          <w:rFonts w:eastAsia="Arial Unicode MS"/>
          <w:u w:color="000000"/>
          <w:bdr w:val="nil"/>
        </w:rPr>
        <w:t>Ministerio de Justicia</w:t>
      </w:r>
    </w:p>
    <w:p w14:paraId="496FEE46" w14:textId="77777777" w:rsidR="008E59AB" w:rsidRPr="001B64FC" w:rsidRDefault="008E59AB" w:rsidP="001B64FC">
      <w:pPr>
        <w:pStyle w:val="Bullet1G"/>
        <w:rPr>
          <w:rFonts w:eastAsia="Arial Unicode MS"/>
        </w:rPr>
      </w:pPr>
      <w:r w:rsidRPr="001B64FC">
        <w:rPr>
          <w:rFonts w:eastAsia="Arial Unicode MS"/>
        </w:rPr>
        <w:t>Ana Andrés Ballesteros, Subdirectora General para Asuntos de Justicia en la Unión Europea y Organismos Internacionales</w:t>
      </w:r>
    </w:p>
    <w:p w14:paraId="6614E099" w14:textId="77777777" w:rsidR="008E59AB" w:rsidRPr="001B64FC" w:rsidRDefault="008E59AB" w:rsidP="001B64FC">
      <w:pPr>
        <w:pStyle w:val="Bullet1G"/>
        <w:rPr>
          <w:rFonts w:eastAsia="Arial Unicode MS"/>
        </w:rPr>
      </w:pPr>
      <w:r w:rsidRPr="001B64FC">
        <w:rPr>
          <w:rFonts w:eastAsia="Arial Unicode MS"/>
        </w:rPr>
        <w:t>Raquel de Miguel Morante, Fiscal y Asesora en el Gabinete Técnico de la Subsecretaría</w:t>
      </w:r>
    </w:p>
    <w:p w14:paraId="49F9405F" w14:textId="41092664" w:rsidR="008E59AB" w:rsidRPr="001B64FC" w:rsidRDefault="00A76DFF" w:rsidP="001B64FC">
      <w:pPr>
        <w:pStyle w:val="H23G"/>
        <w:rPr>
          <w:rFonts w:eastAsia="Arial Unicode MS"/>
          <w:u w:color="000000"/>
          <w:bdr w:val="nil"/>
        </w:rPr>
      </w:pPr>
      <w:r>
        <w:rPr>
          <w:rFonts w:eastAsia="Arial Unicode MS"/>
          <w:u w:color="000000"/>
          <w:bdr w:val="nil"/>
        </w:rPr>
        <w:tab/>
      </w:r>
      <w:r>
        <w:rPr>
          <w:rFonts w:eastAsia="Arial Unicode MS"/>
          <w:u w:color="000000"/>
          <w:bdr w:val="nil"/>
        </w:rPr>
        <w:tab/>
      </w:r>
      <w:r w:rsidR="008E59AB" w:rsidRPr="001B64FC">
        <w:rPr>
          <w:rFonts w:eastAsia="Arial Unicode MS"/>
          <w:u w:color="000000"/>
          <w:bdr w:val="nil"/>
        </w:rPr>
        <w:t>Ministerio de Defensa</w:t>
      </w:r>
    </w:p>
    <w:p w14:paraId="7A2760D6" w14:textId="77777777" w:rsidR="008E59AB" w:rsidRPr="00A76DFF" w:rsidRDefault="008E59AB" w:rsidP="001B64FC">
      <w:pPr>
        <w:pStyle w:val="Bullet1G"/>
        <w:rPr>
          <w:rFonts w:eastAsia="Arial Unicode MS"/>
          <w:u w:color="000000"/>
          <w:bdr w:val="nil"/>
        </w:rPr>
      </w:pPr>
      <w:r w:rsidRPr="001B64FC">
        <w:rPr>
          <w:rFonts w:eastAsia="Arial Unicode MS"/>
        </w:rPr>
        <w:t>Juan</w:t>
      </w:r>
      <w:r w:rsidRPr="00A76DFF">
        <w:rPr>
          <w:rFonts w:eastAsia="Arial Unicode MS"/>
          <w:u w:color="000000"/>
          <w:bdr w:val="nil"/>
        </w:rPr>
        <w:t xml:space="preserve"> Manuel García Labajo, General Consejero Togado del Cuerpo Jurídico Militar, Vocal Asesor del Subsecretario de Defensa</w:t>
      </w:r>
    </w:p>
    <w:p w14:paraId="53BAFA43" w14:textId="38D83E09" w:rsidR="008E59AB" w:rsidRPr="001B64FC" w:rsidRDefault="00A76DFF" w:rsidP="001B64FC">
      <w:pPr>
        <w:pStyle w:val="H23G"/>
        <w:rPr>
          <w:rFonts w:eastAsia="Arial Unicode MS"/>
          <w:u w:color="000000"/>
          <w:bdr w:val="nil"/>
        </w:rPr>
      </w:pPr>
      <w:r>
        <w:rPr>
          <w:rFonts w:eastAsia="Arial Unicode MS"/>
          <w:u w:color="000000"/>
          <w:bdr w:val="nil"/>
        </w:rPr>
        <w:tab/>
      </w:r>
      <w:r>
        <w:rPr>
          <w:rFonts w:eastAsia="Arial Unicode MS"/>
          <w:u w:color="000000"/>
          <w:bdr w:val="nil"/>
        </w:rPr>
        <w:tab/>
      </w:r>
      <w:r w:rsidR="008E59AB" w:rsidRPr="001B64FC">
        <w:rPr>
          <w:rFonts w:eastAsia="Arial Unicode MS"/>
          <w:u w:color="000000"/>
          <w:bdr w:val="nil"/>
        </w:rPr>
        <w:t>Ministerio del Interior</w:t>
      </w:r>
    </w:p>
    <w:p w14:paraId="471FB461" w14:textId="77777777" w:rsidR="008E59AB" w:rsidRPr="001B64FC" w:rsidRDefault="008E59AB" w:rsidP="001B64FC">
      <w:pPr>
        <w:pStyle w:val="Bullet1G"/>
        <w:rPr>
          <w:rFonts w:eastAsia="Arial Unicode MS"/>
        </w:rPr>
      </w:pPr>
      <w:r w:rsidRPr="001B64FC">
        <w:rPr>
          <w:rFonts w:eastAsia="Arial Unicode MS"/>
        </w:rPr>
        <w:t xml:space="preserve">Luis Aguilera Ruíz, Subsecretario </w:t>
      </w:r>
    </w:p>
    <w:p w14:paraId="2657D77D" w14:textId="77777777" w:rsidR="008E59AB" w:rsidRPr="001B64FC" w:rsidRDefault="008E59AB" w:rsidP="001B64FC">
      <w:pPr>
        <w:pStyle w:val="Bullet1G"/>
        <w:rPr>
          <w:rFonts w:eastAsia="Arial Unicode MS"/>
        </w:rPr>
      </w:pPr>
      <w:r w:rsidRPr="001B64FC">
        <w:rPr>
          <w:rFonts w:eastAsia="Arial Unicode MS"/>
        </w:rPr>
        <w:t xml:space="preserve">Ángel Yuste Castillejo, Secretario General de Instituciones Penitenciarias </w:t>
      </w:r>
    </w:p>
    <w:p w14:paraId="12F29F9E" w14:textId="77777777" w:rsidR="008E59AB" w:rsidRPr="001B64FC" w:rsidRDefault="008E59AB" w:rsidP="001B64FC">
      <w:pPr>
        <w:pStyle w:val="Bullet1G"/>
        <w:rPr>
          <w:rFonts w:eastAsia="Arial Unicode MS"/>
        </w:rPr>
      </w:pPr>
      <w:r w:rsidRPr="001B64FC">
        <w:rPr>
          <w:rFonts w:eastAsia="Arial Unicode MS"/>
        </w:rPr>
        <w:t>Germán López Iglesias, Director General de la Policía</w:t>
      </w:r>
    </w:p>
    <w:p w14:paraId="00E235A3" w14:textId="77777777" w:rsidR="008E59AB" w:rsidRPr="001B64FC" w:rsidRDefault="008E59AB" w:rsidP="001B64FC">
      <w:pPr>
        <w:pStyle w:val="Bullet1G"/>
        <w:rPr>
          <w:rFonts w:eastAsia="Arial Unicode MS"/>
        </w:rPr>
      </w:pPr>
      <w:r w:rsidRPr="001B64FC">
        <w:rPr>
          <w:rFonts w:eastAsia="Arial Unicode MS"/>
        </w:rPr>
        <w:t>Juan Carlos Ortiz Argüelles, Comisario General de Extranjería y Fronteras</w:t>
      </w:r>
    </w:p>
    <w:p w14:paraId="01305B67" w14:textId="77777777" w:rsidR="008E59AB" w:rsidRPr="001B64FC" w:rsidRDefault="008E59AB" w:rsidP="001B64FC">
      <w:pPr>
        <w:pStyle w:val="Bullet1G"/>
        <w:rPr>
          <w:rFonts w:eastAsia="Arial Unicode MS"/>
        </w:rPr>
      </w:pPr>
      <w:r w:rsidRPr="001B64FC">
        <w:rPr>
          <w:rFonts w:eastAsia="Arial Unicode MS"/>
        </w:rPr>
        <w:t>Luis Aparicio Campillo, Jefe de los Servicios Jurídicos de la Comisaría General de Extranjería y Fronteras</w:t>
      </w:r>
    </w:p>
    <w:p w14:paraId="372F1FD7" w14:textId="77777777" w:rsidR="008E59AB" w:rsidRPr="001B64FC" w:rsidRDefault="008E59AB" w:rsidP="001B64FC">
      <w:pPr>
        <w:pStyle w:val="Bullet1G"/>
        <w:rPr>
          <w:rFonts w:eastAsia="Arial Unicode MS"/>
        </w:rPr>
      </w:pPr>
      <w:r w:rsidRPr="001B64FC">
        <w:rPr>
          <w:rFonts w:eastAsia="Arial Unicode MS"/>
        </w:rPr>
        <w:t>José Manuel Holgado Merino, Director de la Guardia Civil</w:t>
      </w:r>
    </w:p>
    <w:p w14:paraId="25E53A88" w14:textId="77777777" w:rsidR="008E59AB" w:rsidRPr="001B64FC" w:rsidRDefault="008E59AB" w:rsidP="001B64FC">
      <w:pPr>
        <w:pStyle w:val="Bullet1G"/>
        <w:rPr>
          <w:rFonts w:eastAsia="Arial Unicode MS"/>
        </w:rPr>
      </w:pPr>
      <w:r w:rsidRPr="001B64FC">
        <w:rPr>
          <w:rFonts w:eastAsia="Arial Unicode MS"/>
        </w:rPr>
        <w:t>José Manuel Santiago Marín, Jefe de la Sección de Operaciones del Estado Mayor</w:t>
      </w:r>
    </w:p>
    <w:p w14:paraId="66034035" w14:textId="77777777" w:rsidR="008E59AB" w:rsidRPr="001B64FC" w:rsidRDefault="008E59AB" w:rsidP="001B64FC">
      <w:pPr>
        <w:pStyle w:val="Bullet1G"/>
        <w:rPr>
          <w:rFonts w:eastAsia="Arial Unicode MS"/>
        </w:rPr>
      </w:pPr>
      <w:r w:rsidRPr="001B64FC">
        <w:rPr>
          <w:rFonts w:eastAsia="Arial Unicode MS"/>
        </w:rPr>
        <w:t>Miguel Fayos Mestre, de la Unidad Técnica de Policía Judicial</w:t>
      </w:r>
    </w:p>
    <w:p w14:paraId="25C31210" w14:textId="77777777" w:rsidR="008E59AB" w:rsidRPr="001B64FC" w:rsidRDefault="008E59AB" w:rsidP="001B64FC">
      <w:pPr>
        <w:pStyle w:val="Bullet1G"/>
        <w:rPr>
          <w:rFonts w:eastAsia="Arial Unicode MS"/>
        </w:rPr>
      </w:pPr>
      <w:r w:rsidRPr="001B64FC">
        <w:rPr>
          <w:rFonts w:eastAsia="Arial Unicode MS"/>
        </w:rPr>
        <w:t>Ángel García Navarro, Jefe de Servicio, Subdirección General de Relaciones Internacionales, Inmigración y Extranjería</w:t>
      </w:r>
    </w:p>
    <w:p w14:paraId="4798BD5D" w14:textId="5014A00F" w:rsidR="008E59AB" w:rsidRPr="001B64FC" w:rsidRDefault="00A76DFF" w:rsidP="001B64FC">
      <w:pPr>
        <w:pStyle w:val="H23G"/>
        <w:rPr>
          <w:rFonts w:eastAsia="Arial Unicode MS"/>
          <w:u w:color="000000"/>
          <w:bdr w:val="nil"/>
        </w:rPr>
      </w:pPr>
      <w:r>
        <w:rPr>
          <w:rFonts w:eastAsia="Arial Unicode MS"/>
          <w:u w:color="000000"/>
          <w:bdr w:val="nil"/>
        </w:rPr>
        <w:tab/>
      </w:r>
      <w:r>
        <w:rPr>
          <w:rFonts w:eastAsia="Arial Unicode MS"/>
          <w:u w:color="000000"/>
          <w:bdr w:val="nil"/>
        </w:rPr>
        <w:tab/>
      </w:r>
      <w:r w:rsidR="008E59AB" w:rsidRPr="001B64FC">
        <w:rPr>
          <w:rFonts w:eastAsia="Arial Unicode MS"/>
          <w:u w:color="000000"/>
          <w:bdr w:val="nil"/>
        </w:rPr>
        <w:t>Ministerio de Sanidad, Servicios Sociales e Igualdad</w:t>
      </w:r>
    </w:p>
    <w:p w14:paraId="49A5728D" w14:textId="77777777" w:rsidR="008E59AB" w:rsidRPr="001B64FC" w:rsidRDefault="008E59AB" w:rsidP="001B64FC">
      <w:pPr>
        <w:pStyle w:val="Bullet1G"/>
        <w:rPr>
          <w:u w:color="000000"/>
          <w:bdr w:val="nil"/>
        </w:rPr>
      </w:pPr>
      <w:r w:rsidRPr="00A76DFF">
        <w:rPr>
          <w:rFonts w:eastAsia="Arial Unicode MS"/>
          <w:u w:color="000000"/>
          <w:bdr w:val="nil"/>
        </w:rPr>
        <w:t>Encarna Cruz, Directora General de Cartera Básica de Servicios del Servicio Nacional de Salud y Farmacia</w:t>
      </w:r>
    </w:p>
    <w:p w14:paraId="6B2855ED" w14:textId="6938F1CD" w:rsidR="008E59AB" w:rsidRPr="001B64FC" w:rsidRDefault="00A76DFF" w:rsidP="001B64FC">
      <w:pPr>
        <w:pStyle w:val="H23G"/>
        <w:rPr>
          <w:rFonts w:eastAsia="Arial Unicode MS"/>
          <w:u w:color="000000"/>
          <w:bdr w:val="nil"/>
        </w:rPr>
      </w:pPr>
      <w:r>
        <w:rPr>
          <w:rFonts w:eastAsia="Arial Unicode MS"/>
          <w:u w:color="000000"/>
          <w:bdr w:val="nil"/>
        </w:rPr>
        <w:tab/>
      </w:r>
      <w:r>
        <w:rPr>
          <w:rFonts w:eastAsia="Arial Unicode MS"/>
          <w:u w:color="000000"/>
          <w:bdr w:val="nil"/>
        </w:rPr>
        <w:tab/>
      </w:r>
      <w:r w:rsidR="008E59AB" w:rsidRPr="001B64FC">
        <w:rPr>
          <w:rFonts w:eastAsia="Arial Unicode MS"/>
          <w:u w:color="000000"/>
          <w:bdr w:val="nil"/>
        </w:rPr>
        <w:t xml:space="preserve">Ministerio Fiscal </w:t>
      </w:r>
    </w:p>
    <w:p w14:paraId="0575429D" w14:textId="77777777" w:rsidR="008E59AB" w:rsidRPr="001B64FC" w:rsidRDefault="008E59AB" w:rsidP="001B64FC">
      <w:pPr>
        <w:pStyle w:val="Bullet1G"/>
        <w:rPr>
          <w:rFonts w:eastAsia="Arial Unicode MS"/>
        </w:rPr>
      </w:pPr>
      <w:r w:rsidRPr="001B64FC">
        <w:rPr>
          <w:rFonts w:eastAsia="Arial Unicode MS"/>
        </w:rPr>
        <w:t>Jesús Alonso, Fiscal Jefe de la Audiencia Nacional</w:t>
      </w:r>
    </w:p>
    <w:p w14:paraId="7E892885" w14:textId="77777777" w:rsidR="008E59AB" w:rsidRPr="001B64FC" w:rsidRDefault="008E59AB" w:rsidP="001B64FC">
      <w:pPr>
        <w:pStyle w:val="Bullet1G"/>
        <w:rPr>
          <w:rFonts w:eastAsia="Arial Unicode MS"/>
        </w:rPr>
      </w:pPr>
      <w:r w:rsidRPr="001B64FC">
        <w:rPr>
          <w:rFonts w:eastAsia="Arial Unicode MS"/>
        </w:rPr>
        <w:t xml:space="preserve">Joaquín Sánchez-Covisa, Fiscal de Extranjería </w:t>
      </w:r>
    </w:p>
    <w:p w14:paraId="6EE46BF4" w14:textId="43300DD0" w:rsidR="008E59AB" w:rsidRPr="001B64FC" w:rsidRDefault="00A76DFF" w:rsidP="001B64FC">
      <w:pPr>
        <w:pStyle w:val="H23G"/>
        <w:rPr>
          <w:rFonts w:eastAsia="Arial Unicode MS"/>
          <w:u w:color="000000"/>
          <w:bdr w:val="nil"/>
        </w:rPr>
      </w:pPr>
      <w:r>
        <w:rPr>
          <w:rFonts w:eastAsia="Arial Unicode MS"/>
          <w:u w:color="000000"/>
          <w:bdr w:val="nil"/>
        </w:rPr>
        <w:tab/>
      </w:r>
      <w:r>
        <w:rPr>
          <w:rFonts w:eastAsia="Arial Unicode MS"/>
          <w:u w:color="000000"/>
          <w:bdr w:val="nil"/>
        </w:rPr>
        <w:tab/>
      </w:r>
      <w:r w:rsidR="008E59AB" w:rsidRPr="001B64FC">
        <w:rPr>
          <w:rFonts w:eastAsia="Arial Unicode MS"/>
          <w:u w:color="000000"/>
          <w:bdr w:val="nil"/>
        </w:rPr>
        <w:t>Tribunal Supremo de Justicia</w:t>
      </w:r>
    </w:p>
    <w:p w14:paraId="4C0E505F" w14:textId="70C688FA" w:rsidR="008E59AB" w:rsidRPr="00A76DFF" w:rsidRDefault="008E59AB" w:rsidP="001B64FC">
      <w:pPr>
        <w:pStyle w:val="Bullet1G"/>
        <w:rPr>
          <w:rFonts w:eastAsia="Arial Unicode MS"/>
          <w:u w:color="000000"/>
          <w:bdr w:val="nil"/>
        </w:rPr>
      </w:pPr>
      <w:r w:rsidRPr="00A76DFF">
        <w:rPr>
          <w:rFonts w:eastAsia="Arial Unicode MS"/>
          <w:u w:color="000000"/>
          <w:bdr w:val="nil"/>
        </w:rPr>
        <w:t>Carlos Lesmes Serrano, Presidente del Tribunal Supremo y del Consejo General del Poder Judicial</w:t>
      </w:r>
    </w:p>
    <w:p w14:paraId="5C2E3988" w14:textId="77777777" w:rsidR="008E59AB" w:rsidRPr="001B64FC" w:rsidRDefault="008E59AB" w:rsidP="001B64FC">
      <w:pPr>
        <w:pStyle w:val="Bullet1G"/>
        <w:rPr>
          <w:rFonts w:eastAsia="Arial Unicode MS"/>
        </w:rPr>
      </w:pPr>
      <w:r w:rsidRPr="001B64FC">
        <w:rPr>
          <w:rFonts w:eastAsia="Arial Unicode MS"/>
        </w:rPr>
        <w:t>Juan José López Ortega, Presidente de la Sección Cuarta (de lo Penal y Menores) de la Audiencia Provincial de Madrid [Ha sido miembro del Comité contra la Desaparición Forzada]</w:t>
      </w:r>
    </w:p>
    <w:p w14:paraId="7461FB42" w14:textId="38ABD954" w:rsidR="008E59AB" w:rsidRPr="001B64FC" w:rsidRDefault="008E59AB" w:rsidP="001B64FC">
      <w:pPr>
        <w:pStyle w:val="Bullet1G"/>
        <w:rPr>
          <w:rFonts w:eastAsia="Arial Unicode MS"/>
        </w:rPr>
      </w:pPr>
      <w:r w:rsidRPr="001B64FC">
        <w:rPr>
          <w:rFonts w:eastAsia="Arial Unicode MS"/>
        </w:rPr>
        <w:lastRenderedPageBreak/>
        <w:t xml:space="preserve">María José García-Galán San Miguel, Magistrada de la Sección Cuarta (de lo Penal y Menores) de la Audiencia Provincial de Madrid </w:t>
      </w:r>
    </w:p>
    <w:p w14:paraId="6DF0FF8C" w14:textId="355AF42B" w:rsidR="008E59AB" w:rsidRPr="001B64FC" w:rsidRDefault="00A76DFF" w:rsidP="001B64FC">
      <w:pPr>
        <w:pStyle w:val="H23G"/>
        <w:rPr>
          <w:rFonts w:eastAsia="Arial Unicode MS"/>
          <w:u w:color="000000"/>
          <w:bdr w:val="nil"/>
        </w:rPr>
      </w:pPr>
      <w:r>
        <w:rPr>
          <w:rFonts w:eastAsia="Arial Unicode MS"/>
          <w:u w:color="000000"/>
          <w:bdr w:val="nil"/>
        </w:rPr>
        <w:tab/>
      </w:r>
      <w:r>
        <w:rPr>
          <w:rFonts w:eastAsia="Arial Unicode MS"/>
          <w:u w:color="000000"/>
          <w:bdr w:val="nil"/>
        </w:rPr>
        <w:tab/>
      </w:r>
      <w:r w:rsidR="008E59AB" w:rsidRPr="001B64FC">
        <w:rPr>
          <w:rFonts w:eastAsia="Arial Unicode MS"/>
          <w:u w:color="000000"/>
          <w:bdr w:val="nil"/>
        </w:rPr>
        <w:t>Instituto de Medicina Legal y Ciencias Forenses</w:t>
      </w:r>
    </w:p>
    <w:p w14:paraId="51887F57" w14:textId="77777777" w:rsidR="008E59AB" w:rsidRPr="001B64FC" w:rsidRDefault="008E59AB" w:rsidP="001B64FC">
      <w:pPr>
        <w:pStyle w:val="Bullet1G"/>
        <w:rPr>
          <w:rFonts w:eastAsia="Arial Unicode MS"/>
        </w:rPr>
      </w:pPr>
      <w:r w:rsidRPr="001B64FC">
        <w:rPr>
          <w:rFonts w:eastAsia="Arial Unicode MS"/>
        </w:rPr>
        <w:t>Rafael M. Bañon González, Director del Instituto de Medicina Legal y Ciencias Forenses</w:t>
      </w:r>
    </w:p>
    <w:p w14:paraId="7C8A1294" w14:textId="77777777" w:rsidR="008E59AB" w:rsidRPr="001B64FC" w:rsidRDefault="008E59AB" w:rsidP="001B64FC">
      <w:pPr>
        <w:pStyle w:val="Bullet1G"/>
        <w:rPr>
          <w:rFonts w:eastAsia="Arial Unicode MS"/>
        </w:rPr>
      </w:pPr>
      <w:r w:rsidRPr="001B64FC">
        <w:rPr>
          <w:rFonts w:eastAsia="Arial Unicode MS"/>
        </w:rPr>
        <w:t xml:space="preserve">José Luis Prieto, Instituto de Medicina Legal y Ciencias Forenses </w:t>
      </w:r>
    </w:p>
    <w:p w14:paraId="57F7C022" w14:textId="77777777" w:rsidR="008E59AB" w:rsidRPr="001B64FC" w:rsidRDefault="008E59AB" w:rsidP="001B64FC">
      <w:pPr>
        <w:pStyle w:val="Bullet1G"/>
        <w:rPr>
          <w:rFonts w:eastAsia="Arial Unicode MS"/>
        </w:rPr>
      </w:pPr>
      <w:r w:rsidRPr="001B64FC">
        <w:rPr>
          <w:rFonts w:eastAsia="Arial Unicode MS"/>
        </w:rPr>
        <w:t>Eduardo Andreu, Instituto de Medicina Legal y Ciencias Forenses</w:t>
      </w:r>
    </w:p>
    <w:p w14:paraId="5692C8AB" w14:textId="77777777" w:rsidR="008E59AB" w:rsidRPr="001B64FC" w:rsidRDefault="008E59AB" w:rsidP="001B64FC">
      <w:pPr>
        <w:pStyle w:val="Bullet1G"/>
        <w:rPr>
          <w:rFonts w:eastAsia="Arial Unicode MS"/>
        </w:rPr>
      </w:pPr>
      <w:r w:rsidRPr="001B64FC">
        <w:rPr>
          <w:rFonts w:eastAsia="Arial Unicode MS"/>
        </w:rPr>
        <w:t xml:space="preserve">Vidal Santos, Director del Instituto de Medicina Legal de Órganos Judiciales Centrales </w:t>
      </w:r>
    </w:p>
    <w:p w14:paraId="58292CAC" w14:textId="77777777" w:rsidR="008E59AB" w:rsidRPr="00A76DFF" w:rsidRDefault="008E59AB" w:rsidP="001B64FC">
      <w:pPr>
        <w:pStyle w:val="Bullet1G"/>
        <w:rPr>
          <w:rFonts w:eastAsia="Arial Unicode MS"/>
          <w:u w:color="000000"/>
          <w:bdr w:val="nil"/>
        </w:rPr>
      </w:pPr>
      <w:r w:rsidRPr="00A76DFF">
        <w:rPr>
          <w:rFonts w:eastAsia="Arial Unicode MS"/>
          <w:u w:color="000000"/>
          <w:bdr w:val="nil"/>
        </w:rPr>
        <w:t xml:space="preserve">Cristina Romero, médico forense </w:t>
      </w:r>
    </w:p>
    <w:p w14:paraId="3EA3B98C" w14:textId="0D977401" w:rsidR="008E59AB" w:rsidRPr="001B64FC" w:rsidRDefault="00A76DFF" w:rsidP="001B64FC">
      <w:pPr>
        <w:pStyle w:val="H23G"/>
        <w:rPr>
          <w:rFonts w:eastAsia="Arial Unicode MS"/>
          <w:u w:color="000000"/>
          <w:bdr w:val="nil"/>
        </w:rPr>
      </w:pPr>
      <w:r>
        <w:rPr>
          <w:rFonts w:eastAsia="Arial Unicode MS"/>
          <w:u w:color="000000"/>
          <w:bdr w:val="nil"/>
        </w:rPr>
        <w:tab/>
      </w:r>
      <w:r>
        <w:rPr>
          <w:rFonts w:eastAsia="Arial Unicode MS"/>
          <w:u w:color="000000"/>
          <w:bdr w:val="nil"/>
        </w:rPr>
        <w:tab/>
      </w:r>
      <w:r w:rsidR="008E59AB" w:rsidRPr="001B64FC">
        <w:rPr>
          <w:rFonts w:eastAsia="Arial Unicode MS"/>
          <w:u w:color="000000"/>
          <w:bdr w:val="nil"/>
        </w:rPr>
        <w:t xml:space="preserve">Mecanismo nacional de prevención </w:t>
      </w:r>
    </w:p>
    <w:p w14:paraId="2A11FB64" w14:textId="77777777" w:rsidR="008E59AB" w:rsidRPr="001B64FC" w:rsidRDefault="008E59AB" w:rsidP="001B64FC">
      <w:pPr>
        <w:pStyle w:val="Bullet1G"/>
        <w:rPr>
          <w:rFonts w:eastAsia="Arial Unicode MS"/>
        </w:rPr>
      </w:pPr>
      <w:r w:rsidRPr="001B64FC">
        <w:rPr>
          <w:rFonts w:eastAsia="Arial Unicode MS"/>
        </w:rPr>
        <w:t xml:space="preserve">Francisco Fernández Marugán, Defensor del Pueblo en funciones </w:t>
      </w:r>
    </w:p>
    <w:p w14:paraId="0EE5E267" w14:textId="77777777" w:rsidR="008E59AB" w:rsidRPr="001B64FC" w:rsidRDefault="008E59AB" w:rsidP="001B64FC">
      <w:pPr>
        <w:pStyle w:val="Bullet1G"/>
        <w:rPr>
          <w:rFonts w:eastAsia="Arial Unicode MS"/>
        </w:rPr>
      </w:pPr>
      <w:r w:rsidRPr="001B64FC">
        <w:rPr>
          <w:rFonts w:eastAsia="Arial Unicode MS"/>
        </w:rPr>
        <w:t>Concepción Ferrer, Defensora del Pueblo Adjunta</w:t>
      </w:r>
    </w:p>
    <w:p w14:paraId="242B504D" w14:textId="77777777" w:rsidR="008E59AB" w:rsidRPr="001B64FC" w:rsidRDefault="008E59AB" w:rsidP="001B64FC">
      <w:pPr>
        <w:pStyle w:val="Bullet1G"/>
        <w:rPr>
          <w:rFonts w:eastAsia="Arial Unicode MS"/>
        </w:rPr>
      </w:pPr>
      <w:r w:rsidRPr="001B64FC">
        <w:rPr>
          <w:rFonts w:eastAsia="Arial Unicode MS"/>
        </w:rPr>
        <w:t xml:space="preserve">Bartolomé José Martínez García, Jefe de la Unidad Mecanismo Nacional de Prevención </w:t>
      </w:r>
    </w:p>
    <w:p w14:paraId="2CB46D5F" w14:textId="77777777" w:rsidR="008E59AB" w:rsidRPr="001B64FC" w:rsidRDefault="008E59AB" w:rsidP="001B64FC">
      <w:pPr>
        <w:pStyle w:val="Bullet1G"/>
        <w:rPr>
          <w:rFonts w:eastAsia="Arial Unicode MS"/>
        </w:rPr>
      </w:pPr>
      <w:r w:rsidRPr="001B64FC">
        <w:rPr>
          <w:rFonts w:eastAsia="Arial Unicode MS"/>
        </w:rPr>
        <w:t xml:space="preserve">José Manuel Sánchez Saudinós, Secretario General del Defensor del Pueblo </w:t>
      </w:r>
    </w:p>
    <w:p w14:paraId="20D48F5C" w14:textId="77777777" w:rsidR="008E59AB" w:rsidRPr="001B64FC" w:rsidRDefault="008E59AB" w:rsidP="001B64FC">
      <w:pPr>
        <w:pStyle w:val="Bullet1G"/>
        <w:rPr>
          <w:rFonts w:eastAsia="Arial Unicode MS"/>
        </w:rPr>
      </w:pPr>
      <w:r w:rsidRPr="001B64FC">
        <w:rPr>
          <w:rFonts w:eastAsia="Arial Unicode MS"/>
        </w:rPr>
        <w:t>Arantxa Díaz Ugarte, personal técnico adscrito a la Unidad mecanismo nacional de prevención</w:t>
      </w:r>
    </w:p>
    <w:p w14:paraId="158C7898" w14:textId="77777777" w:rsidR="008E59AB" w:rsidRPr="001B64FC" w:rsidRDefault="008E59AB" w:rsidP="001B64FC">
      <w:pPr>
        <w:pStyle w:val="Bullet1G"/>
        <w:rPr>
          <w:rFonts w:eastAsia="Arial Unicode MS"/>
        </w:rPr>
      </w:pPr>
      <w:r w:rsidRPr="001B64FC">
        <w:rPr>
          <w:rFonts w:eastAsia="Arial Unicode MS"/>
        </w:rPr>
        <w:t>Esther Pino Gamero, personal técnico adscrito a la Unidad mecanismo nacional de prevención</w:t>
      </w:r>
    </w:p>
    <w:p w14:paraId="48FB0D39" w14:textId="77777777" w:rsidR="008E59AB" w:rsidRPr="001B64FC" w:rsidRDefault="008E59AB" w:rsidP="001B64FC">
      <w:pPr>
        <w:pStyle w:val="Bullet1G"/>
        <w:rPr>
          <w:rFonts w:eastAsia="Arial Unicode MS"/>
        </w:rPr>
      </w:pPr>
      <w:r w:rsidRPr="001B64FC">
        <w:rPr>
          <w:rFonts w:eastAsia="Arial Unicode MS"/>
        </w:rPr>
        <w:t>Rocío Monterroso Barrero, personal técnico adscrito a la Unidad mecanismo nacional de prevención</w:t>
      </w:r>
    </w:p>
    <w:p w14:paraId="623731C6" w14:textId="77777777" w:rsidR="008E59AB" w:rsidRPr="001B64FC" w:rsidRDefault="008E59AB" w:rsidP="001B64FC">
      <w:pPr>
        <w:pStyle w:val="Bullet1G"/>
        <w:rPr>
          <w:rFonts w:eastAsia="Arial Unicode MS"/>
        </w:rPr>
      </w:pPr>
      <w:r w:rsidRPr="001B64FC">
        <w:rPr>
          <w:rFonts w:eastAsia="Arial Unicode MS"/>
        </w:rPr>
        <w:t>Santiago Yerga Cobos, personal técnico adscrito a la Unidad mecanismo nacional de prevención</w:t>
      </w:r>
    </w:p>
    <w:p w14:paraId="7A7D729C" w14:textId="77777777" w:rsidR="008E59AB" w:rsidRPr="001B64FC" w:rsidRDefault="008E59AB" w:rsidP="001B64FC">
      <w:pPr>
        <w:pStyle w:val="Bullet1G"/>
        <w:rPr>
          <w:rFonts w:eastAsia="Arial Unicode MS"/>
        </w:rPr>
      </w:pPr>
      <w:r w:rsidRPr="001B64FC">
        <w:rPr>
          <w:rFonts w:eastAsia="Arial Unicode MS"/>
        </w:rPr>
        <w:t>Silvia Martín Honrubia, personal técnico adscrito a la Unidad mecanismo nacional de prevención</w:t>
      </w:r>
    </w:p>
    <w:p w14:paraId="39A2CA47" w14:textId="77777777" w:rsidR="008E59AB" w:rsidRPr="001B64FC" w:rsidRDefault="008E59AB" w:rsidP="001B64FC">
      <w:pPr>
        <w:pStyle w:val="Bullet1G"/>
        <w:rPr>
          <w:rFonts w:eastAsia="Arial Unicode MS"/>
        </w:rPr>
      </w:pPr>
      <w:r w:rsidRPr="001B64FC">
        <w:rPr>
          <w:rFonts w:eastAsia="Arial Unicode MS"/>
        </w:rPr>
        <w:t xml:space="preserve">Sergio Hernández Moya, administrativo adscrito a la Unidad mecanismo nacional de prevención, encargado de videofilmación </w:t>
      </w:r>
    </w:p>
    <w:p w14:paraId="3536C628" w14:textId="77777777" w:rsidR="008E59AB" w:rsidRPr="001B64FC" w:rsidRDefault="008E59AB" w:rsidP="001B64FC">
      <w:pPr>
        <w:pStyle w:val="Bullet1G"/>
        <w:rPr>
          <w:rFonts w:eastAsia="Arial Unicode MS"/>
        </w:rPr>
      </w:pPr>
      <w:r w:rsidRPr="001B64FC">
        <w:rPr>
          <w:rFonts w:eastAsia="Arial Unicode MS"/>
        </w:rPr>
        <w:t>Carmen Comas-Mata Mira, técnica jefe de relaciones internacionales del Defensor del Pueblo</w:t>
      </w:r>
    </w:p>
    <w:p w14:paraId="115CC77F" w14:textId="77777777" w:rsidR="008E59AB" w:rsidRPr="001B64FC" w:rsidRDefault="008E59AB" w:rsidP="001B64FC">
      <w:pPr>
        <w:pStyle w:val="Bullet1G"/>
        <w:rPr>
          <w:rFonts w:eastAsia="Arial Unicode MS"/>
        </w:rPr>
      </w:pPr>
      <w:r w:rsidRPr="001B64FC">
        <w:rPr>
          <w:rFonts w:eastAsia="Arial Unicode MS"/>
        </w:rPr>
        <w:t>Fernando Herrero Camps, técnico de seguridad y justicia, experto en prisiones</w:t>
      </w:r>
    </w:p>
    <w:p w14:paraId="2F5E1A3F" w14:textId="129976EA" w:rsidR="008E59AB" w:rsidRPr="001B64FC" w:rsidRDefault="008E59AB" w:rsidP="001B64FC">
      <w:pPr>
        <w:pStyle w:val="Bullet1G"/>
        <w:rPr>
          <w:rFonts w:eastAsia="Arial Unicode MS"/>
        </w:rPr>
      </w:pPr>
      <w:r w:rsidRPr="001B64FC">
        <w:rPr>
          <w:rFonts w:eastAsia="Arial Unicode MS"/>
        </w:rPr>
        <w:t>Vicenta Esteve Biot, vocal del Consejo Asesor del mecanismo nacional de prevención, a propuesta del Consejo General de Colegios de Psicólogos de España</w:t>
      </w:r>
    </w:p>
    <w:p w14:paraId="4821A4D3" w14:textId="02B5AD51" w:rsidR="008E59AB" w:rsidRPr="001B64FC" w:rsidRDefault="008E59AB" w:rsidP="001B64FC">
      <w:pPr>
        <w:pStyle w:val="Bullet1G"/>
        <w:rPr>
          <w:rFonts w:eastAsia="Arial Unicode MS"/>
        </w:rPr>
      </w:pPr>
      <w:r w:rsidRPr="001B64FC">
        <w:rPr>
          <w:rFonts w:eastAsia="Arial Unicode MS"/>
        </w:rPr>
        <w:t xml:space="preserve">Pau Pérez Sales, técnico externo consultor especialista en psiquiatría </w:t>
      </w:r>
    </w:p>
    <w:p w14:paraId="4DBD067F" w14:textId="62B58B06" w:rsidR="008E59AB" w:rsidRPr="001B64FC" w:rsidRDefault="008E59AB" w:rsidP="001B64FC">
      <w:pPr>
        <w:pStyle w:val="Bullet1G"/>
        <w:rPr>
          <w:rFonts w:eastAsia="Arial Unicode MS"/>
        </w:rPr>
      </w:pPr>
      <w:r w:rsidRPr="001B64FC">
        <w:rPr>
          <w:rFonts w:eastAsia="Arial Unicode MS"/>
        </w:rPr>
        <w:t>Antonio Muñoz Faraldo, técnico de la Unidad mecanismo nacional de prevención</w:t>
      </w:r>
    </w:p>
    <w:p w14:paraId="67AF19CA" w14:textId="6E4D3293" w:rsidR="008E59AB" w:rsidRPr="001B64FC" w:rsidRDefault="008E59AB" w:rsidP="001B64FC">
      <w:pPr>
        <w:pStyle w:val="Bullet1G"/>
        <w:rPr>
          <w:rFonts w:eastAsia="Arial Unicode MS"/>
        </w:rPr>
      </w:pPr>
      <w:r w:rsidRPr="001B64FC">
        <w:rPr>
          <w:rFonts w:eastAsia="Arial Unicode MS"/>
        </w:rPr>
        <w:t>Milagros Fuentes González, vocal del Consejo Asesor del mecanismo nacional de prevención, a propuesta del Consejo General de la Abogacía Española</w:t>
      </w:r>
    </w:p>
    <w:p w14:paraId="437D4A8D" w14:textId="4B667353" w:rsidR="008E59AB" w:rsidRPr="001B64FC" w:rsidRDefault="008E59AB" w:rsidP="001B64FC">
      <w:pPr>
        <w:pStyle w:val="Bullet1G"/>
        <w:rPr>
          <w:rFonts w:eastAsia="Arial Unicode MS"/>
        </w:rPr>
      </w:pPr>
      <w:r w:rsidRPr="001B64FC">
        <w:rPr>
          <w:rFonts w:eastAsia="Arial Unicode MS"/>
        </w:rPr>
        <w:t>Inmaculada Martínez Torre, vocal del Consejo Asesor del mecanismo nacional de prevención, a propuesta de la Organización Médica Colegial</w:t>
      </w:r>
    </w:p>
    <w:p w14:paraId="38A1D9D7" w14:textId="7D55EB43" w:rsidR="008E59AB" w:rsidRPr="001B64FC" w:rsidRDefault="008E59AB" w:rsidP="001B64FC">
      <w:pPr>
        <w:pStyle w:val="Bullet1G"/>
        <w:rPr>
          <w:rFonts w:eastAsia="Arial Unicode MS"/>
        </w:rPr>
      </w:pPr>
      <w:r w:rsidRPr="001B64FC">
        <w:rPr>
          <w:rFonts w:eastAsia="Arial Unicode MS"/>
        </w:rPr>
        <w:t>Julián Carlos Ríos Martín, vocal del Consejo Asesor del mecanismo nacional de prevención</w:t>
      </w:r>
    </w:p>
    <w:p w14:paraId="342EE60C" w14:textId="77777777" w:rsidR="008E59AB" w:rsidRPr="001B64FC" w:rsidRDefault="008E59AB" w:rsidP="003744C0">
      <w:pPr>
        <w:pStyle w:val="H1G"/>
        <w:rPr>
          <w:rFonts w:eastAsia="Arial Unicode MS"/>
          <w:u w:color="000000"/>
          <w:bdr w:val="nil"/>
        </w:rPr>
      </w:pPr>
      <w:r w:rsidRPr="001B64FC">
        <w:rPr>
          <w:rFonts w:eastAsia="Arial Unicode MS"/>
          <w:u w:color="000000"/>
          <w:bdr w:val="nil"/>
        </w:rPr>
        <w:lastRenderedPageBreak/>
        <w:tab/>
        <w:t>B.</w:t>
      </w:r>
      <w:r w:rsidRPr="001B64FC">
        <w:rPr>
          <w:rFonts w:eastAsia="Arial Unicode MS"/>
          <w:u w:color="000000"/>
          <w:bdr w:val="nil"/>
        </w:rPr>
        <w:tab/>
        <w:t xml:space="preserve">Naciones Unidas </w:t>
      </w:r>
    </w:p>
    <w:p w14:paraId="063C2524" w14:textId="77777777" w:rsidR="008E59AB" w:rsidRPr="001B64FC" w:rsidRDefault="008E59AB" w:rsidP="008E59AB">
      <w:pPr>
        <w:pStyle w:val="Bullet1G"/>
        <w:rPr>
          <w:rFonts w:eastAsia="Arial Unicode MS"/>
        </w:rPr>
      </w:pPr>
      <w:r w:rsidRPr="001B64FC">
        <w:rPr>
          <w:rFonts w:eastAsia="Arial Unicode MS"/>
        </w:rPr>
        <w:t>Marta García, Jefa Unidad de Protección, Alto Comisionado de las Naciones Unidas para los Refugiados</w:t>
      </w:r>
    </w:p>
    <w:p w14:paraId="4C699431" w14:textId="77777777" w:rsidR="008E59AB" w:rsidRPr="001B64FC" w:rsidRDefault="008E59AB" w:rsidP="008E59AB">
      <w:pPr>
        <w:pStyle w:val="Bullet1G"/>
        <w:rPr>
          <w:rFonts w:eastAsia="Arial Unicode MS"/>
        </w:rPr>
      </w:pPr>
      <w:r w:rsidRPr="001B64FC">
        <w:rPr>
          <w:rFonts w:eastAsia="Arial Unicode MS"/>
        </w:rPr>
        <w:t>María Valles, Unidad de Protección, Alto Comisionado de las Naciones Unidas para los Refugiados</w:t>
      </w:r>
    </w:p>
    <w:p w14:paraId="09670BE6" w14:textId="784E0409" w:rsidR="008E59AB" w:rsidRPr="001B64FC" w:rsidRDefault="00A76DFF" w:rsidP="001B64FC">
      <w:pPr>
        <w:pStyle w:val="H1G"/>
        <w:rPr>
          <w:rFonts w:eastAsia="Arial Unicode MS"/>
          <w:u w:color="000000"/>
          <w:bdr w:val="nil"/>
        </w:rPr>
      </w:pPr>
      <w:r>
        <w:rPr>
          <w:rFonts w:eastAsia="Arial Unicode MS"/>
          <w:u w:color="000000"/>
          <w:bdr w:val="nil"/>
        </w:rPr>
        <w:tab/>
        <w:t>C.</w:t>
      </w:r>
      <w:r>
        <w:rPr>
          <w:rFonts w:eastAsia="Arial Unicode MS"/>
          <w:u w:color="000000"/>
          <w:bdr w:val="nil"/>
        </w:rPr>
        <w:tab/>
      </w:r>
      <w:r w:rsidR="008E59AB" w:rsidRPr="001B64FC">
        <w:rPr>
          <w:rFonts w:eastAsia="Arial Unicode MS"/>
          <w:u w:color="000000"/>
          <w:bdr w:val="nil"/>
        </w:rPr>
        <w:t xml:space="preserve">Organismos de la sociedad civil </w:t>
      </w:r>
    </w:p>
    <w:p w14:paraId="51401FD7" w14:textId="76F6FB90" w:rsidR="008E59AB" w:rsidRPr="001B64FC" w:rsidRDefault="00A76DFF" w:rsidP="001B64FC">
      <w:pPr>
        <w:pStyle w:val="H23G"/>
        <w:rPr>
          <w:rFonts w:eastAsia="Arial Unicode MS"/>
          <w:u w:color="000000"/>
          <w:bdr w:val="nil"/>
        </w:rPr>
      </w:pPr>
      <w:r>
        <w:rPr>
          <w:rFonts w:eastAsia="Arial Unicode MS"/>
          <w:u w:color="000000"/>
          <w:bdr w:val="nil"/>
        </w:rPr>
        <w:tab/>
      </w:r>
      <w:r>
        <w:rPr>
          <w:rFonts w:eastAsia="Arial Unicode MS"/>
          <w:u w:color="000000"/>
          <w:bdr w:val="nil"/>
        </w:rPr>
        <w:tab/>
      </w:r>
      <w:r w:rsidR="008E59AB" w:rsidRPr="001B64FC">
        <w:rPr>
          <w:rFonts w:eastAsia="Arial Unicode MS"/>
          <w:u w:color="000000"/>
          <w:bdr w:val="nil"/>
        </w:rPr>
        <w:t xml:space="preserve">Madrid </w:t>
      </w:r>
    </w:p>
    <w:p w14:paraId="2412582B" w14:textId="77777777" w:rsidR="008E59AB" w:rsidRPr="001B64FC" w:rsidRDefault="008E59AB" w:rsidP="001B64FC">
      <w:pPr>
        <w:pStyle w:val="Bullet1G"/>
        <w:rPr>
          <w:rFonts w:eastAsia="Arial Unicode MS"/>
        </w:rPr>
      </w:pPr>
      <w:r w:rsidRPr="001B64FC">
        <w:rPr>
          <w:rFonts w:eastAsia="Arial Unicode MS"/>
        </w:rPr>
        <w:t xml:space="preserve">Asociación Libre de Abogadas y Abogados </w:t>
      </w:r>
    </w:p>
    <w:p w14:paraId="6ECD3406" w14:textId="77777777" w:rsidR="008E59AB" w:rsidRPr="001B64FC" w:rsidRDefault="008E59AB" w:rsidP="001B64FC">
      <w:pPr>
        <w:pStyle w:val="Bullet1G"/>
        <w:rPr>
          <w:rFonts w:eastAsia="Arial Unicode MS"/>
        </w:rPr>
      </w:pPr>
      <w:r w:rsidRPr="001B64FC">
        <w:rPr>
          <w:rFonts w:eastAsia="Arial Unicode MS"/>
        </w:rPr>
        <w:t xml:space="preserve">Agrupación de los Cuerpos de la Administración de Instituciones Penitenciarias (ACAIP) </w:t>
      </w:r>
    </w:p>
    <w:p w14:paraId="5151B22E" w14:textId="77777777" w:rsidR="008E59AB" w:rsidRPr="001B64FC" w:rsidRDefault="008E59AB" w:rsidP="001B64FC">
      <w:pPr>
        <w:pStyle w:val="Bullet1G"/>
        <w:rPr>
          <w:rFonts w:eastAsia="Arial Unicode MS"/>
        </w:rPr>
      </w:pPr>
      <w:r w:rsidRPr="001B64FC">
        <w:rPr>
          <w:rFonts w:eastAsia="Arial Unicode MS"/>
        </w:rPr>
        <w:t xml:space="preserve">SOS Racismo </w:t>
      </w:r>
    </w:p>
    <w:p w14:paraId="462D6D0C" w14:textId="77777777" w:rsidR="008E59AB" w:rsidRPr="001B64FC" w:rsidRDefault="008E59AB" w:rsidP="001B64FC">
      <w:pPr>
        <w:pStyle w:val="Bullet1G"/>
        <w:rPr>
          <w:rFonts w:eastAsia="Arial Unicode MS"/>
        </w:rPr>
      </w:pPr>
      <w:r w:rsidRPr="001B64FC">
        <w:rPr>
          <w:rFonts w:eastAsia="Arial Unicode MS"/>
        </w:rPr>
        <w:t xml:space="preserve">Salud Mental España </w:t>
      </w:r>
    </w:p>
    <w:p w14:paraId="57BD3322" w14:textId="77777777" w:rsidR="008E59AB" w:rsidRPr="001B64FC" w:rsidRDefault="008E59AB" w:rsidP="001B64FC">
      <w:pPr>
        <w:pStyle w:val="Bullet1G"/>
        <w:rPr>
          <w:rFonts w:eastAsia="Arial Unicode MS"/>
          <w:u w:color="000000"/>
          <w:bdr w:val="nil"/>
        </w:rPr>
      </w:pPr>
      <w:r w:rsidRPr="001B64FC">
        <w:rPr>
          <w:rFonts w:eastAsia="Arial Unicode MS"/>
        </w:rPr>
        <w:t>Fundación Abogacía</w:t>
      </w:r>
      <w:r w:rsidRPr="001B64FC">
        <w:rPr>
          <w:rFonts w:eastAsia="Arial Unicode MS"/>
          <w:u w:color="000000"/>
          <w:bdr w:val="nil"/>
        </w:rPr>
        <w:t xml:space="preserve"> Española</w:t>
      </w:r>
    </w:p>
    <w:p w14:paraId="105F8E06" w14:textId="77777777" w:rsidR="008E59AB" w:rsidRPr="001B64FC" w:rsidRDefault="008E59AB" w:rsidP="001B64FC">
      <w:pPr>
        <w:pStyle w:val="Bullet1G"/>
        <w:rPr>
          <w:rFonts w:eastAsia="Arial Unicode MS"/>
        </w:rPr>
      </w:pPr>
      <w:r w:rsidRPr="001B64FC">
        <w:rPr>
          <w:rFonts w:eastAsia="Arial Unicode MS"/>
        </w:rPr>
        <w:t xml:space="preserve">Asociación Pro-Derechos Humanos España </w:t>
      </w:r>
    </w:p>
    <w:p w14:paraId="3CD83A85" w14:textId="77777777" w:rsidR="008E59AB" w:rsidRPr="001B64FC" w:rsidRDefault="008E59AB" w:rsidP="001B64FC">
      <w:pPr>
        <w:pStyle w:val="Bullet1G"/>
        <w:rPr>
          <w:rFonts w:eastAsia="Arial Unicode MS"/>
        </w:rPr>
      </w:pPr>
      <w:r w:rsidRPr="001B64FC">
        <w:rPr>
          <w:rFonts w:eastAsia="Arial Unicode MS"/>
        </w:rPr>
        <w:t>Red Acoge</w:t>
      </w:r>
    </w:p>
    <w:p w14:paraId="4E49DEF3" w14:textId="77777777" w:rsidR="008E59AB" w:rsidRPr="001B64FC" w:rsidRDefault="008E59AB" w:rsidP="001B64FC">
      <w:pPr>
        <w:pStyle w:val="Bullet1G"/>
        <w:rPr>
          <w:rFonts w:eastAsia="Arial Unicode MS"/>
        </w:rPr>
      </w:pPr>
      <w:r w:rsidRPr="001B64FC">
        <w:rPr>
          <w:rFonts w:eastAsia="Arial Unicode MS"/>
        </w:rPr>
        <w:t xml:space="preserve">Comisión Legal SOL, Coordinadora para la Prevención y Denuncia de la Tortura (CPDT) </w:t>
      </w:r>
    </w:p>
    <w:p w14:paraId="02FAF9EE" w14:textId="77777777" w:rsidR="008E59AB" w:rsidRPr="001B64FC" w:rsidRDefault="008E59AB" w:rsidP="001B64FC">
      <w:pPr>
        <w:pStyle w:val="Bullet1G"/>
        <w:rPr>
          <w:rFonts w:eastAsia="Arial Unicode MS"/>
        </w:rPr>
      </w:pPr>
      <w:r w:rsidRPr="001B64FC">
        <w:rPr>
          <w:rFonts w:eastAsia="Arial Unicode MS"/>
        </w:rPr>
        <w:t xml:space="preserve">Women’s Link Worldwide </w:t>
      </w:r>
    </w:p>
    <w:p w14:paraId="7152D748" w14:textId="2389A37C" w:rsidR="008E59AB" w:rsidRPr="001B64FC" w:rsidRDefault="008E59AB" w:rsidP="001B64FC">
      <w:pPr>
        <w:pStyle w:val="Bullet1G"/>
        <w:rPr>
          <w:rFonts w:eastAsia="Arial Unicode MS"/>
        </w:rPr>
      </w:pPr>
      <w:r w:rsidRPr="001B64FC">
        <w:rPr>
          <w:rFonts w:eastAsia="Arial Unicode MS"/>
        </w:rPr>
        <w:t>Subcomisión Derecho Penitenciario</w:t>
      </w:r>
      <w:r w:rsidR="002B1B83" w:rsidRPr="001B64FC">
        <w:rPr>
          <w:rFonts w:eastAsia="Arial Unicode MS"/>
        </w:rPr>
        <w:t>,</w:t>
      </w:r>
      <w:r w:rsidRPr="001B64FC">
        <w:rPr>
          <w:rFonts w:eastAsia="Arial Unicode MS"/>
        </w:rPr>
        <w:t xml:space="preserve"> Consejo General Abogacía Española </w:t>
      </w:r>
    </w:p>
    <w:p w14:paraId="1219CB5D" w14:textId="77777777" w:rsidR="008E59AB" w:rsidRPr="001B64FC" w:rsidRDefault="008E59AB" w:rsidP="001B64FC">
      <w:pPr>
        <w:pStyle w:val="Bullet1G"/>
        <w:rPr>
          <w:rFonts w:eastAsia="Arial Unicode MS"/>
        </w:rPr>
      </w:pPr>
      <w:r w:rsidRPr="001B64FC">
        <w:rPr>
          <w:rFonts w:eastAsia="Arial Unicode MS"/>
        </w:rPr>
        <w:t>Coordinadora Catalana para la prevención y denuncia de la Tortura (IRIDIA)</w:t>
      </w:r>
    </w:p>
    <w:p w14:paraId="029B700D" w14:textId="77777777" w:rsidR="008E59AB" w:rsidRPr="00A76DFF" w:rsidRDefault="008E59AB" w:rsidP="001B64FC">
      <w:pPr>
        <w:pStyle w:val="Bullet1G"/>
        <w:rPr>
          <w:rFonts w:eastAsia="Arial Unicode MS"/>
          <w:u w:color="000000"/>
          <w:bdr w:val="nil"/>
        </w:rPr>
      </w:pPr>
      <w:r w:rsidRPr="001B64FC">
        <w:rPr>
          <w:rFonts w:eastAsia="Arial Unicode MS"/>
        </w:rPr>
        <w:t>Instituto Internacional</w:t>
      </w:r>
      <w:r w:rsidRPr="00A76DFF">
        <w:rPr>
          <w:rFonts w:eastAsia="Arial Unicode MS"/>
          <w:u w:color="000000"/>
          <w:bdr w:val="nil"/>
        </w:rPr>
        <w:t xml:space="preserve"> para la Acción No-Violenta (NOVACT)</w:t>
      </w:r>
    </w:p>
    <w:p w14:paraId="20265E38" w14:textId="77777777" w:rsidR="008E59AB" w:rsidRPr="00A76DFF" w:rsidRDefault="008E59AB" w:rsidP="001B64FC">
      <w:pPr>
        <w:pStyle w:val="Bullet1G"/>
        <w:rPr>
          <w:rFonts w:eastAsia="Arial Unicode MS"/>
          <w:u w:color="000000"/>
          <w:bdr w:val="nil"/>
        </w:rPr>
      </w:pPr>
      <w:r w:rsidRPr="001B64FC">
        <w:rPr>
          <w:rFonts w:eastAsia="Arial Unicode MS"/>
        </w:rPr>
        <w:t>Comisión</w:t>
      </w:r>
      <w:r w:rsidRPr="00A76DFF">
        <w:rPr>
          <w:rFonts w:eastAsia="Arial Unicode MS"/>
          <w:u w:color="000000"/>
          <w:bdr w:val="nil"/>
        </w:rPr>
        <w:t xml:space="preserve"> Española de Ayuda al Refugiado (CEAR) </w:t>
      </w:r>
    </w:p>
    <w:p w14:paraId="7AF9465C" w14:textId="0D570A95" w:rsidR="008E59AB" w:rsidRPr="00A76DFF" w:rsidRDefault="008E59AB" w:rsidP="001B64FC">
      <w:pPr>
        <w:pStyle w:val="Bullet1G"/>
        <w:rPr>
          <w:rFonts w:eastAsia="Arial Unicode MS"/>
          <w:u w:color="000000"/>
          <w:bdr w:val="nil"/>
        </w:rPr>
      </w:pPr>
      <w:r w:rsidRPr="001B64FC">
        <w:rPr>
          <w:rFonts w:eastAsia="Arial Unicode MS"/>
        </w:rPr>
        <w:t>Amnistía</w:t>
      </w:r>
      <w:r w:rsidRPr="00A76DFF">
        <w:rPr>
          <w:rFonts w:eastAsia="Arial Unicode MS"/>
          <w:u w:color="000000"/>
          <w:bdr w:val="nil"/>
        </w:rPr>
        <w:t xml:space="preserve"> Interna</w:t>
      </w:r>
      <w:r w:rsidR="00305BC3" w:rsidRPr="00A76DFF">
        <w:rPr>
          <w:rFonts w:eastAsia="Arial Unicode MS"/>
          <w:u w:color="000000"/>
          <w:bdr w:val="nil"/>
        </w:rPr>
        <w:t>c</w:t>
      </w:r>
      <w:r w:rsidRPr="00A76DFF">
        <w:rPr>
          <w:rFonts w:eastAsia="Arial Unicode MS"/>
          <w:u w:color="000000"/>
          <w:bdr w:val="nil"/>
        </w:rPr>
        <w:t xml:space="preserve">ional </w:t>
      </w:r>
    </w:p>
    <w:p w14:paraId="3EA5C0AA" w14:textId="2CE57B6A" w:rsidR="008E59AB" w:rsidRPr="001B64FC" w:rsidRDefault="00A76DFF" w:rsidP="001B64FC">
      <w:pPr>
        <w:pStyle w:val="H23G"/>
        <w:rPr>
          <w:rFonts w:eastAsia="Arial Unicode MS"/>
          <w:u w:color="000000"/>
          <w:bdr w:val="nil"/>
        </w:rPr>
      </w:pPr>
      <w:r>
        <w:rPr>
          <w:rFonts w:eastAsia="Arial Unicode MS"/>
          <w:u w:color="000000"/>
          <w:bdr w:val="nil"/>
        </w:rPr>
        <w:tab/>
      </w:r>
      <w:r w:rsidR="008E59AB" w:rsidRPr="001B64FC">
        <w:rPr>
          <w:rFonts w:eastAsia="Arial Unicode MS"/>
          <w:u w:color="000000"/>
          <w:bdr w:val="nil"/>
        </w:rPr>
        <w:tab/>
        <w:t xml:space="preserve">Melilla </w:t>
      </w:r>
    </w:p>
    <w:p w14:paraId="77DD141E" w14:textId="77777777" w:rsidR="008E59AB" w:rsidRPr="00A76DFF" w:rsidRDefault="008E59AB" w:rsidP="001B64FC">
      <w:pPr>
        <w:pStyle w:val="Bullet1G"/>
        <w:rPr>
          <w:rFonts w:eastAsia="Arial Unicode MS"/>
        </w:rPr>
      </w:pPr>
      <w:r w:rsidRPr="00A76DFF">
        <w:rPr>
          <w:rFonts w:eastAsia="Arial Unicode MS"/>
        </w:rPr>
        <w:t xml:space="preserve">Cruz Roja Española </w:t>
      </w:r>
    </w:p>
    <w:p w14:paraId="7759C558" w14:textId="77777777" w:rsidR="008E59AB" w:rsidRPr="00A76DFF" w:rsidRDefault="008E59AB" w:rsidP="001B64FC">
      <w:pPr>
        <w:pStyle w:val="Bullet1G"/>
        <w:rPr>
          <w:rFonts w:eastAsia="Arial Unicode MS"/>
        </w:rPr>
      </w:pPr>
      <w:r w:rsidRPr="00A76DFF">
        <w:rPr>
          <w:rFonts w:eastAsia="Arial Unicode MS"/>
        </w:rPr>
        <w:t xml:space="preserve">Movimiento por la Paz </w:t>
      </w:r>
    </w:p>
    <w:p w14:paraId="49F4CA50" w14:textId="77777777" w:rsidR="008E59AB" w:rsidRPr="00A76DFF" w:rsidRDefault="008E59AB" w:rsidP="001B64FC">
      <w:pPr>
        <w:pStyle w:val="Bullet1G"/>
        <w:rPr>
          <w:rFonts w:eastAsia="Arial Unicode MS"/>
        </w:rPr>
      </w:pPr>
      <w:r w:rsidRPr="00A76DFF">
        <w:rPr>
          <w:rFonts w:eastAsia="Arial Unicode MS"/>
        </w:rPr>
        <w:t>Melilla Acoge</w:t>
      </w:r>
    </w:p>
    <w:p w14:paraId="4F0236F4" w14:textId="77777777" w:rsidR="008E59AB" w:rsidRPr="00A76DFF" w:rsidRDefault="008E59AB" w:rsidP="001B64FC">
      <w:pPr>
        <w:pStyle w:val="Bullet1G"/>
        <w:rPr>
          <w:rFonts w:eastAsia="Arial Unicode MS"/>
        </w:rPr>
      </w:pPr>
      <w:r w:rsidRPr="00A76DFF">
        <w:rPr>
          <w:rFonts w:eastAsia="Arial Unicode MS"/>
        </w:rPr>
        <w:t>Asociación Pro Derechos de la Infancia (PRODEIN), Melilla</w:t>
      </w:r>
    </w:p>
    <w:p w14:paraId="46C80416" w14:textId="281661FF" w:rsidR="008E59AB" w:rsidRPr="001B64FC" w:rsidRDefault="00A76DFF" w:rsidP="001B64FC">
      <w:pPr>
        <w:pStyle w:val="H23G"/>
        <w:rPr>
          <w:rFonts w:eastAsia="Arial Unicode MS"/>
          <w:b w:val="0"/>
        </w:rPr>
      </w:pPr>
      <w:r>
        <w:rPr>
          <w:rFonts w:eastAsia="Arial Unicode MS"/>
          <w:b w:val="0"/>
        </w:rPr>
        <w:tab/>
      </w:r>
      <w:r w:rsidR="008E59AB" w:rsidRPr="001B64FC">
        <w:rPr>
          <w:rFonts w:eastAsia="Arial Unicode MS"/>
          <w:b w:val="0"/>
        </w:rPr>
        <w:tab/>
      </w:r>
      <w:r w:rsidR="008E59AB" w:rsidRPr="001B64FC">
        <w:rPr>
          <w:rFonts w:eastAsia="Arial Unicode MS"/>
        </w:rPr>
        <w:t>Bilbao</w:t>
      </w:r>
    </w:p>
    <w:p w14:paraId="0251AAD8" w14:textId="77777777" w:rsidR="008E59AB" w:rsidRPr="00A76DFF" w:rsidRDefault="008E59AB" w:rsidP="001B64FC">
      <w:pPr>
        <w:pStyle w:val="Bullet1G"/>
        <w:rPr>
          <w:rFonts w:eastAsia="Arial Unicode MS"/>
        </w:rPr>
      </w:pPr>
      <w:r w:rsidRPr="00A76DFF">
        <w:rPr>
          <w:rFonts w:eastAsia="Arial Unicode MS"/>
        </w:rPr>
        <w:t>Etxerat</w:t>
      </w:r>
    </w:p>
    <w:p w14:paraId="1213D4B2" w14:textId="77777777" w:rsidR="008E59AB" w:rsidRPr="00A76DFF" w:rsidRDefault="008E59AB" w:rsidP="001B64FC">
      <w:pPr>
        <w:pStyle w:val="Bullet1G"/>
        <w:rPr>
          <w:rFonts w:eastAsia="Arial Unicode MS"/>
        </w:rPr>
      </w:pPr>
      <w:r w:rsidRPr="00A76DFF">
        <w:rPr>
          <w:rFonts w:eastAsia="Arial Unicode MS"/>
        </w:rPr>
        <w:t>SOS Racismo Bizkaia</w:t>
      </w:r>
    </w:p>
    <w:p w14:paraId="1DD37B4C" w14:textId="77777777" w:rsidR="008E59AB" w:rsidRPr="00A76DFF" w:rsidRDefault="008E59AB" w:rsidP="001B64FC">
      <w:pPr>
        <w:pStyle w:val="Bullet1G"/>
        <w:rPr>
          <w:rFonts w:eastAsia="Arial Unicode MS"/>
        </w:rPr>
      </w:pPr>
      <w:r w:rsidRPr="00A76DFF">
        <w:rPr>
          <w:rFonts w:eastAsia="Arial Unicode MS"/>
        </w:rPr>
        <w:t>CPDT</w:t>
      </w:r>
    </w:p>
    <w:p w14:paraId="552DD9CA" w14:textId="77777777" w:rsidR="008E59AB" w:rsidRPr="00A76DFF" w:rsidRDefault="008E59AB" w:rsidP="001B64FC">
      <w:pPr>
        <w:pStyle w:val="Bullet1G"/>
        <w:rPr>
          <w:rFonts w:eastAsia="Arial Unicode MS"/>
        </w:rPr>
      </w:pPr>
      <w:r w:rsidRPr="00A76DFF">
        <w:rPr>
          <w:rFonts w:eastAsia="Arial Unicode MS"/>
        </w:rPr>
        <w:t>Sare</w:t>
      </w:r>
    </w:p>
    <w:p w14:paraId="5B0909A6" w14:textId="77777777" w:rsidR="008E59AB" w:rsidRPr="00A76DFF" w:rsidRDefault="008E59AB" w:rsidP="001B64FC">
      <w:pPr>
        <w:pStyle w:val="Bullet1G"/>
        <w:rPr>
          <w:rFonts w:eastAsia="Arial Unicode MS"/>
        </w:rPr>
      </w:pPr>
      <w:r w:rsidRPr="00A76DFF">
        <w:rPr>
          <w:rFonts w:eastAsia="Arial Unicode MS"/>
        </w:rPr>
        <w:t>Jaiki Hadi</w:t>
      </w:r>
    </w:p>
    <w:p w14:paraId="04C41B65" w14:textId="77777777" w:rsidR="008E59AB" w:rsidRPr="00A76DFF" w:rsidRDefault="008E59AB" w:rsidP="001B64FC">
      <w:pPr>
        <w:pStyle w:val="Bullet1G"/>
        <w:rPr>
          <w:rFonts w:eastAsia="Arial Unicode MS"/>
        </w:rPr>
      </w:pPr>
      <w:r w:rsidRPr="00A76DFF">
        <w:rPr>
          <w:rFonts w:eastAsia="Arial Unicode MS"/>
        </w:rPr>
        <w:t>Salhaketa Araba</w:t>
      </w:r>
    </w:p>
    <w:p w14:paraId="725BAF5B" w14:textId="77777777" w:rsidR="008E59AB" w:rsidRPr="00A76DFF" w:rsidRDefault="008E59AB" w:rsidP="001B64FC">
      <w:pPr>
        <w:pStyle w:val="Bullet1G"/>
        <w:rPr>
          <w:rFonts w:eastAsia="Arial Unicode MS"/>
        </w:rPr>
      </w:pPr>
      <w:r w:rsidRPr="00A76DFF">
        <w:rPr>
          <w:rFonts w:eastAsia="Arial Unicode MS"/>
        </w:rPr>
        <w:t>Salhaketa Bizkaia</w:t>
      </w:r>
    </w:p>
    <w:p w14:paraId="70373BEA" w14:textId="269D4793" w:rsidR="008E59AB" w:rsidRPr="001B64FC" w:rsidRDefault="008E59AB" w:rsidP="008E59AB">
      <w:pPr>
        <w:pStyle w:val="HChG"/>
        <w:rPr>
          <w:rFonts w:eastAsia="Arial Unicode MS"/>
        </w:rPr>
      </w:pPr>
      <w:r w:rsidRPr="001B64FC">
        <w:lastRenderedPageBreak/>
        <w:tab/>
      </w:r>
      <w:r w:rsidRPr="001B64FC">
        <w:rPr>
          <w:rFonts w:eastAsia="Arial Unicode MS"/>
          <w:u w:color="000000"/>
          <w:bdr w:val="nil"/>
        </w:rPr>
        <w:t>Anexo</w:t>
      </w:r>
      <w:r w:rsidRPr="001B64FC">
        <w:rPr>
          <w:rFonts w:eastAsia="Arial Unicode MS"/>
        </w:rPr>
        <w:t xml:space="preserve"> II</w:t>
      </w:r>
    </w:p>
    <w:p w14:paraId="0179B1EC" w14:textId="77777777" w:rsidR="008E59AB" w:rsidRPr="001B64FC" w:rsidRDefault="008E59AB" w:rsidP="008E59AB">
      <w:pPr>
        <w:pStyle w:val="HChG"/>
      </w:pPr>
      <w:r w:rsidRPr="001B64FC">
        <w:rPr>
          <w:rFonts w:eastAsia="Arial Unicode MS"/>
        </w:rPr>
        <w:tab/>
      </w:r>
      <w:r w:rsidRPr="001B64FC">
        <w:rPr>
          <w:rFonts w:eastAsia="Arial Unicode MS"/>
        </w:rPr>
        <w:tab/>
        <w:t>Lugares de privación de libertad visitados</w:t>
      </w:r>
    </w:p>
    <w:p w14:paraId="34AB5D3D" w14:textId="77777777" w:rsidR="008E59AB" w:rsidRPr="001B64FC" w:rsidRDefault="008E59AB" w:rsidP="008E59AB">
      <w:pPr>
        <w:pStyle w:val="H1G"/>
        <w:rPr>
          <w:u w:color="000000"/>
          <w:bdr w:val="nil"/>
        </w:rPr>
      </w:pPr>
      <w:r w:rsidRPr="001B64FC">
        <w:rPr>
          <w:rFonts w:eastAsia="Arial Unicode MS"/>
          <w:u w:color="000000"/>
          <w:bdr w:val="nil"/>
        </w:rPr>
        <w:tab/>
        <w:t>A.</w:t>
      </w:r>
      <w:r w:rsidRPr="001B64FC">
        <w:rPr>
          <w:rFonts w:eastAsia="Arial Unicode MS"/>
          <w:u w:color="000000"/>
          <w:bdr w:val="nil"/>
        </w:rPr>
        <w:tab/>
        <w:t xml:space="preserve">Establecimientos penitenciarios </w:t>
      </w:r>
    </w:p>
    <w:p w14:paraId="2D24B0F9" w14:textId="77777777" w:rsidR="008E59AB" w:rsidRPr="00A76DFF" w:rsidRDefault="008E59AB" w:rsidP="001B64FC">
      <w:pPr>
        <w:pStyle w:val="Bullet1G"/>
        <w:rPr>
          <w:rFonts w:eastAsia="Arial Unicode MS"/>
        </w:rPr>
      </w:pPr>
      <w:r w:rsidRPr="00A76DFF">
        <w:rPr>
          <w:rFonts w:eastAsia="Arial Unicode MS"/>
        </w:rPr>
        <w:t>Centro Penitenciario Soto del Real (Madrid) (conjunta con el mecanismo nacional de prevención)</w:t>
      </w:r>
    </w:p>
    <w:p w14:paraId="73A60E31" w14:textId="77777777" w:rsidR="008E59AB" w:rsidRPr="00A76DFF" w:rsidRDefault="008E59AB" w:rsidP="001B64FC">
      <w:pPr>
        <w:pStyle w:val="Bullet1G"/>
        <w:rPr>
          <w:rFonts w:eastAsia="Arial Unicode MS"/>
        </w:rPr>
      </w:pPr>
      <w:r w:rsidRPr="00A76DFF">
        <w:rPr>
          <w:rFonts w:eastAsia="Arial Unicode MS"/>
        </w:rPr>
        <w:t>Centro Penitenciario de Picassent (Valencia)</w:t>
      </w:r>
    </w:p>
    <w:p w14:paraId="447B6C2B" w14:textId="77777777" w:rsidR="008E59AB" w:rsidRPr="00A76DFF" w:rsidRDefault="008E59AB" w:rsidP="001B64FC">
      <w:pPr>
        <w:pStyle w:val="Bullet1G"/>
        <w:rPr>
          <w:rFonts w:eastAsia="Arial Unicode MS"/>
        </w:rPr>
      </w:pPr>
      <w:r w:rsidRPr="00A76DFF">
        <w:rPr>
          <w:rFonts w:eastAsia="Arial Unicode MS"/>
        </w:rPr>
        <w:t>Centro Penitenciario de Melilla (Melilla)</w:t>
      </w:r>
    </w:p>
    <w:p w14:paraId="4DF18151" w14:textId="642F5AC8" w:rsidR="008E59AB" w:rsidRPr="00A76DFF" w:rsidRDefault="008E59AB" w:rsidP="001B64FC">
      <w:pPr>
        <w:pStyle w:val="Bullet1G"/>
        <w:rPr>
          <w:rFonts w:eastAsia="Arial Unicode MS"/>
        </w:rPr>
      </w:pPr>
      <w:r w:rsidRPr="00A76DFF">
        <w:rPr>
          <w:rFonts w:eastAsia="Arial Unicode MS"/>
        </w:rPr>
        <w:t xml:space="preserve">Centro Penitenciario Basauri (Bilbao) </w:t>
      </w:r>
    </w:p>
    <w:p w14:paraId="44FAD625" w14:textId="77777777" w:rsidR="008E59AB" w:rsidRPr="00A76DFF" w:rsidRDefault="008E59AB" w:rsidP="001B64FC">
      <w:pPr>
        <w:pStyle w:val="Bullet1G"/>
        <w:rPr>
          <w:rFonts w:eastAsia="Arial Unicode MS"/>
        </w:rPr>
      </w:pPr>
      <w:r w:rsidRPr="00A76DFF">
        <w:rPr>
          <w:rFonts w:eastAsia="Arial Unicode MS"/>
        </w:rPr>
        <w:t xml:space="preserve">Centro Penitenciario de Alhaurín de la Torre (Málaga) </w:t>
      </w:r>
    </w:p>
    <w:p w14:paraId="65F61B7C" w14:textId="77777777" w:rsidR="008E59AB" w:rsidRPr="00A76DFF" w:rsidRDefault="008E59AB" w:rsidP="001B64FC">
      <w:pPr>
        <w:pStyle w:val="Bullet1G"/>
        <w:rPr>
          <w:rFonts w:eastAsia="Arial Unicode MS"/>
        </w:rPr>
      </w:pPr>
      <w:r w:rsidRPr="00A76DFF">
        <w:rPr>
          <w:rFonts w:eastAsia="Arial Unicode MS"/>
        </w:rPr>
        <w:t xml:space="preserve">Centro Penitenciario de San Sebastián </w:t>
      </w:r>
    </w:p>
    <w:p w14:paraId="2D896048" w14:textId="77777777" w:rsidR="008E59AB" w:rsidRPr="00A76DFF" w:rsidRDefault="008E59AB" w:rsidP="001B64FC">
      <w:pPr>
        <w:pStyle w:val="Bullet1G"/>
        <w:rPr>
          <w:rFonts w:eastAsia="Arial Unicode MS"/>
        </w:rPr>
      </w:pPr>
      <w:r w:rsidRPr="00A76DFF">
        <w:rPr>
          <w:rFonts w:eastAsia="Arial Unicode MS"/>
        </w:rPr>
        <w:t>Centro Penitenciario de Puerto I (Cádiz)</w:t>
      </w:r>
    </w:p>
    <w:p w14:paraId="0A3F63C8" w14:textId="77777777" w:rsidR="008E59AB" w:rsidRPr="00A76DFF" w:rsidRDefault="008E59AB" w:rsidP="001B64FC">
      <w:pPr>
        <w:pStyle w:val="Bullet1G"/>
        <w:rPr>
          <w:rFonts w:eastAsia="Arial Unicode MS"/>
        </w:rPr>
      </w:pPr>
      <w:r w:rsidRPr="00A76DFF">
        <w:rPr>
          <w:rFonts w:eastAsia="Arial Unicode MS"/>
        </w:rPr>
        <w:t>Centro Penitenciario de Puerto II (Cádiz)</w:t>
      </w:r>
    </w:p>
    <w:p w14:paraId="3CE396EB" w14:textId="77777777" w:rsidR="008E59AB" w:rsidRPr="001B64FC" w:rsidRDefault="008E59AB" w:rsidP="008E59AB">
      <w:pPr>
        <w:pStyle w:val="H1G"/>
        <w:rPr>
          <w:rFonts w:eastAsia="Arial Unicode MS"/>
          <w:u w:color="000000"/>
          <w:bdr w:val="nil"/>
        </w:rPr>
      </w:pPr>
      <w:r w:rsidRPr="001B64FC">
        <w:rPr>
          <w:rFonts w:eastAsia="Arial Unicode MS"/>
          <w:u w:color="000000"/>
          <w:bdr w:val="nil"/>
        </w:rPr>
        <w:tab/>
        <w:t>B.</w:t>
      </w:r>
      <w:r w:rsidRPr="001B64FC">
        <w:rPr>
          <w:rFonts w:eastAsia="Arial Unicode MS"/>
          <w:u w:color="000000"/>
          <w:bdr w:val="nil"/>
        </w:rPr>
        <w:tab/>
        <w:t>Establecimientos policiales</w:t>
      </w:r>
    </w:p>
    <w:p w14:paraId="0221961C" w14:textId="77777777" w:rsidR="008E59AB" w:rsidRPr="000779D2" w:rsidRDefault="008E59AB" w:rsidP="001B64FC">
      <w:pPr>
        <w:pStyle w:val="Bullet1G"/>
        <w:rPr>
          <w:rFonts w:eastAsia="Arial Unicode MS"/>
        </w:rPr>
      </w:pPr>
      <w:r w:rsidRPr="000779D2">
        <w:rPr>
          <w:rFonts w:eastAsia="Arial Unicode MS"/>
        </w:rPr>
        <w:t>Comisaría del Cuerpo Nacional de Policía Puente Vallecas (Madrid)</w:t>
      </w:r>
    </w:p>
    <w:p w14:paraId="5D885064" w14:textId="77777777" w:rsidR="008E59AB" w:rsidRPr="000779D2" w:rsidRDefault="008E59AB" w:rsidP="001B64FC">
      <w:pPr>
        <w:pStyle w:val="Bullet1G"/>
        <w:rPr>
          <w:rFonts w:eastAsia="Arial Unicode MS"/>
        </w:rPr>
      </w:pPr>
      <w:r w:rsidRPr="000779D2">
        <w:rPr>
          <w:rFonts w:eastAsia="Arial Unicode MS"/>
        </w:rPr>
        <w:t>Comisaría del Cuerpo Nacional de Policía Leganitos (Madrid)</w:t>
      </w:r>
    </w:p>
    <w:p w14:paraId="5180EA37" w14:textId="77777777" w:rsidR="008E59AB" w:rsidRPr="000779D2" w:rsidRDefault="008E59AB" w:rsidP="001B64FC">
      <w:pPr>
        <w:pStyle w:val="Bullet1G"/>
        <w:rPr>
          <w:rFonts w:eastAsia="Arial Unicode MS"/>
        </w:rPr>
      </w:pPr>
      <w:r w:rsidRPr="000779D2">
        <w:rPr>
          <w:rFonts w:eastAsia="Arial Unicode MS"/>
        </w:rPr>
        <w:t>Comisaría del Cuerpo Nacional de Policía El Retiro (Madrid)</w:t>
      </w:r>
    </w:p>
    <w:p w14:paraId="59A62150" w14:textId="77777777" w:rsidR="008E59AB" w:rsidRPr="000779D2" w:rsidRDefault="008E59AB" w:rsidP="001B64FC">
      <w:pPr>
        <w:pStyle w:val="Bullet1G"/>
        <w:rPr>
          <w:rFonts w:eastAsia="Arial Unicode MS"/>
        </w:rPr>
      </w:pPr>
      <w:r w:rsidRPr="000779D2">
        <w:rPr>
          <w:rFonts w:eastAsia="Arial Unicode MS"/>
        </w:rPr>
        <w:t xml:space="preserve">Comisaría del Cuerpo Nacional de Policía (Melilla) </w:t>
      </w:r>
    </w:p>
    <w:p w14:paraId="5558D207" w14:textId="77777777" w:rsidR="008E59AB" w:rsidRPr="000779D2" w:rsidRDefault="008E59AB" w:rsidP="001B64FC">
      <w:pPr>
        <w:pStyle w:val="Bullet1G"/>
        <w:rPr>
          <w:rFonts w:eastAsia="Arial Unicode MS"/>
        </w:rPr>
      </w:pPr>
      <w:r w:rsidRPr="000779D2">
        <w:rPr>
          <w:rFonts w:eastAsia="Arial Unicode MS"/>
        </w:rPr>
        <w:t>Comisaría de la Guardia Civil (Melilla)</w:t>
      </w:r>
    </w:p>
    <w:p w14:paraId="4B7E39D3" w14:textId="77777777" w:rsidR="008E59AB" w:rsidRPr="000779D2" w:rsidRDefault="008E59AB" w:rsidP="001B64FC">
      <w:pPr>
        <w:pStyle w:val="Bullet1G"/>
        <w:rPr>
          <w:rFonts w:eastAsia="Arial Unicode MS"/>
        </w:rPr>
      </w:pPr>
      <w:r w:rsidRPr="000779D2">
        <w:rPr>
          <w:rFonts w:eastAsia="Arial Unicode MS"/>
        </w:rPr>
        <w:t>Comisaría de la Guardia Civil de Almusafes (Valencia)</w:t>
      </w:r>
    </w:p>
    <w:p w14:paraId="447D20FA" w14:textId="77777777" w:rsidR="008E59AB" w:rsidRPr="000779D2" w:rsidRDefault="008E59AB" w:rsidP="001B64FC">
      <w:pPr>
        <w:pStyle w:val="Bullet1G"/>
        <w:rPr>
          <w:rFonts w:eastAsia="Arial Unicode MS"/>
        </w:rPr>
      </w:pPr>
      <w:r w:rsidRPr="000779D2">
        <w:rPr>
          <w:rFonts w:eastAsia="Arial Unicode MS"/>
        </w:rPr>
        <w:t>Comisaría de la Policía Local de Torrent (Valencia)</w:t>
      </w:r>
    </w:p>
    <w:p w14:paraId="0F67020C" w14:textId="77777777" w:rsidR="008E59AB" w:rsidRPr="000779D2" w:rsidRDefault="008E59AB" w:rsidP="001B64FC">
      <w:pPr>
        <w:pStyle w:val="Bullet1G"/>
        <w:rPr>
          <w:rFonts w:eastAsia="Arial Unicode MS"/>
        </w:rPr>
      </w:pPr>
      <w:r w:rsidRPr="000779D2">
        <w:rPr>
          <w:rFonts w:eastAsia="Arial Unicode MS"/>
        </w:rPr>
        <w:t xml:space="preserve">Comisaría de la Ertzaintza de Sestao (Vizcaya) </w:t>
      </w:r>
    </w:p>
    <w:p w14:paraId="7DC6370F" w14:textId="77777777" w:rsidR="008E59AB" w:rsidRPr="000779D2" w:rsidRDefault="008E59AB" w:rsidP="001B64FC">
      <w:pPr>
        <w:pStyle w:val="Bullet1G"/>
        <w:rPr>
          <w:rFonts w:eastAsia="Arial Unicode MS"/>
        </w:rPr>
      </w:pPr>
      <w:r w:rsidRPr="000779D2">
        <w:rPr>
          <w:rFonts w:eastAsia="Arial Unicode MS"/>
        </w:rPr>
        <w:t>Comisaría de la Ertzaintza de San Sebastián (Vizcaya)</w:t>
      </w:r>
    </w:p>
    <w:p w14:paraId="383B3D33" w14:textId="77777777" w:rsidR="008E59AB" w:rsidRPr="000779D2" w:rsidRDefault="008E59AB" w:rsidP="001B64FC">
      <w:pPr>
        <w:pStyle w:val="Bullet1G"/>
        <w:rPr>
          <w:rFonts w:eastAsia="Arial Unicode MS"/>
        </w:rPr>
      </w:pPr>
      <w:r w:rsidRPr="000779D2">
        <w:rPr>
          <w:rFonts w:eastAsia="Arial Unicode MS"/>
        </w:rPr>
        <w:t>Puesto Fronterizo de Beni Enzar (Melilla)</w:t>
      </w:r>
    </w:p>
    <w:p w14:paraId="53A7A604" w14:textId="77777777" w:rsidR="008E59AB" w:rsidRPr="000779D2" w:rsidRDefault="008E59AB" w:rsidP="001B64FC">
      <w:pPr>
        <w:pStyle w:val="Bullet1G"/>
        <w:rPr>
          <w:rFonts w:eastAsia="Arial Unicode MS"/>
        </w:rPr>
      </w:pPr>
      <w:r w:rsidRPr="000779D2">
        <w:rPr>
          <w:rFonts w:eastAsia="Arial Unicode MS"/>
        </w:rPr>
        <w:t xml:space="preserve">Comisaría de la Policía Local (Melilla) </w:t>
      </w:r>
    </w:p>
    <w:p w14:paraId="6198D525" w14:textId="77777777" w:rsidR="008E59AB" w:rsidRPr="000779D2" w:rsidRDefault="008E59AB" w:rsidP="001B64FC">
      <w:pPr>
        <w:pStyle w:val="Bullet1G"/>
        <w:rPr>
          <w:rFonts w:eastAsia="Arial Unicode MS"/>
        </w:rPr>
      </w:pPr>
      <w:r w:rsidRPr="000779D2">
        <w:rPr>
          <w:rFonts w:eastAsia="Arial Unicode MS"/>
        </w:rPr>
        <w:t xml:space="preserve">Comisaría de la Policía Local (Málaga) </w:t>
      </w:r>
    </w:p>
    <w:p w14:paraId="3F35E9A6" w14:textId="77777777" w:rsidR="008E59AB" w:rsidRPr="000779D2" w:rsidRDefault="008E59AB" w:rsidP="001B64FC">
      <w:pPr>
        <w:pStyle w:val="Bullet1G"/>
        <w:rPr>
          <w:rFonts w:eastAsia="Arial Unicode MS"/>
        </w:rPr>
      </w:pPr>
      <w:r w:rsidRPr="000779D2">
        <w:rPr>
          <w:rFonts w:eastAsia="Arial Unicode MS"/>
        </w:rPr>
        <w:t>Comisaría del Cuerpo Nacional de Policía Plaza Manuel Azaña (Málaga)</w:t>
      </w:r>
    </w:p>
    <w:p w14:paraId="12514CCA" w14:textId="304EE634" w:rsidR="008E59AB" w:rsidRPr="001B64FC" w:rsidRDefault="001B64FC" w:rsidP="008E59AB">
      <w:pPr>
        <w:pStyle w:val="H1G"/>
        <w:rPr>
          <w:rFonts w:eastAsia="Arial Unicode MS"/>
          <w:u w:color="000000"/>
          <w:bdr w:val="nil"/>
        </w:rPr>
      </w:pPr>
      <w:r>
        <w:rPr>
          <w:rFonts w:eastAsia="Arial Unicode MS"/>
          <w:u w:color="000000"/>
          <w:bdr w:val="nil"/>
        </w:rPr>
        <w:tab/>
        <w:t>C.</w:t>
      </w:r>
      <w:r w:rsidR="008E59AB" w:rsidRPr="001B64FC">
        <w:rPr>
          <w:rFonts w:eastAsia="Arial Unicode MS"/>
          <w:u w:color="000000"/>
          <w:bdr w:val="nil"/>
        </w:rPr>
        <w:tab/>
        <w:t>Establecimientos del Poder Judicial</w:t>
      </w:r>
    </w:p>
    <w:p w14:paraId="53FB9FCC" w14:textId="77777777" w:rsidR="008E59AB" w:rsidRPr="00A76DFF" w:rsidRDefault="008E59AB" w:rsidP="001B64FC">
      <w:pPr>
        <w:pStyle w:val="Bullet1G"/>
        <w:rPr>
          <w:rFonts w:eastAsia="Arial Unicode MS"/>
        </w:rPr>
      </w:pPr>
      <w:r w:rsidRPr="000779D2">
        <w:rPr>
          <w:rFonts w:eastAsia="Arial Unicode MS"/>
        </w:rPr>
        <w:t>Calabozos</w:t>
      </w:r>
      <w:r w:rsidRPr="00A76DFF">
        <w:rPr>
          <w:rFonts w:eastAsia="Arial Unicode MS"/>
        </w:rPr>
        <w:t xml:space="preserve"> juzgados (Madrid)</w:t>
      </w:r>
    </w:p>
    <w:p w14:paraId="772E3AB6" w14:textId="77777777" w:rsidR="008E59AB" w:rsidRPr="00A76DFF" w:rsidRDefault="008E59AB" w:rsidP="001B64FC">
      <w:pPr>
        <w:pStyle w:val="Bullet1G"/>
        <w:rPr>
          <w:rFonts w:eastAsia="Arial Unicode MS"/>
        </w:rPr>
      </w:pPr>
      <w:r w:rsidRPr="000779D2">
        <w:rPr>
          <w:rFonts w:eastAsia="Arial Unicode MS"/>
        </w:rPr>
        <w:t>Calabozos</w:t>
      </w:r>
      <w:r w:rsidRPr="00A76DFF">
        <w:rPr>
          <w:rFonts w:eastAsia="Arial Unicode MS"/>
        </w:rPr>
        <w:t xml:space="preserve"> Audiencia Nacional (Madrid) </w:t>
      </w:r>
    </w:p>
    <w:p w14:paraId="438F3DA5" w14:textId="77777777" w:rsidR="008E59AB" w:rsidRPr="001B64FC" w:rsidRDefault="008E59AB" w:rsidP="008E59AB">
      <w:pPr>
        <w:pStyle w:val="H1G"/>
        <w:rPr>
          <w:rFonts w:eastAsia="Arial Unicode MS"/>
          <w:u w:color="000000"/>
          <w:bdr w:val="nil"/>
        </w:rPr>
      </w:pPr>
      <w:r w:rsidRPr="001B64FC">
        <w:rPr>
          <w:rFonts w:eastAsia="Arial Unicode MS"/>
          <w:u w:color="000000"/>
          <w:bdr w:val="nil"/>
        </w:rPr>
        <w:tab/>
        <w:t>D.</w:t>
      </w:r>
      <w:r w:rsidRPr="001B64FC">
        <w:rPr>
          <w:rFonts w:eastAsia="Arial Unicode MS"/>
          <w:u w:color="000000"/>
          <w:bdr w:val="nil"/>
        </w:rPr>
        <w:tab/>
        <w:t xml:space="preserve">Establecimientos de migrantes </w:t>
      </w:r>
    </w:p>
    <w:p w14:paraId="693CC193" w14:textId="77777777" w:rsidR="008E59AB" w:rsidRPr="000779D2" w:rsidRDefault="008E59AB" w:rsidP="001B64FC">
      <w:pPr>
        <w:pStyle w:val="Bullet1G"/>
        <w:rPr>
          <w:rFonts w:eastAsia="Arial Unicode MS"/>
        </w:rPr>
      </w:pPr>
      <w:r w:rsidRPr="000779D2">
        <w:rPr>
          <w:rFonts w:eastAsia="Arial Unicode MS"/>
        </w:rPr>
        <w:t xml:space="preserve">Centro de Internamiento de Extranjeros (Madrid) </w:t>
      </w:r>
    </w:p>
    <w:p w14:paraId="5ADB0E0D" w14:textId="77777777" w:rsidR="008E59AB" w:rsidRPr="000779D2" w:rsidRDefault="008E59AB" w:rsidP="001B64FC">
      <w:pPr>
        <w:pStyle w:val="Bullet1G"/>
        <w:rPr>
          <w:rFonts w:eastAsia="Arial Unicode MS"/>
        </w:rPr>
      </w:pPr>
      <w:r w:rsidRPr="000779D2">
        <w:rPr>
          <w:rFonts w:eastAsia="Arial Unicode MS"/>
        </w:rPr>
        <w:t xml:space="preserve">Centro de Internamiento de Extranjeros (Valencia) </w:t>
      </w:r>
    </w:p>
    <w:p w14:paraId="20B6E6E9" w14:textId="77777777" w:rsidR="008E59AB" w:rsidRPr="000779D2" w:rsidRDefault="008E59AB" w:rsidP="001B64FC">
      <w:pPr>
        <w:pStyle w:val="Bullet1G"/>
        <w:rPr>
          <w:rFonts w:eastAsia="Arial Unicode MS"/>
        </w:rPr>
      </w:pPr>
      <w:r w:rsidRPr="000779D2">
        <w:rPr>
          <w:rFonts w:eastAsia="Arial Unicode MS"/>
        </w:rPr>
        <w:t xml:space="preserve">Centro de Internamiento de Extranjeros (Algeciras) </w:t>
      </w:r>
    </w:p>
    <w:p w14:paraId="23C5387C" w14:textId="77777777" w:rsidR="008E59AB" w:rsidRPr="000779D2" w:rsidRDefault="008E59AB" w:rsidP="001B64FC">
      <w:pPr>
        <w:pStyle w:val="Bullet1G"/>
        <w:rPr>
          <w:rFonts w:eastAsia="Arial Unicode MS"/>
        </w:rPr>
      </w:pPr>
      <w:r w:rsidRPr="000779D2">
        <w:rPr>
          <w:rFonts w:eastAsia="Arial Unicode MS"/>
        </w:rPr>
        <w:t>Centro de Estancia Temporal de Inmigrantes (Melilla)</w:t>
      </w:r>
    </w:p>
    <w:p w14:paraId="6014BD98" w14:textId="77777777" w:rsidR="008E59AB" w:rsidRPr="000779D2" w:rsidRDefault="008E59AB" w:rsidP="001B64FC">
      <w:pPr>
        <w:pStyle w:val="Bullet1G"/>
        <w:rPr>
          <w:rFonts w:eastAsia="Arial Unicode MS"/>
        </w:rPr>
      </w:pPr>
      <w:r w:rsidRPr="000779D2">
        <w:rPr>
          <w:rFonts w:eastAsia="Arial Unicode MS"/>
        </w:rPr>
        <w:t>Aeropuerto Adolfo Suárez Madrid-Barajas, Terminal 1 (Madrid)</w:t>
      </w:r>
    </w:p>
    <w:p w14:paraId="16BA542D" w14:textId="54733D91" w:rsidR="008E59AB" w:rsidRPr="001B64FC" w:rsidRDefault="008E59AB" w:rsidP="00372C85">
      <w:pPr>
        <w:pStyle w:val="Bullet1G"/>
        <w:rPr>
          <w:rFonts w:eastAsia="Arial Unicode MS"/>
        </w:rPr>
      </w:pPr>
      <w:r w:rsidRPr="001B64FC">
        <w:rPr>
          <w:rFonts w:eastAsia="Arial Unicode MS"/>
        </w:rPr>
        <w:lastRenderedPageBreak/>
        <w:t>Aeropuerto Adolfo Suárez Madrid</w:t>
      </w:r>
      <w:r w:rsidR="003D1869">
        <w:rPr>
          <w:rFonts w:eastAsia="Arial Unicode MS"/>
        </w:rPr>
        <w:t>’</w:t>
      </w:r>
      <w:r w:rsidRPr="001B64FC">
        <w:rPr>
          <w:rFonts w:eastAsia="Arial Unicode MS"/>
        </w:rPr>
        <w:t>Barajas, Terminal 4 (Madrid)</w:t>
      </w:r>
    </w:p>
    <w:p w14:paraId="053C01AA" w14:textId="77777777" w:rsidR="008E59AB" w:rsidRPr="001B64FC" w:rsidRDefault="008E59AB" w:rsidP="008E59AB">
      <w:pPr>
        <w:pStyle w:val="H1G"/>
        <w:rPr>
          <w:rFonts w:eastAsia="Arial Unicode MS"/>
          <w:u w:color="000000"/>
          <w:bdr w:val="nil"/>
        </w:rPr>
      </w:pPr>
      <w:r w:rsidRPr="001B64FC">
        <w:rPr>
          <w:rFonts w:eastAsia="Arial Unicode MS"/>
          <w:u w:color="000000"/>
          <w:bdr w:val="nil"/>
        </w:rPr>
        <w:tab/>
        <w:t>E.</w:t>
      </w:r>
      <w:r w:rsidRPr="001B64FC">
        <w:rPr>
          <w:rFonts w:eastAsia="Arial Unicode MS"/>
          <w:u w:color="000000"/>
          <w:bdr w:val="nil"/>
        </w:rPr>
        <w:tab/>
        <w:t xml:space="preserve">Establecimientos de menores </w:t>
      </w:r>
    </w:p>
    <w:p w14:paraId="6A189CE3" w14:textId="77777777" w:rsidR="008E59AB" w:rsidRPr="001B64FC" w:rsidRDefault="008E59AB" w:rsidP="001B64FC">
      <w:pPr>
        <w:pStyle w:val="Bullet1G"/>
        <w:rPr>
          <w:rFonts w:eastAsia="Arial Unicode MS"/>
        </w:rPr>
      </w:pPr>
      <w:r w:rsidRPr="001B64FC">
        <w:rPr>
          <w:rFonts w:eastAsia="Arial Unicode MS"/>
        </w:rPr>
        <w:t xml:space="preserve">Centro de Internamiento de Menores (Melilla) </w:t>
      </w:r>
    </w:p>
    <w:p w14:paraId="4D47B144" w14:textId="77777777" w:rsidR="008E59AB" w:rsidRPr="001B64FC" w:rsidRDefault="008E59AB" w:rsidP="008E59AB">
      <w:pPr>
        <w:pStyle w:val="H1G"/>
        <w:rPr>
          <w:u w:color="000000"/>
          <w:bdr w:val="nil"/>
        </w:rPr>
      </w:pPr>
      <w:r w:rsidRPr="001B64FC">
        <w:rPr>
          <w:rFonts w:eastAsia="Arial Unicode MS"/>
          <w:u w:color="000000"/>
          <w:bdr w:val="nil"/>
        </w:rPr>
        <w:tab/>
        <w:t>F.</w:t>
      </w:r>
      <w:r w:rsidRPr="001B64FC">
        <w:rPr>
          <w:rFonts w:eastAsia="Arial Unicode MS"/>
          <w:u w:color="000000"/>
          <w:bdr w:val="nil"/>
        </w:rPr>
        <w:tab/>
        <w:t>Instituciones psiquiátricas</w:t>
      </w:r>
    </w:p>
    <w:p w14:paraId="526860C2" w14:textId="77777777" w:rsidR="008E59AB" w:rsidRPr="001B64FC" w:rsidRDefault="008E59AB" w:rsidP="001B64FC">
      <w:pPr>
        <w:pStyle w:val="Bullet1G"/>
        <w:rPr>
          <w:u w:val="single"/>
        </w:rPr>
      </w:pPr>
      <w:r w:rsidRPr="000779D2">
        <w:rPr>
          <w:rFonts w:eastAsia="Arial Unicode MS"/>
        </w:rPr>
        <w:t>Hospital</w:t>
      </w:r>
      <w:r w:rsidRPr="001B64FC">
        <w:rPr>
          <w:rFonts w:eastAsia="Arial Unicode MS"/>
          <w:u w:color="000000"/>
          <w:bdr w:val="nil"/>
        </w:rPr>
        <w:t xml:space="preserve"> psiquiátrico de Bétera (Valencia)</w:t>
      </w:r>
    </w:p>
    <w:p w14:paraId="649F5866" w14:textId="5EA4D31C" w:rsidR="00F837CB" w:rsidRPr="00995D0E" w:rsidRDefault="00A76DFF" w:rsidP="001B64FC">
      <w:pPr>
        <w:pStyle w:val="SingleTxtG"/>
        <w:spacing w:before="240" w:after="0"/>
        <w:jc w:val="center"/>
        <w:rPr>
          <w:rFonts w:eastAsia="Arial Unicode MS"/>
          <w:u w:val="single"/>
        </w:rPr>
      </w:pPr>
      <w:r w:rsidRPr="00995D0E">
        <w:rPr>
          <w:rFonts w:eastAsia="Arial Unicode MS"/>
          <w:u w:val="single"/>
        </w:rPr>
        <w:tab/>
      </w:r>
      <w:r w:rsidRPr="00995D0E">
        <w:rPr>
          <w:rFonts w:eastAsia="Arial Unicode MS"/>
          <w:u w:val="single"/>
        </w:rPr>
        <w:tab/>
      </w:r>
      <w:r w:rsidRPr="00995D0E">
        <w:rPr>
          <w:rFonts w:eastAsia="Arial Unicode MS"/>
          <w:u w:val="single"/>
        </w:rPr>
        <w:tab/>
      </w:r>
      <w:r w:rsidRPr="00995D0E">
        <w:rPr>
          <w:rFonts w:eastAsia="Arial Unicode MS"/>
          <w:u w:val="single"/>
        </w:rPr>
        <w:tab/>
      </w:r>
    </w:p>
    <w:p w14:paraId="500F1C51" w14:textId="77777777" w:rsidR="00F837CB" w:rsidRPr="001B64FC" w:rsidRDefault="00F837CB" w:rsidP="001B64FC">
      <w:pPr>
        <w:pStyle w:val="SingleTxtG"/>
        <w:rPr>
          <w:rFonts w:eastAsia="Arial Unicode MS"/>
        </w:rPr>
      </w:pPr>
    </w:p>
    <w:p w14:paraId="6EBE3267" w14:textId="77777777" w:rsidR="00F837CB" w:rsidRPr="001B64FC" w:rsidRDefault="00F837CB" w:rsidP="001B64FC">
      <w:pPr>
        <w:pStyle w:val="SingleTxtG"/>
        <w:rPr>
          <w:rFonts w:eastAsia="Arial Unicode MS"/>
        </w:rPr>
      </w:pPr>
    </w:p>
    <w:p w14:paraId="5E70E434" w14:textId="77777777" w:rsidR="00446FE5" w:rsidRPr="001B64FC" w:rsidRDefault="00446FE5" w:rsidP="001B64FC">
      <w:pPr>
        <w:pStyle w:val="SingleTxtG"/>
      </w:pPr>
    </w:p>
    <w:sectPr w:rsidR="00446FE5" w:rsidRPr="001B64FC" w:rsidSect="001B64F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6983" w14:textId="77777777" w:rsidR="000F08CB" w:rsidRDefault="000F08CB" w:rsidP="00F95C08"/>
  </w:endnote>
  <w:endnote w:type="continuationSeparator" w:id="0">
    <w:p w14:paraId="5A99F258" w14:textId="77777777" w:rsidR="000F08CB" w:rsidRPr="00AC3823" w:rsidRDefault="000F08CB" w:rsidP="00AC3823">
      <w:pPr>
        <w:pStyle w:val="Piedepgina"/>
      </w:pPr>
    </w:p>
  </w:endnote>
  <w:endnote w:type="continuationNotice" w:id="1">
    <w:p w14:paraId="2B5A6889" w14:textId="77777777" w:rsidR="000F08CB" w:rsidRDefault="000F0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140F" w14:textId="2B2E9DE8" w:rsidR="005761BF" w:rsidRPr="005761BF" w:rsidRDefault="00F837CB" w:rsidP="005761BF">
    <w:pPr>
      <w:pStyle w:val="Piedepgina"/>
      <w:tabs>
        <w:tab w:val="right" w:pos="9638"/>
      </w:tabs>
      <w:rPr>
        <w:sz w:val="18"/>
      </w:rPr>
    </w:pPr>
    <w:r w:rsidRPr="005761BF">
      <w:rPr>
        <w:b/>
        <w:sz w:val="18"/>
      </w:rPr>
      <w:fldChar w:fldCharType="begin"/>
    </w:r>
    <w:r w:rsidRPr="005761BF">
      <w:rPr>
        <w:b/>
        <w:sz w:val="18"/>
      </w:rPr>
      <w:instrText xml:space="preserve"> PAGE  \* MERGEFORMAT </w:instrText>
    </w:r>
    <w:r w:rsidRPr="005761BF">
      <w:rPr>
        <w:b/>
        <w:sz w:val="18"/>
      </w:rPr>
      <w:fldChar w:fldCharType="separate"/>
    </w:r>
    <w:r w:rsidR="001E1040">
      <w:rPr>
        <w:b/>
        <w:noProof/>
        <w:sz w:val="18"/>
      </w:rPr>
      <w:t>2</w:t>
    </w:r>
    <w:r w:rsidRPr="005761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6AF9" w14:textId="2D3ACA86" w:rsidR="005761BF" w:rsidRPr="005761BF" w:rsidRDefault="00F837CB" w:rsidP="005761BF">
    <w:pPr>
      <w:pStyle w:val="Piedepgina"/>
      <w:tabs>
        <w:tab w:val="right" w:pos="9638"/>
      </w:tabs>
      <w:rPr>
        <w:b/>
        <w:sz w:val="18"/>
      </w:rPr>
    </w:pPr>
    <w:r>
      <w:tab/>
    </w:r>
    <w:r w:rsidRPr="005761BF">
      <w:rPr>
        <w:b/>
        <w:sz w:val="18"/>
      </w:rPr>
      <w:fldChar w:fldCharType="begin"/>
    </w:r>
    <w:r w:rsidRPr="005761BF">
      <w:rPr>
        <w:b/>
        <w:sz w:val="18"/>
      </w:rPr>
      <w:instrText xml:space="preserve"> PAGE  \* MERGEFORMAT </w:instrText>
    </w:r>
    <w:r w:rsidRPr="005761BF">
      <w:rPr>
        <w:b/>
        <w:sz w:val="18"/>
      </w:rPr>
      <w:fldChar w:fldCharType="separate"/>
    </w:r>
    <w:r w:rsidR="001E1040">
      <w:rPr>
        <w:b/>
        <w:noProof/>
        <w:sz w:val="18"/>
      </w:rPr>
      <w:t>11</w:t>
    </w:r>
    <w:r w:rsidRPr="005761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C2FF" w14:textId="12323A28" w:rsidR="00881D06" w:rsidRPr="00AD32BD" w:rsidRDefault="00AD32BD" w:rsidP="00AD32BD">
    <w:pPr>
      <w:pStyle w:val="Piedepgina"/>
      <w:spacing w:before="120" w:line="240" w:lineRule="auto"/>
      <w:rPr>
        <w:sz w:val="20"/>
      </w:rPr>
    </w:pPr>
    <w:r>
      <w:rPr>
        <w:sz w:val="20"/>
      </w:rPr>
      <w:t>GE.18-14575  (S)</w:t>
    </w:r>
    <w:r>
      <w:rPr>
        <w:sz w:val="20"/>
      </w:rPr>
      <w:br/>
    </w:r>
    <w:r w:rsidRPr="00AD32BD">
      <w:rPr>
        <w:rFonts w:ascii="C39T30Lfz" w:hAnsi="C39T30Lfz"/>
        <w:sz w:val="56"/>
      </w:rPr>
      <w:t></w:t>
    </w:r>
    <w:r w:rsidRPr="00AD32BD">
      <w:rPr>
        <w:rFonts w:ascii="C39T30Lfz" w:hAnsi="C39T30Lfz"/>
        <w:sz w:val="56"/>
      </w:rPr>
      <w:t></w:t>
    </w:r>
    <w:r w:rsidRPr="00AD32BD">
      <w:rPr>
        <w:rFonts w:ascii="C39T30Lfz" w:hAnsi="C39T30Lfz"/>
        <w:sz w:val="56"/>
      </w:rPr>
      <w:t></w:t>
    </w:r>
    <w:r w:rsidRPr="00AD32BD">
      <w:rPr>
        <w:rFonts w:ascii="C39T30Lfz" w:hAnsi="C39T30Lfz"/>
        <w:sz w:val="56"/>
      </w:rPr>
      <w:t></w:t>
    </w:r>
    <w:r w:rsidRPr="00AD32BD">
      <w:rPr>
        <w:rFonts w:ascii="C39T30Lfz" w:hAnsi="C39T30Lfz"/>
        <w:sz w:val="56"/>
      </w:rPr>
      <w:t></w:t>
    </w:r>
    <w:r w:rsidRPr="00AD32BD">
      <w:rPr>
        <w:rFonts w:ascii="C39T30Lfz" w:hAnsi="C39T30Lfz"/>
        <w:sz w:val="56"/>
      </w:rPr>
      <w:t></w:t>
    </w:r>
    <w:r w:rsidRPr="00AD32BD">
      <w:rPr>
        <w:rFonts w:ascii="C39T30Lfz" w:hAnsi="C39T30Lfz"/>
        <w:sz w:val="56"/>
      </w:rPr>
      <w:t></w:t>
    </w:r>
    <w:r w:rsidRPr="00AD32BD">
      <w:rPr>
        <w:rFonts w:ascii="C39T30Lfz" w:hAnsi="C39T30Lfz"/>
        <w:sz w:val="56"/>
      </w:rPr>
      <w:t></w:t>
    </w:r>
    <w:r w:rsidRPr="00AD32BD">
      <w:rPr>
        <w:rFonts w:ascii="C39T30Lfz" w:hAnsi="C39T30Lfz"/>
        <w:sz w:val="56"/>
      </w:rPr>
      <w:t></w:t>
    </w:r>
    <w:r w:rsidRPr="00AD32BD">
      <w:rPr>
        <w:rFonts w:ascii="C39T30Lfz" w:hAnsi="C39T30Lfz"/>
        <w:noProof/>
        <w:sz w:val="56"/>
        <w:lang w:eastAsia="zh-CN"/>
      </w:rPr>
      <w:drawing>
        <wp:anchor distT="0" distB="0" distL="114300" distR="114300" simplePos="0" relativeHeight="251659264" behindDoc="0" locked="1" layoutInCell="1" allowOverlap="1" wp14:anchorId="2BEDC01D" wp14:editId="5AEFD91F">
          <wp:simplePos x="0" y="0"/>
          <wp:positionH relativeFrom="margin">
            <wp:posOffset>4319905</wp:posOffset>
          </wp:positionH>
          <wp:positionV relativeFrom="margin">
            <wp:posOffset>9145270</wp:posOffset>
          </wp:positionV>
          <wp:extent cx="1087200" cy="2304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6192" behindDoc="0" locked="0" layoutInCell="1" allowOverlap="1" wp14:anchorId="6B909EE9" wp14:editId="782C107B">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AT/OP/ESP/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ESP/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99FED" w14:textId="77777777" w:rsidR="000F08CB" w:rsidRPr="00AC3823" w:rsidRDefault="000F08CB" w:rsidP="00AC3823">
      <w:pPr>
        <w:pStyle w:val="Piedepgina"/>
        <w:tabs>
          <w:tab w:val="right" w:pos="2155"/>
        </w:tabs>
        <w:spacing w:after="80"/>
        <w:ind w:left="680"/>
        <w:rPr>
          <w:u w:val="single"/>
        </w:rPr>
      </w:pPr>
      <w:r>
        <w:rPr>
          <w:u w:val="single"/>
        </w:rPr>
        <w:tab/>
      </w:r>
    </w:p>
  </w:footnote>
  <w:footnote w:type="continuationSeparator" w:id="0">
    <w:p w14:paraId="36DF1C13" w14:textId="77777777" w:rsidR="000F08CB" w:rsidRPr="00AC3823" w:rsidRDefault="000F08CB" w:rsidP="00AC3823">
      <w:pPr>
        <w:pStyle w:val="Piedepgina"/>
        <w:tabs>
          <w:tab w:val="right" w:pos="2155"/>
        </w:tabs>
        <w:spacing w:after="80"/>
        <w:ind w:left="680"/>
        <w:rPr>
          <w:u w:val="single"/>
        </w:rPr>
      </w:pPr>
      <w:r>
        <w:rPr>
          <w:u w:val="single"/>
        </w:rPr>
        <w:tab/>
      </w:r>
    </w:p>
  </w:footnote>
  <w:footnote w:type="continuationNotice" w:id="1">
    <w:p w14:paraId="7491DB26" w14:textId="77777777" w:rsidR="000F08CB" w:rsidRPr="00AC3823" w:rsidRDefault="000F08CB">
      <w:pPr>
        <w:rPr>
          <w:sz w:val="2"/>
          <w:szCs w:val="2"/>
        </w:rPr>
      </w:pPr>
    </w:p>
  </w:footnote>
  <w:footnote w:id="2">
    <w:p w14:paraId="24F04333" w14:textId="59ADCFBF" w:rsidR="00467DAE" w:rsidRPr="00995D0E" w:rsidRDefault="00467DAE" w:rsidP="003D1869">
      <w:pPr>
        <w:pStyle w:val="Textonotapie"/>
      </w:pPr>
      <w:r>
        <w:tab/>
      </w:r>
      <w:r w:rsidRPr="001B64FC">
        <w:rPr>
          <w:rStyle w:val="Refdenotaalpie"/>
          <w:sz w:val="20"/>
          <w:vertAlign w:val="baseline"/>
        </w:rPr>
        <w:t>*</w:t>
      </w:r>
      <w:r w:rsidRPr="001B64FC">
        <w:rPr>
          <w:rStyle w:val="Refdenotaalpie"/>
        </w:rPr>
        <w:tab/>
      </w:r>
      <w:r w:rsidRPr="001B64FC">
        <w:t xml:space="preserve">De conformidad con el </w:t>
      </w:r>
      <w:r w:rsidR="003D1869" w:rsidRPr="001B64FC">
        <w:t>artículo</w:t>
      </w:r>
      <w:r w:rsidR="003D1869">
        <w:t> </w:t>
      </w:r>
      <w:r w:rsidRPr="001B64FC">
        <w:t xml:space="preserve">16, </w:t>
      </w:r>
      <w:r w:rsidR="003D1869" w:rsidRPr="001B64FC">
        <w:t>párrafo</w:t>
      </w:r>
      <w:r w:rsidR="003D1869">
        <w:t> </w:t>
      </w:r>
      <w:r w:rsidRPr="001B64FC">
        <w:t>1, del Protocolo Facultativo, el presente informe se</w:t>
      </w:r>
      <w:r w:rsidR="00995D0E">
        <w:t xml:space="preserve"> </w:t>
      </w:r>
      <w:r w:rsidRPr="001B64FC">
        <w:t xml:space="preserve">transmitió con carácter confidencial al mecanismo nacional de prevención el </w:t>
      </w:r>
      <w:r w:rsidR="00191BB5" w:rsidRPr="001B64FC">
        <w:t>15</w:t>
      </w:r>
      <w:r w:rsidRPr="001B64FC">
        <w:t xml:space="preserve"> de marzo</w:t>
      </w:r>
      <w:r w:rsidR="00191BB5" w:rsidRPr="001B64FC">
        <w:t xml:space="preserve"> de 2018</w:t>
      </w:r>
      <w:r w:rsidRPr="001B64FC">
        <w:t xml:space="preserve">. </w:t>
      </w:r>
      <w:r w:rsidR="00995D0E" w:rsidRPr="00995D0E">
        <w:t>El 27 de julio de 2018, el mecanismo nacional de prevención acordó publicar el informe, junto con sus respuestas.</w:t>
      </w:r>
    </w:p>
  </w:footnote>
  <w:footnote w:id="3">
    <w:p w14:paraId="7990C900" w14:textId="31C92433" w:rsidR="00995D0E" w:rsidRPr="001B64FC" w:rsidRDefault="00467DAE" w:rsidP="00372C85">
      <w:pPr>
        <w:pStyle w:val="Textonotapie"/>
        <w:rPr>
          <w:sz w:val="20"/>
        </w:rPr>
      </w:pPr>
      <w:r w:rsidRPr="001B64FC">
        <w:tab/>
      </w:r>
      <w:r w:rsidRPr="001B64FC">
        <w:rPr>
          <w:rStyle w:val="Refdenotaalpie"/>
          <w:sz w:val="20"/>
          <w:vertAlign w:val="baseline"/>
        </w:rPr>
        <w:t>**</w:t>
      </w:r>
      <w:r w:rsidRPr="001B64FC">
        <w:rPr>
          <w:rStyle w:val="Refdenotaalpie"/>
        </w:rPr>
        <w:tab/>
      </w:r>
      <w:r w:rsidR="00ED4690" w:rsidRPr="007D5CC1">
        <w:t>Los anexos del presente documento se distribuyen únicamente en el idioma en que se presentaron.</w:t>
      </w:r>
    </w:p>
  </w:footnote>
  <w:footnote w:id="4">
    <w:p w14:paraId="44F66DF1" w14:textId="16456207" w:rsidR="00F837CB" w:rsidRPr="00752CC4" w:rsidRDefault="00F837CB" w:rsidP="003744C0">
      <w:pPr>
        <w:pStyle w:val="Textonotapie"/>
        <w:rPr>
          <w:lang w:val="es-ES_tradnl"/>
        </w:rPr>
      </w:pPr>
      <w:r w:rsidRPr="001B64FC">
        <w:tab/>
      </w:r>
      <w:r w:rsidRPr="003744C0">
        <w:rPr>
          <w:rStyle w:val="Refdenotaalpie"/>
        </w:rPr>
        <w:footnoteRef/>
      </w:r>
      <w:r w:rsidRPr="001B64FC">
        <w:tab/>
        <w:t>Centro Penitenciario Soto del Real en Madrid</w:t>
      </w:r>
      <w:r w:rsidR="0045448D">
        <w:rPr>
          <w:lang w:val="es-ES_tradnl"/>
        </w:rPr>
        <w:t>.</w:t>
      </w:r>
      <w:r w:rsidRPr="00752CC4">
        <w:rPr>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B50A" w14:textId="79109833" w:rsidR="005761BF" w:rsidRPr="007B77C5" w:rsidRDefault="0045448D" w:rsidP="00AD32BD">
    <w:pPr>
      <w:pStyle w:val="Encabezado"/>
      <w:rPr>
        <w:lang w:val="en-GB"/>
      </w:rPr>
    </w:pPr>
    <w:r>
      <w:t>CAT/OP/ESP/2</w:t>
    </w:r>
    <w:r w:rsidR="00191BB5">
      <w:fldChar w:fldCharType="begin"/>
    </w:r>
    <w:r w:rsidR="00191BB5">
      <w:instrText xml:space="preserve"> TITLE  \* MERGEFORMAT </w:instrText>
    </w:r>
    <w:r w:rsidR="00191BB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86BE" w14:textId="351DC7B0" w:rsidR="005761BF" w:rsidRPr="00F837CB" w:rsidRDefault="0045448D" w:rsidP="00AD32BD">
    <w:pPr>
      <w:pStyle w:val="Encabezado"/>
      <w:jc w:val="right"/>
      <w:rPr>
        <w:lang w:val="en-GB"/>
      </w:rPr>
    </w:pPr>
    <w:r>
      <w:t>CAT/OP/ESP/2</w:t>
    </w:r>
    <w:r w:rsidR="00191BB5">
      <w:fldChar w:fldCharType="begin"/>
    </w:r>
    <w:r w:rsidR="00191BB5">
      <w:instrText xml:space="preserve"> TITLE  \* MERGEFORMAT </w:instrText>
    </w:r>
    <w:r w:rsidR="00191BB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04090005">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3"/>
  </w:num>
  <w:num w:numId="3">
    <w:abstractNumId w:val="11"/>
  </w:num>
  <w:num w:numId="4">
    <w:abstractNumId w:val="15"/>
  </w:num>
  <w:num w:numId="5">
    <w:abstractNumId w:val="14"/>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hyphenationZone w:val="425"/>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CB"/>
    <w:rsid w:val="00017F94"/>
    <w:rsid w:val="00023842"/>
    <w:rsid w:val="000334F9"/>
    <w:rsid w:val="000444B9"/>
    <w:rsid w:val="00056C4F"/>
    <w:rsid w:val="0007796D"/>
    <w:rsid w:val="000779D2"/>
    <w:rsid w:val="000B7790"/>
    <w:rsid w:val="000C390E"/>
    <w:rsid w:val="000C4E56"/>
    <w:rsid w:val="000E7414"/>
    <w:rsid w:val="000F08CB"/>
    <w:rsid w:val="00111F2F"/>
    <w:rsid w:val="0014365E"/>
    <w:rsid w:val="0014660A"/>
    <w:rsid w:val="00150DB2"/>
    <w:rsid w:val="00176178"/>
    <w:rsid w:val="00191BB5"/>
    <w:rsid w:val="001B64FC"/>
    <w:rsid w:val="001B7D0B"/>
    <w:rsid w:val="001E1040"/>
    <w:rsid w:val="001F147D"/>
    <w:rsid w:val="001F525A"/>
    <w:rsid w:val="00203896"/>
    <w:rsid w:val="00223272"/>
    <w:rsid w:val="0024779E"/>
    <w:rsid w:val="00270330"/>
    <w:rsid w:val="00291F1D"/>
    <w:rsid w:val="0029407C"/>
    <w:rsid w:val="002B1B83"/>
    <w:rsid w:val="00300366"/>
    <w:rsid w:val="00305BC3"/>
    <w:rsid w:val="003164D3"/>
    <w:rsid w:val="00321933"/>
    <w:rsid w:val="00350987"/>
    <w:rsid w:val="003529BD"/>
    <w:rsid w:val="00353ED5"/>
    <w:rsid w:val="00362FCD"/>
    <w:rsid w:val="00372C85"/>
    <w:rsid w:val="003744C0"/>
    <w:rsid w:val="00382A1F"/>
    <w:rsid w:val="00390178"/>
    <w:rsid w:val="00390B82"/>
    <w:rsid w:val="00392DBD"/>
    <w:rsid w:val="003B5B25"/>
    <w:rsid w:val="003D1869"/>
    <w:rsid w:val="003D1AD0"/>
    <w:rsid w:val="00414ABA"/>
    <w:rsid w:val="0041503B"/>
    <w:rsid w:val="00431E88"/>
    <w:rsid w:val="004343A3"/>
    <w:rsid w:val="00446FE5"/>
    <w:rsid w:val="00447533"/>
    <w:rsid w:val="00452396"/>
    <w:rsid w:val="0045448D"/>
    <w:rsid w:val="00456D8E"/>
    <w:rsid w:val="00460A66"/>
    <w:rsid w:val="004612B6"/>
    <w:rsid w:val="00467DAE"/>
    <w:rsid w:val="00491B72"/>
    <w:rsid w:val="004D1CEB"/>
    <w:rsid w:val="004D760E"/>
    <w:rsid w:val="004E0A26"/>
    <w:rsid w:val="00514DB4"/>
    <w:rsid w:val="005505B7"/>
    <w:rsid w:val="005706C8"/>
    <w:rsid w:val="00573BE5"/>
    <w:rsid w:val="00586ED3"/>
    <w:rsid w:val="00596AA9"/>
    <w:rsid w:val="005B6F4F"/>
    <w:rsid w:val="005D770D"/>
    <w:rsid w:val="005E45AF"/>
    <w:rsid w:val="0060127D"/>
    <w:rsid w:val="00602BBF"/>
    <w:rsid w:val="0061063A"/>
    <w:rsid w:val="006122C4"/>
    <w:rsid w:val="00620065"/>
    <w:rsid w:val="0064081E"/>
    <w:rsid w:val="006514C9"/>
    <w:rsid w:val="006661EE"/>
    <w:rsid w:val="00672902"/>
    <w:rsid w:val="00697530"/>
    <w:rsid w:val="006A07D5"/>
    <w:rsid w:val="006A10D1"/>
    <w:rsid w:val="006B2C29"/>
    <w:rsid w:val="006C1792"/>
    <w:rsid w:val="006D5175"/>
    <w:rsid w:val="006E2C9B"/>
    <w:rsid w:val="006F13E9"/>
    <w:rsid w:val="0071601D"/>
    <w:rsid w:val="00740E06"/>
    <w:rsid w:val="0076624F"/>
    <w:rsid w:val="00766CEC"/>
    <w:rsid w:val="00770252"/>
    <w:rsid w:val="007A62E6"/>
    <w:rsid w:val="007B77C5"/>
    <w:rsid w:val="007D5CC1"/>
    <w:rsid w:val="0080684C"/>
    <w:rsid w:val="00815502"/>
    <w:rsid w:val="008422E3"/>
    <w:rsid w:val="00845D2D"/>
    <w:rsid w:val="00871C35"/>
    <w:rsid w:val="00871C75"/>
    <w:rsid w:val="008776DC"/>
    <w:rsid w:val="00881D06"/>
    <w:rsid w:val="00892275"/>
    <w:rsid w:val="008C2B51"/>
    <w:rsid w:val="008E59AB"/>
    <w:rsid w:val="008F2A1D"/>
    <w:rsid w:val="00907722"/>
    <w:rsid w:val="009211AE"/>
    <w:rsid w:val="00923A19"/>
    <w:rsid w:val="00935F1C"/>
    <w:rsid w:val="00950A9C"/>
    <w:rsid w:val="00957790"/>
    <w:rsid w:val="0096006A"/>
    <w:rsid w:val="009705C8"/>
    <w:rsid w:val="009731A8"/>
    <w:rsid w:val="00974229"/>
    <w:rsid w:val="0099004D"/>
    <w:rsid w:val="00995D0E"/>
    <w:rsid w:val="009F6594"/>
    <w:rsid w:val="00A06BDF"/>
    <w:rsid w:val="00A12AB5"/>
    <w:rsid w:val="00A31423"/>
    <w:rsid w:val="00A34659"/>
    <w:rsid w:val="00A533DA"/>
    <w:rsid w:val="00A633F1"/>
    <w:rsid w:val="00A76DFF"/>
    <w:rsid w:val="00A935B7"/>
    <w:rsid w:val="00AB02FA"/>
    <w:rsid w:val="00AC3823"/>
    <w:rsid w:val="00AD2512"/>
    <w:rsid w:val="00AD32BD"/>
    <w:rsid w:val="00AE0BBE"/>
    <w:rsid w:val="00AE323C"/>
    <w:rsid w:val="00AE7D9F"/>
    <w:rsid w:val="00B00181"/>
    <w:rsid w:val="00B07332"/>
    <w:rsid w:val="00B13616"/>
    <w:rsid w:val="00B43C66"/>
    <w:rsid w:val="00B55090"/>
    <w:rsid w:val="00B72E61"/>
    <w:rsid w:val="00B765F7"/>
    <w:rsid w:val="00BA0CA9"/>
    <w:rsid w:val="00BB3E59"/>
    <w:rsid w:val="00BE1F4C"/>
    <w:rsid w:val="00BE4745"/>
    <w:rsid w:val="00BF3C2C"/>
    <w:rsid w:val="00C02897"/>
    <w:rsid w:val="00C27144"/>
    <w:rsid w:val="00C9179F"/>
    <w:rsid w:val="00CC3469"/>
    <w:rsid w:val="00CE4E13"/>
    <w:rsid w:val="00CE7B09"/>
    <w:rsid w:val="00CF3AE1"/>
    <w:rsid w:val="00D1256C"/>
    <w:rsid w:val="00D3439C"/>
    <w:rsid w:val="00D37C08"/>
    <w:rsid w:val="00D40AEB"/>
    <w:rsid w:val="00D87C5A"/>
    <w:rsid w:val="00D9285B"/>
    <w:rsid w:val="00DA22F4"/>
    <w:rsid w:val="00DB1831"/>
    <w:rsid w:val="00DC2E54"/>
    <w:rsid w:val="00DD3BFD"/>
    <w:rsid w:val="00DD7139"/>
    <w:rsid w:val="00DF6678"/>
    <w:rsid w:val="00E10E5E"/>
    <w:rsid w:val="00E22CF2"/>
    <w:rsid w:val="00E333A0"/>
    <w:rsid w:val="00E33F14"/>
    <w:rsid w:val="00E44A12"/>
    <w:rsid w:val="00E52D9F"/>
    <w:rsid w:val="00E83DBF"/>
    <w:rsid w:val="00ED4690"/>
    <w:rsid w:val="00F12269"/>
    <w:rsid w:val="00F164B0"/>
    <w:rsid w:val="00F24665"/>
    <w:rsid w:val="00F64E50"/>
    <w:rsid w:val="00F660DF"/>
    <w:rsid w:val="00F732FC"/>
    <w:rsid w:val="00F75600"/>
    <w:rsid w:val="00F80094"/>
    <w:rsid w:val="00F837CB"/>
    <w:rsid w:val="00F84397"/>
    <w:rsid w:val="00F900DE"/>
    <w:rsid w:val="00F95C08"/>
    <w:rsid w:val="00FF575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AB9539B"/>
  <w15:chartTrackingRefBased/>
  <w15:docId w15:val="{CFD983A5-4EA5-42D3-86BF-8C425D85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27144"/>
    <w:pPr>
      <w:spacing w:line="240" w:lineRule="atLeast"/>
    </w:pPr>
    <w:rPr>
      <w:rFonts w:eastAsiaTheme="minorEastAsia"/>
      <w:lang w:eastAsia="es-ES"/>
    </w:rPr>
  </w:style>
  <w:style w:type="paragraph" w:styleId="Ttulo1">
    <w:name w:val="heading 1"/>
    <w:aliases w:val="Cuadro_G"/>
    <w:basedOn w:val="SingleTxtG"/>
    <w:next w:val="SingleTxtG"/>
    <w:link w:val="Ttulo1Car"/>
    <w:qFormat/>
    <w:rsid w:val="00C2714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C27144"/>
    <w:pPr>
      <w:keepNext/>
      <w:outlineLvl w:val="1"/>
    </w:pPr>
    <w:rPr>
      <w:rFonts w:cs="Arial"/>
      <w:bCs/>
      <w:iCs/>
      <w:szCs w:val="28"/>
    </w:rPr>
  </w:style>
  <w:style w:type="paragraph" w:styleId="Ttulo3">
    <w:name w:val="heading 3"/>
    <w:basedOn w:val="Normal"/>
    <w:next w:val="Normal"/>
    <w:link w:val="Ttulo3Car"/>
    <w:semiHidden/>
    <w:rsid w:val="00C27144"/>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27144"/>
    <w:pPr>
      <w:keepNext/>
      <w:spacing w:before="240" w:after="60"/>
      <w:outlineLvl w:val="3"/>
    </w:pPr>
    <w:rPr>
      <w:b/>
      <w:bCs/>
      <w:sz w:val="28"/>
      <w:szCs w:val="28"/>
    </w:rPr>
  </w:style>
  <w:style w:type="paragraph" w:styleId="Ttulo5">
    <w:name w:val="heading 5"/>
    <w:basedOn w:val="Normal"/>
    <w:next w:val="Normal"/>
    <w:link w:val="Ttulo5Car"/>
    <w:semiHidden/>
    <w:rsid w:val="00C27144"/>
    <w:pPr>
      <w:spacing w:before="240" w:after="60"/>
      <w:outlineLvl w:val="4"/>
    </w:pPr>
    <w:rPr>
      <w:b/>
      <w:bCs/>
      <w:i/>
      <w:iCs/>
      <w:sz w:val="26"/>
      <w:szCs w:val="26"/>
    </w:rPr>
  </w:style>
  <w:style w:type="paragraph" w:styleId="Ttulo6">
    <w:name w:val="heading 6"/>
    <w:basedOn w:val="Normal"/>
    <w:next w:val="Normal"/>
    <w:link w:val="Ttulo6Car"/>
    <w:semiHidden/>
    <w:rsid w:val="00C27144"/>
    <w:pPr>
      <w:spacing w:before="240" w:after="60"/>
      <w:outlineLvl w:val="5"/>
    </w:pPr>
    <w:rPr>
      <w:b/>
      <w:bCs/>
      <w:sz w:val="22"/>
      <w:szCs w:val="22"/>
    </w:rPr>
  </w:style>
  <w:style w:type="paragraph" w:styleId="Ttulo7">
    <w:name w:val="heading 7"/>
    <w:basedOn w:val="Normal"/>
    <w:next w:val="Normal"/>
    <w:link w:val="Ttulo7Car"/>
    <w:semiHidden/>
    <w:rsid w:val="00C27144"/>
    <w:pPr>
      <w:spacing w:before="240" w:after="60"/>
      <w:outlineLvl w:val="6"/>
    </w:pPr>
    <w:rPr>
      <w:sz w:val="24"/>
      <w:szCs w:val="24"/>
    </w:rPr>
  </w:style>
  <w:style w:type="paragraph" w:styleId="Ttulo8">
    <w:name w:val="heading 8"/>
    <w:basedOn w:val="Normal"/>
    <w:next w:val="Normal"/>
    <w:link w:val="Ttulo8Car"/>
    <w:semiHidden/>
    <w:rsid w:val="00C27144"/>
    <w:pPr>
      <w:spacing w:before="240" w:after="60"/>
      <w:outlineLvl w:val="7"/>
    </w:pPr>
    <w:rPr>
      <w:i/>
      <w:iCs/>
      <w:sz w:val="24"/>
      <w:szCs w:val="24"/>
    </w:rPr>
  </w:style>
  <w:style w:type="paragraph" w:styleId="Ttulo9">
    <w:name w:val="heading 9"/>
    <w:basedOn w:val="Normal"/>
    <w:next w:val="Normal"/>
    <w:link w:val="Ttulo9Car"/>
    <w:semiHidden/>
    <w:rsid w:val="00C2714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next w:val="Normal"/>
    <w:link w:val="EncabezadoCar"/>
    <w:qFormat/>
    <w:rsid w:val="00C27144"/>
    <w:pPr>
      <w:pBdr>
        <w:bottom w:val="single" w:sz="4" w:space="4" w:color="auto"/>
      </w:pBdr>
      <w:spacing w:line="240" w:lineRule="auto"/>
    </w:pPr>
    <w:rPr>
      <w:b/>
      <w:sz w:val="18"/>
    </w:rPr>
  </w:style>
  <w:style w:type="character" w:customStyle="1" w:styleId="EncabezadoCar">
    <w:name w:val="Encabezado Car"/>
    <w:aliases w:val="6_G Car"/>
    <w:link w:val="Encabezado"/>
    <w:rsid w:val="0080684C"/>
    <w:rPr>
      <w:rFonts w:eastAsiaTheme="minorEastAsia"/>
      <w:b/>
      <w:sz w:val="18"/>
      <w:lang w:eastAsia="es-ES"/>
    </w:rPr>
  </w:style>
  <w:style w:type="paragraph" w:styleId="Piedepgina">
    <w:name w:val="footer"/>
    <w:aliases w:val="3_G"/>
    <w:basedOn w:val="Normal"/>
    <w:next w:val="Normal"/>
    <w:link w:val="PiedepginaCar"/>
    <w:qFormat/>
    <w:rsid w:val="00C27144"/>
    <w:rPr>
      <w:sz w:val="16"/>
    </w:rPr>
  </w:style>
  <w:style w:type="character" w:customStyle="1" w:styleId="PiedepginaCar">
    <w:name w:val="Pie de página Car"/>
    <w:aliases w:val="3_G Car"/>
    <w:link w:val="Piedepgina"/>
    <w:rsid w:val="0080684C"/>
    <w:rPr>
      <w:rFonts w:eastAsiaTheme="minorEastAsia"/>
      <w:sz w:val="16"/>
      <w:lang w:eastAsia="es-ES"/>
    </w:rPr>
  </w:style>
  <w:style w:type="paragraph" w:customStyle="1" w:styleId="HMG">
    <w:name w:val="_ H __M_G"/>
    <w:basedOn w:val="Normal"/>
    <w:next w:val="Normal"/>
    <w:qFormat/>
    <w:rsid w:val="00C27144"/>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C27144"/>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27144"/>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27144"/>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27144"/>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27144"/>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link w:val="SingleTxtGChar"/>
    <w:qFormat/>
    <w:rsid w:val="00C27144"/>
    <w:pPr>
      <w:spacing w:after="120"/>
      <w:ind w:left="1134" w:right="1134"/>
      <w:jc w:val="both"/>
    </w:pPr>
  </w:style>
  <w:style w:type="paragraph" w:customStyle="1" w:styleId="SLG">
    <w:name w:val="__S_L_G"/>
    <w:basedOn w:val="Normal"/>
    <w:next w:val="Normal"/>
    <w:rsid w:val="00C27144"/>
    <w:pPr>
      <w:keepNext/>
      <w:keepLines/>
      <w:spacing w:before="240" w:after="240" w:line="580" w:lineRule="exact"/>
      <w:ind w:left="1134" w:right="1134"/>
    </w:pPr>
    <w:rPr>
      <w:b/>
      <w:sz w:val="56"/>
    </w:rPr>
  </w:style>
  <w:style w:type="paragraph" w:customStyle="1" w:styleId="SMG">
    <w:name w:val="__S_M_G"/>
    <w:basedOn w:val="Normal"/>
    <w:next w:val="Normal"/>
    <w:rsid w:val="00C27144"/>
    <w:pPr>
      <w:keepNext/>
      <w:keepLines/>
      <w:suppressAutoHyphens/>
      <w:spacing w:before="240" w:after="240" w:line="420" w:lineRule="exact"/>
      <w:ind w:left="1134" w:right="1134"/>
    </w:pPr>
    <w:rPr>
      <w:b/>
      <w:sz w:val="40"/>
    </w:rPr>
  </w:style>
  <w:style w:type="paragraph" w:customStyle="1" w:styleId="SSG">
    <w:name w:val="__S_S_G"/>
    <w:basedOn w:val="Normal"/>
    <w:next w:val="Normal"/>
    <w:rsid w:val="00C27144"/>
    <w:pPr>
      <w:keepNext/>
      <w:keepLines/>
      <w:spacing w:before="240" w:after="240" w:line="300" w:lineRule="exact"/>
      <w:ind w:left="1134" w:right="1134"/>
    </w:pPr>
    <w:rPr>
      <w:b/>
      <w:sz w:val="28"/>
    </w:rPr>
  </w:style>
  <w:style w:type="paragraph" w:customStyle="1" w:styleId="XLargeG">
    <w:name w:val="__XLarge_G"/>
    <w:basedOn w:val="Normal"/>
    <w:next w:val="Normal"/>
    <w:rsid w:val="00C27144"/>
    <w:pPr>
      <w:keepNext/>
      <w:keepLines/>
      <w:spacing w:before="240" w:after="240" w:line="420" w:lineRule="exact"/>
      <w:ind w:left="1134" w:right="1134"/>
    </w:pPr>
    <w:rPr>
      <w:b/>
      <w:sz w:val="40"/>
    </w:rPr>
  </w:style>
  <w:style w:type="paragraph" w:customStyle="1" w:styleId="Bullet1G">
    <w:name w:val="_Bullet 1_G"/>
    <w:basedOn w:val="Normal"/>
    <w:qFormat/>
    <w:rsid w:val="00C27144"/>
    <w:pPr>
      <w:numPr>
        <w:numId w:val="2"/>
      </w:numPr>
      <w:spacing w:after="120"/>
      <w:ind w:right="1134"/>
      <w:jc w:val="both"/>
    </w:pPr>
    <w:rPr>
      <w:lang w:eastAsia="en-US"/>
    </w:rPr>
  </w:style>
  <w:style w:type="paragraph" w:customStyle="1" w:styleId="Bullet2G">
    <w:name w:val="_Bullet 2_G"/>
    <w:basedOn w:val="Normal"/>
    <w:qFormat/>
    <w:rsid w:val="00C27144"/>
    <w:pPr>
      <w:numPr>
        <w:numId w:val="3"/>
      </w:numPr>
      <w:spacing w:after="120"/>
      <w:ind w:right="1134"/>
      <w:jc w:val="both"/>
    </w:pPr>
  </w:style>
  <w:style w:type="character" w:styleId="Refdenotaalpie">
    <w:name w:val="footnote reference"/>
    <w:aliases w:val="4_G"/>
    <w:qFormat/>
    <w:rsid w:val="00C27144"/>
    <w:rPr>
      <w:rFonts w:ascii="Times New Roman" w:hAnsi="Times New Roman"/>
      <w:sz w:val="18"/>
      <w:vertAlign w:val="superscript"/>
    </w:rPr>
  </w:style>
  <w:style w:type="character" w:styleId="Refdenotaalfinal">
    <w:name w:val="endnote reference"/>
    <w:aliases w:val="1_G"/>
    <w:qFormat/>
    <w:rsid w:val="00C27144"/>
    <w:rPr>
      <w:rFonts w:ascii="Times New Roman" w:hAnsi="Times New Roman"/>
      <w:sz w:val="18"/>
      <w:vertAlign w:val="superscript"/>
    </w:rPr>
  </w:style>
  <w:style w:type="table" w:styleId="Tablaconcuadrcula">
    <w:name w:val="Table Grid"/>
    <w:basedOn w:val="Tablanormal"/>
    <w:rsid w:val="00C27144"/>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27144"/>
    <w:rPr>
      <w:color w:val="0000FF"/>
      <w:u w:val="none"/>
    </w:rPr>
  </w:style>
  <w:style w:type="character" w:styleId="Hipervnculovisitado">
    <w:name w:val="FollowedHyperlink"/>
    <w:rsid w:val="00C27144"/>
    <w:rPr>
      <w:color w:val="0000FF"/>
      <w:u w:val="none"/>
    </w:rPr>
  </w:style>
  <w:style w:type="paragraph" w:styleId="Textonotapie">
    <w:name w:val="footnote text"/>
    <w:aliases w:val="5_G"/>
    <w:basedOn w:val="Normal"/>
    <w:link w:val="TextonotapieCar"/>
    <w:qFormat/>
    <w:rsid w:val="00C27144"/>
    <w:pPr>
      <w:tabs>
        <w:tab w:val="right" w:pos="1021"/>
      </w:tabs>
      <w:spacing w:line="220" w:lineRule="exact"/>
      <w:ind w:left="1134" w:right="1134" w:hanging="1134"/>
    </w:pPr>
    <w:rPr>
      <w:sz w:val="18"/>
    </w:rPr>
  </w:style>
  <w:style w:type="character" w:customStyle="1" w:styleId="TextonotapieCar">
    <w:name w:val="Texto nota pie Car"/>
    <w:aliases w:val="5_G Car"/>
    <w:link w:val="Textonotapie"/>
    <w:rsid w:val="0080684C"/>
    <w:rPr>
      <w:rFonts w:eastAsiaTheme="minorEastAsia"/>
      <w:sz w:val="18"/>
      <w:lang w:eastAsia="es-ES"/>
    </w:rPr>
  </w:style>
  <w:style w:type="paragraph" w:styleId="Textonotaalfinal">
    <w:name w:val="endnote text"/>
    <w:aliases w:val="2_G"/>
    <w:basedOn w:val="Textonotapie"/>
    <w:link w:val="TextonotaalfinalCar"/>
    <w:qFormat/>
    <w:rsid w:val="00C27144"/>
  </w:style>
  <w:style w:type="character" w:customStyle="1" w:styleId="TextonotaalfinalCar">
    <w:name w:val="Texto nota al final Car"/>
    <w:aliases w:val="2_G Car"/>
    <w:link w:val="Textonotaalfinal"/>
    <w:rsid w:val="0080684C"/>
    <w:rPr>
      <w:rFonts w:eastAsiaTheme="minorEastAsia"/>
      <w:sz w:val="18"/>
      <w:lang w:eastAsia="es-ES"/>
    </w:rPr>
  </w:style>
  <w:style w:type="character" w:styleId="Nmerodepgina">
    <w:name w:val="page number"/>
    <w:aliases w:val="7_G"/>
    <w:qFormat/>
    <w:rsid w:val="00C27144"/>
    <w:rPr>
      <w:b/>
      <w:sz w:val="18"/>
    </w:rPr>
  </w:style>
  <w:style w:type="character" w:customStyle="1" w:styleId="Ttulo1Car">
    <w:name w:val="Título 1 Car"/>
    <w:aliases w:val="Cuadro_G Car"/>
    <w:basedOn w:val="Fuentedeprrafopredeter"/>
    <w:link w:val="Ttulo1"/>
    <w:rsid w:val="00C27144"/>
    <w:rPr>
      <w:rFonts w:eastAsiaTheme="minorEastAsia"/>
      <w:lang w:val="fr-CH" w:eastAsia="en-US"/>
    </w:rPr>
  </w:style>
  <w:style w:type="character" w:customStyle="1" w:styleId="Ttulo2Car">
    <w:name w:val="Título 2 Car"/>
    <w:link w:val="Ttulo2"/>
    <w:semiHidden/>
    <w:rsid w:val="00023842"/>
    <w:rPr>
      <w:rFonts w:eastAsiaTheme="minorEastAsia" w:cs="Arial"/>
      <w:bCs/>
      <w:iCs/>
      <w:szCs w:val="28"/>
      <w:lang w:eastAsia="es-ES"/>
    </w:rPr>
  </w:style>
  <w:style w:type="character" w:customStyle="1" w:styleId="Ttulo3Car">
    <w:name w:val="Título 3 Car"/>
    <w:link w:val="Ttulo3"/>
    <w:semiHidden/>
    <w:rsid w:val="00023842"/>
    <w:rPr>
      <w:rFonts w:ascii="Arial" w:eastAsiaTheme="minorEastAsia" w:hAnsi="Arial" w:cs="Arial"/>
      <w:b/>
      <w:bCs/>
      <w:sz w:val="26"/>
      <w:szCs w:val="26"/>
      <w:lang w:eastAsia="es-ES"/>
    </w:rPr>
  </w:style>
  <w:style w:type="character" w:customStyle="1" w:styleId="Ttulo4Car">
    <w:name w:val="Título 4 Car"/>
    <w:link w:val="Ttulo4"/>
    <w:semiHidden/>
    <w:rsid w:val="00023842"/>
    <w:rPr>
      <w:rFonts w:eastAsiaTheme="minorEastAsia"/>
      <w:b/>
      <w:bCs/>
      <w:sz w:val="28"/>
      <w:szCs w:val="28"/>
      <w:lang w:eastAsia="es-ES"/>
    </w:rPr>
  </w:style>
  <w:style w:type="character" w:customStyle="1" w:styleId="Ttulo5Car">
    <w:name w:val="Título 5 Car"/>
    <w:link w:val="Ttulo5"/>
    <w:semiHidden/>
    <w:rsid w:val="00023842"/>
    <w:rPr>
      <w:rFonts w:eastAsiaTheme="minorEastAsia"/>
      <w:b/>
      <w:bCs/>
      <w:i/>
      <w:iCs/>
      <w:sz w:val="26"/>
      <w:szCs w:val="26"/>
      <w:lang w:eastAsia="es-ES"/>
    </w:rPr>
  </w:style>
  <w:style w:type="character" w:customStyle="1" w:styleId="Ttulo6Car">
    <w:name w:val="Título 6 Car"/>
    <w:link w:val="Ttulo6"/>
    <w:semiHidden/>
    <w:rsid w:val="00023842"/>
    <w:rPr>
      <w:rFonts w:eastAsiaTheme="minorEastAsia"/>
      <w:b/>
      <w:bCs/>
      <w:sz w:val="22"/>
      <w:szCs w:val="22"/>
      <w:lang w:eastAsia="es-ES"/>
    </w:rPr>
  </w:style>
  <w:style w:type="character" w:customStyle="1" w:styleId="Ttulo7Car">
    <w:name w:val="Título 7 Car"/>
    <w:link w:val="Ttulo7"/>
    <w:semiHidden/>
    <w:rsid w:val="00023842"/>
    <w:rPr>
      <w:rFonts w:eastAsiaTheme="minorEastAsia"/>
      <w:sz w:val="24"/>
      <w:szCs w:val="24"/>
      <w:lang w:eastAsia="es-ES"/>
    </w:rPr>
  </w:style>
  <w:style w:type="character" w:customStyle="1" w:styleId="Ttulo8Car">
    <w:name w:val="Título 8 Car"/>
    <w:link w:val="Ttulo8"/>
    <w:semiHidden/>
    <w:rsid w:val="00023842"/>
    <w:rPr>
      <w:rFonts w:eastAsiaTheme="minorEastAsia"/>
      <w:i/>
      <w:iCs/>
      <w:sz w:val="24"/>
      <w:szCs w:val="24"/>
      <w:lang w:eastAsia="es-ES"/>
    </w:rPr>
  </w:style>
  <w:style w:type="character" w:customStyle="1" w:styleId="Ttulo9Car">
    <w:name w:val="Título 9 Car"/>
    <w:link w:val="Ttulo9"/>
    <w:semiHidden/>
    <w:rsid w:val="00023842"/>
    <w:rPr>
      <w:rFonts w:ascii="Arial" w:eastAsiaTheme="minorEastAsia" w:hAnsi="Arial" w:cs="Arial"/>
      <w:sz w:val="22"/>
      <w:szCs w:val="22"/>
      <w:lang w:eastAsia="es-ES"/>
    </w:rPr>
  </w:style>
  <w:style w:type="paragraph" w:customStyle="1" w:styleId="ParNoG">
    <w:name w:val="_ParNo_G"/>
    <w:basedOn w:val="SingleTxtG"/>
    <w:qFormat/>
    <w:rsid w:val="005706C8"/>
    <w:pPr>
      <w:numPr>
        <w:numId w:val="1"/>
      </w:numPr>
      <w:tabs>
        <w:tab w:val="clear" w:pos="1701"/>
      </w:tabs>
    </w:pPr>
  </w:style>
  <w:style w:type="character" w:customStyle="1" w:styleId="HChGChar">
    <w:name w:val="_ H _Ch_G Char"/>
    <w:link w:val="HChG"/>
    <w:rsid w:val="00F837CB"/>
    <w:rPr>
      <w:rFonts w:eastAsiaTheme="minorEastAsia"/>
      <w:b/>
      <w:sz w:val="28"/>
      <w:lang w:eastAsia="es-ES"/>
    </w:rPr>
  </w:style>
  <w:style w:type="character" w:customStyle="1" w:styleId="SingleTxtGChar">
    <w:name w:val="_ Single Txt_G Char"/>
    <w:link w:val="SingleTxtG"/>
    <w:rsid w:val="00F837CB"/>
    <w:rPr>
      <w:rFonts w:eastAsiaTheme="minorEastAsia"/>
      <w:lang w:eastAsia="es-ES"/>
    </w:rPr>
  </w:style>
  <w:style w:type="paragraph" w:styleId="Textodeglobo">
    <w:name w:val="Balloon Text"/>
    <w:basedOn w:val="Normal"/>
    <w:link w:val="TextodegloboCar"/>
    <w:uiPriority w:val="99"/>
    <w:semiHidden/>
    <w:unhideWhenUsed/>
    <w:rsid w:val="001F147D"/>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1F147D"/>
    <w:rPr>
      <w:rFonts w:ascii="Segoe UI" w:eastAsia="Times New Roman" w:hAnsi="Segoe UI" w:cs="Segoe UI"/>
      <w:sz w:val="18"/>
      <w:szCs w:val="18"/>
    </w:rPr>
  </w:style>
  <w:style w:type="paragraph" w:styleId="Revisin">
    <w:name w:val="Revision"/>
    <w:hidden/>
    <w:uiPriority w:val="99"/>
    <w:semiHidden/>
    <w:rsid w:val="000779D2"/>
    <w:rPr>
      <w:rFonts w:eastAsia="Times New Roman"/>
      <w:lang w:val="fr-CH" w:eastAsia="en-US"/>
    </w:rPr>
  </w:style>
  <w:style w:type="character" w:styleId="Refdecomentario">
    <w:name w:val="annotation reference"/>
    <w:uiPriority w:val="99"/>
    <w:semiHidden/>
    <w:unhideWhenUsed/>
    <w:rsid w:val="00907722"/>
    <w:rPr>
      <w:sz w:val="16"/>
      <w:szCs w:val="16"/>
    </w:rPr>
  </w:style>
  <w:style w:type="paragraph" w:styleId="Textocomentario">
    <w:name w:val="annotation text"/>
    <w:basedOn w:val="Normal"/>
    <w:link w:val="TextocomentarioCar"/>
    <w:uiPriority w:val="99"/>
    <w:semiHidden/>
    <w:unhideWhenUsed/>
    <w:rsid w:val="00907722"/>
    <w:pPr>
      <w:spacing w:line="240" w:lineRule="auto"/>
    </w:pPr>
  </w:style>
  <w:style w:type="character" w:customStyle="1" w:styleId="TextocomentarioCar">
    <w:name w:val="Texto comentario Car"/>
    <w:link w:val="Textocomentario"/>
    <w:uiPriority w:val="99"/>
    <w:semiHidden/>
    <w:rsid w:val="00907722"/>
    <w:rPr>
      <w:rFonts w:eastAsia="Times New Roman"/>
    </w:rPr>
  </w:style>
  <w:style w:type="paragraph" w:styleId="Asuntodelcomentario">
    <w:name w:val="annotation subject"/>
    <w:basedOn w:val="Textocomentario"/>
    <w:next w:val="Textocomentario"/>
    <w:link w:val="AsuntodelcomentarioCar"/>
    <w:uiPriority w:val="99"/>
    <w:semiHidden/>
    <w:unhideWhenUsed/>
    <w:rsid w:val="00907722"/>
    <w:rPr>
      <w:b/>
      <w:bCs/>
    </w:rPr>
  </w:style>
  <w:style w:type="character" w:customStyle="1" w:styleId="AsuntodelcomentarioCar">
    <w:name w:val="Asunto del comentario Car"/>
    <w:link w:val="Asuntodelcomentario"/>
    <w:uiPriority w:val="99"/>
    <w:semiHidden/>
    <w:rsid w:val="00907722"/>
    <w:rPr>
      <w:rFonts w:eastAsia="Times New Roman"/>
      <w:b/>
      <w:bCs/>
    </w:rPr>
  </w:style>
  <w:style w:type="numbering" w:styleId="111111">
    <w:name w:val="Outline List 2"/>
    <w:basedOn w:val="Sinlista"/>
    <w:semiHidden/>
    <w:rsid w:val="00C27144"/>
    <w:pPr>
      <w:numPr>
        <w:numId w:val="4"/>
      </w:numPr>
    </w:pPr>
  </w:style>
  <w:style w:type="numbering" w:styleId="1ai">
    <w:name w:val="Outline List 1"/>
    <w:basedOn w:val="Sinlista"/>
    <w:semiHidden/>
    <w:rsid w:val="00C27144"/>
    <w:pPr>
      <w:numPr>
        <w:numId w:val="5"/>
      </w:numPr>
    </w:pPr>
  </w:style>
  <w:style w:type="character" w:styleId="AcrnimoHTML">
    <w:name w:val="HTML Acronym"/>
    <w:basedOn w:val="Fuentedeprrafopredeter"/>
    <w:semiHidden/>
    <w:rsid w:val="00C27144"/>
  </w:style>
  <w:style w:type="numbering" w:styleId="ArtculoSeccin">
    <w:name w:val="Outline List 3"/>
    <w:basedOn w:val="Sinlista"/>
    <w:semiHidden/>
    <w:rsid w:val="00C27144"/>
    <w:pPr>
      <w:numPr>
        <w:numId w:val="6"/>
      </w:numPr>
    </w:pPr>
  </w:style>
  <w:style w:type="paragraph" w:styleId="Cierre">
    <w:name w:val="Closing"/>
    <w:basedOn w:val="Normal"/>
    <w:link w:val="CierreCar"/>
    <w:semiHidden/>
    <w:rsid w:val="00C27144"/>
    <w:pPr>
      <w:ind w:left="4252"/>
    </w:pPr>
  </w:style>
  <w:style w:type="character" w:customStyle="1" w:styleId="CierreCar">
    <w:name w:val="Cierre Car"/>
    <w:basedOn w:val="Fuentedeprrafopredeter"/>
    <w:link w:val="Cierre"/>
    <w:semiHidden/>
    <w:rsid w:val="00C27144"/>
    <w:rPr>
      <w:rFonts w:eastAsiaTheme="minorEastAsia"/>
      <w:lang w:eastAsia="es-ES"/>
    </w:rPr>
  </w:style>
  <w:style w:type="paragraph" w:styleId="Citadestacada">
    <w:name w:val="Intense Quote"/>
    <w:basedOn w:val="Normal"/>
    <w:next w:val="Normal"/>
    <w:link w:val="CitadestacadaCar"/>
    <w:uiPriority w:val="30"/>
    <w:rsid w:val="00C2714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C27144"/>
    <w:rPr>
      <w:rFonts w:eastAsiaTheme="minorEastAsia"/>
      <w:b/>
      <w:bCs/>
      <w:i/>
      <w:iCs/>
      <w:color w:val="4F81BD"/>
      <w:lang w:eastAsia="es-ES"/>
    </w:rPr>
  </w:style>
  <w:style w:type="character" w:styleId="CitaHTML">
    <w:name w:val="HTML Cite"/>
    <w:semiHidden/>
    <w:rsid w:val="00C27144"/>
    <w:rPr>
      <w:i/>
      <w:iCs/>
    </w:rPr>
  </w:style>
  <w:style w:type="character" w:styleId="CdigoHTML">
    <w:name w:val="HTML Code"/>
    <w:semiHidden/>
    <w:rsid w:val="00C27144"/>
    <w:rPr>
      <w:rFonts w:ascii="Courier New" w:hAnsi="Courier New" w:cs="Courier New"/>
      <w:sz w:val="20"/>
      <w:szCs w:val="20"/>
    </w:rPr>
  </w:style>
  <w:style w:type="paragraph" w:styleId="Continuarlista">
    <w:name w:val="List Continue"/>
    <w:basedOn w:val="Normal"/>
    <w:semiHidden/>
    <w:rsid w:val="00C27144"/>
    <w:pPr>
      <w:spacing w:after="120"/>
      <w:ind w:left="283"/>
    </w:pPr>
  </w:style>
  <w:style w:type="paragraph" w:styleId="Continuarlista2">
    <w:name w:val="List Continue 2"/>
    <w:basedOn w:val="Normal"/>
    <w:semiHidden/>
    <w:rsid w:val="00C27144"/>
    <w:pPr>
      <w:spacing w:after="120"/>
      <w:ind w:left="566"/>
    </w:pPr>
  </w:style>
  <w:style w:type="paragraph" w:styleId="Continuarlista3">
    <w:name w:val="List Continue 3"/>
    <w:basedOn w:val="Normal"/>
    <w:semiHidden/>
    <w:rsid w:val="00C27144"/>
    <w:pPr>
      <w:spacing w:after="120"/>
      <w:ind w:left="849"/>
    </w:pPr>
  </w:style>
  <w:style w:type="paragraph" w:styleId="Continuarlista4">
    <w:name w:val="List Continue 4"/>
    <w:basedOn w:val="Normal"/>
    <w:semiHidden/>
    <w:rsid w:val="00C27144"/>
    <w:pPr>
      <w:spacing w:after="120"/>
      <w:ind w:left="1132"/>
    </w:pPr>
  </w:style>
  <w:style w:type="paragraph" w:styleId="Continuarlista5">
    <w:name w:val="List Continue 5"/>
    <w:basedOn w:val="Normal"/>
    <w:semiHidden/>
    <w:rsid w:val="00C27144"/>
    <w:pPr>
      <w:spacing w:after="120"/>
      <w:ind w:left="1415"/>
    </w:pPr>
  </w:style>
  <w:style w:type="character" w:styleId="DefinicinHTML">
    <w:name w:val="HTML Definition"/>
    <w:semiHidden/>
    <w:rsid w:val="00C27144"/>
    <w:rPr>
      <w:i/>
      <w:iCs/>
    </w:rPr>
  </w:style>
  <w:style w:type="paragraph" w:styleId="DireccinHTML">
    <w:name w:val="HTML Address"/>
    <w:basedOn w:val="Normal"/>
    <w:link w:val="DireccinHTMLCar"/>
    <w:semiHidden/>
    <w:rsid w:val="00C27144"/>
    <w:rPr>
      <w:i/>
      <w:iCs/>
    </w:rPr>
  </w:style>
  <w:style w:type="character" w:customStyle="1" w:styleId="DireccinHTMLCar">
    <w:name w:val="Dirección HTML Car"/>
    <w:basedOn w:val="Fuentedeprrafopredeter"/>
    <w:link w:val="DireccinHTML"/>
    <w:semiHidden/>
    <w:rsid w:val="00C27144"/>
    <w:rPr>
      <w:rFonts w:eastAsiaTheme="minorEastAsia"/>
      <w:i/>
      <w:iCs/>
      <w:lang w:eastAsia="es-ES"/>
    </w:rPr>
  </w:style>
  <w:style w:type="paragraph" w:styleId="Direccinsobre">
    <w:name w:val="envelope address"/>
    <w:basedOn w:val="Normal"/>
    <w:semiHidden/>
    <w:rsid w:val="00C2714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27144"/>
    <w:rPr>
      <w:rFonts w:ascii="Courier New" w:hAnsi="Courier New" w:cs="Courier New"/>
    </w:rPr>
  </w:style>
  <w:style w:type="paragraph" w:styleId="Encabezadodemensaje">
    <w:name w:val="Message Header"/>
    <w:basedOn w:val="Normal"/>
    <w:link w:val="EncabezadodemensajeCar"/>
    <w:semiHidden/>
    <w:rsid w:val="00C27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semiHidden/>
    <w:rsid w:val="00C27144"/>
    <w:rPr>
      <w:rFonts w:ascii="Arial" w:eastAsiaTheme="minorEastAsia" w:hAnsi="Arial" w:cs="Arial"/>
      <w:sz w:val="24"/>
      <w:szCs w:val="24"/>
      <w:shd w:val="pct20" w:color="auto" w:fill="auto"/>
      <w:lang w:eastAsia="es-ES"/>
    </w:rPr>
  </w:style>
  <w:style w:type="paragraph" w:styleId="Encabezadodenota">
    <w:name w:val="Note Heading"/>
    <w:basedOn w:val="Normal"/>
    <w:next w:val="Normal"/>
    <w:link w:val="EncabezadodenotaCar"/>
    <w:semiHidden/>
    <w:rsid w:val="00C27144"/>
  </w:style>
  <w:style w:type="character" w:customStyle="1" w:styleId="EncabezadodenotaCar">
    <w:name w:val="Encabezado de nota Car"/>
    <w:basedOn w:val="Fuentedeprrafopredeter"/>
    <w:link w:val="Encabezadodenota"/>
    <w:semiHidden/>
    <w:rsid w:val="00C27144"/>
    <w:rPr>
      <w:rFonts w:eastAsiaTheme="minorEastAsia"/>
      <w:lang w:eastAsia="es-ES"/>
    </w:rPr>
  </w:style>
  <w:style w:type="character" w:styleId="nfasis">
    <w:name w:val="Emphasis"/>
    <w:rsid w:val="00C27144"/>
    <w:rPr>
      <w:i/>
      <w:iCs/>
    </w:rPr>
  </w:style>
  <w:style w:type="character" w:styleId="nfasisintenso">
    <w:name w:val="Intense Emphasis"/>
    <w:uiPriority w:val="21"/>
    <w:rsid w:val="00C27144"/>
    <w:rPr>
      <w:b/>
      <w:bCs/>
      <w:i/>
      <w:iCs/>
      <w:color w:val="4F81BD"/>
    </w:rPr>
  </w:style>
  <w:style w:type="paragraph" w:styleId="Fecha">
    <w:name w:val="Date"/>
    <w:basedOn w:val="Normal"/>
    <w:next w:val="Normal"/>
    <w:link w:val="FechaCar"/>
    <w:semiHidden/>
    <w:rsid w:val="00C27144"/>
  </w:style>
  <w:style w:type="character" w:customStyle="1" w:styleId="FechaCar">
    <w:name w:val="Fecha Car"/>
    <w:basedOn w:val="Fuentedeprrafopredeter"/>
    <w:link w:val="Fecha"/>
    <w:semiHidden/>
    <w:rsid w:val="00C27144"/>
    <w:rPr>
      <w:rFonts w:eastAsiaTheme="minorEastAsia"/>
      <w:lang w:eastAsia="es-ES"/>
    </w:rPr>
  </w:style>
  <w:style w:type="paragraph" w:styleId="Firma">
    <w:name w:val="Signature"/>
    <w:basedOn w:val="Normal"/>
    <w:link w:val="FirmaCar"/>
    <w:semiHidden/>
    <w:rsid w:val="00C27144"/>
    <w:pPr>
      <w:ind w:left="4252"/>
    </w:pPr>
  </w:style>
  <w:style w:type="character" w:customStyle="1" w:styleId="FirmaCar">
    <w:name w:val="Firma Car"/>
    <w:basedOn w:val="Fuentedeprrafopredeter"/>
    <w:link w:val="Firma"/>
    <w:semiHidden/>
    <w:rsid w:val="00C27144"/>
    <w:rPr>
      <w:rFonts w:eastAsiaTheme="minorEastAsia"/>
      <w:lang w:eastAsia="es-ES"/>
    </w:rPr>
  </w:style>
  <w:style w:type="paragraph" w:styleId="Firmadecorreoelectrnico">
    <w:name w:val="E-mail Signature"/>
    <w:basedOn w:val="Normal"/>
    <w:link w:val="FirmadecorreoelectrnicoCar"/>
    <w:semiHidden/>
    <w:rsid w:val="00C27144"/>
  </w:style>
  <w:style w:type="character" w:customStyle="1" w:styleId="FirmadecorreoelectrnicoCar">
    <w:name w:val="Firma de correo electrónico Car"/>
    <w:basedOn w:val="Fuentedeprrafopredeter"/>
    <w:link w:val="Firmadecorreoelectrnico"/>
    <w:semiHidden/>
    <w:rsid w:val="00C27144"/>
    <w:rPr>
      <w:rFonts w:eastAsiaTheme="minorEastAsia"/>
      <w:lang w:eastAsia="es-ES"/>
    </w:rPr>
  </w:style>
  <w:style w:type="paragraph" w:styleId="HTMLconformatoprevio">
    <w:name w:val="HTML Preformatted"/>
    <w:basedOn w:val="Normal"/>
    <w:link w:val="HTMLconformatoprevioCar"/>
    <w:semiHidden/>
    <w:rsid w:val="00C27144"/>
    <w:rPr>
      <w:rFonts w:ascii="Courier New" w:hAnsi="Courier New" w:cs="Courier New"/>
    </w:rPr>
  </w:style>
  <w:style w:type="character" w:customStyle="1" w:styleId="HTMLconformatoprevioCar">
    <w:name w:val="HTML con formato previo Car"/>
    <w:basedOn w:val="Fuentedeprrafopredeter"/>
    <w:link w:val="HTMLconformatoprevio"/>
    <w:semiHidden/>
    <w:rsid w:val="00C27144"/>
    <w:rPr>
      <w:rFonts w:ascii="Courier New" w:eastAsiaTheme="minorEastAsia" w:hAnsi="Courier New" w:cs="Courier New"/>
      <w:lang w:eastAsia="es-ES"/>
    </w:rPr>
  </w:style>
  <w:style w:type="paragraph" w:styleId="Lista">
    <w:name w:val="List"/>
    <w:basedOn w:val="Normal"/>
    <w:semiHidden/>
    <w:rsid w:val="00C27144"/>
    <w:pPr>
      <w:ind w:left="283" w:hanging="283"/>
    </w:pPr>
  </w:style>
  <w:style w:type="paragraph" w:styleId="Lista2">
    <w:name w:val="List 2"/>
    <w:basedOn w:val="Normal"/>
    <w:semiHidden/>
    <w:rsid w:val="00C27144"/>
    <w:pPr>
      <w:ind w:left="566" w:hanging="283"/>
    </w:pPr>
  </w:style>
  <w:style w:type="paragraph" w:styleId="Lista3">
    <w:name w:val="List 3"/>
    <w:basedOn w:val="Normal"/>
    <w:semiHidden/>
    <w:rsid w:val="00C27144"/>
    <w:pPr>
      <w:ind w:left="849" w:hanging="283"/>
    </w:pPr>
  </w:style>
  <w:style w:type="paragraph" w:styleId="Lista4">
    <w:name w:val="List 4"/>
    <w:basedOn w:val="Normal"/>
    <w:semiHidden/>
    <w:rsid w:val="00C27144"/>
    <w:pPr>
      <w:ind w:left="1132" w:hanging="283"/>
    </w:pPr>
  </w:style>
  <w:style w:type="paragraph" w:styleId="Lista5">
    <w:name w:val="List 5"/>
    <w:basedOn w:val="Normal"/>
    <w:semiHidden/>
    <w:rsid w:val="00C27144"/>
    <w:pPr>
      <w:ind w:left="1415" w:hanging="283"/>
    </w:pPr>
  </w:style>
  <w:style w:type="paragraph" w:styleId="Listaconnmeros">
    <w:name w:val="List Number"/>
    <w:basedOn w:val="Normal"/>
    <w:semiHidden/>
    <w:rsid w:val="00C27144"/>
    <w:pPr>
      <w:numPr>
        <w:numId w:val="7"/>
      </w:numPr>
    </w:pPr>
  </w:style>
  <w:style w:type="paragraph" w:styleId="Listaconnmeros2">
    <w:name w:val="List Number 2"/>
    <w:basedOn w:val="Normal"/>
    <w:semiHidden/>
    <w:rsid w:val="00C27144"/>
    <w:pPr>
      <w:numPr>
        <w:numId w:val="8"/>
      </w:numPr>
    </w:pPr>
  </w:style>
  <w:style w:type="paragraph" w:styleId="Listaconnmeros3">
    <w:name w:val="List Number 3"/>
    <w:basedOn w:val="Normal"/>
    <w:semiHidden/>
    <w:rsid w:val="00C27144"/>
    <w:pPr>
      <w:numPr>
        <w:numId w:val="9"/>
      </w:numPr>
    </w:pPr>
  </w:style>
  <w:style w:type="paragraph" w:styleId="Listaconnmeros4">
    <w:name w:val="List Number 4"/>
    <w:basedOn w:val="Normal"/>
    <w:semiHidden/>
    <w:rsid w:val="00C27144"/>
    <w:pPr>
      <w:numPr>
        <w:numId w:val="10"/>
      </w:numPr>
    </w:pPr>
  </w:style>
  <w:style w:type="paragraph" w:styleId="Listaconnmeros5">
    <w:name w:val="List Number 5"/>
    <w:basedOn w:val="Normal"/>
    <w:semiHidden/>
    <w:rsid w:val="00C27144"/>
    <w:pPr>
      <w:numPr>
        <w:numId w:val="11"/>
      </w:numPr>
    </w:pPr>
  </w:style>
  <w:style w:type="paragraph" w:styleId="Listaconvietas">
    <w:name w:val="List Bullet"/>
    <w:basedOn w:val="Normal"/>
    <w:semiHidden/>
    <w:rsid w:val="00C27144"/>
    <w:pPr>
      <w:numPr>
        <w:numId w:val="12"/>
      </w:numPr>
    </w:pPr>
  </w:style>
  <w:style w:type="paragraph" w:styleId="Listaconvietas2">
    <w:name w:val="List Bullet 2"/>
    <w:basedOn w:val="Normal"/>
    <w:semiHidden/>
    <w:rsid w:val="00C27144"/>
    <w:pPr>
      <w:numPr>
        <w:numId w:val="13"/>
      </w:numPr>
    </w:pPr>
  </w:style>
  <w:style w:type="paragraph" w:styleId="Listaconvietas3">
    <w:name w:val="List Bullet 3"/>
    <w:basedOn w:val="Normal"/>
    <w:semiHidden/>
    <w:rsid w:val="00C27144"/>
    <w:pPr>
      <w:numPr>
        <w:numId w:val="14"/>
      </w:numPr>
    </w:pPr>
  </w:style>
  <w:style w:type="paragraph" w:styleId="Listaconvietas4">
    <w:name w:val="List Bullet 4"/>
    <w:basedOn w:val="Normal"/>
    <w:semiHidden/>
    <w:rsid w:val="00C27144"/>
    <w:pPr>
      <w:numPr>
        <w:numId w:val="15"/>
      </w:numPr>
    </w:pPr>
  </w:style>
  <w:style w:type="paragraph" w:styleId="Listaconvietas5">
    <w:name w:val="List Bullet 5"/>
    <w:basedOn w:val="Normal"/>
    <w:semiHidden/>
    <w:rsid w:val="00C27144"/>
    <w:pPr>
      <w:numPr>
        <w:numId w:val="16"/>
      </w:numPr>
    </w:pPr>
  </w:style>
  <w:style w:type="character" w:styleId="MquinadeescribirHTML">
    <w:name w:val="HTML Typewriter"/>
    <w:semiHidden/>
    <w:rsid w:val="00C27144"/>
    <w:rPr>
      <w:rFonts w:ascii="Courier New" w:hAnsi="Courier New" w:cs="Courier New"/>
      <w:sz w:val="20"/>
      <w:szCs w:val="20"/>
    </w:rPr>
  </w:style>
  <w:style w:type="paragraph" w:styleId="NormalWeb">
    <w:name w:val="Normal (Web)"/>
    <w:basedOn w:val="Normal"/>
    <w:semiHidden/>
    <w:rsid w:val="00C27144"/>
    <w:rPr>
      <w:sz w:val="24"/>
      <w:szCs w:val="24"/>
    </w:rPr>
  </w:style>
  <w:style w:type="character" w:styleId="Nmerodelnea">
    <w:name w:val="line number"/>
    <w:basedOn w:val="Fuentedeprrafopredeter"/>
    <w:semiHidden/>
    <w:rsid w:val="00C27144"/>
  </w:style>
  <w:style w:type="paragraph" w:styleId="Remitedesobre">
    <w:name w:val="envelope return"/>
    <w:basedOn w:val="Normal"/>
    <w:semiHidden/>
    <w:rsid w:val="00C27144"/>
    <w:rPr>
      <w:rFonts w:ascii="Arial" w:hAnsi="Arial" w:cs="Arial"/>
    </w:rPr>
  </w:style>
  <w:style w:type="paragraph" w:styleId="Saludo">
    <w:name w:val="Salutation"/>
    <w:basedOn w:val="Normal"/>
    <w:next w:val="Normal"/>
    <w:link w:val="SaludoCar"/>
    <w:semiHidden/>
    <w:rsid w:val="00C27144"/>
  </w:style>
  <w:style w:type="character" w:customStyle="1" w:styleId="SaludoCar">
    <w:name w:val="Saludo Car"/>
    <w:basedOn w:val="Fuentedeprrafopredeter"/>
    <w:link w:val="Saludo"/>
    <w:semiHidden/>
    <w:rsid w:val="00C27144"/>
    <w:rPr>
      <w:rFonts w:eastAsiaTheme="minorEastAsia"/>
      <w:lang w:eastAsia="es-ES"/>
    </w:rPr>
  </w:style>
  <w:style w:type="paragraph" w:styleId="Sangra2detindependiente">
    <w:name w:val="Body Text Indent 2"/>
    <w:basedOn w:val="Normal"/>
    <w:link w:val="Sangra2detindependienteCar"/>
    <w:semiHidden/>
    <w:rsid w:val="00C27144"/>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C27144"/>
    <w:rPr>
      <w:rFonts w:eastAsiaTheme="minorEastAsia"/>
      <w:lang w:eastAsia="es-ES"/>
    </w:rPr>
  </w:style>
  <w:style w:type="paragraph" w:styleId="Sangra3detindependiente">
    <w:name w:val="Body Text Indent 3"/>
    <w:basedOn w:val="Normal"/>
    <w:link w:val="Sangra3detindependienteCar"/>
    <w:semiHidden/>
    <w:rsid w:val="00C27144"/>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C27144"/>
    <w:rPr>
      <w:rFonts w:eastAsiaTheme="minorEastAsia"/>
      <w:sz w:val="16"/>
      <w:szCs w:val="16"/>
      <w:lang w:eastAsia="es-ES"/>
    </w:rPr>
  </w:style>
  <w:style w:type="paragraph" w:styleId="Sangradetextonormal">
    <w:name w:val="Body Text Indent"/>
    <w:basedOn w:val="Normal"/>
    <w:link w:val="SangradetextonormalCar"/>
    <w:semiHidden/>
    <w:rsid w:val="00C27144"/>
    <w:pPr>
      <w:spacing w:after="120"/>
      <w:ind w:left="283"/>
    </w:pPr>
  </w:style>
  <w:style w:type="character" w:customStyle="1" w:styleId="SangradetextonormalCar">
    <w:name w:val="Sangría de texto normal Car"/>
    <w:basedOn w:val="Fuentedeprrafopredeter"/>
    <w:link w:val="Sangradetextonormal"/>
    <w:semiHidden/>
    <w:rsid w:val="00C27144"/>
    <w:rPr>
      <w:rFonts w:eastAsiaTheme="minorEastAsia"/>
      <w:lang w:eastAsia="es-ES"/>
    </w:rPr>
  </w:style>
  <w:style w:type="paragraph" w:styleId="Sangranormal">
    <w:name w:val="Normal Indent"/>
    <w:basedOn w:val="Normal"/>
    <w:semiHidden/>
    <w:rsid w:val="00C27144"/>
    <w:pPr>
      <w:ind w:left="567"/>
    </w:pPr>
  </w:style>
  <w:style w:type="paragraph" w:styleId="Subttulo">
    <w:name w:val="Subtitle"/>
    <w:basedOn w:val="Normal"/>
    <w:link w:val="SubttuloCar"/>
    <w:semiHidden/>
    <w:rsid w:val="00C27144"/>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semiHidden/>
    <w:rsid w:val="00C27144"/>
    <w:rPr>
      <w:rFonts w:ascii="Arial" w:eastAsiaTheme="minorEastAsia" w:hAnsi="Arial" w:cs="Arial"/>
      <w:sz w:val="24"/>
      <w:szCs w:val="24"/>
      <w:lang w:eastAsia="es-ES"/>
    </w:rPr>
  </w:style>
  <w:style w:type="table" w:styleId="Tablabsica1">
    <w:name w:val="Table Simple 1"/>
    <w:basedOn w:val="Tablanormal"/>
    <w:semiHidden/>
    <w:rsid w:val="00C27144"/>
    <w:pPr>
      <w:spacing w:line="240" w:lineRule="atLeast"/>
    </w:pPr>
    <w:rPr>
      <w:rFonts w:eastAsiaTheme="minorEastAsia"/>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27144"/>
    <w:pPr>
      <w:spacing w:line="240" w:lineRule="atLeast"/>
    </w:pPr>
    <w:rPr>
      <w:rFonts w:eastAsiaTheme="minorEastAsia"/>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27144"/>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27144"/>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27144"/>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27144"/>
    <w:pPr>
      <w:spacing w:line="240" w:lineRule="atLeast"/>
    </w:pPr>
    <w:rPr>
      <w:rFonts w:eastAsiaTheme="minorEastAsia"/>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27144"/>
    <w:pPr>
      <w:spacing w:line="240" w:lineRule="atLeast"/>
    </w:pPr>
    <w:rPr>
      <w:rFonts w:eastAsiaTheme="minorEastAsia"/>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27144"/>
    <w:pPr>
      <w:spacing w:line="240" w:lineRule="atLeast"/>
    </w:pPr>
    <w:rPr>
      <w:rFonts w:eastAsiaTheme="minorEastAsia"/>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27144"/>
    <w:pPr>
      <w:spacing w:line="240" w:lineRule="atLeast"/>
    </w:pPr>
    <w:rPr>
      <w:rFonts w:eastAsiaTheme="minorEastAsia"/>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27144"/>
    <w:pPr>
      <w:spacing w:line="240" w:lineRule="atLeast"/>
    </w:pPr>
    <w:rPr>
      <w:rFonts w:eastAsiaTheme="minorEastAsia"/>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27144"/>
    <w:pPr>
      <w:spacing w:line="240" w:lineRule="atLeast"/>
    </w:pPr>
    <w:rPr>
      <w:rFonts w:eastAsiaTheme="minorEastAsia"/>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27144"/>
    <w:pPr>
      <w:spacing w:line="240" w:lineRule="atLeast"/>
    </w:pPr>
    <w:rPr>
      <w:rFonts w:eastAsiaTheme="minorEastAsia"/>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27144"/>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27144"/>
    <w:pPr>
      <w:spacing w:line="240" w:lineRule="atLeast"/>
    </w:pPr>
    <w:rPr>
      <w:rFonts w:eastAsiaTheme="minorEastAsia"/>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27144"/>
    <w:pPr>
      <w:spacing w:line="240" w:lineRule="atLeast"/>
    </w:pPr>
    <w:rPr>
      <w:rFonts w:eastAsiaTheme="minorEastAsia"/>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27144"/>
    <w:pPr>
      <w:spacing w:line="240" w:lineRule="atLeast"/>
    </w:pPr>
    <w:rPr>
      <w:rFonts w:eastAsiaTheme="minorEastAsia"/>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27144"/>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27144"/>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27144"/>
    <w:pPr>
      <w:spacing w:line="240" w:lineRule="atLeast"/>
    </w:pPr>
    <w:rPr>
      <w:rFonts w:eastAsiaTheme="minorEastAsia"/>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27144"/>
    <w:pPr>
      <w:spacing w:line="240" w:lineRule="atLeast"/>
    </w:pPr>
    <w:rPr>
      <w:rFonts w:eastAsiaTheme="minorEastAsia"/>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27144"/>
    <w:pPr>
      <w:spacing w:line="240" w:lineRule="atLeast"/>
    </w:pPr>
    <w:rPr>
      <w:rFonts w:eastAsiaTheme="minorEastAsia"/>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27144"/>
    <w:pPr>
      <w:spacing w:line="240" w:lineRule="atLeast"/>
    </w:pPr>
    <w:rPr>
      <w:rFonts w:eastAsiaTheme="minorEastAsia"/>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27144"/>
    <w:pPr>
      <w:spacing w:line="240" w:lineRule="atLeast"/>
    </w:pPr>
    <w:rPr>
      <w:rFonts w:eastAsiaTheme="minorEastAsia"/>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27144"/>
    <w:pPr>
      <w:spacing w:line="240" w:lineRule="atLeast"/>
    </w:pPr>
    <w:rPr>
      <w:rFonts w:eastAsiaTheme="minorEastAsia"/>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27144"/>
    <w:pPr>
      <w:spacing w:line="240" w:lineRule="atLeast"/>
    </w:pPr>
    <w:rPr>
      <w:rFonts w:eastAsiaTheme="minorEastAsia"/>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27144"/>
    <w:pPr>
      <w:spacing w:line="240" w:lineRule="atLeast"/>
    </w:pPr>
    <w:rPr>
      <w:rFonts w:eastAsiaTheme="minorEastAsia"/>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27144"/>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27144"/>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27144"/>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27144"/>
    <w:pPr>
      <w:spacing w:line="240" w:lineRule="atLeast"/>
    </w:pPr>
    <w:rPr>
      <w:rFonts w:eastAsiaTheme="minorEastAsia"/>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27144"/>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27144"/>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27144"/>
    <w:pPr>
      <w:spacing w:line="240" w:lineRule="atLeast"/>
    </w:pPr>
    <w:rPr>
      <w:rFonts w:eastAsiaTheme="minorEastAsia"/>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27144"/>
    <w:pPr>
      <w:spacing w:line="240" w:lineRule="atLeast"/>
    </w:pPr>
    <w:rPr>
      <w:rFonts w:eastAsiaTheme="minorEastAsia"/>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27144"/>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27144"/>
    <w:pPr>
      <w:spacing w:line="240" w:lineRule="atLeast"/>
    </w:pPr>
    <w:rPr>
      <w:rFonts w:eastAsiaTheme="minorEastAsia"/>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27144"/>
    <w:pPr>
      <w:spacing w:line="240" w:lineRule="atLeast"/>
    </w:pPr>
    <w:rPr>
      <w:rFonts w:eastAsiaTheme="minorEastAsia"/>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27144"/>
    <w:pPr>
      <w:spacing w:line="240" w:lineRule="atLeast"/>
    </w:pPr>
    <w:rPr>
      <w:rFonts w:eastAsiaTheme="minorEastAsia"/>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27144"/>
    <w:pPr>
      <w:spacing w:line="240" w:lineRule="atLeast"/>
    </w:pPr>
    <w:rPr>
      <w:rFonts w:eastAsiaTheme="minorEastAsia"/>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27144"/>
    <w:pPr>
      <w:spacing w:line="240" w:lineRule="atLeast"/>
    </w:pPr>
    <w:rPr>
      <w:rFonts w:eastAsiaTheme="minorEastAsia"/>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27144"/>
    <w:pPr>
      <w:spacing w:line="240" w:lineRule="atLeast"/>
    </w:pPr>
    <w:rPr>
      <w:rFonts w:eastAsiaTheme="minorEastAsia"/>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27144"/>
    <w:pPr>
      <w:spacing w:line="240" w:lineRule="atLeast"/>
    </w:pPr>
    <w:rPr>
      <w:rFonts w:eastAsiaTheme="minorEastAsia"/>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27144"/>
    <w:pPr>
      <w:spacing w:line="240" w:lineRule="atLeast"/>
    </w:pPr>
    <w:rPr>
      <w:rFonts w:eastAsiaTheme="minorEastAsia"/>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27144"/>
    <w:rPr>
      <w:rFonts w:ascii="Courier New" w:hAnsi="Courier New" w:cs="Courier New"/>
      <w:sz w:val="20"/>
      <w:szCs w:val="20"/>
    </w:rPr>
  </w:style>
  <w:style w:type="paragraph" w:styleId="Textodebloque">
    <w:name w:val="Block Text"/>
    <w:basedOn w:val="Normal"/>
    <w:semiHidden/>
    <w:rsid w:val="00C27144"/>
    <w:pPr>
      <w:spacing w:after="120"/>
      <w:ind w:left="1440" w:right="1440"/>
    </w:pPr>
  </w:style>
  <w:style w:type="character" w:styleId="Textoennegrita">
    <w:name w:val="Strong"/>
    <w:rsid w:val="00C27144"/>
    <w:rPr>
      <w:b/>
      <w:bCs/>
    </w:rPr>
  </w:style>
  <w:style w:type="paragraph" w:styleId="Textoindependiente">
    <w:name w:val="Body Text"/>
    <w:basedOn w:val="Normal"/>
    <w:link w:val="TextoindependienteCar"/>
    <w:semiHidden/>
    <w:rsid w:val="00C27144"/>
    <w:pPr>
      <w:spacing w:after="120"/>
    </w:pPr>
  </w:style>
  <w:style w:type="character" w:customStyle="1" w:styleId="TextoindependienteCar">
    <w:name w:val="Texto independiente Car"/>
    <w:basedOn w:val="Fuentedeprrafopredeter"/>
    <w:link w:val="Textoindependiente"/>
    <w:semiHidden/>
    <w:rsid w:val="00C27144"/>
    <w:rPr>
      <w:rFonts w:eastAsiaTheme="minorEastAsia"/>
      <w:lang w:eastAsia="es-ES"/>
    </w:rPr>
  </w:style>
  <w:style w:type="paragraph" w:styleId="Textoindependiente2">
    <w:name w:val="Body Text 2"/>
    <w:basedOn w:val="Normal"/>
    <w:link w:val="Textoindependiente2Car"/>
    <w:semiHidden/>
    <w:rsid w:val="00C27144"/>
    <w:pPr>
      <w:spacing w:after="120" w:line="480" w:lineRule="auto"/>
    </w:pPr>
  </w:style>
  <w:style w:type="character" w:customStyle="1" w:styleId="Textoindependiente2Car">
    <w:name w:val="Texto independiente 2 Car"/>
    <w:basedOn w:val="Fuentedeprrafopredeter"/>
    <w:link w:val="Textoindependiente2"/>
    <w:semiHidden/>
    <w:rsid w:val="00C27144"/>
    <w:rPr>
      <w:rFonts w:eastAsiaTheme="minorEastAsia"/>
      <w:lang w:eastAsia="es-ES"/>
    </w:rPr>
  </w:style>
  <w:style w:type="paragraph" w:styleId="Textoindependiente3">
    <w:name w:val="Body Text 3"/>
    <w:basedOn w:val="Normal"/>
    <w:link w:val="Textoindependiente3Car"/>
    <w:semiHidden/>
    <w:rsid w:val="00C27144"/>
    <w:pPr>
      <w:spacing w:after="120"/>
    </w:pPr>
    <w:rPr>
      <w:sz w:val="16"/>
      <w:szCs w:val="16"/>
    </w:rPr>
  </w:style>
  <w:style w:type="character" w:customStyle="1" w:styleId="Textoindependiente3Car">
    <w:name w:val="Texto independiente 3 Car"/>
    <w:basedOn w:val="Fuentedeprrafopredeter"/>
    <w:link w:val="Textoindependiente3"/>
    <w:semiHidden/>
    <w:rsid w:val="00C27144"/>
    <w:rPr>
      <w:rFonts w:eastAsiaTheme="minorEastAsia"/>
      <w:sz w:val="16"/>
      <w:szCs w:val="16"/>
      <w:lang w:eastAsia="es-ES"/>
    </w:rPr>
  </w:style>
  <w:style w:type="paragraph" w:styleId="Textoindependienteprimerasangra">
    <w:name w:val="Body Text First Indent"/>
    <w:basedOn w:val="Textoindependiente"/>
    <w:link w:val="TextoindependienteprimerasangraCar"/>
    <w:semiHidden/>
    <w:rsid w:val="00C27144"/>
    <w:pPr>
      <w:ind w:firstLine="210"/>
    </w:pPr>
  </w:style>
  <w:style w:type="character" w:customStyle="1" w:styleId="TextoindependienteprimerasangraCar">
    <w:name w:val="Texto independiente primera sangría Car"/>
    <w:basedOn w:val="TextoindependienteCar"/>
    <w:link w:val="Textoindependienteprimerasangra"/>
    <w:semiHidden/>
    <w:rsid w:val="00C27144"/>
    <w:rPr>
      <w:rFonts w:eastAsiaTheme="minorEastAsia"/>
      <w:lang w:eastAsia="es-ES"/>
    </w:rPr>
  </w:style>
  <w:style w:type="paragraph" w:styleId="Textoindependienteprimerasangra2">
    <w:name w:val="Body Text First Indent 2"/>
    <w:basedOn w:val="Sangradetextonormal"/>
    <w:link w:val="Textoindependienteprimerasangra2Car"/>
    <w:semiHidden/>
    <w:rsid w:val="00C27144"/>
    <w:pPr>
      <w:ind w:firstLine="210"/>
    </w:pPr>
  </w:style>
  <w:style w:type="character" w:customStyle="1" w:styleId="Textoindependienteprimerasangra2Car">
    <w:name w:val="Texto independiente primera sangría 2 Car"/>
    <w:basedOn w:val="SangradetextonormalCar"/>
    <w:link w:val="Textoindependienteprimerasangra2"/>
    <w:semiHidden/>
    <w:rsid w:val="00C27144"/>
    <w:rPr>
      <w:rFonts w:eastAsiaTheme="minorEastAsia"/>
      <w:lang w:eastAsia="es-ES"/>
    </w:rPr>
  </w:style>
  <w:style w:type="paragraph" w:styleId="Textosinformato">
    <w:name w:val="Plain Text"/>
    <w:basedOn w:val="Normal"/>
    <w:link w:val="TextosinformatoCar"/>
    <w:semiHidden/>
    <w:rsid w:val="00C27144"/>
    <w:rPr>
      <w:rFonts w:ascii="Courier New" w:hAnsi="Courier New" w:cs="Courier New"/>
    </w:rPr>
  </w:style>
  <w:style w:type="character" w:customStyle="1" w:styleId="TextosinformatoCar">
    <w:name w:val="Texto sin formato Car"/>
    <w:basedOn w:val="Fuentedeprrafopredeter"/>
    <w:link w:val="Textosinformato"/>
    <w:semiHidden/>
    <w:rsid w:val="00C27144"/>
    <w:rPr>
      <w:rFonts w:ascii="Courier New" w:eastAsiaTheme="minorEastAsia" w:hAnsi="Courier New" w:cs="Courier New"/>
      <w:lang w:eastAsia="es-ES"/>
    </w:rPr>
  </w:style>
  <w:style w:type="paragraph" w:styleId="Ttulo">
    <w:name w:val="Title"/>
    <w:basedOn w:val="Normal"/>
    <w:link w:val="TtuloCar"/>
    <w:rsid w:val="00C27144"/>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C27144"/>
    <w:rPr>
      <w:rFonts w:ascii="Arial" w:eastAsiaTheme="minorEastAsia" w:hAnsi="Arial" w:cs="Arial"/>
      <w:b/>
      <w:bCs/>
      <w:kern w:val="28"/>
      <w:sz w:val="32"/>
      <w:szCs w:val="32"/>
      <w:lang w:eastAsia="es-ES"/>
    </w:rPr>
  </w:style>
  <w:style w:type="character" w:styleId="VariableHTML">
    <w:name w:val="HTML Variable"/>
    <w:semiHidden/>
    <w:rsid w:val="00C271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46CED586CAA46BB6BF141FE36253E" ma:contentTypeVersion="0" ma:contentTypeDescription="Create a new document." ma:contentTypeScope="" ma:versionID="5f6afbaa454b76021dc47ebf6bc888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D8C1-9F00-476D-A81F-103F84D8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5331D0-3599-4EBD-8385-A4B18D881CA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3B726A4-C87B-4A8C-A5C7-CA3C57738263}">
  <ds:schemaRefs>
    <ds:schemaRef ds:uri="http://schemas.microsoft.com/sharepoint/v3/contenttype/forms"/>
  </ds:schemaRefs>
</ds:datastoreItem>
</file>

<file path=customXml/itemProps4.xml><?xml version="1.0" encoding="utf-8"?>
<ds:datastoreItem xmlns:ds="http://schemas.openxmlformats.org/officeDocument/2006/customXml" ds:itemID="{B07CFAE5-C4D0-441D-9DAB-A1D39C11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3892</Words>
  <Characters>21406</Characters>
  <Application>Microsoft Office Word</Application>
  <DocSecurity>0</DocSecurity>
  <Lines>178</Lines>
  <Paragraphs>50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CAT/OP/ESP/2</vt:lpstr>
      <vt:lpstr/>
      <vt:lpstr/>
    </vt:vector>
  </TitlesOfParts>
  <Company>OHCHR</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SERIDJ Youcef</dc:creator>
  <cp:keywords/>
  <dc:description/>
  <cp:lastModifiedBy>Maria De La Plaza</cp:lastModifiedBy>
  <cp:revision>3</cp:revision>
  <cp:lastPrinted>2018-09-04T09:45:00Z</cp:lastPrinted>
  <dcterms:created xsi:type="dcterms:W3CDTF">2018-09-04T09:45:00Z</dcterms:created>
  <dcterms:modified xsi:type="dcterms:W3CDTF">2018-09-04T09:45:00Z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0x010100E5A46CED586CAA46BB6BF141FE36253E</vt:lpwstr>
  </property>
</Properties>
</file>