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2968"/>
        <w:gridCol w:w="3118"/>
      </w:tblGrid>
      <w:tr w:rsidR="002D5AAC" w:rsidTr="00B11A19">
        <w:trPr>
          <w:trHeight w:hRule="exact" w:val="851"/>
        </w:trPr>
        <w:tc>
          <w:tcPr>
            <w:tcW w:w="1280" w:type="dxa"/>
            <w:tcBorders>
              <w:bottom w:val="single" w:sz="4" w:space="0" w:color="auto"/>
            </w:tcBorders>
            <w:shd w:val="clear" w:color="auto" w:fill="auto"/>
          </w:tcPr>
          <w:p w:rsidR="002D5AAC" w:rsidRDefault="002D5AAC" w:rsidP="00A161E1">
            <w:pPr>
              <w:suppressAutoHyphens/>
            </w:pPr>
          </w:p>
        </w:tc>
        <w:tc>
          <w:tcPr>
            <w:tcW w:w="2273" w:type="dxa"/>
            <w:tcBorders>
              <w:bottom w:val="single" w:sz="4" w:space="0" w:color="auto"/>
            </w:tcBorders>
            <w:shd w:val="clear" w:color="auto" w:fill="auto"/>
            <w:vAlign w:val="bottom"/>
          </w:tcPr>
          <w:p w:rsidR="002D5AAC" w:rsidRPr="00A161E1" w:rsidRDefault="00BD33EE" w:rsidP="00A161E1">
            <w:pPr>
              <w:suppressAutoHyphens/>
              <w:spacing w:after="80" w:line="300" w:lineRule="exact"/>
              <w:rPr>
                <w:sz w:val="28"/>
              </w:rPr>
            </w:pPr>
            <w:r w:rsidRPr="00A161E1">
              <w:rPr>
                <w:sz w:val="28"/>
              </w:rPr>
              <w:t>Naciones Unidas</w:t>
            </w:r>
          </w:p>
        </w:tc>
        <w:tc>
          <w:tcPr>
            <w:tcW w:w="6086" w:type="dxa"/>
            <w:gridSpan w:val="2"/>
            <w:tcBorders>
              <w:bottom w:val="single" w:sz="4" w:space="0" w:color="auto"/>
            </w:tcBorders>
            <w:shd w:val="clear" w:color="auto" w:fill="auto"/>
            <w:vAlign w:val="bottom"/>
          </w:tcPr>
          <w:p w:rsidR="002D5AAC" w:rsidRDefault="00B11A19" w:rsidP="00227796">
            <w:pPr>
              <w:suppressAutoHyphens/>
              <w:jc w:val="right"/>
            </w:pPr>
            <w:proofErr w:type="spellStart"/>
            <w:r w:rsidRPr="00B11A19">
              <w:rPr>
                <w:sz w:val="40"/>
              </w:rPr>
              <w:t>CCPR</w:t>
            </w:r>
            <w:proofErr w:type="spellEnd"/>
            <w:r>
              <w:t>/C/</w:t>
            </w:r>
            <w:proofErr w:type="spellStart"/>
            <w:r>
              <w:t>CRI</w:t>
            </w:r>
            <w:proofErr w:type="spellEnd"/>
            <w:r>
              <w:t>/CO/6</w:t>
            </w:r>
          </w:p>
        </w:tc>
      </w:tr>
      <w:tr w:rsidR="002D5AAC" w:rsidTr="00B11A19">
        <w:trPr>
          <w:trHeight w:hRule="exact" w:val="2835"/>
        </w:trPr>
        <w:tc>
          <w:tcPr>
            <w:tcW w:w="1280" w:type="dxa"/>
            <w:tcBorders>
              <w:top w:val="single" w:sz="4" w:space="0" w:color="auto"/>
              <w:bottom w:val="single" w:sz="12" w:space="0" w:color="auto"/>
            </w:tcBorders>
            <w:shd w:val="clear" w:color="auto" w:fill="auto"/>
          </w:tcPr>
          <w:p w:rsidR="002D5AAC" w:rsidRDefault="0017080A" w:rsidP="00A161E1">
            <w:pPr>
              <w:suppressAutoHyphens/>
              <w:spacing w:before="120"/>
              <w:jc w:val="center"/>
            </w:pPr>
            <w:r>
              <w:rPr>
                <w:noProof/>
              </w:rPr>
              <w:drawing>
                <wp:inline distT="0" distB="0" distL="0" distR="0" wp14:anchorId="6B8E9AD1" wp14:editId="58D643C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241" w:type="dxa"/>
            <w:gridSpan w:val="2"/>
            <w:tcBorders>
              <w:top w:val="single" w:sz="4" w:space="0" w:color="auto"/>
              <w:bottom w:val="single" w:sz="12" w:space="0" w:color="auto"/>
            </w:tcBorders>
            <w:shd w:val="clear" w:color="auto" w:fill="auto"/>
          </w:tcPr>
          <w:p w:rsidR="002D5AAC" w:rsidRPr="00A161E1" w:rsidRDefault="00963777" w:rsidP="00A161E1">
            <w:pPr>
              <w:suppressAutoHyphens/>
              <w:spacing w:before="120" w:line="360" w:lineRule="exact"/>
              <w:rPr>
                <w:b/>
                <w:sz w:val="34"/>
                <w:szCs w:val="34"/>
              </w:rPr>
            </w:pPr>
            <w:r w:rsidRPr="00A161E1">
              <w:rPr>
                <w:b/>
                <w:sz w:val="34"/>
                <w:szCs w:val="34"/>
              </w:rPr>
              <w:t>Pacto Internacional de Derechos</w:t>
            </w:r>
            <w:r w:rsidRPr="00A161E1">
              <w:rPr>
                <w:b/>
                <w:sz w:val="34"/>
                <w:szCs w:val="34"/>
              </w:rPr>
              <w:br/>
              <w:t>Civiles y Políticos</w:t>
            </w:r>
          </w:p>
        </w:tc>
        <w:tc>
          <w:tcPr>
            <w:tcW w:w="3118" w:type="dxa"/>
            <w:tcBorders>
              <w:top w:val="single" w:sz="4" w:space="0" w:color="auto"/>
              <w:bottom w:val="single" w:sz="12" w:space="0" w:color="auto"/>
            </w:tcBorders>
            <w:shd w:val="clear" w:color="auto" w:fill="auto"/>
          </w:tcPr>
          <w:p w:rsidR="002D5AAC" w:rsidRDefault="00B11A19" w:rsidP="00B11A19">
            <w:pPr>
              <w:suppressAutoHyphens/>
              <w:spacing w:before="240" w:line="240" w:lineRule="exact"/>
            </w:pPr>
            <w:proofErr w:type="spellStart"/>
            <w:r>
              <w:t>Distr</w:t>
            </w:r>
            <w:proofErr w:type="spellEnd"/>
            <w:r>
              <w:t xml:space="preserve">. </w:t>
            </w:r>
            <w:r w:rsidR="000168BB">
              <w:t>general</w:t>
            </w:r>
          </w:p>
          <w:p w:rsidR="00B11A19" w:rsidRDefault="001B30F5" w:rsidP="00B11A19">
            <w:pPr>
              <w:suppressAutoHyphens/>
              <w:spacing w:line="240" w:lineRule="exact"/>
            </w:pPr>
            <w:r>
              <w:t>2</w:t>
            </w:r>
            <w:r w:rsidR="00193357">
              <w:t>1</w:t>
            </w:r>
            <w:r w:rsidR="00B11A19">
              <w:t xml:space="preserve"> de </w:t>
            </w:r>
            <w:r w:rsidR="00C64CC9">
              <w:t xml:space="preserve">abril </w:t>
            </w:r>
            <w:r w:rsidR="00B11A19">
              <w:t>de 2016</w:t>
            </w:r>
          </w:p>
          <w:p w:rsidR="00B11A19" w:rsidRDefault="00B11A19" w:rsidP="00B11A19">
            <w:pPr>
              <w:suppressAutoHyphens/>
              <w:spacing w:line="240" w:lineRule="exact"/>
            </w:pPr>
          </w:p>
          <w:p w:rsidR="00B11A19" w:rsidRDefault="00B11A19" w:rsidP="00B11A19">
            <w:pPr>
              <w:suppressAutoHyphens/>
              <w:spacing w:line="240" w:lineRule="exact"/>
            </w:pPr>
            <w:r>
              <w:t>Original: español</w:t>
            </w:r>
          </w:p>
          <w:p w:rsidR="00B11A19" w:rsidRDefault="00B11A19" w:rsidP="00B11A19">
            <w:pPr>
              <w:suppressAutoHyphens/>
              <w:spacing w:line="240" w:lineRule="exact"/>
            </w:pPr>
          </w:p>
        </w:tc>
      </w:tr>
    </w:tbl>
    <w:p w:rsidR="00B11A19" w:rsidRPr="00562C02" w:rsidRDefault="00B11A19" w:rsidP="005A5EB7">
      <w:pPr>
        <w:spacing w:before="120"/>
        <w:rPr>
          <w:b/>
          <w:bCs/>
          <w:sz w:val="24"/>
          <w:szCs w:val="24"/>
        </w:rPr>
      </w:pPr>
      <w:r w:rsidRPr="00562C02">
        <w:rPr>
          <w:b/>
          <w:bCs/>
          <w:sz w:val="24"/>
          <w:szCs w:val="24"/>
        </w:rPr>
        <w:t>Comité de Derechos</w:t>
      </w:r>
      <w:bookmarkStart w:id="0" w:name="_GoBack"/>
      <w:r w:rsidRPr="00562C02">
        <w:rPr>
          <w:b/>
          <w:bCs/>
          <w:sz w:val="24"/>
          <w:szCs w:val="24"/>
        </w:rPr>
        <w:t xml:space="preserve"> </w:t>
      </w:r>
      <w:bookmarkEnd w:id="0"/>
      <w:r w:rsidRPr="00562C02">
        <w:rPr>
          <w:b/>
          <w:bCs/>
          <w:sz w:val="24"/>
          <w:szCs w:val="24"/>
        </w:rPr>
        <w:t>Humanos</w:t>
      </w:r>
    </w:p>
    <w:p w:rsidR="00B11A19" w:rsidRPr="00DE13E7" w:rsidRDefault="00B11A19" w:rsidP="00B11A19">
      <w:pPr>
        <w:pStyle w:val="HChG"/>
        <w:rPr>
          <w:lang w:val="es-ES_tradnl"/>
        </w:rPr>
      </w:pPr>
      <w:r>
        <w:tab/>
      </w:r>
      <w:r>
        <w:tab/>
      </w:r>
      <w:r w:rsidRPr="00DE13E7">
        <w:t xml:space="preserve">Observaciones finales sobre </w:t>
      </w:r>
      <w:r w:rsidRPr="00DE13E7">
        <w:rPr>
          <w:lang w:val="es-ES_tradnl"/>
        </w:rPr>
        <w:t>el sexto informe periódico de Costa Rica</w:t>
      </w:r>
      <w:r w:rsidR="00D80916" w:rsidRPr="005A5EB7">
        <w:rPr>
          <w:rStyle w:val="Refdenotaalpie"/>
          <w:b w:val="0"/>
          <w:bCs/>
          <w:sz w:val="20"/>
          <w:vertAlign w:val="baseline"/>
        </w:rPr>
        <w:footnoteReference w:customMarkFollows="1" w:id="1"/>
        <w:t>*</w:t>
      </w:r>
      <w:r w:rsidR="00364357">
        <w:rPr>
          <w:vertAlign w:val="superscript"/>
        </w:rPr>
        <w:t xml:space="preserve"> </w:t>
      </w:r>
    </w:p>
    <w:p w:rsidR="00B11A19" w:rsidRPr="00DE13E7" w:rsidRDefault="00723695" w:rsidP="00723695">
      <w:pPr>
        <w:pStyle w:val="SingleTxtG"/>
        <w:rPr>
          <w:lang w:val="es-ES_tradnl"/>
        </w:rPr>
      </w:pPr>
      <w:r w:rsidRPr="00DE13E7">
        <w:rPr>
          <w:lang w:val="es-ES_tradnl"/>
        </w:rPr>
        <w:t>1.</w:t>
      </w:r>
      <w:r w:rsidRPr="00DE13E7">
        <w:rPr>
          <w:lang w:val="es-ES_tradnl"/>
        </w:rPr>
        <w:tab/>
      </w:r>
      <w:r w:rsidR="00B11A19" w:rsidRPr="00DE13E7">
        <w:rPr>
          <w:lang w:val="es-ES_tradnl"/>
        </w:rPr>
        <w:t>El Comité examinó el sexto informe periódico de Costa Rica (</w:t>
      </w:r>
      <w:proofErr w:type="spellStart"/>
      <w:r w:rsidR="00B11A19" w:rsidRPr="00DE13E7">
        <w:rPr>
          <w:lang w:val="es-ES_tradnl"/>
        </w:rPr>
        <w:t>CCPR</w:t>
      </w:r>
      <w:proofErr w:type="spellEnd"/>
      <w:r w:rsidR="00B11A19" w:rsidRPr="00DE13E7">
        <w:rPr>
          <w:lang w:val="es-ES_tradnl"/>
        </w:rPr>
        <w:t>/C/</w:t>
      </w:r>
      <w:proofErr w:type="spellStart"/>
      <w:r w:rsidR="00B11A19" w:rsidRPr="00DE13E7">
        <w:rPr>
          <w:lang w:val="es-ES_tradnl"/>
        </w:rPr>
        <w:t>CRI</w:t>
      </w:r>
      <w:proofErr w:type="spellEnd"/>
      <w:r w:rsidR="00B11A19" w:rsidRPr="00DE13E7">
        <w:rPr>
          <w:lang w:val="es-ES_tradnl"/>
        </w:rPr>
        <w:t>/6) en sus sesiones 3248ª y 3249ª (</w:t>
      </w:r>
      <w:proofErr w:type="spellStart"/>
      <w:r w:rsidR="00B11A19" w:rsidRPr="00DE13E7">
        <w:rPr>
          <w:lang w:val="es-ES_tradnl"/>
        </w:rPr>
        <w:t>CCPR</w:t>
      </w:r>
      <w:proofErr w:type="spellEnd"/>
      <w:r w:rsidR="00B11A19" w:rsidRPr="00DE13E7">
        <w:rPr>
          <w:lang w:val="es-ES_tradnl"/>
        </w:rPr>
        <w:t>/C/</w:t>
      </w:r>
      <w:proofErr w:type="spellStart"/>
      <w:r w:rsidR="00B11A19" w:rsidRPr="00DE13E7">
        <w:rPr>
          <w:lang w:val="es-ES_tradnl"/>
        </w:rPr>
        <w:t>SR.3248</w:t>
      </w:r>
      <w:proofErr w:type="spellEnd"/>
      <w:r w:rsidR="00B11A19" w:rsidRPr="00DE13E7">
        <w:rPr>
          <w:lang w:val="es-ES_tradnl"/>
        </w:rPr>
        <w:t xml:space="preserve"> y 3249), celebradas los días 16 y 17 de marzo de 2016. En su</w:t>
      </w:r>
      <w:r w:rsidR="00B11A19">
        <w:rPr>
          <w:lang w:val="es-ES_tradnl"/>
        </w:rPr>
        <w:t xml:space="preserve"> 3259</w:t>
      </w:r>
      <w:r w:rsidR="00B11A19" w:rsidRPr="00DE13E7">
        <w:rPr>
          <w:lang w:val="es-ES_tradnl"/>
        </w:rPr>
        <w:t>ª sesión, celebrada el 24 de marzo de 2016, aprobó las siguientes observaciones finales.</w:t>
      </w:r>
    </w:p>
    <w:p w:rsidR="00B11A19" w:rsidRPr="005A5EB7" w:rsidRDefault="00B11A19" w:rsidP="00C928DF">
      <w:pPr>
        <w:pStyle w:val="H1G"/>
      </w:pPr>
      <w:r w:rsidRPr="005A5EB7">
        <w:tab/>
      </w:r>
      <w:r w:rsidR="001B30F5">
        <w:t>A.</w:t>
      </w:r>
      <w:r w:rsidRPr="005A5EB7">
        <w:tab/>
        <w:t>Introducción</w:t>
      </w:r>
    </w:p>
    <w:p w:rsidR="00B11A19" w:rsidRPr="00DE13E7" w:rsidRDefault="00723695" w:rsidP="00723695">
      <w:pPr>
        <w:pStyle w:val="SingleTxtG"/>
        <w:rPr>
          <w:lang w:val="es-ES_tradnl"/>
        </w:rPr>
      </w:pPr>
      <w:r w:rsidRPr="00DE13E7">
        <w:rPr>
          <w:lang w:val="es-ES_tradnl"/>
        </w:rPr>
        <w:t>2.</w:t>
      </w:r>
      <w:r w:rsidRPr="00DE13E7">
        <w:rPr>
          <w:lang w:val="es-ES_tradnl"/>
        </w:rPr>
        <w:tab/>
      </w:r>
      <w:r w:rsidR="00B11A19" w:rsidRPr="00DE13E7">
        <w:rPr>
          <w:lang w:val="es-ES_tradnl"/>
        </w:rPr>
        <w:t xml:space="preserve">El Comité acoge con satisfacción la presentación del sexto informe </w:t>
      </w:r>
      <w:r w:rsidR="005B583C">
        <w:rPr>
          <w:lang w:val="es-ES_tradnl"/>
        </w:rPr>
        <w:t xml:space="preserve">periódico </w:t>
      </w:r>
      <w:r w:rsidR="00B11A19" w:rsidRPr="00DE13E7">
        <w:rPr>
          <w:lang w:val="es-ES_tradnl"/>
        </w:rPr>
        <w:t xml:space="preserve">de Costa Rica y la información en él expuesta. Expresa su reconocimiento por la oportunidad de reanudar el diálogo constructivo con la delegación </w:t>
      </w:r>
      <w:r w:rsidR="00B11A19">
        <w:rPr>
          <w:lang w:val="es-ES_tradnl"/>
        </w:rPr>
        <w:t>de alto nivel</w:t>
      </w:r>
      <w:r w:rsidR="00B11A19" w:rsidRPr="00DE13E7">
        <w:rPr>
          <w:lang w:val="es-ES_tradnl"/>
        </w:rPr>
        <w:t xml:space="preserve"> del Estado parte sobre las medidas que este ha adoptado durante el per</w:t>
      </w:r>
      <w:r w:rsidR="005B583C">
        <w:rPr>
          <w:lang w:val="es-ES_tradnl"/>
        </w:rPr>
        <w:t>í</w:t>
      </w:r>
      <w:r w:rsidR="00B11A19" w:rsidRPr="00DE13E7">
        <w:rPr>
          <w:lang w:val="es-ES_tradnl"/>
        </w:rPr>
        <w:t>odo objeto del informe para aplicar las disposiciones del Pacto. El Comité agradece las respuestas presentadas por escrito (</w:t>
      </w:r>
      <w:proofErr w:type="spellStart"/>
      <w:r w:rsidR="00B11A19" w:rsidRPr="00DE13E7">
        <w:rPr>
          <w:lang w:val="es-ES_tradnl"/>
        </w:rPr>
        <w:t>CCPR</w:t>
      </w:r>
      <w:proofErr w:type="spellEnd"/>
      <w:r w:rsidR="00B11A19" w:rsidRPr="00DE13E7">
        <w:rPr>
          <w:lang w:val="es-ES_tradnl"/>
        </w:rPr>
        <w:t>/C/</w:t>
      </w:r>
      <w:proofErr w:type="spellStart"/>
      <w:r w:rsidR="00B11A19" w:rsidRPr="00DE13E7">
        <w:rPr>
          <w:lang w:val="es-ES_tradnl"/>
        </w:rPr>
        <w:t>CRI</w:t>
      </w:r>
      <w:proofErr w:type="spellEnd"/>
      <w:r w:rsidR="00B11A19" w:rsidRPr="00DE13E7">
        <w:rPr>
          <w:lang w:val="es-ES_tradnl"/>
        </w:rPr>
        <w:t>/Q/6/</w:t>
      </w:r>
      <w:proofErr w:type="spellStart"/>
      <w:r w:rsidR="00B11A19" w:rsidRPr="00DE13E7">
        <w:rPr>
          <w:lang w:val="es-ES_tradnl"/>
        </w:rPr>
        <w:t>Add.1</w:t>
      </w:r>
      <w:proofErr w:type="spellEnd"/>
      <w:r w:rsidR="00B11A19" w:rsidRPr="00DE13E7">
        <w:rPr>
          <w:lang w:val="es-ES_tradnl"/>
        </w:rPr>
        <w:t>) a la lista de cuestiones</w:t>
      </w:r>
      <w:r w:rsidR="005B583C">
        <w:rPr>
          <w:lang w:val="es-ES_tradnl"/>
        </w:rPr>
        <w:t xml:space="preserve"> (</w:t>
      </w:r>
      <w:proofErr w:type="spellStart"/>
      <w:r w:rsidR="005B583C">
        <w:rPr>
          <w:lang w:val="es-ES_tradnl"/>
        </w:rPr>
        <w:t>CCPR</w:t>
      </w:r>
      <w:proofErr w:type="spellEnd"/>
      <w:r w:rsidR="005B583C">
        <w:rPr>
          <w:lang w:val="es-ES_tradnl"/>
        </w:rPr>
        <w:t>/C/</w:t>
      </w:r>
      <w:proofErr w:type="spellStart"/>
      <w:r w:rsidR="005B583C">
        <w:rPr>
          <w:lang w:val="es-ES_tradnl"/>
        </w:rPr>
        <w:t>CRI</w:t>
      </w:r>
      <w:proofErr w:type="spellEnd"/>
      <w:r w:rsidR="005B583C">
        <w:rPr>
          <w:lang w:val="es-ES_tradnl"/>
        </w:rPr>
        <w:t>/Q/6)</w:t>
      </w:r>
      <w:r w:rsidR="00B11A19" w:rsidRPr="00DE13E7">
        <w:rPr>
          <w:lang w:val="es-ES_tradnl"/>
        </w:rPr>
        <w:t xml:space="preserve">, que se </w:t>
      </w:r>
      <w:proofErr w:type="gramStart"/>
      <w:r w:rsidR="00B11A19" w:rsidRPr="00DE13E7">
        <w:rPr>
          <w:lang w:val="es-ES_tradnl"/>
        </w:rPr>
        <w:t>complementaron</w:t>
      </w:r>
      <w:proofErr w:type="gramEnd"/>
      <w:r w:rsidR="00B11A19" w:rsidRPr="00DE13E7">
        <w:rPr>
          <w:lang w:val="es-ES_tradnl"/>
        </w:rPr>
        <w:t xml:space="preserve"> con las respuestas orales facilitadas por la delegación.</w:t>
      </w:r>
    </w:p>
    <w:p w:rsidR="00B11A19" w:rsidRPr="00DE13E7" w:rsidRDefault="00D856B9" w:rsidP="005A5EB7">
      <w:pPr>
        <w:pStyle w:val="H1G"/>
        <w:rPr>
          <w:lang w:val="es-ES_tradnl"/>
        </w:rPr>
      </w:pPr>
      <w:r>
        <w:rPr>
          <w:lang w:val="es-ES_tradnl"/>
        </w:rPr>
        <w:tab/>
      </w:r>
      <w:r w:rsidR="001B30F5">
        <w:rPr>
          <w:lang w:val="es-ES_tradnl"/>
        </w:rPr>
        <w:t>B.</w:t>
      </w:r>
      <w:r>
        <w:rPr>
          <w:lang w:val="es-ES_tradnl"/>
        </w:rPr>
        <w:tab/>
      </w:r>
      <w:r w:rsidR="00B11A19" w:rsidRPr="00DE13E7">
        <w:rPr>
          <w:lang w:val="es-ES_tradnl"/>
        </w:rPr>
        <w:t>Aspectos positivos</w:t>
      </w:r>
    </w:p>
    <w:p w:rsidR="00B11A19" w:rsidRPr="00DE13E7" w:rsidRDefault="00723695" w:rsidP="00723695">
      <w:pPr>
        <w:pStyle w:val="SingleTxtG"/>
        <w:rPr>
          <w:lang w:val="es-ES_tradnl"/>
        </w:rPr>
      </w:pPr>
      <w:r w:rsidRPr="00DE13E7">
        <w:rPr>
          <w:lang w:val="es-ES_tradnl"/>
        </w:rPr>
        <w:t>3.</w:t>
      </w:r>
      <w:r w:rsidRPr="00DE13E7">
        <w:rPr>
          <w:lang w:val="es-ES_tradnl"/>
        </w:rPr>
        <w:tab/>
      </w:r>
      <w:r w:rsidR="00B11A19" w:rsidRPr="00DE13E7">
        <w:rPr>
          <w:lang w:val="es-ES_tradnl"/>
        </w:rPr>
        <w:t>El Comité celebra las siguientes medidas legislativas y de otra índole adoptadas por el Estado parte:</w:t>
      </w:r>
    </w:p>
    <w:p w:rsidR="00B11A19" w:rsidRDefault="0017080A" w:rsidP="0017080A">
      <w:pPr>
        <w:pStyle w:val="SingleTxtG"/>
        <w:rPr>
          <w:lang w:val="es-ES_tradnl"/>
        </w:rPr>
      </w:pPr>
      <w:r>
        <w:rPr>
          <w:lang w:val="es-ES_tradnl"/>
        </w:rPr>
        <w:tab/>
      </w:r>
      <w:r w:rsidR="00D856B9">
        <w:rPr>
          <w:lang w:val="es-ES_tradnl"/>
        </w:rPr>
        <w:t>a)</w:t>
      </w:r>
      <w:r w:rsidR="00D856B9">
        <w:rPr>
          <w:lang w:val="es-ES_tradnl"/>
        </w:rPr>
        <w:tab/>
      </w:r>
      <w:r w:rsidR="00B11A19" w:rsidRPr="00147E9A">
        <w:rPr>
          <w:lang w:val="es-ES_tradnl"/>
        </w:rPr>
        <w:t xml:space="preserve">La modificación en agosto de 2015 </w:t>
      </w:r>
      <w:r w:rsidR="00B11A19">
        <w:rPr>
          <w:lang w:val="es-ES_tradnl"/>
        </w:rPr>
        <w:t>de</w:t>
      </w:r>
      <w:r w:rsidR="00B11A19" w:rsidRPr="00147E9A">
        <w:rPr>
          <w:lang w:val="es-ES_tradnl"/>
        </w:rPr>
        <w:t>l artículo 1 de la Constitución Política que reconoce el carácter multiétnico y pluricultural del Estado parte;</w:t>
      </w:r>
      <w:r w:rsidR="00AF76FD">
        <w:rPr>
          <w:lang w:val="es-ES_tradnl"/>
        </w:rPr>
        <w:t xml:space="preserve"> </w:t>
      </w:r>
    </w:p>
    <w:p w:rsidR="00B11A19" w:rsidRDefault="0017080A" w:rsidP="002E6DB9">
      <w:pPr>
        <w:pStyle w:val="SingleTxtG"/>
        <w:rPr>
          <w:lang w:val="es-ES_tradnl"/>
        </w:rPr>
      </w:pPr>
      <w:r>
        <w:rPr>
          <w:lang w:val="es-ES_tradnl"/>
        </w:rPr>
        <w:tab/>
      </w:r>
      <w:r w:rsidR="00D856B9">
        <w:rPr>
          <w:lang w:val="es-ES_tradnl"/>
        </w:rPr>
        <w:t>b)</w:t>
      </w:r>
      <w:r w:rsidR="00D856B9">
        <w:rPr>
          <w:lang w:val="es-ES_tradnl"/>
        </w:rPr>
        <w:tab/>
      </w:r>
      <w:r w:rsidR="00B11A19" w:rsidRPr="00487E20">
        <w:rPr>
          <w:lang w:val="es-ES_tradnl"/>
        </w:rPr>
        <w:t>La</w:t>
      </w:r>
      <w:r w:rsidR="00B11A19">
        <w:rPr>
          <w:lang w:val="es-ES_tradnl"/>
        </w:rPr>
        <w:t xml:space="preserve"> adopción de la </w:t>
      </w:r>
      <w:r w:rsidR="00B11A19" w:rsidRPr="00487E20">
        <w:rPr>
          <w:lang w:val="es-ES_tradnl"/>
        </w:rPr>
        <w:t xml:space="preserve">Ley contra la Trata de Personas (Ley </w:t>
      </w:r>
      <w:r w:rsidR="00225B5C">
        <w:rPr>
          <w:lang w:val="es-ES_tradnl"/>
        </w:rPr>
        <w:t>núm. </w:t>
      </w:r>
      <w:r w:rsidR="00B11A19" w:rsidRPr="00487E20">
        <w:rPr>
          <w:lang w:val="es-ES_tradnl"/>
        </w:rPr>
        <w:t xml:space="preserve">9095) de </w:t>
      </w:r>
      <w:r w:rsidR="00B11A19">
        <w:rPr>
          <w:lang w:val="es-ES_tradnl"/>
        </w:rPr>
        <w:t>26</w:t>
      </w:r>
      <w:r w:rsidR="00B11A19" w:rsidRPr="00487E20">
        <w:rPr>
          <w:lang w:val="es-ES_tradnl"/>
        </w:rPr>
        <w:t xml:space="preserve"> de octubre de 2012 y su Reglamento </w:t>
      </w:r>
      <w:r w:rsidR="00B11A19">
        <w:rPr>
          <w:lang w:val="es-ES_tradnl"/>
        </w:rPr>
        <w:t xml:space="preserve">adoptado </w:t>
      </w:r>
      <w:r w:rsidR="00B11A19" w:rsidRPr="00487E20">
        <w:rPr>
          <w:lang w:val="es-ES_tradnl"/>
        </w:rPr>
        <w:t>e</w:t>
      </w:r>
      <w:r w:rsidR="00B11A19">
        <w:rPr>
          <w:lang w:val="es-ES_tradnl"/>
        </w:rPr>
        <w:t>l 9 de septiembre de</w:t>
      </w:r>
      <w:r w:rsidR="00B11A19" w:rsidRPr="00487E20">
        <w:rPr>
          <w:lang w:val="es-ES_tradnl"/>
        </w:rPr>
        <w:t xml:space="preserve"> 2015;</w:t>
      </w:r>
    </w:p>
    <w:p w:rsidR="00B11A19" w:rsidRPr="00975999" w:rsidRDefault="0017080A" w:rsidP="00225B5C">
      <w:pPr>
        <w:pStyle w:val="SingleTxtG"/>
        <w:rPr>
          <w:lang w:val="es-ES_tradnl"/>
        </w:rPr>
      </w:pPr>
      <w:r>
        <w:rPr>
          <w:lang w:val="es-ES_tradnl"/>
        </w:rPr>
        <w:tab/>
      </w:r>
      <w:r w:rsidR="00D856B9" w:rsidRPr="00975999">
        <w:rPr>
          <w:lang w:val="es-ES_tradnl"/>
        </w:rPr>
        <w:t>c)</w:t>
      </w:r>
      <w:r w:rsidR="00D856B9" w:rsidRPr="00975999">
        <w:rPr>
          <w:lang w:val="es-ES_tradnl"/>
        </w:rPr>
        <w:tab/>
      </w:r>
      <w:r w:rsidR="00B11A19" w:rsidRPr="00975999">
        <w:rPr>
          <w:lang w:val="es-ES_tradnl"/>
        </w:rPr>
        <w:t xml:space="preserve">La adopción de la Ley General de Migración y Extranjería (Ley </w:t>
      </w:r>
      <w:r w:rsidR="00225B5C" w:rsidRPr="00225B5C">
        <w:rPr>
          <w:lang w:val="es-ES_tradnl"/>
        </w:rPr>
        <w:t>núm.</w:t>
      </w:r>
      <w:r w:rsidR="00225B5C">
        <w:rPr>
          <w:lang w:val="es-ES_tradnl"/>
        </w:rPr>
        <w:t> </w:t>
      </w:r>
      <w:r w:rsidR="00B11A19" w:rsidRPr="00975999">
        <w:rPr>
          <w:lang w:val="es-ES_tradnl"/>
        </w:rPr>
        <w:t xml:space="preserve">8764), el </w:t>
      </w:r>
      <w:r w:rsidR="00B11A19">
        <w:rPr>
          <w:lang w:val="es-ES_tradnl"/>
        </w:rPr>
        <w:t>19</w:t>
      </w:r>
      <w:r w:rsidR="00B11A19" w:rsidRPr="00975999">
        <w:rPr>
          <w:lang w:val="es-ES_tradnl"/>
        </w:rPr>
        <w:t xml:space="preserve"> de agosto de 2009 y del Reglamento de Personas Refugiadas (Decreto Ejecutivo </w:t>
      </w:r>
      <w:r w:rsidR="00225B5C">
        <w:rPr>
          <w:lang w:val="es-ES_tradnl"/>
        </w:rPr>
        <w:t>núm. </w:t>
      </w:r>
      <w:r w:rsidR="00B11A19" w:rsidRPr="00975999">
        <w:rPr>
          <w:lang w:val="es-ES_tradnl"/>
        </w:rPr>
        <w:t>36831</w:t>
      </w:r>
      <w:r w:rsidR="00E15755">
        <w:rPr>
          <w:lang w:val="es-ES_tradnl"/>
        </w:rPr>
        <w:t>)</w:t>
      </w:r>
      <w:r w:rsidR="00B11A19" w:rsidRPr="00975999">
        <w:rPr>
          <w:lang w:val="es-ES_tradnl"/>
        </w:rPr>
        <w:t xml:space="preserve"> de </w:t>
      </w:r>
      <w:r w:rsidR="00B11A19">
        <w:rPr>
          <w:lang w:val="es-ES_tradnl"/>
        </w:rPr>
        <w:t>28</w:t>
      </w:r>
      <w:r w:rsidR="00B11A19" w:rsidRPr="00975999">
        <w:rPr>
          <w:lang w:val="es-ES_tradnl"/>
        </w:rPr>
        <w:t xml:space="preserve"> de noviembre de 2011;</w:t>
      </w:r>
    </w:p>
    <w:p w:rsidR="00B11A19" w:rsidRPr="00487E20" w:rsidRDefault="0017080A" w:rsidP="0017080A">
      <w:pPr>
        <w:pStyle w:val="SingleTxtG"/>
        <w:rPr>
          <w:lang w:val="es-ES_tradnl"/>
        </w:rPr>
      </w:pPr>
      <w:r>
        <w:rPr>
          <w:lang w:val="es-ES_tradnl"/>
        </w:rPr>
        <w:tab/>
      </w:r>
      <w:r w:rsidR="00D856B9" w:rsidRPr="00487E20">
        <w:rPr>
          <w:lang w:val="es-ES_tradnl"/>
        </w:rPr>
        <w:t>d)</w:t>
      </w:r>
      <w:r w:rsidR="00D856B9" w:rsidRPr="00487E20">
        <w:rPr>
          <w:lang w:val="es-ES_tradnl"/>
        </w:rPr>
        <w:tab/>
      </w:r>
      <w:r w:rsidR="00B11A19" w:rsidRPr="00487E20">
        <w:rPr>
          <w:lang w:val="es-ES_tradnl"/>
        </w:rPr>
        <w:t xml:space="preserve">La aprobación de la Política Nacional para una Sociedad Libre de Racismo, Discriminación Racial y Xenofobia y su Plan de </w:t>
      </w:r>
      <w:r w:rsidR="00E15755">
        <w:rPr>
          <w:lang w:val="es-ES_tradnl"/>
        </w:rPr>
        <w:t>A</w:t>
      </w:r>
      <w:r w:rsidR="00B11A19" w:rsidRPr="00487E20">
        <w:rPr>
          <w:lang w:val="es-ES_tradnl"/>
        </w:rPr>
        <w:t xml:space="preserve">cción el 20 de noviembre de 2014. </w:t>
      </w:r>
    </w:p>
    <w:p w:rsidR="00B11A19" w:rsidRPr="00DE13E7" w:rsidRDefault="00723695" w:rsidP="00723695">
      <w:pPr>
        <w:pStyle w:val="SingleTxtG"/>
        <w:keepNext/>
        <w:rPr>
          <w:lang w:val="es-ES_tradnl"/>
        </w:rPr>
      </w:pPr>
      <w:r w:rsidRPr="00DE13E7">
        <w:rPr>
          <w:lang w:val="es-ES_tradnl"/>
        </w:rPr>
        <w:lastRenderedPageBreak/>
        <w:t>4.</w:t>
      </w:r>
      <w:r w:rsidRPr="00DE13E7">
        <w:rPr>
          <w:lang w:val="es-ES_tradnl"/>
        </w:rPr>
        <w:tab/>
      </w:r>
      <w:r w:rsidR="00B11A19" w:rsidRPr="00DE13E7">
        <w:rPr>
          <w:lang w:val="es-ES_tradnl"/>
        </w:rPr>
        <w:t xml:space="preserve">El Comité acoge favorablemente la ratificación o adhesión por el Estado parte </w:t>
      </w:r>
      <w:r w:rsidR="00B11A19">
        <w:rPr>
          <w:lang w:val="es-ES_tradnl"/>
        </w:rPr>
        <w:t>a</w:t>
      </w:r>
      <w:r w:rsidR="00B11A19" w:rsidRPr="00DE13E7">
        <w:rPr>
          <w:lang w:val="es-ES_tradnl"/>
        </w:rPr>
        <w:t xml:space="preserve"> los siguientes instrumentos internacionales:</w:t>
      </w:r>
    </w:p>
    <w:p w:rsidR="00B11A19" w:rsidRPr="005E633F" w:rsidRDefault="0017080A" w:rsidP="0017080A">
      <w:pPr>
        <w:pStyle w:val="SingleTxtG"/>
        <w:rPr>
          <w:lang w:val="es-ES_tradnl"/>
        </w:rPr>
      </w:pPr>
      <w:r>
        <w:rPr>
          <w:lang w:val="es-ES_tradnl"/>
        </w:rPr>
        <w:tab/>
      </w:r>
      <w:r w:rsidR="00D856B9" w:rsidRPr="005E633F">
        <w:rPr>
          <w:lang w:val="es-ES_tradnl"/>
        </w:rPr>
        <w:t>a)</w:t>
      </w:r>
      <w:r w:rsidR="00D856B9" w:rsidRPr="005E633F">
        <w:rPr>
          <w:lang w:val="es-ES_tradnl"/>
        </w:rPr>
        <w:tab/>
      </w:r>
      <w:r w:rsidR="00B11A19" w:rsidRPr="005E633F">
        <w:rPr>
          <w:lang w:val="es-ES_tradnl"/>
        </w:rPr>
        <w:t>La Convención Internacional para la Protección de Todas las Personas contra la Desaparición Forzada, el 16 de febrero de 2012;</w:t>
      </w:r>
    </w:p>
    <w:p w:rsidR="00B11A19" w:rsidRPr="005E633F" w:rsidRDefault="0017080A" w:rsidP="0017080A">
      <w:pPr>
        <w:pStyle w:val="SingleTxtG"/>
        <w:rPr>
          <w:lang w:val="es-ES_tradnl"/>
        </w:rPr>
      </w:pPr>
      <w:r>
        <w:rPr>
          <w:lang w:val="es-ES_tradnl"/>
        </w:rPr>
        <w:tab/>
      </w:r>
      <w:r w:rsidR="00D856B9" w:rsidRPr="005E633F">
        <w:rPr>
          <w:lang w:val="es-ES_tradnl"/>
        </w:rPr>
        <w:t>b)</w:t>
      </w:r>
      <w:r w:rsidR="00D856B9" w:rsidRPr="005E633F">
        <w:rPr>
          <w:lang w:val="es-ES_tradnl"/>
        </w:rPr>
        <w:tab/>
      </w:r>
      <w:r w:rsidR="00B11A19" w:rsidRPr="005E633F">
        <w:rPr>
          <w:lang w:val="es-ES_tradnl"/>
        </w:rPr>
        <w:t xml:space="preserve">La Convención sobre los Derechos de las Personas con Discapacidad y su Protocolo Facultativo, el 1 de octubre de 2008; </w:t>
      </w:r>
    </w:p>
    <w:p w:rsidR="00B11A19" w:rsidRPr="005E633F" w:rsidRDefault="0017080A" w:rsidP="0017080A">
      <w:pPr>
        <w:pStyle w:val="SingleTxtG"/>
        <w:rPr>
          <w:lang w:val="es-ES_tradnl"/>
        </w:rPr>
      </w:pPr>
      <w:r>
        <w:rPr>
          <w:lang w:val="es-ES_tradnl"/>
        </w:rPr>
        <w:tab/>
      </w:r>
      <w:r w:rsidR="00D856B9" w:rsidRPr="005E633F">
        <w:rPr>
          <w:lang w:val="es-ES_tradnl"/>
        </w:rPr>
        <w:t>c)</w:t>
      </w:r>
      <w:r w:rsidR="00D856B9" w:rsidRPr="005E633F">
        <w:rPr>
          <w:lang w:val="es-ES_tradnl"/>
        </w:rPr>
        <w:tab/>
      </w:r>
      <w:r w:rsidR="00B11A19" w:rsidRPr="005E633F">
        <w:rPr>
          <w:lang w:val="es-ES_tradnl"/>
        </w:rPr>
        <w:t xml:space="preserve">El Protocolo Facultativo de la Convención sobre </w:t>
      </w:r>
      <w:r w:rsidR="00E15755">
        <w:rPr>
          <w:lang w:val="es-ES_tradnl"/>
        </w:rPr>
        <w:t xml:space="preserve">los </w:t>
      </w:r>
      <w:r w:rsidR="005A74C7">
        <w:rPr>
          <w:lang w:val="es-ES_tradnl"/>
        </w:rPr>
        <w:t>D</w:t>
      </w:r>
      <w:r w:rsidR="00B11A19" w:rsidRPr="005E633F">
        <w:rPr>
          <w:lang w:val="es-ES_tradnl"/>
        </w:rPr>
        <w:t>erechos del Niño relativo a un procedimiento de comunicaciones, el 14 de enero de 2014;</w:t>
      </w:r>
    </w:p>
    <w:p w:rsidR="00B11A19" w:rsidRPr="005E633F" w:rsidRDefault="0017080A" w:rsidP="0017080A">
      <w:pPr>
        <w:pStyle w:val="SingleTxtG"/>
        <w:rPr>
          <w:lang w:val="es-ES_tradnl"/>
        </w:rPr>
      </w:pPr>
      <w:r>
        <w:rPr>
          <w:lang w:val="es-ES_tradnl"/>
        </w:rPr>
        <w:tab/>
      </w:r>
      <w:r w:rsidR="00D856B9" w:rsidRPr="005E633F">
        <w:rPr>
          <w:lang w:val="es-ES_tradnl"/>
        </w:rPr>
        <w:t>d)</w:t>
      </w:r>
      <w:r w:rsidR="00D856B9" w:rsidRPr="005E633F">
        <w:rPr>
          <w:lang w:val="es-ES_tradnl"/>
        </w:rPr>
        <w:tab/>
      </w:r>
      <w:r w:rsidR="00B11A19" w:rsidRPr="005E633F">
        <w:rPr>
          <w:lang w:val="es-ES_tradnl"/>
        </w:rPr>
        <w:t>El Protocolo Facultativo del Pacto Internacional de Derechos Económicos, Sociales y Culturales, el 23 de septiembre de 2014.</w:t>
      </w:r>
    </w:p>
    <w:p w:rsidR="00B11A19" w:rsidRPr="00573E2E" w:rsidRDefault="005D7A3B" w:rsidP="005A5EB7">
      <w:pPr>
        <w:pStyle w:val="H1G"/>
        <w:rPr>
          <w:lang w:val="es-ES_tradnl"/>
        </w:rPr>
      </w:pPr>
      <w:r>
        <w:rPr>
          <w:lang w:val="es-ES_tradnl"/>
        </w:rPr>
        <w:tab/>
      </w:r>
      <w:r w:rsidR="001B30F5">
        <w:rPr>
          <w:lang w:val="es-ES_tradnl"/>
        </w:rPr>
        <w:t>C.</w:t>
      </w:r>
      <w:r>
        <w:rPr>
          <w:lang w:val="es-ES_tradnl"/>
        </w:rPr>
        <w:tab/>
      </w:r>
      <w:r w:rsidR="00B11A19" w:rsidRPr="00573E2E">
        <w:rPr>
          <w:lang w:val="es-ES_tradnl"/>
        </w:rPr>
        <w:t xml:space="preserve">Principales motivos de preocupación </w:t>
      </w:r>
      <w:r w:rsidR="00E15755">
        <w:rPr>
          <w:lang w:val="es-ES_tradnl"/>
        </w:rPr>
        <w:t>y</w:t>
      </w:r>
      <w:r w:rsidR="00B11A19" w:rsidRPr="00573E2E">
        <w:rPr>
          <w:lang w:val="es-ES_tradnl"/>
        </w:rPr>
        <w:t xml:space="preserve"> recomendaciones</w:t>
      </w:r>
    </w:p>
    <w:p w:rsidR="00B11A19" w:rsidRPr="00573E2E" w:rsidRDefault="005D7A3B" w:rsidP="005A5EB7">
      <w:pPr>
        <w:pStyle w:val="H23G"/>
        <w:rPr>
          <w:lang w:val="es-ES_tradnl"/>
        </w:rPr>
      </w:pPr>
      <w:r>
        <w:rPr>
          <w:lang w:val="es-ES_tradnl"/>
        </w:rPr>
        <w:tab/>
      </w:r>
      <w:r>
        <w:rPr>
          <w:lang w:val="es-ES_tradnl"/>
        </w:rPr>
        <w:tab/>
      </w:r>
      <w:r w:rsidR="00B11A19" w:rsidRPr="00573E2E">
        <w:rPr>
          <w:lang w:val="es-ES_tradnl"/>
        </w:rPr>
        <w:t>Aplicabilidad interna del Pacto</w:t>
      </w:r>
    </w:p>
    <w:p w:rsidR="00B11A19" w:rsidRPr="00604891" w:rsidRDefault="00723695" w:rsidP="00723695">
      <w:pPr>
        <w:pStyle w:val="SingleTxtG"/>
        <w:rPr>
          <w:lang w:val="es-ES_tradnl"/>
        </w:rPr>
      </w:pPr>
      <w:r w:rsidRPr="00604891">
        <w:rPr>
          <w:lang w:val="es-ES_tradnl"/>
        </w:rPr>
        <w:t>5.</w:t>
      </w:r>
      <w:r w:rsidRPr="00604891">
        <w:rPr>
          <w:lang w:val="es-ES_tradnl"/>
        </w:rPr>
        <w:tab/>
      </w:r>
      <w:r w:rsidR="00B11A19">
        <w:rPr>
          <w:lang w:val="es-ES_tradnl"/>
        </w:rPr>
        <w:t>Si bien</w:t>
      </w:r>
      <w:r w:rsidR="00B11A19">
        <w:t xml:space="preserve"> el Comité acoge con satisfacción la información sobre la aplicación de los derechos contenidos en el Pacto, le preocupa que en algunos casos su aplicación no sea exhaustiva.</w:t>
      </w:r>
      <w:r w:rsidR="00B11A19" w:rsidRPr="00604891">
        <w:t xml:space="preserve"> </w:t>
      </w:r>
      <w:r w:rsidR="00B11A19">
        <w:t>Además, e</w:t>
      </w:r>
      <w:r w:rsidR="00B11A19" w:rsidRPr="00604891">
        <w:t xml:space="preserve">l Comité acoge la creación de la </w:t>
      </w:r>
      <w:r w:rsidR="00B11A19" w:rsidRPr="00604891">
        <w:rPr>
          <w:lang w:val="es-ES_tradnl"/>
        </w:rPr>
        <w:t>Comis</w:t>
      </w:r>
      <w:r w:rsidR="00B11A19">
        <w:rPr>
          <w:lang w:val="es-ES_tradnl"/>
        </w:rPr>
        <w:t>ión Interinstitucional para el S</w:t>
      </w:r>
      <w:r w:rsidR="00B11A19" w:rsidRPr="00604891">
        <w:rPr>
          <w:lang w:val="es-ES_tradnl"/>
        </w:rPr>
        <w:t xml:space="preserve">eguimiento </w:t>
      </w:r>
      <w:r w:rsidR="00B11A19">
        <w:rPr>
          <w:lang w:val="es-ES_tradnl"/>
        </w:rPr>
        <w:t>e I</w:t>
      </w:r>
      <w:r w:rsidR="00B11A19" w:rsidRPr="00604891">
        <w:rPr>
          <w:lang w:val="es-ES_tradnl"/>
        </w:rPr>
        <w:t xml:space="preserve">mplementación de las </w:t>
      </w:r>
      <w:r w:rsidR="00B11A19">
        <w:rPr>
          <w:lang w:val="es-ES_tradnl"/>
        </w:rPr>
        <w:t>Obligaciones I</w:t>
      </w:r>
      <w:r w:rsidR="00B11A19" w:rsidRPr="00604891">
        <w:rPr>
          <w:lang w:val="es-ES_tradnl"/>
        </w:rPr>
        <w:t>nternacionales de Derechos Humanos</w:t>
      </w:r>
      <w:r w:rsidR="00E15755">
        <w:rPr>
          <w:lang w:val="es-ES_tradnl"/>
        </w:rPr>
        <w:t>;</w:t>
      </w:r>
      <w:r w:rsidR="00B11A19">
        <w:rPr>
          <w:lang w:val="es-ES_tradnl"/>
        </w:rPr>
        <w:t xml:space="preserve"> sin embargo</w:t>
      </w:r>
      <w:r w:rsidR="00E15755">
        <w:rPr>
          <w:lang w:val="es-ES_tradnl"/>
        </w:rPr>
        <w:t>,</w:t>
      </w:r>
      <w:r w:rsidR="00B11A19" w:rsidRPr="00604891">
        <w:rPr>
          <w:lang w:val="es-ES_tradnl"/>
        </w:rPr>
        <w:t xml:space="preserve"> le preocupa </w:t>
      </w:r>
      <w:r w:rsidR="00B11A19">
        <w:rPr>
          <w:lang w:val="es-ES_tradnl"/>
        </w:rPr>
        <w:t>que</w:t>
      </w:r>
      <w:r w:rsidR="008903D0">
        <w:rPr>
          <w:lang w:val="es-ES_tradnl"/>
        </w:rPr>
        <w:t>, hasta ahora,</w:t>
      </w:r>
      <w:r w:rsidR="00B11A19">
        <w:rPr>
          <w:lang w:val="es-ES_tradnl"/>
        </w:rPr>
        <w:t xml:space="preserve"> sus actividades sean limitadas y que la entidad </w:t>
      </w:r>
      <w:r w:rsidR="009E2BCE">
        <w:rPr>
          <w:lang w:val="es-ES_tradnl"/>
        </w:rPr>
        <w:t xml:space="preserve">permanente </w:t>
      </w:r>
      <w:r w:rsidR="00B11A19">
        <w:rPr>
          <w:lang w:val="es-ES_tradnl"/>
        </w:rPr>
        <w:t xml:space="preserve">de consulta con la sociedad civil no </w:t>
      </w:r>
      <w:r w:rsidR="009E2BCE">
        <w:rPr>
          <w:lang w:val="es-ES_tradnl"/>
        </w:rPr>
        <w:t>esté en</w:t>
      </w:r>
      <w:r w:rsidR="00011CC5">
        <w:rPr>
          <w:lang w:val="es-ES_tradnl"/>
        </w:rPr>
        <w:t xml:space="preserve"> pleno</w:t>
      </w:r>
      <w:r w:rsidR="009E2BCE">
        <w:rPr>
          <w:lang w:val="es-ES_tradnl"/>
        </w:rPr>
        <w:t xml:space="preserve"> funcionamiento </w:t>
      </w:r>
      <w:r w:rsidR="00B11A19">
        <w:rPr>
          <w:lang w:val="es-ES_tradnl"/>
        </w:rPr>
        <w:t xml:space="preserve"> (art. 2).</w:t>
      </w:r>
      <w:r w:rsidR="00B11A19" w:rsidRPr="00604891">
        <w:rPr>
          <w:lang w:val="es-ES_tradnl"/>
        </w:rPr>
        <w:t xml:space="preserve"> </w:t>
      </w:r>
    </w:p>
    <w:p w:rsidR="00B11A19" w:rsidRPr="005A5EB7" w:rsidRDefault="00723695" w:rsidP="00723695">
      <w:pPr>
        <w:pStyle w:val="SingleTxtG"/>
        <w:rPr>
          <w:lang w:val="es-ES_tradnl"/>
        </w:rPr>
      </w:pPr>
      <w:r w:rsidRPr="005A5EB7">
        <w:rPr>
          <w:lang w:val="es-ES_tradnl"/>
        </w:rPr>
        <w:t>6.</w:t>
      </w:r>
      <w:r w:rsidRPr="005A5EB7">
        <w:rPr>
          <w:lang w:val="es-ES_tradnl"/>
        </w:rPr>
        <w:tab/>
      </w:r>
      <w:r w:rsidR="00B11A19" w:rsidRPr="00604891">
        <w:rPr>
          <w:b/>
          <w:lang w:val="es-ES_tradnl"/>
        </w:rPr>
        <w:t>El Estado parte debe difundir entre los jueces, abogados y el público en general el contenido de las disposiciones del Pacto</w:t>
      </w:r>
      <w:r w:rsidR="00B11A19">
        <w:rPr>
          <w:b/>
          <w:lang w:val="es-ES_tradnl"/>
        </w:rPr>
        <w:t xml:space="preserve"> y llevar a cabo capacitaciones dirigidas a los jueces</w:t>
      </w:r>
      <w:r w:rsidR="00AF76FD">
        <w:rPr>
          <w:b/>
          <w:lang w:val="es-ES_tradnl"/>
        </w:rPr>
        <w:t xml:space="preserve"> </w:t>
      </w:r>
      <w:r w:rsidR="00B11A19" w:rsidRPr="00604891">
        <w:rPr>
          <w:b/>
          <w:lang w:val="es-ES_tradnl"/>
        </w:rPr>
        <w:t>sobre su aplicabilidad en el derecho interno.</w:t>
      </w:r>
      <w:r w:rsidR="00B11A19">
        <w:rPr>
          <w:b/>
          <w:lang w:val="es-ES_tradnl"/>
        </w:rPr>
        <w:t xml:space="preserve"> </w:t>
      </w:r>
      <w:r w:rsidR="00B11A19" w:rsidRPr="00604891">
        <w:rPr>
          <w:b/>
          <w:lang w:val="es-ES_tradnl"/>
        </w:rPr>
        <w:t>El Estado parte debe garantizar que la Comisión Interinstitucional para el Seguimiento e Implementación de las Obligaciones Internacionales de Derechos Humanos cuente con los</w:t>
      </w:r>
      <w:r w:rsidR="00B11A19">
        <w:rPr>
          <w:b/>
          <w:lang w:val="es-ES_tradnl"/>
        </w:rPr>
        <w:t xml:space="preserve"> medios adecuados para </w:t>
      </w:r>
      <w:r w:rsidR="00B11A19" w:rsidRPr="00604891">
        <w:rPr>
          <w:b/>
          <w:lang w:val="es-ES_tradnl"/>
        </w:rPr>
        <w:t>el eficaz desempeño de sus funciones</w:t>
      </w:r>
      <w:r w:rsidR="00B11A19">
        <w:rPr>
          <w:b/>
          <w:lang w:val="es-ES_tradnl"/>
        </w:rPr>
        <w:t xml:space="preserve">, incluyendo los </w:t>
      </w:r>
      <w:r w:rsidR="00B11A19" w:rsidRPr="00604891">
        <w:rPr>
          <w:b/>
          <w:lang w:val="es-ES_tradnl"/>
        </w:rPr>
        <w:t>recursos financieros, humanos y materiales</w:t>
      </w:r>
      <w:r w:rsidR="00B11A19">
        <w:rPr>
          <w:b/>
          <w:lang w:val="es-ES_tradnl"/>
        </w:rPr>
        <w:t xml:space="preserve"> necesarios</w:t>
      </w:r>
      <w:r w:rsidR="00B11A19" w:rsidRPr="00604891">
        <w:rPr>
          <w:b/>
          <w:lang w:val="es-ES_tradnl"/>
        </w:rPr>
        <w:t xml:space="preserve"> y </w:t>
      </w:r>
      <w:r w:rsidR="009E2BCE">
        <w:rPr>
          <w:b/>
          <w:lang w:val="es-ES_tradnl"/>
        </w:rPr>
        <w:t xml:space="preserve">garantice el pleno funcionamiento </w:t>
      </w:r>
      <w:r w:rsidR="00B11A19" w:rsidRPr="0006177D">
        <w:rPr>
          <w:b/>
          <w:lang w:val="es-ES_tradnl"/>
        </w:rPr>
        <w:t xml:space="preserve">de la entidad permanente de consulta con la sociedad civil. </w:t>
      </w:r>
    </w:p>
    <w:p w:rsidR="00B11A19" w:rsidRPr="00EA4476" w:rsidRDefault="005D7A3B" w:rsidP="005A5EB7">
      <w:pPr>
        <w:pStyle w:val="H23G"/>
        <w:rPr>
          <w:lang w:val="es-ES_tradnl"/>
        </w:rPr>
      </w:pPr>
      <w:r>
        <w:rPr>
          <w:lang w:val="es-ES_tradnl"/>
        </w:rPr>
        <w:tab/>
      </w:r>
      <w:r>
        <w:rPr>
          <w:lang w:val="es-ES_tradnl"/>
        </w:rPr>
        <w:tab/>
      </w:r>
      <w:r w:rsidR="00B11A19" w:rsidRPr="00EA4476">
        <w:rPr>
          <w:lang w:val="es-ES_tradnl"/>
        </w:rPr>
        <w:t>Defensoría de los Habitantes</w:t>
      </w:r>
    </w:p>
    <w:p w:rsidR="00B11A19" w:rsidRPr="00EA4476" w:rsidRDefault="00723695" w:rsidP="00723695">
      <w:pPr>
        <w:pStyle w:val="SingleTxtG"/>
        <w:rPr>
          <w:lang w:val="es-ES_tradnl"/>
        </w:rPr>
      </w:pPr>
      <w:r w:rsidRPr="00EA4476">
        <w:rPr>
          <w:lang w:val="es-ES_tradnl"/>
        </w:rPr>
        <w:t>7.</w:t>
      </w:r>
      <w:r w:rsidRPr="00EA4476">
        <w:rPr>
          <w:lang w:val="es-ES_tradnl"/>
        </w:rPr>
        <w:tab/>
      </w:r>
      <w:r w:rsidR="00B11A19" w:rsidRPr="00EA4476">
        <w:rPr>
          <w:lang w:val="es-ES_tradnl"/>
        </w:rPr>
        <w:t xml:space="preserve">A pesar de los esfuerzos realizados por el Estado parte para otorgar una financiación adecuada a la Defensoría de los Habitantes, </w:t>
      </w:r>
      <w:r w:rsidR="00B11A19">
        <w:rPr>
          <w:lang w:val="es-ES_tradnl"/>
        </w:rPr>
        <w:t>el Comité está</w:t>
      </w:r>
      <w:r w:rsidR="00B11A19" w:rsidRPr="00EA4476">
        <w:rPr>
          <w:lang w:val="es-ES_tradnl"/>
        </w:rPr>
        <w:t xml:space="preserve"> preocupa</w:t>
      </w:r>
      <w:r w:rsidR="00B11A19">
        <w:rPr>
          <w:lang w:val="es-ES_tradnl"/>
        </w:rPr>
        <w:t>do por</w:t>
      </w:r>
      <w:r w:rsidR="00B11A19" w:rsidRPr="00EA4476">
        <w:rPr>
          <w:lang w:val="es-ES_tradnl"/>
        </w:rPr>
        <w:t xml:space="preserve"> que tales recursos</w:t>
      </w:r>
      <w:r w:rsidR="00B11A19">
        <w:rPr>
          <w:lang w:val="es-ES_tradnl"/>
        </w:rPr>
        <w:t xml:space="preserve"> continúen siendo in</w:t>
      </w:r>
      <w:r w:rsidR="00B11A19" w:rsidRPr="00EA4476">
        <w:rPr>
          <w:lang w:val="es-ES_tradnl"/>
        </w:rPr>
        <w:t xml:space="preserve">suficientes </w:t>
      </w:r>
      <w:r w:rsidR="00B11A19">
        <w:rPr>
          <w:lang w:val="es-ES_tradnl"/>
        </w:rPr>
        <w:t>para garantizar su efectivo funcionamiento</w:t>
      </w:r>
      <w:r w:rsidR="00B11A19" w:rsidRPr="00EA4476">
        <w:rPr>
          <w:lang w:val="es-ES_tradnl"/>
        </w:rPr>
        <w:t xml:space="preserve">. Asimismo, </w:t>
      </w:r>
      <w:r w:rsidR="00B11A19">
        <w:rPr>
          <w:lang w:val="es-ES_tradnl"/>
        </w:rPr>
        <w:t>le preocupa</w:t>
      </w:r>
      <w:r w:rsidR="00B11A19" w:rsidRPr="00EA4476">
        <w:rPr>
          <w:lang w:val="es-ES_tradnl"/>
        </w:rPr>
        <w:t xml:space="preserve"> que el proceso de selección del </w:t>
      </w:r>
      <w:r w:rsidR="00B11A19">
        <w:rPr>
          <w:lang w:val="es-ES_tradnl"/>
        </w:rPr>
        <w:t>Defensor A</w:t>
      </w:r>
      <w:r w:rsidR="00B11A19" w:rsidRPr="00EA4476">
        <w:rPr>
          <w:lang w:val="es-ES_tradnl"/>
        </w:rPr>
        <w:t>djunto no sea</w:t>
      </w:r>
      <w:r w:rsidR="00AF76FD">
        <w:rPr>
          <w:lang w:val="es-ES_tradnl"/>
        </w:rPr>
        <w:t xml:space="preserve"> </w:t>
      </w:r>
      <w:r w:rsidR="00B11A19" w:rsidRPr="00EA4476">
        <w:rPr>
          <w:lang w:val="es-ES_tradnl"/>
        </w:rPr>
        <w:t xml:space="preserve">transparente (art. 2). </w:t>
      </w:r>
    </w:p>
    <w:p w:rsidR="00B11A19" w:rsidRPr="005A5EB7" w:rsidRDefault="00723695" w:rsidP="00723695">
      <w:pPr>
        <w:pStyle w:val="SingleTxtG"/>
        <w:rPr>
          <w:lang w:val="es-ES_tradnl"/>
        </w:rPr>
      </w:pPr>
      <w:r w:rsidRPr="005A5EB7">
        <w:rPr>
          <w:lang w:val="es-ES_tradnl"/>
        </w:rPr>
        <w:t>8.</w:t>
      </w:r>
      <w:r w:rsidRPr="005A5EB7">
        <w:rPr>
          <w:lang w:val="es-ES_tradnl"/>
        </w:rPr>
        <w:tab/>
      </w:r>
      <w:r w:rsidR="00B11A19" w:rsidRPr="003D5CF8">
        <w:rPr>
          <w:b/>
          <w:lang w:val="es-ES_tradnl"/>
        </w:rPr>
        <w:t xml:space="preserve">El Estado parte debe garantizar que la Defensoría de los Habitantes cuente con los recursos financieros, humanos y materiales necesarios para el desempeño </w:t>
      </w:r>
      <w:r w:rsidR="00B11A19">
        <w:rPr>
          <w:b/>
          <w:lang w:val="es-ES_tradnl"/>
        </w:rPr>
        <w:t xml:space="preserve">efectivo </w:t>
      </w:r>
      <w:r w:rsidR="00B11A19" w:rsidRPr="003D5CF8">
        <w:rPr>
          <w:b/>
          <w:lang w:val="es-ES_tradnl"/>
        </w:rPr>
        <w:t xml:space="preserve">de su labor </w:t>
      </w:r>
      <w:r w:rsidR="00B11A19">
        <w:rPr>
          <w:b/>
          <w:lang w:val="es-ES_tradnl"/>
        </w:rPr>
        <w:t xml:space="preserve">y que el proceso de selección del Defensor Adjunto sea transparente, todo ello a fin de asegurar la </w:t>
      </w:r>
      <w:r w:rsidR="00B11A19" w:rsidRPr="003D5CF8">
        <w:rPr>
          <w:b/>
          <w:lang w:val="es-ES_tradnl"/>
        </w:rPr>
        <w:t>plena independencia y eficacia</w:t>
      </w:r>
      <w:r w:rsidR="00B11A19">
        <w:rPr>
          <w:b/>
          <w:lang w:val="es-ES_tradnl"/>
        </w:rPr>
        <w:t xml:space="preserve"> de dicha institución</w:t>
      </w:r>
      <w:r w:rsidR="00B11A19" w:rsidRPr="006B690F">
        <w:rPr>
          <w:b/>
          <w:color w:val="0070C0"/>
          <w:lang w:val="es-ES_tradnl"/>
        </w:rPr>
        <w:t xml:space="preserve"> </w:t>
      </w:r>
      <w:r w:rsidR="00B11A19" w:rsidRPr="003D5CF8">
        <w:rPr>
          <w:b/>
          <w:lang w:val="es-ES_tradnl"/>
        </w:rPr>
        <w:t>de conformidad con los Principios relativos al estatuto de las instituciones nacionales de promoción y protección de los derechos humanos (Principios de París).</w:t>
      </w:r>
      <w:r w:rsidR="00B11A19" w:rsidRPr="006B690F">
        <w:rPr>
          <w:b/>
          <w:color w:val="0070C0"/>
          <w:lang w:val="es-ES_tradnl"/>
        </w:rPr>
        <w:t xml:space="preserve"> </w:t>
      </w:r>
    </w:p>
    <w:p w:rsidR="00B11A19" w:rsidRPr="00B45373" w:rsidRDefault="005D7A3B" w:rsidP="005A5EB7">
      <w:pPr>
        <w:pStyle w:val="H23G"/>
        <w:rPr>
          <w:lang w:val="es-ES_tradnl"/>
        </w:rPr>
      </w:pPr>
      <w:r>
        <w:tab/>
      </w:r>
      <w:r>
        <w:tab/>
      </w:r>
      <w:r w:rsidR="00B11A19" w:rsidRPr="00B45373">
        <w:t>No discriminación</w:t>
      </w:r>
      <w:r w:rsidR="00B11A19" w:rsidRPr="00B45373">
        <w:rPr>
          <w:lang w:val="es-ES_tradnl"/>
        </w:rPr>
        <w:t xml:space="preserve"> </w:t>
      </w:r>
    </w:p>
    <w:p w:rsidR="00B11A19" w:rsidRPr="005A5EB7" w:rsidRDefault="00723695" w:rsidP="00723695">
      <w:pPr>
        <w:pStyle w:val="SingleTxtG"/>
        <w:rPr>
          <w:lang w:val="es-ES_tradnl"/>
        </w:rPr>
      </w:pPr>
      <w:r w:rsidRPr="005A5EB7">
        <w:rPr>
          <w:lang w:val="es-ES_tradnl"/>
        </w:rPr>
        <w:t>9.</w:t>
      </w:r>
      <w:r w:rsidRPr="005A5EB7">
        <w:rPr>
          <w:lang w:val="es-ES_tradnl"/>
        </w:rPr>
        <w:tab/>
      </w:r>
      <w:r w:rsidR="00B11A19">
        <w:t xml:space="preserve">A pesar de los esfuerzos realizados </w:t>
      </w:r>
      <w:r w:rsidR="00B11A19" w:rsidRPr="00B45373">
        <w:t xml:space="preserve">por el Estado parte para luchar contra la </w:t>
      </w:r>
      <w:r w:rsidR="00B11A19" w:rsidRPr="00D95122">
        <w:rPr>
          <w:lang w:val="es-ES_tradnl"/>
        </w:rPr>
        <w:t>discriminación</w:t>
      </w:r>
      <w:r w:rsidR="00B11A19" w:rsidRPr="00B45373">
        <w:t xml:space="preserve">, </w:t>
      </w:r>
      <w:r w:rsidR="00B11A19">
        <w:t xml:space="preserve">preocupa al Comité </w:t>
      </w:r>
      <w:r w:rsidR="00B11A19" w:rsidRPr="00B45373">
        <w:t>la persistente discriminación estructural contra miembros de pueblos indígenas</w:t>
      </w:r>
      <w:r w:rsidR="00B11A19">
        <w:t xml:space="preserve"> y</w:t>
      </w:r>
      <w:r w:rsidR="00B11A19" w:rsidRPr="00B45373">
        <w:t xml:space="preserve"> personas afrodescendientes</w:t>
      </w:r>
      <w:r w:rsidR="00B11A19">
        <w:t xml:space="preserve"> que afecta </w:t>
      </w:r>
      <w:r w:rsidR="00527004">
        <w:t xml:space="preserve">a </w:t>
      </w:r>
      <w:r w:rsidR="00B11A19">
        <w:t>su acceso a la educación, empleo y vivienda</w:t>
      </w:r>
      <w:r w:rsidR="00DB7294" w:rsidRPr="008903D0">
        <w:t>. El Comité también está preocupado por la persistencia de la estigmatización contra</w:t>
      </w:r>
      <w:r w:rsidR="00B11A19" w:rsidRPr="008903D0">
        <w:t xml:space="preserve"> pers</w:t>
      </w:r>
      <w:r w:rsidR="00B11A19" w:rsidRPr="00B45373">
        <w:t>onas migrantes, solicitantes de asilo y refugiados</w:t>
      </w:r>
      <w:r w:rsidR="00DB7294">
        <w:t>,</w:t>
      </w:r>
      <w:r w:rsidR="00B11A19">
        <w:t xml:space="preserve"> y la </w:t>
      </w:r>
      <w:r w:rsidR="00B11A19">
        <w:lastRenderedPageBreak/>
        <w:t>discriminación contra personas con discapacidad</w:t>
      </w:r>
      <w:r w:rsidR="00B11A19" w:rsidRPr="00B45373">
        <w:t>.</w:t>
      </w:r>
      <w:r w:rsidR="00B11A19">
        <w:rPr>
          <w:color w:val="0070C0"/>
        </w:rPr>
        <w:t xml:space="preserve"> </w:t>
      </w:r>
      <w:r w:rsidR="00B11A19">
        <w:rPr>
          <w:lang w:val="es-ES_tradnl"/>
        </w:rPr>
        <w:t>Además, le p</w:t>
      </w:r>
      <w:r w:rsidR="00B11A19" w:rsidRPr="00023938">
        <w:rPr>
          <w:lang w:val="es-ES_tradnl"/>
        </w:rPr>
        <w:t>reocupa la ausencia de un marco legal general contra la discriminación que incluya una prohibición de discriminación por todos los motivos enumerados en el Pacto (art</w:t>
      </w:r>
      <w:r w:rsidR="002E6DB9">
        <w:rPr>
          <w:lang w:val="es-ES_tradnl"/>
        </w:rPr>
        <w:t>s</w:t>
      </w:r>
      <w:r w:rsidR="00B11A19" w:rsidRPr="00023938">
        <w:rPr>
          <w:lang w:val="es-ES_tradnl"/>
        </w:rPr>
        <w:t>. 2</w:t>
      </w:r>
      <w:r w:rsidR="00B11A19">
        <w:rPr>
          <w:lang w:val="es-ES_tradnl"/>
        </w:rPr>
        <w:t xml:space="preserve"> y 26</w:t>
      </w:r>
      <w:r w:rsidR="00B11A19" w:rsidRPr="00023938">
        <w:rPr>
          <w:lang w:val="es-ES_tradnl"/>
        </w:rPr>
        <w:t>).</w:t>
      </w:r>
      <w:r w:rsidR="00B11A19">
        <w:rPr>
          <w:color w:val="0070C0"/>
          <w:lang w:val="es-ES_tradnl"/>
        </w:rPr>
        <w:t xml:space="preserve"> </w:t>
      </w:r>
    </w:p>
    <w:p w:rsidR="00B11A19" w:rsidRPr="005A5EB7" w:rsidRDefault="00723695" w:rsidP="00723695">
      <w:pPr>
        <w:pStyle w:val="SingleTxtG"/>
        <w:rPr>
          <w:lang w:val="es-ES_tradnl"/>
        </w:rPr>
      </w:pPr>
      <w:r w:rsidRPr="005A5EB7">
        <w:rPr>
          <w:lang w:val="es-ES_tradnl"/>
        </w:rPr>
        <w:t>10.</w:t>
      </w:r>
      <w:r w:rsidRPr="005A5EB7">
        <w:rPr>
          <w:lang w:val="es-ES_tradnl"/>
        </w:rPr>
        <w:tab/>
      </w:r>
      <w:r w:rsidR="00B11A19" w:rsidRPr="00936591">
        <w:rPr>
          <w:b/>
        </w:rPr>
        <w:t xml:space="preserve">El Estado parte </w:t>
      </w:r>
      <w:r w:rsidR="00B11A19" w:rsidRPr="00D95122">
        <w:rPr>
          <w:b/>
          <w:lang w:val="es-ES_tradnl"/>
        </w:rPr>
        <w:t>debe</w:t>
      </w:r>
      <w:r w:rsidR="00B11A19" w:rsidRPr="00936591">
        <w:rPr>
          <w:b/>
        </w:rPr>
        <w:t xml:space="preserve"> </w:t>
      </w:r>
      <w:r w:rsidR="00B11A19">
        <w:rPr>
          <w:b/>
        </w:rPr>
        <w:t xml:space="preserve">redoblar sus </w:t>
      </w:r>
      <w:r w:rsidR="00B11A19" w:rsidRPr="00936591">
        <w:rPr>
          <w:b/>
        </w:rPr>
        <w:t>esfuerzo</w:t>
      </w:r>
      <w:r w:rsidR="00B11A19">
        <w:rPr>
          <w:b/>
        </w:rPr>
        <w:t>s</w:t>
      </w:r>
      <w:r w:rsidR="00B11A19" w:rsidRPr="00936591">
        <w:rPr>
          <w:b/>
        </w:rPr>
        <w:t xml:space="preserve"> por erradicar los estereotipos y la discriminación contra los miembros de pueblos indígenas, personas afrodescendientes, migrantes, solicitantes de asilo y </w:t>
      </w:r>
      <w:r w:rsidR="00B11A19" w:rsidRPr="008903D0">
        <w:rPr>
          <w:b/>
        </w:rPr>
        <w:t>refugiados,</w:t>
      </w:r>
      <w:r w:rsidR="00EA3CD7" w:rsidRPr="008903D0">
        <w:rPr>
          <w:b/>
        </w:rPr>
        <w:t xml:space="preserve"> y las personas con discapacidad,</w:t>
      </w:r>
      <w:r w:rsidR="00B11A19" w:rsidRPr="00936591">
        <w:rPr>
          <w:b/>
        </w:rPr>
        <w:t xml:space="preserve"> entre otras cosas poniendo en marcha campañas de </w:t>
      </w:r>
      <w:r w:rsidR="00B11A19">
        <w:rPr>
          <w:b/>
        </w:rPr>
        <w:t xml:space="preserve">concientización </w:t>
      </w:r>
      <w:r w:rsidR="00B11A19" w:rsidRPr="00936591">
        <w:rPr>
          <w:b/>
        </w:rPr>
        <w:t xml:space="preserve">a fin de promover la tolerancia y el respeto de la diversidad. </w:t>
      </w:r>
      <w:r w:rsidR="00B11A19" w:rsidRPr="00936591">
        <w:rPr>
          <w:b/>
          <w:lang w:val="es-ES_tradnl"/>
        </w:rPr>
        <w:t xml:space="preserve">El Estado parte debe acelerar la adopción </w:t>
      </w:r>
      <w:r w:rsidR="008903D0">
        <w:rPr>
          <w:b/>
          <w:lang w:val="es-ES_tradnl"/>
        </w:rPr>
        <w:t>de una</w:t>
      </w:r>
      <w:r w:rsidR="00B11A19" w:rsidRPr="00936591">
        <w:rPr>
          <w:b/>
          <w:lang w:val="es-ES_tradnl"/>
        </w:rPr>
        <w:t xml:space="preserve"> </w:t>
      </w:r>
      <w:r w:rsidR="00527004">
        <w:rPr>
          <w:b/>
          <w:lang w:val="es-ES_tradnl"/>
        </w:rPr>
        <w:t>l</w:t>
      </w:r>
      <w:r w:rsidR="00B11A19" w:rsidRPr="00936591">
        <w:rPr>
          <w:b/>
          <w:lang w:val="es-ES_tradnl"/>
        </w:rPr>
        <w:t xml:space="preserve">ey </w:t>
      </w:r>
      <w:r w:rsidR="00B11A19">
        <w:rPr>
          <w:b/>
          <w:lang w:val="es-ES_tradnl"/>
        </w:rPr>
        <w:t xml:space="preserve">para </w:t>
      </w:r>
      <w:r w:rsidR="00527004">
        <w:rPr>
          <w:b/>
          <w:lang w:val="es-ES_tradnl"/>
        </w:rPr>
        <w:t>p</w:t>
      </w:r>
      <w:r w:rsidR="00B11A19">
        <w:rPr>
          <w:b/>
          <w:lang w:val="es-ES_tradnl"/>
        </w:rPr>
        <w:t xml:space="preserve">revenir y </w:t>
      </w:r>
      <w:r w:rsidR="00527004">
        <w:rPr>
          <w:b/>
          <w:lang w:val="es-ES_tradnl"/>
        </w:rPr>
        <w:t>s</w:t>
      </w:r>
      <w:r w:rsidR="00B11A19">
        <w:rPr>
          <w:b/>
          <w:lang w:val="es-ES_tradnl"/>
        </w:rPr>
        <w:t xml:space="preserve">ancionar todas las </w:t>
      </w:r>
      <w:r w:rsidR="00527004">
        <w:rPr>
          <w:b/>
          <w:lang w:val="es-ES_tradnl"/>
        </w:rPr>
        <w:t>f</w:t>
      </w:r>
      <w:r w:rsidR="00B11A19">
        <w:rPr>
          <w:b/>
          <w:lang w:val="es-ES_tradnl"/>
        </w:rPr>
        <w:t xml:space="preserve">ormas de </w:t>
      </w:r>
      <w:r w:rsidR="00527004">
        <w:rPr>
          <w:b/>
          <w:lang w:val="es-ES_tradnl"/>
        </w:rPr>
        <w:t>d</w:t>
      </w:r>
      <w:r w:rsidR="00B11A19">
        <w:rPr>
          <w:b/>
          <w:lang w:val="es-ES_tradnl"/>
        </w:rPr>
        <w:t>iscriminación</w:t>
      </w:r>
      <w:r w:rsidR="00B11A19" w:rsidRPr="00936591">
        <w:rPr>
          <w:b/>
          <w:lang w:val="es-ES_tradnl"/>
        </w:rPr>
        <w:t xml:space="preserve">, asegurándose </w:t>
      </w:r>
      <w:r w:rsidR="00527004">
        <w:rPr>
          <w:b/>
          <w:lang w:val="es-ES_tradnl"/>
        </w:rPr>
        <w:t xml:space="preserve">de </w:t>
      </w:r>
      <w:r w:rsidR="00B11A19" w:rsidRPr="00936591">
        <w:rPr>
          <w:b/>
          <w:lang w:val="es-ES_tradnl"/>
        </w:rPr>
        <w:t xml:space="preserve">que </w:t>
      </w:r>
      <w:r w:rsidR="00B11A19" w:rsidRPr="00936591">
        <w:rPr>
          <w:b/>
        </w:rPr>
        <w:t>incluya una prohibición general de la discriminación por todos los motivos que figuran en el Pacto e incorpore disposiciones que permitan obtener reparación en casos de discriminación</w:t>
      </w:r>
      <w:r w:rsidR="00B11A19">
        <w:rPr>
          <w:b/>
        </w:rPr>
        <w:t>, racismo o xenofobia,</w:t>
      </w:r>
      <w:r w:rsidR="00B11A19" w:rsidRPr="00936591">
        <w:rPr>
          <w:b/>
        </w:rPr>
        <w:t xml:space="preserve"> mediante recursos judiciales eficaces y adecuados</w:t>
      </w:r>
      <w:r w:rsidR="00B11A19" w:rsidRPr="00936591">
        <w:rPr>
          <w:b/>
          <w:lang w:val="es-ES_tradnl"/>
        </w:rPr>
        <w:t xml:space="preserve">. </w:t>
      </w:r>
    </w:p>
    <w:p w:rsidR="00B11A19" w:rsidRPr="00AF010B" w:rsidRDefault="005D7A3B" w:rsidP="005A5EB7">
      <w:pPr>
        <w:pStyle w:val="H23G"/>
        <w:rPr>
          <w:lang w:val="es-ES_tradnl"/>
        </w:rPr>
      </w:pPr>
      <w:r>
        <w:rPr>
          <w:lang w:val="es-ES_tradnl"/>
        </w:rPr>
        <w:tab/>
      </w:r>
      <w:r>
        <w:rPr>
          <w:lang w:val="es-ES_tradnl"/>
        </w:rPr>
        <w:tab/>
      </w:r>
      <w:r w:rsidR="00B11A19" w:rsidRPr="00AF010B">
        <w:rPr>
          <w:lang w:val="es-ES_tradnl"/>
        </w:rPr>
        <w:t>Discriminación por motivos de orientación sexual o identidad de género</w:t>
      </w:r>
    </w:p>
    <w:p w:rsidR="00B11A19" w:rsidRPr="00AF010B" w:rsidRDefault="00723695" w:rsidP="00723695">
      <w:pPr>
        <w:pStyle w:val="SingleTxtG"/>
        <w:rPr>
          <w:lang w:val="es-ES_tradnl"/>
        </w:rPr>
      </w:pPr>
      <w:r w:rsidRPr="00AF010B">
        <w:rPr>
          <w:lang w:val="es-ES_tradnl"/>
        </w:rPr>
        <w:t>11.</w:t>
      </w:r>
      <w:r w:rsidRPr="00AF010B">
        <w:rPr>
          <w:lang w:val="es-ES_tradnl"/>
        </w:rPr>
        <w:tab/>
      </w:r>
      <w:r w:rsidR="00B11A19">
        <w:rPr>
          <w:lang w:val="es-ES_tradnl"/>
        </w:rPr>
        <w:t>Si bien</w:t>
      </w:r>
      <w:r w:rsidR="00B11A19" w:rsidRPr="00AF010B">
        <w:rPr>
          <w:lang w:val="es-ES_tradnl"/>
        </w:rPr>
        <w:t xml:space="preserve"> el </w:t>
      </w:r>
      <w:r w:rsidR="00B11A19" w:rsidRPr="00C532C1">
        <w:t>Comité</w:t>
      </w:r>
      <w:r w:rsidR="00B11A19" w:rsidRPr="00AF010B">
        <w:rPr>
          <w:lang w:val="es-ES_tradnl"/>
        </w:rPr>
        <w:t xml:space="preserve"> toma nota de las </w:t>
      </w:r>
      <w:r w:rsidR="00B11A19">
        <w:rPr>
          <w:lang w:val="es-ES_tradnl"/>
        </w:rPr>
        <w:t xml:space="preserve">diversas </w:t>
      </w:r>
      <w:r w:rsidR="00B11A19" w:rsidRPr="00AF010B">
        <w:rPr>
          <w:lang w:val="es-ES_tradnl"/>
        </w:rPr>
        <w:t xml:space="preserve">medidas adoptadas para luchar contra la discriminación por motivos de orientación sexual o identidad de género, </w:t>
      </w:r>
      <w:r w:rsidR="00B11A19">
        <w:rPr>
          <w:lang w:val="es-ES_tradnl"/>
        </w:rPr>
        <w:t>le preocupa</w:t>
      </w:r>
      <w:r w:rsidR="00B11A19" w:rsidRPr="00AF010B">
        <w:rPr>
          <w:lang w:val="es-ES_tradnl"/>
        </w:rPr>
        <w:t xml:space="preserve"> la falta de una política que aborde de manera integral la discriminación por motivos de orientación sexual o identidad de género.</w:t>
      </w:r>
      <w:r w:rsidR="00AF76FD">
        <w:rPr>
          <w:lang w:val="es-ES_tradnl"/>
        </w:rPr>
        <w:t xml:space="preserve"> </w:t>
      </w:r>
      <w:r w:rsidR="00B11A19">
        <w:rPr>
          <w:lang w:val="es-ES_tradnl"/>
        </w:rPr>
        <w:t>A</w:t>
      </w:r>
      <w:r w:rsidR="00B11A19" w:rsidRPr="00AF010B">
        <w:rPr>
          <w:lang w:val="es-ES_tradnl"/>
        </w:rPr>
        <w:t>demás</w:t>
      </w:r>
      <w:r w:rsidR="00B11A19">
        <w:rPr>
          <w:lang w:val="es-ES_tradnl"/>
        </w:rPr>
        <w:t>, le preocupan</w:t>
      </w:r>
      <w:r w:rsidR="00B11A19" w:rsidRPr="00AF010B">
        <w:rPr>
          <w:lang w:val="es-ES_tradnl"/>
        </w:rPr>
        <w:t xml:space="preserve"> </w:t>
      </w:r>
      <w:r w:rsidR="00B11A19">
        <w:rPr>
          <w:lang w:val="es-ES_tradnl"/>
        </w:rPr>
        <w:t xml:space="preserve">los </w:t>
      </w:r>
      <w:r w:rsidR="00B11A19" w:rsidRPr="00AF010B">
        <w:rPr>
          <w:lang w:val="es-ES_tradnl"/>
        </w:rPr>
        <w:t>informes recibidos de casos de abuso y violencia, incluso por parte de agentes de autoridad</w:t>
      </w:r>
      <w:r w:rsidR="00527004">
        <w:rPr>
          <w:lang w:val="es-ES_tradnl"/>
        </w:rPr>
        <w:t>,</w:t>
      </w:r>
      <w:r w:rsidR="00B11A19" w:rsidRPr="00AF010B">
        <w:rPr>
          <w:lang w:val="es-ES_tradnl"/>
        </w:rPr>
        <w:t xml:space="preserve"> </w:t>
      </w:r>
      <w:r w:rsidR="00B11A19">
        <w:rPr>
          <w:lang w:val="es-ES_tradnl"/>
        </w:rPr>
        <w:t xml:space="preserve">contra personas lesbianas, gais, bisexuales, </w:t>
      </w:r>
      <w:proofErr w:type="spellStart"/>
      <w:r w:rsidR="00B11A19">
        <w:rPr>
          <w:lang w:val="es-ES_tradnl"/>
        </w:rPr>
        <w:t>transgénero</w:t>
      </w:r>
      <w:proofErr w:type="spellEnd"/>
      <w:r w:rsidR="00B11A19">
        <w:rPr>
          <w:lang w:val="es-ES_tradnl"/>
        </w:rPr>
        <w:t xml:space="preserve"> e intersexuales </w:t>
      </w:r>
      <w:r w:rsidR="00B11A19" w:rsidRPr="00777D2E">
        <w:rPr>
          <w:lang w:val="es-ES_tradnl"/>
        </w:rPr>
        <w:t xml:space="preserve">y lamenta que el Estado parte no haya facilitado información sobre las </w:t>
      </w:r>
      <w:r w:rsidR="00B11A19">
        <w:rPr>
          <w:lang w:val="es-ES_tradnl"/>
        </w:rPr>
        <w:t>investigaciones llevadas a cabo</w:t>
      </w:r>
      <w:r w:rsidR="00B11A19" w:rsidRPr="00AF010B">
        <w:rPr>
          <w:i/>
          <w:lang w:val="es-ES_tradnl"/>
        </w:rPr>
        <w:t xml:space="preserve"> </w:t>
      </w:r>
      <w:r w:rsidR="00B11A19" w:rsidRPr="00AF010B">
        <w:rPr>
          <w:lang w:val="es-ES_tradnl"/>
        </w:rPr>
        <w:t>(arts. 2</w:t>
      </w:r>
      <w:r w:rsidR="00B11A19">
        <w:rPr>
          <w:lang w:val="es-ES_tradnl"/>
        </w:rPr>
        <w:t>,</w:t>
      </w:r>
      <w:r w:rsidR="00B11A19" w:rsidRPr="00AF010B">
        <w:rPr>
          <w:lang w:val="es-ES_tradnl"/>
        </w:rPr>
        <w:t>7</w:t>
      </w:r>
      <w:r w:rsidR="00B11A19">
        <w:rPr>
          <w:lang w:val="es-ES_tradnl"/>
        </w:rPr>
        <w:t xml:space="preserve"> y 26</w:t>
      </w:r>
      <w:r w:rsidR="00B11A19" w:rsidRPr="00AF010B">
        <w:rPr>
          <w:lang w:val="es-ES_tradnl"/>
        </w:rPr>
        <w:t xml:space="preserve">). </w:t>
      </w:r>
    </w:p>
    <w:p w:rsidR="00B11A19" w:rsidRPr="005A5EB7" w:rsidRDefault="00723695" w:rsidP="00723695">
      <w:pPr>
        <w:pStyle w:val="SingleTxtG"/>
        <w:rPr>
          <w:lang w:val="es-ES_tradnl"/>
        </w:rPr>
      </w:pPr>
      <w:r w:rsidRPr="005A5EB7">
        <w:rPr>
          <w:lang w:val="es-ES_tradnl"/>
        </w:rPr>
        <w:t>12.</w:t>
      </w:r>
      <w:r w:rsidRPr="005A5EB7">
        <w:rPr>
          <w:lang w:val="es-ES_tradnl"/>
        </w:rPr>
        <w:tab/>
      </w:r>
      <w:r w:rsidR="00B11A19" w:rsidRPr="00E756BF">
        <w:rPr>
          <w:b/>
          <w:lang w:val="es-ES_tradnl"/>
        </w:rPr>
        <w:t xml:space="preserve">El Estado parte debe adoptar medidas efectivas para poner fin a la </w:t>
      </w:r>
      <w:r w:rsidR="00B11A19">
        <w:rPr>
          <w:b/>
          <w:lang w:val="es-ES_tradnl"/>
        </w:rPr>
        <w:t xml:space="preserve">discriminación y </w:t>
      </w:r>
      <w:r w:rsidR="00B11A19" w:rsidRPr="00E756BF">
        <w:rPr>
          <w:b/>
          <w:bCs/>
        </w:rPr>
        <w:t xml:space="preserve">estigmatización social de las personas </w:t>
      </w:r>
      <w:r w:rsidR="00527004" w:rsidRPr="005A5EB7">
        <w:rPr>
          <w:b/>
          <w:bCs/>
        </w:rPr>
        <w:t xml:space="preserve">lesbianas, gais, bisexuales, </w:t>
      </w:r>
      <w:proofErr w:type="spellStart"/>
      <w:r w:rsidR="00527004" w:rsidRPr="005A5EB7">
        <w:rPr>
          <w:b/>
          <w:bCs/>
        </w:rPr>
        <w:t>transgénero</w:t>
      </w:r>
      <w:proofErr w:type="spellEnd"/>
      <w:r w:rsidR="00527004" w:rsidRPr="005A5EB7">
        <w:rPr>
          <w:b/>
          <w:bCs/>
        </w:rPr>
        <w:t xml:space="preserve"> e intersexuales</w:t>
      </w:r>
      <w:r w:rsidR="00B11A19" w:rsidRPr="005A5EB7">
        <w:rPr>
          <w:b/>
          <w:bCs/>
        </w:rPr>
        <w:t xml:space="preserve"> con el fin de</w:t>
      </w:r>
      <w:r w:rsidR="00B11A19" w:rsidRPr="00E756BF">
        <w:rPr>
          <w:b/>
          <w:bCs/>
        </w:rPr>
        <w:t xml:space="preserve"> </w:t>
      </w:r>
      <w:r w:rsidR="00B11A19" w:rsidRPr="005A5EB7">
        <w:rPr>
          <w:b/>
          <w:bCs/>
        </w:rPr>
        <w:t>enviar</w:t>
      </w:r>
      <w:r w:rsidR="00B11A19" w:rsidRPr="00E756BF">
        <w:rPr>
          <w:b/>
          <w:bCs/>
        </w:rPr>
        <w:t xml:space="preserve"> un </w:t>
      </w:r>
      <w:r w:rsidR="00B11A19" w:rsidRPr="005A5EB7">
        <w:rPr>
          <w:b/>
          <w:bCs/>
        </w:rPr>
        <w:t>mens</w:t>
      </w:r>
      <w:r w:rsidR="00B11A19" w:rsidRPr="00C532C1">
        <w:rPr>
          <w:b/>
        </w:rPr>
        <w:t>aje</w:t>
      </w:r>
      <w:r w:rsidR="00B11A19" w:rsidRPr="00E756BF">
        <w:rPr>
          <w:b/>
          <w:bCs/>
        </w:rPr>
        <w:t xml:space="preserve"> claro de que no tolera ningún tipo de acoso, discriminación o violencia por motivos de su orientación sexual o identidad de género. </w:t>
      </w:r>
      <w:r w:rsidR="00B11A19" w:rsidRPr="00E756BF">
        <w:rPr>
          <w:b/>
          <w:lang w:val="es-ES_tradnl"/>
        </w:rPr>
        <w:t xml:space="preserve">Todos los casos de </w:t>
      </w:r>
      <w:r w:rsidR="00B11A19">
        <w:rPr>
          <w:b/>
          <w:lang w:val="es-ES_tradnl"/>
        </w:rPr>
        <w:t>violencia deben investigarse y</w:t>
      </w:r>
      <w:r w:rsidR="00B11A19" w:rsidRPr="00E756BF">
        <w:rPr>
          <w:b/>
          <w:lang w:val="es-ES_tradnl"/>
        </w:rPr>
        <w:t xml:space="preserve"> los autores deben ser procesados y castigados con sanciones apropiadas.</w:t>
      </w:r>
    </w:p>
    <w:p w:rsidR="00B11A19" w:rsidRPr="005278B3" w:rsidRDefault="005D7A3B" w:rsidP="005A5EB7">
      <w:pPr>
        <w:pStyle w:val="H23G"/>
        <w:rPr>
          <w:lang w:val="es-ES_tradnl"/>
        </w:rPr>
      </w:pPr>
      <w:r>
        <w:rPr>
          <w:lang w:val="es-ES_tradnl"/>
        </w:rPr>
        <w:tab/>
      </w:r>
      <w:r>
        <w:rPr>
          <w:lang w:val="es-ES_tradnl"/>
        </w:rPr>
        <w:tab/>
      </w:r>
      <w:r w:rsidR="00B11A19" w:rsidRPr="005278B3">
        <w:rPr>
          <w:lang w:val="es-ES_tradnl"/>
        </w:rPr>
        <w:t>Discriminación de personas con VIH/SIDA</w:t>
      </w:r>
    </w:p>
    <w:p w:rsidR="00B11A19" w:rsidRPr="005A5EB7" w:rsidRDefault="00723695" w:rsidP="00723695">
      <w:pPr>
        <w:pStyle w:val="SingleTxtG"/>
        <w:rPr>
          <w:lang w:val="es-ES_tradnl"/>
        </w:rPr>
      </w:pPr>
      <w:r w:rsidRPr="005A5EB7">
        <w:rPr>
          <w:lang w:val="es-ES_tradnl"/>
        </w:rPr>
        <w:t>13.</w:t>
      </w:r>
      <w:r w:rsidRPr="005A5EB7">
        <w:rPr>
          <w:lang w:val="es-ES_tradnl"/>
        </w:rPr>
        <w:tab/>
      </w:r>
      <w:r w:rsidR="00B11A19">
        <w:t>E</w:t>
      </w:r>
      <w:r w:rsidR="00B11A19" w:rsidRPr="00BC7DFD">
        <w:t xml:space="preserve">l Comité acoge </w:t>
      </w:r>
      <w:r w:rsidR="00B11A19">
        <w:t>los esfuerzos</w:t>
      </w:r>
      <w:r w:rsidR="00B11A19" w:rsidRPr="00BC7DFD">
        <w:t xml:space="preserve"> que está </w:t>
      </w:r>
      <w:r w:rsidR="00B11A19">
        <w:t>realizando</w:t>
      </w:r>
      <w:r w:rsidR="00B11A19" w:rsidRPr="00BC7DFD">
        <w:t xml:space="preserve"> el Estado parte </w:t>
      </w:r>
      <w:r w:rsidR="00B11A19">
        <w:t xml:space="preserve">para luchar contra la </w:t>
      </w:r>
      <w:r w:rsidR="00B11A19" w:rsidRPr="00C532C1">
        <w:rPr>
          <w:lang w:val="es-ES_tradnl"/>
        </w:rPr>
        <w:t>discriminación</w:t>
      </w:r>
      <w:r w:rsidR="00B11A19">
        <w:t xml:space="preserve"> de las personas </w:t>
      </w:r>
      <w:r w:rsidR="00B11A19" w:rsidRPr="00BC7DFD">
        <w:rPr>
          <w:rFonts w:eastAsia="Calibri"/>
          <w:lang w:eastAsia="en-GB"/>
        </w:rPr>
        <w:t>con VIH/SIDA</w:t>
      </w:r>
      <w:r w:rsidR="0015516E">
        <w:rPr>
          <w:rFonts w:eastAsia="Calibri"/>
          <w:lang w:eastAsia="en-GB"/>
        </w:rPr>
        <w:t>.</w:t>
      </w:r>
      <w:r w:rsidR="00B11A19">
        <w:rPr>
          <w:rFonts w:eastAsia="Calibri"/>
          <w:lang w:eastAsia="en-GB"/>
        </w:rPr>
        <w:t xml:space="preserve"> </w:t>
      </w:r>
      <w:r w:rsidR="0015516E">
        <w:rPr>
          <w:rFonts w:eastAsia="Calibri"/>
          <w:lang w:eastAsia="en-GB"/>
        </w:rPr>
        <w:t>S</w:t>
      </w:r>
      <w:r w:rsidR="00B11A19">
        <w:rPr>
          <w:rFonts w:eastAsia="Calibri"/>
          <w:lang w:eastAsia="en-GB"/>
        </w:rPr>
        <w:t>in embargo</w:t>
      </w:r>
      <w:r w:rsidR="0015516E">
        <w:rPr>
          <w:rFonts w:eastAsia="Calibri"/>
          <w:lang w:eastAsia="en-GB"/>
        </w:rPr>
        <w:t>,</w:t>
      </w:r>
      <w:r w:rsidR="00B11A19">
        <w:rPr>
          <w:rFonts w:eastAsia="Calibri"/>
          <w:lang w:eastAsia="en-GB"/>
        </w:rPr>
        <w:t xml:space="preserve"> está preocupado por </w:t>
      </w:r>
      <w:r w:rsidR="00DF7D28">
        <w:rPr>
          <w:rFonts w:eastAsia="Calibri"/>
          <w:lang w:eastAsia="en-GB"/>
        </w:rPr>
        <w:t xml:space="preserve">la   </w:t>
      </w:r>
      <w:r w:rsidR="00B11A19">
        <w:rPr>
          <w:rFonts w:eastAsia="Calibri"/>
          <w:lang w:eastAsia="en-GB"/>
        </w:rPr>
        <w:t xml:space="preserve">información según la cual existe discriminación y dificultad en el acceso al empleo y a servicios de salud y tratamientos médicos por parte de personas con VIH/SIDA, especialmente pertenecientes a </w:t>
      </w:r>
      <w:r w:rsidR="00B11A19" w:rsidRPr="00BC7DFD">
        <w:rPr>
          <w:rFonts w:eastAsia="Calibri"/>
          <w:lang w:eastAsia="en-GB"/>
        </w:rPr>
        <w:t>grupos marginados y desfavorecidos</w:t>
      </w:r>
      <w:r w:rsidR="00B11A19">
        <w:rPr>
          <w:rFonts w:eastAsia="Calibri"/>
          <w:lang w:eastAsia="en-GB"/>
        </w:rPr>
        <w:t xml:space="preserve"> como p</w:t>
      </w:r>
      <w:r w:rsidR="00B11A19" w:rsidRPr="00BC7DFD">
        <w:rPr>
          <w:rFonts w:eastAsia="Calibri"/>
          <w:lang w:eastAsia="en-GB"/>
        </w:rPr>
        <w:t>ersonas privadas de libertad,</w:t>
      </w:r>
      <w:r w:rsidR="00AF76FD">
        <w:rPr>
          <w:rFonts w:eastAsia="Calibri"/>
          <w:lang w:eastAsia="en-GB"/>
        </w:rPr>
        <w:t xml:space="preserve"> </w:t>
      </w:r>
      <w:r w:rsidR="00B11A19" w:rsidRPr="00BC7DFD">
        <w:rPr>
          <w:rFonts w:eastAsia="Calibri"/>
          <w:lang w:eastAsia="en-GB"/>
        </w:rPr>
        <w:t xml:space="preserve">personas </w:t>
      </w:r>
      <w:r w:rsidR="004F603A">
        <w:rPr>
          <w:lang w:val="es-ES_tradnl"/>
        </w:rPr>
        <w:t xml:space="preserve">lesbianas, gais, bisexuales, </w:t>
      </w:r>
      <w:proofErr w:type="spellStart"/>
      <w:r w:rsidR="004F603A">
        <w:rPr>
          <w:lang w:val="es-ES_tradnl"/>
        </w:rPr>
        <w:t>transgénero</w:t>
      </w:r>
      <w:proofErr w:type="spellEnd"/>
      <w:r w:rsidR="004F603A">
        <w:rPr>
          <w:lang w:val="es-ES_tradnl"/>
        </w:rPr>
        <w:t xml:space="preserve"> e intersexuales</w:t>
      </w:r>
      <w:r w:rsidR="00B11A19" w:rsidRPr="00BC7DFD">
        <w:rPr>
          <w:rFonts w:eastAsia="Calibri"/>
          <w:lang w:eastAsia="en-GB"/>
        </w:rPr>
        <w:t xml:space="preserve">, y migrantes en condición irregular </w:t>
      </w:r>
      <w:r w:rsidR="00B11A19" w:rsidRPr="00BC7DFD">
        <w:t>(arts. 2 y 26).</w:t>
      </w:r>
    </w:p>
    <w:p w:rsidR="00B11A19" w:rsidRPr="005A5EB7" w:rsidRDefault="00723695" w:rsidP="00723695">
      <w:pPr>
        <w:pStyle w:val="SingleTxtG"/>
        <w:rPr>
          <w:lang w:val="es-ES_tradnl"/>
        </w:rPr>
      </w:pPr>
      <w:r w:rsidRPr="005A5EB7">
        <w:rPr>
          <w:lang w:val="es-ES_tradnl"/>
        </w:rPr>
        <w:t>14.</w:t>
      </w:r>
      <w:r w:rsidRPr="005A5EB7">
        <w:rPr>
          <w:lang w:val="es-ES_tradnl"/>
        </w:rPr>
        <w:tab/>
      </w:r>
      <w:r w:rsidR="00B11A19">
        <w:rPr>
          <w:b/>
        </w:rPr>
        <w:t xml:space="preserve">El Estado parte debe adoptar medidas concretas de sensibilización acerca del VIH/SIDA con el objeto de combatir los prejuicios y los estereotipos negativos contra las personas con VIH/SIDA. El Estado parte debe redoblar sus esfuerzos para garantizar que las personas con VIH/SIDA, en particular aquéllas </w:t>
      </w:r>
      <w:r w:rsidR="00B11A19" w:rsidRPr="0083504D">
        <w:rPr>
          <w:rFonts w:eastAsia="Calibri"/>
          <w:b/>
          <w:lang w:eastAsia="en-GB"/>
        </w:rPr>
        <w:t xml:space="preserve">privadas de libertad, </w:t>
      </w:r>
      <w:r w:rsidR="004F603A">
        <w:rPr>
          <w:rFonts w:eastAsia="Calibri"/>
          <w:b/>
          <w:lang w:eastAsia="en-GB"/>
        </w:rPr>
        <w:t xml:space="preserve">las personas lesbianas, gais, bisexuales, </w:t>
      </w:r>
      <w:proofErr w:type="spellStart"/>
      <w:r w:rsidR="004F603A">
        <w:rPr>
          <w:rFonts w:eastAsia="Calibri"/>
          <w:b/>
          <w:lang w:eastAsia="en-GB"/>
        </w:rPr>
        <w:t>transgénero</w:t>
      </w:r>
      <w:proofErr w:type="spellEnd"/>
      <w:r w:rsidR="004F603A">
        <w:rPr>
          <w:rFonts w:eastAsia="Calibri"/>
          <w:b/>
          <w:lang w:eastAsia="en-GB"/>
        </w:rPr>
        <w:t xml:space="preserve"> e intersexuales</w:t>
      </w:r>
      <w:r w:rsidR="00B11A19" w:rsidRPr="0083504D">
        <w:rPr>
          <w:rFonts w:eastAsia="Calibri"/>
          <w:b/>
          <w:lang w:eastAsia="en-GB"/>
        </w:rPr>
        <w:t>, y migrantes en condición irregular</w:t>
      </w:r>
      <w:r w:rsidR="00B11A19" w:rsidRPr="0083504D">
        <w:rPr>
          <w:b/>
        </w:rPr>
        <w:t>, tengan</w:t>
      </w:r>
      <w:r w:rsidR="00B11A19">
        <w:rPr>
          <w:b/>
        </w:rPr>
        <w:t xml:space="preserve"> igualdad de acceso a atención y tratamiento médicos. </w:t>
      </w:r>
    </w:p>
    <w:p w:rsidR="00B11A19" w:rsidRPr="00642B8E" w:rsidRDefault="005D7A3B" w:rsidP="005A5EB7">
      <w:pPr>
        <w:pStyle w:val="H23G"/>
        <w:rPr>
          <w:lang w:val="es-ES_tradnl"/>
        </w:rPr>
      </w:pPr>
      <w:r>
        <w:rPr>
          <w:lang w:val="es-ES_tradnl"/>
        </w:rPr>
        <w:tab/>
      </w:r>
      <w:r>
        <w:rPr>
          <w:lang w:val="es-ES_tradnl"/>
        </w:rPr>
        <w:tab/>
      </w:r>
      <w:r w:rsidR="00B11A19" w:rsidRPr="00642B8E">
        <w:rPr>
          <w:lang w:val="es-ES_tradnl"/>
        </w:rPr>
        <w:t>Igualdad de género</w:t>
      </w:r>
    </w:p>
    <w:p w:rsidR="00B11A19" w:rsidRPr="005A5EB7" w:rsidRDefault="00723695" w:rsidP="00723695">
      <w:pPr>
        <w:pStyle w:val="SingleTxtG"/>
        <w:rPr>
          <w:lang w:val="es-ES_tradnl"/>
        </w:rPr>
      </w:pPr>
      <w:r w:rsidRPr="005A5EB7">
        <w:rPr>
          <w:lang w:val="es-ES_tradnl"/>
        </w:rPr>
        <w:t>15.</w:t>
      </w:r>
      <w:r w:rsidRPr="005A5EB7">
        <w:rPr>
          <w:lang w:val="es-ES_tradnl"/>
        </w:rPr>
        <w:tab/>
      </w:r>
      <w:r w:rsidR="00B11A19" w:rsidRPr="009C1BDC">
        <w:rPr>
          <w:lang w:val="es-ES_tradnl"/>
        </w:rPr>
        <w:t>A pesar de las medidas adoptadas para promover la igualdad de género,</w:t>
      </w:r>
      <w:r w:rsidR="00B11A19" w:rsidRPr="00642B8E">
        <w:rPr>
          <w:lang w:val="es-ES_tradnl"/>
        </w:rPr>
        <w:t xml:space="preserve"> preocupa al Comité la significativa brecha salarial existente entre hombres y mujeres y las altas tasas </w:t>
      </w:r>
      <w:r w:rsidR="00B11A19" w:rsidRPr="00C532C1">
        <w:rPr>
          <w:rFonts w:eastAsia="Calibri"/>
          <w:lang w:eastAsia="en-GB"/>
        </w:rPr>
        <w:t>de</w:t>
      </w:r>
      <w:r w:rsidR="00B11A19" w:rsidRPr="00642B8E">
        <w:rPr>
          <w:lang w:val="es-ES_tradnl"/>
        </w:rPr>
        <w:t xml:space="preserve"> desempleo femenino</w:t>
      </w:r>
      <w:r w:rsidR="00B11A19" w:rsidRPr="00642B8E">
        <w:rPr>
          <w:color w:val="0070C0"/>
          <w:lang w:val="es-ES_tradnl"/>
        </w:rPr>
        <w:t xml:space="preserve">. </w:t>
      </w:r>
      <w:r w:rsidR="00B11A19">
        <w:rPr>
          <w:lang w:val="es-ES_tradnl"/>
        </w:rPr>
        <w:t>Además</w:t>
      </w:r>
      <w:r w:rsidR="00B11A19" w:rsidRPr="00642B8E">
        <w:rPr>
          <w:lang w:val="es-ES_tradnl"/>
        </w:rPr>
        <w:t xml:space="preserve">, </w:t>
      </w:r>
      <w:r w:rsidR="00B11A19">
        <w:rPr>
          <w:lang w:val="es-ES_tradnl"/>
        </w:rPr>
        <w:t xml:space="preserve">le preocupa </w:t>
      </w:r>
      <w:r w:rsidR="00B11A19" w:rsidRPr="00642B8E">
        <w:rPr>
          <w:lang w:val="es-ES_tradnl"/>
        </w:rPr>
        <w:t xml:space="preserve">que a pesar de los resultados obtenidos mediante la implementación del sistema de cuotas, la </w:t>
      </w:r>
      <w:r w:rsidR="00B11A19" w:rsidRPr="00FA2AC7">
        <w:t>participación</w:t>
      </w:r>
      <w:r w:rsidR="00B11A19" w:rsidRPr="00642B8E">
        <w:rPr>
          <w:lang w:val="es-ES_tradnl"/>
        </w:rPr>
        <w:t xml:space="preserve"> de las mujeres, </w:t>
      </w:r>
      <w:r w:rsidR="00B11A19" w:rsidRPr="00642B8E">
        <w:rPr>
          <w:lang w:val="es-ES_tradnl"/>
        </w:rPr>
        <w:lastRenderedPageBreak/>
        <w:t xml:space="preserve">especialmente de mujeres indígenas y afrodescendientes, en puestos de toma de decisiones continúe siendo baja (art. 3). </w:t>
      </w:r>
    </w:p>
    <w:p w:rsidR="00B11A19" w:rsidRPr="005A5EB7" w:rsidRDefault="00723695" w:rsidP="00723695">
      <w:pPr>
        <w:pStyle w:val="SingleTxtG"/>
        <w:rPr>
          <w:lang w:val="es-ES_tradnl"/>
        </w:rPr>
      </w:pPr>
      <w:r w:rsidRPr="005A5EB7">
        <w:rPr>
          <w:lang w:val="es-ES_tradnl"/>
        </w:rPr>
        <w:t>16.</w:t>
      </w:r>
      <w:r w:rsidRPr="005A5EB7">
        <w:rPr>
          <w:lang w:val="es-ES_tradnl"/>
        </w:rPr>
        <w:tab/>
      </w:r>
      <w:r w:rsidR="00B11A19" w:rsidRPr="009C1BDC">
        <w:rPr>
          <w:b/>
          <w:lang w:val="es-ES_tradnl"/>
        </w:rPr>
        <w:t>El Estado parte debe continuar sus esfuerzos para</w:t>
      </w:r>
      <w:r w:rsidR="00B11A19">
        <w:rPr>
          <w:b/>
          <w:lang w:val="es-ES_tradnl"/>
        </w:rPr>
        <w:t xml:space="preserve"> </w:t>
      </w:r>
      <w:r w:rsidR="001E581B">
        <w:rPr>
          <w:b/>
          <w:lang w:val="es-AR"/>
        </w:rPr>
        <w:t>eliminar la brecha</w:t>
      </w:r>
      <w:r w:rsidR="001E581B" w:rsidRPr="00F31FC6">
        <w:rPr>
          <w:b/>
          <w:lang w:val="es-AR"/>
        </w:rPr>
        <w:t xml:space="preserve"> salarial que sigue existiendo entre las mujeres y los hombres.</w:t>
      </w:r>
      <w:r w:rsidR="00B11A19" w:rsidRPr="009C1BDC">
        <w:rPr>
          <w:b/>
          <w:lang w:val="es-ES_tradnl"/>
        </w:rPr>
        <w:t xml:space="preserve"> </w:t>
      </w:r>
      <w:r w:rsidR="00B11A19">
        <w:rPr>
          <w:b/>
          <w:lang w:val="es-ES_tradnl"/>
        </w:rPr>
        <w:t>El Comité anima al</w:t>
      </w:r>
      <w:r w:rsidR="00AF76FD">
        <w:rPr>
          <w:b/>
          <w:lang w:val="es-ES_tradnl"/>
        </w:rPr>
        <w:t xml:space="preserve"> </w:t>
      </w:r>
      <w:r w:rsidR="00B11A19" w:rsidRPr="009C1BDC">
        <w:rPr>
          <w:b/>
          <w:lang w:val="es-ES_tradnl"/>
        </w:rPr>
        <w:t>Estado parte</w:t>
      </w:r>
      <w:r w:rsidR="00AF76FD">
        <w:rPr>
          <w:b/>
          <w:lang w:val="es-ES_tradnl"/>
        </w:rPr>
        <w:t xml:space="preserve"> </w:t>
      </w:r>
      <w:r w:rsidR="00B11A19" w:rsidRPr="00A37BDA">
        <w:rPr>
          <w:b/>
          <w:lang w:val="es-ES_tradnl"/>
        </w:rPr>
        <w:t>a</w:t>
      </w:r>
      <w:r w:rsidR="00AF76FD">
        <w:rPr>
          <w:b/>
          <w:lang w:val="es-ES_tradnl"/>
        </w:rPr>
        <w:t xml:space="preserve"> </w:t>
      </w:r>
      <w:r w:rsidR="00B11A19" w:rsidRPr="009C1BDC">
        <w:rPr>
          <w:b/>
          <w:lang w:val="es-ES_tradnl"/>
        </w:rPr>
        <w:t>adopta</w:t>
      </w:r>
      <w:r w:rsidR="00B11A19">
        <w:rPr>
          <w:b/>
          <w:lang w:val="es-ES_tradnl"/>
        </w:rPr>
        <w:t xml:space="preserve">r </w:t>
      </w:r>
      <w:r w:rsidR="00B11A19" w:rsidRPr="009C1BDC">
        <w:rPr>
          <w:b/>
          <w:lang w:val="es-ES_tradnl"/>
        </w:rPr>
        <w:t xml:space="preserve">medidas especiales </w:t>
      </w:r>
      <w:r w:rsidR="00E048FB">
        <w:rPr>
          <w:b/>
          <w:lang w:val="es-ES_tradnl"/>
        </w:rPr>
        <w:t>temporales</w:t>
      </w:r>
      <w:r w:rsidR="00E048FB" w:rsidRPr="00E048FB">
        <w:rPr>
          <w:b/>
          <w:lang w:val="es-ES_tradnl"/>
        </w:rPr>
        <w:t xml:space="preserve"> </w:t>
      </w:r>
      <w:r w:rsidR="00E048FB" w:rsidRPr="008F5A90">
        <w:rPr>
          <w:b/>
          <w:lang w:val="es-ES_tradnl"/>
        </w:rPr>
        <w:t>que sean necesarias</w:t>
      </w:r>
      <w:r w:rsidR="00E048FB" w:rsidRPr="00E048FB">
        <w:rPr>
          <w:b/>
          <w:lang w:val="es-ES_tradnl"/>
        </w:rPr>
        <w:t xml:space="preserve"> </w:t>
      </w:r>
      <w:r w:rsidR="00E048FB" w:rsidRPr="00573BBF">
        <w:rPr>
          <w:b/>
          <w:lang w:val="es-ES_tradnl"/>
        </w:rPr>
        <w:t xml:space="preserve">para </w:t>
      </w:r>
      <w:r w:rsidR="00B11A19" w:rsidRPr="009C1BDC">
        <w:rPr>
          <w:b/>
          <w:lang w:val="es-ES_tradnl"/>
        </w:rPr>
        <w:t xml:space="preserve">seguir aumentando la participación de las mujeres en la vida pública en todos los niveles del Estado, así como su </w:t>
      </w:r>
      <w:r w:rsidR="00B11A19">
        <w:rPr>
          <w:b/>
          <w:lang w:val="es-ES_tradnl"/>
        </w:rPr>
        <w:t>representación</w:t>
      </w:r>
      <w:r w:rsidR="00B11A19" w:rsidRPr="009C1BDC">
        <w:rPr>
          <w:b/>
          <w:lang w:val="es-ES_tradnl"/>
        </w:rPr>
        <w:t xml:space="preserve"> en puestos directivos </w:t>
      </w:r>
      <w:r w:rsidR="00B11A19" w:rsidRPr="003F12B0">
        <w:rPr>
          <w:b/>
          <w:lang w:val="es-ES_tradnl"/>
        </w:rPr>
        <w:t>en el sector privado</w:t>
      </w:r>
      <w:r w:rsidR="00B11A19">
        <w:rPr>
          <w:b/>
          <w:lang w:val="es-ES_tradnl"/>
        </w:rPr>
        <w:t>.</w:t>
      </w:r>
    </w:p>
    <w:p w:rsidR="00B11A19" w:rsidRPr="00A61BB2" w:rsidRDefault="00B11A19" w:rsidP="00B11A19">
      <w:pPr>
        <w:pStyle w:val="H23G"/>
        <w:rPr>
          <w:b w:val="0"/>
          <w:lang w:val="es-ES_tradnl"/>
        </w:rPr>
      </w:pPr>
      <w:r>
        <w:tab/>
      </w:r>
      <w:r>
        <w:tab/>
      </w:r>
      <w:r>
        <w:rPr>
          <w:lang w:val="es-ES_tradnl"/>
        </w:rPr>
        <w:t>Aborto</w:t>
      </w:r>
    </w:p>
    <w:p w:rsidR="00B11A19" w:rsidRPr="005A5EB7" w:rsidRDefault="00723695" w:rsidP="00723695">
      <w:pPr>
        <w:pStyle w:val="SingleTxtG"/>
        <w:rPr>
          <w:lang w:val="es-ES_tradnl"/>
        </w:rPr>
      </w:pPr>
      <w:r w:rsidRPr="005A5EB7">
        <w:rPr>
          <w:lang w:val="es-ES_tradnl"/>
        </w:rPr>
        <w:t>17.</w:t>
      </w:r>
      <w:r w:rsidRPr="005A5EB7">
        <w:rPr>
          <w:lang w:val="es-ES_tradnl"/>
        </w:rPr>
        <w:tab/>
      </w:r>
      <w:r w:rsidR="00B11A19">
        <w:t>Preocupa al</w:t>
      </w:r>
      <w:r w:rsidR="00AF76FD">
        <w:t xml:space="preserve"> </w:t>
      </w:r>
      <w:r w:rsidR="00B11A19">
        <w:t xml:space="preserve">Comité que el aborto únicamente está permitido cuando existe un riesgo grave para la </w:t>
      </w:r>
      <w:r w:rsidR="00A4046F">
        <w:t xml:space="preserve">vida y la </w:t>
      </w:r>
      <w:r w:rsidR="00B11A19">
        <w:t xml:space="preserve">salud de la </w:t>
      </w:r>
      <w:r w:rsidR="00EA3CD7">
        <w:t xml:space="preserve">mujer embarazada </w:t>
      </w:r>
      <w:r w:rsidR="00B11A19">
        <w:t>y que la legislación no permita otras excepciones como en casos de violación, incesto y de</w:t>
      </w:r>
      <w:r w:rsidR="004E6A7C">
        <w:t xml:space="preserve"> discapacidad</w:t>
      </w:r>
      <w:r w:rsidR="00B11A19">
        <w:t xml:space="preserve"> </w:t>
      </w:r>
      <w:r w:rsidR="004E6A7C">
        <w:t xml:space="preserve">fatal del </w:t>
      </w:r>
      <w:r w:rsidR="00B11A19">
        <w:t>feto. Además, le preocupa que en la práctica</w:t>
      </w:r>
      <w:r w:rsidR="00DF7D28">
        <w:t xml:space="preserve"> el aborto sea inaccesible</w:t>
      </w:r>
      <w:r w:rsidR="00B11A19">
        <w:t xml:space="preserve"> </w:t>
      </w:r>
      <w:r w:rsidR="00DF7D28">
        <w:t xml:space="preserve">incluso cuando responde al </w:t>
      </w:r>
      <w:r w:rsidR="00B11A19">
        <w:t xml:space="preserve">único </w:t>
      </w:r>
      <w:r w:rsidR="00DF7D28">
        <w:t xml:space="preserve">motivo </w:t>
      </w:r>
      <w:r w:rsidR="00B11A19">
        <w:t>permitido</w:t>
      </w:r>
      <w:r w:rsidR="00DF7D28">
        <w:t xml:space="preserve">, </w:t>
      </w:r>
      <w:r w:rsidR="00B11A19">
        <w:t>debido a la ausencia de protocolos que determinen cu</w:t>
      </w:r>
      <w:r w:rsidR="00DF7D28">
        <w:t>á</w:t>
      </w:r>
      <w:r w:rsidR="00B11A19">
        <w:t xml:space="preserve">ndo procede su realización, </w:t>
      </w:r>
      <w:r w:rsidR="00DF7D28">
        <w:t xml:space="preserve">lo que lleva </w:t>
      </w:r>
      <w:r w:rsidR="00B11A19" w:rsidRPr="00A61BB2">
        <w:t xml:space="preserve">a las mujeres embarazadas a buscar servicios de abortos clandestinos que ponen en peligro su vida y su </w:t>
      </w:r>
      <w:r w:rsidR="00B11A19" w:rsidRPr="00BE5E85">
        <w:rPr>
          <w:color w:val="000000"/>
          <w:lang w:val="es-ES_tradnl"/>
        </w:rPr>
        <w:t>salud</w:t>
      </w:r>
      <w:r w:rsidR="00B11A19" w:rsidRPr="00A61BB2">
        <w:t xml:space="preserve">. </w:t>
      </w:r>
      <w:r w:rsidR="00B11A19">
        <w:t>También preocupa a</w:t>
      </w:r>
      <w:r w:rsidR="00B11A19" w:rsidRPr="00A61BB2">
        <w:t>l Comité</w:t>
      </w:r>
      <w:r w:rsidR="00B11A19">
        <w:t xml:space="preserve"> </w:t>
      </w:r>
      <w:r w:rsidR="00DF7D28">
        <w:t xml:space="preserve">la </w:t>
      </w:r>
      <w:r w:rsidR="00B11A19">
        <w:t xml:space="preserve">información según la cual </w:t>
      </w:r>
      <w:r w:rsidR="00B11A19" w:rsidRPr="00A61BB2">
        <w:t xml:space="preserve">mujeres </w:t>
      </w:r>
      <w:r w:rsidR="00B11A19">
        <w:t xml:space="preserve">han </w:t>
      </w:r>
      <w:r w:rsidR="00B11A19" w:rsidRPr="00A61BB2">
        <w:t>sido víctimas de violencia</w:t>
      </w:r>
      <w:r w:rsidR="00B11A19" w:rsidRPr="00BE0159">
        <w:t xml:space="preserve"> </w:t>
      </w:r>
      <w:r w:rsidR="00B11A19" w:rsidRPr="00A61BB2">
        <w:t>por parte de personal médico</w:t>
      </w:r>
      <w:r w:rsidR="00B11A19">
        <w:t xml:space="preserve"> </w:t>
      </w:r>
      <w:r w:rsidR="00DF7D28">
        <w:t xml:space="preserve">y </w:t>
      </w:r>
      <w:r w:rsidR="00B11A19">
        <w:t xml:space="preserve">en algunos casos incluso se les ha denegado el acceso a procedimientos médicos básicos </w:t>
      </w:r>
      <w:r w:rsidR="00B11A19" w:rsidRPr="00A61BB2">
        <w:t>(art</w:t>
      </w:r>
      <w:r w:rsidR="008A0A23">
        <w:t>s</w:t>
      </w:r>
      <w:r w:rsidR="00B11A19" w:rsidRPr="00A61BB2">
        <w:t xml:space="preserve">. </w:t>
      </w:r>
      <w:r w:rsidR="008A0A23">
        <w:t xml:space="preserve">3, </w:t>
      </w:r>
      <w:r w:rsidR="00B11A19">
        <w:t>6</w:t>
      </w:r>
      <w:r w:rsidR="008A0A23">
        <w:t>,</w:t>
      </w:r>
      <w:r w:rsidR="00B11A19">
        <w:t xml:space="preserve"> </w:t>
      </w:r>
      <w:r w:rsidR="00B11A19" w:rsidRPr="00A61BB2">
        <w:t>7</w:t>
      </w:r>
      <w:r w:rsidR="008A0A23">
        <w:t xml:space="preserve"> y 17</w:t>
      </w:r>
      <w:r w:rsidR="00B11A19" w:rsidRPr="00A61BB2">
        <w:t>).</w:t>
      </w:r>
      <w:r w:rsidR="00AF76FD">
        <w:t xml:space="preserve"> </w:t>
      </w:r>
    </w:p>
    <w:p w:rsidR="00B11A19" w:rsidRPr="00A61BB2" w:rsidRDefault="00723695" w:rsidP="00723695">
      <w:pPr>
        <w:pStyle w:val="SingleTxtG"/>
        <w:rPr>
          <w:lang w:val="es-ES_tradnl"/>
        </w:rPr>
      </w:pPr>
      <w:r w:rsidRPr="00A61BB2">
        <w:rPr>
          <w:lang w:val="es-ES_tradnl"/>
        </w:rPr>
        <w:t>18.</w:t>
      </w:r>
      <w:r w:rsidRPr="00A61BB2">
        <w:rPr>
          <w:lang w:val="es-ES_tradnl"/>
        </w:rPr>
        <w:tab/>
      </w:r>
      <w:r w:rsidR="00B11A19" w:rsidRPr="00A61BB2">
        <w:rPr>
          <w:b/>
          <w:bCs/>
        </w:rPr>
        <w:t xml:space="preserve">El </w:t>
      </w:r>
      <w:r w:rsidR="00B11A19" w:rsidRPr="00BE5E85">
        <w:rPr>
          <w:b/>
          <w:lang w:val="es-ES_tradnl"/>
        </w:rPr>
        <w:t>Estado</w:t>
      </w:r>
      <w:r w:rsidR="00B11A19" w:rsidRPr="00A61BB2">
        <w:rPr>
          <w:b/>
          <w:bCs/>
        </w:rPr>
        <w:t xml:space="preserve"> parte debe: </w:t>
      </w:r>
    </w:p>
    <w:p w:rsidR="00B11A19" w:rsidRPr="00D856B9" w:rsidRDefault="00D856B9" w:rsidP="00D856B9">
      <w:pPr>
        <w:pStyle w:val="SingleTxtG"/>
        <w:rPr>
          <w:b/>
        </w:rPr>
      </w:pPr>
      <w:r>
        <w:rPr>
          <w:b/>
        </w:rPr>
        <w:tab/>
      </w:r>
      <w:r w:rsidRPr="005A5EB7">
        <w:rPr>
          <w:bCs/>
        </w:rPr>
        <w:t>a)</w:t>
      </w:r>
      <w:r w:rsidRPr="00D856B9">
        <w:rPr>
          <w:b/>
        </w:rPr>
        <w:tab/>
      </w:r>
      <w:r w:rsidR="00B11A19" w:rsidRPr="00D856B9">
        <w:rPr>
          <w:b/>
        </w:rPr>
        <w:t xml:space="preserve">Revisar su legislación sobre el aborto a fin de incluir </w:t>
      </w:r>
      <w:r w:rsidR="000668BC">
        <w:rPr>
          <w:b/>
        </w:rPr>
        <w:t>motivos adicionales para la interrupción voluntaria del embarazo</w:t>
      </w:r>
      <w:r w:rsidR="00B11A19" w:rsidRPr="00D856B9">
        <w:rPr>
          <w:b/>
        </w:rPr>
        <w:t xml:space="preserve">, inclusive cuando el embarazo sea consecuencia de una violación o incesto y en caso de </w:t>
      </w:r>
      <w:r w:rsidR="000668BC">
        <w:rPr>
          <w:b/>
        </w:rPr>
        <w:t>discapacidad fatal del feto</w:t>
      </w:r>
      <w:r w:rsidR="00D71B68">
        <w:rPr>
          <w:b/>
        </w:rPr>
        <w:t xml:space="preserve">, </w:t>
      </w:r>
      <w:r w:rsidR="000668BC">
        <w:rPr>
          <w:b/>
        </w:rPr>
        <w:t>con el fin de</w:t>
      </w:r>
      <w:r w:rsidR="00D71B68" w:rsidRPr="00B90366">
        <w:rPr>
          <w:b/>
        </w:rPr>
        <w:t xml:space="preserve"> </w:t>
      </w:r>
      <w:r w:rsidR="00D71B68">
        <w:rPr>
          <w:b/>
        </w:rPr>
        <w:t xml:space="preserve">garantizar </w:t>
      </w:r>
      <w:r w:rsidR="00D71B68" w:rsidRPr="00B90366">
        <w:rPr>
          <w:b/>
        </w:rPr>
        <w:t xml:space="preserve">que las barreras legales no </w:t>
      </w:r>
      <w:r w:rsidR="000668BC">
        <w:rPr>
          <w:b/>
        </w:rPr>
        <w:t>causen</w:t>
      </w:r>
      <w:r w:rsidR="00D71B68" w:rsidRPr="00B90366">
        <w:rPr>
          <w:b/>
        </w:rPr>
        <w:t xml:space="preserve"> a las mujeres recurrir al aborto clandestino </w:t>
      </w:r>
      <w:r w:rsidR="00D71B68">
        <w:rPr>
          <w:b/>
        </w:rPr>
        <w:t>que pone</w:t>
      </w:r>
      <w:r w:rsidR="00D71B68" w:rsidRPr="00B90366">
        <w:rPr>
          <w:b/>
        </w:rPr>
        <w:t xml:space="preserve"> su vida y su salud en riesgo</w:t>
      </w:r>
      <w:r w:rsidR="00B11A19" w:rsidRPr="00D856B9">
        <w:rPr>
          <w:b/>
        </w:rPr>
        <w:t xml:space="preserve">; </w:t>
      </w:r>
    </w:p>
    <w:p w:rsidR="00B11A19" w:rsidRPr="00D856B9" w:rsidRDefault="00D856B9" w:rsidP="00D856B9">
      <w:pPr>
        <w:pStyle w:val="SingleTxtG"/>
        <w:rPr>
          <w:b/>
        </w:rPr>
      </w:pPr>
      <w:r>
        <w:rPr>
          <w:b/>
        </w:rPr>
        <w:tab/>
      </w:r>
      <w:r w:rsidRPr="005A5EB7">
        <w:rPr>
          <w:bCs/>
        </w:rPr>
        <w:t>b)</w:t>
      </w:r>
      <w:r w:rsidRPr="00D856B9">
        <w:rPr>
          <w:b/>
        </w:rPr>
        <w:tab/>
      </w:r>
      <w:r w:rsidR="00B11A19" w:rsidRPr="00D856B9">
        <w:rPr>
          <w:b/>
        </w:rPr>
        <w:t xml:space="preserve">Adoptar rápidamente un protocolo que garantice el acceso al aborto cuando exista un riesgo para la vida o salud de la </w:t>
      </w:r>
      <w:r w:rsidR="00D71B68">
        <w:rPr>
          <w:b/>
        </w:rPr>
        <w:t>mujer</w:t>
      </w:r>
      <w:r w:rsidR="00B11A19" w:rsidRPr="00D856B9">
        <w:rPr>
          <w:b/>
        </w:rPr>
        <w:t>;</w:t>
      </w:r>
    </w:p>
    <w:p w:rsidR="00B11A19" w:rsidRPr="00D856B9" w:rsidRDefault="00D856B9" w:rsidP="00D856B9">
      <w:pPr>
        <w:pStyle w:val="SingleTxtG"/>
        <w:rPr>
          <w:b/>
        </w:rPr>
      </w:pPr>
      <w:r>
        <w:rPr>
          <w:b/>
        </w:rPr>
        <w:tab/>
      </w:r>
      <w:r w:rsidRPr="005A5EB7">
        <w:rPr>
          <w:bCs/>
        </w:rPr>
        <w:t>c)</w:t>
      </w:r>
      <w:r w:rsidRPr="00D856B9">
        <w:rPr>
          <w:b/>
        </w:rPr>
        <w:tab/>
      </w:r>
      <w:r w:rsidR="00B11A19" w:rsidRPr="00D856B9">
        <w:rPr>
          <w:b/>
        </w:rPr>
        <w:t>Asegurar que los servicios de salud sexual y reproductiva sean accesibles para todas las mujeres y adolescentes;</w:t>
      </w:r>
    </w:p>
    <w:p w:rsidR="00053355" w:rsidRDefault="00D856B9" w:rsidP="00D71B68">
      <w:pPr>
        <w:pStyle w:val="SingleTxtG"/>
        <w:rPr>
          <w:b/>
        </w:rPr>
      </w:pPr>
      <w:r>
        <w:rPr>
          <w:b/>
        </w:rPr>
        <w:tab/>
      </w:r>
      <w:r w:rsidRPr="005A5EB7">
        <w:rPr>
          <w:bCs/>
        </w:rPr>
        <w:t>d)</w:t>
      </w:r>
      <w:r w:rsidRPr="00D856B9">
        <w:rPr>
          <w:b/>
        </w:rPr>
        <w:tab/>
      </w:r>
      <w:r w:rsidR="00053355">
        <w:rPr>
          <w:b/>
        </w:rPr>
        <w:t>C</w:t>
      </w:r>
      <w:r w:rsidR="00053355" w:rsidRPr="00D71B68">
        <w:rPr>
          <w:b/>
        </w:rPr>
        <w:t>ontinuar sus esfuerzos en los programas de educación de carácter formal (en las escuelas) e informal (a través de los medios de difusión y otras formas de comunicación) sobre la importancia del uso de anticonceptivos y los derechos en materia de salud sexual y reproductiva, y asegurar su aplicación</w:t>
      </w:r>
      <w:r w:rsidR="007274DD">
        <w:rPr>
          <w:b/>
        </w:rPr>
        <w:t>;</w:t>
      </w:r>
    </w:p>
    <w:p w:rsidR="00D71B68" w:rsidRDefault="007274DD" w:rsidP="005A5EB7">
      <w:pPr>
        <w:pStyle w:val="SingleTxtG"/>
        <w:rPr>
          <w:b/>
        </w:rPr>
      </w:pPr>
      <w:r>
        <w:rPr>
          <w:b/>
        </w:rPr>
        <w:tab/>
      </w:r>
      <w:r w:rsidR="00053355" w:rsidRPr="005A5EB7">
        <w:rPr>
          <w:bCs/>
        </w:rPr>
        <w:t>e)</w:t>
      </w:r>
      <w:r w:rsidRPr="005A5EB7">
        <w:rPr>
          <w:bCs/>
        </w:rPr>
        <w:tab/>
      </w:r>
      <w:r w:rsidR="00B11A19" w:rsidRPr="00D856B9">
        <w:rPr>
          <w:b/>
        </w:rPr>
        <w:t xml:space="preserve">Velar por que los casos de violencia contra mujeres en los servicios de salud sean debida y rigurosamente investigados, enjuiciados y sancionados de forma apropiada. </w:t>
      </w:r>
    </w:p>
    <w:p w:rsidR="00B11A19" w:rsidRPr="002E6DB9" w:rsidRDefault="007274DD" w:rsidP="005A5EB7">
      <w:pPr>
        <w:pStyle w:val="H23G"/>
      </w:pPr>
      <w:r>
        <w:tab/>
      </w:r>
      <w:r>
        <w:tab/>
      </w:r>
      <w:r w:rsidR="00B11A19" w:rsidRPr="0012031B">
        <w:t xml:space="preserve">Fertilización </w:t>
      </w:r>
      <w:r w:rsidR="00B11A19" w:rsidRPr="005A5EB7">
        <w:rPr>
          <w:i/>
          <w:iCs/>
        </w:rPr>
        <w:t xml:space="preserve">in </w:t>
      </w:r>
      <w:r w:rsidR="005A74C7" w:rsidRPr="005A5EB7">
        <w:rPr>
          <w:i/>
          <w:iCs/>
        </w:rPr>
        <w:t>v</w:t>
      </w:r>
      <w:r w:rsidR="00B11A19" w:rsidRPr="005A5EB7">
        <w:rPr>
          <w:i/>
          <w:iCs/>
        </w:rPr>
        <w:t>itro</w:t>
      </w:r>
    </w:p>
    <w:p w:rsidR="00B11A19" w:rsidRPr="005A5EB7" w:rsidRDefault="00723695" w:rsidP="00723695">
      <w:pPr>
        <w:pStyle w:val="SingleTxtG"/>
        <w:rPr>
          <w:lang w:val="es-ES_tradnl"/>
        </w:rPr>
      </w:pPr>
      <w:r w:rsidRPr="005A5EB7">
        <w:rPr>
          <w:lang w:val="es-ES_tradnl"/>
        </w:rPr>
        <w:t>19.</w:t>
      </w:r>
      <w:r w:rsidRPr="005A5EB7">
        <w:rPr>
          <w:lang w:val="es-ES_tradnl"/>
        </w:rPr>
        <w:tab/>
      </w:r>
      <w:r w:rsidR="00B11A19" w:rsidRPr="0012031B">
        <w:t xml:space="preserve">Aun cuando el Comité toma nota de la adopción del Decreto Ejecutivo </w:t>
      </w:r>
      <w:r w:rsidR="002E6DB9">
        <w:rPr>
          <w:lang w:val="es-ES_tradnl"/>
        </w:rPr>
        <w:t>núm. </w:t>
      </w:r>
      <w:r w:rsidR="00B11A19" w:rsidRPr="0012031B">
        <w:t xml:space="preserve">39210 del </w:t>
      </w:r>
      <w:r w:rsidR="00B946F3" w:rsidRPr="0012031B">
        <w:t>1</w:t>
      </w:r>
      <w:r w:rsidR="00B946F3">
        <w:t>0</w:t>
      </w:r>
      <w:r w:rsidR="00B946F3" w:rsidRPr="0012031B">
        <w:t xml:space="preserve"> </w:t>
      </w:r>
      <w:r w:rsidR="00B11A19" w:rsidRPr="0012031B">
        <w:t xml:space="preserve">de </w:t>
      </w:r>
      <w:r w:rsidR="005A74C7">
        <w:t>s</w:t>
      </w:r>
      <w:r w:rsidR="00B11A19" w:rsidRPr="0012031B">
        <w:t xml:space="preserve">eptiembre de </w:t>
      </w:r>
      <w:r w:rsidR="00B946F3" w:rsidRPr="0012031B">
        <w:t>201</w:t>
      </w:r>
      <w:r w:rsidR="00B946F3">
        <w:t xml:space="preserve">5 </w:t>
      </w:r>
      <w:r w:rsidR="00B11A19">
        <w:t xml:space="preserve">sobre la autorización para la realización de la técnica de reproducción asistida de fecundación </w:t>
      </w:r>
      <w:r w:rsidR="00B11A19" w:rsidRPr="005A5EB7">
        <w:rPr>
          <w:i/>
          <w:iCs/>
        </w:rPr>
        <w:t>in vitro</w:t>
      </w:r>
      <w:r w:rsidR="00DF7D28">
        <w:t xml:space="preserve"> y transferencia embrionaria</w:t>
      </w:r>
      <w:r w:rsidR="00B11A19" w:rsidRPr="0012031B">
        <w:t>, le preocupa que aún exist</w:t>
      </w:r>
      <w:r w:rsidR="00DF7D28">
        <w:t>a</w:t>
      </w:r>
      <w:r w:rsidR="00B11A19" w:rsidRPr="0012031B">
        <w:t>n obstáculos</w:t>
      </w:r>
      <w:r w:rsidR="00B11A19">
        <w:t xml:space="preserve"> excesivos</w:t>
      </w:r>
      <w:r w:rsidR="00B11A19" w:rsidRPr="0012031B">
        <w:t xml:space="preserve"> para acceder</w:t>
      </w:r>
      <w:r w:rsidR="00AF76FD">
        <w:t xml:space="preserve"> </w:t>
      </w:r>
      <w:r w:rsidR="00B11A19">
        <w:t xml:space="preserve">dicha técnica </w:t>
      </w:r>
      <w:r w:rsidR="00B11A19" w:rsidRPr="0012031B">
        <w:t>(art</w:t>
      </w:r>
      <w:r w:rsidR="002E6DB9">
        <w:t>s</w:t>
      </w:r>
      <w:r w:rsidR="00B11A19" w:rsidRPr="0012031B">
        <w:t xml:space="preserve">. 17 y 23). </w:t>
      </w:r>
    </w:p>
    <w:p w:rsidR="00B11A19" w:rsidRPr="005A5EB7" w:rsidRDefault="00723695" w:rsidP="00723695">
      <w:pPr>
        <w:pStyle w:val="SingleTxtG"/>
        <w:rPr>
          <w:lang w:val="es-ES_tradnl"/>
        </w:rPr>
      </w:pPr>
      <w:r w:rsidRPr="005A5EB7">
        <w:rPr>
          <w:lang w:val="es-ES_tradnl"/>
        </w:rPr>
        <w:t>20.</w:t>
      </w:r>
      <w:r w:rsidRPr="005A5EB7">
        <w:rPr>
          <w:lang w:val="es-ES_tradnl"/>
        </w:rPr>
        <w:tab/>
      </w:r>
      <w:r w:rsidR="00B11A19" w:rsidRPr="003725D0">
        <w:rPr>
          <w:b/>
        </w:rPr>
        <w:t xml:space="preserve">El </w:t>
      </w:r>
      <w:r w:rsidR="00B11A19" w:rsidRPr="00BE5E85">
        <w:rPr>
          <w:b/>
          <w:lang w:val="es-ES_tradnl"/>
        </w:rPr>
        <w:t>Estado</w:t>
      </w:r>
      <w:r w:rsidR="00B11A19" w:rsidRPr="003725D0">
        <w:rPr>
          <w:b/>
        </w:rPr>
        <w:t xml:space="preserve"> parte debe tomar todas las medidas para</w:t>
      </w:r>
      <w:r w:rsidR="003F1B13">
        <w:rPr>
          <w:b/>
        </w:rPr>
        <w:t xml:space="preserve"> perseguir su intención expresada de</w:t>
      </w:r>
      <w:r w:rsidR="00B11A19" w:rsidRPr="003725D0">
        <w:rPr>
          <w:b/>
        </w:rPr>
        <w:t xml:space="preserve"> </w:t>
      </w:r>
      <w:r w:rsidR="00B11A19">
        <w:rPr>
          <w:rFonts w:eastAsia="Calibri"/>
          <w:b/>
          <w:snapToGrid w:val="0"/>
          <w:kern w:val="32"/>
          <w:szCs w:val="22"/>
          <w:lang w:val="es-CR"/>
        </w:rPr>
        <w:t xml:space="preserve">eliminar la prohibición de la técnica de fertilización </w:t>
      </w:r>
      <w:r w:rsidR="00B11A19" w:rsidRPr="005A5EB7">
        <w:rPr>
          <w:rFonts w:eastAsia="Calibri"/>
          <w:b/>
          <w:i/>
          <w:iCs/>
          <w:snapToGrid w:val="0"/>
          <w:kern w:val="32"/>
          <w:szCs w:val="22"/>
          <w:lang w:val="es-CR"/>
        </w:rPr>
        <w:t>in vitro</w:t>
      </w:r>
      <w:r w:rsidR="00B11A19">
        <w:rPr>
          <w:rFonts w:eastAsia="Calibri"/>
          <w:b/>
          <w:snapToGrid w:val="0"/>
          <w:kern w:val="32"/>
          <w:szCs w:val="22"/>
          <w:lang w:val="es-CR"/>
        </w:rPr>
        <w:t xml:space="preserve"> y para</w:t>
      </w:r>
      <w:r w:rsidR="00AF76FD">
        <w:rPr>
          <w:rFonts w:eastAsia="Calibri"/>
          <w:b/>
          <w:snapToGrid w:val="0"/>
          <w:kern w:val="32"/>
          <w:szCs w:val="22"/>
          <w:lang w:val="es-CR"/>
        </w:rPr>
        <w:t xml:space="preserve"> </w:t>
      </w:r>
      <w:r w:rsidR="00B11A19">
        <w:rPr>
          <w:rFonts w:eastAsia="Calibri"/>
          <w:b/>
          <w:snapToGrid w:val="0"/>
          <w:kern w:val="32"/>
          <w:szCs w:val="22"/>
          <w:lang w:val="es-CR"/>
        </w:rPr>
        <w:t xml:space="preserve">evitar restricciones excesivas </w:t>
      </w:r>
      <w:r w:rsidR="00B11A19" w:rsidRPr="003725D0">
        <w:rPr>
          <w:rFonts w:eastAsia="Calibri"/>
          <w:b/>
          <w:snapToGrid w:val="0"/>
          <w:kern w:val="32"/>
          <w:szCs w:val="22"/>
          <w:lang w:val="es-CR"/>
        </w:rPr>
        <w:t xml:space="preserve">al ejercicio de los derechos contenidos en los artículos 17 y 23 del Pacto </w:t>
      </w:r>
      <w:r w:rsidR="00DF7D28">
        <w:rPr>
          <w:rFonts w:eastAsia="Calibri"/>
          <w:b/>
          <w:snapToGrid w:val="0"/>
          <w:kern w:val="32"/>
          <w:szCs w:val="22"/>
          <w:lang w:val="es-CR"/>
        </w:rPr>
        <w:t xml:space="preserve">por parte </w:t>
      </w:r>
      <w:r w:rsidR="00B11A19">
        <w:rPr>
          <w:rFonts w:eastAsia="Calibri"/>
          <w:b/>
          <w:snapToGrid w:val="0"/>
          <w:kern w:val="32"/>
          <w:szCs w:val="22"/>
          <w:lang w:val="es-CR"/>
        </w:rPr>
        <w:t xml:space="preserve">de </w:t>
      </w:r>
      <w:r w:rsidR="00B11A19" w:rsidRPr="003725D0">
        <w:rPr>
          <w:rFonts w:eastAsia="Calibri"/>
          <w:b/>
          <w:snapToGrid w:val="0"/>
          <w:kern w:val="32"/>
          <w:szCs w:val="22"/>
          <w:lang w:val="es-CR"/>
        </w:rPr>
        <w:t xml:space="preserve">las personas que deseen hacer uso de </w:t>
      </w:r>
      <w:r w:rsidR="00B11A19">
        <w:rPr>
          <w:b/>
        </w:rPr>
        <w:t xml:space="preserve">dicha </w:t>
      </w:r>
      <w:r w:rsidR="00B11A19" w:rsidRPr="003725D0">
        <w:rPr>
          <w:b/>
        </w:rPr>
        <w:t>técnica de reproducción</w:t>
      </w:r>
      <w:r w:rsidR="00B11A19" w:rsidRPr="003725D0">
        <w:rPr>
          <w:rFonts w:eastAsia="Calibri"/>
          <w:b/>
          <w:snapToGrid w:val="0"/>
          <w:kern w:val="32"/>
          <w:szCs w:val="22"/>
          <w:lang w:val="es-CR"/>
        </w:rPr>
        <w:t xml:space="preserve">. </w:t>
      </w:r>
    </w:p>
    <w:p w:rsidR="00B11A19" w:rsidRPr="009C1BDC" w:rsidRDefault="00B11A19" w:rsidP="00B11A19">
      <w:pPr>
        <w:pStyle w:val="H23G"/>
      </w:pPr>
      <w:r>
        <w:lastRenderedPageBreak/>
        <w:tab/>
      </w:r>
      <w:r>
        <w:tab/>
      </w:r>
      <w:r w:rsidRPr="009C1BDC">
        <w:t>Violencia contra las mujeres y los niños</w:t>
      </w:r>
    </w:p>
    <w:p w:rsidR="00B11A19" w:rsidRPr="005A5EB7" w:rsidRDefault="00723695" w:rsidP="00723695">
      <w:pPr>
        <w:pStyle w:val="SingleTxtG"/>
        <w:rPr>
          <w:lang w:val="es-ES_tradnl"/>
        </w:rPr>
      </w:pPr>
      <w:r w:rsidRPr="005A5EB7">
        <w:rPr>
          <w:lang w:val="es-ES_tradnl"/>
        </w:rPr>
        <w:t>21.</w:t>
      </w:r>
      <w:r w:rsidRPr="005A5EB7">
        <w:rPr>
          <w:lang w:val="es-ES_tradnl"/>
        </w:rPr>
        <w:tab/>
      </w:r>
      <w:r w:rsidR="00B11A19" w:rsidRPr="004A0DB0">
        <w:rPr>
          <w:color w:val="000000"/>
        </w:rPr>
        <w:t xml:space="preserve">A </w:t>
      </w:r>
      <w:r w:rsidR="00B11A19" w:rsidRPr="00BE5E85">
        <w:t>pesar</w:t>
      </w:r>
      <w:r w:rsidR="00B11A19" w:rsidRPr="004A0DB0">
        <w:rPr>
          <w:color w:val="000000"/>
        </w:rPr>
        <w:t xml:space="preserve"> del marco legislativo existente para proteger a las mujeres contra la violencia, el Comité está preocupado por la prevalencia de la violencia contra la mujer, incluyendo violencia doméstica y casos de </w:t>
      </w:r>
      <w:proofErr w:type="spellStart"/>
      <w:r w:rsidR="00B11A19" w:rsidRPr="004A0DB0">
        <w:rPr>
          <w:color w:val="000000"/>
        </w:rPr>
        <w:t>femicidios</w:t>
      </w:r>
      <w:proofErr w:type="spellEnd"/>
      <w:r w:rsidR="00B11A19" w:rsidRPr="004A0DB0">
        <w:rPr>
          <w:color w:val="000000"/>
        </w:rPr>
        <w:t>. Además, le preocupa el bajo número de condenas contra autores de actos de violencia y el número insuficiente de albergues para las víctimas. Preocupa</w:t>
      </w:r>
      <w:r w:rsidR="00DF7D28">
        <w:rPr>
          <w:color w:val="000000"/>
        </w:rPr>
        <w:t>n</w:t>
      </w:r>
      <w:r w:rsidR="00B11A19" w:rsidRPr="004A0DB0">
        <w:rPr>
          <w:color w:val="000000"/>
        </w:rPr>
        <w:t xml:space="preserve"> también al Comité los altos índices de violencia contra los niños (arts. </w:t>
      </w:r>
      <w:r w:rsidR="00B11A19">
        <w:rPr>
          <w:color w:val="000000"/>
        </w:rPr>
        <w:t xml:space="preserve">3, 6, </w:t>
      </w:r>
      <w:r w:rsidR="00B11A19" w:rsidRPr="004A0DB0">
        <w:rPr>
          <w:color w:val="000000"/>
        </w:rPr>
        <w:t>7 y 2</w:t>
      </w:r>
      <w:r w:rsidR="00B11A19">
        <w:rPr>
          <w:color w:val="000000"/>
        </w:rPr>
        <w:t>4</w:t>
      </w:r>
      <w:r w:rsidR="00B11A19" w:rsidRPr="004A0DB0">
        <w:rPr>
          <w:color w:val="000000"/>
        </w:rPr>
        <w:t xml:space="preserve">). </w:t>
      </w:r>
    </w:p>
    <w:p w:rsidR="00B11A19" w:rsidRPr="005A5EB7" w:rsidRDefault="00723695" w:rsidP="00723695">
      <w:pPr>
        <w:pStyle w:val="SingleTxtG"/>
        <w:rPr>
          <w:lang w:val="es-ES_tradnl"/>
        </w:rPr>
      </w:pPr>
      <w:r w:rsidRPr="005A5EB7">
        <w:rPr>
          <w:lang w:val="es-ES_tradnl"/>
        </w:rPr>
        <w:t>22.</w:t>
      </w:r>
      <w:r w:rsidRPr="005A5EB7">
        <w:rPr>
          <w:lang w:val="es-ES_tradnl"/>
        </w:rPr>
        <w:tab/>
      </w:r>
      <w:r w:rsidR="00B11A19" w:rsidRPr="004A0DB0">
        <w:rPr>
          <w:b/>
          <w:color w:val="000000"/>
        </w:rPr>
        <w:t xml:space="preserve">El </w:t>
      </w:r>
      <w:r w:rsidR="00B11A19" w:rsidRPr="00BE5E85">
        <w:rPr>
          <w:rFonts w:eastAsia="Calibri"/>
          <w:b/>
          <w:snapToGrid w:val="0"/>
          <w:kern w:val="32"/>
          <w:szCs w:val="22"/>
          <w:lang w:val="es-CR"/>
        </w:rPr>
        <w:t>Estado</w:t>
      </w:r>
      <w:r w:rsidR="00B11A19" w:rsidRPr="004A0DB0">
        <w:rPr>
          <w:b/>
          <w:color w:val="000000"/>
        </w:rPr>
        <w:t xml:space="preserve"> parte debe: </w:t>
      </w:r>
    </w:p>
    <w:p w:rsidR="00B11A19" w:rsidRPr="00D856B9" w:rsidRDefault="00D856B9" w:rsidP="00D856B9">
      <w:pPr>
        <w:pStyle w:val="SingleTxtG"/>
        <w:rPr>
          <w:b/>
        </w:rPr>
      </w:pPr>
      <w:r w:rsidRPr="00D856B9">
        <w:rPr>
          <w:b/>
        </w:rPr>
        <w:tab/>
      </w:r>
      <w:r w:rsidRPr="005A5EB7">
        <w:rPr>
          <w:bCs/>
        </w:rPr>
        <w:t>a)</w:t>
      </w:r>
      <w:r w:rsidRPr="00D856B9">
        <w:rPr>
          <w:b/>
        </w:rPr>
        <w:tab/>
      </w:r>
      <w:r w:rsidR="003F1B13">
        <w:rPr>
          <w:b/>
        </w:rPr>
        <w:t xml:space="preserve">Tomar las medidas que sean necesarias para </w:t>
      </w:r>
      <w:r w:rsidR="00B11A19" w:rsidRPr="00D856B9">
        <w:rPr>
          <w:b/>
        </w:rPr>
        <w:t xml:space="preserve">eliminar la violencia contra la mujer, y establecer un sistema que permita el acceso a un recurso efectivo, incluyendo rehabilitación para las víctimas; </w:t>
      </w:r>
    </w:p>
    <w:p w:rsidR="00B11A19" w:rsidRPr="00D856B9" w:rsidRDefault="00D856B9" w:rsidP="00D856B9">
      <w:pPr>
        <w:pStyle w:val="SingleTxtG"/>
        <w:rPr>
          <w:b/>
        </w:rPr>
      </w:pPr>
      <w:r>
        <w:rPr>
          <w:b/>
        </w:rPr>
        <w:tab/>
      </w:r>
      <w:r w:rsidRPr="005A5EB7">
        <w:rPr>
          <w:bCs/>
        </w:rPr>
        <w:t>b)</w:t>
      </w:r>
      <w:r w:rsidRPr="00D856B9">
        <w:rPr>
          <w:b/>
        </w:rPr>
        <w:tab/>
      </w:r>
      <w:r w:rsidR="00B11A19" w:rsidRPr="00D856B9">
        <w:rPr>
          <w:b/>
        </w:rPr>
        <w:t xml:space="preserve">Multiplicar el número de albergues que cuenten con los recursos humanos y materiales necesarios; </w:t>
      </w:r>
    </w:p>
    <w:p w:rsidR="00B11A19" w:rsidRPr="00D856B9" w:rsidRDefault="00D856B9" w:rsidP="00D856B9">
      <w:pPr>
        <w:pStyle w:val="SingleTxtG"/>
        <w:rPr>
          <w:b/>
        </w:rPr>
      </w:pPr>
      <w:r>
        <w:rPr>
          <w:b/>
        </w:rPr>
        <w:tab/>
      </w:r>
      <w:r w:rsidRPr="005A5EB7">
        <w:rPr>
          <w:bCs/>
        </w:rPr>
        <w:t>c)</w:t>
      </w:r>
      <w:r w:rsidRPr="005A5EB7">
        <w:rPr>
          <w:bCs/>
        </w:rPr>
        <w:tab/>
      </w:r>
      <w:r w:rsidR="00B11A19" w:rsidRPr="00D856B9">
        <w:rPr>
          <w:b/>
        </w:rPr>
        <w:t>Adoptar las medidas legislativas y administrativas necesarias para prevenir y sancionar todo tipo de violencia contra mujeres y niños;</w:t>
      </w:r>
    </w:p>
    <w:p w:rsidR="00B11A19" w:rsidRPr="00D856B9" w:rsidRDefault="00D856B9" w:rsidP="00D856B9">
      <w:pPr>
        <w:pStyle w:val="SingleTxtG"/>
        <w:rPr>
          <w:b/>
        </w:rPr>
      </w:pPr>
      <w:r>
        <w:rPr>
          <w:b/>
        </w:rPr>
        <w:tab/>
      </w:r>
      <w:r w:rsidRPr="005A5EB7">
        <w:rPr>
          <w:bCs/>
        </w:rPr>
        <w:t>d)</w:t>
      </w:r>
      <w:r w:rsidRPr="00D856B9">
        <w:rPr>
          <w:b/>
        </w:rPr>
        <w:tab/>
      </w:r>
      <w:r w:rsidR="00B11A19" w:rsidRPr="00D856B9">
        <w:rPr>
          <w:b/>
        </w:rPr>
        <w:t>Establecer un sistema de denuncia y una base de datos sobre los actos de violencia contra las mujeres y los niños para poder analizarlos y adoptar medidas adecuadas al respecto.</w:t>
      </w:r>
    </w:p>
    <w:p w:rsidR="00B11A19" w:rsidRPr="005A5EB7" w:rsidRDefault="007274DD" w:rsidP="005A5EB7">
      <w:pPr>
        <w:pStyle w:val="H23G"/>
      </w:pPr>
      <w:r>
        <w:tab/>
      </w:r>
      <w:r>
        <w:tab/>
      </w:r>
      <w:r w:rsidR="00B11A19" w:rsidRPr="00FB0253">
        <w:t xml:space="preserve">Trata de seres humanos </w:t>
      </w:r>
    </w:p>
    <w:p w:rsidR="00B11A19" w:rsidRPr="00FB0253" w:rsidRDefault="00723695" w:rsidP="00723695">
      <w:pPr>
        <w:pStyle w:val="SingleTxtG"/>
        <w:rPr>
          <w:color w:val="000000"/>
        </w:rPr>
      </w:pPr>
      <w:r w:rsidRPr="00FB0253">
        <w:rPr>
          <w:color w:val="000000"/>
        </w:rPr>
        <w:t>23.</w:t>
      </w:r>
      <w:r w:rsidRPr="00FB0253">
        <w:rPr>
          <w:color w:val="000000"/>
        </w:rPr>
        <w:tab/>
      </w:r>
      <w:r w:rsidR="00B11A19">
        <w:rPr>
          <w:color w:val="000000"/>
        </w:rPr>
        <w:t xml:space="preserve">Si bien el Comité reconoce la adopción de la Ley </w:t>
      </w:r>
      <w:r w:rsidR="002E6DB9">
        <w:rPr>
          <w:lang w:val="es-ES_tradnl"/>
        </w:rPr>
        <w:t>núm. </w:t>
      </w:r>
      <w:r w:rsidR="00B11A19">
        <w:rPr>
          <w:color w:val="000000"/>
        </w:rPr>
        <w:t>9095</w:t>
      </w:r>
      <w:r w:rsidR="00983AF2">
        <w:rPr>
          <w:color w:val="000000"/>
        </w:rPr>
        <w:t xml:space="preserve"> </w:t>
      </w:r>
      <w:r w:rsidR="00B11A19">
        <w:rPr>
          <w:color w:val="000000"/>
        </w:rPr>
        <w:t>contra la Trata de Personas, le p</w:t>
      </w:r>
      <w:r w:rsidR="00B11A19" w:rsidRPr="00FB0253">
        <w:rPr>
          <w:color w:val="000000"/>
        </w:rPr>
        <w:t xml:space="preserve">reocupa el escaso número de investigaciones y condenas en relación con la trata de seres humanos. El Comité lamenta la falta de información sobre las medidas adoptadas para mejorar la identificación de las víctimas y asegurar que las víctimas tengan acceso a </w:t>
      </w:r>
      <w:r w:rsidR="00B11A19">
        <w:rPr>
          <w:color w:val="000000"/>
        </w:rPr>
        <w:t>un recurso efectivo</w:t>
      </w:r>
      <w:r w:rsidR="00B11A19" w:rsidRPr="00FB0253">
        <w:rPr>
          <w:color w:val="000000"/>
        </w:rPr>
        <w:t xml:space="preserve"> (art. 8).</w:t>
      </w:r>
    </w:p>
    <w:p w:rsidR="00B11A19" w:rsidRPr="005A5EB7" w:rsidRDefault="00723695" w:rsidP="00723695">
      <w:pPr>
        <w:pStyle w:val="SingleTxtG"/>
        <w:rPr>
          <w:lang w:val="es-ES_tradnl"/>
        </w:rPr>
      </w:pPr>
      <w:r w:rsidRPr="005A5EB7">
        <w:rPr>
          <w:lang w:val="es-ES_tradnl"/>
        </w:rPr>
        <w:t>24.</w:t>
      </w:r>
      <w:r w:rsidRPr="005A5EB7">
        <w:rPr>
          <w:lang w:val="es-ES_tradnl"/>
        </w:rPr>
        <w:tab/>
      </w:r>
      <w:r w:rsidR="00B11A19" w:rsidRPr="00BE5E85">
        <w:rPr>
          <w:b/>
          <w:color w:val="000000"/>
        </w:rPr>
        <w:t xml:space="preserve">El Estado parte debe hacer un mayor esfuerzo por luchar contra la trata de personas, investigar y enjuiciar sistemática y enérgicamente a los responsables, y asegurarse de que, cuando estos sean declarados culpables, sean sancionados adecuadamente. El Estado parte también debe garantizar </w:t>
      </w:r>
      <w:r w:rsidR="00B11A19">
        <w:rPr>
          <w:b/>
          <w:color w:val="000000"/>
        </w:rPr>
        <w:t>el acceso a recursos efectivos</w:t>
      </w:r>
      <w:r w:rsidR="00B11A19" w:rsidRPr="00BE5E85">
        <w:rPr>
          <w:b/>
          <w:color w:val="000000"/>
        </w:rPr>
        <w:t xml:space="preserve"> a las víctimas</w:t>
      </w:r>
      <w:r w:rsidR="00B11A19">
        <w:rPr>
          <w:b/>
          <w:color w:val="000000"/>
        </w:rPr>
        <w:t>, incluyendo</w:t>
      </w:r>
      <w:r w:rsidR="00AF76FD">
        <w:rPr>
          <w:b/>
          <w:color w:val="000000"/>
        </w:rPr>
        <w:t xml:space="preserve"> </w:t>
      </w:r>
      <w:r w:rsidR="00B11A19" w:rsidRPr="00BE5E85">
        <w:rPr>
          <w:b/>
          <w:color w:val="000000"/>
        </w:rPr>
        <w:t>rehabilitación</w:t>
      </w:r>
      <w:r w:rsidR="00B11A19">
        <w:rPr>
          <w:b/>
          <w:color w:val="000000"/>
        </w:rPr>
        <w:t xml:space="preserve"> y promover la recolección de datos estadísticos</w:t>
      </w:r>
      <w:r w:rsidR="003F1B13">
        <w:rPr>
          <w:b/>
          <w:color w:val="000000"/>
        </w:rPr>
        <w:t xml:space="preserve"> comprehensivos</w:t>
      </w:r>
      <w:r w:rsidR="00B11A19">
        <w:rPr>
          <w:b/>
          <w:color w:val="000000"/>
        </w:rPr>
        <w:t xml:space="preserve"> a fin de fortalecer sus esfuerzos contra la trata de personas</w:t>
      </w:r>
      <w:r w:rsidR="00B11A19" w:rsidRPr="00BE5E85">
        <w:rPr>
          <w:b/>
          <w:color w:val="000000"/>
        </w:rPr>
        <w:t xml:space="preserve">. </w:t>
      </w:r>
    </w:p>
    <w:p w:rsidR="00B11A19" w:rsidRPr="006B22B3" w:rsidRDefault="007274DD" w:rsidP="005A5EB7">
      <w:pPr>
        <w:pStyle w:val="H23G"/>
        <w:rPr>
          <w:lang w:val="es-ES_tradnl"/>
        </w:rPr>
      </w:pPr>
      <w:r>
        <w:rPr>
          <w:lang w:val="es-ES_tradnl"/>
        </w:rPr>
        <w:tab/>
      </w:r>
      <w:r>
        <w:rPr>
          <w:lang w:val="es-ES_tradnl"/>
        </w:rPr>
        <w:tab/>
      </w:r>
      <w:r w:rsidR="00B11A19" w:rsidRPr="006B22B3">
        <w:rPr>
          <w:lang w:val="es-ES_tradnl"/>
        </w:rPr>
        <w:t>Tortura y malos tratos</w:t>
      </w:r>
    </w:p>
    <w:p w:rsidR="00B11A19" w:rsidRPr="005A5EB7" w:rsidRDefault="00723695" w:rsidP="00723695">
      <w:pPr>
        <w:pStyle w:val="SingleTxtG"/>
        <w:rPr>
          <w:lang w:val="es-ES_tradnl"/>
        </w:rPr>
      </w:pPr>
      <w:r w:rsidRPr="005A5EB7">
        <w:rPr>
          <w:lang w:val="es-ES_tradnl"/>
        </w:rPr>
        <w:t>25.</w:t>
      </w:r>
      <w:r w:rsidRPr="005A5EB7">
        <w:rPr>
          <w:lang w:val="es-ES_tradnl"/>
        </w:rPr>
        <w:tab/>
      </w:r>
      <w:r w:rsidR="00B11A19">
        <w:t xml:space="preserve">Preocupa al Comité que el Estado parte no haya proporcionado información sobre investigaciones y sanciones por violaciones de derechos humanos cometidos por agentes del orden en centros de detención y por miembros de la </w:t>
      </w:r>
      <w:r w:rsidR="00983AF2">
        <w:t>p</w:t>
      </w:r>
      <w:r w:rsidR="00B11A19">
        <w:t>olicía, especialmente relacionadas con tortura y</w:t>
      </w:r>
      <w:r w:rsidR="00AF76FD">
        <w:t xml:space="preserve"> </w:t>
      </w:r>
      <w:r w:rsidR="00B11A19">
        <w:t>malos tratos (</w:t>
      </w:r>
      <w:r w:rsidR="00EA3CD7">
        <w:t>a</w:t>
      </w:r>
      <w:r w:rsidR="00B11A19">
        <w:t>rt</w:t>
      </w:r>
      <w:r w:rsidR="007274DD">
        <w:t>s</w:t>
      </w:r>
      <w:r w:rsidR="00B11A19">
        <w:t>. 7</w:t>
      </w:r>
      <w:r w:rsidR="00120398">
        <w:t xml:space="preserve"> y 10</w:t>
      </w:r>
      <w:r w:rsidR="00B11A19">
        <w:t xml:space="preserve">). </w:t>
      </w:r>
    </w:p>
    <w:p w:rsidR="00B11A19" w:rsidRPr="005A5EB7" w:rsidRDefault="00723695" w:rsidP="00723695">
      <w:pPr>
        <w:pStyle w:val="SingleTxtG"/>
        <w:rPr>
          <w:lang w:val="es-ES_tradnl"/>
        </w:rPr>
      </w:pPr>
      <w:r w:rsidRPr="005A5EB7">
        <w:rPr>
          <w:lang w:val="es-ES_tradnl"/>
        </w:rPr>
        <w:t>26.</w:t>
      </w:r>
      <w:r w:rsidRPr="005A5EB7">
        <w:rPr>
          <w:lang w:val="es-ES_tradnl"/>
        </w:rPr>
        <w:tab/>
      </w:r>
      <w:r w:rsidR="00B11A19" w:rsidRPr="00887E88">
        <w:rPr>
          <w:b/>
        </w:rPr>
        <w:t xml:space="preserve">El Estado </w:t>
      </w:r>
      <w:r w:rsidR="00B11A19" w:rsidRPr="00BE5E85">
        <w:rPr>
          <w:b/>
          <w:color w:val="000000"/>
        </w:rPr>
        <w:t>parte</w:t>
      </w:r>
      <w:r w:rsidR="00B11A19" w:rsidRPr="00887E88">
        <w:rPr>
          <w:b/>
        </w:rPr>
        <w:t xml:space="preserve"> debe velar por que las denuncias de tortura y/o malos tratos se investiguen de manera efectiva</w:t>
      </w:r>
      <w:r w:rsidR="00B11A19">
        <w:rPr>
          <w:b/>
        </w:rPr>
        <w:t xml:space="preserve"> y rigurosa,</w:t>
      </w:r>
      <w:r w:rsidR="00B11A19" w:rsidRPr="00887E88">
        <w:rPr>
          <w:b/>
        </w:rPr>
        <w:t xml:space="preserve"> </w:t>
      </w:r>
      <w:r w:rsidR="00B11A19">
        <w:rPr>
          <w:b/>
        </w:rPr>
        <w:t>para que</w:t>
      </w:r>
      <w:r w:rsidR="00B11A19" w:rsidRPr="00887E88">
        <w:rPr>
          <w:b/>
        </w:rPr>
        <w:t xml:space="preserve"> los autores sean enjuiciados y, de ser declarados </w:t>
      </w:r>
      <w:r w:rsidR="00B11A19" w:rsidRPr="002436CF">
        <w:rPr>
          <w:b/>
        </w:rPr>
        <w:t>culpables</w:t>
      </w:r>
      <w:r w:rsidR="00B11A19" w:rsidRPr="00887E88">
        <w:rPr>
          <w:b/>
        </w:rPr>
        <w:t xml:space="preserve">, sean castigados con penas proporcionales a la gravedad del delito, y </w:t>
      </w:r>
      <w:r w:rsidR="00983AF2">
        <w:rPr>
          <w:b/>
        </w:rPr>
        <w:t xml:space="preserve">que </w:t>
      </w:r>
      <w:r w:rsidR="00B11A19" w:rsidRPr="00887E88">
        <w:rPr>
          <w:b/>
        </w:rPr>
        <w:t xml:space="preserve">las víctimas </w:t>
      </w:r>
      <w:r w:rsidR="00983AF2">
        <w:rPr>
          <w:b/>
        </w:rPr>
        <w:t xml:space="preserve">reciban </w:t>
      </w:r>
      <w:r w:rsidR="00B11A19" w:rsidRPr="00887E88">
        <w:rPr>
          <w:b/>
        </w:rPr>
        <w:t xml:space="preserve">una indemnización adecuada. </w:t>
      </w:r>
    </w:p>
    <w:p w:rsidR="00B11A19" w:rsidRPr="00FB0253" w:rsidRDefault="00B11A19" w:rsidP="00B11A19">
      <w:pPr>
        <w:pStyle w:val="H23G"/>
        <w:rPr>
          <w:lang w:val="es-ES_tradnl"/>
        </w:rPr>
      </w:pPr>
      <w:r w:rsidRPr="00732A99">
        <w:tab/>
      </w:r>
      <w:r w:rsidRPr="0012031B">
        <w:tab/>
      </w:r>
      <w:r w:rsidRPr="00FB0253">
        <w:rPr>
          <w:lang w:val="es-ES_tradnl"/>
        </w:rPr>
        <w:t>Condiciones de detención</w:t>
      </w:r>
    </w:p>
    <w:p w:rsidR="00B11A19" w:rsidRPr="005A5EB7" w:rsidRDefault="00723695" w:rsidP="00723695">
      <w:pPr>
        <w:pStyle w:val="SingleTxtG"/>
        <w:rPr>
          <w:lang w:val="es-ES_tradnl"/>
        </w:rPr>
      </w:pPr>
      <w:r w:rsidRPr="005A5EB7">
        <w:rPr>
          <w:lang w:val="es-ES_tradnl"/>
        </w:rPr>
        <w:t>27.</w:t>
      </w:r>
      <w:r w:rsidRPr="005A5EB7">
        <w:rPr>
          <w:lang w:val="es-ES_tradnl"/>
        </w:rPr>
        <w:tab/>
      </w:r>
      <w:r w:rsidR="00B11A19" w:rsidRPr="00E7587D">
        <w:rPr>
          <w:rFonts w:ascii="TimesNewRoman" w:hAnsi="TimesNewRoman" w:cs="TimesNewRoman"/>
          <w:lang w:eastAsia="en-GB"/>
        </w:rPr>
        <w:t>A pesar de los esfuerzos realizados por el Estado parte, preocupa</w:t>
      </w:r>
      <w:r w:rsidR="00983AF2">
        <w:rPr>
          <w:rFonts w:ascii="TimesNewRoman" w:hAnsi="TimesNewRoman" w:cs="TimesNewRoman"/>
          <w:lang w:eastAsia="en-GB"/>
        </w:rPr>
        <w:t>n</w:t>
      </w:r>
      <w:r w:rsidR="00B11A19" w:rsidRPr="00E7587D">
        <w:rPr>
          <w:rFonts w:ascii="TimesNewRoman" w:hAnsi="TimesNewRoman" w:cs="TimesNewRoman"/>
          <w:lang w:eastAsia="en-GB"/>
        </w:rPr>
        <w:t xml:space="preserve"> al Comité la </w:t>
      </w:r>
      <w:r w:rsidR="00B11A19" w:rsidRPr="00F31875">
        <w:t>persistencia</w:t>
      </w:r>
      <w:r w:rsidR="00B11A19" w:rsidRPr="00E7587D">
        <w:rPr>
          <w:rFonts w:ascii="TimesNewRoman" w:hAnsi="TimesNewRoman" w:cs="TimesNewRoman"/>
          <w:lang w:eastAsia="en-GB"/>
        </w:rPr>
        <w:t xml:space="preserve"> de altos niveles de hacinamiento</w:t>
      </w:r>
      <w:r w:rsidR="00B11A19">
        <w:rPr>
          <w:rFonts w:ascii="TimesNewRoman" w:hAnsi="TimesNewRoman" w:cs="TimesNewRoman"/>
          <w:lang w:eastAsia="en-GB"/>
        </w:rPr>
        <w:t xml:space="preserve"> y</w:t>
      </w:r>
      <w:r w:rsidR="00B11A19" w:rsidRPr="00E7587D">
        <w:rPr>
          <w:rFonts w:ascii="TimesNewRoman" w:hAnsi="TimesNewRoman" w:cs="TimesNewRoman"/>
          <w:lang w:eastAsia="en-GB"/>
        </w:rPr>
        <w:t xml:space="preserve"> las malas condiciones imperantes en los lugares de detención, en particular en el ámbito F del Centro de detención La Reforma. </w:t>
      </w:r>
      <w:r w:rsidR="00B11A19" w:rsidRPr="00E7587D">
        <w:rPr>
          <w:rFonts w:ascii="TimesNewRoman" w:hAnsi="TimesNewRoman" w:cs="TimesNewRoman"/>
          <w:lang w:eastAsia="en-GB"/>
        </w:rPr>
        <w:lastRenderedPageBreak/>
        <w:t>Preocupa</w:t>
      </w:r>
      <w:r w:rsidR="00983AF2">
        <w:rPr>
          <w:rFonts w:ascii="TimesNewRoman" w:hAnsi="TimesNewRoman" w:cs="TimesNewRoman"/>
          <w:lang w:eastAsia="en-GB"/>
        </w:rPr>
        <w:t>n</w:t>
      </w:r>
      <w:r w:rsidR="00B11A19" w:rsidRPr="00E7587D">
        <w:rPr>
          <w:rFonts w:ascii="TimesNewRoman" w:hAnsi="TimesNewRoman" w:cs="TimesNewRoman"/>
          <w:lang w:eastAsia="en-GB"/>
        </w:rPr>
        <w:t xml:space="preserve"> también al Comité </w:t>
      </w:r>
      <w:r w:rsidR="00983AF2">
        <w:rPr>
          <w:rFonts w:ascii="TimesNewRoman" w:hAnsi="TimesNewRoman" w:cs="TimesNewRoman"/>
          <w:lang w:eastAsia="en-GB"/>
        </w:rPr>
        <w:t>los informes</w:t>
      </w:r>
      <w:r w:rsidR="00983AF2" w:rsidRPr="00E7587D">
        <w:rPr>
          <w:rFonts w:ascii="TimesNewRoman" w:hAnsi="TimesNewRoman" w:cs="TimesNewRoman"/>
          <w:lang w:eastAsia="en-GB"/>
        </w:rPr>
        <w:t xml:space="preserve"> </w:t>
      </w:r>
      <w:r w:rsidR="00B11A19" w:rsidRPr="00E7587D">
        <w:rPr>
          <w:rFonts w:ascii="TimesNewRoman" w:hAnsi="TimesNewRoman" w:cs="TimesNewRoman"/>
          <w:lang w:eastAsia="en-GB"/>
        </w:rPr>
        <w:t>que indican el uso</w:t>
      </w:r>
      <w:r w:rsidR="00B11A19">
        <w:rPr>
          <w:rFonts w:ascii="TimesNewRoman" w:hAnsi="TimesNewRoman" w:cs="TimesNewRoman"/>
          <w:lang w:eastAsia="en-GB"/>
        </w:rPr>
        <w:t xml:space="preserve"> excesivo y prolongado</w:t>
      </w:r>
      <w:r w:rsidR="00B11A19" w:rsidRPr="00E7587D">
        <w:rPr>
          <w:rFonts w:ascii="TimesNewRoman" w:hAnsi="TimesNewRoman" w:cs="TimesNewRoman"/>
          <w:lang w:eastAsia="en-GB"/>
        </w:rPr>
        <w:t xml:space="preserve"> de la detención provisional</w:t>
      </w:r>
      <w:r w:rsidR="00B11A19">
        <w:rPr>
          <w:rFonts w:ascii="TimesNewRoman" w:hAnsi="TimesNewRoman" w:cs="TimesNewRoman"/>
          <w:lang w:eastAsia="en-GB"/>
        </w:rPr>
        <w:t xml:space="preserve"> </w:t>
      </w:r>
      <w:r w:rsidR="00B11A19" w:rsidRPr="00E7587D">
        <w:t>(arts. </w:t>
      </w:r>
      <w:r w:rsidR="00B11A19">
        <w:t>9</w:t>
      </w:r>
      <w:r w:rsidR="00B11A19" w:rsidRPr="00E7587D">
        <w:t xml:space="preserve"> y 10).</w:t>
      </w:r>
    </w:p>
    <w:p w:rsidR="00B11A19" w:rsidRPr="005A5EB7" w:rsidRDefault="00723695" w:rsidP="00723695">
      <w:pPr>
        <w:pStyle w:val="SingleTxtG"/>
        <w:rPr>
          <w:lang w:val="es-ES_tradnl"/>
        </w:rPr>
      </w:pPr>
      <w:r w:rsidRPr="005A5EB7">
        <w:rPr>
          <w:lang w:val="es-ES_tradnl"/>
        </w:rPr>
        <w:t>28.</w:t>
      </w:r>
      <w:r w:rsidRPr="005A5EB7">
        <w:rPr>
          <w:lang w:val="es-ES_tradnl"/>
        </w:rPr>
        <w:tab/>
      </w:r>
      <w:r w:rsidR="00B11A19" w:rsidRPr="00E7587D">
        <w:rPr>
          <w:b/>
          <w:bCs/>
        </w:rPr>
        <w:t xml:space="preserve">El Estado parte debe adoptar medidas eficaces para mejorar las condiciones </w:t>
      </w:r>
      <w:r w:rsidR="00B11A19" w:rsidRPr="00F31875">
        <w:rPr>
          <w:b/>
        </w:rPr>
        <w:t>materiales</w:t>
      </w:r>
      <w:r w:rsidR="00B11A19" w:rsidRPr="00E7587D">
        <w:rPr>
          <w:b/>
          <w:bCs/>
        </w:rPr>
        <w:t xml:space="preserve"> de los centros penitenciarios, reducir el hacinamiento existente y responder debidamente a las necesidades fundamentales de todas las personas privadas de libertad. </w:t>
      </w:r>
      <w:r w:rsidR="00B11A19" w:rsidRPr="005A5EB7">
        <w:rPr>
          <w:b/>
          <w:bCs/>
        </w:rPr>
        <w:t>En particular, el Estado parte debe recurrir al uso de medidas alternativas a la privación de libertad velando por que la prisión preventiva</w:t>
      </w:r>
      <w:r w:rsidR="00B11A19" w:rsidRPr="00E7587D">
        <w:rPr>
          <w:b/>
          <w:lang w:val="es-ES_tradnl"/>
        </w:rPr>
        <w:t xml:space="preserve"> se imponga únicamente como medida excepcional</w:t>
      </w:r>
      <w:r w:rsidR="00B11A19">
        <w:rPr>
          <w:b/>
          <w:lang w:val="es-ES_tradnl"/>
        </w:rPr>
        <w:t xml:space="preserve"> y no por períodos excesivamente prolongados</w:t>
      </w:r>
      <w:r w:rsidR="00983AF2">
        <w:rPr>
          <w:b/>
          <w:lang w:val="es-ES_tradnl"/>
        </w:rPr>
        <w:t>,</w:t>
      </w:r>
      <w:r w:rsidR="00B11A19">
        <w:rPr>
          <w:b/>
          <w:lang w:val="es-ES_tradnl"/>
        </w:rPr>
        <w:t xml:space="preserve"> </w:t>
      </w:r>
      <w:r w:rsidR="00B11A19" w:rsidRPr="00E7587D">
        <w:rPr>
          <w:b/>
          <w:lang w:val="es-ES_tradnl"/>
        </w:rPr>
        <w:t xml:space="preserve">de conformidad con el artículo 9 del Pacto. </w:t>
      </w:r>
    </w:p>
    <w:p w:rsidR="00B11A19" w:rsidRPr="006B22B3" w:rsidRDefault="00B11A19" w:rsidP="00B11A19">
      <w:pPr>
        <w:pStyle w:val="H23G"/>
        <w:rPr>
          <w:color w:val="000000"/>
        </w:rPr>
      </w:pPr>
      <w:r>
        <w:tab/>
      </w:r>
      <w:r>
        <w:tab/>
      </w:r>
      <w:r w:rsidRPr="006B22B3">
        <w:rPr>
          <w:color w:val="000000"/>
        </w:rPr>
        <w:t>Condiciones de vida en los centros de detención para migrantes</w:t>
      </w:r>
    </w:p>
    <w:p w:rsidR="00B11A19" w:rsidRPr="005A5EB7" w:rsidRDefault="00723695" w:rsidP="00723695">
      <w:pPr>
        <w:pStyle w:val="SingleTxtG"/>
        <w:rPr>
          <w:lang w:val="es-ES_tradnl"/>
        </w:rPr>
      </w:pPr>
      <w:r w:rsidRPr="005A5EB7">
        <w:rPr>
          <w:lang w:val="es-ES_tradnl"/>
        </w:rPr>
        <w:t>29.</w:t>
      </w:r>
      <w:r w:rsidRPr="005A5EB7">
        <w:rPr>
          <w:lang w:val="es-ES_tradnl"/>
        </w:rPr>
        <w:tab/>
      </w:r>
      <w:r w:rsidR="00B11A19" w:rsidRPr="006B22B3">
        <w:rPr>
          <w:color w:val="000000"/>
        </w:rPr>
        <w:t>Preocupan al Comité las informaciones sobre las condiciones de vida inadecuadas en el Centro de Aprehensión Temporal para Extranjeros en Condición Irregular, en particular debido a las condiciones de hacinamiento, y la deficiencia de las condiciones sanitarias y de los servicios de atención de salud</w:t>
      </w:r>
      <w:r w:rsidR="00B11A19">
        <w:rPr>
          <w:color w:val="000000"/>
        </w:rPr>
        <w:t>. Preocupa también al Comité que la ley no establezca un límite en el tiempo de la detención de las personas migrantes</w:t>
      </w:r>
      <w:r w:rsidR="00AF76FD">
        <w:rPr>
          <w:color w:val="000000"/>
        </w:rPr>
        <w:t xml:space="preserve"> </w:t>
      </w:r>
      <w:r w:rsidR="00B11A19" w:rsidRPr="006B22B3">
        <w:rPr>
          <w:color w:val="000000"/>
        </w:rPr>
        <w:t>(art. 10).</w:t>
      </w:r>
    </w:p>
    <w:p w:rsidR="00B11A19" w:rsidRPr="005A5EB7" w:rsidRDefault="00723695" w:rsidP="00723695">
      <w:pPr>
        <w:pStyle w:val="SingleTxtG"/>
        <w:rPr>
          <w:lang w:val="es-ES_tradnl"/>
        </w:rPr>
      </w:pPr>
      <w:r w:rsidRPr="005A5EB7">
        <w:rPr>
          <w:lang w:val="es-ES_tradnl"/>
        </w:rPr>
        <w:t>30.</w:t>
      </w:r>
      <w:r w:rsidRPr="005A5EB7">
        <w:rPr>
          <w:lang w:val="es-ES_tradnl"/>
        </w:rPr>
        <w:tab/>
      </w:r>
      <w:r w:rsidR="00B11A19" w:rsidRPr="006B22B3">
        <w:rPr>
          <w:b/>
          <w:color w:val="000000"/>
        </w:rPr>
        <w:t>El Estado parte debe hacer un mayor esfuerzo por mejorar de manera sostenible las condiciones de vida en los centros de detención para migrantes, entre otras cosas respecto de los servicios de salud y las condiciones sanitarias de calidad adecuada, con miras a lograr el pleno cumplimiento de lo exigido en el artículo 10</w:t>
      </w:r>
      <w:r w:rsidR="00983AF2">
        <w:rPr>
          <w:b/>
          <w:color w:val="000000"/>
        </w:rPr>
        <w:t xml:space="preserve"> del Pacto</w:t>
      </w:r>
      <w:r w:rsidR="00B11A19" w:rsidRPr="006B22B3">
        <w:rPr>
          <w:b/>
          <w:color w:val="000000"/>
        </w:rPr>
        <w:t>.</w:t>
      </w:r>
      <w:r w:rsidR="00B11A19">
        <w:rPr>
          <w:b/>
          <w:color w:val="000000"/>
        </w:rPr>
        <w:t xml:space="preserve"> El Estado debe </w:t>
      </w:r>
      <w:r w:rsidR="00B11A19">
        <w:rPr>
          <w:b/>
        </w:rPr>
        <w:t>g</w:t>
      </w:r>
      <w:r w:rsidR="00B11A19" w:rsidRPr="00887E88">
        <w:rPr>
          <w:b/>
        </w:rPr>
        <w:t>arantizar que la detención administrativa a los efectos de la inmigración esté justificada como medida razonable, necesaria y proporcionada y se utilice tan solo como medida de último recurso y durante el plazo más b</w:t>
      </w:r>
      <w:r w:rsidR="00B11A19">
        <w:rPr>
          <w:b/>
        </w:rPr>
        <w:t>reve posible que sea apropiado</w:t>
      </w:r>
      <w:r w:rsidR="00B11A19">
        <w:rPr>
          <w:b/>
          <w:lang w:val="es-ES_tradnl"/>
        </w:rPr>
        <w:t>.</w:t>
      </w:r>
    </w:p>
    <w:p w:rsidR="00B11A19" w:rsidRPr="00DA7675" w:rsidRDefault="00AF76FD" w:rsidP="005A5EB7">
      <w:pPr>
        <w:pStyle w:val="H23G"/>
        <w:rPr>
          <w:lang w:val="es-ES_tradnl"/>
        </w:rPr>
      </w:pPr>
      <w:r>
        <w:rPr>
          <w:lang w:val="es-ES_tradnl"/>
        </w:rPr>
        <w:tab/>
      </w:r>
      <w:r>
        <w:rPr>
          <w:lang w:val="es-ES_tradnl"/>
        </w:rPr>
        <w:tab/>
      </w:r>
      <w:r w:rsidR="00B11A19">
        <w:rPr>
          <w:lang w:val="es-ES_tradnl"/>
        </w:rPr>
        <w:t>Independencia judicial</w:t>
      </w:r>
    </w:p>
    <w:p w:rsidR="00B11A19" w:rsidRDefault="00723695" w:rsidP="00723695">
      <w:pPr>
        <w:pStyle w:val="SingleTxtG"/>
        <w:rPr>
          <w:lang w:val="es-ES_tradnl"/>
        </w:rPr>
      </w:pPr>
      <w:r>
        <w:rPr>
          <w:lang w:val="es-ES_tradnl"/>
        </w:rPr>
        <w:t>31.</w:t>
      </w:r>
      <w:r>
        <w:rPr>
          <w:lang w:val="es-ES_tradnl"/>
        </w:rPr>
        <w:tab/>
      </w:r>
      <w:r w:rsidR="00B11A19" w:rsidRPr="00B413FD">
        <w:rPr>
          <w:lang w:val="es-ES_tradnl"/>
        </w:rPr>
        <w:t xml:space="preserve">El Comité </w:t>
      </w:r>
      <w:r w:rsidR="00B11A19">
        <w:rPr>
          <w:lang w:val="es-ES_tradnl"/>
        </w:rPr>
        <w:t xml:space="preserve">está preocupado por </w:t>
      </w:r>
      <w:r w:rsidR="00B11A19" w:rsidRPr="00B413FD">
        <w:rPr>
          <w:lang w:val="es-ES_tradnl"/>
        </w:rPr>
        <w:t xml:space="preserve">la información proporcionada por la </w:t>
      </w:r>
      <w:r w:rsidR="00B11A19" w:rsidRPr="006B22B3">
        <w:rPr>
          <w:color w:val="000000"/>
        </w:rPr>
        <w:t>delegación</w:t>
      </w:r>
      <w:r w:rsidR="00B11A19" w:rsidRPr="00B413FD">
        <w:rPr>
          <w:lang w:val="es-ES_tradnl"/>
        </w:rPr>
        <w:t xml:space="preserve"> acerca de</w:t>
      </w:r>
      <w:r w:rsidR="00B11A19">
        <w:rPr>
          <w:lang w:val="es-ES_tradnl"/>
        </w:rPr>
        <w:t xml:space="preserve">l </w:t>
      </w:r>
      <w:r w:rsidR="00B11A19" w:rsidRPr="00B413FD">
        <w:rPr>
          <w:lang w:val="es-ES_tradnl"/>
        </w:rPr>
        <w:t xml:space="preserve">procedimiento </w:t>
      </w:r>
      <w:r w:rsidR="00B11A19">
        <w:rPr>
          <w:lang w:val="es-ES_tradnl"/>
        </w:rPr>
        <w:t>disciplinario</w:t>
      </w:r>
      <w:r w:rsidR="00B11A19" w:rsidRPr="00B413FD">
        <w:rPr>
          <w:lang w:val="es-ES_tradnl"/>
        </w:rPr>
        <w:t xml:space="preserve"> </w:t>
      </w:r>
      <w:r w:rsidR="00B11A19">
        <w:rPr>
          <w:lang w:val="es-ES_tradnl"/>
        </w:rPr>
        <w:t xml:space="preserve">iniciado </w:t>
      </w:r>
      <w:r w:rsidR="00B11A19" w:rsidRPr="00B413FD">
        <w:rPr>
          <w:lang w:val="es-ES_tradnl"/>
        </w:rPr>
        <w:t xml:space="preserve">contra </w:t>
      </w:r>
      <w:r w:rsidR="00B11A19">
        <w:rPr>
          <w:lang w:val="es-ES_tradnl"/>
        </w:rPr>
        <w:t xml:space="preserve">un </w:t>
      </w:r>
      <w:r w:rsidR="00983AF2">
        <w:rPr>
          <w:lang w:val="es-ES_tradnl"/>
        </w:rPr>
        <w:t>j</w:t>
      </w:r>
      <w:r w:rsidR="00B11A19" w:rsidRPr="00B413FD">
        <w:rPr>
          <w:lang w:val="es-ES_tradnl"/>
        </w:rPr>
        <w:t>uez</w:t>
      </w:r>
      <w:r w:rsidR="00B11A19">
        <w:rPr>
          <w:lang w:val="es-ES_tradnl"/>
        </w:rPr>
        <w:t xml:space="preserve"> de </w:t>
      </w:r>
      <w:r w:rsidR="00983AF2">
        <w:rPr>
          <w:lang w:val="es-ES_tradnl"/>
        </w:rPr>
        <w:t>f</w:t>
      </w:r>
      <w:r w:rsidR="00B11A19">
        <w:rPr>
          <w:lang w:val="es-ES_tradnl"/>
        </w:rPr>
        <w:t xml:space="preserve">amilia, </w:t>
      </w:r>
      <w:r w:rsidR="00B11A19" w:rsidRPr="00B413FD">
        <w:rPr>
          <w:lang w:val="es-ES_tradnl"/>
        </w:rPr>
        <w:t>por</w:t>
      </w:r>
      <w:r w:rsidR="00B11A19">
        <w:rPr>
          <w:lang w:val="es-ES_tradnl"/>
        </w:rPr>
        <w:t xml:space="preserve"> </w:t>
      </w:r>
      <w:r w:rsidR="00B11A19" w:rsidRPr="00B413FD">
        <w:rPr>
          <w:lang w:val="es-ES_tradnl"/>
        </w:rPr>
        <w:t xml:space="preserve">haber </w:t>
      </w:r>
      <w:r w:rsidR="00B11A19">
        <w:rPr>
          <w:lang w:val="es-ES_tradnl"/>
        </w:rPr>
        <w:t>emitido una decisión de reconocimiento de una unión de hecho entre dos jóvenes del mismo sexo, lo cual representa una ser</w:t>
      </w:r>
      <w:r w:rsidR="00983AF2">
        <w:rPr>
          <w:lang w:val="es-ES_tradnl"/>
        </w:rPr>
        <w:t>i</w:t>
      </w:r>
      <w:r w:rsidR="00B11A19">
        <w:rPr>
          <w:lang w:val="es-ES_tradnl"/>
        </w:rPr>
        <w:t>a preocupación para la independencia judicial (art</w:t>
      </w:r>
      <w:r w:rsidR="007274DD">
        <w:rPr>
          <w:lang w:val="es-ES_tradnl"/>
        </w:rPr>
        <w:t>s</w:t>
      </w:r>
      <w:r w:rsidR="00B11A19">
        <w:rPr>
          <w:lang w:val="es-ES_tradnl"/>
        </w:rPr>
        <w:t>.</w:t>
      </w:r>
      <w:r w:rsidR="007274DD">
        <w:rPr>
          <w:lang w:val="es-ES_tradnl"/>
        </w:rPr>
        <w:t> </w:t>
      </w:r>
      <w:r w:rsidR="00B11A19">
        <w:rPr>
          <w:lang w:val="es-ES_tradnl"/>
        </w:rPr>
        <w:t xml:space="preserve">14 y 17). </w:t>
      </w:r>
    </w:p>
    <w:p w:rsidR="00B11A19" w:rsidRPr="005A5EB7" w:rsidRDefault="00723695" w:rsidP="00723695">
      <w:pPr>
        <w:pStyle w:val="SingleTxtG"/>
        <w:rPr>
          <w:lang w:val="es-ES_tradnl"/>
        </w:rPr>
      </w:pPr>
      <w:r w:rsidRPr="005A5EB7">
        <w:rPr>
          <w:lang w:val="es-ES_tradnl"/>
        </w:rPr>
        <w:t>32.</w:t>
      </w:r>
      <w:r w:rsidRPr="005A5EB7">
        <w:rPr>
          <w:lang w:val="es-ES_tradnl"/>
        </w:rPr>
        <w:tab/>
      </w:r>
      <w:r w:rsidR="00B11A19">
        <w:rPr>
          <w:b/>
        </w:rPr>
        <w:t xml:space="preserve">El Estado parte debe asegurar y proteger la independencia e </w:t>
      </w:r>
      <w:r w:rsidR="00B11A19" w:rsidRPr="006B22B3">
        <w:rPr>
          <w:b/>
          <w:color w:val="000000"/>
        </w:rPr>
        <w:t>imparcialidad</w:t>
      </w:r>
      <w:r w:rsidR="00B11A19">
        <w:rPr>
          <w:b/>
        </w:rPr>
        <w:t xml:space="preserve"> de los jueces y garantizar que la toma de decisiones judiciales esté libre de todo tipo presiones e injerencias. </w:t>
      </w:r>
    </w:p>
    <w:p w:rsidR="00B11A19" w:rsidRPr="003172BE" w:rsidRDefault="00AF76FD" w:rsidP="005A5EB7">
      <w:pPr>
        <w:pStyle w:val="H23G"/>
        <w:rPr>
          <w:lang w:val="es-ES_tradnl"/>
        </w:rPr>
      </w:pPr>
      <w:r>
        <w:rPr>
          <w:lang w:val="es-ES_tradnl"/>
        </w:rPr>
        <w:tab/>
      </w:r>
      <w:r>
        <w:rPr>
          <w:lang w:val="es-ES_tradnl"/>
        </w:rPr>
        <w:tab/>
      </w:r>
      <w:r w:rsidR="00B11A19" w:rsidRPr="003172BE">
        <w:rPr>
          <w:lang w:val="es-ES_tradnl"/>
        </w:rPr>
        <w:t>Libertad de pensamiento, conciencia y religión</w:t>
      </w:r>
    </w:p>
    <w:p w:rsidR="00B11A19" w:rsidRPr="003172BE" w:rsidRDefault="00723695" w:rsidP="00723695">
      <w:pPr>
        <w:pStyle w:val="SingleTxtG"/>
        <w:rPr>
          <w:lang w:val="es-ES_tradnl"/>
        </w:rPr>
      </w:pPr>
      <w:r w:rsidRPr="003172BE">
        <w:rPr>
          <w:lang w:val="es-ES_tradnl"/>
        </w:rPr>
        <w:t>33.</w:t>
      </w:r>
      <w:r w:rsidRPr="003172BE">
        <w:rPr>
          <w:lang w:val="es-ES_tradnl"/>
        </w:rPr>
        <w:tab/>
      </w:r>
      <w:r w:rsidR="00B11A19" w:rsidRPr="003172BE">
        <w:rPr>
          <w:lang w:val="es-ES_tradnl"/>
        </w:rPr>
        <w:t>El Comité nota con preocupación que</w:t>
      </w:r>
      <w:r w:rsidR="00AF76FD">
        <w:rPr>
          <w:lang w:val="es-ES_tradnl"/>
        </w:rPr>
        <w:t xml:space="preserve"> </w:t>
      </w:r>
      <w:r w:rsidR="00B11A19">
        <w:rPr>
          <w:lang w:val="es-ES_tradnl"/>
        </w:rPr>
        <w:t>no todas las religiones en el Estado parte tengan los mismos beneficios y privilegios. Además, el Comité reitera su anterior preocupación que el matrimonio católico sea el único que surte efectos</w:t>
      </w:r>
      <w:r w:rsidR="00983AF2">
        <w:rPr>
          <w:lang w:val="es-ES_tradnl"/>
        </w:rPr>
        <w:t>,</w:t>
      </w:r>
      <w:r w:rsidR="00B11A19">
        <w:rPr>
          <w:lang w:val="es-ES_tradnl"/>
        </w:rPr>
        <w:t xml:space="preserve"> lo cual</w:t>
      </w:r>
      <w:r w:rsidR="00B11A19" w:rsidRPr="003172BE">
        <w:rPr>
          <w:lang w:val="es-ES_tradnl"/>
        </w:rPr>
        <w:t xml:space="preserve"> resulta discriminatori</w:t>
      </w:r>
      <w:r w:rsidR="00B11A19">
        <w:rPr>
          <w:lang w:val="es-ES_tradnl"/>
        </w:rPr>
        <w:t xml:space="preserve">o </w:t>
      </w:r>
      <w:r w:rsidR="00B11A19" w:rsidRPr="003172BE">
        <w:rPr>
          <w:lang w:val="es-ES_tradnl"/>
        </w:rPr>
        <w:t>para los practicantes de otras religiones (arts. 2, 18 y 26).</w:t>
      </w:r>
      <w:r w:rsidR="00AF76FD">
        <w:rPr>
          <w:lang w:val="es-ES_tradnl"/>
        </w:rPr>
        <w:t xml:space="preserve"> </w:t>
      </w:r>
    </w:p>
    <w:p w:rsidR="00B11A19" w:rsidRPr="005A5EB7" w:rsidRDefault="00723695" w:rsidP="00723695">
      <w:pPr>
        <w:pStyle w:val="SingleTxtG"/>
        <w:rPr>
          <w:lang w:val="es-ES_tradnl"/>
        </w:rPr>
      </w:pPr>
      <w:r w:rsidRPr="005A5EB7">
        <w:rPr>
          <w:lang w:val="es-ES_tradnl"/>
        </w:rPr>
        <w:t>34.</w:t>
      </w:r>
      <w:r w:rsidRPr="005A5EB7">
        <w:rPr>
          <w:lang w:val="es-ES_tradnl"/>
        </w:rPr>
        <w:tab/>
      </w:r>
      <w:r w:rsidR="00B11A19" w:rsidRPr="00E60041">
        <w:rPr>
          <w:b/>
          <w:lang w:val="es-ES_tradnl"/>
        </w:rPr>
        <w:t xml:space="preserve">El Comité </w:t>
      </w:r>
      <w:r w:rsidR="00B11A19" w:rsidRPr="00F31875">
        <w:rPr>
          <w:b/>
        </w:rPr>
        <w:t>reitera</w:t>
      </w:r>
      <w:r w:rsidR="00B11A19" w:rsidRPr="00E60041">
        <w:rPr>
          <w:b/>
          <w:lang w:val="es-ES_tradnl"/>
        </w:rPr>
        <w:t xml:space="preserve"> su recomendación anterior (</w:t>
      </w:r>
      <w:r w:rsidR="00C928DF">
        <w:rPr>
          <w:b/>
          <w:lang w:val="es-ES_tradnl"/>
        </w:rPr>
        <w:t xml:space="preserve">véase </w:t>
      </w:r>
      <w:proofErr w:type="spellStart"/>
      <w:r w:rsidR="00B11A19" w:rsidRPr="00E60041">
        <w:rPr>
          <w:b/>
          <w:lang w:val="es-ES_tradnl"/>
        </w:rPr>
        <w:t>CCPR</w:t>
      </w:r>
      <w:proofErr w:type="spellEnd"/>
      <w:r w:rsidR="00B11A19" w:rsidRPr="00E60041">
        <w:rPr>
          <w:b/>
          <w:lang w:val="es-ES_tradnl"/>
        </w:rPr>
        <w:t>/C/</w:t>
      </w:r>
      <w:proofErr w:type="spellStart"/>
      <w:r w:rsidR="00B11A19" w:rsidRPr="00E60041">
        <w:rPr>
          <w:b/>
          <w:lang w:val="es-ES_tradnl"/>
        </w:rPr>
        <w:t>CRI</w:t>
      </w:r>
      <w:proofErr w:type="spellEnd"/>
      <w:r w:rsidR="00B11A19" w:rsidRPr="00E60041">
        <w:rPr>
          <w:b/>
          <w:lang w:val="es-ES_tradnl"/>
        </w:rPr>
        <w:t>/CO/5, párr</w:t>
      </w:r>
      <w:r w:rsidR="002E6DB9">
        <w:rPr>
          <w:b/>
          <w:lang w:val="es-ES_tradnl"/>
        </w:rPr>
        <w:t>. </w:t>
      </w:r>
      <w:r w:rsidR="00B11A19" w:rsidRPr="00E60041">
        <w:rPr>
          <w:b/>
          <w:lang w:val="es-ES_tradnl"/>
        </w:rPr>
        <w:t xml:space="preserve">10) </w:t>
      </w:r>
      <w:r w:rsidR="00B11A19">
        <w:rPr>
          <w:b/>
          <w:lang w:val="es-ES_tradnl"/>
        </w:rPr>
        <w:t>e insta</w:t>
      </w:r>
      <w:r w:rsidR="00B11A19" w:rsidRPr="00E60041">
        <w:rPr>
          <w:b/>
          <w:lang w:val="es-ES_tradnl"/>
        </w:rPr>
        <w:t xml:space="preserve"> al Estado parte a tomar las medidas necesarias para armonizar su legislación interna con los artículos 2, 18, 23 y 26 del Pacto y garantizar que no exista ningún tipo de discriminación entre religiones. </w:t>
      </w:r>
    </w:p>
    <w:p w:rsidR="00B11A19" w:rsidRPr="005A5EB7" w:rsidRDefault="00B11A19" w:rsidP="002E6DB9">
      <w:pPr>
        <w:pStyle w:val="H23G"/>
      </w:pPr>
      <w:r>
        <w:tab/>
      </w:r>
      <w:r>
        <w:tab/>
      </w:r>
      <w:r w:rsidRPr="00FB0253">
        <w:rPr>
          <w:lang w:val="es-ES_tradnl"/>
        </w:rPr>
        <w:t>Trabajo infantil</w:t>
      </w:r>
    </w:p>
    <w:p w:rsidR="00B11A19" w:rsidRPr="00573BBF" w:rsidRDefault="00723695" w:rsidP="00723695">
      <w:pPr>
        <w:pStyle w:val="SingleTxtG"/>
        <w:rPr>
          <w:lang w:val="es-ES_tradnl"/>
        </w:rPr>
      </w:pPr>
      <w:r w:rsidRPr="00573BBF">
        <w:rPr>
          <w:lang w:val="es-ES_tradnl"/>
        </w:rPr>
        <w:t>35.</w:t>
      </w:r>
      <w:r w:rsidRPr="00573BBF">
        <w:rPr>
          <w:lang w:val="es-ES_tradnl"/>
        </w:rPr>
        <w:tab/>
      </w:r>
      <w:r w:rsidR="00B11A19" w:rsidRPr="00573BBF">
        <w:rPr>
          <w:lang w:val="es-ES_tradnl"/>
        </w:rPr>
        <w:t>Preocupa</w:t>
      </w:r>
      <w:r w:rsidR="00B11A19">
        <w:rPr>
          <w:lang w:val="es-ES_tradnl"/>
        </w:rPr>
        <w:t>n</w:t>
      </w:r>
      <w:r w:rsidR="00B11A19" w:rsidRPr="00573BBF">
        <w:rPr>
          <w:lang w:val="es-ES_tradnl"/>
        </w:rPr>
        <w:t xml:space="preserve"> al Comité las </w:t>
      </w:r>
      <w:r w:rsidR="00B11A19" w:rsidRPr="000D1727">
        <w:t>informaciones</w:t>
      </w:r>
      <w:r w:rsidR="00B11A19" w:rsidRPr="00573BBF">
        <w:rPr>
          <w:lang w:val="es-ES_tradnl"/>
        </w:rPr>
        <w:t xml:space="preserve"> sobre explotación laboral infantil en el Estado parte, aunque reconoce los esfuerzos desplegados para brindar asistencia a los niños que viven o trabajan en la calle (art.</w:t>
      </w:r>
      <w:r w:rsidR="00AF76FD">
        <w:rPr>
          <w:lang w:val="es-ES_tradnl"/>
        </w:rPr>
        <w:t xml:space="preserve"> </w:t>
      </w:r>
      <w:r w:rsidR="00B11A19" w:rsidRPr="00573BBF">
        <w:rPr>
          <w:lang w:val="es-ES_tradnl"/>
        </w:rPr>
        <w:t>24).</w:t>
      </w:r>
    </w:p>
    <w:p w:rsidR="00B11A19" w:rsidRPr="005A5EB7" w:rsidRDefault="00723695" w:rsidP="00723695">
      <w:pPr>
        <w:pStyle w:val="SingleTxtG"/>
        <w:rPr>
          <w:lang w:val="es-ES_tradnl"/>
        </w:rPr>
      </w:pPr>
      <w:r w:rsidRPr="005A5EB7">
        <w:rPr>
          <w:lang w:val="es-ES_tradnl"/>
        </w:rPr>
        <w:lastRenderedPageBreak/>
        <w:t>36.</w:t>
      </w:r>
      <w:r w:rsidRPr="005A5EB7">
        <w:rPr>
          <w:lang w:val="es-ES_tradnl"/>
        </w:rPr>
        <w:tab/>
      </w:r>
      <w:r w:rsidR="00B11A19" w:rsidRPr="00573BBF">
        <w:rPr>
          <w:b/>
          <w:lang w:val="es-ES_tradnl"/>
        </w:rPr>
        <w:t xml:space="preserve">El Estado parte </w:t>
      </w:r>
      <w:r w:rsidR="00B11A19">
        <w:rPr>
          <w:b/>
          <w:lang w:val="es-ES_tradnl"/>
        </w:rPr>
        <w:t>debe</w:t>
      </w:r>
      <w:r w:rsidR="00B11A19" w:rsidRPr="00573BBF">
        <w:rPr>
          <w:b/>
          <w:lang w:val="es-ES_tradnl"/>
        </w:rPr>
        <w:t xml:space="preserve"> continuar tomando medidas eficaces para combatir el fenómeno de los niños de la calle y la explotación de los niños en general, y organizar campañas de concienciación ciudadana sobre los derechos del niño.</w:t>
      </w:r>
    </w:p>
    <w:p w:rsidR="00B11A19" w:rsidRPr="00B62C8C" w:rsidRDefault="00AF76FD" w:rsidP="005A5EB7">
      <w:pPr>
        <w:pStyle w:val="H23G"/>
        <w:rPr>
          <w:lang w:val="es-ES_tradnl"/>
        </w:rPr>
      </w:pPr>
      <w:r>
        <w:rPr>
          <w:lang w:val="es-ES_tradnl"/>
        </w:rPr>
        <w:tab/>
      </w:r>
      <w:r>
        <w:rPr>
          <w:lang w:val="es-ES_tradnl"/>
        </w:rPr>
        <w:tab/>
      </w:r>
      <w:r w:rsidR="00B11A19" w:rsidRPr="00B62C8C">
        <w:rPr>
          <w:lang w:val="es-ES_tradnl"/>
        </w:rPr>
        <w:t>Inscripción de nacimientos</w:t>
      </w:r>
    </w:p>
    <w:p w:rsidR="00B11A19" w:rsidRPr="00B62C8C" w:rsidRDefault="00723695" w:rsidP="00723695">
      <w:pPr>
        <w:pStyle w:val="SingleTxtG"/>
        <w:rPr>
          <w:lang w:val="es-ES_tradnl"/>
        </w:rPr>
      </w:pPr>
      <w:r w:rsidRPr="00B62C8C">
        <w:rPr>
          <w:lang w:val="es-ES_tradnl"/>
        </w:rPr>
        <w:t>37.</w:t>
      </w:r>
      <w:r w:rsidRPr="00B62C8C">
        <w:rPr>
          <w:lang w:val="es-ES_tradnl"/>
        </w:rPr>
        <w:tab/>
      </w:r>
      <w:r w:rsidR="00B11A19" w:rsidRPr="00B62C8C">
        <w:rPr>
          <w:lang w:val="es-ES_tradnl"/>
        </w:rPr>
        <w:t xml:space="preserve">El Comité toma nota de los esfuerzos realizados por el Estado parte por registrar todos </w:t>
      </w:r>
      <w:r w:rsidR="00B11A19" w:rsidRPr="000D1727">
        <w:t>los</w:t>
      </w:r>
      <w:r w:rsidR="00B11A19" w:rsidRPr="00B62C8C">
        <w:rPr>
          <w:lang w:val="es-ES_tradnl"/>
        </w:rPr>
        <w:t xml:space="preserve"> nacimientos, pero lamenta que un número </w:t>
      </w:r>
      <w:r w:rsidR="009E2BCE">
        <w:rPr>
          <w:lang w:val="es-ES_tradnl"/>
        </w:rPr>
        <w:t>significativo</w:t>
      </w:r>
      <w:r w:rsidR="009E2BCE" w:rsidRPr="00B62C8C">
        <w:rPr>
          <w:lang w:val="es-ES_tradnl"/>
        </w:rPr>
        <w:t xml:space="preserve"> </w:t>
      </w:r>
      <w:r w:rsidR="00B11A19" w:rsidRPr="00B62C8C">
        <w:rPr>
          <w:lang w:val="es-ES_tradnl"/>
        </w:rPr>
        <w:t xml:space="preserve">de personas pertenecientes al pueblo indígena </w:t>
      </w:r>
      <w:proofErr w:type="spellStart"/>
      <w:r w:rsidR="00983AF2">
        <w:rPr>
          <w:lang w:val="es-ES_tradnl"/>
        </w:rPr>
        <w:t>n</w:t>
      </w:r>
      <w:r w:rsidR="00B11A19" w:rsidRPr="00B62C8C">
        <w:rPr>
          <w:lang w:val="es-ES_tradnl"/>
        </w:rPr>
        <w:t>g</w:t>
      </w:r>
      <w:r w:rsidR="009E0B43">
        <w:rPr>
          <w:lang w:val="es-ES_tradnl"/>
        </w:rPr>
        <w:t>ö</w:t>
      </w:r>
      <w:r w:rsidR="00B11A19" w:rsidRPr="00B62C8C">
        <w:rPr>
          <w:lang w:val="es-ES_tradnl"/>
        </w:rPr>
        <w:t>be-</w:t>
      </w:r>
      <w:r w:rsidR="00983AF2">
        <w:rPr>
          <w:lang w:val="es-ES_tradnl"/>
        </w:rPr>
        <w:t>b</w:t>
      </w:r>
      <w:r w:rsidR="00B11A19" w:rsidRPr="00B62C8C">
        <w:rPr>
          <w:lang w:val="es-ES_tradnl"/>
        </w:rPr>
        <w:t>u</w:t>
      </w:r>
      <w:r w:rsidR="00B946F3">
        <w:rPr>
          <w:lang w:val="es-ES_tradnl"/>
        </w:rPr>
        <w:t>g</w:t>
      </w:r>
      <w:r w:rsidR="00B11A19" w:rsidRPr="00B62C8C">
        <w:rPr>
          <w:lang w:val="es-ES_tradnl"/>
        </w:rPr>
        <w:t>l</w:t>
      </w:r>
      <w:r w:rsidR="00983AF2">
        <w:rPr>
          <w:lang w:val="es-ES_tradnl"/>
        </w:rPr>
        <w:t>é</w:t>
      </w:r>
      <w:proofErr w:type="spellEnd"/>
      <w:r w:rsidR="00B11A19" w:rsidRPr="00B62C8C">
        <w:rPr>
          <w:lang w:val="es-ES_tradnl"/>
        </w:rPr>
        <w:t xml:space="preserve"> aún no cuente con certificados de nacimiento y </w:t>
      </w:r>
      <w:r w:rsidR="00B11A19">
        <w:rPr>
          <w:lang w:val="es-ES_tradnl"/>
        </w:rPr>
        <w:t>las</w:t>
      </w:r>
      <w:r w:rsidR="00B11A19" w:rsidRPr="00B62C8C">
        <w:rPr>
          <w:lang w:val="es-ES_tradnl"/>
        </w:rPr>
        <w:t xml:space="preserve"> dificultades </w:t>
      </w:r>
      <w:r w:rsidR="00B11A19">
        <w:rPr>
          <w:lang w:val="es-ES_tradnl"/>
        </w:rPr>
        <w:t xml:space="preserve">que enfrentan </w:t>
      </w:r>
      <w:r w:rsidR="00B11A19" w:rsidRPr="00B62C8C">
        <w:rPr>
          <w:lang w:val="es-ES_tradnl"/>
        </w:rPr>
        <w:t>para obtenerlo (arts.</w:t>
      </w:r>
      <w:r w:rsidR="00AF76FD">
        <w:rPr>
          <w:lang w:val="es-ES_tradnl"/>
        </w:rPr>
        <w:t xml:space="preserve"> </w:t>
      </w:r>
      <w:r w:rsidR="00B11A19" w:rsidRPr="00B62C8C">
        <w:rPr>
          <w:lang w:val="es-ES_tradnl"/>
        </w:rPr>
        <w:t xml:space="preserve">24 y 27) </w:t>
      </w:r>
    </w:p>
    <w:p w:rsidR="00B11A19" w:rsidRPr="005A5EB7" w:rsidRDefault="00723695" w:rsidP="00723695">
      <w:pPr>
        <w:pStyle w:val="SingleTxtG"/>
        <w:rPr>
          <w:lang w:val="es-ES_tradnl"/>
        </w:rPr>
      </w:pPr>
      <w:r w:rsidRPr="005A5EB7">
        <w:rPr>
          <w:lang w:val="es-ES_tradnl"/>
        </w:rPr>
        <w:t>38.</w:t>
      </w:r>
      <w:r w:rsidRPr="005A5EB7">
        <w:rPr>
          <w:lang w:val="es-ES_tradnl"/>
        </w:rPr>
        <w:tab/>
      </w:r>
      <w:r w:rsidR="00B11A19" w:rsidRPr="00B62C8C">
        <w:rPr>
          <w:b/>
          <w:bCs/>
        </w:rPr>
        <w:t>El Estado parte debe seguir sus esfuerzos para garantizar que todos los niños y niñas nacidos en su territorio estén registrados y reciban un certificado de nacimiento oficial</w:t>
      </w:r>
      <w:r w:rsidR="009E0B43">
        <w:rPr>
          <w:b/>
          <w:bCs/>
        </w:rPr>
        <w:t>,</w:t>
      </w:r>
      <w:r w:rsidR="00B11A19" w:rsidRPr="00B62C8C">
        <w:rPr>
          <w:b/>
          <w:bCs/>
        </w:rPr>
        <w:t xml:space="preserve"> y llevar a cabo campañas para el registro de las personas adultas que todavía no han sido registradas.</w:t>
      </w:r>
    </w:p>
    <w:p w:rsidR="00B11A19" w:rsidRDefault="00B11A19" w:rsidP="00B11A19">
      <w:pPr>
        <w:pStyle w:val="H23G"/>
      </w:pPr>
      <w:r w:rsidRPr="00161868">
        <w:tab/>
      </w:r>
      <w:r w:rsidRPr="00161868">
        <w:tab/>
      </w:r>
      <w:r>
        <w:t>Sistema de justicia juvenil</w:t>
      </w:r>
    </w:p>
    <w:p w:rsidR="00B11A19" w:rsidRDefault="00723695" w:rsidP="00723695">
      <w:pPr>
        <w:pStyle w:val="SingleTxtG"/>
      </w:pPr>
      <w:r>
        <w:t>39.</w:t>
      </w:r>
      <w:r>
        <w:tab/>
      </w:r>
      <w:r w:rsidR="00B11A19">
        <w:t xml:space="preserve">Si bien toma nota de los esfuerzos realizados para mejorar el sistema de justicia </w:t>
      </w:r>
      <w:r w:rsidR="00B11A19" w:rsidRPr="000D1727">
        <w:rPr>
          <w:lang w:val="es-ES_tradnl"/>
        </w:rPr>
        <w:t>penal</w:t>
      </w:r>
      <w:r w:rsidR="00B11A19">
        <w:t xml:space="preserve"> juvenil, el Comité está preocupado por la ausencia de medidas efectivas que permitan la reinserción social de los niños en conflicto con la ley (art. 24). </w:t>
      </w:r>
    </w:p>
    <w:p w:rsidR="00B11A19" w:rsidRPr="005A5EB7" w:rsidRDefault="00723695" w:rsidP="00723695">
      <w:pPr>
        <w:pStyle w:val="SingleTxtG"/>
        <w:rPr>
          <w:lang w:val="es-ES_tradnl"/>
        </w:rPr>
      </w:pPr>
      <w:r w:rsidRPr="005A5EB7">
        <w:rPr>
          <w:lang w:val="es-ES_tradnl"/>
        </w:rPr>
        <w:t>40.</w:t>
      </w:r>
      <w:r w:rsidRPr="005A5EB7">
        <w:rPr>
          <w:lang w:val="es-ES_tradnl"/>
        </w:rPr>
        <w:tab/>
      </w:r>
      <w:r w:rsidR="00B11A19">
        <w:rPr>
          <w:b/>
        </w:rPr>
        <w:t xml:space="preserve">El Estado parte debe adoptar medidas con miras a garantizar la efectiva implementación de </w:t>
      </w:r>
      <w:r w:rsidR="00B11A19">
        <w:rPr>
          <w:b/>
          <w:bCs/>
        </w:rPr>
        <w:t>programas de rehabilitación a fin de facilitar la reintegración en la sociedad de los niños en conflicto con la ley.</w:t>
      </w:r>
    </w:p>
    <w:p w:rsidR="00B11A19" w:rsidRPr="00161868" w:rsidRDefault="00B11A19" w:rsidP="00B11A19">
      <w:pPr>
        <w:pStyle w:val="H23G"/>
      </w:pPr>
      <w:r>
        <w:tab/>
      </w:r>
      <w:r>
        <w:tab/>
      </w:r>
      <w:r w:rsidRPr="00161868">
        <w:t>Derechos de</w:t>
      </w:r>
      <w:r>
        <w:t xml:space="preserve"> las personas pertenecientes a</w:t>
      </w:r>
      <w:r w:rsidRPr="00161868">
        <w:t xml:space="preserve"> los pueblos indígenas</w:t>
      </w:r>
    </w:p>
    <w:p w:rsidR="00B11A19" w:rsidRPr="005A5EB7" w:rsidRDefault="00723695" w:rsidP="00723695">
      <w:pPr>
        <w:pStyle w:val="SingleTxtG"/>
        <w:rPr>
          <w:lang w:val="es-ES_tradnl"/>
        </w:rPr>
      </w:pPr>
      <w:r w:rsidRPr="005A5EB7">
        <w:rPr>
          <w:lang w:val="es-ES_tradnl"/>
        </w:rPr>
        <w:t>41.</w:t>
      </w:r>
      <w:r w:rsidRPr="005A5EB7">
        <w:rPr>
          <w:lang w:val="es-ES_tradnl"/>
        </w:rPr>
        <w:tab/>
      </w:r>
      <w:r w:rsidR="00B11A19">
        <w:t xml:space="preserve">Preocupa al Comité que </w:t>
      </w:r>
      <w:r w:rsidR="00B11A19" w:rsidRPr="00161868">
        <w:t xml:space="preserve">el </w:t>
      </w:r>
      <w:r w:rsidR="00B11A19">
        <w:t>p</w:t>
      </w:r>
      <w:r w:rsidR="00B11A19" w:rsidRPr="00161868">
        <w:t xml:space="preserve">royecto de </w:t>
      </w:r>
      <w:r w:rsidR="00B11A19">
        <w:t>l</w:t>
      </w:r>
      <w:r w:rsidR="00B11A19" w:rsidRPr="00161868">
        <w:t xml:space="preserve">ey </w:t>
      </w:r>
      <w:r w:rsidR="00B11A19">
        <w:t>de d</w:t>
      </w:r>
      <w:r w:rsidR="00B11A19" w:rsidRPr="00161868">
        <w:t xml:space="preserve">esarrollo </w:t>
      </w:r>
      <w:r w:rsidR="00B11A19">
        <w:t>a</w:t>
      </w:r>
      <w:r w:rsidR="00B11A19" w:rsidRPr="00161868">
        <w:t xml:space="preserve">utónomo de los </w:t>
      </w:r>
      <w:r w:rsidR="00B11A19">
        <w:t>pueblos i</w:t>
      </w:r>
      <w:r w:rsidR="00B11A19" w:rsidRPr="00161868">
        <w:t>ndígenas aún no ha</w:t>
      </w:r>
      <w:r w:rsidR="004421A3">
        <w:t>ya</w:t>
      </w:r>
      <w:r w:rsidR="00B11A19" w:rsidRPr="00161868">
        <w:t xml:space="preserve"> sido aprobado </w:t>
      </w:r>
      <w:r w:rsidR="00B11A19">
        <w:t xml:space="preserve">y que aún no se haya adoptado </w:t>
      </w:r>
      <w:r w:rsidR="00B11A19" w:rsidRPr="00161868">
        <w:t xml:space="preserve">un mecanismo legal que garantice </w:t>
      </w:r>
      <w:r w:rsidR="00B11A19">
        <w:t>la consulta previa</w:t>
      </w:r>
      <w:r w:rsidR="00B11A19" w:rsidRPr="00161868">
        <w:t xml:space="preserve"> de los pueblos indígenas en relación a la toma de decisiones que pudieran afectar al ejercicio de sus derechos. </w:t>
      </w:r>
      <w:r w:rsidR="00B11A19">
        <w:t xml:space="preserve">A pesar del reconocimiento legal del </w:t>
      </w:r>
      <w:r w:rsidR="00B11A19" w:rsidRPr="00161868">
        <w:t xml:space="preserve">derecho que tienen los pueblos indígenas </w:t>
      </w:r>
      <w:r w:rsidR="00B11A19">
        <w:t>a</w:t>
      </w:r>
      <w:r w:rsidR="00B11A19" w:rsidRPr="00161868">
        <w:t xml:space="preserve"> </w:t>
      </w:r>
      <w:r w:rsidR="00B11A19">
        <w:t>las t</w:t>
      </w:r>
      <w:r w:rsidR="00B11A19" w:rsidRPr="00161868">
        <w:t xml:space="preserve">ierras y territorios </w:t>
      </w:r>
      <w:r w:rsidR="00B11A19">
        <w:t>que tradicionalmente han poseído u ocupado, preocupa al Comité</w:t>
      </w:r>
      <w:r w:rsidR="00AF76FD">
        <w:t xml:space="preserve"> </w:t>
      </w:r>
      <w:r w:rsidR="00B11A19" w:rsidRPr="00161868">
        <w:t>la limitada protección</w:t>
      </w:r>
      <w:r w:rsidR="00B11A19">
        <w:t xml:space="preserve"> </w:t>
      </w:r>
      <w:r w:rsidR="00B11A19" w:rsidRPr="00161868">
        <w:t>al</w:t>
      </w:r>
      <w:r w:rsidR="00B11A19">
        <w:t xml:space="preserve"> ejercicio de estos derechos en la práctica y que algunos pueblos indígenas hayan sido víctimas de ataques por conflictos de tierra </w:t>
      </w:r>
      <w:r w:rsidR="00B11A19" w:rsidRPr="00161868">
        <w:t>(art. 27).</w:t>
      </w:r>
    </w:p>
    <w:p w:rsidR="00B11A19" w:rsidRPr="005A5EB7" w:rsidRDefault="00723695" w:rsidP="00723695">
      <w:pPr>
        <w:pStyle w:val="SingleTxtG"/>
        <w:rPr>
          <w:lang w:val="es-ES_tradnl"/>
        </w:rPr>
      </w:pPr>
      <w:r w:rsidRPr="005A5EB7">
        <w:rPr>
          <w:lang w:val="es-ES_tradnl"/>
        </w:rPr>
        <w:t>42.</w:t>
      </w:r>
      <w:r w:rsidRPr="005A5EB7">
        <w:rPr>
          <w:lang w:val="es-ES_tradnl"/>
        </w:rPr>
        <w:tab/>
      </w:r>
      <w:r w:rsidR="00B11A19" w:rsidRPr="00DE339A">
        <w:rPr>
          <w:b/>
        </w:rPr>
        <w:t xml:space="preserve">El </w:t>
      </w:r>
      <w:r w:rsidR="00B11A19" w:rsidRPr="000D1727">
        <w:rPr>
          <w:b/>
          <w:bCs/>
        </w:rPr>
        <w:t>Estado</w:t>
      </w:r>
      <w:r w:rsidR="00B11A19" w:rsidRPr="00DE339A">
        <w:rPr>
          <w:b/>
        </w:rPr>
        <w:t xml:space="preserve"> parte debe: </w:t>
      </w:r>
    </w:p>
    <w:p w:rsidR="00B11A19" w:rsidRPr="00D856B9" w:rsidRDefault="00D856B9" w:rsidP="002E6DB9">
      <w:pPr>
        <w:pStyle w:val="SingleTxtG"/>
        <w:rPr>
          <w:b/>
        </w:rPr>
      </w:pPr>
      <w:r>
        <w:rPr>
          <w:b/>
        </w:rPr>
        <w:tab/>
      </w:r>
      <w:r w:rsidRPr="005A5EB7">
        <w:rPr>
          <w:bCs/>
        </w:rPr>
        <w:t>a)</w:t>
      </w:r>
      <w:r w:rsidRPr="00D856B9">
        <w:rPr>
          <w:b/>
        </w:rPr>
        <w:tab/>
      </w:r>
      <w:r w:rsidR="00B11A19" w:rsidRPr="00D856B9">
        <w:rPr>
          <w:b/>
        </w:rPr>
        <w:t xml:space="preserve">Agilizar la aprobación del proyecto de ley de desarrollo autónomo de los pueblos indígenas; </w:t>
      </w:r>
    </w:p>
    <w:p w:rsidR="00B11A19" w:rsidRPr="00D856B9" w:rsidRDefault="00D856B9" w:rsidP="00D856B9">
      <w:pPr>
        <w:pStyle w:val="SingleTxtG"/>
        <w:rPr>
          <w:b/>
        </w:rPr>
      </w:pPr>
      <w:r>
        <w:rPr>
          <w:b/>
        </w:rPr>
        <w:tab/>
      </w:r>
      <w:r w:rsidRPr="005A5EB7">
        <w:rPr>
          <w:bCs/>
        </w:rPr>
        <w:t>b)</w:t>
      </w:r>
      <w:r w:rsidRPr="00D856B9">
        <w:rPr>
          <w:b/>
        </w:rPr>
        <w:tab/>
      </w:r>
      <w:r w:rsidR="00B11A19" w:rsidRPr="00D856B9">
        <w:rPr>
          <w:b/>
        </w:rPr>
        <w:t xml:space="preserve">Garantizar la celebración efectiva de consultas previas con los pueblos indígenas con miras a obtener su consentimiento libre, previo e informado antes de adoptar y aplicar cualquier medida que pueda incidir sustancialmente en su modo de vida y su cultura, en particular en relación con proyectos que puedan tener un impacto sobre sus tierras o territorios y otros recursos, tales como proyectos de explotación y/o exploración de recursos naturales; </w:t>
      </w:r>
    </w:p>
    <w:p w:rsidR="00B11A19" w:rsidRPr="00D856B9" w:rsidRDefault="00D856B9" w:rsidP="00D856B9">
      <w:pPr>
        <w:pStyle w:val="SingleTxtG"/>
        <w:rPr>
          <w:b/>
        </w:rPr>
      </w:pPr>
      <w:r>
        <w:rPr>
          <w:b/>
        </w:rPr>
        <w:tab/>
      </w:r>
      <w:r w:rsidRPr="005A5EB7">
        <w:rPr>
          <w:bCs/>
        </w:rPr>
        <w:t>c)</w:t>
      </w:r>
      <w:r w:rsidRPr="00D856B9">
        <w:rPr>
          <w:b/>
        </w:rPr>
        <w:tab/>
      </w:r>
      <w:r w:rsidR="00B11A19" w:rsidRPr="00D856B9">
        <w:rPr>
          <w:b/>
        </w:rPr>
        <w:t>Garantizar en la práctica el derecho que tienen los pueblos indígenas a las tierras y territorios que tradicionalmente han poseído u ocupado, incluso mediante el reconocimiento legal y protección jurídica necesaria;</w:t>
      </w:r>
    </w:p>
    <w:p w:rsidR="00B11A19" w:rsidRPr="00D856B9" w:rsidRDefault="00D856B9" w:rsidP="00D856B9">
      <w:pPr>
        <w:pStyle w:val="SingleTxtG"/>
        <w:rPr>
          <w:b/>
        </w:rPr>
      </w:pPr>
      <w:r>
        <w:rPr>
          <w:b/>
        </w:rPr>
        <w:tab/>
      </w:r>
      <w:r w:rsidRPr="005A5EB7">
        <w:rPr>
          <w:bCs/>
        </w:rPr>
        <w:t>d)</w:t>
      </w:r>
      <w:r w:rsidRPr="00D856B9">
        <w:rPr>
          <w:b/>
        </w:rPr>
        <w:tab/>
      </w:r>
      <w:r w:rsidR="00B11A19" w:rsidRPr="00D856B9">
        <w:rPr>
          <w:b/>
        </w:rPr>
        <w:t>Proporcion</w:t>
      </w:r>
      <w:r w:rsidR="004421A3">
        <w:rPr>
          <w:b/>
        </w:rPr>
        <w:t>ar</w:t>
      </w:r>
      <w:r w:rsidR="00B11A19" w:rsidRPr="00D856B9">
        <w:rPr>
          <w:b/>
        </w:rPr>
        <w:t xml:space="preserve"> los medios legales necesarios para asegurar la recuperación de tierras inalienables que ya han sido otorgadas a pueblos indígenas mediante la legislación nacional y brinde la protección adecuada, incluso mediante recursos efectivos, a los pueblos indígenas que han sido víctimas de ataques. </w:t>
      </w:r>
    </w:p>
    <w:p w:rsidR="00B11A19" w:rsidRPr="003409F5" w:rsidRDefault="00AF76FD" w:rsidP="005A5EB7">
      <w:pPr>
        <w:pStyle w:val="H1G"/>
        <w:rPr>
          <w:lang w:val="es-ES_tradnl"/>
        </w:rPr>
      </w:pPr>
      <w:r>
        <w:rPr>
          <w:lang w:val="es-ES_tradnl"/>
        </w:rPr>
        <w:lastRenderedPageBreak/>
        <w:tab/>
      </w:r>
      <w:r w:rsidR="001B30F5">
        <w:rPr>
          <w:lang w:val="es-ES_tradnl"/>
        </w:rPr>
        <w:t>D.</w:t>
      </w:r>
      <w:r>
        <w:rPr>
          <w:lang w:val="es-ES_tradnl"/>
        </w:rPr>
        <w:tab/>
      </w:r>
      <w:r w:rsidR="00B11A19" w:rsidRPr="003409F5">
        <w:rPr>
          <w:lang w:val="es-ES_tradnl"/>
        </w:rPr>
        <w:t>Difusión de información relativa al Pacto</w:t>
      </w:r>
    </w:p>
    <w:p w:rsidR="00B11A19" w:rsidRDefault="00723695" w:rsidP="00723695">
      <w:pPr>
        <w:pStyle w:val="SingleTxtG"/>
        <w:rPr>
          <w:lang w:val="es-ES_tradnl"/>
        </w:rPr>
      </w:pPr>
      <w:r>
        <w:rPr>
          <w:lang w:val="es-ES_tradnl"/>
        </w:rPr>
        <w:t>43.</w:t>
      </w:r>
      <w:r>
        <w:rPr>
          <w:lang w:val="es-ES_tradnl"/>
        </w:rPr>
        <w:tab/>
      </w:r>
      <w:r w:rsidR="00B11A19">
        <w:rPr>
          <w:lang w:val="es-ES_tradnl"/>
        </w:rPr>
        <w:t xml:space="preserve">El Estado parte debe difundir ampliamente el Pacto y sus dos </w:t>
      </w:r>
      <w:r w:rsidR="004421A3">
        <w:rPr>
          <w:lang w:val="es-ES_tradnl"/>
        </w:rPr>
        <w:t>P</w:t>
      </w:r>
      <w:r w:rsidR="00B11A19">
        <w:rPr>
          <w:lang w:val="es-ES_tradnl"/>
        </w:rPr>
        <w:t xml:space="preserve">rotocolos </w:t>
      </w:r>
      <w:r w:rsidR="004421A3">
        <w:rPr>
          <w:lang w:val="es-ES_tradnl"/>
        </w:rPr>
        <w:t>F</w:t>
      </w:r>
      <w:r w:rsidR="00B11A19">
        <w:rPr>
          <w:lang w:val="es-ES_tradnl"/>
        </w:rPr>
        <w:t xml:space="preserve">acultativos, el texto de su </w:t>
      </w:r>
      <w:r w:rsidR="00B11A19" w:rsidRPr="000D1727">
        <w:t>sexto</w:t>
      </w:r>
      <w:r w:rsidR="00B11A19">
        <w:rPr>
          <w:lang w:val="es-ES_tradnl"/>
        </w:rPr>
        <w:t xml:space="preserve"> informe periódico, las respuestas escritas a la lista de cuestiones preparada por el Comité y las presentes observaciones finales</w:t>
      </w:r>
      <w:r w:rsidR="001B30F5">
        <w:rPr>
          <w:lang w:val="es-ES_tradnl"/>
        </w:rPr>
        <w:t>, para concienciar en mayor medida respecto de los derechos consagrados en el Pacto</w:t>
      </w:r>
      <w:r w:rsidR="00C928DF">
        <w:rPr>
          <w:lang w:val="es-ES_tradnl"/>
        </w:rPr>
        <w:t xml:space="preserve"> a </w:t>
      </w:r>
      <w:r w:rsidR="00B11A19">
        <w:rPr>
          <w:lang w:val="es-ES_tradnl"/>
        </w:rPr>
        <w:t xml:space="preserve"> las autoridades judiciales, legislativas y administrativas, la sociedad civil y las organizaciones no gubernamentales que actúan en el país, así como la opinión pública en general. </w:t>
      </w:r>
    </w:p>
    <w:p w:rsidR="00B11A19" w:rsidRPr="0017080A" w:rsidRDefault="00723695" w:rsidP="00723695">
      <w:pPr>
        <w:pStyle w:val="SingleTxtG"/>
        <w:rPr>
          <w:lang w:val="es-ES_tradnl"/>
        </w:rPr>
      </w:pPr>
      <w:r w:rsidRPr="0017080A">
        <w:rPr>
          <w:lang w:val="es-ES_tradnl"/>
        </w:rPr>
        <w:t>44.</w:t>
      </w:r>
      <w:r w:rsidRPr="0017080A">
        <w:rPr>
          <w:lang w:val="es-ES_tradnl"/>
        </w:rPr>
        <w:tab/>
      </w:r>
      <w:r w:rsidR="00B11A19">
        <w:rPr>
          <w:lang w:val="es-ES_tradnl"/>
        </w:rPr>
        <w:t xml:space="preserve">De conformidad con el artículo </w:t>
      </w:r>
      <w:r w:rsidR="00B11A19" w:rsidRPr="000D1727">
        <w:t>71</w:t>
      </w:r>
      <w:r w:rsidR="00B11A19">
        <w:rPr>
          <w:lang w:val="es-ES_tradnl"/>
        </w:rPr>
        <w:t>, párrafo 5, del reglamento del Comité, se solicita al Estado parte que facilite, dentro del plazo de un año a partir de la aprobación de las presentes observaciones finales, información pertinente sobre la aplicación de las recomendaciones formuladas po</w:t>
      </w:r>
      <w:r w:rsidR="00B11A19" w:rsidRPr="0017080A">
        <w:rPr>
          <w:lang w:val="es-ES_tradnl"/>
        </w:rPr>
        <w:t xml:space="preserve">r el Comité que figuran en los párrafos </w:t>
      </w:r>
      <w:r w:rsidR="003673B8">
        <w:rPr>
          <w:lang w:val="es-ES_tradnl"/>
        </w:rPr>
        <w:t>10</w:t>
      </w:r>
      <w:r w:rsidR="00A03CCD">
        <w:rPr>
          <w:lang w:val="es-ES_tradnl"/>
        </w:rPr>
        <w:t xml:space="preserve"> (</w:t>
      </w:r>
      <w:r w:rsidR="00A03CCD" w:rsidRPr="00A03CCD">
        <w:rPr>
          <w:lang w:val="es-ES_tradnl"/>
        </w:rPr>
        <w:t>no discriminación</w:t>
      </w:r>
      <w:r w:rsidR="00A03CCD">
        <w:rPr>
          <w:lang w:val="es-ES_tradnl"/>
        </w:rPr>
        <w:t>)</w:t>
      </w:r>
      <w:r w:rsidR="003673B8" w:rsidRPr="0017080A">
        <w:rPr>
          <w:lang w:val="es-ES_tradnl"/>
        </w:rPr>
        <w:t xml:space="preserve">, </w:t>
      </w:r>
      <w:r w:rsidR="003673B8">
        <w:rPr>
          <w:lang w:val="es-ES_tradnl"/>
        </w:rPr>
        <w:t>18</w:t>
      </w:r>
      <w:r w:rsidR="00A03CCD">
        <w:rPr>
          <w:lang w:val="es-ES_tradnl"/>
        </w:rPr>
        <w:t xml:space="preserve"> (</w:t>
      </w:r>
      <w:r w:rsidR="00A03CCD" w:rsidRPr="00A03CCD">
        <w:rPr>
          <w:lang w:val="es-ES_tradnl"/>
        </w:rPr>
        <w:t>aborto</w:t>
      </w:r>
      <w:r w:rsidR="00A03CCD">
        <w:rPr>
          <w:lang w:val="es-ES_tradnl"/>
        </w:rPr>
        <w:t>)</w:t>
      </w:r>
      <w:r w:rsidR="003673B8" w:rsidRPr="0017080A">
        <w:rPr>
          <w:lang w:val="es-ES_tradnl"/>
        </w:rPr>
        <w:t xml:space="preserve"> </w:t>
      </w:r>
      <w:r w:rsidR="00B11A19" w:rsidRPr="0017080A">
        <w:rPr>
          <w:lang w:val="es-ES_tradnl"/>
        </w:rPr>
        <w:t xml:space="preserve">y </w:t>
      </w:r>
      <w:r w:rsidR="003673B8">
        <w:rPr>
          <w:lang w:val="es-ES_tradnl"/>
        </w:rPr>
        <w:t>42</w:t>
      </w:r>
      <w:r w:rsidR="00A03CCD">
        <w:rPr>
          <w:lang w:val="es-ES_tradnl"/>
        </w:rPr>
        <w:t xml:space="preserve"> (</w:t>
      </w:r>
      <w:r w:rsidR="00A03CCD" w:rsidRPr="00A03CCD">
        <w:rPr>
          <w:lang w:val="es-ES_tradnl"/>
        </w:rPr>
        <w:t>derechos de las personas pertenecientes a los pueblos indígenas</w:t>
      </w:r>
      <w:r w:rsidR="00A03CCD">
        <w:rPr>
          <w:lang w:val="es-ES_tradnl"/>
        </w:rPr>
        <w:t>)</w:t>
      </w:r>
      <w:r w:rsidR="003673B8" w:rsidRPr="0017080A">
        <w:rPr>
          <w:lang w:val="es-ES_tradnl"/>
        </w:rPr>
        <w:t xml:space="preserve"> </w:t>
      </w:r>
      <w:r w:rsidR="00B11A19" w:rsidRPr="0017080A">
        <w:rPr>
          <w:lang w:val="es-ES_tradnl"/>
        </w:rPr>
        <w:t>de este documento.</w:t>
      </w:r>
    </w:p>
    <w:p w:rsidR="00B11A19" w:rsidRPr="00705CAE" w:rsidRDefault="00723695" w:rsidP="00723695">
      <w:pPr>
        <w:pStyle w:val="SingleTxtG"/>
        <w:rPr>
          <w:lang w:val="es-ES_tradnl"/>
        </w:rPr>
      </w:pPr>
      <w:r w:rsidRPr="00705CAE">
        <w:rPr>
          <w:lang w:val="es-ES_tradnl"/>
        </w:rPr>
        <w:t>45.</w:t>
      </w:r>
      <w:r w:rsidRPr="00705CAE">
        <w:rPr>
          <w:lang w:val="es-ES_tradnl"/>
        </w:rPr>
        <w:tab/>
      </w:r>
      <w:r w:rsidR="00B11A19" w:rsidRPr="0017080A">
        <w:rPr>
          <w:lang w:val="es-ES_tradnl"/>
        </w:rPr>
        <w:t xml:space="preserve">El Comité pide al Estado parte que presente su próximo informe periódico a más tardar el </w:t>
      </w:r>
      <w:r w:rsidR="003673B8">
        <w:rPr>
          <w:lang w:val="es-ES_tradnl"/>
        </w:rPr>
        <w:t>31</w:t>
      </w:r>
      <w:r w:rsidR="003673B8" w:rsidRPr="0017080A">
        <w:rPr>
          <w:lang w:val="es-ES_tradnl"/>
        </w:rPr>
        <w:t xml:space="preserve"> </w:t>
      </w:r>
      <w:r w:rsidR="00B11A19" w:rsidRPr="0017080A">
        <w:rPr>
          <w:lang w:val="es-ES_tradnl"/>
        </w:rPr>
        <w:t xml:space="preserve">de </w:t>
      </w:r>
      <w:r w:rsidR="003673B8">
        <w:rPr>
          <w:lang w:val="es-ES_tradnl"/>
        </w:rPr>
        <w:t>marzo</w:t>
      </w:r>
      <w:r w:rsidR="003673B8" w:rsidRPr="0017080A">
        <w:rPr>
          <w:lang w:val="es-ES_tradnl"/>
        </w:rPr>
        <w:t xml:space="preserve"> </w:t>
      </w:r>
      <w:r w:rsidR="00B11A19" w:rsidRPr="0017080A">
        <w:rPr>
          <w:lang w:val="es-ES_tradnl"/>
        </w:rPr>
        <w:t xml:space="preserve">de </w:t>
      </w:r>
      <w:r w:rsidR="003673B8">
        <w:rPr>
          <w:lang w:val="es-ES_tradnl"/>
        </w:rPr>
        <w:t>2021</w:t>
      </w:r>
      <w:r w:rsidR="003673B8" w:rsidRPr="0017080A">
        <w:rPr>
          <w:lang w:val="es-ES_tradnl"/>
        </w:rPr>
        <w:t xml:space="preserve"> </w:t>
      </w:r>
      <w:r w:rsidR="00B11A19" w:rsidRPr="0017080A">
        <w:rPr>
          <w:lang w:val="es-ES_tradnl"/>
        </w:rPr>
        <w:t>y que</w:t>
      </w:r>
      <w:r w:rsidR="00B11A19">
        <w:rPr>
          <w:lang w:val="es-ES_tradnl"/>
        </w:rPr>
        <w:t xml:space="preserve"> incluya en dicho informe información concreta y actualizada sobre la aplicación </w:t>
      </w:r>
      <w:r w:rsidR="00B11A19" w:rsidRPr="005A74C7">
        <w:rPr>
          <w:lang w:val="es-ES_tradnl"/>
        </w:rPr>
        <w:t>de las recomendaciones formuladas</w:t>
      </w:r>
      <w:r w:rsidR="00B11A19">
        <w:rPr>
          <w:lang w:val="es-ES_tradnl"/>
        </w:rPr>
        <w:t xml:space="preserve"> en las presentes observaciones finales y del Pacto en su conjunto. Pide también al Estado parte que, al preparar su próximo informe periódico, celebre amplias consultas con la sociedad </w:t>
      </w:r>
      <w:r w:rsidR="00B11A19" w:rsidRPr="000D1727">
        <w:t>civil</w:t>
      </w:r>
      <w:r w:rsidR="00B11A19">
        <w:rPr>
          <w:lang w:val="es-ES_tradnl"/>
        </w:rPr>
        <w:t xml:space="preserve"> y las organizaciones no gubernamentales que actúan en el país. A tenor de la resolución 68/268 de la Asamblea General, el informe ha de tener una extensión máxima de 21.200 palabras.</w:t>
      </w:r>
    </w:p>
    <w:p w:rsidR="00B11A19" w:rsidRPr="00B11A19" w:rsidRDefault="00B11A19" w:rsidP="00B11A19">
      <w:pPr>
        <w:suppressAutoHyphens/>
        <w:spacing w:before="240"/>
        <w:ind w:left="1134" w:right="1134"/>
        <w:jc w:val="center"/>
        <w:rPr>
          <w:u w:val="single"/>
        </w:rPr>
      </w:pPr>
      <w:r>
        <w:rPr>
          <w:u w:val="single"/>
        </w:rPr>
        <w:tab/>
      </w:r>
      <w:r>
        <w:rPr>
          <w:u w:val="single"/>
        </w:rPr>
        <w:tab/>
      </w:r>
      <w:r>
        <w:rPr>
          <w:u w:val="single"/>
        </w:rPr>
        <w:tab/>
      </w:r>
    </w:p>
    <w:sectPr w:rsidR="00B11A19" w:rsidRPr="00B11A19" w:rsidSect="00364357">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585" w:rsidRDefault="00D72585">
      <w:r>
        <w:separator/>
      </w:r>
    </w:p>
  </w:endnote>
  <w:endnote w:type="continuationSeparator" w:id="0">
    <w:p w:rsidR="00D72585" w:rsidRDefault="00D7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19" w:rsidRPr="00B11A19" w:rsidRDefault="00B11A19" w:rsidP="00B11A19">
    <w:pPr>
      <w:pStyle w:val="Piedepgina"/>
      <w:tabs>
        <w:tab w:val="right" w:pos="9638"/>
      </w:tabs>
    </w:pPr>
    <w:r w:rsidRPr="00B11A19">
      <w:rPr>
        <w:b/>
        <w:sz w:val="18"/>
      </w:rPr>
      <w:fldChar w:fldCharType="begin"/>
    </w:r>
    <w:r w:rsidRPr="00B11A19">
      <w:rPr>
        <w:b/>
        <w:sz w:val="18"/>
      </w:rPr>
      <w:instrText xml:space="preserve"> PAGE  \* MERGEFORMAT </w:instrText>
    </w:r>
    <w:r w:rsidRPr="00B11A19">
      <w:rPr>
        <w:b/>
        <w:sz w:val="18"/>
      </w:rPr>
      <w:fldChar w:fldCharType="separate"/>
    </w:r>
    <w:r w:rsidR="00D923D1">
      <w:rPr>
        <w:b/>
        <w:noProof/>
        <w:sz w:val="18"/>
      </w:rPr>
      <w:t>8</w:t>
    </w:r>
    <w:r w:rsidRPr="00B11A1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19" w:rsidRPr="00B11A19" w:rsidRDefault="00B11A19" w:rsidP="00B11A19">
    <w:pPr>
      <w:pStyle w:val="Piedepgina"/>
      <w:tabs>
        <w:tab w:val="right" w:pos="9638"/>
      </w:tabs>
      <w:rPr>
        <w:b/>
        <w:sz w:val="18"/>
      </w:rPr>
    </w:pPr>
    <w:r>
      <w:tab/>
    </w:r>
    <w:r w:rsidRPr="00B11A19">
      <w:rPr>
        <w:b/>
        <w:sz w:val="18"/>
      </w:rPr>
      <w:fldChar w:fldCharType="begin"/>
    </w:r>
    <w:r w:rsidRPr="00B11A19">
      <w:rPr>
        <w:b/>
        <w:sz w:val="18"/>
      </w:rPr>
      <w:instrText xml:space="preserve"> PAGE  \* MERGEFORMAT </w:instrText>
    </w:r>
    <w:r w:rsidRPr="00B11A19">
      <w:rPr>
        <w:b/>
        <w:sz w:val="18"/>
      </w:rPr>
      <w:fldChar w:fldCharType="separate"/>
    </w:r>
    <w:r w:rsidR="00D923D1">
      <w:rPr>
        <w:b/>
        <w:noProof/>
        <w:sz w:val="18"/>
      </w:rPr>
      <w:t>7</w:t>
    </w:r>
    <w:r w:rsidRPr="00B11A1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1E" w:rsidRPr="002F161E" w:rsidRDefault="002F161E" w:rsidP="002F161E">
    <w:pPr>
      <w:pStyle w:val="Piedepgina"/>
      <w:spacing w:before="120" w:line="240" w:lineRule="auto"/>
      <w:rPr>
        <w:sz w:val="20"/>
      </w:rPr>
    </w:pPr>
    <w:proofErr w:type="spellStart"/>
    <w:r>
      <w:rPr>
        <w:sz w:val="20"/>
      </w:rPr>
      <w:t>GE.16</w:t>
    </w:r>
    <w:proofErr w:type="spellEnd"/>
    <w:r>
      <w:rPr>
        <w:sz w:val="20"/>
      </w:rPr>
      <w:t>-</w:t>
    </w:r>
    <w:proofErr w:type="gramStart"/>
    <w:r>
      <w:rPr>
        <w:sz w:val="20"/>
      </w:rPr>
      <w:t>06568  (</w:t>
    </w:r>
    <w:proofErr w:type="gramEnd"/>
    <w:r>
      <w:rPr>
        <w:sz w:val="20"/>
      </w:rPr>
      <w:t>S)</w:t>
    </w:r>
    <w:r>
      <w:rPr>
        <w:sz w:val="20"/>
      </w:rPr>
      <w:br/>
    </w:r>
    <w:r w:rsidRPr="002F161E">
      <w:rPr>
        <w:rFonts w:ascii="C39T30Lfz" w:hAnsi="C39T30Lfz"/>
        <w:sz w:val="56"/>
      </w:rPr>
      <w:t></w:t>
    </w:r>
    <w:r w:rsidRPr="002F161E">
      <w:rPr>
        <w:rFonts w:ascii="C39T30Lfz" w:hAnsi="C39T30Lfz"/>
        <w:sz w:val="56"/>
      </w:rPr>
      <w:t></w:t>
    </w:r>
    <w:r w:rsidRPr="002F161E">
      <w:rPr>
        <w:rFonts w:ascii="C39T30Lfz" w:hAnsi="C39T30Lfz"/>
        <w:sz w:val="56"/>
      </w:rPr>
      <w:t></w:t>
    </w:r>
    <w:r w:rsidRPr="002F161E">
      <w:rPr>
        <w:rFonts w:ascii="C39T30Lfz" w:hAnsi="C39T30Lfz"/>
        <w:sz w:val="56"/>
      </w:rPr>
      <w:t></w:t>
    </w:r>
    <w:r w:rsidRPr="002F161E">
      <w:rPr>
        <w:rFonts w:ascii="C39T30Lfz" w:hAnsi="C39T30Lfz"/>
        <w:sz w:val="56"/>
      </w:rPr>
      <w:t></w:t>
    </w:r>
    <w:r w:rsidRPr="002F161E">
      <w:rPr>
        <w:rFonts w:ascii="C39T30Lfz" w:hAnsi="C39T30Lfz"/>
        <w:sz w:val="56"/>
      </w:rPr>
      <w:t></w:t>
    </w:r>
    <w:r w:rsidRPr="002F161E">
      <w:rPr>
        <w:rFonts w:ascii="C39T30Lfz" w:hAnsi="C39T30Lfz"/>
        <w:sz w:val="56"/>
      </w:rPr>
      <w:t></w:t>
    </w:r>
    <w:r w:rsidRPr="002F161E">
      <w:rPr>
        <w:rFonts w:ascii="C39T30Lfz" w:hAnsi="C39T30Lfz"/>
        <w:sz w:val="56"/>
      </w:rPr>
      <w:t></w:t>
    </w:r>
    <w:r w:rsidRPr="002F161E">
      <w:rPr>
        <w:rFonts w:ascii="C39T30Lfz" w:hAnsi="C39T30Lfz"/>
        <w:sz w:val="56"/>
      </w:rPr>
      <w:t></w:t>
    </w:r>
    <w:r w:rsidRPr="002F161E">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8279765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43944" cy="643943"/>
          <wp:effectExtent l="0" t="0" r="3810" b="3810"/>
          <wp:wrapNone/>
          <wp:docPr id="2" name="Imagen 1" descr="http://undocs.org/m2/QRCode.ashx?DS=CCPR/C/CRI/CO/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CRI/CO/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44" cy="6439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585" w:rsidRPr="001075E9" w:rsidRDefault="00D72585" w:rsidP="001075E9">
      <w:pPr>
        <w:tabs>
          <w:tab w:val="right" w:pos="2155"/>
        </w:tabs>
        <w:spacing w:after="80" w:line="240" w:lineRule="auto"/>
        <w:ind w:left="680"/>
        <w:rPr>
          <w:u w:val="single"/>
        </w:rPr>
      </w:pPr>
      <w:r>
        <w:rPr>
          <w:u w:val="single"/>
        </w:rPr>
        <w:tab/>
      </w:r>
    </w:p>
  </w:footnote>
  <w:footnote w:type="continuationSeparator" w:id="0">
    <w:p w:rsidR="00D72585" w:rsidRDefault="00D72585" w:rsidP="00AE0E02">
      <w:pPr>
        <w:tabs>
          <w:tab w:val="right" w:pos="2155"/>
        </w:tabs>
        <w:spacing w:after="80" w:line="240" w:lineRule="auto"/>
        <w:ind w:left="680"/>
        <w:rPr>
          <w:u w:val="single"/>
        </w:rPr>
      </w:pPr>
      <w:r>
        <w:rPr>
          <w:u w:val="single"/>
        </w:rPr>
        <w:tab/>
      </w:r>
    </w:p>
  </w:footnote>
  <w:footnote w:id="1">
    <w:p w:rsidR="00D80916" w:rsidRPr="00364357" w:rsidRDefault="00D80916" w:rsidP="00A85E86">
      <w:pPr>
        <w:pStyle w:val="Textonotapie"/>
        <w:tabs>
          <w:tab w:val="right" w:pos="1195"/>
          <w:tab w:val="left" w:pos="1267"/>
          <w:tab w:val="left" w:pos="1742"/>
          <w:tab w:val="left" w:pos="2218"/>
          <w:tab w:val="left" w:pos="2693"/>
        </w:tabs>
        <w:ind w:left="1267" w:right="1267" w:hanging="432"/>
      </w:pPr>
      <w:r w:rsidRPr="005A5EB7">
        <w:rPr>
          <w:rStyle w:val="Refdenotaalpie"/>
          <w:sz w:val="20"/>
          <w:vertAlign w:val="baseline"/>
        </w:rPr>
        <w:t>*</w:t>
      </w:r>
      <w:r w:rsidRPr="002A5E7D">
        <w:tab/>
      </w:r>
      <w:r w:rsidR="00364357">
        <w:tab/>
      </w:r>
      <w:r w:rsidR="00C64CC9" w:rsidRPr="005A5EB7">
        <w:t>Aprobadas por el Comité en su 116º período de sesiones (7 a 31 de marzo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19" w:rsidRPr="00B11A19" w:rsidRDefault="00B11A19">
    <w:pPr>
      <w:pStyle w:val="Encabezado"/>
    </w:pPr>
    <w:proofErr w:type="spellStart"/>
    <w:r>
      <w:t>CCPR</w:t>
    </w:r>
    <w:proofErr w:type="spellEnd"/>
    <w:r>
      <w:t>/C/</w:t>
    </w:r>
    <w:proofErr w:type="spellStart"/>
    <w:r>
      <w:t>CRI</w:t>
    </w:r>
    <w:proofErr w:type="spellEnd"/>
    <w:r>
      <w:t>/CO/6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19" w:rsidRPr="00B11A19" w:rsidRDefault="00B11A19" w:rsidP="00B11A19">
    <w:pPr>
      <w:pStyle w:val="Encabezado"/>
      <w:jc w:val="right"/>
    </w:pPr>
    <w:proofErr w:type="spellStart"/>
    <w:r>
      <w:t>CCPR</w:t>
    </w:r>
    <w:proofErr w:type="spellEnd"/>
    <w:r>
      <w:t>/C/</w:t>
    </w:r>
    <w:proofErr w:type="spellStart"/>
    <w:r>
      <w:t>CRI</w:t>
    </w:r>
    <w:proofErr w:type="spellEnd"/>
    <w:r>
      <w:t>/CO/6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1E" w:rsidRDefault="002F16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EEA490E"/>
    <w:multiLevelType w:val="hybridMultilevel"/>
    <w:tmpl w:val="1C16E866"/>
    <w:lvl w:ilvl="0" w:tplc="AC84E49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41C27001"/>
    <w:multiLevelType w:val="hybridMultilevel"/>
    <w:tmpl w:val="F1C4B0A6"/>
    <w:lvl w:ilvl="0" w:tplc="58F63B22">
      <w:start w:val="1"/>
      <w:numFmt w:val="lowerLetter"/>
      <w:lvlText w:val="%1)"/>
      <w:lvlJc w:val="left"/>
      <w:pPr>
        <w:ind w:left="1494" w:hanging="360"/>
      </w:pPr>
      <w:rPr>
        <w:rFonts w:hint="default"/>
        <w:color w:val="00000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4">
    <w:nsid w:val="51A870B0"/>
    <w:multiLevelType w:val="hybridMultilevel"/>
    <w:tmpl w:val="D866414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5BCE3C20"/>
    <w:multiLevelType w:val="hybridMultilevel"/>
    <w:tmpl w:val="B7BE71A0"/>
    <w:lvl w:ilvl="0" w:tplc="6CBE49DA">
      <w:start w:val="1"/>
      <w:numFmt w:val="lowerLetter"/>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5FB2149"/>
    <w:multiLevelType w:val="hybridMultilevel"/>
    <w:tmpl w:val="7B0ACBB4"/>
    <w:lvl w:ilvl="0" w:tplc="A7865D6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D09475F"/>
    <w:multiLevelType w:val="hybridMultilevel"/>
    <w:tmpl w:val="F1E809B2"/>
    <w:lvl w:ilvl="0" w:tplc="7688DE26">
      <w:start w:val="1"/>
      <w:numFmt w:val="decimal"/>
      <w:lvlText w:val="%1."/>
      <w:lvlJc w:val="left"/>
      <w:pPr>
        <w:ind w:left="2413" w:hanging="360"/>
      </w:pPr>
      <w:rPr>
        <w:rFonts w:hint="default"/>
        <w:b w:val="0"/>
        <w:color w:val="auto"/>
        <w:sz w:val="20"/>
        <w:szCs w:val="20"/>
      </w:rPr>
    </w:lvl>
    <w:lvl w:ilvl="1" w:tplc="08090019" w:tentative="1">
      <w:start w:val="1"/>
      <w:numFmt w:val="lowerLetter"/>
      <w:lvlText w:val="%2."/>
      <w:lvlJc w:val="left"/>
      <w:pPr>
        <w:ind w:left="3132" w:hanging="360"/>
      </w:pPr>
    </w:lvl>
    <w:lvl w:ilvl="2" w:tplc="0809001B" w:tentative="1">
      <w:start w:val="1"/>
      <w:numFmt w:val="lowerRoman"/>
      <w:lvlText w:val="%3."/>
      <w:lvlJc w:val="right"/>
      <w:pPr>
        <w:ind w:left="3852" w:hanging="180"/>
      </w:pPr>
    </w:lvl>
    <w:lvl w:ilvl="3" w:tplc="0809000F" w:tentative="1">
      <w:start w:val="1"/>
      <w:numFmt w:val="decimal"/>
      <w:lvlText w:val="%4."/>
      <w:lvlJc w:val="left"/>
      <w:pPr>
        <w:ind w:left="4572" w:hanging="360"/>
      </w:pPr>
    </w:lvl>
    <w:lvl w:ilvl="4" w:tplc="08090019" w:tentative="1">
      <w:start w:val="1"/>
      <w:numFmt w:val="lowerLetter"/>
      <w:lvlText w:val="%5."/>
      <w:lvlJc w:val="left"/>
      <w:pPr>
        <w:ind w:left="5292" w:hanging="360"/>
      </w:pPr>
    </w:lvl>
    <w:lvl w:ilvl="5" w:tplc="0809001B" w:tentative="1">
      <w:start w:val="1"/>
      <w:numFmt w:val="lowerRoman"/>
      <w:lvlText w:val="%6."/>
      <w:lvlJc w:val="right"/>
      <w:pPr>
        <w:ind w:left="6012" w:hanging="180"/>
      </w:pPr>
    </w:lvl>
    <w:lvl w:ilvl="6" w:tplc="0809000F" w:tentative="1">
      <w:start w:val="1"/>
      <w:numFmt w:val="decimal"/>
      <w:lvlText w:val="%7."/>
      <w:lvlJc w:val="left"/>
      <w:pPr>
        <w:ind w:left="6732" w:hanging="360"/>
      </w:pPr>
    </w:lvl>
    <w:lvl w:ilvl="7" w:tplc="08090019" w:tentative="1">
      <w:start w:val="1"/>
      <w:numFmt w:val="lowerLetter"/>
      <w:lvlText w:val="%8."/>
      <w:lvlJc w:val="left"/>
      <w:pPr>
        <w:ind w:left="7452" w:hanging="360"/>
      </w:pPr>
    </w:lvl>
    <w:lvl w:ilvl="8" w:tplc="0809001B" w:tentative="1">
      <w:start w:val="1"/>
      <w:numFmt w:val="lowerRoman"/>
      <w:lvlText w:val="%9."/>
      <w:lvlJc w:val="right"/>
      <w:pPr>
        <w:ind w:left="8172" w:hanging="180"/>
      </w:pPr>
    </w:lvl>
  </w:abstractNum>
  <w:abstractNum w:abstractNumId="2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232323A"/>
    <w:multiLevelType w:val="hybridMultilevel"/>
    <w:tmpl w:val="7DBC06FC"/>
    <w:lvl w:ilvl="0" w:tplc="2BFE39AC">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7C051A63"/>
    <w:multiLevelType w:val="hybridMultilevel"/>
    <w:tmpl w:val="31EE0796"/>
    <w:lvl w:ilvl="0" w:tplc="64C09088">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8"/>
  </w:num>
  <w:num w:numId="2">
    <w:abstractNumId w:val="10"/>
  </w:num>
  <w:num w:numId="3">
    <w:abstractNumId w:val="22"/>
  </w:num>
  <w:num w:numId="4">
    <w:abstractNumId w:val="2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5"/>
  </w:num>
  <w:num w:numId="18">
    <w:abstractNumId w:val="11"/>
  </w:num>
  <w:num w:numId="19">
    <w:abstractNumId w:val="12"/>
  </w:num>
  <w:num w:numId="20">
    <w:abstractNumId w:val="21"/>
  </w:num>
  <w:num w:numId="21">
    <w:abstractNumId w:val="23"/>
  </w:num>
  <w:num w:numId="22">
    <w:abstractNumId w:val="19"/>
  </w:num>
  <w:num w:numId="23">
    <w:abstractNumId w:val="14"/>
  </w:num>
  <w:num w:numId="2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19"/>
    <w:rsid w:val="00006BB9"/>
    <w:rsid w:val="00011CC5"/>
    <w:rsid w:val="000168BB"/>
    <w:rsid w:val="00041EC3"/>
    <w:rsid w:val="0005274F"/>
    <w:rsid w:val="00053355"/>
    <w:rsid w:val="000668BC"/>
    <w:rsid w:val="000A36A2"/>
    <w:rsid w:val="000B57E7"/>
    <w:rsid w:val="000F09DF"/>
    <w:rsid w:val="000F61B2"/>
    <w:rsid w:val="001075E9"/>
    <w:rsid w:val="00120398"/>
    <w:rsid w:val="0015516E"/>
    <w:rsid w:val="00160FF7"/>
    <w:rsid w:val="00166618"/>
    <w:rsid w:val="00167A1B"/>
    <w:rsid w:val="0017080A"/>
    <w:rsid w:val="00180183"/>
    <w:rsid w:val="001900FD"/>
    <w:rsid w:val="0019163E"/>
    <w:rsid w:val="00193357"/>
    <w:rsid w:val="00196389"/>
    <w:rsid w:val="001B30F5"/>
    <w:rsid w:val="001C675B"/>
    <w:rsid w:val="001C7A89"/>
    <w:rsid w:val="001E581B"/>
    <w:rsid w:val="00225B5C"/>
    <w:rsid w:val="0022765D"/>
    <w:rsid w:val="00227796"/>
    <w:rsid w:val="00267072"/>
    <w:rsid w:val="002818FD"/>
    <w:rsid w:val="002A061F"/>
    <w:rsid w:val="002A2EFC"/>
    <w:rsid w:val="002A6477"/>
    <w:rsid w:val="002A6FA7"/>
    <w:rsid w:val="002C0E18"/>
    <w:rsid w:val="002C33BB"/>
    <w:rsid w:val="002D5AAC"/>
    <w:rsid w:val="002D7C8D"/>
    <w:rsid w:val="002E6DB9"/>
    <w:rsid w:val="002F13FE"/>
    <w:rsid w:val="002F161E"/>
    <w:rsid w:val="00301299"/>
    <w:rsid w:val="00322004"/>
    <w:rsid w:val="00326721"/>
    <w:rsid w:val="003402C2"/>
    <w:rsid w:val="00364357"/>
    <w:rsid w:val="003673B8"/>
    <w:rsid w:val="00377EC7"/>
    <w:rsid w:val="00381C24"/>
    <w:rsid w:val="003958D0"/>
    <w:rsid w:val="003E1F6E"/>
    <w:rsid w:val="003F1B13"/>
    <w:rsid w:val="00432CAC"/>
    <w:rsid w:val="00434F05"/>
    <w:rsid w:val="004421A3"/>
    <w:rsid w:val="00454E07"/>
    <w:rsid w:val="004875CF"/>
    <w:rsid w:val="004B156A"/>
    <w:rsid w:val="004C2CA9"/>
    <w:rsid w:val="004E4B46"/>
    <w:rsid w:val="004E6A7C"/>
    <w:rsid w:val="004F603A"/>
    <w:rsid w:val="0050108D"/>
    <w:rsid w:val="00527004"/>
    <w:rsid w:val="00562C02"/>
    <w:rsid w:val="00572E19"/>
    <w:rsid w:val="00594934"/>
    <w:rsid w:val="005A5EB7"/>
    <w:rsid w:val="005A74C7"/>
    <w:rsid w:val="005B583C"/>
    <w:rsid w:val="005C4531"/>
    <w:rsid w:val="005D7A3B"/>
    <w:rsid w:val="005F0B42"/>
    <w:rsid w:val="0060328D"/>
    <w:rsid w:val="00614642"/>
    <w:rsid w:val="00655A21"/>
    <w:rsid w:val="006642AA"/>
    <w:rsid w:val="006808A9"/>
    <w:rsid w:val="006D5661"/>
    <w:rsid w:val="006F35EE"/>
    <w:rsid w:val="007021FF"/>
    <w:rsid w:val="007076CB"/>
    <w:rsid w:val="00721764"/>
    <w:rsid w:val="00723695"/>
    <w:rsid w:val="007274DD"/>
    <w:rsid w:val="007967DF"/>
    <w:rsid w:val="00834B71"/>
    <w:rsid w:val="0086445C"/>
    <w:rsid w:val="008903D0"/>
    <w:rsid w:val="008A08D7"/>
    <w:rsid w:val="008A0A23"/>
    <w:rsid w:val="008A13F9"/>
    <w:rsid w:val="008D5DB6"/>
    <w:rsid w:val="0090564E"/>
    <w:rsid w:val="00906890"/>
    <w:rsid w:val="00916396"/>
    <w:rsid w:val="00942837"/>
    <w:rsid w:val="00951972"/>
    <w:rsid w:val="009556A3"/>
    <w:rsid w:val="00963777"/>
    <w:rsid w:val="00983AF2"/>
    <w:rsid w:val="009B452A"/>
    <w:rsid w:val="009B4E5E"/>
    <w:rsid w:val="009E0B43"/>
    <w:rsid w:val="009E2BCE"/>
    <w:rsid w:val="00A03CCD"/>
    <w:rsid w:val="00A161E1"/>
    <w:rsid w:val="00A17DFD"/>
    <w:rsid w:val="00A4046F"/>
    <w:rsid w:val="00A83C21"/>
    <w:rsid w:val="00A85E86"/>
    <w:rsid w:val="00A917B3"/>
    <w:rsid w:val="00AB4B51"/>
    <w:rsid w:val="00AE0E02"/>
    <w:rsid w:val="00AE4CC4"/>
    <w:rsid w:val="00AF2E18"/>
    <w:rsid w:val="00AF76FD"/>
    <w:rsid w:val="00B10CC7"/>
    <w:rsid w:val="00B11A19"/>
    <w:rsid w:val="00B23E99"/>
    <w:rsid w:val="00B30C35"/>
    <w:rsid w:val="00B62458"/>
    <w:rsid w:val="00B946F3"/>
    <w:rsid w:val="00BB5720"/>
    <w:rsid w:val="00BD33EE"/>
    <w:rsid w:val="00C15971"/>
    <w:rsid w:val="00C177B5"/>
    <w:rsid w:val="00C33381"/>
    <w:rsid w:val="00C478F2"/>
    <w:rsid w:val="00C56FC7"/>
    <w:rsid w:val="00C60F0C"/>
    <w:rsid w:val="00C64CC9"/>
    <w:rsid w:val="00C76505"/>
    <w:rsid w:val="00C805C9"/>
    <w:rsid w:val="00C928DF"/>
    <w:rsid w:val="00CA1679"/>
    <w:rsid w:val="00CB1B6B"/>
    <w:rsid w:val="00D5042C"/>
    <w:rsid w:val="00D71B68"/>
    <w:rsid w:val="00D72585"/>
    <w:rsid w:val="00D80916"/>
    <w:rsid w:val="00D80BBB"/>
    <w:rsid w:val="00D856B9"/>
    <w:rsid w:val="00D90138"/>
    <w:rsid w:val="00D923D1"/>
    <w:rsid w:val="00DB7294"/>
    <w:rsid w:val="00DD59FD"/>
    <w:rsid w:val="00DE44AD"/>
    <w:rsid w:val="00DF7D28"/>
    <w:rsid w:val="00E048FB"/>
    <w:rsid w:val="00E15755"/>
    <w:rsid w:val="00E73F76"/>
    <w:rsid w:val="00EA3CD7"/>
    <w:rsid w:val="00EB46E2"/>
    <w:rsid w:val="00EB4CD0"/>
    <w:rsid w:val="00ED1534"/>
    <w:rsid w:val="00EF1360"/>
    <w:rsid w:val="00EF3220"/>
    <w:rsid w:val="00F44B33"/>
    <w:rsid w:val="00F94155"/>
    <w:rsid w:val="00F944A3"/>
    <w:rsid w:val="00FA3BA0"/>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qFormat/>
    <w:rsid w:val="00C76505"/>
    <w:pPr>
      <w:keepNext/>
      <w:outlineLvl w:val="1"/>
    </w:pPr>
    <w:rPr>
      <w:rFonts w:cs="Arial"/>
      <w:bCs/>
      <w:iCs/>
      <w:szCs w:val="28"/>
    </w:rPr>
  </w:style>
  <w:style w:type="paragraph" w:styleId="Ttulo3">
    <w:name w:val="heading 3"/>
    <w:basedOn w:val="Normal"/>
    <w:next w:val="Normal"/>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qFormat/>
    <w:rsid w:val="00C76505"/>
    <w:pPr>
      <w:keepNext/>
      <w:spacing w:before="240" w:after="60"/>
      <w:outlineLvl w:val="3"/>
    </w:pPr>
    <w:rPr>
      <w:b/>
      <w:bCs/>
      <w:sz w:val="28"/>
      <w:szCs w:val="28"/>
    </w:rPr>
  </w:style>
  <w:style w:type="paragraph" w:styleId="Ttulo5">
    <w:name w:val="heading 5"/>
    <w:basedOn w:val="Normal"/>
    <w:next w:val="Normal"/>
    <w:qFormat/>
    <w:rsid w:val="00C76505"/>
    <w:pPr>
      <w:spacing w:before="240" w:after="60"/>
      <w:outlineLvl w:val="4"/>
    </w:pPr>
    <w:rPr>
      <w:b/>
      <w:bCs/>
      <w:i/>
      <w:iCs/>
      <w:sz w:val="26"/>
      <w:szCs w:val="26"/>
    </w:rPr>
  </w:style>
  <w:style w:type="paragraph" w:styleId="Ttulo6">
    <w:name w:val="heading 6"/>
    <w:basedOn w:val="Normal"/>
    <w:next w:val="Normal"/>
    <w:qFormat/>
    <w:rsid w:val="00C76505"/>
    <w:pPr>
      <w:spacing w:before="240" w:after="60"/>
      <w:outlineLvl w:val="5"/>
    </w:pPr>
    <w:rPr>
      <w:b/>
      <w:bCs/>
      <w:sz w:val="22"/>
      <w:szCs w:val="22"/>
    </w:rPr>
  </w:style>
  <w:style w:type="paragraph" w:styleId="Ttulo7">
    <w:name w:val="heading 7"/>
    <w:basedOn w:val="Normal"/>
    <w:next w:val="Normal"/>
    <w:qFormat/>
    <w:rsid w:val="00C76505"/>
    <w:pPr>
      <w:spacing w:before="240" w:after="60"/>
      <w:outlineLvl w:val="6"/>
    </w:pPr>
    <w:rPr>
      <w:sz w:val="24"/>
      <w:szCs w:val="24"/>
    </w:rPr>
  </w:style>
  <w:style w:type="paragraph" w:styleId="Ttulo8">
    <w:name w:val="heading 8"/>
    <w:basedOn w:val="Normal"/>
    <w:next w:val="Normal"/>
    <w:qFormat/>
    <w:rsid w:val="00C76505"/>
    <w:pPr>
      <w:spacing w:before="240" w:after="60"/>
      <w:outlineLvl w:val="7"/>
    </w:pPr>
    <w:rPr>
      <w:i/>
      <w:iCs/>
      <w:sz w:val="24"/>
      <w:szCs w:val="24"/>
    </w:rPr>
  </w:style>
  <w:style w:type="paragraph" w:styleId="Ttulo9">
    <w:name w:val="heading 9"/>
    <w:basedOn w:val="Normal"/>
    <w:next w:val="Normal"/>
    <w:qFormat/>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364357"/>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5949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semiHidden/>
    <w:rsid w:val="00C76505"/>
    <w:rPr>
      <w:i/>
      <w:iCs/>
    </w:rPr>
  </w:style>
  <w:style w:type="character" w:styleId="CdigoHTML">
    <w:name w:val="HTML Code"/>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semiHidden/>
    <w:rsid w:val="00594934"/>
    <w:rPr>
      <w:color w:val="auto"/>
      <w:u w:val="none"/>
    </w:rPr>
  </w:style>
  <w:style w:type="character" w:styleId="Hipervnculovisitado">
    <w:name w:val="FollowedHyperlink"/>
    <w:semiHidden/>
    <w:rsid w:val="00594934"/>
    <w:rPr>
      <w:color w:val="auto"/>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rsid w:val="00C76505"/>
    <w:rPr>
      <w:b/>
      <w:sz w:val="18"/>
    </w:rPr>
  </w:style>
  <w:style w:type="character" w:styleId="Refdenotaalfinal">
    <w:name w:val="endnote reference"/>
    <w:aliases w:val="1_G"/>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qFormat/>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qFormat/>
    <w:rsid w:val="00C76505"/>
    <w:pPr>
      <w:spacing w:before="240" w:after="60"/>
      <w:jc w:val="center"/>
      <w:outlineLvl w:val="0"/>
    </w:pPr>
    <w:rPr>
      <w:rFonts w:ascii="Arial" w:hAnsi="Arial" w:cs="Arial"/>
      <w:b/>
      <w:bCs/>
      <w:kern w:val="28"/>
      <w:sz w:val="32"/>
      <w:szCs w:val="32"/>
    </w:rPr>
  </w:style>
  <w:style w:type="character" w:styleId="VariableHTML">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customStyle="1" w:styleId="NormalBullet">
    <w:name w:val="Normal Bullet"/>
    <w:basedOn w:val="Normal"/>
    <w:next w:val="Normal"/>
    <w:qFormat/>
    <w:rsid w:val="00B11A19"/>
    <w:pPr>
      <w:keepLines/>
      <w:numPr>
        <w:numId w:val="16"/>
      </w:numPr>
      <w:tabs>
        <w:tab w:val="clear" w:pos="2376"/>
        <w:tab w:val="num" w:pos="360"/>
        <w:tab w:val="left" w:pos="2218"/>
      </w:tabs>
      <w:suppressAutoHyphens/>
      <w:spacing w:before="40" w:after="80" w:line="240" w:lineRule="exact"/>
      <w:ind w:left="360" w:right="302" w:hanging="360"/>
    </w:pPr>
    <w:rPr>
      <w:rFonts w:eastAsia="Calibri"/>
      <w:spacing w:val="4"/>
      <w:w w:val="103"/>
      <w:kern w:val="14"/>
      <w:szCs w:val="22"/>
      <w:lang w:eastAsia="en-US"/>
    </w:rPr>
  </w:style>
  <w:style w:type="character" w:customStyle="1" w:styleId="TextonotapieCar">
    <w:name w:val="Texto nota pie Car"/>
    <w:aliases w:val="5_G Car"/>
    <w:link w:val="Textonotapie"/>
    <w:rsid w:val="00B11A19"/>
    <w:rPr>
      <w:sz w:val="18"/>
      <w:lang w:val="es-ES" w:eastAsia="es-ES"/>
    </w:rPr>
  </w:style>
  <w:style w:type="character" w:customStyle="1" w:styleId="SingleTxtGChar">
    <w:name w:val="_ Single Txt_G Char"/>
    <w:link w:val="SingleTxtG"/>
    <w:locked/>
    <w:rsid w:val="00B11A19"/>
    <w:rPr>
      <w:lang w:val="es-ES" w:eastAsia="es-ES"/>
    </w:rPr>
  </w:style>
  <w:style w:type="character" w:customStyle="1" w:styleId="fsn1">
    <w:name w:val="fsn1"/>
    <w:rsid w:val="00B11A19"/>
    <w:rPr>
      <w:sz w:val="24"/>
      <w:szCs w:val="24"/>
    </w:rPr>
  </w:style>
  <w:style w:type="paragraph" w:styleId="Textodeglobo">
    <w:name w:val="Balloon Text"/>
    <w:basedOn w:val="Normal"/>
    <w:link w:val="TextodegloboCar"/>
    <w:rsid w:val="00D80916"/>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D80916"/>
    <w:rPr>
      <w:rFonts w:ascii="Tahoma" w:hAnsi="Tahoma" w:cs="Tahoma"/>
      <w:sz w:val="16"/>
      <w:szCs w:val="16"/>
      <w:lang w:val="es-ES" w:eastAsia="es-ES"/>
    </w:rPr>
  </w:style>
  <w:style w:type="character" w:styleId="Refdecomentario">
    <w:name w:val="annotation reference"/>
    <w:uiPriority w:val="99"/>
    <w:unhideWhenUsed/>
    <w:rsid w:val="008A0A23"/>
    <w:rPr>
      <w:sz w:val="16"/>
      <w:szCs w:val="16"/>
    </w:rPr>
  </w:style>
  <w:style w:type="paragraph" w:styleId="Textocomentario">
    <w:name w:val="annotation text"/>
    <w:basedOn w:val="Normal"/>
    <w:link w:val="TextocomentarioCar"/>
    <w:uiPriority w:val="99"/>
    <w:unhideWhenUsed/>
    <w:rsid w:val="008A0A23"/>
  </w:style>
  <w:style w:type="character" w:customStyle="1" w:styleId="TextocomentarioCar">
    <w:name w:val="Texto comentario Car"/>
    <w:basedOn w:val="Fuentedeprrafopredeter"/>
    <w:link w:val="Textocomentario"/>
    <w:uiPriority w:val="99"/>
    <w:rsid w:val="008A0A23"/>
    <w:rPr>
      <w:lang w:val="es-ES" w:eastAsia="es-ES"/>
    </w:rPr>
  </w:style>
  <w:style w:type="paragraph" w:styleId="Asuntodelcomentario">
    <w:name w:val="annotation subject"/>
    <w:basedOn w:val="Textocomentario"/>
    <w:next w:val="Textocomentario"/>
    <w:link w:val="AsuntodelcomentarioCar"/>
    <w:rsid w:val="005A74C7"/>
    <w:pPr>
      <w:spacing w:line="240" w:lineRule="auto"/>
    </w:pPr>
    <w:rPr>
      <w:b/>
      <w:bCs/>
    </w:rPr>
  </w:style>
  <w:style w:type="character" w:customStyle="1" w:styleId="AsuntodelcomentarioCar">
    <w:name w:val="Asunto del comentario Car"/>
    <w:basedOn w:val="TextocomentarioCar"/>
    <w:link w:val="Asuntodelcomentario"/>
    <w:rsid w:val="005A74C7"/>
    <w:rPr>
      <w:b/>
      <w:bCs/>
      <w:lang w:val="es-ES" w:eastAsia="es-ES"/>
    </w:rPr>
  </w:style>
  <w:style w:type="paragraph" w:styleId="Revisin">
    <w:name w:val="Revision"/>
    <w:hidden/>
    <w:uiPriority w:val="99"/>
    <w:semiHidden/>
    <w:rsid w:val="005A74C7"/>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qFormat/>
    <w:rsid w:val="00C76505"/>
    <w:pPr>
      <w:keepNext/>
      <w:outlineLvl w:val="1"/>
    </w:pPr>
    <w:rPr>
      <w:rFonts w:cs="Arial"/>
      <w:bCs/>
      <w:iCs/>
      <w:szCs w:val="28"/>
    </w:rPr>
  </w:style>
  <w:style w:type="paragraph" w:styleId="Ttulo3">
    <w:name w:val="heading 3"/>
    <w:basedOn w:val="Normal"/>
    <w:next w:val="Normal"/>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qFormat/>
    <w:rsid w:val="00C76505"/>
    <w:pPr>
      <w:keepNext/>
      <w:spacing w:before="240" w:after="60"/>
      <w:outlineLvl w:val="3"/>
    </w:pPr>
    <w:rPr>
      <w:b/>
      <w:bCs/>
      <w:sz w:val="28"/>
      <w:szCs w:val="28"/>
    </w:rPr>
  </w:style>
  <w:style w:type="paragraph" w:styleId="Ttulo5">
    <w:name w:val="heading 5"/>
    <w:basedOn w:val="Normal"/>
    <w:next w:val="Normal"/>
    <w:qFormat/>
    <w:rsid w:val="00C76505"/>
    <w:pPr>
      <w:spacing w:before="240" w:after="60"/>
      <w:outlineLvl w:val="4"/>
    </w:pPr>
    <w:rPr>
      <w:b/>
      <w:bCs/>
      <w:i/>
      <w:iCs/>
      <w:sz w:val="26"/>
      <w:szCs w:val="26"/>
    </w:rPr>
  </w:style>
  <w:style w:type="paragraph" w:styleId="Ttulo6">
    <w:name w:val="heading 6"/>
    <w:basedOn w:val="Normal"/>
    <w:next w:val="Normal"/>
    <w:qFormat/>
    <w:rsid w:val="00C76505"/>
    <w:pPr>
      <w:spacing w:before="240" w:after="60"/>
      <w:outlineLvl w:val="5"/>
    </w:pPr>
    <w:rPr>
      <w:b/>
      <w:bCs/>
      <w:sz w:val="22"/>
      <w:szCs w:val="22"/>
    </w:rPr>
  </w:style>
  <w:style w:type="paragraph" w:styleId="Ttulo7">
    <w:name w:val="heading 7"/>
    <w:basedOn w:val="Normal"/>
    <w:next w:val="Normal"/>
    <w:qFormat/>
    <w:rsid w:val="00C76505"/>
    <w:pPr>
      <w:spacing w:before="240" w:after="60"/>
      <w:outlineLvl w:val="6"/>
    </w:pPr>
    <w:rPr>
      <w:sz w:val="24"/>
      <w:szCs w:val="24"/>
    </w:rPr>
  </w:style>
  <w:style w:type="paragraph" w:styleId="Ttulo8">
    <w:name w:val="heading 8"/>
    <w:basedOn w:val="Normal"/>
    <w:next w:val="Normal"/>
    <w:qFormat/>
    <w:rsid w:val="00C76505"/>
    <w:pPr>
      <w:spacing w:before="240" w:after="60"/>
      <w:outlineLvl w:val="7"/>
    </w:pPr>
    <w:rPr>
      <w:i/>
      <w:iCs/>
      <w:sz w:val="24"/>
      <w:szCs w:val="24"/>
    </w:rPr>
  </w:style>
  <w:style w:type="paragraph" w:styleId="Ttulo9">
    <w:name w:val="heading 9"/>
    <w:basedOn w:val="Normal"/>
    <w:next w:val="Normal"/>
    <w:qFormat/>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364357"/>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5949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semiHidden/>
    <w:rsid w:val="00C76505"/>
    <w:rPr>
      <w:i/>
      <w:iCs/>
    </w:rPr>
  </w:style>
  <w:style w:type="character" w:styleId="CdigoHTML">
    <w:name w:val="HTML Code"/>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semiHidden/>
    <w:rsid w:val="00594934"/>
    <w:rPr>
      <w:color w:val="auto"/>
      <w:u w:val="none"/>
    </w:rPr>
  </w:style>
  <w:style w:type="character" w:styleId="Hipervnculovisitado">
    <w:name w:val="FollowedHyperlink"/>
    <w:semiHidden/>
    <w:rsid w:val="00594934"/>
    <w:rPr>
      <w:color w:val="auto"/>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rsid w:val="00C76505"/>
    <w:rPr>
      <w:b/>
      <w:sz w:val="18"/>
    </w:rPr>
  </w:style>
  <w:style w:type="character" w:styleId="Refdenotaalfinal">
    <w:name w:val="endnote reference"/>
    <w:aliases w:val="1_G"/>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qFormat/>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qFormat/>
    <w:rsid w:val="00C76505"/>
    <w:pPr>
      <w:spacing w:before="240" w:after="60"/>
      <w:jc w:val="center"/>
      <w:outlineLvl w:val="0"/>
    </w:pPr>
    <w:rPr>
      <w:rFonts w:ascii="Arial" w:hAnsi="Arial" w:cs="Arial"/>
      <w:b/>
      <w:bCs/>
      <w:kern w:val="28"/>
      <w:sz w:val="32"/>
      <w:szCs w:val="32"/>
    </w:rPr>
  </w:style>
  <w:style w:type="character" w:styleId="VariableHTML">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customStyle="1" w:styleId="NormalBullet">
    <w:name w:val="Normal Bullet"/>
    <w:basedOn w:val="Normal"/>
    <w:next w:val="Normal"/>
    <w:qFormat/>
    <w:rsid w:val="00B11A19"/>
    <w:pPr>
      <w:keepLines/>
      <w:numPr>
        <w:numId w:val="16"/>
      </w:numPr>
      <w:tabs>
        <w:tab w:val="clear" w:pos="2376"/>
        <w:tab w:val="num" w:pos="360"/>
        <w:tab w:val="left" w:pos="2218"/>
      </w:tabs>
      <w:suppressAutoHyphens/>
      <w:spacing w:before="40" w:after="80" w:line="240" w:lineRule="exact"/>
      <w:ind w:left="360" w:right="302" w:hanging="360"/>
    </w:pPr>
    <w:rPr>
      <w:rFonts w:eastAsia="Calibri"/>
      <w:spacing w:val="4"/>
      <w:w w:val="103"/>
      <w:kern w:val="14"/>
      <w:szCs w:val="22"/>
      <w:lang w:eastAsia="en-US"/>
    </w:rPr>
  </w:style>
  <w:style w:type="character" w:customStyle="1" w:styleId="TextonotapieCar">
    <w:name w:val="Texto nota pie Car"/>
    <w:aliases w:val="5_G Car"/>
    <w:link w:val="Textonotapie"/>
    <w:rsid w:val="00B11A19"/>
    <w:rPr>
      <w:sz w:val="18"/>
      <w:lang w:val="es-ES" w:eastAsia="es-ES"/>
    </w:rPr>
  </w:style>
  <w:style w:type="character" w:customStyle="1" w:styleId="SingleTxtGChar">
    <w:name w:val="_ Single Txt_G Char"/>
    <w:link w:val="SingleTxtG"/>
    <w:locked/>
    <w:rsid w:val="00B11A19"/>
    <w:rPr>
      <w:lang w:val="es-ES" w:eastAsia="es-ES"/>
    </w:rPr>
  </w:style>
  <w:style w:type="character" w:customStyle="1" w:styleId="fsn1">
    <w:name w:val="fsn1"/>
    <w:rsid w:val="00B11A19"/>
    <w:rPr>
      <w:sz w:val="24"/>
      <w:szCs w:val="24"/>
    </w:rPr>
  </w:style>
  <w:style w:type="paragraph" w:styleId="Textodeglobo">
    <w:name w:val="Balloon Text"/>
    <w:basedOn w:val="Normal"/>
    <w:link w:val="TextodegloboCar"/>
    <w:rsid w:val="00D80916"/>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D80916"/>
    <w:rPr>
      <w:rFonts w:ascii="Tahoma" w:hAnsi="Tahoma" w:cs="Tahoma"/>
      <w:sz w:val="16"/>
      <w:szCs w:val="16"/>
      <w:lang w:val="es-ES" w:eastAsia="es-ES"/>
    </w:rPr>
  </w:style>
  <w:style w:type="character" w:styleId="Refdecomentario">
    <w:name w:val="annotation reference"/>
    <w:uiPriority w:val="99"/>
    <w:unhideWhenUsed/>
    <w:rsid w:val="008A0A23"/>
    <w:rPr>
      <w:sz w:val="16"/>
      <w:szCs w:val="16"/>
    </w:rPr>
  </w:style>
  <w:style w:type="paragraph" w:styleId="Textocomentario">
    <w:name w:val="annotation text"/>
    <w:basedOn w:val="Normal"/>
    <w:link w:val="TextocomentarioCar"/>
    <w:uiPriority w:val="99"/>
    <w:unhideWhenUsed/>
    <w:rsid w:val="008A0A23"/>
  </w:style>
  <w:style w:type="character" w:customStyle="1" w:styleId="TextocomentarioCar">
    <w:name w:val="Texto comentario Car"/>
    <w:basedOn w:val="Fuentedeprrafopredeter"/>
    <w:link w:val="Textocomentario"/>
    <w:uiPriority w:val="99"/>
    <w:rsid w:val="008A0A23"/>
    <w:rPr>
      <w:lang w:val="es-ES" w:eastAsia="es-ES"/>
    </w:rPr>
  </w:style>
  <w:style w:type="paragraph" w:styleId="Asuntodelcomentario">
    <w:name w:val="annotation subject"/>
    <w:basedOn w:val="Textocomentario"/>
    <w:next w:val="Textocomentario"/>
    <w:link w:val="AsuntodelcomentarioCar"/>
    <w:rsid w:val="005A74C7"/>
    <w:pPr>
      <w:spacing w:line="240" w:lineRule="auto"/>
    </w:pPr>
    <w:rPr>
      <w:b/>
      <w:bCs/>
    </w:rPr>
  </w:style>
  <w:style w:type="character" w:customStyle="1" w:styleId="AsuntodelcomentarioCar">
    <w:name w:val="Asunto del comentario Car"/>
    <w:basedOn w:val="TextocomentarioCar"/>
    <w:link w:val="Asuntodelcomentario"/>
    <w:rsid w:val="005A74C7"/>
    <w:rPr>
      <w:b/>
      <w:bCs/>
      <w:lang w:val="es-ES" w:eastAsia="es-ES"/>
    </w:rPr>
  </w:style>
  <w:style w:type="paragraph" w:styleId="Revisin">
    <w:name w:val="Revision"/>
    <w:hidden/>
    <w:uiPriority w:val="99"/>
    <w:semiHidden/>
    <w:rsid w:val="005A74C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0770A-084D-4CF8-ACEA-4390B5FA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CCPR_S.dotm</Template>
  <TotalTime>0</TotalTime>
  <Pages>8</Pages>
  <Words>3541</Words>
  <Characters>19477</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Naciones Unidas</vt:lpstr>
      <vt:lpstr>Naciones Unidas</vt:lpstr>
    </vt:vector>
  </TitlesOfParts>
  <Company>OHCHR</Company>
  <LinksUpToDate>false</LinksUpToDate>
  <CharactersWithSpaces>22973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CCPR/C/CRI/CO/6</dc:title>
  <dc:subject>CCPR/C/CRI/CO/6</dc:subject>
  <dc:creator>Maruchi Zeballos</dc:creator>
  <cp:keywords/>
  <dc:description/>
  <cp:lastModifiedBy>Maruchi Zeballos</cp:lastModifiedBy>
  <cp:revision>3</cp:revision>
  <cp:lastPrinted>2016-04-25T08:12:00Z</cp:lastPrinted>
  <dcterms:created xsi:type="dcterms:W3CDTF">2016-04-25T08:12:00Z</dcterms:created>
  <dcterms:modified xsi:type="dcterms:W3CDTF">2016-04-25T08:12:00Z</dcterms:modified>
</cp:coreProperties>
</file>