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BF13" w14:textId="77777777" w:rsidR="00C40D04" w:rsidRPr="0010308D" w:rsidRDefault="00C40D04" w:rsidP="0010308D">
      <w:pPr>
        <w:pStyle w:val="SingleTxt"/>
        <w:spacing w:after="0" w:line="240" w:lineRule="auto"/>
        <w:rPr>
          <w:sz w:val="2"/>
        </w:rPr>
        <w:sectPr w:rsidR="00C40D04" w:rsidRPr="0010308D" w:rsidSect="00E12BF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728" w:left="1195" w:header="432" w:footer="576" w:gutter="0"/>
          <w:pgNumType w:start="1"/>
          <w:cols w:space="720"/>
          <w:titlePg/>
          <w:docGrid w:linePitch="278"/>
        </w:sectPr>
      </w:pPr>
    </w:p>
    <w:p w14:paraId="1A5100D7" w14:textId="18A13316" w:rsidR="006D6120" w:rsidRPr="0010308D" w:rsidRDefault="00E12BF4" w:rsidP="0010308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
        </w:rPr>
      </w:pPr>
      <w:r>
        <w:rPr>
          <w:rStyle w:val="CommentReference"/>
          <w:b w:val="0"/>
          <w:spacing w:val="4"/>
        </w:rPr>
        <w:commentReference w:id="0"/>
      </w:r>
      <w:r w:rsidR="0010308D" w:rsidRPr="00AF0DC7">
        <w:t>Comité pour l</w:t>
      </w:r>
      <w:r w:rsidR="0010308D">
        <w:t>’</w:t>
      </w:r>
      <w:r w:rsidR="0010308D" w:rsidRPr="00AF0DC7">
        <w:t>élimination de la discrimination</w:t>
      </w:r>
      <w:r w:rsidR="0010308D" w:rsidRPr="00AF0DC7">
        <w:br/>
      </w:r>
      <w:r w:rsidR="006D6120" w:rsidRPr="00AF0DC7">
        <w:t>à l</w:t>
      </w:r>
      <w:r w:rsidR="00000F67">
        <w:t>’</w:t>
      </w:r>
      <w:r w:rsidR="005F6835" w:rsidRPr="00AF0DC7">
        <w:t>égard des femmes</w:t>
      </w:r>
    </w:p>
    <w:p w14:paraId="3099EFC7" w14:textId="77777777" w:rsidR="00AF0DC7" w:rsidRPr="00AF0DC7" w:rsidRDefault="00AF0DC7" w:rsidP="00AF0DC7">
      <w:pPr>
        <w:pStyle w:val="Session"/>
        <w:rPr>
          <w:lang w:val="fr-CA"/>
        </w:rPr>
      </w:pPr>
      <w:r w:rsidRPr="00AF0DC7">
        <w:rPr>
          <w:lang w:val="fr-CA"/>
        </w:rPr>
        <w:t>Soixante et onzième session</w:t>
      </w:r>
    </w:p>
    <w:p w14:paraId="1C907D90" w14:textId="77777777" w:rsidR="00AF0DC7" w:rsidRPr="00AF0DC7" w:rsidRDefault="00AF0DC7" w:rsidP="00AF0DC7">
      <w:pPr>
        <w:suppressAutoHyphens/>
      </w:pPr>
      <w:r w:rsidRPr="00AF0DC7">
        <w:t>22 octobre-9 novembre 2018</w:t>
      </w:r>
    </w:p>
    <w:p w14:paraId="6E2DAFBD" w14:textId="7597756E" w:rsidR="00AF0DC7" w:rsidRPr="00AF0DC7" w:rsidRDefault="00AF0DC7" w:rsidP="00AF0DC7">
      <w:pPr>
        <w:pStyle w:val="AgendaItemNormal"/>
        <w:suppressAutoHyphens/>
        <w:rPr>
          <w:lang w:val="fr-CA"/>
        </w:rPr>
      </w:pPr>
      <w:r w:rsidRPr="00AF0DC7">
        <w:rPr>
          <w:lang w:val="fr-CA"/>
        </w:rPr>
        <w:t>Point 4 de l</w:t>
      </w:r>
      <w:r w:rsidR="00000F67">
        <w:rPr>
          <w:lang w:val="fr-CA"/>
        </w:rPr>
        <w:t>’</w:t>
      </w:r>
      <w:r w:rsidRPr="00AF0DC7">
        <w:rPr>
          <w:lang w:val="fr-CA"/>
        </w:rPr>
        <w:t>ordre du jour provisoire</w:t>
      </w:r>
    </w:p>
    <w:p w14:paraId="69BBC8DD" w14:textId="0AE5CDAE" w:rsidR="00AF0DC7" w:rsidRPr="00AF0DC7" w:rsidRDefault="00AF0DC7" w:rsidP="00AF0DC7">
      <w:pPr>
        <w:pStyle w:val="AgendaTitleH2"/>
        <w:keepNext w:val="0"/>
        <w:keepLines w:val="0"/>
        <w:tabs>
          <w:tab w:val="right" w:pos="1022"/>
          <w:tab w:val="left" w:pos="1267"/>
          <w:tab w:val="left" w:pos="2218"/>
          <w:tab w:val="left" w:pos="2693"/>
          <w:tab w:val="left" w:pos="3182"/>
          <w:tab w:val="left" w:pos="3658"/>
          <w:tab w:val="left" w:pos="4133"/>
          <w:tab w:val="left" w:pos="4622"/>
        </w:tabs>
        <w:ind w:right="4350"/>
        <w:rPr>
          <w:lang w:val="fr-CA"/>
        </w:rPr>
      </w:pPr>
      <w:r w:rsidRPr="00AF0DC7">
        <w:rPr>
          <w:bCs/>
          <w:lang w:val="fr-CA"/>
        </w:rPr>
        <w:t>Examen des rapports présentés par les États parties en application de l</w:t>
      </w:r>
      <w:r w:rsidR="00000F67">
        <w:rPr>
          <w:bCs/>
          <w:lang w:val="fr-CA"/>
        </w:rPr>
        <w:t>’</w:t>
      </w:r>
      <w:r w:rsidRPr="00AF0DC7">
        <w:rPr>
          <w:bCs/>
          <w:lang w:val="fr-CA"/>
        </w:rPr>
        <w:t>article 18 de la Convention sur l</w:t>
      </w:r>
      <w:r w:rsidR="00000F67">
        <w:rPr>
          <w:bCs/>
          <w:lang w:val="fr-CA"/>
        </w:rPr>
        <w:t>’</w:t>
      </w:r>
      <w:r w:rsidRPr="00AF0DC7">
        <w:rPr>
          <w:bCs/>
          <w:lang w:val="fr-CA"/>
        </w:rPr>
        <w:t xml:space="preserve">élimination de toutes les formes </w:t>
      </w:r>
      <w:r w:rsidR="0010308D">
        <w:rPr>
          <w:bCs/>
          <w:lang w:val="fr-CA"/>
        </w:rPr>
        <w:t>de discrimination à </w:t>
      </w:r>
      <w:r w:rsidRPr="00AF0DC7">
        <w:rPr>
          <w:bCs/>
          <w:lang w:val="fr-CA"/>
        </w:rPr>
        <w:t>l</w:t>
      </w:r>
      <w:r w:rsidR="00000F67">
        <w:rPr>
          <w:bCs/>
          <w:lang w:val="fr-CA"/>
        </w:rPr>
        <w:t>’</w:t>
      </w:r>
      <w:r w:rsidRPr="00AF0DC7">
        <w:rPr>
          <w:bCs/>
          <w:lang w:val="fr-CA"/>
        </w:rPr>
        <w:t>égard des femmes</w:t>
      </w:r>
    </w:p>
    <w:p w14:paraId="6415B301" w14:textId="77777777" w:rsidR="00AF0DC7" w:rsidRPr="00F26CEE" w:rsidRDefault="00AF0DC7" w:rsidP="00F26CEE">
      <w:pPr>
        <w:suppressAutoHyphens/>
        <w:spacing w:line="120" w:lineRule="exact"/>
        <w:rPr>
          <w:sz w:val="10"/>
        </w:rPr>
      </w:pPr>
    </w:p>
    <w:p w14:paraId="2F811CB5" w14:textId="77777777" w:rsidR="00F26CEE" w:rsidRPr="00AF0DC7" w:rsidRDefault="00F26CEE" w:rsidP="00AF0DC7">
      <w:pPr>
        <w:suppressAutoHyphens/>
        <w:spacing w:line="120" w:lineRule="exact"/>
        <w:rPr>
          <w:sz w:val="10"/>
        </w:rPr>
      </w:pPr>
    </w:p>
    <w:p w14:paraId="07372273" w14:textId="77777777" w:rsidR="00AF0DC7" w:rsidRPr="00AF0DC7" w:rsidRDefault="00AF0DC7" w:rsidP="00AF0DC7">
      <w:pPr>
        <w:suppressAutoHyphens/>
        <w:spacing w:line="120" w:lineRule="exact"/>
        <w:rPr>
          <w:sz w:val="10"/>
        </w:rPr>
      </w:pPr>
    </w:p>
    <w:p w14:paraId="69314F52" w14:textId="0326C02E" w:rsidR="00AF0DC7" w:rsidRPr="00AF0DC7" w:rsidRDefault="00AF0DC7" w:rsidP="00AF0DC7">
      <w:pPr>
        <w:pStyle w:val="TitleHCH"/>
        <w:keepNext w:val="0"/>
        <w:keepLines w:val="0"/>
        <w:ind w:left="1267" w:right="1260" w:hanging="1267"/>
        <w:rPr>
          <w:lang w:val="fr-CA"/>
        </w:rPr>
      </w:pPr>
      <w:r w:rsidRPr="00AF0DC7">
        <w:rPr>
          <w:lang w:val="fr-CA"/>
        </w:rPr>
        <w:tab/>
      </w:r>
      <w:r w:rsidRPr="00AF0DC7">
        <w:rPr>
          <w:lang w:val="fr-CA"/>
        </w:rPr>
        <w:tab/>
      </w:r>
      <w:r w:rsidRPr="00AF0DC7">
        <w:rPr>
          <w:bCs/>
          <w:lang w:val="fr-CA"/>
        </w:rPr>
        <w:t>Liste de points et de questions concernant le sixième rapport périodique d</w:t>
      </w:r>
      <w:r w:rsidR="00256AC6">
        <w:rPr>
          <w:bCs/>
          <w:lang w:val="fr-CA"/>
        </w:rPr>
        <w:t>es Bahamas</w:t>
      </w:r>
    </w:p>
    <w:p w14:paraId="23BCE9D0" w14:textId="77777777" w:rsidR="00AF0DC7" w:rsidRPr="00AF0DC7" w:rsidRDefault="00AF0DC7" w:rsidP="00AF0DC7">
      <w:pPr>
        <w:pStyle w:val="SingleTxt"/>
        <w:suppressAutoHyphens/>
        <w:spacing w:after="0" w:line="120" w:lineRule="exact"/>
        <w:rPr>
          <w:sz w:val="10"/>
        </w:rPr>
      </w:pPr>
    </w:p>
    <w:p w14:paraId="21628F0E" w14:textId="77777777" w:rsidR="00AF0DC7" w:rsidRPr="00AF0DC7" w:rsidRDefault="00AF0DC7" w:rsidP="00AF0DC7">
      <w:pPr>
        <w:pStyle w:val="SingleTxt"/>
        <w:suppressAutoHyphens/>
        <w:spacing w:after="0" w:line="120" w:lineRule="exact"/>
        <w:rPr>
          <w:sz w:val="10"/>
        </w:rPr>
      </w:pPr>
    </w:p>
    <w:p w14:paraId="5D16D24B" w14:textId="77777777" w:rsidR="00AF0DC7" w:rsidRDefault="00AF0DC7" w:rsidP="00AF0DC7">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AF0DC7">
        <w:tab/>
      </w:r>
      <w:r w:rsidRPr="00AF0DC7">
        <w:tab/>
      </w:r>
      <w:r w:rsidR="00256AC6">
        <w:rPr>
          <w:bCs/>
        </w:rPr>
        <w:t>Additif</w:t>
      </w:r>
    </w:p>
    <w:p w14:paraId="4F8E68A7" w14:textId="77777777" w:rsidR="00256AC6" w:rsidRPr="00256AC6" w:rsidRDefault="00256AC6" w:rsidP="00256AC6">
      <w:pPr>
        <w:pStyle w:val="SingleTxt"/>
        <w:spacing w:after="0" w:line="120" w:lineRule="exact"/>
        <w:rPr>
          <w:sz w:val="10"/>
        </w:rPr>
      </w:pPr>
    </w:p>
    <w:p w14:paraId="2551AD9B" w14:textId="77777777" w:rsidR="00256AC6" w:rsidRPr="00256AC6" w:rsidRDefault="00256AC6" w:rsidP="00256AC6">
      <w:pPr>
        <w:pStyle w:val="SingleTxt"/>
        <w:spacing w:after="0" w:line="120" w:lineRule="exact"/>
        <w:rPr>
          <w:sz w:val="10"/>
        </w:rPr>
      </w:pPr>
    </w:p>
    <w:p w14:paraId="497DCC1B" w14:textId="00A7442F" w:rsidR="00256AC6" w:rsidRDefault="00256AC6" w:rsidP="00256A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Réponses des Bahamas</w:t>
      </w:r>
      <w:r w:rsidR="00AF34C2" w:rsidRPr="00AF34C2">
        <w:rPr>
          <w:b w:val="0"/>
          <w:sz w:val="20"/>
        </w:rPr>
        <w:t>*</w:t>
      </w:r>
    </w:p>
    <w:p w14:paraId="7A0BF582" w14:textId="6851766D" w:rsidR="00256AC6" w:rsidRPr="00AF34C2" w:rsidRDefault="00256AC6" w:rsidP="00AF34C2">
      <w:pPr>
        <w:pStyle w:val="SingleTxt"/>
        <w:spacing w:after="0" w:line="120" w:lineRule="exact"/>
        <w:rPr>
          <w:sz w:val="10"/>
        </w:rPr>
      </w:pPr>
    </w:p>
    <w:p w14:paraId="18391F46" w14:textId="62717494" w:rsidR="00AF34C2" w:rsidRPr="00AF34C2" w:rsidRDefault="00AF34C2" w:rsidP="00AF34C2">
      <w:pPr>
        <w:pStyle w:val="SingleTxt"/>
        <w:spacing w:after="0" w:line="120" w:lineRule="exact"/>
        <w:rPr>
          <w:sz w:val="10"/>
        </w:rPr>
      </w:pPr>
    </w:p>
    <w:p w14:paraId="35923BCA" w14:textId="2E268FDA" w:rsidR="00AF34C2" w:rsidRDefault="00AF34C2" w:rsidP="00AF34C2">
      <w:pPr>
        <w:pStyle w:val="SingleTxt"/>
        <w:jc w:val="right"/>
      </w:pPr>
      <w:r>
        <w:t>[Date de réception : 4 juillet 2018]</w:t>
      </w:r>
    </w:p>
    <w:p w14:paraId="536DC896" w14:textId="66458731" w:rsidR="00AF34C2" w:rsidRPr="00AF34C2" w:rsidRDefault="00AF34C2" w:rsidP="00AF34C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rPr>
      </w:pPr>
      <w:r>
        <w:rPr>
          <w:noProof/>
          <w:w w:val="100"/>
        </w:rPr>
        <mc:AlternateContent>
          <mc:Choice Requires="wps">
            <w:drawing>
              <wp:anchor distT="0" distB="0" distL="114300" distR="114300" simplePos="0" relativeHeight="251659264" behindDoc="0" locked="0" layoutInCell="1" allowOverlap="1" wp14:anchorId="4E52857B" wp14:editId="40C7943D">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0705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rPr>
        <w:tab/>
        <w:t>*</w:t>
      </w:r>
      <w:r>
        <w:rPr>
          <w:spacing w:val="5"/>
          <w:w w:val="104"/>
          <w:sz w:val="17"/>
        </w:rPr>
        <w:tab/>
        <w:t>La version originale du présent document n</w:t>
      </w:r>
      <w:r w:rsidR="00000F67">
        <w:rPr>
          <w:spacing w:val="5"/>
          <w:w w:val="104"/>
          <w:sz w:val="17"/>
        </w:rPr>
        <w:t>’</w:t>
      </w:r>
      <w:r>
        <w:rPr>
          <w:spacing w:val="5"/>
          <w:w w:val="104"/>
          <w:sz w:val="17"/>
        </w:rPr>
        <w:t>a pas été revue par les services d</w:t>
      </w:r>
      <w:r w:rsidR="00000F67">
        <w:rPr>
          <w:spacing w:val="5"/>
          <w:w w:val="104"/>
          <w:sz w:val="17"/>
        </w:rPr>
        <w:t>’</w:t>
      </w:r>
      <w:r>
        <w:rPr>
          <w:spacing w:val="5"/>
          <w:w w:val="104"/>
          <w:sz w:val="17"/>
        </w:rPr>
        <w:t>édition.</w:t>
      </w:r>
    </w:p>
    <w:p w14:paraId="37D663EE" w14:textId="77777777" w:rsidR="00256AC6" w:rsidRDefault="00256AC6" w:rsidP="00256AC6">
      <w:pPr>
        <w:pStyle w:val="SingleTxt"/>
      </w:pPr>
    </w:p>
    <w:p w14:paraId="36C463EC" w14:textId="12D65C81" w:rsidR="00AF0DC7" w:rsidRDefault="00AF0DC7" w:rsidP="00AF0DC7">
      <w:pPr>
        <w:pStyle w:val="SingleTxt"/>
        <w:suppressAutoHyphens/>
      </w:pPr>
    </w:p>
    <w:p w14:paraId="44A773F7" w14:textId="186957AB" w:rsidR="00AF34C2" w:rsidRDefault="00AF34C2">
      <w:pPr>
        <w:spacing w:line="240" w:lineRule="auto"/>
      </w:pPr>
      <w:r>
        <w:br w:type="page"/>
      </w:r>
      <w:bookmarkStart w:id="1" w:name="_GoBack"/>
      <w:bookmarkEnd w:id="1"/>
    </w:p>
    <w:p w14:paraId="16F47057" w14:textId="6714E863" w:rsidR="00AF34C2" w:rsidRDefault="00AF34C2" w:rsidP="00B57F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B76BFC">
        <w:t>Cadre constitutionnel, législatif et politique</w:t>
      </w:r>
    </w:p>
    <w:p w14:paraId="70105DAB" w14:textId="2824036B" w:rsidR="00AF34C2" w:rsidRPr="00AF34C2" w:rsidRDefault="00AF34C2" w:rsidP="00AF34C2">
      <w:pPr>
        <w:pStyle w:val="SingleTxt"/>
        <w:spacing w:after="0" w:line="120" w:lineRule="exact"/>
        <w:rPr>
          <w:sz w:val="10"/>
        </w:rPr>
      </w:pPr>
    </w:p>
    <w:p w14:paraId="08A3F777" w14:textId="155950AC" w:rsidR="00AF34C2" w:rsidRPr="00AF34C2" w:rsidRDefault="00AF34C2" w:rsidP="00AF34C2">
      <w:pPr>
        <w:pStyle w:val="SingleTxt"/>
        <w:spacing w:after="0" w:line="120" w:lineRule="exact"/>
        <w:rPr>
          <w:sz w:val="10"/>
        </w:rPr>
      </w:pPr>
    </w:p>
    <w:p w14:paraId="3A8664D7" w14:textId="67E975D3" w:rsidR="00AF34C2" w:rsidRDefault="00AF34C2" w:rsidP="00C67914">
      <w:pPr>
        <w:pStyle w:val="SingleTxt"/>
        <w:numPr>
          <w:ilvl w:val="0"/>
          <w:numId w:val="18"/>
        </w:numPr>
        <w:suppressAutoHyphens/>
        <w:spacing w:line="240" w:lineRule="atLeast"/>
        <w:ind w:left="1267" w:firstLine="0"/>
      </w:pPr>
      <w:r w:rsidRPr="00B76BFC">
        <w:t>Le Comité note que l</w:t>
      </w:r>
      <w:r w:rsidR="00000F67">
        <w:t>’</w:t>
      </w:r>
      <w:r w:rsidRPr="00B76BFC">
        <w:t>article 15 de la Constitution sur les droits et libertés fondamentaux interdit la discrimination sexiste, mais que l</w:t>
      </w:r>
      <w:r w:rsidR="00000F67">
        <w:t>’</w:t>
      </w:r>
      <w:r w:rsidRPr="00B76BFC">
        <w:t>article 26 définissant la discrimination ne l</w:t>
      </w:r>
      <w:r w:rsidR="00000F67">
        <w:t>’</w:t>
      </w:r>
      <w:r w:rsidRPr="00B76BFC">
        <w:t>interdit pas comme telle au même titre que les autres motifs de discrimination qui y figurent. Conformément aux obligations de l</w:t>
      </w:r>
      <w:r w:rsidR="00000F67">
        <w:t>’</w:t>
      </w:r>
      <w:r w:rsidRPr="00B76BFC">
        <w:t>État partie définies aux articles 1 et 2 de la Convention et à la cible 5.1 de l</w:t>
      </w:r>
      <w:r w:rsidR="00000F67">
        <w:t>’</w:t>
      </w:r>
      <w:r w:rsidRPr="00B76BFC">
        <w:t>Objectif de développement durable 5, qui prévoit de mettre fin, partout dans le monde, à toutes les formes de discrimination à l</w:t>
      </w:r>
      <w:r w:rsidR="00000F67">
        <w:t>’</w:t>
      </w:r>
      <w:r w:rsidRPr="00B76BFC">
        <w:t>égard des femmes et des filles, veuillez indiquer</w:t>
      </w:r>
      <w:r>
        <w:t xml:space="preserve"> </w:t>
      </w:r>
      <w:r w:rsidRPr="00B76BFC">
        <w:t>si des mesures ont été prises ou s</w:t>
      </w:r>
      <w:r w:rsidR="00000F67">
        <w:t>’</w:t>
      </w:r>
      <w:r w:rsidRPr="00B76BFC">
        <w:t>il est envisagé de modifier la Constitution et d</w:t>
      </w:r>
      <w:r w:rsidR="00000F67">
        <w:t>’</w:t>
      </w:r>
      <w:r w:rsidRPr="00B76BFC">
        <w:t>autres lois pertinentes, afin d</w:t>
      </w:r>
      <w:r w:rsidR="00000F67">
        <w:t>’</w:t>
      </w:r>
      <w:r w:rsidRPr="00B76BFC">
        <w:t>inclure le principe de l</w:t>
      </w:r>
      <w:r w:rsidR="00000F67">
        <w:t>’</w:t>
      </w:r>
      <w:r w:rsidRPr="00B76BFC">
        <w:t>égalité hommes-femmes et de définir et d</w:t>
      </w:r>
      <w:r w:rsidR="00000F67">
        <w:t>’</w:t>
      </w:r>
      <w:r w:rsidRPr="00B76BFC">
        <w:t>interdire toutes les formes de discrimination à l</w:t>
      </w:r>
      <w:r w:rsidR="00000F67">
        <w:t>’</w:t>
      </w:r>
      <w:r w:rsidRPr="00B76BFC">
        <w:t>égard des femmes, y compris les formes convergentes de discrimination et la discrimination directe et indirecte, dans la sphère publique comme dans la sphère privée (voir CEDAW/C/BHS/Q/6, par. 1).</w:t>
      </w:r>
    </w:p>
    <w:p w14:paraId="7B7195A1" w14:textId="4F864CDB" w:rsidR="00105356" w:rsidRPr="00105356" w:rsidRDefault="00105356" w:rsidP="00105356">
      <w:pPr>
        <w:pStyle w:val="SingleTxt"/>
        <w:suppressAutoHyphens/>
        <w:spacing w:after="0" w:line="120" w:lineRule="exact"/>
        <w:rPr>
          <w:sz w:val="10"/>
        </w:rPr>
      </w:pPr>
    </w:p>
    <w:p w14:paraId="50D75E87" w14:textId="68BF1520" w:rsidR="00AF34C2" w:rsidRDefault="00B57F6D" w:rsidP="00B57F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34C2" w:rsidRPr="00B76BFC">
        <w:t>Réponse</w:t>
      </w:r>
    </w:p>
    <w:p w14:paraId="236C7A6C" w14:textId="2C4486B6" w:rsidR="00105356" w:rsidRPr="00105356" w:rsidRDefault="00105356" w:rsidP="00105356">
      <w:pPr>
        <w:pStyle w:val="SingleTxt"/>
        <w:spacing w:after="0" w:line="120" w:lineRule="exact"/>
        <w:rPr>
          <w:sz w:val="10"/>
        </w:rPr>
      </w:pPr>
    </w:p>
    <w:p w14:paraId="71523363" w14:textId="2B979868" w:rsidR="00AF34C2" w:rsidRDefault="00AF34C2" w:rsidP="00C67914">
      <w:pPr>
        <w:pStyle w:val="SingleTxt"/>
        <w:numPr>
          <w:ilvl w:val="0"/>
          <w:numId w:val="18"/>
        </w:numPr>
        <w:suppressAutoHyphens/>
        <w:spacing w:line="240" w:lineRule="atLeast"/>
        <w:ind w:left="1267" w:firstLine="0"/>
      </w:pPr>
      <w:r w:rsidRPr="00B76BFC">
        <w:t>La modification de la Constitution des Bahamas est régie par les dispositions de l</w:t>
      </w:r>
      <w:r w:rsidR="00000F67">
        <w:t>’</w:t>
      </w:r>
      <w:r w:rsidRPr="00B76BFC">
        <w:t>article 54 du décret d</w:t>
      </w:r>
      <w:r w:rsidR="00000F67">
        <w:t>’</w:t>
      </w:r>
      <w:r w:rsidRPr="00B76BFC">
        <w:t>indépendance des Bahamas de 1973, que vient renforcer la loi portant référendum constitutionnel de 1994.</w:t>
      </w:r>
    </w:p>
    <w:p w14:paraId="3D4EB26E" w14:textId="0F200340" w:rsidR="00105356" w:rsidRPr="00105356" w:rsidRDefault="00105356" w:rsidP="00105356">
      <w:pPr>
        <w:pStyle w:val="SingleTxt"/>
        <w:suppressAutoHyphens/>
        <w:spacing w:after="0" w:line="120" w:lineRule="exact"/>
        <w:rPr>
          <w:sz w:val="10"/>
        </w:rPr>
      </w:pPr>
    </w:p>
    <w:p w14:paraId="798A4EB4" w14:textId="0168C4CE" w:rsidR="00AF34C2" w:rsidRDefault="00105356" w:rsidP="00B57F6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F34C2" w:rsidRPr="00B76BFC">
        <w:t>Le référendum constitutionnel des Bahamas de 2016</w:t>
      </w:r>
    </w:p>
    <w:p w14:paraId="2B52CBEF" w14:textId="2266530A" w:rsidR="00105356" w:rsidRPr="00105356" w:rsidRDefault="00105356" w:rsidP="00105356">
      <w:pPr>
        <w:pStyle w:val="SingleTxt"/>
        <w:spacing w:after="0" w:line="120" w:lineRule="exact"/>
        <w:rPr>
          <w:sz w:val="10"/>
        </w:rPr>
      </w:pPr>
    </w:p>
    <w:p w14:paraId="49FA4567" w14:textId="53BA6451" w:rsidR="00AF34C2" w:rsidRPr="00B76BFC" w:rsidRDefault="00AF34C2" w:rsidP="00C67914">
      <w:pPr>
        <w:pStyle w:val="SingleTxt"/>
        <w:numPr>
          <w:ilvl w:val="0"/>
          <w:numId w:val="18"/>
        </w:numPr>
        <w:suppressAutoHyphens/>
        <w:spacing w:line="240" w:lineRule="atLeast"/>
        <w:ind w:left="1267" w:firstLine="0"/>
      </w:pPr>
      <w:r w:rsidRPr="00B76BFC">
        <w:t>Le 7 juin 2016, le Gouvernement bahamien a organisé un référendum constitutionnel afin de répondre à certaines recommandations formulées par la Commission de réforme constitutionnelle et d</w:t>
      </w:r>
      <w:r w:rsidR="00000F67">
        <w:t>’</w:t>
      </w:r>
      <w:r w:rsidRPr="00B76BFC">
        <w:t>introduire des changements constitutionnels concernant certaines dispositions régissant des droits fondamentaux, afin de promouvoir l</w:t>
      </w:r>
      <w:r w:rsidR="00000F67">
        <w:t>’</w:t>
      </w:r>
      <w:r w:rsidRPr="00B76BFC">
        <w:t>égalité entre les sexes d</w:t>
      </w:r>
      <w:r w:rsidR="00000F67">
        <w:t>’</w:t>
      </w:r>
      <w:r w:rsidRPr="00B76BFC">
        <w:t>une façon générale et de mettre l</w:t>
      </w:r>
      <w:r w:rsidR="00000F67">
        <w:t>’</w:t>
      </w:r>
      <w:r w:rsidRPr="00B76BFC">
        <w:t>accent sur les obligations conjugales et l</w:t>
      </w:r>
      <w:r w:rsidR="00000F67">
        <w:t>’</w:t>
      </w:r>
      <w:r w:rsidRPr="00B76BFC">
        <w:t>accès des enfants à la nationalité bahamienne.</w:t>
      </w:r>
    </w:p>
    <w:p w14:paraId="21455D8E" w14:textId="2193B4BE" w:rsidR="00AF34C2" w:rsidRPr="00B76BFC" w:rsidRDefault="00AF34C2" w:rsidP="00C67914">
      <w:pPr>
        <w:pStyle w:val="SingleTxt"/>
        <w:numPr>
          <w:ilvl w:val="0"/>
          <w:numId w:val="18"/>
        </w:numPr>
        <w:suppressAutoHyphens/>
        <w:spacing w:line="240" w:lineRule="atLeast"/>
        <w:ind w:left="1267" w:firstLine="0"/>
      </w:pPr>
      <w:r w:rsidRPr="00B76BFC">
        <w:t>Le référendum a échoué malgré l</w:t>
      </w:r>
      <w:r w:rsidR="00000F67">
        <w:t>’</w:t>
      </w:r>
      <w:r w:rsidRPr="00B76BFC">
        <w:t>organisation par le Gouvernement d</w:t>
      </w:r>
      <w:r w:rsidR="00000F67">
        <w:t>’</w:t>
      </w:r>
      <w:r w:rsidRPr="00B76BFC">
        <w:t>activités d</w:t>
      </w:r>
      <w:r w:rsidR="00000F67">
        <w:t>’</w:t>
      </w:r>
      <w:r w:rsidRPr="00B76BFC">
        <w:t>information et de nombreux forums éducatifs. Pour des raisons probablement multiples, les électeurs ont estimé qu</w:t>
      </w:r>
      <w:r w:rsidR="00000F67">
        <w:t>’</w:t>
      </w:r>
      <w:r w:rsidRPr="00B76BFC">
        <w:t>il n</w:t>
      </w:r>
      <w:r w:rsidR="00000F67">
        <w:t>’</w:t>
      </w:r>
      <w:r w:rsidRPr="00B76BFC">
        <w:t>était pas dans l</w:t>
      </w:r>
      <w:r w:rsidR="00000F67">
        <w:t>’</w:t>
      </w:r>
      <w:r w:rsidRPr="00B76BFC">
        <w:t>intérêt du pays d</w:t>
      </w:r>
      <w:r w:rsidR="00000F67">
        <w:t>’</w:t>
      </w:r>
      <w:r w:rsidRPr="00B76BFC">
        <w:t>introduire ces modifications à ce moment précis. On trouvera ci-dessous les questions formulées à l</w:t>
      </w:r>
      <w:r w:rsidR="00000F67">
        <w:t>’</w:t>
      </w:r>
      <w:r w:rsidRPr="00B76BFC">
        <w:t>occasion de ce référendum, ainsi que les résultats correspondants (</w:t>
      </w:r>
      <w:r w:rsidR="00105356">
        <w:t>t</w:t>
      </w:r>
      <w:r w:rsidRPr="00B76BFC">
        <w:t>ableau 1).</w:t>
      </w:r>
    </w:p>
    <w:p w14:paraId="7D22E1F4" w14:textId="6465388A" w:rsidR="00AF34C2" w:rsidRPr="00B76BFC" w:rsidRDefault="00105356" w:rsidP="00105356">
      <w:pPr>
        <w:pStyle w:val="SingleTxt"/>
        <w:suppressAutoHyphens/>
        <w:spacing w:line="240" w:lineRule="atLeast"/>
      </w:pPr>
      <w:r>
        <w:tab/>
      </w:r>
      <w:r w:rsidR="00AF34C2" w:rsidRPr="00B76BFC">
        <w:t>Question n</w:t>
      </w:r>
      <w:r w:rsidR="00AF34C2" w:rsidRPr="00105356">
        <w:rPr>
          <w:vertAlign w:val="superscript"/>
        </w:rPr>
        <w:t>o</w:t>
      </w:r>
      <w:r>
        <w:t> </w:t>
      </w:r>
      <w:r w:rsidR="00AF34C2" w:rsidRPr="00B76BFC">
        <w:t>1</w:t>
      </w:r>
      <w:r>
        <w:t> </w:t>
      </w:r>
      <w:r w:rsidR="00AF34C2" w:rsidRPr="00B76BFC">
        <w:t>:</w:t>
      </w:r>
    </w:p>
    <w:p w14:paraId="3E4357E2" w14:textId="7CE08F58" w:rsidR="00AF34C2" w:rsidRPr="00B76BFC" w:rsidRDefault="00105356" w:rsidP="00105356">
      <w:pPr>
        <w:pStyle w:val="SingleTxt"/>
        <w:suppressAutoHyphens/>
        <w:spacing w:line="240" w:lineRule="atLeast"/>
        <w:ind w:left="1742" w:hanging="475"/>
      </w:pPr>
      <w:r>
        <w:tab/>
      </w:r>
      <w:r w:rsidR="00AF34C2" w:rsidRPr="00B76BFC">
        <w:t>« Approuvez-vous le projet de loi portant modification de la Constitution de 2014</w:t>
      </w:r>
      <w:r w:rsidR="002973C0">
        <w:t> </w:t>
      </w:r>
      <w:r w:rsidR="00AF34C2" w:rsidRPr="00B76BFC">
        <w:t>? Au titre de cet amendement constitutionnel, un enfant né hors des Bahamas devient citoyen bahamien à la naissance si sa mère ou son père est citoyen des Bahamas par la naissance. »</w:t>
      </w:r>
    </w:p>
    <w:p w14:paraId="388F57E3" w14:textId="04F6F1D5" w:rsidR="00AF34C2" w:rsidRPr="00B76BFC" w:rsidRDefault="00105356" w:rsidP="00105356">
      <w:pPr>
        <w:pStyle w:val="SingleTxt"/>
        <w:suppressAutoHyphens/>
        <w:spacing w:line="240" w:lineRule="atLeast"/>
      </w:pPr>
      <w:r>
        <w:tab/>
      </w:r>
      <w:r w:rsidR="00AF34C2" w:rsidRPr="00B76BFC">
        <w:t>Question n</w:t>
      </w:r>
      <w:r w:rsidR="00AF34C2" w:rsidRPr="00105356">
        <w:rPr>
          <w:vertAlign w:val="superscript"/>
        </w:rPr>
        <w:t>o</w:t>
      </w:r>
      <w:r>
        <w:t> </w:t>
      </w:r>
      <w:r w:rsidR="00AF34C2" w:rsidRPr="00B76BFC">
        <w:t>2</w:t>
      </w:r>
      <w:r>
        <w:t> </w:t>
      </w:r>
      <w:r w:rsidR="00AF34C2" w:rsidRPr="00B76BFC">
        <w:t>:</w:t>
      </w:r>
    </w:p>
    <w:p w14:paraId="6E2B70AF" w14:textId="7D387C54" w:rsidR="00AF34C2" w:rsidRPr="00B76BFC" w:rsidRDefault="00105356" w:rsidP="00105356">
      <w:pPr>
        <w:pStyle w:val="SingleTxt"/>
        <w:suppressAutoHyphens/>
        <w:spacing w:line="240" w:lineRule="atLeast"/>
        <w:ind w:left="1742" w:hanging="475"/>
      </w:pPr>
      <w:r>
        <w:tab/>
      </w:r>
      <w:r w:rsidR="00AF34C2" w:rsidRPr="00B76BFC">
        <w:t>« Approuvez-vous le deuxième amendement constitutionnel prévu dans le projet de loi portant modification de la Constitution de 2014 ? Au titre de cet amendement constitutionnel, l</w:t>
      </w:r>
      <w:r w:rsidR="00000F67">
        <w:t>’</w:t>
      </w:r>
      <w:r w:rsidR="00AF34C2" w:rsidRPr="00B76BFC">
        <w:t>épouse étrangère d</w:t>
      </w:r>
      <w:r w:rsidR="00000F67">
        <w:t>’</w:t>
      </w:r>
      <w:r w:rsidR="00AF34C2" w:rsidRPr="00B76BFC">
        <w:t>un citoyen bahamien pourra obtenir la citoyenneté bahamienne si elle satisfait à certaines exigences de sécurité nationale et de politique publique et à une nouvelle disposition empêchant le mariage de complaisance. »</w:t>
      </w:r>
    </w:p>
    <w:p w14:paraId="138EE5E2" w14:textId="411CC0F6" w:rsidR="00AF34C2" w:rsidRPr="00B76BFC" w:rsidRDefault="00105356" w:rsidP="00B57F6D">
      <w:pPr>
        <w:pStyle w:val="SingleTxt"/>
        <w:keepNext/>
        <w:keepLines/>
        <w:suppressAutoHyphens/>
        <w:spacing w:line="240" w:lineRule="atLeast"/>
      </w:pPr>
      <w:r>
        <w:lastRenderedPageBreak/>
        <w:tab/>
      </w:r>
      <w:r w:rsidR="00AF34C2" w:rsidRPr="00B76BFC">
        <w:t>Question n</w:t>
      </w:r>
      <w:r w:rsidR="00AF34C2" w:rsidRPr="00105356">
        <w:rPr>
          <w:vertAlign w:val="superscript"/>
        </w:rPr>
        <w:t>o</w:t>
      </w:r>
      <w:r>
        <w:t> </w:t>
      </w:r>
      <w:r w:rsidR="00AF34C2" w:rsidRPr="00B76BFC">
        <w:t>3</w:t>
      </w:r>
      <w:r>
        <w:t> </w:t>
      </w:r>
      <w:r w:rsidR="00AF34C2" w:rsidRPr="00B76BFC">
        <w:t>:</w:t>
      </w:r>
    </w:p>
    <w:p w14:paraId="6C15CFC3" w14:textId="230FD423" w:rsidR="00AF34C2" w:rsidRPr="00B76BFC" w:rsidRDefault="00105356" w:rsidP="00B57F6D">
      <w:pPr>
        <w:pStyle w:val="SingleTxt"/>
        <w:keepNext/>
        <w:keepLines/>
        <w:suppressAutoHyphens/>
        <w:spacing w:line="240" w:lineRule="atLeast"/>
        <w:ind w:left="1742" w:hanging="475"/>
      </w:pPr>
      <w:r>
        <w:tab/>
      </w:r>
      <w:r w:rsidR="00AF34C2" w:rsidRPr="00B76BFC">
        <w:t>« Approuvez-vous le troisième amendement constitutionnel prévu dans le projet de loi portant modification de la Constitution de 2014 ? Au titre de cet amendement constitutionnel, le père bahamien d</w:t>
      </w:r>
      <w:r w:rsidR="00000F67">
        <w:t>’</w:t>
      </w:r>
      <w:r w:rsidR="00AF34C2" w:rsidRPr="00B76BFC">
        <w:t>un enfant né hors mariage pourra transmettre la citoyenneté bahamienne à son enfant à condition qu</w:t>
      </w:r>
      <w:r w:rsidR="00000F67">
        <w:t>’</w:t>
      </w:r>
      <w:r w:rsidR="00AF34C2" w:rsidRPr="00B76BFC">
        <w:t>il apporte la preuve légale de sa paternité.»</w:t>
      </w:r>
    </w:p>
    <w:p w14:paraId="1BD062AE" w14:textId="789DCF27" w:rsidR="00AF34C2" w:rsidRPr="00B76BFC" w:rsidRDefault="00105356" w:rsidP="00105356">
      <w:pPr>
        <w:pStyle w:val="SingleTxt"/>
        <w:suppressAutoHyphens/>
        <w:spacing w:line="240" w:lineRule="atLeast"/>
      </w:pPr>
      <w:r>
        <w:tab/>
      </w:r>
      <w:r w:rsidR="00AF34C2" w:rsidRPr="00B76BFC">
        <w:t>Question n</w:t>
      </w:r>
      <w:r w:rsidR="00AF34C2" w:rsidRPr="00105356">
        <w:rPr>
          <w:vertAlign w:val="superscript"/>
        </w:rPr>
        <w:t>o</w:t>
      </w:r>
      <w:r>
        <w:t> </w:t>
      </w:r>
      <w:r w:rsidR="00AF34C2" w:rsidRPr="00B76BFC">
        <w:t>4</w:t>
      </w:r>
      <w:r>
        <w:t> </w:t>
      </w:r>
      <w:r w:rsidR="00AF34C2" w:rsidRPr="00B76BFC">
        <w:t xml:space="preserve">: </w:t>
      </w:r>
    </w:p>
    <w:p w14:paraId="246663FC" w14:textId="53EE63A7" w:rsidR="00AF34C2" w:rsidRDefault="00105356" w:rsidP="00105356">
      <w:pPr>
        <w:pStyle w:val="SingleTxt"/>
        <w:suppressAutoHyphens/>
        <w:spacing w:line="240" w:lineRule="atLeast"/>
        <w:ind w:left="1742" w:hanging="475"/>
      </w:pPr>
      <w:r>
        <w:tab/>
      </w:r>
      <w:r w:rsidR="00AF34C2" w:rsidRPr="00B76BFC">
        <w:t>« Approuvez-vous le quatrième amendement constitutionnel prévu dans le projet de loi portant modification de la Constitution de 2014 ? Au titre de cet amendement constitutionnel, toute discrimination sexiste sera déclarée illégale et le sexe sera défini comme masculin ou féminin. »</w:t>
      </w:r>
    </w:p>
    <w:p w14:paraId="7B71EA9C" w14:textId="3BCB7B5E" w:rsidR="00527A8A" w:rsidRPr="00527A8A" w:rsidRDefault="00527A8A" w:rsidP="00527A8A">
      <w:pPr>
        <w:pStyle w:val="SingleTxt"/>
        <w:suppressAutoHyphens/>
        <w:spacing w:after="0" w:line="120" w:lineRule="exact"/>
        <w:ind w:left="1742" w:hanging="475"/>
        <w:rPr>
          <w:sz w:val="10"/>
        </w:rPr>
      </w:pPr>
    </w:p>
    <w:p w14:paraId="1B862995" w14:textId="77777777" w:rsidR="00527A8A" w:rsidRPr="00105356" w:rsidRDefault="00527A8A" w:rsidP="00527A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105356">
        <w:rPr>
          <w:b w:val="0"/>
        </w:rPr>
        <w:tab/>
      </w:r>
      <w:r w:rsidRPr="00105356">
        <w:rPr>
          <w:b w:val="0"/>
        </w:rPr>
        <w:tab/>
        <w:t>Tableau 1</w:t>
      </w:r>
    </w:p>
    <w:p w14:paraId="04F5FA18" w14:textId="13126FC6" w:rsidR="00527A8A" w:rsidRDefault="00527A8A" w:rsidP="00527A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76BFC">
        <w:t>Résultats du référendum de 2016</w:t>
      </w:r>
    </w:p>
    <w:p w14:paraId="4556B09B" w14:textId="1ABD3989" w:rsidR="00527A8A" w:rsidRPr="00527A8A" w:rsidRDefault="00527A8A" w:rsidP="00527A8A">
      <w:pPr>
        <w:pStyle w:val="SingleTxt"/>
        <w:spacing w:after="0" w:line="120" w:lineRule="exact"/>
        <w:rPr>
          <w:sz w:val="10"/>
        </w:rPr>
      </w:pPr>
    </w:p>
    <w:p w14:paraId="6854F0B1" w14:textId="1DA2B1C9" w:rsidR="00527A8A" w:rsidRPr="00527A8A" w:rsidRDefault="00527A8A" w:rsidP="00527A8A">
      <w:pPr>
        <w:pStyle w:val="SingleTxt"/>
        <w:spacing w:after="0" w:line="120" w:lineRule="exact"/>
        <w:rPr>
          <w:sz w:val="10"/>
        </w:rPr>
      </w:pPr>
    </w:p>
    <w:tbl>
      <w:tblPr>
        <w:tblW w:w="0" w:type="auto"/>
        <w:tblInd w:w="1242" w:type="dxa"/>
        <w:tblLayout w:type="fixed"/>
        <w:tblCellMar>
          <w:left w:w="0" w:type="dxa"/>
          <w:right w:w="0" w:type="dxa"/>
        </w:tblCellMar>
        <w:tblLook w:val="0000" w:firstRow="0" w:lastRow="0" w:firstColumn="0" w:lastColumn="0" w:noHBand="0" w:noVBand="0"/>
      </w:tblPr>
      <w:tblGrid>
        <w:gridCol w:w="18"/>
        <w:gridCol w:w="1572"/>
        <w:gridCol w:w="138"/>
        <w:gridCol w:w="1305"/>
        <w:gridCol w:w="1539"/>
        <w:gridCol w:w="180"/>
        <w:gridCol w:w="1242"/>
        <w:gridCol w:w="1404"/>
        <w:gridCol w:w="48"/>
      </w:tblGrid>
      <w:tr w:rsidR="00527A8A" w:rsidRPr="00527A8A" w14:paraId="5E8C6882" w14:textId="77777777" w:rsidTr="002973C0">
        <w:trPr>
          <w:tblHeader/>
        </w:trPr>
        <w:tc>
          <w:tcPr>
            <w:tcW w:w="1728" w:type="dxa"/>
            <w:gridSpan w:val="3"/>
            <w:tcBorders>
              <w:top w:val="single" w:sz="4" w:space="0" w:color="auto"/>
            </w:tcBorders>
            <w:shd w:val="clear" w:color="auto" w:fill="auto"/>
            <w:vAlign w:val="bottom"/>
          </w:tcPr>
          <w:p w14:paraId="6591B16F" w14:textId="77777777" w:rsidR="00527A8A" w:rsidRPr="00527A8A" w:rsidRDefault="00527A8A" w:rsidP="00527A8A">
            <w:pPr>
              <w:tabs>
                <w:tab w:val="left" w:pos="288"/>
                <w:tab w:val="left" w:pos="576"/>
                <w:tab w:val="left" w:pos="864"/>
                <w:tab w:val="left" w:pos="1152"/>
              </w:tabs>
              <w:suppressAutoHyphens/>
              <w:spacing w:before="81" w:after="81" w:line="160" w:lineRule="exact"/>
              <w:ind w:right="40"/>
              <w:rPr>
                <w:i/>
                <w:sz w:val="14"/>
              </w:rPr>
            </w:pPr>
          </w:p>
        </w:tc>
        <w:tc>
          <w:tcPr>
            <w:tcW w:w="2844" w:type="dxa"/>
            <w:gridSpan w:val="2"/>
            <w:tcBorders>
              <w:top w:val="single" w:sz="4" w:space="0" w:color="auto"/>
              <w:bottom w:val="single" w:sz="4" w:space="0" w:color="auto"/>
            </w:tcBorders>
            <w:shd w:val="clear" w:color="auto" w:fill="auto"/>
            <w:vAlign w:val="bottom"/>
          </w:tcPr>
          <w:p w14:paraId="34DD2F70" w14:textId="7DD65B52"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center"/>
              <w:rPr>
                <w:i/>
                <w:sz w:val="14"/>
              </w:rPr>
            </w:pPr>
            <w:r>
              <w:rPr>
                <w:i/>
                <w:sz w:val="14"/>
              </w:rPr>
              <w:t>Pour</w:t>
            </w:r>
          </w:p>
        </w:tc>
        <w:tc>
          <w:tcPr>
            <w:tcW w:w="180" w:type="dxa"/>
            <w:tcBorders>
              <w:top w:val="single" w:sz="4" w:space="0" w:color="auto"/>
            </w:tcBorders>
            <w:shd w:val="clear" w:color="auto" w:fill="auto"/>
            <w:vAlign w:val="bottom"/>
          </w:tcPr>
          <w:p w14:paraId="2471A738" w14:textId="77777777"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p>
        </w:tc>
        <w:tc>
          <w:tcPr>
            <w:tcW w:w="2694" w:type="dxa"/>
            <w:gridSpan w:val="3"/>
            <w:tcBorders>
              <w:top w:val="single" w:sz="4" w:space="0" w:color="auto"/>
              <w:bottom w:val="single" w:sz="4" w:space="0" w:color="auto"/>
            </w:tcBorders>
            <w:shd w:val="clear" w:color="auto" w:fill="auto"/>
            <w:vAlign w:val="bottom"/>
          </w:tcPr>
          <w:p w14:paraId="3250BDC1" w14:textId="44FA3533"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center"/>
              <w:rPr>
                <w:i/>
                <w:sz w:val="14"/>
              </w:rPr>
            </w:pPr>
            <w:r>
              <w:rPr>
                <w:i/>
                <w:sz w:val="14"/>
              </w:rPr>
              <w:t>Contre</w:t>
            </w:r>
          </w:p>
        </w:tc>
      </w:tr>
      <w:tr w:rsidR="00527A8A" w:rsidRPr="00527A8A" w14:paraId="486E7C09" w14:textId="77777777" w:rsidTr="002973C0">
        <w:trPr>
          <w:tblHeader/>
        </w:trPr>
        <w:tc>
          <w:tcPr>
            <w:tcW w:w="1728" w:type="dxa"/>
            <w:gridSpan w:val="3"/>
            <w:tcBorders>
              <w:bottom w:val="single" w:sz="12" w:space="0" w:color="auto"/>
            </w:tcBorders>
            <w:shd w:val="clear" w:color="auto" w:fill="auto"/>
            <w:vAlign w:val="bottom"/>
          </w:tcPr>
          <w:p w14:paraId="4B92236F" w14:textId="21B851FE" w:rsidR="00527A8A" w:rsidRPr="00527A8A" w:rsidRDefault="00527A8A" w:rsidP="00527A8A">
            <w:pPr>
              <w:tabs>
                <w:tab w:val="left" w:pos="288"/>
                <w:tab w:val="left" w:pos="576"/>
                <w:tab w:val="left" w:pos="864"/>
                <w:tab w:val="left" w:pos="1152"/>
              </w:tabs>
              <w:suppressAutoHyphens/>
              <w:spacing w:before="81" w:after="81" w:line="160" w:lineRule="exact"/>
              <w:ind w:right="40"/>
              <w:rPr>
                <w:i/>
                <w:sz w:val="14"/>
              </w:rPr>
            </w:pPr>
            <w:r>
              <w:rPr>
                <w:i/>
                <w:sz w:val="14"/>
              </w:rPr>
              <w:t>Question</w:t>
            </w:r>
          </w:p>
        </w:tc>
        <w:tc>
          <w:tcPr>
            <w:tcW w:w="1305" w:type="dxa"/>
            <w:tcBorders>
              <w:top w:val="single" w:sz="4" w:space="0" w:color="auto"/>
              <w:bottom w:val="single" w:sz="12" w:space="0" w:color="auto"/>
            </w:tcBorders>
            <w:shd w:val="clear" w:color="auto" w:fill="auto"/>
            <w:vAlign w:val="bottom"/>
          </w:tcPr>
          <w:p w14:paraId="40663BDB" w14:textId="32BA3365"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r>
              <w:rPr>
                <w:i/>
                <w:sz w:val="14"/>
              </w:rPr>
              <w:t>Votes</w:t>
            </w:r>
          </w:p>
        </w:tc>
        <w:tc>
          <w:tcPr>
            <w:tcW w:w="1539" w:type="dxa"/>
            <w:tcBorders>
              <w:top w:val="single" w:sz="4" w:space="0" w:color="auto"/>
              <w:bottom w:val="single" w:sz="12" w:space="0" w:color="auto"/>
            </w:tcBorders>
            <w:shd w:val="clear" w:color="auto" w:fill="auto"/>
            <w:vAlign w:val="bottom"/>
          </w:tcPr>
          <w:p w14:paraId="2D1314EE" w14:textId="41F72F57"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r>
              <w:rPr>
                <w:i/>
                <w:sz w:val="14"/>
              </w:rPr>
              <w:t>Pourcentage</w:t>
            </w:r>
          </w:p>
        </w:tc>
        <w:tc>
          <w:tcPr>
            <w:tcW w:w="180" w:type="dxa"/>
            <w:tcBorders>
              <w:bottom w:val="single" w:sz="12" w:space="0" w:color="auto"/>
            </w:tcBorders>
            <w:shd w:val="clear" w:color="auto" w:fill="auto"/>
            <w:vAlign w:val="bottom"/>
          </w:tcPr>
          <w:p w14:paraId="5016B62B" w14:textId="77777777"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p>
        </w:tc>
        <w:tc>
          <w:tcPr>
            <w:tcW w:w="1242" w:type="dxa"/>
            <w:tcBorders>
              <w:top w:val="single" w:sz="4" w:space="0" w:color="auto"/>
              <w:bottom w:val="single" w:sz="12" w:space="0" w:color="auto"/>
            </w:tcBorders>
            <w:shd w:val="clear" w:color="auto" w:fill="auto"/>
            <w:vAlign w:val="bottom"/>
          </w:tcPr>
          <w:p w14:paraId="125762F2" w14:textId="63F54DBF"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r>
              <w:rPr>
                <w:i/>
                <w:sz w:val="14"/>
              </w:rPr>
              <w:t>Votes</w:t>
            </w:r>
          </w:p>
        </w:tc>
        <w:tc>
          <w:tcPr>
            <w:tcW w:w="1452" w:type="dxa"/>
            <w:gridSpan w:val="2"/>
            <w:tcBorders>
              <w:top w:val="single" w:sz="4" w:space="0" w:color="auto"/>
              <w:bottom w:val="single" w:sz="12" w:space="0" w:color="auto"/>
            </w:tcBorders>
            <w:shd w:val="clear" w:color="auto" w:fill="auto"/>
            <w:vAlign w:val="bottom"/>
          </w:tcPr>
          <w:p w14:paraId="3D7B90CA" w14:textId="052E0CF6" w:rsidR="00527A8A" w:rsidRPr="00527A8A" w:rsidRDefault="00527A8A" w:rsidP="00527A8A">
            <w:pPr>
              <w:tabs>
                <w:tab w:val="left" w:pos="288"/>
                <w:tab w:val="left" w:pos="576"/>
                <w:tab w:val="left" w:pos="864"/>
                <w:tab w:val="left" w:pos="1152"/>
              </w:tabs>
              <w:suppressAutoHyphens/>
              <w:spacing w:before="81" w:after="81" w:line="160" w:lineRule="exact"/>
              <w:ind w:left="144" w:right="43"/>
              <w:jc w:val="right"/>
              <w:rPr>
                <w:i/>
                <w:sz w:val="14"/>
              </w:rPr>
            </w:pPr>
            <w:r>
              <w:rPr>
                <w:i/>
                <w:sz w:val="14"/>
              </w:rPr>
              <w:t>Pourcentage</w:t>
            </w:r>
          </w:p>
        </w:tc>
      </w:tr>
      <w:tr w:rsidR="00527A8A" w:rsidRPr="00527A8A" w14:paraId="0499FC08" w14:textId="77777777" w:rsidTr="002973C0">
        <w:trPr>
          <w:trHeight w:hRule="exact" w:val="115"/>
          <w:tblHeader/>
        </w:trPr>
        <w:tc>
          <w:tcPr>
            <w:tcW w:w="1728" w:type="dxa"/>
            <w:gridSpan w:val="3"/>
            <w:tcBorders>
              <w:top w:val="single" w:sz="12" w:space="0" w:color="auto"/>
            </w:tcBorders>
            <w:shd w:val="clear" w:color="auto" w:fill="auto"/>
            <w:vAlign w:val="bottom"/>
          </w:tcPr>
          <w:p w14:paraId="2A34F703" w14:textId="77777777" w:rsidR="00527A8A" w:rsidRPr="00527A8A" w:rsidRDefault="00527A8A" w:rsidP="00527A8A">
            <w:pPr>
              <w:tabs>
                <w:tab w:val="left" w:pos="288"/>
                <w:tab w:val="left" w:pos="576"/>
                <w:tab w:val="left" w:pos="864"/>
                <w:tab w:val="left" w:pos="1152"/>
              </w:tabs>
              <w:suppressAutoHyphens/>
              <w:spacing w:before="40" w:after="40" w:line="210" w:lineRule="exact"/>
              <w:ind w:right="40"/>
              <w:rPr>
                <w:sz w:val="17"/>
              </w:rPr>
            </w:pPr>
          </w:p>
        </w:tc>
        <w:tc>
          <w:tcPr>
            <w:tcW w:w="1305" w:type="dxa"/>
            <w:tcBorders>
              <w:top w:val="single" w:sz="12" w:space="0" w:color="auto"/>
            </w:tcBorders>
            <w:shd w:val="clear" w:color="auto" w:fill="auto"/>
            <w:vAlign w:val="bottom"/>
          </w:tcPr>
          <w:p w14:paraId="4CF5011D" w14:textId="77777777" w:rsidR="00527A8A" w:rsidRPr="00527A8A" w:rsidRDefault="00527A8A" w:rsidP="00527A8A">
            <w:pPr>
              <w:tabs>
                <w:tab w:val="left" w:pos="288"/>
                <w:tab w:val="left" w:pos="576"/>
                <w:tab w:val="left" w:pos="864"/>
                <w:tab w:val="left" w:pos="1152"/>
              </w:tabs>
              <w:suppressAutoHyphens/>
              <w:spacing w:before="40" w:after="40" w:line="210" w:lineRule="exact"/>
              <w:ind w:left="144" w:right="43"/>
              <w:jc w:val="right"/>
              <w:rPr>
                <w:sz w:val="17"/>
              </w:rPr>
            </w:pPr>
          </w:p>
        </w:tc>
        <w:tc>
          <w:tcPr>
            <w:tcW w:w="1539" w:type="dxa"/>
            <w:tcBorders>
              <w:top w:val="single" w:sz="12" w:space="0" w:color="auto"/>
            </w:tcBorders>
            <w:shd w:val="clear" w:color="auto" w:fill="auto"/>
            <w:vAlign w:val="bottom"/>
          </w:tcPr>
          <w:p w14:paraId="6E3889E7" w14:textId="77777777" w:rsidR="00527A8A" w:rsidRPr="00527A8A" w:rsidRDefault="00527A8A" w:rsidP="00527A8A">
            <w:pPr>
              <w:tabs>
                <w:tab w:val="left" w:pos="288"/>
                <w:tab w:val="left" w:pos="576"/>
                <w:tab w:val="left" w:pos="864"/>
                <w:tab w:val="left" w:pos="1152"/>
              </w:tabs>
              <w:suppressAutoHyphens/>
              <w:spacing w:before="40" w:after="40" w:line="210" w:lineRule="exact"/>
              <w:ind w:left="144" w:right="43"/>
              <w:jc w:val="right"/>
              <w:rPr>
                <w:sz w:val="17"/>
              </w:rPr>
            </w:pPr>
          </w:p>
        </w:tc>
        <w:tc>
          <w:tcPr>
            <w:tcW w:w="180" w:type="dxa"/>
            <w:tcBorders>
              <w:top w:val="single" w:sz="12" w:space="0" w:color="auto"/>
            </w:tcBorders>
            <w:shd w:val="clear" w:color="auto" w:fill="auto"/>
            <w:vAlign w:val="bottom"/>
          </w:tcPr>
          <w:p w14:paraId="0A0F50FE" w14:textId="77777777" w:rsidR="00527A8A" w:rsidRPr="00527A8A" w:rsidRDefault="00527A8A" w:rsidP="00527A8A">
            <w:pPr>
              <w:tabs>
                <w:tab w:val="left" w:pos="288"/>
                <w:tab w:val="left" w:pos="576"/>
                <w:tab w:val="left" w:pos="864"/>
                <w:tab w:val="left" w:pos="1152"/>
              </w:tabs>
              <w:suppressAutoHyphens/>
              <w:spacing w:before="40" w:after="40" w:line="210" w:lineRule="exact"/>
              <w:ind w:left="144" w:right="43"/>
              <w:jc w:val="right"/>
              <w:rPr>
                <w:sz w:val="17"/>
              </w:rPr>
            </w:pPr>
          </w:p>
        </w:tc>
        <w:tc>
          <w:tcPr>
            <w:tcW w:w="1242" w:type="dxa"/>
            <w:tcBorders>
              <w:top w:val="single" w:sz="12" w:space="0" w:color="auto"/>
            </w:tcBorders>
            <w:shd w:val="clear" w:color="auto" w:fill="auto"/>
            <w:vAlign w:val="bottom"/>
          </w:tcPr>
          <w:p w14:paraId="08A2CD4F" w14:textId="77777777" w:rsidR="00527A8A" w:rsidRPr="00527A8A" w:rsidRDefault="00527A8A" w:rsidP="00527A8A">
            <w:pPr>
              <w:tabs>
                <w:tab w:val="left" w:pos="288"/>
                <w:tab w:val="left" w:pos="576"/>
                <w:tab w:val="left" w:pos="864"/>
                <w:tab w:val="left" w:pos="1152"/>
              </w:tabs>
              <w:suppressAutoHyphens/>
              <w:spacing w:before="40" w:after="40" w:line="210" w:lineRule="exact"/>
              <w:ind w:left="144" w:right="43"/>
              <w:jc w:val="right"/>
              <w:rPr>
                <w:sz w:val="17"/>
              </w:rPr>
            </w:pPr>
          </w:p>
        </w:tc>
        <w:tc>
          <w:tcPr>
            <w:tcW w:w="1452" w:type="dxa"/>
            <w:gridSpan w:val="2"/>
            <w:tcBorders>
              <w:top w:val="single" w:sz="12" w:space="0" w:color="auto"/>
            </w:tcBorders>
            <w:shd w:val="clear" w:color="auto" w:fill="auto"/>
            <w:vAlign w:val="bottom"/>
          </w:tcPr>
          <w:p w14:paraId="68AB098B" w14:textId="77777777" w:rsidR="00527A8A" w:rsidRPr="00527A8A" w:rsidRDefault="00527A8A" w:rsidP="00527A8A">
            <w:pPr>
              <w:tabs>
                <w:tab w:val="left" w:pos="288"/>
                <w:tab w:val="left" w:pos="576"/>
                <w:tab w:val="left" w:pos="864"/>
                <w:tab w:val="left" w:pos="1152"/>
              </w:tabs>
              <w:suppressAutoHyphens/>
              <w:spacing w:before="40" w:after="40" w:line="210" w:lineRule="exact"/>
              <w:ind w:left="144" w:right="43"/>
              <w:jc w:val="right"/>
              <w:rPr>
                <w:sz w:val="17"/>
              </w:rPr>
            </w:pPr>
          </w:p>
        </w:tc>
      </w:tr>
      <w:tr w:rsidR="00527A8A" w:rsidRPr="00105356" w14:paraId="5F7D8716" w14:textId="77777777" w:rsidTr="002973C0">
        <w:trPr>
          <w:gridBefore w:val="1"/>
          <w:gridAfter w:val="1"/>
          <w:wBefore w:w="18" w:type="dxa"/>
          <w:wAfter w:w="48" w:type="dxa"/>
        </w:trPr>
        <w:tc>
          <w:tcPr>
            <w:tcW w:w="1572" w:type="dxa"/>
            <w:shd w:val="clear" w:color="auto" w:fill="auto"/>
            <w:vAlign w:val="bottom"/>
          </w:tcPr>
          <w:p w14:paraId="0C90D641" w14:textId="77777777" w:rsidR="00527A8A" w:rsidRPr="00CF2942" w:rsidRDefault="00527A8A" w:rsidP="00BA1FB3">
            <w:pPr>
              <w:tabs>
                <w:tab w:val="left" w:pos="288"/>
                <w:tab w:val="left" w:pos="576"/>
                <w:tab w:val="left" w:pos="864"/>
                <w:tab w:val="left" w:pos="1152"/>
              </w:tabs>
              <w:suppressAutoHyphens/>
              <w:spacing w:before="40" w:after="40" w:line="210" w:lineRule="exact"/>
              <w:ind w:right="40"/>
              <w:rPr>
                <w:sz w:val="17"/>
                <w:szCs w:val="17"/>
              </w:rPr>
            </w:pPr>
            <w:r w:rsidRPr="00CF2942">
              <w:rPr>
                <w:sz w:val="17"/>
                <w:szCs w:val="17"/>
              </w:rPr>
              <w:t>1</w:t>
            </w:r>
          </w:p>
        </w:tc>
        <w:tc>
          <w:tcPr>
            <w:tcW w:w="1443" w:type="dxa"/>
            <w:gridSpan w:val="2"/>
            <w:shd w:val="clear" w:color="auto" w:fill="auto"/>
            <w:vAlign w:val="bottom"/>
          </w:tcPr>
          <w:p w14:paraId="2B7825E0"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32 249</w:t>
            </w:r>
          </w:p>
        </w:tc>
        <w:tc>
          <w:tcPr>
            <w:tcW w:w="1539" w:type="dxa"/>
            <w:shd w:val="clear" w:color="auto" w:fill="auto"/>
            <w:vAlign w:val="bottom"/>
          </w:tcPr>
          <w:p w14:paraId="3B51C6EF"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38,73</w:t>
            </w:r>
          </w:p>
        </w:tc>
        <w:tc>
          <w:tcPr>
            <w:tcW w:w="1422" w:type="dxa"/>
            <w:gridSpan w:val="2"/>
            <w:shd w:val="clear" w:color="auto" w:fill="auto"/>
            <w:vAlign w:val="bottom"/>
          </w:tcPr>
          <w:p w14:paraId="4B49A061"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51 022</w:t>
            </w:r>
          </w:p>
        </w:tc>
        <w:tc>
          <w:tcPr>
            <w:tcW w:w="1404" w:type="dxa"/>
            <w:shd w:val="clear" w:color="auto" w:fill="auto"/>
            <w:vAlign w:val="bottom"/>
          </w:tcPr>
          <w:p w14:paraId="629A961B"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61,27</w:t>
            </w:r>
          </w:p>
        </w:tc>
      </w:tr>
      <w:tr w:rsidR="00527A8A" w:rsidRPr="00105356" w14:paraId="5D364CEB" w14:textId="77777777" w:rsidTr="002973C0">
        <w:trPr>
          <w:gridBefore w:val="1"/>
          <w:gridAfter w:val="1"/>
          <w:wBefore w:w="18" w:type="dxa"/>
          <w:wAfter w:w="48" w:type="dxa"/>
        </w:trPr>
        <w:tc>
          <w:tcPr>
            <w:tcW w:w="1572" w:type="dxa"/>
            <w:shd w:val="clear" w:color="auto" w:fill="auto"/>
            <w:vAlign w:val="bottom"/>
          </w:tcPr>
          <w:p w14:paraId="6DB44BCE" w14:textId="77777777" w:rsidR="00527A8A" w:rsidRPr="00CF2942" w:rsidRDefault="00527A8A" w:rsidP="00BA1FB3">
            <w:pPr>
              <w:tabs>
                <w:tab w:val="left" w:pos="288"/>
                <w:tab w:val="left" w:pos="576"/>
                <w:tab w:val="left" w:pos="864"/>
                <w:tab w:val="left" w:pos="1152"/>
              </w:tabs>
              <w:suppressAutoHyphens/>
              <w:spacing w:before="40" w:after="40" w:line="210" w:lineRule="exact"/>
              <w:ind w:right="40"/>
              <w:rPr>
                <w:sz w:val="17"/>
                <w:szCs w:val="17"/>
              </w:rPr>
            </w:pPr>
            <w:r w:rsidRPr="00CF2942">
              <w:rPr>
                <w:sz w:val="17"/>
                <w:szCs w:val="17"/>
              </w:rPr>
              <w:t>2</w:t>
            </w:r>
          </w:p>
        </w:tc>
        <w:tc>
          <w:tcPr>
            <w:tcW w:w="1443" w:type="dxa"/>
            <w:gridSpan w:val="2"/>
            <w:shd w:val="clear" w:color="auto" w:fill="auto"/>
            <w:vAlign w:val="bottom"/>
          </w:tcPr>
          <w:p w14:paraId="38CCFE7F"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24 148</w:t>
            </w:r>
          </w:p>
        </w:tc>
        <w:tc>
          <w:tcPr>
            <w:tcW w:w="1539" w:type="dxa"/>
            <w:shd w:val="clear" w:color="auto" w:fill="auto"/>
            <w:vAlign w:val="bottom"/>
          </w:tcPr>
          <w:p w14:paraId="2B4C0DE7"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28,79</w:t>
            </w:r>
          </w:p>
        </w:tc>
        <w:tc>
          <w:tcPr>
            <w:tcW w:w="1422" w:type="dxa"/>
            <w:gridSpan w:val="2"/>
            <w:shd w:val="clear" w:color="auto" w:fill="auto"/>
            <w:vAlign w:val="bottom"/>
          </w:tcPr>
          <w:p w14:paraId="1FBE2080"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59 714</w:t>
            </w:r>
          </w:p>
        </w:tc>
        <w:tc>
          <w:tcPr>
            <w:tcW w:w="1404" w:type="dxa"/>
            <w:shd w:val="clear" w:color="auto" w:fill="auto"/>
            <w:vAlign w:val="bottom"/>
          </w:tcPr>
          <w:p w14:paraId="5BF19036"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71,21</w:t>
            </w:r>
          </w:p>
        </w:tc>
      </w:tr>
      <w:tr w:rsidR="00527A8A" w:rsidRPr="00105356" w14:paraId="287E544E" w14:textId="77777777" w:rsidTr="002973C0">
        <w:trPr>
          <w:gridBefore w:val="1"/>
          <w:gridAfter w:val="1"/>
          <w:wBefore w:w="18" w:type="dxa"/>
          <w:wAfter w:w="48" w:type="dxa"/>
        </w:trPr>
        <w:tc>
          <w:tcPr>
            <w:tcW w:w="1572" w:type="dxa"/>
            <w:shd w:val="clear" w:color="auto" w:fill="auto"/>
            <w:vAlign w:val="bottom"/>
          </w:tcPr>
          <w:p w14:paraId="0731C365" w14:textId="77777777" w:rsidR="00527A8A" w:rsidRPr="00CF2942" w:rsidRDefault="00527A8A" w:rsidP="00BA1FB3">
            <w:pPr>
              <w:tabs>
                <w:tab w:val="left" w:pos="288"/>
                <w:tab w:val="left" w:pos="576"/>
                <w:tab w:val="left" w:pos="864"/>
                <w:tab w:val="left" w:pos="1152"/>
              </w:tabs>
              <w:suppressAutoHyphens/>
              <w:spacing w:before="40" w:after="40" w:line="210" w:lineRule="exact"/>
              <w:ind w:right="40"/>
              <w:rPr>
                <w:sz w:val="17"/>
                <w:szCs w:val="17"/>
              </w:rPr>
            </w:pPr>
            <w:r w:rsidRPr="00CF2942">
              <w:rPr>
                <w:sz w:val="17"/>
                <w:szCs w:val="17"/>
              </w:rPr>
              <w:t>3</w:t>
            </w:r>
          </w:p>
        </w:tc>
        <w:tc>
          <w:tcPr>
            <w:tcW w:w="1443" w:type="dxa"/>
            <w:gridSpan w:val="2"/>
            <w:shd w:val="clear" w:color="auto" w:fill="auto"/>
            <w:vAlign w:val="bottom"/>
          </w:tcPr>
          <w:p w14:paraId="1B219C03"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28 246</w:t>
            </w:r>
          </w:p>
        </w:tc>
        <w:tc>
          <w:tcPr>
            <w:tcW w:w="1539" w:type="dxa"/>
            <w:shd w:val="clear" w:color="auto" w:fill="auto"/>
            <w:vAlign w:val="bottom"/>
          </w:tcPr>
          <w:p w14:paraId="736AD9E8"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33,98</w:t>
            </w:r>
          </w:p>
        </w:tc>
        <w:tc>
          <w:tcPr>
            <w:tcW w:w="1422" w:type="dxa"/>
            <w:gridSpan w:val="2"/>
            <w:shd w:val="clear" w:color="auto" w:fill="auto"/>
            <w:vAlign w:val="bottom"/>
          </w:tcPr>
          <w:p w14:paraId="653689AC"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54 890</w:t>
            </w:r>
          </w:p>
        </w:tc>
        <w:tc>
          <w:tcPr>
            <w:tcW w:w="1404" w:type="dxa"/>
            <w:shd w:val="clear" w:color="auto" w:fill="auto"/>
            <w:vAlign w:val="bottom"/>
          </w:tcPr>
          <w:p w14:paraId="784C7701"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66,02</w:t>
            </w:r>
          </w:p>
        </w:tc>
      </w:tr>
      <w:tr w:rsidR="00527A8A" w:rsidRPr="00105356" w14:paraId="033909E2" w14:textId="77777777" w:rsidTr="002973C0">
        <w:trPr>
          <w:gridBefore w:val="1"/>
          <w:gridAfter w:val="1"/>
          <w:wBefore w:w="18" w:type="dxa"/>
          <w:wAfter w:w="48" w:type="dxa"/>
        </w:trPr>
        <w:tc>
          <w:tcPr>
            <w:tcW w:w="1572" w:type="dxa"/>
            <w:tcBorders>
              <w:bottom w:val="single" w:sz="12" w:space="0" w:color="auto"/>
            </w:tcBorders>
            <w:shd w:val="clear" w:color="auto" w:fill="auto"/>
            <w:vAlign w:val="bottom"/>
          </w:tcPr>
          <w:p w14:paraId="11750064" w14:textId="77777777" w:rsidR="00527A8A" w:rsidRPr="00CF2942" w:rsidRDefault="00527A8A" w:rsidP="00BA1FB3">
            <w:pPr>
              <w:tabs>
                <w:tab w:val="left" w:pos="288"/>
                <w:tab w:val="left" w:pos="576"/>
                <w:tab w:val="left" w:pos="864"/>
                <w:tab w:val="left" w:pos="1152"/>
              </w:tabs>
              <w:suppressAutoHyphens/>
              <w:spacing w:before="40" w:after="40" w:line="210" w:lineRule="exact"/>
              <w:ind w:right="40"/>
              <w:rPr>
                <w:sz w:val="17"/>
                <w:szCs w:val="17"/>
              </w:rPr>
            </w:pPr>
            <w:r w:rsidRPr="00CF2942">
              <w:rPr>
                <w:sz w:val="17"/>
                <w:szCs w:val="17"/>
              </w:rPr>
              <w:t>4</w:t>
            </w:r>
          </w:p>
        </w:tc>
        <w:tc>
          <w:tcPr>
            <w:tcW w:w="1443" w:type="dxa"/>
            <w:gridSpan w:val="2"/>
            <w:tcBorders>
              <w:bottom w:val="single" w:sz="12" w:space="0" w:color="auto"/>
            </w:tcBorders>
            <w:shd w:val="clear" w:color="auto" w:fill="auto"/>
            <w:vAlign w:val="bottom"/>
          </w:tcPr>
          <w:p w14:paraId="509CBDD1"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17 919</w:t>
            </w:r>
          </w:p>
        </w:tc>
        <w:tc>
          <w:tcPr>
            <w:tcW w:w="1539" w:type="dxa"/>
            <w:tcBorders>
              <w:bottom w:val="single" w:sz="12" w:space="0" w:color="auto"/>
            </w:tcBorders>
            <w:shd w:val="clear" w:color="auto" w:fill="auto"/>
            <w:vAlign w:val="bottom"/>
          </w:tcPr>
          <w:p w14:paraId="282ACB53"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21,43</w:t>
            </w:r>
          </w:p>
        </w:tc>
        <w:tc>
          <w:tcPr>
            <w:tcW w:w="1422" w:type="dxa"/>
            <w:gridSpan w:val="2"/>
            <w:tcBorders>
              <w:bottom w:val="single" w:sz="12" w:space="0" w:color="auto"/>
            </w:tcBorders>
            <w:shd w:val="clear" w:color="auto" w:fill="auto"/>
            <w:vAlign w:val="bottom"/>
          </w:tcPr>
          <w:p w14:paraId="0CC7052C"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65 696</w:t>
            </w:r>
          </w:p>
        </w:tc>
        <w:tc>
          <w:tcPr>
            <w:tcW w:w="1404" w:type="dxa"/>
            <w:tcBorders>
              <w:bottom w:val="single" w:sz="12" w:space="0" w:color="auto"/>
            </w:tcBorders>
            <w:shd w:val="clear" w:color="auto" w:fill="auto"/>
            <w:vAlign w:val="bottom"/>
          </w:tcPr>
          <w:p w14:paraId="4A1E308A" w14:textId="77777777" w:rsidR="00527A8A" w:rsidRPr="00CF2942" w:rsidRDefault="00527A8A" w:rsidP="00BA1FB3">
            <w:pPr>
              <w:tabs>
                <w:tab w:val="left" w:pos="288"/>
                <w:tab w:val="left" w:pos="576"/>
                <w:tab w:val="left" w:pos="864"/>
                <w:tab w:val="left" w:pos="1152"/>
              </w:tabs>
              <w:suppressAutoHyphens/>
              <w:spacing w:before="40" w:after="40" w:line="210" w:lineRule="exact"/>
              <w:ind w:left="144" w:right="43"/>
              <w:jc w:val="right"/>
              <w:rPr>
                <w:sz w:val="17"/>
                <w:szCs w:val="17"/>
              </w:rPr>
            </w:pPr>
            <w:r w:rsidRPr="00CF2942">
              <w:rPr>
                <w:sz w:val="17"/>
                <w:szCs w:val="17"/>
              </w:rPr>
              <w:t>78,57</w:t>
            </w:r>
          </w:p>
        </w:tc>
      </w:tr>
    </w:tbl>
    <w:p w14:paraId="30B6A1EC" w14:textId="696EB52C" w:rsidR="00105356" w:rsidRPr="00105356" w:rsidRDefault="00105356" w:rsidP="00105356">
      <w:pPr>
        <w:pStyle w:val="SingleTxt"/>
        <w:suppressAutoHyphens/>
        <w:spacing w:after="0" w:line="120" w:lineRule="exact"/>
        <w:rPr>
          <w:sz w:val="10"/>
        </w:rPr>
      </w:pPr>
    </w:p>
    <w:p w14:paraId="66F2DA26" w14:textId="027D4914" w:rsidR="00AF34C2" w:rsidRPr="00CF2942" w:rsidRDefault="00CF2942" w:rsidP="00CF2942">
      <w:pPr>
        <w:pStyle w:val="FootnoteText"/>
        <w:tabs>
          <w:tab w:val="clear" w:pos="418"/>
          <w:tab w:val="right" w:pos="1476"/>
          <w:tab w:val="left" w:pos="1548"/>
          <w:tab w:val="right" w:pos="1836"/>
          <w:tab w:val="left" w:pos="1908"/>
        </w:tabs>
        <w:ind w:left="1548" w:right="1267" w:hanging="288"/>
        <w:rPr>
          <w:szCs w:val="17"/>
        </w:rPr>
      </w:pPr>
      <w:r w:rsidRPr="00CF2942">
        <w:rPr>
          <w:i/>
          <w:szCs w:val="17"/>
          <w:lang w:val="fr-FR"/>
        </w:rPr>
        <w:t>Source</w:t>
      </w:r>
      <w:r>
        <w:rPr>
          <w:i/>
          <w:szCs w:val="17"/>
          <w:lang w:val="fr-FR"/>
        </w:rPr>
        <w:t> </w:t>
      </w:r>
      <w:r w:rsidRPr="00CF2942">
        <w:rPr>
          <w:szCs w:val="17"/>
          <w:lang w:val="fr-FR"/>
        </w:rPr>
        <w:t>: Tribune242 (http://www.tribune242.com/news/2016/jun/10/06102016-edition/).</w:t>
      </w:r>
    </w:p>
    <w:p w14:paraId="7967DA7C" w14:textId="43B72D32" w:rsidR="00AF34C2" w:rsidRPr="00ED3730" w:rsidRDefault="00AF34C2" w:rsidP="00ED3730">
      <w:pPr>
        <w:pStyle w:val="SingleTxt"/>
        <w:spacing w:after="0" w:line="120" w:lineRule="exact"/>
        <w:rPr>
          <w:sz w:val="10"/>
          <w:szCs w:val="17"/>
        </w:rPr>
      </w:pPr>
    </w:p>
    <w:p w14:paraId="654D9E45" w14:textId="6DBDA55D" w:rsidR="00ED3730" w:rsidRPr="00ED3730" w:rsidRDefault="00ED3730" w:rsidP="00ED3730">
      <w:pPr>
        <w:pStyle w:val="SingleTxt"/>
        <w:spacing w:after="0" w:line="120" w:lineRule="exact"/>
        <w:rPr>
          <w:sz w:val="10"/>
          <w:szCs w:val="17"/>
        </w:rPr>
      </w:pPr>
    </w:p>
    <w:p w14:paraId="1F7DDAFF" w14:textId="3A472601" w:rsidR="00ED3730" w:rsidRPr="00ED3730" w:rsidRDefault="00ED3730" w:rsidP="00ED3730">
      <w:pPr>
        <w:pStyle w:val="SingleTxt"/>
        <w:spacing w:after="0" w:line="120" w:lineRule="exact"/>
        <w:rPr>
          <w:sz w:val="10"/>
          <w:szCs w:val="17"/>
        </w:rPr>
      </w:pPr>
    </w:p>
    <w:p w14:paraId="43ECCB19" w14:textId="00452725" w:rsidR="00ED3730" w:rsidRPr="00EF4786" w:rsidRDefault="00ED3730" w:rsidP="00ED37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4786">
        <w:t>Sensibilisation à l</w:t>
      </w:r>
      <w:r w:rsidR="00000F67">
        <w:t>’</w:t>
      </w:r>
      <w:r w:rsidRPr="00EF4786">
        <w:t>importance du référendum</w:t>
      </w:r>
    </w:p>
    <w:p w14:paraId="0F83ADEB" w14:textId="0CBAF869" w:rsidR="00ED3730" w:rsidRPr="00ED3730" w:rsidRDefault="00ED3730" w:rsidP="00ED3730">
      <w:pPr>
        <w:pStyle w:val="SingleTxt"/>
        <w:suppressAutoHyphens/>
        <w:spacing w:after="0" w:line="120" w:lineRule="exact"/>
        <w:rPr>
          <w:color w:val="000000"/>
          <w:sz w:val="10"/>
        </w:rPr>
      </w:pPr>
    </w:p>
    <w:p w14:paraId="2A522FFA" w14:textId="1CA13F4F" w:rsidR="00ED3730" w:rsidRDefault="00ED3730" w:rsidP="00C67914">
      <w:pPr>
        <w:pStyle w:val="SingleTxt"/>
        <w:numPr>
          <w:ilvl w:val="0"/>
          <w:numId w:val="18"/>
        </w:numPr>
        <w:suppressAutoHyphens/>
        <w:ind w:left="1267" w:firstLine="0"/>
        <w:rPr>
          <w:color w:val="000000"/>
        </w:rPr>
      </w:pPr>
      <w:r w:rsidRPr="00ED3730">
        <w:rPr>
          <w:color w:val="000000"/>
        </w:rPr>
        <w:t>Une campagne de sensibilisation à l</w:t>
      </w:r>
      <w:r w:rsidR="00000F67">
        <w:rPr>
          <w:color w:val="000000"/>
        </w:rPr>
        <w:t>’</w:t>
      </w:r>
      <w:r w:rsidRPr="00ED3730">
        <w:rPr>
          <w:color w:val="000000"/>
        </w:rPr>
        <w:t>importance du référendum a été lancée durant la période précédant le référendum de 2016. L</w:t>
      </w:r>
      <w:r w:rsidR="00000F67">
        <w:rPr>
          <w:color w:val="000000"/>
        </w:rPr>
        <w:t>’</w:t>
      </w:r>
      <w:r w:rsidRPr="00ED3730">
        <w:rPr>
          <w:color w:val="000000"/>
        </w:rPr>
        <w:t>équipe de sensibilisation a rencontré des personnes d</w:t>
      </w:r>
      <w:r w:rsidR="00000F67">
        <w:rPr>
          <w:color w:val="000000"/>
        </w:rPr>
        <w:t>’</w:t>
      </w:r>
      <w:r w:rsidRPr="00ED3730">
        <w:rPr>
          <w:color w:val="000000"/>
        </w:rPr>
        <w:t>horizons divers, y compris des représentants d</w:t>
      </w:r>
      <w:r w:rsidR="00000F67">
        <w:rPr>
          <w:color w:val="000000"/>
        </w:rPr>
        <w:t>’</w:t>
      </w:r>
      <w:r w:rsidRPr="00ED3730">
        <w:rPr>
          <w:color w:val="000000"/>
        </w:rPr>
        <w:t>organisations confessionnelles à New Providence et dans les Family Islands, et a présenté des émissions sur des chaînes de radio et de télévision. Des visites de sensibilisation ont été organisées dans la Grande Bahama, à Abaco, Exuma, Cat</w:t>
      </w:r>
      <w:r>
        <w:rPr>
          <w:color w:val="000000"/>
        </w:rPr>
        <w:t> </w:t>
      </w:r>
      <w:r w:rsidRPr="00ED3730">
        <w:rPr>
          <w:color w:val="000000"/>
        </w:rPr>
        <w:t>Island, Long Island et Mayaguana.</w:t>
      </w:r>
    </w:p>
    <w:p w14:paraId="004D2489" w14:textId="37991539" w:rsidR="00ED3730" w:rsidRPr="00ED3730" w:rsidRDefault="00ED3730" w:rsidP="00C67914">
      <w:pPr>
        <w:pStyle w:val="SingleTxt"/>
        <w:numPr>
          <w:ilvl w:val="0"/>
          <w:numId w:val="18"/>
        </w:numPr>
        <w:suppressAutoHyphens/>
        <w:ind w:left="1267" w:firstLine="0"/>
        <w:rPr>
          <w:color w:val="000000"/>
        </w:rPr>
      </w:pPr>
      <w:r w:rsidRPr="00ED3730">
        <w:rPr>
          <w:color w:val="000000"/>
        </w:rPr>
        <w:t>Le référendum constitutionnel a clairement montré le niveau élevé de la pratique démocratique aux Bahamas. Le Gouvernement doit cependant élaborer des mécanismes juridiques de protection des citoyens par des mesures de promotion de l</w:t>
      </w:r>
      <w:r w:rsidR="00000F67">
        <w:rPr>
          <w:color w:val="000000"/>
        </w:rPr>
        <w:t>’</w:t>
      </w:r>
      <w:r w:rsidRPr="00ED3730">
        <w:rPr>
          <w:color w:val="000000"/>
        </w:rPr>
        <w:t>égalité des sexes et de l</w:t>
      </w:r>
      <w:r w:rsidR="00000F67">
        <w:rPr>
          <w:color w:val="000000"/>
        </w:rPr>
        <w:t>’</w:t>
      </w:r>
      <w:r w:rsidRPr="00ED3730">
        <w:rPr>
          <w:color w:val="000000"/>
        </w:rPr>
        <w:t>égalité dans la transmission de la citoyenneté.</w:t>
      </w:r>
    </w:p>
    <w:p w14:paraId="6856EC4E" w14:textId="26BBDE09" w:rsidR="00ED3730" w:rsidRPr="00ED3730" w:rsidRDefault="00ED3730" w:rsidP="00ED3730">
      <w:pPr>
        <w:pStyle w:val="SingleTxt"/>
        <w:suppressAutoHyphens/>
        <w:spacing w:after="0" w:line="120" w:lineRule="exact"/>
        <w:rPr>
          <w:i/>
          <w:color w:val="000000"/>
          <w:sz w:val="10"/>
        </w:rPr>
      </w:pPr>
    </w:p>
    <w:p w14:paraId="2A7F4342" w14:textId="7724A065" w:rsidR="00ED3730" w:rsidRPr="00EF4786" w:rsidRDefault="00ED3730" w:rsidP="00ED37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4786">
        <w:t>Amendements proposés au Code de la nationalité des Bahamas</w:t>
      </w:r>
    </w:p>
    <w:p w14:paraId="12055B25" w14:textId="532A3209" w:rsidR="00ED3730" w:rsidRPr="00ED3730" w:rsidRDefault="00ED3730" w:rsidP="00ED3730">
      <w:pPr>
        <w:pStyle w:val="SingleTxt"/>
        <w:suppressAutoHyphens/>
        <w:spacing w:after="0" w:line="120" w:lineRule="exact"/>
        <w:rPr>
          <w:color w:val="000000"/>
          <w:sz w:val="10"/>
        </w:rPr>
      </w:pPr>
    </w:p>
    <w:p w14:paraId="0B3C1402" w14:textId="0B580EDC" w:rsidR="00ED3730" w:rsidRDefault="00ED3730" w:rsidP="00C67914">
      <w:pPr>
        <w:pStyle w:val="SingleTxt"/>
        <w:numPr>
          <w:ilvl w:val="0"/>
          <w:numId w:val="18"/>
        </w:numPr>
        <w:suppressAutoHyphens/>
        <w:ind w:left="1267" w:firstLine="0"/>
        <w:rPr>
          <w:color w:val="000000"/>
        </w:rPr>
      </w:pPr>
      <w:r w:rsidRPr="00ED3730">
        <w:rPr>
          <w:color w:val="000000"/>
        </w:rPr>
        <w:t>En novembre 2017, le Premier Ministre du Commonwealth des Bahamas a exprimé l</w:t>
      </w:r>
      <w:r w:rsidR="00000F67">
        <w:rPr>
          <w:color w:val="000000"/>
        </w:rPr>
        <w:t>’</w:t>
      </w:r>
      <w:r w:rsidRPr="00ED3730">
        <w:rPr>
          <w:color w:val="000000"/>
        </w:rPr>
        <w:t>engagement du Gouvernement bahamien de promouvoir les droits et libertés fondamentaux des personnes et a annoncé qu</w:t>
      </w:r>
      <w:r w:rsidR="00000F67">
        <w:rPr>
          <w:color w:val="000000"/>
        </w:rPr>
        <w:t>’</w:t>
      </w:r>
      <w:r w:rsidRPr="00ED3730">
        <w:rPr>
          <w:color w:val="000000"/>
        </w:rPr>
        <w:t>il comptait proposer une modification du Code de la nationalité.</w:t>
      </w:r>
    </w:p>
    <w:p w14:paraId="10B0B66A" w14:textId="3F9D0E2B" w:rsidR="00ED3730" w:rsidRDefault="00ED3730" w:rsidP="00C67914">
      <w:pPr>
        <w:pStyle w:val="SingleTxt"/>
        <w:numPr>
          <w:ilvl w:val="0"/>
          <w:numId w:val="18"/>
        </w:numPr>
        <w:suppressAutoHyphens/>
        <w:ind w:left="1267" w:firstLine="0"/>
        <w:rPr>
          <w:color w:val="000000"/>
        </w:rPr>
      </w:pPr>
      <w:r w:rsidRPr="00ED3730">
        <w:rPr>
          <w:color w:val="000000"/>
        </w:rPr>
        <w:t>L</w:t>
      </w:r>
      <w:r w:rsidR="00000F67">
        <w:rPr>
          <w:color w:val="000000"/>
        </w:rPr>
        <w:t>’</w:t>
      </w:r>
      <w:r w:rsidRPr="00ED3730">
        <w:rPr>
          <w:color w:val="000000"/>
        </w:rPr>
        <w:t>amendement proposé vise à promouvoir l</w:t>
      </w:r>
      <w:r w:rsidR="00000F67">
        <w:rPr>
          <w:color w:val="000000"/>
        </w:rPr>
        <w:t>’</w:t>
      </w:r>
      <w:r w:rsidRPr="00ED3730">
        <w:rPr>
          <w:color w:val="000000"/>
        </w:rPr>
        <w:t>égalité des sexes à la faveur d</w:t>
      </w:r>
      <w:r w:rsidR="00000F67">
        <w:rPr>
          <w:color w:val="000000"/>
        </w:rPr>
        <w:t>’</w:t>
      </w:r>
      <w:r w:rsidRPr="00ED3730">
        <w:rPr>
          <w:color w:val="000000"/>
        </w:rPr>
        <w:t>un mécanisme par lequel l</w:t>
      </w:r>
      <w:r w:rsidR="00000F67">
        <w:rPr>
          <w:color w:val="000000"/>
        </w:rPr>
        <w:t>’</w:t>
      </w:r>
      <w:r w:rsidRPr="00ED3730">
        <w:rPr>
          <w:color w:val="000000"/>
        </w:rPr>
        <w:t>enfant mineur d</w:t>
      </w:r>
      <w:r w:rsidR="00000F67">
        <w:rPr>
          <w:color w:val="000000"/>
        </w:rPr>
        <w:t>’</w:t>
      </w:r>
      <w:r w:rsidRPr="00ED3730">
        <w:rPr>
          <w:color w:val="000000"/>
        </w:rPr>
        <w:t>un citoyen ou d</w:t>
      </w:r>
      <w:r w:rsidR="00000F67">
        <w:rPr>
          <w:color w:val="000000"/>
        </w:rPr>
        <w:t>’</w:t>
      </w:r>
      <w:r w:rsidRPr="00ED3730">
        <w:rPr>
          <w:color w:val="000000"/>
        </w:rPr>
        <w:t xml:space="preserve">une citoyenne des Bahamas, né dans le mariage ou hors mariage, pourra être reconnu comme Bahamien dès lors </w:t>
      </w:r>
      <w:r w:rsidRPr="00ED3730">
        <w:rPr>
          <w:color w:val="000000"/>
        </w:rPr>
        <w:lastRenderedPageBreak/>
        <w:t>que le ou les parents en feront la demande, à condition que cela ne déroge pas aux dispositions de la Constitution en vigueur qui n</w:t>
      </w:r>
      <w:r w:rsidR="00000F67">
        <w:rPr>
          <w:color w:val="000000"/>
        </w:rPr>
        <w:t>’</w:t>
      </w:r>
      <w:r w:rsidRPr="00ED3730">
        <w:rPr>
          <w:color w:val="000000"/>
        </w:rPr>
        <w:t>accordent pas un droit automatique à la citoyenneté sans en faire la demande.</w:t>
      </w:r>
    </w:p>
    <w:p w14:paraId="57F5C6A2" w14:textId="4BD4A870" w:rsidR="00ED3730" w:rsidRDefault="00ED3730" w:rsidP="00C67914">
      <w:pPr>
        <w:pStyle w:val="SingleTxt"/>
        <w:numPr>
          <w:ilvl w:val="0"/>
          <w:numId w:val="18"/>
        </w:numPr>
        <w:suppressAutoHyphens/>
        <w:ind w:left="1267" w:firstLine="0"/>
        <w:rPr>
          <w:color w:val="000000"/>
        </w:rPr>
      </w:pPr>
      <w:r w:rsidRPr="00ED3730">
        <w:rPr>
          <w:color w:val="000000"/>
        </w:rPr>
        <w:t>Le Gouvernement a également annoncé une initiative importante par laquelle la question de l</w:t>
      </w:r>
      <w:r w:rsidR="00000F67">
        <w:rPr>
          <w:color w:val="000000"/>
        </w:rPr>
        <w:t>’</w:t>
      </w:r>
      <w:r w:rsidRPr="00ED3730">
        <w:rPr>
          <w:color w:val="000000"/>
        </w:rPr>
        <w:t>apatridie sera traitée de façon systématique et rapide. Il a mis en place un Comité indépendant d</w:t>
      </w:r>
      <w:r w:rsidR="00000F67">
        <w:rPr>
          <w:color w:val="000000"/>
        </w:rPr>
        <w:t>’</w:t>
      </w:r>
      <w:r w:rsidRPr="00ED3730">
        <w:rPr>
          <w:color w:val="000000"/>
        </w:rPr>
        <w:t>examen présidé par un ancien président de la Cour suprême, afin d</w:t>
      </w:r>
      <w:r w:rsidR="00000F67">
        <w:rPr>
          <w:color w:val="000000"/>
        </w:rPr>
        <w:t>’</w:t>
      </w:r>
      <w:r w:rsidRPr="00ED3730">
        <w:rPr>
          <w:color w:val="000000"/>
        </w:rPr>
        <w:t>examiner toutes les demandes pendantes d</w:t>
      </w:r>
      <w:r w:rsidR="00000F67">
        <w:rPr>
          <w:color w:val="000000"/>
        </w:rPr>
        <w:t>’</w:t>
      </w:r>
      <w:r w:rsidRPr="00ED3730">
        <w:rPr>
          <w:color w:val="000000"/>
        </w:rPr>
        <w:t>accès à la nationalité bahamienne et de rattraper les retards enregistrés dans ce domaine, ce qui permettra aux demandeurs qui remplissent les conditions requises d</w:t>
      </w:r>
      <w:r w:rsidR="00000F67">
        <w:rPr>
          <w:color w:val="000000"/>
        </w:rPr>
        <w:t>’</w:t>
      </w:r>
      <w:r w:rsidRPr="00ED3730">
        <w:rPr>
          <w:color w:val="000000"/>
        </w:rPr>
        <w:t>accéder à la nationalité bahamienne. Le Comité formulera des recommandations sur toutes les demandes à l</w:t>
      </w:r>
      <w:r w:rsidR="00000F67">
        <w:rPr>
          <w:color w:val="000000"/>
        </w:rPr>
        <w:t>’</w:t>
      </w:r>
      <w:r w:rsidRPr="00ED3730">
        <w:rPr>
          <w:color w:val="000000"/>
        </w:rPr>
        <w:t>Immigration Board (Conseil de l</w:t>
      </w:r>
      <w:r w:rsidR="00000F67">
        <w:rPr>
          <w:color w:val="000000"/>
        </w:rPr>
        <w:t>’</w:t>
      </w:r>
      <w:r w:rsidRPr="00ED3730">
        <w:rPr>
          <w:color w:val="000000"/>
        </w:rPr>
        <w:t>immigration) et au Ministère de l</w:t>
      </w:r>
      <w:r w:rsidR="00000F67">
        <w:rPr>
          <w:color w:val="000000"/>
        </w:rPr>
        <w:t>’</w:t>
      </w:r>
      <w:r w:rsidRPr="00ED3730">
        <w:rPr>
          <w:color w:val="000000"/>
        </w:rPr>
        <w:t>immigration. Ces recommandations seront en règle générale suivies, à moins que des raisons impérieuses, notamment de sécurité publique ou de sécurité nationale, ne conduisent les autorités à ne pas donner suite aux recommandations d</w:t>
      </w:r>
      <w:r w:rsidR="00000F67">
        <w:rPr>
          <w:color w:val="000000"/>
        </w:rPr>
        <w:t>’</w:t>
      </w:r>
      <w:r w:rsidRPr="00ED3730">
        <w:rPr>
          <w:color w:val="000000"/>
        </w:rPr>
        <w:t>octroi de la nationalité.</w:t>
      </w:r>
    </w:p>
    <w:p w14:paraId="0F004E83" w14:textId="7195F8C4" w:rsidR="00ED3730" w:rsidRPr="00ED3730" w:rsidRDefault="00ED3730" w:rsidP="00ED3730">
      <w:pPr>
        <w:pStyle w:val="SingleTxt"/>
        <w:suppressAutoHyphens/>
        <w:spacing w:after="0" w:line="120" w:lineRule="exact"/>
        <w:rPr>
          <w:color w:val="000000"/>
          <w:sz w:val="10"/>
        </w:rPr>
      </w:pPr>
    </w:p>
    <w:p w14:paraId="21755A56" w14:textId="2E1754B5" w:rsidR="00ED3730" w:rsidRPr="00ED3730" w:rsidRDefault="00ED3730" w:rsidP="00ED3730">
      <w:pPr>
        <w:pStyle w:val="SingleTxt"/>
        <w:suppressAutoHyphens/>
        <w:spacing w:after="0" w:line="120" w:lineRule="exact"/>
        <w:rPr>
          <w:color w:val="000000"/>
          <w:sz w:val="10"/>
        </w:rPr>
      </w:pPr>
    </w:p>
    <w:p w14:paraId="0AD209F9" w14:textId="0CCB87A4" w:rsidR="00ED3730" w:rsidRPr="00EF4786" w:rsidRDefault="00ED3730" w:rsidP="00B57F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4786">
        <w:t>Accès à la justice</w:t>
      </w:r>
    </w:p>
    <w:p w14:paraId="78B4D503" w14:textId="771F4FF4" w:rsidR="00ED3730" w:rsidRPr="00ED3730" w:rsidRDefault="00ED3730" w:rsidP="00ED3730">
      <w:pPr>
        <w:pStyle w:val="SingleTxt"/>
        <w:suppressAutoHyphens/>
        <w:spacing w:after="0" w:line="120" w:lineRule="exact"/>
        <w:rPr>
          <w:color w:val="000000"/>
          <w:sz w:val="10"/>
        </w:rPr>
      </w:pPr>
    </w:p>
    <w:p w14:paraId="074B3862" w14:textId="6BBEBB13" w:rsidR="00ED3730" w:rsidRPr="00ED3730" w:rsidRDefault="00ED3730" w:rsidP="00ED3730">
      <w:pPr>
        <w:pStyle w:val="SingleTxt"/>
        <w:suppressAutoHyphens/>
        <w:spacing w:after="0" w:line="120" w:lineRule="exact"/>
        <w:rPr>
          <w:color w:val="000000"/>
          <w:sz w:val="10"/>
        </w:rPr>
      </w:pPr>
    </w:p>
    <w:p w14:paraId="36D5561F" w14:textId="1078E52F" w:rsidR="00ED3730" w:rsidRPr="00EF4786" w:rsidRDefault="00ED3730" w:rsidP="00C67914">
      <w:pPr>
        <w:pStyle w:val="SingleTxt"/>
        <w:numPr>
          <w:ilvl w:val="0"/>
          <w:numId w:val="18"/>
        </w:numPr>
        <w:suppressAutoHyphens/>
        <w:ind w:left="1267" w:firstLine="0"/>
      </w:pPr>
      <w:r w:rsidRPr="00EF4786">
        <w:rPr>
          <w:color w:val="000000"/>
        </w:rPr>
        <w:t>Veuillez donner des exemples d</w:t>
      </w:r>
      <w:r w:rsidR="00000F67">
        <w:rPr>
          <w:color w:val="000000"/>
        </w:rPr>
        <w:t>’</w:t>
      </w:r>
      <w:r w:rsidRPr="00EF4786">
        <w:rPr>
          <w:color w:val="000000"/>
        </w:rPr>
        <w:t>affaires pour lesquelles les dispositions de la Convention ont été directement appliquées par des tribunaux nationaux et indiquer quelles sont les mesures qui ont été prises pour informer les femmes des procédures existantes leur permettant de faire respecter leurs droits en vertu de la Convention, afin de s</w:t>
      </w:r>
      <w:r w:rsidR="00000F67">
        <w:rPr>
          <w:color w:val="000000"/>
        </w:rPr>
        <w:t>’</w:t>
      </w:r>
      <w:r w:rsidRPr="00EF4786">
        <w:rPr>
          <w:color w:val="000000"/>
        </w:rPr>
        <w:t>attaquer à la discrimination et d</w:t>
      </w:r>
      <w:r w:rsidR="00000F67">
        <w:rPr>
          <w:color w:val="000000"/>
        </w:rPr>
        <w:t>’</w:t>
      </w:r>
      <w:r w:rsidRPr="00EF4786">
        <w:rPr>
          <w:color w:val="000000"/>
        </w:rPr>
        <w:t>obtenir réparation. Veuillez également indiquer si les femmes disposant de faibles revenus bénéficient d</w:t>
      </w:r>
      <w:r w:rsidR="00000F67">
        <w:rPr>
          <w:color w:val="000000"/>
        </w:rPr>
        <w:t>’</w:t>
      </w:r>
      <w:r w:rsidRPr="00EF4786">
        <w:rPr>
          <w:color w:val="000000"/>
        </w:rPr>
        <w:t xml:space="preserve">une assistance juridique appropriée. Conformément au paragraphe 24 d) des précédentes observations finales </w:t>
      </w:r>
      <w:r w:rsidRPr="00EF4786">
        <w:t>(CEDAW/C/BHS/CO/1-5), le Comité note les mesures prises par l</w:t>
      </w:r>
      <w:r w:rsidR="00000F67">
        <w:t>’</w:t>
      </w:r>
      <w:r w:rsidRPr="00EF4786">
        <w:t>État partie telles que l</w:t>
      </w:r>
      <w:r w:rsidR="00000F67">
        <w:t>’</w:t>
      </w:r>
      <w:r w:rsidRPr="00EF4786">
        <w:t>application par le Procureur général de l</w:t>
      </w:r>
      <w:r w:rsidR="00000F67">
        <w:t>’</w:t>
      </w:r>
      <w:r w:rsidRPr="00EF4786">
        <w:t>Initiative Swift Justice (Justice dans délai) et la création d</w:t>
      </w:r>
      <w:r w:rsidR="00000F67">
        <w:t>’</w:t>
      </w:r>
      <w:r w:rsidRPr="00EF4786">
        <w:t>un Groupe des infractions sexuelles au sein du Ministère public. Veuillez présenter des données sur l</w:t>
      </w:r>
      <w:r w:rsidR="00000F67">
        <w:t>’</w:t>
      </w:r>
      <w:r w:rsidRPr="00EF4786">
        <w:t>impact de ces mesures. Veuillez également indiquer si, en plus des interventions courantes, l</w:t>
      </w:r>
      <w:r w:rsidR="00000F67">
        <w:t>’</w:t>
      </w:r>
      <w:r w:rsidRPr="00EF4786">
        <w:t>État partie compte créer des tribunaux spéciaux afin de réduire le</w:t>
      </w:r>
      <w:r w:rsidR="00000F67">
        <w:t xml:space="preserve"> </w:t>
      </w:r>
      <w:r w:rsidRPr="00EF4786">
        <w:t>nombre d</w:t>
      </w:r>
      <w:r w:rsidR="00000F67">
        <w:t>’</w:t>
      </w:r>
      <w:r w:rsidRPr="00EF4786">
        <w:t>affaires pendantes (voir CEDAW/C/BHS/Q/6, par. 2).</w:t>
      </w:r>
    </w:p>
    <w:p w14:paraId="404A0CAE" w14:textId="369F33BA" w:rsidR="00ED3730" w:rsidRPr="00ED3730" w:rsidRDefault="00ED3730" w:rsidP="00ED3730">
      <w:pPr>
        <w:pStyle w:val="SingleTxt"/>
        <w:suppressAutoHyphens/>
        <w:spacing w:after="0" w:line="120" w:lineRule="exact"/>
        <w:rPr>
          <w:b/>
          <w:sz w:val="10"/>
        </w:rPr>
      </w:pPr>
    </w:p>
    <w:p w14:paraId="3155B3BC" w14:textId="708276EC" w:rsidR="00ED3730" w:rsidRPr="00EF4786" w:rsidRDefault="00ED3730" w:rsidP="00B57F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4786">
        <w:t xml:space="preserve">Réponse </w:t>
      </w:r>
    </w:p>
    <w:p w14:paraId="5AB06EC1" w14:textId="58193BEF" w:rsidR="00ED3730" w:rsidRPr="00ED3730" w:rsidRDefault="00ED3730" w:rsidP="00ED3730">
      <w:pPr>
        <w:pStyle w:val="SingleTxt"/>
        <w:suppressAutoHyphens/>
        <w:spacing w:after="0" w:line="120" w:lineRule="exact"/>
        <w:rPr>
          <w:i/>
          <w:sz w:val="10"/>
        </w:rPr>
      </w:pPr>
    </w:p>
    <w:p w14:paraId="3FDD1049" w14:textId="5A95512D" w:rsidR="00ED3730" w:rsidRPr="00EF4786" w:rsidRDefault="00ED3730" w:rsidP="00ED373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F4786">
        <w:t>Assistance judiciaire</w:t>
      </w:r>
    </w:p>
    <w:p w14:paraId="33895AA0" w14:textId="2D581DD7" w:rsidR="00ED3730" w:rsidRPr="00ED3730" w:rsidRDefault="00ED3730" w:rsidP="00ED3730">
      <w:pPr>
        <w:pStyle w:val="SingleTxt"/>
        <w:suppressAutoHyphens/>
        <w:spacing w:after="0" w:line="120" w:lineRule="exact"/>
        <w:rPr>
          <w:sz w:val="10"/>
        </w:rPr>
      </w:pPr>
    </w:p>
    <w:p w14:paraId="701EDAC4" w14:textId="5F2FE184" w:rsidR="00ED3730" w:rsidRDefault="00ED3730" w:rsidP="00C67914">
      <w:pPr>
        <w:pStyle w:val="SingleTxt"/>
        <w:numPr>
          <w:ilvl w:val="0"/>
          <w:numId w:val="18"/>
        </w:numPr>
        <w:suppressAutoHyphens/>
        <w:ind w:left="1267" w:firstLine="0"/>
      </w:pPr>
      <w:r w:rsidRPr="00EF4786">
        <w:t>Une assistance judiciaire gratuite est fournie aux personnes nécessiteuses qui en ont besoin, ainsi que d</w:t>
      </w:r>
      <w:r w:rsidR="00000F67">
        <w:t>’</w:t>
      </w:r>
      <w:r w:rsidRPr="00EF4786">
        <w:t>une représentation dans la juridiction des Bahamas. La Clinique d</w:t>
      </w:r>
      <w:r w:rsidR="00000F67">
        <w:t>’</w:t>
      </w:r>
      <w:r w:rsidRPr="00EF4786">
        <w:t xml:space="preserve">assistance judiciaire dépend de </w:t>
      </w:r>
      <w:r w:rsidRPr="00ED3730">
        <w:rPr>
          <w:color w:val="000000"/>
        </w:rPr>
        <w:t>l</w:t>
      </w:r>
      <w:r w:rsidR="00000F67">
        <w:rPr>
          <w:color w:val="000000"/>
        </w:rPr>
        <w:t>’</w:t>
      </w:r>
      <w:r w:rsidRPr="00ED3730">
        <w:rPr>
          <w:color w:val="000000"/>
        </w:rPr>
        <w:t>École de droit Eugene Dupuch</w:t>
      </w:r>
      <w:r w:rsidRPr="00EF4786">
        <w:t>, un établissement subventionné par le Gouvernement qui organise des formations pratiques à l</w:t>
      </w:r>
      <w:r w:rsidR="00000F67">
        <w:t>’</w:t>
      </w:r>
      <w:r w:rsidRPr="00EF4786">
        <w:t>intention des personnes ayant obtenu un diplôme de droit attestant de leurs compétences et aptitudes pratiques et leur ouvrant l</w:t>
      </w:r>
      <w:r w:rsidR="00000F67">
        <w:t>’</w:t>
      </w:r>
      <w:r w:rsidRPr="00EF4786">
        <w:t>accès au Barreau. Cet établissement est dirigé par un Principal et une Faculté qui contrôlent son activité. La Clinique est gérée par un procureur chevronné qui occupe les fonctions de directeur. Il est assisté par des procureurs expérimentés et des magistrats retraités, qui surveillent le déroulement et les progrès enregistrés dans les affaires traitées avec la participation directe des étudiants de dernière année.</w:t>
      </w:r>
    </w:p>
    <w:p w14:paraId="40C113C3" w14:textId="53E41B65" w:rsidR="00ED3730" w:rsidRDefault="00ED3730" w:rsidP="00C67914">
      <w:pPr>
        <w:pStyle w:val="SingleTxt"/>
        <w:numPr>
          <w:ilvl w:val="0"/>
          <w:numId w:val="18"/>
        </w:numPr>
        <w:suppressAutoHyphens/>
        <w:ind w:left="1267" w:firstLine="0"/>
      </w:pPr>
      <w:r w:rsidRPr="00EF4786">
        <w:t xml:space="preserve">La Clinique est au service des personnes dans le besoin. La priorité est donnée aux affaires liées à la protection des droits et privilèges des femmes et des enfants. Les clients de sexe féminin sont presque deux fois plus nombreux que les hommes. </w:t>
      </w:r>
      <w:r w:rsidRPr="00EF4786">
        <w:lastRenderedPageBreak/>
        <w:t>En 2016, la Clinique a accueilli 132 clients de sexe masculin et 242 de sexe féminin. En 2017, elle a apporté son concours à 117 clients de sexe masculin et 240 de sexe féminin.</w:t>
      </w:r>
    </w:p>
    <w:p w14:paraId="70FBC2E9" w14:textId="057160F4" w:rsidR="008E42EB" w:rsidRPr="008E42EB" w:rsidRDefault="008E42EB" w:rsidP="008E42EB">
      <w:pPr>
        <w:pStyle w:val="SingleTxt"/>
        <w:suppressAutoHyphens/>
        <w:spacing w:after="0" w:line="120" w:lineRule="exact"/>
        <w:rPr>
          <w:sz w:val="10"/>
        </w:rPr>
      </w:pPr>
    </w:p>
    <w:p w14:paraId="4A1FFDCD" w14:textId="45DC3E2C" w:rsidR="00ED3730" w:rsidRPr="00EF4786" w:rsidRDefault="008E42EB" w:rsidP="008E42E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L</w:t>
      </w:r>
      <w:r w:rsidR="00000F67">
        <w:t>’</w:t>
      </w:r>
      <w:r w:rsidR="00ED3730" w:rsidRPr="00EF4786">
        <w:t>Initiative Swift Justice</w:t>
      </w:r>
    </w:p>
    <w:p w14:paraId="1F41A2C3" w14:textId="11020734" w:rsidR="00ED3730" w:rsidRPr="00922289" w:rsidRDefault="00ED3730" w:rsidP="00922289">
      <w:pPr>
        <w:pStyle w:val="SingleTxt"/>
        <w:suppressAutoHyphens/>
        <w:spacing w:after="0" w:line="120" w:lineRule="exact"/>
        <w:rPr>
          <w:sz w:val="10"/>
        </w:rPr>
      </w:pPr>
    </w:p>
    <w:p w14:paraId="485872C5" w14:textId="7EE50FFD" w:rsidR="00ED3730" w:rsidRPr="00EF4786" w:rsidRDefault="00ED3730" w:rsidP="00C67914">
      <w:pPr>
        <w:pStyle w:val="SingleTxt"/>
        <w:numPr>
          <w:ilvl w:val="0"/>
          <w:numId w:val="18"/>
        </w:numPr>
        <w:suppressAutoHyphens/>
        <w:ind w:left="1267" w:firstLine="0"/>
      </w:pPr>
      <w:r w:rsidRPr="00EF4786">
        <w:t>La mise en place, en 2012, de l</w:t>
      </w:r>
      <w:r w:rsidR="00000F67">
        <w:t>’</w:t>
      </w:r>
      <w:r w:rsidRPr="00EF4786">
        <w:t>Initiative Swift Justice, a eu et continue d</w:t>
      </w:r>
      <w:r w:rsidR="00000F67">
        <w:t>’</w:t>
      </w:r>
      <w:r w:rsidRPr="00EF4786">
        <w:t>avoir des effets positifs sur le système de justice pénale des Bahamas. Cette initiative joue un rôle crucial pour déterminer les lacunes et faiblesses du système de justice et y remédier, mais aussi pour renforcer la transparence.</w:t>
      </w:r>
    </w:p>
    <w:p w14:paraId="0437CC7B" w14:textId="60A63A6E" w:rsidR="00ED3730" w:rsidRPr="00EF4786" w:rsidRDefault="00ED3730" w:rsidP="00C67914">
      <w:pPr>
        <w:pStyle w:val="SingleTxt"/>
        <w:numPr>
          <w:ilvl w:val="0"/>
          <w:numId w:val="18"/>
        </w:numPr>
        <w:suppressAutoHyphens/>
        <w:ind w:left="1267" w:firstLine="0"/>
      </w:pPr>
      <w:r w:rsidRPr="00EF4786">
        <w:t>Les Bahamas se réjouissent de présenter des statistiques illustrant l</w:t>
      </w:r>
      <w:r w:rsidR="00000F67">
        <w:t>’</w:t>
      </w:r>
      <w:r w:rsidRPr="00EF4786">
        <w:t>efficacité de l</w:t>
      </w:r>
      <w:r w:rsidR="00000F67">
        <w:t>’</w:t>
      </w:r>
      <w:r w:rsidRPr="00EF4786">
        <w:t>Initiative Swift Justice. En 2015, 232 affaires ont été jugées par la Cour suprême, soit 114 affaires de plus qu</w:t>
      </w:r>
      <w:r w:rsidR="00000F67">
        <w:t>’</w:t>
      </w:r>
      <w:r w:rsidRPr="00EF4786">
        <w:t>en 2012. En 2016, le taux de condamnation a doublé comparativement à 2012, passant de 31</w:t>
      </w:r>
      <w:r w:rsidR="00922289">
        <w:t xml:space="preserve"> </w:t>
      </w:r>
      <w:r w:rsidRPr="00EF4786">
        <w:t>% à 67 %. Le taux de condamnation pour meurtres a été de 72 %. Les délais de mise en accusation directe ont été réduits, passant de 344 jours en 2012 à 68 jours en 2016. Sept affaires de meurtre ont été traitées en une année en 2015 et 40 affaires ont été résolues la même année avec la mise en examen des accusés et le nombre de demandes de mise en liberté sous caution a également baissé.</w:t>
      </w:r>
    </w:p>
    <w:p w14:paraId="6BAC4726" w14:textId="355EA040" w:rsidR="00ED3730" w:rsidRPr="00EF4786" w:rsidRDefault="00ED3730" w:rsidP="00C67914">
      <w:pPr>
        <w:pStyle w:val="SingleTxt"/>
        <w:numPr>
          <w:ilvl w:val="0"/>
          <w:numId w:val="18"/>
        </w:numPr>
        <w:suppressAutoHyphens/>
        <w:ind w:left="1267" w:firstLine="0"/>
      </w:pPr>
      <w:r w:rsidRPr="00EF4786">
        <w:t>Les acteurs du système de justice collaborent au titre de nouvelles procédures impliquant la Swift Justice Team (équipe chargée d</w:t>
      </w:r>
      <w:r w:rsidR="00000F67">
        <w:t>’</w:t>
      </w:r>
      <w:r w:rsidRPr="00EF4786">
        <w:t>une justice sans délai), qui est composée du Bureau du Procureur général, de la Force de la Police royale des Bahamas, du Département des services pénitentiaires et du Département des services sociaux. Cette équipe se réunit une fois par semaine afin de communiquer de façon efficace sur toute question à traiter ou mesure à prendre dans le but de répondre aux besoins de la Couronne en matière de poursuites.</w:t>
      </w:r>
    </w:p>
    <w:p w14:paraId="12A87EA1" w14:textId="70869884" w:rsidR="00ED3730" w:rsidRPr="00922289" w:rsidRDefault="00ED3730" w:rsidP="00922289">
      <w:pPr>
        <w:pStyle w:val="SingleTxt"/>
        <w:suppressAutoHyphens/>
        <w:spacing w:after="0" w:line="120" w:lineRule="exact"/>
        <w:rPr>
          <w:i/>
          <w:sz w:val="10"/>
        </w:rPr>
      </w:pPr>
    </w:p>
    <w:p w14:paraId="4B326D0C" w14:textId="4D0411F0"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Équipe spéciale chargée de rattraper les retards dans le traitement des affaires</w:t>
      </w:r>
    </w:p>
    <w:p w14:paraId="0034BC5E" w14:textId="63A7D78A" w:rsidR="00ED3730" w:rsidRPr="00922289" w:rsidRDefault="00ED3730" w:rsidP="00922289">
      <w:pPr>
        <w:pStyle w:val="SingleTxt"/>
        <w:suppressAutoHyphens/>
        <w:spacing w:after="0" w:line="120" w:lineRule="exact"/>
        <w:rPr>
          <w:sz w:val="10"/>
        </w:rPr>
      </w:pPr>
    </w:p>
    <w:p w14:paraId="688E4318" w14:textId="2FA97A3D" w:rsidR="00ED3730" w:rsidRDefault="00ED3730" w:rsidP="00C67914">
      <w:pPr>
        <w:pStyle w:val="SingleTxt"/>
        <w:numPr>
          <w:ilvl w:val="0"/>
          <w:numId w:val="18"/>
        </w:numPr>
        <w:suppressAutoHyphens/>
        <w:ind w:left="1267" w:firstLine="0"/>
      </w:pPr>
      <w:r w:rsidRPr="00EF4786">
        <w:t>Depuis 2013, le Bureau du Procureur général a réussi à rattraper une partie des retards accumulés dans le traitement des affaires criminelles et a fonctionné à un rythme jamais connu au cours des 20 précédentes années. Une équipe spéciale chargée de rattraper les retards dans le traitement des affaires a été mise en place en 2015 afin de revoir de près toutes les affaires pendantes et de décider de la suite à leur donner. Depuis 2012, le Bureau du Procureur général a constaté une hausse continue de nombre d</w:t>
      </w:r>
      <w:r w:rsidR="00000F67">
        <w:t>’</w:t>
      </w:r>
      <w:r w:rsidRPr="00EF4786">
        <w:t>affaires résolues chaque année. Ces progrès tiennent, d</w:t>
      </w:r>
      <w:r w:rsidR="00000F67">
        <w:t>’</w:t>
      </w:r>
      <w:r w:rsidRPr="00EF4786">
        <w:t>une part, à l</w:t>
      </w:r>
      <w:r w:rsidR="00000F67">
        <w:t>’</w:t>
      </w:r>
      <w:r w:rsidRPr="00EF4786">
        <w:t>accroissement du nombre de juridictions pénales, qui sont passées de 6 à 10, et à l</w:t>
      </w:r>
      <w:r w:rsidR="00000F67">
        <w:t>’</w:t>
      </w:r>
      <w:r w:rsidRPr="00EF4786">
        <w:t>étoffement du personnel. Grâce à ces deux facteurs, le Bureau a enregistré le règlement de 230 affaires par an contre 118 en 2012.</w:t>
      </w:r>
    </w:p>
    <w:p w14:paraId="247AF594" w14:textId="1C2BE252" w:rsidR="00922289" w:rsidRPr="00922289" w:rsidRDefault="00922289" w:rsidP="00922289">
      <w:pPr>
        <w:pStyle w:val="SingleTxt"/>
        <w:suppressAutoHyphens/>
        <w:spacing w:after="0" w:line="120" w:lineRule="exact"/>
        <w:rPr>
          <w:sz w:val="10"/>
        </w:rPr>
      </w:pPr>
    </w:p>
    <w:p w14:paraId="34B0D27A" w14:textId="4299B2F2"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Bureau de l</w:t>
      </w:r>
      <w:r w:rsidR="00000F67">
        <w:t>’</w:t>
      </w:r>
      <w:r w:rsidR="00ED3730" w:rsidRPr="00EF4786">
        <w:t>aide juridictionnelle</w:t>
      </w:r>
    </w:p>
    <w:p w14:paraId="32306185" w14:textId="78AC334E" w:rsidR="00ED3730" w:rsidRPr="00922289" w:rsidRDefault="00ED3730" w:rsidP="00922289">
      <w:pPr>
        <w:pStyle w:val="SingleTxt"/>
        <w:suppressAutoHyphens/>
        <w:spacing w:after="0" w:line="120" w:lineRule="exact"/>
        <w:rPr>
          <w:sz w:val="10"/>
        </w:rPr>
      </w:pPr>
    </w:p>
    <w:p w14:paraId="0757848A" w14:textId="08544194" w:rsidR="00922289" w:rsidRDefault="00ED3730" w:rsidP="00C67914">
      <w:pPr>
        <w:pStyle w:val="SingleTxt"/>
        <w:numPr>
          <w:ilvl w:val="0"/>
          <w:numId w:val="18"/>
        </w:numPr>
        <w:suppressAutoHyphens/>
        <w:ind w:left="1267" w:firstLine="0"/>
      </w:pPr>
      <w:r w:rsidRPr="00EF4786">
        <w:t xml:space="preserve">On compte </w:t>
      </w:r>
      <w:r w:rsidR="002973C0">
        <w:t xml:space="preserve">10 </w:t>
      </w:r>
      <w:r w:rsidRPr="00EF4786">
        <w:t>juridictions pénales au sein de la Cour suprême, alors qu</w:t>
      </w:r>
      <w:r w:rsidR="00000F67">
        <w:t>’</w:t>
      </w:r>
      <w:r w:rsidRPr="00EF4786">
        <w:t xml:space="preserve">elles étaient au nombre de </w:t>
      </w:r>
      <w:r w:rsidR="002973C0">
        <w:t xml:space="preserve">6 </w:t>
      </w:r>
      <w:r w:rsidRPr="00EF4786">
        <w:t>en 2012. Toutes ces juridictions disposent d</w:t>
      </w:r>
      <w:r w:rsidR="00000F67">
        <w:t>’</w:t>
      </w:r>
      <w:r w:rsidRPr="00EF4786">
        <w:t>Internet et de capacités de conférences vidéo. Les équipements modernes des technologies de l</w:t>
      </w:r>
      <w:r w:rsidR="00000F67">
        <w:t>’</w:t>
      </w:r>
      <w:r w:rsidRPr="00EF4786">
        <w:t>information facilitent la transcription des débats, ce qui permet de statuer dans les délais sur les affaires en cours.</w:t>
      </w:r>
    </w:p>
    <w:p w14:paraId="28DD9A24" w14:textId="2AC765BB" w:rsidR="00ED3730" w:rsidRPr="00EF4786" w:rsidRDefault="00ED3730" w:rsidP="00C67914">
      <w:pPr>
        <w:pStyle w:val="SingleTxt"/>
        <w:numPr>
          <w:ilvl w:val="0"/>
          <w:numId w:val="18"/>
        </w:numPr>
        <w:suppressAutoHyphens/>
        <w:ind w:left="1267" w:firstLine="0"/>
      </w:pPr>
      <w:r w:rsidRPr="00EF4786">
        <w:t>Les Bahamas soulignent avec satisfaction qu</w:t>
      </w:r>
      <w:r w:rsidR="00000F67">
        <w:t>’</w:t>
      </w:r>
      <w:r w:rsidRPr="00EF4786">
        <w:t>elles ont créé le Bureau de l</w:t>
      </w:r>
      <w:r w:rsidR="00000F67">
        <w:t>’</w:t>
      </w:r>
      <w:r w:rsidRPr="00EF4786">
        <w:t>aide juridictionnelle, une entité indépendante sans but lucratif dirigée par un Conseil d</w:t>
      </w:r>
      <w:r w:rsidR="00000F67">
        <w:t>’</w:t>
      </w:r>
      <w:r w:rsidRPr="00EF4786">
        <w:t xml:space="preserve">administration. Le Bureau, qui a ouvert le 19 janvier 2017, est spécifiquement consacré à la défense des accusés et à faciliter le système de communication de la </w:t>
      </w:r>
      <w:r w:rsidRPr="00EF4786">
        <w:lastRenderedPageBreak/>
        <w:t>Couronne. Cela permet d</w:t>
      </w:r>
      <w:r w:rsidR="00000F67">
        <w:t>’</w:t>
      </w:r>
      <w:r w:rsidRPr="00EF4786">
        <w:t>assurer aux prévenus la protection de la loi et l</w:t>
      </w:r>
      <w:r w:rsidR="00000F67">
        <w:t>’</w:t>
      </w:r>
      <w:r w:rsidRPr="00EF4786">
        <w:t>égalité d</w:t>
      </w:r>
      <w:r w:rsidR="00000F67">
        <w:t>’</w:t>
      </w:r>
      <w:r w:rsidRPr="00EF4786">
        <w:t>accès à la justice, mais aussi de réduire les retards causés par les difficultés que rencontrent les prévenus pour bénéficier de l</w:t>
      </w:r>
      <w:r w:rsidR="00000F67">
        <w:t>’</w:t>
      </w:r>
      <w:r w:rsidRPr="00EF4786">
        <w:t>assistance d</w:t>
      </w:r>
      <w:r w:rsidR="00000F67">
        <w:t>’</w:t>
      </w:r>
      <w:r w:rsidRPr="00EF4786">
        <w:t>un conseil.</w:t>
      </w:r>
    </w:p>
    <w:p w14:paraId="586F2B85" w14:textId="15FCE4B4" w:rsidR="00ED3730" w:rsidRPr="00EF4786" w:rsidRDefault="00ED3730" w:rsidP="00C67914">
      <w:pPr>
        <w:pStyle w:val="SingleTxt"/>
        <w:numPr>
          <w:ilvl w:val="0"/>
          <w:numId w:val="18"/>
        </w:numPr>
        <w:suppressAutoHyphens/>
        <w:ind w:left="1267" w:firstLine="0"/>
      </w:pPr>
      <w:r w:rsidRPr="00EF4786">
        <w:t>Il existe des tribunaux d</w:t>
      </w:r>
      <w:r w:rsidR="00000F67">
        <w:t>’</w:t>
      </w:r>
      <w:r w:rsidRPr="00EF4786">
        <w:t>instance et des cours suprêmes qui connaissent des affaires familiales. Les femmes peuvent accéder à ces tribunaux, qu</w:t>
      </w:r>
      <w:r w:rsidR="00000F67">
        <w:t>’</w:t>
      </w:r>
      <w:r w:rsidRPr="00EF4786">
        <w:t>elles disposent ou non d</w:t>
      </w:r>
      <w:r w:rsidR="00000F67">
        <w:t>’</w:t>
      </w:r>
      <w:r w:rsidRPr="00EF4786">
        <w:t>une représentation légale. Les types d</w:t>
      </w:r>
      <w:r w:rsidR="00000F67">
        <w:t>’</w:t>
      </w:r>
      <w:r w:rsidRPr="00EF4786">
        <w:t>affaires traitées dans les tribunaux d</w:t>
      </w:r>
      <w:r w:rsidR="00000F67">
        <w:t>’</w:t>
      </w:r>
      <w:r w:rsidRPr="00EF4786">
        <w:t>instance concernent, entre autres, l</w:t>
      </w:r>
      <w:r w:rsidR="00000F67">
        <w:t>’</w:t>
      </w:r>
      <w:r w:rsidRPr="00EF4786">
        <w:t>entretien et la garde des enfants et les ordonnances de protection des femmes victimes de violence domestique. Les cours suprêmes connaissent des affaires de divorce, de garde des enfants et d</w:t>
      </w:r>
      <w:r w:rsidR="00000F67">
        <w:t>’</w:t>
      </w:r>
      <w:r w:rsidRPr="00EF4786">
        <w:t>adoption.</w:t>
      </w:r>
    </w:p>
    <w:p w14:paraId="52F9B90E" w14:textId="48CC1CB6" w:rsidR="00ED3730" w:rsidRPr="00922289" w:rsidRDefault="00ED3730" w:rsidP="00922289">
      <w:pPr>
        <w:pStyle w:val="SingleTxt"/>
        <w:suppressAutoHyphens/>
        <w:spacing w:after="0" w:line="120" w:lineRule="exact"/>
        <w:rPr>
          <w:i/>
          <w:sz w:val="10"/>
        </w:rPr>
      </w:pPr>
    </w:p>
    <w:p w14:paraId="3BE5825B" w14:textId="729D7850"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Loi relative à la liberté de l</w:t>
      </w:r>
      <w:r w:rsidR="00000F67">
        <w:t>’</w:t>
      </w:r>
      <w:r w:rsidR="00ED3730" w:rsidRPr="00EF4786">
        <w:t>information (2017)</w:t>
      </w:r>
    </w:p>
    <w:p w14:paraId="33765228" w14:textId="36897F83" w:rsidR="00ED3730" w:rsidRPr="00922289" w:rsidRDefault="00ED3730" w:rsidP="00922289">
      <w:pPr>
        <w:pStyle w:val="SingleTxt"/>
        <w:suppressAutoHyphens/>
        <w:spacing w:after="0" w:line="120" w:lineRule="exact"/>
        <w:rPr>
          <w:sz w:val="10"/>
        </w:rPr>
      </w:pPr>
    </w:p>
    <w:p w14:paraId="6EC6AC41" w14:textId="51B3833B" w:rsidR="00ED3730" w:rsidRPr="00EF4786" w:rsidRDefault="00ED3730" w:rsidP="00C67914">
      <w:pPr>
        <w:pStyle w:val="SingleTxt"/>
        <w:numPr>
          <w:ilvl w:val="0"/>
          <w:numId w:val="18"/>
        </w:numPr>
        <w:suppressAutoHyphens/>
        <w:ind w:left="1267" w:firstLine="0"/>
      </w:pPr>
      <w:r w:rsidRPr="00EF4786">
        <w:t>Les autres cadres disponibles concernent la loi relative à la liberté de l</w:t>
      </w:r>
      <w:r w:rsidR="00000F67">
        <w:t>’</w:t>
      </w:r>
      <w:r w:rsidRPr="00EF4786">
        <w:t>information (2017). Au paragraphe 1 de l</w:t>
      </w:r>
      <w:r w:rsidR="00000F67">
        <w:t>’</w:t>
      </w:r>
      <w:r w:rsidRPr="00EF4786">
        <w:t>article 4 de cette loi, il est souligné que l</w:t>
      </w:r>
      <w:r w:rsidR="00000F67">
        <w:t>’</w:t>
      </w:r>
      <w:r w:rsidRPr="00EF4786">
        <w:t>objet de la loi est de renforcer certains principes fondamentaux sur lequel repose le système de démocratie constitutionnelle et de leur donner plus d</w:t>
      </w:r>
      <w:r w:rsidR="00000F67">
        <w:t>’</w:t>
      </w:r>
      <w:r w:rsidRPr="00EF4786">
        <w:t>effet, à savoir</w:t>
      </w:r>
      <w:r w:rsidR="001F77A2">
        <w:t> </w:t>
      </w:r>
      <w:r w:rsidRPr="00EF4786">
        <w:t>: a)</w:t>
      </w:r>
      <w:r w:rsidR="00922289">
        <w:t> </w:t>
      </w:r>
      <w:r w:rsidRPr="00EF4786">
        <w:t>la responsabilité gouvernementale</w:t>
      </w:r>
      <w:r w:rsidR="00000F67">
        <w:t> ;</w:t>
      </w:r>
      <w:r w:rsidRPr="00EF4786">
        <w:t xml:space="preserve"> b) la transparence</w:t>
      </w:r>
      <w:r w:rsidR="00000F67">
        <w:t> ;</w:t>
      </w:r>
      <w:r w:rsidRPr="00EF4786">
        <w:t xml:space="preserve"> et c) la participation publique à la prise de décision</w:t>
      </w:r>
      <w:r w:rsidR="00922289">
        <w:t>s</w:t>
      </w:r>
      <w:r w:rsidRPr="00EF4786">
        <w:t>.</w:t>
      </w:r>
    </w:p>
    <w:p w14:paraId="2C969225" w14:textId="5B3D5227" w:rsidR="00ED3730" w:rsidRPr="00922289" w:rsidRDefault="00ED3730" w:rsidP="00922289">
      <w:pPr>
        <w:pStyle w:val="SingleTxt"/>
        <w:suppressAutoHyphens/>
        <w:spacing w:after="0" w:line="120" w:lineRule="exact"/>
        <w:rPr>
          <w:b/>
          <w:sz w:val="10"/>
        </w:rPr>
      </w:pPr>
    </w:p>
    <w:p w14:paraId="5A85890B" w14:textId="4FE753E5" w:rsidR="00922289" w:rsidRPr="00922289" w:rsidRDefault="00922289" w:rsidP="00922289">
      <w:pPr>
        <w:pStyle w:val="SingleTxt"/>
        <w:suppressAutoHyphens/>
        <w:spacing w:after="0" w:line="120" w:lineRule="exact"/>
        <w:rPr>
          <w:b/>
          <w:sz w:val="10"/>
        </w:rPr>
      </w:pPr>
    </w:p>
    <w:p w14:paraId="56CB3997" w14:textId="6EC5BCAF" w:rsidR="00ED3730" w:rsidRPr="00EF4786" w:rsidRDefault="00922289" w:rsidP="009222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Mécanisme national de promotion de la femme</w:t>
      </w:r>
    </w:p>
    <w:p w14:paraId="41857FD8" w14:textId="32E47465" w:rsidR="00ED3730" w:rsidRPr="00922289" w:rsidRDefault="00ED3730" w:rsidP="00922289">
      <w:pPr>
        <w:pStyle w:val="SingleTxt"/>
        <w:suppressAutoHyphens/>
        <w:spacing w:after="0" w:line="120" w:lineRule="exact"/>
        <w:rPr>
          <w:sz w:val="10"/>
        </w:rPr>
      </w:pPr>
    </w:p>
    <w:p w14:paraId="0152130C" w14:textId="44B16A5B" w:rsidR="00922289" w:rsidRPr="00922289" w:rsidRDefault="00922289" w:rsidP="00922289">
      <w:pPr>
        <w:pStyle w:val="SingleTxt"/>
        <w:suppressAutoHyphens/>
        <w:spacing w:after="0" w:line="120" w:lineRule="exact"/>
        <w:rPr>
          <w:sz w:val="10"/>
        </w:rPr>
      </w:pPr>
    </w:p>
    <w:p w14:paraId="4D6D38FC" w14:textId="1B6255F2" w:rsidR="00ED3730" w:rsidRPr="00EF4786" w:rsidRDefault="00ED3730" w:rsidP="00C67914">
      <w:pPr>
        <w:pStyle w:val="SingleTxt"/>
        <w:numPr>
          <w:ilvl w:val="0"/>
          <w:numId w:val="18"/>
        </w:numPr>
        <w:suppressAutoHyphens/>
        <w:ind w:left="1267" w:firstLine="0"/>
        <w:rPr>
          <w:color w:val="000000"/>
        </w:rPr>
      </w:pPr>
      <w:r w:rsidRPr="00EF4786">
        <w:t>Veuillez indiquer quelles mesures ont été prises par l</w:t>
      </w:r>
      <w:r w:rsidR="00000F67">
        <w:t>’</w:t>
      </w:r>
      <w:r w:rsidRPr="00EF4786">
        <w:t xml:space="preserve">État partie </w:t>
      </w:r>
      <w:r w:rsidRPr="00EF4786">
        <w:rPr>
          <w:color w:val="000000"/>
        </w:rPr>
        <w:t>pour renforcer davantage son mécanisme national de promotion de la femme, en particulier le Bureau des affaires féminines (BWA), notamment en définissant clairement le mandat et les responsabilités des différentes entités qui le composent, en renforçant la coordination entre celles-ci et en les dotant de ressources financières et humaines.</w:t>
      </w:r>
      <w:r w:rsidR="00922289">
        <w:rPr>
          <w:color w:val="000000"/>
        </w:rPr>
        <w:t xml:space="preserve"> </w:t>
      </w:r>
      <w:r w:rsidRPr="00EF4786">
        <w:rPr>
          <w:color w:val="000000"/>
        </w:rPr>
        <w:t>Veuillez indiquer au Comité si la promotion du Bureau en Département des affaires féminines, conclue en 2012, a été mise en œuvre, si elle a fait l</w:t>
      </w:r>
      <w:r w:rsidR="00000F67">
        <w:rPr>
          <w:color w:val="000000"/>
        </w:rPr>
        <w:t>’</w:t>
      </w:r>
      <w:r w:rsidRPr="00EF4786">
        <w:rPr>
          <w:color w:val="000000"/>
        </w:rPr>
        <w:t>objet d</w:t>
      </w:r>
      <w:r w:rsidR="00000F67">
        <w:rPr>
          <w:color w:val="000000"/>
        </w:rPr>
        <w:t>’</w:t>
      </w:r>
      <w:r w:rsidRPr="00EF4786">
        <w:rPr>
          <w:color w:val="000000"/>
        </w:rPr>
        <w:t>un plan stratégique quinquennal mené à terme et si une étude d</w:t>
      </w:r>
      <w:r w:rsidR="00000F67">
        <w:rPr>
          <w:color w:val="000000"/>
        </w:rPr>
        <w:t>’</w:t>
      </w:r>
      <w:r w:rsidRPr="00EF4786">
        <w:rPr>
          <w:color w:val="000000"/>
        </w:rPr>
        <w:t>impact du plan a été entreprise (par. 23). Veuillez en outre indiquer si la Convention et les recommandations générales du Comité ont été intégrées à des programmes de renforcement des capacités destinés à des législateurs, juges, procureurs et avocats, ainsi qu</w:t>
      </w:r>
      <w:r w:rsidR="00000F67">
        <w:rPr>
          <w:color w:val="000000"/>
        </w:rPr>
        <w:t>’</w:t>
      </w:r>
      <w:r w:rsidRPr="00EF4786">
        <w:rPr>
          <w:color w:val="000000"/>
        </w:rPr>
        <w:t>à des membres de la police et d</w:t>
      </w:r>
      <w:r w:rsidR="00000F67">
        <w:rPr>
          <w:color w:val="000000"/>
        </w:rPr>
        <w:t>’</w:t>
      </w:r>
      <w:r w:rsidRPr="00EF4786">
        <w:rPr>
          <w:color w:val="000000"/>
        </w:rPr>
        <w:t>autres responsables de l</w:t>
      </w:r>
      <w:r w:rsidR="00000F67">
        <w:rPr>
          <w:color w:val="000000"/>
        </w:rPr>
        <w:t>’</w:t>
      </w:r>
      <w:r w:rsidRPr="00EF4786">
        <w:rPr>
          <w:color w:val="000000"/>
        </w:rPr>
        <w:t>application des lois. Veuillez enfin informer le Comité de l</w:t>
      </w:r>
      <w:r w:rsidR="00000F67">
        <w:rPr>
          <w:color w:val="000000"/>
        </w:rPr>
        <w:t>’</w:t>
      </w:r>
      <w:r w:rsidRPr="00EF4786">
        <w:rPr>
          <w:color w:val="000000"/>
        </w:rPr>
        <w:t>existence d</w:t>
      </w:r>
      <w:r w:rsidR="00000F67">
        <w:rPr>
          <w:color w:val="000000"/>
        </w:rPr>
        <w:t>’</w:t>
      </w:r>
      <w:r w:rsidRPr="00EF4786">
        <w:rPr>
          <w:color w:val="000000"/>
        </w:rPr>
        <w:t>une budgétisation tenant compte de la situation particulière des femmes. </w:t>
      </w:r>
    </w:p>
    <w:p w14:paraId="70B1EB28" w14:textId="31377ED3" w:rsidR="00ED3730" w:rsidRPr="00922289" w:rsidRDefault="00ED3730" w:rsidP="00922289">
      <w:pPr>
        <w:pStyle w:val="SingleTxt"/>
        <w:suppressAutoHyphens/>
        <w:spacing w:after="0" w:line="120" w:lineRule="exact"/>
        <w:rPr>
          <w:b/>
          <w:color w:val="000000"/>
          <w:sz w:val="10"/>
        </w:rPr>
      </w:pPr>
    </w:p>
    <w:p w14:paraId="7230014C" w14:textId="0D3091B4" w:rsidR="00ED3730" w:rsidRPr="00EF4786" w:rsidRDefault="00922289" w:rsidP="009222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 xml:space="preserve">Réponse </w:t>
      </w:r>
    </w:p>
    <w:p w14:paraId="6AA3CD1E" w14:textId="40B6122D" w:rsidR="00ED3730" w:rsidRPr="00922289" w:rsidRDefault="00ED3730" w:rsidP="00922289">
      <w:pPr>
        <w:pStyle w:val="SingleTxt"/>
        <w:suppressAutoHyphens/>
        <w:spacing w:after="0" w:line="120" w:lineRule="exact"/>
        <w:rPr>
          <w:color w:val="000000"/>
          <w:sz w:val="10"/>
        </w:rPr>
      </w:pPr>
    </w:p>
    <w:p w14:paraId="2F222B0F" w14:textId="18CC37B9" w:rsidR="00922289" w:rsidRDefault="00ED3730" w:rsidP="00C67914">
      <w:pPr>
        <w:pStyle w:val="SingleTxt"/>
        <w:numPr>
          <w:ilvl w:val="0"/>
          <w:numId w:val="18"/>
        </w:numPr>
        <w:suppressAutoHyphens/>
        <w:ind w:left="1267" w:firstLine="0"/>
        <w:rPr>
          <w:color w:val="000000"/>
        </w:rPr>
      </w:pPr>
      <w:r w:rsidRPr="00922289">
        <w:rPr>
          <w:color w:val="000000"/>
        </w:rPr>
        <w:t>Soucieux d</w:t>
      </w:r>
      <w:r w:rsidR="00000F67">
        <w:rPr>
          <w:color w:val="000000"/>
        </w:rPr>
        <w:t>’</w:t>
      </w:r>
      <w:r w:rsidRPr="00922289">
        <w:rPr>
          <w:color w:val="000000"/>
        </w:rPr>
        <w:t>appliquer la recommandation générale n</w:t>
      </w:r>
      <w:r w:rsidRPr="00922289">
        <w:rPr>
          <w:color w:val="000000"/>
          <w:vertAlign w:val="superscript"/>
        </w:rPr>
        <w:t>o</w:t>
      </w:r>
      <w:r w:rsidR="00922289" w:rsidRPr="00922289">
        <w:rPr>
          <w:color w:val="000000"/>
        </w:rPr>
        <w:t> </w:t>
      </w:r>
      <w:r w:rsidRPr="00922289">
        <w:rPr>
          <w:color w:val="000000"/>
        </w:rPr>
        <w:t>6 du Comité, le Gouvernement bahamien continue de prendre des mesures pour renforcer son mécanisme national de promotion de la femme. Un bureau des questions féminines a été créé en 1981. Il a été rebaptisé Groupe des affaires féminines et élevé au rang de Département de l</w:t>
      </w:r>
      <w:r w:rsidR="00000F67">
        <w:rPr>
          <w:color w:val="000000"/>
        </w:rPr>
        <w:t>’</w:t>
      </w:r>
      <w:r w:rsidRPr="00922289">
        <w:rPr>
          <w:color w:val="000000"/>
        </w:rPr>
        <w:t>égalité des sexes et des affaires de la famille en octobre 2016. L</w:t>
      </w:r>
      <w:r w:rsidR="00000F67">
        <w:rPr>
          <w:color w:val="000000"/>
        </w:rPr>
        <w:t>’</w:t>
      </w:r>
      <w:r w:rsidRPr="00922289">
        <w:rPr>
          <w:color w:val="000000"/>
        </w:rPr>
        <w:t>élargissement du mandat du bureau, tel qu</w:t>
      </w:r>
      <w:r w:rsidR="00000F67">
        <w:rPr>
          <w:color w:val="000000"/>
        </w:rPr>
        <w:t>’</w:t>
      </w:r>
      <w:r w:rsidRPr="00922289">
        <w:rPr>
          <w:color w:val="000000"/>
        </w:rPr>
        <w:t>il se reflète dans sa nouvelle dénomination, puis dans sa promotion en Département, porte sur la coordination, le plaidoyer et l</w:t>
      </w:r>
      <w:r w:rsidR="00000F67">
        <w:rPr>
          <w:color w:val="000000"/>
        </w:rPr>
        <w:t>’</w:t>
      </w:r>
      <w:r w:rsidRPr="00922289">
        <w:rPr>
          <w:color w:val="000000"/>
        </w:rPr>
        <w:t>élaboration de politiques en faveur et au nom des femmes et des filles et des hommes et des garçons. Le champ d</w:t>
      </w:r>
      <w:r w:rsidR="00000F67">
        <w:rPr>
          <w:color w:val="000000"/>
        </w:rPr>
        <w:t>’</w:t>
      </w:r>
      <w:r w:rsidRPr="00922289">
        <w:rPr>
          <w:color w:val="000000"/>
        </w:rPr>
        <w:t>intervention du Département a été élargi à l</w:t>
      </w:r>
      <w:r w:rsidR="00000F67">
        <w:rPr>
          <w:color w:val="000000"/>
        </w:rPr>
        <w:t>’</w:t>
      </w:r>
      <w:r w:rsidRPr="00922289">
        <w:rPr>
          <w:color w:val="000000"/>
        </w:rPr>
        <w:t>examen des défis sociaux qui se posent aux femmes et aux hommes.</w:t>
      </w:r>
    </w:p>
    <w:p w14:paraId="673F134B" w14:textId="62A5E6C0" w:rsidR="00ED3730" w:rsidRPr="00922289" w:rsidRDefault="00ED3730" w:rsidP="00C67914">
      <w:pPr>
        <w:pStyle w:val="SingleTxt"/>
        <w:numPr>
          <w:ilvl w:val="0"/>
          <w:numId w:val="18"/>
        </w:numPr>
        <w:suppressAutoHyphens/>
        <w:ind w:left="1267" w:firstLine="0"/>
        <w:rPr>
          <w:color w:val="000000"/>
        </w:rPr>
      </w:pPr>
      <w:r w:rsidRPr="00922289">
        <w:rPr>
          <w:color w:val="000000"/>
        </w:rPr>
        <w:t>Le Département de l</w:t>
      </w:r>
      <w:r w:rsidR="00000F67">
        <w:rPr>
          <w:color w:val="000000"/>
        </w:rPr>
        <w:t>’</w:t>
      </w:r>
      <w:r w:rsidRPr="00922289">
        <w:rPr>
          <w:color w:val="000000"/>
        </w:rPr>
        <w:t xml:space="preserve">égalité des sexes et des affaires de la famille a lancé plusieurs initiatives de sensibilisation aux dispositions des articles de la Convention. </w:t>
      </w:r>
      <w:r w:rsidRPr="00922289">
        <w:rPr>
          <w:color w:val="000000"/>
        </w:rPr>
        <w:lastRenderedPageBreak/>
        <w:t>Le 22</w:t>
      </w:r>
      <w:r w:rsidR="00922289">
        <w:rPr>
          <w:color w:val="000000"/>
        </w:rPr>
        <w:t> </w:t>
      </w:r>
      <w:r w:rsidRPr="00922289">
        <w:rPr>
          <w:color w:val="000000"/>
        </w:rPr>
        <w:t>septembre 2016, un forum de sensibilisation à l</w:t>
      </w:r>
      <w:r w:rsidR="00000F67">
        <w:rPr>
          <w:color w:val="000000"/>
        </w:rPr>
        <w:t>’</w:t>
      </w:r>
      <w:r w:rsidRPr="00922289">
        <w:rPr>
          <w:color w:val="000000"/>
        </w:rPr>
        <w:t>importance de la Convention s</w:t>
      </w:r>
      <w:r w:rsidR="00000F67">
        <w:rPr>
          <w:color w:val="000000"/>
        </w:rPr>
        <w:t>’</w:t>
      </w:r>
      <w:r w:rsidRPr="00922289">
        <w:rPr>
          <w:color w:val="000000"/>
        </w:rPr>
        <w:t>est tenu à Freeport, dans la Grande Bahama. Des hommes et des femmes représentant des organisations gouvernementales et non gouvernementales et des étudiants ont pris part à ce forum. En novembre 2017, lors de la Semaine nationale de la femme, une réunion-débat sur la Convention a été organisée à New Providence. Le 22</w:t>
      </w:r>
      <w:r w:rsidR="002973C0">
        <w:rPr>
          <w:color w:val="000000"/>
        </w:rPr>
        <w:t> </w:t>
      </w:r>
      <w:r w:rsidRPr="00922289">
        <w:rPr>
          <w:color w:val="000000"/>
        </w:rPr>
        <w:t>juin 2018, le Conseil consultatif national sur les femmes, en collaboration avec le Département de l</w:t>
      </w:r>
      <w:r w:rsidR="00000F67">
        <w:rPr>
          <w:color w:val="000000"/>
        </w:rPr>
        <w:t>’</w:t>
      </w:r>
      <w:r w:rsidRPr="00922289">
        <w:rPr>
          <w:color w:val="000000"/>
        </w:rPr>
        <w:t>égalité des sexes et des affaires de la famille, a organisé un forum de sensibilisation sur la Convention à l</w:t>
      </w:r>
      <w:r w:rsidR="00000F67">
        <w:rPr>
          <w:color w:val="000000"/>
        </w:rPr>
        <w:t>’</w:t>
      </w:r>
      <w:r w:rsidRPr="00922289">
        <w:rPr>
          <w:color w:val="000000"/>
        </w:rPr>
        <w:t>intention d</w:t>
      </w:r>
      <w:r w:rsidR="00000F67">
        <w:rPr>
          <w:color w:val="000000"/>
        </w:rPr>
        <w:t>’</w:t>
      </w:r>
      <w:r w:rsidRPr="00922289">
        <w:rPr>
          <w:color w:val="000000"/>
        </w:rPr>
        <w:t>organisations gouvernementales et non gouvernementales, d</w:t>
      </w:r>
      <w:r w:rsidR="00000F67">
        <w:rPr>
          <w:color w:val="000000"/>
        </w:rPr>
        <w:t>’</w:t>
      </w:r>
      <w:r w:rsidRPr="00922289">
        <w:rPr>
          <w:color w:val="000000"/>
        </w:rPr>
        <w:t>organisations de la société civile et des médias. Un membre du Comité y a été invité en qualité de conférencier.</w:t>
      </w:r>
    </w:p>
    <w:p w14:paraId="79D40EA4" w14:textId="39FC5F2E" w:rsidR="00ED3730" w:rsidRPr="00EF4786" w:rsidRDefault="00ED3730" w:rsidP="00C67914">
      <w:pPr>
        <w:pStyle w:val="SingleTxt"/>
        <w:numPr>
          <w:ilvl w:val="0"/>
          <w:numId w:val="18"/>
        </w:numPr>
        <w:suppressAutoHyphens/>
        <w:ind w:left="1267" w:firstLine="0"/>
        <w:rPr>
          <w:color w:val="000000"/>
        </w:rPr>
      </w:pPr>
      <w:r w:rsidRPr="00EF4786">
        <w:rPr>
          <w:color w:val="000000"/>
        </w:rPr>
        <w:t>Le personnel du Département a été étoffé. Il compte aujourd</w:t>
      </w:r>
      <w:r w:rsidR="00000F67">
        <w:rPr>
          <w:color w:val="000000"/>
        </w:rPr>
        <w:t>’</w:t>
      </w:r>
      <w:r w:rsidRPr="00EF4786">
        <w:rPr>
          <w:color w:val="000000"/>
        </w:rPr>
        <w:t>hui un directeur, un fonctionnaire de rang supérieur, un coordonnateur chargé des questions techniques, des fonctionnaires administratifs et du personnel de soutien. Le Département compte organiser des cycles de formation de grande ampleur à l</w:t>
      </w:r>
      <w:r w:rsidR="00000F67">
        <w:rPr>
          <w:color w:val="000000"/>
        </w:rPr>
        <w:t>’</w:t>
      </w:r>
      <w:r w:rsidRPr="00EF4786">
        <w:rPr>
          <w:color w:val="000000"/>
        </w:rPr>
        <w:t>intention des fonctionnaires chargés de l</w:t>
      </w:r>
      <w:r w:rsidR="00000F67">
        <w:rPr>
          <w:color w:val="000000"/>
        </w:rPr>
        <w:t>’</w:t>
      </w:r>
      <w:r w:rsidRPr="00EF4786">
        <w:rPr>
          <w:color w:val="000000"/>
        </w:rPr>
        <w:t>égalité des sexes qui seront rattachés à divers ministères et départements, mais aussi pour appuyer ses activités techniques.</w:t>
      </w:r>
    </w:p>
    <w:p w14:paraId="5742A715" w14:textId="455E140F" w:rsidR="00ED3730" w:rsidRPr="00EF4786" w:rsidRDefault="00ED3730" w:rsidP="00C67914">
      <w:pPr>
        <w:pStyle w:val="SingleTxt"/>
        <w:numPr>
          <w:ilvl w:val="0"/>
          <w:numId w:val="18"/>
        </w:numPr>
        <w:suppressAutoHyphens/>
        <w:ind w:left="1267" w:firstLine="0"/>
        <w:rPr>
          <w:color w:val="000000"/>
        </w:rPr>
      </w:pPr>
      <w:r w:rsidRPr="00EF4786">
        <w:rPr>
          <w:color w:val="000000"/>
        </w:rPr>
        <w:t>Le budget du Département de l</w:t>
      </w:r>
      <w:r w:rsidR="00000F67">
        <w:rPr>
          <w:color w:val="000000"/>
        </w:rPr>
        <w:t>’</w:t>
      </w:r>
      <w:r w:rsidRPr="00EF4786">
        <w:rPr>
          <w:color w:val="000000"/>
        </w:rPr>
        <w:t>égalité des sexes et des affaires de la famille a été augmenté de plus de 250 %, passant de 100 000 dollars au cours de l</w:t>
      </w:r>
      <w:r w:rsidR="00000F67">
        <w:rPr>
          <w:color w:val="000000"/>
        </w:rPr>
        <w:t>’</w:t>
      </w:r>
      <w:r w:rsidRPr="00EF4786">
        <w:rPr>
          <w:color w:val="000000"/>
        </w:rPr>
        <w:t>exercice budgétaire 2016/17 à 350 000 dollars pour les exercices 2017/18 et 2018/19. Les allocations budgétaires couvrent spécifiquement les activités liées à l</w:t>
      </w:r>
      <w:r w:rsidR="00000F67">
        <w:rPr>
          <w:color w:val="000000"/>
        </w:rPr>
        <w:t>’</w:t>
      </w:r>
      <w:r w:rsidRPr="00EF4786">
        <w:rPr>
          <w:color w:val="000000"/>
        </w:rPr>
        <w:t>égalité des sexes, ce qui est conforme aux idéaux de gestion du budget-programme basée sur les résultats.</w:t>
      </w:r>
    </w:p>
    <w:p w14:paraId="3310B40F" w14:textId="25EB592E" w:rsidR="00ED3730" w:rsidRPr="00EF4786" w:rsidRDefault="00ED3730" w:rsidP="00C67914">
      <w:pPr>
        <w:pStyle w:val="SingleTxt"/>
        <w:numPr>
          <w:ilvl w:val="0"/>
          <w:numId w:val="18"/>
        </w:numPr>
        <w:suppressAutoHyphens/>
        <w:ind w:left="1267" w:firstLine="0"/>
        <w:rPr>
          <w:color w:val="000000"/>
        </w:rPr>
      </w:pPr>
      <w:r w:rsidRPr="00EF4786">
        <w:rPr>
          <w:color w:val="000000"/>
        </w:rPr>
        <w:t>Le projet de politique d</w:t>
      </w:r>
      <w:r w:rsidR="00000F67">
        <w:rPr>
          <w:color w:val="000000"/>
        </w:rPr>
        <w:t>’</w:t>
      </w:r>
      <w:r w:rsidRPr="00EF4786">
        <w:rPr>
          <w:color w:val="000000"/>
        </w:rPr>
        <w:t>égalité des sexes et le projet de plan stratégique du Département sont en cours d</w:t>
      </w:r>
      <w:r w:rsidR="00000F67">
        <w:rPr>
          <w:color w:val="000000"/>
        </w:rPr>
        <w:t>’</w:t>
      </w:r>
      <w:r w:rsidRPr="00EF4786">
        <w:rPr>
          <w:color w:val="000000"/>
        </w:rPr>
        <w:t>examen.</w:t>
      </w:r>
    </w:p>
    <w:p w14:paraId="7D9102DA" w14:textId="020FB434" w:rsidR="00ED3730" w:rsidRPr="00922289" w:rsidRDefault="00ED3730" w:rsidP="00922289">
      <w:pPr>
        <w:pStyle w:val="SingleTxt"/>
        <w:suppressAutoHyphens/>
        <w:spacing w:after="0" w:line="120" w:lineRule="exact"/>
        <w:rPr>
          <w:i/>
          <w:color w:val="000000"/>
          <w:sz w:val="10"/>
        </w:rPr>
      </w:pPr>
    </w:p>
    <w:p w14:paraId="22D87EB7" w14:textId="4A2E1E1E"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Campagne nationale de sensibilisation à la violence sexiste</w:t>
      </w:r>
    </w:p>
    <w:p w14:paraId="639DE07E" w14:textId="66464EEC" w:rsidR="00ED3730" w:rsidRPr="00922289" w:rsidRDefault="00ED3730" w:rsidP="00922289">
      <w:pPr>
        <w:pStyle w:val="SingleTxt"/>
        <w:suppressAutoHyphens/>
        <w:spacing w:after="0" w:line="120" w:lineRule="exact"/>
        <w:rPr>
          <w:color w:val="000000"/>
          <w:sz w:val="10"/>
        </w:rPr>
      </w:pPr>
    </w:p>
    <w:p w14:paraId="6681EF18" w14:textId="4C0E64C2" w:rsidR="00ED3730" w:rsidRPr="00EF4786" w:rsidRDefault="00ED3730" w:rsidP="00C67914">
      <w:pPr>
        <w:pStyle w:val="SingleTxt"/>
        <w:numPr>
          <w:ilvl w:val="0"/>
          <w:numId w:val="18"/>
        </w:numPr>
        <w:suppressAutoHyphens/>
        <w:ind w:left="1267" w:firstLine="0"/>
        <w:rPr>
          <w:color w:val="000000"/>
        </w:rPr>
      </w:pPr>
      <w:r w:rsidRPr="00EF4786">
        <w:rPr>
          <w:color w:val="000000"/>
        </w:rPr>
        <w:t>Une campagne nationale de sensibilisation à la violence sexiste a été lancée par le Département en février 2017 avec la présentation à des étudiants d</w:t>
      </w:r>
      <w:r w:rsidR="00000F67">
        <w:rPr>
          <w:color w:val="000000"/>
        </w:rPr>
        <w:t>’</w:t>
      </w:r>
      <w:r w:rsidRPr="00EF4786">
        <w:rPr>
          <w:color w:val="000000"/>
        </w:rPr>
        <w:t>exposés sur le harcèlement sexuel à New Providence. En mai 2017, le Département a élargi la campagne à la Grande Bahama.</w:t>
      </w:r>
    </w:p>
    <w:p w14:paraId="12D0300B" w14:textId="10BAC918" w:rsidR="00ED3730" w:rsidRPr="00922289" w:rsidRDefault="00ED3730" w:rsidP="00922289">
      <w:pPr>
        <w:pStyle w:val="SingleTxt"/>
        <w:suppressAutoHyphens/>
        <w:spacing w:after="0" w:line="120" w:lineRule="exact"/>
        <w:rPr>
          <w:i/>
          <w:color w:val="000000"/>
          <w:sz w:val="10"/>
        </w:rPr>
      </w:pPr>
    </w:p>
    <w:p w14:paraId="21BE69E6" w14:textId="495BDA11"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Enquête sur les femmes rurales</w:t>
      </w:r>
    </w:p>
    <w:p w14:paraId="5B56C2C5" w14:textId="63C98D4C" w:rsidR="00ED3730" w:rsidRPr="00922289" w:rsidRDefault="00ED3730" w:rsidP="00922289">
      <w:pPr>
        <w:pStyle w:val="SingleTxt"/>
        <w:suppressAutoHyphens/>
        <w:spacing w:after="0" w:line="120" w:lineRule="exact"/>
        <w:rPr>
          <w:color w:val="000000"/>
          <w:sz w:val="10"/>
        </w:rPr>
      </w:pPr>
    </w:p>
    <w:p w14:paraId="20F171E6" w14:textId="258D7453" w:rsidR="00ED3730" w:rsidRPr="00EF4786" w:rsidRDefault="00ED3730" w:rsidP="00C67914">
      <w:pPr>
        <w:pStyle w:val="SingleTxt"/>
        <w:numPr>
          <w:ilvl w:val="0"/>
          <w:numId w:val="18"/>
        </w:numPr>
        <w:suppressAutoHyphens/>
        <w:ind w:left="1267" w:firstLine="0"/>
        <w:rPr>
          <w:color w:val="000000"/>
        </w:rPr>
      </w:pPr>
      <w:r w:rsidRPr="00EF4786">
        <w:rPr>
          <w:color w:val="000000"/>
        </w:rPr>
        <w:t>En février 2018, le Département a mené une enquête sur les besoins des femmes et des filles des zones rurales et les défis qu</w:t>
      </w:r>
      <w:r w:rsidR="00000F67">
        <w:rPr>
          <w:color w:val="000000"/>
        </w:rPr>
        <w:t>’</w:t>
      </w:r>
      <w:r w:rsidRPr="00EF4786">
        <w:rPr>
          <w:color w:val="000000"/>
        </w:rPr>
        <w:t>elles affrontent dans les principales îles Family. Les informations recueillies ont permis de mieux connaître la situation des femmes des communautés rurales.</w:t>
      </w:r>
    </w:p>
    <w:p w14:paraId="4ABEA53B" w14:textId="6B8B86AE" w:rsidR="00ED3730" w:rsidRPr="00922289" w:rsidRDefault="00ED3730" w:rsidP="00922289">
      <w:pPr>
        <w:pStyle w:val="SingleTxt"/>
        <w:suppressAutoHyphens/>
        <w:spacing w:after="0" w:line="120" w:lineRule="exact"/>
        <w:rPr>
          <w:i/>
          <w:color w:val="000000"/>
          <w:sz w:val="10"/>
        </w:rPr>
      </w:pPr>
    </w:p>
    <w:p w14:paraId="69AB5A1F" w14:textId="2726A667"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Initiatives relatives à l</w:t>
      </w:r>
      <w:r w:rsidR="00000F67">
        <w:t>’</w:t>
      </w:r>
      <w:r w:rsidR="00ED3730" w:rsidRPr="00EF4786">
        <w:t>autonomisation des femmes</w:t>
      </w:r>
    </w:p>
    <w:p w14:paraId="356E8137" w14:textId="1F82CA8D" w:rsidR="00ED3730" w:rsidRPr="00922289" w:rsidRDefault="00ED3730" w:rsidP="00922289">
      <w:pPr>
        <w:pStyle w:val="SingleTxt"/>
        <w:suppressAutoHyphens/>
        <w:spacing w:after="0" w:line="120" w:lineRule="exact"/>
        <w:rPr>
          <w:color w:val="000000"/>
          <w:sz w:val="10"/>
        </w:rPr>
      </w:pPr>
    </w:p>
    <w:p w14:paraId="6DAD41BB" w14:textId="6A92E4FD" w:rsidR="00ED3730" w:rsidRPr="00EF4786" w:rsidRDefault="00ED3730" w:rsidP="00C67914">
      <w:pPr>
        <w:pStyle w:val="SingleTxt"/>
        <w:numPr>
          <w:ilvl w:val="0"/>
          <w:numId w:val="18"/>
        </w:numPr>
        <w:suppressAutoHyphens/>
        <w:ind w:left="1267" w:firstLine="0"/>
        <w:rPr>
          <w:color w:val="000000"/>
        </w:rPr>
      </w:pPr>
      <w:r w:rsidRPr="00EF4786">
        <w:rPr>
          <w:color w:val="000000"/>
        </w:rPr>
        <w:t>Dans le cadre des actions conduites récemment en vue d</w:t>
      </w:r>
      <w:r w:rsidR="00000F67">
        <w:rPr>
          <w:color w:val="000000"/>
        </w:rPr>
        <w:t>’</w:t>
      </w:r>
      <w:r w:rsidRPr="00EF4786">
        <w:rPr>
          <w:color w:val="000000"/>
        </w:rPr>
        <w:t>aider à couvrir les besoins</w:t>
      </w:r>
      <w:r w:rsidR="00000F67">
        <w:rPr>
          <w:color w:val="000000"/>
        </w:rPr>
        <w:t xml:space="preserve"> </w:t>
      </w:r>
      <w:r w:rsidRPr="00EF4786">
        <w:rPr>
          <w:color w:val="000000"/>
        </w:rPr>
        <w:t>des femmes et des filles et à assurer leur autonomisation, le Département a établi des partenariats avec plusieurs organisations de la société civile afin de parrainer les activités ci-après</w:t>
      </w:r>
      <w:r w:rsidR="00922289">
        <w:rPr>
          <w:color w:val="000000"/>
        </w:rPr>
        <w:t> </w:t>
      </w:r>
      <w:r w:rsidRPr="00EF4786">
        <w:rPr>
          <w:color w:val="000000"/>
        </w:rPr>
        <w:t>:</w:t>
      </w:r>
    </w:p>
    <w:p w14:paraId="2ABFA769" w14:textId="75F922DA" w:rsidR="00ED3730" w:rsidRPr="00ED3730" w:rsidRDefault="00922289" w:rsidP="00922289">
      <w:pPr>
        <w:pStyle w:val="SingleTxt"/>
        <w:tabs>
          <w:tab w:val="right" w:pos="1685"/>
        </w:tabs>
        <w:suppressAutoHyphens/>
        <w:ind w:left="1742" w:hanging="475"/>
        <w:rPr>
          <w:color w:val="000000"/>
        </w:rPr>
      </w:pPr>
      <w:r>
        <w:rPr>
          <w:color w:val="000000"/>
        </w:rPr>
        <w:tab/>
        <w:t>•</w:t>
      </w:r>
      <w:r>
        <w:rPr>
          <w:color w:val="000000"/>
        </w:rPr>
        <w:tab/>
      </w:r>
      <w:r w:rsidR="00ED3730" w:rsidRPr="00ED3730">
        <w:rPr>
          <w:color w:val="000000"/>
        </w:rPr>
        <w:t>L</w:t>
      </w:r>
      <w:r w:rsidR="00000F67">
        <w:rPr>
          <w:color w:val="000000"/>
        </w:rPr>
        <w:t>’</w:t>
      </w:r>
      <w:r w:rsidR="00ED3730" w:rsidRPr="00ED3730">
        <w:rPr>
          <w:color w:val="000000"/>
        </w:rPr>
        <w:t>Association des artisans et fabricants de South Andros (SAHMA) du secteur de la conserverie. Le projet encouragera les entrepreneurs à utiliser des fruits cultivés selon les méthodes biologiques pour développer leurs entreprises familiales locales</w:t>
      </w:r>
      <w:r w:rsidR="00000F67">
        <w:rPr>
          <w:color w:val="000000"/>
        </w:rPr>
        <w:t> ;</w:t>
      </w:r>
    </w:p>
    <w:p w14:paraId="15862005" w14:textId="2ABA5A9E" w:rsidR="00ED3730" w:rsidRPr="00ED3730" w:rsidRDefault="00922289" w:rsidP="00922289">
      <w:pPr>
        <w:pStyle w:val="SingleTxt"/>
        <w:tabs>
          <w:tab w:val="right" w:pos="1685"/>
        </w:tabs>
        <w:suppressAutoHyphens/>
        <w:ind w:left="1742" w:hanging="475"/>
        <w:rPr>
          <w:color w:val="000000"/>
        </w:rPr>
      </w:pPr>
      <w:r>
        <w:rPr>
          <w:color w:val="000000"/>
        </w:rPr>
        <w:lastRenderedPageBreak/>
        <w:tab/>
        <w:t>•</w:t>
      </w:r>
      <w:r>
        <w:rPr>
          <w:color w:val="000000"/>
        </w:rPr>
        <w:tab/>
      </w:r>
      <w:r w:rsidR="00ED3730" w:rsidRPr="00ED3730">
        <w:rPr>
          <w:color w:val="000000"/>
        </w:rPr>
        <w:t>Un partenariat a été créé avec le Réseau bahamien des femmes rurales productrices (BAHNROP) afin de mener à bien un projet de production de paille à Acklins. Ce projet devrait permettre de générer des revenus au bénéfice des participants</w:t>
      </w:r>
      <w:r w:rsidR="00000F67">
        <w:rPr>
          <w:color w:val="000000"/>
        </w:rPr>
        <w:t> ;</w:t>
      </w:r>
    </w:p>
    <w:p w14:paraId="55870E1F" w14:textId="237479F7" w:rsidR="00ED3730" w:rsidRPr="00ED3730" w:rsidRDefault="00922289" w:rsidP="00922289">
      <w:pPr>
        <w:pStyle w:val="SingleTxt"/>
        <w:tabs>
          <w:tab w:val="right" w:pos="1685"/>
        </w:tabs>
        <w:suppressAutoHyphens/>
        <w:ind w:left="1742" w:hanging="475"/>
        <w:rPr>
          <w:color w:val="000000"/>
        </w:rPr>
      </w:pPr>
      <w:r>
        <w:rPr>
          <w:color w:val="000000"/>
        </w:rPr>
        <w:tab/>
        <w:t>•</w:t>
      </w:r>
      <w:r>
        <w:rPr>
          <w:color w:val="000000"/>
        </w:rPr>
        <w:tab/>
      </w:r>
      <w:r w:rsidR="00ED3730" w:rsidRPr="00ED3730">
        <w:rPr>
          <w:color w:val="000000"/>
        </w:rPr>
        <w:t>Le Département de l</w:t>
      </w:r>
      <w:r w:rsidR="00000F67">
        <w:rPr>
          <w:color w:val="000000"/>
        </w:rPr>
        <w:t>’</w:t>
      </w:r>
      <w:r w:rsidR="00ED3730" w:rsidRPr="00ED3730">
        <w:rPr>
          <w:color w:val="000000"/>
        </w:rPr>
        <w:t>égalité des sexes et de la famille a également établi un partenariat avec l</w:t>
      </w:r>
      <w:r w:rsidR="00000F67">
        <w:rPr>
          <w:color w:val="000000"/>
        </w:rPr>
        <w:t>’</w:t>
      </w:r>
      <w:r w:rsidR="00ED3730" w:rsidRPr="00ED3730">
        <w:rPr>
          <w:color w:val="000000"/>
        </w:rPr>
        <w:t>Association des agriculteurs de la Cat Island afin de fournir des équipements aux agriculteurs.</w:t>
      </w:r>
    </w:p>
    <w:p w14:paraId="58013356" w14:textId="3C26AB5E" w:rsidR="00ED3730" w:rsidRPr="00922289" w:rsidRDefault="00ED3730" w:rsidP="00922289">
      <w:pPr>
        <w:pStyle w:val="SingleTxt"/>
        <w:suppressAutoHyphens/>
        <w:spacing w:after="0" w:line="120" w:lineRule="exact"/>
        <w:rPr>
          <w:b/>
          <w:color w:val="000000"/>
          <w:sz w:val="10"/>
        </w:rPr>
      </w:pPr>
    </w:p>
    <w:p w14:paraId="328913DC" w14:textId="4FCBA92D" w:rsidR="00922289" w:rsidRPr="00922289" w:rsidRDefault="00922289" w:rsidP="00922289">
      <w:pPr>
        <w:pStyle w:val="SingleTxt"/>
        <w:suppressAutoHyphens/>
        <w:spacing w:after="0" w:line="120" w:lineRule="exact"/>
        <w:rPr>
          <w:b/>
          <w:color w:val="000000"/>
          <w:sz w:val="10"/>
        </w:rPr>
      </w:pPr>
    </w:p>
    <w:p w14:paraId="39359ED8" w14:textId="4C38053C" w:rsidR="00ED3730" w:rsidRPr="00EF4786" w:rsidRDefault="00922289" w:rsidP="009222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Mesures temporaires spéciales</w:t>
      </w:r>
    </w:p>
    <w:p w14:paraId="4E4368F9" w14:textId="1D18D8FF" w:rsidR="00ED3730" w:rsidRPr="00922289" w:rsidRDefault="00ED3730" w:rsidP="00922289">
      <w:pPr>
        <w:pStyle w:val="SingleTxt"/>
        <w:suppressAutoHyphens/>
        <w:spacing w:after="0" w:line="120" w:lineRule="exact"/>
        <w:rPr>
          <w:b/>
          <w:color w:val="000000"/>
          <w:sz w:val="10"/>
          <w:lang w:val="en-US"/>
        </w:rPr>
      </w:pPr>
    </w:p>
    <w:p w14:paraId="5D496329" w14:textId="636E0265" w:rsidR="00922289" w:rsidRPr="00922289" w:rsidRDefault="00922289" w:rsidP="00922289">
      <w:pPr>
        <w:pStyle w:val="SingleTxt"/>
        <w:suppressAutoHyphens/>
        <w:spacing w:after="0" w:line="120" w:lineRule="exact"/>
        <w:rPr>
          <w:b/>
          <w:color w:val="000000"/>
          <w:sz w:val="10"/>
          <w:lang w:val="en-US"/>
        </w:rPr>
      </w:pPr>
    </w:p>
    <w:p w14:paraId="591B874E" w14:textId="2C489DAC" w:rsidR="00ED3730" w:rsidRPr="00922289" w:rsidRDefault="00ED3730" w:rsidP="00C67914">
      <w:pPr>
        <w:pStyle w:val="SingleTxt"/>
        <w:numPr>
          <w:ilvl w:val="0"/>
          <w:numId w:val="18"/>
        </w:numPr>
        <w:suppressAutoHyphens/>
        <w:ind w:left="1267" w:firstLine="0"/>
        <w:rPr>
          <w:lang w:val="fr-FR"/>
        </w:rPr>
      </w:pPr>
      <w:r w:rsidRPr="00922289">
        <w:rPr>
          <w:color w:val="000000"/>
          <w:lang w:val="fr-FR"/>
        </w:rPr>
        <w:t>Tout en notant que le rapport souligne la création d</w:t>
      </w:r>
      <w:r w:rsidR="00000F67">
        <w:rPr>
          <w:color w:val="000000"/>
          <w:lang w:val="fr-FR"/>
        </w:rPr>
        <w:t>’</w:t>
      </w:r>
      <w:r w:rsidRPr="00922289">
        <w:rPr>
          <w:color w:val="000000"/>
          <w:lang w:val="fr-FR"/>
        </w:rPr>
        <w:t>un cycle de formation intitulé « Les femmes dans des postes de responsabilité politique », qui vise à encourager les femmes à envisager de</w:t>
      </w:r>
      <w:r w:rsidRPr="00922289">
        <w:rPr>
          <w:lang w:val="fr-FR"/>
        </w:rPr>
        <w:t xml:space="preserve"> jouer des rôles de direction en politique, le Comité note que seulement une des 19 participantes a été confirmée comme candidate par un des partis politiques. En outre, le rapport ne précise pas si des mesures temporaires spéciales ont été mises en œuvre ou sont envisagées afin de </w:t>
      </w:r>
      <w:r w:rsidRPr="00922289">
        <w:rPr>
          <w:color w:val="000000"/>
          <w:lang w:val="fr-FR"/>
        </w:rPr>
        <w:t>renforcer la participation pleine et égale des femmes dans tous les domaines visés par la Convention où elles sont défavorisées ou sous-représentées, conformément au paragraphe 1 de l</w:t>
      </w:r>
      <w:r w:rsidR="00000F67">
        <w:rPr>
          <w:color w:val="000000"/>
          <w:lang w:val="fr-FR"/>
        </w:rPr>
        <w:t>’</w:t>
      </w:r>
      <w:r w:rsidRPr="00922289">
        <w:rPr>
          <w:color w:val="000000"/>
          <w:lang w:val="fr-FR"/>
        </w:rPr>
        <w:t>article 4 de celle-ci et à la recommandation générale n</w:t>
      </w:r>
      <w:r w:rsidRPr="00922289">
        <w:rPr>
          <w:color w:val="000000"/>
          <w:vertAlign w:val="superscript"/>
          <w:lang w:val="fr-FR"/>
        </w:rPr>
        <w:t>o</w:t>
      </w:r>
      <w:r w:rsidR="00922289">
        <w:rPr>
          <w:color w:val="000000"/>
          <w:lang w:val="fr-FR"/>
        </w:rPr>
        <w:t> </w:t>
      </w:r>
      <w:r w:rsidRPr="00922289">
        <w:rPr>
          <w:color w:val="000000"/>
          <w:lang w:val="fr-FR"/>
        </w:rPr>
        <w:t>25 (2004) sur les mesures temporaires spéciales du Comité. À cet égard, veuillez donner des informations sur l</w:t>
      </w:r>
      <w:r w:rsidR="00000F67">
        <w:rPr>
          <w:color w:val="000000"/>
          <w:lang w:val="fr-FR"/>
        </w:rPr>
        <w:t>’</w:t>
      </w:r>
      <w:r w:rsidRPr="00922289">
        <w:rPr>
          <w:color w:val="000000"/>
          <w:lang w:val="fr-FR"/>
        </w:rPr>
        <w:t>adoption de mesures temporaires spéciales favorisant l</w:t>
      </w:r>
      <w:r w:rsidR="00000F67">
        <w:rPr>
          <w:color w:val="000000"/>
          <w:lang w:val="fr-FR"/>
        </w:rPr>
        <w:t>’</w:t>
      </w:r>
      <w:r w:rsidRPr="00922289">
        <w:rPr>
          <w:color w:val="000000"/>
          <w:lang w:val="fr-FR"/>
        </w:rPr>
        <w:t>accélération de la participation des femmes dans les processus politiques, les postes décisionnels dans l</w:t>
      </w:r>
      <w:r w:rsidR="00000F67">
        <w:rPr>
          <w:color w:val="000000"/>
          <w:lang w:val="fr-FR"/>
        </w:rPr>
        <w:t>’</w:t>
      </w:r>
      <w:r w:rsidRPr="00922289">
        <w:rPr>
          <w:color w:val="000000"/>
          <w:lang w:val="fr-FR"/>
        </w:rPr>
        <w:t>éducation et les secteurs d</w:t>
      </w:r>
      <w:r w:rsidR="00000F67">
        <w:rPr>
          <w:color w:val="000000"/>
          <w:lang w:val="fr-FR"/>
        </w:rPr>
        <w:t>’</w:t>
      </w:r>
      <w:r w:rsidRPr="00922289">
        <w:rPr>
          <w:color w:val="000000"/>
          <w:lang w:val="fr-FR"/>
        </w:rPr>
        <w:t xml:space="preserve">activité dominés par les hommes et indiquer les résultats obtenus (voir </w:t>
      </w:r>
      <w:r w:rsidRPr="00922289">
        <w:rPr>
          <w:lang w:val="fr-FR"/>
        </w:rPr>
        <w:t xml:space="preserve">CEDAW/C/BHS/Q/6, par. 4). </w:t>
      </w:r>
    </w:p>
    <w:p w14:paraId="3D929BA9" w14:textId="2CD0343C" w:rsidR="00ED3730" w:rsidRPr="00922289" w:rsidRDefault="00ED3730" w:rsidP="00922289">
      <w:pPr>
        <w:pStyle w:val="SingleTxt"/>
        <w:suppressAutoHyphens/>
        <w:spacing w:after="0" w:line="120" w:lineRule="exact"/>
        <w:rPr>
          <w:sz w:val="10"/>
        </w:rPr>
      </w:pPr>
    </w:p>
    <w:p w14:paraId="10229614" w14:textId="091C2568" w:rsidR="00ED3730" w:rsidRPr="00EF4786" w:rsidRDefault="00922289" w:rsidP="009222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Réponse</w:t>
      </w:r>
    </w:p>
    <w:p w14:paraId="5C101CC3" w14:textId="17D3ACC6" w:rsidR="00ED3730" w:rsidRPr="00922289" w:rsidRDefault="00ED3730" w:rsidP="00922289">
      <w:pPr>
        <w:pStyle w:val="SingleTxt"/>
        <w:suppressAutoHyphens/>
        <w:spacing w:after="0" w:line="120" w:lineRule="exact"/>
        <w:rPr>
          <w:i/>
          <w:sz w:val="10"/>
        </w:rPr>
      </w:pPr>
    </w:p>
    <w:p w14:paraId="19E42F78" w14:textId="01910A65" w:rsidR="00ED3730" w:rsidRPr="00EF4786" w:rsidRDefault="00922289" w:rsidP="009222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Formation sur les femmes dans des postes de responsabilité</w:t>
      </w:r>
    </w:p>
    <w:p w14:paraId="49C966BE" w14:textId="34487E2A" w:rsidR="00ED3730" w:rsidRPr="00922289" w:rsidRDefault="00ED3730" w:rsidP="00922289">
      <w:pPr>
        <w:pStyle w:val="SingleTxt"/>
        <w:suppressAutoHyphens/>
        <w:spacing w:after="0" w:line="120" w:lineRule="exact"/>
        <w:rPr>
          <w:sz w:val="10"/>
        </w:rPr>
      </w:pPr>
    </w:p>
    <w:p w14:paraId="61FDDCE4" w14:textId="6E69E7A3" w:rsidR="00ED3730" w:rsidRPr="00EF4786" w:rsidRDefault="00ED3730" w:rsidP="00C67914">
      <w:pPr>
        <w:pStyle w:val="SingleTxt"/>
        <w:numPr>
          <w:ilvl w:val="0"/>
          <w:numId w:val="18"/>
        </w:numPr>
        <w:suppressAutoHyphens/>
        <w:ind w:left="1267" w:firstLine="0"/>
      </w:pPr>
      <w:r w:rsidRPr="00EF4786">
        <w:t>Les Bahamas ont un système démocratique de gouvernance. Les femmes qui veulent se consacrer au service public sont libres de le faire, au même titre que les hommes. Les femmes parlementaires membres des Femmes parlementaires du Commonwealth, qui est une subdivision de l</w:t>
      </w:r>
      <w:r w:rsidR="00000F67">
        <w:t>’</w:t>
      </w:r>
      <w:r w:rsidRPr="00EF4786">
        <w:t>Association parlementaire du Commonwealth, sont mandatées pour promouvoir et soutenir les femmes souhaitant occuper des postes de responsabilité. Le Gouvernement a en outre établi des relations de partenariat avec des associations féminines comme les Zonta Clubs, pour donner aux femmes les aptitudes nécessaires à l</w:t>
      </w:r>
      <w:r w:rsidR="00000F67">
        <w:t>’</w:t>
      </w:r>
      <w:r w:rsidRPr="00EF4786">
        <w:t xml:space="preserve">exercice de hautes responsabilités. </w:t>
      </w:r>
    </w:p>
    <w:p w14:paraId="63100FE9" w14:textId="629D080A" w:rsidR="00ED3730" w:rsidRPr="00EF4786" w:rsidRDefault="00ED3730" w:rsidP="00C67914">
      <w:pPr>
        <w:pStyle w:val="SingleTxt"/>
        <w:numPr>
          <w:ilvl w:val="0"/>
          <w:numId w:val="18"/>
        </w:numPr>
        <w:suppressAutoHyphens/>
        <w:ind w:left="1267" w:firstLine="0"/>
      </w:pPr>
      <w:r w:rsidRPr="00EF4786">
        <w:t>Le Département de l</w:t>
      </w:r>
      <w:r w:rsidR="00000F67">
        <w:t>’</w:t>
      </w:r>
      <w:r w:rsidRPr="00EF4786">
        <w:t>égalité des sexes et des affaires de la famille, en partenariat avec l</w:t>
      </w:r>
      <w:r w:rsidR="00000F67">
        <w:t>’</w:t>
      </w:r>
      <w:r w:rsidRPr="00EF4786">
        <w:t>Université des Bahamas, prévoit de faire bénéficier les femmes de New Providence et des Family Islands du troisième cycle de formation sur les femmes dans les postes de responsabilité.</w:t>
      </w:r>
    </w:p>
    <w:p w14:paraId="57FC2B3A" w14:textId="5A846CD1" w:rsidR="00ED3730" w:rsidRPr="00527A8A" w:rsidRDefault="00ED3730" w:rsidP="00527A8A">
      <w:pPr>
        <w:pStyle w:val="SingleTxt"/>
        <w:suppressAutoHyphens/>
        <w:spacing w:after="0" w:line="120" w:lineRule="exact"/>
        <w:rPr>
          <w:i/>
          <w:sz w:val="10"/>
        </w:rPr>
      </w:pPr>
    </w:p>
    <w:p w14:paraId="7A3F4BDC" w14:textId="0E9C2017" w:rsidR="00ED3730" w:rsidRPr="00EF4786" w:rsidRDefault="00527A8A" w:rsidP="00527A8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D3730" w:rsidRPr="00EF4786">
        <w:t>Programme de préparation à l</w:t>
      </w:r>
      <w:r w:rsidR="00000F67">
        <w:t>’</w:t>
      </w:r>
      <w:r w:rsidR="00ED3730" w:rsidRPr="00EF4786">
        <w:t>accès au marché de l</w:t>
      </w:r>
      <w:r w:rsidR="00000F67">
        <w:t>’</w:t>
      </w:r>
      <w:r w:rsidR="00ED3730" w:rsidRPr="00EF4786">
        <w:t>emploi</w:t>
      </w:r>
    </w:p>
    <w:p w14:paraId="7CFEC180" w14:textId="767F7C74" w:rsidR="00ED3730" w:rsidRPr="00527A8A" w:rsidRDefault="00ED3730" w:rsidP="00527A8A">
      <w:pPr>
        <w:pStyle w:val="SingleTxt"/>
        <w:suppressAutoHyphens/>
        <w:spacing w:after="0" w:line="120" w:lineRule="exact"/>
        <w:rPr>
          <w:sz w:val="10"/>
        </w:rPr>
      </w:pPr>
    </w:p>
    <w:p w14:paraId="694E3E8A" w14:textId="1898CDA7" w:rsidR="00ED3730" w:rsidRPr="00EF4786" w:rsidRDefault="00ED3730" w:rsidP="00C67914">
      <w:pPr>
        <w:pStyle w:val="SingleTxt"/>
        <w:numPr>
          <w:ilvl w:val="0"/>
          <w:numId w:val="18"/>
        </w:numPr>
        <w:suppressAutoHyphens/>
        <w:ind w:left="1267" w:firstLine="0"/>
      </w:pPr>
      <w:r w:rsidRPr="00EF4786">
        <w:t>En ce qui concerne l</w:t>
      </w:r>
      <w:r w:rsidR="00000F67">
        <w:t>’</w:t>
      </w:r>
      <w:r w:rsidRPr="00EF4786">
        <w:t>élargissement de la participation des femmes dans les secteurs d</w:t>
      </w:r>
      <w:r w:rsidR="00000F67">
        <w:t>’</w:t>
      </w:r>
      <w:r w:rsidRPr="00EF4786">
        <w:t>activité traditionnellement dominés par les hommes, l</w:t>
      </w:r>
      <w:r w:rsidR="00000F67">
        <w:t>’</w:t>
      </w:r>
      <w:r w:rsidRPr="00EF4786">
        <w:t>Institut de formation technique et professionnelle des Bahamas (BTVI), en partenariat avec le Ministère de l</w:t>
      </w:r>
      <w:r w:rsidR="00000F67">
        <w:t>’</w:t>
      </w:r>
      <w:r w:rsidRPr="00EF4786">
        <w:t>éducation, de la jeunesse, des sports et de la culture, a proposé un programme de préparation à l</w:t>
      </w:r>
      <w:r w:rsidR="00000F67">
        <w:t>’</w:t>
      </w:r>
      <w:r w:rsidRPr="00EF4786">
        <w:t>accès au marché de l</w:t>
      </w:r>
      <w:r w:rsidR="00000F67">
        <w:t>’</w:t>
      </w:r>
      <w:r w:rsidRPr="00EF4786">
        <w:t>emploi dans les domaines de la plomberie, de l</w:t>
      </w:r>
      <w:r w:rsidR="00000F67">
        <w:t>’</w:t>
      </w:r>
      <w:r w:rsidRPr="00EF4786">
        <w:t>électricité, de la peinture et de l</w:t>
      </w:r>
      <w:r w:rsidR="00000F67">
        <w:t>’</w:t>
      </w:r>
      <w:r w:rsidRPr="00EF4786">
        <w:t>installation de cloisons sèches. Des femmes ont participé à l</w:t>
      </w:r>
      <w:r w:rsidR="00000F67">
        <w:t>’</w:t>
      </w:r>
      <w:r w:rsidRPr="00EF4786">
        <w:t>ensemble de ces programmes.</w:t>
      </w:r>
    </w:p>
    <w:p w14:paraId="79C22BA4" w14:textId="15167DD4" w:rsidR="00ED3730" w:rsidRPr="00EF4786" w:rsidRDefault="00527A8A" w:rsidP="001A5FD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ED3730" w:rsidRPr="00EF4786">
        <w:t>Stéréotypes et pratiques néfastes</w:t>
      </w:r>
    </w:p>
    <w:p w14:paraId="0DD8DAB1" w14:textId="1AE5FD4B" w:rsidR="00ED3730" w:rsidRPr="00527A8A" w:rsidRDefault="00ED3730" w:rsidP="00527A8A">
      <w:pPr>
        <w:pStyle w:val="SingleTxt"/>
        <w:suppressAutoHyphens/>
        <w:spacing w:after="0" w:line="120" w:lineRule="exact"/>
        <w:rPr>
          <w:sz w:val="10"/>
          <w:lang w:val="fr-FR"/>
        </w:rPr>
      </w:pPr>
    </w:p>
    <w:p w14:paraId="0432E078" w14:textId="2EDA143E" w:rsidR="00527A8A" w:rsidRPr="00527A8A" w:rsidRDefault="00527A8A" w:rsidP="00527A8A">
      <w:pPr>
        <w:pStyle w:val="SingleTxt"/>
        <w:suppressAutoHyphens/>
        <w:spacing w:after="0" w:line="120" w:lineRule="exact"/>
        <w:rPr>
          <w:sz w:val="10"/>
          <w:lang w:val="fr-FR"/>
        </w:rPr>
      </w:pPr>
    </w:p>
    <w:p w14:paraId="291127EB" w14:textId="2538F2A8" w:rsidR="00ED3730" w:rsidRPr="00EF4786" w:rsidRDefault="00ED3730" w:rsidP="00C67914">
      <w:pPr>
        <w:pStyle w:val="SingleTxt"/>
        <w:numPr>
          <w:ilvl w:val="0"/>
          <w:numId w:val="18"/>
        </w:numPr>
        <w:suppressAutoHyphens/>
        <w:ind w:left="1267" w:firstLine="0"/>
        <w:rPr>
          <w:lang w:val="fr-FR"/>
        </w:rPr>
      </w:pPr>
      <w:r w:rsidRPr="00EF4786">
        <w:rPr>
          <w:lang w:val="fr-FR"/>
        </w:rPr>
        <w:t>En plus des activités actuellement menées par le Bureau des affaires féminines, veuillez</w:t>
      </w:r>
      <w:r w:rsidRPr="00EF4786">
        <w:rPr>
          <w:color w:val="000000"/>
          <w:lang w:val="fr-FR"/>
        </w:rPr>
        <w:t xml:space="preserve"> décrire les mesures prises pour élaborer une politique générale visant à faire évoluer les modèles sociaux et culturels qui favorisent les représentations stéréotypées et le renforcement du rôle traditionnel des femmes et des hommes dans la famille et dans la société, en ciblant notamment les établissements scolaires, ainsi que les images et messages négatifs sur les femmes véhiculés par les médias. Veuillez également donner des informations sur la manière dont la promotion du Bureau en Département de l</w:t>
      </w:r>
      <w:r w:rsidR="00000F67">
        <w:rPr>
          <w:color w:val="000000"/>
          <w:lang w:val="fr-FR"/>
        </w:rPr>
        <w:t>’</w:t>
      </w:r>
      <w:r w:rsidRPr="00EF4786">
        <w:rPr>
          <w:color w:val="000000"/>
          <w:lang w:val="fr-FR"/>
        </w:rPr>
        <w:t xml:space="preserve">égalité des sexes et des affaires de la famille permettra de donner corps à la sensibilisation aux effets négatifs des stéréotypes sexistes </w:t>
      </w:r>
      <w:r w:rsidRPr="00EF4786">
        <w:rPr>
          <w:lang w:val="fr-FR"/>
        </w:rPr>
        <w:t>(voir CEDAW/C/BHS/Q/6, par. 5).</w:t>
      </w:r>
    </w:p>
    <w:p w14:paraId="68FBA420" w14:textId="6D933676" w:rsidR="00ED3730" w:rsidRPr="00527A8A" w:rsidRDefault="00ED3730" w:rsidP="00527A8A">
      <w:pPr>
        <w:pStyle w:val="SingleTxt"/>
        <w:suppressAutoHyphens/>
        <w:spacing w:after="0" w:line="120" w:lineRule="exact"/>
        <w:rPr>
          <w:i/>
          <w:sz w:val="10"/>
          <w:lang w:val="fr-FR"/>
        </w:rPr>
      </w:pPr>
    </w:p>
    <w:p w14:paraId="1235273C" w14:textId="580DB65D" w:rsidR="00ED3730" w:rsidRPr="00EF4786" w:rsidRDefault="001A5FD7" w:rsidP="001A5FD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D3730" w:rsidRPr="00EF4786">
        <w:rPr>
          <w:lang w:val="fr-FR"/>
        </w:rPr>
        <w:t>Projet de plan de mise en œuvre de la politique d</w:t>
      </w:r>
      <w:r w:rsidR="00000F67">
        <w:rPr>
          <w:lang w:val="fr-FR"/>
        </w:rPr>
        <w:t>’</w:t>
      </w:r>
      <w:r w:rsidR="00ED3730" w:rsidRPr="00EF4786">
        <w:rPr>
          <w:lang w:val="fr-FR"/>
        </w:rPr>
        <w:t>égalité des sexes</w:t>
      </w:r>
    </w:p>
    <w:p w14:paraId="262AFCAA" w14:textId="010AA6AD" w:rsidR="00ED3730" w:rsidRPr="00527A8A" w:rsidRDefault="00ED3730" w:rsidP="00527A8A">
      <w:pPr>
        <w:pStyle w:val="SingleTxt"/>
        <w:suppressAutoHyphens/>
        <w:spacing w:after="0" w:line="120" w:lineRule="exact"/>
        <w:rPr>
          <w:sz w:val="10"/>
          <w:lang w:val="fr-FR"/>
        </w:rPr>
      </w:pPr>
    </w:p>
    <w:p w14:paraId="1C2ED981" w14:textId="54CE87C5" w:rsidR="00ED3730" w:rsidRPr="00EF4786" w:rsidRDefault="00ED3730" w:rsidP="00C67914">
      <w:pPr>
        <w:pStyle w:val="SingleTxt"/>
        <w:numPr>
          <w:ilvl w:val="0"/>
          <w:numId w:val="18"/>
        </w:numPr>
        <w:suppressAutoHyphens/>
        <w:ind w:left="1267" w:firstLine="0"/>
        <w:rPr>
          <w:lang w:val="fr-FR"/>
        </w:rPr>
      </w:pPr>
      <w:r w:rsidRPr="00EF4786">
        <w:rPr>
          <w:lang w:val="fr-FR"/>
        </w:rPr>
        <w:t xml:space="preserve">Le Département </w:t>
      </w:r>
      <w:r w:rsidRPr="00EF4786">
        <w:rPr>
          <w:color w:val="000000"/>
          <w:lang w:val="fr-FR"/>
        </w:rPr>
        <w:t>de l</w:t>
      </w:r>
      <w:r w:rsidR="00000F67">
        <w:rPr>
          <w:color w:val="000000"/>
          <w:lang w:val="fr-FR"/>
        </w:rPr>
        <w:t>’</w:t>
      </w:r>
      <w:r w:rsidRPr="00EF4786">
        <w:rPr>
          <w:color w:val="000000"/>
          <w:lang w:val="fr-FR"/>
        </w:rPr>
        <w:t>égalité des sexes et des affaires de la famille est conscient du rôle qui lui est dévolu sur le plan de l</w:t>
      </w:r>
      <w:r w:rsidR="00000F67">
        <w:rPr>
          <w:color w:val="000000"/>
          <w:lang w:val="fr-FR"/>
        </w:rPr>
        <w:t>’</w:t>
      </w:r>
      <w:r w:rsidRPr="00EF4786">
        <w:rPr>
          <w:color w:val="000000"/>
          <w:lang w:val="fr-FR"/>
        </w:rPr>
        <w:t>élimination des images stéréotypées attachées aux deux sexes. À cet égard, il est prévu, dans le cadre du plan d</w:t>
      </w:r>
      <w:r w:rsidR="00000F67">
        <w:rPr>
          <w:color w:val="000000"/>
          <w:lang w:val="fr-FR"/>
        </w:rPr>
        <w:t>’</w:t>
      </w:r>
      <w:r w:rsidRPr="00EF4786">
        <w:rPr>
          <w:color w:val="000000"/>
          <w:lang w:val="fr-FR"/>
        </w:rPr>
        <w:t xml:space="preserve">exécution de la </w:t>
      </w:r>
      <w:r w:rsidRPr="00EF4786">
        <w:rPr>
          <w:lang w:val="fr-FR"/>
        </w:rPr>
        <w:t>politique d</w:t>
      </w:r>
      <w:r w:rsidR="00000F67">
        <w:rPr>
          <w:lang w:val="fr-FR"/>
        </w:rPr>
        <w:t>’</w:t>
      </w:r>
      <w:r w:rsidRPr="00EF4786">
        <w:rPr>
          <w:lang w:val="fr-FR"/>
        </w:rPr>
        <w:t>égalité des sexes, de mettre en place une stratégie globale de lutte contre les stéréotypes négatifs et les pratiques néfastes, notamment dans les domaines de l</w:t>
      </w:r>
      <w:r w:rsidR="00000F67">
        <w:rPr>
          <w:lang w:val="fr-FR"/>
        </w:rPr>
        <w:t>’</w:t>
      </w:r>
      <w:r w:rsidRPr="00EF4786">
        <w:rPr>
          <w:lang w:val="fr-FR"/>
        </w:rPr>
        <w:t>emploi, de l</w:t>
      </w:r>
      <w:r w:rsidR="00000F67">
        <w:rPr>
          <w:lang w:val="fr-FR"/>
        </w:rPr>
        <w:t>’</w:t>
      </w:r>
      <w:r w:rsidRPr="00EF4786">
        <w:rPr>
          <w:lang w:val="fr-FR"/>
        </w:rPr>
        <w:t>éducation et de la santé.</w:t>
      </w:r>
    </w:p>
    <w:p w14:paraId="4C5ADFE3" w14:textId="429142C6" w:rsidR="00ED3730" w:rsidRPr="00EF4786" w:rsidRDefault="00ED3730" w:rsidP="00C67914">
      <w:pPr>
        <w:pStyle w:val="SingleTxt"/>
        <w:numPr>
          <w:ilvl w:val="0"/>
          <w:numId w:val="18"/>
        </w:numPr>
        <w:suppressAutoHyphens/>
        <w:ind w:left="1267" w:firstLine="0"/>
        <w:rPr>
          <w:lang w:val="fr-FR"/>
        </w:rPr>
      </w:pPr>
      <w:r w:rsidRPr="00EF4786">
        <w:rPr>
          <w:lang w:val="fr-FR"/>
        </w:rPr>
        <w:t>Actuellement, le programme du Ministère de l</w:t>
      </w:r>
      <w:r w:rsidR="00000F67">
        <w:rPr>
          <w:lang w:val="fr-FR"/>
        </w:rPr>
        <w:t>’</w:t>
      </w:r>
      <w:r w:rsidRPr="00EF4786">
        <w:rPr>
          <w:lang w:val="fr-FR"/>
        </w:rPr>
        <w:t>éducation sur</w:t>
      </w:r>
      <w:r w:rsidR="00000F67">
        <w:rPr>
          <w:lang w:val="fr-FR"/>
        </w:rPr>
        <w:t xml:space="preserve"> </w:t>
      </w:r>
      <w:r w:rsidRPr="00EF4786">
        <w:rPr>
          <w:lang w:val="fr-FR"/>
        </w:rPr>
        <w:t>l</w:t>
      </w:r>
      <w:r w:rsidR="00000F67">
        <w:rPr>
          <w:lang w:val="fr-FR"/>
        </w:rPr>
        <w:t>’</w:t>
      </w:r>
      <w:r w:rsidRPr="00EF4786">
        <w:rPr>
          <w:lang w:val="fr-FR"/>
        </w:rPr>
        <w:t>éducation à la santé et à la vie familiale comporte un volet sur les stéréotypes sexistes. Il est enseigné aux élèves de troisième année et plus. L</w:t>
      </w:r>
      <w:r w:rsidR="00000F67">
        <w:rPr>
          <w:lang w:val="fr-FR"/>
        </w:rPr>
        <w:t>’</w:t>
      </w:r>
      <w:r w:rsidRPr="00EF4786">
        <w:rPr>
          <w:lang w:val="fr-FR"/>
        </w:rPr>
        <w:t>objectif du programme est de faire connaître la sexualité aux élèves dans une optique personnelle de masculinité et de féminité et d</w:t>
      </w:r>
      <w:r w:rsidR="00000F67">
        <w:rPr>
          <w:lang w:val="fr-FR"/>
        </w:rPr>
        <w:t>’</w:t>
      </w:r>
      <w:r w:rsidRPr="00EF4786">
        <w:rPr>
          <w:lang w:val="fr-FR"/>
        </w:rPr>
        <w:t>examiner les facteurs qui influent sur la sexualité. Il permet également de se pencher sur les rôles, les responsabilités et les partis pris ou stéréotypes liés au sexe.</w:t>
      </w:r>
    </w:p>
    <w:p w14:paraId="5D118613" w14:textId="392DF5F6" w:rsidR="00ED3730" w:rsidRPr="00527A8A" w:rsidRDefault="00ED3730" w:rsidP="00527A8A">
      <w:pPr>
        <w:pStyle w:val="SingleTxt"/>
        <w:suppressAutoHyphens/>
        <w:spacing w:after="0" w:line="120" w:lineRule="exact"/>
        <w:rPr>
          <w:sz w:val="10"/>
          <w:lang w:val="fr-FR"/>
        </w:rPr>
      </w:pPr>
    </w:p>
    <w:p w14:paraId="554BDFE1" w14:textId="04D54EC5" w:rsidR="00ED3730" w:rsidRPr="00527A8A" w:rsidRDefault="00527A8A" w:rsidP="00527A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527A8A">
        <w:rPr>
          <w:b w:val="0"/>
          <w:lang w:val="fr-FR"/>
        </w:rPr>
        <w:tab/>
      </w:r>
      <w:r w:rsidRPr="00527A8A">
        <w:rPr>
          <w:b w:val="0"/>
          <w:lang w:val="fr-FR"/>
        </w:rPr>
        <w:tab/>
      </w:r>
      <w:r w:rsidR="00ED3730" w:rsidRPr="00527A8A">
        <w:rPr>
          <w:b w:val="0"/>
          <w:lang w:val="fr-FR"/>
        </w:rPr>
        <w:t>Tableau 2</w:t>
      </w:r>
    </w:p>
    <w:p w14:paraId="3E8118AE" w14:textId="317EEAF4" w:rsidR="00AF34C2" w:rsidRDefault="00527A8A" w:rsidP="00527A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00ED3730" w:rsidRPr="00EF4786">
        <w:rPr>
          <w:lang w:val="fr-FR"/>
        </w:rPr>
        <w:t>Étudiants inscrits au Programme sur l</w:t>
      </w:r>
      <w:r w:rsidR="00000F67">
        <w:rPr>
          <w:lang w:val="fr-FR"/>
        </w:rPr>
        <w:t>’</w:t>
      </w:r>
      <w:r w:rsidR="00ED3730" w:rsidRPr="00EF4786">
        <w:rPr>
          <w:lang w:val="fr-FR"/>
        </w:rPr>
        <w:t>éducation à la santé et à la vie familiale</w:t>
      </w:r>
    </w:p>
    <w:p w14:paraId="07F94678" w14:textId="50DA107A" w:rsidR="00AF34C2" w:rsidRPr="00527A8A" w:rsidRDefault="00AF34C2" w:rsidP="00527A8A">
      <w:pPr>
        <w:pStyle w:val="SingleTxt"/>
        <w:suppressAutoHyphens/>
        <w:spacing w:after="0" w:line="120" w:lineRule="exact"/>
        <w:rPr>
          <w:sz w:val="10"/>
        </w:rPr>
      </w:pPr>
    </w:p>
    <w:p w14:paraId="58B6EE30" w14:textId="7CDC876B" w:rsidR="00527A8A" w:rsidRPr="00527A8A" w:rsidRDefault="00527A8A" w:rsidP="00527A8A">
      <w:pPr>
        <w:pStyle w:val="SingleTxt"/>
        <w:suppressAutoHyphens/>
        <w:spacing w:after="0" w:line="120" w:lineRule="exact"/>
        <w:rPr>
          <w:sz w:val="10"/>
        </w:rPr>
      </w:pPr>
    </w:p>
    <w:tbl>
      <w:tblPr>
        <w:tblW w:w="0" w:type="auto"/>
        <w:tblInd w:w="1242" w:type="dxa"/>
        <w:tblLayout w:type="fixed"/>
        <w:tblCellMar>
          <w:left w:w="0" w:type="dxa"/>
          <w:right w:w="0" w:type="dxa"/>
        </w:tblCellMar>
        <w:tblLook w:val="0000" w:firstRow="0" w:lastRow="0" w:firstColumn="0" w:lastColumn="0" w:noHBand="0" w:noVBand="0"/>
      </w:tblPr>
      <w:tblGrid>
        <w:gridCol w:w="18"/>
        <w:gridCol w:w="1800"/>
        <w:gridCol w:w="99"/>
        <w:gridCol w:w="1116"/>
        <w:gridCol w:w="1539"/>
        <w:gridCol w:w="180"/>
        <w:gridCol w:w="1242"/>
        <w:gridCol w:w="1404"/>
        <w:gridCol w:w="48"/>
      </w:tblGrid>
      <w:tr w:rsidR="002973C0" w:rsidRPr="00527A8A" w14:paraId="1076DE10" w14:textId="77777777" w:rsidTr="00E80CCA">
        <w:trPr>
          <w:tblHeader/>
        </w:trPr>
        <w:tc>
          <w:tcPr>
            <w:tcW w:w="1917" w:type="dxa"/>
            <w:gridSpan w:val="3"/>
            <w:tcBorders>
              <w:top w:val="single" w:sz="4" w:space="0" w:color="auto"/>
            </w:tcBorders>
            <w:shd w:val="clear" w:color="auto" w:fill="auto"/>
            <w:vAlign w:val="bottom"/>
          </w:tcPr>
          <w:p w14:paraId="3FA967D5" w14:textId="77777777" w:rsidR="002973C0" w:rsidRPr="00527A8A" w:rsidRDefault="002973C0" w:rsidP="00BA1FB3">
            <w:pPr>
              <w:tabs>
                <w:tab w:val="left" w:pos="288"/>
                <w:tab w:val="left" w:pos="576"/>
                <w:tab w:val="left" w:pos="864"/>
                <w:tab w:val="left" w:pos="1152"/>
              </w:tabs>
              <w:suppressAutoHyphens/>
              <w:spacing w:before="81" w:after="81" w:line="160" w:lineRule="exact"/>
              <w:ind w:right="40"/>
              <w:rPr>
                <w:i/>
                <w:sz w:val="14"/>
              </w:rPr>
            </w:pPr>
          </w:p>
        </w:tc>
        <w:tc>
          <w:tcPr>
            <w:tcW w:w="2655" w:type="dxa"/>
            <w:gridSpan w:val="2"/>
            <w:tcBorders>
              <w:top w:val="single" w:sz="4" w:space="0" w:color="auto"/>
              <w:bottom w:val="single" w:sz="4" w:space="0" w:color="auto"/>
            </w:tcBorders>
            <w:shd w:val="clear" w:color="auto" w:fill="auto"/>
            <w:vAlign w:val="bottom"/>
          </w:tcPr>
          <w:p w14:paraId="61011EFC" w14:textId="6EFB8DDA" w:rsidR="002973C0" w:rsidRPr="00527A8A" w:rsidRDefault="00E80CCA" w:rsidP="00BA1FB3">
            <w:pPr>
              <w:tabs>
                <w:tab w:val="left" w:pos="288"/>
                <w:tab w:val="left" w:pos="576"/>
                <w:tab w:val="left" w:pos="864"/>
                <w:tab w:val="left" w:pos="1152"/>
              </w:tabs>
              <w:suppressAutoHyphens/>
              <w:spacing w:before="81" w:after="81" w:line="160" w:lineRule="exact"/>
              <w:ind w:left="144" w:right="43"/>
              <w:jc w:val="center"/>
              <w:rPr>
                <w:i/>
                <w:sz w:val="14"/>
              </w:rPr>
            </w:pPr>
            <w:r>
              <w:rPr>
                <w:i/>
                <w:sz w:val="14"/>
              </w:rPr>
              <w:t>Élèves</w:t>
            </w:r>
          </w:p>
        </w:tc>
        <w:tc>
          <w:tcPr>
            <w:tcW w:w="180" w:type="dxa"/>
            <w:tcBorders>
              <w:top w:val="single" w:sz="4" w:space="0" w:color="auto"/>
            </w:tcBorders>
            <w:shd w:val="clear" w:color="auto" w:fill="auto"/>
            <w:vAlign w:val="bottom"/>
          </w:tcPr>
          <w:p w14:paraId="030E83C4" w14:textId="77777777" w:rsidR="002973C0" w:rsidRPr="00527A8A" w:rsidRDefault="002973C0" w:rsidP="00BA1FB3">
            <w:pPr>
              <w:tabs>
                <w:tab w:val="left" w:pos="288"/>
                <w:tab w:val="left" w:pos="576"/>
                <w:tab w:val="left" w:pos="864"/>
                <w:tab w:val="left" w:pos="1152"/>
              </w:tabs>
              <w:suppressAutoHyphens/>
              <w:spacing w:before="81" w:after="81" w:line="160" w:lineRule="exact"/>
              <w:ind w:left="144" w:right="43"/>
              <w:jc w:val="right"/>
              <w:rPr>
                <w:i/>
                <w:sz w:val="14"/>
              </w:rPr>
            </w:pPr>
          </w:p>
        </w:tc>
        <w:tc>
          <w:tcPr>
            <w:tcW w:w="2694" w:type="dxa"/>
            <w:gridSpan w:val="3"/>
            <w:tcBorders>
              <w:top w:val="single" w:sz="4" w:space="0" w:color="auto"/>
              <w:bottom w:val="single" w:sz="4" w:space="0" w:color="auto"/>
            </w:tcBorders>
            <w:shd w:val="clear" w:color="auto" w:fill="auto"/>
            <w:vAlign w:val="bottom"/>
          </w:tcPr>
          <w:p w14:paraId="5EE19DFD" w14:textId="65D96FDC" w:rsidR="002973C0" w:rsidRPr="00527A8A" w:rsidRDefault="00E80CCA" w:rsidP="00BA1FB3">
            <w:pPr>
              <w:tabs>
                <w:tab w:val="left" w:pos="288"/>
                <w:tab w:val="left" w:pos="576"/>
                <w:tab w:val="left" w:pos="864"/>
                <w:tab w:val="left" w:pos="1152"/>
              </w:tabs>
              <w:suppressAutoHyphens/>
              <w:spacing w:before="81" w:after="81" w:line="160" w:lineRule="exact"/>
              <w:ind w:left="144" w:right="43"/>
              <w:jc w:val="center"/>
              <w:rPr>
                <w:i/>
                <w:sz w:val="14"/>
              </w:rPr>
            </w:pPr>
            <w:r>
              <w:rPr>
                <w:i/>
                <w:sz w:val="14"/>
              </w:rPr>
              <w:t>Enseignants du Programme</w:t>
            </w:r>
          </w:p>
        </w:tc>
      </w:tr>
      <w:tr w:rsidR="00E80CCA" w:rsidRPr="00527A8A" w14:paraId="1687CEDE" w14:textId="77777777" w:rsidTr="00E80CCA">
        <w:trPr>
          <w:tblHeader/>
        </w:trPr>
        <w:tc>
          <w:tcPr>
            <w:tcW w:w="1917" w:type="dxa"/>
            <w:gridSpan w:val="3"/>
            <w:tcBorders>
              <w:bottom w:val="single" w:sz="12" w:space="0" w:color="auto"/>
            </w:tcBorders>
            <w:shd w:val="clear" w:color="auto" w:fill="auto"/>
            <w:vAlign w:val="bottom"/>
          </w:tcPr>
          <w:p w14:paraId="3B31CC8D" w14:textId="0A9BCC31" w:rsidR="002973C0" w:rsidRPr="00527A8A" w:rsidRDefault="00E80CCA" w:rsidP="00BA1FB3">
            <w:pPr>
              <w:tabs>
                <w:tab w:val="left" w:pos="288"/>
                <w:tab w:val="left" w:pos="576"/>
                <w:tab w:val="left" w:pos="864"/>
                <w:tab w:val="left" w:pos="1152"/>
              </w:tabs>
              <w:suppressAutoHyphens/>
              <w:spacing w:before="81" w:after="81" w:line="160" w:lineRule="exact"/>
              <w:ind w:right="40"/>
              <w:rPr>
                <w:i/>
                <w:sz w:val="14"/>
              </w:rPr>
            </w:pPr>
            <w:r>
              <w:rPr>
                <w:i/>
                <w:sz w:val="14"/>
              </w:rPr>
              <w:t>Années scolaires</w:t>
            </w:r>
          </w:p>
        </w:tc>
        <w:tc>
          <w:tcPr>
            <w:tcW w:w="1116" w:type="dxa"/>
            <w:tcBorders>
              <w:top w:val="single" w:sz="4" w:space="0" w:color="auto"/>
              <w:bottom w:val="single" w:sz="12" w:space="0" w:color="auto"/>
            </w:tcBorders>
            <w:shd w:val="clear" w:color="auto" w:fill="auto"/>
            <w:vAlign w:val="bottom"/>
          </w:tcPr>
          <w:p w14:paraId="008114AB" w14:textId="7601737E" w:rsidR="002973C0" w:rsidRPr="00527A8A" w:rsidRDefault="002973C0"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Filles</w:t>
            </w:r>
          </w:p>
        </w:tc>
        <w:tc>
          <w:tcPr>
            <w:tcW w:w="1539" w:type="dxa"/>
            <w:tcBorders>
              <w:top w:val="single" w:sz="4" w:space="0" w:color="auto"/>
              <w:bottom w:val="single" w:sz="12" w:space="0" w:color="auto"/>
            </w:tcBorders>
            <w:shd w:val="clear" w:color="auto" w:fill="auto"/>
            <w:vAlign w:val="bottom"/>
          </w:tcPr>
          <w:p w14:paraId="7302969F" w14:textId="12763BD7" w:rsidR="002973C0" w:rsidRPr="00527A8A" w:rsidRDefault="002973C0"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G</w:t>
            </w:r>
            <w:r w:rsidR="00E80CCA">
              <w:rPr>
                <w:i/>
                <w:sz w:val="14"/>
              </w:rPr>
              <w:t>arçons</w:t>
            </w:r>
          </w:p>
        </w:tc>
        <w:tc>
          <w:tcPr>
            <w:tcW w:w="180" w:type="dxa"/>
            <w:tcBorders>
              <w:bottom w:val="single" w:sz="12" w:space="0" w:color="auto"/>
            </w:tcBorders>
            <w:shd w:val="clear" w:color="auto" w:fill="auto"/>
            <w:vAlign w:val="bottom"/>
          </w:tcPr>
          <w:p w14:paraId="45593BF0" w14:textId="77777777" w:rsidR="002973C0" w:rsidRPr="00527A8A" w:rsidRDefault="002973C0" w:rsidP="00BA1FB3">
            <w:pPr>
              <w:tabs>
                <w:tab w:val="left" w:pos="288"/>
                <w:tab w:val="left" w:pos="576"/>
                <w:tab w:val="left" w:pos="864"/>
                <w:tab w:val="left" w:pos="1152"/>
              </w:tabs>
              <w:suppressAutoHyphens/>
              <w:spacing w:before="81" w:after="81" w:line="160" w:lineRule="exact"/>
              <w:ind w:left="144" w:right="43"/>
              <w:jc w:val="right"/>
              <w:rPr>
                <w:i/>
                <w:sz w:val="14"/>
              </w:rPr>
            </w:pPr>
          </w:p>
        </w:tc>
        <w:tc>
          <w:tcPr>
            <w:tcW w:w="1242" w:type="dxa"/>
            <w:tcBorders>
              <w:top w:val="single" w:sz="4" w:space="0" w:color="auto"/>
              <w:bottom w:val="single" w:sz="12" w:space="0" w:color="auto"/>
            </w:tcBorders>
            <w:shd w:val="clear" w:color="auto" w:fill="auto"/>
            <w:vAlign w:val="bottom"/>
          </w:tcPr>
          <w:p w14:paraId="0B5D340B" w14:textId="46F51981" w:rsidR="002973C0" w:rsidRPr="00527A8A" w:rsidRDefault="002F4A90"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Fe</w:t>
            </w:r>
            <w:r w:rsidR="00E80CCA">
              <w:rPr>
                <w:i/>
                <w:sz w:val="14"/>
              </w:rPr>
              <w:t>mmes</w:t>
            </w:r>
          </w:p>
        </w:tc>
        <w:tc>
          <w:tcPr>
            <w:tcW w:w="1452" w:type="dxa"/>
            <w:gridSpan w:val="2"/>
            <w:tcBorders>
              <w:top w:val="single" w:sz="4" w:space="0" w:color="auto"/>
              <w:bottom w:val="single" w:sz="12" w:space="0" w:color="auto"/>
            </w:tcBorders>
            <w:shd w:val="clear" w:color="auto" w:fill="auto"/>
            <w:vAlign w:val="bottom"/>
          </w:tcPr>
          <w:p w14:paraId="11A232E9" w14:textId="51346944" w:rsidR="002973C0" w:rsidRPr="00527A8A" w:rsidRDefault="002F4A90"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Ho</w:t>
            </w:r>
            <w:r w:rsidR="00E80CCA">
              <w:rPr>
                <w:i/>
                <w:sz w:val="14"/>
              </w:rPr>
              <w:t>mmes</w:t>
            </w:r>
          </w:p>
        </w:tc>
      </w:tr>
      <w:tr w:rsidR="002973C0" w:rsidRPr="00527A8A" w14:paraId="0DCADB58" w14:textId="77777777" w:rsidTr="00E80CCA">
        <w:trPr>
          <w:trHeight w:hRule="exact" w:val="115"/>
          <w:tblHeader/>
        </w:trPr>
        <w:tc>
          <w:tcPr>
            <w:tcW w:w="1917" w:type="dxa"/>
            <w:gridSpan w:val="3"/>
            <w:tcBorders>
              <w:top w:val="single" w:sz="12" w:space="0" w:color="auto"/>
            </w:tcBorders>
            <w:shd w:val="clear" w:color="auto" w:fill="auto"/>
            <w:vAlign w:val="bottom"/>
          </w:tcPr>
          <w:p w14:paraId="7317D34B" w14:textId="77777777" w:rsidR="002973C0" w:rsidRPr="00527A8A" w:rsidRDefault="002973C0" w:rsidP="00BA1FB3">
            <w:pPr>
              <w:tabs>
                <w:tab w:val="left" w:pos="288"/>
                <w:tab w:val="left" w:pos="576"/>
                <w:tab w:val="left" w:pos="864"/>
                <w:tab w:val="left" w:pos="1152"/>
              </w:tabs>
              <w:suppressAutoHyphens/>
              <w:spacing w:before="40" w:after="40" w:line="210" w:lineRule="exact"/>
              <w:ind w:right="40"/>
              <w:rPr>
                <w:sz w:val="17"/>
              </w:rPr>
            </w:pPr>
          </w:p>
        </w:tc>
        <w:tc>
          <w:tcPr>
            <w:tcW w:w="1116" w:type="dxa"/>
            <w:tcBorders>
              <w:top w:val="single" w:sz="12" w:space="0" w:color="auto"/>
            </w:tcBorders>
            <w:shd w:val="clear" w:color="auto" w:fill="auto"/>
            <w:vAlign w:val="bottom"/>
          </w:tcPr>
          <w:p w14:paraId="7411CA5F" w14:textId="77777777" w:rsidR="002973C0" w:rsidRPr="00527A8A" w:rsidRDefault="002973C0"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1539" w:type="dxa"/>
            <w:tcBorders>
              <w:top w:val="single" w:sz="12" w:space="0" w:color="auto"/>
            </w:tcBorders>
            <w:shd w:val="clear" w:color="auto" w:fill="auto"/>
            <w:vAlign w:val="bottom"/>
          </w:tcPr>
          <w:p w14:paraId="698D8E87" w14:textId="77777777" w:rsidR="002973C0" w:rsidRPr="00527A8A" w:rsidRDefault="002973C0"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180" w:type="dxa"/>
            <w:tcBorders>
              <w:top w:val="single" w:sz="12" w:space="0" w:color="auto"/>
            </w:tcBorders>
            <w:shd w:val="clear" w:color="auto" w:fill="auto"/>
            <w:vAlign w:val="bottom"/>
          </w:tcPr>
          <w:p w14:paraId="76A1C029" w14:textId="77777777" w:rsidR="002973C0" w:rsidRPr="00527A8A" w:rsidRDefault="002973C0"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1242" w:type="dxa"/>
            <w:tcBorders>
              <w:top w:val="single" w:sz="12" w:space="0" w:color="auto"/>
            </w:tcBorders>
            <w:shd w:val="clear" w:color="auto" w:fill="auto"/>
            <w:vAlign w:val="bottom"/>
          </w:tcPr>
          <w:p w14:paraId="3655CD0C" w14:textId="77777777" w:rsidR="002973C0" w:rsidRPr="00527A8A" w:rsidRDefault="002973C0"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1452" w:type="dxa"/>
            <w:gridSpan w:val="2"/>
            <w:tcBorders>
              <w:top w:val="single" w:sz="12" w:space="0" w:color="auto"/>
            </w:tcBorders>
            <w:shd w:val="clear" w:color="auto" w:fill="auto"/>
            <w:vAlign w:val="bottom"/>
          </w:tcPr>
          <w:p w14:paraId="14A80B6C" w14:textId="77777777" w:rsidR="002973C0" w:rsidRPr="00527A8A" w:rsidRDefault="002973C0" w:rsidP="00BA1FB3">
            <w:pPr>
              <w:tabs>
                <w:tab w:val="left" w:pos="288"/>
                <w:tab w:val="left" w:pos="576"/>
                <w:tab w:val="left" w:pos="864"/>
                <w:tab w:val="left" w:pos="1152"/>
              </w:tabs>
              <w:suppressAutoHyphens/>
              <w:spacing w:before="40" w:after="40" w:line="210" w:lineRule="exact"/>
              <w:ind w:left="144" w:right="43"/>
              <w:jc w:val="right"/>
              <w:rPr>
                <w:sz w:val="17"/>
              </w:rPr>
            </w:pPr>
          </w:p>
        </w:tc>
      </w:tr>
      <w:tr w:rsidR="002973C0" w:rsidRPr="00105356" w14:paraId="08956323" w14:textId="77777777" w:rsidTr="00E80CCA">
        <w:trPr>
          <w:gridBefore w:val="1"/>
          <w:gridAfter w:val="1"/>
          <w:wBefore w:w="18" w:type="dxa"/>
          <w:wAfter w:w="48" w:type="dxa"/>
        </w:trPr>
        <w:tc>
          <w:tcPr>
            <w:tcW w:w="1800" w:type="dxa"/>
            <w:tcBorders>
              <w:bottom w:val="single" w:sz="12" w:space="0" w:color="auto"/>
            </w:tcBorders>
            <w:shd w:val="clear" w:color="auto" w:fill="auto"/>
            <w:vAlign w:val="bottom"/>
          </w:tcPr>
          <w:p w14:paraId="6BDF5ED7" w14:textId="2A9C72A0" w:rsidR="002973C0" w:rsidRPr="00CF2942" w:rsidRDefault="00E80CCA" w:rsidP="00BA1FB3">
            <w:pPr>
              <w:tabs>
                <w:tab w:val="left" w:pos="288"/>
                <w:tab w:val="left" w:pos="576"/>
                <w:tab w:val="left" w:pos="864"/>
                <w:tab w:val="left" w:pos="1152"/>
              </w:tabs>
              <w:suppressAutoHyphens/>
              <w:spacing w:before="40" w:after="40" w:line="210" w:lineRule="exact"/>
              <w:ind w:right="40"/>
              <w:rPr>
                <w:sz w:val="17"/>
                <w:szCs w:val="17"/>
              </w:rPr>
            </w:pPr>
            <w:r>
              <w:rPr>
                <w:sz w:val="17"/>
                <w:szCs w:val="17"/>
              </w:rPr>
              <w:t>De 7 à 12</w:t>
            </w:r>
          </w:p>
        </w:tc>
        <w:tc>
          <w:tcPr>
            <w:tcW w:w="1215" w:type="dxa"/>
            <w:gridSpan w:val="2"/>
            <w:tcBorders>
              <w:bottom w:val="single" w:sz="12" w:space="0" w:color="auto"/>
            </w:tcBorders>
            <w:shd w:val="clear" w:color="auto" w:fill="auto"/>
            <w:vAlign w:val="bottom"/>
          </w:tcPr>
          <w:p w14:paraId="734661C0" w14:textId="131BBB36" w:rsidR="002973C0" w:rsidRPr="00CF2942" w:rsidRDefault="00E80CCA" w:rsidP="00BA1FB3">
            <w:pPr>
              <w:tabs>
                <w:tab w:val="left" w:pos="288"/>
                <w:tab w:val="left" w:pos="576"/>
                <w:tab w:val="left" w:pos="864"/>
                <w:tab w:val="left" w:pos="1152"/>
              </w:tabs>
              <w:suppressAutoHyphens/>
              <w:spacing w:before="40" w:after="40" w:line="210" w:lineRule="exact"/>
              <w:ind w:left="144" w:right="43"/>
              <w:jc w:val="right"/>
              <w:rPr>
                <w:sz w:val="17"/>
                <w:szCs w:val="17"/>
              </w:rPr>
            </w:pPr>
            <w:r>
              <w:rPr>
                <w:sz w:val="17"/>
                <w:szCs w:val="17"/>
              </w:rPr>
              <w:t>9 834</w:t>
            </w:r>
          </w:p>
        </w:tc>
        <w:tc>
          <w:tcPr>
            <w:tcW w:w="1539" w:type="dxa"/>
            <w:tcBorders>
              <w:bottom w:val="single" w:sz="12" w:space="0" w:color="auto"/>
            </w:tcBorders>
            <w:shd w:val="clear" w:color="auto" w:fill="auto"/>
            <w:vAlign w:val="bottom"/>
          </w:tcPr>
          <w:p w14:paraId="6E21087F" w14:textId="00197FEB" w:rsidR="002973C0" w:rsidRPr="00CF2942" w:rsidRDefault="00E80CCA" w:rsidP="00BA1FB3">
            <w:pPr>
              <w:tabs>
                <w:tab w:val="left" w:pos="288"/>
                <w:tab w:val="left" w:pos="576"/>
                <w:tab w:val="left" w:pos="864"/>
                <w:tab w:val="left" w:pos="1152"/>
              </w:tabs>
              <w:suppressAutoHyphens/>
              <w:spacing w:before="40" w:after="40" w:line="210" w:lineRule="exact"/>
              <w:ind w:left="144" w:right="43"/>
              <w:jc w:val="right"/>
              <w:rPr>
                <w:sz w:val="17"/>
                <w:szCs w:val="17"/>
              </w:rPr>
            </w:pPr>
            <w:r>
              <w:rPr>
                <w:sz w:val="17"/>
                <w:szCs w:val="17"/>
              </w:rPr>
              <w:t>9 705</w:t>
            </w:r>
          </w:p>
        </w:tc>
        <w:tc>
          <w:tcPr>
            <w:tcW w:w="1422" w:type="dxa"/>
            <w:gridSpan w:val="2"/>
            <w:tcBorders>
              <w:bottom w:val="single" w:sz="12" w:space="0" w:color="auto"/>
            </w:tcBorders>
            <w:shd w:val="clear" w:color="auto" w:fill="auto"/>
            <w:vAlign w:val="bottom"/>
          </w:tcPr>
          <w:p w14:paraId="044FD2D2" w14:textId="0440C33A" w:rsidR="002973C0" w:rsidRPr="00CF2942" w:rsidRDefault="00E80CCA" w:rsidP="00BA1FB3">
            <w:pPr>
              <w:tabs>
                <w:tab w:val="left" w:pos="288"/>
                <w:tab w:val="left" w:pos="576"/>
                <w:tab w:val="left" w:pos="864"/>
                <w:tab w:val="left" w:pos="1152"/>
              </w:tabs>
              <w:suppressAutoHyphens/>
              <w:spacing w:before="40" w:after="40" w:line="210" w:lineRule="exact"/>
              <w:ind w:left="144" w:right="43"/>
              <w:jc w:val="right"/>
              <w:rPr>
                <w:sz w:val="17"/>
                <w:szCs w:val="17"/>
              </w:rPr>
            </w:pPr>
            <w:r>
              <w:rPr>
                <w:sz w:val="17"/>
                <w:szCs w:val="17"/>
              </w:rPr>
              <w:t>324</w:t>
            </w:r>
          </w:p>
        </w:tc>
        <w:tc>
          <w:tcPr>
            <w:tcW w:w="1404" w:type="dxa"/>
            <w:tcBorders>
              <w:bottom w:val="single" w:sz="12" w:space="0" w:color="auto"/>
            </w:tcBorders>
            <w:shd w:val="clear" w:color="auto" w:fill="auto"/>
            <w:vAlign w:val="bottom"/>
          </w:tcPr>
          <w:p w14:paraId="05577E4F" w14:textId="40CECFB5" w:rsidR="002973C0" w:rsidRPr="00CF2942" w:rsidRDefault="00E80CCA" w:rsidP="00BA1FB3">
            <w:pPr>
              <w:tabs>
                <w:tab w:val="left" w:pos="288"/>
                <w:tab w:val="left" w:pos="576"/>
                <w:tab w:val="left" w:pos="864"/>
                <w:tab w:val="left" w:pos="1152"/>
              </w:tabs>
              <w:suppressAutoHyphens/>
              <w:spacing w:before="40" w:after="40" w:line="210" w:lineRule="exact"/>
              <w:ind w:left="144" w:right="43"/>
              <w:jc w:val="right"/>
              <w:rPr>
                <w:sz w:val="17"/>
                <w:szCs w:val="17"/>
              </w:rPr>
            </w:pPr>
            <w:r>
              <w:rPr>
                <w:sz w:val="17"/>
                <w:szCs w:val="17"/>
              </w:rPr>
              <w:t>77</w:t>
            </w:r>
          </w:p>
        </w:tc>
      </w:tr>
    </w:tbl>
    <w:p w14:paraId="334407DC" w14:textId="590322DA" w:rsidR="00527A8A" w:rsidRPr="00E80CCA" w:rsidRDefault="00527A8A" w:rsidP="00E80CCA">
      <w:pPr>
        <w:pStyle w:val="SingleTxt"/>
        <w:suppressAutoHyphens/>
        <w:spacing w:after="0" w:line="120" w:lineRule="exact"/>
        <w:rPr>
          <w:sz w:val="10"/>
        </w:rPr>
      </w:pPr>
    </w:p>
    <w:p w14:paraId="685CE5B3" w14:textId="7398E5FF" w:rsidR="00E80CCA" w:rsidRDefault="00E80CCA" w:rsidP="00E80CCA">
      <w:pPr>
        <w:pStyle w:val="FootnoteText"/>
        <w:tabs>
          <w:tab w:val="clear" w:pos="418"/>
          <w:tab w:val="right" w:pos="1476"/>
          <w:tab w:val="left" w:pos="1548"/>
          <w:tab w:val="right" w:pos="1836"/>
          <w:tab w:val="left" w:pos="1908"/>
        </w:tabs>
        <w:ind w:left="1548" w:right="1267" w:hanging="288"/>
      </w:pPr>
      <w:r w:rsidRPr="00E80CCA">
        <w:rPr>
          <w:i/>
        </w:rPr>
        <w:t>Source</w:t>
      </w:r>
      <w:r>
        <w:t> : Ministère de l</w:t>
      </w:r>
      <w:r w:rsidR="00000F67">
        <w:t>’</w:t>
      </w:r>
      <w:r>
        <w:t>éducation, de la science et de la technologie.</w:t>
      </w:r>
    </w:p>
    <w:p w14:paraId="099201D5" w14:textId="05EE3D7C" w:rsidR="00AF34C2" w:rsidRPr="00E80CCA" w:rsidRDefault="00AF34C2" w:rsidP="00E80CCA">
      <w:pPr>
        <w:pStyle w:val="SingleTxt"/>
        <w:suppressAutoHyphens/>
        <w:spacing w:after="0" w:line="120" w:lineRule="exact"/>
        <w:rPr>
          <w:sz w:val="10"/>
        </w:rPr>
      </w:pPr>
    </w:p>
    <w:p w14:paraId="1FB981A2" w14:textId="2AAEF78C" w:rsidR="00E80CCA" w:rsidRPr="00E80CCA" w:rsidRDefault="00E80CCA" w:rsidP="00E80CCA">
      <w:pPr>
        <w:pStyle w:val="SingleTxt"/>
        <w:suppressAutoHyphens/>
        <w:spacing w:after="0" w:line="120" w:lineRule="exact"/>
        <w:rPr>
          <w:sz w:val="10"/>
        </w:rPr>
      </w:pPr>
    </w:p>
    <w:p w14:paraId="155B8B95" w14:textId="74067ECF" w:rsidR="00E80CCA" w:rsidRPr="00E80CCA" w:rsidRDefault="00E80CCA" w:rsidP="00E80CCA">
      <w:pPr>
        <w:pStyle w:val="SingleTxt"/>
        <w:suppressAutoHyphens/>
        <w:spacing w:after="0" w:line="120" w:lineRule="exact"/>
        <w:rPr>
          <w:sz w:val="10"/>
        </w:rPr>
      </w:pPr>
    </w:p>
    <w:p w14:paraId="3E38BB4D" w14:textId="137B90CA" w:rsidR="00E80CCA" w:rsidRPr="003A18CC" w:rsidRDefault="006C4275" w:rsidP="006C427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Violence sexiste à l</w:t>
      </w:r>
      <w:r w:rsidR="00000F67">
        <w:rPr>
          <w:lang w:val="fr-FR"/>
        </w:rPr>
        <w:t>’</w:t>
      </w:r>
      <w:r w:rsidR="00E80CCA" w:rsidRPr="003A18CC">
        <w:rPr>
          <w:lang w:val="fr-FR"/>
        </w:rPr>
        <w:t>égard des femmes</w:t>
      </w:r>
    </w:p>
    <w:p w14:paraId="4368F3E6" w14:textId="52B80D05" w:rsidR="00E80CCA" w:rsidRPr="006C4275" w:rsidRDefault="00E80CCA" w:rsidP="006C4275">
      <w:pPr>
        <w:pStyle w:val="SingleTxt"/>
        <w:suppressAutoHyphens/>
        <w:spacing w:after="0" w:line="120" w:lineRule="exact"/>
        <w:rPr>
          <w:sz w:val="10"/>
          <w:lang w:val="fr-FR"/>
        </w:rPr>
      </w:pPr>
    </w:p>
    <w:p w14:paraId="79D85BDE" w14:textId="7C4958CB" w:rsidR="006C4275" w:rsidRPr="006C4275" w:rsidRDefault="006C4275" w:rsidP="006C4275">
      <w:pPr>
        <w:pStyle w:val="SingleTxt"/>
        <w:suppressAutoHyphens/>
        <w:spacing w:after="0" w:line="120" w:lineRule="exact"/>
        <w:rPr>
          <w:sz w:val="10"/>
          <w:lang w:val="fr-FR"/>
        </w:rPr>
      </w:pPr>
    </w:p>
    <w:p w14:paraId="21764DF2" w14:textId="09131AE3" w:rsidR="00E80CCA" w:rsidRPr="003A18CC" w:rsidRDefault="00E80CCA" w:rsidP="00C67914">
      <w:pPr>
        <w:pStyle w:val="SingleTxt"/>
        <w:numPr>
          <w:ilvl w:val="0"/>
          <w:numId w:val="18"/>
        </w:numPr>
        <w:suppressAutoHyphens/>
        <w:ind w:left="1267" w:firstLine="0"/>
        <w:rPr>
          <w:lang w:val="fr-FR"/>
        </w:rPr>
      </w:pPr>
      <w:r w:rsidRPr="003A18CC">
        <w:rPr>
          <w:lang w:val="fr-FR"/>
        </w:rPr>
        <w:t>En référence au paragraphe 24 b) des précédentes observations finales (CEDAW/C/BHS/CO/1-5), dans lequel le Comité a demandé de modifier la loi de 1991 sur les</w:t>
      </w:r>
      <w:r w:rsidR="00000F67">
        <w:rPr>
          <w:lang w:val="fr-FR"/>
        </w:rPr>
        <w:t xml:space="preserve"> </w:t>
      </w:r>
      <w:r w:rsidRPr="003A18CC">
        <w:rPr>
          <w:bCs/>
          <w:lang w:val="fr-FR"/>
        </w:rPr>
        <w:t>infractions sexuelles et la violence domestique afin d</w:t>
      </w:r>
      <w:r w:rsidR="00000F67">
        <w:rPr>
          <w:bCs/>
          <w:lang w:val="fr-FR"/>
        </w:rPr>
        <w:t>’</w:t>
      </w:r>
      <w:r w:rsidRPr="003A18CC">
        <w:rPr>
          <w:bCs/>
          <w:lang w:val="fr-FR"/>
        </w:rPr>
        <w:t>ériger le viol conjugal en infraction pénale, veuillez indiquer quelles mesures ont été prises pour ériger explicitement le viol conjugal en infraction pénale et le définir sur la base de l</w:t>
      </w:r>
      <w:r w:rsidR="00000F67">
        <w:rPr>
          <w:bCs/>
          <w:lang w:val="fr-FR"/>
        </w:rPr>
        <w:t>’</w:t>
      </w:r>
      <w:r w:rsidRPr="003A18CC">
        <w:rPr>
          <w:bCs/>
          <w:lang w:val="fr-FR"/>
        </w:rPr>
        <w:t>absence de consentement. Conformément au paragraphe 2 b) du rapport des Bahamas sur les renseignements transmis au Comité au sujet de la suite donnée aux observations finales (</w:t>
      </w:r>
      <w:r w:rsidRPr="003A18CC">
        <w:rPr>
          <w:lang w:val="fr-FR"/>
        </w:rPr>
        <w:t>CEDAW/C/BHS/CO/1-5</w:t>
      </w:r>
      <w:r w:rsidR="006C4275">
        <w:rPr>
          <w:lang w:val="fr-FR"/>
        </w:rPr>
        <w:t>/A</w:t>
      </w:r>
      <w:r w:rsidRPr="003A18CC">
        <w:rPr>
          <w:lang w:val="fr-FR"/>
        </w:rPr>
        <w:t>dd.1), veuillez mentionner les résultats des diverses initiatives conduites par l</w:t>
      </w:r>
      <w:r w:rsidR="00000F67">
        <w:rPr>
          <w:lang w:val="fr-FR"/>
        </w:rPr>
        <w:t>’</w:t>
      </w:r>
      <w:r w:rsidRPr="003A18CC">
        <w:rPr>
          <w:lang w:val="fr-FR"/>
        </w:rPr>
        <w:t>État partie pour éliminer la violence sexiste. Veuillez également f</w:t>
      </w:r>
      <w:r w:rsidRPr="003A18CC">
        <w:rPr>
          <w:color w:val="000000"/>
          <w:lang w:val="fr-FR"/>
        </w:rPr>
        <w:t xml:space="preserve">ournir des informations statistiques sur le nombre de </w:t>
      </w:r>
      <w:r w:rsidRPr="003A18CC">
        <w:rPr>
          <w:color w:val="000000"/>
          <w:lang w:val="fr-FR"/>
        </w:rPr>
        <w:lastRenderedPageBreak/>
        <w:t>poursuites engagées, de condamnations prononcées et de peines infligées aux auteurs d</w:t>
      </w:r>
      <w:r w:rsidR="00000F67">
        <w:rPr>
          <w:color w:val="000000"/>
          <w:lang w:val="fr-FR"/>
        </w:rPr>
        <w:t>’</w:t>
      </w:r>
      <w:r w:rsidRPr="003A18CC">
        <w:rPr>
          <w:color w:val="000000"/>
          <w:lang w:val="fr-FR"/>
        </w:rPr>
        <w:t>actes de violence sexiste à l</w:t>
      </w:r>
      <w:r w:rsidR="00000F67">
        <w:rPr>
          <w:color w:val="000000"/>
          <w:lang w:val="fr-FR"/>
        </w:rPr>
        <w:t>’</w:t>
      </w:r>
      <w:r w:rsidRPr="003A18CC">
        <w:rPr>
          <w:color w:val="000000"/>
          <w:lang w:val="fr-FR"/>
        </w:rPr>
        <w:t>égard des femmes, ventilées selon l</w:t>
      </w:r>
      <w:r w:rsidR="00000F67">
        <w:rPr>
          <w:color w:val="000000"/>
          <w:lang w:val="fr-FR"/>
        </w:rPr>
        <w:t>’</w:t>
      </w:r>
      <w:r w:rsidRPr="003A18CC">
        <w:rPr>
          <w:color w:val="000000"/>
          <w:lang w:val="fr-FR"/>
        </w:rPr>
        <w:t>âge, la relation entre la victime et l</w:t>
      </w:r>
      <w:r w:rsidR="00000F67">
        <w:rPr>
          <w:color w:val="000000"/>
          <w:lang w:val="fr-FR"/>
        </w:rPr>
        <w:t>’</w:t>
      </w:r>
      <w:r w:rsidRPr="003A18CC">
        <w:rPr>
          <w:color w:val="000000"/>
          <w:lang w:val="fr-FR"/>
        </w:rPr>
        <w:t>auteur et le lieu géographique.</w:t>
      </w:r>
      <w:r w:rsidR="006C4275">
        <w:rPr>
          <w:color w:val="000000"/>
          <w:lang w:val="fr-FR"/>
        </w:rPr>
        <w:t xml:space="preserve"> </w:t>
      </w:r>
      <w:r w:rsidRPr="003A18CC">
        <w:rPr>
          <w:color w:val="000000"/>
          <w:lang w:val="fr-FR"/>
        </w:rPr>
        <w:t>Veuillez en outre fournir des informations sur le nombre de femmes victimes de violence sexiste qui ont bénéficié de conseils, de l</w:t>
      </w:r>
      <w:r w:rsidR="00000F67">
        <w:rPr>
          <w:color w:val="000000"/>
          <w:lang w:val="fr-FR"/>
        </w:rPr>
        <w:t>’</w:t>
      </w:r>
      <w:r w:rsidRPr="003A18CC">
        <w:rPr>
          <w:color w:val="000000"/>
          <w:lang w:val="fr-FR"/>
        </w:rPr>
        <w:t>aide d</w:t>
      </w:r>
      <w:r w:rsidR="00000F67">
        <w:rPr>
          <w:color w:val="000000"/>
          <w:lang w:val="fr-FR"/>
        </w:rPr>
        <w:t>’</w:t>
      </w:r>
      <w:r w:rsidRPr="003A18CC">
        <w:rPr>
          <w:color w:val="000000"/>
          <w:lang w:val="fr-FR"/>
        </w:rPr>
        <w:t>un conseiller juridique, y compris un accès à une aide juridictionnelle gratuite, d</w:t>
      </w:r>
      <w:r w:rsidR="00000F67">
        <w:rPr>
          <w:color w:val="000000"/>
          <w:lang w:val="fr-FR"/>
        </w:rPr>
        <w:t>’</w:t>
      </w:r>
      <w:r w:rsidRPr="003A18CC">
        <w:rPr>
          <w:color w:val="000000"/>
          <w:lang w:val="fr-FR"/>
        </w:rPr>
        <w:t>un logement et d</w:t>
      </w:r>
      <w:r w:rsidR="00000F67">
        <w:rPr>
          <w:color w:val="000000"/>
          <w:lang w:val="fr-FR"/>
        </w:rPr>
        <w:t>’</w:t>
      </w:r>
      <w:r w:rsidRPr="003A18CC">
        <w:rPr>
          <w:color w:val="000000"/>
          <w:lang w:val="fr-FR"/>
        </w:rPr>
        <w:t>autres services d</w:t>
      </w:r>
      <w:r w:rsidR="00000F67">
        <w:rPr>
          <w:color w:val="000000"/>
          <w:lang w:val="fr-FR"/>
        </w:rPr>
        <w:t>’</w:t>
      </w:r>
      <w:r w:rsidRPr="003A18CC">
        <w:rPr>
          <w:color w:val="000000"/>
          <w:lang w:val="fr-FR"/>
        </w:rPr>
        <w:t>appui fournis par le Gouvernement (par. 28), ainsi que sur le nombre d</w:t>
      </w:r>
      <w:r w:rsidR="00000F67">
        <w:rPr>
          <w:color w:val="000000"/>
          <w:lang w:val="fr-FR"/>
        </w:rPr>
        <w:t>’</w:t>
      </w:r>
      <w:r w:rsidRPr="003A18CC">
        <w:rPr>
          <w:color w:val="000000"/>
          <w:lang w:val="fr-FR"/>
        </w:rPr>
        <w:t xml:space="preserve">ordonnances de protection émises dans les cas de violence domestique </w:t>
      </w:r>
      <w:r w:rsidRPr="003A18CC">
        <w:rPr>
          <w:lang w:val="fr-FR"/>
        </w:rPr>
        <w:t>(voir CEDAW/C/BHS/Q/6, par. 6).</w:t>
      </w:r>
    </w:p>
    <w:p w14:paraId="38D518B5" w14:textId="11CA1C43" w:rsidR="00E80CCA" w:rsidRPr="006C4275" w:rsidRDefault="00E80CCA" w:rsidP="006C4275">
      <w:pPr>
        <w:pStyle w:val="SingleTxt"/>
        <w:suppressAutoHyphens/>
        <w:spacing w:after="0" w:line="120" w:lineRule="exact"/>
        <w:rPr>
          <w:b/>
          <w:sz w:val="10"/>
          <w:lang w:val="fr-FR"/>
        </w:rPr>
      </w:pPr>
    </w:p>
    <w:p w14:paraId="5298FB1B" w14:textId="37D21C48" w:rsidR="00E80CCA" w:rsidRPr="003A18CC" w:rsidRDefault="006C4275" w:rsidP="006C4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Réponse </w:t>
      </w:r>
    </w:p>
    <w:p w14:paraId="3FB2BC65" w14:textId="1293C150" w:rsidR="00E80CCA" w:rsidRPr="006C4275" w:rsidRDefault="00E80CCA" w:rsidP="006C4275">
      <w:pPr>
        <w:pStyle w:val="SingleTxt"/>
        <w:suppressAutoHyphens/>
        <w:spacing w:after="0" w:line="120" w:lineRule="exact"/>
        <w:rPr>
          <w:i/>
          <w:sz w:val="10"/>
          <w:lang w:val="fr-FR"/>
        </w:rPr>
      </w:pPr>
    </w:p>
    <w:p w14:paraId="51E60B81" w14:textId="4CF98E6A" w:rsidR="00E80CCA" w:rsidRPr="003A18CC" w:rsidRDefault="006C4275" w:rsidP="006C427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Violence sexuelles conjugales (projet de modification de la loi relative aux</w:t>
      </w:r>
      <w:r>
        <w:rPr>
          <w:lang w:val="fr-FR"/>
        </w:rPr>
        <w:t> </w:t>
      </w:r>
      <w:r w:rsidR="00E80CCA" w:rsidRPr="003A18CC">
        <w:rPr>
          <w:lang w:val="fr-FR"/>
        </w:rPr>
        <w:t>infractions sexuelles)</w:t>
      </w:r>
    </w:p>
    <w:p w14:paraId="55FDF049" w14:textId="1CD969E0" w:rsidR="00E80CCA" w:rsidRPr="006C4275" w:rsidRDefault="00E80CCA" w:rsidP="006C4275">
      <w:pPr>
        <w:pStyle w:val="SingleTxt"/>
        <w:suppressAutoHyphens/>
        <w:spacing w:after="0" w:line="120" w:lineRule="exact"/>
        <w:rPr>
          <w:sz w:val="10"/>
          <w:lang w:val="fr-FR"/>
        </w:rPr>
      </w:pPr>
    </w:p>
    <w:p w14:paraId="015445C2" w14:textId="27E4B086" w:rsidR="00E80CCA" w:rsidRPr="003A18CC" w:rsidRDefault="00E80CCA" w:rsidP="00C67914">
      <w:pPr>
        <w:pStyle w:val="SingleTxt"/>
        <w:numPr>
          <w:ilvl w:val="0"/>
          <w:numId w:val="18"/>
        </w:numPr>
        <w:suppressAutoHyphens/>
        <w:ind w:left="1267" w:firstLine="0"/>
        <w:rPr>
          <w:color w:val="000000"/>
          <w:lang w:val="fr-FR"/>
        </w:rPr>
      </w:pPr>
      <w:r w:rsidRPr="003A18CC">
        <w:rPr>
          <w:lang w:val="fr-FR"/>
        </w:rPr>
        <w:t>Le Gouvernement bahamien demeure attaché à l</w:t>
      </w:r>
      <w:r w:rsidR="00000F67">
        <w:rPr>
          <w:lang w:val="fr-FR"/>
        </w:rPr>
        <w:t>’</w:t>
      </w:r>
      <w:r w:rsidRPr="003A18CC">
        <w:rPr>
          <w:lang w:val="fr-FR"/>
        </w:rPr>
        <w:t>élimination et l</w:t>
      </w:r>
      <w:r w:rsidR="00000F67">
        <w:rPr>
          <w:lang w:val="fr-FR"/>
        </w:rPr>
        <w:t>’</w:t>
      </w:r>
      <w:r w:rsidRPr="003A18CC">
        <w:rPr>
          <w:lang w:val="fr-FR"/>
        </w:rPr>
        <w:t>éradication de toutes les formes de violence à l</w:t>
      </w:r>
      <w:r w:rsidR="00000F67">
        <w:rPr>
          <w:lang w:val="fr-FR"/>
        </w:rPr>
        <w:t>’</w:t>
      </w:r>
      <w:r w:rsidRPr="003A18CC">
        <w:rPr>
          <w:lang w:val="fr-FR"/>
        </w:rPr>
        <w:t>égard des femmes et des filles, mais aussi de toutes les personnes. Le pays est conscient des préoccupations exprimées par les</w:t>
      </w:r>
      <w:r w:rsidR="006C4275">
        <w:rPr>
          <w:lang w:val="fr-FR"/>
        </w:rPr>
        <w:t xml:space="preserve"> </w:t>
      </w:r>
      <w:r w:rsidRPr="003A18CC">
        <w:rPr>
          <w:color w:val="000000"/>
          <w:lang w:val="fr-FR"/>
        </w:rPr>
        <w:t>organes créés en vertu d</w:t>
      </w:r>
      <w:r w:rsidR="00000F67">
        <w:rPr>
          <w:color w:val="000000"/>
          <w:lang w:val="fr-FR"/>
        </w:rPr>
        <w:t>’</w:t>
      </w:r>
      <w:r w:rsidRPr="003A18CC">
        <w:rPr>
          <w:color w:val="000000"/>
          <w:lang w:val="fr-FR"/>
        </w:rPr>
        <w:t>instruments relatifs aux droits de l</w:t>
      </w:r>
      <w:r w:rsidR="00000F67">
        <w:rPr>
          <w:color w:val="000000"/>
          <w:lang w:val="fr-FR"/>
        </w:rPr>
        <w:t>’</w:t>
      </w:r>
      <w:r w:rsidRPr="003A18CC">
        <w:rPr>
          <w:color w:val="000000"/>
          <w:lang w:val="fr-FR"/>
        </w:rPr>
        <w:t>homme</w:t>
      </w:r>
      <w:r w:rsidR="006C4275">
        <w:rPr>
          <w:color w:val="000000"/>
          <w:lang w:val="fr-FR"/>
        </w:rPr>
        <w:t xml:space="preserve"> </w:t>
      </w:r>
      <w:r w:rsidRPr="003A18CC">
        <w:rPr>
          <w:color w:val="000000"/>
          <w:lang w:val="fr-FR"/>
        </w:rPr>
        <w:t>en ce qui concerne la criminalisation du viol conjugal. En conséquence, le Bureau du Procureur général a élaboré un amendement à la loi relative aux infractions sexuelles, dans lequel est prévue l</w:t>
      </w:r>
      <w:r w:rsidR="00000F67">
        <w:rPr>
          <w:color w:val="000000"/>
          <w:lang w:val="fr-FR"/>
        </w:rPr>
        <w:t>’</w:t>
      </w:r>
      <w:r w:rsidRPr="003A18CC">
        <w:rPr>
          <w:color w:val="000000"/>
          <w:lang w:val="fr-FR"/>
        </w:rPr>
        <w:t>infraction de « violence sexuelle conjugale ». Selon les nouvelles dispositions, il est possible de porter plainte pour violence sexuelle conjugale dans un délai d</w:t>
      </w:r>
      <w:r w:rsidR="00000F67">
        <w:rPr>
          <w:color w:val="000000"/>
          <w:lang w:val="fr-FR"/>
        </w:rPr>
        <w:t>’</w:t>
      </w:r>
      <w:r w:rsidRPr="003A18CC">
        <w:rPr>
          <w:color w:val="000000"/>
          <w:lang w:val="fr-FR"/>
        </w:rPr>
        <w:t>une année après les faits. Le cas échéant, l</w:t>
      </w:r>
      <w:r w:rsidR="00000F67">
        <w:rPr>
          <w:color w:val="000000"/>
          <w:lang w:val="fr-FR"/>
        </w:rPr>
        <w:t>’</w:t>
      </w:r>
      <w:r w:rsidRPr="003A18CC">
        <w:rPr>
          <w:color w:val="000000"/>
          <w:lang w:val="fr-FR"/>
        </w:rPr>
        <w:t>époux accusé peut être poursuivi après avis favorable du Procureur général.</w:t>
      </w:r>
    </w:p>
    <w:p w14:paraId="1904DA8D" w14:textId="4FCA7264" w:rsidR="00E80CCA" w:rsidRPr="003A18CC" w:rsidRDefault="00E80CCA" w:rsidP="00C67914">
      <w:pPr>
        <w:pStyle w:val="SingleTxt"/>
        <w:numPr>
          <w:ilvl w:val="0"/>
          <w:numId w:val="18"/>
        </w:numPr>
        <w:suppressAutoHyphens/>
        <w:ind w:left="1267" w:firstLine="0"/>
        <w:rPr>
          <w:color w:val="000000"/>
          <w:lang w:val="fr-FR"/>
        </w:rPr>
      </w:pPr>
      <w:r w:rsidRPr="003A18CC">
        <w:rPr>
          <w:color w:val="000000"/>
          <w:lang w:val="fr-FR"/>
        </w:rPr>
        <w:t>Il importe de noter que bien que l</w:t>
      </w:r>
      <w:r w:rsidR="00000F67">
        <w:rPr>
          <w:color w:val="000000"/>
          <w:lang w:val="fr-FR"/>
        </w:rPr>
        <w:t>’</w:t>
      </w:r>
      <w:r w:rsidRPr="003A18CC">
        <w:rPr>
          <w:color w:val="000000"/>
          <w:lang w:val="fr-FR"/>
        </w:rPr>
        <w:t>infraction ne soit pas expressément définie comme « viol conjugal », elle contient tous les éléments de l</w:t>
      </w:r>
      <w:r w:rsidR="00000F67">
        <w:rPr>
          <w:color w:val="000000"/>
          <w:lang w:val="fr-FR"/>
        </w:rPr>
        <w:t>’</w:t>
      </w:r>
      <w:r w:rsidRPr="003A18CC">
        <w:rPr>
          <w:color w:val="000000"/>
          <w:lang w:val="fr-FR"/>
        </w:rPr>
        <w:t>infraction de viol.</w:t>
      </w:r>
    </w:p>
    <w:p w14:paraId="6A411A1B" w14:textId="2E9E3692" w:rsidR="00E80CCA" w:rsidRPr="003A18CC" w:rsidRDefault="00E80CCA" w:rsidP="00C67914">
      <w:pPr>
        <w:pStyle w:val="SingleTxt"/>
        <w:numPr>
          <w:ilvl w:val="0"/>
          <w:numId w:val="18"/>
        </w:numPr>
        <w:suppressAutoHyphens/>
        <w:ind w:left="1267" w:firstLine="0"/>
        <w:rPr>
          <w:color w:val="000000"/>
          <w:lang w:val="fr-FR"/>
        </w:rPr>
      </w:pPr>
      <w:r w:rsidRPr="003A18CC">
        <w:rPr>
          <w:color w:val="000000"/>
          <w:lang w:val="fr-FR"/>
        </w:rPr>
        <w:t>Le projet de loi ne dévie pas de la teneur de la loi précédente, qui traite des cas de viol conjugal alors que des modalités de divorce ont été engagées ou qu</w:t>
      </w:r>
      <w:r w:rsidR="00000F67">
        <w:rPr>
          <w:color w:val="000000"/>
          <w:lang w:val="fr-FR"/>
        </w:rPr>
        <w:t>’</w:t>
      </w:r>
      <w:r w:rsidRPr="003A18CC">
        <w:rPr>
          <w:color w:val="000000"/>
          <w:lang w:val="fr-FR"/>
        </w:rPr>
        <w:t>une ordonnance de séparation de corps a été prononcée ou qu</w:t>
      </w:r>
      <w:r w:rsidR="00000F67">
        <w:rPr>
          <w:color w:val="000000"/>
          <w:lang w:val="fr-FR"/>
        </w:rPr>
        <w:t>’</w:t>
      </w:r>
      <w:r w:rsidRPr="003A18CC">
        <w:rPr>
          <w:color w:val="000000"/>
          <w:lang w:val="fr-FR"/>
        </w:rPr>
        <w:t>un accord de séparation a été conclu, ces cas étant considérés comme des infractions de « violence sexuelle conjugale ». Le viol conjugal dans le contexte d</w:t>
      </w:r>
      <w:r w:rsidR="00000F67">
        <w:rPr>
          <w:color w:val="000000"/>
          <w:lang w:val="fr-FR"/>
        </w:rPr>
        <w:t>’</w:t>
      </w:r>
      <w:r w:rsidRPr="003A18CC">
        <w:rPr>
          <w:color w:val="000000"/>
          <w:lang w:val="fr-FR"/>
        </w:rPr>
        <w:t>un mariage en cours sera dorénavant érigé en infraction pénale et considéré comme « violence sexuelle conjugale ».</w:t>
      </w:r>
    </w:p>
    <w:p w14:paraId="5E935CB4" w14:textId="2985CB41" w:rsidR="00E80CCA" w:rsidRPr="003A18CC" w:rsidRDefault="00E80CCA" w:rsidP="00C67914">
      <w:pPr>
        <w:pStyle w:val="SingleTxt"/>
        <w:numPr>
          <w:ilvl w:val="0"/>
          <w:numId w:val="18"/>
        </w:numPr>
        <w:suppressAutoHyphens/>
        <w:ind w:left="1267" w:firstLine="0"/>
        <w:rPr>
          <w:color w:val="000000"/>
          <w:lang w:val="fr-FR"/>
        </w:rPr>
      </w:pPr>
      <w:r w:rsidRPr="003A18CC">
        <w:rPr>
          <w:color w:val="000000"/>
          <w:lang w:val="fr-FR"/>
        </w:rPr>
        <w:t>Le texte du projet de loi a été communiqué aux chefs religieux et à des militants de la société civile afin de recueillir leurs observations avant la publication officielle du projet et la saisine du Parlement. On peut confirmer que les réponses de la communauté religieuse et de la société civile sont favorables au projet de modification de la loi.</w:t>
      </w:r>
    </w:p>
    <w:p w14:paraId="0CC78502" w14:textId="3BA51370" w:rsidR="00E80CCA" w:rsidRPr="006C4275" w:rsidRDefault="00E80CCA" w:rsidP="006C4275">
      <w:pPr>
        <w:pStyle w:val="SingleTxt"/>
        <w:suppressAutoHyphens/>
        <w:spacing w:after="0" w:line="120" w:lineRule="exact"/>
        <w:rPr>
          <w:i/>
          <w:sz w:val="10"/>
          <w:lang w:val="fr-FR"/>
        </w:rPr>
      </w:pPr>
    </w:p>
    <w:p w14:paraId="56585449" w14:textId="664C2F69" w:rsidR="00E80CCA" w:rsidRPr="003A18CC" w:rsidRDefault="006C4275" w:rsidP="002F4A9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Résidences protégées, partenariats public-privé et programmes de subvention</w:t>
      </w:r>
    </w:p>
    <w:p w14:paraId="6BDA1E41" w14:textId="13C3B846" w:rsidR="00E80CCA" w:rsidRPr="006C4275" w:rsidRDefault="00E80CCA" w:rsidP="006C4275">
      <w:pPr>
        <w:pStyle w:val="SingleTxt"/>
        <w:suppressAutoHyphens/>
        <w:spacing w:after="0" w:line="120" w:lineRule="exact"/>
        <w:rPr>
          <w:sz w:val="10"/>
          <w:lang w:val="fr-FR"/>
        </w:rPr>
      </w:pPr>
    </w:p>
    <w:p w14:paraId="15A647C5" w14:textId="07FBBFFF" w:rsidR="00E80CCA" w:rsidRPr="003A18CC" w:rsidRDefault="00E80CCA" w:rsidP="00C67914">
      <w:pPr>
        <w:pStyle w:val="SingleTxt"/>
        <w:numPr>
          <w:ilvl w:val="0"/>
          <w:numId w:val="18"/>
        </w:numPr>
        <w:suppressAutoHyphens/>
        <w:ind w:left="1267" w:firstLine="0"/>
        <w:rPr>
          <w:lang w:val="fr-FR"/>
        </w:rPr>
      </w:pPr>
      <w:r w:rsidRPr="003A18CC">
        <w:rPr>
          <w:lang w:val="fr-FR"/>
        </w:rPr>
        <w:t>Le Département des services sociaux fournit des résidences protégées et des abris aux personnes dans le besoin, y compris les victimes de violence sexiste. En outre, le Ministère des services sociaux finance la location de résidences protégées privées pour abriter temporairement des victimes de violence domestique, sexuelle et sexiste et leur apporte les conseils dont elles ont besoin. Le Ministère est en partenariat avec plusieurs organisations, dont Link Incorporated, la Croix-Rouge bahamienne, le Bahamas Crisis Centre, l</w:t>
      </w:r>
      <w:r w:rsidR="00000F67">
        <w:rPr>
          <w:lang w:val="fr-FR"/>
        </w:rPr>
        <w:t>’</w:t>
      </w:r>
      <w:r w:rsidRPr="003A18CC">
        <w:rPr>
          <w:lang w:val="fr-FR"/>
        </w:rPr>
        <w:t>Armée du Salut, Great Commission Ministries et le Programme pour hommes de l</w:t>
      </w:r>
      <w:r w:rsidR="00000F67">
        <w:rPr>
          <w:lang w:val="fr-FR"/>
        </w:rPr>
        <w:t>’</w:t>
      </w:r>
      <w:r w:rsidRPr="003A18CC">
        <w:rPr>
          <w:lang w:val="fr-FR"/>
        </w:rPr>
        <w:t>Église romaine catholique, afin de fournir des services et une protection aux personnes dans le besoin. Le Département des services de réadaptation et de bien-être organise chaque semaine des séminaires et des sessions de conseil à l</w:t>
      </w:r>
      <w:r w:rsidR="00000F67">
        <w:rPr>
          <w:lang w:val="fr-FR"/>
        </w:rPr>
        <w:t>’</w:t>
      </w:r>
      <w:r w:rsidRPr="003A18CC">
        <w:rPr>
          <w:lang w:val="fr-FR"/>
        </w:rPr>
        <w:t>intention des familles, des victimes et des ex-</w:t>
      </w:r>
      <w:r w:rsidRPr="003A18CC">
        <w:rPr>
          <w:lang w:val="fr-FR"/>
        </w:rPr>
        <w:lastRenderedPageBreak/>
        <w:t xml:space="preserve">délinquants, mais aussi, dans des structures fermées, aux prisonniers purgeant leur peine ou condamnés au sein du Département des services pénitentiaires. </w:t>
      </w:r>
    </w:p>
    <w:p w14:paraId="271BFC7A" w14:textId="2DEF5816" w:rsidR="00E80CCA" w:rsidRPr="003A18CC" w:rsidRDefault="00E80CCA" w:rsidP="00C67914">
      <w:pPr>
        <w:pStyle w:val="SingleTxt"/>
        <w:numPr>
          <w:ilvl w:val="0"/>
          <w:numId w:val="18"/>
        </w:numPr>
        <w:suppressAutoHyphens/>
        <w:ind w:left="1267" w:firstLine="0"/>
        <w:rPr>
          <w:lang w:val="fr-FR"/>
        </w:rPr>
      </w:pPr>
      <w:r w:rsidRPr="003A18CC">
        <w:rPr>
          <w:lang w:val="fr-FR"/>
        </w:rPr>
        <w:t>Le Gouvernement bahamien subventionne chaque année des maisons d</w:t>
      </w:r>
      <w:r w:rsidR="00000F67">
        <w:rPr>
          <w:lang w:val="fr-FR"/>
        </w:rPr>
        <w:t>’</w:t>
      </w:r>
      <w:r w:rsidRPr="003A18CC">
        <w:rPr>
          <w:lang w:val="fr-FR"/>
        </w:rPr>
        <w:t>accueil et des structures résidentielles de soins qui abritent des personnes menacées de violence ou ayant été violentées, négligées ou maltraitées, dont des femmes, des hommes, des filles et des garçons, en plus de personnes souffrant de handicaps.</w:t>
      </w:r>
    </w:p>
    <w:p w14:paraId="77B198BA" w14:textId="4C421ECE" w:rsidR="00E80CCA" w:rsidRPr="003A18CC" w:rsidRDefault="00E80CCA" w:rsidP="00C67914">
      <w:pPr>
        <w:pStyle w:val="SingleTxt"/>
        <w:numPr>
          <w:ilvl w:val="0"/>
          <w:numId w:val="18"/>
        </w:numPr>
        <w:suppressAutoHyphens/>
        <w:ind w:left="1267" w:firstLine="0"/>
        <w:rPr>
          <w:lang w:val="fr-FR"/>
        </w:rPr>
      </w:pPr>
      <w:r w:rsidRPr="003A18CC">
        <w:rPr>
          <w:lang w:val="fr-FR"/>
        </w:rPr>
        <w:t>Les services sociaux disposent également de services de conseil au sein de centres communautaires urbains et facilitent la gestion de la colère des victimes et la mise en œuvre de programmes de promotion sociale. Ces programmes bénéficient aux jeunes en difficulté, défavorisés et marginalisés à cause de leur environnement et de leur situation économique, dont un grand nombre de femmes et de filles. Le Gouvernement bahamien a demandé de créer des centres communautaires dans chaque île principale. Vingt-trois centres sur 25 sont opérationnels. Ils ont été conçus suivant le modèle du guichet unique et offrent des services essentiels en relation avec la santé, l</w:t>
      </w:r>
      <w:r w:rsidR="00000F67">
        <w:rPr>
          <w:lang w:val="fr-FR"/>
        </w:rPr>
        <w:t>’</w:t>
      </w:r>
      <w:r w:rsidRPr="003A18CC">
        <w:rPr>
          <w:lang w:val="fr-FR"/>
        </w:rPr>
        <w:t>environnement, l</w:t>
      </w:r>
      <w:r w:rsidR="00000F67">
        <w:rPr>
          <w:lang w:val="fr-FR"/>
        </w:rPr>
        <w:t>’</w:t>
      </w:r>
      <w:r w:rsidRPr="003A18CC">
        <w:rPr>
          <w:lang w:val="fr-FR"/>
        </w:rPr>
        <w:t>assistance sociale et le développement, afin de répondre efficacement et sans délai aux besoins des personnes vulnérables dans les communautés urbaines et les espaces ruraux.</w:t>
      </w:r>
    </w:p>
    <w:p w14:paraId="733D118D" w14:textId="422B20E7" w:rsidR="00E80CCA" w:rsidRPr="003A18CC" w:rsidRDefault="00E80CCA" w:rsidP="00C67914">
      <w:pPr>
        <w:pStyle w:val="SingleTxt"/>
        <w:numPr>
          <w:ilvl w:val="0"/>
          <w:numId w:val="18"/>
        </w:numPr>
        <w:suppressAutoHyphens/>
        <w:ind w:left="1267" w:firstLine="0"/>
        <w:rPr>
          <w:lang w:val="fr-FR"/>
        </w:rPr>
      </w:pPr>
      <w:r w:rsidRPr="003A18CC">
        <w:rPr>
          <w:lang w:val="fr-FR"/>
        </w:rPr>
        <w:t xml:space="preserve">En partenariat avec le Ministère de la sécurité nationale, la Force de la </w:t>
      </w:r>
      <w:r w:rsidR="0024492D">
        <w:rPr>
          <w:lang w:val="fr-FR"/>
        </w:rPr>
        <w:t>p</w:t>
      </w:r>
      <w:r w:rsidRPr="003A18CC">
        <w:rPr>
          <w:lang w:val="fr-FR"/>
        </w:rPr>
        <w:t>olice royale des Bahamas dispose d</w:t>
      </w:r>
      <w:r w:rsidR="00000F67">
        <w:rPr>
          <w:lang w:val="fr-FR"/>
        </w:rPr>
        <w:t>’</w:t>
      </w:r>
      <w:r w:rsidRPr="003A18CC">
        <w:rPr>
          <w:lang w:val="fr-FR"/>
        </w:rPr>
        <w:t>un groupe de liaison pour les familles, qui apporte des services de soutien aux victimes d</w:t>
      </w:r>
      <w:r w:rsidR="00000F67">
        <w:rPr>
          <w:lang w:val="fr-FR"/>
        </w:rPr>
        <w:t>’</w:t>
      </w:r>
      <w:r w:rsidRPr="003A18CC">
        <w:rPr>
          <w:lang w:val="fr-FR"/>
        </w:rPr>
        <w:t>événements traumatisants. La Police, en collaboration avec le Bahamas Crisis Centre, offre des services d</w:t>
      </w:r>
      <w:r w:rsidR="00000F67">
        <w:rPr>
          <w:lang w:val="fr-FR"/>
        </w:rPr>
        <w:t>’</w:t>
      </w:r>
      <w:r w:rsidRPr="003A18CC">
        <w:rPr>
          <w:lang w:val="fr-FR"/>
        </w:rPr>
        <w:t>appui, y compris des interventions et des conseils thérapeutiques.</w:t>
      </w:r>
    </w:p>
    <w:p w14:paraId="6C937DCF" w14:textId="28C2E962" w:rsidR="006C4275" w:rsidRPr="0024492D" w:rsidRDefault="006C4275" w:rsidP="0024492D">
      <w:pPr>
        <w:pStyle w:val="SingleTxt"/>
        <w:suppressAutoHyphens/>
        <w:spacing w:after="0" w:line="120" w:lineRule="exact"/>
        <w:rPr>
          <w:i/>
          <w:sz w:val="10"/>
          <w:lang w:val="fr-FR"/>
        </w:rPr>
      </w:pPr>
    </w:p>
    <w:p w14:paraId="08D74357" w14:textId="506EC7EB" w:rsidR="00E80CCA" w:rsidRPr="003A18CC" w:rsidRDefault="0024492D" w:rsidP="002449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Campagnes de sensibilisation à la lutte contre la violence</w:t>
      </w:r>
    </w:p>
    <w:p w14:paraId="70A823B6" w14:textId="44F85445" w:rsidR="006C4275" w:rsidRPr="0024492D" w:rsidRDefault="006C4275" w:rsidP="0024492D">
      <w:pPr>
        <w:pStyle w:val="SingleTxt"/>
        <w:suppressAutoHyphens/>
        <w:spacing w:after="0" w:line="120" w:lineRule="exact"/>
        <w:rPr>
          <w:sz w:val="10"/>
          <w:lang w:val="fr-FR"/>
        </w:rPr>
      </w:pPr>
    </w:p>
    <w:p w14:paraId="453F107C" w14:textId="5723E2B2" w:rsidR="00E80CCA" w:rsidRPr="003A18CC" w:rsidRDefault="00E80CCA" w:rsidP="00C67914">
      <w:pPr>
        <w:pStyle w:val="SingleTxt"/>
        <w:numPr>
          <w:ilvl w:val="0"/>
          <w:numId w:val="18"/>
        </w:numPr>
        <w:suppressAutoHyphens/>
        <w:ind w:left="1267" w:firstLine="0"/>
        <w:rPr>
          <w:lang w:val="fr-FR"/>
        </w:rPr>
      </w:pPr>
      <w:r w:rsidRPr="003A18CC">
        <w:rPr>
          <w:lang w:val="fr-FR"/>
        </w:rPr>
        <w:t>Les campagnes</w:t>
      </w:r>
      <w:r w:rsidRPr="003A18CC">
        <w:rPr>
          <w:i/>
          <w:lang w:val="fr-FR"/>
        </w:rPr>
        <w:t xml:space="preserve"> </w:t>
      </w:r>
      <w:r w:rsidRPr="003A18CC">
        <w:rPr>
          <w:lang w:val="fr-FR"/>
        </w:rPr>
        <w:t>de sensibilisation contre la violence sont également menées par la Police dans les écoles. Ces initiatives ont été lancées à l</w:t>
      </w:r>
      <w:r w:rsidR="00000F67">
        <w:rPr>
          <w:lang w:val="fr-FR"/>
        </w:rPr>
        <w:t>’</w:t>
      </w:r>
      <w:r w:rsidRPr="003A18CC">
        <w:rPr>
          <w:lang w:val="fr-FR"/>
        </w:rPr>
        <w:t>automne de 2017 afin de mettre un terme aux activités de bandes de délinquants. Elles sont conduites pour enseigner aux garçons et aux filles la manière de répondre aux actes de violence qu</w:t>
      </w:r>
      <w:r w:rsidR="00000F67">
        <w:rPr>
          <w:lang w:val="fr-FR"/>
        </w:rPr>
        <w:t>’</w:t>
      </w:r>
      <w:r w:rsidRPr="003A18CC">
        <w:rPr>
          <w:lang w:val="fr-FR"/>
        </w:rPr>
        <w:t>ils subissent. Les groupes d</w:t>
      </w:r>
      <w:r w:rsidR="00000F67">
        <w:rPr>
          <w:lang w:val="fr-FR"/>
        </w:rPr>
        <w:t>’</w:t>
      </w:r>
      <w:r w:rsidRPr="003A18CC">
        <w:rPr>
          <w:lang w:val="fr-FR"/>
        </w:rPr>
        <w:t>âge visés par ces actions sont les élèves des écoles primaires de la troisième à la sixième année. À la fin de mai 2018, 875 élèves avaient participé à ces activités. Pour les élèves des septième à neuvième année, on a compté 750</w:t>
      </w:r>
      <w:r w:rsidR="0024492D">
        <w:rPr>
          <w:lang w:val="fr-FR"/>
        </w:rPr>
        <w:t> </w:t>
      </w:r>
      <w:r w:rsidRPr="003A18CC">
        <w:rPr>
          <w:lang w:val="fr-FR"/>
        </w:rPr>
        <w:t>participants. De même, 600 élèves des dixième à douzième année ont pris part à ce programme.</w:t>
      </w:r>
    </w:p>
    <w:p w14:paraId="1F684183" w14:textId="20E005B6" w:rsidR="00E80CCA" w:rsidRPr="003A18CC" w:rsidRDefault="00E80CCA" w:rsidP="00C67914">
      <w:pPr>
        <w:pStyle w:val="SingleTxt"/>
        <w:numPr>
          <w:ilvl w:val="0"/>
          <w:numId w:val="18"/>
        </w:numPr>
        <w:suppressAutoHyphens/>
        <w:ind w:left="1267" w:firstLine="0"/>
        <w:rPr>
          <w:lang w:val="fr-FR"/>
        </w:rPr>
      </w:pPr>
      <w:r w:rsidRPr="003A18CC">
        <w:rPr>
          <w:lang w:val="fr-FR"/>
        </w:rPr>
        <w:t>Les thèmes abordés lors de ce programme ont porté sur</w:t>
      </w:r>
      <w:r w:rsidR="0024492D">
        <w:rPr>
          <w:lang w:val="fr-FR"/>
        </w:rPr>
        <w:t> </w:t>
      </w:r>
      <w:r w:rsidRPr="003A18CC">
        <w:rPr>
          <w:lang w:val="fr-FR"/>
        </w:rPr>
        <w:t>: a) les brimades en ligne</w:t>
      </w:r>
      <w:r w:rsidR="00000F67">
        <w:rPr>
          <w:lang w:val="fr-FR"/>
        </w:rPr>
        <w:t> ;</w:t>
      </w:r>
      <w:r w:rsidRPr="003A18CC">
        <w:rPr>
          <w:lang w:val="fr-FR"/>
        </w:rPr>
        <w:t xml:space="preserve"> b) les bandes de délinquants</w:t>
      </w:r>
      <w:r w:rsidR="00000F67">
        <w:rPr>
          <w:lang w:val="fr-FR"/>
        </w:rPr>
        <w:t> ;</w:t>
      </w:r>
      <w:r w:rsidRPr="003A18CC">
        <w:rPr>
          <w:lang w:val="fr-FR"/>
        </w:rPr>
        <w:t xml:space="preserve"> et c) l</w:t>
      </w:r>
      <w:r w:rsidR="00000F67">
        <w:rPr>
          <w:lang w:val="fr-FR"/>
        </w:rPr>
        <w:t>’</w:t>
      </w:r>
      <w:r w:rsidRPr="003A18CC">
        <w:rPr>
          <w:lang w:val="fr-FR"/>
        </w:rPr>
        <w:t>exploitation sexuelle. Ces sessions sont conduites par des équipes de fonctionnaires de police de la Central Detective Unit (Groupe central des enquêtes) et des unités en uniformes. À l</w:t>
      </w:r>
      <w:r w:rsidR="00000F67">
        <w:rPr>
          <w:lang w:val="fr-FR"/>
        </w:rPr>
        <w:t>’</w:t>
      </w:r>
      <w:r w:rsidRPr="003A18CC">
        <w:rPr>
          <w:lang w:val="fr-FR"/>
        </w:rPr>
        <w:t>approche de l</w:t>
      </w:r>
      <w:r w:rsidR="00000F67">
        <w:rPr>
          <w:lang w:val="fr-FR"/>
        </w:rPr>
        <w:t>’</w:t>
      </w:r>
      <w:r w:rsidRPr="003A18CC">
        <w:rPr>
          <w:lang w:val="fr-FR"/>
        </w:rPr>
        <w:t xml:space="preserve">été, la Force de </w:t>
      </w:r>
      <w:r w:rsidR="0024492D">
        <w:rPr>
          <w:lang w:val="fr-FR"/>
        </w:rPr>
        <w:t>p</w:t>
      </w:r>
      <w:r w:rsidRPr="003A18CC">
        <w:rPr>
          <w:lang w:val="fr-FR"/>
        </w:rPr>
        <w:t>olice conduira les mêmes activités lors du Programme de camps d</w:t>
      </w:r>
      <w:r w:rsidR="00000F67">
        <w:rPr>
          <w:lang w:val="fr-FR"/>
        </w:rPr>
        <w:t>’</w:t>
      </w:r>
      <w:r w:rsidRPr="003A18CC">
        <w:rPr>
          <w:lang w:val="fr-FR"/>
        </w:rPr>
        <w:t>été qui existe depuis 25 ans. En 2017, 1 600 élèves de tout les pays ont participé à ces camps et on en attend au moins autant cette année. Les activités menées dans les écoles resteront inscrites dans le calendrier de la Force de Police pendant le reste de l</w:t>
      </w:r>
      <w:r w:rsidR="00000F67">
        <w:rPr>
          <w:lang w:val="fr-FR"/>
        </w:rPr>
        <w:t>’</w:t>
      </w:r>
      <w:r w:rsidRPr="003A18CC">
        <w:rPr>
          <w:lang w:val="fr-FR"/>
        </w:rPr>
        <w:t>année 2018.</w:t>
      </w:r>
    </w:p>
    <w:p w14:paraId="7DA5F79B" w14:textId="7F3E75CB" w:rsidR="00E80CCA" w:rsidRPr="003A18CC" w:rsidRDefault="00E80CCA" w:rsidP="00C67914">
      <w:pPr>
        <w:pStyle w:val="SingleTxt"/>
        <w:numPr>
          <w:ilvl w:val="0"/>
          <w:numId w:val="18"/>
        </w:numPr>
        <w:suppressAutoHyphens/>
        <w:ind w:left="1267" w:firstLine="0"/>
        <w:rPr>
          <w:lang w:val="fr-FR"/>
        </w:rPr>
      </w:pPr>
      <w:r w:rsidRPr="003A18CC">
        <w:rPr>
          <w:lang w:val="fr-FR"/>
        </w:rPr>
        <w:t>En mai 2018, 80 fonctionnaires de police avaient bénéficié d</w:t>
      </w:r>
      <w:r w:rsidR="00000F67">
        <w:rPr>
          <w:lang w:val="fr-FR"/>
        </w:rPr>
        <w:t>’</w:t>
      </w:r>
      <w:r w:rsidRPr="003A18CC">
        <w:rPr>
          <w:lang w:val="fr-FR"/>
        </w:rPr>
        <w:t>une formation parrainée par le Fonds panaméricain de développement. Cette formation a concerné les fonctionnaires de première ligne et a porté sur les modalités de gestion des victimes de violence sexiste. La formation a couvert les thèmes ci-après</w:t>
      </w:r>
      <w:r w:rsidR="0024492D">
        <w:rPr>
          <w:lang w:val="fr-FR"/>
        </w:rPr>
        <w:t> </w:t>
      </w:r>
      <w:r w:rsidRPr="003A18CC">
        <w:rPr>
          <w:lang w:val="fr-FR"/>
        </w:rPr>
        <w:t>: toutes les formes de violence</w:t>
      </w:r>
      <w:r w:rsidR="00000F67">
        <w:rPr>
          <w:lang w:val="fr-FR"/>
        </w:rPr>
        <w:t> ;</w:t>
      </w:r>
      <w:r w:rsidRPr="003A18CC">
        <w:rPr>
          <w:lang w:val="fr-FR"/>
        </w:rPr>
        <w:t xml:space="preserve"> la violence sexiste</w:t>
      </w:r>
      <w:r w:rsidR="00000F67">
        <w:rPr>
          <w:lang w:val="fr-FR"/>
        </w:rPr>
        <w:t> ;</w:t>
      </w:r>
      <w:r w:rsidRPr="003A18CC">
        <w:rPr>
          <w:lang w:val="fr-FR"/>
        </w:rPr>
        <w:t xml:space="preserve"> la politique en matière d</w:t>
      </w:r>
      <w:r w:rsidR="00000F67">
        <w:rPr>
          <w:lang w:val="fr-FR"/>
        </w:rPr>
        <w:t>’</w:t>
      </w:r>
      <w:r w:rsidRPr="003A18CC">
        <w:rPr>
          <w:lang w:val="fr-FR"/>
        </w:rPr>
        <w:t>infractions sexuelles et de violence domestique</w:t>
      </w:r>
      <w:r w:rsidR="00000F67">
        <w:rPr>
          <w:lang w:val="fr-FR"/>
        </w:rPr>
        <w:t> ;</w:t>
      </w:r>
      <w:r w:rsidRPr="003A18CC">
        <w:rPr>
          <w:lang w:val="fr-FR"/>
        </w:rPr>
        <w:t xml:space="preserve"> la démarche à suivre pour obtenir une </w:t>
      </w:r>
      <w:r w:rsidRPr="003A18CC">
        <w:rPr>
          <w:lang w:val="fr-FR"/>
        </w:rPr>
        <w:lastRenderedPageBreak/>
        <w:t>ordonnance de protection et les procédures à suivre par les fonctionnaires de police et le personnel médical en cas de violence sexuelle.</w:t>
      </w:r>
    </w:p>
    <w:p w14:paraId="6318FE47" w14:textId="051D0919" w:rsidR="00E80CCA" w:rsidRPr="003A18CC" w:rsidRDefault="00E80CCA" w:rsidP="00C67914">
      <w:pPr>
        <w:pStyle w:val="SingleTxt"/>
        <w:numPr>
          <w:ilvl w:val="0"/>
          <w:numId w:val="18"/>
        </w:numPr>
        <w:suppressAutoHyphens/>
        <w:ind w:left="1267" w:firstLine="0"/>
        <w:rPr>
          <w:lang w:val="fr-FR"/>
        </w:rPr>
      </w:pPr>
      <w:r w:rsidRPr="003A18CC">
        <w:rPr>
          <w:lang w:val="fr-FR"/>
        </w:rPr>
        <w:t>En juin 2018, un atelier de deux jours intitulé « Sensibilisation des hommes et des femmes à l</w:t>
      </w:r>
      <w:r w:rsidR="00000F67">
        <w:rPr>
          <w:lang w:val="fr-FR"/>
        </w:rPr>
        <w:t>’</w:t>
      </w:r>
      <w:r w:rsidRPr="003A18CC">
        <w:rPr>
          <w:lang w:val="fr-FR"/>
        </w:rPr>
        <w:t>arrêt de la violence domestique » a été organisé à l</w:t>
      </w:r>
      <w:r w:rsidR="00000F67">
        <w:rPr>
          <w:lang w:val="fr-FR"/>
        </w:rPr>
        <w:t>’</w:t>
      </w:r>
      <w:r w:rsidRPr="003A18CC">
        <w:rPr>
          <w:lang w:val="fr-FR"/>
        </w:rPr>
        <w:t>intention des fonctionnaires de police dans le but de les sensibiliser à cette question et de discuter des bonnes pratiques à adopter à cet égard.</w:t>
      </w:r>
    </w:p>
    <w:p w14:paraId="24AB938A" w14:textId="04D58457" w:rsidR="006C4275" w:rsidRPr="0024492D" w:rsidRDefault="006C4275" w:rsidP="0024492D">
      <w:pPr>
        <w:pStyle w:val="SingleTxt"/>
        <w:suppressAutoHyphens/>
        <w:spacing w:after="0" w:line="120" w:lineRule="exact"/>
        <w:rPr>
          <w:b/>
          <w:sz w:val="10"/>
          <w:lang w:val="fr-FR"/>
        </w:rPr>
      </w:pPr>
    </w:p>
    <w:p w14:paraId="0E429D87" w14:textId="2CA2060E" w:rsidR="0024492D" w:rsidRPr="0024492D" w:rsidRDefault="0024492D" w:rsidP="0024492D">
      <w:pPr>
        <w:pStyle w:val="SingleTxt"/>
        <w:suppressAutoHyphens/>
        <w:spacing w:after="0" w:line="120" w:lineRule="exact"/>
        <w:rPr>
          <w:b/>
          <w:sz w:val="10"/>
          <w:lang w:val="fr-FR"/>
        </w:rPr>
      </w:pPr>
    </w:p>
    <w:p w14:paraId="50DFC521" w14:textId="7D2AC088" w:rsidR="00E80CCA" w:rsidRPr="003A18CC" w:rsidRDefault="0024492D" w:rsidP="003721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Traite des personnes</w:t>
      </w:r>
    </w:p>
    <w:p w14:paraId="118B3072" w14:textId="6C291ADD" w:rsidR="006C4275" w:rsidRPr="0024492D" w:rsidRDefault="006C4275" w:rsidP="0024492D">
      <w:pPr>
        <w:pStyle w:val="SingleTxt"/>
        <w:suppressAutoHyphens/>
        <w:spacing w:after="0" w:line="120" w:lineRule="exact"/>
        <w:rPr>
          <w:sz w:val="10"/>
          <w:lang w:val="fr-FR"/>
        </w:rPr>
      </w:pPr>
    </w:p>
    <w:p w14:paraId="7FF87B0E" w14:textId="7A95C224" w:rsidR="0024492D" w:rsidRPr="0024492D" w:rsidRDefault="0024492D" w:rsidP="0024492D">
      <w:pPr>
        <w:pStyle w:val="SingleTxt"/>
        <w:suppressAutoHyphens/>
        <w:spacing w:after="0" w:line="120" w:lineRule="exact"/>
        <w:rPr>
          <w:sz w:val="10"/>
          <w:lang w:val="fr-FR"/>
        </w:rPr>
      </w:pPr>
    </w:p>
    <w:p w14:paraId="339A6CF0" w14:textId="3C5468BC" w:rsidR="00E80CCA" w:rsidRPr="003A18CC" w:rsidRDefault="00E80CCA" w:rsidP="00C67914">
      <w:pPr>
        <w:pStyle w:val="SingleTxt"/>
        <w:numPr>
          <w:ilvl w:val="0"/>
          <w:numId w:val="18"/>
        </w:numPr>
        <w:suppressAutoHyphens/>
        <w:ind w:left="1267" w:firstLine="0"/>
        <w:rPr>
          <w:lang w:val="fr-FR"/>
        </w:rPr>
      </w:pPr>
      <w:r w:rsidRPr="003A18CC">
        <w:rPr>
          <w:lang w:val="fr-FR"/>
        </w:rPr>
        <w:t>Veuillez donner des informations sur le nombre d</w:t>
      </w:r>
      <w:r w:rsidR="00000F67">
        <w:rPr>
          <w:lang w:val="fr-FR"/>
        </w:rPr>
        <w:t>’</w:t>
      </w:r>
      <w:r w:rsidRPr="003A18CC">
        <w:rPr>
          <w:lang w:val="fr-FR"/>
        </w:rPr>
        <w:t>affaires ayant fait l</w:t>
      </w:r>
      <w:r w:rsidR="00000F67">
        <w:rPr>
          <w:lang w:val="fr-FR"/>
        </w:rPr>
        <w:t>’</w:t>
      </w:r>
      <w:r w:rsidRPr="003A18CC">
        <w:rPr>
          <w:lang w:val="fr-FR"/>
        </w:rPr>
        <w:t>objet d</w:t>
      </w:r>
      <w:r w:rsidR="00000F67">
        <w:rPr>
          <w:lang w:val="fr-FR"/>
        </w:rPr>
        <w:t>’</w:t>
      </w:r>
      <w:r w:rsidRPr="003A18CC">
        <w:rPr>
          <w:lang w:val="fr-FR"/>
        </w:rPr>
        <w:t>enquêtes et de poursuites et sur les peines prononcées à l</w:t>
      </w:r>
      <w:r w:rsidR="00000F67">
        <w:rPr>
          <w:lang w:val="fr-FR"/>
        </w:rPr>
        <w:t>’</w:t>
      </w:r>
      <w:r w:rsidRPr="003A18CC">
        <w:rPr>
          <w:lang w:val="fr-FR"/>
        </w:rPr>
        <w:t>encontre des auteurs de traite des personnes, notamment les femmes et les filles. Veuillez également fournir des détails sur le mandat, l</w:t>
      </w:r>
      <w:r w:rsidR="00000F67">
        <w:rPr>
          <w:lang w:val="fr-FR"/>
        </w:rPr>
        <w:t>’</w:t>
      </w:r>
      <w:r w:rsidRPr="003A18CC">
        <w:rPr>
          <w:lang w:val="fr-FR"/>
        </w:rPr>
        <w:t>activité et l</w:t>
      </w:r>
      <w:r w:rsidR="00000F67">
        <w:rPr>
          <w:lang w:val="fr-FR"/>
        </w:rPr>
        <w:t>’</w:t>
      </w:r>
      <w:r w:rsidRPr="003A18CC">
        <w:rPr>
          <w:lang w:val="fr-FR"/>
        </w:rPr>
        <w:t xml:space="preserve">impact du Comité interministériel sur la traite des personnes (TIP Committee) et de la Trafficking-in-Persons Task Force (Équipe spéciale chargée de la lutte contre la traite des personnes). Veuillez en outre indiquer quelles mesures ont été prises </w:t>
      </w:r>
      <w:r w:rsidRPr="003A18CC">
        <w:rPr>
          <w:color w:val="000000"/>
          <w:lang w:val="fr-FR"/>
        </w:rPr>
        <w:t>pour renforcer les programmes de sensibilisation sur la traite des êtres humains, en particulier dans les zones urbaines à faible revenu, et garantir une protection et une assistance appropriées aux femmes et aux filles victimes de traite, notamment leur accueil dans des abris et l</w:t>
      </w:r>
      <w:r w:rsidR="00000F67">
        <w:rPr>
          <w:color w:val="000000"/>
          <w:lang w:val="fr-FR"/>
        </w:rPr>
        <w:t>’</w:t>
      </w:r>
      <w:r w:rsidRPr="003A18CC">
        <w:rPr>
          <w:color w:val="000000"/>
          <w:lang w:val="fr-FR"/>
        </w:rPr>
        <w:t xml:space="preserve">aide apportée à leur réhabilitation et réintégration </w:t>
      </w:r>
      <w:r w:rsidRPr="003A18CC">
        <w:rPr>
          <w:lang w:val="fr-FR"/>
        </w:rPr>
        <w:t>(voir CEDAW/C/BHS/Q/6, par. 8).</w:t>
      </w:r>
    </w:p>
    <w:p w14:paraId="3A778858" w14:textId="38F865E3" w:rsidR="006C4275" w:rsidRPr="0024492D" w:rsidRDefault="006C4275" w:rsidP="0024492D">
      <w:pPr>
        <w:pStyle w:val="SingleTxt"/>
        <w:suppressAutoHyphens/>
        <w:spacing w:after="0" w:line="120" w:lineRule="exact"/>
        <w:rPr>
          <w:b/>
          <w:sz w:val="10"/>
          <w:lang w:val="fr-FR"/>
        </w:rPr>
      </w:pPr>
    </w:p>
    <w:p w14:paraId="465206E2" w14:textId="2BE0248C" w:rsidR="00E80CCA" w:rsidRPr="003A18CC" w:rsidRDefault="0024492D" w:rsidP="00244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Réponses </w:t>
      </w:r>
    </w:p>
    <w:p w14:paraId="6F97EB1C" w14:textId="688056F2" w:rsidR="006C4275" w:rsidRPr="0024492D" w:rsidRDefault="006C4275" w:rsidP="0024492D">
      <w:pPr>
        <w:pStyle w:val="SingleTxt"/>
        <w:suppressAutoHyphens/>
        <w:spacing w:after="0" w:line="120" w:lineRule="exact"/>
        <w:rPr>
          <w:i/>
          <w:sz w:val="10"/>
          <w:lang w:val="fr-FR"/>
        </w:rPr>
      </w:pPr>
    </w:p>
    <w:p w14:paraId="53DEE1D2" w14:textId="4409FD41" w:rsidR="00E80CCA" w:rsidRPr="003A18CC" w:rsidRDefault="0024492D" w:rsidP="002449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Comité interministériel et Équipe spéciale de lutte contre la traite des personnes</w:t>
      </w:r>
    </w:p>
    <w:p w14:paraId="1992A15E" w14:textId="40034515" w:rsidR="006C4275" w:rsidRPr="0024492D" w:rsidRDefault="006C4275" w:rsidP="0024492D">
      <w:pPr>
        <w:pStyle w:val="SingleTxt"/>
        <w:suppressAutoHyphens/>
        <w:spacing w:after="0" w:line="120" w:lineRule="exact"/>
        <w:rPr>
          <w:sz w:val="10"/>
          <w:lang w:val="fr-FR"/>
        </w:rPr>
      </w:pPr>
    </w:p>
    <w:p w14:paraId="288A0756" w14:textId="561BEFB2" w:rsidR="00E80CCA" w:rsidRPr="003A18CC" w:rsidRDefault="00E80CCA" w:rsidP="00C67914">
      <w:pPr>
        <w:pStyle w:val="SingleTxt"/>
        <w:numPr>
          <w:ilvl w:val="0"/>
          <w:numId w:val="18"/>
        </w:numPr>
        <w:suppressAutoHyphens/>
        <w:ind w:left="1267" w:firstLine="0"/>
        <w:rPr>
          <w:lang w:val="fr-FR"/>
        </w:rPr>
      </w:pPr>
      <w:r w:rsidRPr="003A18CC">
        <w:rPr>
          <w:lang w:val="fr-FR"/>
        </w:rPr>
        <w:t>Le Comité interministériel et l</w:t>
      </w:r>
      <w:r w:rsidR="00000F67">
        <w:rPr>
          <w:lang w:val="fr-FR"/>
        </w:rPr>
        <w:t>’</w:t>
      </w:r>
      <w:r w:rsidRPr="003A18CC">
        <w:rPr>
          <w:lang w:val="fr-FR"/>
        </w:rPr>
        <w:t>Équipe spéciale sont tous les deux habilités à lutter contre la traite des personnes.</w:t>
      </w:r>
    </w:p>
    <w:p w14:paraId="5248441C" w14:textId="559DAE24" w:rsidR="00E80CCA" w:rsidRPr="003A18CC" w:rsidRDefault="00E80CCA" w:rsidP="00C67914">
      <w:pPr>
        <w:pStyle w:val="SingleTxt"/>
        <w:numPr>
          <w:ilvl w:val="0"/>
          <w:numId w:val="18"/>
        </w:numPr>
        <w:suppressAutoHyphens/>
        <w:ind w:left="1267" w:firstLine="0"/>
        <w:rPr>
          <w:lang w:val="fr-FR"/>
        </w:rPr>
      </w:pPr>
      <w:r w:rsidRPr="003A18CC">
        <w:rPr>
          <w:lang w:val="fr-FR"/>
        </w:rPr>
        <w:t>Le Comité, qui est opérationnel depuis novembre 2011, formule des recommandations pour renforcer les actions nationales de lutte contre la traite des personnes, notamment par la recherche de possibilités de formation, la diffusion d</w:t>
      </w:r>
      <w:r w:rsidR="00000F67">
        <w:rPr>
          <w:lang w:val="fr-FR"/>
        </w:rPr>
        <w:t>’</w:t>
      </w:r>
      <w:r w:rsidRPr="003A18CC">
        <w:rPr>
          <w:lang w:val="fr-FR"/>
        </w:rPr>
        <w:t>informations, la sensibilisation et la coordination des activités liées à l</w:t>
      </w:r>
      <w:r w:rsidR="00000F67">
        <w:rPr>
          <w:lang w:val="fr-FR"/>
        </w:rPr>
        <w:t>’</w:t>
      </w:r>
      <w:r w:rsidRPr="003A18CC">
        <w:rPr>
          <w:lang w:val="fr-FR"/>
        </w:rPr>
        <w:t>établissement de rapports destinés aux organisations régionales et internationales.</w:t>
      </w:r>
    </w:p>
    <w:p w14:paraId="3969C628" w14:textId="7D114188" w:rsidR="00E80CCA" w:rsidRPr="003A18CC" w:rsidRDefault="00E80CCA" w:rsidP="00C67914">
      <w:pPr>
        <w:pStyle w:val="SingleTxt"/>
        <w:numPr>
          <w:ilvl w:val="0"/>
          <w:numId w:val="18"/>
        </w:numPr>
        <w:suppressAutoHyphens/>
        <w:ind w:left="1267" w:firstLine="0"/>
        <w:rPr>
          <w:lang w:val="fr-FR"/>
        </w:rPr>
      </w:pPr>
      <w:r w:rsidRPr="003A18CC">
        <w:rPr>
          <w:lang w:val="fr-FR"/>
        </w:rPr>
        <w:t>L</w:t>
      </w:r>
      <w:r w:rsidR="00000F67">
        <w:rPr>
          <w:lang w:val="fr-FR"/>
        </w:rPr>
        <w:t>’</w:t>
      </w:r>
      <w:r w:rsidRPr="003A18CC">
        <w:rPr>
          <w:lang w:val="fr-FR"/>
        </w:rPr>
        <w:t>Équipe spéciale de lutte contre la traite des personnes, qui a été créée en mars 2012, est un organe opérationnel chargé d</w:t>
      </w:r>
      <w:r w:rsidR="00000F67">
        <w:rPr>
          <w:lang w:val="fr-FR"/>
        </w:rPr>
        <w:t>’</w:t>
      </w:r>
      <w:r w:rsidRPr="003A18CC">
        <w:rPr>
          <w:lang w:val="fr-FR"/>
        </w:rPr>
        <w:t>identifier les victimes ou les victimes potentielles de traite des personnes et de poursuivre les présumés auteurs.</w:t>
      </w:r>
    </w:p>
    <w:p w14:paraId="29E3BA29" w14:textId="7AD5F561" w:rsidR="00E80CCA" w:rsidRPr="003A18CC" w:rsidRDefault="00E80CCA" w:rsidP="00C67914">
      <w:pPr>
        <w:pStyle w:val="SingleTxt"/>
        <w:numPr>
          <w:ilvl w:val="0"/>
          <w:numId w:val="18"/>
        </w:numPr>
        <w:suppressAutoHyphens/>
        <w:ind w:left="1267" w:firstLine="0"/>
        <w:rPr>
          <w:lang w:val="fr-FR"/>
        </w:rPr>
      </w:pPr>
      <w:r w:rsidRPr="003A18CC">
        <w:rPr>
          <w:lang w:val="fr-FR"/>
        </w:rPr>
        <w:t>Douze affaires de traite des personnes ont fait l</w:t>
      </w:r>
      <w:r w:rsidR="00000F67">
        <w:rPr>
          <w:lang w:val="fr-FR"/>
        </w:rPr>
        <w:t>’</w:t>
      </w:r>
      <w:r w:rsidRPr="003A18CC">
        <w:rPr>
          <w:lang w:val="fr-FR"/>
        </w:rPr>
        <w:t>objet d</w:t>
      </w:r>
      <w:r w:rsidR="00000F67">
        <w:rPr>
          <w:lang w:val="fr-FR"/>
        </w:rPr>
        <w:t>’</w:t>
      </w:r>
      <w:r w:rsidRPr="003A18CC">
        <w:rPr>
          <w:lang w:val="fr-FR"/>
        </w:rPr>
        <w:t xml:space="preserve">enquêtes policières entre avril 2017 et mars 2018, dont 10 à caractère sexuel et </w:t>
      </w:r>
      <w:r w:rsidR="0024492D">
        <w:rPr>
          <w:lang w:val="fr-FR"/>
        </w:rPr>
        <w:t>2</w:t>
      </w:r>
      <w:r w:rsidRPr="003A18CC">
        <w:rPr>
          <w:lang w:val="fr-FR"/>
        </w:rPr>
        <w:t xml:space="preserve"> liées au travail forcé. Après avoir interrogé les présumées victimes, la Police, en consultation avec le Bureau du Procureur général et le Département du travail, a conclu que ces personnes n</w:t>
      </w:r>
      <w:r w:rsidR="00000F67">
        <w:rPr>
          <w:lang w:val="fr-FR"/>
        </w:rPr>
        <w:t>’</w:t>
      </w:r>
      <w:r w:rsidRPr="003A18CC">
        <w:rPr>
          <w:lang w:val="fr-FR"/>
        </w:rPr>
        <w:t>avaient pas été victimes de traite des personnes.</w:t>
      </w:r>
    </w:p>
    <w:p w14:paraId="20697144" w14:textId="3B0B5CFA" w:rsidR="00E80CCA" w:rsidRPr="003A18CC" w:rsidRDefault="00E80CCA" w:rsidP="00C67914">
      <w:pPr>
        <w:pStyle w:val="SingleTxt"/>
        <w:numPr>
          <w:ilvl w:val="0"/>
          <w:numId w:val="18"/>
        </w:numPr>
        <w:suppressAutoHyphens/>
        <w:ind w:left="1267" w:firstLine="0"/>
        <w:rPr>
          <w:lang w:val="fr-FR"/>
        </w:rPr>
      </w:pPr>
      <w:r w:rsidRPr="003A18CC">
        <w:rPr>
          <w:lang w:val="fr-FR"/>
        </w:rPr>
        <w:t>Le Comité interministériel sur la traite des personnes et l</w:t>
      </w:r>
      <w:r w:rsidR="00000F67">
        <w:rPr>
          <w:lang w:val="fr-FR"/>
        </w:rPr>
        <w:t>’</w:t>
      </w:r>
      <w:r w:rsidRPr="003A18CC">
        <w:rPr>
          <w:lang w:val="fr-FR"/>
        </w:rPr>
        <w:t>Équipe spéciale de lutte contre la traite des personnes ont coparrainé diverses activités de sensibilisation, dont notamment</w:t>
      </w:r>
      <w:r w:rsidR="0024492D">
        <w:rPr>
          <w:lang w:val="fr-FR"/>
        </w:rPr>
        <w:t> </w:t>
      </w:r>
      <w:r w:rsidRPr="003A18CC">
        <w:rPr>
          <w:lang w:val="fr-FR"/>
        </w:rPr>
        <w:t>:</w:t>
      </w:r>
    </w:p>
    <w:p w14:paraId="082B044A" w14:textId="5B69BEE2"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Le programme annuel de sensibilisation dans les écoles, de septembre à novembre 2017, au cours duquel le Comité s</w:t>
      </w:r>
      <w:r w:rsidR="00000F67">
        <w:rPr>
          <w:lang w:val="fr-FR"/>
        </w:rPr>
        <w:t>’</w:t>
      </w:r>
      <w:r w:rsidR="00E80CCA" w:rsidRPr="003A18CC">
        <w:rPr>
          <w:lang w:val="fr-FR"/>
        </w:rPr>
        <w:t>est adressé à plus de 3 500 élèves et distribué plus de 4 000 brochures sur la traite des personnes</w:t>
      </w:r>
      <w:r w:rsidR="00000F67">
        <w:rPr>
          <w:lang w:val="fr-FR"/>
        </w:rPr>
        <w:t> ;</w:t>
      </w:r>
    </w:p>
    <w:p w14:paraId="75504267" w14:textId="04744EA8"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Des émissions radiophoniques, dont « Joining Hands for Health » (main dans la main pour la santé) et « Let</w:t>
      </w:r>
      <w:r w:rsidR="00000F67">
        <w:rPr>
          <w:lang w:val="fr-FR"/>
        </w:rPr>
        <w:t>’</w:t>
      </w:r>
      <w:r w:rsidR="00E80CCA" w:rsidRPr="003A18CC">
        <w:rPr>
          <w:lang w:val="fr-FR"/>
        </w:rPr>
        <w:t>s Talk Health » (Parlons santé)</w:t>
      </w:r>
      <w:r w:rsidR="00000F67">
        <w:rPr>
          <w:lang w:val="fr-FR"/>
        </w:rPr>
        <w:t> ;</w:t>
      </w:r>
    </w:p>
    <w:p w14:paraId="23105A1D" w14:textId="26437F4F" w:rsidR="00E80CCA" w:rsidRPr="003A18CC" w:rsidRDefault="0024492D" w:rsidP="0024492D">
      <w:pPr>
        <w:pStyle w:val="SingleTxt"/>
        <w:tabs>
          <w:tab w:val="right" w:pos="1685"/>
        </w:tabs>
        <w:suppressAutoHyphens/>
        <w:ind w:left="1742" w:hanging="475"/>
        <w:rPr>
          <w:lang w:val="fr-FR"/>
        </w:rPr>
      </w:pPr>
      <w:r>
        <w:rPr>
          <w:lang w:val="fr-FR"/>
        </w:rPr>
        <w:lastRenderedPageBreak/>
        <w:tab/>
      </w:r>
      <w:r w:rsidR="007C78DF">
        <w:rPr>
          <w:lang w:val="fr-FR"/>
        </w:rPr>
        <w:t>•</w:t>
      </w:r>
      <w:r>
        <w:rPr>
          <w:lang w:val="fr-FR"/>
        </w:rPr>
        <w:tab/>
      </w:r>
      <w:r w:rsidR="00E80CCA" w:rsidRPr="003A18CC">
        <w:rPr>
          <w:lang w:val="fr-FR"/>
        </w:rPr>
        <w:t>La publication d</w:t>
      </w:r>
      <w:r w:rsidR="00000F67">
        <w:rPr>
          <w:lang w:val="fr-FR"/>
        </w:rPr>
        <w:t>’</w:t>
      </w:r>
      <w:r w:rsidR="00E80CCA" w:rsidRPr="003A18CC">
        <w:rPr>
          <w:lang w:val="fr-FR"/>
        </w:rPr>
        <w:t>une Proclamation contre la traite des personnes, en commémoration de la Journée mondiale contre la traite des personnes</w:t>
      </w:r>
      <w:r w:rsidR="00000F67">
        <w:rPr>
          <w:lang w:val="fr-FR"/>
        </w:rPr>
        <w:t> ;</w:t>
      </w:r>
    </w:p>
    <w:p w14:paraId="455DC534" w14:textId="58CDF641"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La distribution de plus de 15 000 brochures et signets sur la lutte contre la traite des personnes.</w:t>
      </w:r>
    </w:p>
    <w:p w14:paraId="39633E59" w14:textId="2E6D09DB" w:rsidR="00E80CCA" w:rsidRPr="003A18CC" w:rsidRDefault="00E80CCA" w:rsidP="00C67914">
      <w:pPr>
        <w:pStyle w:val="SingleTxt"/>
        <w:numPr>
          <w:ilvl w:val="0"/>
          <w:numId w:val="18"/>
        </w:numPr>
        <w:suppressAutoHyphens/>
        <w:ind w:left="1267" w:firstLine="0"/>
        <w:rPr>
          <w:lang w:val="fr-FR"/>
        </w:rPr>
      </w:pPr>
      <w:r w:rsidRPr="003A18CC">
        <w:rPr>
          <w:lang w:val="fr-FR"/>
        </w:rPr>
        <w:t>Le Comité interministériel est en partenariat permanent avec des ONG dont la Croix-Rouge bahamienne, l</w:t>
      </w:r>
      <w:r w:rsidR="00000F67">
        <w:rPr>
          <w:lang w:val="fr-FR"/>
        </w:rPr>
        <w:t>’</w:t>
      </w:r>
      <w:r w:rsidRPr="003A18CC">
        <w:rPr>
          <w:lang w:val="fr-FR"/>
        </w:rPr>
        <w:t>Armée du Salut et le Bahamas Crisis Centre, qui sert de permanence d</w:t>
      </w:r>
      <w:r w:rsidR="00000F67">
        <w:rPr>
          <w:lang w:val="fr-FR"/>
        </w:rPr>
        <w:t>’</w:t>
      </w:r>
      <w:r w:rsidRPr="003A18CC">
        <w:rPr>
          <w:lang w:val="fr-FR"/>
        </w:rPr>
        <w:t>alerte pour les victimes de violence, y compris les victimes de traite des personnes. La Links Safe House, une structure résidentielle qui abrite des victimes de violence domestique, est aussi ouverte aux victimes ou victimes potentielles de traite des personnes. Le Département des services sociaux est l</w:t>
      </w:r>
      <w:r w:rsidR="00000F67">
        <w:rPr>
          <w:lang w:val="fr-FR"/>
        </w:rPr>
        <w:t>’</w:t>
      </w:r>
      <w:r w:rsidRPr="003A18CC">
        <w:rPr>
          <w:lang w:val="fr-FR"/>
        </w:rPr>
        <w:t>organisme habilité par la loi relative à la traite des personnes et son Protocole à aider toutes les victimes et à leur fournir de la nourriture, des vêtements, une assistance médicale et des conseils juridiques.</w:t>
      </w:r>
    </w:p>
    <w:p w14:paraId="2F5BA9BC" w14:textId="0D8A1170" w:rsidR="00E80CCA" w:rsidRPr="003A18CC" w:rsidRDefault="00E80CCA" w:rsidP="00C67914">
      <w:pPr>
        <w:pStyle w:val="SingleTxt"/>
        <w:numPr>
          <w:ilvl w:val="0"/>
          <w:numId w:val="18"/>
        </w:numPr>
        <w:suppressAutoHyphens/>
        <w:ind w:left="1267" w:firstLine="0"/>
        <w:rPr>
          <w:lang w:val="fr-FR"/>
        </w:rPr>
      </w:pPr>
      <w:r w:rsidRPr="003A18CC">
        <w:rPr>
          <w:lang w:val="fr-FR"/>
        </w:rPr>
        <w:t>Les victimes et victimes potentielles sont tenues éloignées de l</w:t>
      </w:r>
      <w:r w:rsidR="00000F67">
        <w:rPr>
          <w:lang w:val="fr-FR"/>
        </w:rPr>
        <w:t>’</w:t>
      </w:r>
      <w:r w:rsidRPr="003A18CC">
        <w:rPr>
          <w:lang w:val="fr-FR"/>
        </w:rPr>
        <w:t>environnement dans lequel elles ont fait l</w:t>
      </w:r>
      <w:r w:rsidR="00000F67">
        <w:rPr>
          <w:lang w:val="fr-FR"/>
        </w:rPr>
        <w:t>’</w:t>
      </w:r>
      <w:r w:rsidRPr="003A18CC">
        <w:rPr>
          <w:lang w:val="fr-FR"/>
        </w:rPr>
        <w:t>objet de traite et gardées en lieu sûr. La Victim Support Unit (Groupe d</w:t>
      </w:r>
      <w:r w:rsidR="00000F67">
        <w:rPr>
          <w:lang w:val="fr-FR"/>
        </w:rPr>
        <w:t>’</w:t>
      </w:r>
      <w:r w:rsidRPr="003A18CC">
        <w:rPr>
          <w:lang w:val="fr-FR"/>
        </w:rPr>
        <w:t>appui aux victimes) de la Central Detective Unit (Groupe central des enquêtes) de la Force de Police des Bahamas participe à cet exercice. Quand une victime est identifiée, elle doit bénéficier de la part des autorités d</w:t>
      </w:r>
      <w:r w:rsidR="00000F67">
        <w:rPr>
          <w:lang w:val="fr-FR"/>
        </w:rPr>
        <w:t>’</w:t>
      </w:r>
      <w:r w:rsidRPr="003A18CC">
        <w:rPr>
          <w:lang w:val="fr-FR"/>
        </w:rPr>
        <w:t>une protection raisonnable pour empêcher qu</w:t>
      </w:r>
      <w:r w:rsidR="00000F67">
        <w:rPr>
          <w:lang w:val="fr-FR"/>
        </w:rPr>
        <w:t>’</w:t>
      </w:r>
      <w:r w:rsidRPr="003A18CC">
        <w:rPr>
          <w:lang w:val="fr-FR"/>
        </w:rPr>
        <w:t>elle ne retombe entre les mains des trafiquants et de leurs complices. Si la victime réside aux Bahamas, les autorités veillent à la mettre, ainsi que sa famille, à l</w:t>
      </w:r>
      <w:r w:rsidR="00000F67">
        <w:rPr>
          <w:lang w:val="fr-FR"/>
        </w:rPr>
        <w:t>’</w:t>
      </w:r>
      <w:r w:rsidRPr="003A18CC">
        <w:rPr>
          <w:lang w:val="fr-FR"/>
        </w:rPr>
        <w:t>abri des menaces, des intimidations ou des représailles des trafiquants et de leurs complices.</w:t>
      </w:r>
      <w:r w:rsidR="00000F67">
        <w:rPr>
          <w:lang w:val="fr-FR"/>
        </w:rPr>
        <w:t xml:space="preserve"> </w:t>
      </w:r>
    </w:p>
    <w:p w14:paraId="6A8B5D1F" w14:textId="0D71A4C2" w:rsidR="00E80CCA" w:rsidRPr="003A18CC" w:rsidRDefault="00E80CCA" w:rsidP="00C67914">
      <w:pPr>
        <w:pStyle w:val="SingleTxt"/>
        <w:numPr>
          <w:ilvl w:val="0"/>
          <w:numId w:val="18"/>
        </w:numPr>
        <w:suppressAutoHyphens/>
        <w:ind w:left="1267" w:firstLine="0"/>
        <w:rPr>
          <w:lang w:val="fr-FR"/>
        </w:rPr>
      </w:pPr>
      <w:r w:rsidRPr="003A18CC">
        <w:rPr>
          <w:lang w:val="fr-FR"/>
        </w:rPr>
        <w:t>Le Code pénal contient des dispositions réprimant l</w:t>
      </w:r>
      <w:r w:rsidR="00000F67">
        <w:rPr>
          <w:lang w:val="fr-FR"/>
        </w:rPr>
        <w:t>’</w:t>
      </w:r>
      <w:r w:rsidRPr="003A18CC">
        <w:rPr>
          <w:lang w:val="fr-FR"/>
        </w:rPr>
        <w:t>infraction de prostitution aux Bahamas.</w:t>
      </w:r>
    </w:p>
    <w:p w14:paraId="7F806791" w14:textId="14AC9BDB" w:rsidR="00E80CCA" w:rsidRPr="003A18CC" w:rsidRDefault="0024492D" w:rsidP="0024492D">
      <w:pPr>
        <w:pStyle w:val="SingleTxt"/>
        <w:suppressAutoHyphens/>
        <w:rPr>
          <w:spacing w:val="-2"/>
          <w:lang w:val="fr-FR"/>
        </w:rPr>
      </w:pPr>
      <w:r>
        <w:rPr>
          <w:lang w:val="fr-FR"/>
        </w:rPr>
        <w:tab/>
      </w:r>
      <w:r w:rsidR="00E80CCA" w:rsidRPr="003A18CC">
        <w:rPr>
          <w:lang w:val="fr-FR"/>
        </w:rPr>
        <w:t>Le rapport indique que la prostitution demeure une infraction pénale dans l</w:t>
      </w:r>
      <w:r w:rsidR="00000F67">
        <w:rPr>
          <w:lang w:val="fr-FR"/>
        </w:rPr>
        <w:t>’</w:t>
      </w:r>
      <w:r w:rsidR="00E80CCA" w:rsidRPr="003A18CC">
        <w:rPr>
          <w:lang w:val="fr-FR"/>
        </w:rPr>
        <w:t>État partie. Le Comité note que l</w:t>
      </w:r>
      <w:r w:rsidR="00000F67">
        <w:rPr>
          <w:lang w:val="fr-FR"/>
        </w:rPr>
        <w:t>’</w:t>
      </w:r>
      <w:r w:rsidR="00E80CCA" w:rsidRPr="003A18CC">
        <w:rPr>
          <w:lang w:val="fr-FR"/>
        </w:rPr>
        <w:t>article 10 de la loi relative à la traite des personnes assure la protection des victimes de prostitution. Veuillez informer le Comité des mesures prises pour décriminaliser la participation des femmes à la prostitution et veiller à ce que les femmes impliquées dans le commerce du sexe ne soient pas punies.</w:t>
      </w:r>
      <w:r w:rsidR="00000F67">
        <w:rPr>
          <w:lang w:val="fr-FR"/>
        </w:rPr>
        <w:t xml:space="preserve"> </w:t>
      </w:r>
      <w:r w:rsidR="00E80CCA" w:rsidRPr="003A18CC">
        <w:rPr>
          <w:lang w:val="fr-FR"/>
        </w:rPr>
        <w:t>Veuillez également donner davantage d</w:t>
      </w:r>
      <w:r w:rsidR="00000F67">
        <w:rPr>
          <w:lang w:val="fr-FR"/>
        </w:rPr>
        <w:t>’</w:t>
      </w:r>
      <w:r w:rsidR="00E80CCA" w:rsidRPr="003A18CC">
        <w:rPr>
          <w:lang w:val="fr-FR"/>
        </w:rPr>
        <w:t>informations sur l</w:t>
      </w:r>
      <w:r w:rsidR="00000F67">
        <w:rPr>
          <w:lang w:val="fr-FR"/>
        </w:rPr>
        <w:t>’</w:t>
      </w:r>
      <w:r w:rsidR="00E80CCA" w:rsidRPr="003A18CC">
        <w:rPr>
          <w:lang w:val="fr-FR"/>
        </w:rPr>
        <w:t>accès des femmes et des filles s</w:t>
      </w:r>
      <w:r w:rsidR="00000F67">
        <w:rPr>
          <w:lang w:val="fr-FR"/>
        </w:rPr>
        <w:t>’</w:t>
      </w:r>
      <w:r w:rsidR="00E80CCA" w:rsidRPr="003A18CC">
        <w:rPr>
          <w:lang w:val="fr-FR"/>
        </w:rPr>
        <w:t>adonnant à la prostitution aux contraceptifs et aux services de santé sexuelle et procréative. Veuillez en outre donner davantage d</w:t>
      </w:r>
      <w:r w:rsidR="00000F67">
        <w:rPr>
          <w:lang w:val="fr-FR"/>
        </w:rPr>
        <w:t>’</w:t>
      </w:r>
      <w:r w:rsidR="00E80CCA" w:rsidRPr="003A18CC">
        <w:rPr>
          <w:lang w:val="fr-FR"/>
        </w:rPr>
        <w:t>informations et de données sur la prévalence de l</w:t>
      </w:r>
      <w:r w:rsidR="00000F67">
        <w:rPr>
          <w:lang w:val="fr-FR"/>
        </w:rPr>
        <w:t>’</w:t>
      </w:r>
      <w:r w:rsidR="00E80CCA" w:rsidRPr="003A18CC">
        <w:rPr>
          <w:lang w:val="fr-FR"/>
        </w:rPr>
        <w:t>exploitation de la prostitution, y compris les filles s</w:t>
      </w:r>
      <w:r w:rsidR="00000F67">
        <w:rPr>
          <w:lang w:val="fr-FR"/>
        </w:rPr>
        <w:t>’</w:t>
      </w:r>
      <w:r w:rsidR="00E80CCA" w:rsidRPr="003A18CC">
        <w:rPr>
          <w:lang w:val="fr-FR"/>
        </w:rPr>
        <w:t>adonnant à la prostitution, et sur les mesures prises ou envisagées pour faire face aux causes profondes de la prostitution et pour prévenir les femmes et les filles en situation de vulnérabilité de s</w:t>
      </w:r>
      <w:r w:rsidR="00000F67">
        <w:rPr>
          <w:lang w:val="fr-FR"/>
        </w:rPr>
        <w:t>’</w:t>
      </w:r>
      <w:r w:rsidR="00E80CCA" w:rsidRPr="003A18CC">
        <w:rPr>
          <w:lang w:val="fr-FR"/>
        </w:rPr>
        <w:t>adonner à cette activité, y compris en leur donnant les moyens de bénéficier de revenus alternatifs (voir</w:t>
      </w:r>
      <w:r w:rsidR="00E80CCA" w:rsidRPr="003A18CC">
        <w:rPr>
          <w:spacing w:val="-2"/>
          <w:lang w:val="fr-FR"/>
        </w:rPr>
        <w:t xml:space="preserve"> CEDAW/C/BHS/Q/6, par. 9).</w:t>
      </w:r>
    </w:p>
    <w:p w14:paraId="61711CC5" w14:textId="30B8B23C" w:rsidR="006C4275" w:rsidRPr="0024492D" w:rsidRDefault="006C4275" w:rsidP="0024492D">
      <w:pPr>
        <w:pStyle w:val="SingleTxt"/>
        <w:suppressAutoHyphens/>
        <w:spacing w:after="0" w:line="120" w:lineRule="exact"/>
        <w:rPr>
          <w:i/>
          <w:spacing w:val="-2"/>
          <w:sz w:val="10"/>
          <w:lang w:val="fr-FR"/>
        </w:rPr>
      </w:pPr>
    </w:p>
    <w:p w14:paraId="7C1228CC" w14:textId="5AA59EF7" w:rsidR="00E80CCA" w:rsidRPr="003A18CC" w:rsidRDefault="0024492D" w:rsidP="0037217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Programmes de prévention destines aux groupes vulnérables</w:t>
      </w:r>
    </w:p>
    <w:p w14:paraId="2DB96810" w14:textId="1ED05C86" w:rsidR="006C4275" w:rsidRPr="0024492D" w:rsidRDefault="006C4275" w:rsidP="0024492D">
      <w:pPr>
        <w:pStyle w:val="SingleTxt"/>
        <w:suppressAutoHyphens/>
        <w:spacing w:after="0" w:line="120" w:lineRule="exact"/>
        <w:rPr>
          <w:spacing w:val="-2"/>
          <w:sz w:val="10"/>
          <w:lang w:val="fr-FR"/>
        </w:rPr>
      </w:pPr>
    </w:p>
    <w:p w14:paraId="5FB41584" w14:textId="0BE18E9B" w:rsidR="00E80CCA" w:rsidRPr="003A18CC" w:rsidRDefault="00E80CCA" w:rsidP="00C67914">
      <w:pPr>
        <w:pStyle w:val="SingleTxt"/>
        <w:numPr>
          <w:ilvl w:val="0"/>
          <w:numId w:val="18"/>
        </w:numPr>
        <w:suppressAutoHyphens/>
        <w:ind w:left="1267" w:firstLine="0"/>
        <w:rPr>
          <w:spacing w:val="-2"/>
          <w:lang w:val="fr-FR"/>
        </w:rPr>
      </w:pPr>
      <w:r w:rsidRPr="003A18CC">
        <w:rPr>
          <w:spacing w:val="-2"/>
          <w:lang w:val="fr-FR"/>
        </w:rPr>
        <w:t>Le Centre d</w:t>
      </w:r>
      <w:r w:rsidR="00000F67">
        <w:rPr>
          <w:spacing w:val="-2"/>
          <w:lang w:val="fr-FR"/>
        </w:rPr>
        <w:t>’</w:t>
      </w:r>
      <w:r w:rsidRPr="003A18CC">
        <w:rPr>
          <w:spacing w:val="-2"/>
          <w:lang w:val="fr-FR"/>
        </w:rPr>
        <w:t>épanouissement de la jeunesse urbaine des Bahamas (BUYDC), une ONG locale, a pris des mesures pour aider les femmes et les filles vulnérables. Le Centre vise les jeunes et les femmes vulnérables dans les communautés. Il présente des exposés informatifs sur le VIH, la santé sexuelle et la réduction des risques dans le cadre de manifestations sociales. Entre 2012 et 2015, 180 femmes ont pris part à ce programme. Le Centre a été créé en 2010, mais il a dû cesser ses activités en octobre 2017 faute de ressources.</w:t>
      </w:r>
    </w:p>
    <w:p w14:paraId="1AAA4917" w14:textId="283ED35B" w:rsidR="00E80CCA" w:rsidRPr="003A18CC" w:rsidRDefault="00E80CCA" w:rsidP="00C67914">
      <w:pPr>
        <w:pStyle w:val="SingleTxt"/>
        <w:numPr>
          <w:ilvl w:val="0"/>
          <w:numId w:val="18"/>
        </w:numPr>
        <w:suppressAutoHyphens/>
        <w:ind w:left="1267" w:firstLine="0"/>
        <w:rPr>
          <w:spacing w:val="-2"/>
          <w:lang w:val="fr-FR"/>
        </w:rPr>
      </w:pPr>
      <w:r w:rsidRPr="003A18CC">
        <w:rPr>
          <w:spacing w:val="-2"/>
          <w:lang w:val="fr-FR"/>
        </w:rPr>
        <w:lastRenderedPageBreak/>
        <w:t>Le Secrétariat pour la lutte contre le VIH/sida mène un programme de commercialisation parallèle de préservatifs géré par le Programme de prévention du Centre de lutte contre le VIH/sida et destiné aux groupes vulnérables, notamment les travailleurs du sexe.</w:t>
      </w:r>
    </w:p>
    <w:p w14:paraId="11EBD449" w14:textId="7EC22218" w:rsidR="006C4275" w:rsidRPr="0024492D" w:rsidRDefault="006C4275" w:rsidP="0024492D">
      <w:pPr>
        <w:pStyle w:val="SingleTxt"/>
        <w:suppressAutoHyphens/>
        <w:spacing w:after="0" w:line="120" w:lineRule="exact"/>
        <w:rPr>
          <w:b/>
          <w:spacing w:val="-2"/>
          <w:sz w:val="10"/>
          <w:lang w:val="fr-FR"/>
        </w:rPr>
      </w:pPr>
    </w:p>
    <w:p w14:paraId="78A2F0F8" w14:textId="1E035CD9" w:rsidR="0024492D" w:rsidRPr="0024492D" w:rsidRDefault="0024492D" w:rsidP="0024492D">
      <w:pPr>
        <w:pStyle w:val="SingleTxt"/>
        <w:suppressAutoHyphens/>
        <w:spacing w:after="0" w:line="120" w:lineRule="exact"/>
        <w:rPr>
          <w:b/>
          <w:spacing w:val="-2"/>
          <w:sz w:val="10"/>
          <w:lang w:val="fr-FR"/>
        </w:rPr>
      </w:pPr>
    </w:p>
    <w:p w14:paraId="11C2AC8F" w14:textId="65D66FDF" w:rsidR="00E80CCA" w:rsidRPr="003A18CC" w:rsidRDefault="0024492D" w:rsidP="002449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Participation à la vie politique et publique </w:t>
      </w:r>
    </w:p>
    <w:p w14:paraId="4F01CF4D" w14:textId="6E8E9C7E" w:rsidR="006C4275" w:rsidRPr="0024492D" w:rsidRDefault="006C4275" w:rsidP="0024492D">
      <w:pPr>
        <w:pStyle w:val="SingleTxt"/>
        <w:suppressAutoHyphens/>
        <w:spacing w:after="0" w:line="120" w:lineRule="exact"/>
        <w:rPr>
          <w:sz w:val="10"/>
          <w:lang w:val="fr-FR"/>
        </w:rPr>
      </w:pPr>
    </w:p>
    <w:p w14:paraId="70168FD9" w14:textId="2C995E43" w:rsidR="0024492D" w:rsidRPr="0024492D" w:rsidRDefault="0024492D" w:rsidP="0024492D">
      <w:pPr>
        <w:pStyle w:val="SingleTxt"/>
        <w:suppressAutoHyphens/>
        <w:spacing w:after="0" w:line="120" w:lineRule="exact"/>
        <w:rPr>
          <w:sz w:val="10"/>
          <w:lang w:val="fr-FR"/>
        </w:rPr>
      </w:pPr>
    </w:p>
    <w:p w14:paraId="74629C13" w14:textId="02EC450A" w:rsidR="00E80CCA" w:rsidRPr="003A18CC" w:rsidRDefault="00E80CCA" w:rsidP="00C67914">
      <w:pPr>
        <w:pStyle w:val="SingleTxt"/>
        <w:numPr>
          <w:ilvl w:val="0"/>
          <w:numId w:val="18"/>
        </w:numPr>
        <w:suppressAutoHyphens/>
        <w:ind w:left="1267" w:firstLine="0"/>
        <w:rPr>
          <w:color w:val="000000"/>
          <w:lang w:val="fr-FR"/>
        </w:rPr>
      </w:pPr>
      <w:r w:rsidRPr="003A18CC">
        <w:rPr>
          <w:lang w:val="fr-FR"/>
        </w:rPr>
        <w:t>Selon le rapport, sur 16 membres nommés au Sénat (Chambre haute), 5 (soit 31</w:t>
      </w:r>
      <w:r w:rsidR="0024492D">
        <w:rPr>
          <w:lang w:val="fr-FR"/>
        </w:rPr>
        <w:t> </w:t>
      </w:r>
      <w:r w:rsidRPr="003A18CC">
        <w:rPr>
          <w:lang w:val="fr-FR"/>
        </w:rPr>
        <w:t>%) sont des femmes. Le rapport indique également que lors des élections tenues dans l</w:t>
      </w:r>
      <w:r w:rsidR="00000F67">
        <w:rPr>
          <w:lang w:val="fr-FR"/>
        </w:rPr>
        <w:t>’</w:t>
      </w:r>
      <w:r w:rsidRPr="003A18CC">
        <w:rPr>
          <w:lang w:val="fr-FR"/>
        </w:rPr>
        <w:t>État partie en 2012, 13 % seulement des membres élus au Parlement (Chambre basse) étaient des femmes. Tout en prenant acte des efforts déployés par l</w:t>
      </w:r>
      <w:r w:rsidR="00000F67">
        <w:rPr>
          <w:lang w:val="fr-FR"/>
        </w:rPr>
        <w:t>’</w:t>
      </w:r>
      <w:r w:rsidRPr="003A18CC">
        <w:rPr>
          <w:lang w:val="fr-FR"/>
        </w:rPr>
        <w:t>État partie pour accroître la représentation des femmes, le Comité note que les femmes ne représentent que 18,5 % du nombre total de représentants et 23 % seulement des postes clefs au Parlement. Veuillez donner des informations sur les mesures prises pour introduire un système de quotas permettant d</w:t>
      </w:r>
      <w:r w:rsidR="00000F67">
        <w:rPr>
          <w:lang w:val="fr-FR"/>
        </w:rPr>
        <w:t>’</w:t>
      </w:r>
      <w:r w:rsidRPr="003A18CC">
        <w:rPr>
          <w:lang w:val="fr-FR"/>
        </w:rPr>
        <w:t>atteindre au moins 30 % de représentation féminine au Parlement, y compris à la faveur de mesures temporaires spéciales conformément au paragraphe 1 de l</w:t>
      </w:r>
      <w:r w:rsidR="00000F67">
        <w:rPr>
          <w:lang w:val="fr-FR"/>
        </w:rPr>
        <w:t>’</w:t>
      </w:r>
      <w:r w:rsidRPr="003A18CC">
        <w:rPr>
          <w:lang w:val="fr-FR"/>
        </w:rPr>
        <w:t>article 4 de la Convention et à la recommandation générale n</w:t>
      </w:r>
      <w:r w:rsidRPr="00000F67">
        <w:rPr>
          <w:vertAlign w:val="superscript"/>
          <w:lang w:val="fr-FR"/>
        </w:rPr>
        <w:t>o</w:t>
      </w:r>
      <w:r w:rsidR="00000F67">
        <w:rPr>
          <w:lang w:val="fr-FR"/>
        </w:rPr>
        <w:t> </w:t>
      </w:r>
      <w:r w:rsidRPr="003A18CC">
        <w:rPr>
          <w:lang w:val="fr-FR"/>
        </w:rPr>
        <w:t>25 du Comité,</w:t>
      </w:r>
      <w:r w:rsidR="00000F67">
        <w:rPr>
          <w:lang w:val="fr-FR"/>
        </w:rPr>
        <w:t xml:space="preserve"> </w:t>
      </w:r>
      <w:r w:rsidRPr="003A18CC">
        <w:rPr>
          <w:color w:val="000000"/>
          <w:lang w:val="fr-FR"/>
        </w:rPr>
        <w:t>ainsi que pour soutenir les candidates à des élections dans l</w:t>
      </w:r>
      <w:r w:rsidR="00000F67">
        <w:rPr>
          <w:color w:val="000000"/>
          <w:lang w:val="fr-FR"/>
        </w:rPr>
        <w:t>’</w:t>
      </w:r>
      <w:r w:rsidRPr="003A18CC">
        <w:rPr>
          <w:color w:val="000000"/>
          <w:lang w:val="fr-FR"/>
        </w:rPr>
        <w:t>État partie. Veuillez indiquer au Comité si un système de quotas ou d</w:t>
      </w:r>
      <w:r w:rsidR="00000F67">
        <w:rPr>
          <w:color w:val="000000"/>
          <w:lang w:val="fr-FR"/>
        </w:rPr>
        <w:t>’</w:t>
      </w:r>
      <w:r w:rsidRPr="003A18CC">
        <w:rPr>
          <w:color w:val="000000"/>
          <w:lang w:val="fr-FR"/>
        </w:rPr>
        <w:t>autres mesures temporaires ont été utilisés lors des dernières élections, organisées en</w:t>
      </w:r>
      <w:r w:rsidR="0024492D">
        <w:rPr>
          <w:color w:val="000000"/>
          <w:lang w:val="fr-FR"/>
        </w:rPr>
        <w:t xml:space="preserve"> </w:t>
      </w:r>
      <w:r w:rsidRPr="003A18CC">
        <w:rPr>
          <w:color w:val="000000"/>
          <w:lang w:val="fr-FR"/>
        </w:rPr>
        <w:t>2017. Veuillez en outre communiquer des statistiques actualisées sur la répartition par sexe des membres de tous les organes législatifs, exécutifs et judiciaires aux niveaux fédéral, national et territorial, ainsi que de l</w:t>
      </w:r>
      <w:r w:rsidR="00000F67">
        <w:rPr>
          <w:color w:val="000000"/>
          <w:lang w:val="fr-FR"/>
        </w:rPr>
        <w:t>’</w:t>
      </w:r>
      <w:r w:rsidRPr="003A18CC">
        <w:rPr>
          <w:color w:val="000000"/>
          <w:lang w:val="fr-FR"/>
        </w:rPr>
        <w:t>armée, de la police, des autorités administratives indépendantes, des principaux organes consultatifs de l</w:t>
      </w:r>
      <w:r w:rsidR="00000F67">
        <w:rPr>
          <w:color w:val="000000"/>
          <w:lang w:val="fr-FR"/>
        </w:rPr>
        <w:t>’</w:t>
      </w:r>
      <w:r w:rsidRPr="003A18CC">
        <w:rPr>
          <w:color w:val="000000"/>
          <w:lang w:val="fr-FR"/>
        </w:rPr>
        <w:t>État, de la haute administration de la fonction publique, des services diplomatiques et des postes de direction et d</w:t>
      </w:r>
      <w:r w:rsidR="00000F67">
        <w:rPr>
          <w:color w:val="000000"/>
          <w:lang w:val="fr-FR"/>
        </w:rPr>
        <w:t>’</w:t>
      </w:r>
      <w:r w:rsidRPr="003A18CC">
        <w:rPr>
          <w:color w:val="000000"/>
          <w:lang w:val="fr-FR"/>
        </w:rPr>
        <w:t>administration des sociétés (voir CEDAW/C/BHS/Q/6, par. 10).</w:t>
      </w:r>
    </w:p>
    <w:p w14:paraId="5F0171DD" w14:textId="25881EE6" w:rsidR="006C4275" w:rsidRPr="0024492D" w:rsidRDefault="006C4275" w:rsidP="0024492D">
      <w:pPr>
        <w:pStyle w:val="SingleTxt"/>
        <w:suppressAutoHyphens/>
        <w:spacing w:after="0" w:line="120" w:lineRule="exact"/>
        <w:rPr>
          <w:b/>
          <w:color w:val="000000"/>
          <w:sz w:val="10"/>
          <w:lang w:val="fr-FR"/>
        </w:rPr>
      </w:pPr>
    </w:p>
    <w:p w14:paraId="060A729A" w14:textId="0A053F43" w:rsidR="00E80CCA" w:rsidRPr="003A18CC" w:rsidRDefault="0024492D" w:rsidP="002449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Réponse </w:t>
      </w:r>
    </w:p>
    <w:p w14:paraId="49A9DA2E" w14:textId="0658A40B" w:rsidR="006C4275" w:rsidRPr="0024492D" w:rsidRDefault="006C4275" w:rsidP="0024492D">
      <w:pPr>
        <w:pStyle w:val="SingleTxt"/>
        <w:suppressAutoHyphens/>
        <w:spacing w:after="0" w:line="120" w:lineRule="exact"/>
        <w:rPr>
          <w:color w:val="000000"/>
          <w:sz w:val="10"/>
          <w:lang w:val="fr-FR"/>
        </w:rPr>
      </w:pPr>
    </w:p>
    <w:p w14:paraId="59DB2E6C" w14:textId="56C3716C" w:rsidR="00E80CCA" w:rsidRDefault="00E80CCA" w:rsidP="00C67914">
      <w:pPr>
        <w:pStyle w:val="SingleTxt"/>
        <w:numPr>
          <w:ilvl w:val="0"/>
          <w:numId w:val="18"/>
        </w:numPr>
        <w:suppressAutoHyphens/>
        <w:ind w:left="1267" w:firstLine="0"/>
        <w:rPr>
          <w:lang w:val="fr-FR"/>
        </w:rPr>
      </w:pPr>
      <w:r w:rsidRPr="003A18CC">
        <w:rPr>
          <w:lang w:val="fr-FR"/>
        </w:rPr>
        <w:t>À l</w:t>
      </w:r>
      <w:r w:rsidR="00000F67">
        <w:rPr>
          <w:lang w:val="fr-FR"/>
        </w:rPr>
        <w:t>’</w:t>
      </w:r>
      <w:r w:rsidRPr="003A18CC">
        <w:rPr>
          <w:lang w:val="fr-FR"/>
        </w:rPr>
        <w:t>heure actuelle, il n</w:t>
      </w:r>
      <w:r w:rsidR="00000F67">
        <w:rPr>
          <w:lang w:val="fr-FR"/>
        </w:rPr>
        <w:t>’</w:t>
      </w:r>
      <w:r w:rsidRPr="003A18CC">
        <w:rPr>
          <w:lang w:val="fr-FR"/>
        </w:rPr>
        <w:t>existe pas de système de quota. Il est prévu que le Département de l</w:t>
      </w:r>
      <w:r w:rsidR="00000F67">
        <w:rPr>
          <w:lang w:val="fr-FR"/>
        </w:rPr>
        <w:t>’</w:t>
      </w:r>
      <w:r w:rsidRPr="003A18CC">
        <w:rPr>
          <w:lang w:val="fr-FR"/>
        </w:rPr>
        <w:t>égalité des sexes et des affaires de la famille poursuive la mise en œuvre de son Programme de promotion de l</w:t>
      </w:r>
      <w:r w:rsidR="00000F67">
        <w:rPr>
          <w:lang w:val="fr-FR"/>
        </w:rPr>
        <w:t>’</w:t>
      </w:r>
      <w:r w:rsidRPr="003A18CC">
        <w:rPr>
          <w:lang w:val="fr-FR"/>
        </w:rPr>
        <w:t>accès des femmes aux postes de responsabilité afin d</w:t>
      </w:r>
      <w:r w:rsidR="00000F67">
        <w:rPr>
          <w:lang w:val="fr-FR"/>
        </w:rPr>
        <w:t>’</w:t>
      </w:r>
      <w:r w:rsidRPr="003A18CC">
        <w:rPr>
          <w:lang w:val="fr-FR"/>
        </w:rPr>
        <w:t>encourager celles-ci à envisager de s</w:t>
      </w:r>
      <w:r w:rsidR="00000F67">
        <w:rPr>
          <w:lang w:val="fr-FR"/>
        </w:rPr>
        <w:t>’</w:t>
      </w:r>
      <w:r w:rsidRPr="003A18CC">
        <w:rPr>
          <w:lang w:val="fr-FR"/>
        </w:rPr>
        <w:t>engager dans la vie publique.</w:t>
      </w:r>
    </w:p>
    <w:p w14:paraId="105B96D4" w14:textId="204C37B0" w:rsidR="0024492D" w:rsidRPr="0024492D" w:rsidRDefault="0024492D" w:rsidP="0024492D">
      <w:pPr>
        <w:pStyle w:val="SingleTxt"/>
        <w:spacing w:after="0" w:line="120" w:lineRule="exact"/>
        <w:rPr>
          <w:sz w:val="10"/>
          <w:lang w:val="fr-FR"/>
        </w:rPr>
      </w:pPr>
    </w:p>
    <w:p w14:paraId="4890D314" w14:textId="02BBD92D" w:rsidR="00E80CCA" w:rsidRPr="003A18CC" w:rsidRDefault="0024492D" w:rsidP="002449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80CCA" w:rsidRPr="003A18CC">
        <w:t xml:space="preserve">Statistiques concernant les femmes occupant des postes de responsabilité </w:t>
      </w:r>
      <w:r>
        <w:br/>
      </w:r>
      <w:r w:rsidR="00E80CCA" w:rsidRPr="003A18CC">
        <w:t>et la fonction publique</w:t>
      </w:r>
    </w:p>
    <w:p w14:paraId="2FD186ED" w14:textId="2F07DD32" w:rsidR="006C4275" w:rsidRPr="0024492D" w:rsidRDefault="006C4275" w:rsidP="0024492D">
      <w:pPr>
        <w:pStyle w:val="SingleTxt"/>
        <w:suppressAutoHyphens/>
        <w:spacing w:after="0" w:line="120" w:lineRule="exact"/>
        <w:rPr>
          <w:color w:val="000000"/>
          <w:sz w:val="10"/>
          <w:lang w:val="fr-FR"/>
        </w:rPr>
      </w:pPr>
    </w:p>
    <w:p w14:paraId="76FE8B0B" w14:textId="7F620B16" w:rsidR="00E80CCA" w:rsidRPr="003A18CC" w:rsidRDefault="00E80CCA" w:rsidP="00C67914">
      <w:pPr>
        <w:pStyle w:val="SingleTxt"/>
        <w:numPr>
          <w:ilvl w:val="0"/>
          <w:numId w:val="18"/>
        </w:numPr>
        <w:suppressAutoHyphens/>
        <w:ind w:left="1267" w:firstLine="0"/>
        <w:rPr>
          <w:color w:val="000000"/>
          <w:lang w:val="fr-FR"/>
        </w:rPr>
      </w:pPr>
      <w:r w:rsidRPr="003A18CC">
        <w:rPr>
          <w:color w:val="000000"/>
          <w:lang w:val="fr-FR"/>
        </w:rPr>
        <w:t>On trouvera ci-après les statistiques les plus récentes sur la composition par sexe de la représentation dans les organes législatif, exécutif et judiciaire ainsi que dans d</w:t>
      </w:r>
      <w:r w:rsidR="00000F67">
        <w:rPr>
          <w:color w:val="000000"/>
          <w:lang w:val="fr-FR"/>
        </w:rPr>
        <w:t>’</w:t>
      </w:r>
      <w:r w:rsidRPr="003A18CC">
        <w:rPr>
          <w:color w:val="000000"/>
          <w:lang w:val="fr-FR"/>
        </w:rPr>
        <w:t>autres fonctions de responsabilité</w:t>
      </w:r>
      <w:r w:rsidR="0024492D">
        <w:rPr>
          <w:color w:val="000000"/>
          <w:lang w:val="fr-FR"/>
        </w:rPr>
        <w:t> </w:t>
      </w:r>
      <w:r w:rsidRPr="003A18CC">
        <w:rPr>
          <w:color w:val="000000"/>
          <w:lang w:val="fr-FR"/>
        </w:rPr>
        <w:t>:</w:t>
      </w:r>
    </w:p>
    <w:p w14:paraId="1E290A9A" w14:textId="396C1B50"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En mai 2018, les femmes occupaient 68 % des postes dans la justice, dont 83</w:t>
      </w:r>
      <w:r w:rsidR="00983CA7">
        <w:rPr>
          <w:lang w:val="fr-FR"/>
        </w:rPr>
        <w:t> </w:t>
      </w:r>
      <w:r w:rsidR="00E80CCA" w:rsidRPr="003A18CC">
        <w:rPr>
          <w:lang w:val="fr-FR"/>
        </w:rPr>
        <w:t>% de greffières et 57 % de magistrates</w:t>
      </w:r>
      <w:r w:rsidR="00000F67">
        <w:rPr>
          <w:lang w:val="fr-FR"/>
        </w:rPr>
        <w:t> ;</w:t>
      </w:r>
    </w:p>
    <w:p w14:paraId="2788751D" w14:textId="2B7EFAF9"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Dans la politique, il y avait à cette date 5 % de ministres, 12 % de parlementaires et 43 % de sénatrices</w:t>
      </w:r>
      <w:r w:rsidR="00000F67">
        <w:rPr>
          <w:lang w:val="fr-FR"/>
        </w:rPr>
        <w:t> ;</w:t>
      </w:r>
    </w:p>
    <w:p w14:paraId="390191BB" w14:textId="594207BF"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Dans la fonction publique, on recense 78</w:t>
      </w:r>
      <w:r w:rsidR="00983CA7">
        <w:rPr>
          <w:lang w:val="fr-FR"/>
        </w:rPr>
        <w:t> </w:t>
      </w:r>
      <w:r w:rsidR="00E80CCA" w:rsidRPr="003A18CC">
        <w:rPr>
          <w:lang w:val="fr-FR"/>
        </w:rPr>
        <w:t>% de directrices, 31</w:t>
      </w:r>
      <w:r>
        <w:rPr>
          <w:lang w:val="fr-FR"/>
        </w:rPr>
        <w:t> </w:t>
      </w:r>
      <w:r w:rsidR="00E80CCA" w:rsidRPr="003A18CC">
        <w:rPr>
          <w:lang w:val="fr-FR"/>
        </w:rPr>
        <w:t>% d</w:t>
      </w:r>
      <w:r w:rsidR="00000F67">
        <w:rPr>
          <w:lang w:val="fr-FR"/>
        </w:rPr>
        <w:t>’</w:t>
      </w:r>
      <w:r w:rsidR="00E80CCA" w:rsidRPr="003A18CC">
        <w:rPr>
          <w:lang w:val="fr-FR"/>
        </w:rPr>
        <w:t xml:space="preserve">administratrices à Family Island et 9 % de premières conseillères. Soixante cinq pour cent des femmes occupent la fonction de </w:t>
      </w:r>
      <w:r w:rsidR="00983CA7">
        <w:rPr>
          <w:lang w:val="fr-FR"/>
        </w:rPr>
        <w:t>s</w:t>
      </w:r>
      <w:r w:rsidR="00E80CCA" w:rsidRPr="003A18CC">
        <w:rPr>
          <w:lang w:val="fr-FR"/>
        </w:rPr>
        <w:t>ecrétaire permanent et le Secretary to the Cabinet (Secrétaire général du Gouvernement) est une femme</w:t>
      </w:r>
      <w:r w:rsidR="00000F67">
        <w:rPr>
          <w:lang w:val="fr-FR"/>
        </w:rPr>
        <w:t> ;</w:t>
      </w:r>
    </w:p>
    <w:p w14:paraId="0C40959E" w14:textId="302FDEF3" w:rsidR="00E80CCA" w:rsidRPr="003A18CC" w:rsidRDefault="0024492D" w:rsidP="0024492D">
      <w:pPr>
        <w:pStyle w:val="SingleTxt"/>
        <w:tabs>
          <w:tab w:val="right" w:pos="1685"/>
        </w:tabs>
        <w:suppressAutoHyphens/>
        <w:ind w:left="1742" w:hanging="475"/>
        <w:rPr>
          <w:lang w:val="fr-FR"/>
        </w:rPr>
      </w:pPr>
      <w:r>
        <w:rPr>
          <w:lang w:val="fr-FR"/>
        </w:rPr>
        <w:lastRenderedPageBreak/>
        <w:tab/>
      </w:r>
      <w:r w:rsidR="007C78DF">
        <w:rPr>
          <w:lang w:val="fr-FR"/>
        </w:rPr>
        <w:t>•</w:t>
      </w:r>
      <w:r>
        <w:rPr>
          <w:lang w:val="fr-FR"/>
        </w:rPr>
        <w:tab/>
      </w:r>
      <w:r w:rsidR="00E80CCA" w:rsidRPr="003A18CC">
        <w:rPr>
          <w:lang w:val="fr-FR"/>
        </w:rPr>
        <w:t>Dans l</w:t>
      </w:r>
      <w:r w:rsidR="00000F67">
        <w:rPr>
          <w:lang w:val="fr-FR"/>
        </w:rPr>
        <w:t>’</w:t>
      </w:r>
      <w:r w:rsidR="00E80CCA" w:rsidRPr="003A18CC">
        <w:rPr>
          <w:lang w:val="fr-FR"/>
        </w:rPr>
        <w:t>éducation, on compte 68 % de femmes dans les fonctions de recteur d</w:t>
      </w:r>
      <w:r w:rsidR="00000F67">
        <w:rPr>
          <w:lang w:val="fr-FR"/>
        </w:rPr>
        <w:t>’</w:t>
      </w:r>
      <w:r w:rsidR="00E80CCA" w:rsidRPr="003A18CC">
        <w:rPr>
          <w:lang w:val="fr-FR"/>
        </w:rPr>
        <w:t>universités privées et 62 % dans les mêmes fonctions au sein d</w:t>
      </w:r>
      <w:r w:rsidR="00000F67">
        <w:rPr>
          <w:lang w:val="fr-FR"/>
        </w:rPr>
        <w:t>’</w:t>
      </w:r>
      <w:r w:rsidR="00E80CCA" w:rsidRPr="003A18CC">
        <w:rPr>
          <w:lang w:val="fr-FR"/>
        </w:rPr>
        <w:t>universités publiques</w:t>
      </w:r>
      <w:r w:rsidR="00000F67">
        <w:rPr>
          <w:lang w:val="fr-FR"/>
        </w:rPr>
        <w:t> ;</w:t>
      </w:r>
    </w:p>
    <w:p w14:paraId="24B88A58" w14:textId="1612460B"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Dans la santé, secteurs privé et public confondus, 45 % des médecins et 75</w:t>
      </w:r>
      <w:r w:rsidR="00983CA7">
        <w:rPr>
          <w:lang w:val="fr-FR"/>
        </w:rPr>
        <w:t> </w:t>
      </w:r>
      <w:r w:rsidR="00E80CCA" w:rsidRPr="003A18CC">
        <w:rPr>
          <w:lang w:val="fr-FR"/>
        </w:rPr>
        <w:t>% des administrateurs d</w:t>
      </w:r>
      <w:r w:rsidR="00000F67">
        <w:rPr>
          <w:lang w:val="fr-FR"/>
        </w:rPr>
        <w:t>’</w:t>
      </w:r>
      <w:r w:rsidR="00E80CCA" w:rsidRPr="003A18CC">
        <w:rPr>
          <w:lang w:val="fr-FR"/>
        </w:rPr>
        <w:t>hôpitaux sont des femmes</w:t>
      </w:r>
      <w:r w:rsidR="00000F67">
        <w:rPr>
          <w:lang w:val="fr-FR"/>
        </w:rPr>
        <w:t> ;</w:t>
      </w:r>
    </w:p>
    <w:p w14:paraId="56A0116F" w14:textId="5D351085" w:rsidR="00E80CCA" w:rsidRPr="003A18CC" w:rsidRDefault="0024492D" w:rsidP="0024492D">
      <w:pPr>
        <w:pStyle w:val="SingleTxt"/>
        <w:tabs>
          <w:tab w:val="right" w:pos="1685"/>
        </w:tabs>
        <w:suppressAutoHyphens/>
        <w:ind w:left="1742" w:hanging="475"/>
        <w:rPr>
          <w:lang w:val="fr-FR"/>
        </w:rPr>
      </w:pPr>
      <w:r>
        <w:rPr>
          <w:lang w:val="fr-FR"/>
        </w:rPr>
        <w:tab/>
      </w:r>
      <w:r w:rsidR="007C78DF">
        <w:rPr>
          <w:lang w:val="fr-FR"/>
        </w:rPr>
        <w:t>•</w:t>
      </w:r>
      <w:r>
        <w:rPr>
          <w:lang w:val="fr-FR"/>
        </w:rPr>
        <w:tab/>
      </w:r>
      <w:r w:rsidR="00E80CCA" w:rsidRPr="003A18CC">
        <w:rPr>
          <w:lang w:val="fr-FR"/>
        </w:rPr>
        <w:t>Dans les syndicats, les femmes représentent 53 % des présidents du National Congress of Trade Unions (Confédération nationale des syndicats).</w:t>
      </w:r>
    </w:p>
    <w:p w14:paraId="55C9A365" w14:textId="6C604ACA" w:rsidR="00E80CCA" w:rsidRPr="003A18CC" w:rsidRDefault="00E80CCA" w:rsidP="00C67914">
      <w:pPr>
        <w:pStyle w:val="SingleTxt"/>
        <w:numPr>
          <w:ilvl w:val="0"/>
          <w:numId w:val="18"/>
        </w:numPr>
        <w:suppressAutoHyphens/>
        <w:ind w:left="1267" w:firstLine="0"/>
        <w:rPr>
          <w:lang w:val="fr-FR"/>
        </w:rPr>
      </w:pPr>
      <w:r w:rsidRPr="003A18CC">
        <w:rPr>
          <w:lang w:val="fr-FR"/>
        </w:rPr>
        <w:t>Dans les organismes d</w:t>
      </w:r>
      <w:r w:rsidR="00000F67">
        <w:rPr>
          <w:lang w:val="fr-FR"/>
        </w:rPr>
        <w:t>’</w:t>
      </w:r>
      <w:r w:rsidRPr="003A18CC">
        <w:rPr>
          <w:lang w:val="fr-FR"/>
        </w:rPr>
        <w:t xml:space="preserve">application de la loi, 23 % des membres de Force de </w:t>
      </w:r>
      <w:r w:rsidR="00983CA7">
        <w:rPr>
          <w:lang w:val="fr-FR"/>
        </w:rPr>
        <w:t>p</w:t>
      </w:r>
      <w:r w:rsidRPr="003A18CC">
        <w:rPr>
          <w:lang w:val="fr-FR"/>
        </w:rPr>
        <w:t>olice</w:t>
      </w:r>
      <w:r w:rsidR="00000F67">
        <w:rPr>
          <w:lang w:val="fr-FR"/>
        </w:rPr>
        <w:t> ;</w:t>
      </w:r>
      <w:r w:rsidRPr="003A18CC">
        <w:rPr>
          <w:lang w:val="fr-FR"/>
        </w:rPr>
        <w:t xml:space="preserve"> 9 % des Forces de défense</w:t>
      </w:r>
      <w:r w:rsidR="00000F67">
        <w:rPr>
          <w:lang w:val="fr-FR"/>
        </w:rPr>
        <w:t> ;</w:t>
      </w:r>
      <w:r w:rsidRPr="003A18CC">
        <w:rPr>
          <w:lang w:val="fr-FR"/>
        </w:rPr>
        <w:t xml:space="preserve"> 4 % des fonctionnaires des centres pénitentiaires et 50 % des personnels du service de l</w:t>
      </w:r>
      <w:r w:rsidR="00000F67">
        <w:rPr>
          <w:lang w:val="fr-FR"/>
        </w:rPr>
        <w:t>’</w:t>
      </w:r>
      <w:r w:rsidRPr="003A18CC">
        <w:rPr>
          <w:lang w:val="fr-FR"/>
        </w:rPr>
        <w:t>immigration sont des femmes.</w:t>
      </w:r>
    </w:p>
    <w:p w14:paraId="5E34B10A" w14:textId="19F82DC1" w:rsidR="006C4275" w:rsidRPr="00372177" w:rsidRDefault="006C4275" w:rsidP="00983CA7">
      <w:pPr>
        <w:pStyle w:val="SingleTxt"/>
        <w:suppressAutoHyphens/>
        <w:spacing w:after="0" w:line="120" w:lineRule="exact"/>
        <w:rPr>
          <w:sz w:val="10"/>
          <w:lang w:val="fr-FR"/>
        </w:rPr>
      </w:pPr>
    </w:p>
    <w:p w14:paraId="61000FBD" w14:textId="5A68C290" w:rsidR="00983CA7" w:rsidRPr="00372177" w:rsidRDefault="00983CA7" w:rsidP="00983CA7">
      <w:pPr>
        <w:pStyle w:val="SingleTxt"/>
        <w:suppressAutoHyphens/>
        <w:spacing w:after="0" w:line="120" w:lineRule="exact"/>
        <w:rPr>
          <w:sz w:val="10"/>
          <w:lang w:val="fr-FR"/>
        </w:rPr>
      </w:pPr>
    </w:p>
    <w:p w14:paraId="338E2BE4" w14:textId="54D6F812" w:rsidR="00E80CCA" w:rsidRPr="003A18CC" w:rsidRDefault="00983CA7" w:rsidP="003721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Nationalité </w:t>
      </w:r>
    </w:p>
    <w:p w14:paraId="0120B8E5" w14:textId="55F79EC2" w:rsidR="006C4275" w:rsidRPr="00983CA7" w:rsidRDefault="006C4275" w:rsidP="00983CA7">
      <w:pPr>
        <w:pStyle w:val="SingleTxt"/>
        <w:suppressAutoHyphens/>
        <w:spacing w:after="0" w:line="120" w:lineRule="exact"/>
        <w:rPr>
          <w:sz w:val="10"/>
          <w:lang w:val="fr-FR"/>
        </w:rPr>
      </w:pPr>
    </w:p>
    <w:p w14:paraId="1792589D" w14:textId="645E343B" w:rsidR="00983CA7" w:rsidRPr="00983CA7" w:rsidRDefault="00983CA7" w:rsidP="00983CA7">
      <w:pPr>
        <w:pStyle w:val="SingleTxt"/>
        <w:suppressAutoHyphens/>
        <w:spacing w:after="0" w:line="120" w:lineRule="exact"/>
        <w:rPr>
          <w:sz w:val="10"/>
          <w:lang w:val="fr-FR"/>
        </w:rPr>
      </w:pPr>
    </w:p>
    <w:p w14:paraId="70368744" w14:textId="159F6ED4" w:rsidR="00E80CCA" w:rsidRPr="003A18CC" w:rsidRDefault="00E80CCA" w:rsidP="00C67914">
      <w:pPr>
        <w:pStyle w:val="SingleTxt"/>
        <w:numPr>
          <w:ilvl w:val="0"/>
          <w:numId w:val="18"/>
        </w:numPr>
        <w:suppressAutoHyphens/>
        <w:ind w:left="1267" w:firstLine="0"/>
        <w:rPr>
          <w:color w:val="000000"/>
          <w:lang w:val="fr-FR"/>
        </w:rPr>
      </w:pPr>
      <w:r w:rsidRPr="003A18CC">
        <w:rPr>
          <w:lang w:val="fr-FR"/>
        </w:rPr>
        <w:t xml:space="preserve">Veuillez donner des informations sur les mesures prises pour modifier le Code de la nationalité de 1973 afin </w:t>
      </w:r>
      <w:r w:rsidRPr="003A18CC">
        <w:rPr>
          <w:color w:val="000000"/>
          <w:lang w:val="fr-FR"/>
        </w:rPr>
        <w:t>d</w:t>
      </w:r>
      <w:r w:rsidR="00000F67">
        <w:rPr>
          <w:color w:val="000000"/>
          <w:lang w:val="fr-FR"/>
        </w:rPr>
        <w:t>’</w:t>
      </w:r>
      <w:r w:rsidRPr="003A18CC">
        <w:rPr>
          <w:color w:val="000000"/>
          <w:lang w:val="fr-FR"/>
        </w:rPr>
        <w:t>accorder à la femme des droits égaux à ceux de l</w:t>
      </w:r>
      <w:r w:rsidR="00000F67">
        <w:rPr>
          <w:color w:val="000000"/>
          <w:lang w:val="fr-FR"/>
        </w:rPr>
        <w:t>’</w:t>
      </w:r>
      <w:r w:rsidRPr="003A18CC">
        <w:rPr>
          <w:color w:val="000000"/>
          <w:lang w:val="fr-FR"/>
        </w:rPr>
        <w:t>homme en ce qui concerne l</w:t>
      </w:r>
      <w:r w:rsidR="00000F67">
        <w:rPr>
          <w:color w:val="000000"/>
          <w:lang w:val="fr-FR"/>
        </w:rPr>
        <w:t>’</w:t>
      </w:r>
      <w:r w:rsidRPr="003A18CC">
        <w:rPr>
          <w:color w:val="000000"/>
          <w:lang w:val="fr-FR"/>
        </w:rPr>
        <w:t>octroi de la nationalité bahamienne à ses enfants en toutes circonstances à l</w:t>
      </w:r>
      <w:r w:rsidR="00000F67">
        <w:rPr>
          <w:color w:val="000000"/>
          <w:lang w:val="fr-FR"/>
        </w:rPr>
        <w:t>’</w:t>
      </w:r>
      <w:r w:rsidRPr="003A18CC">
        <w:rPr>
          <w:color w:val="000000"/>
          <w:lang w:val="fr-FR"/>
        </w:rPr>
        <w:t>effet de réduire l</w:t>
      </w:r>
      <w:r w:rsidR="00000F67">
        <w:rPr>
          <w:color w:val="000000"/>
          <w:lang w:val="fr-FR"/>
        </w:rPr>
        <w:t>’</w:t>
      </w:r>
      <w:r w:rsidRPr="003A18CC">
        <w:rPr>
          <w:color w:val="000000"/>
          <w:lang w:val="fr-FR"/>
        </w:rPr>
        <w:t>apatridie conformément à la Recommandation générale n</w:t>
      </w:r>
      <w:r w:rsidRPr="00983CA7">
        <w:rPr>
          <w:color w:val="000000"/>
          <w:vertAlign w:val="superscript"/>
          <w:lang w:val="fr-FR"/>
        </w:rPr>
        <w:t>o</w:t>
      </w:r>
      <w:r w:rsidR="00983CA7">
        <w:rPr>
          <w:color w:val="000000"/>
          <w:lang w:val="fr-FR"/>
        </w:rPr>
        <w:t> </w:t>
      </w:r>
      <w:r w:rsidRPr="003A18CC">
        <w:rPr>
          <w:color w:val="000000"/>
          <w:lang w:val="fr-FR"/>
        </w:rPr>
        <w:t>28 (2010) du Comité sur les obligations fondamentales des États parties au titre de l</w:t>
      </w:r>
      <w:r w:rsidR="00000F67">
        <w:rPr>
          <w:color w:val="000000"/>
          <w:lang w:val="fr-FR"/>
        </w:rPr>
        <w:t>’</w:t>
      </w:r>
      <w:r w:rsidRPr="003A18CC">
        <w:rPr>
          <w:color w:val="000000"/>
          <w:lang w:val="fr-FR"/>
        </w:rPr>
        <w:t>article 2 de la Convention et à la Recommandation générale n</w:t>
      </w:r>
      <w:r w:rsidRPr="00983CA7">
        <w:rPr>
          <w:color w:val="000000"/>
          <w:vertAlign w:val="superscript"/>
          <w:lang w:val="fr-FR"/>
        </w:rPr>
        <w:t>o</w:t>
      </w:r>
      <w:r w:rsidR="00983CA7">
        <w:rPr>
          <w:color w:val="000000"/>
          <w:lang w:val="fr-FR"/>
        </w:rPr>
        <w:t> </w:t>
      </w:r>
      <w:r w:rsidRPr="003A18CC">
        <w:rPr>
          <w:color w:val="000000"/>
          <w:lang w:val="fr-FR"/>
        </w:rPr>
        <w:t>32 (2014) sur les femmes et les situations de réfugiés, d</w:t>
      </w:r>
      <w:r w:rsidR="00000F67">
        <w:rPr>
          <w:color w:val="000000"/>
          <w:lang w:val="fr-FR"/>
        </w:rPr>
        <w:t>’</w:t>
      </w:r>
      <w:r w:rsidRPr="003A18CC">
        <w:rPr>
          <w:color w:val="000000"/>
          <w:lang w:val="fr-FR"/>
        </w:rPr>
        <w:t>asile, de nationalité et d</w:t>
      </w:r>
      <w:r w:rsidR="00000F67">
        <w:rPr>
          <w:color w:val="000000"/>
          <w:lang w:val="fr-FR"/>
        </w:rPr>
        <w:t>’</w:t>
      </w:r>
      <w:r w:rsidRPr="003A18CC">
        <w:rPr>
          <w:color w:val="000000"/>
          <w:lang w:val="fr-FR"/>
        </w:rPr>
        <w:t>apatridie. Veuille également donner des informations sur les mesures prises pour mettre en place une procédure de détermination de l</w:t>
      </w:r>
      <w:r w:rsidR="00000F67">
        <w:rPr>
          <w:color w:val="000000"/>
          <w:lang w:val="fr-FR"/>
        </w:rPr>
        <w:t>’</w:t>
      </w:r>
      <w:r w:rsidRPr="003A18CC">
        <w:rPr>
          <w:color w:val="000000"/>
          <w:lang w:val="fr-FR"/>
        </w:rPr>
        <w:t>apatridie tenant compte des disparités entre les sexes afin d</w:t>
      </w:r>
      <w:r w:rsidR="00000F67">
        <w:rPr>
          <w:color w:val="000000"/>
          <w:lang w:val="fr-FR"/>
        </w:rPr>
        <w:t>’</w:t>
      </w:r>
      <w:r w:rsidRPr="003A18CC">
        <w:rPr>
          <w:color w:val="000000"/>
          <w:lang w:val="fr-FR"/>
        </w:rPr>
        <w:t>identifier les apatrides et à leur accorder une protection, notamment un accès aux procédures de naturalisation.</w:t>
      </w:r>
      <w:r w:rsidR="00983CA7">
        <w:rPr>
          <w:color w:val="000000"/>
          <w:lang w:val="fr-FR"/>
        </w:rPr>
        <w:t xml:space="preserve"> </w:t>
      </w:r>
      <w:r w:rsidRPr="003A18CC">
        <w:rPr>
          <w:color w:val="000000"/>
          <w:lang w:val="fr-FR"/>
        </w:rPr>
        <w:t>Le Comité note qu</w:t>
      </w:r>
      <w:r w:rsidR="00000F67">
        <w:rPr>
          <w:color w:val="000000"/>
          <w:lang w:val="fr-FR"/>
        </w:rPr>
        <w:t>’</w:t>
      </w:r>
      <w:r w:rsidRPr="003A18CC">
        <w:rPr>
          <w:color w:val="000000"/>
          <w:lang w:val="fr-FR"/>
        </w:rPr>
        <w:t>un référendum s</w:t>
      </w:r>
      <w:r w:rsidR="00000F67">
        <w:rPr>
          <w:color w:val="000000"/>
          <w:lang w:val="fr-FR"/>
        </w:rPr>
        <w:t>’</w:t>
      </w:r>
      <w:r w:rsidRPr="003A18CC">
        <w:rPr>
          <w:color w:val="000000"/>
          <w:lang w:val="fr-FR"/>
        </w:rPr>
        <w:t>est tenu en 2016. Veuillez l</w:t>
      </w:r>
      <w:r w:rsidR="00000F67">
        <w:rPr>
          <w:color w:val="000000"/>
          <w:lang w:val="fr-FR"/>
        </w:rPr>
        <w:t>’</w:t>
      </w:r>
      <w:r w:rsidRPr="003A18CC">
        <w:rPr>
          <w:color w:val="000000"/>
          <w:lang w:val="fr-FR"/>
        </w:rPr>
        <w:t>informer des mesures prises ou envisagées pour s</w:t>
      </w:r>
      <w:r w:rsidR="00000F67">
        <w:rPr>
          <w:color w:val="000000"/>
          <w:lang w:val="fr-FR"/>
        </w:rPr>
        <w:t>’</w:t>
      </w:r>
      <w:r w:rsidRPr="003A18CC">
        <w:rPr>
          <w:color w:val="000000"/>
          <w:lang w:val="fr-FR"/>
        </w:rPr>
        <w:t>assurer que les femmes bahamiennes puissent transmettre leur nationalité à leur époux de nationalité étrangère à des conditions égales à celles des Bahamiens.</w:t>
      </w:r>
      <w:r w:rsidR="00983CA7">
        <w:rPr>
          <w:color w:val="000000"/>
          <w:lang w:val="fr-FR"/>
        </w:rPr>
        <w:t xml:space="preserve"> </w:t>
      </w:r>
      <w:r w:rsidRPr="003A18CC">
        <w:rPr>
          <w:color w:val="000000"/>
          <w:lang w:val="fr-FR"/>
        </w:rPr>
        <w:t>Veuillez enfin indiquer quelles sont les mesures prises par l</w:t>
      </w:r>
      <w:r w:rsidR="00000F67">
        <w:rPr>
          <w:color w:val="000000"/>
          <w:lang w:val="fr-FR"/>
        </w:rPr>
        <w:t>’</w:t>
      </w:r>
      <w:r w:rsidRPr="003A18CC">
        <w:rPr>
          <w:color w:val="000000"/>
          <w:lang w:val="fr-FR"/>
        </w:rPr>
        <w:t>État partie pour reconsidérer ses réserves à la Convention, en particulier celles relatives à l</w:t>
      </w:r>
      <w:r w:rsidR="00000F67">
        <w:rPr>
          <w:color w:val="000000"/>
          <w:lang w:val="fr-FR"/>
        </w:rPr>
        <w:t>’</w:t>
      </w:r>
      <w:r w:rsidRPr="003A18CC">
        <w:rPr>
          <w:color w:val="000000"/>
          <w:lang w:val="fr-FR"/>
        </w:rPr>
        <w:t>alinéa</w:t>
      </w:r>
      <w:r w:rsidR="001F77A2">
        <w:rPr>
          <w:color w:val="000000"/>
          <w:lang w:val="fr-FR"/>
        </w:rPr>
        <w:t> </w:t>
      </w:r>
      <w:r w:rsidRPr="003A18CC">
        <w:rPr>
          <w:color w:val="000000"/>
          <w:lang w:val="fr-FR"/>
        </w:rPr>
        <w:t>a) de l</w:t>
      </w:r>
      <w:r w:rsidR="00000F67">
        <w:rPr>
          <w:color w:val="000000"/>
          <w:lang w:val="fr-FR"/>
        </w:rPr>
        <w:t>’</w:t>
      </w:r>
      <w:r w:rsidRPr="003A18CC">
        <w:rPr>
          <w:color w:val="000000"/>
          <w:lang w:val="fr-FR"/>
        </w:rPr>
        <w:t>article 2 sur les mesures politiques et au paragraphe 2 de l</w:t>
      </w:r>
      <w:r w:rsidR="00000F67">
        <w:rPr>
          <w:color w:val="000000"/>
          <w:lang w:val="fr-FR"/>
        </w:rPr>
        <w:t>’</w:t>
      </w:r>
      <w:r w:rsidRPr="003A18CC">
        <w:rPr>
          <w:color w:val="000000"/>
          <w:lang w:val="fr-FR"/>
        </w:rPr>
        <w:t>article 9 sur la nationalité, en vue de les retirer (voir CEDAW/C/BHS/Q/6, par. 11).</w:t>
      </w:r>
    </w:p>
    <w:p w14:paraId="4938B3D6" w14:textId="3AD737E4" w:rsidR="006C4275" w:rsidRPr="00983CA7" w:rsidRDefault="006C4275" w:rsidP="00983CA7">
      <w:pPr>
        <w:pStyle w:val="SingleTxt"/>
        <w:suppressAutoHyphens/>
        <w:spacing w:after="0" w:line="120" w:lineRule="exact"/>
        <w:rPr>
          <w:b/>
          <w:color w:val="000000"/>
          <w:sz w:val="10"/>
          <w:lang w:val="fr-FR"/>
        </w:rPr>
      </w:pPr>
    </w:p>
    <w:p w14:paraId="76F039CE" w14:textId="287781E9" w:rsidR="00E80CCA" w:rsidRPr="003A18CC" w:rsidRDefault="00983CA7" w:rsidP="00372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 xml:space="preserve">Réponse </w:t>
      </w:r>
    </w:p>
    <w:p w14:paraId="0C190EC5" w14:textId="15037953" w:rsidR="006C4275" w:rsidRPr="00983CA7" w:rsidRDefault="006C4275" w:rsidP="00983CA7">
      <w:pPr>
        <w:pStyle w:val="SingleTxt"/>
        <w:suppressAutoHyphens/>
        <w:spacing w:after="0" w:line="120" w:lineRule="exact"/>
        <w:rPr>
          <w:i/>
          <w:sz w:val="10"/>
          <w:lang w:val="fr-FR"/>
        </w:rPr>
      </w:pPr>
    </w:p>
    <w:p w14:paraId="78E688A5" w14:textId="4E220C11" w:rsidR="00E80CCA" w:rsidRPr="003A18CC" w:rsidRDefault="00983CA7" w:rsidP="00983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Référendums constitutionnels de 2012 et 2016</w:t>
      </w:r>
    </w:p>
    <w:p w14:paraId="2F9AE222" w14:textId="0417BAB8" w:rsidR="006C4275" w:rsidRPr="00983CA7" w:rsidRDefault="006C4275" w:rsidP="00983CA7">
      <w:pPr>
        <w:pStyle w:val="SingleTxt"/>
        <w:suppressAutoHyphens/>
        <w:spacing w:after="0" w:line="120" w:lineRule="exact"/>
        <w:rPr>
          <w:sz w:val="10"/>
          <w:lang w:val="fr-FR"/>
        </w:rPr>
      </w:pPr>
    </w:p>
    <w:p w14:paraId="3F15290A" w14:textId="7AFCDFC5" w:rsidR="00E80CCA" w:rsidRPr="003A18CC" w:rsidRDefault="00E80CCA" w:rsidP="00C67914">
      <w:pPr>
        <w:pStyle w:val="SingleTxt"/>
        <w:numPr>
          <w:ilvl w:val="0"/>
          <w:numId w:val="18"/>
        </w:numPr>
        <w:suppressAutoHyphens/>
        <w:ind w:left="1267" w:firstLine="0"/>
        <w:rPr>
          <w:lang w:val="fr-FR"/>
        </w:rPr>
      </w:pPr>
      <w:r w:rsidRPr="003A18CC">
        <w:rPr>
          <w:lang w:val="fr-FR"/>
        </w:rPr>
        <w:t>Le Gouvernement bahamien a organisé des référendums constitutionnels en deux occasions (2012 et 2016) afin de permettre aux femmes bahamiennes de transmettre leur nationalité à leurs enfants à des conditions égales à celles des Bahamiens. Ces deux tentatives ont échoué.</w:t>
      </w:r>
    </w:p>
    <w:p w14:paraId="71650C32" w14:textId="0B35D55A" w:rsidR="006C4275" w:rsidRPr="00983CA7" w:rsidRDefault="006C4275" w:rsidP="00983CA7">
      <w:pPr>
        <w:pStyle w:val="SingleTxt"/>
        <w:suppressAutoHyphens/>
        <w:spacing w:after="0" w:line="120" w:lineRule="exact"/>
        <w:rPr>
          <w:i/>
          <w:sz w:val="10"/>
          <w:lang w:val="fr-FR"/>
        </w:rPr>
      </w:pPr>
    </w:p>
    <w:p w14:paraId="29D42B4B" w14:textId="1262F0A6" w:rsidR="00E80CCA" w:rsidRPr="003A18CC" w:rsidRDefault="00983CA7" w:rsidP="00983CA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80CCA" w:rsidRPr="003A18CC">
        <w:rPr>
          <w:lang w:val="fr-FR"/>
        </w:rPr>
        <w:t>Dispositions du Code bahamien de la nationalité de 1973</w:t>
      </w:r>
    </w:p>
    <w:p w14:paraId="10007617" w14:textId="4B398DCE" w:rsidR="006C4275" w:rsidRPr="00983CA7" w:rsidRDefault="006C4275" w:rsidP="00983CA7">
      <w:pPr>
        <w:pStyle w:val="SingleTxt"/>
        <w:suppressAutoHyphens/>
        <w:spacing w:after="0" w:line="120" w:lineRule="exact"/>
        <w:rPr>
          <w:sz w:val="10"/>
          <w:lang w:val="fr-FR"/>
        </w:rPr>
      </w:pPr>
    </w:p>
    <w:p w14:paraId="4B8D9ABC" w14:textId="69522D95" w:rsidR="00E80CCA" w:rsidRPr="003A18CC" w:rsidRDefault="00E80CCA" w:rsidP="00C67914">
      <w:pPr>
        <w:pStyle w:val="SingleTxt"/>
        <w:numPr>
          <w:ilvl w:val="0"/>
          <w:numId w:val="18"/>
        </w:numPr>
        <w:suppressAutoHyphens/>
        <w:ind w:left="1267" w:firstLine="0"/>
        <w:rPr>
          <w:lang w:val="fr-FR"/>
        </w:rPr>
      </w:pPr>
      <w:r w:rsidRPr="003A18CC">
        <w:rPr>
          <w:lang w:val="fr-FR"/>
        </w:rPr>
        <w:t>Il y a cependant une disposition à l</w:t>
      </w:r>
      <w:r w:rsidR="00000F67">
        <w:rPr>
          <w:lang w:val="fr-FR"/>
        </w:rPr>
        <w:t>’</w:t>
      </w:r>
      <w:r w:rsidRPr="003A18CC">
        <w:rPr>
          <w:lang w:val="fr-FR"/>
        </w:rPr>
        <w:t>article 6 du Code de la nationalité qui permet aux femmes bahamiennes de demander d</w:t>
      </w:r>
      <w:r w:rsidR="00000F67">
        <w:rPr>
          <w:lang w:val="fr-FR"/>
        </w:rPr>
        <w:t>’</w:t>
      </w:r>
      <w:r w:rsidRPr="003A18CC">
        <w:rPr>
          <w:lang w:val="fr-FR"/>
        </w:rPr>
        <w:t>enregistrer leurs enfants comme mineurs.</w:t>
      </w:r>
    </w:p>
    <w:p w14:paraId="12760ADF" w14:textId="23ACD87F" w:rsidR="00E80CCA" w:rsidRPr="003A18CC" w:rsidRDefault="00E80CCA" w:rsidP="006C4275">
      <w:pPr>
        <w:pStyle w:val="SingleTxt"/>
        <w:suppressAutoHyphens/>
        <w:rPr>
          <w:lang w:val="fr-FR"/>
        </w:rPr>
      </w:pPr>
      <w:r w:rsidRPr="003A18CC">
        <w:rPr>
          <w:lang w:val="fr-FR"/>
        </w:rPr>
        <w:tab/>
        <w:t>L</w:t>
      </w:r>
      <w:r w:rsidR="00000F67">
        <w:rPr>
          <w:lang w:val="fr-FR"/>
        </w:rPr>
        <w:t>’</w:t>
      </w:r>
      <w:r w:rsidRPr="003A18CC">
        <w:rPr>
          <w:lang w:val="fr-FR"/>
        </w:rPr>
        <w:t>article 6 dispose</w:t>
      </w:r>
      <w:r w:rsidR="00983CA7">
        <w:rPr>
          <w:lang w:val="fr-FR"/>
        </w:rPr>
        <w:t> </w:t>
      </w:r>
      <w:r w:rsidRPr="003A18CC">
        <w:rPr>
          <w:lang w:val="fr-FR"/>
        </w:rPr>
        <w:t>:</w:t>
      </w:r>
    </w:p>
    <w:p w14:paraId="558BC80E" w14:textId="10FD2375" w:rsidR="00E80CCA" w:rsidRPr="003A18CC" w:rsidRDefault="00E80CCA" w:rsidP="00983CA7">
      <w:pPr>
        <w:pStyle w:val="SingleTxt"/>
        <w:suppressAutoHyphens/>
        <w:ind w:left="1742" w:hanging="475"/>
        <w:rPr>
          <w:lang w:val="fr-FR"/>
        </w:rPr>
      </w:pPr>
      <w:r w:rsidRPr="003A18CC">
        <w:rPr>
          <w:lang w:val="fr-FR"/>
        </w:rPr>
        <w:tab/>
        <w:t>« Le Ministre peut, à sa discrétion, faire en sorte que l</w:t>
      </w:r>
      <w:r w:rsidR="00000F67">
        <w:rPr>
          <w:lang w:val="fr-FR"/>
        </w:rPr>
        <w:t>’</w:t>
      </w:r>
      <w:r w:rsidRPr="003A18CC">
        <w:rPr>
          <w:lang w:val="fr-FR"/>
        </w:rPr>
        <w:t>enfant mineur d</w:t>
      </w:r>
      <w:r w:rsidR="00000F67">
        <w:rPr>
          <w:lang w:val="fr-FR"/>
        </w:rPr>
        <w:t>’</w:t>
      </w:r>
      <w:r w:rsidRPr="003A18CC">
        <w:rPr>
          <w:lang w:val="fr-FR"/>
        </w:rPr>
        <w:t>un citoyen des Bahamas soit enregistré comme citoyen des Bahamas après qu</w:t>
      </w:r>
      <w:r w:rsidR="00000F67">
        <w:rPr>
          <w:lang w:val="fr-FR"/>
        </w:rPr>
        <w:t>’</w:t>
      </w:r>
      <w:r w:rsidRPr="003A18CC">
        <w:rPr>
          <w:lang w:val="fr-FR"/>
        </w:rPr>
        <w:t xml:space="preserve">une </w:t>
      </w:r>
      <w:r w:rsidRPr="003A18CC">
        <w:rPr>
          <w:lang w:val="fr-FR"/>
        </w:rPr>
        <w:lastRenderedPageBreak/>
        <w:t>demande en ce sens ait été formulée par le parent ou le tuteur de cet enfant dans les conditions prescrites.</w:t>
      </w:r>
    </w:p>
    <w:p w14:paraId="6E86A004" w14:textId="46C9CCE7" w:rsidR="00E80CCA" w:rsidRPr="003A18CC" w:rsidRDefault="00E80CCA" w:rsidP="00983CA7">
      <w:pPr>
        <w:pStyle w:val="SingleTxt"/>
        <w:suppressAutoHyphens/>
        <w:ind w:left="1742" w:hanging="475"/>
        <w:rPr>
          <w:lang w:val="fr-FR"/>
        </w:rPr>
      </w:pPr>
      <w:r w:rsidRPr="003A18CC">
        <w:rPr>
          <w:lang w:val="fr-FR"/>
        </w:rPr>
        <w:tab/>
        <w:t>Le Ministre peut, à sa discrétion, dans les circonstances exceptionnelles qu</w:t>
      </w:r>
      <w:r w:rsidR="00000F67">
        <w:rPr>
          <w:lang w:val="fr-FR"/>
        </w:rPr>
        <w:t>’</w:t>
      </w:r>
      <w:r w:rsidRPr="003A18CC">
        <w:rPr>
          <w:lang w:val="fr-FR"/>
        </w:rPr>
        <w:t>il jugera convenables, de faire en sorte que le mineur soit enregistré comme citoyen des Bahamas.</w:t>
      </w:r>
      <w:r w:rsidR="00983CA7">
        <w:rPr>
          <w:lang w:val="fr-FR"/>
        </w:rPr>
        <w:t> »</w:t>
      </w:r>
    </w:p>
    <w:p w14:paraId="3DB5BEFA" w14:textId="77777777" w:rsidR="00E80CCA" w:rsidRPr="003A18CC" w:rsidRDefault="00E80CCA" w:rsidP="00983CA7">
      <w:pPr>
        <w:pStyle w:val="SingleTxt"/>
        <w:suppressAutoHyphens/>
        <w:ind w:left="1742" w:hanging="475"/>
        <w:rPr>
          <w:lang w:val="fr-FR"/>
        </w:rPr>
      </w:pPr>
      <w:r w:rsidRPr="003A18CC">
        <w:rPr>
          <w:lang w:val="fr-FR"/>
        </w:rPr>
        <w:tab/>
        <w:t>Bien que les enfants de cette catégorie ne reçoivent pas automatiquement la citoyenneté bahamienne à leur naissance, un grand nombre de Bahamiennes en font la demande par ce moyen.</w:t>
      </w:r>
    </w:p>
    <w:p w14:paraId="006C4AAD" w14:textId="684724D1" w:rsidR="00E80CCA" w:rsidRPr="003A18CC" w:rsidRDefault="00E80CCA" w:rsidP="00C67914">
      <w:pPr>
        <w:pStyle w:val="SingleTxt"/>
        <w:numPr>
          <w:ilvl w:val="0"/>
          <w:numId w:val="18"/>
        </w:numPr>
        <w:suppressAutoHyphens/>
        <w:ind w:left="1267" w:firstLine="0"/>
        <w:rPr>
          <w:lang w:val="fr-FR"/>
        </w:rPr>
      </w:pPr>
      <w:r w:rsidRPr="003A18CC">
        <w:rPr>
          <w:lang w:val="fr-FR"/>
        </w:rPr>
        <w:t>En ce qui concerne les apatrides, les personnes nées aux Bahamas qui ne peuvent pas obtenir la nationalité de leurs parents peuvent en faire la demande. Ces demandes sont examinées compte tenu du fait que les postulants ne peuvent pas acquérir directement la nationalité de leurs parents.</w:t>
      </w:r>
    </w:p>
    <w:p w14:paraId="557977C2" w14:textId="17CEE674" w:rsidR="00E80CCA" w:rsidRPr="003A18CC" w:rsidRDefault="00E80CCA" w:rsidP="00C67914">
      <w:pPr>
        <w:pStyle w:val="SingleTxt"/>
        <w:numPr>
          <w:ilvl w:val="0"/>
          <w:numId w:val="18"/>
        </w:numPr>
        <w:suppressAutoHyphens/>
        <w:ind w:left="1267" w:firstLine="0"/>
        <w:rPr>
          <w:lang w:val="fr-FR"/>
        </w:rPr>
      </w:pPr>
      <w:r w:rsidRPr="003A18CC">
        <w:rPr>
          <w:lang w:val="fr-FR"/>
        </w:rPr>
        <w:t>Le Département de l</w:t>
      </w:r>
      <w:r w:rsidR="00000F67">
        <w:rPr>
          <w:lang w:val="fr-FR"/>
        </w:rPr>
        <w:t>’</w:t>
      </w:r>
      <w:r w:rsidRPr="003A18CC">
        <w:rPr>
          <w:lang w:val="fr-FR"/>
        </w:rPr>
        <w:t>immigration a décidé que l</w:t>
      </w:r>
      <w:r w:rsidR="00000F67">
        <w:rPr>
          <w:lang w:val="fr-FR"/>
        </w:rPr>
        <w:t>’</w:t>
      </w:r>
      <w:r w:rsidRPr="003A18CC">
        <w:rPr>
          <w:lang w:val="fr-FR"/>
        </w:rPr>
        <w:t>époux ou l</w:t>
      </w:r>
      <w:r w:rsidR="00000F67">
        <w:rPr>
          <w:lang w:val="fr-FR"/>
        </w:rPr>
        <w:t>’</w:t>
      </w:r>
      <w:r w:rsidRPr="003A18CC">
        <w:rPr>
          <w:lang w:val="fr-FR"/>
        </w:rPr>
        <w:t>épouse actuels d</w:t>
      </w:r>
      <w:r w:rsidR="00000F67">
        <w:rPr>
          <w:lang w:val="fr-FR"/>
        </w:rPr>
        <w:t>’</w:t>
      </w:r>
      <w:r w:rsidRPr="003A18CC">
        <w:rPr>
          <w:lang w:val="fr-FR"/>
        </w:rPr>
        <w:t>un Bahamien ou d</w:t>
      </w:r>
      <w:r w:rsidR="00000F67">
        <w:rPr>
          <w:lang w:val="fr-FR"/>
        </w:rPr>
        <w:t>’</w:t>
      </w:r>
      <w:r w:rsidRPr="003A18CC">
        <w:rPr>
          <w:lang w:val="fr-FR"/>
        </w:rPr>
        <w:t>une Bahamienne peut obtenir le statut de résident permanent après 10</w:t>
      </w:r>
      <w:r w:rsidR="006C4275">
        <w:rPr>
          <w:lang w:val="fr-FR"/>
        </w:rPr>
        <w:t> </w:t>
      </w:r>
      <w:r w:rsidRPr="003A18CC">
        <w:rPr>
          <w:lang w:val="fr-FR"/>
        </w:rPr>
        <w:t>ans de mariage.</w:t>
      </w:r>
    </w:p>
    <w:p w14:paraId="4A640D20" w14:textId="37DBCC12" w:rsidR="006C4275" w:rsidRPr="00983CA7" w:rsidRDefault="006C4275" w:rsidP="00983CA7">
      <w:pPr>
        <w:pStyle w:val="SingleTxt"/>
        <w:suppressAutoHyphens/>
        <w:spacing w:after="0" w:line="120" w:lineRule="exact"/>
        <w:rPr>
          <w:sz w:val="10"/>
        </w:rPr>
      </w:pPr>
    </w:p>
    <w:p w14:paraId="2FF42E10" w14:textId="50CE47DD" w:rsidR="00E80CCA" w:rsidRPr="00983CA7" w:rsidRDefault="00983CA7" w:rsidP="0098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83CA7">
        <w:rPr>
          <w:b w:val="0"/>
        </w:rPr>
        <w:tab/>
      </w:r>
      <w:r w:rsidRPr="00983CA7">
        <w:rPr>
          <w:b w:val="0"/>
        </w:rPr>
        <w:tab/>
      </w:r>
      <w:r w:rsidR="00E80CCA" w:rsidRPr="00983CA7">
        <w:rPr>
          <w:b w:val="0"/>
        </w:rPr>
        <w:t>Tableau 3</w:t>
      </w:r>
    </w:p>
    <w:p w14:paraId="0C85EC92" w14:textId="0514D2DC" w:rsidR="00ED3730" w:rsidRDefault="00983CA7" w:rsidP="00983CA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80CCA" w:rsidRPr="003A18CC">
        <w:t>Personnes enregistrées ou naturalisées</w:t>
      </w:r>
    </w:p>
    <w:p w14:paraId="233AFF98" w14:textId="1395E477" w:rsidR="00E80CCA" w:rsidRPr="00983CA7" w:rsidRDefault="00E80CCA" w:rsidP="00983CA7">
      <w:pPr>
        <w:pStyle w:val="SingleTxt"/>
        <w:suppressAutoHyphens/>
        <w:spacing w:after="0" w:line="120" w:lineRule="exact"/>
        <w:rPr>
          <w:sz w:val="10"/>
        </w:rPr>
      </w:pPr>
    </w:p>
    <w:p w14:paraId="786A6758" w14:textId="250B8B10" w:rsidR="00983CA7" w:rsidRPr="00983CA7" w:rsidRDefault="00983CA7" w:rsidP="00983CA7">
      <w:pPr>
        <w:pStyle w:val="SingleTxt"/>
        <w:suppressAutoHyphens/>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912"/>
        <w:gridCol w:w="1176"/>
        <w:gridCol w:w="1035"/>
        <w:gridCol w:w="135"/>
        <w:gridCol w:w="1125"/>
        <w:gridCol w:w="1017"/>
        <w:gridCol w:w="99"/>
        <w:gridCol w:w="291"/>
        <w:gridCol w:w="609"/>
        <w:gridCol w:w="1017"/>
      </w:tblGrid>
      <w:tr w:rsidR="001635BD" w:rsidRPr="00983CA7" w14:paraId="569C0D14" w14:textId="77777777" w:rsidTr="00E91104">
        <w:trPr>
          <w:tblHeader/>
        </w:trPr>
        <w:tc>
          <w:tcPr>
            <w:tcW w:w="912" w:type="dxa"/>
            <w:tcBorders>
              <w:top w:val="single" w:sz="4" w:space="0" w:color="auto"/>
            </w:tcBorders>
            <w:shd w:val="clear" w:color="auto" w:fill="auto"/>
            <w:vAlign w:val="bottom"/>
          </w:tcPr>
          <w:p w14:paraId="4A2EAC42" w14:textId="77777777" w:rsidR="001635BD" w:rsidRPr="00983CA7" w:rsidRDefault="001635BD" w:rsidP="00983CA7">
            <w:pPr>
              <w:tabs>
                <w:tab w:val="left" w:pos="288"/>
                <w:tab w:val="left" w:pos="576"/>
                <w:tab w:val="left" w:pos="864"/>
                <w:tab w:val="left" w:pos="1152"/>
              </w:tabs>
              <w:suppressAutoHyphens/>
              <w:spacing w:before="81" w:after="81" w:line="160" w:lineRule="exact"/>
              <w:ind w:right="40"/>
              <w:rPr>
                <w:i/>
                <w:sz w:val="14"/>
              </w:rPr>
            </w:pPr>
          </w:p>
        </w:tc>
        <w:tc>
          <w:tcPr>
            <w:tcW w:w="2211" w:type="dxa"/>
            <w:gridSpan w:val="2"/>
            <w:tcBorders>
              <w:top w:val="single" w:sz="4" w:space="0" w:color="auto"/>
              <w:bottom w:val="single" w:sz="4" w:space="0" w:color="auto"/>
            </w:tcBorders>
            <w:shd w:val="clear" w:color="auto" w:fill="auto"/>
            <w:vAlign w:val="bottom"/>
          </w:tcPr>
          <w:p w14:paraId="58B3A8E4" w14:textId="15FA0533" w:rsidR="001635BD" w:rsidRPr="00983CA7" w:rsidRDefault="001635BD" w:rsidP="001635BD">
            <w:pPr>
              <w:tabs>
                <w:tab w:val="left" w:pos="288"/>
                <w:tab w:val="left" w:pos="576"/>
                <w:tab w:val="left" w:pos="864"/>
                <w:tab w:val="left" w:pos="1152"/>
              </w:tabs>
              <w:suppressAutoHyphens/>
              <w:spacing w:before="81" w:after="81" w:line="160" w:lineRule="exact"/>
              <w:ind w:left="144"/>
              <w:jc w:val="center"/>
              <w:rPr>
                <w:i/>
                <w:sz w:val="14"/>
              </w:rPr>
            </w:pPr>
            <w:r>
              <w:rPr>
                <w:i/>
                <w:sz w:val="14"/>
              </w:rPr>
              <w:t>2016</w:t>
            </w:r>
          </w:p>
        </w:tc>
        <w:tc>
          <w:tcPr>
            <w:tcW w:w="135" w:type="dxa"/>
            <w:tcBorders>
              <w:top w:val="single" w:sz="4" w:space="0" w:color="auto"/>
            </w:tcBorders>
            <w:shd w:val="clear" w:color="auto" w:fill="auto"/>
            <w:vAlign w:val="bottom"/>
          </w:tcPr>
          <w:p w14:paraId="7F6320BF" w14:textId="77777777" w:rsidR="001635BD"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p>
        </w:tc>
        <w:tc>
          <w:tcPr>
            <w:tcW w:w="2142" w:type="dxa"/>
            <w:gridSpan w:val="2"/>
            <w:tcBorders>
              <w:top w:val="single" w:sz="4" w:space="0" w:color="auto"/>
              <w:bottom w:val="single" w:sz="4" w:space="0" w:color="auto"/>
            </w:tcBorders>
            <w:shd w:val="clear" w:color="auto" w:fill="auto"/>
            <w:vAlign w:val="bottom"/>
          </w:tcPr>
          <w:p w14:paraId="373F98FC" w14:textId="7456FF9F" w:rsidR="001635BD" w:rsidRPr="00983CA7" w:rsidRDefault="001635BD" w:rsidP="001635BD">
            <w:pPr>
              <w:tabs>
                <w:tab w:val="left" w:pos="288"/>
                <w:tab w:val="left" w:pos="576"/>
                <w:tab w:val="left" w:pos="864"/>
                <w:tab w:val="left" w:pos="1152"/>
              </w:tabs>
              <w:suppressAutoHyphens/>
              <w:spacing w:before="81" w:after="81" w:line="160" w:lineRule="exact"/>
              <w:ind w:left="144"/>
              <w:jc w:val="center"/>
              <w:rPr>
                <w:i/>
                <w:sz w:val="14"/>
              </w:rPr>
            </w:pPr>
            <w:r>
              <w:rPr>
                <w:i/>
                <w:sz w:val="14"/>
              </w:rPr>
              <w:t>2017</w:t>
            </w:r>
          </w:p>
        </w:tc>
        <w:tc>
          <w:tcPr>
            <w:tcW w:w="99" w:type="dxa"/>
            <w:tcBorders>
              <w:top w:val="single" w:sz="4" w:space="0" w:color="auto"/>
            </w:tcBorders>
            <w:shd w:val="clear" w:color="auto" w:fill="auto"/>
            <w:vAlign w:val="bottom"/>
          </w:tcPr>
          <w:p w14:paraId="1DDCC906" w14:textId="77777777" w:rsidR="001635BD"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p>
        </w:tc>
        <w:tc>
          <w:tcPr>
            <w:tcW w:w="1917" w:type="dxa"/>
            <w:gridSpan w:val="3"/>
            <w:tcBorders>
              <w:top w:val="single" w:sz="4" w:space="0" w:color="auto"/>
              <w:bottom w:val="single" w:sz="4" w:space="0" w:color="auto"/>
            </w:tcBorders>
            <w:shd w:val="clear" w:color="auto" w:fill="auto"/>
            <w:vAlign w:val="bottom"/>
          </w:tcPr>
          <w:p w14:paraId="623CEEA5" w14:textId="7AAF70B1" w:rsidR="001635BD" w:rsidRPr="00983CA7" w:rsidRDefault="001635BD" w:rsidP="001635BD">
            <w:pPr>
              <w:tabs>
                <w:tab w:val="left" w:pos="288"/>
                <w:tab w:val="left" w:pos="576"/>
                <w:tab w:val="left" w:pos="864"/>
                <w:tab w:val="left" w:pos="1152"/>
              </w:tabs>
              <w:suppressAutoHyphens/>
              <w:spacing w:before="81" w:after="81" w:line="160" w:lineRule="exact"/>
              <w:ind w:left="144"/>
              <w:jc w:val="center"/>
              <w:rPr>
                <w:i/>
                <w:sz w:val="14"/>
              </w:rPr>
            </w:pPr>
            <w:r>
              <w:rPr>
                <w:i/>
                <w:sz w:val="14"/>
              </w:rPr>
              <w:t>2018 (en milieu d</w:t>
            </w:r>
            <w:r w:rsidR="00000F67">
              <w:rPr>
                <w:i/>
                <w:sz w:val="14"/>
              </w:rPr>
              <w:t>’</w:t>
            </w:r>
            <w:r>
              <w:rPr>
                <w:i/>
                <w:sz w:val="14"/>
              </w:rPr>
              <w:t>année)</w:t>
            </w:r>
          </w:p>
        </w:tc>
      </w:tr>
      <w:tr w:rsidR="001635BD" w:rsidRPr="00983CA7" w14:paraId="7C8CD049" w14:textId="77777777" w:rsidTr="00E91104">
        <w:trPr>
          <w:tblHeader/>
        </w:trPr>
        <w:tc>
          <w:tcPr>
            <w:tcW w:w="912" w:type="dxa"/>
            <w:tcBorders>
              <w:bottom w:val="single" w:sz="12" w:space="0" w:color="auto"/>
            </w:tcBorders>
            <w:shd w:val="clear" w:color="auto" w:fill="auto"/>
            <w:vAlign w:val="bottom"/>
          </w:tcPr>
          <w:p w14:paraId="3BAE89A3" w14:textId="77777777" w:rsidR="00983CA7" w:rsidRPr="00983CA7" w:rsidRDefault="00983CA7" w:rsidP="00983CA7">
            <w:pPr>
              <w:tabs>
                <w:tab w:val="left" w:pos="288"/>
                <w:tab w:val="left" w:pos="576"/>
                <w:tab w:val="left" w:pos="864"/>
                <w:tab w:val="left" w:pos="1152"/>
              </w:tabs>
              <w:suppressAutoHyphens/>
              <w:spacing w:before="81" w:after="81" w:line="160" w:lineRule="exact"/>
              <w:ind w:right="40"/>
              <w:rPr>
                <w:i/>
                <w:sz w:val="14"/>
              </w:rPr>
            </w:pPr>
          </w:p>
        </w:tc>
        <w:tc>
          <w:tcPr>
            <w:tcW w:w="1176" w:type="dxa"/>
            <w:tcBorders>
              <w:top w:val="single" w:sz="4" w:space="0" w:color="auto"/>
              <w:bottom w:val="single" w:sz="12" w:space="0" w:color="auto"/>
            </w:tcBorders>
            <w:shd w:val="clear" w:color="auto" w:fill="auto"/>
            <w:vAlign w:val="bottom"/>
          </w:tcPr>
          <w:p w14:paraId="31E31618" w14:textId="2BBD7AF5"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Nombre de personnes naturalisées</w:t>
            </w:r>
          </w:p>
        </w:tc>
        <w:tc>
          <w:tcPr>
            <w:tcW w:w="1035" w:type="dxa"/>
            <w:tcBorders>
              <w:top w:val="single" w:sz="4" w:space="0" w:color="auto"/>
              <w:bottom w:val="single" w:sz="12" w:space="0" w:color="auto"/>
            </w:tcBorders>
            <w:shd w:val="clear" w:color="auto" w:fill="auto"/>
            <w:vAlign w:val="bottom"/>
          </w:tcPr>
          <w:p w14:paraId="6FD3756D" w14:textId="463A4D74"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 xml:space="preserve">Pourcentage </w:t>
            </w:r>
            <w:r>
              <w:rPr>
                <w:i/>
                <w:sz w:val="14"/>
              </w:rPr>
              <w:br/>
              <w:t>de femmes</w:t>
            </w:r>
          </w:p>
        </w:tc>
        <w:tc>
          <w:tcPr>
            <w:tcW w:w="135" w:type="dxa"/>
            <w:tcBorders>
              <w:bottom w:val="single" w:sz="12" w:space="0" w:color="auto"/>
            </w:tcBorders>
            <w:shd w:val="clear" w:color="auto" w:fill="auto"/>
            <w:vAlign w:val="bottom"/>
          </w:tcPr>
          <w:p w14:paraId="1E4CC738" w14:textId="77777777" w:rsidR="00983CA7" w:rsidRPr="00983CA7" w:rsidRDefault="00983CA7" w:rsidP="001635BD">
            <w:pPr>
              <w:tabs>
                <w:tab w:val="left" w:pos="288"/>
                <w:tab w:val="left" w:pos="576"/>
                <w:tab w:val="left" w:pos="864"/>
                <w:tab w:val="left" w:pos="1152"/>
              </w:tabs>
              <w:suppressAutoHyphens/>
              <w:spacing w:before="81" w:after="81" w:line="160" w:lineRule="exact"/>
              <w:ind w:left="144"/>
              <w:jc w:val="right"/>
              <w:rPr>
                <w:i/>
                <w:sz w:val="14"/>
              </w:rPr>
            </w:pPr>
          </w:p>
        </w:tc>
        <w:tc>
          <w:tcPr>
            <w:tcW w:w="1125" w:type="dxa"/>
            <w:tcBorders>
              <w:top w:val="single" w:sz="4" w:space="0" w:color="auto"/>
              <w:bottom w:val="single" w:sz="12" w:space="0" w:color="auto"/>
            </w:tcBorders>
            <w:shd w:val="clear" w:color="auto" w:fill="auto"/>
            <w:vAlign w:val="bottom"/>
          </w:tcPr>
          <w:p w14:paraId="02836320" w14:textId="15E26755"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Nombre de personnes naturalisées</w:t>
            </w:r>
          </w:p>
        </w:tc>
        <w:tc>
          <w:tcPr>
            <w:tcW w:w="1017" w:type="dxa"/>
            <w:tcBorders>
              <w:top w:val="single" w:sz="4" w:space="0" w:color="auto"/>
              <w:bottom w:val="single" w:sz="12" w:space="0" w:color="auto"/>
            </w:tcBorders>
            <w:shd w:val="clear" w:color="auto" w:fill="auto"/>
            <w:vAlign w:val="bottom"/>
          </w:tcPr>
          <w:p w14:paraId="057E6373" w14:textId="0AA3234D"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 xml:space="preserve">Pourcentage </w:t>
            </w:r>
            <w:r>
              <w:rPr>
                <w:i/>
                <w:sz w:val="14"/>
              </w:rPr>
              <w:br/>
              <w:t>de femmes</w:t>
            </w:r>
          </w:p>
        </w:tc>
        <w:tc>
          <w:tcPr>
            <w:tcW w:w="99" w:type="dxa"/>
            <w:tcBorders>
              <w:bottom w:val="single" w:sz="12" w:space="0" w:color="auto"/>
            </w:tcBorders>
            <w:shd w:val="clear" w:color="auto" w:fill="auto"/>
            <w:vAlign w:val="bottom"/>
          </w:tcPr>
          <w:p w14:paraId="5CB9D552" w14:textId="77777777" w:rsidR="00983CA7" w:rsidRPr="00983CA7" w:rsidRDefault="00983CA7" w:rsidP="001635BD">
            <w:pPr>
              <w:tabs>
                <w:tab w:val="left" w:pos="288"/>
                <w:tab w:val="left" w:pos="576"/>
                <w:tab w:val="left" w:pos="864"/>
                <w:tab w:val="left" w:pos="1152"/>
              </w:tabs>
              <w:suppressAutoHyphens/>
              <w:spacing w:before="81" w:after="81" w:line="160" w:lineRule="exact"/>
              <w:ind w:left="144"/>
              <w:jc w:val="right"/>
              <w:rPr>
                <w:i/>
                <w:sz w:val="14"/>
              </w:rPr>
            </w:pPr>
          </w:p>
        </w:tc>
        <w:tc>
          <w:tcPr>
            <w:tcW w:w="900" w:type="dxa"/>
            <w:gridSpan w:val="2"/>
            <w:tcBorders>
              <w:top w:val="single" w:sz="4" w:space="0" w:color="auto"/>
              <w:bottom w:val="single" w:sz="12" w:space="0" w:color="auto"/>
            </w:tcBorders>
            <w:shd w:val="clear" w:color="auto" w:fill="auto"/>
            <w:vAlign w:val="bottom"/>
          </w:tcPr>
          <w:p w14:paraId="60399181" w14:textId="3E5D21B1"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Nombre de personnes naturalisées</w:t>
            </w:r>
          </w:p>
        </w:tc>
        <w:tc>
          <w:tcPr>
            <w:tcW w:w="1017" w:type="dxa"/>
            <w:tcBorders>
              <w:top w:val="single" w:sz="4" w:space="0" w:color="auto"/>
              <w:bottom w:val="single" w:sz="12" w:space="0" w:color="auto"/>
            </w:tcBorders>
            <w:shd w:val="clear" w:color="auto" w:fill="auto"/>
            <w:vAlign w:val="bottom"/>
          </w:tcPr>
          <w:p w14:paraId="1B8FF3E8" w14:textId="240A945E" w:rsidR="00983CA7" w:rsidRPr="00983CA7" w:rsidRDefault="001635BD" w:rsidP="001635BD">
            <w:pPr>
              <w:tabs>
                <w:tab w:val="left" w:pos="288"/>
                <w:tab w:val="left" w:pos="576"/>
                <w:tab w:val="left" w:pos="864"/>
                <w:tab w:val="left" w:pos="1152"/>
              </w:tabs>
              <w:suppressAutoHyphens/>
              <w:spacing w:before="81" w:after="81" w:line="160" w:lineRule="exact"/>
              <w:ind w:left="144"/>
              <w:jc w:val="right"/>
              <w:rPr>
                <w:i/>
                <w:sz w:val="14"/>
              </w:rPr>
            </w:pPr>
            <w:r>
              <w:rPr>
                <w:i/>
                <w:sz w:val="14"/>
              </w:rPr>
              <w:t>Pourcentage de femmes</w:t>
            </w:r>
          </w:p>
        </w:tc>
      </w:tr>
      <w:tr w:rsidR="00983CA7" w:rsidRPr="00983CA7" w14:paraId="7B123506" w14:textId="77777777" w:rsidTr="00E91104">
        <w:trPr>
          <w:trHeight w:hRule="exact" w:val="115"/>
          <w:tblHeader/>
        </w:trPr>
        <w:tc>
          <w:tcPr>
            <w:tcW w:w="912" w:type="dxa"/>
            <w:tcBorders>
              <w:top w:val="single" w:sz="12" w:space="0" w:color="auto"/>
            </w:tcBorders>
            <w:shd w:val="clear" w:color="auto" w:fill="auto"/>
            <w:vAlign w:val="bottom"/>
          </w:tcPr>
          <w:p w14:paraId="234226A4" w14:textId="77777777" w:rsidR="00983CA7" w:rsidRPr="00983CA7" w:rsidRDefault="00983CA7" w:rsidP="00983CA7">
            <w:pPr>
              <w:tabs>
                <w:tab w:val="left" w:pos="288"/>
                <w:tab w:val="left" w:pos="576"/>
                <w:tab w:val="left" w:pos="864"/>
                <w:tab w:val="left" w:pos="1152"/>
              </w:tabs>
              <w:suppressAutoHyphens/>
              <w:spacing w:before="40" w:after="40" w:line="210" w:lineRule="exact"/>
              <w:ind w:right="40"/>
              <w:rPr>
                <w:sz w:val="17"/>
              </w:rPr>
            </w:pPr>
          </w:p>
        </w:tc>
        <w:tc>
          <w:tcPr>
            <w:tcW w:w="1176" w:type="dxa"/>
            <w:tcBorders>
              <w:top w:val="single" w:sz="12" w:space="0" w:color="auto"/>
            </w:tcBorders>
            <w:shd w:val="clear" w:color="auto" w:fill="auto"/>
            <w:vAlign w:val="bottom"/>
          </w:tcPr>
          <w:p w14:paraId="3BD12CA8"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035" w:type="dxa"/>
            <w:tcBorders>
              <w:top w:val="single" w:sz="12" w:space="0" w:color="auto"/>
            </w:tcBorders>
            <w:shd w:val="clear" w:color="auto" w:fill="auto"/>
            <w:vAlign w:val="bottom"/>
          </w:tcPr>
          <w:p w14:paraId="62AB0305"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35" w:type="dxa"/>
            <w:tcBorders>
              <w:top w:val="single" w:sz="12" w:space="0" w:color="auto"/>
            </w:tcBorders>
            <w:shd w:val="clear" w:color="auto" w:fill="auto"/>
            <w:vAlign w:val="bottom"/>
          </w:tcPr>
          <w:p w14:paraId="559FB66D"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125" w:type="dxa"/>
            <w:tcBorders>
              <w:top w:val="single" w:sz="12" w:space="0" w:color="auto"/>
            </w:tcBorders>
            <w:shd w:val="clear" w:color="auto" w:fill="auto"/>
            <w:vAlign w:val="bottom"/>
          </w:tcPr>
          <w:p w14:paraId="6B2644BE"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017" w:type="dxa"/>
            <w:tcBorders>
              <w:top w:val="single" w:sz="12" w:space="0" w:color="auto"/>
            </w:tcBorders>
            <w:shd w:val="clear" w:color="auto" w:fill="auto"/>
            <w:vAlign w:val="bottom"/>
          </w:tcPr>
          <w:p w14:paraId="3628225D"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390" w:type="dxa"/>
            <w:gridSpan w:val="2"/>
            <w:tcBorders>
              <w:top w:val="single" w:sz="12" w:space="0" w:color="auto"/>
            </w:tcBorders>
            <w:shd w:val="clear" w:color="auto" w:fill="auto"/>
            <w:vAlign w:val="bottom"/>
          </w:tcPr>
          <w:p w14:paraId="3CBB0EA5"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609" w:type="dxa"/>
            <w:tcBorders>
              <w:top w:val="single" w:sz="12" w:space="0" w:color="auto"/>
            </w:tcBorders>
            <w:shd w:val="clear" w:color="auto" w:fill="auto"/>
            <w:vAlign w:val="bottom"/>
          </w:tcPr>
          <w:p w14:paraId="6F2DA701"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017" w:type="dxa"/>
            <w:tcBorders>
              <w:top w:val="single" w:sz="12" w:space="0" w:color="auto"/>
            </w:tcBorders>
            <w:shd w:val="clear" w:color="auto" w:fill="auto"/>
            <w:vAlign w:val="bottom"/>
          </w:tcPr>
          <w:p w14:paraId="456CD41D"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r>
      <w:tr w:rsidR="001635BD" w:rsidRPr="00983CA7" w14:paraId="47B88A27" w14:textId="77777777" w:rsidTr="00E91104">
        <w:tc>
          <w:tcPr>
            <w:tcW w:w="912" w:type="dxa"/>
            <w:shd w:val="clear" w:color="auto" w:fill="auto"/>
            <w:vAlign w:val="bottom"/>
          </w:tcPr>
          <w:p w14:paraId="411F8BE3" w14:textId="315575C5" w:rsidR="00983CA7" w:rsidRPr="00983CA7" w:rsidRDefault="001635BD" w:rsidP="00983CA7">
            <w:pPr>
              <w:tabs>
                <w:tab w:val="left" w:pos="288"/>
                <w:tab w:val="left" w:pos="576"/>
                <w:tab w:val="left" w:pos="864"/>
                <w:tab w:val="left" w:pos="1152"/>
              </w:tabs>
              <w:suppressAutoHyphens/>
              <w:spacing w:before="40" w:after="40" w:line="210" w:lineRule="exact"/>
              <w:ind w:right="40"/>
              <w:rPr>
                <w:sz w:val="17"/>
              </w:rPr>
            </w:pPr>
            <w:r>
              <w:rPr>
                <w:sz w:val="17"/>
              </w:rPr>
              <w:t>Hommes</w:t>
            </w:r>
          </w:p>
        </w:tc>
        <w:tc>
          <w:tcPr>
            <w:tcW w:w="1176" w:type="dxa"/>
            <w:shd w:val="clear" w:color="auto" w:fill="auto"/>
            <w:vAlign w:val="bottom"/>
          </w:tcPr>
          <w:p w14:paraId="7246579B" w14:textId="725B05EF"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176</w:t>
            </w:r>
          </w:p>
        </w:tc>
        <w:tc>
          <w:tcPr>
            <w:tcW w:w="1035" w:type="dxa"/>
            <w:shd w:val="clear" w:color="auto" w:fill="auto"/>
            <w:vAlign w:val="bottom"/>
          </w:tcPr>
          <w:p w14:paraId="0F9BD4D7" w14:textId="3AB5BE2E"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44</w:t>
            </w:r>
          </w:p>
        </w:tc>
        <w:tc>
          <w:tcPr>
            <w:tcW w:w="135" w:type="dxa"/>
            <w:shd w:val="clear" w:color="auto" w:fill="auto"/>
            <w:vAlign w:val="bottom"/>
          </w:tcPr>
          <w:p w14:paraId="6840F593"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1125" w:type="dxa"/>
            <w:shd w:val="clear" w:color="auto" w:fill="auto"/>
            <w:vAlign w:val="bottom"/>
          </w:tcPr>
          <w:p w14:paraId="1F19EE75" w14:textId="29C7D367"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324</w:t>
            </w:r>
          </w:p>
        </w:tc>
        <w:tc>
          <w:tcPr>
            <w:tcW w:w="1017" w:type="dxa"/>
            <w:shd w:val="clear" w:color="auto" w:fill="auto"/>
            <w:vAlign w:val="bottom"/>
          </w:tcPr>
          <w:p w14:paraId="40DDC11E" w14:textId="68FB5590"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48</w:t>
            </w:r>
          </w:p>
        </w:tc>
        <w:tc>
          <w:tcPr>
            <w:tcW w:w="390" w:type="dxa"/>
            <w:gridSpan w:val="2"/>
            <w:shd w:val="clear" w:color="auto" w:fill="auto"/>
            <w:vAlign w:val="bottom"/>
          </w:tcPr>
          <w:p w14:paraId="164661BC" w14:textId="77777777" w:rsidR="00983CA7" w:rsidRPr="00983CA7" w:rsidRDefault="00983CA7" w:rsidP="00983CA7">
            <w:pPr>
              <w:tabs>
                <w:tab w:val="left" w:pos="288"/>
                <w:tab w:val="left" w:pos="576"/>
                <w:tab w:val="left" w:pos="864"/>
                <w:tab w:val="left" w:pos="1152"/>
              </w:tabs>
              <w:suppressAutoHyphens/>
              <w:spacing w:before="40" w:after="40" w:line="210" w:lineRule="exact"/>
              <w:ind w:left="144" w:right="43"/>
              <w:jc w:val="right"/>
              <w:rPr>
                <w:sz w:val="17"/>
              </w:rPr>
            </w:pPr>
          </w:p>
        </w:tc>
        <w:tc>
          <w:tcPr>
            <w:tcW w:w="609" w:type="dxa"/>
            <w:shd w:val="clear" w:color="auto" w:fill="auto"/>
            <w:vAlign w:val="bottom"/>
          </w:tcPr>
          <w:p w14:paraId="252027DD" w14:textId="6738E267"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131</w:t>
            </w:r>
          </w:p>
        </w:tc>
        <w:tc>
          <w:tcPr>
            <w:tcW w:w="1017" w:type="dxa"/>
            <w:shd w:val="clear" w:color="auto" w:fill="auto"/>
            <w:vAlign w:val="bottom"/>
          </w:tcPr>
          <w:p w14:paraId="5DA61676" w14:textId="7C693585" w:rsidR="00983CA7" w:rsidRPr="00983CA7" w:rsidRDefault="001635BD" w:rsidP="00983CA7">
            <w:pPr>
              <w:tabs>
                <w:tab w:val="left" w:pos="288"/>
                <w:tab w:val="left" w:pos="576"/>
                <w:tab w:val="left" w:pos="864"/>
                <w:tab w:val="left" w:pos="1152"/>
              </w:tabs>
              <w:suppressAutoHyphens/>
              <w:spacing w:before="40" w:after="40" w:line="210" w:lineRule="exact"/>
              <w:ind w:left="144" w:right="43"/>
              <w:jc w:val="right"/>
              <w:rPr>
                <w:sz w:val="17"/>
              </w:rPr>
            </w:pPr>
            <w:r>
              <w:rPr>
                <w:sz w:val="17"/>
              </w:rPr>
              <w:t>68</w:t>
            </w:r>
          </w:p>
        </w:tc>
      </w:tr>
      <w:tr w:rsidR="001635BD" w:rsidRPr="00983CA7" w14:paraId="3D4979B4" w14:textId="77777777" w:rsidTr="00E91104">
        <w:tc>
          <w:tcPr>
            <w:tcW w:w="912" w:type="dxa"/>
            <w:tcBorders>
              <w:bottom w:val="single" w:sz="4" w:space="0" w:color="auto"/>
            </w:tcBorders>
            <w:shd w:val="clear" w:color="auto" w:fill="auto"/>
            <w:vAlign w:val="bottom"/>
          </w:tcPr>
          <w:p w14:paraId="0D98D97B" w14:textId="411A1323" w:rsidR="00983CA7" w:rsidRPr="00983CA7" w:rsidRDefault="001635BD" w:rsidP="001635BD">
            <w:pPr>
              <w:tabs>
                <w:tab w:val="left" w:pos="288"/>
                <w:tab w:val="left" w:pos="576"/>
                <w:tab w:val="left" w:pos="864"/>
                <w:tab w:val="left" w:pos="1152"/>
              </w:tabs>
              <w:suppressAutoHyphens/>
              <w:spacing w:before="40" w:after="81" w:line="210" w:lineRule="exact"/>
              <w:ind w:right="40"/>
              <w:rPr>
                <w:sz w:val="17"/>
              </w:rPr>
            </w:pPr>
            <w:r>
              <w:rPr>
                <w:sz w:val="17"/>
              </w:rPr>
              <w:t>Femmes</w:t>
            </w:r>
          </w:p>
        </w:tc>
        <w:tc>
          <w:tcPr>
            <w:tcW w:w="1176" w:type="dxa"/>
            <w:tcBorders>
              <w:bottom w:val="single" w:sz="4" w:space="0" w:color="auto"/>
            </w:tcBorders>
            <w:shd w:val="clear" w:color="auto" w:fill="auto"/>
            <w:vAlign w:val="bottom"/>
          </w:tcPr>
          <w:p w14:paraId="3BDBF8F5" w14:textId="04A7B663"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221</w:t>
            </w:r>
          </w:p>
        </w:tc>
        <w:tc>
          <w:tcPr>
            <w:tcW w:w="1035" w:type="dxa"/>
            <w:tcBorders>
              <w:bottom w:val="single" w:sz="4" w:space="0" w:color="auto"/>
            </w:tcBorders>
            <w:shd w:val="clear" w:color="auto" w:fill="auto"/>
            <w:vAlign w:val="bottom"/>
          </w:tcPr>
          <w:p w14:paraId="00EAAE77" w14:textId="410F7D14"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56</w:t>
            </w:r>
          </w:p>
        </w:tc>
        <w:tc>
          <w:tcPr>
            <w:tcW w:w="135" w:type="dxa"/>
            <w:tcBorders>
              <w:bottom w:val="single" w:sz="4" w:space="0" w:color="auto"/>
            </w:tcBorders>
            <w:shd w:val="clear" w:color="auto" w:fill="auto"/>
            <w:vAlign w:val="bottom"/>
          </w:tcPr>
          <w:p w14:paraId="4633CE71" w14:textId="77777777" w:rsidR="00983CA7" w:rsidRPr="00983CA7" w:rsidRDefault="00983CA7" w:rsidP="001635BD">
            <w:pPr>
              <w:tabs>
                <w:tab w:val="left" w:pos="288"/>
                <w:tab w:val="left" w:pos="576"/>
                <w:tab w:val="left" w:pos="864"/>
                <w:tab w:val="left" w:pos="1152"/>
              </w:tabs>
              <w:suppressAutoHyphens/>
              <w:spacing w:before="40" w:after="81" w:line="210" w:lineRule="exact"/>
              <w:ind w:left="144" w:right="43"/>
              <w:jc w:val="right"/>
              <w:rPr>
                <w:sz w:val="17"/>
              </w:rPr>
            </w:pPr>
          </w:p>
        </w:tc>
        <w:tc>
          <w:tcPr>
            <w:tcW w:w="1125" w:type="dxa"/>
            <w:tcBorders>
              <w:bottom w:val="single" w:sz="4" w:space="0" w:color="auto"/>
            </w:tcBorders>
            <w:shd w:val="clear" w:color="auto" w:fill="auto"/>
            <w:vAlign w:val="bottom"/>
          </w:tcPr>
          <w:p w14:paraId="4C839C45" w14:textId="529246C6"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358</w:t>
            </w:r>
          </w:p>
        </w:tc>
        <w:tc>
          <w:tcPr>
            <w:tcW w:w="1017" w:type="dxa"/>
            <w:tcBorders>
              <w:bottom w:val="single" w:sz="4" w:space="0" w:color="auto"/>
            </w:tcBorders>
            <w:shd w:val="clear" w:color="auto" w:fill="auto"/>
            <w:vAlign w:val="bottom"/>
          </w:tcPr>
          <w:p w14:paraId="700ED27D" w14:textId="10F69D6F"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56</w:t>
            </w:r>
          </w:p>
        </w:tc>
        <w:tc>
          <w:tcPr>
            <w:tcW w:w="390" w:type="dxa"/>
            <w:gridSpan w:val="2"/>
            <w:tcBorders>
              <w:bottom w:val="single" w:sz="4" w:space="0" w:color="auto"/>
            </w:tcBorders>
            <w:shd w:val="clear" w:color="auto" w:fill="auto"/>
            <w:vAlign w:val="bottom"/>
          </w:tcPr>
          <w:p w14:paraId="03ADF3EF" w14:textId="77777777" w:rsidR="00983CA7" w:rsidRPr="00983CA7" w:rsidRDefault="00983CA7" w:rsidP="001635BD">
            <w:pPr>
              <w:tabs>
                <w:tab w:val="left" w:pos="288"/>
                <w:tab w:val="left" w:pos="576"/>
                <w:tab w:val="left" w:pos="864"/>
                <w:tab w:val="left" w:pos="1152"/>
              </w:tabs>
              <w:suppressAutoHyphens/>
              <w:spacing w:before="40" w:after="81" w:line="210" w:lineRule="exact"/>
              <w:ind w:left="144" w:right="43"/>
              <w:jc w:val="right"/>
              <w:rPr>
                <w:sz w:val="17"/>
              </w:rPr>
            </w:pPr>
          </w:p>
        </w:tc>
        <w:tc>
          <w:tcPr>
            <w:tcW w:w="609" w:type="dxa"/>
            <w:tcBorders>
              <w:bottom w:val="single" w:sz="4" w:space="0" w:color="auto"/>
            </w:tcBorders>
            <w:shd w:val="clear" w:color="auto" w:fill="auto"/>
            <w:vAlign w:val="bottom"/>
          </w:tcPr>
          <w:p w14:paraId="4373C84E" w14:textId="54EC70A4"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61</w:t>
            </w:r>
          </w:p>
        </w:tc>
        <w:tc>
          <w:tcPr>
            <w:tcW w:w="1017" w:type="dxa"/>
            <w:tcBorders>
              <w:bottom w:val="single" w:sz="4" w:space="0" w:color="auto"/>
            </w:tcBorders>
            <w:shd w:val="clear" w:color="auto" w:fill="auto"/>
            <w:vAlign w:val="bottom"/>
          </w:tcPr>
          <w:p w14:paraId="4BD81FD1" w14:textId="559434CD" w:rsidR="00983CA7" w:rsidRPr="00983CA7" w:rsidRDefault="001635BD" w:rsidP="001635BD">
            <w:pPr>
              <w:tabs>
                <w:tab w:val="left" w:pos="288"/>
                <w:tab w:val="left" w:pos="576"/>
                <w:tab w:val="left" w:pos="864"/>
                <w:tab w:val="left" w:pos="1152"/>
              </w:tabs>
              <w:suppressAutoHyphens/>
              <w:spacing w:before="40" w:after="81" w:line="210" w:lineRule="exact"/>
              <w:ind w:left="144" w:right="43"/>
              <w:jc w:val="right"/>
              <w:rPr>
                <w:sz w:val="17"/>
              </w:rPr>
            </w:pPr>
            <w:r>
              <w:rPr>
                <w:sz w:val="17"/>
              </w:rPr>
              <w:t>32</w:t>
            </w:r>
          </w:p>
        </w:tc>
      </w:tr>
      <w:tr w:rsidR="001635BD" w:rsidRPr="001635BD" w14:paraId="6F8E881F" w14:textId="77777777" w:rsidTr="00E91104">
        <w:tc>
          <w:tcPr>
            <w:tcW w:w="912" w:type="dxa"/>
            <w:tcBorders>
              <w:top w:val="single" w:sz="4" w:space="0" w:color="auto"/>
              <w:bottom w:val="single" w:sz="12" w:space="0" w:color="auto"/>
            </w:tcBorders>
            <w:shd w:val="clear" w:color="auto" w:fill="auto"/>
            <w:vAlign w:val="bottom"/>
          </w:tcPr>
          <w:p w14:paraId="46CED3FE" w14:textId="7A659053" w:rsidR="00983CA7" w:rsidRPr="001635BD" w:rsidRDefault="001635BD" w:rsidP="001635BD">
            <w:pPr>
              <w:tabs>
                <w:tab w:val="left" w:pos="288"/>
                <w:tab w:val="left" w:pos="576"/>
                <w:tab w:val="left" w:pos="864"/>
                <w:tab w:val="left" w:pos="1152"/>
              </w:tabs>
              <w:suppressAutoHyphens/>
              <w:spacing w:before="81" w:after="81" w:line="210" w:lineRule="exact"/>
              <w:ind w:right="40"/>
              <w:rPr>
                <w:b/>
                <w:sz w:val="17"/>
              </w:rPr>
            </w:pPr>
            <w:r w:rsidRPr="001635BD">
              <w:rPr>
                <w:b/>
                <w:sz w:val="17"/>
              </w:rPr>
              <w:tab/>
              <w:t>Total</w:t>
            </w:r>
          </w:p>
        </w:tc>
        <w:tc>
          <w:tcPr>
            <w:tcW w:w="1176" w:type="dxa"/>
            <w:tcBorders>
              <w:top w:val="single" w:sz="4" w:space="0" w:color="auto"/>
              <w:bottom w:val="single" w:sz="12" w:space="0" w:color="auto"/>
            </w:tcBorders>
            <w:shd w:val="clear" w:color="auto" w:fill="auto"/>
            <w:vAlign w:val="bottom"/>
          </w:tcPr>
          <w:p w14:paraId="07A79CCE" w14:textId="08BD1C25" w:rsidR="00983CA7" w:rsidRPr="001635BD" w:rsidRDefault="001635BD" w:rsidP="001635BD">
            <w:pPr>
              <w:tabs>
                <w:tab w:val="left" w:pos="288"/>
                <w:tab w:val="left" w:pos="576"/>
                <w:tab w:val="left" w:pos="864"/>
                <w:tab w:val="left" w:pos="1152"/>
              </w:tabs>
              <w:suppressAutoHyphens/>
              <w:spacing w:before="81" w:after="81" w:line="210" w:lineRule="exact"/>
              <w:ind w:left="144" w:right="43"/>
              <w:jc w:val="right"/>
              <w:rPr>
                <w:b/>
                <w:sz w:val="17"/>
              </w:rPr>
            </w:pPr>
            <w:r w:rsidRPr="001635BD">
              <w:rPr>
                <w:b/>
                <w:sz w:val="17"/>
              </w:rPr>
              <w:t>397</w:t>
            </w:r>
          </w:p>
        </w:tc>
        <w:tc>
          <w:tcPr>
            <w:tcW w:w="1035" w:type="dxa"/>
            <w:tcBorders>
              <w:top w:val="single" w:sz="4" w:space="0" w:color="auto"/>
              <w:bottom w:val="single" w:sz="12" w:space="0" w:color="auto"/>
            </w:tcBorders>
            <w:shd w:val="clear" w:color="auto" w:fill="auto"/>
            <w:vAlign w:val="bottom"/>
          </w:tcPr>
          <w:p w14:paraId="44374308" w14:textId="77777777" w:rsidR="00983CA7" w:rsidRPr="001635BD" w:rsidRDefault="00983CA7" w:rsidP="001635BD">
            <w:pPr>
              <w:tabs>
                <w:tab w:val="left" w:pos="288"/>
                <w:tab w:val="left" w:pos="576"/>
                <w:tab w:val="left" w:pos="864"/>
                <w:tab w:val="left" w:pos="1152"/>
              </w:tabs>
              <w:suppressAutoHyphens/>
              <w:spacing w:before="81" w:after="81" w:line="210" w:lineRule="exact"/>
              <w:ind w:left="144" w:right="43"/>
              <w:jc w:val="right"/>
              <w:rPr>
                <w:b/>
                <w:sz w:val="17"/>
              </w:rPr>
            </w:pPr>
          </w:p>
        </w:tc>
        <w:tc>
          <w:tcPr>
            <w:tcW w:w="135" w:type="dxa"/>
            <w:tcBorders>
              <w:top w:val="single" w:sz="4" w:space="0" w:color="auto"/>
              <w:bottom w:val="single" w:sz="12" w:space="0" w:color="auto"/>
            </w:tcBorders>
            <w:shd w:val="clear" w:color="auto" w:fill="auto"/>
            <w:vAlign w:val="bottom"/>
          </w:tcPr>
          <w:p w14:paraId="17136C97" w14:textId="77777777" w:rsidR="00983CA7" w:rsidRPr="001635BD" w:rsidRDefault="00983CA7" w:rsidP="001635BD">
            <w:pPr>
              <w:tabs>
                <w:tab w:val="left" w:pos="288"/>
                <w:tab w:val="left" w:pos="576"/>
                <w:tab w:val="left" w:pos="864"/>
                <w:tab w:val="left" w:pos="1152"/>
              </w:tabs>
              <w:suppressAutoHyphens/>
              <w:spacing w:before="81" w:after="81" w:line="210" w:lineRule="exact"/>
              <w:ind w:left="144" w:right="43"/>
              <w:jc w:val="right"/>
              <w:rPr>
                <w:b/>
                <w:sz w:val="17"/>
              </w:rPr>
            </w:pPr>
          </w:p>
        </w:tc>
        <w:tc>
          <w:tcPr>
            <w:tcW w:w="1125" w:type="dxa"/>
            <w:tcBorders>
              <w:top w:val="single" w:sz="4" w:space="0" w:color="auto"/>
              <w:bottom w:val="single" w:sz="12" w:space="0" w:color="auto"/>
            </w:tcBorders>
            <w:shd w:val="clear" w:color="auto" w:fill="auto"/>
            <w:vAlign w:val="bottom"/>
          </w:tcPr>
          <w:p w14:paraId="5F3998CC" w14:textId="48E6F9C2" w:rsidR="00983CA7" w:rsidRPr="001635BD" w:rsidRDefault="001635BD" w:rsidP="001635BD">
            <w:pPr>
              <w:tabs>
                <w:tab w:val="left" w:pos="288"/>
                <w:tab w:val="left" w:pos="576"/>
                <w:tab w:val="left" w:pos="864"/>
                <w:tab w:val="left" w:pos="1152"/>
              </w:tabs>
              <w:suppressAutoHyphens/>
              <w:spacing w:before="81" w:after="81" w:line="210" w:lineRule="exact"/>
              <w:ind w:left="144" w:right="43"/>
              <w:jc w:val="right"/>
              <w:rPr>
                <w:b/>
                <w:sz w:val="17"/>
              </w:rPr>
            </w:pPr>
            <w:r w:rsidRPr="001635BD">
              <w:rPr>
                <w:b/>
                <w:sz w:val="17"/>
              </w:rPr>
              <w:t>682</w:t>
            </w:r>
          </w:p>
        </w:tc>
        <w:tc>
          <w:tcPr>
            <w:tcW w:w="1017" w:type="dxa"/>
            <w:tcBorders>
              <w:top w:val="single" w:sz="4" w:space="0" w:color="auto"/>
              <w:bottom w:val="single" w:sz="12" w:space="0" w:color="auto"/>
            </w:tcBorders>
            <w:shd w:val="clear" w:color="auto" w:fill="auto"/>
            <w:vAlign w:val="bottom"/>
          </w:tcPr>
          <w:p w14:paraId="3FA7AFF0" w14:textId="77777777" w:rsidR="00983CA7" w:rsidRPr="001635BD" w:rsidRDefault="00983CA7" w:rsidP="001635BD">
            <w:pPr>
              <w:tabs>
                <w:tab w:val="left" w:pos="288"/>
                <w:tab w:val="left" w:pos="576"/>
                <w:tab w:val="left" w:pos="864"/>
                <w:tab w:val="left" w:pos="1152"/>
              </w:tabs>
              <w:suppressAutoHyphens/>
              <w:spacing w:before="81" w:after="81" w:line="210" w:lineRule="exact"/>
              <w:ind w:left="144" w:right="43"/>
              <w:jc w:val="right"/>
              <w:rPr>
                <w:b/>
                <w:sz w:val="17"/>
              </w:rPr>
            </w:pPr>
          </w:p>
        </w:tc>
        <w:tc>
          <w:tcPr>
            <w:tcW w:w="390" w:type="dxa"/>
            <w:gridSpan w:val="2"/>
            <w:tcBorders>
              <w:top w:val="single" w:sz="4" w:space="0" w:color="auto"/>
              <w:bottom w:val="single" w:sz="12" w:space="0" w:color="auto"/>
            </w:tcBorders>
            <w:shd w:val="clear" w:color="auto" w:fill="auto"/>
            <w:vAlign w:val="bottom"/>
          </w:tcPr>
          <w:p w14:paraId="1F155E42" w14:textId="77777777" w:rsidR="00983CA7" w:rsidRPr="001635BD" w:rsidRDefault="00983CA7" w:rsidP="001635BD">
            <w:pPr>
              <w:tabs>
                <w:tab w:val="left" w:pos="288"/>
                <w:tab w:val="left" w:pos="576"/>
                <w:tab w:val="left" w:pos="864"/>
                <w:tab w:val="left" w:pos="1152"/>
              </w:tabs>
              <w:suppressAutoHyphens/>
              <w:spacing w:before="81" w:after="81" w:line="210" w:lineRule="exact"/>
              <w:ind w:left="144" w:right="43"/>
              <w:jc w:val="right"/>
              <w:rPr>
                <w:b/>
                <w:sz w:val="17"/>
              </w:rPr>
            </w:pPr>
          </w:p>
        </w:tc>
        <w:tc>
          <w:tcPr>
            <w:tcW w:w="609" w:type="dxa"/>
            <w:tcBorders>
              <w:top w:val="single" w:sz="4" w:space="0" w:color="auto"/>
              <w:bottom w:val="single" w:sz="12" w:space="0" w:color="auto"/>
            </w:tcBorders>
            <w:shd w:val="clear" w:color="auto" w:fill="auto"/>
            <w:vAlign w:val="bottom"/>
          </w:tcPr>
          <w:p w14:paraId="11CDDC2D" w14:textId="124D40CC" w:rsidR="00983CA7" w:rsidRPr="001635BD" w:rsidRDefault="001635BD" w:rsidP="001635BD">
            <w:pPr>
              <w:tabs>
                <w:tab w:val="left" w:pos="288"/>
                <w:tab w:val="left" w:pos="576"/>
                <w:tab w:val="left" w:pos="864"/>
                <w:tab w:val="left" w:pos="1152"/>
              </w:tabs>
              <w:suppressAutoHyphens/>
              <w:spacing w:before="81" w:after="81" w:line="210" w:lineRule="exact"/>
              <w:ind w:left="144" w:right="43"/>
              <w:jc w:val="right"/>
              <w:rPr>
                <w:b/>
                <w:sz w:val="17"/>
              </w:rPr>
            </w:pPr>
            <w:r w:rsidRPr="001635BD">
              <w:rPr>
                <w:b/>
                <w:sz w:val="17"/>
              </w:rPr>
              <w:t>192</w:t>
            </w:r>
          </w:p>
        </w:tc>
        <w:tc>
          <w:tcPr>
            <w:tcW w:w="1017" w:type="dxa"/>
            <w:tcBorders>
              <w:top w:val="single" w:sz="4" w:space="0" w:color="auto"/>
              <w:bottom w:val="single" w:sz="12" w:space="0" w:color="auto"/>
            </w:tcBorders>
            <w:shd w:val="clear" w:color="auto" w:fill="auto"/>
            <w:vAlign w:val="bottom"/>
          </w:tcPr>
          <w:p w14:paraId="218467CB" w14:textId="77777777" w:rsidR="00983CA7" w:rsidRPr="001635BD" w:rsidRDefault="00983CA7" w:rsidP="001635BD">
            <w:pPr>
              <w:tabs>
                <w:tab w:val="left" w:pos="288"/>
                <w:tab w:val="left" w:pos="576"/>
                <w:tab w:val="left" w:pos="864"/>
                <w:tab w:val="left" w:pos="1152"/>
              </w:tabs>
              <w:suppressAutoHyphens/>
              <w:spacing w:before="81" w:after="81" w:line="210" w:lineRule="exact"/>
              <w:ind w:left="144" w:right="43"/>
              <w:jc w:val="right"/>
              <w:rPr>
                <w:b/>
                <w:sz w:val="17"/>
              </w:rPr>
            </w:pPr>
          </w:p>
        </w:tc>
      </w:tr>
    </w:tbl>
    <w:p w14:paraId="716B6CE6" w14:textId="31BA70C5" w:rsidR="00983CA7" w:rsidRPr="001635BD" w:rsidRDefault="00983CA7" w:rsidP="001635BD">
      <w:pPr>
        <w:pStyle w:val="SingleTxt"/>
        <w:suppressAutoHyphens/>
        <w:spacing w:after="0" w:line="120" w:lineRule="exact"/>
        <w:rPr>
          <w:sz w:val="10"/>
        </w:rPr>
      </w:pPr>
    </w:p>
    <w:p w14:paraId="5884F64E" w14:textId="3F7E483B" w:rsidR="001635BD" w:rsidRDefault="001635BD" w:rsidP="001635BD">
      <w:pPr>
        <w:pStyle w:val="FootnoteText"/>
        <w:tabs>
          <w:tab w:val="clear" w:pos="418"/>
          <w:tab w:val="right" w:pos="1476"/>
          <w:tab w:val="left" w:pos="1548"/>
          <w:tab w:val="right" w:pos="1836"/>
          <w:tab w:val="left" w:pos="1908"/>
        </w:tabs>
        <w:ind w:left="1548" w:right="1267" w:hanging="288"/>
      </w:pPr>
      <w:r w:rsidRPr="00E91104">
        <w:rPr>
          <w:i/>
        </w:rPr>
        <w:t>Source</w:t>
      </w:r>
      <w:r>
        <w:t> : Département de l</w:t>
      </w:r>
      <w:r w:rsidR="00000F67">
        <w:t>’</w:t>
      </w:r>
      <w:r>
        <w:t>immigration.</w:t>
      </w:r>
    </w:p>
    <w:p w14:paraId="390E8A09" w14:textId="7FE9E5C6" w:rsidR="00E80CCA" w:rsidRPr="001635BD" w:rsidRDefault="00E80CCA" w:rsidP="001635BD">
      <w:pPr>
        <w:pStyle w:val="SingleTxt"/>
        <w:suppressAutoHyphens/>
        <w:spacing w:after="0" w:line="120" w:lineRule="exact"/>
        <w:rPr>
          <w:sz w:val="10"/>
        </w:rPr>
      </w:pPr>
    </w:p>
    <w:p w14:paraId="4B20DC28" w14:textId="46AAD4DB" w:rsidR="001635BD" w:rsidRPr="001635BD" w:rsidRDefault="001635BD" w:rsidP="001635BD">
      <w:pPr>
        <w:pStyle w:val="SingleTxt"/>
        <w:suppressAutoHyphens/>
        <w:spacing w:after="0" w:line="120" w:lineRule="exact"/>
        <w:rPr>
          <w:sz w:val="10"/>
        </w:rPr>
      </w:pPr>
    </w:p>
    <w:p w14:paraId="22B4A5BC" w14:textId="0746DE6A" w:rsidR="001635BD" w:rsidRPr="001635BD" w:rsidRDefault="001635BD" w:rsidP="001635BD">
      <w:pPr>
        <w:pStyle w:val="SingleTxt"/>
        <w:suppressAutoHyphens/>
        <w:spacing w:after="0" w:line="120" w:lineRule="exact"/>
        <w:rPr>
          <w:sz w:val="10"/>
        </w:rPr>
      </w:pPr>
    </w:p>
    <w:p w14:paraId="44CF3610" w14:textId="38E6E9C7" w:rsidR="001635BD" w:rsidRDefault="00E91104" w:rsidP="00E911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14:paraId="4F0D3DFB" w14:textId="0DA34AFE" w:rsidR="00983CA7" w:rsidRPr="00E91104" w:rsidRDefault="00983CA7" w:rsidP="00E91104">
      <w:pPr>
        <w:pStyle w:val="SingleTxt"/>
        <w:suppressAutoHyphens/>
        <w:spacing w:after="0" w:line="120" w:lineRule="exact"/>
        <w:rPr>
          <w:sz w:val="10"/>
        </w:rPr>
      </w:pPr>
    </w:p>
    <w:p w14:paraId="4C80A1A1" w14:textId="7DC56F88" w:rsidR="00E91104" w:rsidRPr="00E91104" w:rsidRDefault="00E91104" w:rsidP="00E91104">
      <w:pPr>
        <w:pStyle w:val="SingleTxt"/>
        <w:suppressAutoHyphens/>
        <w:spacing w:after="0" w:line="120" w:lineRule="exact"/>
        <w:rPr>
          <w:sz w:val="10"/>
        </w:rPr>
      </w:pPr>
    </w:p>
    <w:p w14:paraId="3FF04FA4" w14:textId="067C5CE8" w:rsidR="00BA1FB3" w:rsidRPr="004D6710" w:rsidRDefault="00BA1FB3" w:rsidP="00C67914">
      <w:pPr>
        <w:pStyle w:val="SingleTxt"/>
        <w:numPr>
          <w:ilvl w:val="0"/>
          <w:numId w:val="18"/>
        </w:numPr>
        <w:suppressAutoHyphens/>
        <w:ind w:left="1267" w:firstLine="0"/>
        <w:rPr>
          <w:color w:val="000000"/>
        </w:rPr>
      </w:pPr>
      <w:r w:rsidRPr="004D6710">
        <w:t>Le Comité note que les informations sur l</w:t>
      </w:r>
      <w:r w:rsidR="00000F67">
        <w:t>’</w:t>
      </w:r>
      <w:r w:rsidRPr="004D6710">
        <w:t>accès à l</w:t>
      </w:r>
      <w:r w:rsidR="00000F67">
        <w:t>’</w:t>
      </w:r>
      <w:r w:rsidRPr="004D6710">
        <w:t>éducation et les taux d</w:t>
      </w:r>
      <w:r w:rsidR="00000F67">
        <w:t>’</w:t>
      </w:r>
      <w:r w:rsidRPr="004D6710">
        <w:t>alphabétisation demeurent inchangées depuis le dernier rapport. Il note également la mise en place d</w:t>
      </w:r>
      <w:r w:rsidR="00000F67">
        <w:t>’</w:t>
      </w:r>
      <w:r w:rsidRPr="004D6710">
        <w:t>un organisme chargé de l</w:t>
      </w:r>
      <w:r w:rsidR="00000F67">
        <w:t>’</w:t>
      </w:r>
      <w:r w:rsidRPr="004D6710">
        <w:t>éducation et de la formation technique et professionnelle (TVET), créé par la loi relative à l</w:t>
      </w:r>
      <w:r w:rsidR="00000F67">
        <w:t>’</w:t>
      </w:r>
      <w:r w:rsidRPr="004D6710">
        <w:t>organisme national de formation adoptée en 2013. Il note en outre que de 2012 à 2015, le Gouvernement a accordé 2 319 bourses à des étudiants bahamiens dont 1 521 étudiantes, soit 65,6 % du total, (par.</w:t>
      </w:r>
      <w:r w:rsidR="00372177">
        <w:t> </w:t>
      </w:r>
      <w:r w:rsidRPr="004D6710">
        <w:t>82 du rapport de l</w:t>
      </w:r>
      <w:r w:rsidR="00000F67">
        <w:t>’</w:t>
      </w:r>
      <w:r w:rsidRPr="004D6710">
        <w:t xml:space="preserve">État partie). Veuillez donner des informations </w:t>
      </w:r>
      <w:r w:rsidRPr="004D6710">
        <w:rPr>
          <w:color w:val="000000"/>
        </w:rPr>
        <w:t>sur les mesures supplémentaires prises pour évaluer le peu d</w:t>
      </w:r>
      <w:r w:rsidR="00000F67">
        <w:rPr>
          <w:color w:val="000000"/>
        </w:rPr>
        <w:t>’</w:t>
      </w:r>
      <w:r w:rsidRPr="004D6710">
        <w:rPr>
          <w:color w:val="000000"/>
        </w:rPr>
        <w:t>effet de ces plans et sur les actions actuellement menées pour diversifier les choix éducatifs et universitaires, notamment dans les domaines non traditionnels, ainsi que sur les disparités géographiques en matière de réussite scolaire. Veuillez également fournir des statistiques à jour sur les femmes suivant des cours et enseignant dans des domaines non traditionnels. Veuillez indiquer comment l</w:t>
      </w:r>
      <w:r w:rsidR="00000F67">
        <w:rPr>
          <w:color w:val="000000"/>
        </w:rPr>
        <w:t>’</w:t>
      </w:r>
      <w:r w:rsidRPr="004D6710">
        <w:rPr>
          <w:color w:val="000000"/>
        </w:rPr>
        <w:t>État partie surveille l</w:t>
      </w:r>
      <w:r w:rsidR="00000F67">
        <w:rPr>
          <w:color w:val="000000"/>
        </w:rPr>
        <w:t>’</w:t>
      </w:r>
      <w:r w:rsidRPr="004D6710">
        <w:rPr>
          <w:color w:val="000000"/>
        </w:rPr>
        <w:t>incidence du harcèlement, y compris le harcèlement sexuel, des femmes et des filles dans le système éducatif.</w:t>
      </w:r>
      <w:r>
        <w:rPr>
          <w:color w:val="000000"/>
        </w:rPr>
        <w:t xml:space="preserve"> </w:t>
      </w:r>
      <w:r w:rsidRPr="004D6710">
        <w:rPr>
          <w:color w:val="000000"/>
        </w:rPr>
        <w:t xml:space="preserve">Veuillez également fournir des informations sur la pratique des châtiments corporels au sein et en dehors du cadre éducatif. Veuillez enfin indiquer quelles mesures ont été prises </w:t>
      </w:r>
      <w:r w:rsidRPr="004D6710">
        <w:rPr>
          <w:color w:val="000000"/>
        </w:rPr>
        <w:lastRenderedPageBreak/>
        <w:t>pour intégrer les femmes et les filles demandeuses d</w:t>
      </w:r>
      <w:r w:rsidR="00000F67">
        <w:rPr>
          <w:color w:val="000000"/>
        </w:rPr>
        <w:t>’</w:t>
      </w:r>
      <w:r w:rsidRPr="004D6710">
        <w:rPr>
          <w:color w:val="000000"/>
        </w:rPr>
        <w:t>asile, réfugiées ou issues de l</w:t>
      </w:r>
      <w:r w:rsidR="00000F67">
        <w:rPr>
          <w:color w:val="000000"/>
        </w:rPr>
        <w:t>’</w:t>
      </w:r>
      <w:r w:rsidRPr="004D6710">
        <w:rPr>
          <w:color w:val="000000"/>
        </w:rPr>
        <w:t>immigration dans le système éducatif à tous les niveaux (voir CEDAW/C/BHS/Q/6, par.</w:t>
      </w:r>
      <w:r>
        <w:rPr>
          <w:color w:val="000000"/>
        </w:rPr>
        <w:t> </w:t>
      </w:r>
      <w:r w:rsidRPr="004D6710">
        <w:rPr>
          <w:color w:val="000000"/>
        </w:rPr>
        <w:t>12). </w:t>
      </w:r>
    </w:p>
    <w:p w14:paraId="0FE42665" w14:textId="77777777" w:rsidR="00BA1FB3" w:rsidRPr="00BA1FB3" w:rsidRDefault="00BA1FB3" w:rsidP="00BA1FB3">
      <w:pPr>
        <w:pStyle w:val="SingleTxt"/>
        <w:suppressAutoHyphens/>
        <w:spacing w:after="0" w:line="120" w:lineRule="exact"/>
        <w:rPr>
          <w:b/>
          <w:color w:val="000000"/>
          <w:sz w:val="10"/>
        </w:rPr>
      </w:pPr>
    </w:p>
    <w:p w14:paraId="012C1E8C" w14:textId="1EF155FF" w:rsidR="00BA1FB3" w:rsidRPr="004D6710" w:rsidRDefault="007C78DF" w:rsidP="007C78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A1FB3" w:rsidRPr="004D6710">
        <w:t>Réponse</w:t>
      </w:r>
    </w:p>
    <w:p w14:paraId="59F0199F" w14:textId="77777777" w:rsidR="00BA1FB3" w:rsidRPr="00BA1FB3" w:rsidRDefault="00BA1FB3" w:rsidP="00BA1FB3">
      <w:pPr>
        <w:pStyle w:val="SingleTxt"/>
        <w:suppressAutoHyphens/>
        <w:spacing w:after="0" w:line="120" w:lineRule="exact"/>
        <w:rPr>
          <w:color w:val="000000"/>
          <w:sz w:val="10"/>
        </w:rPr>
      </w:pPr>
    </w:p>
    <w:p w14:paraId="149C9DC7" w14:textId="60F7277D" w:rsidR="00BA1FB3" w:rsidRPr="004D6710" w:rsidRDefault="00BA1FB3" w:rsidP="00C67914">
      <w:pPr>
        <w:pStyle w:val="SingleTxt"/>
        <w:numPr>
          <w:ilvl w:val="0"/>
          <w:numId w:val="18"/>
        </w:numPr>
        <w:suppressAutoHyphens/>
        <w:ind w:left="1267" w:firstLine="0"/>
        <w:rPr>
          <w:color w:val="000000"/>
        </w:rPr>
      </w:pPr>
      <w:r w:rsidRPr="004D6710">
        <w:rPr>
          <w:color w:val="000000"/>
        </w:rPr>
        <w:t>La National Training Agency (Agence nationale de la formation) a été reconstituée en mai 2017. Composée de 50 % de femmes, elle est présidée par une femme. En plus de l</w:t>
      </w:r>
      <w:r w:rsidR="00000F67">
        <w:rPr>
          <w:color w:val="000000"/>
        </w:rPr>
        <w:t>’</w:t>
      </w:r>
      <w:r w:rsidRPr="004D6710">
        <w:rPr>
          <w:color w:val="000000"/>
        </w:rPr>
        <w:t>Agence, un organisme consultatif statutaire a été établi pour s</w:t>
      </w:r>
      <w:r w:rsidR="00000F67">
        <w:rPr>
          <w:color w:val="000000"/>
        </w:rPr>
        <w:t>’</w:t>
      </w:r>
      <w:r w:rsidRPr="004D6710">
        <w:rPr>
          <w:color w:val="000000"/>
        </w:rPr>
        <w:t>occuper de l</w:t>
      </w:r>
      <w:r w:rsidR="00000F67">
        <w:rPr>
          <w:color w:val="000000"/>
        </w:rPr>
        <w:t>’</w:t>
      </w:r>
      <w:r w:rsidRPr="004D6710">
        <w:rPr>
          <w:color w:val="000000"/>
        </w:rPr>
        <w:t xml:space="preserve">enseignement technique et professionnel au niveau postsecondaire. </w:t>
      </w:r>
    </w:p>
    <w:p w14:paraId="575DA89E" w14:textId="306DAE3F" w:rsidR="00BA1FB3" w:rsidRPr="004D6710" w:rsidRDefault="00BA1FB3" w:rsidP="00C67914">
      <w:pPr>
        <w:pStyle w:val="SingleTxt"/>
        <w:numPr>
          <w:ilvl w:val="0"/>
          <w:numId w:val="18"/>
        </w:numPr>
        <w:suppressAutoHyphens/>
        <w:ind w:left="1267" w:firstLine="0"/>
        <w:rPr>
          <w:color w:val="000000"/>
        </w:rPr>
      </w:pPr>
      <w:r w:rsidRPr="004D6710">
        <w:rPr>
          <w:color w:val="000000"/>
        </w:rPr>
        <w:t>L</w:t>
      </w:r>
      <w:r w:rsidR="00000F67">
        <w:rPr>
          <w:color w:val="000000"/>
        </w:rPr>
        <w:t>’</w:t>
      </w:r>
      <w:r w:rsidRPr="004D6710">
        <w:rPr>
          <w:color w:val="000000"/>
        </w:rPr>
        <w:t>éducation est régie par les dispositions de la loi relative à l</w:t>
      </w:r>
      <w:r w:rsidR="00000F67">
        <w:rPr>
          <w:color w:val="000000"/>
        </w:rPr>
        <w:t>’</w:t>
      </w:r>
      <w:r w:rsidRPr="004D6710">
        <w:rPr>
          <w:color w:val="000000"/>
        </w:rPr>
        <w:t>éducation. Le processus de révision de cette loi a commencé en 2016 avec l</w:t>
      </w:r>
      <w:r w:rsidR="00000F67">
        <w:rPr>
          <w:color w:val="000000"/>
        </w:rPr>
        <w:t>’</w:t>
      </w:r>
      <w:r w:rsidRPr="004D6710">
        <w:rPr>
          <w:color w:val="000000"/>
        </w:rPr>
        <w:t>appui technique de l</w:t>
      </w:r>
      <w:r w:rsidR="00000F67">
        <w:rPr>
          <w:color w:val="000000"/>
        </w:rPr>
        <w:t>’</w:t>
      </w:r>
      <w:r w:rsidRPr="004D6710">
        <w:rPr>
          <w:color w:val="000000"/>
        </w:rPr>
        <w:t>UNESCO. Le renforcement des politiques relatives aux acquis scolaires des élèves et à la qualité de l</w:t>
      </w:r>
      <w:r w:rsidR="00000F67">
        <w:rPr>
          <w:color w:val="000000"/>
        </w:rPr>
        <w:t>’</w:t>
      </w:r>
      <w:r w:rsidRPr="004D6710">
        <w:rPr>
          <w:color w:val="000000"/>
        </w:rPr>
        <w:t>enseignement est au centre de cette action. La réforme des programmes est menée simultanément à cette entreprise. Il est attendu des programmes qu</w:t>
      </w:r>
      <w:r w:rsidR="00000F67">
        <w:rPr>
          <w:color w:val="000000"/>
        </w:rPr>
        <w:t>’</w:t>
      </w:r>
      <w:r w:rsidRPr="004D6710">
        <w:rPr>
          <w:color w:val="000000"/>
        </w:rPr>
        <w:t>ils gagnent en rigueur et en pertinence de façon à répondre au mieux aux exigences d</w:t>
      </w:r>
      <w:r w:rsidR="00000F67">
        <w:rPr>
          <w:color w:val="000000"/>
        </w:rPr>
        <w:t>’</w:t>
      </w:r>
      <w:r w:rsidRPr="004D6710">
        <w:rPr>
          <w:color w:val="000000"/>
        </w:rPr>
        <w:t>équité.</w:t>
      </w:r>
    </w:p>
    <w:p w14:paraId="3F1AAC1F" w14:textId="44796BCF" w:rsidR="00BA1FB3" w:rsidRPr="004D6710" w:rsidRDefault="00BA1FB3" w:rsidP="00C67914">
      <w:pPr>
        <w:pStyle w:val="SingleTxt"/>
        <w:numPr>
          <w:ilvl w:val="0"/>
          <w:numId w:val="18"/>
        </w:numPr>
        <w:suppressAutoHyphens/>
        <w:ind w:left="1267" w:firstLine="0"/>
        <w:rPr>
          <w:color w:val="000000"/>
        </w:rPr>
      </w:pPr>
      <w:r w:rsidRPr="004D6710">
        <w:rPr>
          <w:color w:val="000000"/>
        </w:rPr>
        <w:t>Les élèves peuvent bénéficier de programmes de formation technique et professionnelle partout aux Bahamas. Le tableau ci-après présente les programmes disponibles dans ces écoles ouvertes aux Bahamas.</w:t>
      </w:r>
    </w:p>
    <w:p w14:paraId="392D1A27" w14:textId="77777777" w:rsidR="00BA1FB3" w:rsidRPr="00BA1FB3" w:rsidRDefault="00BA1FB3" w:rsidP="00BA1FB3">
      <w:pPr>
        <w:pStyle w:val="SingleTxt"/>
        <w:suppressAutoHyphens/>
        <w:spacing w:after="0" w:line="120" w:lineRule="exact"/>
        <w:rPr>
          <w:sz w:val="10"/>
        </w:rPr>
      </w:pPr>
    </w:p>
    <w:p w14:paraId="7D4A0703" w14:textId="69BBEC2C" w:rsidR="00BA1FB3" w:rsidRPr="00BA1FB3" w:rsidRDefault="00BA1FB3" w:rsidP="00BA1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color w:val="000000"/>
        </w:rPr>
      </w:pPr>
      <w:r w:rsidRPr="00BA1FB3">
        <w:rPr>
          <w:b w:val="0"/>
        </w:rPr>
        <w:tab/>
      </w:r>
      <w:r w:rsidRPr="00BA1FB3">
        <w:rPr>
          <w:b w:val="0"/>
        </w:rPr>
        <w:tab/>
        <w:t>Tableau 4</w:t>
      </w:r>
    </w:p>
    <w:p w14:paraId="1BFBF18F" w14:textId="1D6E98B2" w:rsidR="00BA1FB3" w:rsidRPr="004D6710" w:rsidRDefault="00BA1FB3" w:rsidP="00BA1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4D6710">
        <w:rPr>
          <w:lang w:val="fr-FR"/>
        </w:rPr>
        <w:t>Nombre d</w:t>
      </w:r>
      <w:r w:rsidR="00000F67">
        <w:rPr>
          <w:lang w:val="fr-FR"/>
        </w:rPr>
        <w:t>’</w:t>
      </w:r>
      <w:r w:rsidRPr="004D6710">
        <w:rPr>
          <w:lang w:val="fr-FR"/>
        </w:rPr>
        <w:t>élèves par types d</w:t>
      </w:r>
      <w:r w:rsidR="00000F67">
        <w:rPr>
          <w:lang w:val="fr-FR"/>
        </w:rPr>
        <w:t>’</w:t>
      </w:r>
      <w:r w:rsidRPr="004D6710">
        <w:rPr>
          <w:lang w:val="fr-FR"/>
        </w:rPr>
        <w:t>école dans l</w:t>
      </w:r>
      <w:r w:rsidR="00000F67">
        <w:rPr>
          <w:lang w:val="fr-FR"/>
        </w:rPr>
        <w:t>’</w:t>
      </w:r>
      <w:r w:rsidRPr="004D6710">
        <w:rPr>
          <w:lang w:val="fr-FR"/>
        </w:rPr>
        <w:t>enseignement public et privé</w:t>
      </w:r>
    </w:p>
    <w:p w14:paraId="7CA7C597" w14:textId="77777777" w:rsidR="00BA1FB3" w:rsidRPr="00BA1FB3" w:rsidRDefault="00BA1FB3" w:rsidP="00BA1FB3">
      <w:pPr>
        <w:pStyle w:val="SingleTxt"/>
        <w:suppressAutoHyphens/>
        <w:spacing w:after="0" w:line="120" w:lineRule="exact"/>
        <w:rPr>
          <w:sz w:val="10"/>
        </w:rPr>
      </w:pPr>
    </w:p>
    <w:p w14:paraId="6AF12516" w14:textId="37B916D1" w:rsidR="00983CA7" w:rsidRPr="00BA1FB3" w:rsidRDefault="00BA1FB3" w:rsidP="00BA1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sidRPr="00BA1FB3">
        <w:rPr>
          <w:b w:val="0"/>
        </w:rPr>
        <w:t>Année scolaire 2017-2018</w:t>
      </w:r>
    </w:p>
    <w:p w14:paraId="6C0528E0" w14:textId="52AD1C94" w:rsidR="00E91104" w:rsidRPr="00BA1FB3" w:rsidRDefault="00E91104" w:rsidP="00BA1FB3">
      <w:pPr>
        <w:pStyle w:val="SingleTxt"/>
        <w:suppressAutoHyphens/>
        <w:spacing w:after="0" w:line="120" w:lineRule="exact"/>
        <w:rPr>
          <w:sz w:val="10"/>
        </w:rPr>
      </w:pPr>
    </w:p>
    <w:p w14:paraId="562E2CA3" w14:textId="44733F02" w:rsidR="00BA1FB3" w:rsidRPr="00BA1FB3" w:rsidRDefault="00BA1FB3" w:rsidP="00BA1FB3">
      <w:pPr>
        <w:pStyle w:val="SingleTxt"/>
        <w:suppressAutoHyphens/>
        <w:spacing w:after="0" w:line="120" w:lineRule="exact"/>
        <w:rPr>
          <w:sz w:val="10"/>
        </w:rPr>
      </w:pPr>
    </w:p>
    <w:tbl>
      <w:tblPr>
        <w:tblW w:w="0" w:type="auto"/>
        <w:tblInd w:w="1314" w:type="dxa"/>
        <w:tblLayout w:type="fixed"/>
        <w:tblCellMar>
          <w:left w:w="0" w:type="dxa"/>
          <w:right w:w="0" w:type="dxa"/>
        </w:tblCellMar>
        <w:tblLook w:val="0000" w:firstRow="0" w:lastRow="0" w:firstColumn="0" w:lastColumn="0" w:noHBand="0" w:noVBand="0"/>
      </w:tblPr>
      <w:tblGrid>
        <w:gridCol w:w="1413"/>
        <w:gridCol w:w="171"/>
        <w:gridCol w:w="639"/>
        <w:gridCol w:w="927"/>
        <w:gridCol w:w="837"/>
        <w:gridCol w:w="132"/>
        <w:gridCol w:w="813"/>
        <w:gridCol w:w="813"/>
        <w:gridCol w:w="813"/>
        <w:gridCol w:w="813"/>
      </w:tblGrid>
      <w:tr w:rsidR="00B800C4" w:rsidRPr="00BA1FB3" w14:paraId="0242B9F5" w14:textId="77777777" w:rsidTr="00C1589D">
        <w:trPr>
          <w:tblHeader/>
        </w:trPr>
        <w:tc>
          <w:tcPr>
            <w:tcW w:w="1584" w:type="dxa"/>
            <w:gridSpan w:val="2"/>
            <w:tcBorders>
              <w:top w:val="single" w:sz="4" w:space="0" w:color="auto"/>
            </w:tcBorders>
            <w:shd w:val="clear" w:color="auto" w:fill="auto"/>
            <w:vAlign w:val="bottom"/>
          </w:tcPr>
          <w:p w14:paraId="5D745B74" w14:textId="77777777" w:rsidR="00B800C4" w:rsidRPr="00BA1FB3" w:rsidRDefault="00B800C4" w:rsidP="00BA1FB3">
            <w:pPr>
              <w:tabs>
                <w:tab w:val="left" w:pos="288"/>
                <w:tab w:val="left" w:pos="576"/>
                <w:tab w:val="left" w:pos="864"/>
                <w:tab w:val="left" w:pos="1152"/>
              </w:tabs>
              <w:suppressAutoHyphens/>
              <w:spacing w:before="81" w:after="81" w:line="160" w:lineRule="exact"/>
              <w:ind w:right="40"/>
              <w:rPr>
                <w:i/>
                <w:sz w:val="14"/>
              </w:rPr>
            </w:pPr>
          </w:p>
        </w:tc>
        <w:tc>
          <w:tcPr>
            <w:tcW w:w="2403" w:type="dxa"/>
            <w:gridSpan w:val="3"/>
            <w:tcBorders>
              <w:top w:val="single" w:sz="4" w:space="0" w:color="auto"/>
              <w:bottom w:val="single" w:sz="4" w:space="0" w:color="auto"/>
            </w:tcBorders>
            <w:shd w:val="clear" w:color="auto" w:fill="auto"/>
            <w:vAlign w:val="bottom"/>
          </w:tcPr>
          <w:p w14:paraId="6F2F38A2" w14:textId="5A66E505" w:rsidR="00B800C4" w:rsidRPr="00BA1FB3" w:rsidRDefault="00C1589D" w:rsidP="00B800C4">
            <w:pPr>
              <w:tabs>
                <w:tab w:val="left" w:pos="288"/>
                <w:tab w:val="left" w:pos="576"/>
                <w:tab w:val="left" w:pos="864"/>
                <w:tab w:val="left" w:pos="1152"/>
              </w:tabs>
              <w:suppressAutoHyphens/>
              <w:spacing w:before="81" w:after="81" w:line="160" w:lineRule="exact"/>
              <w:ind w:left="144" w:right="43"/>
              <w:jc w:val="center"/>
              <w:rPr>
                <w:i/>
                <w:sz w:val="14"/>
              </w:rPr>
            </w:pPr>
            <w:r>
              <w:rPr>
                <w:i/>
                <w:sz w:val="14"/>
              </w:rPr>
              <w:t>Public</w:t>
            </w:r>
          </w:p>
        </w:tc>
        <w:tc>
          <w:tcPr>
            <w:tcW w:w="132" w:type="dxa"/>
            <w:tcBorders>
              <w:top w:val="single" w:sz="4" w:space="0" w:color="auto"/>
            </w:tcBorders>
            <w:shd w:val="clear" w:color="auto" w:fill="auto"/>
            <w:vAlign w:val="bottom"/>
          </w:tcPr>
          <w:p w14:paraId="019C7FF6" w14:textId="77777777" w:rsidR="00B800C4"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p>
        </w:tc>
        <w:tc>
          <w:tcPr>
            <w:tcW w:w="3252" w:type="dxa"/>
            <w:gridSpan w:val="4"/>
            <w:tcBorders>
              <w:top w:val="single" w:sz="4" w:space="0" w:color="auto"/>
              <w:bottom w:val="single" w:sz="4" w:space="0" w:color="auto"/>
            </w:tcBorders>
            <w:shd w:val="clear" w:color="auto" w:fill="auto"/>
            <w:vAlign w:val="bottom"/>
          </w:tcPr>
          <w:p w14:paraId="70EE5513" w14:textId="1387A7A0" w:rsidR="00B800C4" w:rsidRPr="00BA1FB3" w:rsidRDefault="00C1589D" w:rsidP="00B800C4">
            <w:pPr>
              <w:tabs>
                <w:tab w:val="left" w:pos="288"/>
                <w:tab w:val="left" w:pos="576"/>
                <w:tab w:val="left" w:pos="864"/>
                <w:tab w:val="left" w:pos="1152"/>
              </w:tabs>
              <w:suppressAutoHyphens/>
              <w:spacing w:before="81" w:after="81" w:line="160" w:lineRule="exact"/>
              <w:ind w:left="144" w:right="43"/>
              <w:jc w:val="center"/>
              <w:rPr>
                <w:i/>
                <w:sz w:val="14"/>
              </w:rPr>
            </w:pPr>
            <w:r>
              <w:rPr>
                <w:i/>
                <w:sz w:val="14"/>
              </w:rPr>
              <w:t>Privé</w:t>
            </w:r>
          </w:p>
        </w:tc>
      </w:tr>
      <w:tr w:rsidR="00BA1FB3" w:rsidRPr="00BA1FB3" w14:paraId="46F2BAC4" w14:textId="77777777" w:rsidTr="00C1589D">
        <w:trPr>
          <w:tblHeader/>
        </w:trPr>
        <w:tc>
          <w:tcPr>
            <w:tcW w:w="1413" w:type="dxa"/>
            <w:tcBorders>
              <w:bottom w:val="single" w:sz="12" w:space="0" w:color="auto"/>
            </w:tcBorders>
            <w:shd w:val="clear" w:color="auto" w:fill="auto"/>
            <w:vAlign w:val="bottom"/>
          </w:tcPr>
          <w:p w14:paraId="54E4AFD0" w14:textId="4CB49AB9" w:rsidR="00BA1FB3" w:rsidRPr="00BA1FB3" w:rsidRDefault="00B800C4" w:rsidP="00BA1FB3">
            <w:pPr>
              <w:tabs>
                <w:tab w:val="left" w:pos="288"/>
                <w:tab w:val="left" w:pos="576"/>
                <w:tab w:val="left" w:pos="864"/>
                <w:tab w:val="left" w:pos="1152"/>
              </w:tabs>
              <w:suppressAutoHyphens/>
              <w:spacing w:before="81" w:after="81" w:line="160" w:lineRule="exact"/>
              <w:ind w:right="40"/>
              <w:rPr>
                <w:i/>
                <w:sz w:val="14"/>
              </w:rPr>
            </w:pPr>
            <w:r>
              <w:rPr>
                <w:i/>
                <w:sz w:val="14"/>
              </w:rPr>
              <w:t>Paliers scolaires</w:t>
            </w:r>
          </w:p>
        </w:tc>
        <w:tc>
          <w:tcPr>
            <w:tcW w:w="810" w:type="dxa"/>
            <w:gridSpan w:val="2"/>
            <w:tcBorders>
              <w:top w:val="single" w:sz="4" w:space="0" w:color="auto"/>
              <w:bottom w:val="single" w:sz="12" w:space="0" w:color="auto"/>
            </w:tcBorders>
            <w:shd w:val="clear" w:color="auto" w:fill="auto"/>
            <w:vAlign w:val="bottom"/>
          </w:tcPr>
          <w:p w14:paraId="6439A72A" w14:textId="5C49F45A" w:rsidR="00BA1FB3"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Garçons</w:t>
            </w:r>
          </w:p>
        </w:tc>
        <w:tc>
          <w:tcPr>
            <w:tcW w:w="927" w:type="dxa"/>
            <w:tcBorders>
              <w:top w:val="single" w:sz="4" w:space="0" w:color="auto"/>
              <w:bottom w:val="single" w:sz="12" w:space="0" w:color="auto"/>
            </w:tcBorders>
            <w:shd w:val="clear" w:color="auto" w:fill="auto"/>
            <w:vAlign w:val="bottom"/>
          </w:tcPr>
          <w:p w14:paraId="12CED69E" w14:textId="752DA509" w:rsidR="00BA1FB3"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Filles</w:t>
            </w:r>
          </w:p>
        </w:tc>
        <w:tc>
          <w:tcPr>
            <w:tcW w:w="837" w:type="dxa"/>
            <w:tcBorders>
              <w:top w:val="single" w:sz="4" w:space="0" w:color="auto"/>
              <w:bottom w:val="single" w:sz="12" w:space="0" w:color="auto"/>
            </w:tcBorders>
            <w:shd w:val="clear" w:color="auto" w:fill="auto"/>
            <w:vAlign w:val="bottom"/>
          </w:tcPr>
          <w:p w14:paraId="240C3581" w14:textId="2131D944" w:rsidR="00BA1FB3"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r w:rsidRPr="00C1589D">
              <w:rPr>
                <w:b/>
                <w:sz w:val="14"/>
              </w:rPr>
              <w:t>Total</w:t>
            </w:r>
          </w:p>
        </w:tc>
        <w:tc>
          <w:tcPr>
            <w:tcW w:w="132" w:type="dxa"/>
            <w:tcBorders>
              <w:bottom w:val="single" w:sz="12" w:space="0" w:color="auto"/>
            </w:tcBorders>
            <w:shd w:val="clear" w:color="auto" w:fill="auto"/>
            <w:vAlign w:val="bottom"/>
          </w:tcPr>
          <w:p w14:paraId="036D61FF" w14:textId="77777777" w:rsidR="00BA1FB3" w:rsidRPr="00BA1FB3" w:rsidRDefault="00BA1FB3" w:rsidP="00BA1FB3">
            <w:pPr>
              <w:tabs>
                <w:tab w:val="left" w:pos="288"/>
                <w:tab w:val="left" w:pos="576"/>
                <w:tab w:val="left" w:pos="864"/>
                <w:tab w:val="left" w:pos="1152"/>
              </w:tabs>
              <w:suppressAutoHyphens/>
              <w:spacing w:before="81" w:after="81" w:line="160" w:lineRule="exact"/>
              <w:ind w:left="144" w:right="43"/>
              <w:jc w:val="right"/>
              <w:rPr>
                <w:i/>
                <w:sz w:val="14"/>
              </w:rPr>
            </w:pPr>
          </w:p>
        </w:tc>
        <w:tc>
          <w:tcPr>
            <w:tcW w:w="813" w:type="dxa"/>
            <w:tcBorders>
              <w:top w:val="single" w:sz="4" w:space="0" w:color="auto"/>
              <w:bottom w:val="single" w:sz="12" w:space="0" w:color="auto"/>
            </w:tcBorders>
            <w:shd w:val="clear" w:color="auto" w:fill="auto"/>
            <w:vAlign w:val="bottom"/>
          </w:tcPr>
          <w:p w14:paraId="165515BB" w14:textId="51E7F184" w:rsidR="00BA1FB3"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Garçons</w:t>
            </w:r>
          </w:p>
        </w:tc>
        <w:tc>
          <w:tcPr>
            <w:tcW w:w="813" w:type="dxa"/>
            <w:tcBorders>
              <w:top w:val="single" w:sz="4" w:space="0" w:color="auto"/>
              <w:bottom w:val="single" w:sz="12" w:space="0" w:color="auto"/>
            </w:tcBorders>
            <w:shd w:val="clear" w:color="auto" w:fill="auto"/>
            <w:vAlign w:val="bottom"/>
          </w:tcPr>
          <w:p w14:paraId="592F7336" w14:textId="7C6A5228" w:rsidR="00BA1FB3" w:rsidRPr="00BA1FB3" w:rsidRDefault="00B800C4" w:rsidP="00BA1FB3">
            <w:pPr>
              <w:tabs>
                <w:tab w:val="left" w:pos="288"/>
                <w:tab w:val="left" w:pos="576"/>
                <w:tab w:val="left" w:pos="864"/>
                <w:tab w:val="left" w:pos="1152"/>
              </w:tabs>
              <w:suppressAutoHyphens/>
              <w:spacing w:before="81" w:after="81" w:line="160" w:lineRule="exact"/>
              <w:ind w:left="144" w:right="43"/>
              <w:jc w:val="right"/>
              <w:rPr>
                <w:i/>
                <w:sz w:val="14"/>
              </w:rPr>
            </w:pPr>
            <w:r>
              <w:rPr>
                <w:i/>
                <w:sz w:val="14"/>
              </w:rPr>
              <w:t>Filles</w:t>
            </w:r>
          </w:p>
        </w:tc>
        <w:tc>
          <w:tcPr>
            <w:tcW w:w="813" w:type="dxa"/>
            <w:tcBorders>
              <w:top w:val="single" w:sz="4" w:space="0" w:color="auto"/>
              <w:bottom w:val="single" w:sz="12" w:space="0" w:color="auto"/>
            </w:tcBorders>
            <w:shd w:val="clear" w:color="auto" w:fill="auto"/>
            <w:vAlign w:val="bottom"/>
          </w:tcPr>
          <w:p w14:paraId="0C63B503" w14:textId="267DACE0" w:rsidR="00BA1FB3" w:rsidRPr="00C1589D" w:rsidRDefault="00B800C4" w:rsidP="00BA1FB3">
            <w:pPr>
              <w:tabs>
                <w:tab w:val="left" w:pos="288"/>
                <w:tab w:val="left" w:pos="576"/>
                <w:tab w:val="left" w:pos="864"/>
                <w:tab w:val="left" w:pos="1152"/>
              </w:tabs>
              <w:suppressAutoHyphens/>
              <w:spacing w:before="81" w:after="81" w:line="160" w:lineRule="exact"/>
              <w:ind w:left="144" w:right="43"/>
              <w:jc w:val="right"/>
              <w:rPr>
                <w:b/>
                <w:sz w:val="14"/>
              </w:rPr>
            </w:pPr>
            <w:r w:rsidRPr="00C1589D">
              <w:rPr>
                <w:b/>
                <w:sz w:val="14"/>
              </w:rPr>
              <w:t>Total</w:t>
            </w:r>
          </w:p>
        </w:tc>
        <w:tc>
          <w:tcPr>
            <w:tcW w:w="813" w:type="dxa"/>
            <w:tcBorders>
              <w:top w:val="single" w:sz="4" w:space="0" w:color="auto"/>
              <w:bottom w:val="single" w:sz="12" w:space="0" w:color="auto"/>
            </w:tcBorders>
            <w:shd w:val="clear" w:color="auto" w:fill="auto"/>
            <w:vAlign w:val="bottom"/>
          </w:tcPr>
          <w:p w14:paraId="6823F81F" w14:textId="6D4BDF13" w:rsidR="00BA1FB3" w:rsidRPr="00C1589D" w:rsidRDefault="00B800C4" w:rsidP="00BA1FB3">
            <w:pPr>
              <w:tabs>
                <w:tab w:val="left" w:pos="288"/>
                <w:tab w:val="left" w:pos="576"/>
                <w:tab w:val="left" w:pos="864"/>
                <w:tab w:val="left" w:pos="1152"/>
              </w:tabs>
              <w:suppressAutoHyphens/>
              <w:spacing w:before="81" w:after="81" w:line="160" w:lineRule="exact"/>
              <w:ind w:left="144" w:right="43"/>
              <w:jc w:val="right"/>
              <w:rPr>
                <w:b/>
                <w:sz w:val="14"/>
              </w:rPr>
            </w:pPr>
            <w:r w:rsidRPr="00C1589D">
              <w:rPr>
                <w:b/>
                <w:sz w:val="14"/>
              </w:rPr>
              <w:t>Total</w:t>
            </w:r>
          </w:p>
        </w:tc>
      </w:tr>
      <w:tr w:rsidR="00BA1FB3" w:rsidRPr="00BA1FB3" w14:paraId="466CB68F" w14:textId="77777777" w:rsidTr="00C1589D">
        <w:trPr>
          <w:trHeight w:hRule="exact" w:val="115"/>
          <w:tblHeader/>
        </w:trPr>
        <w:tc>
          <w:tcPr>
            <w:tcW w:w="1413" w:type="dxa"/>
            <w:tcBorders>
              <w:top w:val="single" w:sz="12" w:space="0" w:color="auto"/>
            </w:tcBorders>
            <w:shd w:val="clear" w:color="auto" w:fill="auto"/>
            <w:vAlign w:val="bottom"/>
          </w:tcPr>
          <w:p w14:paraId="545CF4CC" w14:textId="77777777" w:rsidR="00BA1FB3" w:rsidRPr="00BA1FB3" w:rsidRDefault="00BA1FB3" w:rsidP="00BA1FB3">
            <w:pPr>
              <w:tabs>
                <w:tab w:val="left" w:pos="288"/>
                <w:tab w:val="left" w:pos="576"/>
                <w:tab w:val="left" w:pos="864"/>
                <w:tab w:val="left" w:pos="1152"/>
              </w:tabs>
              <w:suppressAutoHyphens/>
              <w:spacing w:before="40" w:after="40" w:line="210" w:lineRule="exact"/>
              <w:ind w:right="40"/>
              <w:rPr>
                <w:sz w:val="17"/>
              </w:rPr>
            </w:pPr>
          </w:p>
        </w:tc>
        <w:tc>
          <w:tcPr>
            <w:tcW w:w="810" w:type="dxa"/>
            <w:gridSpan w:val="2"/>
            <w:tcBorders>
              <w:top w:val="single" w:sz="12" w:space="0" w:color="auto"/>
            </w:tcBorders>
            <w:shd w:val="clear" w:color="auto" w:fill="auto"/>
            <w:vAlign w:val="bottom"/>
          </w:tcPr>
          <w:p w14:paraId="0D281C64"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927" w:type="dxa"/>
            <w:tcBorders>
              <w:top w:val="single" w:sz="12" w:space="0" w:color="auto"/>
            </w:tcBorders>
            <w:shd w:val="clear" w:color="auto" w:fill="auto"/>
            <w:vAlign w:val="bottom"/>
          </w:tcPr>
          <w:p w14:paraId="56D5D97B"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837" w:type="dxa"/>
            <w:tcBorders>
              <w:top w:val="single" w:sz="12" w:space="0" w:color="auto"/>
            </w:tcBorders>
            <w:shd w:val="clear" w:color="auto" w:fill="auto"/>
            <w:vAlign w:val="bottom"/>
          </w:tcPr>
          <w:p w14:paraId="65052384"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132" w:type="dxa"/>
            <w:tcBorders>
              <w:top w:val="single" w:sz="12" w:space="0" w:color="auto"/>
            </w:tcBorders>
            <w:shd w:val="clear" w:color="auto" w:fill="auto"/>
            <w:vAlign w:val="bottom"/>
          </w:tcPr>
          <w:p w14:paraId="11306502"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089FC057"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73A28F70"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3E65A09E"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5BCF9AA6" w14:textId="77777777" w:rsidR="00BA1FB3" w:rsidRPr="00BA1FB3" w:rsidRDefault="00BA1FB3" w:rsidP="00BA1FB3">
            <w:pPr>
              <w:tabs>
                <w:tab w:val="left" w:pos="288"/>
                <w:tab w:val="left" w:pos="576"/>
                <w:tab w:val="left" w:pos="864"/>
                <w:tab w:val="left" w:pos="1152"/>
              </w:tabs>
              <w:suppressAutoHyphens/>
              <w:spacing w:before="40" w:after="40" w:line="210" w:lineRule="exact"/>
              <w:ind w:left="144" w:right="43"/>
              <w:jc w:val="right"/>
              <w:rPr>
                <w:sz w:val="17"/>
              </w:rPr>
            </w:pPr>
          </w:p>
        </w:tc>
      </w:tr>
      <w:tr w:rsidR="00C1589D" w:rsidRPr="00C1589D" w14:paraId="6C7A716C" w14:textId="77777777" w:rsidTr="00C1589D">
        <w:tc>
          <w:tcPr>
            <w:tcW w:w="1413" w:type="dxa"/>
            <w:shd w:val="clear" w:color="auto" w:fill="auto"/>
            <w:vAlign w:val="bottom"/>
          </w:tcPr>
          <w:p w14:paraId="68F3D48E" w14:textId="75B0064F"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Préscolaire</w:t>
            </w:r>
          </w:p>
        </w:tc>
        <w:tc>
          <w:tcPr>
            <w:tcW w:w="810" w:type="dxa"/>
            <w:gridSpan w:val="2"/>
            <w:shd w:val="clear" w:color="auto" w:fill="auto"/>
            <w:vAlign w:val="bottom"/>
          </w:tcPr>
          <w:p w14:paraId="6D2E463E" w14:textId="4B53EDCF"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219</w:t>
            </w:r>
          </w:p>
        </w:tc>
        <w:tc>
          <w:tcPr>
            <w:tcW w:w="927" w:type="dxa"/>
            <w:shd w:val="clear" w:color="auto" w:fill="auto"/>
            <w:vAlign w:val="bottom"/>
          </w:tcPr>
          <w:p w14:paraId="23499FA0" w14:textId="6DD6FC02"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249</w:t>
            </w:r>
          </w:p>
        </w:tc>
        <w:tc>
          <w:tcPr>
            <w:tcW w:w="837" w:type="dxa"/>
            <w:shd w:val="clear" w:color="auto" w:fill="auto"/>
            <w:vAlign w:val="bottom"/>
          </w:tcPr>
          <w:p w14:paraId="5A7D9491" w14:textId="6B8EC273"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468</w:t>
            </w:r>
          </w:p>
        </w:tc>
        <w:tc>
          <w:tcPr>
            <w:tcW w:w="132" w:type="dxa"/>
            <w:shd w:val="clear" w:color="auto" w:fill="auto"/>
            <w:vAlign w:val="bottom"/>
          </w:tcPr>
          <w:p w14:paraId="1EB9578B"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4760334E" w14:textId="7E20C97C"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0</w:t>
            </w:r>
          </w:p>
        </w:tc>
        <w:tc>
          <w:tcPr>
            <w:tcW w:w="813" w:type="dxa"/>
            <w:shd w:val="clear" w:color="auto" w:fill="auto"/>
            <w:vAlign w:val="bottom"/>
          </w:tcPr>
          <w:p w14:paraId="509D1FEF" w14:textId="4ADE86C4"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0</w:t>
            </w:r>
          </w:p>
        </w:tc>
        <w:tc>
          <w:tcPr>
            <w:tcW w:w="813" w:type="dxa"/>
            <w:shd w:val="clear" w:color="auto" w:fill="auto"/>
            <w:vAlign w:val="bottom"/>
          </w:tcPr>
          <w:p w14:paraId="36DF038B" w14:textId="55E4FC9F"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0</w:t>
            </w:r>
          </w:p>
        </w:tc>
        <w:tc>
          <w:tcPr>
            <w:tcW w:w="813" w:type="dxa"/>
            <w:shd w:val="clear" w:color="auto" w:fill="auto"/>
            <w:vAlign w:val="bottom"/>
          </w:tcPr>
          <w:p w14:paraId="2497BEAB" w14:textId="4CBC3D6C"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468</w:t>
            </w:r>
          </w:p>
        </w:tc>
      </w:tr>
      <w:tr w:rsidR="00C1589D" w:rsidRPr="00C1589D" w14:paraId="417ED58B" w14:textId="77777777" w:rsidTr="00C1589D">
        <w:tc>
          <w:tcPr>
            <w:tcW w:w="1413" w:type="dxa"/>
            <w:shd w:val="clear" w:color="auto" w:fill="auto"/>
            <w:vAlign w:val="bottom"/>
          </w:tcPr>
          <w:p w14:paraId="305E2B21" w14:textId="01AA34DD"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Primaire</w:t>
            </w:r>
          </w:p>
        </w:tc>
        <w:tc>
          <w:tcPr>
            <w:tcW w:w="810" w:type="dxa"/>
            <w:gridSpan w:val="2"/>
            <w:shd w:val="clear" w:color="auto" w:fill="auto"/>
            <w:vAlign w:val="bottom"/>
          </w:tcPr>
          <w:p w14:paraId="27A9643C" w14:textId="7B54BA2E"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11</w:t>
            </w:r>
            <w:r>
              <w:rPr>
                <w:sz w:val="17"/>
                <w:szCs w:val="17"/>
              </w:rPr>
              <w:t xml:space="preserve"> </w:t>
            </w:r>
            <w:r w:rsidRPr="00C1589D">
              <w:rPr>
                <w:sz w:val="17"/>
                <w:szCs w:val="17"/>
              </w:rPr>
              <w:t>919</w:t>
            </w:r>
          </w:p>
        </w:tc>
        <w:tc>
          <w:tcPr>
            <w:tcW w:w="927" w:type="dxa"/>
            <w:shd w:val="clear" w:color="auto" w:fill="auto"/>
            <w:vAlign w:val="bottom"/>
          </w:tcPr>
          <w:p w14:paraId="28772412" w14:textId="730A88B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11</w:t>
            </w:r>
            <w:r>
              <w:rPr>
                <w:sz w:val="17"/>
                <w:szCs w:val="17"/>
              </w:rPr>
              <w:t xml:space="preserve"> </w:t>
            </w:r>
            <w:r w:rsidRPr="00C1589D">
              <w:rPr>
                <w:sz w:val="17"/>
                <w:szCs w:val="17"/>
              </w:rPr>
              <w:t>389</w:t>
            </w:r>
          </w:p>
        </w:tc>
        <w:tc>
          <w:tcPr>
            <w:tcW w:w="837" w:type="dxa"/>
            <w:shd w:val="clear" w:color="auto" w:fill="auto"/>
            <w:vAlign w:val="bottom"/>
          </w:tcPr>
          <w:p w14:paraId="7DAF8AF2" w14:textId="1629038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23</w:t>
            </w:r>
            <w:r>
              <w:rPr>
                <w:b/>
                <w:sz w:val="17"/>
                <w:szCs w:val="17"/>
              </w:rPr>
              <w:t xml:space="preserve"> </w:t>
            </w:r>
            <w:r w:rsidRPr="00C1589D">
              <w:rPr>
                <w:b/>
                <w:sz w:val="17"/>
                <w:szCs w:val="17"/>
              </w:rPr>
              <w:t>308</w:t>
            </w:r>
          </w:p>
        </w:tc>
        <w:tc>
          <w:tcPr>
            <w:tcW w:w="132" w:type="dxa"/>
            <w:shd w:val="clear" w:color="auto" w:fill="auto"/>
            <w:vAlign w:val="bottom"/>
          </w:tcPr>
          <w:p w14:paraId="52725FE6"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08D5C94F" w14:textId="010C197D"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1</w:t>
            </w:r>
            <w:r>
              <w:rPr>
                <w:sz w:val="17"/>
                <w:szCs w:val="17"/>
              </w:rPr>
              <w:t xml:space="preserve"> </w:t>
            </w:r>
            <w:r w:rsidRPr="00173F3D">
              <w:rPr>
                <w:sz w:val="17"/>
                <w:szCs w:val="17"/>
              </w:rPr>
              <w:t>606</w:t>
            </w:r>
          </w:p>
        </w:tc>
        <w:tc>
          <w:tcPr>
            <w:tcW w:w="813" w:type="dxa"/>
            <w:shd w:val="clear" w:color="auto" w:fill="auto"/>
            <w:vAlign w:val="bottom"/>
          </w:tcPr>
          <w:p w14:paraId="0C988B82" w14:textId="7CFAA8BC"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1</w:t>
            </w:r>
            <w:r>
              <w:rPr>
                <w:sz w:val="17"/>
                <w:szCs w:val="17"/>
              </w:rPr>
              <w:t xml:space="preserve"> </w:t>
            </w:r>
            <w:r w:rsidRPr="00173F3D">
              <w:rPr>
                <w:sz w:val="17"/>
                <w:szCs w:val="17"/>
              </w:rPr>
              <w:t>691</w:t>
            </w:r>
          </w:p>
        </w:tc>
        <w:tc>
          <w:tcPr>
            <w:tcW w:w="813" w:type="dxa"/>
            <w:shd w:val="clear" w:color="auto" w:fill="auto"/>
            <w:vAlign w:val="bottom"/>
          </w:tcPr>
          <w:p w14:paraId="532CA95B" w14:textId="3CFCA5F3"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3297</w:t>
            </w:r>
          </w:p>
        </w:tc>
        <w:tc>
          <w:tcPr>
            <w:tcW w:w="813" w:type="dxa"/>
            <w:shd w:val="clear" w:color="auto" w:fill="auto"/>
            <w:vAlign w:val="bottom"/>
          </w:tcPr>
          <w:p w14:paraId="7369EB90" w14:textId="09EB676C"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26</w:t>
            </w:r>
            <w:r>
              <w:rPr>
                <w:b/>
                <w:sz w:val="17"/>
                <w:szCs w:val="17"/>
              </w:rPr>
              <w:t xml:space="preserve"> </w:t>
            </w:r>
            <w:r w:rsidRPr="00173F3D">
              <w:rPr>
                <w:b/>
                <w:sz w:val="17"/>
                <w:szCs w:val="17"/>
              </w:rPr>
              <w:t>605</w:t>
            </w:r>
          </w:p>
        </w:tc>
      </w:tr>
      <w:tr w:rsidR="00C1589D" w:rsidRPr="00C1589D" w14:paraId="4D19747C" w14:textId="77777777" w:rsidTr="00C1589D">
        <w:tc>
          <w:tcPr>
            <w:tcW w:w="1413" w:type="dxa"/>
            <w:shd w:val="clear" w:color="auto" w:fill="auto"/>
            <w:vAlign w:val="bottom"/>
          </w:tcPr>
          <w:p w14:paraId="17F49A7A" w14:textId="392DFB61"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Junior</w:t>
            </w:r>
          </w:p>
        </w:tc>
        <w:tc>
          <w:tcPr>
            <w:tcW w:w="810" w:type="dxa"/>
            <w:gridSpan w:val="2"/>
            <w:shd w:val="clear" w:color="auto" w:fill="auto"/>
            <w:vAlign w:val="bottom"/>
          </w:tcPr>
          <w:p w14:paraId="1DD703C1" w14:textId="7C77732A"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3</w:t>
            </w:r>
            <w:r>
              <w:rPr>
                <w:sz w:val="17"/>
                <w:szCs w:val="17"/>
              </w:rPr>
              <w:t xml:space="preserve"> </w:t>
            </w:r>
            <w:r w:rsidRPr="00C1589D">
              <w:rPr>
                <w:sz w:val="17"/>
                <w:szCs w:val="17"/>
              </w:rPr>
              <w:t>434</w:t>
            </w:r>
          </w:p>
        </w:tc>
        <w:tc>
          <w:tcPr>
            <w:tcW w:w="927" w:type="dxa"/>
            <w:shd w:val="clear" w:color="auto" w:fill="auto"/>
            <w:vAlign w:val="bottom"/>
          </w:tcPr>
          <w:p w14:paraId="5CB7B6E3" w14:textId="762B973D"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3</w:t>
            </w:r>
            <w:r>
              <w:rPr>
                <w:sz w:val="17"/>
                <w:szCs w:val="17"/>
              </w:rPr>
              <w:t xml:space="preserve"> </w:t>
            </w:r>
            <w:r w:rsidRPr="00C1589D">
              <w:rPr>
                <w:sz w:val="17"/>
                <w:szCs w:val="17"/>
              </w:rPr>
              <w:t>403</w:t>
            </w:r>
          </w:p>
        </w:tc>
        <w:tc>
          <w:tcPr>
            <w:tcW w:w="837" w:type="dxa"/>
            <w:shd w:val="clear" w:color="auto" w:fill="auto"/>
            <w:vAlign w:val="bottom"/>
          </w:tcPr>
          <w:p w14:paraId="0EF01003" w14:textId="3E78E23A"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6</w:t>
            </w:r>
            <w:r>
              <w:rPr>
                <w:b/>
                <w:sz w:val="17"/>
                <w:szCs w:val="17"/>
              </w:rPr>
              <w:t xml:space="preserve"> </w:t>
            </w:r>
            <w:r w:rsidRPr="00C1589D">
              <w:rPr>
                <w:b/>
                <w:sz w:val="17"/>
                <w:szCs w:val="17"/>
              </w:rPr>
              <w:t>837</w:t>
            </w:r>
          </w:p>
        </w:tc>
        <w:tc>
          <w:tcPr>
            <w:tcW w:w="132" w:type="dxa"/>
            <w:shd w:val="clear" w:color="auto" w:fill="auto"/>
            <w:vAlign w:val="bottom"/>
          </w:tcPr>
          <w:p w14:paraId="2AA30BFF"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4C10055C" w14:textId="4EF5C271"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37</w:t>
            </w:r>
          </w:p>
        </w:tc>
        <w:tc>
          <w:tcPr>
            <w:tcW w:w="813" w:type="dxa"/>
            <w:shd w:val="clear" w:color="auto" w:fill="auto"/>
            <w:vAlign w:val="bottom"/>
          </w:tcPr>
          <w:p w14:paraId="1DAA7E74" w14:textId="453138A0"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59</w:t>
            </w:r>
          </w:p>
        </w:tc>
        <w:tc>
          <w:tcPr>
            <w:tcW w:w="813" w:type="dxa"/>
            <w:shd w:val="clear" w:color="auto" w:fill="auto"/>
            <w:vAlign w:val="bottom"/>
          </w:tcPr>
          <w:p w14:paraId="30C1EE6D" w14:textId="0C562839"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96</w:t>
            </w:r>
          </w:p>
        </w:tc>
        <w:tc>
          <w:tcPr>
            <w:tcW w:w="813" w:type="dxa"/>
            <w:shd w:val="clear" w:color="auto" w:fill="auto"/>
            <w:vAlign w:val="bottom"/>
          </w:tcPr>
          <w:p w14:paraId="1AE48D9D" w14:textId="26EB4DB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6</w:t>
            </w:r>
            <w:r>
              <w:rPr>
                <w:b/>
                <w:sz w:val="17"/>
                <w:szCs w:val="17"/>
              </w:rPr>
              <w:t xml:space="preserve"> </w:t>
            </w:r>
            <w:r w:rsidRPr="00173F3D">
              <w:rPr>
                <w:b/>
                <w:sz w:val="17"/>
                <w:szCs w:val="17"/>
              </w:rPr>
              <w:t>933</w:t>
            </w:r>
          </w:p>
        </w:tc>
      </w:tr>
      <w:tr w:rsidR="00C1589D" w:rsidRPr="00C1589D" w14:paraId="43CEC881" w14:textId="77777777" w:rsidTr="00C1589D">
        <w:tc>
          <w:tcPr>
            <w:tcW w:w="1413" w:type="dxa"/>
            <w:shd w:val="clear" w:color="auto" w:fill="auto"/>
            <w:vAlign w:val="bottom"/>
          </w:tcPr>
          <w:p w14:paraId="29CEB7AF" w14:textId="7C1C15F3"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Senior</w:t>
            </w:r>
          </w:p>
        </w:tc>
        <w:tc>
          <w:tcPr>
            <w:tcW w:w="810" w:type="dxa"/>
            <w:gridSpan w:val="2"/>
            <w:shd w:val="clear" w:color="auto" w:fill="auto"/>
            <w:vAlign w:val="bottom"/>
          </w:tcPr>
          <w:p w14:paraId="7A698D36" w14:textId="0D8A12C3"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2</w:t>
            </w:r>
            <w:r>
              <w:rPr>
                <w:sz w:val="17"/>
                <w:szCs w:val="17"/>
              </w:rPr>
              <w:t xml:space="preserve"> </w:t>
            </w:r>
            <w:r w:rsidRPr="00C1589D">
              <w:rPr>
                <w:sz w:val="17"/>
                <w:szCs w:val="17"/>
              </w:rPr>
              <w:t>773</w:t>
            </w:r>
          </w:p>
        </w:tc>
        <w:tc>
          <w:tcPr>
            <w:tcW w:w="927" w:type="dxa"/>
            <w:shd w:val="clear" w:color="auto" w:fill="auto"/>
            <w:vAlign w:val="bottom"/>
          </w:tcPr>
          <w:p w14:paraId="3E5B4C40" w14:textId="0155F95F"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3</w:t>
            </w:r>
            <w:r>
              <w:rPr>
                <w:sz w:val="17"/>
                <w:szCs w:val="17"/>
              </w:rPr>
              <w:t xml:space="preserve"> </w:t>
            </w:r>
            <w:r w:rsidRPr="00C1589D">
              <w:rPr>
                <w:sz w:val="17"/>
                <w:szCs w:val="17"/>
              </w:rPr>
              <w:t>071</w:t>
            </w:r>
          </w:p>
        </w:tc>
        <w:tc>
          <w:tcPr>
            <w:tcW w:w="837" w:type="dxa"/>
            <w:shd w:val="clear" w:color="auto" w:fill="auto"/>
            <w:vAlign w:val="bottom"/>
          </w:tcPr>
          <w:p w14:paraId="4F890200" w14:textId="3E8BADE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5</w:t>
            </w:r>
            <w:r>
              <w:rPr>
                <w:b/>
                <w:sz w:val="17"/>
                <w:szCs w:val="17"/>
              </w:rPr>
              <w:t xml:space="preserve"> </w:t>
            </w:r>
            <w:r w:rsidRPr="00C1589D">
              <w:rPr>
                <w:b/>
                <w:sz w:val="17"/>
                <w:szCs w:val="17"/>
              </w:rPr>
              <w:t>844</w:t>
            </w:r>
          </w:p>
        </w:tc>
        <w:tc>
          <w:tcPr>
            <w:tcW w:w="132" w:type="dxa"/>
            <w:shd w:val="clear" w:color="auto" w:fill="auto"/>
            <w:vAlign w:val="bottom"/>
          </w:tcPr>
          <w:p w14:paraId="561E902B"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6D8D971D" w14:textId="3A7ABE4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0</w:t>
            </w:r>
          </w:p>
        </w:tc>
        <w:tc>
          <w:tcPr>
            <w:tcW w:w="813" w:type="dxa"/>
            <w:shd w:val="clear" w:color="auto" w:fill="auto"/>
            <w:vAlign w:val="bottom"/>
          </w:tcPr>
          <w:p w14:paraId="6BEB170A" w14:textId="11E2654A"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0</w:t>
            </w:r>
          </w:p>
        </w:tc>
        <w:tc>
          <w:tcPr>
            <w:tcW w:w="813" w:type="dxa"/>
            <w:shd w:val="clear" w:color="auto" w:fill="auto"/>
            <w:vAlign w:val="bottom"/>
          </w:tcPr>
          <w:p w14:paraId="34DFBCDD" w14:textId="355483E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0</w:t>
            </w:r>
          </w:p>
        </w:tc>
        <w:tc>
          <w:tcPr>
            <w:tcW w:w="813" w:type="dxa"/>
            <w:shd w:val="clear" w:color="auto" w:fill="auto"/>
            <w:vAlign w:val="bottom"/>
          </w:tcPr>
          <w:p w14:paraId="065D4939" w14:textId="2C1110CA"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5</w:t>
            </w:r>
            <w:r>
              <w:rPr>
                <w:b/>
                <w:sz w:val="17"/>
                <w:szCs w:val="17"/>
              </w:rPr>
              <w:t xml:space="preserve"> </w:t>
            </w:r>
            <w:r w:rsidRPr="00173F3D">
              <w:rPr>
                <w:b/>
                <w:sz w:val="17"/>
                <w:szCs w:val="17"/>
              </w:rPr>
              <w:t>844</w:t>
            </w:r>
          </w:p>
        </w:tc>
      </w:tr>
      <w:tr w:rsidR="00C1589D" w:rsidRPr="00C1589D" w14:paraId="2496B075" w14:textId="77777777" w:rsidTr="00C1589D">
        <w:tc>
          <w:tcPr>
            <w:tcW w:w="1413" w:type="dxa"/>
            <w:shd w:val="clear" w:color="auto" w:fill="auto"/>
            <w:vAlign w:val="bottom"/>
          </w:tcPr>
          <w:p w14:paraId="4BDCA58D" w14:textId="185708D2"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Secondaire</w:t>
            </w:r>
          </w:p>
        </w:tc>
        <w:tc>
          <w:tcPr>
            <w:tcW w:w="810" w:type="dxa"/>
            <w:gridSpan w:val="2"/>
            <w:shd w:val="clear" w:color="auto" w:fill="auto"/>
            <w:vAlign w:val="bottom"/>
          </w:tcPr>
          <w:p w14:paraId="6AC7E3AB" w14:textId="04FE8A1A"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3</w:t>
            </w:r>
            <w:r>
              <w:rPr>
                <w:sz w:val="17"/>
                <w:szCs w:val="17"/>
              </w:rPr>
              <w:t xml:space="preserve"> </w:t>
            </w:r>
            <w:r w:rsidRPr="00C1589D">
              <w:rPr>
                <w:sz w:val="17"/>
                <w:szCs w:val="17"/>
              </w:rPr>
              <w:t>037</w:t>
            </w:r>
          </w:p>
        </w:tc>
        <w:tc>
          <w:tcPr>
            <w:tcW w:w="927" w:type="dxa"/>
            <w:shd w:val="clear" w:color="auto" w:fill="auto"/>
            <w:vAlign w:val="bottom"/>
          </w:tcPr>
          <w:p w14:paraId="117601F9" w14:textId="5A4C6EE0"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2</w:t>
            </w:r>
            <w:r>
              <w:rPr>
                <w:sz w:val="17"/>
                <w:szCs w:val="17"/>
              </w:rPr>
              <w:t xml:space="preserve"> </w:t>
            </w:r>
            <w:r w:rsidRPr="00C1589D">
              <w:rPr>
                <w:sz w:val="17"/>
                <w:szCs w:val="17"/>
              </w:rPr>
              <w:t>937</w:t>
            </w:r>
          </w:p>
        </w:tc>
        <w:tc>
          <w:tcPr>
            <w:tcW w:w="837" w:type="dxa"/>
            <w:shd w:val="clear" w:color="auto" w:fill="auto"/>
            <w:vAlign w:val="bottom"/>
          </w:tcPr>
          <w:p w14:paraId="773661D4" w14:textId="0F9B40CD"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5</w:t>
            </w:r>
            <w:r>
              <w:rPr>
                <w:b/>
                <w:sz w:val="17"/>
                <w:szCs w:val="17"/>
              </w:rPr>
              <w:t xml:space="preserve"> </w:t>
            </w:r>
            <w:r w:rsidRPr="00C1589D">
              <w:rPr>
                <w:b/>
                <w:sz w:val="17"/>
                <w:szCs w:val="17"/>
              </w:rPr>
              <w:t>974</w:t>
            </w:r>
          </w:p>
        </w:tc>
        <w:tc>
          <w:tcPr>
            <w:tcW w:w="132" w:type="dxa"/>
            <w:shd w:val="clear" w:color="auto" w:fill="auto"/>
            <w:vAlign w:val="bottom"/>
          </w:tcPr>
          <w:p w14:paraId="7C5400F1"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3DB5125D" w14:textId="053B7BA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686</w:t>
            </w:r>
          </w:p>
        </w:tc>
        <w:tc>
          <w:tcPr>
            <w:tcW w:w="813" w:type="dxa"/>
            <w:shd w:val="clear" w:color="auto" w:fill="auto"/>
            <w:vAlign w:val="bottom"/>
          </w:tcPr>
          <w:p w14:paraId="668E5A84" w14:textId="56033B83"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806</w:t>
            </w:r>
          </w:p>
        </w:tc>
        <w:tc>
          <w:tcPr>
            <w:tcW w:w="813" w:type="dxa"/>
            <w:shd w:val="clear" w:color="auto" w:fill="auto"/>
            <w:vAlign w:val="bottom"/>
          </w:tcPr>
          <w:p w14:paraId="7E3366E5" w14:textId="05550384"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1</w:t>
            </w:r>
            <w:r>
              <w:rPr>
                <w:b/>
                <w:sz w:val="17"/>
                <w:szCs w:val="17"/>
              </w:rPr>
              <w:t xml:space="preserve"> </w:t>
            </w:r>
            <w:r w:rsidRPr="00173F3D">
              <w:rPr>
                <w:b/>
                <w:sz w:val="17"/>
                <w:szCs w:val="17"/>
              </w:rPr>
              <w:t>492</w:t>
            </w:r>
          </w:p>
        </w:tc>
        <w:tc>
          <w:tcPr>
            <w:tcW w:w="813" w:type="dxa"/>
            <w:shd w:val="clear" w:color="auto" w:fill="auto"/>
            <w:vAlign w:val="bottom"/>
          </w:tcPr>
          <w:p w14:paraId="14FF6371" w14:textId="25BDEEC6"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7</w:t>
            </w:r>
            <w:r>
              <w:rPr>
                <w:b/>
                <w:sz w:val="17"/>
                <w:szCs w:val="17"/>
              </w:rPr>
              <w:t xml:space="preserve"> </w:t>
            </w:r>
            <w:r w:rsidRPr="00173F3D">
              <w:rPr>
                <w:b/>
                <w:sz w:val="17"/>
                <w:szCs w:val="17"/>
              </w:rPr>
              <w:t>466</w:t>
            </w:r>
          </w:p>
        </w:tc>
      </w:tr>
      <w:tr w:rsidR="00C1589D" w:rsidRPr="00C1589D" w14:paraId="68437714" w14:textId="77777777" w:rsidTr="00C1589D">
        <w:tc>
          <w:tcPr>
            <w:tcW w:w="1413" w:type="dxa"/>
            <w:shd w:val="clear" w:color="auto" w:fill="auto"/>
            <w:vAlign w:val="bottom"/>
          </w:tcPr>
          <w:p w14:paraId="75E89A1B" w14:textId="795F5097" w:rsidR="00C1589D" w:rsidRPr="00C1589D" w:rsidRDefault="00C1589D" w:rsidP="00C1589D">
            <w:pPr>
              <w:tabs>
                <w:tab w:val="left" w:pos="288"/>
                <w:tab w:val="left" w:pos="576"/>
                <w:tab w:val="left" w:pos="864"/>
                <w:tab w:val="left" w:pos="1152"/>
              </w:tabs>
              <w:suppressAutoHyphens/>
              <w:spacing w:before="40" w:after="40" w:line="210" w:lineRule="exact"/>
              <w:ind w:right="40"/>
              <w:rPr>
                <w:sz w:val="17"/>
                <w:szCs w:val="17"/>
              </w:rPr>
            </w:pPr>
            <w:r w:rsidRPr="00C1589D">
              <w:rPr>
                <w:sz w:val="17"/>
                <w:szCs w:val="17"/>
              </w:rPr>
              <w:t>Tous âges</w:t>
            </w:r>
          </w:p>
        </w:tc>
        <w:tc>
          <w:tcPr>
            <w:tcW w:w="810" w:type="dxa"/>
            <w:gridSpan w:val="2"/>
            <w:shd w:val="clear" w:color="auto" w:fill="auto"/>
            <w:vAlign w:val="bottom"/>
          </w:tcPr>
          <w:p w14:paraId="776D01E7" w14:textId="05D4AE98"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517</w:t>
            </w:r>
          </w:p>
        </w:tc>
        <w:tc>
          <w:tcPr>
            <w:tcW w:w="927" w:type="dxa"/>
            <w:shd w:val="clear" w:color="auto" w:fill="auto"/>
            <w:vAlign w:val="bottom"/>
          </w:tcPr>
          <w:p w14:paraId="2BEF041D" w14:textId="4B3AA8E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sz w:val="17"/>
                <w:szCs w:val="17"/>
              </w:rPr>
              <w:t>572</w:t>
            </w:r>
          </w:p>
        </w:tc>
        <w:tc>
          <w:tcPr>
            <w:tcW w:w="837" w:type="dxa"/>
            <w:shd w:val="clear" w:color="auto" w:fill="auto"/>
            <w:vAlign w:val="bottom"/>
          </w:tcPr>
          <w:p w14:paraId="0B7D967E" w14:textId="5211AFB2"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C1589D">
              <w:rPr>
                <w:b/>
                <w:sz w:val="17"/>
                <w:szCs w:val="17"/>
              </w:rPr>
              <w:t>1</w:t>
            </w:r>
            <w:r>
              <w:rPr>
                <w:b/>
                <w:sz w:val="17"/>
                <w:szCs w:val="17"/>
              </w:rPr>
              <w:t xml:space="preserve"> </w:t>
            </w:r>
            <w:r w:rsidRPr="00C1589D">
              <w:rPr>
                <w:b/>
                <w:sz w:val="17"/>
                <w:szCs w:val="17"/>
              </w:rPr>
              <w:t>089</w:t>
            </w:r>
          </w:p>
        </w:tc>
        <w:tc>
          <w:tcPr>
            <w:tcW w:w="132" w:type="dxa"/>
            <w:shd w:val="clear" w:color="auto" w:fill="auto"/>
            <w:vAlign w:val="bottom"/>
          </w:tcPr>
          <w:p w14:paraId="6C031DF6" w14:textId="77777777"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p>
        </w:tc>
        <w:tc>
          <w:tcPr>
            <w:tcW w:w="813" w:type="dxa"/>
            <w:shd w:val="clear" w:color="auto" w:fill="auto"/>
            <w:vAlign w:val="bottom"/>
          </w:tcPr>
          <w:p w14:paraId="4EA15D6D" w14:textId="483A8589"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5</w:t>
            </w:r>
            <w:r>
              <w:rPr>
                <w:sz w:val="17"/>
                <w:szCs w:val="17"/>
              </w:rPr>
              <w:t xml:space="preserve"> </w:t>
            </w:r>
            <w:r w:rsidRPr="00173F3D">
              <w:rPr>
                <w:sz w:val="17"/>
                <w:szCs w:val="17"/>
              </w:rPr>
              <w:t>282</w:t>
            </w:r>
          </w:p>
        </w:tc>
        <w:tc>
          <w:tcPr>
            <w:tcW w:w="813" w:type="dxa"/>
            <w:shd w:val="clear" w:color="auto" w:fill="auto"/>
            <w:vAlign w:val="bottom"/>
          </w:tcPr>
          <w:p w14:paraId="1F8A1091" w14:textId="37283D31"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sz w:val="17"/>
                <w:szCs w:val="17"/>
              </w:rPr>
              <w:t>6</w:t>
            </w:r>
            <w:r>
              <w:rPr>
                <w:sz w:val="17"/>
                <w:szCs w:val="17"/>
              </w:rPr>
              <w:t xml:space="preserve"> </w:t>
            </w:r>
            <w:r w:rsidRPr="00173F3D">
              <w:rPr>
                <w:sz w:val="17"/>
                <w:szCs w:val="17"/>
              </w:rPr>
              <w:t>059</w:t>
            </w:r>
          </w:p>
        </w:tc>
        <w:tc>
          <w:tcPr>
            <w:tcW w:w="813" w:type="dxa"/>
            <w:shd w:val="clear" w:color="auto" w:fill="auto"/>
            <w:vAlign w:val="bottom"/>
          </w:tcPr>
          <w:p w14:paraId="0EAA48B8" w14:textId="29749248"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11</w:t>
            </w:r>
            <w:r>
              <w:rPr>
                <w:b/>
                <w:sz w:val="17"/>
                <w:szCs w:val="17"/>
              </w:rPr>
              <w:t xml:space="preserve"> </w:t>
            </w:r>
            <w:r w:rsidRPr="00173F3D">
              <w:rPr>
                <w:b/>
                <w:sz w:val="17"/>
                <w:szCs w:val="17"/>
              </w:rPr>
              <w:t>341</w:t>
            </w:r>
          </w:p>
        </w:tc>
        <w:tc>
          <w:tcPr>
            <w:tcW w:w="813" w:type="dxa"/>
            <w:shd w:val="clear" w:color="auto" w:fill="auto"/>
            <w:vAlign w:val="bottom"/>
          </w:tcPr>
          <w:p w14:paraId="35B47D9B" w14:textId="027DF029" w:rsidR="00C1589D" w:rsidRPr="00C1589D" w:rsidRDefault="00C1589D" w:rsidP="00C1589D">
            <w:pPr>
              <w:tabs>
                <w:tab w:val="left" w:pos="288"/>
                <w:tab w:val="left" w:pos="576"/>
                <w:tab w:val="left" w:pos="864"/>
                <w:tab w:val="left" w:pos="1152"/>
              </w:tabs>
              <w:suppressAutoHyphens/>
              <w:spacing w:before="40" w:after="40" w:line="210" w:lineRule="exact"/>
              <w:ind w:left="144" w:right="43"/>
              <w:jc w:val="right"/>
              <w:rPr>
                <w:sz w:val="17"/>
                <w:szCs w:val="17"/>
              </w:rPr>
            </w:pPr>
            <w:r w:rsidRPr="00173F3D">
              <w:rPr>
                <w:b/>
                <w:sz w:val="17"/>
                <w:szCs w:val="17"/>
              </w:rPr>
              <w:t>12</w:t>
            </w:r>
            <w:r>
              <w:rPr>
                <w:b/>
                <w:sz w:val="17"/>
                <w:szCs w:val="17"/>
              </w:rPr>
              <w:t xml:space="preserve"> </w:t>
            </w:r>
            <w:r w:rsidRPr="00173F3D">
              <w:rPr>
                <w:b/>
                <w:sz w:val="17"/>
                <w:szCs w:val="17"/>
              </w:rPr>
              <w:t>430</w:t>
            </w:r>
          </w:p>
        </w:tc>
      </w:tr>
      <w:tr w:rsidR="00C1589D" w:rsidRPr="00C1589D" w14:paraId="70D0D5A7" w14:textId="77777777" w:rsidTr="00C1589D">
        <w:tc>
          <w:tcPr>
            <w:tcW w:w="1413" w:type="dxa"/>
            <w:tcBorders>
              <w:bottom w:val="single" w:sz="4" w:space="0" w:color="auto"/>
            </w:tcBorders>
            <w:shd w:val="clear" w:color="auto" w:fill="auto"/>
            <w:vAlign w:val="bottom"/>
          </w:tcPr>
          <w:p w14:paraId="523A1933" w14:textId="6F9B3B99" w:rsidR="00C1589D" w:rsidRPr="00C1589D" w:rsidRDefault="00C1589D" w:rsidP="00C1589D">
            <w:pPr>
              <w:tabs>
                <w:tab w:val="left" w:pos="288"/>
                <w:tab w:val="left" w:pos="576"/>
                <w:tab w:val="left" w:pos="864"/>
                <w:tab w:val="left" w:pos="1152"/>
              </w:tabs>
              <w:suppressAutoHyphens/>
              <w:spacing w:before="40" w:after="81" w:line="210" w:lineRule="exact"/>
              <w:ind w:right="40"/>
              <w:rPr>
                <w:sz w:val="17"/>
                <w:szCs w:val="17"/>
              </w:rPr>
            </w:pPr>
            <w:r w:rsidRPr="00C1589D">
              <w:rPr>
                <w:sz w:val="17"/>
                <w:szCs w:val="17"/>
              </w:rPr>
              <w:t>École spéciale</w:t>
            </w:r>
          </w:p>
        </w:tc>
        <w:tc>
          <w:tcPr>
            <w:tcW w:w="810" w:type="dxa"/>
            <w:gridSpan w:val="2"/>
            <w:tcBorders>
              <w:bottom w:val="single" w:sz="4" w:space="0" w:color="auto"/>
            </w:tcBorders>
            <w:shd w:val="clear" w:color="auto" w:fill="auto"/>
            <w:vAlign w:val="bottom"/>
          </w:tcPr>
          <w:p w14:paraId="19E5ADAB" w14:textId="3D8FAE01"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C1589D">
              <w:rPr>
                <w:sz w:val="17"/>
                <w:szCs w:val="17"/>
              </w:rPr>
              <w:t>124</w:t>
            </w:r>
          </w:p>
        </w:tc>
        <w:tc>
          <w:tcPr>
            <w:tcW w:w="927" w:type="dxa"/>
            <w:tcBorders>
              <w:bottom w:val="single" w:sz="4" w:space="0" w:color="auto"/>
            </w:tcBorders>
            <w:shd w:val="clear" w:color="auto" w:fill="auto"/>
            <w:vAlign w:val="bottom"/>
          </w:tcPr>
          <w:p w14:paraId="1B44416E" w14:textId="4C1329FD"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C1589D">
              <w:rPr>
                <w:sz w:val="17"/>
                <w:szCs w:val="17"/>
              </w:rPr>
              <w:t>112</w:t>
            </w:r>
          </w:p>
        </w:tc>
        <w:tc>
          <w:tcPr>
            <w:tcW w:w="837" w:type="dxa"/>
            <w:tcBorders>
              <w:bottom w:val="single" w:sz="4" w:space="0" w:color="auto"/>
            </w:tcBorders>
            <w:shd w:val="clear" w:color="auto" w:fill="auto"/>
            <w:vAlign w:val="bottom"/>
          </w:tcPr>
          <w:p w14:paraId="248ED74E" w14:textId="163EAFA5"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C1589D">
              <w:rPr>
                <w:b/>
                <w:sz w:val="17"/>
                <w:szCs w:val="17"/>
              </w:rPr>
              <w:t>236</w:t>
            </w:r>
          </w:p>
        </w:tc>
        <w:tc>
          <w:tcPr>
            <w:tcW w:w="132" w:type="dxa"/>
            <w:tcBorders>
              <w:bottom w:val="single" w:sz="4" w:space="0" w:color="auto"/>
            </w:tcBorders>
            <w:shd w:val="clear" w:color="auto" w:fill="auto"/>
            <w:vAlign w:val="bottom"/>
          </w:tcPr>
          <w:p w14:paraId="16E6839C" w14:textId="77777777"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p>
        </w:tc>
        <w:tc>
          <w:tcPr>
            <w:tcW w:w="813" w:type="dxa"/>
            <w:tcBorders>
              <w:bottom w:val="single" w:sz="4" w:space="0" w:color="auto"/>
            </w:tcBorders>
            <w:shd w:val="clear" w:color="auto" w:fill="auto"/>
            <w:vAlign w:val="bottom"/>
          </w:tcPr>
          <w:p w14:paraId="2453BAF6" w14:textId="64DFDA45"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173F3D">
              <w:rPr>
                <w:sz w:val="17"/>
                <w:szCs w:val="17"/>
              </w:rPr>
              <w:t>0</w:t>
            </w:r>
          </w:p>
        </w:tc>
        <w:tc>
          <w:tcPr>
            <w:tcW w:w="813" w:type="dxa"/>
            <w:tcBorders>
              <w:bottom w:val="single" w:sz="4" w:space="0" w:color="auto"/>
            </w:tcBorders>
            <w:shd w:val="clear" w:color="auto" w:fill="auto"/>
            <w:vAlign w:val="bottom"/>
          </w:tcPr>
          <w:p w14:paraId="3B382730" w14:textId="7AC571D0"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173F3D">
              <w:rPr>
                <w:sz w:val="17"/>
                <w:szCs w:val="17"/>
              </w:rPr>
              <w:t>0</w:t>
            </w:r>
          </w:p>
        </w:tc>
        <w:tc>
          <w:tcPr>
            <w:tcW w:w="813" w:type="dxa"/>
            <w:tcBorders>
              <w:bottom w:val="single" w:sz="4" w:space="0" w:color="auto"/>
            </w:tcBorders>
            <w:shd w:val="clear" w:color="auto" w:fill="auto"/>
            <w:vAlign w:val="bottom"/>
          </w:tcPr>
          <w:p w14:paraId="744442A3" w14:textId="03AC3639"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173F3D">
              <w:rPr>
                <w:b/>
                <w:sz w:val="17"/>
                <w:szCs w:val="17"/>
              </w:rPr>
              <w:t>0</w:t>
            </w:r>
          </w:p>
        </w:tc>
        <w:tc>
          <w:tcPr>
            <w:tcW w:w="813" w:type="dxa"/>
            <w:tcBorders>
              <w:bottom w:val="single" w:sz="4" w:space="0" w:color="auto"/>
            </w:tcBorders>
            <w:shd w:val="clear" w:color="auto" w:fill="auto"/>
            <w:vAlign w:val="bottom"/>
          </w:tcPr>
          <w:p w14:paraId="79BD5E1F" w14:textId="00A8CD5A" w:rsidR="00C1589D" w:rsidRPr="00C1589D" w:rsidRDefault="00C1589D" w:rsidP="00C1589D">
            <w:pPr>
              <w:tabs>
                <w:tab w:val="left" w:pos="288"/>
                <w:tab w:val="left" w:pos="576"/>
                <w:tab w:val="left" w:pos="864"/>
                <w:tab w:val="left" w:pos="1152"/>
              </w:tabs>
              <w:suppressAutoHyphens/>
              <w:spacing w:before="40" w:after="81" w:line="210" w:lineRule="exact"/>
              <w:ind w:left="144" w:right="43"/>
              <w:jc w:val="right"/>
              <w:rPr>
                <w:sz w:val="17"/>
                <w:szCs w:val="17"/>
              </w:rPr>
            </w:pPr>
            <w:r w:rsidRPr="00173F3D">
              <w:rPr>
                <w:b/>
                <w:sz w:val="17"/>
                <w:szCs w:val="17"/>
              </w:rPr>
              <w:t>236</w:t>
            </w:r>
          </w:p>
        </w:tc>
      </w:tr>
      <w:tr w:rsidR="00C1589D" w:rsidRPr="00C1589D" w14:paraId="23E81B50" w14:textId="77777777" w:rsidTr="00C1589D">
        <w:tc>
          <w:tcPr>
            <w:tcW w:w="1413" w:type="dxa"/>
            <w:tcBorders>
              <w:top w:val="single" w:sz="4" w:space="0" w:color="auto"/>
              <w:bottom w:val="single" w:sz="12" w:space="0" w:color="000000"/>
            </w:tcBorders>
            <w:shd w:val="clear" w:color="auto" w:fill="auto"/>
            <w:vAlign w:val="bottom"/>
          </w:tcPr>
          <w:p w14:paraId="42938EA0" w14:textId="3069DAF9" w:rsidR="00C1589D" w:rsidRPr="00C1589D" w:rsidRDefault="00C1589D" w:rsidP="00C1589D">
            <w:pPr>
              <w:tabs>
                <w:tab w:val="left" w:pos="288"/>
                <w:tab w:val="left" w:pos="576"/>
                <w:tab w:val="left" w:pos="864"/>
                <w:tab w:val="left" w:pos="1152"/>
              </w:tabs>
              <w:suppressAutoHyphens/>
              <w:spacing w:before="81" w:after="81" w:line="210" w:lineRule="exact"/>
              <w:ind w:right="40"/>
              <w:rPr>
                <w:b/>
                <w:sz w:val="17"/>
                <w:szCs w:val="17"/>
              </w:rPr>
            </w:pPr>
            <w:r w:rsidRPr="00C1589D">
              <w:rPr>
                <w:b/>
                <w:sz w:val="17"/>
                <w:szCs w:val="17"/>
              </w:rPr>
              <w:tab/>
              <w:t>Total</w:t>
            </w:r>
          </w:p>
        </w:tc>
        <w:tc>
          <w:tcPr>
            <w:tcW w:w="810" w:type="dxa"/>
            <w:gridSpan w:val="2"/>
            <w:tcBorders>
              <w:top w:val="single" w:sz="4" w:space="0" w:color="auto"/>
              <w:bottom w:val="single" w:sz="12" w:space="0" w:color="000000"/>
            </w:tcBorders>
            <w:shd w:val="clear" w:color="auto" w:fill="auto"/>
            <w:vAlign w:val="bottom"/>
          </w:tcPr>
          <w:p w14:paraId="31D36312" w14:textId="3305729C"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22 023</w:t>
            </w:r>
          </w:p>
        </w:tc>
        <w:tc>
          <w:tcPr>
            <w:tcW w:w="927" w:type="dxa"/>
            <w:tcBorders>
              <w:top w:val="single" w:sz="4" w:space="0" w:color="auto"/>
              <w:bottom w:val="single" w:sz="12" w:space="0" w:color="000000"/>
            </w:tcBorders>
            <w:shd w:val="clear" w:color="auto" w:fill="auto"/>
            <w:vAlign w:val="bottom"/>
          </w:tcPr>
          <w:p w14:paraId="158C864E" w14:textId="4870458D"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21 733</w:t>
            </w:r>
          </w:p>
        </w:tc>
        <w:tc>
          <w:tcPr>
            <w:tcW w:w="837" w:type="dxa"/>
            <w:tcBorders>
              <w:top w:val="single" w:sz="4" w:space="0" w:color="auto"/>
              <w:bottom w:val="single" w:sz="12" w:space="0" w:color="000000"/>
            </w:tcBorders>
            <w:shd w:val="clear" w:color="auto" w:fill="auto"/>
            <w:vAlign w:val="bottom"/>
          </w:tcPr>
          <w:p w14:paraId="4B090CDE" w14:textId="64B4A433"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43 756</w:t>
            </w:r>
          </w:p>
        </w:tc>
        <w:tc>
          <w:tcPr>
            <w:tcW w:w="132" w:type="dxa"/>
            <w:tcBorders>
              <w:top w:val="single" w:sz="4" w:space="0" w:color="auto"/>
              <w:bottom w:val="single" w:sz="12" w:space="0" w:color="000000"/>
            </w:tcBorders>
            <w:shd w:val="clear" w:color="auto" w:fill="auto"/>
            <w:vAlign w:val="bottom"/>
          </w:tcPr>
          <w:p w14:paraId="353F72C5" w14:textId="77777777"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p>
        </w:tc>
        <w:tc>
          <w:tcPr>
            <w:tcW w:w="813" w:type="dxa"/>
            <w:tcBorders>
              <w:top w:val="single" w:sz="4" w:space="0" w:color="auto"/>
              <w:bottom w:val="single" w:sz="12" w:space="0" w:color="000000"/>
            </w:tcBorders>
            <w:shd w:val="clear" w:color="auto" w:fill="auto"/>
            <w:vAlign w:val="bottom"/>
          </w:tcPr>
          <w:p w14:paraId="5E22CC67" w14:textId="56365228"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7 611</w:t>
            </w:r>
          </w:p>
        </w:tc>
        <w:tc>
          <w:tcPr>
            <w:tcW w:w="813" w:type="dxa"/>
            <w:tcBorders>
              <w:top w:val="single" w:sz="4" w:space="0" w:color="auto"/>
              <w:bottom w:val="single" w:sz="12" w:space="0" w:color="000000"/>
            </w:tcBorders>
            <w:shd w:val="clear" w:color="auto" w:fill="auto"/>
            <w:vAlign w:val="bottom"/>
          </w:tcPr>
          <w:p w14:paraId="78086747" w14:textId="7693208F"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8 615</w:t>
            </w:r>
          </w:p>
        </w:tc>
        <w:tc>
          <w:tcPr>
            <w:tcW w:w="813" w:type="dxa"/>
            <w:tcBorders>
              <w:top w:val="single" w:sz="4" w:space="0" w:color="auto"/>
              <w:bottom w:val="single" w:sz="12" w:space="0" w:color="000000"/>
            </w:tcBorders>
            <w:shd w:val="clear" w:color="auto" w:fill="auto"/>
            <w:vAlign w:val="bottom"/>
          </w:tcPr>
          <w:p w14:paraId="756F0327" w14:textId="7BFBE775"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16 226</w:t>
            </w:r>
          </w:p>
        </w:tc>
        <w:tc>
          <w:tcPr>
            <w:tcW w:w="813" w:type="dxa"/>
            <w:tcBorders>
              <w:top w:val="single" w:sz="4" w:space="0" w:color="auto"/>
              <w:bottom w:val="single" w:sz="12" w:space="0" w:color="000000"/>
            </w:tcBorders>
            <w:shd w:val="clear" w:color="auto" w:fill="auto"/>
            <w:vAlign w:val="bottom"/>
          </w:tcPr>
          <w:p w14:paraId="3ED8F2D1" w14:textId="39F88E80" w:rsidR="00C1589D" w:rsidRPr="00C1589D" w:rsidRDefault="00C1589D" w:rsidP="00C1589D">
            <w:pPr>
              <w:tabs>
                <w:tab w:val="left" w:pos="288"/>
                <w:tab w:val="left" w:pos="576"/>
                <w:tab w:val="left" w:pos="864"/>
                <w:tab w:val="left" w:pos="1152"/>
              </w:tabs>
              <w:suppressAutoHyphens/>
              <w:spacing w:before="81" w:after="81" w:line="210" w:lineRule="exact"/>
              <w:ind w:left="144" w:right="43"/>
              <w:jc w:val="right"/>
              <w:rPr>
                <w:b/>
                <w:sz w:val="17"/>
                <w:szCs w:val="17"/>
              </w:rPr>
            </w:pPr>
            <w:r w:rsidRPr="00C1589D">
              <w:rPr>
                <w:b/>
                <w:sz w:val="17"/>
                <w:szCs w:val="17"/>
              </w:rPr>
              <w:t>59 982</w:t>
            </w:r>
          </w:p>
        </w:tc>
      </w:tr>
    </w:tbl>
    <w:p w14:paraId="59ACA595" w14:textId="34D877F6" w:rsidR="00E91104" w:rsidRPr="00C1589D" w:rsidRDefault="00E91104" w:rsidP="00C1589D">
      <w:pPr>
        <w:pStyle w:val="SingleTxt"/>
        <w:suppressAutoHyphens/>
        <w:spacing w:after="0" w:line="120" w:lineRule="exact"/>
        <w:rPr>
          <w:sz w:val="10"/>
          <w:szCs w:val="17"/>
        </w:rPr>
      </w:pPr>
    </w:p>
    <w:p w14:paraId="6F7EE7F0" w14:textId="7CCF962D" w:rsidR="00C1589D" w:rsidRPr="00C1589D" w:rsidRDefault="00C1589D" w:rsidP="00C1589D">
      <w:pPr>
        <w:pStyle w:val="FootnoteText"/>
        <w:tabs>
          <w:tab w:val="clear" w:pos="418"/>
          <w:tab w:val="right" w:pos="1476"/>
          <w:tab w:val="left" w:pos="1548"/>
          <w:tab w:val="right" w:pos="1836"/>
          <w:tab w:val="left" w:pos="1908"/>
        </w:tabs>
        <w:ind w:left="1548" w:right="1267" w:hanging="288"/>
      </w:pPr>
      <w:r>
        <w:rPr>
          <w:i/>
        </w:rPr>
        <w:t>Source </w:t>
      </w:r>
      <w:r>
        <w:t>: Département de l</w:t>
      </w:r>
      <w:r w:rsidR="00000F67">
        <w:t>’</w:t>
      </w:r>
      <w:r>
        <w:t>éducation, de la science et de la technologie.</w:t>
      </w:r>
    </w:p>
    <w:p w14:paraId="2B086A9E" w14:textId="5660790F" w:rsidR="00E91104" w:rsidRPr="00C1589D" w:rsidRDefault="00E91104" w:rsidP="00C1589D">
      <w:pPr>
        <w:pStyle w:val="SingleTxt"/>
        <w:suppressAutoHyphens/>
        <w:spacing w:after="0" w:line="120" w:lineRule="exact"/>
        <w:rPr>
          <w:sz w:val="10"/>
        </w:rPr>
      </w:pPr>
    </w:p>
    <w:p w14:paraId="4E111388" w14:textId="00273582" w:rsidR="00C1589D" w:rsidRPr="00C1589D" w:rsidRDefault="00C1589D" w:rsidP="00C1589D">
      <w:pPr>
        <w:pStyle w:val="SingleTxt"/>
        <w:suppressAutoHyphens/>
        <w:spacing w:after="0" w:line="120" w:lineRule="exact"/>
        <w:rPr>
          <w:sz w:val="10"/>
        </w:rPr>
      </w:pPr>
    </w:p>
    <w:p w14:paraId="7B3C5B52" w14:textId="5588413D" w:rsidR="00C1589D" w:rsidRPr="00C1589D" w:rsidRDefault="00C1589D" w:rsidP="00C1589D">
      <w:pPr>
        <w:pStyle w:val="SingleTxt"/>
        <w:suppressAutoHyphens/>
        <w:spacing w:after="0" w:line="120" w:lineRule="exact"/>
        <w:rPr>
          <w:sz w:val="10"/>
        </w:rPr>
      </w:pPr>
    </w:p>
    <w:p w14:paraId="08179A53" w14:textId="77777777" w:rsidR="00DF571D" w:rsidRDefault="00DF571D">
      <w:pPr>
        <w:spacing w:line="240" w:lineRule="auto"/>
        <w:rPr>
          <w:spacing w:val="2"/>
        </w:rPr>
      </w:pPr>
      <w:r>
        <w:rPr>
          <w:b/>
        </w:rPr>
        <w:br w:type="page"/>
      </w:r>
    </w:p>
    <w:p w14:paraId="673BB153" w14:textId="7C7DFB1E" w:rsidR="00C1589D" w:rsidRPr="00DF571D" w:rsidRDefault="00DF571D" w:rsidP="00DF57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DF571D">
        <w:rPr>
          <w:b w:val="0"/>
        </w:rPr>
        <w:lastRenderedPageBreak/>
        <w:tab/>
      </w:r>
      <w:r w:rsidRPr="00DF571D">
        <w:rPr>
          <w:b w:val="0"/>
        </w:rPr>
        <w:tab/>
        <w:t>Tableau 5</w:t>
      </w:r>
    </w:p>
    <w:p w14:paraId="19907330" w14:textId="07CFDAE8" w:rsidR="00DF571D" w:rsidRDefault="00DF571D" w:rsidP="00DF57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de formation de l</w:t>
      </w:r>
      <w:r w:rsidR="00000F67">
        <w:t>’</w:t>
      </w:r>
      <w:r>
        <w:t xml:space="preserve">enseignement technique et professionnel (TVET) </w:t>
      </w:r>
      <w:r>
        <w:br/>
        <w:t>– 2017</w:t>
      </w:r>
    </w:p>
    <w:p w14:paraId="6AF40EAE" w14:textId="0C880F56" w:rsidR="00BA1FB3" w:rsidRPr="00DF571D" w:rsidRDefault="00BA1FB3" w:rsidP="00DF571D">
      <w:pPr>
        <w:pStyle w:val="SingleTxt"/>
        <w:suppressAutoHyphens/>
        <w:spacing w:after="0" w:line="120" w:lineRule="exact"/>
        <w:rPr>
          <w:sz w:val="10"/>
        </w:rPr>
      </w:pPr>
    </w:p>
    <w:p w14:paraId="5AC11E06" w14:textId="3DA9A678" w:rsidR="00DF571D" w:rsidRPr="00DF571D" w:rsidRDefault="00DF571D" w:rsidP="00DF571D">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912"/>
        <w:gridCol w:w="1239"/>
        <w:gridCol w:w="1287"/>
        <w:gridCol w:w="1395"/>
      </w:tblGrid>
      <w:tr w:rsidR="005338CF" w:rsidRPr="005338CF" w14:paraId="0BD967EC" w14:textId="77777777" w:rsidTr="008B58E4">
        <w:trPr>
          <w:tblHeader/>
        </w:trPr>
        <w:tc>
          <w:tcPr>
            <w:tcW w:w="2520" w:type="dxa"/>
            <w:tcBorders>
              <w:top w:val="single" w:sz="4" w:space="0" w:color="auto"/>
              <w:bottom w:val="single" w:sz="12" w:space="0" w:color="auto"/>
            </w:tcBorders>
            <w:shd w:val="clear" w:color="auto" w:fill="auto"/>
            <w:vAlign w:val="bottom"/>
          </w:tcPr>
          <w:p w14:paraId="47557955" w14:textId="1AAE1021" w:rsidR="005338CF" w:rsidRPr="005338CF" w:rsidRDefault="00873A05" w:rsidP="005338CF">
            <w:pPr>
              <w:tabs>
                <w:tab w:val="left" w:pos="288"/>
                <w:tab w:val="left" w:pos="576"/>
                <w:tab w:val="left" w:pos="864"/>
                <w:tab w:val="left" w:pos="1152"/>
              </w:tabs>
              <w:suppressAutoHyphens/>
              <w:spacing w:before="81" w:after="81" w:line="160" w:lineRule="exact"/>
              <w:ind w:right="40"/>
              <w:rPr>
                <w:i/>
                <w:sz w:val="14"/>
              </w:rPr>
            </w:pPr>
            <w:r>
              <w:rPr>
                <w:i/>
                <w:sz w:val="14"/>
              </w:rPr>
              <w:t>Programme TVET</w:t>
            </w:r>
          </w:p>
        </w:tc>
        <w:tc>
          <w:tcPr>
            <w:tcW w:w="912" w:type="dxa"/>
            <w:tcBorders>
              <w:top w:val="single" w:sz="4" w:space="0" w:color="auto"/>
              <w:bottom w:val="single" w:sz="12" w:space="0" w:color="auto"/>
            </w:tcBorders>
            <w:shd w:val="clear" w:color="auto" w:fill="auto"/>
            <w:vAlign w:val="bottom"/>
          </w:tcPr>
          <w:p w14:paraId="351C8BB8" w14:textId="455B5072" w:rsidR="005338CF" w:rsidRPr="005338CF" w:rsidRDefault="00873A05" w:rsidP="005338CF">
            <w:pPr>
              <w:tabs>
                <w:tab w:val="left" w:pos="288"/>
                <w:tab w:val="left" w:pos="576"/>
                <w:tab w:val="left" w:pos="864"/>
                <w:tab w:val="left" w:pos="1152"/>
              </w:tabs>
              <w:suppressAutoHyphens/>
              <w:spacing w:before="81" w:after="81" w:line="160" w:lineRule="exact"/>
              <w:ind w:left="144" w:right="43"/>
              <w:jc w:val="right"/>
              <w:rPr>
                <w:i/>
                <w:sz w:val="14"/>
              </w:rPr>
            </w:pPr>
            <w:r>
              <w:rPr>
                <w:i/>
                <w:sz w:val="14"/>
              </w:rPr>
              <w:t>Nombre</w:t>
            </w:r>
            <w:r>
              <w:rPr>
                <w:i/>
                <w:sz w:val="14"/>
              </w:rPr>
              <w:br/>
              <w:t>total d</w:t>
            </w:r>
            <w:r w:rsidR="00000F67">
              <w:rPr>
                <w:i/>
                <w:sz w:val="14"/>
              </w:rPr>
              <w:t>’</w:t>
            </w:r>
            <w:r>
              <w:rPr>
                <w:i/>
                <w:sz w:val="14"/>
              </w:rPr>
              <w:t>inscrits</w:t>
            </w:r>
          </w:p>
        </w:tc>
        <w:tc>
          <w:tcPr>
            <w:tcW w:w="1239" w:type="dxa"/>
            <w:tcBorders>
              <w:top w:val="single" w:sz="4" w:space="0" w:color="auto"/>
              <w:bottom w:val="single" w:sz="12" w:space="0" w:color="auto"/>
            </w:tcBorders>
            <w:shd w:val="clear" w:color="auto" w:fill="auto"/>
            <w:vAlign w:val="bottom"/>
          </w:tcPr>
          <w:p w14:paraId="2328E385" w14:textId="77E6F31D" w:rsidR="005338CF" w:rsidRPr="005338CF" w:rsidRDefault="00873A05" w:rsidP="005338CF">
            <w:pPr>
              <w:tabs>
                <w:tab w:val="left" w:pos="288"/>
                <w:tab w:val="left" w:pos="576"/>
                <w:tab w:val="left" w:pos="864"/>
                <w:tab w:val="left" w:pos="1152"/>
              </w:tabs>
              <w:suppressAutoHyphens/>
              <w:spacing w:before="81" w:after="81" w:line="160" w:lineRule="exact"/>
              <w:ind w:left="144" w:right="43"/>
              <w:jc w:val="right"/>
              <w:rPr>
                <w:i/>
                <w:sz w:val="14"/>
              </w:rPr>
            </w:pPr>
            <w:r>
              <w:rPr>
                <w:i/>
                <w:sz w:val="14"/>
              </w:rPr>
              <w:t>Nombre</w:t>
            </w:r>
            <w:r>
              <w:rPr>
                <w:i/>
                <w:sz w:val="14"/>
              </w:rPr>
              <w:br/>
              <w:t>d</w:t>
            </w:r>
            <w:r w:rsidR="00000F67">
              <w:rPr>
                <w:i/>
                <w:sz w:val="14"/>
              </w:rPr>
              <w:t>’</w:t>
            </w:r>
            <w:r>
              <w:rPr>
                <w:i/>
                <w:sz w:val="14"/>
              </w:rPr>
              <w:t>étudiants</w:t>
            </w:r>
          </w:p>
        </w:tc>
        <w:tc>
          <w:tcPr>
            <w:tcW w:w="1287" w:type="dxa"/>
            <w:tcBorders>
              <w:top w:val="single" w:sz="4" w:space="0" w:color="auto"/>
              <w:bottom w:val="single" w:sz="12" w:space="0" w:color="auto"/>
            </w:tcBorders>
            <w:shd w:val="clear" w:color="auto" w:fill="auto"/>
            <w:vAlign w:val="bottom"/>
          </w:tcPr>
          <w:p w14:paraId="72AD1857" w14:textId="76D480E2" w:rsidR="005338CF" w:rsidRPr="005338CF" w:rsidRDefault="005338CF" w:rsidP="005338CF">
            <w:pPr>
              <w:tabs>
                <w:tab w:val="left" w:pos="288"/>
                <w:tab w:val="left" w:pos="576"/>
                <w:tab w:val="left" w:pos="864"/>
                <w:tab w:val="left" w:pos="1152"/>
              </w:tabs>
              <w:suppressAutoHyphens/>
              <w:spacing w:before="81" w:after="81" w:line="160" w:lineRule="exact"/>
              <w:ind w:left="144" w:right="43"/>
              <w:jc w:val="right"/>
              <w:rPr>
                <w:i/>
                <w:sz w:val="14"/>
              </w:rPr>
            </w:pPr>
            <w:r>
              <w:rPr>
                <w:i/>
                <w:sz w:val="14"/>
              </w:rPr>
              <w:t>Nombre</w:t>
            </w:r>
            <w:r>
              <w:rPr>
                <w:i/>
                <w:sz w:val="14"/>
              </w:rPr>
              <w:br/>
              <w:t>d</w:t>
            </w:r>
            <w:r w:rsidR="00000F67">
              <w:rPr>
                <w:i/>
                <w:sz w:val="14"/>
              </w:rPr>
              <w:t>’</w:t>
            </w:r>
            <w:r>
              <w:rPr>
                <w:i/>
                <w:sz w:val="14"/>
              </w:rPr>
              <w:t>étudiantes</w:t>
            </w:r>
          </w:p>
        </w:tc>
        <w:tc>
          <w:tcPr>
            <w:tcW w:w="1395" w:type="dxa"/>
            <w:tcBorders>
              <w:top w:val="single" w:sz="4" w:space="0" w:color="auto"/>
              <w:bottom w:val="single" w:sz="12" w:space="0" w:color="auto"/>
            </w:tcBorders>
            <w:shd w:val="clear" w:color="auto" w:fill="auto"/>
            <w:vAlign w:val="bottom"/>
          </w:tcPr>
          <w:p w14:paraId="758BB631" w14:textId="1EB3B05D" w:rsidR="005338CF" w:rsidRPr="005338CF" w:rsidRDefault="005338CF" w:rsidP="005338CF">
            <w:pPr>
              <w:tabs>
                <w:tab w:val="left" w:pos="288"/>
                <w:tab w:val="left" w:pos="576"/>
                <w:tab w:val="left" w:pos="864"/>
                <w:tab w:val="left" w:pos="1152"/>
              </w:tabs>
              <w:suppressAutoHyphens/>
              <w:spacing w:before="81" w:after="81" w:line="160" w:lineRule="exact"/>
              <w:ind w:left="144" w:right="43"/>
              <w:jc w:val="right"/>
              <w:rPr>
                <w:i/>
                <w:sz w:val="14"/>
              </w:rPr>
            </w:pPr>
            <w:r>
              <w:rPr>
                <w:i/>
                <w:sz w:val="14"/>
              </w:rPr>
              <w:t>Pourcentage</w:t>
            </w:r>
            <w:r>
              <w:rPr>
                <w:i/>
                <w:sz w:val="14"/>
              </w:rPr>
              <w:br/>
              <w:t>d</w:t>
            </w:r>
            <w:r w:rsidR="00000F67">
              <w:rPr>
                <w:i/>
                <w:sz w:val="14"/>
              </w:rPr>
              <w:t>’</w:t>
            </w:r>
            <w:r>
              <w:rPr>
                <w:i/>
                <w:sz w:val="14"/>
              </w:rPr>
              <w:t>étudiantes</w:t>
            </w:r>
          </w:p>
        </w:tc>
      </w:tr>
      <w:tr w:rsidR="005338CF" w:rsidRPr="005338CF" w14:paraId="43F3E282" w14:textId="77777777" w:rsidTr="008B58E4">
        <w:trPr>
          <w:trHeight w:hRule="exact" w:val="115"/>
          <w:tblHeader/>
        </w:trPr>
        <w:tc>
          <w:tcPr>
            <w:tcW w:w="2520" w:type="dxa"/>
            <w:tcBorders>
              <w:top w:val="single" w:sz="12" w:space="0" w:color="auto"/>
            </w:tcBorders>
            <w:shd w:val="clear" w:color="auto" w:fill="auto"/>
            <w:vAlign w:val="bottom"/>
          </w:tcPr>
          <w:p w14:paraId="5F7C1446" w14:textId="77777777" w:rsidR="005338CF" w:rsidRPr="005338CF" w:rsidRDefault="005338CF" w:rsidP="005338CF">
            <w:pPr>
              <w:tabs>
                <w:tab w:val="left" w:pos="288"/>
                <w:tab w:val="left" w:pos="576"/>
                <w:tab w:val="left" w:pos="864"/>
                <w:tab w:val="left" w:pos="1152"/>
              </w:tabs>
              <w:suppressAutoHyphens/>
              <w:spacing w:before="40" w:after="40" w:line="210" w:lineRule="exact"/>
              <w:ind w:right="40"/>
              <w:rPr>
                <w:sz w:val="17"/>
              </w:rPr>
            </w:pPr>
          </w:p>
        </w:tc>
        <w:tc>
          <w:tcPr>
            <w:tcW w:w="912" w:type="dxa"/>
            <w:tcBorders>
              <w:top w:val="single" w:sz="12" w:space="0" w:color="auto"/>
            </w:tcBorders>
            <w:shd w:val="clear" w:color="auto" w:fill="auto"/>
            <w:vAlign w:val="bottom"/>
          </w:tcPr>
          <w:p w14:paraId="3622ACA7" w14:textId="77777777" w:rsidR="005338CF" w:rsidRPr="005338CF" w:rsidRDefault="005338CF" w:rsidP="005338CF">
            <w:pPr>
              <w:tabs>
                <w:tab w:val="left" w:pos="288"/>
                <w:tab w:val="left" w:pos="576"/>
                <w:tab w:val="left" w:pos="864"/>
                <w:tab w:val="left" w:pos="1152"/>
              </w:tabs>
              <w:suppressAutoHyphens/>
              <w:spacing w:before="40" w:after="40" w:line="210" w:lineRule="exact"/>
              <w:ind w:left="144" w:right="43"/>
              <w:jc w:val="right"/>
              <w:rPr>
                <w:sz w:val="17"/>
              </w:rPr>
            </w:pPr>
          </w:p>
        </w:tc>
        <w:tc>
          <w:tcPr>
            <w:tcW w:w="1239" w:type="dxa"/>
            <w:tcBorders>
              <w:top w:val="single" w:sz="12" w:space="0" w:color="auto"/>
            </w:tcBorders>
            <w:shd w:val="clear" w:color="auto" w:fill="auto"/>
            <w:vAlign w:val="bottom"/>
          </w:tcPr>
          <w:p w14:paraId="6B4659BB" w14:textId="77777777" w:rsidR="005338CF" w:rsidRPr="005338CF" w:rsidRDefault="005338CF" w:rsidP="005338CF">
            <w:pPr>
              <w:tabs>
                <w:tab w:val="left" w:pos="288"/>
                <w:tab w:val="left" w:pos="576"/>
                <w:tab w:val="left" w:pos="864"/>
                <w:tab w:val="left" w:pos="1152"/>
              </w:tabs>
              <w:suppressAutoHyphens/>
              <w:spacing w:before="40" w:after="40" w:line="210" w:lineRule="exact"/>
              <w:ind w:left="144" w:right="43"/>
              <w:jc w:val="right"/>
              <w:rPr>
                <w:sz w:val="17"/>
              </w:rPr>
            </w:pPr>
          </w:p>
        </w:tc>
        <w:tc>
          <w:tcPr>
            <w:tcW w:w="1287" w:type="dxa"/>
            <w:tcBorders>
              <w:top w:val="single" w:sz="12" w:space="0" w:color="auto"/>
            </w:tcBorders>
            <w:shd w:val="clear" w:color="auto" w:fill="auto"/>
            <w:vAlign w:val="bottom"/>
          </w:tcPr>
          <w:p w14:paraId="04ED5DB0" w14:textId="77777777" w:rsidR="005338CF" w:rsidRPr="005338CF" w:rsidRDefault="005338CF" w:rsidP="005338CF">
            <w:pPr>
              <w:tabs>
                <w:tab w:val="left" w:pos="288"/>
                <w:tab w:val="left" w:pos="576"/>
                <w:tab w:val="left" w:pos="864"/>
                <w:tab w:val="left" w:pos="1152"/>
              </w:tabs>
              <w:suppressAutoHyphens/>
              <w:spacing w:before="40" w:after="40" w:line="210" w:lineRule="exact"/>
              <w:ind w:left="144" w:right="43"/>
              <w:jc w:val="right"/>
              <w:rPr>
                <w:sz w:val="17"/>
              </w:rPr>
            </w:pPr>
          </w:p>
        </w:tc>
        <w:tc>
          <w:tcPr>
            <w:tcW w:w="1395" w:type="dxa"/>
            <w:tcBorders>
              <w:top w:val="single" w:sz="12" w:space="0" w:color="auto"/>
            </w:tcBorders>
            <w:shd w:val="clear" w:color="auto" w:fill="auto"/>
            <w:vAlign w:val="bottom"/>
          </w:tcPr>
          <w:p w14:paraId="212FDB11" w14:textId="77777777" w:rsidR="005338CF" w:rsidRPr="005338CF" w:rsidRDefault="005338CF" w:rsidP="005338CF">
            <w:pPr>
              <w:tabs>
                <w:tab w:val="left" w:pos="288"/>
                <w:tab w:val="left" w:pos="576"/>
                <w:tab w:val="left" w:pos="864"/>
                <w:tab w:val="left" w:pos="1152"/>
              </w:tabs>
              <w:suppressAutoHyphens/>
              <w:spacing w:before="40" w:after="40" w:line="210" w:lineRule="exact"/>
              <w:ind w:left="144" w:right="43"/>
              <w:jc w:val="right"/>
              <w:rPr>
                <w:sz w:val="17"/>
              </w:rPr>
            </w:pPr>
          </w:p>
        </w:tc>
      </w:tr>
      <w:tr w:rsidR="008B58E4" w:rsidRPr="008B58E4" w14:paraId="113ADE77" w14:textId="77777777" w:rsidTr="008B58E4">
        <w:tc>
          <w:tcPr>
            <w:tcW w:w="2520" w:type="dxa"/>
            <w:shd w:val="clear" w:color="auto" w:fill="auto"/>
          </w:tcPr>
          <w:p w14:paraId="26301ECA" w14:textId="77777777"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Alimentation &amp; nutrition</w:t>
            </w:r>
          </w:p>
        </w:tc>
        <w:tc>
          <w:tcPr>
            <w:tcW w:w="912" w:type="dxa"/>
            <w:shd w:val="clear" w:color="auto" w:fill="auto"/>
            <w:vAlign w:val="bottom"/>
          </w:tcPr>
          <w:p w14:paraId="1F1A00CE" w14:textId="1379784C"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w:t>
            </w:r>
            <w:r w:rsidR="00187ACF" w:rsidRPr="008B58E4">
              <w:rPr>
                <w:sz w:val="17"/>
                <w:szCs w:val="17"/>
              </w:rPr>
              <w:t xml:space="preserve"> </w:t>
            </w:r>
            <w:r w:rsidRPr="008B58E4">
              <w:rPr>
                <w:sz w:val="17"/>
                <w:szCs w:val="17"/>
              </w:rPr>
              <w:t>048</w:t>
            </w:r>
          </w:p>
        </w:tc>
        <w:tc>
          <w:tcPr>
            <w:tcW w:w="1239" w:type="dxa"/>
            <w:shd w:val="clear" w:color="auto" w:fill="auto"/>
            <w:vAlign w:val="bottom"/>
          </w:tcPr>
          <w:p w14:paraId="439D9502"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441</w:t>
            </w:r>
          </w:p>
        </w:tc>
        <w:tc>
          <w:tcPr>
            <w:tcW w:w="1287" w:type="dxa"/>
            <w:shd w:val="clear" w:color="auto" w:fill="auto"/>
            <w:vAlign w:val="bottom"/>
          </w:tcPr>
          <w:p w14:paraId="0F6A5415"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607</w:t>
            </w:r>
          </w:p>
        </w:tc>
        <w:tc>
          <w:tcPr>
            <w:tcW w:w="1395" w:type="dxa"/>
            <w:shd w:val="clear" w:color="auto" w:fill="auto"/>
            <w:vAlign w:val="bottom"/>
          </w:tcPr>
          <w:p w14:paraId="7D2861BF"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58</w:t>
            </w:r>
          </w:p>
        </w:tc>
      </w:tr>
      <w:tr w:rsidR="008B58E4" w:rsidRPr="008B58E4" w14:paraId="689F2EE4" w14:textId="77777777" w:rsidTr="008B58E4">
        <w:tc>
          <w:tcPr>
            <w:tcW w:w="2520" w:type="dxa"/>
            <w:shd w:val="clear" w:color="auto" w:fill="auto"/>
          </w:tcPr>
          <w:p w14:paraId="6972F2E6" w14:textId="4D74B17D"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Artisanat</w:t>
            </w:r>
            <w:r w:rsidR="00000F67">
              <w:rPr>
                <w:sz w:val="17"/>
                <w:szCs w:val="17"/>
              </w:rPr>
              <w:t xml:space="preserve"> </w:t>
            </w:r>
          </w:p>
        </w:tc>
        <w:tc>
          <w:tcPr>
            <w:tcW w:w="912" w:type="dxa"/>
            <w:shd w:val="clear" w:color="auto" w:fill="auto"/>
            <w:vAlign w:val="bottom"/>
          </w:tcPr>
          <w:p w14:paraId="79DD3DCA"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255</w:t>
            </w:r>
          </w:p>
        </w:tc>
        <w:tc>
          <w:tcPr>
            <w:tcW w:w="1239" w:type="dxa"/>
            <w:shd w:val="clear" w:color="auto" w:fill="auto"/>
            <w:vAlign w:val="bottom"/>
          </w:tcPr>
          <w:p w14:paraId="37985F3A"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133</w:t>
            </w:r>
          </w:p>
        </w:tc>
        <w:tc>
          <w:tcPr>
            <w:tcW w:w="1287" w:type="dxa"/>
            <w:shd w:val="clear" w:color="auto" w:fill="auto"/>
            <w:vAlign w:val="bottom"/>
          </w:tcPr>
          <w:p w14:paraId="6B89FCD3"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122</w:t>
            </w:r>
          </w:p>
        </w:tc>
        <w:tc>
          <w:tcPr>
            <w:tcW w:w="1395" w:type="dxa"/>
            <w:shd w:val="clear" w:color="auto" w:fill="auto"/>
            <w:vAlign w:val="bottom"/>
          </w:tcPr>
          <w:p w14:paraId="27B512CE"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48</w:t>
            </w:r>
          </w:p>
        </w:tc>
      </w:tr>
      <w:tr w:rsidR="00873A05" w:rsidRPr="008B58E4" w14:paraId="3610F6C7" w14:textId="77777777" w:rsidTr="008B58E4">
        <w:tc>
          <w:tcPr>
            <w:tcW w:w="2520" w:type="dxa"/>
            <w:shd w:val="clear" w:color="auto" w:fill="auto"/>
          </w:tcPr>
          <w:p w14:paraId="7342ED19" w14:textId="148B5E88"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Auto CAD</w:t>
            </w:r>
          </w:p>
        </w:tc>
        <w:tc>
          <w:tcPr>
            <w:tcW w:w="912" w:type="dxa"/>
            <w:shd w:val="clear" w:color="auto" w:fill="auto"/>
            <w:vAlign w:val="bottom"/>
          </w:tcPr>
          <w:p w14:paraId="698EBDFB" w14:textId="6472E08C"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111</w:t>
            </w:r>
          </w:p>
        </w:tc>
        <w:tc>
          <w:tcPr>
            <w:tcW w:w="1239" w:type="dxa"/>
            <w:shd w:val="clear" w:color="auto" w:fill="auto"/>
            <w:vAlign w:val="bottom"/>
          </w:tcPr>
          <w:p w14:paraId="241B4796" w14:textId="261D4496"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108</w:t>
            </w:r>
          </w:p>
        </w:tc>
        <w:tc>
          <w:tcPr>
            <w:tcW w:w="1287" w:type="dxa"/>
            <w:shd w:val="clear" w:color="auto" w:fill="auto"/>
            <w:vAlign w:val="bottom"/>
          </w:tcPr>
          <w:p w14:paraId="45961391" w14:textId="4BDCED48"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w:t>
            </w:r>
          </w:p>
        </w:tc>
        <w:tc>
          <w:tcPr>
            <w:tcW w:w="1395" w:type="dxa"/>
            <w:shd w:val="clear" w:color="auto" w:fill="auto"/>
            <w:vAlign w:val="bottom"/>
          </w:tcPr>
          <w:p w14:paraId="297985DB" w14:textId="7587C53C"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w:t>
            </w:r>
          </w:p>
        </w:tc>
      </w:tr>
      <w:tr w:rsidR="00873A05" w:rsidRPr="008B58E4" w14:paraId="1A7859A1" w14:textId="77777777" w:rsidTr="008B58E4">
        <w:tc>
          <w:tcPr>
            <w:tcW w:w="2520" w:type="dxa"/>
            <w:shd w:val="clear" w:color="auto" w:fill="auto"/>
          </w:tcPr>
          <w:p w14:paraId="43D8106D" w14:textId="41B63197"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Carrosserie automobile</w:t>
            </w:r>
          </w:p>
        </w:tc>
        <w:tc>
          <w:tcPr>
            <w:tcW w:w="912" w:type="dxa"/>
            <w:shd w:val="clear" w:color="auto" w:fill="auto"/>
            <w:vAlign w:val="bottom"/>
          </w:tcPr>
          <w:p w14:paraId="52FB0129" w14:textId="74A68614"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94</w:t>
            </w:r>
          </w:p>
        </w:tc>
        <w:tc>
          <w:tcPr>
            <w:tcW w:w="1239" w:type="dxa"/>
            <w:shd w:val="clear" w:color="auto" w:fill="auto"/>
            <w:vAlign w:val="bottom"/>
          </w:tcPr>
          <w:p w14:paraId="02685A64" w14:textId="3372B410"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93</w:t>
            </w:r>
          </w:p>
        </w:tc>
        <w:tc>
          <w:tcPr>
            <w:tcW w:w="1287" w:type="dxa"/>
            <w:shd w:val="clear" w:color="auto" w:fill="auto"/>
            <w:vAlign w:val="bottom"/>
          </w:tcPr>
          <w:p w14:paraId="78604F4B" w14:textId="52729AF6"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w:t>
            </w:r>
          </w:p>
        </w:tc>
        <w:tc>
          <w:tcPr>
            <w:tcW w:w="1395" w:type="dxa"/>
            <w:shd w:val="clear" w:color="auto" w:fill="auto"/>
            <w:vAlign w:val="bottom"/>
          </w:tcPr>
          <w:p w14:paraId="21CEED75" w14:textId="11AF9E58"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w:t>
            </w:r>
          </w:p>
        </w:tc>
      </w:tr>
      <w:tr w:rsidR="00873A05" w:rsidRPr="008B58E4" w14:paraId="6057C5CC" w14:textId="77777777" w:rsidTr="008B58E4">
        <w:tc>
          <w:tcPr>
            <w:tcW w:w="2520" w:type="dxa"/>
            <w:shd w:val="clear" w:color="auto" w:fill="auto"/>
          </w:tcPr>
          <w:p w14:paraId="7B338685" w14:textId="65E457E0"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 xml:space="preserve">Coiffure </w:t>
            </w:r>
          </w:p>
        </w:tc>
        <w:tc>
          <w:tcPr>
            <w:tcW w:w="912" w:type="dxa"/>
            <w:shd w:val="clear" w:color="auto" w:fill="auto"/>
            <w:vAlign w:val="bottom"/>
          </w:tcPr>
          <w:p w14:paraId="02BCA4B1" w14:textId="3258A1CA"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45</w:t>
            </w:r>
          </w:p>
        </w:tc>
        <w:tc>
          <w:tcPr>
            <w:tcW w:w="1239" w:type="dxa"/>
            <w:shd w:val="clear" w:color="auto" w:fill="auto"/>
            <w:vAlign w:val="bottom"/>
          </w:tcPr>
          <w:p w14:paraId="1A06BDE5" w14:textId="0D4387C5"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44</w:t>
            </w:r>
          </w:p>
        </w:tc>
        <w:tc>
          <w:tcPr>
            <w:tcW w:w="1287" w:type="dxa"/>
            <w:shd w:val="clear" w:color="auto" w:fill="auto"/>
            <w:vAlign w:val="bottom"/>
          </w:tcPr>
          <w:p w14:paraId="0FAFB863" w14:textId="72BC4BAF"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w:t>
            </w:r>
          </w:p>
        </w:tc>
        <w:tc>
          <w:tcPr>
            <w:tcW w:w="1395" w:type="dxa"/>
            <w:shd w:val="clear" w:color="auto" w:fill="auto"/>
            <w:vAlign w:val="bottom"/>
          </w:tcPr>
          <w:p w14:paraId="63416F4D" w14:textId="3CB05E7A"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w:t>
            </w:r>
          </w:p>
        </w:tc>
      </w:tr>
      <w:tr w:rsidR="008B58E4" w:rsidRPr="008B58E4" w14:paraId="4D5F9614" w14:textId="77777777" w:rsidTr="008B58E4">
        <w:tc>
          <w:tcPr>
            <w:tcW w:w="2520" w:type="dxa"/>
            <w:shd w:val="clear" w:color="auto" w:fill="auto"/>
          </w:tcPr>
          <w:p w14:paraId="56BD71A7"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Commerce</w:t>
            </w:r>
          </w:p>
        </w:tc>
        <w:tc>
          <w:tcPr>
            <w:tcW w:w="912" w:type="dxa"/>
            <w:shd w:val="clear" w:color="auto" w:fill="auto"/>
            <w:vAlign w:val="bottom"/>
          </w:tcPr>
          <w:p w14:paraId="3CBDE677"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577</w:t>
            </w:r>
          </w:p>
        </w:tc>
        <w:tc>
          <w:tcPr>
            <w:tcW w:w="1239" w:type="dxa"/>
            <w:shd w:val="clear" w:color="auto" w:fill="auto"/>
            <w:vAlign w:val="bottom"/>
          </w:tcPr>
          <w:p w14:paraId="5C3F4071"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203</w:t>
            </w:r>
          </w:p>
        </w:tc>
        <w:tc>
          <w:tcPr>
            <w:tcW w:w="1287" w:type="dxa"/>
            <w:shd w:val="clear" w:color="auto" w:fill="auto"/>
            <w:vAlign w:val="bottom"/>
          </w:tcPr>
          <w:p w14:paraId="01980765"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374</w:t>
            </w:r>
          </w:p>
        </w:tc>
        <w:tc>
          <w:tcPr>
            <w:tcW w:w="1395" w:type="dxa"/>
            <w:shd w:val="clear" w:color="auto" w:fill="auto"/>
            <w:vAlign w:val="bottom"/>
          </w:tcPr>
          <w:p w14:paraId="40606716"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65</w:t>
            </w:r>
          </w:p>
        </w:tc>
      </w:tr>
      <w:tr w:rsidR="008B58E4" w:rsidRPr="008B58E4" w14:paraId="1A6C5328" w14:textId="77777777" w:rsidTr="008B58E4">
        <w:tc>
          <w:tcPr>
            <w:tcW w:w="2520" w:type="dxa"/>
            <w:shd w:val="clear" w:color="auto" w:fill="auto"/>
          </w:tcPr>
          <w:p w14:paraId="2846F510" w14:textId="77777777"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Communications graphiques</w:t>
            </w:r>
          </w:p>
        </w:tc>
        <w:tc>
          <w:tcPr>
            <w:tcW w:w="912" w:type="dxa"/>
            <w:shd w:val="clear" w:color="auto" w:fill="auto"/>
            <w:vAlign w:val="bottom"/>
          </w:tcPr>
          <w:p w14:paraId="45341C29"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743</w:t>
            </w:r>
          </w:p>
        </w:tc>
        <w:tc>
          <w:tcPr>
            <w:tcW w:w="1239" w:type="dxa"/>
            <w:shd w:val="clear" w:color="auto" w:fill="auto"/>
            <w:vAlign w:val="bottom"/>
          </w:tcPr>
          <w:p w14:paraId="7B293751"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683</w:t>
            </w:r>
          </w:p>
        </w:tc>
        <w:tc>
          <w:tcPr>
            <w:tcW w:w="1287" w:type="dxa"/>
            <w:shd w:val="clear" w:color="auto" w:fill="auto"/>
            <w:vAlign w:val="bottom"/>
          </w:tcPr>
          <w:p w14:paraId="773C2A3D"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60</w:t>
            </w:r>
          </w:p>
        </w:tc>
        <w:tc>
          <w:tcPr>
            <w:tcW w:w="1395" w:type="dxa"/>
            <w:shd w:val="clear" w:color="auto" w:fill="auto"/>
            <w:vAlign w:val="bottom"/>
          </w:tcPr>
          <w:p w14:paraId="5A2D6443"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8</w:t>
            </w:r>
          </w:p>
        </w:tc>
      </w:tr>
      <w:tr w:rsidR="00873A05" w:rsidRPr="008B58E4" w14:paraId="3B330174" w14:textId="77777777" w:rsidTr="008B58E4">
        <w:tc>
          <w:tcPr>
            <w:tcW w:w="2520" w:type="dxa"/>
            <w:shd w:val="clear" w:color="auto" w:fill="auto"/>
          </w:tcPr>
          <w:p w14:paraId="224C015F" w14:textId="040C18E0"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Comptabilité</w:t>
            </w:r>
          </w:p>
        </w:tc>
        <w:tc>
          <w:tcPr>
            <w:tcW w:w="912" w:type="dxa"/>
            <w:shd w:val="clear" w:color="auto" w:fill="auto"/>
            <w:vAlign w:val="bottom"/>
          </w:tcPr>
          <w:p w14:paraId="58DD6051" w14:textId="5525495B"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625</w:t>
            </w:r>
          </w:p>
        </w:tc>
        <w:tc>
          <w:tcPr>
            <w:tcW w:w="1239" w:type="dxa"/>
            <w:shd w:val="clear" w:color="auto" w:fill="auto"/>
            <w:vAlign w:val="bottom"/>
          </w:tcPr>
          <w:p w14:paraId="3FC4F637" w14:textId="127C1C80"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239</w:t>
            </w:r>
          </w:p>
        </w:tc>
        <w:tc>
          <w:tcPr>
            <w:tcW w:w="1287" w:type="dxa"/>
            <w:shd w:val="clear" w:color="auto" w:fill="auto"/>
            <w:vAlign w:val="bottom"/>
          </w:tcPr>
          <w:p w14:paraId="02268050" w14:textId="3E5E1851"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386</w:t>
            </w:r>
          </w:p>
        </w:tc>
        <w:tc>
          <w:tcPr>
            <w:tcW w:w="1395" w:type="dxa"/>
            <w:shd w:val="clear" w:color="auto" w:fill="auto"/>
            <w:vAlign w:val="bottom"/>
          </w:tcPr>
          <w:p w14:paraId="1A1538DC" w14:textId="3AD7AFA5"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w:t>
            </w:r>
          </w:p>
        </w:tc>
      </w:tr>
      <w:tr w:rsidR="008B58E4" w:rsidRPr="008B58E4" w14:paraId="3B380FD0" w14:textId="77777777" w:rsidTr="008B58E4">
        <w:tc>
          <w:tcPr>
            <w:tcW w:w="2520" w:type="dxa"/>
            <w:shd w:val="clear" w:color="auto" w:fill="auto"/>
          </w:tcPr>
          <w:p w14:paraId="3CDEC1DF" w14:textId="77777777"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Conception de vêtements</w:t>
            </w:r>
          </w:p>
        </w:tc>
        <w:tc>
          <w:tcPr>
            <w:tcW w:w="912" w:type="dxa"/>
            <w:shd w:val="clear" w:color="auto" w:fill="auto"/>
            <w:vAlign w:val="bottom"/>
          </w:tcPr>
          <w:p w14:paraId="48C05856"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737</w:t>
            </w:r>
          </w:p>
        </w:tc>
        <w:tc>
          <w:tcPr>
            <w:tcW w:w="1239" w:type="dxa"/>
            <w:shd w:val="clear" w:color="auto" w:fill="auto"/>
            <w:vAlign w:val="bottom"/>
          </w:tcPr>
          <w:p w14:paraId="1609AA4B"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222</w:t>
            </w:r>
          </w:p>
        </w:tc>
        <w:tc>
          <w:tcPr>
            <w:tcW w:w="1287" w:type="dxa"/>
            <w:shd w:val="clear" w:color="auto" w:fill="auto"/>
            <w:vAlign w:val="bottom"/>
          </w:tcPr>
          <w:p w14:paraId="0BD6CAED"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515</w:t>
            </w:r>
          </w:p>
        </w:tc>
        <w:tc>
          <w:tcPr>
            <w:tcW w:w="1395" w:type="dxa"/>
            <w:shd w:val="clear" w:color="auto" w:fill="auto"/>
            <w:vAlign w:val="bottom"/>
          </w:tcPr>
          <w:p w14:paraId="4A33AB1B" w14:textId="77777777" w:rsidR="00873A05" w:rsidRPr="008B58E4" w:rsidRDefault="00873A05"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70</w:t>
            </w:r>
          </w:p>
        </w:tc>
      </w:tr>
      <w:tr w:rsidR="00873A05" w:rsidRPr="008B58E4" w14:paraId="16FA3BAE" w14:textId="77777777" w:rsidTr="008B58E4">
        <w:tc>
          <w:tcPr>
            <w:tcW w:w="2520" w:type="dxa"/>
            <w:shd w:val="clear" w:color="auto" w:fill="auto"/>
          </w:tcPr>
          <w:p w14:paraId="17CEB3EA" w14:textId="37D3552A"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Cosmétologie</w:t>
            </w:r>
          </w:p>
        </w:tc>
        <w:tc>
          <w:tcPr>
            <w:tcW w:w="912" w:type="dxa"/>
            <w:shd w:val="clear" w:color="auto" w:fill="auto"/>
            <w:vAlign w:val="bottom"/>
          </w:tcPr>
          <w:p w14:paraId="6FD8D093" w14:textId="52C2E689"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389</w:t>
            </w:r>
          </w:p>
        </w:tc>
        <w:tc>
          <w:tcPr>
            <w:tcW w:w="1239" w:type="dxa"/>
            <w:shd w:val="clear" w:color="auto" w:fill="auto"/>
            <w:vAlign w:val="bottom"/>
          </w:tcPr>
          <w:p w14:paraId="6BC69CEC" w14:textId="1A12EE6A"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54</w:t>
            </w:r>
          </w:p>
        </w:tc>
        <w:tc>
          <w:tcPr>
            <w:tcW w:w="1287" w:type="dxa"/>
            <w:shd w:val="clear" w:color="auto" w:fill="auto"/>
            <w:vAlign w:val="bottom"/>
          </w:tcPr>
          <w:p w14:paraId="3D7EFDF3" w14:textId="63510769"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335</w:t>
            </w:r>
          </w:p>
        </w:tc>
        <w:tc>
          <w:tcPr>
            <w:tcW w:w="1395" w:type="dxa"/>
            <w:shd w:val="clear" w:color="auto" w:fill="auto"/>
            <w:vAlign w:val="bottom"/>
          </w:tcPr>
          <w:p w14:paraId="4BE122A0" w14:textId="36963C1C"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86</w:t>
            </w:r>
          </w:p>
        </w:tc>
      </w:tr>
      <w:tr w:rsidR="008B58E4" w:rsidRPr="008B58E4" w14:paraId="361E2CFD" w14:textId="77777777" w:rsidTr="008B58E4">
        <w:tc>
          <w:tcPr>
            <w:tcW w:w="2520" w:type="dxa"/>
            <w:shd w:val="clear" w:color="auto" w:fill="auto"/>
          </w:tcPr>
          <w:p w14:paraId="7F2C1788" w14:textId="2EB9C33D"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Dactylographie</w:t>
            </w:r>
            <w:r w:rsidR="00000F67">
              <w:rPr>
                <w:sz w:val="17"/>
                <w:szCs w:val="17"/>
              </w:rPr>
              <w:t xml:space="preserve"> </w:t>
            </w:r>
          </w:p>
        </w:tc>
        <w:tc>
          <w:tcPr>
            <w:tcW w:w="912" w:type="dxa"/>
            <w:shd w:val="clear" w:color="auto" w:fill="auto"/>
            <w:vAlign w:val="bottom"/>
          </w:tcPr>
          <w:p w14:paraId="598FB15E"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98</w:t>
            </w:r>
          </w:p>
        </w:tc>
        <w:tc>
          <w:tcPr>
            <w:tcW w:w="1239" w:type="dxa"/>
            <w:shd w:val="clear" w:color="auto" w:fill="auto"/>
            <w:vAlign w:val="bottom"/>
          </w:tcPr>
          <w:p w14:paraId="789451D0"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53</w:t>
            </w:r>
          </w:p>
        </w:tc>
        <w:tc>
          <w:tcPr>
            <w:tcW w:w="1287" w:type="dxa"/>
            <w:shd w:val="clear" w:color="auto" w:fill="auto"/>
            <w:vAlign w:val="bottom"/>
          </w:tcPr>
          <w:p w14:paraId="6D13A3A1"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45</w:t>
            </w:r>
          </w:p>
        </w:tc>
        <w:tc>
          <w:tcPr>
            <w:tcW w:w="1395" w:type="dxa"/>
            <w:shd w:val="clear" w:color="auto" w:fill="auto"/>
            <w:vAlign w:val="bottom"/>
          </w:tcPr>
          <w:p w14:paraId="25793620"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46</w:t>
            </w:r>
          </w:p>
        </w:tc>
      </w:tr>
      <w:tr w:rsidR="00873A05" w:rsidRPr="008B58E4" w14:paraId="60C291A1" w14:textId="77777777" w:rsidTr="008B58E4">
        <w:tc>
          <w:tcPr>
            <w:tcW w:w="2520" w:type="dxa"/>
            <w:shd w:val="clear" w:color="auto" w:fill="auto"/>
          </w:tcPr>
          <w:p w14:paraId="18D036BD" w14:textId="4176FD7B" w:rsidR="00873A05" w:rsidRPr="008B58E4" w:rsidRDefault="00873A05"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Dessin assisté par ordinateur Sciences commerciales</w:t>
            </w:r>
          </w:p>
        </w:tc>
        <w:tc>
          <w:tcPr>
            <w:tcW w:w="912" w:type="dxa"/>
            <w:shd w:val="clear" w:color="auto" w:fill="auto"/>
            <w:vAlign w:val="bottom"/>
          </w:tcPr>
          <w:p w14:paraId="06D0B0CD" w14:textId="3C8CC667"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135</w:t>
            </w:r>
          </w:p>
        </w:tc>
        <w:tc>
          <w:tcPr>
            <w:tcW w:w="1239" w:type="dxa"/>
            <w:shd w:val="clear" w:color="auto" w:fill="auto"/>
            <w:vAlign w:val="bottom"/>
          </w:tcPr>
          <w:p w14:paraId="0F1B6E89" w14:textId="7FA43B26"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131</w:t>
            </w:r>
          </w:p>
        </w:tc>
        <w:tc>
          <w:tcPr>
            <w:tcW w:w="1287" w:type="dxa"/>
            <w:shd w:val="clear" w:color="auto" w:fill="auto"/>
            <w:vAlign w:val="bottom"/>
          </w:tcPr>
          <w:p w14:paraId="2A6C2AE1" w14:textId="5A7E29EC"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w:t>
            </w:r>
          </w:p>
        </w:tc>
        <w:tc>
          <w:tcPr>
            <w:tcW w:w="1395" w:type="dxa"/>
            <w:shd w:val="clear" w:color="auto" w:fill="auto"/>
            <w:vAlign w:val="bottom"/>
          </w:tcPr>
          <w:p w14:paraId="12B5BA8E" w14:textId="351B2C29" w:rsidR="00873A05" w:rsidRPr="008B58E4" w:rsidRDefault="00873A05" w:rsidP="00873A05">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w:t>
            </w:r>
          </w:p>
        </w:tc>
      </w:tr>
      <w:tr w:rsidR="008B58E4" w:rsidRPr="008B58E4" w14:paraId="0DB2E414" w14:textId="77777777" w:rsidTr="008B58E4">
        <w:tc>
          <w:tcPr>
            <w:tcW w:w="2520" w:type="dxa"/>
            <w:shd w:val="clear" w:color="auto" w:fill="auto"/>
          </w:tcPr>
          <w:p w14:paraId="25591D4E" w14:textId="77B4BB83"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Dessin technique</w:t>
            </w:r>
          </w:p>
        </w:tc>
        <w:tc>
          <w:tcPr>
            <w:tcW w:w="912" w:type="dxa"/>
            <w:shd w:val="clear" w:color="auto" w:fill="auto"/>
            <w:vAlign w:val="bottom"/>
          </w:tcPr>
          <w:p w14:paraId="66C60683" w14:textId="3DF2CCB8"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723</w:t>
            </w:r>
          </w:p>
        </w:tc>
        <w:tc>
          <w:tcPr>
            <w:tcW w:w="1239" w:type="dxa"/>
            <w:shd w:val="clear" w:color="auto" w:fill="auto"/>
            <w:vAlign w:val="bottom"/>
          </w:tcPr>
          <w:p w14:paraId="55F4ACE0" w14:textId="0E64D28C"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566</w:t>
            </w:r>
          </w:p>
        </w:tc>
        <w:tc>
          <w:tcPr>
            <w:tcW w:w="1287" w:type="dxa"/>
            <w:shd w:val="clear" w:color="auto" w:fill="auto"/>
            <w:vAlign w:val="bottom"/>
          </w:tcPr>
          <w:p w14:paraId="2698ECB0" w14:textId="6045CDF2"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157</w:t>
            </w:r>
          </w:p>
        </w:tc>
        <w:tc>
          <w:tcPr>
            <w:tcW w:w="1395" w:type="dxa"/>
            <w:shd w:val="clear" w:color="auto" w:fill="auto"/>
            <w:vAlign w:val="bottom"/>
          </w:tcPr>
          <w:p w14:paraId="53BCD136" w14:textId="5D55C3A8"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22</w:t>
            </w:r>
          </w:p>
        </w:tc>
      </w:tr>
      <w:tr w:rsidR="00187ACF" w:rsidRPr="008B58E4" w14:paraId="6BA2B264" w14:textId="77777777" w:rsidTr="008B58E4">
        <w:tc>
          <w:tcPr>
            <w:tcW w:w="2520" w:type="dxa"/>
            <w:shd w:val="clear" w:color="auto" w:fill="auto"/>
          </w:tcPr>
          <w:p w14:paraId="296F6C87" w14:textId="235398AD"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Économie</w:t>
            </w:r>
          </w:p>
        </w:tc>
        <w:tc>
          <w:tcPr>
            <w:tcW w:w="912" w:type="dxa"/>
            <w:shd w:val="clear" w:color="auto" w:fill="auto"/>
            <w:vAlign w:val="bottom"/>
          </w:tcPr>
          <w:p w14:paraId="32A346C5" w14:textId="3875E499"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267</w:t>
            </w:r>
          </w:p>
        </w:tc>
        <w:tc>
          <w:tcPr>
            <w:tcW w:w="1239" w:type="dxa"/>
            <w:shd w:val="clear" w:color="auto" w:fill="auto"/>
            <w:vAlign w:val="bottom"/>
          </w:tcPr>
          <w:p w14:paraId="3CDEB13C" w14:textId="1DCFA28B"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96</w:t>
            </w:r>
          </w:p>
        </w:tc>
        <w:tc>
          <w:tcPr>
            <w:tcW w:w="1287" w:type="dxa"/>
            <w:shd w:val="clear" w:color="auto" w:fill="auto"/>
            <w:vAlign w:val="bottom"/>
          </w:tcPr>
          <w:p w14:paraId="46421114" w14:textId="419B639F"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171</w:t>
            </w:r>
          </w:p>
        </w:tc>
        <w:tc>
          <w:tcPr>
            <w:tcW w:w="1395" w:type="dxa"/>
            <w:shd w:val="clear" w:color="auto" w:fill="auto"/>
            <w:vAlign w:val="bottom"/>
          </w:tcPr>
          <w:p w14:paraId="6F9614A3" w14:textId="01499C4A"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64</w:t>
            </w:r>
          </w:p>
        </w:tc>
      </w:tr>
      <w:tr w:rsidR="008B58E4" w:rsidRPr="008B58E4" w14:paraId="0F6D10E3" w14:textId="77777777" w:rsidTr="008B58E4">
        <w:tc>
          <w:tcPr>
            <w:tcW w:w="2520" w:type="dxa"/>
            <w:shd w:val="clear" w:color="auto" w:fill="auto"/>
          </w:tcPr>
          <w:p w14:paraId="3E3813D8"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Économie des ménages</w:t>
            </w:r>
          </w:p>
        </w:tc>
        <w:tc>
          <w:tcPr>
            <w:tcW w:w="912" w:type="dxa"/>
            <w:shd w:val="clear" w:color="auto" w:fill="auto"/>
            <w:vAlign w:val="bottom"/>
          </w:tcPr>
          <w:p w14:paraId="085E2010"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899</w:t>
            </w:r>
          </w:p>
        </w:tc>
        <w:tc>
          <w:tcPr>
            <w:tcW w:w="1239" w:type="dxa"/>
            <w:shd w:val="clear" w:color="auto" w:fill="auto"/>
            <w:vAlign w:val="bottom"/>
          </w:tcPr>
          <w:p w14:paraId="1E00AA15"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293</w:t>
            </w:r>
          </w:p>
        </w:tc>
        <w:tc>
          <w:tcPr>
            <w:tcW w:w="1287" w:type="dxa"/>
            <w:shd w:val="clear" w:color="auto" w:fill="auto"/>
            <w:vAlign w:val="bottom"/>
          </w:tcPr>
          <w:p w14:paraId="1A8997CF"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606</w:t>
            </w:r>
          </w:p>
        </w:tc>
        <w:tc>
          <w:tcPr>
            <w:tcW w:w="1395" w:type="dxa"/>
            <w:shd w:val="clear" w:color="auto" w:fill="auto"/>
            <w:vAlign w:val="bottom"/>
          </w:tcPr>
          <w:p w14:paraId="2B91B22C"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67</w:t>
            </w:r>
          </w:p>
        </w:tc>
      </w:tr>
      <w:tr w:rsidR="008B58E4" w:rsidRPr="008B58E4" w14:paraId="0E281886" w14:textId="77777777" w:rsidTr="008B58E4">
        <w:tc>
          <w:tcPr>
            <w:tcW w:w="2520" w:type="dxa"/>
            <w:shd w:val="clear" w:color="auto" w:fill="auto"/>
          </w:tcPr>
          <w:p w14:paraId="35A1AB5A" w14:textId="7C3D6009"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Études d</w:t>
            </w:r>
            <w:r w:rsidR="00000F67">
              <w:rPr>
                <w:sz w:val="17"/>
                <w:szCs w:val="17"/>
              </w:rPr>
              <w:t>’</w:t>
            </w:r>
            <w:r w:rsidRPr="008B58E4">
              <w:rPr>
                <w:sz w:val="17"/>
                <w:szCs w:val="17"/>
              </w:rPr>
              <w:t>entreprenariat</w:t>
            </w:r>
          </w:p>
        </w:tc>
        <w:tc>
          <w:tcPr>
            <w:tcW w:w="912" w:type="dxa"/>
            <w:shd w:val="clear" w:color="auto" w:fill="auto"/>
            <w:vAlign w:val="bottom"/>
          </w:tcPr>
          <w:p w14:paraId="163764AE"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221</w:t>
            </w:r>
          </w:p>
        </w:tc>
        <w:tc>
          <w:tcPr>
            <w:tcW w:w="1239" w:type="dxa"/>
            <w:shd w:val="clear" w:color="auto" w:fill="auto"/>
            <w:vAlign w:val="bottom"/>
          </w:tcPr>
          <w:p w14:paraId="661E178A"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101</w:t>
            </w:r>
          </w:p>
        </w:tc>
        <w:tc>
          <w:tcPr>
            <w:tcW w:w="1287" w:type="dxa"/>
            <w:shd w:val="clear" w:color="auto" w:fill="auto"/>
            <w:vAlign w:val="bottom"/>
          </w:tcPr>
          <w:p w14:paraId="2B79E90B"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120</w:t>
            </w:r>
          </w:p>
        </w:tc>
        <w:tc>
          <w:tcPr>
            <w:tcW w:w="1395" w:type="dxa"/>
            <w:shd w:val="clear" w:color="auto" w:fill="auto"/>
            <w:vAlign w:val="bottom"/>
          </w:tcPr>
          <w:p w14:paraId="7EEE11A6"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54</w:t>
            </w:r>
          </w:p>
        </w:tc>
      </w:tr>
      <w:tr w:rsidR="00705807" w:rsidRPr="008B58E4" w14:paraId="2BBDF5DA" w14:textId="77777777" w:rsidTr="008B58E4">
        <w:tc>
          <w:tcPr>
            <w:tcW w:w="2520" w:type="dxa"/>
            <w:shd w:val="clear" w:color="auto" w:fill="auto"/>
          </w:tcPr>
          <w:p w14:paraId="36D0A008" w14:textId="10E59FF6" w:rsidR="00705807" w:rsidRPr="008B58E4" w:rsidRDefault="00705807"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Hébergement</w:t>
            </w:r>
          </w:p>
        </w:tc>
        <w:tc>
          <w:tcPr>
            <w:tcW w:w="912" w:type="dxa"/>
            <w:shd w:val="clear" w:color="auto" w:fill="auto"/>
            <w:vAlign w:val="bottom"/>
          </w:tcPr>
          <w:p w14:paraId="7C983223" w14:textId="42807F8C" w:rsidR="00705807" w:rsidRPr="008B58E4" w:rsidRDefault="00705807"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w:t>
            </w:r>
          </w:p>
        </w:tc>
        <w:tc>
          <w:tcPr>
            <w:tcW w:w="1239" w:type="dxa"/>
            <w:shd w:val="clear" w:color="auto" w:fill="auto"/>
            <w:vAlign w:val="bottom"/>
          </w:tcPr>
          <w:p w14:paraId="75C863BF" w14:textId="516541A3" w:rsidR="00705807" w:rsidRPr="008B58E4" w:rsidRDefault="00705807"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19</w:t>
            </w:r>
          </w:p>
        </w:tc>
        <w:tc>
          <w:tcPr>
            <w:tcW w:w="1287" w:type="dxa"/>
            <w:shd w:val="clear" w:color="auto" w:fill="auto"/>
            <w:vAlign w:val="bottom"/>
          </w:tcPr>
          <w:p w14:paraId="23A77A1E" w14:textId="2C13370E" w:rsidR="00705807" w:rsidRPr="008B58E4" w:rsidRDefault="00705807"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43</w:t>
            </w:r>
          </w:p>
        </w:tc>
        <w:tc>
          <w:tcPr>
            <w:tcW w:w="1395" w:type="dxa"/>
            <w:shd w:val="clear" w:color="auto" w:fill="auto"/>
            <w:vAlign w:val="bottom"/>
          </w:tcPr>
          <w:p w14:paraId="6B04A1BE" w14:textId="7B49CE1F" w:rsidR="00705807" w:rsidRPr="008B58E4" w:rsidRDefault="00705807"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69</w:t>
            </w:r>
          </w:p>
        </w:tc>
      </w:tr>
      <w:tr w:rsidR="008B58E4" w:rsidRPr="008B58E4" w14:paraId="48BFE14A" w14:textId="77777777" w:rsidTr="008B58E4">
        <w:tc>
          <w:tcPr>
            <w:tcW w:w="2520" w:type="dxa"/>
            <w:shd w:val="clear" w:color="auto" w:fill="auto"/>
          </w:tcPr>
          <w:p w14:paraId="755ECA4F"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 xml:space="preserve">Informatique </w:t>
            </w:r>
          </w:p>
        </w:tc>
        <w:tc>
          <w:tcPr>
            <w:tcW w:w="912" w:type="dxa"/>
            <w:shd w:val="clear" w:color="auto" w:fill="auto"/>
            <w:vAlign w:val="bottom"/>
          </w:tcPr>
          <w:p w14:paraId="50842EC9"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1 929</w:t>
            </w:r>
          </w:p>
        </w:tc>
        <w:tc>
          <w:tcPr>
            <w:tcW w:w="1239" w:type="dxa"/>
            <w:shd w:val="clear" w:color="auto" w:fill="auto"/>
            <w:vAlign w:val="bottom"/>
          </w:tcPr>
          <w:p w14:paraId="7A03B90C"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1 143</w:t>
            </w:r>
          </w:p>
        </w:tc>
        <w:tc>
          <w:tcPr>
            <w:tcW w:w="1287" w:type="dxa"/>
            <w:shd w:val="clear" w:color="auto" w:fill="auto"/>
            <w:vAlign w:val="bottom"/>
          </w:tcPr>
          <w:p w14:paraId="7BDEEE01"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786</w:t>
            </w:r>
          </w:p>
        </w:tc>
        <w:tc>
          <w:tcPr>
            <w:tcW w:w="1395" w:type="dxa"/>
            <w:shd w:val="clear" w:color="auto" w:fill="auto"/>
            <w:vAlign w:val="bottom"/>
          </w:tcPr>
          <w:p w14:paraId="325D84E4"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41</w:t>
            </w:r>
          </w:p>
        </w:tc>
      </w:tr>
      <w:tr w:rsidR="00187ACF" w:rsidRPr="008B58E4" w14:paraId="1625C4F2" w14:textId="77777777" w:rsidTr="008B58E4">
        <w:tc>
          <w:tcPr>
            <w:tcW w:w="2520" w:type="dxa"/>
            <w:shd w:val="clear" w:color="auto" w:fill="auto"/>
          </w:tcPr>
          <w:p w14:paraId="5BA285DC" w14:textId="5914E7E8"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Installation électrique</w:t>
            </w:r>
          </w:p>
        </w:tc>
        <w:tc>
          <w:tcPr>
            <w:tcW w:w="912" w:type="dxa"/>
            <w:shd w:val="clear" w:color="auto" w:fill="auto"/>
            <w:vAlign w:val="bottom"/>
          </w:tcPr>
          <w:p w14:paraId="04F6398B" w14:textId="7FFD67F8"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435</w:t>
            </w:r>
          </w:p>
        </w:tc>
        <w:tc>
          <w:tcPr>
            <w:tcW w:w="1239" w:type="dxa"/>
            <w:shd w:val="clear" w:color="auto" w:fill="auto"/>
            <w:vAlign w:val="bottom"/>
          </w:tcPr>
          <w:p w14:paraId="750A3D32" w14:textId="378A91ED"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417</w:t>
            </w:r>
          </w:p>
        </w:tc>
        <w:tc>
          <w:tcPr>
            <w:tcW w:w="1287" w:type="dxa"/>
            <w:shd w:val="clear" w:color="auto" w:fill="auto"/>
            <w:vAlign w:val="bottom"/>
          </w:tcPr>
          <w:p w14:paraId="24DA8DBE" w14:textId="5A0D07A3"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18</w:t>
            </w:r>
          </w:p>
        </w:tc>
        <w:tc>
          <w:tcPr>
            <w:tcW w:w="1395" w:type="dxa"/>
            <w:shd w:val="clear" w:color="auto" w:fill="auto"/>
            <w:vAlign w:val="bottom"/>
          </w:tcPr>
          <w:p w14:paraId="6F7C7F1F" w14:textId="40EAF08D"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w:t>
            </w:r>
          </w:p>
        </w:tc>
      </w:tr>
      <w:tr w:rsidR="008B58E4" w:rsidRPr="008B58E4" w14:paraId="49F3BB83" w14:textId="77777777" w:rsidTr="008B58E4">
        <w:tc>
          <w:tcPr>
            <w:tcW w:w="2520" w:type="dxa"/>
            <w:shd w:val="clear" w:color="auto" w:fill="auto"/>
          </w:tcPr>
          <w:p w14:paraId="215A313D"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Mécanique auto</w:t>
            </w:r>
          </w:p>
        </w:tc>
        <w:tc>
          <w:tcPr>
            <w:tcW w:w="912" w:type="dxa"/>
            <w:shd w:val="clear" w:color="auto" w:fill="auto"/>
            <w:vAlign w:val="bottom"/>
          </w:tcPr>
          <w:p w14:paraId="1C1FB6D9"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262</w:t>
            </w:r>
          </w:p>
        </w:tc>
        <w:tc>
          <w:tcPr>
            <w:tcW w:w="1239" w:type="dxa"/>
            <w:shd w:val="clear" w:color="auto" w:fill="auto"/>
            <w:vAlign w:val="bottom"/>
          </w:tcPr>
          <w:p w14:paraId="07B65377"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250</w:t>
            </w:r>
          </w:p>
        </w:tc>
        <w:tc>
          <w:tcPr>
            <w:tcW w:w="1287" w:type="dxa"/>
            <w:shd w:val="clear" w:color="auto" w:fill="auto"/>
            <w:vAlign w:val="bottom"/>
          </w:tcPr>
          <w:p w14:paraId="78ACAB48"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12</w:t>
            </w:r>
          </w:p>
        </w:tc>
        <w:tc>
          <w:tcPr>
            <w:tcW w:w="1395" w:type="dxa"/>
            <w:shd w:val="clear" w:color="auto" w:fill="auto"/>
            <w:vAlign w:val="bottom"/>
          </w:tcPr>
          <w:p w14:paraId="1333EC0F"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w:t>
            </w:r>
          </w:p>
        </w:tc>
      </w:tr>
      <w:tr w:rsidR="00187ACF" w:rsidRPr="008B58E4" w14:paraId="7F78ED69" w14:textId="77777777" w:rsidTr="008B58E4">
        <w:tc>
          <w:tcPr>
            <w:tcW w:w="2520" w:type="dxa"/>
            <w:shd w:val="clear" w:color="auto" w:fill="auto"/>
          </w:tcPr>
          <w:p w14:paraId="568598C8" w14:textId="3063EC16"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 xml:space="preserve">Ménages </w:t>
            </w:r>
            <w:r w:rsidR="008B58E4">
              <w:rPr>
                <w:sz w:val="17"/>
                <w:szCs w:val="17"/>
              </w:rPr>
              <w:t>et</w:t>
            </w:r>
            <w:r w:rsidRPr="008B58E4">
              <w:rPr>
                <w:sz w:val="17"/>
                <w:szCs w:val="17"/>
              </w:rPr>
              <w:t xml:space="preserve"> consommation</w:t>
            </w:r>
          </w:p>
        </w:tc>
        <w:tc>
          <w:tcPr>
            <w:tcW w:w="912" w:type="dxa"/>
            <w:shd w:val="clear" w:color="auto" w:fill="auto"/>
            <w:vAlign w:val="bottom"/>
          </w:tcPr>
          <w:p w14:paraId="5E430EC4" w14:textId="571DF2C2"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356</w:t>
            </w:r>
          </w:p>
        </w:tc>
        <w:tc>
          <w:tcPr>
            <w:tcW w:w="1239" w:type="dxa"/>
            <w:shd w:val="clear" w:color="auto" w:fill="auto"/>
            <w:vAlign w:val="bottom"/>
          </w:tcPr>
          <w:p w14:paraId="4D9A5470" w14:textId="32F6D45E"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134</w:t>
            </w:r>
          </w:p>
        </w:tc>
        <w:tc>
          <w:tcPr>
            <w:tcW w:w="1287" w:type="dxa"/>
            <w:shd w:val="clear" w:color="auto" w:fill="auto"/>
            <w:vAlign w:val="bottom"/>
          </w:tcPr>
          <w:p w14:paraId="34A6215C" w14:textId="423DF676"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22</w:t>
            </w:r>
          </w:p>
        </w:tc>
        <w:tc>
          <w:tcPr>
            <w:tcW w:w="1395" w:type="dxa"/>
            <w:shd w:val="clear" w:color="auto" w:fill="auto"/>
            <w:vAlign w:val="bottom"/>
          </w:tcPr>
          <w:p w14:paraId="645A83A3" w14:textId="5E24DE50"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w:t>
            </w:r>
          </w:p>
        </w:tc>
      </w:tr>
      <w:tr w:rsidR="008B58E4" w:rsidRPr="008B58E4" w14:paraId="08585159" w14:textId="77777777" w:rsidTr="008B58E4">
        <w:tc>
          <w:tcPr>
            <w:tcW w:w="2520" w:type="dxa"/>
            <w:shd w:val="clear" w:color="auto" w:fill="auto"/>
          </w:tcPr>
          <w:p w14:paraId="60DD0E2A"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Menuiserie &amp; charpenterie</w:t>
            </w:r>
          </w:p>
        </w:tc>
        <w:tc>
          <w:tcPr>
            <w:tcW w:w="912" w:type="dxa"/>
            <w:shd w:val="clear" w:color="auto" w:fill="auto"/>
            <w:vAlign w:val="bottom"/>
          </w:tcPr>
          <w:p w14:paraId="1B754F7B"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762</w:t>
            </w:r>
          </w:p>
        </w:tc>
        <w:tc>
          <w:tcPr>
            <w:tcW w:w="1239" w:type="dxa"/>
            <w:shd w:val="clear" w:color="auto" w:fill="auto"/>
            <w:vAlign w:val="bottom"/>
          </w:tcPr>
          <w:p w14:paraId="7E76DC93"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723</w:t>
            </w:r>
          </w:p>
        </w:tc>
        <w:tc>
          <w:tcPr>
            <w:tcW w:w="1287" w:type="dxa"/>
            <w:shd w:val="clear" w:color="auto" w:fill="auto"/>
            <w:vAlign w:val="bottom"/>
          </w:tcPr>
          <w:p w14:paraId="30F8EAC4"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39</w:t>
            </w:r>
          </w:p>
        </w:tc>
        <w:tc>
          <w:tcPr>
            <w:tcW w:w="1395" w:type="dxa"/>
            <w:shd w:val="clear" w:color="auto" w:fill="auto"/>
            <w:vAlign w:val="bottom"/>
          </w:tcPr>
          <w:p w14:paraId="58532251" w14:textId="77777777"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w:t>
            </w:r>
          </w:p>
        </w:tc>
      </w:tr>
      <w:tr w:rsidR="00187ACF" w:rsidRPr="008B58E4" w14:paraId="5C785F8C" w14:textId="77777777" w:rsidTr="008B58E4">
        <w:tc>
          <w:tcPr>
            <w:tcW w:w="2520" w:type="dxa"/>
            <w:shd w:val="clear" w:color="auto" w:fill="auto"/>
          </w:tcPr>
          <w:p w14:paraId="445472B2" w14:textId="1BF14C3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Préparation alimentaire</w:t>
            </w:r>
          </w:p>
        </w:tc>
        <w:tc>
          <w:tcPr>
            <w:tcW w:w="912" w:type="dxa"/>
            <w:shd w:val="clear" w:color="auto" w:fill="auto"/>
            <w:vAlign w:val="bottom"/>
          </w:tcPr>
          <w:p w14:paraId="76C10016" w14:textId="363B310D"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w:t>
            </w:r>
          </w:p>
        </w:tc>
        <w:tc>
          <w:tcPr>
            <w:tcW w:w="1239" w:type="dxa"/>
            <w:shd w:val="clear" w:color="auto" w:fill="auto"/>
            <w:vAlign w:val="bottom"/>
          </w:tcPr>
          <w:p w14:paraId="652D3BA2" w14:textId="17D58EA0"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20</w:t>
            </w:r>
          </w:p>
        </w:tc>
        <w:tc>
          <w:tcPr>
            <w:tcW w:w="1287" w:type="dxa"/>
            <w:shd w:val="clear" w:color="auto" w:fill="auto"/>
            <w:vAlign w:val="bottom"/>
          </w:tcPr>
          <w:p w14:paraId="1355A892" w14:textId="76CD4DDD"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42</w:t>
            </w:r>
          </w:p>
        </w:tc>
        <w:tc>
          <w:tcPr>
            <w:tcW w:w="1395" w:type="dxa"/>
            <w:shd w:val="clear" w:color="auto" w:fill="auto"/>
            <w:vAlign w:val="bottom"/>
          </w:tcPr>
          <w:p w14:paraId="5830A009" w14:textId="3D310AE6"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68</w:t>
            </w:r>
          </w:p>
        </w:tc>
      </w:tr>
      <w:tr w:rsidR="008B58E4" w:rsidRPr="008B58E4" w14:paraId="3ABAC2E2" w14:textId="77777777" w:rsidTr="008B58E4">
        <w:tc>
          <w:tcPr>
            <w:tcW w:w="2520" w:type="dxa"/>
            <w:shd w:val="clear" w:color="auto" w:fill="auto"/>
          </w:tcPr>
          <w:p w14:paraId="05DA8348"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Procédures bureau</w:t>
            </w:r>
          </w:p>
        </w:tc>
        <w:tc>
          <w:tcPr>
            <w:tcW w:w="912" w:type="dxa"/>
            <w:shd w:val="clear" w:color="auto" w:fill="auto"/>
            <w:vAlign w:val="bottom"/>
          </w:tcPr>
          <w:p w14:paraId="2AEB18AE"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569</w:t>
            </w:r>
          </w:p>
        </w:tc>
        <w:tc>
          <w:tcPr>
            <w:tcW w:w="1239" w:type="dxa"/>
            <w:shd w:val="clear" w:color="auto" w:fill="auto"/>
            <w:vAlign w:val="bottom"/>
          </w:tcPr>
          <w:p w14:paraId="181E958B"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216</w:t>
            </w:r>
          </w:p>
        </w:tc>
        <w:tc>
          <w:tcPr>
            <w:tcW w:w="1287" w:type="dxa"/>
            <w:shd w:val="clear" w:color="auto" w:fill="auto"/>
            <w:vAlign w:val="bottom"/>
          </w:tcPr>
          <w:p w14:paraId="685BB02A"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353</w:t>
            </w:r>
          </w:p>
        </w:tc>
        <w:tc>
          <w:tcPr>
            <w:tcW w:w="1395" w:type="dxa"/>
            <w:shd w:val="clear" w:color="auto" w:fill="auto"/>
            <w:vAlign w:val="bottom"/>
          </w:tcPr>
          <w:p w14:paraId="20821DB7"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62</w:t>
            </w:r>
          </w:p>
        </w:tc>
      </w:tr>
      <w:tr w:rsidR="008B58E4" w:rsidRPr="008B58E4" w14:paraId="73B21FC3" w14:textId="77777777" w:rsidTr="008B58E4">
        <w:tc>
          <w:tcPr>
            <w:tcW w:w="2520" w:type="dxa"/>
            <w:shd w:val="clear" w:color="auto" w:fill="auto"/>
          </w:tcPr>
          <w:p w14:paraId="1C1B582F" w14:textId="77777777"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 xml:space="preserve">Soudure </w:t>
            </w:r>
          </w:p>
        </w:tc>
        <w:tc>
          <w:tcPr>
            <w:tcW w:w="912" w:type="dxa"/>
            <w:shd w:val="clear" w:color="auto" w:fill="auto"/>
            <w:vAlign w:val="bottom"/>
          </w:tcPr>
          <w:p w14:paraId="6012C529"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37</w:t>
            </w:r>
          </w:p>
        </w:tc>
        <w:tc>
          <w:tcPr>
            <w:tcW w:w="1239" w:type="dxa"/>
            <w:shd w:val="clear" w:color="auto" w:fill="auto"/>
            <w:vAlign w:val="bottom"/>
          </w:tcPr>
          <w:p w14:paraId="4B2297AD"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30</w:t>
            </w:r>
          </w:p>
        </w:tc>
        <w:tc>
          <w:tcPr>
            <w:tcW w:w="1287" w:type="dxa"/>
            <w:shd w:val="clear" w:color="auto" w:fill="auto"/>
            <w:vAlign w:val="bottom"/>
          </w:tcPr>
          <w:p w14:paraId="0921A344"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7</w:t>
            </w:r>
          </w:p>
        </w:tc>
        <w:tc>
          <w:tcPr>
            <w:tcW w:w="1395" w:type="dxa"/>
            <w:shd w:val="clear" w:color="auto" w:fill="auto"/>
            <w:vAlign w:val="bottom"/>
          </w:tcPr>
          <w:p w14:paraId="6A810BE4" w14:textId="77777777" w:rsidR="00187ACF" w:rsidRPr="008B58E4" w:rsidRDefault="00187ACF" w:rsidP="007C78D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19</w:t>
            </w:r>
          </w:p>
        </w:tc>
      </w:tr>
      <w:tr w:rsidR="00187ACF" w:rsidRPr="008B58E4" w14:paraId="171BDBB7" w14:textId="77777777" w:rsidTr="008B58E4">
        <w:tc>
          <w:tcPr>
            <w:tcW w:w="2520" w:type="dxa"/>
            <w:shd w:val="clear" w:color="auto" w:fill="auto"/>
          </w:tcPr>
          <w:p w14:paraId="0B21AD43" w14:textId="09D88886" w:rsidR="00187ACF" w:rsidRPr="008B58E4" w:rsidRDefault="00187ACF" w:rsidP="008B58E4">
            <w:pPr>
              <w:tabs>
                <w:tab w:val="left" w:pos="288"/>
                <w:tab w:val="left" w:pos="576"/>
                <w:tab w:val="left" w:pos="864"/>
                <w:tab w:val="left" w:pos="1152"/>
              </w:tabs>
              <w:suppressAutoHyphens/>
              <w:spacing w:before="40" w:after="40" w:line="210" w:lineRule="exact"/>
              <w:ind w:right="14"/>
              <w:rPr>
                <w:sz w:val="17"/>
                <w:szCs w:val="17"/>
              </w:rPr>
            </w:pPr>
            <w:r w:rsidRPr="008B58E4">
              <w:rPr>
                <w:sz w:val="17"/>
                <w:szCs w:val="17"/>
              </w:rPr>
              <w:t xml:space="preserve">Tourisme </w:t>
            </w:r>
            <w:r w:rsidR="008B58E4">
              <w:rPr>
                <w:sz w:val="17"/>
                <w:szCs w:val="17"/>
              </w:rPr>
              <w:t>et</w:t>
            </w:r>
            <w:r w:rsidRPr="008B58E4">
              <w:rPr>
                <w:sz w:val="17"/>
                <w:szCs w:val="17"/>
              </w:rPr>
              <w:t xml:space="preserve"> études d</w:t>
            </w:r>
            <w:r w:rsidR="00000F67">
              <w:rPr>
                <w:sz w:val="17"/>
                <w:szCs w:val="17"/>
              </w:rPr>
              <w:t>’</w:t>
            </w:r>
            <w:r w:rsidRPr="008B58E4">
              <w:rPr>
                <w:sz w:val="17"/>
                <w:szCs w:val="17"/>
              </w:rPr>
              <w:t>hôtellerie</w:t>
            </w:r>
          </w:p>
        </w:tc>
        <w:tc>
          <w:tcPr>
            <w:tcW w:w="912" w:type="dxa"/>
            <w:shd w:val="clear" w:color="auto" w:fill="auto"/>
            <w:vAlign w:val="bottom"/>
          </w:tcPr>
          <w:p w14:paraId="260087E8" w14:textId="71D4792E"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330</w:t>
            </w:r>
          </w:p>
        </w:tc>
        <w:tc>
          <w:tcPr>
            <w:tcW w:w="1239" w:type="dxa"/>
            <w:shd w:val="clear" w:color="auto" w:fill="auto"/>
            <w:vAlign w:val="bottom"/>
          </w:tcPr>
          <w:p w14:paraId="7D6A9B54" w14:textId="69D13319"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119</w:t>
            </w:r>
          </w:p>
        </w:tc>
        <w:tc>
          <w:tcPr>
            <w:tcW w:w="1287" w:type="dxa"/>
            <w:shd w:val="clear" w:color="auto" w:fill="auto"/>
            <w:vAlign w:val="bottom"/>
          </w:tcPr>
          <w:p w14:paraId="7DD5F3BA" w14:textId="7D6FDE3A"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211</w:t>
            </w:r>
          </w:p>
        </w:tc>
        <w:tc>
          <w:tcPr>
            <w:tcW w:w="1395" w:type="dxa"/>
            <w:shd w:val="clear" w:color="auto" w:fill="auto"/>
            <w:vAlign w:val="bottom"/>
          </w:tcPr>
          <w:p w14:paraId="13F41D7C" w14:textId="614D1AEA" w:rsidR="00187ACF" w:rsidRPr="008B58E4" w:rsidRDefault="00187ACF" w:rsidP="00187ACF">
            <w:pPr>
              <w:tabs>
                <w:tab w:val="left" w:pos="288"/>
                <w:tab w:val="left" w:pos="576"/>
                <w:tab w:val="left" w:pos="864"/>
                <w:tab w:val="left" w:pos="1152"/>
              </w:tabs>
              <w:suppressAutoHyphens/>
              <w:spacing w:before="40" w:after="40" w:line="210" w:lineRule="exact"/>
              <w:ind w:left="144" w:right="43"/>
              <w:jc w:val="right"/>
              <w:rPr>
                <w:sz w:val="17"/>
                <w:szCs w:val="17"/>
              </w:rPr>
            </w:pPr>
            <w:r w:rsidRPr="008B58E4">
              <w:rPr>
                <w:sz w:val="17"/>
                <w:szCs w:val="17"/>
              </w:rPr>
              <w:t>64</w:t>
            </w:r>
          </w:p>
        </w:tc>
      </w:tr>
      <w:tr w:rsidR="00187ACF" w:rsidRPr="008B58E4" w14:paraId="23B3477E" w14:textId="77777777" w:rsidTr="008B58E4">
        <w:tc>
          <w:tcPr>
            <w:tcW w:w="2520" w:type="dxa"/>
            <w:tcBorders>
              <w:bottom w:val="single" w:sz="4" w:space="0" w:color="auto"/>
            </w:tcBorders>
            <w:shd w:val="clear" w:color="auto" w:fill="auto"/>
          </w:tcPr>
          <w:p w14:paraId="6E3494F0" w14:textId="72CB4919" w:rsidR="00187ACF" w:rsidRPr="008B58E4" w:rsidRDefault="00705807" w:rsidP="008B58E4">
            <w:pPr>
              <w:tabs>
                <w:tab w:val="left" w:pos="288"/>
                <w:tab w:val="left" w:pos="576"/>
                <w:tab w:val="left" w:pos="864"/>
                <w:tab w:val="left" w:pos="1152"/>
              </w:tabs>
              <w:suppressAutoHyphens/>
              <w:spacing w:before="40" w:after="81" w:line="210" w:lineRule="exact"/>
              <w:ind w:right="14"/>
              <w:rPr>
                <w:sz w:val="17"/>
                <w:szCs w:val="17"/>
              </w:rPr>
            </w:pPr>
            <w:r w:rsidRPr="008B58E4">
              <w:rPr>
                <w:sz w:val="17"/>
                <w:szCs w:val="17"/>
              </w:rPr>
              <w:t>Traitement de textes</w:t>
            </w:r>
          </w:p>
        </w:tc>
        <w:tc>
          <w:tcPr>
            <w:tcW w:w="912" w:type="dxa"/>
            <w:tcBorders>
              <w:bottom w:val="single" w:sz="4" w:space="0" w:color="auto"/>
            </w:tcBorders>
            <w:shd w:val="clear" w:color="auto" w:fill="auto"/>
            <w:vAlign w:val="bottom"/>
          </w:tcPr>
          <w:p w14:paraId="7242AE33" w14:textId="1D00811C" w:rsidR="00187ACF" w:rsidRPr="008B58E4" w:rsidRDefault="00705807" w:rsidP="008B58E4">
            <w:pPr>
              <w:tabs>
                <w:tab w:val="left" w:pos="288"/>
                <w:tab w:val="left" w:pos="576"/>
                <w:tab w:val="left" w:pos="864"/>
                <w:tab w:val="left" w:pos="1152"/>
              </w:tabs>
              <w:suppressAutoHyphens/>
              <w:spacing w:before="40" w:after="81" w:line="210" w:lineRule="exact"/>
              <w:ind w:left="144" w:right="43"/>
              <w:jc w:val="right"/>
              <w:rPr>
                <w:sz w:val="17"/>
                <w:szCs w:val="17"/>
              </w:rPr>
            </w:pPr>
            <w:r w:rsidRPr="008B58E4">
              <w:rPr>
                <w:sz w:val="17"/>
                <w:szCs w:val="17"/>
              </w:rPr>
              <w:t>454</w:t>
            </w:r>
          </w:p>
        </w:tc>
        <w:tc>
          <w:tcPr>
            <w:tcW w:w="1239" w:type="dxa"/>
            <w:tcBorders>
              <w:bottom w:val="single" w:sz="4" w:space="0" w:color="auto"/>
            </w:tcBorders>
            <w:shd w:val="clear" w:color="auto" w:fill="auto"/>
            <w:vAlign w:val="bottom"/>
          </w:tcPr>
          <w:p w14:paraId="0321D3D7" w14:textId="75039C92" w:rsidR="00187ACF" w:rsidRPr="008B58E4" w:rsidRDefault="00705807" w:rsidP="008B58E4">
            <w:pPr>
              <w:tabs>
                <w:tab w:val="left" w:pos="288"/>
                <w:tab w:val="left" w:pos="576"/>
                <w:tab w:val="left" w:pos="864"/>
                <w:tab w:val="left" w:pos="1152"/>
              </w:tabs>
              <w:suppressAutoHyphens/>
              <w:spacing w:before="40" w:after="81" w:line="210" w:lineRule="exact"/>
              <w:ind w:left="144" w:right="43"/>
              <w:jc w:val="right"/>
              <w:rPr>
                <w:sz w:val="17"/>
                <w:szCs w:val="17"/>
              </w:rPr>
            </w:pPr>
            <w:r w:rsidRPr="008B58E4">
              <w:rPr>
                <w:sz w:val="17"/>
                <w:szCs w:val="17"/>
              </w:rPr>
              <w:t>164</w:t>
            </w:r>
          </w:p>
        </w:tc>
        <w:tc>
          <w:tcPr>
            <w:tcW w:w="1287" w:type="dxa"/>
            <w:tcBorders>
              <w:bottom w:val="single" w:sz="4" w:space="0" w:color="auto"/>
            </w:tcBorders>
            <w:shd w:val="clear" w:color="auto" w:fill="auto"/>
            <w:vAlign w:val="bottom"/>
          </w:tcPr>
          <w:p w14:paraId="43C89594" w14:textId="2BE8962A" w:rsidR="00187ACF" w:rsidRPr="008B58E4" w:rsidRDefault="00705807" w:rsidP="008B58E4">
            <w:pPr>
              <w:tabs>
                <w:tab w:val="left" w:pos="288"/>
                <w:tab w:val="left" w:pos="576"/>
                <w:tab w:val="left" w:pos="864"/>
                <w:tab w:val="left" w:pos="1152"/>
              </w:tabs>
              <w:suppressAutoHyphens/>
              <w:spacing w:before="40" w:after="81" w:line="210" w:lineRule="exact"/>
              <w:ind w:left="144" w:right="43"/>
              <w:jc w:val="right"/>
              <w:rPr>
                <w:sz w:val="17"/>
                <w:szCs w:val="17"/>
              </w:rPr>
            </w:pPr>
            <w:r w:rsidRPr="008B58E4">
              <w:rPr>
                <w:sz w:val="17"/>
                <w:szCs w:val="17"/>
              </w:rPr>
              <w:t>290</w:t>
            </w:r>
          </w:p>
        </w:tc>
        <w:tc>
          <w:tcPr>
            <w:tcW w:w="1395" w:type="dxa"/>
            <w:tcBorders>
              <w:bottom w:val="single" w:sz="4" w:space="0" w:color="auto"/>
            </w:tcBorders>
            <w:shd w:val="clear" w:color="auto" w:fill="auto"/>
            <w:vAlign w:val="bottom"/>
          </w:tcPr>
          <w:p w14:paraId="011F2AA2" w14:textId="627D0C26" w:rsidR="00187ACF" w:rsidRPr="008B58E4" w:rsidRDefault="00705807" w:rsidP="008B58E4">
            <w:pPr>
              <w:tabs>
                <w:tab w:val="left" w:pos="288"/>
                <w:tab w:val="left" w:pos="576"/>
                <w:tab w:val="left" w:pos="864"/>
                <w:tab w:val="left" w:pos="1152"/>
              </w:tabs>
              <w:suppressAutoHyphens/>
              <w:spacing w:before="40" w:after="81" w:line="210" w:lineRule="exact"/>
              <w:ind w:left="144" w:right="43"/>
              <w:jc w:val="right"/>
              <w:rPr>
                <w:sz w:val="17"/>
                <w:szCs w:val="17"/>
              </w:rPr>
            </w:pPr>
            <w:r w:rsidRPr="008B58E4">
              <w:rPr>
                <w:sz w:val="17"/>
                <w:szCs w:val="17"/>
              </w:rPr>
              <w:t>64</w:t>
            </w:r>
          </w:p>
        </w:tc>
      </w:tr>
      <w:tr w:rsidR="00187ACF" w:rsidRPr="008B58E4" w14:paraId="116F3F48" w14:textId="77777777" w:rsidTr="008B58E4">
        <w:tc>
          <w:tcPr>
            <w:tcW w:w="2520" w:type="dxa"/>
            <w:tcBorders>
              <w:top w:val="single" w:sz="4" w:space="0" w:color="auto"/>
              <w:bottom w:val="single" w:sz="12" w:space="0" w:color="auto"/>
            </w:tcBorders>
            <w:shd w:val="clear" w:color="auto" w:fill="auto"/>
            <w:vAlign w:val="bottom"/>
          </w:tcPr>
          <w:p w14:paraId="39D4ED27" w14:textId="74BD1FF0" w:rsidR="00187ACF" w:rsidRPr="008B58E4" w:rsidRDefault="00187ACF" w:rsidP="008B58E4">
            <w:pPr>
              <w:tabs>
                <w:tab w:val="left" w:pos="288"/>
                <w:tab w:val="left" w:pos="576"/>
                <w:tab w:val="left" w:pos="864"/>
                <w:tab w:val="left" w:pos="1152"/>
              </w:tabs>
              <w:suppressAutoHyphens/>
              <w:spacing w:before="81" w:after="81" w:line="210" w:lineRule="exact"/>
              <w:ind w:right="14"/>
              <w:rPr>
                <w:b/>
                <w:sz w:val="17"/>
                <w:szCs w:val="17"/>
              </w:rPr>
            </w:pPr>
            <w:r w:rsidRPr="008B58E4">
              <w:rPr>
                <w:b/>
                <w:sz w:val="17"/>
                <w:szCs w:val="17"/>
              </w:rPr>
              <w:tab/>
              <w:t>Total étudiants TVET</w:t>
            </w:r>
          </w:p>
        </w:tc>
        <w:tc>
          <w:tcPr>
            <w:tcW w:w="912" w:type="dxa"/>
            <w:tcBorders>
              <w:top w:val="single" w:sz="4" w:space="0" w:color="auto"/>
              <w:bottom w:val="single" w:sz="12" w:space="0" w:color="auto"/>
            </w:tcBorders>
            <w:shd w:val="clear" w:color="auto" w:fill="auto"/>
            <w:vAlign w:val="bottom"/>
          </w:tcPr>
          <w:p w14:paraId="389AD1E7" w14:textId="30865F4D" w:rsidR="00187ACF" w:rsidRPr="008B58E4" w:rsidRDefault="00187ACF" w:rsidP="008B58E4">
            <w:pPr>
              <w:tabs>
                <w:tab w:val="left" w:pos="288"/>
                <w:tab w:val="left" w:pos="576"/>
                <w:tab w:val="left" w:pos="864"/>
                <w:tab w:val="left" w:pos="1152"/>
              </w:tabs>
              <w:suppressAutoHyphens/>
              <w:spacing w:before="81" w:after="81" w:line="210" w:lineRule="exact"/>
              <w:ind w:left="144" w:right="43"/>
              <w:jc w:val="right"/>
              <w:rPr>
                <w:b/>
                <w:sz w:val="17"/>
                <w:szCs w:val="17"/>
              </w:rPr>
            </w:pPr>
            <w:r w:rsidRPr="008B58E4">
              <w:rPr>
                <w:b/>
                <w:sz w:val="17"/>
                <w:szCs w:val="17"/>
              </w:rPr>
              <w:t>12 237</w:t>
            </w:r>
          </w:p>
        </w:tc>
        <w:tc>
          <w:tcPr>
            <w:tcW w:w="1239" w:type="dxa"/>
            <w:tcBorders>
              <w:top w:val="single" w:sz="4" w:space="0" w:color="auto"/>
              <w:bottom w:val="single" w:sz="12" w:space="0" w:color="auto"/>
            </w:tcBorders>
            <w:shd w:val="clear" w:color="auto" w:fill="auto"/>
            <w:vAlign w:val="bottom"/>
          </w:tcPr>
          <w:p w14:paraId="26735181" w14:textId="40AB27BE" w:rsidR="00187ACF" w:rsidRPr="008B58E4" w:rsidRDefault="00187ACF" w:rsidP="008B58E4">
            <w:pPr>
              <w:tabs>
                <w:tab w:val="left" w:pos="288"/>
                <w:tab w:val="left" w:pos="576"/>
                <w:tab w:val="left" w:pos="864"/>
                <w:tab w:val="left" w:pos="1152"/>
              </w:tabs>
              <w:suppressAutoHyphens/>
              <w:spacing w:before="81" w:after="81" w:line="210" w:lineRule="exact"/>
              <w:ind w:left="144" w:right="43"/>
              <w:jc w:val="right"/>
              <w:rPr>
                <w:b/>
                <w:sz w:val="17"/>
                <w:szCs w:val="17"/>
              </w:rPr>
            </w:pPr>
            <w:r w:rsidRPr="008B58E4">
              <w:rPr>
                <w:b/>
                <w:sz w:val="17"/>
                <w:szCs w:val="17"/>
              </w:rPr>
              <w:t>6 697</w:t>
            </w:r>
          </w:p>
        </w:tc>
        <w:tc>
          <w:tcPr>
            <w:tcW w:w="1287" w:type="dxa"/>
            <w:tcBorders>
              <w:top w:val="single" w:sz="4" w:space="0" w:color="auto"/>
              <w:bottom w:val="single" w:sz="12" w:space="0" w:color="auto"/>
            </w:tcBorders>
            <w:shd w:val="clear" w:color="auto" w:fill="auto"/>
            <w:vAlign w:val="bottom"/>
          </w:tcPr>
          <w:p w14:paraId="310A7963" w14:textId="570AB323" w:rsidR="00187ACF" w:rsidRPr="008B58E4" w:rsidRDefault="00187ACF" w:rsidP="008B58E4">
            <w:pPr>
              <w:tabs>
                <w:tab w:val="left" w:pos="288"/>
                <w:tab w:val="left" w:pos="576"/>
                <w:tab w:val="left" w:pos="864"/>
                <w:tab w:val="left" w:pos="1152"/>
              </w:tabs>
              <w:suppressAutoHyphens/>
              <w:spacing w:before="81" w:after="81" w:line="210" w:lineRule="exact"/>
              <w:ind w:left="144" w:right="43"/>
              <w:jc w:val="right"/>
              <w:rPr>
                <w:b/>
                <w:sz w:val="17"/>
                <w:szCs w:val="17"/>
              </w:rPr>
            </w:pPr>
            <w:r w:rsidRPr="008B58E4">
              <w:rPr>
                <w:b/>
                <w:sz w:val="17"/>
                <w:szCs w:val="17"/>
              </w:rPr>
              <w:t>5 540</w:t>
            </w:r>
          </w:p>
        </w:tc>
        <w:tc>
          <w:tcPr>
            <w:tcW w:w="1395" w:type="dxa"/>
            <w:tcBorders>
              <w:top w:val="single" w:sz="4" w:space="0" w:color="auto"/>
              <w:bottom w:val="single" w:sz="12" w:space="0" w:color="auto"/>
            </w:tcBorders>
            <w:shd w:val="clear" w:color="auto" w:fill="auto"/>
            <w:vAlign w:val="bottom"/>
          </w:tcPr>
          <w:p w14:paraId="79DF954A" w14:textId="6BB57D81" w:rsidR="00187ACF" w:rsidRPr="008B58E4" w:rsidRDefault="00187ACF" w:rsidP="008B58E4">
            <w:pPr>
              <w:tabs>
                <w:tab w:val="left" w:pos="288"/>
                <w:tab w:val="left" w:pos="576"/>
                <w:tab w:val="left" w:pos="864"/>
                <w:tab w:val="left" w:pos="1152"/>
              </w:tabs>
              <w:suppressAutoHyphens/>
              <w:spacing w:before="81" w:after="81" w:line="210" w:lineRule="exact"/>
              <w:ind w:left="144" w:right="43"/>
              <w:jc w:val="right"/>
              <w:rPr>
                <w:b/>
                <w:sz w:val="17"/>
                <w:szCs w:val="17"/>
              </w:rPr>
            </w:pPr>
            <w:r w:rsidRPr="008B58E4">
              <w:rPr>
                <w:b/>
                <w:sz w:val="17"/>
                <w:szCs w:val="17"/>
              </w:rPr>
              <w:t>45,3</w:t>
            </w:r>
          </w:p>
        </w:tc>
      </w:tr>
    </w:tbl>
    <w:p w14:paraId="5EE79B52" w14:textId="72480038" w:rsidR="00BA1FB3" w:rsidRPr="00705807" w:rsidRDefault="00BA1FB3" w:rsidP="00705807">
      <w:pPr>
        <w:pStyle w:val="SingleTxt"/>
        <w:suppressAutoHyphens/>
        <w:spacing w:after="0" w:line="120" w:lineRule="exact"/>
        <w:rPr>
          <w:sz w:val="10"/>
        </w:rPr>
      </w:pPr>
    </w:p>
    <w:p w14:paraId="4F3D4C32" w14:textId="60C33AF9" w:rsidR="00705807" w:rsidRDefault="00705807" w:rsidP="00705807">
      <w:pPr>
        <w:pStyle w:val="FootnoteText"/>
        <w:tabs>
          <w:tab w:val="clear" w:pos="418"/>
          <w:tab w:val="right" w:pos="1476"/>
          <w:tab w:val="left" w:pos="1548"/>
          <w:tab w:val="right" w:pos="1836"/>
          <w:tab w:val="left" w:pos="1908"/>
        </w:tabs>
        <w:ind w:left="1548" w:hanging="288"/>
      </w:pPr>
      <w:r w:rsidRPr="00705807">
        <w:rPr>
          <w:i/>
        </w:rPr>
        <w:t>Source</w:t>
      </w:r>
      <w:r>
        <w:t> : Recensement national de l</w:t>
      </w:r>
      <w:r w:rsidR="00000F67">
        <w:t>’</w:t>
      </w:r>
      <w:r>
        <w:t>éducation (2017).</w:t>
      </w:r>
    </w:p>
    <w:p w14:paraId="3CF12E84" w14:textId="795926D6" w:rsidR="005338CF" w:rsidRPr="00705807" w:rsidRDefault="005338CF" w:rsidP="00705807">
      <w:pPr>
        <w:pStyle w:val="SingleTxt"/>
        <w:suppressAutoHyphens/>
        <w:spacing w:after="0" w:line="120" w:lineRule="exact"/>
        <w:rPr>
          <w:sz w:val="10"/>
        </w:rPr>
      </w:pPr>
    </w:p>
    <w:p w14:paraId="6C33E556" w14:textId="1DF20F5A" w:rsidR="00705807" w:rsidRPr="00705807" w:rsidRDefault="00705807" w:rsidP="00705807">
      <w:pPr>
        <w:pStyle w:val="SingleTxt"/>
        <w:suppressAutoHyphens/>
        <w:spacing w:after="0" w:line="120" w:lineRule="exact"/>
        <w:rPr>
          <w:sz w:val="10"/>
        </w:rPr>
      </w:pPr>
    </w:p>
    <w:p w14:paraId="339FB525" w14:textId="57E021AB" w:rsidR="00705807" w:rsidRPr="00BF3168" w:rsidRDefault="00705807" w:rsidP="00C67914">
      <w:pPr>
        <w:pStyle w:val="SingleTxt"/>
        <w:numPr>
          <w:ilvl w:val="0"/>
          <w:numId w:val="18"/>
        </w:numPr>
        <w:suppressAutoHyphens/>
        <w:ind w:left="1267" w:firstLine="0"/>
        <w:rPr>
          <w:lang w:val="fr-FR"/>
        </w:rPr>
      </w:pPr>
      <w:r w:rsidRPr="00BF3168">
        <w:rPr>
          <w:lang w:val="fr-FR"/>
        </w:rPr>
        <w:t>Dans le cadre législatif de la loi relative à l</w:t>
      </w:r>
      <w:r w:rsidR="00000F67">
        <w:rPr>
          <w:lang w:val="fr-FR"/>
        </w:rPr>
        <w:t>’</w:t>
      </w:r>
      <w:r w:rsidRPr="00BF3168">
        <w:rPr>
          <w:lang w:val="fr-FR"/>
        </w:rPr>
        <w:t>éducation (art</w:t>
      </w:r>
      <w:r>
        <w:rPr>
          <w:lang w:val="fr-FR"/>
        </w:rPr>
        <w:t>. </w:t>
      </w:r>
      <w:r w:rsidRPr="00BF3168">
        <w:rPr>
          <w:lang w:val="fr-FR"/>
        </w:rPr>
        <w:t>22, 23 et 25), l</w:t>
      </w:r>
      <w:r w:rsidR="00000F67">
        <w:rPr>
          <w:lang w:val="fr-FR"/>
        </w:rPr>
        <w:t>’</w:t>
      </w:r>
      <w:r w:rsidRPr="00BF3168">
        <w:rPr>
          <w:lang w:val="fr-FR"/>
        </w:rPr>
        <w:t>enseignement demeure obligatoire pour tous les enfants de 5 à 16 ans dans le pays. En outre, l</w:t>
      </w:r>
      <w:r w:rsidR="00000F67">
        <w:rPr>
          <w:lang w:val="fr-FR"/>
        </w:rPr>
        <w:t>’</w:t>
      </w:r>
      <w:r w:rsidRPr="00BF3168">
        <w:rPr>
          <w:lang w:val="fr-FR"/>
        </w:rPr>
        <w:t>application du droit à l</w:t>
      </w:r>
      <w:r w:rsidR="00000F67">
        <w:rPr>
          <w:lang w:val="fr-FR"/>
        </w:rPr>
        <w:t>’</w:t>
      </w:r>
      <w:r w:rsidRPr="00BF3168">
        <w:rPr>
          <w:lang w:val="fr-FR"/>
        </w:rPr>
        <w:t>éducation est également régie par les dispositions de la loi relative à la protection des enfants (art</w:t>
      </w:r>
      <w:r w:rsidR="008B58E4">
        <w:rPr>
          <w:lang w:val="fr-FR"/>
        </w:rPr>
        <w:t>.</w:t>
      </w:r>
      <w:r w:rsidRPr="00BF3168">
        <w:rPr>
          <w:lang w:val="fr-FR"/>
        </w:rPr>
        <w:t xml:space="preserve"> 5).</w:t>
      </w:r>
    </w:p>
    <w:p w14:paraId="115877A1" w14:textId="77777777" w:rsidR="008B58E4" w:rsidRPr="008B58E4" w:rsidRDefault="008B58E4" w:rsidP="008B58E4">
      <w:pPr>
        <w:pStyle w:val="SingleTxt"/>
        <w:suppressAutoHyphens/>
        <w:spacing w:after="0" w:line="120" w:lineRule="exact"/>
        <w:rPr>
          <w:sz w:val="10"/>
          <w:lang w:val="fr-FR"/>
        </w:rPr>
      </w:pPr>
    </w:p>
    <w:p w14:paraId="10F50983" w14:textId="27CA392B" w:rsidR="00705807" w:rsidRPr="008B58E4" w:rsidRDefault="008B58E4" w:rsidP="008B58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8B58E4">
        <w:rPr>
          <w:b w:val="0"/>
          <w:lang w:val="fr-FR"/>
        </w:rPr>
        <w:lastRenderedPageBreak/>
        <w:tab/>
      </w:r>
      <w:r w:rsidRPr="008B58E4">
        <w:rPr>
          <w:b w:val="0"/>
          <w:lang w:val="fr-FR"/>
        </w:rPr>
        <w:tab/>
      </w:r>
      <w:r w:rsidR="00705807" w:rsidRPr="008B58E4">
        <w:rPr>
          <w:b w:val="0"/>
          <w:lang w:val="fr-FR"/>
        </w:rPr>
        <w:t>Tableau 6</w:t>
      </w:r>
    </w:p>
    <w:p w14:paraId="237A9B7E" w14:textId="5F1EEA50" w:rsidR="00705807" w:rsidRPr="00BF3168" w:rsidRDefault="008B58E4" w:rsidP="008B58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5807" w:rsidRPr="00BF3168">
        <w:rPr>
          <w:lang w:val="fr-FR"/>
        </w:rPr>
        <w:t>Bourses octroyées, selon le sexe entre 2010 et 2017</w:t>
      </w:r>
    </w:p>
    <w:p w14:paraId="31ABED64" w14:textId="400FE916" w:rsidR="00705807" w:rsidRPr="008B58E4" w:rsidRDefault="00705807" w:rsidP="008B58E4">
      <w:pPr>
        <w:pStyle w:val="SingleTxt"/>
        <w:suppressAutoHyphens/>
        <w:spacing w:after="0" w:line="120" w:lineRule="exact"/>
        <w:rPr>
          <w:b/>
          <w:sz w:val="10"/>
          <w:lang w:val="fr-FR"/>
        </w:rPr>
      </w:pPr>
    </w:p>
    <w:p w14:paraId="3D6DCBA8" w14:textId="382ABDA1" w:rsidR="008B58E4" w:rsidRPr="008B58E4" w:rsidRDefault="008B58E4" w:rsidP="008B58E4">
      <w:pPr>
        <w:pStyle w:val="SingleTxt"/>
        <w:suppressAutoHyphens/>
        <w:spacing w:after="0" w:line="120" w:lineRule="exact"/>
        <w:rPr>
          <w:b/>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116"/>
        <w:gridCol w:w="423"/>
        <w:gridCol w:w="450"/>
        <w:gridCol w:w="675"/>
        <w:gridCol w:w="108"/>
        <w:gridCol w:w="387"/>
        <w:gridCol w:w="432"/>
        <w:gridCol w:w="666"/>
        <w:gridCol w:w="126"/>
        <w:gridCol w:w="405"/>
        <w:gridCol w:w="441"/>
        <w:gridCol w:w="648"/>
        <w:gridCol w:w="12"/>
        <w:gridCol w:w="65"/>
        <w:gridCol w:w="12"/>
        <w:gridCol w:w="370"/>
        <w:gridCol w:w="432"/>
        <w:gridCol w:w="560"/>
        <w:gridCol w:w="12"/>
      </w:tblGrid>
      <w:tr w:rsidR="00FE6402" w:rsidRPr="00FC6708" w14:paraId="1EEF919B" w14:textId="77777777" w:rsidTr="00DF0CAA">
        <w:trPr>
          <w:gridAfter w:val="1"/>
          <w:wAfter w:w="12" w:type="dxa"/>
          <w:tblHeader/>
        </w:trPr>
        <w:tc>
          <w:tcPr>
            <w:tcW w:w="1116" w:type="dxa"/>
            <w:tcBorders>
              <w:top w:val="single" w:sz="4" w:space="0" w:color="auto"/>
            </w:tcBorders>
            <w:shd w:val="clear" w:color="auto" w:fill="auto"/>
            <w:vAlign w:val="bottom"/>
          </w:tcPr>
          <w:p w14:paraId="15C19FFE" w14:textId="77777777" w:rsidR="00FE6402" w:rsidRPr="00FC6708" w:rsidRDefault="00FE6402" w:rsidP="00FE6402">
            <w:pPr>
              <w:tabs>
                <w:tab w:val="left" w:pos="288"/>
                <w:tab w:val="left" w:pos="576"/>
                <w:tab w:val="left" w:pos="864"/>
                <w:tab w:val="left" w:pos="1152"/>
              </w:tabs>
              <w:suppressAutoHyphens/>
              <w:spacing w:before="81" w:after="81" w:line="160" w:lineRule="exact"/>
              <w:rPr>
                <w:i/>
                <w:sz w:val="14"/>
                <w:lang w:val="fr-FR"/>
              </w:rPr>
            </w:pPr>
          </w:p>
        </w:tc>
        <w:tc>
          <w:tcPr>
            <w:tcW w:w="1548" w:type="dxa"/>
            <w:gridSpan w:val="3"/>
            <w:tcBorders>
              <w:top w:val="single" w:sz="4" w:space="0" w:color="auto"/>
              <w:bottom w:val="single" w:sz="4" w:space="0" w:color="000000"/>
            </w:tcBorders>
            <w:shd w:val="clear" w:color="auto" w:fill="auto"/>
            <w:vAlign w:val="bottom"/>
          </w:tcPr>
          <w:p w14:paraId="373CE095" w14:textId="2EFFC4D4" w:rsidR="00FE6402" w:rsidRPr="00FC6708" w:rsidRDefault="00FE6402" w:rsidP="00FE640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2010</w:t>
            </w:r>
          </w:p>
        </w:tc>
        <w:tc>
          <w:tcPr>
            <w:tcW w:w="108" w:type="dxa"/>
            <w:tcBorders>
              <w:top w:val="single" w:sz="4" w:space="0" w:color="auto"/>
            </w:tcBorders>
            <w:shd w:val="clear" w:color="auto" w:fill="auto"/>
            <w:vAlign w:val="bottom"/>
          </w:tcPr>
          <w:p w14:paraId="358081D5" w14:textId="77777777" w:rsidR="00FE6402" w:rsidRPr="00FC6708" w:rsidRDefault="00FE6402" w:rsidP="00FE6402">
            <w:pPr>
              <w:tabs>
                <w:tab w:val="left" w:pos="288"/>
                <w:tab w:val="left" w:pos="576"/>
                <w:tab w:val="left" w:pos="864"/>
                <w:tab w:val="left" w:pos="1152"/>
              </w:tabs>
              <w:suppressAutoHyphens/>
              <w:spacing w:before="81" w:after="81" w:line="160" w:lineRule="exact"/>
              <w:jc w:val="right"/>
              <w:rPr>
                <w:i/>
                <w:sz w:val="14"/>
                <w:lang w:val="fr-FR"/>
              </w:rPr>
            </w:pPr>
          </w:p>
        </w:tc>
        <w:tc>
          <w:tcPr>
            <w:tcW w:w="1485" w:type="dxa"/>
            <w:gridSpan w:val="3"/>
            <w:tcBorders>
              <w:top w:val="single" w:sz="4" w:space="0" w:color="auto"/>
              <w:bottom w:val="single" w:sz="4" w:space="0" w:color="000000"/>
            </w:tcBorders>
            <w:shd w:val="clear" w:color="auto" w:fill="auto"/>
            <w:vAlign w:val="bottom"/>
          </w:tcPr>
          <w:p w14:paraId="5DB70098" w14:textId="64825E56" w:rsidR="00FE6402" w:rsidRPr="00FC6708" w:rsidRDefault="00FE6402" w:rsidP="00FE640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2011</w:t>
            </w:r>
          </w:p>
        </w:tc>
        <w:tc>
          <w:tcPr>
            <w:tcW w:w="126" w:type="dxa"/>
            <w:tcBorders>
              <w:top w:val="single" w:sz="4" w:space="0" w:color="auto"/>
            </w:tcBorders>
            <w:shd w:val="clear" w:color="auto" w:fill="auto"/>
            <w:vAlign w:val="bottom"/>
          </w:tcPr>
          <w:p w14:paraId="509EB463" w14:textId="77777777" w:rsidR="00FE6402" w:rsidRPr="00FC6708" w:rsidRDefault="00FE6402" w:rsidP="00FE6402">
            <w:pPr>
              <w:tabs>
                <w:tab w:val="left" w:pos="288"/>
                <w:tab w:val="left" w:pos="576"/>
                <w:tab w:val="left" w:pos="864"/>
                <w:tab w:val="left" w:pos="1152"/>
              </w:tabs>
              <w:suppressAutoHyphens/>
              <w:spacing w:before="81" w:after="81" w:line="160" w:lineRule="exact"/>
              <w:jc w:val="right"/>
              <w:rPr>
                <w:i/>
                <w:sz w:val="14"/>
                <w:lang w:val="fr-FR"/>
              </w:rPr>
            </w:pPr>
          </w:p>
        </w:tc>
        <w:tc>
          <w:tcPr>
            <w:tcW w:w="1494" w:type="dxa"/>
            <w:gridSpan w:val="3"/>
            <w:tcBorders>
              <w:top w:val="single" w:sz="4" w:space="0" w:color="auto"/>
              <w:bottom w:val="single" w:sz="4" w:space="0" w:color="000000"/>
            </w:tcBorders>
            <w:shd w:val="clear" w:color="auto" w:fill="auto"/>
            <w:vAlign w:val="bottom"/>
          </w:tcPr>
          <w:p w14:paraId="1D5FED49" w14:textId="0D2481CC" w:rsidR="00FE6402" w:rsidRPr="00FC6708" w:rsidRDefault="00FE6402" w:rsidP="00FE640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2012</w:t>
            </w:r>
          </w:p>
        </w:tc>
        <w:tc>
          <w:tcPr>
            <w:tcW w:w="77" w:type="dxa"/>
            <w:gridSpan w:val="2"/>
            <w:tcBorders>
              <w:top w:val="single" w:sz="4" w:space="0" w:color="auto"/>
            </w:tcBorders>
            <w:shd w:val="clear" w:color="auto" w:fill="auto"/>
            <w:vAlign w:val="bottom"/>
          </w:tcPr>
          <w:p w14:paraId="041EC205" w14:textId="77777777" w:rsidR="00FE6402" w:rsidRPr="00FC6708" w:rsidRDefault="00FE6402" w:rsidP="00FE6402">
            <w:pPr>
              <w:tabs>
                <w:tab w:val="left" w:pos="288"/>
                <w:tab w:val="left" w:pos="576"/>
                <w:tab w:val="left" w:pos="864"/>
                <w:tab w:val="left" w:pos="1152"/>
              </w:tabs>
              <w:suppressAutoHyphens/>
              <w:spacing w:before="81" w:after="81" w:line="160" w:lineRule="exact"/>
              <w:jc w:val="right"/>
              <w:rPr>
                <w:i/>
                <w:sz w:val="14"/>
                <w:lang w:val="fr-FR"/>
              </w:rPr>
            </w:pPr>
          </w:p>
        </w:tc>
        <w:tc>
          <w:tcPr>
            <w:tcW w:w="1374" w:type="dxa"/>
            <w:gridSpan w:val="4"/>
            <w:tcBorders>
              <w:top w:val="single" w:sz="4" w:space="0" w:color="auto"/>
              <w:bottom w:val="single" w:sz="4" w:space="0" w:color="000000"/>
            </w:tcBorders>
            <w:shd w:val="clear" w:color="auto" w:fill="auto"/>
            <w:vAlign w:val="bottom"/>
          </w:tcPr>
          <w:p w14:paraId="0594222B" w14:textId="66348519" w:rsidR="00FE6402" w:rsidRPr="00FC6708" w:rsidRDefault="00FE6402" w:rsidP="00FE640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2013</w:t>
            </w:r>
          </w:p>
        </w:tc>
      </w:tr>
      <w:tr w:rsidR="00DF0CAA" w:rsidRPr="00FC6708" w14:paraId="20FEBE74" w14:textId="77777777" w:rsidTr="00DF0CAA">
        <w:trPr>
          <w:tblHeader/>
        </w:trPr>
        <w:tc>
          <w:tcPr>
            <w:tcW w:w="1116" w:type="dxa"/>
            <w:tcBorders>
              <w:bottom w:val="single" w:sz="12" w:space="0" w:color="auto"/>
            </w:tcBorders>
            <w:shd w:val="clear" w:color="auto" w:fill="auto"/>
            <w:vAlign w:val="bottom"/>
          </w:tcPr>
          <w:p w14:paraId="67B1B3CF" w14:textId="77777777" w:rsidR="00FC6708" w:rsidRPr="00FC6708" w:rsidRDefault="00FC6708" w:rsidP="00FE6402">
            <w:pPr>
              <w:tabs>
                <w:tab w:val="left" w:pos="288"/>
                <w:tab w:val="left" w:pos="576"/>
                <w:tab w:val="left" w:pos="864"/>
                <w:tab w:val="left" w:pos="1152"/>
              </w:tabs>
              <w:suppressAutoHyphens/>
              <w:spacing w:before="81" w:after="81" w:line="160" w:lineRule="exact"/>
              <w:rPr>
                <w:i/>
                <w:sz w:val="14"/>
                <w:lang w:val="fr-FR"/>
              </w:rPr>
            </w:pPr>
          </w:p>
        </w:tc>
        <w:tc>
          <w:tcPr>
            <w:tcW w:w="423" w:type="dxa"/>
            <w:tcBorders>
              <w:top w:val="single" w:sz="4" w:space="0" w:color="000000"/>
              <w:bottom w:val="single" w:sz="12" w:space="0" w:color="auto"/>
            </w:tcBorders>
            <w:shd w:val="clear" w:color="auto" w:fill="auto"/>
            <w:vAlign w:val="bottom"/>
          </w:tcPr>
          <w:p w14:paraId="274BF780" w14:textId="18D72B6F" w:rsidR="00FC6708" w:rsidRPr="00FC6708"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M</w:t>
            </w:r>
          </w:p>
        </w:tc>
        <w:tc>
          <w:tcPr>
            <w:tcW w:w="450" w:type="dxa"/>
            <w:tcBorders>
              <w:top w:val="single" w:sz="4" w:space="0" w:color="000000"/>
              <w:bottom w:val="single" w:sz="12" w:space="0" w:color="auto"/>
            </w:tcBorders>
            <w:shd w:val="clear" w:color="auto" w:fill="auto"/>
            <w:vAlign w:val="bottom"/>
          </w:tcPr>
          <w:p w14:paraId="2862A12C" w14:textId="11A9F4BA" w:rsidR="00FC6708" w:rsidRPr="00FC6708"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F</w:t>
            </w:r>
          </w:p>
        </w:tc>
        <w:tc>
          <w:tcPr>
            <w:tcW w:w="675" w:type="dxa"/>
            <w:tcBorders>
              <w:top w:val="single" w:sz="4" w:space="0" w:color="000000"/>
              <w:bottom w:val="single" w:sz="12" w:space="0" w:color="auto"/>
            </w:tcBorders>
            <w:shd w:val="clear" w:color="auto" w:fill="auto"/>
            <w:vAlign w:val="bottom"/>
          </w:tcPr>
          <w:p w14:paraId="6ACDED3F" w14:textId="2F69DFE2" w:rsidR="00FC6708" w:rsidRPr="00FE6402" w:rsidRDefault="00FE6402" w:rsidP="00FE640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108" w:type="dxa"/>
            <w:tcBorders>
              <w:bottom w:val="single" w:sz="12" w:space="0" w:color="auto"/>
            </w:tcBorders>
            <w:shd w:val="clear" w:color="auto" w:fill="auto"/>
            <w:vAlign w:val="bottom"/>
          </w:tcPr>
          <w:p w14:paraId="79138909" w14:textId="77777777" w:rsidR="00FC6708" w:rsidRPr="00FE6402" w:rsidRDefault="00FC6708" w:rsidP="00FE6402">
            <w:pPr>
              <w:tabs>
                <w:tab w:val="left" w:pos="288"/>
                <w:tab w:val="left" w:pos="576"/>
                <w:tab w:val="left" w:pos="864"/>
                <w:tab w:val="left" w:pos="1152"/>
              </w:tabs>
              <w:suppressAutoHyphens/>
              <w:spacing w:before="81" w:after="81" w:line="160" w:lineRule="exact"/>
              <w:jc w:val="right"/>
              <w:rPr>
                <w:b/>
                <w:i/>
                <w:sz w:val="14"/>
                <w:lang w:val="fr-FR"/>
              </w:rPr>
            </w:pPr>
          </w:p>
        </w:tc>
        <w:tc>
          <w:tcPr>
            <w:tcW w:w="387" w:type="dxa"/>
            <w:tcBorders>
              <w:top w:val="single" w:sz="4" w:space="0" w:color="000000"/>
              <w:bottom w:val="single" w:sz="12" w:space="0" w:color="auto"/>
            </w:tcBorders>
            <w:shd w:val="clear" w:color="auto" w:fill="auto"/>
            <w:vAlign w:val="bottom"/>
          </w:tcPr>
          <w:p w14:paraId="7D7D27E9" w14:textId="24141D6F"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M</w:t>
            </w:r>
          </w:p>
        </w:tc>
        <w:tc>
          <w:tcPr>
            <w:tcW w:w="432" w:type="dxa"/>
            <w:tcBorders>
              <w:top w:val="single" w:sz="4" w:space="0" w:color="000000"/>
              <w:bottom w:val="single" w:sz="12" w:space="0" w:color="auto"/>
            </w:tcBorders>
            <w:shd w:val="clear" w:color="auto" w:fill="auto"/>
            <w:vAlign w:val="bottom"/>
          </w:tcPr>
          <w:p w14:paraId="45710969" w14:textId="32B9F44E"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F</w:t>
            </w:r>
          </w:p>
        </w:tc>
        <w:tc>
          <w:tcPr>
            <w:tcW w:w="666" w:type="dxa"/>
            <w:tcBorders>
              <w:top w:val="single" w:sz="4" w:space="0" w:color="000000"/>
              <w:bottom w:val="single" w:sz="12" w:space="0" w:color="auto"/>
            </w:tcBorders>
            <w:shd w:val="clear" w:color="auto" w:fill="auto"/>
            <w:vAlign w:val="bottom"/>
          </w:tcPr>
          <w:p w14:paraId="1C82CD0D" w14:textId="2123E471" w:rsidR="00FC6708" w:rsidRPr="00FE6402" w:rsidRDefault="00FE6402" w:rsidP="00FE640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126" w:type="dxa"/>
            <w:tcBorders>
              <w:bottom w:val="single" w:sz="12" w:space="0" w:color="auto"/>
            </w:tcBorders>
            <w:shd w:val="clear" w:color="auto" w:fill="auto"/>
            <w:vAlign w:val="bottom"/>
          </w:tcPr>
          <w:p w14:paraId="61011F46" w14:textId="77777777" w:rsidR="00FC6708" w:rsidRPr="00FE6402" w:rsidRDefault="00FC6708" w:rsidP="00FE6402">
            <w:pPr>
              <w:tabs>
                <w:tab w:val="left" w:pos="288"/>
                <w:tab w:val="left" w:pos="576"/>
                <w:tab w:val="left" w:pos="864"/>
                <w:tab w:val="left" w:pos="1152"/>
              </w:tabs>
              <w:suppressAutoHyphens/>
              <w:spacing w:before="81" w:after="81" w:line="160" w:lineRule="exact"/>
              <w:jc w:val="right"/>
              <w:rPr>
                <w:i/>
                <w:sz w:val="14"/>
                <w:lang w:val="fr-FR"/>
              </w:rPr>
            </w:pPr>
          </w:p>
        </w:tc>
        <w:tc>
          <w:tcPr>
            <w:tcW w:w="405" w:type="dxa"/>
            <w:tcBorders>
              <w:top w:val="single" w:sz="4" w:space="0" w:color="000000"/>
              <w:bottom w:val="single" w:sz="12" w:space="0" w:color="auto"/>
            </w:tcBorders>
            <w:shd w:val="clear" w:color="auto" w:fill="auto"/>
            <w:vAlign w:val="bottom"/>
          </w:tcPr>
          <w:p w14:paraId="03199913" w14:textId="22DE2B08"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M</w:t>
            </w:r>
          </w:p>
        </w:tc>
        <w:tc>
          <w:tcPr>
            <w:tcW w:w="441" w:type="dxa"/>
            <w:tcBorders>
              <w:top w:val="single" w:sz="4" w:space="0" w:color="000000"/>
              <w:bottom w:val="single" w:sz="12" w:space="0" w:color="auto"/>
            </w:tcBorders>
            <w:shd w:val="clear" w:color="auto" w:fill="auto"/>
            <w:vAlign w:val="bottom"/>
          </w:tcPr>
          <w:p w14:paraId="08121CD0" w14:textId="40258B74"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F</w:t>
            </w:r>
          </w:p>
        </w:tc>
        <w:tc>
          <w:tcPr>
            <w:tcW w:w="660" w:type="dxa"/>
            <w:gridSpan w:val="2"/>
            <w:tcBorders>
              <w:top w:val="single" w:sz="4" w:space="0" w:color="000000"/>
              <w:bottom w:val="single" w:sz="12" w:space="0" w:color="auto"/>
            </w:tcBorders>
            <w:shd w:val="clear" w:color="auto" w:fill="auto"/>
            <w:vAlign w:val="bottom"/>
          </w:tcPr>
          <w:p w14:paraId="39E7FFCD" w14:textId="7789B5F1" w:rsidR="00FC6708" w:rsidRPr="00FE6402" w:rsidRDefault="00FE6402" w:rsidP="00FE640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77" w:type="dxa"/>
            <w:gridSpan w:val="2"/>
            <w:tcBorders>
              <w:bottom w:val="single" w:sz="12" w:space="0" w:color="auto"/>
            </w:tcBorders>
            <w:shd w:val="clear" w:color="auto" w:fill="auto"/>
            <w:vAlign w:val="bottom"/>
          </w:tcPr>
          <w:p w14:paraId="144D3AB3" w14:textId="77777777" w:rsidR="00FC6708" w:rsidRPr="00FE6402" w:rsidRDefault="00FC6708" w:rsidP="00FE6402">
            <w:pPr>
              <w:tabs>
                <w:tab w:val="left" w:pos="288"/>
                <w:tab w:val="left" w:pos="576"/>
                <w:tab w:val="left" w:pos="864"/>
                <w:tab w:val="left" w:pos="1152"/>
              </w:tabs>
              <w:suppressAutoHyphens/>
              <w:spacing w:before="81" w:after="81" w:line="160" w:lineRule="exact"/>
              <w:jc w:val="right"/>
              <w:rPr>
                <w:i/>
                <w:sz w:val="14"/>
                <w:lang w:val="fr-FR"/>
              </w:rPr>
            </w:pPr>
          </w:p>
        </w:tc>
        <w:tc>
          <w:tcPr>
            <w:tcW w:w="370" w:type="dxa"/>
            <w:tcBorders>
              <w:top w:val="single" w:sz="4" w:space="0" w:color="000000"/>
              <w:bottom w:val="single" w:sz="12" w:space="0" w:color="auto"/>
            </w:tcBorders>
            <w:shd w:val="clear" w:color="auto" w:fill="auto"/>
            <w:vAlign w:val="bottom"/>
          </w:tcPr>
          <w:p w14:paraId="71D1AA69" w14:textId="419C7942"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M</w:t>
            </w:r>
          </w:p>
        </w:tc>
        <w:tc>
          <w:tcPr>
            <w:tcW w:w="432" w:type="dxa"/>
            <w:tcBorders>
              <w:top w:val="single" w:sz="4" w:space="0" w:color="000000"/>
              <w:bottom w:val="single" w:sz="12" w:space="0" w:color="auto"/>
            </w:tcBorders>
            <w:shd w:val="clear" w:color="auto" w:fill="auto"/>
            <w:vAlign w:val="bottom"/>
          </w:tcPr>
          <w:p w14:paraId="13835FA1" w14:textId="2AE4BC2F" w:rsidR="00FC6708" w:rsidRPr="00FE6402" w:rsidRDefault="00FE6402" w:rsidP="00FE640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F</w:t>
            </w:r>
          </w:p>
        </w:tc>
        <w:tc>
          <w:tcPr>
            <w:tcW w:w="572" w:type="dxa"/>
            <w:gridSpan w:val="2"/>
            <w:tcBorders>
              <w:top w:val="single" w:sz="4" w:space="0" w:color="000000"/>
              <w:bottom w:val="single" w:sz="12" w:space="0" w:color="auto"/>
            </w:tcBorders>
            <w:shd w:val="clear" w:color="auto" w:fill="auto"/>
            <w:vAlign w:val="bottom"/>
          </w:tcPr>
          <w:p w14:paraId="31F8631B" w14:textId="0B781556" w:rsidR="00FC6708" w:rsidRPr="00FE6402" w:rsidRDefault="00FE6402" w:rsidP="00FE640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r>
      <w:tr w:rsidR="00DF0CAA" w:rsidRPr="00FC6708" w14:paraId="1CC4E960" w14:textId="77777777" w:rsidTr="00DF0CAA">
        <w:trPr>
          <w:trHeight w:hRule="exact" w:val="115"/>
          <w:tblHeader/>
        </w:trPr>
        <w:tc>
          <w:tcPr>
            <w:tcW w:w="1116" w:type="dxa"/>
            <w:tcBorders>
              <w:top w:val="single" w:sz="12" w:space="0" w:color="auto"/>
            </w:tcBorders>
            <w:shd w:val="clear" w:color="auto" w:fill="auto"/>
            <w:vAlign w:val="bottom"/>
          </w:tcPr>
          <w:p w14:paraId="1367D277" w14:textId="77777777" w:rsidR="00FC6708" w:rsidRPr="00FC6708" w:rsidRDefault="00FC6708" w:rsidP="00FC6708">
            <w:pPr>
              <w:tabs>
                <w:tab w:val="left" w:pos="288"/>
                <w:tab w:val="left" w:pos="576"/>
                <w:tab w:val="left" w:pos="864"/>
                <w:tab w:val="left" w:pos="1152"/>
              </w:tabs>
              <w:suppressAutoHyphens/>
              <w:spacing w:before="40" w:after="40" w:line="210" w:lineRule="exact"/>
              <w:ind w:right="40"/>
              <w:rPr>
                <w:sz w:val="17"/>
                <w:lang w:val="fr-FR"/>
              </w:rPr>
            </w:pPr>
          </w:p>
        </w:tc>
        <w:tc>
          <w:tcPr>
            <w:tcW w:w="423" w:type="dxa"/>
            <w:tcBorders>
              <w:top w:val="single" w:sz="12" w:space="0" w:color="auto"/>
            </w:tcBorders>
            <w:shd w:val="clear" w:color="auto" w:fill="auto"/>
            <w:vAlign w:val="bottom"/>
          </w:tcPr>
          <w:p w14:paraId="1101C9F1"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50" w:type="dxa"/>
            <w:tcBorders>
              <w:top w:val="single" w:sz="12" w:space="0" w:color="auto"/>
            </w:tcBorders>
            <w:shd w:val="clear" w:color="auto" w:fill="auto"/>
            <w:vAlign w:val="bottom"/>
          </w:tcPr>
          <w:p w14:paraId="0CACEA8F"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75" w:type="dxa"/>
            <w:tcBorders>
              <w:top w:val="single" w:sz="12" w:space="0" w:color="auto"/>
            </w:tcBorders>
            <w:shd w:val="clear" w:color="auto" w:fill="auto"/>
            <w:vAlign w:val="bottom"/>
          </w:tcPr>
          <w:p w14:paraId="60AF38C7"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08" w:type="dxa"/>
            <w:tcBorders>
              <w:top w:val="single" w:sz="12" w:space="0" w:color="auto"/>
            </w:tcBorders>
            <w:shd w:val="clear" w:color="auto" w:fill="auto"/>
            <w:vAlign w:val="bottom"/>
          </w:tcPr>
          <w:p w14:paraId="3D22196A"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387" w:type="dxa"/>
            <w:tcBorders>
              <w:top w:val="single" w:sz="12" w:space="0" w:color="auto"/>
            </w:tcBorders>
            <w:shd w:val="clear" w:color="auto" w:fill="auto"/>
            <w:vAlign w:val="bottom"/>
          </w:tcPr>
          <w:p w14:paraId="6035B94B"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32" w:type="dxa"/>
            <w:tcBorders>
              <w:top w:val="single" w:sz="12" w:space="0" w:color="auto"/>
            </w:tcBorders>
            <w:shd w:val="clear" w:color="auto" w:fill="auto"/>
            <w:vAlign w:val="bottom"/>
          </w:tcPr>
          <w:p w14:paraId="08125E85"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66" w:type="dxa"/>
            <w:tcBorders>
              <w:top w:val="single" w:sz="12" w:space="0" w:color="auto"/>
            </w:tcBorders>
            <w:shd w:val="clear" w:color="auto" w:fill="auto"/>
            <w:vAlign w:val="bottom"/>
          </w:tcPr>
          <w:p w14:paraId="43C0D9DA"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26" w:type="dxa"/>
            <w:tcBorders>
              <w:top w:val="single" w:sz="12" w:space="0" w:color="auto"/>
            </w:tcBorders>
            <w:shd w:val="clear" w:color="auto" w:fill="auto"/>
            <w:vAlign w:val="bottom"/>
          </w:tcPr>
          <w:p w14:paraId="58724940"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05" w:type="dxa"/>
            <w:tcBorders>
              <w:top w:val="single" w:sz="12" w:space="0" w:color="auto"/>
            </w:tcBorders>
            <w:shd w:val="clear" w:color="auto" w:fill="auto"/>
            <w:vAlign w:val="bottom"/>
          </w:tcPr>
          <w:p w14:paraId="3370F9E9"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41" w:type="dxa"/>
            <w:tcBorders>
              <w:top w:val="single" w:sz="12" w:space="0" w:color="auto"/>
            </w:tcBorders>
            <w:shd w:val="clear" w:color="auto" w:fill="auto"/>
            <w:vAlign w:val="bottom"/>
          </w:tcPr>
          <w:p w14:paraId="10303B6F"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60" w:type="dxa"/>
            <w:gridSpan w:val="2"/>
            <w:tcBorders>
              <w:top w:val="single" w:sz="12" w:space="0" w:color="auto"/>
            </w:tcBorders>
            <w:shd w:val="clear" w:color="auto" w:fill="auto"/>
            <w:vAlign w:val="bottom"/>
          </w:tcPr>
          <w:p w14:paraId="2564D85C"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77" w:type="dxa"/>
            <w:gridSpan w:val="2"/>
            <w:tcBorders>
              <w:top w:val="single" w:sz="12" w:space="0" w:color="auto"/>
            </w:tcBorders>
            <w:shd w:val="clear" w:color="auto" w:fill="auto"/>
            <w:vAlign w:val="bottom"/>
          </w:tcPr>
          <w:p w14:paraId="28CCFC64"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370" w:type="dxa"/>
            <w:tcBorders>
              <w:top w:val="single" w:sz="12" w:space="0" w:color="auto"/>
            </w:tcBorders>
            <w:shd w:val="clear" w:color="auto" w:fill="auto"/>
            <w:vAlign w:val="bottom"/>
          </w:tcPr>
          <w:p w14:paraId="5AFB604B"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32" w:type="dxa"/>
            <w:tcBorders>
              <w:top w:val="single" w:sz="12" w:space="0" w:color="auto"/>
            </w:tcBorders>
            <w:shd w:val="clear" w:color="auto" w:fill="auto"/>
            <w:vAlign w:val="bottom"/>
          </w:tcPr>
          <w:p w14:paraId="78AA0086"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572" w:type="dxa"/>
            <w:gridSpan w:val="2"/>
            <w:tcBorders>
              <w:top w:val="single" w:sz="12" w:space="0" w:color="auto"/>
            </w:tcBorders>
            <w:shd w:val="clear" w:color="auto" w:fill="auto"/>
            <w:vAlign w:val="bottom"/>
          </w:tcPr>
          <w:p w14:paraId="2CE3085F" w14:textId="77777777" w:rsidR="00FC6708" w:rsidRPr="00FC6708" w:rsidRDefault="00FC6708" w:rsidP="00FC6708">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1A0F42" w:rsidRPr="001A0F42" w14:paraId="227A0A4C" w14:textId="77777777" w:rsidTr="00DF0CAA">
        <w:tc>
          <w:tcPr>
            <w:tcW w:w="1116" w:type="dxa"/>
            <w:shd w:val="clear" w:color="auto" w:fill="auto"/>
            <w:vAlign w:val="bottom"/>
          </w:tcPr>
          <w:p w14:paraId="67DD3218" w14:textId="375E95A8" w:rsidR="001A0F42" w:rsidRPr="001A0F42" w:rsidRDefault="001A0F42" w:rsidP="001A0F42">
            <w:pPr>
              <w:tabs>
                <w:tab w:val="left" w:pos="288"/>
                <w:tab w:val="left" w:pos="576"/>
                <w:tab w:val="left" w:pos="864"/>
                <w:tab w:val="left" w:pos="1152"/>
              </w:tabs>
              <w:suppressAutoHyphens/>
              <w:spacing w:before="40" w:after="40" w:line="210" w:lineRule="exact"/>
              <w:rPr>
                <w:sz w:val="17"/>
                <w:szCs w:val="17"/>
                <w:lang w:val="fr-FR"/>
              </w:rPr>
            </w:pPr>
            <w:r w:rsidRPr="001A0F42">
              <w:rPr>
                <w:sz w:val="17"/>
                <w:szCs w:val="17"/>
                <w:lang w:val="fr-FR"/>
              </w:rPr>
              <w:t>Mérite</w:t>
            </w:r>
          </w:p>
        </w:tc>
        <w:tc>
          <w:tcPr>
            <w:tcW w:w="423" w:type="dxa"/>
            <w:shd w:val="clear" w:color="auto" w:fill="auto"/>
            <w:vAlign w:val="bottom"/>
          </w:tcPr>
          <w:p w14:paraId="2BD7A746" w14:textId="0767FA6C"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4</w:t>
            </w:r>
          </w:p>
        </w:tc>
        <w:tc>
          <w:tcPr>
            <w:tcW w:w="450" w:type="dxa"/>
            <w:shd w:val="clear" w:color="auto" w:fill="auto"/>
            <w:vAlign w:val="bottom"/>
          </w:tcPr>
          <w:p w14:paraId="0B38F922" w14:textId="3AFEBC81"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4</w:t>
            </w:r>
          </w:p>
        </w:tc>
        <w:tc>
          <w:tcPr>
            <w:tcW w:w="675" w:type="dxa"/>
            <w:shd w:val="clear" w:color="auto" w:fill="auto"/>
            <w:vAlign w:val="bottom"/>
          </w:tcPr>
          <w:p w14:paraId="23BA3285" w14:textId="59926E57"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8</w:t>
            </w:r>
          </w:p>
        </w:tc>
        <w:tc>
          <w:tcPr>
            <w:tcW w:w="108" w:type="dxa"/>
            <w:shd w:val="clear" w:color="auto" w:fill="auto"/>
            <w:vAlign w:val="bottom"/>
          </w:tcPr>
          <w:p w14:paraId="3930CF64"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87" w:type="dxa"/>
            <w:shd w:val="clear" w:color="auto" w:fill="auto"/>
            <w:vAlign w:val="bottom"/>
          </w:tcPr>
          <w:p w14:paraId="2090F636" w14:textId="48D2B1CA"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5</w:t>
            </w:r>
          </w:p>
        </w:tc>
        <w:tc>
          <w:tcPr>
            <w:tcW w:w="432" w:type="dxa"/>
            <w:shd w:val="clear" w:color="auto" w:fill="auto"/>
            <w:vAlign w:val="bottom"/>
          </w:tcPr>
          <w:p w14:paraId="74424902" w14:textId="55FB77AF"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12</w:t>
            </w:r>
          </w:p>
        </w:tc>
        <w:tc>
          <w:tcPr>
            <w:tcW w:w="666" w:type="dxa"/>
            <w:shd w:val="clear" w:color="auto" w:fill="auto"/>
            <w:vAlign w:val="bottom"/>
          </w:tcPr>
          <w:p w14:paraId="2DF7D84D" w14:textId="1BF3F3C7"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17</w:t>
            </w:r>
          </w:p>
        </w:tc>
        <w:tc>
          <w:tcPr>
            <w:tcW w:w="126" w:type="dxa"/>
            <w:shd w:val="clear" w:color="auto" w:fill="auto"/>
            <w:vAlign w:val="bottom"/>
          </w:tcPr>
          <w:p w14:paraId="1831BE25"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405" w:type="dxa"/>
            <w:shd w:val="clear" w:color="auto" w:fill="auto"/>
            <w:vAlign w:val="bottom"/>
          </w:tcPr>
          <w:p w14:paraId="47583F72" w14:textId="3EDBD122"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8</w:t>
            </w:r>
          </w:p>
        </w:tc>
        <w:tc>
          <w:tcPr>
            <w:tcW w:w="441" w:type="dxa"/>
            <w:shd w:val="clear" w:color="auto" w:fill="auto"/>
            <w:vAlign w:val="bottom"/>
          </w:tcPr>
          <w:p w14:paraId="1F86E67C" w14:textId="11F2D4DB"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12</w:t>
            </w:r>
          </w:p>
        </w:tc>
        <w:tc>
          <w:tcPr>
            <w:tcW w:w="660" w:type="dxa"/>
            <w:gridSpan w:val="2"/>
            <w:shd w:val="clear" w:color="auto" w:fill="auto"/>
            <w:vAlign w:val="bottom"/>
          </w:tcPr>
          <w:p w14:paraId="1544F65F" w14:textId="67039B72"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20</w:t>
            </w:r>
          </w:p>
        </w:tc>
        <w:tc>
          <w:tcPr>
            <w:tcW w:w="77" w:type="dxa"/>
            <w:gridSpan w:val="2"/>
            <w:shd w:val="clear" w:color="auto" w:fill="auto"/>
            <w:vAlign w:val="bottom"/>
          </w:tcPr>
          <w:p w14:paraId="11AC4D64"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70" w:type="dxa"/>
            <w:shd w:val="clear" w:color="auto" w:fill="auto"/>
            <w:vAlign w:val="bottom"/>
          </w:tcPr>
          <w:p w14:paraId="1A21B59F" w14:textId="08A3E9DE"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3</w:t>
            </w:r>
          </w:p>
        </w:tc>
        <w:tc>
          <w:tcPr>
            <w:tcW w:w="432" w:type="dxa"/>
            <w:shd w:val="clear" w:color="auto" w:fill="auto"/>
            <w:vAlign w:val="bottom"/>
          </w:tcPr>
          <w:p w14:paraId="1A414265" w14:textId="134F9915"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5</w:t>
            </w:r>
          </w:p>
        </w:tc>
        <w:tc>
          <w:tcPr>
            <w:tcW w:w="572" w:type="dxa"/>
            <w:gridSpan w:val="2"/>
            <w:shd w:val="clear" w:color="auto" w:fill="auto"/>
            <w:vAlign w:val="bottom"/>
          </w:tcPr>
          <w:p w14:paraId="549CE7EB" w14:textId="665F6B2C"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8</w:t>
            </w:r>
          </w:p>
        </w:tc>
      </w:tr>
      <w:tr w:rsidR="001A0F42" w:rsidRPr="001A0F42" w14:paraId="6F30FF7E" w14:textId="77777777" w:rsidTr="00DF0CAA">
        <w:tc>
          <w:tcPr>
            <w:tcW w:w="1116" w:type="dxa"/>
            <w:shd w:val="clear" w:color="auto" w:fill="auto"/>
            <w:vAlign w:val="bottom"/>
          </w:tcPr>
          <w:p w14:paraId="3EE9DCFA" w14:textId="5AD42FB4" w:rsidR="001A0F42" w:rsidRPr="001A0F42" w:rsidRDefault="001A0F42" w:rsidP="001A0F42">
            <w:pPr>
              <w:tabs>
                <w:tab w:val="left" w:pos="288"/>
                <w:tab w:val="left" w:pos="576"/>
                <w:tab w:val="left" w:pos="864"/>
                <w:tab w:val="left" w:pos="1152"/>
              </w:tabs>
              <w:suppressAutoHyphens/>
              <w:spacing w:before="40" w:after="40" w:line="210" w:lineRule="exact"/>
              <w:rPr>
                <w:sz w:val="17"/>
                <w:szCs w:val="17"/>
                <w:lang w:val="fr-FR"/>
              </w:rPr>
            </w:pPr>
            <w:r w:rsidRPr="001A0F42">
              <w:rPr>
                <w:sz w:val="17"/>
                <w:szCs w:val="17"/>
                <w:lang w:val="fr-FR"/>
              </w:rPr>
              <w:t>Académique</w:t>
            </w:r>
          </w:p>
        </w:tc>
        <w:tc>
          <w:tcPr>
            <w:tcW w:w="423" w:type="dxa"/>
            <w:shd w:val="clear" w:color="auto" w:fill="auto"/>
            <w:vAlign w:val="bottom"/>
          </w:tcPr>
          <w:p w14:paraId="2CCF34B8" w14:textId="619FD266"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4</w:t>
            </w:r>
          </w:p>
        </w:tc>
        <w:tc>
          <w:tcPr>
            <w:tcW w:w="450" w:type="dxa"/>
            <w:shd w:val="clear" w:color="auto" w:fill="auto"/>
            <w:vAlign w:val="bottom"/>
          </w:tcPr>
          <w:p w14:paraId="24263EC7" w14:textId="4B57883E"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6</w:t>
            </w:r>
          </w:p>
        </w:tc>
        <w:tc>
          <w:tcPr>
            <w:tcW w:w="675" w:type="dxa"/>
            <w:shd w:val="clear" w:color="auto" w:fill="auto"/>
            <w:vAlign w:val="bottom"/>
          </w:tcPr>
          <w:p w14:paraId="6A431A27" w14:textId="78128FA8"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10</w:t>
            </w:r>
          </w:p>
        </w:tc>
        <w:tc>
          <w:tcPr>
            <w:tcW w:w="108" w:type="dxa"/>
            <w:shd w:val="clear" w:color="auto" w:fill="auto"/>
            <w:vAlign w:val="bottom"/>
          </w:tcPr>
          <w:p w14:paraId="2B4F3D69"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87" w:type="dxa"/>
            <w:shd w:val="clear" w:color="auto" w:fill="auto"/>
            <w:vAlign w:val="bottom"/>
          </w:tcPr>
          <w:p w14:paraId="19F3A68F" w14:textId="2B2B6498"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7</w:t>
            </w:r>
          </w:p>
        </w:tc>
        <w:tc>
          <w:tcPr>
            <w:tcW w:w="432" w:type="dxa"/>
            <w:shd w:val="clear" w:color="auto" w:fill="auto"/>
            <w:vAlign w:val="bottom"/>
          </w:tcPr>
          <w:p w14:paraId="33498561" w14:textId="3ABEE3E6"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7</w:t>
            </w:r>
          </w:p>
        </w:tc>
        <w:tc>
          <w:tcPr>
            <w:tcW w:w="666" w:type="dxa"/>
            <w:shd w:val="clear" w:color="auto" w:fill="auto"/>
            <w:vAlign w:val="bottom"/>
          </w:tcPr>
          <w:p w14:paraId="268EB461" w14:textId="78DBE15F"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14</w:t>
            </w:r>
          </w:p>
        </w:tc>
        <w:tc>
          <w:tcPr>
            <w:tcW w:w="126" w:type="dxa"/>
            <w:shd w:val="clear" w:color="auto" w:fill="auto"/>
            <w:vAlign w:val="bottom"/>
          </w:tcPr>
          <w:p w14:paraId="4BAAB46B"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405" w:type="dxa"/>
            <w:shd w:val="clear" w:color="auto" w:fill="auto"/>
            <w:vAlign w:val="bottom"/>
          </w:tcPr>
          <w:p w14:paraId="6ED85C23" w14:textId="2BDC7E52"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11</w:t>
            </w:r>
          </w:p>
        </w:tc>
        <w:tc>
          <w:tcPr>
            <w:tcW w:w="441" w:type="dxa"/>
            <w:shd w:val="clear" w:color="auto" w:fill="auto"/>
            <w:vAlign w:val="bottom"/>
          </w:tcPr>
          <w:p w14:paraId="7D53A0CC" w14:textId="44E6E26F"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13</w:t>
            </w:r>
          </w:p>
        </w:tc>
        <w:tc>
          <w:tcPr>
            <w:tcW w:w="660" w:type="dxa"/>
            <w:gridSpan w:val="2"/>
            <w:shd w:val="clear" w:color="auto" w:fill="auto"/>
            <w:vAlign w:val="bottom"/>
          </w:tcPr>
          <w:p w14:paraId="0C4CBC81" w14:textId="106F423A"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24</w:t>
            </w:r>
          </w:p>
        </w:tc>
        <w:tc>
          <w:tcPr>
            <w:tcW w:w="77" w:type="dxa"/>
            <w:gridSpan w:val="2"/>
            <w:shd w:val="clear" w:color="auto" w:fill="auto"/>
            <w:vAlign w:val="bottom"/>
          </w:tcPr>
          <w:p w14:paraId="76E86738"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70" w:type="dxa"/>
            <w:shd w:val="clear" w:color="auto" w:fill="auto"/>
            <w:vAlign w:val="bottom"/>
          </w:tcPr>
          <w:p w14:paraId="4CCCBEB0" w14:textId="6FB06D4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7</w:t>
            </w:r>
          </w:p>
        </w:tc>
        <w:tc>
          <w:tcPr>
            <w:tcW w:w="432" w:type="dxa"/>
            <w:shd w:val="clear" w:color="auto" w:fill="auto"/>
            <w:vAlign w:val="bottom"/>
          </w:tcPr>
          <w:p w14:paraId="65BC3CC7" w14:textId="5E5D34E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11</w:t>
            </w:r>
          </w:p>
        </w:tc>
        <w:tc>
          <w:tcPr>
            <w:tcW w:w="572" w:type="dxa"/>
            <w:gridSpan w:val="2"/>
            <w:shd w:val="clear" w:color="auto" w:fill="auto"/>
            <w:vAlign w:val="bottom"/>
          </w:tcPr>
          <w:p w14:paraId="01748C24" w14:textId="759F6773"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18</w:t>
            </w:r>
          </w:p>
        </w:tc>
      </w:tr>
      <w:tr w:rsidR="001A0F42" w:rsidRPr="001A0F42" w14:paraId="018B3050" w14:textId="77777777" w:rsidTr="00DF0CAA">
        <w:tc>
          <w:tcPr>
            <w:tcW w:w="1116" w:type="dxa"/>
            <w:shd w:val="clear" w:color="auto" w:fill="auto"/>
            <w:vAlign w:val="bottom"/>
          </w:tcPr>
          <w:p w14:paraId="45C66A61" w14:textId="5156C0D9" w:rsidR="001A0F42" w:rsidRPr="001A0F42" w:rsidRDefault="001A0F42" w:rsidP="001A0F42">
            <w:pPr>
              <w:tabs>
                <w:tab w:val="left" w:pos="288"/>
                <w:tab w:val="left" w:pos="576"/>
                <w:tab w:val="left" w:pos="864"/>
                <w:tab w:val="left" w:pos="1152"/>
              </w:tabs>
              <w:suppressAutoHyphens/>
              <w:spacing w:before="40" w:after="40" w:line="210" w:lineRule="exact"/>
              <w:rPr>
                <w:sz w:val="17"/>
                <w:szCs w:val="17"/>
                <w:lang w:val="fr-FR"/>
              </w:rPr>
            </w:pPr>
            <w:r w:rsidRPr="001A0F42">
              <w:rPr>
                <w:sz w:val="17"/>
                <w:szCs w:val="17"/>
                <w:lang w:val="fr-FR"/>
              </w:rPr>
              <w:t>Technique</w:t>
            </w:r>
          </w:p>
        </w:tc>
        <w:tc>
          <w:tcPr>
            <w:tcW w:w="423" w:type="dxa"/>
            <w:shd w:val="clear" w:color="auto" w:fill="auto"/>
            <w:vAlign w:val="bottom"/>
          </w:tcPr>
          <w:p w14:paraId="67EBD5F1" w14:textId="7B1E17C3"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11</w:t>
            </w:r>
          </w:p>
        </w:tc>
        <w:tc>
          <w:tcPr>
            <w:tcW w:w="450" w:type="dxa"/>
            <w:shd w:val="clear" w:color="auto" w:fill="auto"/>
            <w:vAlign w:val="bottom"/>
          </w:tcPr>
          <w:p w14:paraId="5D7B5C0F" w14:textId="4C829E3B"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w:t>
            </w:r>
          </w:p>
        </w:tc>
        <w:tc>
          <w:tcPr>
            <w:tcW w:w="675" w:type="dxa"/>
            <w:shd w:val="clear" w:color="auto" w:fill="auto"/>
            <w:vAlign w:val="bottom"/>
          </w:tcPr>
          <w:p w14:paraId="60879FA9" w14:textId="49FD2A27"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12</w:t>
            </w:r>
          </w:p>
        </w:tc>
        <w:tc>
          <w:tcPr>
            <w:tcW w:w="108" w:type="dxa"/>
            <w:shd w:val="clear" w:color="auto" w:fill="auto"/>
            <w:vAlign w:val="bottom"/>
          </w:tcPr>
          <w:p w14:paraId="4E050C08"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87" w:type="dxa"/>
            <w:shd w:val="clear" w:color="auto" w:fill="auto"/>
            <w:vAlign w:val="bottom"/>
          </w:tcPr>
          <w:p w14:paraId="32AB6F7D" w14:textId="4839CFBD"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9</w:t>
            </w:r>
          </w:p>
        </w:tc>
        <w:tc>
          <w:tcPr>
            <w:tcW w:w="432" w:type="dxa"/>
            <w:shd w:val="clear" w:color="auto" w:fill="auto"/>
            <w:vAlign w:val="bottom"/>
          </w:tcPr>
          <w:p w14:paraId="75E0ED6B" w14:textId="6CE34FB0"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9</w:t>
            </w:r>
          </w:p>
        </w:tc>
        <w:tc>
          <w:tcPr>
            <w:tcW w:w="666" w:type="dxa"/>
            <w:shd w:val="clear" w:color="auto" w:fill="auto"/>
            <w:vAlign w:val="bottom"/>
          </w:tcPr>
          <w:p w14:paraId="510107FF" w14:textId="2661EFAD"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18</w:t>
            </w:r>
          </w:p>
        </w:tc>
        <w:tc>
          <w:tcPr>
            <w:tcW w:w="126" w:type="dxa"/>
            <w:shd w:val="clear" w:color="auto" w:fill="auto"/>
            <w:vAlign w:val="bottom"/>
          </w:tcPr>
          <w:p w14:paraId="2F9CB1A8"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405" w:type="dxa"/>
            <w:shd w:val="clear" w:color="auto" w:fill="auto"/>
            <w:vAlign w:val="bottom"/>
          </w:tcPr>
          <w:p w14:paraId="295842B7" w14:textId="6889A393"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9</w:t>
            </w:r>
          </w:p>
        </w:tc>
        <w:tc>
          <w:tcPr>
            <w:tcW w:w="441" w:type="dxa"/>
            <w:shd w:val="clear" w:color="auto" w:fill="auto"/>
            <w:vAlign w:val="bottom"/>
          </w:tcPr>
          <w:p w14:paraId="3A04214D" w14:textId="035523C9"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10</w:t>
            </w:r>
          </w:p>
        </w:tc>
        <w:tc>
          <w:tcPr>
            <w:tcW w:w="660" w:type="dxa"/>
            <w:gridSpan w:val="2"/>
            <w:shd w:val="clear" w:color="auto" w:fill="auto"/>
            <w:vAlign w:val="bottom"/>
          </w:tcPr>
          <w:p w14:paraId="4B7E5100" w14:textId="174C6E6F"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19</w:t>
            </w:r>
          </w:p>
        </w:tc>
        <w:tc>
          <w:tcPr>
            <w:tcW w:w="77" w:type="dxa"/>
            <w:gridSpan w:val="2"/>
            <w:shd w:val="clear" w:color="auto" w:fill="auto"/>
            <w:vAlign w:val="bottom"/>
          </w:tcPr>
          <w:p w14:paraId="47F65886" w14:textId="77777777"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p>
        </w:tc>
        <w:tc>
          <w:tcPr>
            <w:tcW w:w="370" w:type="dxa"/>
            <w:shd w:val="clear" w:color="auto" w:fill="auto"/>
            <w:vAlign w:val="bottom"/>
          </w:tcPr>
          <w:p w14:paraId="50AED941" w14:textId="38C3625A"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15</w:t>
            </w:r>
          </w:p>
        </w:tc>
        <w:tc>
          <w:tcPr>
            <w:tcW w:w="432" w:type="dxa"/>
            <w:shd w:val="clear" w:color="auto" w:fill="auto"/>
            <w:vAlign w:val="bottom"/>
          </w:tcPr>
          <w:p w14:paraId="5ED184E1" w14:textId="3AA0E7C5" w:rsidR="001A0F42" w:rsidRPr="001A0F42" w:rsidRDefault="001A0F42" w:rsidP="001A0F42">
            <w:pPr>
              <w:tabs>
                <w:tab w:val="left" w:pos="288"/>
                <w:tab w:val="left" w:pos="576"/>
                <w:tab w:val="left" w:pos="864"/>
                <w:tab w:val="left" w:pos="1152"/>
              </w:tabs>
              <w:suppressAutoHyphens/>
              <w:spacing w:before="40" w:after="40" w:line="210" w:lineRule="exact"/>
              <w:jc w:val="right"/>
              <w:rPr>
                <w:sz w:val="17"/>
                <w:szCs w:val="17"/>
                <w:lang w:val="fr-FR"/>
              </w:rPr>
            </w:pPr>
            <w:r w:rsidRPr="001A0F42">
              <w:rPr>
                <w:sz w:val="17"/>
                <w:szCs w:val="17"/>
              </w:rPr>
              <w:t>5</w:t>
            </w:r>
          </w:p>
        </w:tc>
        <w:tc>
          <w:tcPr>
            <w:tcW w:w="572" w:type="dxa"/>
            <w:gridSpan w:val="2"/>
            <w:shd w:val="clear" w:color="auto" w:fill="auto"/>
            <w:vAlign w:val="bottom"/>
          </w:tcPr>
          <w:p w14:paraId="26E385A7" w14:textId="7F509944" w:rsidR="001A0F42" w:rsidRPr="001A0F42" w:rsidRDefault="001A0F42" w:rsidP="001A0F42">
            <w:pPr>
              <w:tabs>
                <w:tab w:val="left" w:pos="288"/>
                <w:tab w:val="left" w:pos="576"/>
                <w:tab w:val="left" w:pos="864"/>
                <w:tab w:val="left" w:pos="1152"/>
              </w:tabs>
              <w:suppressAutoHyphens/>
              <w:spacing w:before="40" w:after="40" w:line="210" w:lineRule="exact"/>
              <w:jc w:val="right"/>
              <w:rPr>
                <w:b/>
                <w:sz w:val="17"/>
                <w:szCs w:val="17"/>
                <w:lang w:val="fr-FR"/>
              </w:rPr>
            </w:pPr>
            <w:r w:rsidRPr="001A0F42">
              <w:rPr>
                <w:b/>
                <w:sz w:val="17"/>
                <w:szCs w:val="17"/>
              </w:rPr>
              <w:t>20</w:t>
            </w:r>
          </w:p>
        </w:tc>
      </w:tr>
      <w:tr w:rsidR="001A0F42" w:rsidRPr="001A0F42" w14:paraId="0D52ADAC" w14:textId="77777777" w:rsidTr="00DF0CAA">
        <w:tc>
          <w:tcPr>
            <w:tcW w:w="1116" w:type="dxa"/>
            <w:tcBorders>
              <w:bottom w:val="single" w:sz="4" w:space="0" w:color="auto"/>
            </w:tcBorders>
            <w:shd w:val="clear" w:color="auto" w:fill="auto"/>
            <w:vAlign w:val="bottom"/>
          </w:tcPr>
          <w:p w14:paraId="53C91BF7" w14:textId="7C4E8FAB" w:rsidR="001A0F42" w:rsidRPr="001A0F42" w:rsidRDefault="001A0F42" w:rsidP="001A0F42">
            <w:pPr>
              <w:tabs>
                <w:tab w:val="left" w:pos="288"/>
                <w:tab w:val="left" w:pos="576"/>
                <w:tab w:val="left" w:pos="864"/>
                <w:tab w:val="left" w:pos="1152"/>
              </w:tabs>
              <w:suppressAutoHyphens/>
              <w:spacing w:before="40" w:after="81" w:line="210" w:lineRule="exact"/>
              <w:rPr>
                <w:sz w:val="17"/>
                <w:szCs w:val="17"/>
                <w:lang w:val="fr-FR"/>
              </w:rPr>
            </w:pPr>
            <w:r w:rsidRPr="001A0F42">
              <w:rPr>
                <w:sz w:val="17"/>
                <w:szCs w:val="17"/>
                <w:lang w:val="fr-FR"/>
              </w:rPr>
              <w:t>Bourses</w:t>
            </w:r>
          </w:p>
        </w:tc>
        <w:tc>
          <w:tcPr>
            <w:tcW w:w="423" w:type="dxa"/>
            <w:tcBorders>
              <w:bottom w:val="single" w:sz="4" w:space="0" w:color="auto"/>
            </w:tcBorders>
            <w:shd w:val="clear" w:color="auto" w:fill="auto"/>
            <w:vAlign w:val="bottom"/>
          </w:tcPr>
          <w:p w14:paraId="6542C7B1" w14:textId="10470984"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77</w:t>
            </w:r>
          </w:p>
        </w:tc>
        <w:tc>
          <w:tcPr>
            <w:tcW w:w="450" w:type="dxa"/>
            <w:tcBorders>
              <w:bottom w:val="single" w:sz="4" w:space="0" w:color="auto"/>
            </w:tcBorders>
            <w:shd w:val="clear" w:color="auto" w:fill="auto"/>
            <w:vAlign w:val="bottom"/>
          </w:tcPr>
          <w:p w14:paraId="4DF3CB5C" w14:textId="1044BD49"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165</w:t>
            </w:r>
          </w:p>
        </w:tc>
        <w:tc>
          <w:tcPr>
            <w:tcW w:w="675" w:type="dxa"/>
            <w:tcBorders>
              <w:bottom w:val="single" w:sz="4" w:space="0" w:color="auto"/>
            </w:tcBorders>
            <w:shd w:val="clear" w:color="auto" w:fill="auto"/>
            <w:vAlign w:val="bottom"/>
          </w:tcPr>
          <w:p w14:paraId="1CCD5E24" w14:textId="381E5311" w:rsidR="001A0F42" w:rsidRPr="001A0F42" w:rsidRDefault="001A0F42" w:rsidP="001A0F42">
            <w:pPr>
              <w:tabs>
                <w:tab w:val="left" w:pos="288"/>
                <w:tab w:val="left" w:pos="576"/>
                <w:tab w:val="left" w:pos="864"/>
                <w:tab w:val="left" w:pos="1152"/>
              </w:tabs>
              <w:suppressAutoHyphens/>
              <w:spacing w:before="40" w:after="81" w:line="210" w:lineRule="exact"/>
              <w:jc w:val="right"/>
              <w:rPr>
                <w:b/>
                <w:sz w:val="17"/>
                <w:szCs w:val="17"/>
                <w:lang w:val="fr-FR"/>
              </w:rPr>
            </w:pPr>
            <w:r w:rsidRPr="001A0F42">
              <w:rPr>
                <w:b/>
                <w:sz w:val="17"/>
                <w:szCs w:val="17"/>
              </w:rPr>
              <w:t>242</w:t>
            </w:r>
          </w:p>
        </w:tc>
        <w:tc>
          <w:tcPr>
            <w:tcW w:w="108" w:type="dxa"/>
            <w:tcBorders>
              <w:bottom w:val="single" w:sz="4" w:space="0" w:color="auto"/>
            </w:tcBorders>
            <w:shd w:val="clear" w:color="auto" w:fill="auto"/>
            <w:vAlign w:val="bottom"/>
          </w:tcPr>
          <w:p w14:paraId="0DA15D21" w14:textId="77777777"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p>
        </w:tc>
        <w:tc>
          <w:tcPr>
            <w:tcW w:w="387" w:type="dxa"/>
            <w:tcBorders>
              <w:bottom w:val="single" w:sz="4" w:space="0" w:color="auto"/>
            </w:tcBorders>
            <w:shd w:val="clear" w:color="auto" w:fill="auto"/>
            <w:vAlign w:val="bottom"/>
          </w:tcPr>
          <w:p w14:paraId="027E6A7F" w14:textId="6774FE75"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141</w:t>
            </w:r>
          </w:p>
        </w:tc>
        <w:tc>
          <w:tcPr>
            <w:tcW w:w="432" w:type="dxa"/>
            <w:tcBorders>
              <w:bottom w:val="single" w:sz="4" w:space="0" w:color="auto"/>
            </w:tcBorders>
            <w:shd w:val="clear" w:color="auto" w:fill="auto"/>
            <w:vAlign w:val="bottom"/>
          </w:tcPr>
          <w:p w14:paraId="46C843C2" w14:textId="0E52C186"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235</w:t>
            </w:r>
          </w:p>
        </w:tc>
        <w:tc>
          <w:tcPr>
            <w:tcW w:w="666" w:type="dxa"/>
            <w:tcBorders>
              <w:bottom w:val="single" w:sz="4" w:space="0" w:color="auto"/>
            </w:tcBorders>
            <w:shd w:val="clear" w:color="auto" w:fill="auto"/>
            <w:vAlign w:val="bottom"/>
          </w:tcPr>
          <w:p w14:paraId="0BDC371C" w14:textId="1634848F" w:rsidR="001A0F42" w:rsidRPr="001A0F42" w:rsidRDefault="001A0F42" w:rsidP="001A0F42">
            <w:pPr>
              <w:tabs>
                <w:tab w:val="left" w:pos="288"/>
                <w:tab w:val="left" w:pos="576"/>
                <w:tab w:val="left" w:pos="864"/>
                <w:tab w:val="left" w:pos="1152"/>
              </w:tabs>
              <w:suppressAutoHyphens/>
              <w:spacing w:before="40" w:after="81" w:line="210" w:lineRule="exact"/>
              <w:jc w:val="right"/>
              <w:rPr>
                <w:b/>
                <w:sz w:val="17"/>
                <w:szCs w:val="17"/>
                <w:lang w:val="fr-FR"/>
              </w:rPr>
            </w:pPr>
            <w:r w:rsidRPr="001A0F42">
              <w:rPr>
                <w:b/>
                <w:sz w:val="17"/>
                <w:szCs w:val="17"/>
              </w:rPr>
              <w:t>376</w:t>
            </w:r>
          </w:p>
        </w:tc>
        <w:tc>
          <w:tcPr>
            <w:tcW w:w="126" w:type="dxa"/>
            <w:tcBorders>
              <w:bottom w:val="single" w:sz="4" w:space="0" w:color="auto"/>
            </w:tcBorders>
            <w:shd w:val="clear" w:color="auto" w:fill="auto"/>
            <w:vAlign w:val="bottom"/>
          </w:tcPr>
          <w:p w14:paraId="1A3AD82F" w14:textId="77777777"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p>
        </w:tc>
        <w:tc>
          <w:tcPr>
            <w:tcW w:w="405" w:type="dxa"/>
            <w:tcBorders>
              <w:bottom w:val="single" w:sz="4" w:space="0" w:color="auto"/>
            </w:tcBorders>
            <w:shd w:val="clear" w:color="auto" w:fill="auto"/>
            <w:vAlign w:val="bottom"/>
          </w:tcPr>
          <w:p w14:paraId="5E844097" w14:textId="744A8047"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158</w:t>
            </w:r>
          </w:p>
        </w:tc>
        <w:tc>
          <w:tcPr>
            <w:tcW w:w="441" w:type="dxa"/>
            <w:tcBorders>
              <w:bottom w:val="single" w:sz="4" w:space="0" w:color="auto"/>
            </w:tcBorders>
            <w:shd w:val="clear" w:color="auto" w:fill="auto"/>
            <w:vAlign w:val="bottom"/>
          </w:tcPr>
          <w:p w14:paraId="12AEBF91" w14:textId="69280EB7"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314</w:t>
            </w:r>
          </w:p>
        </w:tc>
        <w:tc>
          <w:tcPr>
            <w:tcW w:w="660" w:type="dxa"/>
            <w:gridSpan w:val="2"/>
            <w:tcBorders>
              <w:bottom w:val="single" w:sz="4" w:space="0" w:color="auto"/>
            </w:tcBorders>
            <w:shd w:val="clear" w:color="auto" w:fill="auto"/>
            <w:vAlign w:val="bottom"/>
          </w:tcPr>
          <w:p w14:paraId="54F7E7EE" w14:textId="6A35571D" w:rsidR="001A0F42" w:rsidRPr="001A0F42" w:rsidRDefault="001A0F42" w:rsidP="001A0F42">
            <w:pPr>
              <w:tabs>
                <w:tab w:val="left" w:pos="288"/>
                <w:tab w:val="left" w:pos="576"/>
                <w:tab w:val="left" w:pos="864"/>
                <w:tab w:val="left" w:pos="1152"/>
              </w:tabs>
              <w:suppressAutoHyphens/>
              <w:spacing w:before="40" w:after="81" w:line="210" w:lineRule="exact"/>
              <w:jc w:val="right"/>
              <w:rPr>
                <w:b/>
                <w:sz w:val="17"/>
                <w:szCs w:val="17"/>
                <w:lang w:val="fr-FR"/>
              </w:rPr>
            </w:pPr>
            <w:r w:rsidRPr="001A0F42">
              <w:rPr>
                <w:b/>
                <w:sz w:val="17"/>
                <w:szCs w:val="17"/>
              </w:rPr>
              <w:t>472</w:t>
            </w:r>
          </w:p>
        </w:tc>
        <w:tc>
          <w:tcPr>
            <w:tcW w:w="77" w:type="dxa"/>
            <w:gridSpan w:val="2"/>
            <w:tcBorders>
              <w:bottom w:val="single" w:sz="4" w:space="0" w:color="auto"/>
            </w:tcBorders>
            <w:shd w:val="clear" w:color="auto" w:fill="auto"/>
            <w:vAlign w:val="bottom"/>
          </w:tcPr>
          <w:p w14:paraId="45896F86" w14:textId="77777777"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p>
        </w:tc>
        <w:tc>
          <w:tcPr>
            <w:tcW w:w="370" w:type="dxa"/>
            <w:tcBorders>
              <w:bottom w:val="single" w:sz="4" w:space="0" w:color="auto"/>
            </w:tcBorders>
            <w:shd w:val="clear" w:color="auto" w:fill="auto"/>
            <w:vAlign w:val="bottom"/>
          </w:tcPr>
          <w:p w14:paraId="44884E42" w14:textId="49E83892"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160</w:t>
            </w:r>
          </w:p>
        </w:tc>
        <w:tc>
          <w:tcPr>
            <w:tcW w:w="432" w:type="dxa"/>
            <w:tcBorders>
              <w:bottom w:val="single" w:sz="4" w:space="0" w:color="auto"/>
            </w:tcBorders>
            <w:shd w:val="clear" w:color="auto" w:fill="auto"/>
            <w:vAlign w:val="bottom"/>
          </w:tcPr>
          <w:p w14:paraId="3C2F0701" w14:textId="6CCF283B" w:rsidR="001A0F42" w:rsidRPr="001A0F42" w:rsidRDefault="001A0F42" w:rsidP="001A0F42">
            <w:pPr>
              <w:tabs>
                <w:tab w:val="left" w:pos="288"/>
                <w:tab w:val="left" w:pos="576"/>
                <w:tab w:val="left" w:pos="864"/>
                <w:tab w:val="left" w:pos="1152"/>
              </w:tabs>
              <w:suppressAutoHyphens/>
              <w:spacing w:before="40" w:after="81" w:line="210" w:lineRule="exact"/>
              <w:jc w:val="right"/>
              <w:rPr>
                <w:sz w:val="17"/>
                <w:szCs w:val="17"/>
                <w:lang w:val="fr-FR"/>
              </w:rPr>
            </w:pPr>
            <w:r w:rsidRPr="001A0F42">
              <w:rPr>
                <w:sz w:val="17"/>
                <w:szCs w:val="17"/>
              </w:rPr>
              <w:t>319</w:t>
            </w:r>
          </w:p>
        </w:tc>
        <w:tc>
          <w:tcPr>
            <w:tcW w:w="572" w:type="dxa"/>
            <w:gridSpan w:val="2"/>
            <w:tcBorders>
              <w:bottom w:val="single" w:sz="4" w:space="0" w:color="auto"/>
            </w:tcBorders>
            <w:shd w:val="clear" w:color="auto" w:fill="auto"/>
            <w:vAlign w:val="bottom"/>
          </w:tcPr>
          <w:p w14:paraId="732C80B6" w14:textId="5214B485" w:rsidR="001A0F42" w:rsidRPr="001A0F42" w:rsidRDefault="001A0F42" w:rsidP="001A0F42">
            <w:pPr>
              <w:tabs>
                <w:tab w:val="left" w:pos="288"/>
                <w:tab w:val="left" w:pos="576"/>
                <w:tab w:val="left" w:pos="864"/>
                <w:tab w:val="left" w:pos="1152"/>
              </w:tabs>
              <w:suppressAutoHyphens/>
              <w:spacing w:before="40" w:after="81" w:line="210" w:lineRule="exact"/>
              <w:jc w:val="right"/>
              <w:rPr>
                <w:b/>
                <w:sz w:val="17"/>
                <w:szCs w:val="17"/>
                <w:lang w:val="fr-FR"/>
              </w:rPr>
            </w:pPr>
            <w:r w:rsidRPr="001A0F42">
              <w:rPr>
                <w:b/>
                <w:sz w:val="17"/>
                <w:szCs w:val="17"/>
              </w:rPr>
              <w:t>479</w:t>
            </w:r>
          </w:p>
        </w:tc>
      </w:tr>
      <w:tr w:rsidR="001A0F42" w:rsidRPr="001A0F42" w14:paraId="7B8E0D58" w14:textId="77777777" w:rsidTr="00DF0CAA">
        <w:tc>
          <w:tcPr>
            <w:tcW w:w="1116" w:type="dxa"/>
            <w:tcBorders>
              <w:top w:val="single" w:sz="4" w:space="0" w:color="auto"/>
              <w:bottom w:val="single" w:sz="4" w:space="0" w:color="auto"/>
            </w:tcBorders>
            <w:shd w:val="clear" w:color="auto" w:fill="auto"/>
            <w:vAlign w:val="bottom"/>
          </w:tcPr>
          <w:p w14:paraId="31DB36F0" w14:textId="063B9074" w:rsidR="001A0F42" w:rsidRPr="001A0F42" w:rsidRDefault="001A0F42" w:rsidP="001A0F42">
            <w:pPr>
              <w:tabs>
                <w:tab w:val="left" w:pos="288"/>
                <w:tab w:val="left" w:pos="576"/>
                <w:tab w:val="left" w:pos="864"/>
                <w:tab w:val="left" w:pos="1152"/>
              </w:tabs>
              <w:suppressAutoHyphens/>
              <w:spacing w:before="81" w:after="81" w:line="210" w:lineRule="exact"/>
              <w:rPr>
                <w:b/>
                <w:sz w:val="17"/>
                <w:szCs w:val="17"/>
                <w:lang w:val="fr-FR"/>
              </w:rPr>
            </w:pPr>
            <w:r w:rsidRPr="001A0F42">
              <w:rPr>
                <w:b/>
                <w:sz w:val="17"/>
                <w:szCs w:val="17"/>
                <w:lang w:val="fr-FR"/>
              </w:rPr>
              <w:tab/>
              <w:t>Total</w:t>
            </w:r>
          </w:p>
        </w:tc>
        <w:tc>
          <w:tcPr>
            <w:tcW w:w="423" w:type="dxa"/>
            <w:tcBorders>
              <w:top w:val="single" w:sz="4" w:space="0" w:color="auto"/>
              <w:bottom w:val="single" w:sz="4" w:space="0" w:color="auto"/>
            </w:tcBorders>
            <w:shd w:val="clear" w:color="auto" w:fill="auto"/>
            <w:vAlign w:val="bottom"/>
          </w:tcPr>
          <w:p w14:paraId="41D77432"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450" w:type="dxa"/>
            <w:tcBorders>
              <w:top w:val="single" w:sz="4" w:space="0" w:color="auto"/>
              <w:bottom w:val="single" w:sz="4" w:space="0" w:color="auto"/>
            </w:tcBorders>
            <w:shd w:val="clear" w:color="auto" w:fill="auto"/>
            <w:vAlign w:val="bottom"/>
          </w:tcPr>
          <w:p w14:paraId="0191884C"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675" w:type="dxa"/>
            <w:tcBorders>
              <w:top w:val="single" w:sz="4" w:space="0" w:color="auto"/>
              <w:bottom w:val="single" w:sz="4" w:space="0" w:color="auto"/>
            </w:tcBorders>
            <w:shd w:val="clear" w:color="auto" w:fill="auto"/>
            <w:vAlign w:val="bottom"/>
          </w:tcPr>
          <w:p w14:paraId="47266ED3" w14:textId="750A2A6D"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r w:rsidRPr="001A0F42">
              <w:rPr>
                <w:b/>
                <w:sz w:val="17"/>
                <w:szCs w:val="17"/>
                <w:lang w:val="fr-FR"/>
              </w:rPr>
              <w:t>272</w:t>
            </w:r>
          </w:p>
        </w:tc>
        <w:tc>
          <w:tcPr>
            <w:tcW w:w="108" w:type="dxa"/>
            <w:tcBorders>
              <w:top w:val="single" w:sz="4" w:space="0" w:color="auto"/>
              <w:bottom w:val="single" w:sz="4" w:space="0" w:color="auto"/>
            </w:tcBorders>
            <w:shd w:val="clear" w:color="auto" w:fill="auto"/>
            <w:vAlign w:val="bottom"/>
          </w:tcPr>
          <w:p w14:paraId="28767CBB"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387" w:type="dxa"/>
            <w:tcBorders>
              <w:top w:val="single" w:sz="4" w:space="0" w:color="auto"/>
              <w:bottom w:val="single" w:sz="4" w:space="0" w:color="auto"/>
            </w:tcBorders>
            <w:shd w:val="clear" w:color="auto" w:fill="auto"/>
            <w:vAlign w:val="bottom"/>
          </w:tcPr>
          <w:p w14:paraId="649BDC56"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432" w:type="dxa"/>
            <w:tcBorders>
              <w:top w:val="single" w:sz="4" w:space="0" w:color="auto"/>
              <w:bottom w:val="single" w:sz="4" w:space="0" w:color="auto"/>
            </w:tcBorders>
            <w:shd w:val="clear" w:color="auto" w:fill="auto"/>
            <w:vAlign w:val="bottom"/>
          </w:tcPr>
          <w:p w14:paraId="4A60B73E"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666" w:type="dxa"/>
            <w:tcBorders>
              <w:top w:val="single" w:sz="4" w:space="0" w:color="auto"/>
              <w:bottom w:val="single" w:sz="4" w:space="0" w:color="auto"/>
            </w:tcBorders>
            <w:shd w:val="clear" w:color="auto" w:fill="auto"/>
            <w:vAlign w:val="bottom"/>
          </w:tcPr>
          <w:p w14:paraId="7B62A3DB" w14:textId="477FF035"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r w:rsidRPr="001A0F42">
              <w:rPr>
                <w:b/>
                <w:sz w:val="17"/>
                <w:szCs w:val="17"/>
              </w:rPr>
              <w:t>425</w:t>
            </w:r>
          </w:p>
        </w:tc>
        <w:tc>
          <w:tcPr>
            <w:tcW w:w="126" w:type="dxa"/>
            <w:tcBorders>
              <w:top w:val="single" w:sz="4" w:space="0" w:color="auto"/>
              <w:bottom w:val="single" w:sz="4" w:space="0" w:color="auto"/>
            </w:tcBorders>
            <w:shd w:val="clear" w:color="auto" w:fill="auto"/>
            <w:vAlign w:val="bottom"/>
          </w:tcPr>
          <w:p w14:paraId="1234FCB3"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405" w:type="dxa"/>
            <w:tcBorders>
              <w:top w:val="single" w:sz="4" w:space="0" w:color="auto"/>
              <w:bottom w:val="single" w:sz="4" w:space="0" w:color="auto"/>
            </w:tcBorders>
            <w:shd w:val="clear" w:color="auto" w:fill="auto"/>
            <w:vAlign w:val="bottom"/>
          </w:tcPr>
          <w:p w14:paraId="15CF277C"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441" w:type="dxa"/>
            <w:tcBorders>
              <w:top w:val="single" w:sz="4" w:space="0" w:color="auto"/>
              <w:bottom w:val="single" w:sz="4" w:space="0" w:color="auto"/>
            </w:tcBorders>
            <w:shd w:val="clear" w:color="auto" w:fill="auto"/>
            <w:vAlign w:val="bottom"/>
          </w:tcPr>
          <w:p w14:paraId="472A8C53"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660" w:type="dxa"/>
            <w:gridSpan w:val="2"/>
            <w:tcBorders>
              <w:top w:val="single" w:sz="4" w:space="0" w:color="auto"/>
              <w:bottom w:val="single" w:sz="4" w:space="0" w:color="auto"/>
            </w:tcBorders>
            <w:shd w:val="clear" w:color="auto" w:fill="auto"/>
            <w:vAlign w:val="bottom"/>
          </w:tcPr>
          <w:p w14:paraId="4656228B" w14:textId="1B5BD59E"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r w:rsidRPr="001A0F42">
              <w:rPr>
                <w:b/>
                <w:sz w:val="17"/>
                <w:szCs w:val="17"/>
              </w:rPr>
              <w:t>535</w:t>
            </w:r>
          </w:p>
        </w:tc>
        <w:tc>
          <w:tcPr>
            <w:tcW w:w="77" w:type="dxa"/>
            <w:gridSpan w:val="2"/>
            <w:tcBorders>
              <w:top w:val="single" w:sz="4" w:space="0" w:color="auto"/>
              <w:bottom w:val="single" w:sz="4" w:space="0" w:color="auto"/>
            </w:tcBorders>
            <w:shd w:val="clear" w:color="auto" w:fill="auto"/>
            <w:vAlign w:val="bottom"/>
          </w:tcPr>
          <w:p w14:paraId="717818E4"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370" w:type="dxa"/>
            <w:tcBorders>
              <w:top w:val="single" w:sz="4" w:space="0" w:color="auto"/>
              <w:bottom w:val="single" w:sz="4" w:space="0" w:color="auto"/>
            </w:tcBorders>
            <w:shd w:val="clear" w:color="auto" w:fill="auto"/>
            <w:vAlign w:val="bottom"/>
          </w:tcPr>
          <w:p w14:paraId="275FE056"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432" w:type="dxa"/>
            <w:tcBorders>
              <w:top w:val="single" w:sz="4" w:space="0" w:color="auto"/>
              <w:bottom w:val="single" w:sz="4" w:space="0" w:color="auto"/>
            </w:tcBorders>
            <w:shd w:val="clear" w:color="auto" w:fill="auto"/>
            <w:vAlign w:val="bottom"/>
          </w:tcPr>
          <w:p w14:paraId="242E0050" w14:textId="7777777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p>
        </w:tc>
        <w:tc>
          <w:tcPr>
            <w:tcW w:w="572" w:type="dxa"/>
            <w:gridSpan w:val="2"/>
            <w:tcBorders>
              <w:top w:val="single" w:sz="4" w:space="0" w:color="auto"/>
              <w:bottom w:val="single" w:sz="4" w:space="0" w:color="auto"/>
            </w:tcBorders>
            <w:shd w:val="clear" w:color="auto" w:fill="auto"/>
            <w:vAlign w:val="bottom"/>
          </w:tcPr>
          <w:p w14:paraId="13CEB1F7" w14:textId="7F5E4507" w:rsidR="001A0F42" w:rsidRPr="001A0F42" w:rsidRDefault="001A0F42" w:rsidP="001A0F42">
            <w:pPr>
              <w:tabs>
                <w:tab w:val="left" w:pos="288"/>
                <w:tab w:val="left" w:pos="576"/>
                <w:tab w:val="left" w:pos="864"/>
                <w:tab w:val="left" w:pos="1152"/>
              </w:tabs>
              <w:suppressAutoHyphens/>
              <w:spacing w:before="81" w:after="81" w:line="210" w:lineRule="exact"/>
              <w:jc w:val="right"/>
              <w:rPr>
                <w:b/>
                <w:sz w:val="17"/>
                <w:szCs w:val="17"/>
                <w:lang w:val="fr-FR"/>
              </w:rPr>
            </w:pPr>
            <w:r w:rsidRPr="001A0F42">
              <w:rPr>
                <w:b/>
                <w:sz w:val="17"/>
                <w:szCs w:val="17"/>
              </w:rPr>
              <w:t>525</w:t>
            </w:r>
          </w:p>
        </w:tc>
      </w:tr>
      <w:tr w:rsidR="001A0F42" w:rsidRPr="00FC6708" w14:paraId="61818262" w14:textId="77777777" w:rsidTr="007C78DF">
        <w:trPr>
          <w:gridAfter w:val="1"/>
          <w:wAfter w:w="12" w:type="dxa"/>
          <w:tblHeader/>
        </w:trPr>
        <w:tc>
          <w:tcPr>
            <w:tcW w:w="1116" w:type="dxa"/>
            <w:tcBorders>
              <w:top w:val="single" w:sz="4" w:space="0" w:color="auto"/>
            </w:tcBorders>
            <w:shd w:val="clear" w:color="auto" w:fill="auto"/>
            <w:vAlign w:val="bottom"/>
          </w:tcPr>
          <w:p w14:paraId="76AFC0F6" w14:textId="77777777" w:rsidR="001A0F42" w:rsidRPr="00FC6708" w:rsidRDefault="001A0F42" w:rsidP="001A0F42">
            <w:pPr>
              <w:tabs>
                <w:tab w:val="left" w:pos="288"/>
                <w:tab w:val="left" w:pos="576"/>
                <w:tab w:val="left" w:pos="864"/>
                <w:tab w:val="left" w:pos="1152"/>
              </w:tabs>
              <w:suppressAutoHyphens/>
              <w:spacing w:before="81" w:after="81" w:line="160" w:lineRule="exact"/>
              <w:rPr>
                <w:i/>
                <w:sz w:val="14"/>
                <w:lang w:val="fr-FR"/>
              </w:rPr>
            </w:pPr>
          </w:p>
        </w:tc>
        <w:tc>
          <w:tcPr>
            <w:tcW w:w="1548" w:type="dxa"/>
            <w:gridSpan w:val="3"/>
            <w:tcBorders>
              <w:top w:val="single" w:sz="4" w:space="0" w:color="auto"/>
              <w:bottom w:val="single" w:sz="4" w:space="0" w:color="000000"/>
            </w:tcBorders>
            <w:shd w:val="clear" w:color="auto" w:fill="auto"/>
            <w:vAlign w:val="bottom"/>
          </w:tcPr>
          <w:p w14:paraId="4F8AA583" w14:textId="5E9CFE38" w:rsidR="001A0F42" w:rsidRPr="00FC6708" w:rsidRDefault="001A0F42" w:rsidP="001A0F4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2014</w:t>
            </w:r>
          </w:p>
        </w:tc>
        <w:tc>
          <w:tcPr>
            <w:tcW w:w="108" w:type="dxa"/>
            <w:tcBorders>
              <w:top w:val="single" w:sz="4" w:space="0" w:color="auto"/>
            </w:tcBorders>
            <w:shd w:val="clear" w:color="auto" w:fill="auto"/>
            <w:vAlign w:val="bottom"/>
          </w:tcPr>
          <w:p w14:paraId="14FC6E15" w14:textId="77777777" w:rsidR="001A0F42" w:rsidRPr="00FC6708" w:rsidRDefault="001A0F42" w:rsidP="001A0F42">
            <w:pPr>
              <w:tabs>
                <w:tab w:val="left" w:pos="288"/>
                <w:tab w:val="left" w:pos="576"/>
                <w:tab w:val="left" w:pos="864"/>
                <w:tab w:val="left" w:pos="1152"/>
              </w:tabs>
              <w:suppressAutoHyphens/>
              <w:spacing w:before="81" w:after="81" w:line="160" w:lineRule="exact"/>
              <w:jc w:val="right"/>
              <w:rPr>
                <w:i/>
                <w:sz w:val="14"/>
                <w:lang w:val="fr-FR"/>
              </w:rPr>
            </w:pPr>
          </w:p>
        </w:tc>
        <w:tc>
          <w:tcPr>
            <w:tcW w:w="1485" w:type="dxa"/>
            <w:gridSpan w:val="3"/>
            <w:tcBorders>
              <w:top w:val="single" w:sz="4" w:space="0" w:color="auto"/>
              <w:bottom w:val="single" w:sz="4" w:space="0" w:color="000000"/>
            </w:tcBorders>
            <w:shd w:val="clear" w:color="auto" w:fill="auto"/>
            <w:vAlign w:val="bottom"/>
          </w:tcPr>
          <w:p w14:paraId="3317C6CA" w14:textId="4EF64C25" w:rsidR="001A0F42" w:rsidRPr="00FC6708" w:rsidRDefault="001A0F42" w:rsidP="001A0F4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2015</w:t>
            </w:r>
          </w:p>
        </w:tc>
        <w:tc>
          <w:tcPr>
            <w:tcW w:w="126" w:type="dxa"/>
            <w:tcBorders>
              <w:top w:val="single" w:sz="4" w:space="0" w:color="auto"/>
            </w:tcBorders>
            <w:shd w:val="clear" w:color="auto" w:fill="auto"/>
            <w:vAlign w:val="bottom"/>
          </w:tcPr>
          <w:p w14:paraId="3231FED6" w14:textId="77777777" w:rsidR="001A0F42" w:rsidRPr="00FC6708" w:rsidRDefault="001A0F42" w:rsidP="001A0F42">
            <w:pPr>
              <w:tabs>
                <w:tab w:val="left" w:pos="288"/>
                <w:tab w:val="left" w:pos="576"/>
                <w:tab w:val="left" w:pos="864"/>
                <w:tab w:val="left" w:pos="1152"/>
              </w:tabs>
              <w:suppressAutoHyphens/>
              <w:spacing w:before="81" w:after="81" w:line="160" w:lineRule="exact"/>
              <w:jc w:val="right"/>
              <w:rPr>
                <w:i/>
                <w:sz w:val="14"/>
                <w:lang w:val="fr-FR"/>
              </w:rPr>
            </w:pPr>
          </w:p>
        </w:tc>
        <w:tc>
          <w:tcPr>
            <w:tcW w:w="1494" w:type="dxa"/>
            <w:gridSpan w:val="3"/>
            <w:tcBorders>
              <w:top w:val="single" w:sz="4" w:space="0" w:color="auto"/>
              <w:bottom w:val="single" w:sz="4" w:space="0" w:color="000000"/>
            </w:tcBorders>
            <w:shd w:val="clear" w:color="auto" w:fill="auto"/>
            <w:vAlign w:val="bottom"/>
          </w:tcPr>
          <w:p w14:paraId="430A2E36" w14:textId="38A331E7" w:rsidR="001A0F42" w:rsidRPr="00FC6708" w:rsidRDefault="001A0F42" w:rsidP="001A0F4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2016</w:t>
            </w:r>
          </w:p>
        </w:tc>
        <w:tc>
          <w:tcPr>
            <w:tcW w:w="77" w:type="dxa"/>
            <w:gridSpan w:val="2"/>
            <w:tcBorders>
              <w:top w:val="single" w:sz="4" w:space="0" w:color="auto"/>
            </w:tcBorders>
            <w:shd w:val="clear" w:color="auto" w:fill="auto"/>
            <w:vAlign w:val="bottom"/>
          </w:tcPr>
          <w:p w14:paraId="789B989E" w14:textId="77777777" w:rsidR="001A0F42" w:rsidRPr="00FC6708" w:rsidRDefault="001A0F42" w:rsidP="001A0F42">
            <w:pPr>
              <w:tabs>
                <w:tab w:val="left" w:pos="288"/>
                <w:tab w:val="left" w:pos="576"/>
                <w:tab w:val="left" w:pos="864"/>
                <w:tab w:val="left" w:pos="1152"/>
              </w:tabs>
              <w:suppressAutoHyphens/>
              <w:spacing w:before="81" w:after="81" w:line="160" w:lineRule="exact"/>
              <w:jc w:val="right"/>
              <w:rPr>
                <w:i/>
                <w:sz w:val="14"/>
                <w:lang w:val="fr-FR"/>
              </w:rPr>
            </w:pPr>
          </w:p>
        </w:tc>
        <w:tc>
          <w:tcPr>
            <w:tcW w:w="1374" w:type="dxa"/>
            <w:gridSpan w:val="4"/>
            <w:tcBorders>
              <w:top w:val="single" w:sz="4" w:space="0" w:color="auto"/>
              <w:bottom w:val="single" w:sz="4" w:space="0" w:color="000000"/>
            </w:tcBorders>
            <w:shd w:val="clear" w:color="auto" w:fill="auto"/>
            <w:vAlign w:val="bottom"/>
          </w:tcPr>
          <w:p w14:paraId="043ADEC9" w14:textId="0763CF0B" w:rsidR="001A0F42" w:rsidRPr="00FC6708" w:rsidRDefault="001A0F42" w:rsidP="001A0F42">
            <w:pPr>
              <w:tabs>
                <w:tab w:val="left" w:pos="288"/>
                <w:tab w:val="left" w:pos="576"/>
                <w:tab w:val="left" w:pos="864"/>
                <w:tab w:val="left" w:pos="1152"/>
              </w:tabs>
              <w:suppressAutoHyphens/>
              <w:spacing w:before="81" w:after="81" w:line="160" w:lineRule="exact"/>
              <w:jc w:val="center"/>
              <w:rPr>
                <w:i/>
                <w:sz w:val="14"/>
                <w:lang w:val="fr-FR"/>
              </w:rPr>
            </w:pPr>
            <w:r>
              <w:rPr>
                <w:i/>
                <w:sz w:val="14"/>
                <w:lang w:val="fr-FR"/>
              </w:rPr>
              <w:t>2017</w:t>
            </w:r>
          </w:p>
        </w:tc>
      </w:tr>
      <w:tr w:rsidR="001A0F42" w:rsidRPr="00FC6708" w14:paraId="0F9FF208" w14:textId="77777777" w:rsidTr="007C78DF">
        <w:trPr>
          <w:tblHeader/>
        </w:trPr>
        <w:tc>
          <w:tcPr>
            <w:tcW w:w="1116" w:type="dxa"/>
            <w:tcBorders>
              <w:bottom w:val="single" w:sz="12" w:space="0" w:color="auto"/>
            </w:tcBorders>
            <w:shd w:val="clear" w:color="auto" w:fill="auto"/>
            <w:vAlign w:val="bottom"/>
          </w:tcPr>
          <w:p w14:paraId="4073E0BD" w14:textId="77777777" w:rsidR="001A0F42" w:rsidRPr="00FC6708" w:rsidRDefault="001A0F42" w:rsidP="001A0F42">
            <w:pPr>
              <w:tabs>
                <w:tab w:val="left" w:pos="288"/>
                <w:tab w:val="left" w:pos="576"/>
                <w:tab w:val="left" w:pos="864"/>
                <w:tab w:val="left" w:pos="1152"/>
              </w:tabs>
              <w:suppressAutoHyphens/>
              <w:spacing w:before="81" w:after="81" w:line="160" w:lineRule="exact"/>
              <w:rPr>
                <w:i/>
                <w:sz w:val="14"/>
                <w:lang w:val="fr-FR"/>
              </w:rPr>
            </w:pPr>
          </w:p>
        </w:tc>
        <w:tc>
          <w:tcPr>
            <w:tcW w:w="423" w:type="dxa"/>
            <w:tcBorders>
              <w:top w:val="single" w:sz="4" w:space="0" w:color="000000"/>
              <w:bottom w:val="single" w:sz="12" w:space="0" w:color="auto"/>
            </w:tcBorders>
            <w:shd w:val="clear" w:color="auto" w:fill="auto"/>
            <w:vAlign w:val="bottom"/>
          </w:tcPr>
          <w:p w14:paraId="38818528" w14:textId="77777777" w:rsidR="001A0F42" w:rsidRPr="00FC6708"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M</w:t>
            </w:r>
          </w:p>
        </w:tc>
        <w:tc>
          <w:tcPr>
            <w:tcW w:w="450" w:type="dxa"/>
            <w:tcBorders>
              <w:top w:val="single" w:sz="4" w:space="0" w:color="000000"/>
              <w:bottom w:val="single" w:sz="12" w:space="0" w:color="auto"/>
            </w:tcBorders>
            <w:shd w:val="clear" w:color="auto" w:fill="auto"/>
            <w:vAlign w:val="bottom"/>
          </w:tcPr>
          <w:p w14:paraId="5BDE28D8" w14:textId="77777777" w:rsidR="001A0F42" w:rsidRPr="00FC6708"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F</w:t>
            </w:r>
          </w:p>
        </w:tc>
        <w:tc>
          <w:tcPr>
            <w:tcW w:w="675" w:type="dxa"/>
            <w:tcBorders>
              <w:top w:val="single" w:sz="4" w:space="0" w:color="000000"/>
              <w:bottom w:val="single" w:sz="12" w:space="0" w:color="auto"/>
            </w:tcBorders>
            <w:shd w:val="clear" w:color="auto" w:fill="auto"/>
            <w:vAlign w:val="bottom"/>
          </w:tcPr>
          <w:p w14:paraId="74D1D416"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108" w:type="dxa"/>
            <w:tcBorders>
              <w:bottom w:val="single" w:sz="12" w:space="0" w:color="auto"/>
            </w:tcBorders>
            <w:shd w:val="clear" w:color="auto" w:fill="auto"/>
            <w:vAlign w:val="bottom"/>
          </w:tcPr>
          <w:p w14:paraId="30C2463B"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b/>
                <w:i/>
                <w:sz w:val="14"/>
                <w:lang w:val="fr-FR"/>
              </w:rPr>
            </w:pPr>
          </w:p>
        </w:tc>
        <w:tc>
          <w:tcPr>
            <w:tcW w:w="387" w:type="dxa"/>
            <w:tcBorders>
              <w:top w:val="single" w:sz="4" w:space="0" w:color="000000"/>
              <w:bottom w:val="single" w:sz="12" w:space="0" w:color="auto"/>
            </w:tcBorders>
            <w:shd w:val="clear" w:color="auto" w:fill="auto"/>
            <w:vAlign w:val="bottom"/>
          </w:tcPr>
          <w:p w14:paraId="280D1130"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M</w:t>
            </w:r>
          </w:p>
        </w:tc>
        <w:tc>
          <w:tcPr>
            <w:tcW w:w="432" w:type="dxa"/>
            <w:tcBorders>
              <w:top w:val="single" w:sz="4" w:space="0" w:color="000000"/>
              <w:bottom w:val="single" w:sz="12" w:space="0" w:color="auto"/>
            </w:tcBorders>
            <w:shd w:val="clear" w:color="auto" w:fill="auto"/>
            <w:vAlign w:val="bottom"/>
          </w:tcPr>
          <w:p w14:paraId="18592A6B"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Pr>
                <w:i/>
                <w:sz w:val="14"/>
                <w:lang w:val="fr-FR"/>
              </w:rPr>
              <w:t>F</w:t>
            </w:r>
          </w:p>
        </w:tc>
        <w:tc>
          <w:tcPr>
            <w:tcW w:w="666" w:type="dxa"/>
            <w:tcBorders>
              <w:top w:val="single" w:sz="4" w:space="0" w:color="000000"/>
              <w:bottom w:val="single" w:sz="12" w:space="0" w:color="auto"/>
            </w:tcBorders>
            <w:shd w:val="clear" w:color="auto" w:fill="auto"/>
            <w:vAlign w:val="bottom"/>
          </w:tcPr>
          <w:p w14:paraId="2FBD0564"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126" w:type="dxa"/>
            <w:tcBorders>
              <w:bottom w:val="single" w:sz="12" w:space="0" w:color="auto"/>
            </w:tcBorders>
            <w:shd w:val="clear" w:color="auto" w:fill="auto"/>
            <w:vAlign w:val="bottom"/>
          </w:tcPr>
          <w:p w14:paraId="0184A1DA"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p>
        </w:tc>
        <w:tc>
          <w:tcPr>
            <w:tcW w:w="405" w:type="dxa"/>
            <w:tcBorders>
              <w:top w:val="single" w:sz="4" w:space="0" w:color="000000"/>
              <w:bottom w:val="single" w:sz="12" w:space="0" w:color="auto"/>
            </w:tcBorders>
            <w:shd w:val="clear" w:color="auto" w:fill="auto"/>
            <w:vAlign w:val="bottom"/>
          </w:tcPr>
          <w:p w14:paraId="5841D779"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M</w:t>
            </w:r>
          </w:p>
        </w:tc>
        <w:tc>
          <w:tcPr>
            <w:tcW w:w="441" w:type="dxa"/>
            <w:tcBorders>
              <w:top w:val="single" w:sz="4" w:space="0" w:color="000000"/>
              <w:bottom w:val="single" w:sz="12" w:space="0" w:color="auto"/>
            </w:tcBorders>
            <w:shd w:val="clear" w:color="auto" w:fill="auto"/>
            <w:vAlign w:val="bottom"/>
          </w:tcPr>
          <w:p w14:paraId="70F42E66"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F</w:t>
            </w:r>
          </w:p>
        </w:tc>
        <w:tc>
          <w:tcPr>
            <w:tcW w:w="660" w:type="dxa"/>
            <w:gridSpan w:val="2"/>
            <w:tcBorders>
              <w:top w:val="single" w:sz="4" w:space="0" w:color="000000"/>
              <w:bottom w:val="single" w:sz="12" w:space="0" w:color="auto"/>
            </w:tcBorders>
            <w:shd w:val="clear" w:color="auto" w:fill="auto"/>
            <w:vAlign w:val="bottom"/>
          </w:tcPr>
          <w:p w14:paraId="62A4E481"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c>
          <w:tcPr>
            <w:tcW w:w="77" w:type="dxa"/>
            <w:gridSpan w:val="2"/>
            <w:tcBorders>
              <w:bottom w:val="single" w:sz="12" w:space="0" w:color="auto"/>
            </w:tcBorders>
            <w:shd w:val="clear" w:color="auto" w:fill="auto"/>
            <w:vAlign w:val="bottom"/>
          </w:tcPr>
          <w:p w14:paraId="6ADF26F7"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p>
        </w:tc>
        <w:tc>
          <w:tcPr>
            <w:tcW w:w="370" w:type="dxa"/>
            <w:tcBorders>
              <w:top w:val="single" w:sz="4" w:space="0" w:color="000000"/>
              <w:bottom w:val="single" w:sz="12" w:space="0" w:color="auto"/>
            </w:tcBorders>
            <w:shd w:val="clear" w:color="auto" w:fill="auto"/>
            <w:vAlign w:val="bottom"/>
          </w:tcPr>
          <w:p w14:paraId="0DE6C679"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M</w:t>
            </w:r>
          </w:p>
        </w:tc>
        <w:tc>
          <w:tcPr>
            <w:tcW w:w="432" w:type="dxa"/>
            <w:tcBorders>
              <w:top w:val="single" w:sz="4" w:space="0" w:color="000000"/>
              <w:bottom w:val="single" w:sz="12" w:space="0" w:color="auto"/>
            </w:tcBorders>
            <w:shd w:val="clear" w:color="auto" w:fill="auto"/>
            <w:vAlign w:val="bottom"/>
          </w:tcPr>
          <w:p w14:paraId="6958C36E"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i/>
                <w:sz w:val="14"/>
                <w:lang w:val="fr-FR"/>
              </w:rPr>
            </w:pPr>
            <w:r w:rsidRPr="00FE6402">
              <w:rPr>
                <w:i/>
                <w:sz w:val="14"/>
                <w:lang w:val="fr-FR"/>
              </w:rPr>
              <w:t>F</w:t>
            </w:r>
          </w:p>
        </w:tc>
        <w:tc>
          <w:tcPr>
            <w:tcW w:w="572" w:type="dxa"/>
            <w:gridSpan w:val="2"/>
            <w:tcBorders>
              <w:top w:val="single" w:sz="4" w:space="0" w:color="000000"/>
              <w:bottom w:val="single" w:sz="12" w:space="0" w:color="auto"/>
            </w:tcBorders>
            <w:shd w:val="clear" w:color="auto" w:fill="auto"/>
            <w:vAlign w:val="bottom"/>
          </w:tcPr>
          <w:p w14:paraId="0D4E4B00" w14:textId="77777777" w:rsidR="001A0F42" w:rsidRPr="00FE6402" w:rsidRDefault="001A0F42" w:rsidP="001A0F42">
            <w:pPr>
              <w:tabs>
                <w:tab w:val="left" w:pos="288"/>
                <w:tab w:val="left" w:pos="576"/>
                <w:tab w:val="left" w:pos="864"/>
                <w:tab w:val="left" w:pos="1152"/>
              </w:tabs>
              <w:suppressAutoHyphens/>
              <w:spacing w:before="81" w:after="81" w:line="160" w:lineRule="exact"/>
              <w:jc w:val="right"/>
              <w:rPr>
                <w:b/>
                <w:sz w:val="14"/>
                <w:lang w:val="fr-FR"/>
              </w:rPr>
            </w:pPr>
            <w:r w:rsidRPr="00FE6402">
              <w:rPr>
                <w:b/>
                <w:sz w:val="14"/>
                <w:lang w:val="fr-FR"/>
              </w:rPr>
              <w:t>Total</w:t>
            </w:r>
          </w:p>
        </w:tc>
      </w:tr>
      <w:tr w:rsidR="001A0F42" w:rsidRPr="00FC6708" w14:paraId="271E38D4" w14:textId="77777777" w:rsidTr="007C78DF">
        <w:trPr>
          <w:trHeight w:hRule="exact" w:val="115"/>
          <w:tblHeader/>
        </w:trPr>
        <w:tc>
          <w:tcPr>
            <w:tcW w:w="1116" w:type="dxa"/>
            <w:tcBorders>
              <w:top w:val="single" w:sz="12" w:space="0" w:color="auto"/>
            </w:tcBorders>
            <w:shd w:val="clear" w:color="auto" w:fill="auto"/>
            <w:vAlign w:val="bottom"/>
          </w:tcPr>
          <w:p w14:paraId="0614C4C6" w14:textId="77777777" w:rsidR="001A0F42" w:rsidRPr="00FC6708" w:rsidRDefault="001A0F42" w:rsidP="001A0F42">
            <w:pPr>
              <w:tabs>
                <w:tab w:val="left" w:pos="288"/>
                <w:tab w:val="left" w:pos="576"/>
                <w:tab w:val="left" w:pos="864"/>
                <w:tab w:val="left" w:pos="1152"/>
              </w:tabs>
              <w:suppressAutoHyphens/>
              <w:spacing w:before="40" w:after="40" w:line="210" w:lineRule="exact"/>
              <w:ind w:right="40"/>
              <w:rPr>
                <w:sz w:val="17"/>
                <w:lang w:val="fr-FR"/>
              </w:rPr>
            </w:pPr>
          </w:p>
        </w:tc>
        <w:tc>
          <w:tcPr>
            <w:tcW w:w="423" w:type="dxa"/>
            <w:tcBorders>
              <w:top w:val="single" w:sz="12" w:space="0" w:color="auto"/>
            </w:tcBorders>
            <w:shd w:val="clear" w:color="auto" w:fill="auto"/>
            <w:vAlign w:val="bottom"/>
          </w:tcPr>
          <w:p w14:paraId="65CD8551"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50" w:type="dxa"/>
            <w:tcBorders>
              <w:top w:val="single" w:sz="12" w:space="0" w:color="auto"/>
            </w:tcBorders>
            <w:shd w:val="clear" w:color="auto" w:fill="auto"/>
            <w:vAlign w:val="bottom"/>
          </w:tcPr>
          <w:p w14:paraId="188066C5"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75" w:type="dxa"/>
            <w:tcBorders>
              <w:top w:val="single" w:sz="12" w:space="0" w:color="auto"/>
            </w:tcBorders>
            <w:shd w:val="clear" w:color="auto" w:fill="auto"/>
            <w:vAlign w:val="bottom"/>
          </w:tcPr>
          <w:p w14:paraId="10F34E17"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08" w:type="dxa"/>
            <w:tcBorders>
              <w:top w:val="single" w:sz="12" w:space="0" w:color="auto"/>
            </w:tcBorders>
            <w:shd w:val="clear" w:color="auto" w:fill="auto"/>
            <w:vAlign w:val="bottom"/>
          </w:tcPr>
          <w:p w14:paraId="61077682"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387" w:type="dxa"/>
            <w:tcBorders>
              <w:top w:val="single" w:sz="12" w:space="0" w:color="auto"/>
            </w:tcBorders>
            <w:shd w:val="clear" w:color="auto" w:fill="auto"/>
            <w:vAlign w:val="bottom"/>
          </w:tcPr>
          <w:p w14:paraId="765A553B"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32" w:type="dxa"/>
            <w:tcBorders>
              <w:top w:val="single" w:sz="12" w:space="0" w:color="auto"/>
            </w:tcBorders>
            <w:shd w:val="clear" w:color="auto" w:fill="auto"/>
            <w:vAlign w:val="bottom"/>
          </w:tcPr>
          <w:p w14:paraId="0284A9E1"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66" w:type="dxa"/>
            <w:tcBorders>
              <w:top w:val="single" w:sz="12" w:space="0" w:color="auto"/>
            </w:tcBorders>
            <w:shd w:val="clear" w:color="auto" w:fill="auto"/>
            <w:vAlign w:val="bottom"/>
          </w:tcPr>
          <w:p w14:paraId="3675D084"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26" w:type="dxa"/>
            <w:tcBorders>
              <w:top w:val="single" w:sz="12" w:space="0" w:color="auto"/>
            </w:tcBorders>
            <w:shd w:val="clear" w:color="auto" w:fill="auto"/>
            <w:vAlign w:val="bottom"/>
          </w:tcPr>
          <w:p w14:paraId="60CD1F23"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05" w:type="dxa"/>
            <w:tcBorders>
              <w:top w:val="single" w:sz="12" w:space="0" w:color="auto"/>
            </w:tcBorders>
            <w:shd w:val="clear" w:color="auto" w:fill="auto"/>
            <w:vAlign w:val="bottom"/>
          </w:tcPr>
          <w:p w14:paraId="383061A0"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41" w:type="dxa"/>
            <w:tcBorders>
              <w:top w:val="single" w:sz="12" w:space="0" w:color="auto"/>
            </w:tcBorders>
            <w:shd w:val="clear" w:color="auto" w:fill="auto"/>
            <w:vAlign w:val="bottom"/>
          </w:tcPr>
          <w:p w14:paraId="331DFDC9"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660" w:type="dxa"/>
            <w:gridSpan w:val="2"/>
            <w:tcBorders>
              <w:top w:val="single" w:sz="12" w:space="0" w:color="auto"/>
            </w:tcBorders>
            <w:shd w:val="clear" w:color="auto" w:fill="auto"/>
            <w:vAlign w:val="bottom"/>
          </w:tcPr>
          <w:p w14:paraId="209DC683"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77" w:type="dxa"/>
            <w:gridSpan w:val="2"/>
            <w:tcBorders>
              <w:top w:val="single" w:sz="12" w:space="0" w:color="auto"/>
            </w:tcBorders>
            <w:shd w:val="clear" w:color="auto" w:fill="auto"/>
            <w:vAlign w:val="bottom"/>
          </w:tcPr>
          <w:p w14:paraId="5FD555CC"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370" w:type="dxa"/>
            <w:tcBorders>
              <w:top w:val="single" w:sz="12" w:space="0" w:color="auto"/>
            </w:tcBorders>
            <w:shd w:val="clear" w:color="auto" w:fill="auto"/>
            <w:vAlign w:val="bottom"/>
          </w:tcPr>
          <w:p w14:paraId="16495485"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432" w:type="dxa"/>
            <w:tcBorders>
              <w:top w:val="single" w:sz="12" w:space="0" w:color="auto"/>
            </w:tcBorders>
            <w:shd w:val="clear" w:color="auto" w:fill="auto"/>
            <w:vAlign w:val="bottom"/>
          </w:tcPr>
          <w:p w14:paraId="163C2AE4"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572" w:type="dxa"/>
            <w:gridSpan w:val="2"/>
            <w:tcBorders>
              <w:top w:val="single" w:sz="12" w:space="0" w:color="auto"/>
            </w:tcBorders>
            <w:shd w:val="clear" w:color="auto" w:fill="auto"/>
            <w:vAlign w:val="bottom"/>
          </w:tcPr>
          <w:p w14:paraId="1D4625A0" w14:textId="77777777" w:rsidR="001A0F42" w:rsidRPr="00FC6708" w:rsidRDefault="001A0F42" w:rsidP="001A0F42">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7044D2" w:rsidRPr="00FC6708" w14:paraId="0801D218" w14:textId="77777777" w:rsidTr="007C78DF">
        <w:tc>
          <w:tcPr>
            <w:tcW w:w="1116" w:type="dxa"/>
            <w:shd w:val="clear" w:color="auto" w:fill="auto"/>
            <w:vAlign w:val="bottom"/>
          </w:tcPr>
          <w:p w14:paraId="4D76DE5A" w14:textId="77777777" w:rsidR="007044D2" w:rsidRPr="00FC6708" w:rsidRDefault="007044D2" w:rsidP="007044D2">
            <w:pPr>
              <w:tabs>
                <w:tab w:val="left" w:pos="288"/>
                <w:tab w:val="left" w:pos="576"/>
                <w:tab w:val="left" w:pos="864"/>
                <w:tab w:val="left" w:pos="1152"/>
              </w:tabs>
              <w:suppressAutoHyphens/>
              <w:spacing w:before="40" w:after="40" w:line="210" w:lineRule="exact"/>
              <w:rPr>
                <w:sz w:val="17"/>
                <w:lang w:val="fr-FR"/>
              </w:rPr>
            </w:pPr>
            <w:r>
              <w:rPr>
                <w:sz w:val="17"/>
                <w:lang w:val="fr-FR"/>
              </w:rPr>
              <w:t>Mérite</w:t>
            </w:r>
          </w:p>
        </w:tc>
        <w:tc>
          <w:tcPr>
            <w:tcW w:w="423" w:type="dxa"/>
            <w:shd w:val="clear" w:color="auto" w:fill="auto"/>
            <w:vAlign w:val="bottom"/>
          </w:tcPr>
          <w:p w14:paraId="643D0B85" w14:textId="2281EC2B"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7</w:t>
            </w:r>
          </w:p>
        </w:tc>
        <w:tc>
          <w:tcPr>
            <w:tcW w:w="450" w:type="dxa"/>
            <w:shd w:val="clear" w:color="auto" w:fill="auto"/>
            <w:vAlign w:val="bottom"/>
          </w:tcPr>
          <w:p w14:paraId="14EFCB94" w14:textId="6D4E011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9</w:t>
            </w:r>
          </w:p>
        </w:tc>
        <w:tc>
          <w:tcPr>
            <w:tcW w:w="675" w:type="dxa"/>
            <w:shd w:val="clear" w:color="auto" w:fill="auto"/>
            <w:vAlign w:val="bottom"/>
          </w:tcPr>
          <w:p w14:paraId="4E61B393" w14:textId="61E76F0F"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16</w:t>
            </w:r>
          </w:p>
        </w:tc>
        <w:tc>
          <w:tcPr>
            <w:tcW w:w="108" w:type="dxa"/>
            <w:shd w:val="clear" w:color="auto" w:fill="auto"/>
            <w:vAlign w:val="bottom"/>
          </w:tcPr>
          <w:p w14:paraId="1532DAD5"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87" w:type="dxa"/>
            <w:shd w:val="clear" w:color="auto" w:fill="auto"/>
            <w:vAlign w:val="bottom"/>
          </w:tcPr>
          <w:p w14:paraId="5B01DB58" w14:textId="5CFD5FC8"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10</w:t>
            </w:r>
          </w:p>
        </w:tc>
        <w:tc>
          <w:tcPr>
            <w:tcW w:w="432" w:type="dxa"/>
            <w:shd w:val="clear" w:color="auto" w:fill="auto"/>
            <w:vAlign w:val="bottom"/>
          </w:tcPr>
          <w:p w14:paraId="7148A11F" w14:textId="7F5059EA"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12</w:t>
            </w:r>
          </w:p>
        </w:tc>
        <w:tc>
          <w:tcPr>
            <w:tcW w:w="666" w:type="dxa"/>
            <w:shd w:val="clear" w:color="auto" w:fill="auto"/>
            <w:vAlign w:val="bottom"/>
          </w:tcPr>
          <w:p w14:paraId="0A5A2085" w14:textId="6D597F97"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22</w:t>
            </w:r>
          </w:p>
        </w:tc>
        <w:tc>
          <w:tcPr>
            <w:tcW w:w="126" w:type="dxa"/>
            <w:shd w:val="clear" w:color="auto" w:fill="auto"/>
            <w:vAlign w:val="bottom"/>
          </w:tcPr>
          <w:p w14:paraId="3E9E4457"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405" w:type="dxa"/>
            <w:shd w:val="clear" w:color="auto" w:fill="auto"/>
            <w:vAlign w:val="bottom"/>
          </w:tcPr>
          <w:p w14:paraId="58B09605" w14:textId="7385DF28"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5</w:t>
            </w:r>
          </w:p>
        </w:tc>
        <w:tc>
          <w:tcPr>
            <w:tcW w:w="441" w:type="dxa"/>
            <w:shd w:val="clear" w:color="auto" w:fill="auto"/>
            <w:vAlign w:val="bottom"/>
          </w:tcPr>
          <w:p w14:paraId="0978248C" w14:textId="71CEE928"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19</w:t>
            </w:r>
          </w:p>
        </w:tc>
        <w:tc>
          <w:tcPr>
            <w:tcW w:w="660" w:type="dxa"/>
            <w:gridSpan w:val="2"/>
            <w:shd w:val="clear" w:color="auto" w:fill="auto"/>
            <w:vAlign w:val="bottom"/>
          </w:tcPr>
          <w:p w14:paraId="611EC375" w14:textId="6DEE9EAB"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24</w:t>
            </w:r>
          </w:p>
        </w:tc>
        <w:tc>
          <w:tcPr>
            <w:tcW w:w="77" w:type="dxa"/>
            <w:gridSpan w:val="2"/>
            <w:shd w:val="clear" w:color="auto" w:fill="auto"/>
            <w:vAlign w:val="bottom"/>
          </w:tcPr>
          <w:p w14:paraId="743D4CF9"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70" w:type="dxa"/>
            <w:shd w:val="clear" w:color="auto" w:fill="auto"/>
            <w:vAlign w:val="bottom"/>
          </w:tcPr>
          <w:p w14:paraId="6EBED4C1" w14:textId="6E57BC03"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7</w:t>
            </w:r>
          </w:p>
        </w:tc>
        <w:tc>
          <w:tcPr>
            <w:tcW w:w="432" w:type="dxa"/>
            <w:shd w:val="clear" w:color="auto" w:fill="auto"/>
            <w:vAlign w:val="bottom"/>
          </w:tcPr>
          <w:p w14:paraId="29F4EA53" w14:textId="36D4C211"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8</w:t>
            </w:r>
          </w:p>
        </w:tc>
        <w:tc>
          <w:tcPr>
            <w:tcW w:w="572" w:type="dxa"/>
            <w:gridSpan w:val="2"/>
            <w:shd w:val="clear" w:color="auto" w:fill="auto"/>
            <w:vAlign w:val="bottom"/>
          </w:tcPr>
          <w:p w14:paraId="33CE2F85" w14:textId="3625E8AE"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15</w:t>
            </w:r>
          </w:p>
        </w:tc>
      </w:tr>
      <w:tr w:rsidR="007044D2" w:rsidRPr="00FC6708" w14:paraId="0550D0A6" w14:textId="77777777" w:rsidTr="007C78DF">
        <w:tc>
          <w:tcPr>
            <w:tcW w:w="1116" w:type="dxa"/>
            <w:shd w:val="clear" w:color="auto" w:fill="auto"/>
            <w:vAlign w:val="bottom"/>
          </w:tcPr>
          <w:p w14:paraId="48E58EDA" w14:textId="77777777" w:rsidR="007044D2" w:rsidRPr="00FC6708" w:rsidRDefault="007044D2" w:rsidP="007044D2">
            <w:pPr>
              <w:tabs>
                <w:tab w:val="left" w:pos="288"/>
                <w:tab w:val="left" w:pos="576"/>
                <w:tab w:val="left" w:pos="864"/>
                <w:tab w:val="left" w:pos="1152"/>
              </w:tabs>
              <w:suppressAutoHyphens/>
              <w:spacing w:before="40" w:after="40" w:line="210" w:lineRule="exact"/>
              <w:rPr>
                <w:sz w:val="17"/>
                <w:lang w:val="fr-FR"/>
              </w:rPr>
            </w:pPr>
            <w:r>
              <w:rPr>
                <w:sz w:val="17"/>
                <w:lang w:val="fr-FR"/>
              </w:rPr>
              <w:t>Académique</w:t>
            </w:r>
          </w:p>
        </w:tc>
        <w:tc>
          <w:tcPr>
            <w:tcW w:w="423" w:type="dxa"/>
            <w:shd w:val="clear" w:color="auto" w:fill="auto"/>
            <w:vAlign w:val="bottom"/>
          </w:tcPr>
          <w:p w14:paraId="29A61A83" w14:textId="648CB688"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5</w:t>
            </w:r>
          </w:p>
        </w:tc>
        <w:tc>
          <w:tcPr>
            <w:tcW w:w="450" w:type="dxa"/>
            <w:shd w:val="clear" w:color="auto" w:fill="auto"/>
            <w:vAlign w:val="bottom"/>
          </w:tcPr>
          <w:p w14:paraId="6453DAD8" w14:textId="05435DE5"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13</w:t>
            </w:r>
          </w:p>
        </w:tc>
        <w:tc>
          <w:tcPr>
            <w:tcW w:w="675" w:type="dxa"/>
            <w:shd w:val="clear" w:color="auto" w:fill="auto"/>
            <w:vAlign w:val="bottom"/>
          </w:tcPr>
          <w:p w14:paraId="7FFF86B4" w14:textId="069C8744"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18</w:t>
            </w:r>
          </w:p>
        </w:tc>
        <w:tc>
          <w:tcPr>
            <w:tcW w:w="108" w:type="dxa"/>
            <w:shd w:val="clear" w:color="auto" w:fill="auto"/>
            <w:vAlign w:val="bottom"/>
          </w:tcPr>
          <w:p w14:paraId="08DF995C"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87" w:type="dxa"/>
            <w:shd w:val="clear" w:color="auto" w:fill="auto"/>
            <w:vAlign w:val="bottom"/>
          </w:tcPr>
          <w:p w14:paraId="050B1C8B" w14:textId="4896532E"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4</w:t>
            </w:r>
          </w:p>
        </w:tc>
        <w:tc>
          <w:tcPr>
            <w:tcW w:w="432" w:type="dxa"/>
            <w:shd w:val="clear" w:color="auto" w:fill="auto"/>
            <w:vAlign w:val="bottom"/>
          </w:tcPr>
          <w:p w14:paraId="1652A3DD" w14:textId="4A01D836"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4</w:t>
            </w:r>
          </w:p>
        </w:tc>
        <w:tc>
          <w:tcPr>
            <w:tcW w:w="666" w:type="dxa"/>
            <w:shd w:val="clear" w:color="auto" w:fill="auto"/>
            <w:vAlign w:val="bottom"/>
          </w:tcPr>
          <w:p w14:paraId="7B6524EE" w14:textId="1D80C303"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8</w:t>
            </w:r>
          </w:p>
        </w:tc>
        <w:tc>
          <w:tcPr>
            <w:tcW w:w="126" w:type="dxa"/>
            <w:shd w:val="clear" w:color="auto" w:fill="auto"/>
            <w:vAlign w:val="bottom"/>
          </w:tcPr>
          <w:p w14:paraId="7246C1E2"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405" w:type="dxa"/>
            <w:shd w:val="clear" w:color="auto" w:fill="auto"/>
            <w:vAlign w:val="bottom"/>
          </w:tcPr>
          <w:p w14:paraId="1F88EC05" w14:textId="29D385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5</w:t>
            </w:r>
          </w:p>
        </w:tc>
        <w:tc>
          <w:tcPr>
            <w:tcW w:w="441" w:type="dxa"/>
            <w:shd w:val="clear" w:color="auto" w:fill="auto"/>
            <w:vAlign w:val="bottom"/>
          </w:tcPr>
          <w:p w14:paraId="62D34B77" w14:textId="32B3E94B"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4</w:t>
            </w:r>
          </w:p>
        </w:tc>
        <w:tc>
          <w:tcPr>
            <w:tcW w:w="660" w:type="dxa"/>
            <w:gridSpan w:val="2"/>
            <w:shd w:val="clear" w:color="auto" w:fill="auto"/>
            <w:vAlign w:val="bottom"/>
          </w:tcPr>
          <w:p w14:paraId="5F02F14A" w14:textId="7649F4D3"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9</w:t>
            </w:r>
          </w:p>
        </w:tc>
        <w:tc>
          <w:tcPr>
            <w:tcW w:w="77" w:type="dxa"/>
            <w:gridSpan w:val="2"/>
            <w:shd w:val="clear" w:color="auto" w:fill="auto"/>
            <w:vAlign w:val="bottom"/>
          </w:tcPr>
          <w:p w14:paraId="0EEF94A7"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70" w:type="dxa"/>
            <w:shd w:val="clear" w:color="auto" w:fill="auto"/>
            <w:vAlign w:val="bottom"/>
          </w:tcPr>
          <w:p w14:paraId="18268C4F" w14:textId="1B25CD23"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4</w:t>
            </w:r>
          </w:p>
        </w:tc>
        <w:tc>
          <w:tcPr>
            <w:tcW w:w="432" w:type="dxa"/>
            <w:shd w:val="clear" w:color="auto" w:fill="auto"/>
            <w:vAlign w:val="bottom"/>
          </w:tcPr>
          <w:p w14:paraId="19E16AAC" w14:textId="143B6BB8"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11</w:t>
            </w:r>
          </w:p>
        </w:tc>
        <w:tc>
          <w:tcPr>
            <w:tcW w:w="572" w:type="dxa"/>
            <w:gridSpan w:val="2"/>
            <w:shd w:val="clear" w:color="auto" w:fill="auto"/>
            <w:vAlign w:val="bottom"/>
          </w:tcPr>
          <w:p w14:paraId="77C61642" w14:textId="675C295C"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15</w:t>
            </w:r>
          </w:p>
        </w:tc>
      </w:tr>
      <w:tr w:rsidR="007044D2" w:rsidRPr="00FC6708" w14:paraId="284B1D81" w14:textId="77777777" w:rsidTr="007C78DF">
        <w:tc>
          <w:tcPr>
            <w:tcW w:w="1116" w:type="dxa"/>
            <w:shd w:val="clear" w:color="auto" w:fill="auto"/>
            <w:vAlign w:val="bottom"/>
          </w:tcPr>
          <w:p w14:paraId="08612EB9" w14:textId="77777777" w:rsidR="007044D2" w:rsidRPr="00FC6708" w:rsidRDefault="007044D2" w:rsidP="007044D2">
            <w:pPr>
              <w:tabs>
                <w:tab w:val="left" w:pos="288"/>
                <w:tab w:val="left" w:pos="576"/>
                <w:tab w:val="left" w:pos="864"/>
                <w:tab w:val="left" w:pos="1152"/>
              </w:tabs>
              <w:suppressAutoHyphens/>
              <w:spacing w:before="40" w:after="40" w:line="210" w:lineRule="exact"/>
              <w:rPr>
                <w:sz w:val="17"/>
                <w:lang w:val="fr-FR"/>
              </w:rPr>
            </w:pPr>
            <w:r>
              <w:rPr>
                <w:sz w:val="17"/>
                <w:lang w:val="fr-FR"/>
              </w:rPr>
              <w:t>Technique</w:t>
            </w:r>
          </w:p>
        </w:tc>
        <w:tc>
          <w:tcPr>
            <w:tcW w:w="423" w:type="dxa"/>
            <w:shd w:val="clear" w:color="auto" w:fill="auto"/>
            <w:vAlign w:val="bottom"/>
          </w:tcPr>
          <w:p w14:paraId="134A2E73" w14:textId="0475CF8B"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9</w:t>
            </w:r>
          </w:p>
        </w:tc>
        <w:tc>
          <w:tcPr>
            <w:tcW w:w="450" w:type="dxa"/>
            <w:shd w:val="clear" w:color="auto" w:fill="auto"/>
            <w:vAlign w:val="bottom"/>
          </w:tcPr>
          <w:p w14:paraId="1FE4B0F2" w14:textId="36A7C790"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3</w:t>
            </w:r>
          </w:p>
        </w:tc>
        <w:tc>
          <w:tcPr>
            <w:tcW w:w="675" w:type="dxa"/>
            <w:shd w:val="clear" w:color="auto" w:fill="auto"/>
            <w:vAlign w:val="bottom"/>
          </w:tcPr>
          <w:p w14:paraId="2364EC1D" w14:textId="3DFDF5FF"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12</w:t>
            </w:r>
          </w:p>
        </w:tc>
        <w:tc>
          <w:tcPr>
            <w:tcW w:w="108" w:type="dxa"/>
            <w:shd w:val="clear" w:color="auto" w:fill="auto"/>
            <w:vAlign w:val="bottom"/>
          </w:tcPr>
          <w:p w14:paraId="71C2D0DA"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87" w:type="dxa"/>
            <w:shd w:val="clear" w:color="auto" w:fill="auto"/>
            <w:vAlign w:val="bottom"/>
          </w:tcPr>
          <w:p w14:paraId="59D31D80" w14:textId="43D07AEA"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7</w:t>
            </w:r>
          </w:p>
        </w:tc>
        <w:tc>
          <w:tcPr>
            <w:tcW w:w="432" w:type="dxa"/>
            <w:shd w:val="clear" w:color="auto" w:fill="auto"/>
            <w:vAlign w:val="bottom"/>
          </w:tcPr>
          <w:p w14:paraId="131F9D55" w14:textId="3008410B"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4</w:t>
            </w:r>
          </w:p>
        </w:tc>
        <w:tc>
          <w:tcPr>
            <w:tcW w:w="666" w:type="dxa"/>
            <w:shd w:val="clear" w:color="auto" w:fill="auto"/>
            <w:vAlign w:val="bottom"/>
          </w:tcPr>
          <w:p w14:paraId="3EE37396" w14:textId="6FC60701"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11</w:t>
            </w:r>
          </w:p>
        </w:tc>
        <w:tc>
          <w:tcPr>
            <w:tcW w:w="126" w:type="dxa"/>
            <w:shd w:val="clear" w:color="auto" w:fill="auto"/>
            <w:vAlign w:val="bottom"/>
          </w:tcPr>
          <w:p w14:paraId="36D613B0"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405" w:type="dxa"/>
            <w:shd w:val="clear" w:color="auto" w:fill="auto"/>
            <w:vAlign w:val="bottom"/>
          </w:tcPr>
          <w:p w14:paraId="4DBE2ABE" w14:textId="3B09AB8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8</w:t>
            </w:r>
          </w:p>
        </w:tc>
        <w:tc>
          <w:tcPr>
            <w:tcW w:w="441" w:type="dxa"/>
            <w:shd w:val="clear" w:color="auto" w:fill="auto"/>
            <w:vAlign w:val="bottom"/>
          </w:tcPr>
          <w:p w14:paraId="137A92C4" w14:textId="7D06263E"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5</w:t>
            </w:r>
          </w:p>
        </w:tc>
        <w:tc>
          <w:tcPr>
            <w:tcW w:w="660" w:type="dxa"/>
            <w:gridSpan w:val="2"/>
            <w:shd w:val="clear" w:color="auto" w:fill="auto"/>
            <w:vAlign w:val="bottom"/>
          </w:tcPr>
          <w:p w14:paraId="605D3794" w14:textId="0E423E10"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13</w:t>
            </w:r>
          </w:p>
        </w:tc>
        <w:tc>
          <w:tcPr>
            <w:tcW w:w="77" w:type="dxa"/>
            <w:gridSpan w:val="2"/>
            <w:shd w:val="clear" w:color="auto" w:fill="auto"/>
            <w:vAlign w:val="bottom"/>
          </w:tcPr>
          <w:p w14:paraId="732A0274" w14:textId="77777777"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p>
        </w:tc>
        <w:tc>
          <w:tcPr>
            <w:tcW w:w="370" w:type="dxa"/>
            <w:shd w:val="clear" w:color="auto" w:fill="auto"/>
            <w:vAlign w:val="bottom"/>
          </w:tcPr>
          <w:p w14:paraId="2DAD063E" w14:textId="46A02791"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20</w:t>
            </w:r>
          </w:p>
        </w:tc>
        <w:tc>
          <w:tcPr>
            <w:tcW w:w="432" w:type="dxa"/>
            <w:shd w:val="clear" w:color="auto" w:fill="auto"/>
            <w:vAlign w:val="bottom"/>
          </w:tcPr>
          <w:p w14:paraId="61D533CA" w14:textId="091AC896" w:rsidR="007044D2" w:rsidRPr="00FC6708" w:rsidRDefault="007044D2" w:rsidP="007044D2">
            <w:pPr>
              <w:tabs>
                <w:tab w:val="left" w:pos="288"/>
                <w:tab w:val="left" w:pos="576"/>
                <w:tab w:val="left" w:pos="864"/>
                <w:tab w:val="left" w:pos="1152"/>
              </w:tabs>
              <w:suppressAutoHyphens/>
              <w:spacing w:before="40" w:after="40" w:line="210" w:lineRule="exact"/>
              <w:jc w:val="right"/>
              <w:rPr>
                <w:sz w:val="17"/>
                <w:lang w:val="fr-FR"/>
              </w:rPr>
            </w:pPr>
            <w:r w:rsidRPr="00D909BA">
              <w:rPr>
                <w:sz w:val="17"/>
                <w:szCs w:val="17"/>
              </w:rPr>
              <w:t>21</w:t>
            </w:r>
          </w:p>
        </w:tc>
        <w:tc>
          <w:tcPr>
            <w:tcW w:w="572" w:type="dxa"/>
            <w:gridSpan w:val="2"/>
            <w:shd w:val="clear" w:color="auto" w:fill="auto"/>
            <w:vAlign w:val="bottom"/>
          </w:tcPr>
          <w:p w14:paraId="4B30C039" w14:textId="55AB9991" w:rsidR="007044D2" w:rsidRPr="00FE6402" w:rsidRDefault="007044D2" w:rsidP="007044D2">
            <w:pPr>
              <w:tabs>
                <w:tab w:val="left" w:pos="288"/>
                <w:tab w:val="left" w:pos="576"/>
                <w:tab w:val="left" w:pos="864"/>
                <w:tab w:val="left" w:pos="1152"/>
              </w:tabs>
              <w:suppressAutoHyphens/>
              <w:spacing w:before="40" w:after="40" w:line="210" w:lineRule="exact"/>
              <w:jc w:val="right"/>
              <w:rPr>
                <w:b/>
                <w:sz w:val="17"/>
                <w:lang w:val="fr-FR"/>
              </w:rPr>
            </w:pPr>
            <w:r w:rsidRPr="00D909BA">
              <w:rPr>
                <w:b/>
                <w:sz w:val="17"/>
                <w:szCs w:val="17"/>
              </w:rPr>
              <w:t>41</w:t>
            </w:r>
          </w:p>
        </w:tc>
      </w:tr>
      <w:tr w:rsidR="007044D2" w:rsidRPr="00FC6708" w14:paraId="5B8ACFE8" w14:textId="77777777" w:rsidTr="00DF0CAA">
        <w:tc>
          <w:tcPr>
            <w:tcW w:w="1116" w:type="dxa"/>
            <w:tcBorders>
              <w:bottom w:val="single" w:sz="4" w:space="0" w:color="auto"/>
            </w:tcBorders>
            <w:shd w:val="clear" w:color="auto" w:fill="auto"/>
            <w:vAlign w:val="bottom"/>
          </w:tcPr>
          <w:p w14:paraId="64B7ACB0" w14:textId="77777777" w:rsidR="007044D2" w:rsidRPr="00FC6708" w:rsidRDefault="007044D2" w:rsidP="007044D2">
            <w:pPr>
              <w:tabs>
                <w:tab w:val="left" w:pos="288"/>
                <w:tab w:val="left" w:pos="576"/>
                <w:tab w:val="left" w:pos="864"/>
                <w:tab w:val="left" w:pos="1152"/>
              </w:tabs>
              <w:suppressAutoHyphens/>
              <w:spacing w:before="40" w:after="81" w:line="210" w:lineRule="exact"/>
              <w:rPr>
                <w:sz w:val="17"/>
                <w:lang w:val="fr-FR"/>
              </w:rPr>
            </w:pPr>
            <w:r>
              <w:rPr>
                <w:sz w:val="17"/>
                <w:lang w:val="fr-FR"/>
              </w:rPr>
              <w:t>Bourses</w:t>
            </w:r>
          </w:p>
        </w:tc>
        <w:tc>
          <w:tcPr>
            <w:tcW w:w="423" w:type="dxa"/>
            <w:tcBorders>
              <w:bottom w:val="single" w:sz="4" w:space="0" w:color="auto"/>
            </w:tcBorders>
            <w:shd w:val="clear" w:color="auto" w:fill="auto"/>
            <w:vAlign w:val="bottom"/>
          </w:tcPr>
          <w:p w14:paraId="7568B912" w14:textId="5D9F9E67"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158</w:t>
            </w:r>
          </w:p>
        </w:tc>
        <w:tc>
          <w:tcPr>
            <w:tcW w:w="450" w:type="dxa"/>
            <w:tcBorders>
              <w:bottom w:val="single" w:sz="4" w:space="0" w:color="auto"/>
            </w:tcBorders>
            <w:shd w:val="clear" w:color="auto" w:fill="auto"/>
            <w:vAlign w:val="bottom"/>
          </w:tcPr>
          <w:p w14:paraId="4D90DF46" w14:textId="4F8CAD02"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325</w:t>
            </w:r>
          </w:p>
        </w:tc>
        <w:tc>
          <w:tcPr>
            <w:tcW w:w="675" w:type="dxa"/>
            <w:tcBorders>
              <w:bottom w:val="single" w:sz="4" w:space="0" w:color="auto"/>
            </w:tcBorders>
            <w:shd w:val="clear" w:color="auto" w:fill="auto"/>
            <w:vAlign w:val="bottom"/>
          </w:tcPr>
          <w:p w14:paraId="49D26475" w14:textId="52D31D9D" w:rsidR="007044D2" w:rsidRPr="00FE6402" w:rsidRDefault="007044D2" w:rsidP="007044D2">
            <w:pPr>
              <w:tabs>
                <w:tab w:val="left" w:pos="288"/>
                <w:tab w:val="left" w:pos="576"/>
                <w:tab w:val="left" w:pos="864"/>
                <w:tab w:val="left" w:pos="1152"/>
              </w:tabs>
              <w:suppressAutoHyphens/>
              <w:spacing w:before="40" w:after="81" w:line="210" w:lineRule="exact"/>
              <w:jc w:val="right"/>
              <w:rPr>
                <w:b/>
                <w:sz w:val="17"/>
                <w:lang w:val="fr-FR"/>
              </w:rPr>
            </w:pPr>
            <w:r w:rsidRPr="00D909BA">
              <w:rPr>
                <w:b/>
                <w:sz w:val="17"/>
                <w:szCs w:val="17"/>
              </w:rPr>
              <w:t>483</w:t>
            </w:r>
          </w:p>
        </w:tc>
        <w:tc>
          <w:tcPr>
            <w:tcW w:w="108" w:type="dxa"/>
            <w:tcBorders>
              <w:bottom w:val="single" w:sz="4" w:space="0" w:color="auto"/>
            </w:tcBorders>
            <w:shd w:val="clear" w:color="auto" w:fill="auto"/>
            <w:vAlign w:val="bottom"/>
          </w:tcPr>
          <w:p w14:paraId="2764C927" w14:textId="77777777"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p>
        </w:tc>
        <w:tc>
          <w:tcPr>
            <w:tcW w:w="387" w:type="dxa"/>
            <w:tcBorders>
              <w:bottom w:val="single" w:sz="4" w:space="0" w:color="auto"/>
            </w:tcBorders>
            <w:shd w:val="clear" w:color="auto" w:fill="auto"/>
            <w:vAlign w:val="bottom"/>
          </w:tcPr>
          <w:p w14:paraId="60859F2E" w14:textId="47B41B43"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205</w:t>
            </w:r>
          </w:p>
        </w:tc>
        <w:tc>
          <w:tcPr>
            <w:tcW w:w="432" w:type="dxa"/>
            <w:tcBorders>
              <w:bottom w:val="single" w:sz="4" w:space="0" w:color="auto"/>
            </w:tcBorders>
            <w:shd w:val="clear" w:color="auto" w:fill="auto"/>
            <w:vAlign w:val="bottom"/>
          </w:tcPr>
          <w:p w14:paraId="01388287" w14:textId="6386B221"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387</w:t>
            </w:r>
          </w:p>
        </w:tc>
        <w:tc>
          <w:tcPr>
            <w:tcW w:w="666" w:type="dxa"/>
            <w:tcBorders>
              <w:bottom w:val="single" w:sz="4" w:space="0" w:color="auto"/>
            </w:tcBorders>
            <w:shd w:val="clear" w:color="auto" w:fill="auto"/>
            <w:vAlign w:val="bottom"/>
          </w:tcPr>
          <w:p w14:paraId="6FF42E36" w14:textId="1B07A50E" w:rsidR="007044D2" w:rsidRPr="00FE6402" w:rsidRDefault="007044D2" w:rsidP="007044D2">
            <w:pPr>
              <w:tabs>
                <w:tab w:val="left" w:pos="288"/>
                <w:tab w:val="left" w:pos="576"/>
                <w:tab w:val="left" w:pos="864"/>
                <w:tab w:val="left" w:pos="1152"/>
              </w:tabs>
              <w:suppressAutoHyphens/>
              <w:spacing w:before="40" w:after="81" w:line="210" w:lineRule="exact"/>
              <w:jc w:val="right"/>
              <w:rPr>
                <w:b/>
                <w:sz w:val="17"/>
                <w:lang w:val="fr-FR"/>
              </w:rPr>
            </w:pPr>
            <w:r w:rsidRPr="00D909BA">
              <w:rPr>
                <w:b/>
                <w:sz w:val="17"/>
                <w:szCs w:val="17"/>
              </w:rPr>
              <w:t>592</w:t>
            </w:r>
          </w:p>
        </w:tc>
        <w:tc>
          <w:tcPr>
            <w:tcW w:w="126" w:type="dxa"/>
            <w:tcBorders>
              <w:bottom w:val="single" w:sz="4" w:space="0" w:color="auto"/>
            </w:tcBorders>
            <w:shd w:val="clear" w:color="auto" w:fill="auto"/>
            <w:vAlign w:val="bottom"/>
          </w:tcPr>
          <w:p w14:paraId="059DBE2A" w14:textId="77777777"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p>
        </w:tc>
        <w:tc>
          <w:tcPr>
            <w:tcW w:w="405" w:type="dxa"/>
            <w:tcBorders>
              <w:bottom w:val="single" w:sz="4" w:space="0" w:color="auto"/>
            </w:tcBorders>
            <w:shd w:val="clear" w:color="auto" w:fill="auto"/>
            <w:vAlign w:val="bottom"/>
          </w:tcPr>
          <w:p w14:paraId="0F950988" w14:textId="6FF60E4F"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280</w:t>
            </w:r>
          </w:p>
        </w:tc>
        <w:tc>
          <w:tcPr>
            <w:tcW w:w="441" w:type="dxa"/>
            <w:tcBorders>
              <w:bottom w:val="single" w:sz="4" w:space="0" w:color="auto"/>
            </w:tcBorders>
            <w:shd w:val="clear" w:color="auto" w:fill="auto"/>
            <w:vAlign w:val="bottom"/>
          </w:tcPr>
          <w:p w14:paraId="639B69B1" w14:textId="4D8FDB38"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481</w:t>
            </w:r>
          </w:p>
        </w:tc>
        <w:tc>
          <w:tcPr>
            <w:tcW w:w="660" w:type="dxa"/>
            <w:gridSpan w:val="2"/>
            <w:tcBorders>
              <w:bottom w:val="single" w:sz="4" w:space="0" w:color="auto"/>
            </w:tcBorders>
            <w:shd w:val="clear" w:color="auto" w:fill="auto"/>
            <w:vAlign w:val="bottom"/>
          </w:tcPr>
          <w:p w14:paraId="5C32897C" w14:textId="1E53A596" w:rsidR="007044D2" w:rsidRPr="00FE6402" w:rsidRDefault="007044D2" w:rsidP="007044D2">
            <w:pPr>
              <w:tabs>
                <w:tab w:val="left" w:pos="288"/>
                <w:tab w:val="left" w:pos="576"/>
                <w:tab w:val="left" w:pos="864"/>
                <w:tab w:val="left" w:pos="1152"/>
              </w:tabs>
              <w:suppressAutoHyphens/>
              <w:spacing w:before="40" w:after="81" w:line="210" w:lineRule="exact"/>
              <w:jc w:val="right"/>
              <w:rPr>
                <w:b/>
                <w:sz w:val="17"/>
                <w:lang w:val="fr-FR"/>
              </w:rPr>
            </w:pPr>
            <w:r w:rsidRPr="00D909BA">
              <w:rPr>
                <w:b/>
                <w:sz w:val="17"/>
                <w:szCs w:val="17"/>
              </w:rPr>
              <w:t>761</w:t>
            </w:r>
          </w:p>
        </w:tc>
        <w:tc>
          <w:tcPr>
            <w:tcW w:w="77" w:type="dxa"/>
            <w:gridSpan w:val="2"/>
            <w:tcBorders>
              <w:bottom w:val="single" w:sz="4" w:space="0" w:color="auto"/>
            </w:tcBorders>
            <w:shd w:val="clear" w:color="auto" w:fill="auto"/>
            <w:vAlign w:val="bottom"/>
          </w:tcPr>
          <w:p w14:paraId="19D14040" w14:textId="77777777"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p>
        </w:tc>
        <w:tc>
          <w:tcPr>
            <w:tcW w:w="370" w:type="dxa"/>
            <w:tcBorders>
              <w:bottom w:val="single" w:sz="4" w:space="0" w:color="auto"/>
            </w:tcBorders>
            <w:shd w:val="clear" w:color="auto" w:fill="auto"/>
            <w:vAlign w:val="bottom"/>
          </w:tcPr>
          <w:p w14:paraId="0B9AA7CD" w14:textId="638DCCFA"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147</w:t>
            </w:r>
          </w:p>
        </w:tc>
        <w:tc>
          <w:tcPr>
            <w:tcW w:w="432" w:type="dxa"/>
            <w:tcBorders>
              <w:bottom w:val="single" w:sz="4" w:space="0" w:color="auto"/>
            </w:tcBorders>
            <w:shd w:val="clear" w:color="auto" w:fill="auto"/>
            <w:vAlign w:val="bottom"/>
          </w:tcPr>
          <w:p w14:paraId="47242110" w14:textId="51FD6C49" w:rsidR="007044D2" w:rsidRPr="00FC6708" w:rsidRDefault="007044D2" w:rsidP="007044D2">
            <w:pPr>
              <w:tabs>
                <w:tab w:val="left" w:pos="288"/>
                <w:tab w:val="left" w:pos="576"/>
                <w:tab w:val="left" w:pos="864"/>
                <w:tab w:val="left" w:pos="1152"/>
              </w:tabs>
              <w:suppressAutoHyphens/>
              <w:spacing w:before="40" w:after="81" w:line="210" w:lineRule="exact"/>
              <w:jc w:val="right"/>
              <w:rPr>
                <w:sz w:val="17"/>
                <w:lang w:val="fr-FR"/>
              </w:rPr>
            </w:pPr>
            <w:r w:rsidRPr="00D909BA">
              <w:rPr>
                <w:sz w:val="17"/>
                <w:szCs w:val="17"/>
              </w:rPr>
              <w:t>262</w:t>
            </w:r>
          </w:p>
        </w:tc>
        <w:tc>
          <w:tcPr>
            <w:tcW w:w="572" w:type="dxa"/>
            <w:gridSpan w:val="2"/>
            <w:tcBorders>
              <w:bottom w:val="single" w:sz="4" w:space="0" w:color="auto"/>
            </w:tcBorders>
            <w:shd w:val="clear" w:color="auto" w:fill="auto"/>
            <w:vAlign w:val="bottom"/>
          </w:tcPr>
          <w:p w14:paraId="5015487D" w14:textId="332F4623" w:rsidR="007044D2" w:rsidRPr="00FE6402" w:rsidRDefault="007044D2" w:rsidP="007044D2">
            <w:pPr>
              <w:tabs>
                <w:tab w:val="left" w:pos="288"/>
                <w:tab w:val="left" w:pos="576"/>
                <w:tab w:val="left" w:pos="864"/>
                <w:tab w:val="left" w:pos="1152"/>
              </w:tabs>
              <w:suppressAutoHyphens/>
              <w:spacing w:before="40" w:after="81" w:line="210" w:lineRule="exact"/>
              <w:jc w:val="right"/>
              <w:rPr>
                <w:b/>
                <w:sz w:val="17"/>
                <w:lang w:val="fr-FR"/>
              </w:rPr>
            </w:pPr>
            <w:r w:rsidRPr="00D909BA">
              <w:rPr>
                <w:b/>
                <w:sz w:val="17"/>
                <w:szCs w:val="17"/>
              </w:rPr>
              <w:t>409</w:t>
            </w:r>
          </w:p>
        </w:tc>
      </w:tr>
      <w:tr w:rsidR="007044D2" w:rsidRPr="00DF0CAA" w14:paraId="1D58C39B" w14:textId="77777777" w:rsidTr="00DF0CAA">
        <w:tc>
          <w:tcPr>
            <w:tcW w:w="1116" w:type="dxa"/>
            <w:tcBorders>
              <w:top w:val="single" w:sz="4" w:space="0" w:color="auto"/>
              <w:bottom w:val="single" w:sz="12" w:space="0" w:color="000000"/>
            </w:tcBorders>
            <w:shd w:val="clear" w:color="auto" w:fill="auto"/>
            <w:vAlign w:val="bottom"/>
          </w:tcPr>
          <w:p w14:paraId="7756D1B7" w14:textId="77777777" w:rsidR="007044D2" w:rsidRPr="00DF0CAA" w:rsidRDefault="007044D2" w:rsidP="007044D2">
            <w:pPr>
              <w:tabs>
                <w:tab w:val="left" w:pos="288"/>
                <w:tab w:val="left" w:pos="576"/>
                <w:tab w:val="left" w:pos="864"/>
                <w:tab w:val="left" w:pos="1152"/>
              </w:tabs>
              <w:suppressAutoHyphens/>
              <w:spacing w:before="81" w:after="81" w:line="210" w:lineRule="exact"/>
              <w:rPr>
                <w:b/>
                <w:sz w:val="17"/>
                <w:lang w:val="fr-FR"/>
              </w:rPr>
            </w:pPr>
            <w:r w:rsidRPr="00DF0CAA">
              <w:rPr>
                <w:b/>
                <w:sz w:val="17"/>
                <w:lang w:val="fr-FR"/>
              </w:rPr>
              <w:tab/>
              <w:t>Total</w:t>
            </w:r>
          </w:p>
        </w:tc>
        <w:tc>
          <w:tcPr>
            <w:tcW w:w="423" w:type="dxa"/>
            <w:tcBorders>
              <w:top w:val="single" w:sz="4" w:space="0" w:color="auto"/>
              <w:bottom w:val="single" w:sz="12" w:space="0" w:color="000000"/>
            </w:tcBorders>
            <w:shd w:val="clear" w:color="auto" w:fill="auto"/>
            <w:vAlign w:val="bottom"/>
          </w:tcPr>
          <w:p w14:paraId="58B862E6"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450" w:type="dxa"/>
            <w:tcBorders>
              <w:top w:val="single" w:sz="4" w:space="0" w:color="auto"/>
              <w:bottom w:val="single" w:sz="12" w:space="0" w:color="000000"/>
            </w:tcBorders>
            <w:shd w:val="clear" w:color="auto" w:fill="auto"/>
            <w:vAlign w:val="bottom"/>
          </w:tcPr>
          <w:p w14:paraId="34B6F07D"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675" w:type="dxa"/>
            <w:tcBorders>
              <w:top w:val="single" w:sz="4" w:space="0" w:color="auto"/>
              <w:bottom w:val="single" w:sz="12" w:space="0" w:color="000000"/>
            </w:tcBorders>
            <w:shd w:val="clear" w:color="auto" w:fill="auto"/>
            <w:vAlign w:val="bottom"/>
          </w:tcPr>
          <w:p w14:paraId="6934CA91" w14:textId="0823F20C"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r w:rsidRPr="00D909BA">
              <w:rPr>
                <w:b/>
                <w:sz w:val="17"/>
                <w:szCs w:val="17"/>
              </w:rPr>
              <w:t>529</w:t>
            </w:r>
          </w:p>
        </w:tc>
        <w:tc>
          <w:tcPr>
            <w:tcW w:w="108" w:type="dxa"/>
            <w:tcBorders>
              <w:top w:val="single" w:sz="4" w:space="0" w:color="auto"/>
              <w:bottom w:val="single" w:sz="12" w:space="0" w:color="000000"/>
            </w:tcBorders>
            <w:shd w:val="clear" w:color="auto" w:fill="auto"/>
            <w:vAlign w:val="bottom"/>
          </w:tcPr>
          <w:p w14:paraId="294C10BE"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387" w:type="dxa"/>
            <w:tcBorders>
              <w:top w:val="single" w:sz="4" w:space="0" w:color="auto"/>
              <w:bottom w:val="single" w:sz="12" w:space="0" w:color="000000"/>
            </w:tcBorders>
            <w:shd w:val="clear" w:color="auto" w:fill="auto"/>
            <w:vAlign w:val="bottom"/>
          </w:tcPr>
          <w:p w14:paraId="662B0A5C"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432" w:type="dxa"/>
            <w:tcBorders>
              <w:top w:val="single" w:sz="4" w:space="0" w:color="auto"/>
              <w:bottom w:val="single" w:sz="12" w:space="0" w:color="000000"/>
            </w:tcBorders>
            <w:shd w:val="clear" w:color="auto" w:fill="auto"/>
            <w:vAlign w:val="bottom"/>
          </w:tcPr>
          <w:p w14:paraId="1C395440"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666" w:type="dxa"/>
            <w:tcBorders>
              <w:top w:val="single" w:sz="4" w:space="0" w:color="auto"/>
              <w:bottom w:val="single" w:sz="12" w:space="0" w:color="000000"/>
            </w:tcBorders>
            <w:shd w:val="clear" w:color="auto" w:fill="auto"/>
            <w:vAlign w:val="bottom"/>
          </w:tcPr>
          <w:p w14:paraId="5E61D325" w14:textId="0F53CEF3"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r w:rsidRPr="00D909BA">
              <w:rPr>
                <w:b/>
                <w:sz w:val="17"/>
                <w:szCs w:val="17"/>
              </w:rPr>
              <w:t>633</w:t>
            </w:r>
          </w:p>
        </w:tc>
        <w:tc>
          <w:tcPr>
            <w:tcW w:w="126" w:type="dxa"/>
            <w:tcBorders>
              <w:top w:val="single" w:sz="4" w:space="0" w:color="auto"/>
              <w:bottom w:val="single" w:sz="12" w:space="0" w:color="000000"/>
            </w:tcBorders>
            <w:shd w:val="clear" w:color="auto" w:fill="auto"/>
            <w:vAlign w:val="bottom"/>
          </w:tcPr>
          <w:p w14:paraId="69EE1F9C"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405" w:type="dxa"/>
            <w:tcBorders>
              <w:top w:val="single" w:sz="4" w:space="0" w:color="auto"/>
              <w:bottom w:val="single" w:sz="12" w:space="0" w:color="000000"/>
            </w:tcBorders>
            <w:shd w:val="clear" w:color="auto" w:fill="auto"/>
            <w:vAlign w:val="bottom"/>
          </w:tcPr>
          <w:p w14:paraId="6F3F9676"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441" w:type="dxa"/>
            <w:tcBorders>
              <w:top w:val="single" w:sz="4" w:space="0" w:color="auto"/>
              <w:bottom w:val="single" w:sz="12" w:space="0" w:color="000000"/>
            </w:tcBorders>
            <w:shd w:val="clear" w:color="auto" w:fill="auto"/>
            <w:vAlign w:val="bottom"/>
          </w:tcPr>
          <w:p w14:paraId="757C1131"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660" w:type="dxa"/>
            <w:gridSpan w:val="2"/>
            <w:tcBorders>
              <w:top w:val="single" w:sz="4" w:space="0" w:color="auto"/>
              <w:bottom w:val="single" w:sz="12" w:space="0" w:color="000000"/>
            </w:tcBorders>
            <w:shd w:val="clear" w:color="auto" w:fill="auto"/>
            <w:vAlign w:val="bottom"/>
          </w:tcPr>
          <w:p w14:paraId="33AC8D65" w14:textId="0A0420B2"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r w:rsidRPr="00D909BA">
              <w:rPr>
                <w:b/>
                <w:sz w:val="17"/>
                <w:szCs w:val="17"/>
              </w:rPr>
              <w:t>807</w:t>
            </w:r>
          </w:p>
        </w:tc>
        <w:tc>
          <w:tcPr>
            <w:tcW w:w="77" w:type="dxa"/>
            <w:gridSpan w:val="2"/>
            <w:tcBorders>
              <w:top w:val="single" w:sz="4" w:space="0" w:color="auto"/>
              <w:bottom w:val="single" w:sz="12" w:space="0" w:color="000000"/>
            </w:tcBorders>
            <w:shd w:val="clear" w:color="auto" w:fill="auto"/>
            <w:vAlign w:val="bottom"/>
          </w:tcPr>
          <w:p w14:paraId="7DB93A9F"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370" w:type="dxa"/>
            <w:tcBorders>
              <w:top w:val="single" w:sz="4" w:space="0" w:color="auto"/>
              <w:bottom w:val="single" w:sz="12" w:space="0" w:color="000000"/>
            </w:tcBorders>
            <w:shd w:val="clear" w:color="auto" w:fill="auto"/>
            <w:vAlign w:val="bottom"/>
          </w:tcPr>
          <w:p w14:paraId="460AEB49"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432" w:type="dxa"/>
            <w:tcBorders>
              <w:top w:val="single" w:sz="4" w:space="0" w:color="auto"/>
              <w:bottom w:val="single" w:sz="12" w:space="0" w:color="000000"/>
            </w:tcBorders>
            <w:shd w:val="clear" w:color="auto" w:fill="auto"/>
            <w:vAlign w:val="bottom"/>
          </w:tcPr>
          <w:p w14:paraId="2BF11D5F" w14:textId="77777777"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p>
        </w:tc>
        <w:tc>
          <w:tcPr>
            <w:tcW w:w="572" w:type="dxa"/>
            <w:gridSpan w:val="2"/>
            <w:tcBorders>
              <w:top w:val="single" w:sz="4" w:space="0" w:color="auto"/>
              <w:bottom w:val="single" w:sz="12" w:space="0" w:color="000000"/>
            </w:tcBorders>
            <w:shd w:val="clear" w:color="auto" w:fill="auto"/>
            <w:vAlign w:val="bottom"/>
          </w:tcPr>
          <w:p w14:paraId="5C0094C9" w14:textId="37A28D39" w:rsidR="007044D2" w:rsidRPr="00DF0CAA" w:rsidRDefault="007044D2" w:rsidP="007044D2">
            <w:pPr>
              <w:tabs>
                <w:tab w:val="left" w:pos="288"/>
                <w:tab w:val="left" w:pos="576"/>
                <w:tab w:val="left" w:pos="864"/>
                <w:tab w:val="left" w:pos="1152"/>
              </w:tabs>
              <w:suppressAutoHyphens/>
              <w:spacing w:before="81" w:after="81" w:line="210" w:lineRule="exact"/>
              <w:jc w:val="right"/>
              <w:rPr>
                <w:b/>
                <w:sz w:val="17"/>
                <w:lang w:val="fr-FR"/>
              </w:rPr>
            </w:pPr>
            <w:r w:rsidRPr="00D909BA">
              <w:rPr>
                <w:b/>
                <w:sz w:val="17"/>
                <w:szCs w:val="17"/>
              </w:rPr>
              <w:t>480</w:t>
            </w:r>
          </w:p>
        </w:tc>
      </w:tr>
    </w:tbl>
    <w:p w14:paraId="7493845D" w14:textId="03115760" w:rsidR="00705807" w:rsidRPr="00DF0CAA" w:rsidRDefault="00705807" w:rsidP="00DF0CAA">
      <w:pPr>
        <w:pStyle w:val="SingleTxt"/>
        <w:suppressAutoHyphens/>
        <w:spacing w:after="0" w:line="120" w:lineRule="exact"/>
        <w:rPr>
          <w:sz w:val="10"/>
        </w:rPr>
      </w:pPr>
    </w:p>
    <w:p w14:paraId="4B51BD57" w14:textId="442810A9" w:rsidR="00DF0CAA" w:rsidRDefault="00B061DC" w:rsidP="00DF0CAA">
      <w:pPr>
        <w:pStyle w:val="FootnoteText"/>
        <w:tabs>
          <w:tab w:val="clear" w:pos="418"/>
          <w:tab w:val="right" w:pos="1476"/>
          <w:tab w:val="left" w:pos="1548"/>
          <w:tab w:val="right" w:pos="1836"/>
          <w:tab w:val="left" w:pos="1908"/>
        </w:tabs>
        <w:ind w:left="1548" w:right="1267" w:hanging="288"/>
      </w:pPr>
      <w:r w:rsidRPr="00B061DC">
        <w:rPr>
          <w:i/>
        </w:rPr>
        <w:t>Source</w:t>
      </w:r>
      <w:r>
        <w:t> : Ministère de l</w:t>
      </w:r>
      <w:r w:rsidR="00000F67">
        <w:t>’</w:t>
      </w:r>
      <w:r>
        <w:t>éducation, Division des bourses.</w:t>
      </w:r>
    </w:p>
    <w:p w14:paraId="5FB392F8" w14:textId="70633499" w:rsidR="00705807" w:rsidRPr="00B061DC" w:rsidRDefault="00705807" w:rsidP="00B061DC">
      <w:pPr>
        <w:pStyle w:val="SingleTxt"/>
        <w:suppressAutoHyphens/>
        <w:spacing w:after="0" w:line="120" w:lineRule="exact"/>
        <w:rPr>
          <w:sz w:val="10"/>
        </w:rPr>
      </w:pPr>
    </w:p>
    <w:p w14:paraId="28E5B8E9" w14:textId="0FF388B5" w:rsidR="00B061DC" w:rsidRPr="00B061DC" w:rsidRDefault="00B061DC" w:rsidP="00B061DC">
      <w:pPr>
        <w:pStyle w:val="SingleTxt"/>
        <w:suppressAutoHyphens/>
        <w:spacing w:after="0" w:line="120" w:lineRule="exact"/>
        <w:rPr>
          <w:sz w:val="10"/>
        </w:rPr>
      </w:pPr>
    </w:p>
    <w:p w14:paraId="35B56A20" w14:textId="06436D5F" w:rsidR="007C78DF" w:rsidRPr="003B5B4E" w:rsidRDefault="007C78DF" w:rsidP="00C67914">
      <w:pPr>
        <w:pStyle w:val="SingleTxt"/>
        <w:numPr>
          <w:ilvl w:val="0"/>
          <w:numId w:val="18"/>
        </w:numPr>
        <w:suppressAutoHyphens/>
        <w:ind w:left="1267" w:firstLine="0"/>
        <w:rPr>
          <w:lang w:val="fr-FR"/>
        </w:rPr>
      </w:pPr>
      <w:r w:rsidRPr="003B5B4E">
        <w:rPr>
          <w:lang w:val="fr-FR"/>
        </w:rPr>
        <w:t>Pendant l</w:t>
      </w:r>
      <w:r w:rsidR="00000F67">
        <w:rPr>
          <w:lang w:val="fr-FR"/>
        </w:rPr>
        <w:t>’</w:t>
      </w:r>
      <w:r w:rsidRPr="003B5B4E">
        <w:rPr>
          <w:lang w:val="fr-FR"/>
        </w:rPr>
        <w:t>année scolaire 2017-2018, 480 bourses d</w:t>
      </w:r>
      <w:r w:rsidR="00000F67">
        <w:rPr>
          <w:lang w:val="fr-FR"/>
        </w:rPr>
        <w:t>’</w:t>
      </w:r>
      <w:r w:rsidRPr="003B5B4E">
        <w:rPr>
          <w:lang w:val="fr-FR"/>
        </w:rPr>
        <w:t>études ont été octroyées dans les catégories Mérite, Académique, Technique et Bourses, dont 63 % à des filles.</w:t>
      </w:r>
    </w:p>
    <w:p w14:paraId="77CCCC56" w14:textId="25E11BAE" w:rsidR="007C78DF" w:rsidRPr="003B5B4E" w:rsidRDefault="007C78DF" w:rsidP="00C67914">
      <w:pPr>
        <w:pStyle w:val="SingleTxt"/>
        <w:numPr>
          <w:ilvl w:val="0"/>
          <w:numId w:val="18"/>
        </w:numPr>
        <w:suppressAutoHyphens/>
        <w:ind w:left="1267" w:firstLine="0"/>
        <w:rPr>
          <w:lang w:val="fr-FR"/>
        </w:rPr>
      </w:pPr>
      <w:r w:rsidRPr="003B5B4E">
        <w:rPr>
          <w:lang w:val="fr-FR"/>
        </w:rPr>
        <w:t xml:space="preserve">En 2014, </w:t>
      </w:r>
      <w:r w:rsidR="005F31C2">
        <w:rPr>
          <w:lang w:val="fr-FR"/>
        </w:rPr>
        <w:t>l</w:t>
      </w:r>
      <w:r w:rsidRPr="003B5B4E">
        <w:rPr>
          <w:lang w:val="fr-FR"/>
        </w:rPr>
        <w:t>e Ministère de l</w:t>
      </w:r>
      <w:r w:rsidR="00000F67">
        <w:rPr>
          <w:lang w:val="fr-FR"/>
        </w:rPr>
        <w:t>’</w:t>
      </w:r>
      <w:r w:rsidRPr="003B5B4E">
        <w:rPr>
          <w:lang w:val="fr-FR"/>
        </w:rPr>
        <w:t>éducation a publié la troisième édition du Safe School Manual (Manuel pour une école sûre), qui définit les protocoles et procédures garantissant la sûreté des écoles. Ce manuel contient des directives sur les modalités de mise en place et de préservation d</w:t>
      </w:r>
      <w:r w:rsidR="00000F67">
        <w:rPr>
          <w:lang w:val="fr-FR"/>
        </w:rPr>
        <w:t>’</w:t>
      </w:r>
      <w:r w:rsidRPr="003B5B4E">
        <w:rPr>
          <w:lang w:val="fr-FR"/>
        </w:rPr>
        <w:t>un environnement d</w:t>
      </w:r>
      <w:r w:rsidR="00000F67">
        <w:rPr>
          <w:lang w:val="fr-FR"/>
        </w:rPr>
        <w:t>’</w:t>
      </w:r>
      <w:r w:rsidRPr="003B5B4E">
        <w:rPr>
          <w:lang w:val="fr-FR"/>
        </w:rPr>
        <w:t>enseignement et d</w:t>
      </w:r>
      <w:r w:rsidR="00000F67">
        <w:rPr>
          <w:lang w:val="fr-FR"/>
        </w:rPr>
        <w:t>’</w:t>
      </w:r>
      <w:r w:rsidRPr="003B5B4E">
        <w:rPr>
          <w:lang w:val="fr-FR"/>
        </w:rPr>
        <w:t>apprentissage sûr pour tous. Il encourage les relations enseignants-élèves-parents et favorise la sûreté en tant qu</w:t>
      </w:r>
      <w:r w:rsidR="00000F67">
        <w:rPr>
          <w:lang w:val="fr-FR"/>
        </w:rPr>
        <w:t>’</w:t>
      </w:r>
      <w:r w:rsidRPr="003B5B4E">
        <w:rPr>
          <w:lang w:val="fr-FR"/>
        </w:rPr>
        <w:t>objectif fondamental.</w:t>
      </w:r>
    </w:p>
    <w:p w14:paraId="06C7E633" w14:textId="1C1B26D6" w:rsidR="007C78DF" w:rsidRPr="003B5B4E" w:rsidRDefault="007C78DF" w:rsidP="00C67914">
      <w:pPr>
        <w:pStyle w:val="SingleTxt"/>
        <w:numPr>
          <w:ilvl w:val="0"/>
          <w:numId w:val="18"/>
        </w:numPr>
        <w:suppressAutoHyphens/>
        <w:ind w:left="1267" w:firstLine="0"/>
        <w:rPr>
          <w:lang w:val="fr-FR"/>
        </w:rPr>
      </w:pPr>
      <w:r w:rsidRPr="003B5B4E">
        <w:rPr>
          <w:lang w:val="fr-FR"/>
        </w:rPr>
        <w:t>Ce manuel porte également sur la question des châtiments corporels dans les écoles publiques. Ce type de punition ne doit être administré qu</w:t>
      </w:r>
      <w:r w:rsidR="00000F67">
        <w:rPr>
          <w:lang w:val="fr-FR"/>
        </w:rPr>
        <w:t>’</w:t>
      </w:r>
      <w:r w:rsidRPr="003B5B4E">
        <w:rPr>
          <w:lang w:val="fr-FR"/>
        </w:rPr>
        <w:t>en dernier recours par un administrateur ou une personne désignée par l</w:t>
      </w:r>
      <w:r w:rsidR="00000F67">
        <w:rPr>
          <w:lang w:val="fr-FR"/>
        </w:rPr>
        <w:t>’</w:t>
      </w:r>
      <w:r w:rsidRPr="003B5B4E">
        <w:rPr>
          <w:lang w:val="fr-FR"/>
        </w:rPr>
        <w:t>administrateur. S</w:t>
      </w:r>
      <w:r w:rsidR="00000F67">
        <w:rPr>
          <w:lang w:val="fr-FR"/>
        </w:rPr>
        <w:t>’</w:t>
      </w:r>
      <w:r w:rsidRPr="003B5B4E">
        <w:rPr>
          <w:lang w:val="fr-FR"/>
        </w:rPr>
        <w:t>agissant des filles, c</w:t>
      </w:r>
      <w:r w:rsidR="00000F67">
        <w:rPr>
          <w:lang w:val="fr-FR"/>
        </w:rPr>
        <w:t>’</w:t>
      </w:r>
      <w:r w:rsidRPr="003B5B4E">
        <w:rPr>
          <w:lang w:val="fr-FR"/>
        </w:rPr>
        <w:t>est une enseignante qui pourrait être chargée par l</w:t>
      </w:r>
      <w:r w:rsidR="00000F67">
        <w:rPr>
          <w:lang w:val="fr-FR"/>
        </w:rPr>
        <w:t>’</w:t>
      </w:r>
      <w:r w:rsidRPr="003B5B4E">
        <w:rPr>
          <w:lang w:val="fr-FR"/>
        </w:rPr>
        <w:t>administrateur de l</w:t>
      </w:r>
      <w:r w:rsidR="00000F67">
        <w:rPr>
          <w:lang w:val="fr-FR"/>
        </w:rPr>
        <w:t>’</w:t>
      </w:r>
      <w:r w:rsidRPr="003B5B4E">
        <w:rPr>
          <w:lang w:val="fr-FR"/>
        </w:rPr>
        <w:t>école d</w:t>
      </w:r>
      <w:r w:rsidR="00000F67">
        <w:rPr>
          <w:lang w:val="fr-FR"/>
        </w:rPr>
        <w:t>’</w:t>
      </w:r>
      <w:r w:rsidRPr="003B5B4E">
        <w:rPr>
          <w:lang w:val="fr-FR"/>
        </w:rPr>
        <w:t>administrer la punition. Les Bahamas sont coauteurs de la résolution sur la Convention relative aux droits de l</w:t>
      </w:r>
      <w:r w:rsidR="00000F67">
        <w:rPr>
          <w:lang w:val="fr-FR"/>
        </w:rPr>
        <w:t>’</w:t>
      </w:r>
      <w:r w:rsidRPr="003B5B4E">
        <w:rPr>
          <w:lang w:val="fr-FR"/>
        </w:rPr>
        <w:t>enfant et accordent une grande importance à la non-violence à l</w:t>
      </w:r>
      <w:r w:rsidR="00000F67">
        <w:rPr>
          <w:lang w:val="fr-FR"/>
        </w:rPr>
        <w:t>’</w:t>
      </w:r>
      <w:r w:rsidRPr="003B5B4E">
        <w:rPr>
          <w:lang w:val="fr-FR"/>
        </w:rPr>
        <w:t xml:space="preserve">égard des fillettes. </w:t>
      </w:r>
    </w:p>
    <w:p w14:paraId="3DC3A868" w14:textId="30E424BD" w:rsidR="007C78DF" w:rsidRPr="003E3E88" w:rsidRDefault="007C78DF" w:rsidP="009363E5">
      <w:pPr>
        <w:pStyle w:val="SingleTxt"/>
        <w:suppressAutoHyphens/>
        <w:spacing w:after="0" w:line="120" w:lineRule="exact"/>
        <w:rPr>
          <w:sz w:val="10"/>
          <w:szCs w:val="17"/>
          <w:lang w:val="fr-FR"/>
        </w:rPr>
      </w:pPr>
    </w:p>
    <w:p w14:paraId="3B624572" w14:textId="440EF7A3" w:rsidR="009363E5" w:rsidRPr="003E3E88" w:rsidRDefault="009363E5" w:rsidP="009363E5">
      <w:pPr>
        <w:pStyle w:val="SingleTxt"/>
        <w:suppressAutoHyphens/>
        <w:spacing w:after="0" w:line="120" w:lineRule="exact"/>
        <w:rPr>
          <w:sz w:val="10"/>
          <w:szCs w:val="17"/>
          <w:lang w:val="fr-FR"/>
        </w:rPr>
      </w:pPr>
    </w:p>
    <w:p w14:paraId="3DD6D5D2" w14:textId="28F5FD8E" w:rsidR="007C78DF" w:rsidRPr="0015519F" w:rsidRDefault="009363E5" w:rsidP="003721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78DF" w:rsidRPr="0015519F">
        <w:rPr>
          <w:lang w:val="fr-FR"/>
        </w:rPr>
        <w:t>Emploi</w:t>
      </w:r>
    </w:p>
    <w:p w14:paraId="74C275A4" w14:textId="000CEB55" w:rsidR="007C78DF" w:rsidRPr="009363E5" w:rsidRDefault="007C78DF" w:rsidP="009363E5">
      <w:pPr>
        <w:pStyle w:val="SingleTxt"/>
        <w:suppressAutoHyphens/>
        <w:spacing w:after="0" w:line="120" w:lineRule="exact"/>
        <w:rPr>
          <w:sz w:val="10"/>
          <w:szCs w:val="17"/>
          <w:lang w:val="fr-FR"/>
        </w:rPr>
      </w:pPr>
    </w:p>
    <w:p w14:paraId="0AACDEF1" w14:textId="24F18CD6" w:rsidR="009363E5" w:rsidRPr="009363E5" w:rsidRDefault="009363E5" w:rsidP="009363E5">
      <w:pPr>
        <w:pStyle w:val="SingleTxt"/>
        <w:suppressAutoHyphens/>
        <w:spacing w:after="0" w:line="120" w:lineRule="exact"/>
        <w:rPr>
          <w:sz w:val="10"/>
          <w:szCs w:val="17"/>
          <w:lang w:val="fr-FR"/>
        </w:rPr>
      </w:pPr>
    </w:p>
    <w:p w14:paraId="75D5A1F7" w14:textId="19BE0F2D" w:rsidR="007C78DF" w:rsidRPr="003B5B4E" w:rsidRDefault="007C78DF" w:rsidP="00C67914">
      <w:pPr>
        <w:pStyle w:val="SingleTxt"/>
        <w:numPr>
          <w:ilvl w:val="0"/>
          <w:numId w:val="18"/>
        </w:numPr>
        <w:suppressAutoHyphens/>
        <w:ind w:left="1267" w:firstLine="0"/>
        <w:rPr>
          <w:color w:val="000000"/>
          <w:lang w:val="fr-FR"/>
        </w:rPr>
      </w:pPr>
      <w:r w:rsidRPr="003B5B4E">
        <w:rPr>
          <w:color w:val="000000"/>
          <w:lang w:val="fr-FR"/>
        </w:rPr>
        <w:t>En ce qui concerne le fait que le Ministère de l</w:t>
      </w:r>
      <w:r w:rsidR="00000F67">
        <w:rPr>
          <w:color w:val="000000"/>
          <w:lang w:val="fr-FR"/>
        </w:rPr>
        <w:t>’</w:t>
      </w:r>
      <w:r w:rsidRPr="003B5B4E">
        <w:rPr>
          <w:color w:val="000000"/>
          <w:lang w:val="fr-FR"/>
        </w:rPr>
        <w:t>éducation, des sciences et de la technologie continue d</w:t>
      </w:r>
      <w:r w:rsidR="00000F67">
        <w:rPr>
          <w:color w:val="000000"/>
          <w:lang w:val="fr-FR"/>
        </w:rPr>
        <w:t>’</w:t>
      </w:r>
      <w:r w:rsidRPr="003B5B4E">
        <w:rPr>
          <w:color w:val="000000"/>
          <w:lang w:val="fr-FR"/>
        </w:rPr>
        <w:t>offrir des perspectives d</w:t>
      </w:r>
      <w:r w:rsidR="00000F67">
        <w:rPr>
          <w:color w:val="000000"/>
          <w:lang w:val="fr-FR"/>
        </w:rPr>
        <w:t>’</w:t>
      </w:r>
      <w:r w:rsidRPr="003B5B4E">
        <w:rPr>
          <w:color w:val="000000"/>
          <w:lang w:val="fr-FR"/>
        </w:rPr>
        <w:t>éducation de qualité, veuillez donner des informations sur les mesures prises pour encourager la participation des femmes dans des secteurs du marché du travail formel traditionnellement occupés par les hommes, notamment l</w:t>
      </w:r>
      <w:r w:rsidR="00000F67">
        <w:rPr>
          <w:color w:val="000000"/>
          <w:lang w:val="fr-FR"/>
        </w:rPr>
        <w:t>’</w:t>
      </w:r>
      <w:r w:rsidRPr="003B5B4E">
        <w:rPr>
          <w:color w:val="000000"/>
          <w:lang w:val="fr-FR"/>
        </w:rPr>
        <w:t>ingénierie, les sciences et la technologie.</w:t>
      </w:r>
      <w:r w:rsidRPr="003B5B4E">
        <w:rPr>
          <w:lang w:val="fr-FR"/>
        </w:rPr>
        <w:t xml:space="preserve"> Veuillez aussi</w:t>
      </w:r>
      <w:r w:rsidRPr="003B5B4E">
        <w:rPr>
          <w:color w:val="000000"/>
          <w:lang w:val="fr-FR"/>
        </w:rPr>
        <w:t xml:space="preserve"> fournir des informations sur les mesures prises pour mettre en œuvre des politiques de </w:t>
      </w:r>
      <w:r w:rsidRPr="003B5B4E">
        <w:rPr>
          <w:color w:val="000000"/>
          <w:lang w:val="fr-FR"/>
        </w:rPr>
        <w:lastRenderedPageBreak/>
        <w:t>l</w:t>
      </w:r>
      <w:r w:rsidR="00000F67">
        <w:rPr>
          <w:color w:val="000000"/>
          <w:lang w:val="fr-FR"/>
        </w:rPr>
        <w:t>’</w:t>
      </w:r>
      <w:r w:rsidRPr="003B5B4E">
        <w:rPr>
          <w:color w:val="000000"/>
          <w:lang w:val="fr-FR"/>
        </w:rPr>
        <w:t>emploi visant à réduire le taux de chômage des femmes, plus élevé que celui des hommes, et à lutter contre le harcèlement sexuel. Veuillez en outre informer le Comité des mesures prises pour adopter une législation appropriée qui garantisse le principe de « l</w:t>
      </w:r>
      <w:r w:rsidR="00000F67">
        <w:rPr>
          <w:color w:val="000000"/>
          <w:lang w:val="fr-FR"/>
        </w:rPr>
        <w:t>’</w:t>
      </w:r>
      <w:r w:rsidRPr="003B5B4E">
        <w:rPr>
          <w:color w:val="000000"/>
          <w:lang w:val="fr-FR"/>
        </w:rPr>
        <w:t>égalité de salaire pour un travail de valeur égale » dans tous les domaines d</w:t>
      </w:r>
      <w:r w:rsidR="00000F67">
        <w:rPr>
          <w:color w:val="000000"/>
          <w:lang w:val="fr-FR"/>
        </w:rPr>
        <w:t>’</w:t>
      </w:r>
      <w:r w:rsidRPr="003B5B4E">
        <w:rPr>
          <w:color w:val="000000"/>
          <w:lang w:val="fr-FR"/>
        </w:rPr>
        <w:t>activité, conformément à l</w:t>
      </w:r>
      <w:r w:rsidR="00000F67">
        <w:rPr>
          <w:color w:val="000000"/>
          <w:lang w:val="fr-FR"/>
        </w:rPr>
        <w:t>’</w:t>
      </w:r>
      <w:r w:rsidRPr="003B5B4E">
        <w:rPr>
          <w:color w:val="000000"/>
          <w:lang w:val="fr-FR"/>
        </w:rPr>
        <w:t>alinéa d) du paragraphe 1 de l</w:t>
      </w:r>
      <w:r w:rsidR="00000F67">
        <w:rPr>
          <w:color w:val="000000"/>
          <w:lang w:val="fr-FR"/>
        </w:rPr>
        <w:t>’</w:t>
      </w:r>
      <w:r w:rsidRPr="003B5B4E">
        <w:rPr>
          <w:color w:val="000000"/>
          <w:lang w:val="fr-FR"/>
        </w:rPr>
        <w:t>article 11 de la Convention, ainsi que du degré d</w:t>
      </w:r>
      <w:r w:rsidR="00000F67">
        <w:rPr>
          <w:color w:val="000000"/>
          <w:lang w:val="fr-FR"/>
        </w:rPr>
        <w:t>’</w:t>
      </w:r>
      <w:r w:rsidRPr="003B5B4E">
        <w:rPr>
          <w:color w:val="000000"/>
          <w:lang w:val="fr-FR"/>
        </w:rPr>
        <w:t>application de cette législation (voir CEDAW/C/BHS/Q/6, par. 13).</w:t>
      </w:r>
    </w:p>
    <w:p w14:paraId="116D6888" w14:textId="5247BD11" w:rsidR="007C78DF" w:rsidRPr="003B5B4E" w:rsidRDefault="007C78DF" w:rsidP="003B5B4E">
      <w:pPr>
        <w:pStyle w:val="SingleTxt"/>
        <w:suppressAutoHyphens/>
        <w:spacing w:after="0" w:line="120" w:lineRule="exact"/>
        <w:rPr>
          <w:b/>
          <w:color w:val="000000"/>
          <w:sz w:val="10"/>
          <w:lang w:val="fr-FR"/>
        </w:rPr>
      </w:pPr>
    </w:p>
    <w:p w14:paraId="1FB38847" w14:textId="418126F0" w:rsidR="007C78DF" w:rsidRPr="003B5B4E" w:rsidRDefault="003B5B4E" w:rsidP="003B5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78DF" w:rsidRPr="003B5B4E">
        <w:rPr>
          <w:lang w:val="fr-FR"/>
        </w:rPr>
        <w:t xml:space="preserve">Réponse </w:t>
      </w:r>
    </w:p>
    <w:p w14:paraId="6B190470" w14:textId="12BF9A89" w:rsidR="007C78DF" w:rsidRPr="003B5B4E" w:rsidRDefault="007C78DF" w:rsidP="003B5B4E">
      <w:pPr>
        <w:pStyle w:val="SingleTxt"/>
        <w:suppressAutoHyphens/>
        <w:spacing w:after="0" w:line="120" w:lineRule="exact"/>
        <w:rPr>
          <w:color w:val="000000"/>
          <w:sz w:val="10"/>
          <w:lang w:val="fr-FR"/>
        </w:rPr>
      </w:pPr>
    </w:p>
    <w:p w14:paraId="457FD5E6" w14:textId="29260B01" w:rsidR="007C78DF" w:rsidRPr="003B5B4E" w:rsidRDefault="007C78DF" w:rsidP="00C67914">
      <w:pPr>
        <w:pStyle w:val="SingleTxt"/>
        <w:numPr>
          <w:ilvl w:val="0"/>
          <w:numId w:val="18"/>
        </w:numPr>
        <w:suppressAutoHyphens/>
        <w:ind w:left="1267" w:firstLine="0"/>
        <w:rPr>
          <w:color w:val="000000"/>
          <w:lang w:val="fr-FR"/>
        </w:rPr>
      </w:pPr>
      <w:r w:rsidRPr="003B5B4E">
        <w:rPr>
          <w:color w:val="000000"/>
          <w:lang w:val="fr-FR"/>
        </w:rPr>
        <w:t>En mai 2017, le taux d</w:t>
      </w:r>
      <w:r w:rsidR="00000F67">
        <w:rPr>
          <w:color w:val="000000"/>
          <w:lang w:val="fr-FR"/>
        </w:rPr>
        <w:t>’</w:t>
      </w:r>
      <w:r w:rsidRPr="003B5B4E">
        <w:rPr>
          <w:color w:val="000000"/>
          <w:lang w:val="fr-FR"/>
        </w:rPr>
        <w:t>activité aux Bahamas était de 80 %, dont 83,1 % pour les hommes et 74,9 % pour les femmes. Depuis novembre 2016, le taux de chômage a baissé, passant de 11,6 % à 9,9 % du fait de la hausse du nombre de personnes employées (+ 7 770) et de la baisse du nombre de chômeurs (- 3 485). En mai 2017, le taux de chômage s</w:t>
      </w:r>
      <w:r w:rsidR="00000F67">
        <w:rPr>
          <w:color w:val="000000"/>
          <w:lang w:val="fr-FR"/>
        </w:rPr>
        <w:t>’</w:t>
      </w:r>
      <w:r w:rsidRPr="003B5B4E">
        <w:rPr>
          <w:color w:val="000000"/>
          <w:lang w:val="fr-FR"/>
        </w:rPr>
        <w:t>est établi à 9,9 %, dont 8,9 % chez les hommes et 10,9 % chez les femmes.</w:t>
      </w:r>
    </w:p>
    <w:p w14:paraId="543DA4AE" w14:textId="512168E7" w:rsidR="007C78DF" w:rsidRPr="003B5B4E" w:rsidRDefault="007C78DF" w:rsidP="00C67914">
      <w:pPr>
        <w:pStyle w:val="SingleTxt"/>
        <w:numPr>
          <w:ilvl w:val="0"/>
          <w:numId w:val="18"/>
        </w:numPr>
        <w:suppressAutoHyphens/>
        <w:ind w:left="1267" w:firstLine="0"/>
        <w:rPr>
          <w:color w:val="000000"/>
          <w:lang w:val="fr-FR"/>
        </w:rPr>
      </w:pPr>
      <w:r w:rsidRPr="003B5B4E">
        <w:rPr>
          <w:color w:val="000000"/>
          <w:lang w:val="fr-FR"/>
        </w:rPr>
        <w:t>S</w:t>
      </w:r>
      <w:r w:rsidR="00000F67">
        <w:rPr>
          <w:color w:val="000000"/>
          <w:lang w:val="fr-FR"/>
        </w:rPr>
        <w:t>’</w:t>
      </w:r>
      <w:r w:rsidRPr="003B5B4E">
        <w:rPr>
          <w:color w:val="000000"/>
          <w:lang w:val="fr-FR"/>
        </w:rPr>
        <w:t>agissant du principe de « l</w:t>
      </w:r>
      <w:r w:rsidR="00000F67">
        <w:rPr>
          <w:color w:val="000000"/>
          <w:lang w:val="fr-FR"/>
        </w:rPr>
        <w:t>’</w:t>
      </w:r>
      <w:r w:rsidRPr="003B5B4E">
        <w:rPr>
          <w:color w:val="000000"/>
          <w:lang w:val="fr-FR"/>
        </w:rPr>
        <w:t>égalité de salaire pour un travail de valeur égale », la loi relative à l</w:t>
      </w:r>
      <w:r w:rsidR="00000F67">
        <w:rPr>
          <w:color w:val="000000"/>
          <w:lang w:val="fr-FR"/>
        </w:rPr>
        <w:t>’</w:t>
      </w:r>
      <w:r w:rsidRPr="003B5B4E">
        <w:rPr>
          <w:color w:val="000000"/>
          <w:lang w:val="fr-FR"/>
        </w:rPr>
        <w:t>emploi de 2001 dispose à l</w:t>
      </w:r>
      <w:r w:rsidR="00000F67">
        <w:rPr>
          <w:color w:val="000000"/>
          <w:lang w:val="fr-FR"/>
        </w:rPr>
        <w:t>’</w:t>
      </w:r>
      <w:r w:rsidRPr="003B5B4E">
        <w:rPr>
          <w:color w:val="000000"/>
          <w:lang w:val="fr-FR"/>
        </w:rPr>
        <w:t>article 6 (première partie)</w:t>
      </w:r>
      <w:r w:rsidR="009363E5" w:rsidRPr="003B5B4E">
        <w:rPr>
          <w:color w:val="000000"/>
          <w:lang w:val="fr-FR"/>
        </w:rPr>
        <w:t> </w:t>
      </w:r>
      <w:r w:rsidRPr="003B5B4E">
        <w:rPr>
          <w:color w:val="000000"/>
          <w:lang w:val="fr-FR"/>
        </w:rPr>
        <w:t>:</w:t>
      </w:r>
    </w:p>
    <w:p w14:paraId="5BE39607" w14:textId="520B1907" w:rsidR="007C78DF" w:rsidRPr="003B5B4E" w:rsidRDefault="009363E5" w:rsidP="009363E5">
      <w:pPr>
        <w:pStyle w:val="SingleTxt"/>
        <w:suppressAutoHyphens/>
        <w:ind w:left="1742" w:hanging="475"/>
        <w:rPr>
          <w:color w:val="000000"/>
          <w:lang w:val="fr-FR"/>
        </w:rPr>
      </w:pPr>
      <w:r w:rsidRPr="003B5B4E">
        <w:rPr>
          <w:color w:val="000000"/>
          <w:lang w:val="fr-FR"/>
        </w:rPr>
        <w:tab/>
      </w:r>
      <w:r w:rsidR="007C78DF" w:rsidRPr="003B5B4E">
        <w:rPr>
          <w:color w:val="000000"/>
          <w:lang w:val="fr-FR"/>
        </w:rPr>
        <w:t>« Aucun employeur ni aucune personne agissant au nom d</w:t>
      </w:r>
      <w:r w:rsidR="00000F67">
        <w:rPr>
          <w:color w:val="000000"/>
          <w:lang w:val="fr-FR"/>
        </w:rPr>
        <w:t>’</w:t>
      </w:r>
      <w:r w:rsidR="007C78DF" w:rsidRPr="003B5B4E">
        <w:rPr>
          <w:color w:val="000000"/>
          <w:lang w:val="fr-FR"/>
        </w:rPr>
        <w:t>un employeur ne peut faire acte de discrimination contre un employé ou un demandeur d</w:t>
      </w:r>
      <w:r w:rsidR="00000F67">
        <w:rPr>
          <w:color w:val="000000"/>
          <w:lang w:val="fr-FR"/>
        </w:rPr>
        <w:t>’</w:t>
      </w:r>
      <w:r w:rsidR="007C78DF" w:rsidRPr="003B5B4E">
        <w:rPr>
          <w:color w:val="000000"/>
          <w:lang w:val="fr-FR"/>
        </w:rPr>
        <w:t xml:space="preserve">emploi à raison de sa race, de ses croyances, de son sexe, de sa situation matrimoniale, de ses opinions politiques, de son âge ou de sa séropositivité. </w:t>
      </w:r>
    </w:p>
    <w:p w14:paraId="44FF7D2F" w14:textId="40CB638B" w:rsidR="007C78DF" w:rsidRPr="003B5B4E" w:rsidRDefault="009363E5" w:rsidP="009363E5">
      <w:pPr>
        <w:pStyle w:val="SingleTxt"/>
        <w:suppressAutoHyphens/>
        <w:ind w:left="1742" w:hanging="475"/>
        <w:rPr>
          <w:color w:val="000000"/>
          <w:lang w:val="fr-FR"/>
        </w:rPr>
      </w:pPr>
      <w:r w:rsidRPr="003B5B4E">
        <w:rPr>
          <w:color w:val="000000"/>
          <w:lang w:val="fr-FR"/>
        </w:rPr>
        <w:tab/>
      </w:r>
      <w:r w:rsidR="007C78DF" w:rsidRPr="003B5B4E">
        <w:rPr>
          <w:color w:val="000000"/>
          <w:lang w:val="fr-FR"/>
        </w:rPr>
        <w:t>b)</w:t>
      </w:r>
      <w:r w:rsidRPr="003B5B4E">
        <w:rPr>
          <w:color w:val="000000"/>
          <w:lang w:val="fr-FR"/>
        </w:rPr>
        <w:tab/>
      </w:r>
      <w:r w:rsidR="007C78DF" w:rsidRPr="003B5B4E">
        <w:rPr>
          <w:color w:val="000000"/>
          <w:lang w:val="fr-FR"/>
        </w:rPr>
        <w:t>Ne peut le rémunérer à un taux ou un niveau inférieur à celui qui est offert à un autre employé pour le même type de travail ou pour un travail d</w:t>
      </w:r>
      <w:r w:rsidR="00000F67">
        <w:rPr>
          <w:color w:val="000000"/>
          <w:lang w:val="fr-FR"/>
        </w:rPr>
        <w:t>’</w:t>
      </w:r>
      <w:r w:rsidR="007C78DF" w:rsidRPr="003B5B4E">
        <w:rPr>
          <w:color w:val="000000"/>
          <w:lang w:val="fr-FR"/>
        </w:rPr>
        <w:t xml:space="preserve">égal valeur accompli dans le même établissement et nécessitant les mêmes aptitudes et les mêmes efforts et responsabilités, et conduit dans des conditions de travail similaires </w:t>
      </w:r>
      <w:r w:rsidRPr="003B5B4E">
        <w:rPr>
          <w:color w:val="000000"/>
          <w:lang w:val="fr-FR"/>
        </w:rPr>
        <w:t>[</w:t>
      </w:r>
      <w:r w:rsidR="007C78DF" w:rsidRPr="003B5B4E">
        <w:rPr>
          <w:color w:val="000000"/>
          <w:lang w:val="fr-FR"/>
        </w:rPr>
        <w:t>…</w:t>
      </w:r>
      <w:r w:rsidRPr="003B5B4E">
        <w:rPr>
          <w:color w:val="000000"/>
          <w:lang w:val="fr-FR"/>
        </w:rPr>
        <w:t>]</w:t>
      </w:r>
      <w:r w:rsidR="007C78DF" w:rsidRPr="003B5B4E">
        <w:rPr>
          <w:color w:val="000000"/>
          <w:lang w:val="fr-FR"/>
        </w:rPr>
        <w:t> »</w:t>
      </w:r>
    </w:p>
    <w:p w14:paraId="18724A78" w14:textId="5AE9064D" w:rsidR="007C78DF" w:rsidRPr="003B5B4E" w:rsidRDefault="007C78DF" w:rsidP="00C67914">
      <w:pPr>
        <w:pStyle w:val="SingleTxt"/>
        <w:numPr>
          <w:ilvl w:val="0"/>
          <w:numId w:val="18"/>
        </w:numPr>
        <w:suppressAutoHyphens/>
        <w:ind w:left="1267" w:firstLine="0"/>
        <w:rPr>
          <w:color w:val="000000"/>
          <w:lang w:val="fr-FR"/>
        </w:rPr>
      </w:pPr>
      <w:r w:rsidRPr="003B5B4E">
        <w:rPr>
          <w:color w:val="000000"/>
          <w:lang w:val="fr-FR"/>
        </w:rPr>
        <w:t>La question du harcèlement sexuel est également régie par les lois des Bahamas. L</w:t>
      </w:r>
      <w:r w:rsidR="00000F67">
        <w:rPr>
          <w:color w:val="000000"/>
          <w:lang w:val="fr-FR"/>
        </w:rPr>
        <w:t>’</w:t>
      </w:r>
      <w:r w:rsidRPr="003B5B4E">
        <w:rPr>
          <w:color w:val="000000"/>
          <w:lang w:val="fr-FR"/>
        </w:rPr>
        <w:t>article 26 1) de la loi relative aux infractions sexuelles dispose</w:t>
      </w:r>
      <w:r w:rsidR="009363E5" w:rsidRPr="003B5B4E">
        <w:rPr>
          <w:color w:val="000000"/>
          <w:lang w:val="fr-FR"/>
        </w:rPr>
        <w:t> </w:t>
      </w:r>
      <w:r w:rsidRPr="003B5B4E">
        <w:rPr>
          <w:color w:val="000000"/>
          <w:lang w:val="fr-FR"/>
        </w:rPr>
        <w:t>:</w:t>
      </w:r>
    </w:p>
    <w:p w14:paraId="739FA1A0" w14:textId="111E4104" w:rsidR="007C78DF" w:rsidRPr="003B5B4E" w:rsidRDefault="009363E5" w:rsidP="009363E5">
      <w:pPr>
        <w:pStyle w:val="SingleTxt"/>
        <w:suppressAutoHyphens/>
        <w:rPr>
          <w:color w:val="000000"/>
          <w:lang w:val="fr-FR"/>
        </w:rPr>
      </w:pPr>
      <w:r w:rsidRPr="003B5B4E">
        <w:rPr>
          <w:color w:val="000000"/>
          <w:lang w:val="fr-FR"/>
        </w:rPr>
        <w:tab/>
      </w:r>
      <w:r w:rsidR="007C78DF" w:rsidRPr="003B5B4E">
        <w:rPr>
          <w:color w:val="000000"/>
          <w:lang w:val="fr-FR"/>
        </w:rPr>
        <w:t>« Quiconque,</w:t>
      </w:r>
    </w:p>
    <w:p w14:paraId="4E0874A1" w14:textId="20D68D7D" w:rsidR="007C78DF" w:rsidRPr="003B5B4E" w:rsidRDefault="009363E5" w:rsidP="009363E5">
      <w:pPr>
        <w:pStyle w:val="SingleTxt"/>
        <w:suppressAutoHyphens/>
        <w:ind w:left="1742" w:hanging="475"/>
        <w:rPr>
          <w:color w:val="000000"/>
          <w:lang w:val="fr-FR"/>
        </w:rPr>
      </w:pPr>
      <w:r w:rsidRPr="003B5B4E">
        <w:rPr>
          <w:color w:val="000000"/>
          <w:lang w:val="fr-FR"/>
        </w:rPr>
        <w:tab/>
      </w:r>
      <w:r w:rsidRPr="003B5B4E">
        <w:rPr>
          <w:color w:val="000000"/>
          <w:lang w:val="fr-FR"/>
        </w:rPr>
        <w:tab/>
      </w:r>
      <w:r w:rsidR="007C78DF" w:rsidRPr="003B5B4E">
        <w:rPr>
          <w:color w:val="000000"/>
          <w:lang w:val="fr-FR"/>
        </w:rPr>
        <w:t>a)</w:t>
      </w:r>
      <w:r w:rsidRPr="003B5B4E">
        <w:rPr>
          <w:color w:val="000000"/>
          <w:lang w:val="fr-FR"/>
        </w:rPr>
        <w:tab/>
      </w:r>
      <w:r w:rsidR="007C78DF" w:rsidRPr="003B5B4E">
        <w:rPr>
          <w:color w:val="000000"/>
          <w:lang w:val="fr-FR"/>
        </w:rPr>
        <w:t>En qualité d</w:t>
      </w:r>
      <w:r w:rsidR="00000F67">
        <w:rPr>
          <w:color w:val="000000"/>
          <w:lang w:val="fr-FR"/>
        </w:rPr>
        <w:t>’</w:t>
      </w:r>
      <w:r w:rsidR="007C78DF" w:rsidRPr="003B5B4E">
        <w:rPr>
          <w:color w:val="000000"/>
          <w:lang w:val="fr-FR"/>
        </w:rPr>
        <w:t>employeur prospectif importune une autre personne ou sollicite ses faveurs sexuelles</w:t>
      </w:r>
      <w:r w:rsidR="00000F67">
        <w:rPr>
          <w:color w:val="000000"/>
          <w:lang w:val="fr-FR"/>
        </w:rPr>
        <w:t> ;</w:t>
      </w:r>
    </w:p>
    <w:p w14:paraId="356F27EB" w14:textId="0272B605" w:rsidR="007C78DF" w:rsidRPr="003B5B4E" w:rsidRDefault="009363E5" w:rsidP="009363E5">
      <w:pPr>
        <w:pStyle w:val="SingleTxt"/>
        <w:suppressAutoHyphens/>
        <w:ind w:left="2218" w:hanging="951"/>
        <w:rPr>
          <w:color w:val="000000"/>
          <w:lang w:val="fr-FR"/>
        </w:rPr>
      </w:pPr>
      <w:r w:rsidRPr="003B5B4E">
        <w:rPr>
          <w:color w:val="000000"/>
          <w:lang w:val="fr-FR"/>
        </w:rPr>
        <w:tab/>
      </w:r>
      <w:r w:rsidRPr="003B5B4E">
        <w:rPr>
          <w:color w:val="000000"/>
          <w:lang w:val="fr-FR"/>
        </w:rPr>
        <w:tab/>
      </w:r>
      <w:r w:rsidRPr="003B5B4E">
        <w:rPr>
          <w:color w:val="000000"/>
          <w:lang w:val="fr-FR"/>
        </w:rPr>
        <w:tab/>
      </w:r>
      <w:r w:rsidR="007C78DF" w:rsidRPr="003B5B4E">
        <w:rPr>
          <w:color w:val="000000"/>
          <w:lang w:val="fr-FR"/>
        </w:rPr>
        <w:t>i)</w:t>
      </w:r>
      <w:r w:rsidRPr="003B5B4E">
        <w:rPr>
          <w:color w:val="000000"/>
          <w:lang w:val="fr-FR"/>
        </w:rPr>
        <w:tab/>
      </w:r>
      <w:r w:rsidR="007C78DF" w:rsidRPr="003B5B4E">
        <w:rPr>
          <w:color w:val="000000"/>
          <w:lang w:val="fr-FR"/>
        </w:rPr>
        <w:t>Dans les termes ou conditions par lesquels il offre à cette personne ou à toute autre personne, un emploi ou un accès à une institution</w:t>
      </w:r>
      <w:r w:rsidR="00000F67">
        <w:rPr>
          <w:color w:val="000000"/>
          <w:lang w:val="fr-FR"/>
        </w:rPr>
        <w:t> ;</w:t>
      </w:r>
      <w:r w:rsidR="007C78DF" w:rsidRPr="003B5B4E">
        <w:rPr>
          <w:color w:val="000000"/>
          <w:lang w:val="fr-FR"/>
        </w:rPr>
        <w:t xml:space="preserve"> ou</w:t>
      </w:r>
    </w:p>
    <w:p w14:paraId="045B3DA3" w14:textId="530BCC79" w:rsidR="007C78DF" w:rsidRPr="003B5B4E" w:rsidRDefault="009363E5" w:rsidP="009363E5">
      <w:pPr>
        <w:pStyle w:val="SingleTxt"/>
        <w:suppressAutoHyphens/>
        <w:ind w:left="2218" w:hanging="951"/>
        <w:rPr>
          <w:color w:val="000000"/>
          <w:lang w:val="fr-FR"/>
        </w:rPr>
      </w:pPr>
      <w:r w:rsidRPr="003B5B4E">
        <w:rPr>
          <w:color w:val="000000"/>
          <w:lang w:val="fr-FR"/>
        </w:rPr>
        <w:tab/>
      </w:r>
      <w:r w:rsidRPr="003B5B4E">
        <w:rPr>
          <w:color w:val="000000"/>
          <w:lang w:val="fr-FR"/>
        </w:rPr>
        <w:tab/>
      </w:r>
      <w:r w:rsidRPr="003B5B4E">
        <w:rPr>
          <w:color w:val="000000"/>
          <w:lang w:val="fr-FR"/>
        </w:rPr>
        <w:tab/>
      </w:r>
      <w:r w:rsidR="007C78DF" w:rsidRPr="003B5B4E">
        <w:rPr>
          <w:color w:val="000000"/>
          <w:lang w:val="fr-FR"/>
        </w:rPr>
        <w:t>ii)</w:t>
      </w:r>
      <w:r w:rsidRPr="003B5B4E">
        <w:rPr>
          <w:color w:val="000000"/>
          <w:lang w:val="fr-FR"/>
        </w:rPr>
        <w:tab/>
      </w:r>
      <w:r w:rsidR="007C78DF" w:rsidRPr="003B5B4E">
        <w:rPr>
          <w:color w:val="000000"/>
          <w:lang w:val="fr-FR"/>
        </w:rPr>
        <w:t>Sous la menace de rejeter (de façon implicite ou non) toute demande formulée par cette personne ou par toute autre personne en vue d</w:t>
      </w:r>
      <w:r w:rsidR="00000F67">
        <w:rPr>
          <w:color w:val="000000"/>
          <w:lang w:val="fr-FR"/>
        </w:rPr>
        <w:t>’</w:t>
      </w:r>
      <w:r w:rsidR="007C78DF" w:rsidRPr="003B5B4E">
        <w:rPr>
          <w:color w:val="000000"/>
          <w:lang w:val="fr-FR"/>
        </w:rPr>
        <w:t>obtenir un emploi ou d</w:t>
      </w:r>
      <w:r w:rsidR="00000F67">
        <w:rPr>
          <w:color w:val="000000"/>
          <w:lang w:val="fr-FR"/>
        </w:rPr>
        <w:t>’</w:t>
      </w:r>
      <w:r w:rsidR="007C78DF" w:rsidRPr="003B5B4E">
        <w:rPr>
          <w:color w:val="000000"/>
          <w:lang w:val="fr-FR"/>
        </w:rPr>
        <w:t>être admise dans une institution, ou pour avoir causé ce rejet</w:t>
      </w:r>
      <w:r w:rsidR="00000F67">
        <w:rPr>
          <w:color w:val="000000"/>
          <w:lang w:val="fr-FR"/>
        </w:rPr>
        <w:t> ;</w:t>
      </w:r>
    </w:p>
    <w:p w14:paraId="3B5852D5" w14:textId="2E7EAC66" w:rsidR="007C78DF" w:rsidRPr="003B5B4E" w:rsidRDefault="009363E5" w:rsidP="009363E5">
      <w:pPr>
        <w:pStyle w:val="SingleTxt"/>
        <w:suppressAutoHyphens/>
        <w:ind w:left="1742" w:hanging="475"/>
        <w:rPr>
          <w:color w:val="000000"/>
          <w:lang w:val="fr-FR"/>
        </w:rPr>
      </w:pPr>
      <w:r w:rsidRPr="003B5B4E">
        <w:rPr>
          <w:color w:val="000000"/>
          <w:lang w:val="fr-FR"/>
        </w:rPr>
        <w:tab/>
      </w:r>
      <w:r w:rsidRPr="003B5B4E">
        <w:rPr>
          <w:color w:val="000000"/>
          <w:lang w:val="fr-FR"/>
        </w:rPr>
        <w:tab/>
      </w:r>
      <w:r w:rsidR="007C78DF" w:rsidRPr="003B5B4E">
        <w:rPr>
          <w:color w:val="000000"/>
          <w:lang w:val="fr-FR"/>
        </w:rPr>
        <w:t>b)</w:t>
      </w:r>
      <w:r w:rsidRPr="003B5B4E">
        <w:rPr>
          <w:color w:val="000000"/>
          <w:lang w:val="fr-FR"/>
        </w:rPr>
        <w:tab/>
      </w:r>
      <w:r w:rsidR="007C78DF" w:rsidRPr="003B5B4E">
        <w:rPr>
          <w:color w:val="000000"/>
          <w:lang w:val="fr-FR"/>
        </w:rPr>
        <w:t>Étant dans une situation d</w:t>
      </w:r>
      <w:r w:rsidR="00000F67">
        <w:rPr>
          <w:color w:val="000000"/>
          <w:lang w:val="fr-FR"/>
        </w:rPr>
        <w:t>’</w:t>
      </w:r>
      <w:r w:rsidR="007C78DF" w:rsidRPr="003B5B4E">
        <w:rPr>
          <w:color w:val="000000"/>
          <w:lang w:val="fr-FR"/>
        </w:rPr>
        <w:t>autorité par rapport à une autre personne ou étant le collègue d</w:t>
      </w:r>
      <w:r w:rsidR="00000F67">
        <w:rPr>
          <w:color w:val="000000"/>
          <w:lang w:val="fr-FR"/>
        </w:rPr>
        <w:t>’</w:t>
      </w:r>
      <w:r w:rsidR="007C78DF" w:rsidRPr="003B5B4E">
        <w:rPr>
          <w:color w:val="000000"/>
          <w:lang w:val="fr-FR"/>
        </w:rPr>
        <w:t>une autre personne dans un lieu de travail ou dans une institution, importune cette autre personne ou sollicite ses faveurs sexuelles en faisant naître toute forme d</w:t>
      </w:r>
      <w:r w:rsidR="00000F67">
        <w:rPr>
          <w:color w:val="000000"/>
          <w:lang w:val="fr-FR"/>
        </w:rPr>
        <w:t>’</w:t>
      </w:r>
      <w:r w:rsidR="007C78DF" w:rsidRPr="003B5B4E">
        <w:rPr>
          <w:color w:val="000000"/>
          <w:lang w:val="fr-FR"/>
        </w:rPr>
        <w:t>espoir, de promesse ou de menace, de don ou de faveurs, d</w:t>
      </w:r>
      <w:r w:rsidR="00000F67">
        <w:rPr>
          <w:color w:val="000000"/>
          <w:lang w:val="fr-FR"/>
        </w:rPr>
        <w:t>’</w:t>
      </w:r>
      <w:r w:rsidR="007C78DF" w:rsidRPr="003B5B4E">
        <w:rPr>
          <w:color w:val="000000"/>
          <w:lang w:val="fr-FR"/>
        </w:rPr>
        <w:t>avantages ou de pénalisations, selon le cas, dans un lieu de travail ou dans une institution</w:t>
      </w:r>
      <w:r w:rsidR="00000F67">
        <w:rPr>
          <w:color w:val="000000"/>
          <w:lang w:val="fr-FR"/>
        </w:rPr>
        <w:t> ;</w:t>
      </w:r>
      <w:r w:rsidR="007C78DF" w:rsidRPr="003B5B4E">
        <w:rPr>
          <w:color w:val="000000"/>
          <w:lang w:val="fr-FR"/>
        </w:rPr>
        <w:t xml:space="preserve"> ou</w:t>
      </w:r>
    </w:p>
    <w:p w14:paraId="466E8D32" w14:textId="5B9BC8AA" w:rsidR="007C78DF" w:rsidRPr="0015519F" w:rsidRDefault="009363E5" w:rsidP="009363E5">
      <w:pPr>
        <w:pStyle w:val="SingleTxt"/>
        <w:suppressAutoHyphens/>
        <w:ind w:left="1742" w:hanging="475"/>
        <w:rPr>
          <w:color w:val="000000"/>
          <w:sz w:val="17"/>
          <w:szCs w:val="17"/>
          <w:lang w:val="fr-FR"/>
        </w:rPr>
      </w:pPr>
      <w:r w:rsidRPr="003B5B4E">
        <w:rPr>
          <w:color w:val="000000"/>
          <w:lang w:val="fr-FR"/>
        </w:rPr>
        <w:tab/>
      </w:r>
      <w:r w:rsidRPr="003B5B4E">
        <w:rPr>
          <w:color w:val="000000"/>
          <w:lang w:val="fr-FR"/>
        </w:rPr>
        <w:tab/>
      </w:r>
      <w:r w:rsidR="007C78DF" w:rsidRPr="003B5B4E">
        <w:rPr>
          <w:color w:val="000000"/>
          <w:lang w:val="fr-FR"/>
        </w:rPr>
        <w:t>c)</w:t>
      </w:r>
      <w:r w:rsidRPr="003B5B4E">
        <w:rPr>
          <w:color w:val="000000"/>
          <w:lang w:val="fr-FR"/>
        </w:rPr>
        <w:tab/>
      </w:r>
      <w:r w:rsidR="007C78DF" w:rsidRPr="003B5B4E">
        <w:rPr>
          <w:color w:val="000000"/>
          <w:lang w:val="fr-FR"/>
        </w:rPr>
        <w:t>Importune ou sollicite d</w:t>
      </w:r>
      <w:r w:rsidR="00000F67">
        <w:rPr>
          <w:color w:val="000000"/>
          <w:lang w:val="fr-FR"/>
        </w:rPr>
        <w:t>’</w:t>
      </w:r>
      <w:r w:rsidR="007C78DF" w:rsidRPr="003B5B4E">
        <w:rPr>
          <w:color w:val="000000"/>
          <w:lang w:val="fr-FR"/>
        </w:rPr>
        <w:t>une personne en situation d</w:t>
      </w:r>
      <w:r w:rsidR="00000F67">
        <w:rPr>
          <w:color w:val="000000"/>
          <w:lang w:val="fr-FR"/>
        </w:rPr>
        <w:t>’</w:t>
      </w:r>
      <w:r w:rsidR="007C78DF" w:rsidRPr="003B5B4E">
        <w:rPr>
          <w:color w:val="000000"/>
          <w:lang w:val="fr-FR"/>
        </w:rPr>
        <w:t xml:space="preserve">autorité dans un lieu de travail ou une institution, une faveur, un bénéfice ou un avantage, ou </w:t>
      </w:r>
      <w:r w:rsidR="007C78DF" w:rsidRPr="003B5B4E">
        <w:rPr>
          <w:color w:val="000000"/>
          <w:lang w:val="fr-FR"/>
        </w:rPr>
        <w:lastRenderedPageBreak/>
        <w:t>l</w:t>
      </w:r>
      <w:r w:rsidR="00000F67">
        <w:rPr>
          <w:color w:val="000000"/>
          <w:lang w:val="fr-FR"/>
        </w:rPr>
        <w:t>’</w:t>
      </w:r>
      <w:r w:rsidR="007C78DF" w:rsidRPr="003B5B4E">
        <w:rPr>
          <w:color w:val="000000"/>
          <w:lang w:val="fr-FR"/>
        </w:rPr>
        <w:t>empêche d</w:t>
      </w:r>
      <w:r w:rsidR="00000F67">
        <w:rPr>
          <w:color w:val="000000"/>
          <w:lang w:val="fr-FR"/>
        </w:rPr>
        <w:t>’</w:t>
      </w:r>
      <w:r w:rsidR="007C78DF" w:rsidRPr="003B5B4E">
        <w:rPr>
          <w:color w:val="000000"/>
          <w:lang w:val="fr-FR"/>
        </w:rPr>
        <w:t>exercer un droit, un pouvoir ou une mission du fait de cette autorité en formulant une promesse de faveurs sexuelles, est coupable de l</w:t>
      </w:r>
      <w:r w:rsidR="00000F67">
        <w:rPr>
          <w:color w:val="000000"/>
          <w:lang w:val="fr-FR"/>
        </w:rPr>
        <w:t>’</w:t>
      </w:r>
      <w:r w:rsidR="007C78DF" w:rsidRPr="003B5B4E">
        <w:rPr>
          <w:color w:val="000000"/>
          <w:lang w:val="fr-FR"/>
        </w:rPr>
        <w:t>infraction de harcèlement sexuel. »</w:t>
      </w:r>
    </w:p>
    <w:p w14:paraId="41CE76D6" w14:textId="41C51F48" w:rsidR="009363E5" w:rsidRPr="009363E5" w:rsidRDefault="009363E5" w:rsidP="009363E5">
      <w:pPr>
        <w:pStyle w:val="SingleTxt"/>
        <w:suppressAutoHyphens/>
        <w:spacing w:after="0" w:line="120" w:lineRule="exact"/>
        <w:rPr>
          <w:b/>
          <w:color w:val="000000"/>
          <w:sz w:val="10"/>
          <w:szCs w:val="17"/>
          <w:lang w:val="fr-FR"/>
        </w:rPr>
      </w:pPr>
    </w:p>
    <w:p w14:paraId="424DDE27" w14:textId="40506592" w:rsidR="009363E5" w:rsidRPr="009363E5" w:rsidRDefault="009363E5" w:rsidP="009363E5">
      <w:pPr>
        <w:pStyle w:val="SingleTxt"/>
        <w:suppressAutoHyphens/>
        <w:spacing w:after="0" w:line="120" w:lineRule="exact"/>
        <w:rPr>
          <w:b/>
          <w:color w:val="000000"/>
          <w:sz w:val="10"/>
          <w:szCs w:val="17"/>
          <w:lang w:val="fr-FR"/>
        </w:rPr>
      </w:pPr>
    </w:p>
    <w:p w14:paraId="1A2B8C83" w14:textId="531B3857" w:rsidR="007C78DF" w:rsidRPr="0015519F" w:rsidRDefault="009363E5" w:rsidP="003E3E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78DF" w:rsidRPr="0015519F">
        <w:rPr>
          <w:lang w:val="fr-FR"/>
        </w:rPr>
        <w:t>Santé</w:t>
      </w:r>
    </w:p>
    <w:p w14:paraId="461C5B7C" w14:textId="564D3C1E" w:rsidR="009363E5" w:rsidRPr="009363E5" w:rsidRDefault="009363E5" w:rsidP="003E3E88">
      <w:pPr>
        <w:pStyle w:val="SingleTxt"/>
        <w:keepNext/>
        <w:keepLines/>
        <w:suppressAutoHyphens/>
        <w:spacing w:after="0" w:line="120" w:lineRule="exact"/>
        <w:rPr>
          <w:color w:val="000000"/>
          <w:sz w:val="10"/>
          <w:szCs w:val="17"/>
          <w:lang w:val="fr-FR"/>
        </w:rPr>
      </w:pPr>
    </w:p>
    <w:p w14:paraId="6C0834EB" w14:textId="11E31C67" w:rsidR="009363E5" w:rsidRPr="009363E5" w:rsidRDefault="009363E5" w:rsidP="003E3E88">
      <w:pPr>
        <w:pStyle w:val="SingleTxt"/>
        <w:keepNext/>
        <w:keepLines/>
        <w:suppressAutoHyphens/>
        <w:spacing w:after="0" w:line="120" w:lineRule="exact"/>
        <w:rPr>
          <w:color w:val="000000"/>
          <w:sz w:val="10"/>
          <w:szCs w:val="17"/>
          <w:lang w:val="fr-FR"/>
        </w:rPr>
      </w:pPr>
    </w:p>
    <w:p w14:paraId="13BA2CCC" w14:textId="206B72FD" w:rsidR="007C78DF" w:rsidRPr="003B5B4E" w:rsidRDefault="007C78DF" w:rsidP="00C67914">
      <w:pPr>
        <w:pStyle w:val="SingleTxt"/>
        <w:numPr>
          <w:ilvl w:val="0"/>
          <w:numId w:val="18"/>
        </w:numPr>
        <w:suppressAutoHyphens/>
        <w:ind w:left="1267" w:firstLine="0"/>
        <w:rPr>
          <w:b/>
          <w:color w:val="000000"/>
          <w:lang w:val="fr-FR"/>
        </w:rPr>
      </w:pPr>
      <w:r w:rsidRPr="003B5B4E">
        <w:rPr>
          <w:color w:val="000000"/>
          <w:lang w:val="fr-FR"/>
        </w:rPr>
        <w:t>Veuillez donner des informations sur</w:t>
      </w:r>
      <w:r w:rsidR="001F77A2">
        <w:rPr>
          <w:color w:val="000000"/>
          <w:lang w:val="fr-FR"/>
        </w:rPr>
        <w:t> </w:t>
      </w:r>
      <w:r w:rsidRPr="003B5B4E">
        <w:rPr>
          <w:color w:val="000000"/>
          <w:lang w:val="fr-FR"/>
        </w:rPr>
        <w:t>: a) le pourcentage du budget national consacré à la santé des femmes</w:t>
      </w:r>
      <w:r w:rsidR="00000F67">
        <w:rPr>
          <w:color w:val="000000"/>
          <w:lang w:val="fr-FR"/>
        </w:rPr>
        <w:t> ;</w:t>
      </w:r>
      <w:r w:rsidRPr="003B5B4E">
        <w:rPr>
          <w:color w:val="000000"/>
          <w:lang w:val="fr-FR"/>
        </w:rPr>
        <w:t xml:space="preserve"> b) le taux de mortalité maternelle</w:t>
      </w:r>
      <w:r w:rsidR="00000F67">
        <w:rPr>
          <w:color w:val="000000"/>
          <w:lang w:val="fr-FR"/>
        </w:rPr>
        <w:t> ;</w:t>
      </w:r>
      <w:r w:rsidR="005F31C2">
        <w:rPr>
          <w:color w:val="000000"/>
          <w:lang w:val="fr-FR"/>
        </w:rPr>
        <w:t xml:space="preserve"> </w:t>
      </w:r>
      <w:r w:rsidRPr="003B5B4E">
        <w:rPr>
          <w:color w:val="000000"/>
          <w:lang w:val="fr-FR"/>
        </w:rPr>
        <w:t>et c) l</w:t>
      </w:r>
      <w:r w:rsidR="00000F67">
        <w:rPr>
          <w:color w:val="000000"/>
          <w:lang w:val="fr-FR"/>
        </w:rPr>
        <w:t>’</w:t>
      </w:r>
      <w:r w:rsidRPr="003B5B4E">
        <w:rPr>
          <w:color w:val="000000"/>
          <w:lang w:val="fr-FR"/>
        </w:rPr>
        <w:t>accès des femmes aux soins de santé de base, notamment aux soins obstétriques essentiels et aux soins de santé sexuelle et procréative.</w:t>
      </w:r>
      <w:r w:rsidR="00DA5529">
        <w:rPr>
          <w:color w:val="000000"/>
          <w:lang w:val="fr-FR"/>
        </w:rPr>
        <w:t xml:space="preserve"> </w:t>
      </w:r>
      <w:r w:rsidRPr="003B5B4E">
        <w:rPr>
          <w:color w:val="000000"/>
          <w:lang w:val="fr-FR"/>
        </w:rPr>
        <w:t>Veuillez également informer le Comité des mesures prises pour élargir les conditions dans lesquelles un avortement peut être pratiqué légalement, notamment dans les cas de viol, d</w:t>
      </w:r>
      <w:r w:rsidR="00000F67">
        <w:rPr>
          <w:color w:val="000000"/>
          <w:lang w:val="fr-FR"/>
        </w:rPr>
        <w:t>’</w:t>
      </w:r>
      <w:r w:rsidRPr="003B5B4E">
        <w:rPr>
          <w:color w:val="000000"/>
          <w:lang w:val="fr-FR"/>
        </w:rPr>
        <w:t>inceste ou de grave malformation fœtale, et de danger pour la santé de la mère (voir CEDAW/C/BHS/Q/6, par.</w:t>
      </w:r>
      <w:r w:rsidR="003B5B4E">
        <w:rPr>
          <w:color w:val="000000"/>
          <w:lang w:val="fr-FR"/>
        </w:rPr>
        <w:t> </w:t>
      </w:r>
      <w:r w:rsidRPr="003B5B4E">
        <w:rPr>
          <w:color w:val="000000"/>
          <w:lang w:val="fr-FR"/>
        </w:rPr>
        <w:t>14).</w:t>
      </w:r>
    </w:p>
    <w:p w14:paraId="7F7D295A" w14:textId="40D7C72D" w:rsidR="009363E5" w:rsidRPr="00A45056" w:rsidRDefault="009363E5" w:rsidP="00A45056">
      <w:pPr>
        <w:pStyle w:val="SingleTxt"/>
        <w:spacing w:after="0" w:line="120" w:lineRule="exact"/>
        <w:rPr>
          <w:sz w:val="10"/>
          <w:lang w:val="fr-FR"/>
        </w:rPr>
      </w:pPr>
    </w:p>
    <w:p w14:paraId="68555238" w14:textId="076B18D5" w:rsidR="007C78DF" w:rsidRPr="003B5B4E" w:rsidRDefault="003E3E88"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B5B4E">
        <w:rPr>
          <w:lang w:val="fr-FR"/>
        </w:rPr>
        <w:tab/>
      </w:r>
      <w:r w:rsidRPr="003B5B4E">
        <w:rPr>
          <w:lang w:val="fr-FR"/>
        </w:rPr>
        <w:tab/>
      </w:r>
      <w:r w:rsidR="007C78DF" w:rsidRPr="003B5B4E">
        <w:rPr>
          <w:lang w:val="fr-FR"/>
        </w:rPr>
        <w:t>Réponse</w:t>
      </w:r>
    </w:p>
    <w:p w14:paraId="76BB4929" w14:textId="0A3818B1" w:rsidR="009363E5" w:rsidRPr="00A45056" w:rsidRDefault="009363E5" w:rsidP="00A45056">
      <w:pPr>
        <w:pStyle w:val="SingleTxt"/>
        <w:spacing w:after="0" w:line="120" w:lineRule="exact"/>
        <w:rPr>
          <w:sz w:val="10"/>
          <w:lang w:val="fr-FR"/>
        </w:rPr>
      </w:pPr>
    </w:p>
    <w:p w14:paraId="2C400C75" w14:textId="353727BD" w:rsidR="007C78DF" w:rsidRPr="003B5B4E" w:rsidRDefault="007C78DF" w:rsidP="00C67914">
      <w:pPr>
        <w:pStyle w:val="SingleTxt"/>
        <w:numPr>
          <w:ilvl w:val="0"/>
          <w:numId w:val="19"/>
        </w:numPr>
        <w:suppressAutoHyphens/>
        <w:rPr>
          <w:color w:val="000000"/>
          <w:lang w:val="fr-FR"/>
        </w:rPr>
      </w:pPr>
      <w:r w:rsidRPr="003B5B4E">
        <w:rPr>
          <w:color w:val="000000"/>
          <w:lang w:val="fr-FR"/>
        </w:rPr>
        <w:t>En 2017, le Gouvernement bahamien a augmenté les ressources destinées au secteur de la santé de 300 millions de dollars. Cependant, il n</w:t>
      </w:r>
      <w:r w:rsidR="00000F67">
        <w:rPr>
          <w:color w:val="000000"/>
          <w:lang w:val="fr-FR"/>
        </w:rPr>
        <w:t>’</w:t>
      </w:r>
      <w:r w:rsidRPr="003B5B4E">
        <w:rPr>
          <w:color w:val="000000"/>
          <w:lang w:val="fr-FR"/>
        </w:rPr>
        <w:t>existe pas de données concernant spécifiquement la santé des femmes. Les ressources couvrant les soins d</w:t>
      </w:r>
      <w:r w:rsidR="00000F67">
        <w:rPr>
          <w:color w:val="000000"/>
          <w:lang w:val="fr-FR"/>
        </w:rPr>
        <w:t>’</w:t>
      </w:r>
      <w:r w:rsidRPr="003B5B4E">
        <w:rPr>
          <w:color w:val="000000"/>
          <w:lang w:val="fr-FR"/>
        </w:rPr>
        <w:t>urgence prodigués aux femmes, leur hospitalisation et les visites dans des cliniques ou des laboratoires et des services d</w:t>
      </w:r>
      <w:r w:rsidR="00000F67">
        <w:rPr>
          <w:color w:val="000000"/>
          <w:lang w:val="fr-FR"/>
        </w:rPr>
        <w:t>’</w:t>
      </w:r>
      <w:r w:rsidRPr="003B5B4E">
        <w:rPr>
          <w:color w:val="000000"/>
          <w:lang w:val="fr-FR"/>
        </w:rPr>
        <w:t>imagerie sont inscrites dans le budget de la Public Hospital Authority (Direction des hôpitaux publics) qui gère les soins donnés dans les hôpitaux, à savoir le Princess Margaret Hospital, le Rand Memorial Hospital et le Sandiland</w:t>
      </w:r>
      <w:r w:rsidR="00000F67">
        <w:rPr>
          <w:color w:val="000000"/>
          <w:lang w:val="fr-FR"/>
        </w:rPr>
        <w:t>’</w:t>
      </w:r>
      <w:r w:rsidRPr="003B5B4E">
        <w:rPr>
          <w:color w:val="000000"/>
          <w:lang w:val="fr-FR"/>
        </w:rPr>
        <w:t>s Rehabilitation Centre. Le montant total du budget alloué au Département de la santé publique pour couvrir les soins prénatals et postnatals des femmes et les soins de santé sexuelle et procréative est de 5 millions de dollars. Il faut aussi tenir compte des ressources budgétaires de la Public Hospital Authority qui couvrent les soins prodigués aux femmes dans les structures hospitalières.</w:t>
      </w:r>
    </w:p>
    <w:p w14:paraId="302A9D60" w14:textId="2EB87B0B" w:rsidR="007C78DF" w:rsidRDefault="007C78DF" w:rsidP="00C67914">
      <w:pPr>
        <w:pStyle w:val="SingleTxt"/>
        <w:numPr>
          <w:ilvl w:val="0"/>
          <w:numId w:val="19"/>
        </w:numPr>
        <w:suppressAutoHyphens/>
        <w:rPr>
          <w:color w:val="000000"/>
          <w:lang w:val="fr-FR"/>
        </w:rPr>
      </w:pPr>
      <w:r w:rsidRPr="003B5B4E">
        <w:rPr>
          <w:color w:val="000000"/>
          <w:lang w:val="fr-FR"/>
        </w:rPr>
        <w:t>Le nombre total de femmes décédées lors de leur grossesse et des 42 jours suivant l</w:t>
      </w:r>
      <w:r w:rsidR="00000F67">
        <w:rPr>
          <w:color w:val="000000"/>
          <w:lang w:val="fr-FR"/>
        </w:rPr>
        <w:t>’</w:t>
      </w:r>
      <w:r w:rsidRPr="003B5B4E">
        <w:rPr>
          <w:color w:val="000000"/>
          <w:lang w:val="fr-FR"/>
        </w:rPr>
        <w:t>accouchement est indiqué dans le tableau 7 ci-dessous.</w:t>
      </w:r>
    </w:p>
    <w:p w14:paraId="5A19ABA4" w14:textId="25DAAA17" w:rsidR="005F31C2" w:rsidRPr="005F31C2" w:rsidRDefault="005F31C2" w:rsidP="005F31C2">
      <w:pPr>
        <w:pStyle w:val="SingleTxt"/>
        <w:tabs>
          <w:tab w:val="clear" w:pos="1742"/>
        </w:tabs>
        <w:suppressAutoHyphens/>
        <w:spacing w:after="0" w:line="120" w:lineRule="exact"/>
        <w:rPr>
          <w:color w:val="000000"/>
          <w:sz w:val="10"/>
          <w:lang w:val="fr-FR"/>
        </w:rPr>
      </w:pPr>
    </w:p>
    <w:p w14:paraId="6DE4408B" w14:textId="1C501DF8" w:rsidR="007C78DF" w:rsidRPr="005F31C2" w:rsidRDefault="005F31C2" w:rsidP="005F31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007C78DF" w:rsidRPr="005F31C2">
        <w:rPr>
          <w:b w:val="0"/>
          <w:lang w:val="fr-FR"/>
        </w:rPr>
        <w:t>Tableau 7</w:t>
      </w:r>
    </w:p>
    <w:p w14:paraId="01ED252E" w14:textId="1A54FF28" w:rsidR="005F31C2" w:rsidRPr="005F31C2" w:rsidRDefault="005F31C2" w:rsidP="005F31C2">
      <w:pPr>
        <w:pStyle w:val="SingleTxt"/>
        <w:suppressAutoHyphens/>
        <w:spacing w:after="0" w:line="120" w:lineRule="exact"/>
        <w:rPr>
          <w:sz w:val="10"/>
          <w:szCs w:val="17"/>
          <w:lang w:val="fr-FR"/>
        </w:rPr>
      </w:pPr>
    </w:p>
    <w:p w14:paraId="49CD6F88" w14:textId="77777777" w:rsidR="005F31C2" w:rsidRPr="005F31C2" w:rsidRDefault="005F31C2" w:rsidP="005F31C2">
      <w:pPr>
        <w:pStyle w:val="SingleTxt"/>
        <w:suppressAutoHyphens/>
        <w:spacing w:after="0" w:line="120" w:lineRule="exact"/>
        <w:rPr>
          <w:sz w:val="10"/>
          <w:szCs w:val="17"/>
          <w:lang w:val="fr-FR"/>
        </w:rPr>
      </w:pPr>
    </w:p>
    <w:tbl>
      <w:tblPr>
        <w:tblW w:w="0" w:type="auto"/>
        <w:tblInd w:w="1278" w:type="dxa"/>
        <w:tblLayout w:type="fixed"/>
        <w:tblCellMar>
          <w:left w:w="0" w:type="dxa"/>
          <w:right w:w="0" w:type="dxa"/>
        </w:tblCellMar>
        <w:tblLook w:val="0000" w:firstRow="0" w:lastRow="0" w:firstColumn="0" w:lastColumn="0" w:noHBand="0" w:noVBand="0"/>
      </w:tblPr>
      <w:tblGrid>
        <w:gridCol w:w="3750"/>
        <w:gridCol w:w="3576"/>
      </w:tblGrid>
      <w:tr w:rsidR="005F31C2" w:rsidRPr="005F31C2" w14:paraId="48F1DBE6" w14:textId="77777777" w:rsidTr="005F31C2">
        <w:trPr>
          <w:tblHeader/>
        </w:trPr>
        <w:tc>
          <w:tcPr>
            <w:tcW w:w="3750" w:type="dxa"/>
            <w:tcBorders>
              <w:top w:val="single" w:sz="4" w:space="0" w:color="auto"/>
              <w:bottom w:val="single" w:sz="12" w:space="0" w:color="auto"/>
            </w:tcBorders>
            <w:shd w:val="clear" w:color="auto" w:fill="auto"/>
            <w:vAlign w:val="bottom"/>
          </w:tcPr>
          <w:p w14:paraId="43CF88DF" w14:textId="147D80A9" w:rsidR="005F31C2" w:rsidRPr="005F31C2" w:rsidRDefault="005F31C2" w:rsidP="005F31C2">
            <w:pPr>
              <w:tabs>
                <w:tab w:val="left" w:pos="288"/>
                <w:tab w:val="left" w:pos="576"/>
                <w:tab w:val="left" w:pos="864"/>
                <w:tab w:val="left" w:pos="1152"/>
              </w:tabs>
              <w:suppressAutoHyphens/>
              <w:spacing w:before="81" w:after="81" w:line="160" w:lineRule="exact"/>
              <w:ind w:right="40"/>
              <w:rPr>
                <w:i/>
                <w:sz w:val="14"/>
                <w:lang w:val="fr-FR"/>
              </w:rPr>
            </w:pPr>
            <w:r>
              <w:rPr>
                <w:i/>
                <w:sz w:val="14"/>
                <w:lang w:val="fr-FR"/>
              </w:rPr>
              <w:t>Année</w:t>
            </w:r>
          </w:p>
        </w:tc>
        <w:tc>
          <w:tcPr>
            <w:tcW w:w="3576" w:type="dxa"/>
            <w:tcBorders>
              <w:top w:val="single" w:sz="4" w:space="0" w:color="auto"/>
              <w:bottom w:val="single" w:sz="12" w:space="0" w:color="auto"/>
            </w:tcBorders>
            <w:shd w:val="clear" w:color="auto" w:fill="auto"/>
            <w:vAlign w:val="bottom"/>
          </w:tcPr>
          <w:p w14:paraId="0BC2BDA3" w14:textId="685B86F3" w:rsidR="005F31C2" w:rsidRPr="005F31C2" w:rsidRDefault="005F31C2" w:rsidP="005F31C2">
            <w:pPr>
              <w:tabs>
                <w:tab w:val="left" w:pos="288"/>
                <w:tab w:val="left" w:pos="576"/>
                <w:tab w:val="left" w:pos="864"/>
                <w:tab w:val="left" w:pos="1152"/>
              </w:tabs>
              <w:suppressAutoHyphens/>
              <w:spacing w:before="81" w:after="81" w:line="160" w:lineRule="exact"/>
              <w:ind w:left="144" w:right="43"/>
              <w:jc w:val="right"/>
              <w:rPr>
                <w:i/>
                <w:sz w:val="14"/>
                <w:lang w:val="fr-FR"/>
              </w:rPr>
            </w:pPr>
            <w:r>
              <w:rPr>
                <w:i/>
                <w:sz w:val="14"/>
                <w:lang w:val="fr-FR"/>
              </w:rPr>
              <w:t>Nombre de décès</w:t>
            </w:r>
          </w:p>
        </w:tc>
      </w:tr>
      <w:tr w:rsidR="005F31C2" w:rsidRPr="005F31C2" w14:paraId="15A953EE" w14:textId="77777777" w:rsidTr="005F31C2">
        <w:trPr>
          <w:trHeight w:hRule="exact" w:val="115"/>
          <w:tblHeader/>
        </w:trPr>
        <w:tc>
          <w:tcPr>
            <w:tcW w:w="3750" w:type="dxa"/>
            <w:tcBorders>
              <w:top w:val="single" w:sz="12" w:space="0" w:color="auto"/>
            </w:tcBorders>
            <w:shd w:val="clear" w:color="auto" w:fill="auto"/>
            <w:vAlign w:val="bottom"/>
          </w:tcPr>
          <w:p w14:paraId="6A552287" w14:textId="77777777" w:rsidR="005F31C2" w:rsidRPr="005F31C2" w:rsidRDefault="005F31C2" w:rsidP="005F31C2">
            <w:pPr>
              <w:tabs>
                <w:tab w:val="left" w:pos="288"/>
                <w:tab w:val="left" w:pos="576"/>
                <w:tab w:val="left" w:pos="864"/>
                <w:tab w:val="left" w:pos="1152"/>
              </w:tabs>
              <w:suppressAutoHyphens/>
              <w:spacing w:before="40" w:after="40" w:line="210" w:lineRule="exact"/>
              <w:ind w:right="40"/>
              <w:rPr>
                <w:sz w:val="17"/>
                <w:lang w:val="fr-FR"/>
              </w:rPr>
            </w:pPr>
          </w:p>
        </w:tc>
        <w:tc>
          <w:tcPr>
            <w:tcW w:w="3576" w:type="dxa"/>
            <w:tcBorders>
              <w:top w:val="single" w:sz="12" w:space="0" w:color="auto"/>
            </w:tcBorders>
            <w:shd w:val="clear" w:color="auto" w:fill="auto"/>
            <w:vAlign w:val="bottom"/>
          </w:tcPr>
          <w:p w14:paraId="5F1A7938" w14:textId="77777777" w:rsidR="005F31C2" w:rsidRPr="005F31C2" w:rsidRDefault="005F31C2" w:rsidP="005F31C2">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5F31C2" w:rsidRPr="005F31C2" w14:paraId="52CB9554" w14:textId="77777777" w:rsidTr="005F31C2">
        <w:tc>
          <w:tcPr>
            <w:tcW w:w="3750" w:type="dxa"/>
            <w:shd w:val="clear" w:color="auto" w:fill="auto"/>
            <w:vAlign w:val="bottom"/>
          </w:tcPr>
          <w:p w14:paraId="018DDD8D" w14:textId="2FC3A976" w:rsidR="005F31C2" w:rsidRPr="005F31C2" w:rsidRDefault="005F31C2" w:rsidP="005F31C2">
            <w:pPr>
              <w:tabs>
                <w:tab w:val="left" w:pos="288"/>
                <w:tab w:val="left" w:pos="576"/>
                <w:tab w:val="left" w:pos="864"/>
                <w:tab w:val="left" w:pos="1152"/>
              </w:tabs>
              <w:suppressAutoHyphens/>
              <w:spacing w:before="40" w:after="40" w:line="210" w:lineRule="exact"/>
              <w:ind w:right="40"/>
              <w:rPr>
                <w:sz w:val="17"/>
                <w:lang w:val="fr-FR"/>
              </w:rPr>
            </w:pPr>
            <w:r>
              <w:rPr>
                <w:sz w:val="17"/>
                <w:lang w:val="fr-FR"/>
              </w:rPr>
              <w:t>2012</w:t>
            </w:r>
          </w:p>
        </w:tc>
        <w:tc>
          <w:tcPr>
            <w:tcW w:w="3576" w:type="dxa"/>
            <w:shd w:val="clear" w:color="auto" w:fill="auto"/>
            <w:vAlign w:val="bottom"/>
          </w:tcPr>
          <w:p w14:paraId="3A791947" w14:textId="1182B4D5" w:rsidR="005F31C2" w:rsidRPr="005F31C2" w:rsidRDefault="005F31C2" w:rsidP="005F31C2">
            <w:pPr>
              <w:tabs>
                <w:tab w:val="left" w:pos="288"/>
                <w:tab w:val="left" w:pos="576"/>
                <w:tab w:val="left" w:pos="864"/>
                <w:tab w:val="left" w:pos="1152"/>
              </w:tabs>
              <w:suppressAutoHyphens/>
              <w:spacing w:before="40" w:after="40" w:line="210" w:lineRule="exact"/>
              <w:ind w:left="144" w:right="43"/>
              <w:jc w:val="right"/>
              <w:rPr>
                <w:sz w:val="17"/>
                <w:lang w:val="fr-FR"/>
              </w:rPr>
            </w:pPr>
            <w:r>
              <w:rPr>
                <w:sz w:val="17"/>
                <w:lang w:val="fr-FR"/>
              </w:rPr>
              <w:t>4</w:t>
            </w:r>
          </w:p>
        </w:tc>
      </w:tr>
      <w:tr w:rsidR="005F31C2" w:rsidRPr="005F31C2" w14:paraId="510C3956" w14:textId="77777777" w:rsidTr="005F31C2">
        <w:tc>
          <w:tcPr>
            <w:tcW w:w="3750" w:type="dxa"/>
            <w:shd w:val="clear" w:color="auto" w:fill="auto"/>
            <w:vAlign w:val="bottom"/>
          </w:tcPr>
          <w:p w14:paraId="672CA954" w14:textId="3728AF8A" w:rsidR="005F31C2" w:rsidRPr="005F31C2" w:rsidRDefault="005F31C2" w:rsidP="005F31C2">
            <w:pPr>
              <w:tabs>
                <w:tab w:val="left" w:pos="288"/>
                <w:tab w:val="left" w:pos="576"/>
                <w:tab w:val="left" w:pos="864"/>
                <w:tab w:val="left" w:pos="1152"/>
              </w:tabs>
              <w:suppressAutoHyphens/>
              <w:spacing w:before="40" w:after="40" w:line="210" w:lineRule="exact"/>
              <w:ind w:right="40"/>
              <w:rPr>
                <w:sz w:val="17"/>
                <w:lang w:val="fr-FR"/>
              </w:rPr>
            </w:pPr>
            <w:r>
              <w:rPr>
                <w:sz w:val="17"/>
                <w:lang w:val="fr-FR"/>
              </w:rPr>
              <w:t>2013</w:t>
            </w:r>
          </w:p>
        </w:tc>
        <w:tc>
          <w:tcPr>
            <w:tcW w:w="3576" w:type="dxa"/>
            <w:shd w:val="clear" w:color="auto" w:fill="auto"/>
            <w:vAlign w:val="bottom"/>
          </w:tcPr>
          <w:p w14:paraId="3768F859" w14:textId="5E601283" w:rsidR="005F31C2" w:rsidRPr="005F31C2" w:rsidRDefault="005F31C2" w:rsidP="005F31C2">
            <w:pPr>
              <w:tabs>
                <w:tab w:val="left" w:pos="288"/>
                <w:tab w:val="left" w:pos="576"/>
                <w:tab w:val="left" w:pos="864"/>
                <w:tab w:val="left" w:pos="1152"/>
              </w:tabs>
              <w:suppressAutoHyphens/>
              <w:spacing w:before="40" w:after="40" w:line="210" w:lineRule="exact"/>
              <w:ind w:left="144" w:right="43"/>
              <w:jc w:val="right"/>
              <w:rPr>
                <w:sz w:val="17"/>
                <w:lang w:val="fr-FR"/>
              </w:rPr>
            </w:pPr>
            <w:r>
              <w:rPr>
                <w:sz w:val="17"/>
                <w:lang w:val="fr-FR"/>
              </w:rPr>
              <w:t>3</w:t>
            </w:r>
          </w:p>
        </w:tc>
      </w:tr>
      <w:tr w:rsidR="005F31C2" w:rsidRPr="005F31C2" w14:paraId="5C2C4017" w14:textId="77777777" w:rsidTr="005F31C2">
        <w:tc>
          <w:tcPr>
            <w:tcW w:w="3750" w:type="dxa"/>
            <w:tcBorders>
              <w:bottom w:val="single" w:sz="12" w:space="0" w:color="auto"/>
            </w:tcBorders>
            <w:shd w:val="clear" w:color="auto" w:fill="auto"/>
            <w:vAlign w:val="bottom"/>
          </w:tcPr>
          <w:p w14:paraId="682306F1" w14:textId="5E457A8A" w:rsidR="005F31C2" w:rsidRPr="005F31C2" w:rsidRDefault="005F31C2" w:rsidP="005F31C2">
            <w:pPr>
              <w:tabs>
                <w:tab w:val="left" w:pos="288"/>
                <w:tab w:val="left" w:pos="576"/>
                <w:tab w:val="left" w:pos="864"/>
                <w:tab w:val="left" w:pos="1152"/>
              </w:tabs>
              <w:suppressAutoHyphens/>
              <w:spacing w:before="40" w:after="40" w:line="210" w:lineRule="exact"/>
              <w:ind w:right="40"/>
              <w:rPr>
                <w:sz w:val="17"/>
                <w:lang w:val="fr-FR"/>
              </w:rPr>
            </w:pPr>
            <w:r>
              <w:rPr>
                <w:sz w:val="17"/>
                <w:lang w:val="fr-FR"/>
              </w:rPr>
              <w:t>2014</w:t>
            </w:r>
          </w:p>
        </w:tc>
        <w:tc>
          <w:tcPr>
            <w:tcW w:w="3576" w:type="dxa"/>
            <w:tcBorders>
              <w:bottom w:val="single" w:sz="12" w:space="0" w:color="auto"/>
            </w:tcBorders>
            <w:shd w:val="clear" w:color="auto" w:fill="auto"/>
            <w:vAlign w:val="bottom"/>
          </w:tcPr>
          <w:p w14:paraId="22CE374D" w14:textId="26B32234" w:rsidR="005F31C2" w:rsidRPr="005F31C2" w:rsidRDefault="005F31C2" w:rsidP="005F31C2">
            <w:pPr>
              <w:tabs>
                <w:tab w:val="left" w:pos="288"/>
                <w:tab w:val="left" w:pos="576"/>
                <w:tab w:val="left" w:pos="864"/>
                <w:tab w:val="left" w:pos="1152"/>
              </w:tabs>
              <w:suppressAutoHyphens/>
              <w:spacing w:before="40" w:after="40" w:line="210" w:lineRule="exact"/>
              <w:ind w:left="144" w:right="43"/>
              <w:jc w:val="right"/>
              <w:rPr>
                <w:sz w:val="17"/>
                <w:lang w:val="fr-FR"/>
              </w:rPr>
            </w:pPr>
            <w:r>
              <w:rPr>
                <w:sz w:val="17"/>
                <w:lang w:val="fr-FR"/>
              </w:rPr>
              <w:t>3</w:t>
            </w:r>
          </w:p>
        </w:tc>
      </w:tr>
    </w:tbl>
    <w:p w14:paraId="28065ED9" w14:textId="693C919D" w:rsidR="005F31C2" w:rsidRPr="005F31C2" w:rsidRDefault="005F31C2" w:rsidP="005F31C2">
      <w:pPr>
        <w:pStyle w:val="SingleTxt"/>
        <w:suppressAutoHyphens/>
        <w:spacing w:after="0" w:line="120" w:lineRule="exact"/>
        <w:rPr>
          <w:sz w:val="10"/>
          <w:szCs w:val="17"/>
          <w:lang w:val="fr-FR"/>
        </w:rPr>
      </w:pPr>
    </w:p>
    <w:p w14:paraId="53AB32BD" w14:textId="69C65C6B" w:rsidR="005F31C2" w:rsidRPr="005F31C2" w:rsidRDefault="005F31C2" w:rsidP="005F31C2">
      <w:pPr>
        <w:pStyle w:val="SingleTxt"/>
        <w:suppressAutoHyphens/>
        <w:spacing w:after="0" w:line="120" w:lineRule="exact"/>
        <w:rPr>
          <w:sz w:val="10"/>
          <w:szCs w:val="17"/>
          <w:lang w:val="fr-FR"/>
        </w:rPr>
      </w:pPr>
    </w:p>
    <w:p w14:paraId="50CFDE1A" w14:textId="0BA41949" w:rsidR="007C78DF" w:rsidRPr="003B5B4E" w:rsidRDefault="007C78DF" w:rsidP="00C67914">
      <w:pPr>
        <w:pStyle w:val="SingleTxt"/>
        <w:numPr>
          <w:ilvl w:val="0"/>
          <w:numId w:val="19"/>
        </w:numPr>
        <w:suppressAutoHyphens/>
        <w:rPr>
          <w:lang w:val="fr-FR"/>
        </w:rPr>
      </w:pPr>
      <w:r w:rsidRPr="003B5B4E">
        <w:rPr>
          <w:lang w:val="fr-FR"/>
        </w:rPr>
        <w:t>Toutes les femmes ont accès aux soins dans les nombreux établissements de santé publics et privés des Bahamas. Les patients peuvent être soignés gratuitement dans les établissements publics. S</w:t>
      </w:r>
      <w:r w:rsidR="00000F67">
        <w:rPr>
          <w:lang w:val="fr-FR"/>
        </w:rPr>
        <w:t>’</w:t>
      </w:r>
      <w:r w:rsidRPr="003B5B4E">
        <w:rPr>
          <w:lang w:val="fr-FR"/>
        </w:rPr>
        <w:t>agissant des soins obstétriques, le niveau de risque lié à l</w:t>
      </w:r>
      <w:r w:rsidR="00000F67">
        <w:rPr>
          <w:lang w:val="fr-FR"/>
        </w:rPr>
        <w:t>’</w:t>
      </w:r>
      <w:r w:rsidRPr="003B5B4E">
        <w:rPr>
          <w:lang w:val="fr-FR"/>
        </w:rPr>
        <w:t xml:space="preserve">état des patientes est évalué lors de leur visite initiale et un protocole de soins est alors défini et mis en place. </w:t>
      </w:r>
    </w:p>
    <w:p w14:paraId="51886C8D" w14:textId="12E744CE" w:rsidR="007C78DF" w:rsidRPr="003B5B4E" w:rsidRDefault="007C78DF" w:rsidP="00C67914">
      <w:pPr>
        <w:pStyle w:val="SingleTxt"/>
        <w:numPr>
          <w:ilvl w:val="0"/>
          <w:numId w:val="19"/>
        </w:numPr>
        <w:suppressAutoHyphens/>
        <w:rPr>
          <w:lang w:val="fr-FR"/>
        </w:rPr>
      </w:pPr>
      <w:r w:rsidRPr="003B5B4E">
        <w:rPr>
          <w:lang w:val="fr-FR"/>
        </w:rPr>
        <w:t>Le dialogue sur la pratique de l</w:t>
      </w:r>
      <w:r w:rsidR="00000F67">
        <w:rPr>
          <w:lang w:val="fr-FR"/>
        </w:rPr>
        <w:t>’</w:t>
      </w:r>
      <w:r w:rsidRPr="003B5B4E">
        <w:rPr>
          <w:lang w:val="fr-FR"/>
        </w:rPr>
        <w:t>avortement s</w:t>
      </w:r>
      <w:r w:rsidR="00000F67">
        <w:rPr>
          <w:lang w:val="fr-FR"/>
        </w:rPr>
        <w:t>’</w:t>
      </w:r>
      <w:r w:rsidRPr="003B5B4E">
        <w:rPr>
          <w:lang w:val="fr-FR"/>
        </w:rPr>
        <w:t>est intensifié, mais aucun changement n</w:t>
      </w:r>
      <w:r w:rsidR="00000F67">
        <w:rPr>
          <w:lang w:val="fr-FR"/>
        </w:rPr>
        <w:t>’</w:t>
      </w:r>
      <w:r w:rsidRPr="003B5B4E">
        <w:rPr>
          <w:lang w:val="fr-FR"/>
        </w:rPr>
        <w:t>est intervenu depuis le précédent rapport.</w:t>
      </w:r>
    </w:p>
    <w:p w14:paraId="79B946A5" w14:textId="5A342424" w:rsidR="007C78DF" w:rsidRPr="003B5B4E" w:rsidRDefault="007C78DF" w:rsidP="00C67914">
      <w:pPr>
        <w:pStyle w:val="SingleTxt"/>
        <w:numPr>
          <w:ilvl w:val="0"/>
          <w:numId w:val="19"/>
        </w:numPr>
        <w:suppressAutoHyphens/>
        <w:rPr>
          <w:lang w:val="fr-FR"/>
        </w:rPr>
      </w:pPr>
      <w:r w:rsidRPr="003B5B4E">
        <w:rPr>
          <w:lang w:val="fr-FR"/>
        </w:rPr>
        <w:t xml:space="preserve">Dès 1993, le Ministère de la santé a estimé nécessaire de promouvoir des styles de vie sains chez les jeunes à travers des soins de santé, des actions éducatives et un </w:t>
      </w:r>
      <w:r w:rsidRPr="003B5B4E">
        <w:rPr>
          <w:lang w:val="fr-FR"/>
        </w:rPr>
        <w:lastRenderedPageBreak/>
        <w:t>environnement favorable facilitant leur autonomisation dans le cadre familial et social. À cette fin, l</w:t>
      </w:r>
      <w:r w:rsidR="00000F67">
        <w:rPr>
          <w:lang w:val="fr-FR"/>
        </w:rPr>
        <w:t>’</w:t>
      </w:r>
      <w:r w:rsidRPr="003B5B4E">
        <w:rPr>
          <w:lang w:val="fr-FR"/>
        </w:rPr>
        <w:t>Adolescent Health Centre (Centre de santé des adolescents) a été créé pour donner aux jeunes les soins généraux qu</w:t>
      </w:r>
      <w:r w:rsidR="00000F67">
        <w:rPr>
          <w:lang w:val="fr-FR"/>
        </w:rPr>
        <w:t>’</w:t>
      </w:r>
      <w:r w:rsidRPr="003B5B4E">
        <w:rPr>
          <w:lang w:val="fr-FR"/>
        </w:rPr>
        <w:t>ils requierent de façon à la fois rigoureuse et confidentielle. Ces soins portent également sur la santé sexuelle et procréative.</w:t>
      </w:r>
    </w:p>
    <w:p w14:paraId="53D81795" w14:textId="295EB253" w:rsidR="007C78DF" w:rsidRDefault="007C78DF" w:rsidP="00C67914">
      <w:pPr>
        <w:pStyle w:val="SingleTxt"/>
        <w:numPr>
          <w:ilvl w:val="0"/>
          <w:numId w:val="19"/>
        </w:numPr>
        <w:suppressAutoHyphens/>
        <w:rPr>
          <w:color w:val="000000"/>
          <w:lang w:val="fr-FR"/>
        </w:rPr>
      </w:pPr>
      <w:r w:rsidRPr="003B5B4E">
        <w:rPr>
          <w:lang w:val="fr-FR"/>
        </w:rPr>
        <w:t>Le Comité note que l</w:t>
      </w:r>
      <w:r w:rsidR="00000F67">
        <w:rPr>
          <w:lang w:val="fr-FR"/>
        </w:rPr>
        <w:t>’</w:t>
      </w:r>
      <w:r w:rsidRPr="003B5B4E">
        <w:rPr>
          <w:lang w:val="fr-FR"/>
        </w:rPr>
        <w:t>âge de consentement sexuel est 16 ans. Selon les informations dont il dispose, l</w:t>
      </w:r>
      <w:r w:rsidR="00000F67">
        <w:rPr>
          <w:lang w:val="fr-FR"/>
        </w:rPr>
        <w:t>’</w:t>
      </w:r>
      <w:r w:rsidRPr="003B5B4E">
        <w:rPr>
          <w:lang w:val="fr-FR"/>
        </w:rPr>
        <w:t xml:space="preserve">âge pour recevoir des services contraceptifs et autres services de santé sans le consentement des parents est fixé à 18 ans. Veuillez informer le Comité </w:t>
      </w:r>
      <w:r w:rsidRPr="003B5B4E">
        <w:rPr>
          <w:color w:val="000000"/>
          <w:lang w:val="fr-FR"/>
        </w:rPr>
        <w:t>des mesures prises pour faire en sorte que les filles reçoivent des services de santé sexuelle et procréative adéquats, en particulier pour réduire le risque d</w:t>
      </w:r>
      <w:r w:rsidR="00000F67">
        <w:rPr>
          <w:color w:val="000000"/>
          <w:lang w:val="fr-FR"/>
        </w:rPr>
        <w:t>’</w:t>
      </w:r>
      <w:r w:rsidRPr="003B5B4E">
        <w:rPr>
          <w:color w:val="000000"/>
          <w:lang w:val="fr-FR"/>
        </w:rPr>
        <w:t>infection par le VIH, et que toutes les femmes et les filles aient un accès gratuit et suffisant aux contraceptifs et aux services de santé sexuelle et procréative, y compris sur les îles Family (voir CEDAW/C/BHS/Q/6, par.5)</w:t>
      </w:r>
      <w:r w:rsidR="00A45056">
        <w:rPr>
          <w:color w:val="000000"/>
          <w:lang w:val="fr-FR"/>
        </w:rPr>
        <w:t>.</w:t>
      </w:r>
    </w:p>
    <w:p w14:paraId="190A686A" w14:textId="315BDC98" w:rsidR="00A45056" w:rsidRPr="00A45056" w:rsidRDefault="00A45056" w:rsidP="00A45056">
      <w:pPr>
        <w:pStyle w:val="SingleTxt"/>
        <w:suppressAutoHyphens/>
        <w:spacing w:after="0" w:line="120" w:lineRule="exact"/>
        <w:rPr>
          <w:color w:val="000000"/>
          <w:sz w:val="10"/>
          <w:lang w:val="fr-FR"/>
        </w:rPr>
      </w:pPr>
    </w:p>
    <w:p w14:paraId="240DA1D9" w14:textId="4AB261D8" w:rsidR="007C78DF" w:rsidRDefault="00A45056"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78DF" w:rsidRPr="003B5B4E">
        <w:rPr>
          <w:lang w:val="fr-FR"/>
        </w:rPr>
        <w:t>Réponse</w:t>
      </w:r>
    </w:p>
    <w:p w14:paraId="2074E7B5" w14:textId="3860772F" w:rsidR="00A45056" w:rsidRPr="00A45056" w:rsidRDefault="00A45056" w:rsidP="00A45056">
      <w:pPr>
        <w:pStyle w:val="SingleTxt"/>
        <w:spacing w:after="0" w:line="120" w:lineRule="exact"/>
        <w:rPr>
          <w:sz w:val="10"/>
          <w:lang w:val="fr-FR"/>
        </w:rPr>
      </w:pPr>
    </w:p>
    <w:p w14:paraId="3A06B8D5" w14:textId="64179E45" w:rsidR="007C78DF" w:rsidRPr="003B5B4E" w:rsidRDefault="007C78DF" w:rsidP="00C67914">
      <w:pPr>
        <w:pStyle w:val="SingleTxt"/>
        <w:numPr>
          <w:ilvl w:val="0"/>
          <w:numId w:val="19"/>
        </w:numPr>
        <w:suppressAutoHyphens/>
        <w:rPr>
          <w:color w:val="000000"/>
          <w:lang w:val="fr-FR"/>
        </w:rPr>
      </w:pPr>
      <w:r w:rsidRPr="003B5B4E">
        <w:rPr>
          <w:color w:val="000000"/>
          <w:lang w:val="fr-FR"/>
        </w:rPr>
        <w:t>Dans le secteur public, le Ministère de la santé a pour politique d</w:t>
      </w:r>
      <w:r w:rsidR="00000F67">
        <w:rPr>
          <w:color w:val="000000"/>
          <w:lang w:val="fr-FR"/>
        </w:rPr>
        <w:t>’</w:t>
      </w:r>
      <w:r w:rsidRPr="003B5B4E">
        <w:rPr>
          <w:color w:val="000000"/>
          <w:lang w:val="fr-FR"/>
        </w:rPr>
        <w:t xml:space="preserve">offrir aux femmes des services de santé sexuelle et procréative gratuits, notamment les divers types de méthodes contraceptives qui sont proposées gratuitement partout dans le pays, y compris dans les îles Family. </w:t>
      </w:r>
    </w:p>
    <w:p w14:paraId="2EED834B" w14:textId="288D452D" w:rsidR="007C78DF" w:rsidRDefault="007C78DF" w:rsidP="00C67914">
      <w:pPr>
        <w:pStyle w:val="SingleTxt"/>
        <w:numPr>
          <w:ilvl w:val="0"/>
          <w:numId w:val="19"/>
        </w:numPr>
        <w:suppressAutoHyphens/>
        <w:rPr>
          <w:color w:val="000000"/>
          <w:lang w:val="fr-FR"/>
        </w:rPr>
      </w:pPr>
      <w:r w:rsidRPr="003B5B4E">
        <w:rPr>
          <w:color w:val="000000"/>
          <w:lang w:val="fr-FR"/>
        </w:rPr>
        <w:t>Plusieurs méthodes contraceptives sont disponibles. Les femmes et les filles peuvent choisir la méthode la mieux adaptée à leurs besoins. Il s</w:t>
      </w:r>
      <w:r w:rsidR="00000F67">
        <w:rPr>
          <w:color w:val="000000"/>
          <w:lang w:val="fr-FR"/>
        </w:rPr>
        <w:t>’</w:t>
      </w:r>
      <w:r w:rsidRPr="003B5B4E">
        <w:rPr>
          <w:color w:val="000000"/>
          <w:lang w:val="fr-FR"/>
        </w:rPr>
        <w:t>agit des contraceptifs oraux, qui sont pris quotidiennement, des contraceptifs injectables, qui peuvent être administrés mensuellement ou trimestriellement, ou de l</w:t>
      </w:r>
      <w:r w:rsidR="00000F67">
        <w:rPr>
          <w:color w:val="000000"/>
          <w:lang w:val="fr-FR"/>
        </w:rPr>
        <w:t>’</w:t>
      </w:r>
      <w:r w:rsidRPr="003B5B4E">
        <w:rPr>
          <w:color w:val="000000"/>
          <w:lang w:val="fr-FR"/>
        </w:rPr>
        <w:t>implant Norplant, qui est placé tous les cinq ans. En outre, les préservatifs masculins et féminins sont également disponibles.</w:t>
      </w:r>
    </w:p>
    <w:p w14:paraId="02461337" w14:textId="725B5CAC" w:rsidR="00A45056" w:rsidRPr="00A45056" w:rsidRDefault="00A45056" w:rsidP="00A45056">
      <w:pPr>
        <w:pStyle w:val="SingleTxt"/>
        <w:suppressAutoHyphens/>
        <w:spacing w:after="0" w:line="120" w:lineRule="exact"/>
        <w:rPr>
          <w:color w:val="000000"/>
          <w:sz w:val="10"/>
          <w:lang w:val="fr-FR"/>
        </w:rPr>
      </w:pPr>
    </w:p>
    <w:p w14:paraId="35FF21FB" w14:textId="17C75874" w:rsidR="00A45056" w:rsidRPr="00A45056" w:rsidRDefault="00A45056" w:rsidP="00A45056">
      <w:pPr>
        <w:pStyle w:val="SingleTxt"/>
        <w:suppressAutoHyphens/>
        <w:spacing w:after="0" w:line="120" w:lineRule="exact"/>
        <w:rPr>
          <w:color w:val="000000"/>
          <w:sz w:val="10"/>
          <w:lang w:val="fr-FR"/>
        </w:rPr>
      </w:pPr>
    </w:p>
    <w:p w14:paraId="68D2ABC3" w14:textId="555BE56B" w:rsidR="007C78DF" w:rsidRDefault="003E3E88" w:rsidP="00A450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B5B4E">
        <w:rPr>
          <w:lang w:val="fr-FR"/>
        </w:rPr>
        <w:tab/>
      </w:r>
      <w:r w:rsidRPr="003B5B4E">
        <w:rPr>
          <w:lang w:val="fr-FR"/>
        </w:rPr>
        <w:tab/>
      </w:r>
      <w:r w:rsidR="007C78DF" w:rsidRPr="003B5B4E">
        <w:rPr>
          <w:lang w:val="fr-FR"/>
        </w:rPr>
        <w:t>Femmes rurales</w:t>
      </w:r>
    </w:p>
    <w:p w14:paraId="417D1BCE" w14:textId="6B58DBD2" w:rsidR="00A45056" w:rsidRPr="00A45056" w:rsidRDefault="00A45056" w:rsidP="00A45056">
      <w:pPr>
        <w:pStyle w:val="SingleTxt"/>
        <w:spacing w:after="0" w:line="120" w:lineRule="exact"/>
        <w:rPr>
          <w:sz w:val="10"/>
          <w:lang w:val="fr-FR"/>
        </w:rPr>
      </w:pPr>
    </w:p>
    <w:p w14:paraId="4AF5E519" w14:textId="5662D9CE" w:rsidR="00A45056" w:rsidRPr="00A45056" w:rsidRDefault="00A45056" w:rsidP="00A45056">
      <w:pPr>
        <w:pStyle w:val="SingleTxt"/>
        <w:spacing w:after="0" w:line="120" w:lineRule="exact"/>
        <w:rPr>
          <w:sz w:val="10"/>
          <w:lang w:val="fr-FR"/>
        </w:rPr>
      </w:pPr>
    </w:p>
    <w:p w14:paraId="751437AC" w14:textId="57FD816D" w:rsidR="007C78DF" w:rsidRDefault="007C78DF" w:rsidP="00C67914">
      <w:pPr>
        <w:pStyle w:val="SingleTxt"/>
        <w:numPr>
          <w:ilvl w:val="0"/>
          <w:numId w:val="19"/>
        </w:numPr>
        <w:suppressAutoHyphens/>
        <w:rPr>
          <w:color w:val="000000"/>
          <w:lang w:val="fr-FR"/>
        </w:rPr>
      </w:pPr>
      <w:r w:rsidRPr="003B5B4E">
        <w:rPr>
          <w:color w:val="000000"/>
          <w:lang w:val="fr-FR"/>
        </w:rPr>
        <w:t>Conformément à la recommandation générale n</w:t>
      </w:r>
      <w:r w:rsidRPr="003B5B4E">
        <w:rPr>
          <w:color w:val="000000"/>
          <w:vertAlign w:val="superscript"/>
          <w:lang w:val="fr-FR"/>
        </w:rPr>
        <w:t>o</w:t>
      </w:r>
      <w:r w:rsidRPr="003B5B4E">
        <w:rPr>
          <w:color w:val="000000"/>
          <w:lang w:val="fr-FR"/>
        </w:rPr>
        <w:t> 34 (2016) du Comité sur les droits des femmes rurales, veuillez fournir des informations sur les mesures prises pour protéger leurs droits et indiquer dans quelle mesure les femmes rurales ont participé à l</w:t>
      </w:r>
      <w:r w:rsidR="00000F67">
        <w:rPr>
          <w:color w:val="000000"/>
          <w:lang w:val="fr-FR"/>
        </w:rPr>
        <w:t>’</w:t>
      </w:r>
      <w:r w:rsidRPr="003B5B4E">
        <w:rPr>
          <w:color w:val="000000"/>
          <w:lang w:val="fr-FR"/>
        </w:rPr>
        <w:t>élaboration de ces mesures.</w:t>
      </w:r>
      <w:r w:rsidRPr="003B5B4E">
        <w:rPr>
          <w:lang w:val="fr-FR"/>
        </w:rPr>
        <w:t xml:space="preserve"> </w:t>
      </w:r>
      <w:r w:rsidRPr="003B5B4E">
        <w:rPr>
          <w:color w:val="000000"/>
          <w:lang w:val="fr-FR"/>
        </w:rPr>
        <w:t>Veuillez préciser si des mesures, y compris des mesures temporaires spéciales, ont été adoptées pour remédier aux disparités auxquelles les femmes rurales peuvent être confrontées pour acquérir des terres et biens, mais aussi accéder à des services sociaux de base, notamment à l</w:t>
      </w:r>
      <w:r w:rsidR="00000F67">
        <w:rPr>
          <w:color w:val="000000"/>
          <w:lang w:val="fr-FR"/>
        </w:rPr>
        <w:t>’</w:t>
      </w:r>
      <w:r w:rsidRPr="003B5B4E">
        <w:rPr>
          <w:color w:val="000000"/>
          <w:lang w:val="fr-FR"/>
        </w:rPr>
        <w:t>éducation et aux soins de santé, et pour participer à la prise de décisions (voir CEDAW/C/BHS/Q/6, par. 16).</w:t>
      </w:r>
    </w:p>
    <w:p w14:paraId="6C91F832" w14:textId="26501547" w:rsidR="00A45056" w:rsidRPr="00A45056" w:rsidRDefault="00A45056" w:rsidP="00A45056">
      <w:pPr>
        <w:pStyle w:val="SingleTxt"/>
        <w:suppressAutoHyphens/>
        <w:spacing w:after="0" w:line="120" w:lineRule="exact"/>
        <w:rPr>
          <w:color w:val="000000"/>
          <w:sz w:val="10"/>
          <w:lang w:val="fr-FR"/>
        </w:rPr>
      </w:pPr>
    </w:p>
    <w:p w14:paraId="23A8A78A" w14:textId="11ED0914" w:rsidR="007C78DF" w:rsidRDefault="00A45056"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C78DF" w:rsidRPr="003B5B4E">
        <w:rPr>
          <w:lang w:val="fr-FR"/>
        </w:rPr>
        <w:t>Réponse</w:t>
      </w:r>
    </w:p>
    <w:p w14:paraId="445680E8" w14:textId="4D8202AE" w:rsidR="00A45056" w:rsidRPr="00A45056" w:rsidRDefault="00A45056" w:rsidP="00A45056">
      <w:pPr>
        <w:pStyle w:val="SingleTxt"/>
        <w:spacing w:after="0" w:line="120" w:lineRule="exact"/>
        <w:rPr>
          <w:sz w:val="10"/>
          <w:lang w:val="fr-FR"/>
        </w:rPr>
      </w:pPr>
    </w:p>
    <w:p w14:paraId="18301BE6" w14:textId="0E503E46" w:rsidR="007C78DF" w:rsidRPr="003B5B4E" w:rsidRDefault="007C78DF" w:rsidP="00C67914">
      <w:pPr>
        <w:pStyle w:val="SingleTxt"/>
        <w:numPr>
          <w:ilvl w:val="0"/>
          <w:numId w:val="19"/>
        </w:numPr>
        <w:suppressAutoHyphens/>
        <w:rPr>
          <w:lang w:val="fr-FR"/>
        </w:rPr>
      </w:pPr>
      <w:r w:rsidRPr="003B5B4E">
        <w:rPr>
          <w:lang w:val="fr-FR"/>
        </w:rPr>
        <w:t>Les femmes occupent 57 % des sièges des conseils gouvernementaux locaux dans les îles Family (communautés rurales).</w:t>
      </w:r>
    </w:p>
    <w:p w14:paraId="08AAF3F7" w14:textId="49D035A4" w:rsidR="007C78DF" w:rsidRPr="003B5B4E" w:rsidRDefault="007C78DF" w:rsidP="00C67914">
      <w:pPr>
        <w:pStyle w:val="SingleTxt"/>
        <w:numPr>
          <w:ilvl w:val="0"/>
          <w:numId w:val="19"/>
        </w:numPr>
        <w:suppressAutoHyphens/>
      </w:pPr>
      <w:r w:rsidRPr="003B5B4E">
        <w:t>Les femmes des îles Family ont accès aux structures des services sociaux, de l</w:t>
      </w:r>
      <w:r w:rsidR="00000F67">
        <w:t>’</w:t>
      </w:r>
      <w:r w:rsidRPr="003B5B4E">
        <w:t>éducation et de la santé. Les femmes des toutes ces îles bénéficient des services médicaux. Des médecins sont en poste dans toutes ces îles sauf trois. Les villes qui ne disposent pas de médecins à plein temps reçoivent la visite de médecins itinérants.</w:t>
      </w:r>
    </w:p>
    <w:p w14:paraId="215E010E" w14:textId="73DD800A" w:rsidR="007C78DF" w:rsidRPr="003B5B4E" w:rsidRDefault="007C78DF" w:rsidP="00C67914">
      <w:pPr>
        <w:pStyle w:val="SingleTxt"/>
        <w:numPr>
          <w:ilvl w:val="0"/>
          <w:numId w:val="19"/>
        </w:numPr>
        <w:suppressAutoHyphens/>
      </w:pPr>
      <w:r w:rsidRPr="003B5B4E">
        <w:t>S</w:t>
      </w:r>
      <w:r w:rsidR="00000F67">
        <w:t>’</w:t>
      </w:r>
      <w:r w:rsidRPr="003B5B4E">
        <w:t>agissant des services sociaux de base, le Département des services sociaux apporte une assistance aux femmes des Bahamas, qu</w:t>
      </w:r>
      <w:r w:rsidR="00000F67">
        <w:t>’</w:t>
      </w:r>
      <w:r w:rsidRPr="003B5B4E">
        <w:t>il s</w:t>
      </w:r>
      <w:r w:rsidR="00000F67">
        <w:t>’</w:t>
      </w:r>
      <w:r w:rsidRPr="003B5B4E">
        <w:t>agisse d</w:t>
      </w:r>
      <w:r w:rsidR="00000F67">
        <w:t>’</w:t>
      </w:r>
      <w:r w:rsidRPr="003B5B4E">
        <w:t xml:space="preserve">aides financières, </w:t>
      </w:r>
      <w:r w:rsidRPr="003B5B4E">
        <w:lastRenderedPageBreak/>
        <w:t>de santé, d</w:t>
      </w:r>
      <w:r w:rsidR="00000F67">
        <w:t>’</w:t>
      </w:r>
      <w:r w:rsidRPr="003B5B4E">
        <w:t>hébergement temporaire et de nourriture. Les femmes rurales qui ne peuvent pas s</w:t>
      </w:r>
      <w:r w:rsidR="00000F67">
        <w:t>’</w:t>
      </w:r>
      <w:r w:rsidRPr="003B5B4E">
        <w:t>offrir le concours d</w:t>
      </w:r>
      <w:r w:rsidR="00000F67">
        <w:t>’</w:t>
      </w:r>
      <w:r w:rsidRPr="003B5B4E">
        <w:t>un avocat sont orientées vers les services d</w:t>
      </w:r>
      <w:r w:rsidR="00000F67">
        <w:t>’</w:t>
      </w:r>
      <w:r w:rsidRPr="003B5B4E">
        <w:t>aide judiciaire.</w:t>
      </w:r>
    </w:p>
    <w:p w14:paraId="2E5B4403" w14:textId="02D33C4A" w:rsidR="007C78DF" w:rsidRDefault="007C78DF" w:rsidP="00C67914">
      <w:pPr>
        <w:pStyle w:val="SingleTxt"/>
        <w:numPr>
          <w:ilvl w:val="0"/>
          <w:numId w:val="19"/>
        </w:numPr>
        <w:suppressAutoHyphens/>
      </w:pPr>
      <w:r w:rsidRPr="003B5B4E">
        <w:t>Les services des tribunaux d</w:t>
      </w:r>
      <w:r w:rsidR="00000F67">
        <w:t>’</w:t>
      </w:r>
      <w:r w:rsidRPr="003B5B4E">
        <w:t>instance existent dans les principales îles Family</w:t>
      </w:r>
      <w:r w:rsidR="00000F67">
        <w:t>,</w:t>
      </w:r>
      <w:r w:rsidRPr="003B5B4E">
        <w:t xml:space="preserve"> dont Grande Bahama, Abaco, Eleuthera et Exuma. Dans les autres îles Family, des services juridiques sont fournis par l</w:t>
      </w:r>
      <w:r w:rsidR="00000F67">
        <w:t>’</w:t>
      </w:r>
      <w:r w:rsidRPr="003B5B4E">
        <w:t>Administrateur de l</w:t>
      </w:r>
      <w:r w:rsidR="00000F67">
        <w:t>’</w:t>
      </w:r>
      <w:r w:rsidRPr="003B5B4E">
        <w:t>île Family.</w:t>
      </w:r>
    </w:p>
    <w:p w14:paraId="7C14003D" w14:textId="6474215A" w:rsidR="00A45056" w:rsidRPr="00A45056" w:rsidRDefault="00A45056" w:rsidP="00A45056">
      <w:pPr>
        <w:pStyle w:val="SingleTxt"/>
        <w:suppressAutoHyphens/>
        <w:spacing w:after="0" w:line="120" w:lineRule="exact"/>
        <w:rPr>
          <w:sz w:val="10"/>
        </w:rPr>
      </w:pPr>
    </w:p>
    <w:p w14:paraId="56305E9F" w14:textId="18AAED4E" w:rsidR="00A45056" w:rsidRPr="00A45056" w:rsidRDefault="00A45056" w:rsidP="00A45056">
      <w:pPr>
        <w:pStyle w:val="SingleTxt"/>
        <w:suppressAutoHyphens/>
        <w:spacing w:after="0" w:line="120" w:lineRule="exact"/>
        <w:rPr>
          <w:sz w:val="10"/>
        </w:rPr>
      </w:pPr>
    </w:p>
    <w:p w14:paraId="7E4CFD54" w14:textId="265A305A" w:rsidR="007C78DF" w:rsidRDefault="003E3E88" w:rsidP="00A450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B4E">
        <w:tab/>
      </w:r>
      <w:r w:rsidRPr="003B5B4E">
        <w:tab/>
      </w:r>
      <w:r w:rsidR="007C78DF" w:rsidRPr="003B5B4E">
        <w:t>Femmes handicapées</w:t>
      </w:r>
    </w:p>
    <w:p w14:paraId="6CFDC0D6" w14:textId="746B4348" w:rsidR="00A45056" w:rsidRPr="00A45056" w:rsidRDefault="00A45056" w:rsidP="00A45056">
      <w:pPr>
        <w:pStyle w:val="SingleTxt"/>
        <w:spacing w:after="0" w:line="120" w:lineRule="exact"/>
        <w:rPr>
          <w:sz w:val="10"/>
        </w:rPr>
      </w:pPr>
    </w:p>
    <w:p w14:paraId="52012328" w14:textId="10AE9511" w:rsidR="00A45056" w:rsidRPr="00A45056" w:rsidRDefault="00A45056" w:rsidP="00A45056">
      <w:pPr>
        <w:pStyle w:val="SingleTxt"/>
        <w:spacing w:after="0" w:line="120" w:lineRule="exact"/>
        <w:rPr>
          <w:sz w:val="10"/>
        </w:rPr>
      </w:pPr>
    </w:p>
    <w:p w14:paraId="6A9F8257" w14:textId="226AF7FF" w:rsidR="007C78DF" w:rsidRPr="003B5B4E" w:rsidRDefault="007C78DF" w:rsidP="00C67914">
      <w:pPr>
        <w:pStyle w:val="SingleTxt"/>
        <w:numPr>
          <w:ilvl w:val="0"/>
          <w:numId w:val="19"/>
        </w:numPr>
        <w:suppressAutoHyphens/>
        <w:rPr>
          <w:color w:val="000000"/>
        </w:rPr>
      </w:pPr>
      <w:r w:rsidRPr="003B5B4E">
        <w:t xml:space="preserve">Veuillez donner des informations récentes sur les mesures prises </w:t>
      </w:r>
      <w:r w:rsidRPr="003B5B4E">
        <w:rPr>
          <w:color w:val="000000"/>
        </w:rPr>
        <w:t>en vue d</w:t>
      </w:r>
      <w:r w:rsidR="00000F67">
        <w:rPr>
          <w:color w:val="000000"/>
        </w:rPr>
        <w:t>’</w:t>
      </w:r>
      <w:r w:rsidRPr="003B5B4E">
        <w:rPr>
          <w:color w:val="000000"/>
        </w:rPr>
        <w:t>adopter une législation contre la discrimination aux niveaux national et local pour prévenir les actes de discrimination contre les femmes handicapées. Veuillez informer le Comité de l</w:t>
      </w:r>
      <w:r w:rsidR="00000F67">
        <w:rPr>
          <w:color w:val="000000"/>
        </w:rPr>
        <w:t>’</w:t>
      </w:r>
      <w:r w:rsidRPr="003B5B4E">
        <w:rPr>
          <w:color w:val="000000"/>
        </w:rPr>
        <w:t>état actuel de mise en œuvre de la loi relative à l</w:t>
      </w:r>
      <w:r w:rsidR="00000F67">
        <w:rPr>
          <w:color w:val="000000"/>
        </w:rPr>
        <w:t>’</w:t>
      </w:r>
      <w:r w:rsidRPr="003B5B4E">
        <w:rPr>
          <w:color w:val="000000"/>
        </w:rPr>
        <w:t>égalité des chances pour les personnes handicapées (par. 10 du rapport de l</w:t>
      </w:r>
      <w:r w:rsidR="00000F67">
        <w:rPr>
          <w:color w:val="000000"/>
        </w:rPr>
        <w:t>’</w:t>
      </w:r>
      <w:r w:rsidRPr="003B5B4E">
        <w:rPr>
          <w:color w:val="000000"/>
        </w:rPr>
        <w:t>État partie) et des mesures supplémentaires prises pour éliminer la discrimination à l</w:t>
      </w:r>
      <w:r w:rsidR="00000F67">
        <w:rPr>
          <w:color w:val="000000"/>
        </w:rPr>
        <w:t>’</w:t>
      </w:r>
      <w:r w:rsidRPr="003B5B4E">
        <w:rPr>
          <w:color w:val="000000"/>
        </w:rPr>
        <w:t>égard des femmes handicapées. Veuillez expliquer dans quelle mesure les femmes handicapées sont touchées de manière disproportionnée par la pauvreté et fournir des informations sur les difficultés qu</w:t>
      </w:r>
      <w:r w:rsidR="00000F67">
        <w:rPr>
          <w:color w:val="000000"/>
        </w:rPr>
        <w:t>’</w:t>
      </w:r>
      <w:r w:rsidRPr="003B5B4E">
        <w:rPr>
          <w:color w:val="000000"/>
        </w:rPr>
        <w:t>elles rencontrent pour accéder aux services de santé, à l</w:t>
      </w:r>
      <w:r w:rsidR="00000F67">
        <w:rPr>
          <w:color w:val="000000"/>
        </w:rPr>
        <w:t>’</w:t>
      </w:r>
      <w:r w:rsidRPr="003B5B4E">
        <w:rPr>
          <w:color w:val="000000"/>
        </w:rPr>
        <w:t>éducation et à l</w:t>
      </w:r>
      <w:r w:rsidR="00000F67">
        <w:rPr>
          <w:color w:val="000000"/>
        </w:rPr>
        <w:t>’</w:t>
      </w:r>
      <w:r w:rsidRPr="003B5B4E">
        <w:rPr>
          <w:color w:val="000000"/>
        </w:rPr>
        <w:t>emploi.</w:t>
      </w:r>
      <w:r w:rsidR="00DA5529">
        <w:rPr>
          <w:color w:val="000000"/>
        </w:rPr>
        <w:t xml:space="preserve"> </w:t>
      </w:r>
      <w:r w:rsidRPr="003B5B4E">
        <w:rPr>
          <w:color w:val="000000"/>
        </w:rPr>
        <w:t>Veuillez présenter des exemples précis des régimes de protection sociale en place visant à réduire le fardeau économique qui pèse sur les femmes issues de groupes défavorisés, notamment les femmes handicapées (voir CEDAW/C/BHS/Q/6, par.</w:t>
      </w:r>
      <w:r w:rsidR="00A45056">
        <w:rPr>
          <w:color w:val="000000"/>
        </w:rPr>
        <w:t> </w:t>
      </w:r>
      <w:r w:rsidRPr="003B5B4E">
        <w:rPr>
          <w:color w:val="000000"/>
        </w:rPr>
        <w:t>17).</w:t>
      </w:r>
    </w:p>
    <w:p w14:paraId="664FC932" w14:textId="5BE04469" w:rsidR="009363E5" w:rsidRPr="00A45056" w:rsidRDefault="009363E5" w:rsidP="00A45056">
      <w:pPr>
        <w:pStyle w:val="SingleTxt"/>
        <w:suppressAutoHyphens/>
        <w:spacing w:after="0" w:line="120" w:lineRule="exact"/>
        <w:rPr>
          <w:b/>
          <w:color w:val="000000"/>
          <w:sz w:val="10"/>
        </w:rPr>
      </w:pPr>
    </w:p>
    <w:p w14:paraId="04582325" w14:textId="7BA91299" w:rsidR="007C78DF" w:rsidRPr="003B5B4E" w:rsidRDefault="00A45056" w:rsidP="003721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 xml:space="preserve">Réponse </w:t>
      </w:r>
    </w:p>
    <w:p w14:paraId="2D2E1723" w14:textId="203B6102" w:rsidR="009363E5" w:rsidRPr="00A45056" w:rsidRDefault="009363E5" w:rsidP="00A45056">
      <w:pPr>
        <w:pStyle w:val="SingleTxt"/>
        <w:suppressAutoHyphens/>
        <w:spacing w:after="0" w:line="120" w:lineRule="exact"/>
        <w:rPr>
          <w:color w:val="000000"/>
          <w:sz w:val="10"/>
        </w:rPr>
      </w:pPr>
    </w:p>
    <w:p w14:paraId="4448E642" w14:textId="540A6265" w:rsidR="007C78DF" w:rsidRPr="003B5B4E" w:rsidRDefault="007C78DF" w:rsidP="00C67914">
      <w:pPr>
        <w:pStyle w:val="SingleTxt"/>
        <w:numPr>
          <w:ilvl w:val="0"/>
          <w:numId w:val="19"/>
        </w:numPr>
        <w:suppressAutoHyphens/>
        <w:rPr>
          <w:color w:val="000000"/>
        </w:rPr>
      </w:pPr>
      <w:r w:rsidRPr="003B5B4E">
        <w:rPr>
          <w:color w:val="000000"/>
        </w:rPr>
        <w:t>Le Commonwealth des Bahamas est partie à la Convention des Nations Unies relative aux droits des personnes handicapées.</w:t>
      </w:r>
    </w:p>
    <w:p w14:paraId="3BB64513" w14:textId="3A22959B" w:rsidR="007C78DF" w:rsidRPr="003B5B4E" w:rsidRDefault="007C78DF" w:rsidP="00C67914">
      <w:pPr>
        <w:pStyle w:val="SingleTxt"/>
        <w:numPr>
          <w:ilvl w:val="0"/>
          <w:numId w:val="19"/>
        </w:numPr>
        <w:suppressAutoHyphens/>
        <w:rPr>
          <w:color w:val="000000"/>
        </w:rPr>
      </w:pPr>
      <w:r w:rsidRPr="003B5B4E">
        <w:rPr>
          <w:color w:val="000000"/>
        </w:rPr>
        <w:t>La loi relative à l</w:t>
      </w:r>
      <w:r w:rsidR="00000F67">
        <w:rPr>
          <w:color w:val="000000"/>
        </w:rPr>
        <w:t>’</w:t>
      </w:r>
      <w:r w:rsidRPr="003B5B4E">
        <w:rPr>
          <w:color w:val="000000"/>
        </w:rPr>
        <w:t>égalité des chances pour les personnes handicapées de 2014 traite de tous les types de discrimination et notamment, comme cela est indiqué dans la Troisième partie, des droits des personnes handicapées en matière d</w:t>
      </w:r>
      <w:r w:rsidR="00000F67">
        <w:rPr>
          <w:color w:val="000000"/>
        </w:rPr>
        <w:t>’</w:t>
      </w:r>
      <w:r w:rsidRPr="003B5B4E">
        <w:rPr>
          <w:color w:val="000000"/>
        </w:rPr>
        <w:t>emploi, de formation professionnelle, de programmes de perfectionnement et de formation</w:t>
      </w:r>
      <w:r w:rsidR="00000F67">
        <w:rPr>
          <w:color w:val="000000"/>
        </w:rPr>
        <w:t> ;</w:t>
      </w:r>
      <w:r w:rsidRPr="003B5B4E">
        <w:rPr>
          <w:color w:val="000000"/>
        </w:rPr>
        <w:t xml:space="preserve"> de l</w:t>
      </w:r>
      <w:r w:rsidR="00000F67">
        <w:rPr>
          <w:color w:val="000000"/>
        </w:rPr>
        <w:t>’</w:t>
      </w:r>
      <w:r w:rsidRPr="003B5B4E">
        <w:rPr>
          <w:color w:val="000000"/>
        </w:rPr>
        <w:t>interdiction de la discrimination de la part des employeurs</w:t>
      </w:r>
      <w:r w:rsidR="00000F67">
        <w:rPr>
          <w:color w:val="000000"/>
        </w:rPr>
        <w:t> ;</w:t>
      </w:r>
      <w:r w:rsidRPr="003B5B4E">
        <w:rPr>
          <w:color w:val="000000"/>
        </w:rPr>
        <w:t xml:space="preserve"> des droits aux soins de santé et au logement</w:t>
      </w:r>
      <w:r w:rsidR="00000F67">
        <w:rPr>
          <w:color w:val="000000"/>
        </w:rPr>
        <w:t> ;</w:t>
      </w:r>
      <w:r w:rsidRPr="003B5B4E">
        <w:rPr>
          <w:color w:val="000000"/>
        </w:rPr>
        <w:t xml:space="preserve"> de l</w:t>
      </w:r>
      <w:r w:rsidR="00000F67">
        <w:rPr>
          <w:color w:val="000000"/>
        </w:rPr>
        <w:t>’</w:t>
      </w:r>
      <w:r w:rsidRPr="003B5B4E">
        <w:rPr>
          <w:color w:val="000000"/>
        </w:rPr>
        <w:t>accessibilité et la mobilité dans les bâtiments publics et les parkings</w:t>
      </w:r>
      <w:r w:rsidR="00000F67">
        <w:rPr>
          <w:color w:val="000000"/>
        </w:rPr>
        <w:t> ;</w:t>
      </w:r>
      <w:r w:rsidRPr="003B5B4E">
        <w:rPr>
          <w:color w:val="000000"/>
        </w:rPr>
        <w:t xml:space="preserve"> des transports publics</w:t>
      </w:r>
      <w:r w:rsidR="00000F67">
        <w:rPr>
          <w:color w:val="000000"/>
        </w:rPr>
        <w:t> ;</w:t>
      </w:r>
      <w:r w:rsidRPr="003B5B4E">
        <w:rPr>
          <w:color w:val="000000"/>
        </w:rPr>
        <w:t xml:space="preserve"> des animaux d</w:t>
      </w:r>
      <w:r w:rsidR="00000F67">
        <w:rPr>
          <w:color w:val="000000"/>
        </w:rPr>
        <w:t>’</w:t>
      </w:r>
      <w:r w:rsidRPr="003B5B4E">
        <w:rPr>
          <w:color w:val="000000"/>
        </w:rPr>
        <w:t>assistance</w:t>
      </w:r>
      <w:r w:rsidR="00000F67">
        <w:rPr>
          <w:color w:val="000000"/>
        </w:rPr>
        <w:t> ;</w:t>
      </w:r>
      <w:r w:rsidRPr="003B5B4E">
        <w:rPr>
          <w:color w:val="000000"/>
        </w:rPr>
        <w:t xml:space="preserve"> des services sociaux auxiliaires</w:t>
      </w:r>
      <w:r w:rsidR="00000F67">
        <w:rPr>
          <w:color w:val="000000"/>
        </w:rPr>
        <w:t> ;</w:t>
      </w:r>
      <w:r w:rsidRPr="003B5B4E">
        <w:rPr>
          <w:color w:val="000000"/>
        </w:rPr>
        <w:t xml:space="preserve"> des activités sportives et de loisirs et du vote.</w:t>
      </w:r>
    </w:p>
    <w:p w14:paraId="5A84AE3C" w14:textId="2A55FAD7" w:rsidR="007C78DF" w:rsidRPr="003B5B4E" w:rsidRDefault="007C78DF" w:rsidP="00C67914">
      <w:pPr>
        <w:pStyle w:val="SingleTxt"/>
        <w:numPr>
          <w:ilvl w:val="0"/>
          <w:numId w:val="19"/>
        </w:numPr>
        <w:suppressAutoHyphens/>
        <w:rPr>
          <w:color w:val="000000"/>
        </w:rPr>
      </w:pPr>
      <w:r w:rsidRPr="003B5B4E">
        <w:rPr>
          <w:color w:val="000000"/>
        </w:rPr>
        <w:t>Aux termes de l</w:t>
      </w:r>
      <w:r w:rsidR="00000F67">
        <w:rPr>
          <w:color w:val="000000"/>
        </w:rPr>
        <w:t>’</w:t>
      </w:r>
      <w:r w:rsidRPr="003B5B4E">
        <w:rPr>
          <w:color w:val="000000"/>
        </w:rPr>
        <w:t>article 24 de la loi relative aux personnes handicapées de 2014, le Ministre chargé des services sociaux veille à ce que les personnes handicapées qui sont en situation de vulnérabilité soient encouragées à participer à la vie de la communauté en les aidant, notamment à travers</w:t>
      </w:r>
      <w:r w:rsidR="003E3E88" w:rsidRPr="003B5B4E">
        <w:rPr>
          <w:color w:val="000000"/>
        </w:rPr>
        <w:t> </w:t>
      </w:r>
      <w:r w:rsidRPr="003B5B4E">
        <w:rPr>
          <w:color w:val="000000"/>
        </w:rPr>
        <w:t>:</w:t>
      </w:r>
    </w:p>
    <w:p w14:paraId="2F1D26D0" w14:textId="21C83351" w:rsidR="007C78DF" w:rsidRPr="003B5B4E" w:rsidRDefault="003E3E88" w:rsidP="003E3E88">
      <w:pPr>
        <w:pStyle w:val="SingleTxt"/>
        <w:tabs>
          <w:tab w:val="right" w:pos="1685"/>
        </w:tabs>
        <w:suppressAutoHyphens/>
        <w:ind w:left="1742" w:hanging="475"/>
      </w:pPr>
      <w:r w:rsidRPr="003B5B4E">
        <w:tab/>
        <w:t>•</w:t>
      </w:r>
      <w:r w:rsidRPr="003B5B4E">
        <w:tab/>
      </w:r>
      <w:r w:rsidR="007C78DF" w:rsidRPr="003B5B4E">
        <w:t>L</w:t>
      </w:r>
      <w:r w:rsidR="00000F67">
        <w:t>’</w:t>
      </w:r>
      <w:r w:rsidR="007C78DF" w:rsidRPr="003B5B4E">
        <w:t>acquisition de prothèses, de dispositifs d</w:t>
      </w:r>
      <w:r w:rsidR="00000F67">
        <w:t>’</w:t>
      </w:r>
      <w:r w:rsidR="007C78DF" w:rsidRPr="003B5B4E">
        <w:t>assistance ou d</w:t>
      </w:r>
      <w:r w:rsidR="00000F67">
        <w:t>’</w:t>
      </w:r>
      <w:r w:rsidR="007C78DF" w:rsidRPr="003B5B4E">
        <w:t>appareils adaptatifs et les interventions médicales. La Division des affaires du handicap continue de fournir des dispositifs d</w:t>
      </w:r>
      <w:r w:rsidR="00000F67">
        <w:t>’</w:t>
      </w:r>
      <w:r w:rsidR="007C78DF" w:rsidRPr="003B5B4E">
        <w:t>assistance et un appui financier aux interventions médicales en faveur des femmes handicapées</w:t>
      </w:r>
      <w:r w:rsidR="00000F67">
        <w:t> ;</w:t>
      </w:r>
    </w:p>
    <w:p w14:paraId="0C66CC70" w14:textId="0576C595" w:rsidR="007C78DF" w:rsidRPr="003B5B4E" w:rsidRDefault="003E3E88" w:rsidP="003E3E88">
      <w:pPr>
        <w:pStyle w:val="SingleTxt"/>
        <w:tabs>
          <w:tab w:val="right" w:pos="1685"/>
        </w:tabs>
        <w:suppressAutoHyphens/>
        <w:ind w:left="1742" w:hanging="475"/>
      </w:pPr>
      <w:r w:rsidRPr="003B5B4E">
        <w:tab/>
        <w:t>•</w:t>
      </w:r>
      <w:r w:rsidRPr="003B5B4E">
        <w:tab/>
      </w:r>
      <w:r w:rsidR="007C78DF" w:rsidRPr="003B5B4E">
        <w:t>Des activités de formation spécialisée conçues pour améliorer les aptitudes de communication des personnes handicapées. À l</w:t>
      </w:r>
      <w:r w:rsidR="00000F67">
        <w:t>’</w:t>
      </w:r>
      <w:r w:rsidR="007C78DF" w:rsidRPr="003B5B4E">
        <w:t>automne de 2017, la Bahamas Training Agency (l</w:t>
      </w:r>
      <w:r w:rsidR="00000F67">
        <w:t>’</w:t>
      </w:r>
      <w:r w:rsidR="007C78DF" w:rsidRPr="003B5B4E">
        <w:t>Agence bahamienne pour la formation), qui est un organisme public, a pour la première fois intégré les personnes sourdes, dont nombre de jeunes femmes, dans ses programmes de formation</w:t>
      </w:r>
      <w:r w:rsidR="00000F67">
        <w:t> ;</w:t>
      </w:r>
    </w:p>
    <w:p w14:paraId="5EBD941E" w14:textId="1FBB96EC" w:rsidR="007C78DF" w:rsidRPr="003B5B4E" w:rsidRDefault="003E3E88" w:rsidP="003E3E88">
      <w:pPr>
        <w:pStyle w:val="SingleTxt"/>
        <w:tabs>
          <w:tab w:val="right" w:pos="1685"/>
        </w:tabs>
        <w:suppressAutoHyphens/>
        <w:ind w:left="1742" w:hanging="475"/>
      </w:pPr>
      <w:r w:rsidRPr="003B5B4E">
        <w:lastRenderedPageBreak/>
        <w:tab/>
        <w:t>•</w:t>
      </w:r>
      <w:r w:rsidRPr="003B5B4E">
        <w:tab/>
      </w:r>
      <w:r w:rsidR="007C78DF" w:rsidRPr="003B5B4E">
        <w:t>Le développement chez les personnes handicapées d</w:t>
      </w:r>
      <w:r w:rsidR="00000F67">
        <w:t>’</w:t>
      </w:r>
      <w:r w:rsidR="007C78DF" w:rsidRPr="003B5B4E">
        <w:t>un regard positif sur elles-mêmes grâce à des activités de conseil, d</w:t>
      </w:r>
      <w:r w:rsidR="00000F67">
        <w:t>’</w:t>
      </w:r>
      <w:r w:rsidR="007C78DF" w:rsidRPr="003B5B4E">
        <w:t>orientation et de mobilité permettant de renforcer leurs aptitudes et conditions de vie courantes. Plus récemment, le Gouvernement, en partenariat avec l</w:t>
      </w:r>
      <w:r w:rsidR="00000F67">
        <w:t>’</w:t>
      </w:r>
      <w:r w:rsidR="007C78DF" w:rsidRPr="003B5B4E">
        <w:t>ONG Disability Training Centre (Centre de formation pour les handicapés) a développé et élargi les programmes de formation et d</w:t>
      </w:r>
      <w:r w:rsidR="00000F67">
        <w:t>’</w:t>
      </w:r>
      <w:r w:rsidR="007C78DF" w:rsidRPr="003B5B4E">
        <w:t>orientation des personnes atteintes de handicaps divers dans les domaines de l</w:t>
      </w:r>
      <w:r w:rsidR="00000F67">
        <w:t>’</w:t>
      </w:r>
      <w:r w:rsidR="007C78DF" w:rsidRPr="003B5B4E">
        <w:t>autonomie personnelle, des connaissances pratiques et de la formation aux aptitudes nécessaires à l</w:t>
      </w:r>
      <w:r w:rsidR="00000F67">
        <w:t>’</w:t>
      </w:r>
      <w:r w:rsidR="007C78DF" w:rsidRPr="003B5B4E">
        <w:t>emploi</w:t>
      </w:r>
      <w:r w:rsidR="00000F67">
        <w:t> ;</w:t>
      </w:r>
    </w:p>
    <w:p w14:paraId="29E81BEA" w14:textId="70E3F31B" w:rsidR="007C78DF" w:rsidRPr="003B5B4E" w:rsidRDefault="003E3E88" w:rsidP="003E3E88">
      <w:pPr>
        <w:pStyle w:val="SingleTxt"/>
        <w:tabs>
          <w:tab w:val="right" w:pos="1685"/>
        </w:tabs>
        <w:suppressAutoHyphens/>
        <w:ind w:left="1742" w:hanging="475"/>
      </w:pPr>
      <w:r w:rsidRPr="003B5B4E">
        <w:tab/>
        <w:t>•</w:t>
      </w:r>
      <w:r w:rsidRPr="003B5B4E">
        <w:tab/>
      </w:r>
      <w:r w:rsidR="007C78DF" w:rsidRPr="003B5B4E">
        <w:t>Les services de soins familiaux conçus pour renforcer les capacités de réponse des familles aux besoins des personnes handicapées. La Division des affaires du handicap continue d</w:t>
      </w:r>
      <w:r w:rsidR="00000F67">
        <w:t>’</w:t>
      </w:r>
      <w:r w:rsidR="007C78DF" w:rsidRPr="003B5B4E">
        <w:t>organiser plusieurs sessions d</w:t>
      </w:r>
      <w:r w:rsidR="00000F67">
        <w:t>’</w:t>
      </w:r>
      <w:r w:rsidR="007C78DF" w:rsidRPr="003B5B4E">
        <w:t>orientation et de formation à l</w:t>
      </w:r>
      <w:r w:rsidR="00000F67">
        <w:t>’</w:t>
      </w:r>
      <w:r w:rsidR="007C78DF" w:rsidRPr="003B5B4E">
        <w:t>intention des familles des personnes handicapées. Le Gouvernement continue pour sa part d</w:t>
      </w:r>
      <w:r w:rsidR="00000F67">
        <w:t>’</w:t>
      </w:r>
      <w:r w:rsidR="007C78DF" w:rsidRPr="003B5B4E">
        <w:t>agir dans le cadre du très précieux partenariat établi avec des ONG spécialisées dans le handicap en matière de fourniture de services, d</w:t>
      </w:r>
      <w:r w:rsidR="00000F67">
        <w:t>’</w:t>
      </w:r>
      <w:r w:rsidR="007C78DF" w:rsidRPr="003B5B4E">
        <w:t>appui et de formation aux personnes atteintes de handicaps et à leur famille. Récemment, le Gouvernement a lancé avec REACH, une ONG locale spécialisée dans la sensibilisation à l</w:t>
      </w:r>
      <w:r w:rsidR="00000F67">
        <w:t>’</w:t>
      </w:r>
      <w:r w:rsidR="007C78DF" w:rsidRPr="003B5B4E">
        <w:t>autisme, une étude d</w:t>
      </w:r>
      <w:r w:rsidR="00000F67">
        <w:t>’</w:t>
      </w:r>
      <w:r w:rsidR="007C78DF" w:rsidRPr="003B5B4E">
        <w:t>ensemble sur le spectre de l</w:t>
      </w:r>
      <w:r w:rsidR="00000F67">
        <w:t>’</w:t>
      </w:r>
      <w:r w:rsidR="007C78DF" w:rsidRPr="003B5B4E">
        <w:t>autisme aux Bahamas et sur la manière de mieux soutenir les familles d</w:t>
      </w:r>
      <w:r w:rsidR="00000F67">
        <w:t>’</w:t>
      </w:r>
      <w:r w:rsidR="007C78DF" w:rsidRPr="003B5B4E">
        <w:t>autistes. Cette étude est conduite en collaboration avec l</w:t>
      </w:r>
      <w:r w:rsidR="00000F67">
        <w:t>’</w:t>
      </w:r>
      <w:r w:rsidR="007C78DF" w:rsidRPr="003B5B4E">
        <w:t>ONG mondiale Autism Speaks</w:t>
      </w:r>
      <w:r w:rsidR="00000F67">
        <w:t> ;</w:t>
      </w:r>
    </w:p>
    <w:p w14:paraId="4883B1C1" w14:textId="2EBE5600" w:rsidR="007C78DF" w:rsidRPr="003B5B4E" w:rsidRDefault="003E3E88" w:rsidP="003E3E88">
      <w:pPr>
        <w:pStyle w:val="SingleTxt"/>
        <w:tabs>
          <w:tab w:val="right" w:pos="1685"/>
        </w:tabs>
        <w:suppressAutoHyphens/>
        <w:ind w:left="1742" w:hanging="475"/>
      </w:pPr>
      <w:r w:rsidRPr="003B5B4E">
        <w:tab/>
        <w:t>•</w:t>
      </w:r>
      <w:r w:rsidRPr="003B5B4E">
        <w:tab/>
      </w:r>
      <w:r w:rsidR="007C78DF" w:rsidRPr="003B5B4E">
        <w:t>Les services et structures de soins dans les familles d</w:t>
      </w:r>
      <w:r w:rsidR="00000F67">
        <w:t>’</w:t>
      </w:r>
      <w:r w:rsidR="007C78DF" w:rsidRPr="003B5B4E">
        <w:t>accueil pour les personnes handicapées abandonnées, négligées, maltraitées et sans attache, qui ont besoin de formes de soins alternatifs adaptés à leurs besoins individuels. Le Gouvernement continue d</w:t>
      </w:r>
      <w:r w:rsidR="00000F67">
        <w:t>’</w:t>
      </w:r>
      <w:r w:rsidR="007C78DF" w:rsidRPr="003B5B4E">
        <w:t>accorder des subventions et un appui technique à plusieurs structures d</w:t>
      </w:r>
      <w:r w:rsidR="00000F67">
        <w:t>’</w:t>
      </w:r>
      <w:r w:rsidR="007C78DF" w:rsidRPr="003B5B4E">
        <w:t>ONG qui soignent les enfants et les personnes âgées, dont un grand nombre s</w:t>
      </w:r>
      <w:r w:rsidR="00000F67">
        <w:t>’</w:t>
      </w:r>
      <w:r w:rsidR="007C78DF" w:rsidRPr="003B5B4E">
        <w:t>occupent également de filles et de femmes handicapées, notamment le Nazareth Centre for Children et la Unity House pour les personnes âgées</w:t>
      </w:r>
      <w:r w:rsidR="00000F67">
        <w:t> ;</w:t>
      </w:r>
    </w:p>
    <w:p w14:paraId="7F471978" w14:textId="35575A52" w:rsidR="007C78DF" w:rsidRPr="003B5B4E" w:rsidRDefault="003E3E88" w:rsidP="003E3E88">
      <w:pPr>
        <w:pStyle w:val="SingleTxt"/>
        <w:tabs>
          <w:tab w:val="right" w:pos="1685"/>
        </w:tabs>
        <w:suppressAutoHyphens/>
        <w:ind w:left="1742" w:hanging="475"/>
      </w:pPr>
      <w:r w:rsidRPr="003B5B4E">
        <w:tab/>
        <w:t>•</w:t>
      </w:r>
      <w:r w:rsidRPr="003B5B4E">
        <w:tab/>
      </w:r>
      <w:r w:rsidR="007C78DF" w:rsidRPr="003B5B4E">
        <w:t>Les services post-cure et de suivi destinés à la réadaptation continue des personnes handicapées dans un cadre communautaire hors des soins résidentiels ou des centres de réadaptation. Le Gouvernement, à travers le Department of Rehabilitative Welfare Services (Département des services de soins de réadaptation), fournit des services post-cure et de suivi</w:t>
      </w:r>
      <w:r w:rsidR="00000F67">
        <w:t> ;</w:t>
      </w:r>
    </w:p>
    <w:p w14:paraId="65A9010F" w14:textId="7E381CAF" w:rsidR="007C78DF" w:rsidRDefault="003E3E88" w:rsidP="003E3E88">
      <w:pPr>
        <w:pStyle w:val="SingleTxt"/>
        <w:tabs>
          <w:tab w:val="right" w:pos="1685"/>
        </w:tabs>
        <w:suppressAutoHyphens/>
        <w:ind w:left="1742" w:hanging="475"/>
      </w:pPr>
      <w:r w:rsidRPr="003B5B4E">
        <w:tab/>
        <w:t>•</w:t>
      </w:r>
      <w:r w:rsidRPr="003B5B4E">
        <w:tab/>
      </w:r>
      <w:r w:rsidR="007C78DF" w:rsidRPr="003B5B4E">
        <w:t>Les services de soin de jour pour les enfants handicapés d</w:t>
      </w:r>
      <w:r w:rsidR="00000F67">
        <w:t>’</w:t>
      </w:r>
      <w:r w:rsidR="007C78DF" w:rsidRPr="003B5B4E">
        <w:t>âge préscolaire. Le Gouvernement continue d</w:t>
      </w:r>
      <w:r w:rsidR="00000F67">
        <w:t>’</w:t>
      </w:r>
      <w:r w:rsidR="007C78DF" w:rsidRPr="003B5B4E">
        <w:t>offrir aux enfants handicapés des services de soins de jour en accordant des subventions et en mobilisant du personnel et un appui technique au bénéfice de plusieurs centres pour enfants handicapés gérés par des ONG, dont notamment la Bahamas Association for the Physically Disabled.</w:t>
      </w:r>
    </w:p>
    <w:p w14:paraId="4E38AD99" w14:textId="129B70F5" w:rsidR="00A45056" w:rsidRPr="00A45056" w:rsidRDefault="00A45056" w:rsidP="00A45056">
      <w:pPr>
        <w:pStyle w:val="SingleTxt"/>
        <w:tabs>
          <w:tab w:val="right" w:pos="1685"/>
        </w:tabs>
        <w:suppressAutoHyphens/>
        <w:spacing w:after="0" w:line="120" w:lineRule="exact"/>
        <w:ind w:left="1742" w:hanging="475"/>
        <w:rPr>
          <w:sz w:val="10"/>
        </w:rPr>
      </w:pPr>
    </w:p>
    <w:p w14:paraId="704932FB" w14:textId="4335A811" w:rsidR="00A45056" w:rsidRPr="00A45056" w:rsidRDefault="00A45056" w:rsidP="00A45056">
      <w:pPr>
        <w:pStyle w:val="SingleTxt"/>
        <w:tabs>
          <w:tab w:val="right" w:pos="1685"/>
        </w:tabs>
        <w:suppressAutoHyphens/>
        <w:spacing w:after="0" w:line="120" w:lineRule="exact"/>
        <w:ind w:left="1742" w:hanging="475"/>
        <w:rPr>
          <w:sz w:val="10"/>
        </w:rPr>
      </w:pPr>
    </w:p>
    <w:p w14:paraId="1F9A8F04" w14:textId="35CB32C4" w:rsidR="007C78DF" w:rsidRDefault="003E3E88" w:rsidP="003721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B4E">
        <w:tab/>
      </w:r>
      <w:r w:rsidRPr="003B5B4E">
        <w:tab/>
      </w:r>
      <w:r w:rsidR="007C78DF" w:rsidRPr="003B5B4E">
        <w:t>Réfugiées et demandeuses d</w:t>
      </w:r>
      <w:r w:rsidR="00000F67">
        <w:t>’</w:t>
      </w:r>
      <w:r w:rsidR="007C78DF" w:rsidRPr="003B5B4E">
        <w:t>asile</w:t>
      </w:r>
    </w:p>
    <w:p w14:paraId="3043EDAB" w14:textId="274DDD26" w:rsidR="00A45056" w:rsidRPr="00A45056" w:rsidRDefault="00A45056" w:rsidP="00A45056">
      <w:pPr>
        <w:pStyle w:val="SingleTxt"/>
        <w:spacing w:after="0" w:line="120" w:lineRule="exact"/>
        <w:rPr>
          <w:sz w:val="10"/>
        </w:rPr>
      </w:pPr>
    </w:p>
    <w:p w14:paraId="7129CC06" w14:textId="6B84FE7C" w:rsidR="00A45056" w:rsidRPr="00A45056" w:rsidRDefault="00A45056" w:rsidP="00A45056">
      <w:pPr>
        <w:pStyle w:val="SingleTxt"/>
        <w:spacing w:after="0" w:line="120" w:lineRule="exact"/>
        <w:rPr>
          <w:sz w:val="10"/>
        </w:rPr>
      </w:pPr>
    </w:p>
    <w:p w14:paraId="076D5BE2" w14:textId="299CE3AF" w:rsidR="007C78DF" w:rsidRPr="003B5B4E" w:rsidRDefault="007C78DF" w:rsidP="00C67914">
      <w:pPr>
        <w:pStyle w:val="SingleTxt"/>
        <w:numPr>
          <w:ilvl w:val="0"/>
          <w:numId w:val="19"/>
        </w:numPr>
        <w:suppressAutoHyphens/>
        <w:rPr>
          <w:color w:val="000000"/>
        </w:rPr>
      </w:pPr>
      <w:r w:rsidRPr="003B5B4E">
        <w:t>En ce qui concerne les paragraphes 72 à 76 du rapport de l</w:t>
      </w:r>
      <w:r w:rsidR="00000F67">
        <w:t>’</w:t>
      </w:r>
      <w:r w:rsidRPr="003B5B4E">
        <w:t xml:space="preserve">État partie, veuillez informer le Comité </w:t>
      </w:r>
      <w:r w:rsidRPr="003B5B4E">
        <w:rPr>
          <w:color w:val="000000"/>
        </w:rPr>
        <w:t>de la législation en vigueur dans l</w:t>
      </w:r>
      <w:r w:rsidR="00000F67">
        <w:rPr>
          <w:color w:val="000000"/>
        </w:rPr>
        <w:t>’</w:t>
      </w:r>
      <w:r w:rsidRPr="003B5B4E">
        <w:rPr>
          <w:color w:val="000000"/>
        </w:rPr>
        <w:t>État partie pour protéger les femmes réfugiées et demandeuses d</w:t>
      </w:r>
      <w:r w:rsidR="00000F67">
        <w:rPr>
          <w:color w:val="000000"/>
        </w:rPr>
        <w:t>’</w:t>
      </w:r>
      <w:r w:rsidRPr="003B5B4E">
        <w:rPr>
          <w:color w:val="000000"/>
        </w:rPr>
        <w:t>asile contre le retour forcé dans des pays où elles risquent d</w:t>
      </w:r>
      <w:r w:rsidR="00000F67">
        <w:rPr>
          <w:color w:val="000000"/>
        </w:rPr>
        <w:t>’</w:t>
      </w:r>
      <w:r w:rsidRPr="003B5B4E">
        <w:rPr>
          <w:color w:val="000000"/>
        </w:rPr>
        <w:t>être soumises à la violence sexiste ou aux pratiques traditionnelles néfastes. Veuillez également fournir des informations sur le renforcement des capacités de la police des frontières, des agents des services d</w:t>
      </w:r>
      <w:r w:rsidR="00000F67">
        <w:rPr>
          <w:color w:val="000000"/>
        </w:rPr>
        <w:t>’</w:t>
      </w:r>
      <w:r w:rsidRPr="003B5B4E">
        <w:rPr>
          <w:color w:val="000000"/>
        </w:rPr>
        <w:t>immigration et des autres responsables de l</w:t>
      </w:r>
      <w:r w:rsidR="00000F67">
        <w:rPr>
          <w:color w:val="000000"/>
        </w:rPr>
        <w:t>’</w:t>
      </w:r>
      <w:r w:rsidRPr="003B5B4E">
        <w:rPr>
          <w:color w:val="000000"/>
        </w:rPr>
        <w:t xml:space="preserve">application des lois ainsi que sur les directives qui leur sont données en ce qui </w:t>
      </w:r>
      <w:r w:rsidRPr="003B5B4E">
        <w:rPr>
          <w:color w:val="000000"/>
        </w:rPr>
        <w:lastRenderedPageBreak/>
        <w:t>concerne l</w:t>
      </w:r>
      <w:r w:rsidR="00000F67">
        <w:rPr>
          <w:color w:val="000000"/>
        </w:rPr>
        <w:t>’</w:t>
      </w:r>
      <w:r w:rsidRPr="003B5B4E">
        <w:rPr>
          <w:color w:val="000000"/>
        </w:rPr>
        <w:t>identification précoce des personnes ayant besoin d</w:t>
      </w:r>
      <w:r w:rsidR="00000F67">
        <w:rPr>
          <w:color w:val="000000"/>
        </w:rPr>
        <w:t>’</w:t>
      </w:r>
      <w:r w:rsidRPr="003B5B4E">
        <w:rPr>
          <w:color w:val="000000"/>
        </w:rPr>
        <w:t>une protection internationale, telles que les réfugiées, les femmes apatrides et les femmes et les filles victimes de la traite, et leur orientation vers les services sociaux appropriés (voir CEDAW/C/BHS/Q/6, par. 18).</w:t>
      </w:r>
    </w:p>
    <w:p w14:paraId="0DDFF894" w14:textId="3ED92373" w:rsidR="009363E5" w:rsidRPr="00A45056" w:rsidRDefault="009363E5" w:rsidP="00A45056">
      <w:pPr>
        <w:pStyle w:val="SingleTxt"/>
        <w:suppressAutoHyphens/>
        <w:spacing w:after="0" w:line="120" w:lineRule="exact"/>
        <w:rPr>
          <w:b/>
          <w:color w:val="000000"/>
          <w:sz w:val="10"/>
        </w:rPr>
      </w:pPr>
    </w:p>
    <w:p w14:paraId="096A8EE6" w14:textId="6B02B22A" w:rsidR="007C78DF" w:rsidRPr="003B5B4E" w:rsidRDefault="00A45056"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Réponses</w:t>
      </w:r>
    </w:p>
    <w:p w14:paraId="69CC2032" w14:textId="6179F60F" w:rsidR="009363E5" w:rsidRPr="00A45056" w:rsidRDefault="009363E5" w:rsidP="00A45056">
      <w:pPr>
        <w:pStyle w:val="SingleTxt"/>
        <w:suppressAutoHyphens/>
        <w:spacing w:after="0" w:line="120" w:lineRule="exact"/>
        <w:rPr>
          <w:color w:val="000000"/>
          <w:sz w:val="10"/>
        </w:rPr>
      </w:pPr>
    </w:p>
    <w:p w14:paraId="57F8BDF5" w14:textId="44AF89E4" w:rsidR="007C78DF" w:rsidRPr="003B5B4E" w:rsidRDefault="007C78DF" w:rsidP="00C67914">
      <w:pPr>
        <w:pStyle w:val="SingleTxt"/>
        <w:numPr>
          <w:ilvl w:val="0"/>
          <w:numId w:val="19"/>
        </w:numPr>
        <w:suppressAutoHyphens/>
        <w:rPr>
          <w:color w:val="000000"/>
        </w:rPr>
      </w:pPr>
      <w:r w:rsidRPr="003B5B4E">
        <w:rPr>
          <w:color w:val="000000"/>
        </w:rPr>
        <w:t>Les Bahamas ne disposent pas d</w:t>
      </w:r>
      <w:r w:rsidR="00000F67">
        <w:rPr>
          <w:color w:val="000000"/>
        </w:rPr>
        <w:t>’</w:t>
      </w:r>
      <w:r w:rsidRPr="003B5B4E">
        <w:rPr>
          <w:color w:val="000000"/>
        </w:rPr>
        <w:t>une législation particulière relative aux réfugiés et demandeurs d</w:t>
      </w:r>
      <w:r w:rsidR="00000F67">
        <w:rPr>
          <w:color w:val="000000"/>
        </w:rPr>
        <w:t>’</w:t>
      </w:r>
      <w:r w:rsidRPr="003B5B4E">
        <w:rPr>
          <w:color w:val="000000"/>
        </w:rPr>
        <w:t>asile. Un Groupe de travail sur les migrations, composé notamment de représentants du Bureau du Procureur général et du Département de l</w:t>
      </w:r>
      <w:r w:rsidR="00000F67">
        <w:rPr>
          <w:color w:val="000000"/>
        </w:rPr>
        <w:t>’</w:t>
      </w:r>
      <w:r w:rsidRPr="003B5B4E">
        <w:rPr>
          <w:color w:val="000000"/>
        </w:rPr>
        <w:t>immigration, a formulé des Procédures opérationnelles permanentes (SOP) pour la protection des réfugiés et demandeurs d</w:t>
      </w:r>
      <w:r w:rsidR="00000F67">
        <w:rPr>
          <w:color w:val="000000"/>
        </w:rPr>
        <w:t>’</w:t>
      </w:r>
      <w:r w:rsidRPr="003B5B4E">
        <w:rPr>
          <w:color w:val="000000"/>
        </w:rPr>
        <w:t>asile aux Bahamas. Il importe de noter qu</w:t>
      </w:r>
      <w:r w:rsidR="00000F67">
        <w:rPr>
          <w:color w:val="000000"/>
        </w:rPr>
        <w:t>’</w:t>
      </w:r>
      <w:r w:rsidRPr="003B5B4E">
        <w:rPr>
          <w:color w:val="000000"/>
        </w:rPr>
        <w:t>entre 2012 et 2017, 27 demandeurs d</w:t>
      </w:r>
      <w:r w:rsidR="00000F67">
        <w:rPr>
          <w:color w:val="000000"/>
        </w:rPr>
        <w:t>’</w:t>
      </w:r>
      <w:r w:rsidRPr="003B5B4E">
        <w:rPr>
          <w:color w:val="000000"/>
        </w:rPr>
        <w:t>asile ont été reconnus comme réfugiés.</w:t>
      </w:r>
    </w:p>
    <w:p w14:paraId="7C9C46E1" w14:textId="39BB9D79" w:rsidR="007C78DF" w:rsidRPr="003B5B4E" w:rsidRDefault="007C78DF" w:rsidP="00C67914">
      <w:pPr>
        <w:pStyle w:val="SingleTxt"/>
        <w:numPr>
          <w:ilvl w:val="0"/>
          <w:numId w:val="19"/>
        </w:numPr>
        <w:suppressAutoHyphens/>
        <w:rPr>
          <w:color w:val="000000"/>
        </w:rPr>
      </w:pPr>
      <w:r w:rsidRPr="003B5B4E">
        <w:rPr>
          <w:color w:val="000000"/>
        </w:rPr>
        <w:t>Le Groupe de travail sur les migrations a également évalué le Plan d</w:t>
      </w:r>
      <w:r w:rsidR="00000F67">
        <w:rPr>
          <w:color w:val="000000"/>
        </w:rPr>
        <w:t>’</w:t>
      </w:r>
      <w:r w:rsidRPr="003B5B4E">
        <w:rPr>
          <w:color w:val="000000"/>
        </w:rPr>
        <w:t>action en 10 points du Haut-Commissariat des Nations Unies pour les réfugiés (HCR) et du Plan d</w:t>
      </w:r>
      <w:r w:rsidR="00000F67">
        <w:rPr>
          <w:color w:val="000000"/>
        </w:rPr>
        <w:t>’</w:t>
      </w:r>
      <w:r w:rsidRPr="003B5B4E">
        <w:rPr>
          <w:color w:val="000000"/>
        </w:rPr>
        <w:t>action du Brésil, et s</w:t>
      </w:r>
      <w:r w:rsidR="00000F67">
        <w:rPr>
          <w:color w:val="000000"/>
        </w:rPr>
        <w:t>’</w:t>
      </w:r>
      <w:r w:rsidRPr="003B5B4E">
        <w:rPr>
          <w:color w:val="000000"/>
        </w:rPr>
        <w:t>est employé à mettre en œuvre les obligations qu</w:t>
      </w:r>
      <w:r w:rsidR="00000F67">
        <w:rPr>
          <w:color w:val="000000"/>
        </w:rPr>
        <w:t>’</w:t>
      </w:r>
      <w:r w:rsidRPr="003B5B4E">
        <w:rPr>
          <w:color w:val="000000"/>
        </w:rPr>
        <w:t>ils renferment.</w:t>
      </w:r>
    </w:p>
    <w:p w14:paraId="12580EA4" w14:textId="0B236371" w:rsidR="007C78DF" w:rsidRPr="003B5B4E" w:rsidRDefault="007C78DF" w:rsidP="00C67914">
      <w:pPr>
        <w:pStyle w:val="SingleTxt"/>
        <w:numPr>
          <w:ilvl w:val="0"/>
          <w:numId w:val="19"/>
        </w:numPr>
        <w:suppressAutoHyphens/>
        <w:rPr>
          <w:color w:val="000000"/>
        </w:rPr>
      </w:pPr>
      <w:r w:rsidRPr="003B5B4E">
        <w:rPr>
          <w:color w:val="000000"/>
        </w:rPr>
        <w:t>En avril 2017, le Groupe de travail sur les migrations, en collaboration avec le bureau local du HCR, a organisé un cycle de formation sur les SOP pour la protection des réfugiés et demandeurs d</w:t>
      </w:r>
      <w:r w:rsidR="00000F67">
        <w:rPr>
          <w:color w:val="000000"/>
        </w:rPr>
        <w:t>’</w:t>
      </w:r>
      <w:r w:rsidRPr="003B5B4E">
        <w:rPr>
          <w:color w:val="000000"/>
        </w:rPr>
        <w:t>asile à l</w:t>
      </w:r>
      <w:r w:rsidR="00000F67">
        <w:rPr>
          <w:color w:val="000000"/>
        </w:rPr>
        <w:t>’</w:t>
      </w:r>
      <w:r w:rsidRPr="003B5B4E">
        <w:rPr>
          <w:color w:val="000000"/>
        </w:rPr>
        <w:t>intention des fonctionnaires du Groupe réfugiés et de hauts responsables du Département de l</w:t>
      </w:r>
      <w:r w:rsidR="00000F67">
        <w:rPr>
          <w:color w:val="000000"/>
        </w:rPr>
        <w:t>’</w:t>
      </w:r>
      <w:r w:rsidRPr="003B5B4E">
        <w:rPr>
          <w:color w:val="000000"/>
        </w:rPr>
        <w:t>immigration. Un autre cycle de formation des fonctionnaires du Département de l</w:t>
      </w:r>
      <w:r w:rsidR="00000F67">
        <w:rPr>
          <w:color w:val="000000"/>
        </w:rPr>
        <w:t>’</w:t>
      </w:r>
      <w:r w:rsidRPr="003B5B4E">
        <w:rPr>
          <w:color w:val="000000"/>
        </w:rPr>
        <w:t>immigration est prévu à la fin de 2018.</w:t>
      </w:r>
    </w:p>
    <w:p w14:paraId="57366871" w14:textId="3CB07FCE" w:rsidR="007C78DF" w:rsidRDefault="007C78DF" w:rsidP="00C67914">
      <w:pPr>
        <w:pStyle w:val="SingleTxt"/>
        <w:numPr>
          <w:ilvl w:val="0"/>
          <w:numId w:val="19"/>
        </w:numPr>
        <w:suppressAutoHyphens/>
        <w:rPr>
          <w:color w:val="000000"/>
        </w:rPr>
      </w:pPr>
      <w:r w:rsidRPr="003B5B4E">
        <w:rPr>
          <w:color w:val="000000"/>
        </w:rPr>
        <w:t>Au paragraphe 74 du rapport de l</w:t>
      </w:r>
      <w:r w:rsidR="00000F67">
        <w:rPr>
          <w:color w:val="000000"/>
        </w:rPr>
        <w:t>’</w:t>
      </w:r>
      <w:r w:rsidRPr="003B5B4E">
        <w:rPr>
          <w:color w:val="000000"/>
        </w:rPr>
        <w:t>État partie, il est indiqué que les demandeurs d</w:t>
      </w:r>
      <w:r w:rsidR="00000F67">
        <w:rPr>
          <w:color w:val="000000"/>
        </w:rPr>
        <w:t>’</w:t>
      </w:r>
      <w:r w:rsidRPr="003B5B4E">
        <w:rPr>
          <w:color w:val="000000"/>
        </w:rPr>
        <w:t>asile peuvent être détenus pour de courtes périodes. Veuillez informer le Comité des mesures mises en place dans l</w:t>
      </w:r>
      <w:r w:rsidR="00000F67">
        <w:rPr>
          <w:color w:val="000000"/>
        </w:rPr>
        <w:t>’</w:t>
      </w:r>
      <w:r w:rsidRPr="003B5B4E">
        <w:rPr>
          <w:color w:val="000000"/>
        </w:rPr>
        <w:t>État partie pour faire en sorte que les femmes et adolescentes demandeuses d</w:t>
      </w:r>
      <w:r w:rsidR="00000F67">
        <w:rPr>
          <w:color w:val="000000"/>
        </w:rPr>
        <w:t>’</w:t>
      </w:r>
      <w:r w:rsidRPr="003B5B4E">
        <w:rPr>
          <w:color w:val="000000"/>
        </w:rPr>
        <w:t>asile, en particulier celles qui ne sont pas accompagnées, soient protégées contre la violence sexiste, le harcèlement sexuel et la traite, et bénéficient d</w:t>
      </w:r>
      <w:r w:rsidR="00000F67">
        <w:rPr>
          <w:color w:val="000000"/>
        </w:rPr>
        <w:t>’</w:t>
      </w:r>
      <w:r w:rsidRPr="003B5B4E">
        <w:rPr>
          <w:color w:val="000000"/>
        </w:rPr>
        <w:t>un accès adéquat aux services de santé, en particulier de santé sexuelle et procréative.</w:t>
      </w:r>
      <w:r w:rsidR="00DA5529">
        <w:rPr>
          <w:color w:val="000000"/>
        </w:rPr>
        <w:t xml:space="preserve"> </w:t>
      </w:r>
      <w:r w:rsidRPr="003B5B4E">
        <w:rPr>
          <w:color w:val="000000"/>
        </w:rPr>
        <w:t>Veuillez également donner des précisions sur les garanties mises en place pour veiller à ce que les femmes et filles demandeuses d</w:t>
      </w:r>
      <w:r w:rsidR="00000F67">
        <w:rPr>
          <w:color w:val="000000"/>
        </w:rPr>
        <w:t>’</w:t>
      </w:r>
      <w:r w:rsidRPr="003B5B4E">
        <w:rPr>
          <w:color w:val="000000"/>
        </w:rPr>
        <w:t>asile soient séparées des hommes demandeurs d</w:t>
      </w:r>
      <w:r w:rsidR="00000F67">
        <w:rPr>
          <w:color w:val="000000"/>
        </w:rPr>
        <w:t>’</w:t>
      </w:r>
      <w:r w:rsidRPr="003B5B4E">
        <w:rPr>
          <w:color w:val="000000"/>
        </w:rPr>
        <w:t>asile, sauf si ces derniers sont des parents proches. Veuillez enfin fournir des informations sur l</w:t>
      </w:r>
      <w:r w:rsidR="00000F67">
        <w:rPr>
          <w:color w:val="000000"/>
        </w:rPr>
        <w:t>’</w:t>
      </w:r>
      <w:r w:rsidRPr="003B5B4E">
        <w:rPr>
          <w:color w:val="000000"/>
        </w:rPr>
        <w:t>accès aux services et indiquer si les services de santé, en particulier les services obstétriques et gynécologiques et les services juridiques sont accessibles gratuitement à toutes les femmes et filles demandeuses d</w:t>
      </w:r>
      <w:r w:rsidR="00000F67">
        <w:rPr>
          <w:color w:val="000000"/>
        </w:rPr>
        <w:t>’</w:t>
      </w:r>
      <w:r w:rsidRPr="003B5B4E">
        <w:rPr>
          <w:color w:val="000000"/>
        </w:rPr>
        <w:t>asile (CEDAW/C/BHS/Q/6, par. 19).</w:t>
      </w:r>
    </w:p>
    <w:p w14:paraId="78BB392F" w14:textId="7045C17E" w:rsidR="00A45056" w:rsidRPr="00A45056" w:rsidRDefault="00A45056" w:rsidP="00A45056">
      <w:pPr>
        <w:pStyle w:val="SingleTxt"/>
        <w:suppressAutoHyphens/>
        <w:spacing w:after="0" w:line="120" w:lineRule="exact"/>
        <w:rPr>
          <w:color w:val="000000"/>
          <w:sz w:val="10"/>
        </w:rPr>
      </w:pPr>
    </w:p>
    <w:p w14:paraId="5D51A019" w14:textId="7F6CE026" w:rsidR="007C78DF" w:rsidRPr="003B5B4E" w:rsidRDefault="00A45056"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Réponse</w:t>
      </w:r>
    </w:p>
    <w:p w14:paraId="4E3CEA41" w14:textId="0EE01190" w:rsidR="009363E5" w:rsidRPr="00A45056" w:rsidRDefault="009363E5" w:rsidP="00A45056">
      <w:pPr>
        <w:pStyle w:val="SingleTxt"/>
        <w:suppressAutoHyphens/>
        <w:spacing w:after="0" w:line="120" w:lineRule="exact"/>
        <w:rPr>
          <w:color w:val="000000"/>
          <w:sz w:val="10"/>
        </w:rPr>
      </w:pPr>
    </w:p>
    <w:p w14:paraId="1F77D240" w14:textId="1760BBE7" w:rsidR="007C78DF" w:rsidRPr="003B5B4E" w:rsidRDefault="007C78DF" w:rsidP="00C67914">
      <w:pPr>
        <w:pStyle w:val="SingleTxt"/>
        <w:numPr>
          <w:ilvl w:val="0"/>
          <w:numId w:val="19"/>
        </w:numPr>
        <w:suppressAutoHyphens/>
        <w:rPr>
          <w:color w:val="000000"/>
        </w:rPr>
      </w:pPr>
      <w:r w:rsidRPr="003B5B4E">
        <w:rPr>
          <w:color w:val="000000"/>
        </w:rPr>
        <w:t>Le Département de l</w:t>
      </w:r>
      <w:r w:rsidR="00000F67">
        <w:rPr>
          <w:color w:val="000000"/>
        </w:rPr>
        <w:t>’</w:t>
      </w:r>
      <w:r w:rsidRPr="003B5B4E">
        <w:rPr>
          <w:color w:val="000000"/>
        </w:rPr>
        <w:t>immigration, en collaboration avec le HCR, a joué un rôle décisif en permettant à quatre fonctionnaires des services de l</w:t>
      </w:r>
      <w:r w:rsidR="00000F67">
        <w:rPr>
          <w:color w:val="000000"/>
        </w:rPr>
        <w:t>’</w:t>
      </w:r>
      <w:r w:rsidRPr="003B5B4E">
        <w:rPr>
          <w:color w:val="000000"/>
        </w:rPr>
        <w:t xml:space="preserve">immigration de suivre un stage de </w:t>
      </w:r>
      <w:r w:rsidR="00A45056">
        <w:rPr>
          <w:color w:val="000000"/>
        </w:rPr>
        <w:t>trois</w:t>
      </w:r>
      <w:r w:rsidRPr="003B5B4E">
        <w:rPr>
          <w:color w:val="000000"/>
        </w:rPr>
        <w:t xml:space="preserve"> à </w:t>
      </w:r>
      <w:r w:rsidR="00A45056">
        <w:rPr>
          <w:color w:val="000000"/>
        </w:rPr>
        <w:t>six</w:t>
      </w:r>
      <w:r w:rsidRPr="003B5B4E">
        <w:rPr>
          <w:color w:val="000000"/>
        </w:rPr>
        <w:t xml:space="preserve"> semaines aux États-Unis, qui a porté sur les modalités de détermination du statut de réfugiés. En outre, le Directeur du Département de l</w:t>
      </w:r>
      <w:r w:rsidR="00000F67">
        <w:rPr>
          <w:color w:val="000000"/>
        </w:rPr>
        <w:t>’</w:t>
      </w:r>
      <w:r w:rsidRPr="003B5B4E">
        <w:rPr>
          <w:color w:val="000000"/>
        </w:rPr>
        <w:t>immigration organise des formations sur les ports d</w:t>
      </w:r>
      <w:r w:rsidR="00000F67">
        <w:rPr>
          <w:color w:val="000000"/>
        </w:rPr>
        <w:t>’</w:t>
      </w:r>
      <w:r w:rsidRPr="003B5B4E">
        <w:rPr>
          <w:color w:val="000000"/>
        </w:rPr>
        <w:t>entrée, le centre de détention et le Groupe d</w:t>
      </w:r>
      <w:r w:rsidR="00000F67">
        <w:rPr>
          <w:color w:val="000000"/>
        </w:rPr>
        <w:t>’</w:t>
      </w:r>
      <w:r w:rsidRPr="003B5B4E">
        <w:rPr>
          <w:color w:val="000000"/>
        </w:rPr>
        <w:t>exécution (service de l</w:t>
      </w:r>
      <w:r w:rsidR="00000F67">
        <w:rPr>
          <w:color w:val="000000"/>
        </w:rPr>
        <w:t>’</w:t>
      </w:r>
      <w:r w:rsidRPr="003B5B4E">
        <w:rPr>
          <w:color w:val="000000"/>
        </w:rPr>
        <w:t>application de la politique et des opérations sur la voie publique) afin de sensibiliser les fonctionnaires et leur permettre d</w:t>
      </w:r>
      <w:r w:rsidR="00000F67">
        <w:rPr>
          <w:color w:val="000000"/>
        </w:rPr>
        <w:t>’</w:t>
      </w:r>
      <w:r w:rsidRPr="003B5B4E">
        <w:rPr>
          <w:color w:val="000000"/>
        </w:rPr>
        <w:t>identifier les migrants en situation de potentielle vulnérabilité, y compris les victimes potentielles de traite des personnes.</w:t>
      </w:r>
    </w:p>
    <w:p w14:paraId="52C99BB1" w14:textId="4E17548C" w:rsidR="007C78DF" w:rsidRPr="003B5B4E" w:rsidRDefault="007C78DF" w:rsidP="00C67914">
      <w:pPr>
        <w:pStyle w:val="SingleTxt"/>
        <w:numPr>
          <w:ilvl w:val="0"/>
          <w:numId w:val="19"/>
        </w:numPr>
        <w:suppressAutoHyphens/>
        <w:rPr>
          <w:color w:val="000000"/>
        </w:rPr>
      </w:pPr>
      <w:r w:rsidRPr="003B5B4E">
        <w:rPr>
          <w:color w:val="000000"/>
        </w:rPr>
        <w:t xml:space="preserve">En outre, les victimes potentielles de traite des personnes qui peuvent être identifiées grâce à la formation seront adressées au Directeur pour un complément </w:t>
      </w:r>
      <w:r w:rsidRPr="003B5B4E">
        <w:rPr>
          <w:color w:val="000000"/>
        </w:rPr>
        <w:lastRenderedPageBreak/>
        <w:t>d</w:t>
      </w:r>
      <w:r w:rsidR="00000F67">
        <w:rPr>
          <w:color w:val="000000"/>
        </w:rPr>
        <w:t>’</w:t>
      </w:r>
      <w:r w:rsidRPr="003B5B4E">
        <w:rPr>
          <w:color w:val="000000"/>
        </w:rPr>
        <w:t>évaluation. À la fin de celui-ci, les protocoles relatifs aux victimes de traite des personnes sont mis en œuvre et des enquêtes déclenchées par le bras policier du Comité pour la lutte contre la traite des personnes.</w:t>
      </w:r>
    </w:p>
    <w:p w14:paraId="1B66C938" w14:textId="05A96888" w:rsidR="007C78DF" w:rsidRPr="003B5B4E" w:rsidRDefault="007C78DF" w:rsidP="00C67914">
      <w:pPr>
        <w:pStyle w:val="SingleTxt"/>
        <w:numPr>
          <w:ilvl w:val="0"/>
          <w:numId w:val="19"/>
        </w:numPr>
        <w:suppressAutoHyphens/>
        <w:rPr>
          <w:color w:val="000000"/>
        </w:rPr>
      </w:pPr>
      <w:r w:rsidRPr="003B5B4E">
        <w:rPr>
          <w:color w:val="000000"/>
        </w:rPr>
        <w:t>Les membres du Comité et de l</w:t>
      </w:r>
      <w:r w:rsidR="00000F67">
        <w:rPr>
          <w:color w:val="000000"/>
        </w:rPr>
        <w:t>’</w:t>
      </w:r>
      <w:r w:rsidRPr="003B5B4E">
        <w:rPr>
          <w:color w:val="000000"/>
        </w:rPr>
        <w:t>Équipe spéciale pour la lutte contre la traite des personnes ont suivi un stage de trois semaines en décembre 2017 à Mexico. En mars 2018, le Comité et</w:t>
      </w:r>
      <w:r w:rsidR="00000F67">
        <w:rPr>
          <w:color w:val="000000"/>
        </w:rPr>
        <w:t xml:space="preserve"> </w:t>
      </w:r>
      <w:r w:rsidRPr="003B5B4E">
        <w:rPr>
          <w:color w:val="000000"/>
        </w:rPr>
        <w:t>l</w:t>
      </w:r>
      <w:r w:rsidR="00000F67">
        <w:rPr>
          <w:color w:val="000000"/>
        </w:rPr>
        <w:t>’</w:t>
      </w:r>
      <w:r w:rsidRPr="003B5B4E">
        <w:rPr>
          <w:color w:val="000000"/>
        </w:rPr>
        <w:t>Équipe spéciale ont suivi une formation sur les protocoles d</w:t>
      </w:r>
      <w:r w:rsidR="00000F67">
        <w:rPr>
          <w:color w:val="000000"/>
        </w:rPr>
        <w:t>’</w:t>
      </w:r>
      <w:r w:rsidRPr="003B5B4E">
        <w:rPr>
          <w:color w:val="000000"/>
        </w:rPr>
        <w:t>assistance aux victimes potentielles de la traite des personnes.</w:t>
      </w:r>
    </w:p>
    <w:p w14:paraId="51421CBE" w14:textId="2BC1D28D" w:rsidR="007C78DF" w:rsidRPr="003B5B4E" w:rsidRDefault="007C78DF" w:rsidP="00C67914">
      <w:pPr>
        <w:pStyle w:val="SingleTxt"/>
        <w:numPr>
          <w:ilvl w:val="0"/>
          <w:numId w:val="19"/>
        </w:numPr>
        <w:suppressAutoHyphens/>
        <w:rPr>
          <w:color w:val="000000"/>
        </w:rPr>
      </w:pPr>
      <w:r w:rsidRPr="003B5B4E">
        <w:rPr>
          <w:color w:val="000000"/>
        </w:rPr>
        <w:t>Le Groupe de travail sur les migrations a également supervisé la préparation et la tenue de la réunion concernant les Consultations sur les migrations dans les Caraïbes (CMC), qui a eu lieu en décembre 2017 aux Bahamas. Un des points de l</w:t>
      </w:r>
      <w:r w:rsidR="00000F67">
        <w:rPr>
          <w:color w:val="000000"/>
        </w:rPr>
        <w:t>’</w:t>
      </w:r>
      <w:r w:rsidRPr="003B5B4E">
        <w:rPr>
          <w:color w:val="000000"/>
        </w:rPr>
        <w:t>ordre du jour de cette réunion portait sur l</w:t>
      </w:r>
      <w:r w:rsidR="00000F67">
        <w:rPr>
          <w:color w:val="000000"/>
        </w:rPr>
        <w:t>’</w:t>
      </w:r>
      <w:r w:rsidRPr="003B5B4E">
        <w:rPr>
          <w:color w:val="000000"/>
        </w:rPr>
        <w:t>examen triennal de la mise en œuvre du Plan d</w:t>
      </w:r>
      <w:r w:rsidR="00000F67">
        <w:rPr>
          <w:color w:val="000000"/>
        </w:rPr>
        <w:t>’</w:t>
      </w:r>
      <w:r w:rsidRPr="003B5B4E">
        <w:rPr>
          <w:color w:val="000000"/>
        </w:rPr>
        <w:t>action du Brésil.</w:t>
      </w:r>
    </w:p>
    <w:p w14:paraId="70559616" w14:textId="7EC57E7A" w:rsidR="007C78DF" w:rsidRPr="003B5B4E" w:rsidRDefault="007C78DF" w:rsidP="00C67914">
      <w:pPr>
        <w:pStyle w:val="SingleTxt"/>
        <w:numPr>
          <w:ilvl w:val="0"/>
          <w:numId w:val="19"/>
        </w:numPr>
        <w:suppressAutoHyphens/>
        <w:rPr>
          <w:color w:val="000000"/>
        </w:rPr>
      </w:pPr>
      <w:r w:rsidRPr="003B5B4E">
        <w:rPr>
          <w:color w:val="000000"/>
        </w:rPr>
        <w:t>Parfois, les demandeurs d</w:t>
      </w:r>
      <w:r w:rsidR="00000F67">
        <w:rPr>
          <w:color w:val="000000"/>
        </w:rPr>
        <w:t>’</w:t>
      </w:r>
      <w:r w:rsidRPr="003B5B4E">
        <w:rPr>
          <w:color w:val="000000"/>
        </w:rPr>
        <w:t>asile ne sont découverts qu</w:t>
      </w:r>
      <w:r w:rsidR="00000F67">
        <w:rPr>
          <w:color w:val="000000"/>
        </w:rPr>
        <w:t>’</w:t>
      </w:r>
      <w:r w:rsidRPr="003B5B4E">
        <w:rPr>
          <w:color w:val="000000"/>
        </w:rPr>
        <w:t>après avoir été mis en détention. La formation prodiguée aux fonctionnaires du Centre de détention leur permet cependant de repérer les indicateurs concernant les victimes potentielles, auquel cas une enquête est déclenchée. Le principe de non-refoulement est applicable tant qu</w:t>
      </w:r>
      <w:r w:rsidR="00000F67">
        <w:rPr>
          <w:color w:val="000000"/>
        </w:rPr>
        <w:t>’</w:t>
      </w:r>
      <w:r w:rsidRPr="003B5B4E">
        <w:rPr>
          <w:color w:val="000000"/>
        </w:rPr>
        <w:t>une enquête ou une évaluation sur les personnes concernées n</w:t>
      </w:r>
      <w:r w:rsidR="00000F67">
        <w:rPr>
          <w:color w:val="000000"/>
        </w:rPr>
        <w:t>’</w:t>
      </w:r>
      <w:r w:rsidRPr="003B5B4E">
        <w:rPr>
          <w:color w:val="000000"/>
        </w:rPr>
        <w:t>est pas achevée.</w:t>
      </w:r>
    </w:p>
    <w:p w14:paraId="1E6BCDDE" w14:textId="63C13054" w:rsidR="007C78DF" w:rsidRPr="003B5B4E" w:rsidRDefault="007C78DF" w:rsidP="00C67914">
      <w:pPr>
        <w:pStyle w:val="SingleTxt"/>
        <w:numPr>
          <w:ilvl w:val="0"/>
          <w:numId w:val="19"/>
        </w:numPr>
        <w:suppressAutoHyphens/>
      </w:pPr>
      <w:r w:rsidRPr="003B5B4E">
        <w:rPr>
          <w:color w:val="000000"/>
        </w:rPr>
        <w:t>Le Centre de détention a pour politique de séparer les sites d</w:t>
      </w:r>
      <w:r w:rsidR="00000F67">
        <w:rPr>
          <w:color w:val="000000"/>
        </w:rPr>
        <w:t>’</w:t>
      </w:r>
      <w:r w:rsidRPr="003B5B4E">
        <w:rPr>
          <w:color w:val="000000"/>
        </w:rPr>
        <w:t>hébergement des hommes de ceux des femmes. Les femmes accompagnées d</w:t>
      </w:r>
      <w:r w:rsidR="00000F67">
        <w:rPr>
          <w:color w:val="000000"/>
        </w:rPr>
        <w:t>’</w:t>
      </w:r>
      <w:r w:rsidRPr="003B5B4E">
        <w:rPr>
          <w:color w:val="000000"/>
        </w:rPr>
        <w:t>enfants sont maintenues dans des locaux séparés, conformément aux normes internationales. Ces lieux d</w:t>
      </w:r>
      <w:r w:rsidR="00000F67">
        <w:rPr>
          <w:color w:val="000000"/>
        </w:rPr>
        <w:t>’</w:t>
      </w:r>
      <w:r w:rsidRPr="003B5B4E">
        <w:rPr>
          <w:color w:val="000000"/>
        </w:rPr>
        <w:t>hébergement sont appelés « </w:t>
      </w:r>
      <w:r w:rsidRPr="003B5B4E">
        <w:t xml:space="preserve">résidences protégées ». </w:t>
      </w:r>
      <w:r w:rsidRPr="003B5B4E">
        <w:rPr>
          <w:color w:val="000000"/>
        </w:rPr>
        <w:t>En 2014, le Département de l</w:t>
      </w:r>
      <w:r w:rsidR="00000F67">
        <w:rPr>
          <w:color w:val="000000"/>
        </w:rPr>
        <w:t>’</w:t>
      </w:r>
      <w:r w:rsidRPr="003B5B4E">
        <w:rPr>
          <w:color w:val="000000"/>
        </w:rPr>
        <w:t>immigration a créé une résidence protégée à cette fin à l</w:t>
      </w:r>
      <w:r w:rsidR="00000F67">
        <w:rPr>
          <w:color w:val="000000"/>
        </w:rPr>
        <w:t>’</w:t>
      </w:r>
      <w:r w:rsidRPr="003B5B4E">
        <w:rPr>
          <w:color w:val="000000"/>
        </w:rPr>
        <w:t>extérieur du Centre de détention de Carmichael Road, comprenant des locaux entièrement équipés pour accueillir plusieurs familles ainsi que des aires de loisir en plein air pour les enfants. La résidence protégée est administrée par le Département de l</w:t>
      </w:r>
      <w:r w:rsidR="00000F67">
        <w:rPr>
          <w:color w:val="000000"/>
        </w:rPr>
        <w:t>’</w:t>
      </w:r>
      <w:r w:rsidRPr="003B5B4E">
        <w:rPr>
          <w:color w:val="000000"/>
        </w:rPr>
        <w:t>immigration. Sa sécurité est assurée 24 heures sur 24 par les Forces royales de défense des Bahamas. Un assistant social, un cuisinier et un concierge y travaillent à temps plein.</w:t>
      </w:r>
      <w:r w:rsidRPr="003B5B4E">
        <w:t xml:space="preserve"> </w:t>
      </w:r>
      <w:r w:rsidRPr="003B5B4E">
        <w:rPr>
          <w:color w:val="000000"/>
        </w:rPr>
        <w:t>La Croix-Rouge bahamienne apporte son aide par des dons de vêtements, de couvertures, d</w:t>
      </w:r>
      <w:r w:rsidR="00000F67">
        <w:rPr>
          <w:color w:val="000000"/>
        </w:rPr>
        <w:t>’</w:t>
      </w:r>
      <w:r w:rsidRPr="003B5B4E">
        <w:rPr>
          <w:color w:val="000000"/>
        </w:rPr>
        <w:t>articles de toilette et de divers produits selon les besoins des femmes et des enfants.</w:t>
      </w:r>
      <w:r w:rsidRPr="003B5B4E">
        <w:t xml:space="preserve"> </w:t>
      </w:r>
    </w:p>
    <w:p w14:paraId="28C58B80" w14:textId="01FEFC38" w:rsidR="007C78DF" w:rsidRPr="003B5B4E" w:rsidRDefault="007C78DF" w:rsidP="00C67914">
      <w:pPr>
        <w:pStyle w:val="SingleTxt"/>
        <w:numPr>
          <w:ilvl w:val="0"/>
          <w:numId w:val="19"/>
        </w:numPr>
        <w:suppressAutoHyphens/>
      </w:pPr>
      <w:r w:rsidRPr="003B5B4E">
        <w:t>Le Centre de détention est doté d</w:t>
      </w:r>
      <w:r w:rsidR="00000F67">
        <w:t>’</w:t>
      </w:r>
      <w:r w:rsidRPr="003B5B4E">
        <w:t>un dortoir médicalisé où des soins peuvent être prodigués aux détenus. Des médecins visitent le Centre trois fois par semaine. Les infirmières le font tous les jours.</w:t>
      </w:r>
    </w:p>
    <w:p w14:paraId="3D857CC6" w14:textId="68C19DFD" w:rsidR="007C78DF" w:rsidRPr="003B5B4E" w:rsidRDefault="007C78DF" w:rsidP="00C67914">
      <w:pPr>
        <w:pStyle w:val="SingleTxt"/>
        <w:numPr>
          <w:ilvl w:val="0"/>
          <w:numId w:val="19"/>
        </w:numPr>
        <w:suppressAutoHyphens/>
      </w:pPr>
      <w:r w:rsidRPr="003B5B4E">
        <w:t>Au moment de l</w:t>
      </w:r>
      <w:r w:rsidR="00000F67">
        <w:t>’</w:t>
      </w:r>
      <w:r w:rsidRPr="003B5B4E">
        <w:t>établissement du présent rapport (1</w:t>
      </w:r>
      <w:r w:rsidRPr="003B5B4E">
        <w:rPr>
          <w:vertAlign w:val="superscript"/>
        </w:rPr>
        <w:t>er</w:t>
      </w:r>
      <w:r w:rsidRPr="003B5B4E">
        <w:t xml:space="preserve"> juillet 2018), le Centre de détention hébergeait 45 personnes (34 hommes et 11 femmes). Deux personnes (un adulte et un enfant) étaient hébergées dans la résidence protégée.</w:t>
      </w:r>
    </w:p>
    <w:p w14:paraId="45109883" w14:textId="5A262BA9" w:rsidR="007C78DF" w:rsidRPr="003B5B4E" w:rsidRDefault="007C78DF" w:rsidP="00C67914">
      <w:pPr>
        <w:pStyle w:val="SingleTxt"/>
        <w:numPr>
          <w:ilvl w:val="0"/>
          <w:numId w:val="19"/>
        </w:numPr>
        <w:suppressAutoHyphens/>
      </w:pPr>
      <w:r w:rsidRPr="003B5B4E">
        <w:t>Les structures du Centre de détention ne permettent pas aux hommes et aux femmes d</w:t>
      </w:r>
      <w:r w:rsidR="00000F67">
        <w:t>’</w:t>
      </w:r>
      <w:r w:rsidRPr="003B5B4E">
        <w:t>être en contact. Les dortoirs des femmes sont séparés de ceux des hommes.</w:t>
      </w:r>
    </w:p>
    <w:p w14:paraId="28B7B89A" w14:textId="7BC77254" w:rsidR="007C78DF" w:rsidRPr="003B5B4E" w:rsidRDefault="007C78DF" w:rsidP="00C67914">
      <w:pPr>
        <w:pStyle w:val="SingleTxt"/>
        <w:numPr>
          <w:ilvl w:val="0"/>
          <w:numId w:val="19"/>
        </w:numPr>
        <w:suppressAutoHyphens/>
      </w:pPr>
      <w:r w:rsidRPr="003B5B4E">
        <w:t>Les migrants qui ont violé la loi relative à l</w:t>
      </w:r>
      <w:r w:rsidR="00000F67">
        <w:t>’</w:t>
      </w:r>
      <w:r w:rsidRPr="003B5B4E">
        <w:t>immigration sont détenus et font l</w:t>
      </w:r>
      <w:r w:rsidR="00000F67">
        <w:t>’</w:t>
      </w:r>
      <w:r w:rsidRPr="003B5B4E">
        <w:t>objet des procédures de rapatriement. Grâce à la formation qu</w:t>
      </w:r>
      <w:r w:rsidR="00000F67">
        <w:t>’</w:t>
      </w:r>
      <w:r w:rsidRPr="003B5B4E">
        <w:t>ils ont reçue, les fonctionnaires du Centre de détention et du Groupe de gestion des réfugiés sont capables d</w:t>
      </w:r>
      <w:r w:rsidR="00000F67">
        <w:t>’</w:t>
      </w:r>
      <w:r w:rsidRPr="003B5B4E">
        <w:t>identifier les facteurs permettant</w:t>
      </w:r>
      <w:r w:rsidR="00000F67">
        <w:t xml:space="preserve"> </w:t>
      </w:r>
      <w:r w:rsidRPr="003B5B4E">
        <w:t>d</w:t>
      </w:r>
      <w:r w:rsidR="00000F67">
        <w:t>’</w:t>
      </w:r>
      <w:r w:rsidRPr="003B5B4E">
        <w:t>engager des enquêtes sur les migrants vulnérables dont la situation est vérifiée par le Groupe de gestion des réfugiés, qui s</w:t>
      </w:r>
      <w:r w:rsidR="00000F67">
        <w:t>’</w:t>
      </w:r>
      <w:r w:rsidRPr="003B5B4E">
        <w:t>assure de la nécessité de les protéger.</w:t>
      </w:r>
    </w:p>
    <w:p w14:paraId="2B31ABB6" w14:textId="5235BC8A" w:rsidR="007C78DF" w:rsidRDefault="007C78DF" w:rsidP="00C67914">
      <w:pPr>
        <w:pStyle w:val="SingleTxt"/>
        <w:numPr>
          <w:ilvl w:val="0"/>
          <w:numId w:val="19"/>
        </w:numPr>
        <w:suppressAutoHyphens/>
      </w:pPr>
      <w:r w:rsidRPr="003B5B4E">
        <w:t>Les personnes qui se présentent aux ports d</w:t>
      </w:r>
      <w:r w:rsidR="00000F67">
        <w:t>’</w:t>
      </w:r>
      <w:r w:rsidRPr="003B5B4E">
        <w:t>entrée ou au Département de l</w:t>
      </w:r>
      <w:r w:rsidR="00000F67">
        <w:t>’</w:t>
      </w:r>
      <w:r w:rsidRPr="003B5B4E">
        <w:t>immigration ne peuvent être détenues si elles demandent l</w:t>
      </w:r>
      <w:r w:rsidR="00000F67">
        <w:t>’</w:t>
      </w:r>
      <w:r w:rsidRPr="003B5B4E">
        <w:t xml:space="preserve">asile. Les personnes qui </w:t>
      </w:r>
      <w:r w:rsidRPr="003B5B4E">
        <w:lastRenderedPageBreak/>
        <w:t>sont dans le Centre de détention et dont la demande d</w:t>
      </w:r>
      <w:r w:rsidR="00000F67">
        <w:t>’</w:t>
      </w:r>
      <w:r w:rsidRPr="003B5B4E">
        <w:t>asile est en cours d</w:t>
      </w:r>
      <w:r w:rsidR="00000F67">
        <w:t>’</w:t>
      </w:r>
      <w:r w:rsidRPr="003B5B4E">
        <w:t>examen ne sont rapatriées qui si leur demande est rejetée.</w:t>
      </w:r>
    </w:p>
    <w:p w14:paraId="3F59A821" w14:textId="6D93DF24" w:rsidR="00A45056" w:rsidRPr="00A45056" w:rsidRDefault="00A45056" w:rsidP="00A45056">
      <w:pPr>
        <w:pStyle w:val="SingleTxt"/>
        <w:suppressAutoHyphens/>
        <w:spacing w:after="0" w:line="120" w:lineRule="exact"/>
        <w:rPr>
          <w:sz w:val="10"/>
        </w:rPr>
      </w:pPr>
    </w:p>
    <w:p w14:paraId="5CE44A28" w14:textId="3CFDD7E4" w:rsidR="00A45056" w:rsidRPr="00A45056" w:rsidRDefault="00A45056" w:rsidP="00A45056">
      <w:pPr>
        <w:pStyle w:val="SingleTxt"/>
        <w:suppressAutoHyphens/>
        <w:spacing w:after="0" w:line="120" w:lineRule="exact"/>
        <w:rPr>
          <w:sz w:val="10"/>
        </w:rPr>
      </w:pPr>
    </w:p>
    <w:p w14:paraId="2B952EB3" w14:textId="40F98C6D" w:rsidR="007C78DF" w:rsidRPr="003B5B4E" w:rsidRDefault="003E3E88" w:rsidP="00A450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B4E">
        <w:tab/>
      </w:r>
      <w:r w:rsidRPr="003B5B4E">
        <w:tab/>
      </w:r>
      <w:r w:rsidR="007C78DF" w:rsidRPr="003B5B4E">
        <w:t>Mariage et relations familiales</w:t>
      </w:r>
    </w:p>
    <w:p w14:paraId="57B930CD" w14:textId="2BE3FD63" w:rsidR="009363E5" w:rsidRPr="00A45056" w:rsidRDefault="009363E5" w:rsidP="00A45056">
      <w:pPr>
        <w:pStyle w:val="SingleTxt"/>
        <w:suppressAutoHyphens/>
        <w:spacing w:after="0" w:line="120" w:lineRule="exact"/>
        <w:rPr>
          <w:sz w:val="10"/>
        </w:rPr>
      </w:pPr>
    </w:p>
    <w:p w14:paraId="647C876B" w14:textId="18640684" w:rsidR="00A45056" w:rsidRPr="00A45056" w:rsidRDefault="00A45056" w:rsidP="00A45056">
      <w:pPr>
        <w:pStyle w:val="SingleTxt"/>
        <w:suppressAutoHyphens/>
        <w:spacing w:after="0" w:line="120" w:lineRule="exact"/>
        <w:rPr>
          <w:sz w:val="10"/>
        </w:rPr>
      </w:pPr>
    </w:p>
    <w:p w14:paraId="152D4ABE" w14:textId="42D0BE71" w:rsidR="007C78DF" w:rsidRDefault="007C78DF" w:rsidP="00C67914">
      <w:pPr>
        <w:pStyle w:val="SingleTxt"/>
        <w:numPr>
          <w:ilvl w:val="0"/>
          <w:numId w:val="19"/>
        </w:numPr>
        <w:suppressAutoHyphens/>
      </w:pPr>
      <w:r w:rsidRPr="003B5B4E">
        <w:t>Dans ses précédentes observations finales, le Comité s</w:t>
      </w:r>
      <w:r w:rsidR="00000F67">
        <w:t>’</w:t>
      </w:r>
      <w:r w:rsidRPr="003B5B4E">
        <w:t>est dit préoccupé de ce que le paragraphe 1 de l</w:t>
      </w:r>
      <w:r w:rsidR="00000F67">
        <w:t>’</w:t>
      </w:r>
      <w:r w:rsidRPr="003B5B4E">
        <w:t>article 26 de la Constitution ne protège pas contre la discrimination en matière d</w:t>
      </w:r>
      <w:r w:rsidR="00000F67">
        <w:t>’</w:t>
      </w:r>
      <w:r w:rsidRPr="003B5B4E">
        <w:t>adoption, de mariage, de divorce, de funérailles et de dévolution de biens en cas de décès ou s</w:t>
      </w:r>
      <w:r w:rsidR="00000F67">
        <w:t>’</w:t>
      </w:r>
      <w:r w:rsidRPr="003B5B4E">
        <w:t>agissant d</w:t>
      </w:r>
      <w:r w:rsidR="00000F67">
        <w:t>’</w:t>
      </w:r>
      <w:r w:rsidRPr="003B5B4E">
        <w:t>autres questions liées au statut personnel. Veuillez donner des informations sur les mesures prises pour abroger le paragraphe 1 de l</w:t>
      </w:r>
      <w:r w:rsidR="00000F67">
        <w:t>’</w:t>
      </w:r>
      <w:r w:rsidRPr="003B5B4E">
        <w:t>article 26 de la Constitution et éliminer les discriminations que renferme la législation (voir CEDAW/C/BHS/Q/6, par. 20).</w:t>
      </w:r>
    </w:p>
    <w:p w14:paraId="1A84C346" w14:textId="7244116B" w:rsidR="00A45056" w:rsidRPr="00A45056" w:rsidRDefault="00A45056" w:rsidP="00A45056">
      <w:pPr>
        <w:pStyle w:val="SingleTxt"/>
        <w:suppressAutoHyphens/>
        <w:spacing w:after="0" w:line="120" w:lineRule="exact"/>
        <w:rPr>
          <w:sz w:val="10"/>
        </w:rPr>
      </w:pPr>
    </w:p>
    <w:p w14:paraId="059919F8" w14:textId="752D12DB" w:rsidR="007C78DF" w:rsidRPr="003B5B4E" w:rsidRDefault="003E3E88"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5B4E">
        <w:tab/>
      </w:r>
      <w:r w:rsidRPr="003B5B4E">
        <w:tab/>
      </w:r>
      <w:r w:rsidR="007C78DF" w:rsidRPr="003B5B4E">
        <w:t xml:space="preserve">Réponse </w:t>
      </w:r>
    </w:p>
    <w:p w14:paraId="4B903D77" w14:textId="6A1B9238" w:rsidR="009363E5" w:rsidRPr="00A45056" w:rsidRDefault="009363E5" w:rsidP="00A45056">
      <w:pPr>
        <w:pStyle w:val="SingleTxt"/>
        <w:suppressAutoHyphens/>
        <w:spacing w:after="0" w:line="120" w:lineRule="exact"/>
        <w:rPr>
          <w:sz w:val="10"/>
        </w:rPr>
      </w:pPr>
    </w:p>
    <w:p w14:paraId="5D85E262" w14:textId="5D394E6C" w:rsidR="007C78DF" w:rsidRPr="003B5B4E" w:rsidRDefault="007C78DF" w:rsidP="00C67914">
      <w:pPr>
        <w:pStyle w:val="SingleTxt"/>
        <w:numPr>
          <w:ilvl w:val="0"/>
          <w:numId w:val="19"/>
        </w:numPr>
        <w:suppressAutoHyphens/>
      </w:pPr>
      <w:r w:rsidRPr="003B5B4E">
        <w:t xml:space="preserve">Comme cela a été souligné, un référendum constitutionnel a été tenu en juin 2017 afin de protéger les femmes de la discrimination. La consultation a cependant été infructueuse. </w:t>
      </w:r>
    </w:p>
    <w:p w14:paraId="744AB8A4" w14:textId="0399FF6A" w:rsidR="007C78DF" w:rsidRDefault="007C78DF" w:rsidP="00C67914">
      <w:pPr>
        <w:pStyle w:val="SingleTxt"/>
        <w:numPr>
          <w:ilvl w:val="0"/>
          <w:numId w:val="19"/>
        </w:numPr>
        <w:suppressAutoHyphens/>
        <w:rPr>
          <w:color w:val="000000"/>
        </w:rPr>
      </w:pPr>
      <w:r w:rsidRPr="003B5B4E">
        <w:t>Veuillez</w:t>
      </w:r>
      <w:r w:rsidRPr="003B5B4E">
        <w:rPr>
          <w:color w:val="000000"/>
        </w:rPr>
        <w:t xml:space="preserve"> indiquer si et comment les considérations liées à la violence domestique sexiste sont prises en compte pour décider de la garde des enfants et des droits de visite.</w:t>
      </w:r>
      <w:r w:rsidR="00DA5529">
        <w:rPr>
          <w:color w:val="000000"/>
        </w:rPr>
        <w:t xml:space="preserve"> </w:t>
      </w:r>
      <w:r w:rsidRPr="003B5B4E">
        <w:rPr>
          <w:color w:val="000000"/>
        </w:rPr>
        <w:t>Veuillez également indiquer où en est la réglementation en matière de pensions alimentaires des enfants, notamment si elle établit un seuil minimum.</w:t>
      </w:r>
      <w:r w:rsidR="003B5B4E" w:rsidRPr="003B5B4E">
        <w:rPr>
          <w:color w:val="000000"/>
        </w:rPr>
        <w:t xml:space="preserve"> </w:t>
      </w:r>
      <w:r w:rsidRPr="003B5B4E">
        <w:rPr>
          <w:color w:val="000000"/>
        </w:rPr>
        <w:t>S</w:t>
      </w:r>
      <w:r w:rsidR="00000F67">
        <w:rPr>
          <w:color w:val="000000"/>
        </w:rPr>
        <w:t>’</w:t>
      </w:r>
      <w:r w:rsidRPr="003B5B4E">
        <w:rPr>
          <w:color w:val="000000"/>
        </w:rPr>
        <w:t>agissant de l</w:t>
      </w:r>
      <w:r w:rsidR="00000F67">
        <w:rPr>
          <w:color w:val="000000"/>
        </w:rPr>
        <w:t>’</w:t>
      </w:r>
      <w:r w:rsidRPr="003B5B4E">
        <w:rPr>
          <w:color w:val="000000"/>
        </w:rPr>
        <w:t>alinéa a) du paragraphe 38 des observations finales précédentes (CEDAW/C/BHS/CO/1-5), veuillez fournir des informations à jour sur l</w:t>
      </w:r>
      <w:r w:rsidR="00000F67">
        <w:rPr>
          <w:color w:val="000000"/>
        </w:rPr>
        <w:t>’</w:t>
      </w:r>
      <w:r w:rsidRPr="003B5B4E">
        <w:rPr>
          <w:color w:val="000000"/>
        </w:rPr>
        <w:t>état d</w:t>
      </w:r>
      <w:r w:rsidR="00000F67">
        <w:rPr>
          <w:color w:val="000000"/>
        </w:rPr>
        <w:t>’</w:t>
      </w:r>
      <w:r w:rsidRPr="003B5B4E">
        <w:rPr>
          <w:color w:val="000000"/>
        </w:rPr>
        <w:t>avancement du système unifié de tribunaux de la famille (par. 154). Veuillez également préciser les mesures prises pour adopter des dispositions juridiques régissant les unions libres, afin d</w:t>
      </w:r>
      <w:r w:rsidR="00000F67">
        <w:rPr>
          <w:color w:val="000000"/>
        </w:rPr>
        <w:t>’</w:t>
      </w:r>
      <w:r w:rsidRPr="003B5B4E">
        <w:rPr>
          <w:color w:val="000000"/>
        </w:rPr>
        <w:t>assurer aux femmes une protection et une réparation en cas de séparation (voir CEDAW/C/BHS/Q/6, par.</w:t>
      </w:r>
      <w:r w:rsidR="003E3E88" w:rsidRPr="003B5B4E">
        <w:rPr>
          <w:color w:val="000000"/>
        </w:rPr>
        <w:t> </w:t>
      </w:r>
      <w:r w:rsidRPr="003B5B4E">
        <w:rPr>
          <w:color w:val="000000"/>
        </w:rPr>
        <w:t>21).</w:t>
      </w:r>
    </w:p>
    <w:p w14:paraId="51DD281B" w14:textId="2C5878E3" w:rsidR="00A45056" w:rsidRPr="00A45056" w:rsidRDefault="00A45056" w:rsidP="00A45056">
      <w:pPr>
        <w:pStyle w:val="SingleTxt"/>
        <w:suppressAutoHyphens/>
        <w:spacing w:after="0" w:line="120" w:lineRule="exact"/>
        <w:rPr>
          <w:color w:val="000000"/>
          <w:sz w:val="10"/>
        </w:rPr>
      </w:pPr>
    </w:p>
    <w:p w14:paraId="719A731F" w14:textId="62A1CE92" w:rsidR="007C78DF" w:rsidRDefault="007C78DF" w:rsidP="00A450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3B5B4E">
        <w:t>Réponse</w:t>
      </w:r>
    </w:p>
    <w:p w14:paraId="601A0E41" w14:textId="2B36B891" w:rsidR="00A45056" w:rsidRPr="00A45056" w:rsidRDefault="00A45056" w:rsidP="00A45056">
      <w:pPr>
        <w:pStyle w:val="SingleTxt"/>
        <w:spacing w:after="0" w:line="120" w:lineRule="exact"/>
        <w:rPr>
          <w:sz w:val="10"/>
        </w:rPr>
      </w:pPr>
    </w:p>
    <w:p w14:paraId="4D3F5CBB" w14:textId="7A155F40" w:rsidR="007C78DF" w:rsidRPr="003B5B4E" w:rsidRDefault="007C78DF" w:rsidP="00C67914">
      <w:pPr>
        <w:pStyle w:val="SingleTxt"/>
        <w:numPr>
          <w:ilvl w:val="0"/>
          <w:numId w:val="19"/>
        </w:numPr>
        <w:suppressAutoHyphens/>
        <w:rPr>
          <w:color w:val="000000"/>
        </w:rPr>
      </w:pPr>
      <w:r w:rsidRPr="003B5B4E">
        <w:rPr>
          <w:color w:val="000000"/>
        </w:rPr>
        <w:t>En ce qui concerne la garde et le droit de visite des enfants, la loi relative à la protection de l</w:t>
      </w:r>
      <w:r w:rsidR="00000F67">
        <w:rPr>
          <w:color w:val="000000"/>
        </w:rPr>
        <w:t>’</w:t>
      </w:r>
      <w:r w:rsidRPr="003B5B4E">
        <w:rPr>
          <w:color w:val="000000"/>
        </w:rPr>
        <w:t>enfance de 2007 dispose</w:t>
      </w:r>
      <w:r w:rsidR="00A45056">
        <w:rPr>
          <w:color w:val="000000"/>
        </w:rPr>
        <w:t> </w:t>
      </w:r>
      <w:r w:rsidRPr="003B5B4E">
        <w:rPr>
          <w:color w:val="000000"/>
        </w:rPr>
        <w:t>:</w:t>
      </w:r>
    </w:p>
    <w:p w14:paraId="12D53E24" w14:textId="7B291D7F" w:rsidR="007C78DF" w:rsidRPr="003B5B4E" w:rsidRDefault="003B5B4E" w:rsidP="003B5B4E">
      <w:pPr>
        <w:pStyle w:val="SingleTxt"/>
        <w:suppressAutoHyphens/>
        <w:ind w:left="1742" w:hanging="475"/>
        <w:rPr>
          <w:color w:val="000000"/>
        </w:rPr>
      </w:pPr>
      <w:r w:rsidRPr="003B5B4E">
        <w:rPr>
          <w:color w:val="000000"/>
        </w:rPr>
        <w:tab/>
      </w:r>
      <w:r w:rsidR="007C78DF" w:rsidRPr="003B5B4E">
        <w:rPr>
          <w:color w:val="000000"/>
        </w:rPr>
        <w:t>À l</w:t>
      </w:r>
      <w:r w:rsidR="00000F67">
        <w:rPr>
          <w:color w:val="000000"/>
        </w:rPr>
        <w:t>’</w:t>
      </w:r>
      <w:r w:rsidR="007C78DF" w:rsidRPr="003B5B4E">
        <w:rPr>
          <w:color w:val="000000"/>
        </w:rPr>
        <w:t>alinéa 2 de son article 14, qu</w:t>
      </w:r>
      <w:r w:rsidR="00000F67">
        <w:rPr>
          <w:color w:val="000000"/>
        </w:rPr>
        <w:t>’</w:t>
      </w:r>
      <w:r w:rsidR="007C78DF" w:rsidRPr="003B5B4E">
        <w:rPr>
          <w:color w:val="000000"/>
        </w:rPr>
        <w:t>un tribunal, lors de l</w:t>
      </w:r>
      <w:r w:rsidR="00000F67">
        <w:rPr>
          <w:color w:val="000000"/>
        </w:rPr>
        <w:t>’</w:t>
      </w:r>
      <w:r w:rsidR="007C78DF" w:rsidRPr="003B5B4E">
        <w:rPr>
          <w:color w:val="000000"/>
        </w:rPr>
        <w:t>examen de la question de la garde des enfants ou de l</w:t>
      </w:r>
      <w:r w:rsidR="00000F67">
        <w:rPr>
          <w:color w:val="000000"/>
        </w:rPr>
        <w:t>’</w:t>
      </w:r>
      <w:r w:rsidR="007C78DF" w:rsidRPr="003B5B4E">
        <w:rPr>
          <w:color w:val="000000"/>
        </w:rPr>
        <w:t>accès à ceux-ci, tiendra compte de la contribution passée du parent aux soins, à la pension alimentaire et à l</w:t>
      </w:r>
      <w:r w:rsidR="00000F67">
        <w:rPr>
          <w:color w:val="000000"/>
        </w:rPr>
        <w:t>’</w:t>
      </w:r>
      <w:r w:rsidR="007C78DF" w:rsidRPr="003B5B4E">
        <w:rPr>
          <w:color w:val="000000"/>
        </w:rPr>
        <w:t>éducation de l</w:t>
      </w:r>
      <w:r w:rsidR="00000F67">
        <w:rPr>
          <w:color w:val="000000"/>
        </w:rPr>
        <w:t>’</w:t>
      </w:r>
      <w:r w:rsidR="007C78DF" w:rsidRPr="003B5B4E">
        <w:rPr>
          <w:color w:val="000000"/>
        </w:rPr>
        <w:t>enfant.</w:t>
      </w:r>
    </w:p>
    <w:p w14:paraId="19BD9424" w14:textId="43862BB8" w:rsidR="007C78DF" w:rsidRPr="003B5B4E" w:rsidRDefault="003B5B4E" w:rsidP="003B5B4E">
      <w:pPr>
        <w:pStyle w:val="SingleTxt"/>
        <w:suppressAutoHyphens/>
        <w:ind w:left="1742" w:hanging="475"/>
        <w:rPr>
          <w:color w:val="000000"/>
        </w:rPr>
      </w:pPr>
      <w:r w:rsidRPr="003B5B4E">
        <w:rPr>
          <w:color w:val="000000"/>
        </w:rPr>
        <w:tab/>
      </w:r>
      <w:r w:rsidR="007C78DF" w:rsidRPr="003B5B4E">
        <w:rPr>
          <w:color w:val="000000"/>
        </w:rPr>
        <w:t>À l</w:t>
      </w:r>
      <w:r w:rsidR="00000F67">
        <w:rPr>
          <w:color w:val="000000"/>
        </w:rPr>
        <w:t>’</w:t>
      </w:r>
      <w:r w:rsidR="007C78DF" w:rsidRPr="003B5B4E">
        <w:rPr>
          <w:color w:val="000000"/>
        </w:rPr>
        <w:t>alinéa 4 de son article 21, que le père d</w:t>
      </w:r>
      <w:r w:rsidR="00000F67">
        <w:rPr>
          <w:color w:val="000000"/>
        </w:rPr>
        <w:t>’</w:t>
      </w:r>
      <w:r w:rsidR="007C78DF" w:rsidRPr="003B5B4E">
        <w:rPr>
          <w:color w:val="000000"/>
        </w:rPr>
        <w:t>un enfant né hors mariage peut, sans préjudice des dispositions du troisième alinéa, à quelque moment que ce soit de l</w:t>
      </w:r>
      <w:r w:rsidR="00000F67">
        <w:rPr>
          <w:color w:val="000000"/>
        </w:rPr>
        <w:t>’</w:t>
      </w:r>
      <w:r w:rsidR="007C78DF" w:rsidRPr="003B5B4E">
        <w:rPr>
          <w:color w:val="000000"/>
        </w:rPr>
        <w:t>octroi d</w:t>
      </w:r>
      <w:r w:rsidR="00000F67">
        <w:rPr>
          <w:color w:val="000000"/>
        </w:rPr>
        <w:t>’</w:t>
      </w:r>
      <w:r w:rsidR="007C78DF" w:rsidRPr="003B5B4E">
        <w:rPr>
          <w:color w:val="000000"/>
        </w:rPr>
        <w:t>une pension alimentaire ou de toute autre procédure, demander à un tribunal la garde de l</w:t>
      </w:r>
      <w:r w:rsidR="00000F67">
        <w:rPr>
          <w:color w:val="000000"/>
        </w:rPr>
        <w:t>’</w:t>
      </w:r>
      <w:r w:rsidR="007C78DF" w:rsidRPr="003B5B4E">
        <w:rPr>
          <w:color w:val="000000"/>
        </w:rPr>
        <w:t>enfant. Le tribunal peut en décider ainsi s</w:t>
      </w:r>
      <w:r w:rsidR="00000F67">
        <w:rPr>
          <w:color w:val="000000"/>
        </w:rPr>
        <w:t>’</w:t>
      </w:r>
      <w:r w:rsidR="007C78DF" w:rsidRPr="003B5B4E">
        <w:rPr>
          <w:color w:val="000000"/>
        </w:rPr>
        <w:t>il juge qu</w:t>
      </w:r>
      <w:r w:rsidR="00000F67">
        <w:rPr>
          <w:color w:val="000000"/>
        </w:rPr>
        <w:t>’</w:t>
      </w:r>
      <w:r w:rsidR="007C78DF" w:rsidRPr="003B5B4E">
        <w:rPr>
          <w:color w:val="000000"/>
        </w:rPr>
        <w:t>il est dans le meilleur intérêt de l</w:t>
      </w:r>
      <w:r w:rsidR="00000F67">
        <w:rPr>
          <w:color w:val="000000"/>
        </w:rPr>
        <w:t>’</w:t>
      </w:r>
      <w:r w:rsidR="007C78DF" w:rsidRPr="003B5B4E">
        <w:rPr>
          <w:color w:val="000000"/>
        </w:rPr>
        <w:t>enfant d</w:t>
      </w:r>
      <w:r w:rsidR="00000F67">
        <w:rPr>
          <w:color w:val="000000"/>
        </w:rPr>
        <w:t>’</w:t>
      </w:r>
      <w:r w:rsidR="007C78DF" w:rsidRPr="003B5B4E">
        <w:rPr>
          <w:color w:val="000000"/>
        </w:rPr>
        <w:t>accorder la garde à son père.</w:t>
      </w:r>
    </w:p>
    <w:p w14:paraId="18E8F13D" w14:textId="6C58692B" w:rsidR="007C78DF" w:rsidRPr="003B5B4E" w:rsidRDefault="00A45056" w:rsidP="00A45056">
      <w:pPr>
        <w:pStyle w:val="SingleTxt"/>
        <w:suppressAutoHyphens/>
        <w:ind w:left="1742" w:hanging="475"/>
        <w:rPr>
          <w:color w:val="000000"/>
        </w:rPr>
      </w:pPr>
      <w:r>
        <w:rPr>
          <w:color w:val="000000"/>
        </w:rPr>
        <w:tab/>
      </w:r>
      <w:r w:rsidR="003B5B4E" w:rsidRPr="003B5B4E">
        <w:rPr>
          <w:color w:val="000000"/>
        </w:rPr>
        <w:tab/>
      </w:r>
      <w:r w:rsidR="007C78DF" w:rsidRPr="003B5B4E">
        <w:rPr>
          <w:color w:val="000000"/>
        </w:rPr>
        <w:t>S</w:t>
      </w:r>
      <w:r w:rsidR="00000F67">
        <w:rPr>
          <w:color w:val="000000"/>
        </w:rPr>
        <w:t>’</w:t>
      </w:r>
      <w:r w:rsidR="007C78DF" w:rsidRPr="003B5B4E">
        <w:rPr>
          <w:color w:val="000000"/>
        </w:rPr>
        <w:t>agissant de l</w:t>
      </w:r>
      <w:r w:rsidR="00000F67">
        <w:rPr>
          <w:color w:val="000000"/>
        </w:rPr>
        <w:t>’</w:t>
      </w:r>
      <w:r w:rsidR="007C78DF" w:rsidRPr="003B5B4E">
        <w:rPr>
          <w:color w:val="000000"/>
        </w:rPr>
        <w:t>article 29, lorsque dans une procédure engagée devant un tribunal</w:t>
      </w:r>
      <w:r w:rsidR="003B5B4E" w:rsidRPr="003B5B4E">
        <w:rPr>
          <w:color w:val="000000"/>
        </w:rPr>
        <w:t> </w:t>
      </w:r>
      <w:r w:rsidR="007C78DF" w:rsidRPr="003B5B4E">
        <w:rPr>
          <w:color w:val="000000"/>
        </w:rPr>
        <w:t>:</w:t>
      </w:r>
    </w:p>
    <w:p w14:paraId="3B7B6190" w14:textId="3066F6DB" w:rsidR="007C78DF" w:rsidRPr="003B5B4E" w:rsidRDefault="003B5B4E" w:rsidP="009363E5">
      <w:pPr>
        <w:pStyle w:val="SingleTxt"/>
        <w:suppressAutoHyphens/>
        <w:rPr>
          <w:color w:val="000000"/>
        </w:rPr>
      </w:pPr>
      <w:r w:rsidRPr="003B5B4E">
        <w:rPr>
          <w:color w:val="000000"/>
        </w:rPr>
        <w:tab/>
      </w:r>
      <w:r w:rsidR="007C78DF" w:rsidRPr="003B5B4E">
        <w:rPr>
          <w:color w:val="000000"/>
        </w:rPr>
        <w:tab/>
        <w:t>a)</w:t>
      </w:r>
      <w:r w:rsidRPr="003B5B4E">
        <w:rPr>
          <w:color w:val="000000"/>
        </w:rPr>
        <w:tab/>
      </w:r>
      <w:r w:rsidR="007C78DF" w:rsidRPr="003B5B4E">
        <w:rPr>
          <w:color w:val="000000"/>
        </w:rPr>
        <w:t>La garde ou l</w:t>
      </w:r>
      <w:r w:rsidR="00000F67">
        <w:rPr>
          <w:color w:val="000000"/>
        </w:rPr>
        <w:t>’</w:t>
      </w:r>
      <w:r w:rsidR="007C78DF" w:rsidRPr="003B5B4E">
        <w:rPr>
          <w:color w:val="000000"/>
        </w:rPr>
        <w:t>éducation de l</w:t>
      </w:r>
      <w:r w:rsidR="00000F67">
        <w:rPr>
          <w:color w:val="000000"/>
        </w:rPr>
        <w:t>’</w:t>
      </w:r>
      <w:r w:rsidR="007C78DF" w:rsidRPr="003B5B4E">
        <w:rPr>
          <w:color w:val="000000"/>
        </w:rPr>
        <w:t>enfant</w:t>
      </w:r>
      <w:r w:rsidR="00000F67">
        <w:rPr>
          <w:color w:val="000000"/>
        </w:rPr>
        <w:t> ;</w:t>
      </w:r>
      <w:r w:rsidR="007C78DF" w:rsidRPr="003B5B4E">
        <w:rPr>
          <w:color w:val="000000"/>
        </w:rPr>
        <w:t xml:space="preserve"> ou</w:t>
      </w:r>
    </w:p>
    <w:p w14:paraId="075AB831" w14:textId="3BB06ECD" w:rsidR="007C78DF" w:rsidRPr="003B5B4E" w:rsidRDefault="003B5B4E" w:rsidP="003B5B4E">
      <w:pPr>
        <w:pStyle w:val="SingleTxt"/>
        <w:suppressAutoHyphens/>
        <w:ind w:left="1742" w:hanging="475"/>
        <w:rPr>
          <w:color w:val="000000"/>
        </w:rPr>
      </w:pPr>
      <w:r w:rsidRPr="003B5B4E">
        <w:rPr>
          <w:color w:val="000000"/>
        </w:rPr>
        <w:tab/>
      </w:r>
      <w:r w:rsidR="007C78DF" w:rsidRPr="003B5B4E">
        <w:rPr>
          <w:color w:val="000000"/>
        </w:rPr>
        <w:tab/>
        <w:t>b)</w:t>
      </w:r>
      <w:r w:rsidRPr="003B5B4E">
        <w:rPr>
          <w:color w:val="000000"/>
        </w:rPr>
        <w:tab/>
      </w:r>
      <w:r w:rsidR="007C78DF" w:rsidRPr="003B5B4E">
        <w:rPr>
          <w:color w:val="000000"/>
        </w:rPr>
        <w:t>L</w:t>
      </w:r>
      <w:r w:rsidR="00000F67">
        <w:rPr>
          <w:color w:val="000000"/>
        </w:rPr>
        <w:t>’</w:t>
      </w:r>
      <w:r w:rsidR="007C78DF" w:rsidRPr="003B5B4E">
        <w:rPr>
          <w:color w:val="000000"/>
        </w:rPr>
        <w:t>administration d</w:t>
      </w:r>
      <w:r w:rsidR="00000F67">
        <w:rPr>
          <w:color w:val="000000"/>
        </w:rPr>
        <w:t>’</w:t>
      </w:r>
      <w:r w:rsidR="007C78DF" w:rsidRPr="003B5B4E">
        <w:rPr>
          <w:color w:val="000000"/>
        </w:rPr>
        <w:t>un bien appartenant à l</w:t>
      </w:r>
      <w:r w:rsidR="00000F67">
        <w:rPr>
          <w:color w:val="000000"/>
        </w:rPr>
        <w:t>’</w:t>
      </w:r>
      <w:r w:rsidR="007C78DF" w:rsidRPr="003B5B4E">
        <w:rPr>
          <w:color w:val="000000"/>
        </w:rPr>
        <w:t>enfant ou détenu dans un trust ou l</w:t>
      </w:r>
      <w:r w:rsidR="00000F67">
        <w:rPr>
          <w:color w:val="000000"/>
        </w:rPr>
        <w:t>’</w:t>
      </w:r>
      <w:r w:rsidR="007C78DF" w:rsidRPr="003B5B4E">
        <w:rPr>
          <w:color w:val="000000"/>
        </w:rPr>
        <w:t>application du revenu qui en découle sont en jeu, le tribunal, tient compte, dans son arrêt, du principe directeur souligné à l</w:t>
      </w:r>
      <w:r w:rsidR="00000F67">
        <w:rPr>
          <w:color w:val="000000"/>
        </w:rPr>
        <w:t>’</w:t>
      </w:r>
      <w:r w:rsidR="007C78DF" w:rsidRPr="003B5B4E">
        <w:rPr>
          <w:color w:val="000000"/>
        </w:rPr>
        <w:t>alinéa 1 de l</w:t>
      </w:r>
      <w:r w:rsidR="00000F67">
        <w:rPr>
          <w:color w:val="000000"/>
        </w:rPr>
        <w:t>’</w:t>
      </w:r>
      <w:r w:rsidR="007C78DF" w:rsidRPr="003B5B4E">
        <w:rPr>
          <w:color w:val="000000"/>
        </w:rPr>
        <w:t xml:space="preserve">article 3, et ne tiendra pas compte du fait que la demande du père relative à la garde, à </w:t>
      </w:r>
      <w:r w:rsidR="007C78DF" w:rsidRPr="003B5B4E">
        <w:rPr>
          <w:color w:val="000000"/>
        </w:rPr>
        <w:lastRenderedPageBreak/>
        <w:t>l</w:t>
      </w:r>
      <w:r w:rsidR="00000F67">
        <w:rPr>
          <w:color w:val="000000"/>
        </w:rPr>
        <w:t>’</w:t>
      </w:r>
      <w:r w:rsidR="007C78DF" w:rsidRPr="003B5B4E">
        <w:rPr>
          <w:color w:val="000000"/>
        </w:rPr>
        <w:t>éducation, à l</w:t>
      </w:r>
      <w:r w:rsidR="00000F67">
        <w:rPr>
          <w:color w:val="000000"/>
        </w:rPr>
        <w:t>’</w:t>
      </w:r>
      <w:r w:rsidR="007C78DF" w:rsidRPr="003B5B4E">
        <w:rPr>
          <w:color w:val="000000"/>
        </w:rPr>
        <w:t>administration ou à l</w:t>
      </w:r>
      <w:r w:rsidR="00000F67">
        <w:rPr>
          <w:color w:val="000000"/>
        </w:rPr>
        <w:t>’</w:t>
      </w:r>
      <w:r w:rsidR="007C78DF" w:rsidRPr="003B5B4E">
        <w:rPr>
          <w:color w:val="000000"/>
        </w:rPr>
        <w:t>application est supérieure à celle de la mère, et vice-versa.</w:t>
      </w:r>
    </w:p>
    <w:p w14:paraId="3E58F256" w14:textId="385FB59B" w:rsidR="007C78DF" w:rsidRPr="003B5B4E" w:rsidRDefault="007C78DF" w:rsidP="00C67914">
      <w:pPr>
        <w:pStyle w:val="SingleTxt"/>
        <w:numPr>
          <w:ilvl w:val="0"/>
          <w:numId w:val="19"/>
        </w:numPr>
        <w:suppressAutoHyphens/>
        <w:rPr>
          <w:color w:val="000000"/>
        </w:rPr>
      </w:pPr>
      <w:r w:rsidRPr="003B5B4E">
        <w:rPr>
          <w:color w:val="000000"/>
        </w:rPr>
        <w:t>S</w:t>
      </w:r>
      <w:r w:rsidR="00000F67">
        <w:rPr>
          <w:color w:val="000000"/>
        </w:rPr>
        <w:t>’</w:t>
      </w:r>
      <w:r w:rsidRPr="003B5B4E">
        <w:rPr>
          <w:color w:val="000000"/>
        </w:rPr>
        <w:t>agissant de la pension alimentaire, l</w:t>
      </w:r>
      <w:r w:rsidR="00000F67">
        <w:rPr>
          <w:color w:val="000000"/>
        </w:rPr>
        <w:t>’</w:t>
      </w:r>
      <w:r w:rsidRPr="003B5B4E">
        <w:rPr>
          <w:color w:val="000000"/>
        </w:rPr>
        <w:t>article 33 dispose</w:t>
      </w:r>
      <w:r w:rsidR="00000F67">
        <w:rPr>
          <w:color w:val="000000"/>
        </w:rPr>
        <w:t> </w:t>
      </w:r>
      <w:r w:rsidRPr="003B5B4E">
        <w:rPr>
          <w:color w:val="000000"/>
        </w:rPr>
        <w:t>:</w:t>
      </w:r>
    </w:p>
    <w:p w14:paraId="7555B278" w14:textId="15AF5230" w:rsidR="007C78DF" w:rsidRPr="003B5B4E" w:rsidRDefault="003B5B4E" w:rsidP="003B5B4E">
      <w:pPr>
        <w:pStyle w:val="SingleTxt"/>
        <w:suppressAutoHyphens/>
        <w:ind w:left="1742" w:hanging="475"/>
        <w:rPr>
          <w:color w:val="000000"/>
        </w:rPr>
      </w:pPr>
      <w:r w:rsidRPr="003B5B4E">
        <w:rPr>
          <w:color w:val="000000"/>
        </w:rPr>
        <w:tab/>
      </w:r>
      <w:r w:rsidR="007C78DF" w:rsidRPr="003B5B4E">
        <w:rPr>
          <w:color w:val="000000"/>
        </w:rPr>
        <w:tab/>
        <w:t>« Nonobstant les autres dispositions de la présente loi, chaque homme est par la présente loi tenu de subvenir aux besoins de ses propres enfants</w:t>
      </w:r>
      <w:r w:rsidR="00000F67">
        <w:rPr>
          <w:color w:val="000000"/>
        </w:rPr>
        <w:t xml:space="preserve"> </w:t>
      </w:r>
      <w:r w:rsidR="007C78DF" w:rsidRPr="003B5B4E">
        <w:rPr>
          <w:color w:val="000000"/>
        </w:rPr>
        <w:t>et de tous les enfants, qu</w:t>
      </w:r>
      <w:r w:rsidR="00000F67">
        <w:rPr>
          <w:color w:val="000000"/>
        </w:rPr>
        <w:t>’</w:t>
      </w:r>
      <w:r w:rsidR="007C78DF" w:rsidRPr="003B5B4E">
        <w:rPr>
          <w:color w:val="000000"/>
        </w:rPr>
        <w:t>ils soient nés hors mariage ou dans le mariage, qui vivaient avec l</w:t>
      </w:r>
      <w:r w:rsidR="00000F67">
        <w:rPr>
          <w:color w:val="000000"/>
        </w:rPr>
        <w:t>’</w:t>
      </w:r>
      <w:r w:rsidR="007C78DF" w:rsidRPr="003B5B4E">
        <w:rPr>
          <w:color w:val="000000"/>
        </w:rPr>
        <w:t>épouse pendant la période de mariage, tant que</w:t>
      </w:r>
      <w:r w:rsidR="00000F67">
        <w:rPr>
          <w:color w:val="000000"/>
        </w:rPr>
        <w:t xml:space="preserve"> </w:t>
      </w:r>
      <w:r w:rsidR="007C78DF" w:rsidRPr="003B5B4E">
        <w:rPr>
          <w:color w:val="000000"/>
        </w:rPr>
        <w:t>ceux-ci ne sont pas en mesure de subvenir à leurs propres besoins</w:t>
      </w:r>
      <w:r w:rsidRPr="003B5B4E">
        <w:rPr>
          <w:color w:val="000000"/>
        </w:rPr>
        <w:t>.</w:t>
      </w:r>
      <w:r w:rsidR="007C78DF" w:rsidRPr="003B5B4E">
        <w:rPr>
          <w:color w:val="000000"/>
        </w:rPr>
        <w:t> »</w:t>
      </w:r>
    </w:p>
    <w:p w14:paraId="73AC8EA4" w14:textId="1042C8DD" w:rsidR="007C78DF" w:rsidRPr="003B5B4E" w:rsidRDefault="007C78DF" w:rsidP="00C67914">
      <w:pPr>
        <w:pStyle w:val="SingleTxt"/>
        <w:numPr>
          <w:ilvl w:val="0"/>
          <w:numId w:val="19"/>
        </w:numPr>
        <w:suppressAutoHyphens/>
        <w:rPr>
          <w:color w:val="000000"/>
        </w:rPr>
      </w:pPr>
      <w:r w:rsidRPr="003B5B4E">
        <w:rPr>
          <w:color w:val="000000"/>
        </w:rPr>
        <w:t>L</w:t>
      </w:r>
      <w:r w:rsidR="00000F67">
        <w:rPr>
          <w:color w:val="000000"/>
        </w:rPr>
        <w:t>’</w:t>
      </w:r>
      <w:r w:rsidRPr="003B5B4E">
        <w:rPr>
          <w:color w:val="000000"/>
        </w:rPr>
        <w:t>article 34 dispose</w:t>
      </w:r>
      <w:r w:rsidR="00000F67">
        <w:rPr>
          <w:color w:val="000000"/>
        </w:rPr>
        <w:t> </w:t>
      </w:r>
      <w:r w:rsidRPr="003B5B4E">
        <w:rPr>
          <w:color w:val="000000"/>
        </w:rPr>
        <w:t>:</w:t>
      </w:r>
    </w:p>
    <w:p w14:paraId="3DE91CE5" w14:textId="6311A484" w:rsidR="007C78DF" w:rsidRPr="003B5B4E" w:rsidRDefault="003B5B4E" w:rsidP="003B5B4E">
      <w:pPr>
        <w:pStyle w:val="SingleTxt"/>
        <w:suppressAutoHyphens/>
        <w:ind w:left="1742" w:hanging="475"/>
        <w:rPr>
          <w:color w:val="000000"/>
        </w:rPr>
      </w:pPr>
      <w:r w:rsidRPr="003B5B4E">
        <w:rPr>
          <w:color w:val="000000"/>
        </w:rPr>
        <w:tab/>
      </w:r>
      <w:r w:rsidR="007C78DF" w:rsidRPr="003B5B4E">
        <w:rPr>
          <w:color w:val="000000"/>
        </w:rPr>
        <w:tab/>
        <w:t>« Chaque veuve ou femme non mariée est par la présente loi tenue de subvenir aux besoins de ses propres enfants et chaque femme qui a des enfants auxquels un homme est lié conformément aux dispositions de l</w:t>
      </w:r>
      <w:r w:rsidR="00000F67">
        <w:rPr>
          <w:color w:val="000000"/>
        </w:rPr>
        <w:t>’</w:t>
      </w:r>
      <w:r w:rsidR="007C78DF" w:rsidRPr="003B5B4E">
        <w:rPr>
          <w:color w:val="000000"/>
        </w:rPr>
        <w:t>article 33, est tenue de subvenir à leurs besoins si celui-ci manque à son obligation à l</w:t>
      </w:r>
      <w:r w:rsidR="00000F67">
        <w:rPr>
          <w:color w:val="000000"/>
        </w:rPr>
        <w:t>’</w:t>
      </w:r>
      <w:r w:rsidR="007C78DF" w:rsidRPr="003B5B4E">
        <w:rPr>
          <w:color w:val="000000"/>
        </w:rPr>
        <w:t>égard des enfants ».</w:t>
      </w:r>
    </w:p>
    <w:p w14:paraId="330645A6" w14:textId="7345E1FD" w:rsidR="007C78DF" w:rsidRPr="003B5B4E" w:rsidRDefault="007C78DF" w:rsidP="00C67914">
      <w:pPr>
        <w:pStyle w:val="SingleTxt"/>
        <w:numPr>
          <w:ilvl w:val="0"/>
          <w:numId w:val="19"/>
        </w:numPr>
        <w:suppressAutoHyphens/>
        <w:rPr>
          <w:color w:val="000000"/>
        </w:rPr>
      </w:pPr>
      <w:r w:rsidRPr="003B5B4E">
        <w:rPr>
          <w:color w:val="000000"/>
        </w:rPr>
        <w:t>Article 53</w:t>
      </w:r>
      <w:r w:rsidR="003B5B4E" w:rsidRPr="003B5B4E">
        <w:rPr>
          <w:color w:val="000000"/>
        </w:rPr>
        <w:t> </w:t>
      </w:r>
      <w:r w:rsidRPr="003B5B4E">
        <w:rPr>
          <w:color w:val="000000"/>
        </w:rPr>
        <w:t>:</w:t>
      </w:r>
    </w:p>
    <w:p w14:paraId="12AABD96" w14:textId="36C0A74C" w:rsidR="007C78DF" w:rsidRPr="003B5B4E" w:rsidRDefault="00A45056" w:rsidP="00A45056">
      <w:pPr>
        <w:pStyle w:val="SingleTxt"/>
        <w:suppressAutoHyphens/>
        <w:ind w:left="1742" w:hanging="475"/>
      </w:pPr>
      <w:r>
        <w:tab/>
      </w:r>
      <w:r w:rsidR="007C78DF" w:rsidRPr="003B5B4E">
        <w:t>Lors de l</w:t>
      </w:r>
      <w:r w:rsidR="00000F67">
        <w:t>’</w:t>
      </w:r>
      <w:r w:rsidR="007C78DF" w:rsidRPr="003B5B4E">
        <w:t>établissement d</w:t>
      </w:r>
      <w:r w:rsidR="00000F67">
        <w:t>’</w:t>
      </w:r>
      <w:r w:rsidR="007C78DF" w:rsidRPr="003B5B4E">
        <w:t>une ordonnance portant octroi d</w:t>
      </w:r>
      <w:r w:rsidR="00000F67">
        <w:t>’</w:t>
      </w:r>
      <w:r w:rsidR="007C78DF" w:rsidRPr="003B5B4E">
        <w:t>une pension alimentaire, le magistrat tient compte de ce qui suit</w:t>
      </w:r>
      <w:r w:rsidR="003B5B4E" w:rsidRPr="003B5B4E">
        <w:t> </w:t>
      </w:r>
      <w:r w:rsidR="007C78DF" w:rsidRPr="003B5B4E">
        <w:t>:</w:t>
      </w:r>
    </w:p>
    <w:p w14:paraId="3B37D386" w14:textId="4E797786" w:rsidR="007C78DF" w:rsidRPr="003B5B4E" w:rsidRDefault="00C67914" w:rsidP="00C67914">
      <w:pPr>
        <w:pStyle w:val="SingleTxt"/>
        <w:suppressAutoHyphens/>
        <w:ind w:left="1742" w:hanging="475"/>
      </w:pPr>
      <w:r>
        <w:tab/>
      </w:r>
      <w:r>
        <w:tab/>
        <w:t>a)</w:t>
      </w:r>
      <w:r>
        <w:tab/>
      </w:r>
      <w:r w:rsidR="007C78DF" w:rsidRPr="003B5B4E">
        <w:t>Le revenu, la capacité de gains, les biens et autres ressources financières dont disposent le demandeur et le défendeur ou dont ils pourraient disposer dans un avenir prévisible</w:t>
      </w:r>
      <w:r w:rsidR="00000F67">
        <w:t> ;</w:t>
      </w:r>
    </w:p>
    <w:p w14:paraId="67BA7FB6" w14:textId="6B403506" w:rsidR="007C78DF" w:rsidRPr="003B5B4E" w:rsidRDefault="003B5B4E" w:rsidP="00C67914">
      <w:pPr>
        <w:pStyle w:val="SingleTxt"/>
        <w:suppressAutoHyphens/>
        <w:ind w:left="1742" w:hanging="475"/>
        <w:rPr>
          <w:color w:val="000000"/>
        </w:rPr>
      </w:pPr>
      <w:r w:rsidRPr="003B5B4E">
        <w:rPr>
          <w:color w:val="000000"/>
        </w:rPr>
        <w:tab/>
      </w:r>
      <w:r w:rsidRPr="003B5B4E">
        <w:rPr>
          <w:color w:val="000000"/>
        </w:rPr>
        <w:tab/>
      </w:r>
      <w:r w:rsidR="00C67914">
        <w:rPr>
          <w:color w:val="000000"/>
        </w:rPr>
        <w:t>b)</w:t>
      </w:r>
      <w:r w:rsidR="00C67914">
        <w:rPr>
          <w:color w:val="000000"/>
        </w:rPr>
        <w:tab/>
      </w:r>
      <w:r w:rsidR="007C78DF" w:rsidRPr="003B5B4E">
        <w:rPr>
          <w:color w:val="000000"/>
        </w:rPr>
        <w:t>Les besoins financiers, obligations et responsabilités que le demandeur et le défendeur ont ou sont susceptibles d</w:t>
      </w:r>
      <w:r w:rsidR="00000F67">
        <w:rPr>
          <w:color w:val="000000"/>
        </w:rPr>
        <w:t>’</w:t>
      </w:r>
      <w:r w:rsidR="007C78DF" w:rsidRPr="003B5B4E">
        <w:rPr>
          <w:color w:val="000000"/>
        </w:rPr>
        <w:t>avoir dans un avenir prévisible</w:t>
      </w:r>
      <w:r w:rsidR="00000F67">
        <w:t> ;</w:t>
      </w:r>
    </w:p>
    <w:p w14:paraId="78C2669E" w14:textId="22DD1A22" w:rsidR="007C78DF" w:rsidRPr="003B5B4E" w:rsidRDefault="003B5B4E" w:rsidP="00A45056">
      <w:pPr>
        <w:pStyle w:val="SingleTxt"/>
        <w:suppressAutoHyphens/>
        <w:rPr>
          <w:color w:val="000000"/>
        </w:rPr>
      </w:pPr>
      <w:r w:rsidRPr="003B5B4E">
        <w:rPr>
          <w:color w:val="000000"/>
        </w:rPr>
        <w:tab/>
      </w:r>
      <w:r w:rsidRPr="003B5B4E">
        <w:rPr>
          <w:color w:val="000000"/>
        </w:rPr>
        <w:tab/>
      </w:r>
      <w:r w:rsidR="00C67914">
        <w:rPr>
          <w:color w:val="000000"/>
        </w:rPr>
        <w:t>c)</w:t>
      </w:r>
      <w:r w:rsidR="00C67914">
        <w:rPr>
          <w:color w:val="000000"/>
        </w:rPr>
        <w:tab/>
      </w:r>
      <w:r w:rsidR="007C78DF" w:rsidRPr="003B5B4E">
        <w:rPr>
          <w:color w:val="000000"/>
        </w:rPr>
        <w:t>Le niveau de vie du demandeur avant la demande</w:t>
      </w:r>
      <w:r w:rsidR="00000F67">
        <w:t> ;</w:t>
      </w:r>
    </w:p>
    <w:p w14:paraId="54E7C51E" w14:textId="17B312A1" w:rsidR="007C78DF" w:rsidRPr="003B5B4E" w:rsidRDefault="003B5B4E" w:rsidP="00A45056">
      <w:pPr>
        <w:pStyle w:val="SingleTxt"/>
        <w:suppressAutoHyphens/>
        <w:rPr>
          <w:color w:val="000000"/>
        </w:rPr>
      </w:pPr>
      <w:r w:rsidRPr="003B5B4E">
        <w:rPr>
          <w:color w:val="000000"/>
        </w:rPr>
        <w:tab/>
      </w:r>
      <w:r w:rsidRPr="003B5B4E">
        <w:rPr>
          <w:color w:val="000000"/>
        </w:rPr>
        <w:tab/>
      </w:r>
      <w:r w:rsidR="00C67914">
        <w:rPr>
          <w:color w:val="000000"/>
        </w:rPr>
        <w:t>d)</w:t>
      </w:r>
      <w:r w:rsidR="00C67914">
        <w:rPr>
          <w:color w:val="000000"/>
        </w:rPr>
        <w:tab/>
      </w:r>
      <w:r w:rsidR="007C78DF" w:rsidRPr="003B5B4E">
        <w:rPr>
          <w:color w:val="000000"/>
        </w:rPr>
        <w:t>L</w:t>
      </w:r>
      <w:r w:rsidR="00000F67">
        <w:rPr>
          <w:color w:val="000000"/>
        </w:rPr>
        <w:t>’</w:t>
      </w:r>
      <w:r w:rsidR="007C78DF" w:rsidRPr="003B5B4E">
        <w:rPr>
          <w:color w:val="000000"/>
        </w:rPr>
        <w:t>âge du demandeur et du défendeur et la durée d</w:t>
      </w:r>
      <w:r w:rsidR="00000F67">
        <w:rPr>
          <w:color w:val="000000"/>
        </w:rPr>
        <w:t>’</w:t>
      </w:r>
      <w:r w:rsidR="007C78DF" w:rsidRPr="003B5B4E">
        <w:rPr>
          <w:color w:val="000000"/>
        </w:rPr>
        <w:t>une cohabitation</w:t>
      </w:r>
      <w:r w:rsidR="00000F67">
        <w:t> ;</w:t>
      </w:r>
    </w:p>
    <w:p w14:paraId="5A81E457" w14:textId="2D93B539" w:rsidR="007C78DF" w:rsidRPr="003B5B4E" w:rsidRDefault="003B5B4E" w:rsidP="00C67914">
      <w:pPr>
        <w:pStyle w:val="SingleTxt"/>
        <w:suppressAutoHyphens/>
        <w:ind w:left="1742" w:hanging="475"/>
        <w:rPr>
          <w:color w:val="000000"/>
        </w:rPr>
      </w:pPr>
      <w:r w:rsidRPr="003B5B4E">
        <w:rPr>
          <w:color w:val="000000"/>
        </w:rPr>
        <w:tab/>
      </w:r>
      <w:r w:rsidRPr="003B5B4E">
        <w:rPr>
          <w:color w:val="000000"/>
        </w:rPr>
        <w:tab/>
      </w:r>
      <w:r w:rsidR="00C67914">
        <w:rPr>
          <w:color w:val="000000"/>
        </w:rPr>
        <w:t>e)</w:t>
      </w:r>
      <w:r w:rsidR="00C67914">
        <w:rPr>
          <w:color w:val="000000"/>
        </w:rPr>
        <w:tab/>
      </w:r>
      <w:r w:rsidR="007C78DF" w:rsidRPr="003B5B4E">
        <w:rPr>
          <w:color w:val="000000"/>
        </w:rPr>
        <w:t>Toute incapacité physique ou mentale du demandeur ou du défendeur</w:t>
      </w:r>
      <w:r w:rsidR="00000F67">
        <w:t> ;</w:t>
      </w:r>
    </w:p>
    <w:p w14:paraId="4421D2A5" w14:textId="7BAD47D1" w:rsidR="007C78DF" w:rsidRPr="003B5B4E" w:rsidRDefault="003B5B4E" w:rsidP="00C67914">
      <w:pPr>
        <w:pStyle w:val="SingleTxt"/>
        <w:suppressAutoHyphens/>
        <w:ind w:left="1742" w:hanging="475"/>
        <w:rPr>
          <w:color w:val="000000"/>
        </w:rPr>
      </w:pPr>
      <w:r w:rsidRPr="003B5B4E">
        <w:rPr>
          <w:color w:val="000000"/>
        </w:rPr>
        <w:tab/>
      </w:r>
      <w:r w:rsidRPr="003B5B4E">
        <w:rPr>
          <w:color w:val="000000"/>
        </w:rPr>
        <w:tab/>
      </w:r>
      <w:r w:rsidR="00C67914">
        <w:rPr>
          <w:color w:val="000000"/>
        </w:rPr>
        <w:t>f)</w:t>
      </w:r>
      <w:r w:rsidR="00C67914">
        <w:rPr>
          <w:color w:val="000000"/>
        </w:rPr>
        <w:tab/>
      </w:r>
      <w:r w:rsidR="007C78DF" w:rsidRPr="003B5B4E">
        <w:rPr>
          <w:color w:val="000000"/>
        </w:rPr>
        <w:t>Les contributions apportées par chacune des parties au bien-être de la famille ou du ménage</w:t>
      </w:r>
      <w:r w:rsidR="00000F67">
        <w:t> ;</w:t>
      </w:r>
    </w:p>
    <w:p w14:paraId="609AD324" w14:textId="23094770" w:rsidR="007C78DF" w:rsidRPr="003B5B4E" w:rsidRDefault="00C67914" w:rsidP="00C67914">
      <w:pPr>
        <w:pStyle w:val="SingleTxt"/>
        <w:suppressAutoHyphens/>
        <w:ind w:left="1742" w:hanging="475"/>
        <w:rPr>
          <w:color w:val="000000"/>
        </w:rPr>
      </w:pPr>
      <w:r>
        <w:rPr>
          <w:color w:val="000000"/>
        </w:rPr>
        <w:tab/>
      </w:r>
      <w:r>
        <w:rPr>
          <w:color w:val="000000"/>
        </w:rPr>
        <w:tab/>
        <w:t>g)</w:t>
      </w:r>
      <w:r>
        <w:rPr>
          <w:color w:val="000000"/>
        </w:rPr>
        <w:tab/>
      </w:r>
      <w:r w:rsidR="007C78DF" w:rsidRPr="003B5B4E">
        <w:rPr>
          <w:color w:val="000000"/>
        </w:rPr>
        <w:t>Toute autre question que le tribunal peut considérer comme pertinente dans le cours de l</w:t>
      </w:r>
      <w:r w:rsidR="00000F67">
        <w:rPr>
          <w:color w:val="000000"/>
        </w:rPr>
        <w:t>’</w:t>
      </w:r>
      <w:r w:rsidR="007C78DF" w:rsidRPr="003B5B4E">
        <w:rPr>
          <w:color w:val="000000"/>
        </w:rPr>
        <w:t>affaire, y compris des questions telles que celles qui sont mentionnées aux alinéas 5 et 7 de l</w:t>
      </w:r>
      <w:r w:rsidR="00000F67">
        <w:rPr>
          <w:color w:val="000000"/>
        </w:rPr>
        <w:t>’</w:t>
      </w:r>
      <w:r w:rsidR="007C78DF" w:rsidRPr="003B5B4E">
        <w:rPr>
          <w:color w:val="000000"/>
        </w:rPr>
        <w:t>article 4 de la loi relative aux affaires matrimoniales (tribunal de simple police).</w:t>
      </w:r>
    </w:p>
    <w:p w14:paraId="2EA2E5B2" w14:textId="733146FA" w:rsidR="007C78DF" w:rsidRPr="003B5B4E" w:rsidRDefault="007C78DF" w:rsidP="00C67914">
      <w:pPr>
        <w:pStyle w:val="SingleTxt"/>
        <w:numPr>
          <w:ilvl w:val="0"/>
          <w:numId w:val="19"/>
        </w:numPr>
        <w:suppressAutoHyphens/>
        <w:rPr>
          <w:color w:val="000000"/>
        </w:rPr>
      </w:pPr>
      <w:r w:rsidRPr="003B5B4E">
        <w:rPr>
          <w:color w:val="000000"/>
        </w:rPr>
        <w:t>En ce qui concerne le système unifié de tribunaux des affaires familiales, le Bureau du Procureur général et le Ministère des affaires juridiques continuent de se pencher sur les détails liés à la création de ce type de tribunaux. L</w:t>
      </w:r>
      <w:r w:rsidR="00000F67">
        <w:rPr>
          <w:color w:val="000000"/>
        </w:rPr>
        <w:t>’</w:t>
      </w:r>
      <w:r w:rsidRPr="003B5B4E">
        <w:rPr>
          <w:color w:val="000000"/>
        </w:rPr>
        <w:t>objectif principal du système unifié de tribunaux des affaires familiales est de combler les lacunes et insuffisances du système juridique en matière de législation sur les familles. Ce système reconnaîtra dans les limites de sa juridiction les besoins de la famille et s</w:t>
      </w:r>
      <w:r w:rsidR="00000F67">
        <w:rPr>
          <w:color w:val="000000"/>
        </w:rPr>
        <w:t>’</w:t>
      </w:r>
      <w:r w:rsidRPr="003B5B4E">
        <w:rPr>
          <w:color w:val="000000"/>
        </w:rPr>
        <w:t>efforcera de développer une jurisprudence locale reflétant ces besoins.</w:t>
      </w:r>
    </w:p>
    <w:p w14:paraId="3A529A6E" w14:textId="2689FA38" w:rsidR="007C78DF" w:rsidRPr="003B5B4E" w:rsidRDefault="007C78DF" w:rsidP="00C67914">
      <w:pPr>
        <w:pStyle w:val="SingleTxt"/>
        <w:numPr>
          <w:ilvl w:val="0"/>
          <w:numId w:val="19"/>
        </w:numPr>
        <w:suppressAutoHyphens/>
        <w:rPr>
          <w:color w:val="000000"/>
        </w:rPr>
      </w:pPr>
      <w:r w:rsidRPr="003B5B4E">
        <w:rPr>
          <w:color w:val="000000"/>
        </w:rPr>
        <w:t>Une autre caractéristique importante de ce tribunal spécialisé est qu</w:t>
      </w:r>
      <w:r w:rsidR="00000F67">
        <w:rPr>
          <w:color w:val="000000"/>
        </w:rPr>
        <w:t>’</w:t>
      </w:r>
      <w:r w:rsidRPr="003B5B4E">
        <w:rPr>
          <w:color w:val="000000"/>
        </w:rPr>
        <w:t>il abrite des Services alternatifs d</w:t>
      </w:r>
      <w:r w:rsidR="00000F67">
        <w:rPr>
          <w:color w:val="000000"/>
        </w:rPr>
        <w:t>’</w:t>
      </w:r>
      <w:r w:rsidRPr="003B5B4E">
        <w:rPr>
          <w:color w:val="000000"/>
        </w:rPr>
        <w:t xml:space="preserve">appui au règlement des différends, à travers des services de médiation et de conseil, ce qui donne naissance à un système plurifonctionnel au sein </w:t>
      </w:r>
      <w:r w:rsidRPr="003B5B4E">
        <w:rPr>
          <w:color w:val="000000"/>
        </w:rPr>
        <w:lastRenderedPageBreak/>
        <w:t>d</w:t>
      </w:r>
      <w:r w:rsidR="00000F67">
        <w:rPr>
          <w:color w:val="000000"/>
        </w:rPr>
        <w:t>’</w:t>
      </w:r>
      <w:r w:rsidRPr="003B5B4E">
        <w:rPr>
          <w:color w:val="000000"/>
        </w:rPr>
        <w:t>un même bâtiment. Cette nouveauté répond aux besoins très particuliers des Bahamas, qui sont composées d</w:t>
      </w:r>
      <w:r w:rsidR="00000F67">
        <w:rPr>
          <w:color w:val="000000"/>
        </w:rPr>
        <w:t>’</w:t>
      </w:r>
      <w:r w:rsidRPr="003B5B4E">
        <w:rPr>
          <w:color w:val="000000"/>
        </w:rPr>
        <w:t>un ensemble d</w:t>
      </w:r>
      <w:r w:rsidR="00000F67">
        <w:rPr>
          <w:color w:val="000000"/>
        </w:rPr>
        <w:t>’</w:t>
      </w:r>
      <w:r w:rsidRPr="003B5B4E">
        <w:rPr>
          <w:color w:val="000000"/>
        </w:rPr>
        <w:t>archipels. En outre, les locaux sont faciles d</w:t>
      </w:r>
      <w:r w:rsidR="00000F67">
        <w:rPr>
          <w:color w:val="000000"/>
        </w:rPr>
        <w:t>’</w:t>
      </w:r>
      <w:r w:rsidRPr="003B5B4E">
        <w:rPr>
          <w:color w:val="000000"/>
        </w:rPr>
        <w:t>accès à toutes les parties. Le tribunal siègera pour promouvoir la médiation plutôt que pour confronter des adversaires. Des salons de conseils seront ouverts au sein de ces tribunaux, ainsi qu</w:t>
      </w:r>
      <w:r w:rsidR="00000F67">
        <w:rPr>
          <w:color w:val="000000"/>
        </w:rPr>
        <w:t>’</w:t>
      </w:r>
      <w:r w:rsidRPr="003B5B4E">
        <w:rPr>
          <w:color w:val="000000"/>
        </w:rPr>
        <w:t>un espace de loisirs dédié aux enfants.</w:t>
      </w:r>
    </w:p>
    <w:p w14:paraId="0DFB53B8" w14:textId="70C6A4AE" w:rsidR="007C78DF" w:rsidRPr="003B5B4E" w:rsidRDefault="007C78DF" w:rsidP="00C67914">
      <w:pPr>
        <w:pStyle w:val="SingleTxt"/>
        <w:numPr>
          <w:ilvl w:val="0"/>
          <w:numId w:val="19"/>
        </w:numPr>
        <w:suppressAutoHyphens/>
        <w:rPr>
          <w:color w:val="000000"/>
        </w:rPr>
      </w:pPr>
      <w:r w:rsidRPr="003B5B4E">
        <w:rPr>
          <w:color w:val="000000"/>
        </w:rPr>
        <w:t>Le Comité chargé du système de tribunaux des affaires familiales s</w:t>
      </w:r>
      <w:r w:rsidR="00000F67">
        <w:rPr>
          <w:color w:val="000000"/>
        </w:rPr>
        <w:t>’</w:t>
      </w:r>
      <w:r w:rsidRPr="003B5B4E">
        <w:rPr>
          <w:color w:val="000000"/>
        </w:rPr>
        <w:t>emploie à trouver l</w:t>
      </w:r>
      <w:r w:rsidR="00000F67">
        <w:rPr>
          <w:color w:val="000000"/>
        </w:rPr>
        <w:t>’</w:t>
      </w:r>
      <w:r w:rsidRPr="003B5B4E">
        <w:rPr>
          <w:color w:val="000000"/>
        </w:rPr>
        <w:t>immeuble le plus adapté pour héberger ces tribunaux. Ce comité continue de s</w:t>
      </w:r>
      <w:r w:rsidR="00000F67">
        <w:rPr>
          <w:color w:val="000000"/>
        </w:rPr>
        <w:t>’</w:t>
      </w:r>
      <w:r w:rsidRPr="003B5B4E">
        <w:rPr>
          <w:color w:val="000000"/>
        </w:rPr>
        <w:t>occuper de la création de procédures spéciales adaptées à un tribunal des affaires familiales de sorte que lorsqu</w:t>
      </w:r>
      <w:r w:rsidR="00000F67">
        <w:rPr>
          <w:color w:val="000000"/>
        </w:rPr>
        <w:t>’</w:t>
      </w:r>
      <w:r w:rsidRPr="003B5B4E">
        <w:rPr>
          <w:color w:val="000000"/>
        </w:rPr>
        <w:t>un tribunal devra connaître d</w:t>
      </w:r>
      <w:r w:rsidR="00000F67">
        <w:rPr>
          <w:color w:val="000000"/>
        </w:rPr>
        <w:t>’</w:t>
      </w:r>
      <w:r w:rsidRPr="003B5B4E">
        <w:rPr>
          <w:color w:val="000000"/>
        </w:rPr>
        <w:t>une affaire comme le prescrivent les règles de procédure, cette affaire ou un volet de celle-ci pourra être porté par le président de la Chambre devant le tribunal à un autre niveau de procédure sans que les parties aient à engager une nouvelle demande. Ces voies restent ouvertes dans chaque sens jusqu</w:t>
      </w:r>
      <w:r w:rsidR="00000F67">
        <w:rPr>
          <w:color w:val="000000"/>
        </w:rPr>
        <w:t>’</w:t>
      </w:r>
      <w:r w:rsidRPr="003B5B4E">
        <w:rPr>
          <w:color w:val="000000"/>
        </w:rPr>
        <w:t>à la fin de la procédure. La création de ces voies de procédure spéciales s</w:t>
      </w:r>
      <w:r w:rsidR="00000F67">
        <w:rPr>
          <w:color w:val="000000"/>
        </w:rPr>
        <w:t>’</w:t>
      </w:r>
      <w:r w:rsidRPr="003B5B4E">
        <w:rPr>
          <w:color w:val="000000"/>
        </w:rPr>
        <w:t>est imposée car on s</w:t>
      </w:r>
      <w:r w:rsidR="00000F67">
        <w:rPr>
          <w:color w:val="000000"/>
        </w:rPr>
        <w:t>’</w:t>
      </w:r>
      <w:r w:rsidRPr="003B5B4E">
        <w:rPr>
          <w:color w:val="000000"/>
        </w:rPr>
        <w:t>est vite rendu compte que dans le système des tribunaux des affaires familiales, on se retrouve confronté à des points de détail dans lesquels les parties considèrent que les divers problèmes posés dans un différend donné nécessitent l</w:t>
      </w:r>
      <w:r w:rsidR="00000F67">
        <w:rPr>
          <w:color w:val="000000"/>
        </w:rPr>
        <w:t>’</w:t>
      </w:r>
      <w:r w:rsidRPr="003B5B4E">
        <w:rPr>
          <w:color w:val="000000"/>
        </w:rPr>
        <w:t>intervention de plusieurs tribunaux. Il aurait donc été très onéreux et inopportun d</w:t>
      </w:r>
      <w:r w:rsidR="00000F67">
        <w:rPr>
          <w:color w:val="000000"/>
        </w:rPr>
        <w:t>’</w:t>
      </w:r>
      <w:r w:rsidRPr="003B5B4E">
        <w:rPr>
          <w:color w:val="000000"/>
        </w:rPr>
        <w:t>engager des procédures dans plusieurs tribunaux pour des raisons juridictionnelles et de procédure.</w:t>
      </w:r>
    </w:p>
    <w:p w14:paraId="7DC76094" w14:textId="658CC34D" w:rsidR="007C78DF" w:rsidRPr="003B5B4E" w:rsidRDefault="007C78DF" w:rsidP="00C67914">
      <w:pPr>
        <w:pStyle w:val="SingleTxt"/>
        <w:numPr>
          <w:ilvl w:val="0"/>
          <w:numId w:val="19"/>
        </w:numPr>
        <w:suppressAutoHyphens/>
        <w:rPr>
          <w:color w:val="000000"/>
        </w:rPr>
      </w:pPr>
      <w:r w:rsidRPr="003B5B4E">
        <w:rPr>
          <w:color w:val="000000"/>
        </w:rPr>
        <w:t>Avec cette directive, le système des tribunaux des affaires familiales aura incontestablement une approche pluridisciplinaire, dans laquelle il prend en compte dans son action quotidienne les services juridiques et sociaux avec l</w:t>
      </w:r>
      <w:r w:rsidR="00000F67">
        <w:rPr>
          <w:color w:val="000000"/>
        </w:rPr>
        <w:t>’</w:t>
      </w:r>
      <w:r w:rsidRPr="003B5B4E">
        <w:rPr>
          <w:color w:val="000000"/>
        </w:rPr>
        <w:t>objectif principal d</w:t>
      </w:r>
      <w:r w:rsidR="00000F67">
        <w:rPr>
          <w:color w:val="000000"/>
        </w:rPr>
        <w:t>’</w:t>
      </w:r>
      <w:r w:rsidRPr="003B5B4E">
        <w:rPr>
          <w:color w:val="000000"/>
        </w:rPr>
        <w:t>empêcher l</w:t>
      </w:r>
      <w:r w:rsidR="00000F67">
        <w:rPr>
          <w:color w:val="000000"/>
        </w:rPr>
        <w:t>’</w:t>
      </w:r>
      <w:r w:rsidRPr="003B5B4E">
        <w:rPr>
          <w:color w:val="000000"/>
        </w:rPr>
        <w:t>effondrement de l</w:t>
      </w:r>
      <w:r w:rsidR="00000F67">
        <w:rPr>
          <w:color w:val="000000"/>
        </w:rPr>
        <w:t>’</w:t>
      </w:r>
      <w:r w:rsidRPr="003B5B4E">
        <w:rPr>
          <w:color w:val="000000"/>
        </w:rPr>
        <w:t>unité familiale et de protéger le bien-être des membres de la famille, notamment des enfants.</w:t>
      </w:r>
    </w:p>
    <w:p w14:paraId="64D10A72" w14:textId="790AB1F9" w:rsidR="007C78DF" w:rsidRPr="003B5B4E" w:rsidRDefault="007C78DF" w:rsidP="00C67914">
      <w:pPr>
        <w:pStyle w:val="SingleTxt"/>
        <w:numPr>
          <w:ilvl w:val="0"/>
          <w:numId w:val="19"/>
        </w:numPr>
        <w:suppressAutoHyphens/>
        <w:rPr>
          <w:color w:val="000000"/>
        </w:rPr>
      </w:pPr>
      <w:r w:rsidRPr="003B5B4E">
        <w:rPr>
          <w:color w:val="000000"/>
        </w:rPr>
        <w:t>Une équipe spéciale a été nommée pour examiner plus de 20 textes de loi, ainsi que les règlements y afférents en ce qui concerne les affaires familiales, et chargée d</w:t>
      </w:r>
      <w:r w:rsidR="00000F67">
        <w:rPr>
          <w:color w:val="000000"/>
        </w:rPr>
        <w:t>’</w:t>
      </w:r>
      <w:r w:rsidRPr="003B5B4E">
        <w:rPr>
          <w:color w:val="000000"/>
        </w:rPr>
        <w:t>intégrer et de traiter les affaires familiales d</w:t>
      </w:r>
      <w:r w:rsidR="00000F67">
        <w:rPr>
          <w:color w:val="000000"/>
        </w:rPr>
        <w:t>’</w:t>
      </w:r>
      <w:r w:rsidRPr="003B5B4E">
        <w:rPr>
          <w:color w:val="000000"/>
        </w:rPr>
        <w:t>urgence.</w:t>
      </w:r>
    </w:p>
    <w:p w14:paraId="428A9AD8" w14:textId="718D2C12" w:rsidR="007C78DF" w:rsidRPr="003B5B4E" w:rsidRDefault="007C78DF" w:rsidP="00C67914">
      <w:pPr>
        <w:pStyle w:val="SingleTxt"/>
        <w:numPr>
          <w:ilvl w:val="0"/>
          <w:numId w:val="19"/>
        </w:numPr>
        <w:suppressAutoHyphens/>
        <w:rPr>
          <w:color w:val="000000"/>
        </w:rPr>
      </w:pPr>
      <w:r w:rsidRPr="003B5B4E">
        <w:rPr>
          <w:color w:val="000000"/>
        </w:rPr>
        <w:t>En ce qui concerne les unions libres, aucune nouveauté n</w:t>
      </w:r>
      <w:r w:rsidR="00000F67">
        <w:rPr>
          <w:color w:val="000000"/>
        </w:rPr>
        <w:t>’</w:t>
      </w:r>
      <w:r w:rsidRPr="003B5B4E">
        <w:rPr>
          <w:color w:val="000000"/>
        </w:rPr>
        <w:t>est à signaler.</w:t>
      </w:r>
    </w:p>
    <w:p w14:paraId="52AAD208" w14:textId="5929C5C4" w:rsidR="009363E5" w:rsidRPr="00C67914" w:rsidRDefault="009363E5" w:rsidP="00C67914">
      <w:pPr>
        <w:pStyle w:val="SingleTxt"/>
        <w:suppressAutoHyphens/>
        <w:spacing w:after="0" w:line="120" w:lineRule="exact"/>
        <w:rPr>
          <w:b/>
          <w:color w:val="000000"/>
          <w:sz w:val="10"/>
        </w:rPr>
      </w:pPr>
    </w:p>
    <w:p w14:paraId="3294D608" w14:textId="12E3C4FB" w:rsidR="00C67914" w:rsidRPr="00C67914" w:rsidRDefault="00C67914" w:rsidP="00C67914">
      <w:pPr>
        <w:pStyle w:val="SingleTxt"/>
        <w:suppressAutoHyphens/>
        <w:spacing w:after="0" w:line="120" w:lineRule="exact"/>
        <w:rPr>
          <w:b/>
          <w:color w:val="000000"/>
          <w:sz w:val="10"/>
        </w:rPr>
      </w:pPr>
    </w:p>
    <w:p w14:paraId="5A632BBB" w14:textId="3C7E49B8" w:rsidR="007C78DF" w:rsidRPr="003B5B4E" w:rsidRDefault="00C67914" w:rsidP="00C679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Catastrophes naturelles</w:t>
      </w:r>
    </w:p>
    <w:p w14:paraId="3B7089D0" w14:textId="53DEE638" w:rsidR="009363E5" w:rsidRPr="00C67914" w:rsidRDefault="009363E5" w:rsidP="00C67914">
      <w:pPr>
        <w:pStyle w:val="SingleTxt"/>
        <w:suppressAutoHyphens/>
        <w:spacing w:after="0" w:line="120" w:lineRule="exact"/>
        <w:rPr>
          <w:color w:val="000000"/>
          <w:sz w:val="10"/>
        </w:rPr>
      </w:pPr>
    </w:p>
    <w:p w14:paraId="2932CC09" w14:textId="1CCA3902" w:rsidR="00C67914" w:rsidRPr="00C67914" w:rsidRDefault="00C67914" w:rsidP="00C67914">
      <w:pPr>
        <w:pStyle w:val="SingleTxt"/>
        <w:suppressAutoHyphens/>
        <w:spacing w:after="0" w:line="120" w:lineRule="exact"/>
        <w:rPr>
          <w:color w:val="000000"/>
          <w:sz w:val="10"/>
        </w:rPr>
      </w:pPr>
    </w:p>
    <w:p w14:paraId="299187EA" w14:textId="45673495" w:rsidR="007C78DF" w:rsidRPr="003B5B4E" w:rsidRDefault="007C78DF" w:rsidP="00C67914">
      <w:pPr>
        <w:pStyle w:val="SingleTxt"/>
        <w:numPr>
          <w:ilvl w:val="0"/>
          <w:numId w:val="19"/>
        </w:numPr>
        <w:suppressAutoHyphens/>
        <w:rPr>
          <w:color w:val="000000"/>
        </w:rPr>
      </w:pPr>
      <w:r w:rsidRPr="003B5B4E">
        <w:rPr>
          <w:color w:val="000000"/>
        </w:rPr>
        <w:t>Selon les informations dont dispose le Comité, l</w:t>
      </w:r>
      <w:r w:rsidR="00000F67">
        <w:rPr>
          <w:color w:val="000000"/>
        </w:rPr>
        <w:t>’</w:t>
      </w:r>
      <w:r w:rsidRPr="003B5B4E">
        <w:rPr>
          <w:color w:val="000000"/>
        </w:rPr>
        <w:t>État partie se trouve dans une zone d</w:t>
      </w:r>
      <w:r w:rsidR="00000F67">
        <w:rPr>
          <w:color w:val="000000"/>
        </w:rPr>
        <w:t>’</w:t>
      </w:r>
      <w:r w:rsidRPr="003B5B4E">
        <w:rPr>
          <w:color w:val="000000"/>
        </w:rPr>
        <w:t>ouragans et est par conséquent vulnérable aux tempêtes tropicales.</w:t>
      </w:r>
      <w:r w:rsidR="00DA5529">
        <w:rPr>
          <w:color w:val="000000"/>
        </w:rPr>
        <w:t xml:space="preserve"> </w:t>
      </w:r>
      <w:r w:rsidRPr="003B5B4E">
        <w:rPr>
          <w:color w:val="000000"/>
        </w:rPr>
        <w:t>Veuillez indiquer s</w:t>
      </w:r>
      <w:r w:rsidR="00000F67">
        <w:rPr>
          <w:color w:val="000000"/>
        </w:rPr>
        <w:t>’</w:t>
      </w:r>
      <w:r w:rsidRPr="003B5B4E">
        <w:rPr>
          <w:color w:val="000000"/>
        </w:rPr>
        <w:t>il a été tenu compte de la situation particulière des femmes dans les stratégies nationales de gestion, de secours et de relèvement en cas de catastrophe, et préciser si les femmes participent à toutes les étapes du processus de gestion des catastrophes. Veuillez enfin indiquer au Comité si des budgets et des ressources humaines et financières spécifiques ont été alloués pour mener à bien ces stratégies (CEDAW/C/BHS/Q/6, par. 22).</w:t>
      </w:r>
    </w:p>
    <w:p w14:paraId="7AA91F77" w14:textId="2B123B55" w:rsidR="009363E5" w:rsidRPr="00C67914" w:rsidRDefault="009363E5" w:rsidP="00C67914">
      <w:pPr>
        <w:pStyle w:val="SingleTxt"/>
        <w:suppressAutoHyphens/>
        <w:spacing w:after="0" w:line="120" w:lineRule="exact"/>
        <w:rPr>
          <w:b/>
          <w:color w:val="000000"/>
          <w:sz w:val="10"/>
        </w:rPr>
      </w:pPr>
    </w:p>
    <w:p w14:paraId="4F17F3D3" w14:textId="041D050D" w:rsidR="007C78DF" w:rsidRPr="003B5B4E" w:rsidRDefault="00C67914" w:rsidP="00C67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 xml:space="preserve">Réponse </w:t>
      </w:r>
    </w:p>
    <w:p w14:paraId="547E6D5D" w14:textId="09F0A888" w:rsidR="009363E5" w:rsidRPr="00C67914" w:rsidRDefault="009363E5" w:rsidP="00C67914">
      <w:pPr>
        <w:pStyle w:val="SingleTxt"/>
        <w:suppressAutoHyphens/>
        <w:spacing w:after="0" w:line="120" w:lineRule="exact"/>
        <w:rPr>
          <w:color w:val="000000"/>
          <w:sz w:val="10"/>
        </w:rPr>
      </w:pPr>
    </w:p>
    <w:p w14:paraId="64F1BAFE" w14:textId="6B138963" w:rsidR="007C78DF" w:rsidRPr="003B5B4E" w:rsidRDefault="007C78DF" w:rsidP="00C67914">
      <w:pPr>
        <w:pStyle w:val="SingleTxt"/>
        <w:numPr>
          <w:ilvl w:val="0"/>
          <w:numId w:val="19"/>
        </w:numPr>
        <w:suppressAutoHyphens/>
        <w:rPr>
          <w:color w:val="000000"/>
        </w:rPr>
      </w:pPr>
      <w:r w:rsidRPr="003B5B4E">
        <w:rPr>
          <w:color w:val="000000"/>
        </w:rPr>
        <w:t>L</w:t>
      </w:r>
      <w:r w:rsidR="00000F67">
        <w:rPr>
          <w:color w:val="000000"/>
        </w:rPr>
        <w:t>’</w:t>
      </w:r>
      <w:r w:rsidRPr="003B5B4E">
        <w:rPr>
          <w:color w:val="000000"/>
        </w:rPr>
        <w:t>Organisme national de gestion des situations d</w:t>
      </w:r>
      <w:r w:rsidR="00000F67">
        <w:rPr>
          <w:color w:val="000000"/>
        </w:rPr>
        <w:t>’</w:t>
      </w:r>
      <w:r w:rsidRPr="003B5B4E">
        <w:rPr>
          <w:color w:val="000000"/>
        </w:rPr>
        <w:t>urgence (NEMA) est chargé de la gestion des catastrophes naturelles, des secours et du relèvement dans le pays. Le NEMA coordonne les activités du Gouvernement et des organismes non gouvernementaux, c</w:t>
      </w:r>
      <w:r w:rsidR="00000F67">
        <w:rPr>
          <w:color w:val="000000"/>
        </w:rPr>
        <w:t>’</w:t>
      </w:r>
      <w:r w:rsidRPr="003B5B4E">
        <w:rPr>
          <w:color w:val="000000"/>
        </w:rPr>
        <w:t>est-à-dire d</w:t>
      </w:r>
      <w:r w:rsidR="00000F67">
        <w:rPr>
          <w:color w:val="000000"/>
        </w:rPr>
        <w:t>’</w:t>
      </w:r>
      <w:r w:rsidRPr="003B5B4E">
        <w:rPr>
          <w:color w:val="000000"/>
        </w:rPr>
        <w:t>hommes et de femmes présents dans chacune des îles des Bahamas. Le personnel du NEMA est composé d</w:t>
      </w:r>
      <w:r w:rsidR="00000F67">
        <w:rPr>
          <w:color w:val="000000"/>
        </w:rPr>
        <w:t>’</w:t>
      </w:r>
      <w:r w:rsidRPr="003B5B4E">
        <w:rPr>
          <w:color w:val="000000"/>
        </w:rPr>
        <w:t>un directeur et de deux administratrices, l</w:t>
      </w:r>
      <w:r w:rsidR="00000F67">
        <w:rPr>
          <w:color w:val="000000"/>
        </w:rPr>
        <w:t>’</w:t>
      </w:r>
      <w:r w:rsidRPr="003B5B4E">
        <w:rPr>
          <w:color w:val="000000"/>
        </w:rPr>
        <w:t>une chargée des affaires administratives et l</w:t>
      </w:r>
      <w:r w:rsidR="00000F67">
        <w:rPr>
          <w:color w:val="000000"/>
        </w:rPr>
        <w:t>’</w:t>
      </w:r>
      <w:r w:rsidRPr="003B5B4E">
        <w:rPr>
          <w:color w:val="000000"/>
        </w:rPr>
        <w:t>autre des questions techniques.</w:t>
      </w:r>
    </w:p>
    <w:p w14:paraId="289F9E35" w14:textId="48A3D2A5" w:rsidR="007C78DF" w:rsidRPr="003B5B4E" w:rsidRDefault="007C78DF" w:rsidP="00C67914">
      <w:pPr>
        <w:pStyle w:val="SingleTxt"/>
        <w:numPr>
          <w:ilvl w:val="0"/>
          <w:numId w:val="19"/>
        </w:numPr>
        <w:suppressAutoHyphens/>
        <w:rPr>
          <w:color w:val="000000"/>
        </w:rPr>
      </w:pPr>
      <w:r w:rsidRPr="003B5B4E">
        <w:rPr>
          <w:color w:val="000000"/>
        </w:rPr>
        <w:lastRenderedPageBreak/>
        <w:t>Le NEMA tient des réunions mensuelles avec des représentants de tous les ministères et départements gouvernementaux, ainsi que des ONG qui forment le Comité de gestion des catastrophes. Le Département de l</w:t>
      </w:r>
      <w:r w:rsidR="00000F67">
        <w:rPr>
          <w:color w:val="000000"/>
        </w:rPr>
        <w:t>’</w:t>
      </w:r>
      <w:r w:rsidRPr="003B5B4E">
        <w:rPr>
          <w:color w:val="000000"/>
        </w:rPr>
        <w:t>égalité des sexes et des affaires de la famille est représenté dans ce comité. Le Comité coordonne également les activités liées à la gestion des catastrophes dans toutes les îles situées hors de la capitale.</w:t>
      </w:r>
    </w:p>
    <w:p w14:paraId="0E851B5E" w14:textId="171F1BBB" w:rsidR="007C78DF" w:rsidRPr="003B5B4E" w:rsidRDefault="007C78DF" w:rsidP="00C67914">
      <w:pPr>
        <w:pStyle w:val="SingleTxt"/>
        <w:numPr>
          <w:ilvl w:val="0"/>
          <w:numId w:val="19"/>
        </w:numPr>
        <w:suppressAutoHyphens/>
        <w:rPr>
          <w:color w:val="000000"/>
        </w:rPr>
      </w:pPr>
      <w:r w:rsidRPr="003B5B4E">
        <w:rPr>
          <w:color w:val="000000"/>
        </w:rPr>
        <w:t>En février 2017, le Département de l</w:t>
      </w:r>
      <w:r w:rsidR="00000F67">
        <w:rPr>
          <w:color w:val="000000"/>
        </w:rPr>
        <w:t>’</w:t>
      </w:r>
      <w:r w:rsidRPr="003B5B4E">
        <w:rPr>
          <w:color w:val="000000"/>
        </w:rPr>
        <w:t>égalité des sexes et des affaires de la famille, en collaboration avec l</w:t>
      </w:r>
      <w:r w:rsidR="00000F67">
        <w:rPr>
          <w:color w:val="000000"/>
        </w:rPr>
        <w:t>’</w:t>
      </w:r>
      <w:r w:rsidRPr="003B5B4E">
        <w:rPr>
          <w:color w:val="000000"/>
        </w:rPr>
        <w:t>Entité des Nations Unies pour l</w:t>
      </w:r>
      <w:r w:rsidR="00000F67">
        <w:rPr>
          <w:color w:val="000000"/>
        </w:rPr>
        <w:t>’</w:t>
      </w:r>
      <w:r w:rsidRPr="003B5B4E">
        <w:rPr>
          <w:color w:val="000000"/>
        </w:rPr>
        <w:t>égalité des sexes et l</w:t>
      </w:r>
      <w:r w:rsidR="00000F67">
        <w:rPr>
          <w:color w:val="000000"/>
        </w:rPr>
        <w:t>’</w:t>
      </w:r>
      <w:r w:rsidRPr="003B5B4E">
        <w:rPr>
          <w:color w:val="000000"/>
        </w:rPr>
        <w:t>autonomisation des femmes (ONU-Femmes) et le Bureau multipays (la Barbade), a conduit une évaluation des dégâts causés aux femmes par l</w:t>
      </w:r>
      <w:r w:rsidR="00000F67">
        <w:rPr>
          <w:color w:val="000000"/>
        </w:rPr>
        <w:t>’</w:t>
      </w:r>
      <w:r w:rsidRPr="003B5B4E">
        <w:rPr>
          <w:color w:val="000000"/>
        </w:rPr>
        <w:t>ouragan Matthew dans North Andros et la Grande Bahama.</w:t>
      </w:r>
    </w:p>
    <w:p w14:paraId="23779CE6" w14:textId="081D0813" w:rsidR="007C78DF" w:rsidRPr="003B5B4E" w:rsidRDefault="007C78DF" w:rsidP="00C67914">
      <w:pPr>
        <w:pStyle w:val="SingleTxt"/>
        <w:numPr>
          <w:ilvl w:val="0"/>
          <w:numId w:val="19"/>
        </w:numPr>
        <w:suppressAutoHyphens/>
        <w:rPr>
          <w:color w:val="000000"/>
        </w:rPr>
      </w:pPr>
      <w:r w:rsidRPr="003B5B4E">
        <w:rPr>
          <w:color w:val="000000"/>
        </w:rPr>
        <w:t>Les Bahamas sont partie à la Convention-cadre des Nations Unies sur</w:t>
      </w:r>
      <w:r w:rsidR="00000F67">
        <w:rPr>
          <w:color w:val="000000"/>
        </w:rPr>
        <w:t xml:space="preserve"> </w:t>
      </w:r>
      <w:r w:rsidRPr="003B5B4E">
        <w:rPr>
          <w:color w:val="000000"/>
        </w:rPr>
        <w:t>les changements climatiques, qui reconnaît l</w:t>
      </w:r>
      <w:r w:rsidR="00000F67">
        <w:rPr>
          <w:color w:val="000000"/>
        </w:rPr>
        <w:t>’</w:t>
      </w:r>
      <w:r w:rsidRPr="003B5B4E">
        <w:rPr>
          <w:color w:val="000000"/>
        </w:rPr>
        <w:t>importance de la participation égale des femmes et des hommes dans les processus qui les concernent et dans l</w:t>
      </w:r>
      <w:r w:rsidR="00000F67">
        <w:rPr>
          <w:color w:val="000000"/>
        </w:rPr>
        <w:t>’</w:t>
      </w:r>
      <w:r w:rsidRPr="003B5B4E">
        <w:rPr>
          <w:color w:val="000000"/>
        </w:rPr>
        <w:t>élaboration et la mise en œuvre de politiques climatiques nationales tenant compte de la situation particulière des femmes. Les Bahamas ont présenté un exposé à la récente COP 21, qui a eu lieu en 2015, dans lequel elles ont souligné leur vulnérabilité aux changements climatiques. Les actions menées à cet égard au niveau national portent, entre autres, sur les modalités de transfert des communautés vulnérables.</w:t>
      </w:r>
    </w:p>
    <w:p w14:paraId="3ECADC6D" w14:textId="2F86BD9B" w:rsidR="007C78DF" w:rsidRPr="003B5B4E" w:rsidRDefault="007C78DF" w:rsidP="00C67914">
      <w:pPr>
        <w:pStyle w:val="SingleTxt"/>
        <w:numPr>
          <w:ilvl w:val="0"/>
          <w:numId w:val="19"/>
        </w:numPr>
        <w:suppressAutoHyphens/>
        <w:rPr>
          <w:color w:val="000000"/>
        </w:rPr>
      </w:pPr>
      <w:r w:rsidRPr="003B5B4E">
        <w:rPr>
          <w:color w:val="000000"/>
        </w:rPr>
        <w:t>En outre, les Bahamas sont membres de l</w:t>
      </w:r>
      <w:r w:rsidR="00000F67">
        <w:rPr>
          <w:color w:val="000000"/>
        </w:rPr>
        <w:t>’</w:t>
      </w:r>
      <w:r w:rsidRPr="003B5B4E">
        <w:rPr>
          <w:color w:val="000000"/>
        </w:rPr>
        <w:t>Agence caraïbe pour les secours d</w:t>
      </w:r>
      <w:r w:rsidR="00000F67">
        <w:rPr>
          <w:color w:val="000000"/>
        </w:rPr>
        <w:t>’</w:t>
      </w:r>
      <w:r w:rsidRPr="003B5B4E">
        <w:rPr>
          <w:color w:val="000000"/>
        </w:rPr>
        <w:t>urgence en cas de catastrophe naturelle (CDEMA), qui est un organe de la CARICOM composé de 18 États participants. La CDEMA applique une stratégie globale de gestion des secours d</w:t>
      </w:r>
      <w:r w:rsidR="00000F67">
        <w:rPr>
          <w:color w:val="000000"/>
        </w:rPr>
        <w:t>’</w:t>
      </w:r>
      <w:r w:rsidRPr="003B5B4E">
        <w:rPr>
          <w:color w:val="000000"/>
        </w:rPr>
        <w:t>urgence en cas de catastrophe naturelle pour la période 2014-2024. Les thèmes transversaux de cette stratégie sont: les changements climatiques et l</w:t>
      </w:r>
      <w:r w:rsidR="00000F67">
        <w:rPr>
          <w:color w:val="000000"/>
        </w:rPr>
        <w:t>’</w:t>
      </w:r>
      <w:r w:rsidRPr="003B5B4E">
        <w:rPr>
          <w:color w:val="000000"/>
        </w:rPr>
        <w:t>adaptation, les technologies de l</w:t>
      </w:r>
      <w:r w:rsidR="00000F67">
        <w:rPr>
          <w:color w:val="000000"/>
        </w:rPr>
        <w:t>’</w:t>
      </w:r>
      <w:r w:rsidRPr="003B5B4E">
        <w:rPr>
          <w:color w:val="000000"/>
        </w:rPr>
        <w:t>information et de la communication, la prise en compte de l</w:t>
      </w:r>
      <w:r w:rsidR="00000F67">
        <w:rPr>
          <w:color w:val="000000"/>
        </w:rPr>
        <w:t>’</w:t>
      </w:r>
      <w:r w:rsidRPr="003B5B4E">
        <w:rPr>
          <w:color w:val="000000"/>
        </w:rPr>
        <w:t>égalité des sexes et la viabilité de l</w:t>
      </w:r>
      <w:r w:rsidR="00000F67">
        <w:rPr>
          <w:color w:val="000000"/>
        </w:rPr>
        <w:t>’</w:t>
      </w:r>
      <w:r w:rsidRPr="003B5B4E">
        <w:rPr>
          <w:color w:val="000000"/>
        </w:rPr>
        <w:t>environnement.</w:t>
      </w:r>
    </w:p>
    <w:p w14:paraId="6FD9B5A1" w14:textId="5915241E" w:rsidR="009363E5" w:rsidRPr="00C67914" w:rsidRDefault="009363E5" w:rsidP="00C67914">
      <w:pPr>
        <w:pStyle w:val="SingleTxt"/>
        <w:suppressAutoHyphens/>
        <w:spacing w:after="0" w:line="120" w:lineRule="exact"/>
        <w:rPr>
          <w:b/>
          <w:color w:val="000000"/>
          <w:sz w:val="10"/>
        </w:rPr>
      </w:pPr>
    </w:p>
    <w:p w14:paraId="1B177355" w14:textId="6DB054F3" w:rsidR="00C67914" w:rsidRPr="00C67914" w:rsidRDefault="00C67914" w:rsidP="00C67914">
      <w:pPr>
        <w:pStyle w:val="SingleTxt"/>
        <w:suppressAutoHyphens/>
        <w:spacing w:after="0" w:line="120" w:lineRule="exact"/>
        <w:rPr>
          <w:b/>
          <w:color w:val="000000"/>
          <w:sz w:val="10"/>
        </w:rPr>
      </w:pPr>
    </w:p>
    <w:p w14:paraId="07771645" w14:textId="1FA44A8A" w:rsidR="007C78DF" w:rsidRPr="003B5B4E" w:rsidRDefault="00C67914" w:rsidP="00C679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Protocole facultatif et modification du paragraphe 1 de l</w:t>
      </w:r>
      <w:r w:rsidR="00000F67">
        <w:t>’</w:t>
      </w:r>
      <w:r w:rsidR="007C78DF" w:rsidRPr="003B5B4E">
        <w:t>article 20</w:t>
      </w:r>
    </w:p>
    <w:p w14:paraId="0F6D5239" w14:textId="5CC9D5A2" w:rsidR="009363E5" w:rsidRPr="00C67914" w:rsidRDefault="009363E5" w:rsidP="00C67914">
      <w:pPr>
        <w:pStyle w:val="SingleTxt"/>
        <w:suppressAutoHyphens/>
        <w:spacing w:after="0" w:line="120" w:lineRule="exact"/>
        <w:rPr>
          <w:color w:val="000000"/>
          <w:sz w:val="10"/>
        </w:rPr>
      </w:pPr>
    </w:p>
    <w:p w14:paraId="4615947F" w14:textId="44EEB483" w:rsidR="00C67914" w:rsidRPr="00C67914" w:rsidRDefault="00C67914" w:rsidP="00C67914">
      <w:pPr>
        <w:pStyle w:val="SingleTxt"/>
        <w:suppressAutoHyphens/>
        <w:spacing w:after="0" w:line="120" w:lineRule="exact"/>
        <w:rPr>
          <w:color w:val="000000"/>
          <w:sz w:val="10"/>
        </w:rPr>
      </w:pPr>
    </w:p>
    <w:p w14:paraId="7E9E1248" w14:textId="611BC4A6" w:rsidR="007C78DF" w:rsidRPr="003B5B4E" w:rsidRDefault="007C78DF" w:rsidP="00C67914">
      <w:pPr>
        <w:pStyle w:val="SingleTxt"/>
        <w:numPr>
          <w:ilvl w:val="0"/>
          <w:numId w:val="19"/>
        </w:numPr>
        <w:suppressAutoHyphens/>
        <w:rPr>
          <w:color w:val="000000"/>
        </w:rPr>
      </w:pPr>
      <w:r w:rsidRPr="003B5B4E">
        <w:rPr>
          <w:color w:val="000000"/>
        </w:rPr>
        <w:t>Veuillez donner des précisions sur la situation concernant la ratification du Protocole facultatif à la Convention et l</w:t>
      </w:r>
      <w:r w:rsidR="00000F67">
        <w:rPr>
          <w:color w:val="000000"/>
        </w:rPr>
        <w:t>’</w:t>
      </w:r>
      <w:r w:rsidRPr="003B5B4E">
        <w:rPr>
          <w:color w:val="000000"/>
        </w:rPr>
        <w:t>approbation de la modification apportée au paragraphe 1 de l</w:t>
      </w:r>
      <w:r w:rsidR="00000F67">
        <w:rPr>
          <w:color w:val="000000"/>
        </w:rPr>
        <w:t>’</w:t>
      </w:r>
      <w:r w:rsidRPr="003B5B4E">
        <w:rPr>
          <w:color w:val="000000"/>
        </w:rPr>
        <w:t>article 20 de la Convention concernant la durée des réunions du Comité (voir CEDAW/C/BHS/Q/6, par. 23).</w:t>
      </w:r>
    </w:p>
    <w:p w14:paraId="1C5E4238" w14:textId="256490D2" w:rsidR="009363E5" w:rsidRPr="00C67914" w:rsidRDefault="009363E5" w:rsidP="00C67914">
      <w:pPr>
        <w:pStyle w:val="SingleTxt"/>
        <w:suppressAutoHyphens/>
        <w:spacing w:after="0" w:line="120" w:lineRule="exact"/>
        <w:rPr>
          <w:b/>
          <w:color w:val="000000"/>
          <w:sz w:val="10"/>
        </w:rPr>
      </w:pPr>
    </w:p>
    <w:p w14:paraId="11303D5C" w14:textId="6324CF67" w:rsidR="007C78DF" w:rsidRPr="003B5B4E" w:rsidRDefault="00C67914" w:rsidP="00C679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C78DF" w:rsidRPr="003B5B4E">
        <w:t xml:space="preserve">Réponse </w:t>
      </w:r>
    </w:p>
    <w:p w14:paraId="2FC1A287" w14:textId="16359C67" w:rsidR="009363E5" w:rsidRPr="00C67914" w:rsidRDefault="009363E5" w:rsidP="00C67914">
      <w:pPr>
        <w:pStyle w:val="SingleTxt"/>
        <w:suppressAutoHyphens/>
        <w:spacing w:after="0" w:line="120" w:lineRule="exact"/>
        <w:rPr>
          <w:color w:val="000000"/>
          <w:sz w:val="10"/>
        </w:rPr>
      </w:pPr>
    </w:p>
    <w:p w14:paraId="02AEA6CD" w14:textId="1089DD93" w:rsidR="007C78DF" w:rsidRPr="003B5B4E" w:rsidRDefault="007C78DF" w:rsidP="00C67914">
      <w:pPr>
        <w:pStyle w:val="SingleTxt"/>
        <w:numPr>
          <w:ilvl w:val="0"/>
          <w:numId w:val="19"/>
        </w:numPr>
        <w:suppressAutoHyphens/>
        <w:rPr>
          <w:color w:val="000000"/>
        </w:rPr>
      </w:pPr>
      <w:r w:rsidRPr="003B5B4E">
        <w:rPr>
          <w:color w:val="000000"/>
        </w:rPr>
        <w:t>La situation n</w:t>
      </w:r>
      <w:r w:rsidR="00000F67">
        <w:rPr>
          <w:color w:val="000000"/>
        </w:rPr>
        <w:t>’</w:t>
      </w:r>
      <w:r w:rsidRPr="003B5B4E">
        <w:rPr>
          <w:color w:val="000000"/>
        </w:rPr>
        <w:t>a pas évolué.</w:t>
      </w:r>
    </w:p>
    <w:p w14:paraId="031EF145" w14:textId="01524E31" w:rsidR="007C78DF" w:rsidRPr="003B5B4E" w:rsidRDefault="00C67914" w:rsidP="00C67914">
      <w:pPr>
        <w:pStyle w:val="SingleTxt"/>
        <w:suppressAutoHyphens/>
        <w:spacing w:after="0" w:line="240" w:lineRule="auto"/>
      </w:pPr>
      <w:r>
        <w:rPr>
          <w:noProof/>
          <w:w w:val="100"/>
        </w:rPr>
        <mc:AlternateContent>
          <mc:Choice Requires="wps">
            <w:drawing>
              <wp:anchor distT="0" distB="0" distL="114300" distR="114300" simplePos="0" relativeHeight="251660288" behindDoc="0" locked="0" layoutInCell="1" allowOverlap="1" wp14:anchorId="3E5A94F8" wp14:editId="7FB296DB">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4631B"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C78DF" w:rsidRPr="003B5B4E" w:rsidSect="00AF34C2">
      <w:endnotePr>
        <w:numFmt w:val="decimal"/>
      </w:endnotePr>
      <w:type w:val="continuous"/>
      <w:pgSz w:w="12240" w:h="15840" w:code="1"/>
      <w:pgMar w:top="1742" w:right="1195" w:bottom="1757" w:left="1195" w:header="576" w:footer="1030"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7T16:32:00Z" w:initials="Start">
    <w:p w14:paraId="23C1C547" w14:textId="77777777" w:rsidR="00E12BF4" w:rsidRPr="0010308D" w:rsidRDefault="00E12BF4">
      <w:pPr>
        <w:pStyle w:val="CommentText"/>
        <w:rPr>
          <w:lang w:val="en-US"/>
        </w:rPr>
      </w:pPr>
      <w:r>
        <w:fldChar w:fldCharType="begin"/>
      </w:r>
      <w:r w:rsidRPr="0010308D">
        <w:rPr>
          <w:rStyle w:val="CommentReference"/>
          <w:lang w:val="en-US"/>
        </w:rPr>
        <w:instrText xml:space="preserve"> </w:instrText>
      </w:r>
      <w:r w:rsidRPr="0010308D">
        <w:rPr>
          <w:lang w:val="en-US"/>
        </w:rPr>
        <w:instrText>PAGE \# "'Page: '#'</w:instrText>
      </w:r>
      <w:r w:rsidRPr="0010308D">
        <w:rPr>
          <w:lang w:val="en-US"/>
        </w:rPr>
        <w:br/>
        <w:instrText>'"</w:instrText>
      </w:r>
      <w:r w:rsidRPr="0010308D">
        <w:rPr>
          <w:rStyle w:val="CommentReference"/>
          <w:lang w:val="en-US"/>
        </w:rPr>
        <w:instrText xml:space="preserve"> </w:instrText>
      </w:r>
      <w:r>
        <w:fldChar w:fldCharType="end"/>
      </w:r>
      <w:r>
        <w:rPr>
          <w:rStyle w:val="CommentReference"/>
        </w:rPr>
        <w:annotationRef/>
      </w:r>
      <w:r w:rsidRPr="0010308D">
        <w:rPr>
          <w:lang w:val="en-US"/>
        </w:rPr>
        <w:t>&lt;&lt;ODS JOB NO&gt;&gt;N1821630F&lt;&lt;ODS JOB NO&gt;&gt;</w:t>
      </w:r>
    </w:p>
    <w:p w14:paraId="0A8B5D24" w14:textId="77777777" w:rsidR="00E12BF4" w:rsidRDefault="00E12BF4">
      <w:pPr>
        <w:pStyle w:val="CommentText"/>
      </w:pPr>
      <w:r>
        <w:t>&lt;&lt;ODS DOC SYMBOL1&gt;&gt;CEDAW/C/BHS/Q/6/ADD.1&lt;&lt;ODS DOC SYMBOL1&gt;&gt;</w:t>
      </w:r>
    </w:p>
    <w:p w14:paraId="55766E77" w14:textId="1F80E66D" w:rsidR="00E12BF4" w:rsidRDefault="00E12BF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66E7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9452" w14:textId="77777777" w:rsidR="00243DAB" w:rsidRDefault="00243DAB">
      <w:r>
        <w:separator/>
      </w:r>
    </w:p>
  </w:endnote>
  <w:endnote w:type="continuationSeparator" w:id="0">
    <w:p w14:paraId="07159DE2" w14:textId="77777777" w:rsidR="00243DAB" w:rsidRDefault="002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F67" w14:paraId="0052B953" w14:textId="77777777">
      <w:tc>
        <w:tcPr>
          <w:tcW w:w="5033" w:type="dxa"/>
          <w:vAlign w:val="bottom"/>
        </w:tcPr>
        <w:p w14:paraId="1C5A1058" w14:textId="4E4B32CD" w:rsidR="00000F67" w:rsidRDefault="00000F67">
          <w:pPr>
            <w:pStyle w:val="Footer"/>
          </w:pPr>
          <w:r>
            <w:fldChar w:fldCharType="begin"/>
          </w:r>
          <w:r>
            <w:instrText xml:space="preserve"> PAGE  \* MERGEFORMAT </w:instrText>
          </w:r>
          <w:r>
            <w:fldChar w:fldCharType="separate"/>
          </w:r>
          <w:r w:rsidR="00057445">
            <w:t>28</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057445">
            <w:rPr>
              <w:rStyle w:val="PageNumber"/>
              <w:b/>
              <w:sz w:val="17"/>
              <w:szCs w:val="17"/>
            </w:rPr>
            <w:t>30</w:t>
          </w:r>
          <w:r w:rsidRPr="00935060">
            <w:rPr>
              <w:rStyle w:val="PageNumber"/>
              <w:b/>
              <w:sz w:val="17"/>
              <w:szCs w:val="17"/>
            </w:rPr>
            <w:fldChar w:fldCharType="end"/>
          </w:r>
        </w:p>
      </w:tc>
      <w:tc>
        <w:tcPr>
          <w:tcW w:w="5033" w:type="dxa"/>
          <w:vAlign w:val="bottom"/>
        </w:tcPr>
        <w:p w14:paraId="4631D204" w14:textId="77777777" w:rsidR="00000F67" w:rsidRDefault="00000F67" w:rsidP="00AF0DC7">
          <w:pPr>
            <w:pStyle w:val="Footer"/>
            <w:jc w:val="right"/>
            <w:rPr>
              <w:b w:val="0"/>
              <w:sz w:val="14"/>
            </w:rPr>
          </w:pPr>
          <w:r>
            <w:rPr>
              <w:b w:val="0"/>
              <w:sz w:val="14"/>
            </w:rPr>
            <w:t>18-11297</w:t>
          </w:r>
        </w:p>
      </w:tc>
    </w:tr>
  </w:tbl>
  <w:p w14:paraId="009C5EC7" w14:textId="77777777" w:rsidR="00000F67" w:rsidRDefault="0000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F67" w14:paraId="45A1B2B5" w14:textId="77777777">
      <w:tc>
        <w:tcPr>
          <w:tcW w:w="5033" w:type="dxa"/>
          <w:vAlign w:val="bottom"/>
        </w:tcPr>
        <w:p w14:paraId="55B1F9B1" w14:textId="77777777" w:rsidR="00000F67" w:rsidRDefault="00000F67" w:rsidP="00625CD9">
          <w:pPr>
            <w:pStyle w:val="Footer"/>
            <w:rPr>
              <w:b w:val="0"/>
              <w:sz w:val="14"/>
            </w:rPr>
          </w:pPr>
          <w:r>
            <w:rPr>
              <w:b w:val="0"/>
              <w:sz w:val="14"/>
            </w:rPr>
            <w:t>18-11297</w:t>
          </w:r>
        </w:p>
      </w:tc>
      <w:tc>
        <w:tcPr>
          <w:tcW w:w="5033" w:type="dxa"/>
          <w:vAlign w:val="bottom"/>
        </w:tcPr>
        <w:p w14:paraId="27C4D810" w14:textId="536656F1" w:rsidR="00000F67" w:rsidRDefault="00000F67">
          <w:pPr>
            <w:pStyle w:val="Footer"/>
            <w:jc w:val="right"/>
          </w:pPr>
          <w:r>
            <w:fldChar w:fldCharType="begin"/>
          </w:r>
          <w:r>
            <w:instrText xml:space="preserve"> PAGE  \* MERGEFORMAT </w:instrText>
          </w:r>
          <w:r>
            <w:fldChar w:fldCharType="separate"/>
          </w:r>
          <w:r w:rsidR="00057445">
            <w:t>21</w:t>
          </w:r>
          <w:r>
            <w:fldChar w:fldCharType="end"/>
          </w:r>
          <w:r w:rsidRPr="001E61C3">
            <w:rPr>
              <w:b w:val="0"/>
            </w:rPr>
            <w:t>/</w:t>
          </w:r>
          <w:r w:rsidRPr="00935060">
            <w:rPr>
              <w:rStyle w:val="PageNumber"/>
              <w:b/>
              <w:sz w:val="17"/>
              <w:szCs w:val="17"/>
            </w:rPr>
            <w:fldChar w:fldCharType="begin"/>
          </w:r>
          <w:r w:rsidRPr="00935060">
            <w:rPr>
              <w:rStyle w:val="PageNumber"/>
              <w:b/>
              <w:sz w:val="17"/>
              <w:szCs w:val="17"/>
            </w:rPr>
            <w:instrText xml:space="preserve"> NUMPAGES </w:instrText>
          </w:r>
          <w:r w:rsidRPr="00935060">
            <w:rPr>
              <w:rStyle w:val="PageNumber"/>
              <w:b/>
              <w:sz w:val="17"/>
              <w:szCs w:val="17"/>
            </w:rPr>
            <w:fldChar w:fldCharType="separate"/>
          </w:r>
          <w:r w:rsidR="00057445">
            <w:rPr>
              <w:rStyle w:val="PageNumber"/>
              <w:b/>
              <w:sz w:val="17"/>
              <w:szCs w:val="17"/>
            </w:rPr>
            <w:t>30</w:t>
          </w:r>
          <w:r w:rsidRPr="00935060">
            <w:rPr>
              <w:rStyle w:val="PageNumber"/>
              <w:b/>
              <w:sz w:val="17"/>
              <w:szCs w:val="17"/>
            </w:rPr>
            <w:fldChar w:fldCharType="end"/>
          </w:r>
        </w:p>
      </w:tc>
    </w:tr>
  </w:tbl>
  <w:p w14:paraId="67519BE0" w14:textId="77777777" w:rsidR="00000F67" w:rsidRDefault="00000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449D" w14:textId="048D50A1" w:rsidR="00E12BF4" w:rsidRDefault="00E12BF4">
    <w:pPr>
      <w:pStyle w:val="Footer"/>
    </w:pPr>
    <w:r>
      <w:drawing>
        <wp:anchor distT="0" distB="0" distL="114300" distR="114300" simplePos="0" relativeHeight="251659776" behindDoc="0" locked="0" layoutInCell="1" allowOverlap="1" wp14:anchorId="38E77102" wp14:editId="7CE9B01F">
          <wp:simplePos x="0" y="0"/>
          <wp:positionH relativeFrom="column">
            <wp:posOffset>5532120</wp:posOffset>
          </wp:positionH>
          <wp:positionV relativeFrom="paragraph">
            <wp:posOffset>-228600</wp:posOffset>
          </wp:positionV>
          <wp:extent cx="694690" cy="694690"/>
          <wp:effectExtent l="0" t="0" r="0" b="0"/>
          <wp:wrapNone/>
          <wp:docPr id="7" name="Picture 7" descr="https://undocs.org/m2/QRCode2.ashx?DS=CEDAW/C/BHS/Q/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S/Q/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20"/>
    </w:tblGrid>
    <w:tr w:rsidR="00E12BF4" w14:paraId="703CB9E9" w14:textId="77777777" w:rsidTr="00E12BF4">
      <w:tc>
        <w:tcPr>
          <w:tcW w:w="3902" w:type="dxa"/>
          <w:shd w:val="clear" w:color="auto" w:fill="auto"/>
        </w:tcPr>
        <w:p w14:paraId="12900702" w14:textId="1680DA1D" w:rsidR="00E12BF4" w:rsidRDefault="00E12BF4" w:rsidP="00E12BF4">
          <w:pPr>
            <w:pStyle w:val="Footer"/>
            <w:rPr>
              <w:b w:val="0"/>
              <w:sz w:val="20"/>
            </w:rPr>
          </w:pPr>
          <w:r>
            <w:rPr>
              <w:b w:val="0"/>
              <w:sz w:val="20"/>
            </w:rPr>
            <w:t>18-11297</w:t>
          </w:r>
          <w:r w:rsidR="00EF4888">
            <w:rPr>
              <w:b w:val="0"/>
              <w:sz w:val="20"/>
            </w:rPr>
            <w:t>X</w:t>
          </w:r>
          <w:r>
            <w:rPr>
              <w:b w:val="0"/>
              <w:sz w:val="20"/>
            </w:rPr>
            <w:t xml:space="preserve"> (F)</w:t>
          </w:r>
        </w:p>
        <w:p w14:paraId="19FFAB3D" w14:textId="3A699CD0" w:rsidR="00E12BF4" w:rsidRPr="00E12BF4" w:rsidRDefault="00E12BF4" w:rsidP="00E12BF4">
          <w:pPr>
            <w:pStyle w:val="Footer"/>
            <w:spacing w:line="240" w:lineRule="atLeast"/>
            <w:rPr>
              <w:rFonts w:ascii="Barcode 3 of 9 by request" w:hAnsi="Barcode 3 of 9 by request"/>
              <w:b w:val="0"/>
              <w:sz w:val="24"/>
            </w:rPr>
          </w:pPr>
          <w:r>
            <w:rPr>
              <w:rFonts w:ascii="Barcode 3 of 9 by request" w:hAnsi="Barcode 3 of 9 by request"/>
              <w:sz w:val="24"/>
            </w:rPr>
            <w:t>*1811297*</w:t>
          </w:r>
        </w:p>
      </w:tc>
      <w:tc>
        <w:tcPr>
          <w:tcW w:w="4920" w:type="dxa"/>
          <w:shd w:val="clear" w:color="auto" w:fill="auto"/>
        </w:tcPr>
        <w:p w14:paraId="0058F85D" w14:textId="10CDA7D6" w:rsidR="00E12BF4" w:rsidRDefault="00E12BF4" w:rsidP="00E12BF4">
          <w:pPr>
            <w:pStyle w:val="Footer"/>
            <w:spacing w:line="240" w:lineRule="atLeast"/>
            <w:jc w:val="right"/>
            <w:rPr>
              <w:b w:val="0"/>
              <w:sz w:val="20"/>
            </w:rPr>
          </w:pPr>
          <w:r>
            <w:rPr>
              <w:b w:val="0"/>
              <w:sz w:val="20"/>
            </w:rPr>
            <w:drawing>
              <wp:inline distT="0" distB="0" distL="0" distR="0" wp14:anchorId="3CAC7F6E" wp14:editId="0BAFF8A7">
                <wp:extent cx="1109474" cy="23164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8628754" w14:textId="77777777" w:rsidR="00E12BF4" w:rsidRPr="00E12BF4" w:rsidRDefault="00E12BF4" w:rsidP="00E12BF4">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31A7" w14:textId="77777777" w:rsidR="00243DAB" w:rsidRPr="005973D8" w:rsidRDefault="00243DAB" w:rsidP="005973D8">
      <w:pPr>
        <w:pStyle w:val="Footer"/>
        <w:spacing w:after="80"/>
        <w:ind w:left="792"/>
        <w:rPr>
          <w:sz w:val="16"/>
        </w:rPr>
      </w:pPr>
      <w:r w:rsidRPr="005973D8">
        <w:rPr>
          <w:sz w:val="16"/>
        </w:rPr>
        <w:t>__________________</w:t>
      </w:r>
    </w:p>
  </w:footnote>
  <w:footnote w:type="continuationSeparator" w:id="0">
    <w:p w14:paraId="6020759E" w14:textId="77777777" w:rsidR="00243DAB" w:rsidRPr="005973D8" w:rsidRDefault="00243DAB" w:rsidP="005973D8">
      <w:pPr>
        <w:pStyle w:val="Footer"/>
        <w:spacing w:after="80"/>
        <w:ind w:left="792"/>
        <w:rPr>
          <w:sz w:val="16"/>
        </w:rPr>
      </w:pPr>
      <w:r w:rsidRPr="005973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4BED" w14:textId="77777777" w:rsidR="00000F67" w:rsidRDefault="00000F67">
    <w:pPr>
      <w:pStyle w:val="Header"/>
    </w:pPr>
    <w:r>
      <w:rPr>
        <w:w w:val="100"/>
      </w:rPr>
      <mc:AlternateContent>
        <mc:Choice Requires="wps">
          <w:drawing>
            <wp:anchor distT="0" distB="0" distL="114300" distR="114300" simplePos="0" relativeHeight="251664896" behindDoc="0" locked="0" layoutInCell="0" allowOverlap="1" wp14:anchorId="42AC985D" wp14:editId="725E0B70">
              <wp:simplePos x="0" y="0"/>
              <wp:positionH relativeFrom="column">
                <wp:posOffset>-73025</wp:posOffset>
              </wp:positionH>
              <wp:positionV relativeFrom="paragraph">
                <wp:posOffset>0</wp:posOffset>
              </wp:positionV>
              <wp:extent cx="640080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F67" w:rsidRPr="00EF4888" w14:paraId="0FC721B9" w14:textId="77777777">
                            <w:trPr>
                              <w:trHeight w:hRule="exact" w:val="864"/>
                            </w:trPr>
                            <w:tc>
                              <w:tcPr>
                                <w:tcW w:w="4838" w:type="dxa"/>
                                <w:vAlign w:val="bottom"/>
                              </w:tcPr>
                              <w:p w14:paraId="12B25C7A" w14:textId="77777777" w:rsidR="00000F67" w:rsidRDefault="00000F67" w:rsidP="00320CA3">
                                <w:pPr>
                                  <w:pStyle w:val="Header"/>
                                  <w:spacing w:after="80"/>
                                  <w:rPr>
                                    <w:b/>
                                  </w:rPr>
                                </w:pPr>
                                <w:r>
                                  <w:rPr>
                                    <w:b/>
                                  </w:rPr>
                                  <w:t>CEDAW/C/BHS/Q/6/Add.1</w:t>
                                </w:r>
                              </w:p>
                            </w:tc>
                            <w:tc>
                              <w:tcPr>
                                <w:tcW w:w="5047" w:type="dxa"/>
                                <w:vAlign w:val="bottom"/>
                              </w:tcPr>
                              <w:p w14:paraId="5F926F5D" w14:textId="77777777" w:rsidR="00000F67" w:rsidRDefault="00000F67">
                                <w:pPr>
                                  <w:pStyle w:val="Header"/>
                                </w:pPr>
                              </w:p>
                            </w:tc>
                          </w:tr>
                        </w:tbl>
                        <w:p w14:paraId="65656F00" w14:textId="77777777" w:rsidR="00000F67" w:rsidRPr="00320CA3" w:rsidRDefault="00000F67">
                          <w:pP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2AC985D" id="_x0000_t202" coordsize="21600,21600" o:spt="202" path="m,l,21600r21600,l21600,xe">
              <v:stroke joinstyle="miter"/>
              <v:path gradientshapeok="t" o:connecttype="rect"/>
            </v:shapetype>
            <v:shape id="Text Box 2" o:spid="_x0000_s1026" type="#_x0000_t202" style="position:absolute;margin-left:-5.75pt;margin-top:0;width:7in;height:5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F67" w:rsidRPr="00EF4888" w14:paraId="0FC721B9" w14:textId="77777777">
                      <w:trPr>
                        <w:trHeight w:hRule="exact" w:val="864"/>
                      </w:trPr>
                      <w:tc>
                        <w:tcPr>
                          <w:tcW w:w="4838" w:type="dxa"/>
                          <w:vAlign w:val="bottom"/>
                        </w:tcPr>
                        <w:p w14:paraId="12B25C7A" w14:textId="77777777" w:rsidR="00000F67" w:rsidRDefault="00000F67" w:rsidP="00320CA3">
                          <w:pPr>
                            <w:pStyle w:val="Header"/>
                            <w:spacing w:after="80"/>
                            <w:rPr>
                              <w:b/>
                            </w:rPr>
                          </w:pPr>
                          <w:r>
                            <w:rPr>
                              <w:b/>
                            </w:rPr>
                            <w:t>CEDAW/C/BHS/Q/6/Add.1</w:t>
                          </w:r>
                        </w:p>
                      </w:tc>
                      <w:tc>
                        <w:tcPr>
                          <w:tcW w:w="5047" w:type="dxa"/>
                          <w:vAlign w:val="bottom"/>
                        </w:tcPr>
                        <w:p w14:paraId="5F926F5D" w14:textId="77777777" w:rsidR="00000F67" w:rsidRDefault="00000F67">
                          <w:pPr>
                            <w:pStyle w:val="Header"/>
                          </w:pPr>
                        </w:p>
                      </w:tc>
                    </w:tr>
                  </w:tbl>
                  <w:p w14:paraId="65656F00" w14:textId="77777777" w:rsidR="00000F67" w:rsidRPr="00320CA3" w:rsidRDefault="00000F67">
                    <w:pPr>
                      <w:rPr>
                        <w:lang w:val="en-US"/>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F245" w14:textId="77777777" w:rsidR="00000F67" w:rsidRDefault="00000F67">
    <w:pPr>
      <w:pStyle w:val="Header"/>
    </w:pPr>
    <w:r>
      <w:rPr>
        <w:w w:val="100"/>
      </w:rPr>
      <mc:AlternateContent>
        <mc:Choice Requires="wps">
          <w:drawing>
            <wp:anchor distT="0" distB="0" distL="114300" distR="114300" simplePos="0" relativeHeight="251654656" behindDoc="0" locked="0" layoutInCell="0" allowOverlap="1" wp14:anchorId="1CE9B7DC" wp14:editId="4D3F2340">
              <wp:simplePos x="0" y="0"/>
              <wp:positionH relativeFrom="column">
                <wp:posOffset>-73025</wp:posOffset>
              </wp:positionH>
              <wp:positionV relativeFrom="paragraph">
                <wp:posOffset>0</wp:posOffset>
              </wp:positionV>
              <wp:extent cx="640080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F67" w:rsidRPr="00EF4888" w14:paraId="01A0BAC6" w14:textId="77777777">
                            <w:trPr>
                              <w:trHeight w:hRule="exact" w:val="864"/>
                            </w:trPr>
                            <w:tc>
                              <w:tcPr>
                                <w:tcW w:w="4838" w:type="dxa"/>
                                <w:vAlign w:val="bottom"/>
                              </w:tcPr>
                              <w:p w14:paraId="2B931884" w14:textId="77777777" w:rsidR="00000F67" w:rsidRDefault="00000F67">
                                <w:pPr>
                                  <w:pStyle w:val="Header"/>
                                </w:pPr>
                              </w:p>
                            </w:tc>
                            <w:tc>
                              <w:tcPr>
                                <w:tcW w:w="5047" w:type="dxa"/>
                                <w:vAlign w:val="bottom"/>
                              </w:tcPr>
                              <w:p w14:paraId="4520426A" w14:textId="77777777" w:rsidR="00000F67" w:rsidRDefault="00000F67" w:rsidP="00320CA3">
                                <w:pPr>
                                  <w:pStyle w:val="Header"/>
                                  <w:spacing w:after="80"/>
                                  <w:jc w:val="right"/>
                                  <w:rPr>
                                    <w:b/>
                                  </w:rPr>
                                </w:pPr>
                                <w:r>
                                  <w:rPr>
                                    <w:b/>
                                  </w:rPr>
                                  <w:t>CEDAW/C/BHS/Q/6/Add.1</w:t>
                                </w:r>
                              </w:p>
                            </w:tc>
                          </w:tr>
                        </w:tbl>
                        <w:p w14:paraId="0E29DE61" w14:textId="77777777" w:rsidR="00000F67" w:rsidRPr="00320CA3" w:rsidRDefault="00000F67">
                          <w:pPr>
                            <w:rPr>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CE9B7DC" id="_x0000_t202" coordsize="21600,21600" o:spt="202" path="m,l,21600r21600,l21600,xe">
              <v:stroke joinstyle="miter"/>
              <v:path gradientshapeok="t" o:connecttype="rect"/>
            </v:shapetype>
            <v:shape id="Text Box 1" o:spid="_x0000_s1027" type="#_x0000_t202" style="position:absolute;margin-left:-5.75pt;margin-top:0;width:7in;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Br5b2QcQIAAPoEAAAOAAAAAAAAAAAA&#10;AAAAAC4CAABkcnMvZTJvRG9jLnhtbFBLAQItABQABgAIAAAAIQC2JNet3QAAAAgBAAAPAAAAAAAA&#10;AAAAAAAAAMsEAABkcnMvZG93bnJldi54bWxQSwUGAAAAAAQABADzAAAA1QUAAAAA&#10;" o:allowincell="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F67" w:rsidRPr="00EF4888" w14:paraId="01A0BAC6" w14:textId="77777777">
                      <w:trPr>
                        <w:trHeight w:hRule="exact" w:val="864"/>
                      </w:trPr>
                      <w:tc>
                        <w:tcPr>
                          <w:tcW w:w="4838" w:type="dxa"/>
                          <w:vAlign w:val="bottom"/>
                        </w:tcPr>
                        <w:p w14:paraId="2B931884" w14:textId="77777777" w:rsidR="00000F67" w:rsidRDefault="00000F67">
                          <w:pPr>
                            <w:pStyle w:val="Header"/>
                          </w:pPr>
                        </w:p>
                      </w:tc>
                      <w:tc>
                        <w:tcPr>
                          <w:tcW w:w="5047" w:type="dxa"/>
                          <w:vAlign w:val="bottom"/>
                        </w:tcPr>
                        <w:p w14:paraId="4520426A" w14:textId="77777777" w:rsidR="00000F67" w:rsidRDefault="00000F67" w:rsidP="00320CA3">
                          <w:pPr>
                            <w:pStyle w:val="Header"/>
                            <w:spacing w:after="80"/>
                            <w:jc w:val="right"/>
                            <w:rPr>
                              <w:b/>
                            </w:rPr>
                          </w:pPr>
                          <w:r>
                            <w:rPr>
                              <w:b/>
                            </w:rPr>
                            <w:t>CEDAW/C/BHS/Q/6/Add.1</w:t>
                          </w:r>
                        </w:p>
                      </w:tc>
                    </w:tr>
                  </w:tbl>
                  <w:p w14:paraId="0E29DE61" w14:textId="77777777" w:rsidR="00000F67" w:rsidRPr="00320CA3" w:rsidRDefault="00000F67">
                    <w:pPr>
                      <w:rPr>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F67" w:rsidRPr="00EF4888" w14:paraId="3056322E" w14:textId="77777777">
      <w:trPr>
        <w:gridAfter w:val="1"/>
        <w:wAfter w:w="12" w:type="dxa"/>
        <w:trHeight w:hRule="exact" w:val="864"/>
      </w:trPr>
      <w:tc>
        <w:tcPr>
          <w:tcW w:w="1267" w:type="dxa"/>
          <w:tcBorders>
            <w:top w:val="nil"/>
            <w:left w:val="nil"/>
            <w:bottom w:val="nil"/>
            <w:right w:val="nil"/>
          </w:tcBorders>
          <w:vAlign w:val="bottom"/>
        </w:tcPr>
        <w:p w14:paraId="62C89C7A" w14:textId="77777777" w:rsidR="00000F67" w:rsidRDefault="00000F67">
          <w:pPr>
            <w:pStyle w:val="Header"/>
            <w:spacing w:after="120"/>
          </w:pPr>
        </w:p>
      </w:tc>
      <w:tc>
        <w:tcPr>
          <w:tcW w:w="1872" w:type="dxa"/>
          <w:tcBorders>
            <w:top w:val="nil"/>
            <w:left w:val="nil"/>
            <w:bottom w:val="nil"/>
            <w:right w:val="nil"/>
          </w:tcBorders>
          <w:vAlign w:val="bottom"/>
        </w:tcPr>
        <w:p w14:paraId="4527E8AF" w14:textId="77777777" w:rsidR="00000F67" w:rsidRDefault="00000F67">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14:paraId="27165EC9" w14:textId="77777777" w:rsidR="00000F67" w:rsidRDefault="00000F67">
          <w:pPr>
            <w:pStyle w:val="Header"/>
            <w:spacing w:after="120"/>
          </w:pPr>
        </w:p>
      </w:tc>
      <w:tc>
        <w:tcPr>
          <w:tcW w:w="6523" w:type="dxa"/>
          <w:gridSpan w:val="3"/>
          <w:tcBorders>
            <w:top w:val="nil"/>
            <w:left w:val="nil"/>
            <w:bottom w:val="nil"/>
            <w:right w:val="nil"/>
          </w:tcBorders>
          <w:vAlign w:val="bottom"/>
        </w:tcPr>
        <w:p w14:paraId="203F1D5D" w14:textId="77777777" w:rsidR="00000F67" w:rsidRPr="00320CA3" w:rsidRDefault="00000F67" w:rsidP="00AF0DC7">
          <w:pPr>
            <w:spacing w:after="80" w:line="240" w:lineRule="auto"/>
            <w:jc w:val="right"/>
            <w:rPr>
              <w:position w:val="-4"/>
              <w:lang w:val="en-US"/>
            </w:rPr>
          </w:pPr>
          <w:r w:rsidRPr="00320CA3">
            <w:rPr>
              <w:position w:val="-4"/>
              <w:sz w:val="40"/>
              <w:lang w:val="en-US"/>
            </w:rPr>
            <w:t>CEDAW</w:t>
          </w:r>
          <w:r w:rsidRPr="00320CA3">
            <w:rPr>
              <w:position w:val="-4"/>
              <w:lang w:val="en-US"/>
            </w:rPr>
            <w:t>/C/</w:t>
          </w:r>
          <w:r>
            <w:rPr>
              <w:position w:val="-4"/>
              <w:lang w:val="en-US"/>
            </w:rPr>
            <w:t>BHS</w:t>
          </w:r>
          <w:r w:rsidRPr="00320CA3">
            <w:rPr>
              <w:position w:val="-4"/>
              <w:lang w:val="en-US"/>
            </w:rPr>
            <w:t>/Q/</w:t>
          </w:r>
          <w:r>
            <w:rPr>
              <w:position w:val="-4"/>
              <w:lang w:val="en-US"/>
            </w:rPr>
            <w:t>6/Add.1</w:t>
          </w:r>
        </w:p>
      </w:tc>
    </w:tr>
    <w:tr w:rsidR="00000F67" w14:paraId="076ED31A" w14:textId="77777777">
      <w:trPr>
        <w:trHeight w:hRule="exact" w:val="2880"/>
      </w:trPr>
      <w:tc>
        <w:tcPr>
          <w:tcW w:w="1267" w:type="dxa"/>
          <w:tcBorders>
            <w:left w:val="nil"/>
            <w:bottom w:val="single" w:sz="12" w:space="0" w:color="auto"/>
            <w:right w:val="nil"/>
          </w:tcBorders>
        </w:tcPr>
        <w:p w14:paraId="75CFEDCB" w14:textId="77777777" w:rsidR="00000F67" w:rsidRDefault="00000F67">
          <w:pPr>
            <w:pStyle w:val="Header"/>
            <w:spacing w:before="880"/>
            <w:ind w:left="-72"/>
          </w:pPr>
          <w:r>
            <w:t xml:space="preserve"> </w:t>
          </w:r>
          <w:r>
            <w:drawing>
              <wp:inline distT="0" distB="0" distL="0" distR="0" wp14:anchorId="0A382E29" wp14:editId="284FA18E">
                <wp:extent cx="71120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p w14:paraId="44E271D7" w14:textId="77777777" w:rsidR="00000F67" w:rsidRDefault="00000F67">
          <w:pPr>
            <w:pStyle w:val="Header"/>
            <w:spacing w:before="880"/>
            <w:ind w:left="-72"/>
          </w:pPr>
        </w:p>
      </w:tc>
      <w:tc>
        <w:tcPr>
          <w:tcW w:w="5227" w:type="dxa"/>
          <w:gridSpan w:val="3"/>
          <w:tcBorders>
            <w:left w:val="nil"/>
            <w:bottom w:val="single" w:sz="12" w:space="0" w:color="auto"/>
            <w:right w:val="nil"/>
          </w:tcBorders>
        </w:tcPr>
        <w:p w14:paraId="3E3630ED" w14:textId="31B14AC8" w:rsidR="00000F67" w:rsidRDefault="00000F67">
          <w:pPr>
            <w:pStyle w:val="XLarge"/>
            <w:spacing w:before="109" w:line="330" w:lineRule="exact"/>
            <w:rPr>
              <w:sz w:val="34"/>
            </w:rPr>
          </w:pPr>
          <w:r>
            <w:rPr>
              <w:sz w:val="34"/>
            </w:rPr>
            <w:t>Convention sur l’élimination</w:t>
          </w:r>
          <w:r>
            <w:rPr>
              <w:sz w:val="34"/>
            </w:rPr>
            <w:br/>
            <w:t>de toutes les formes</w:t>
          </w:r>
          <w:r>
            <w:rPr>
              <w:sz w:val="34"/>
            </w:rPr>
            <w:br/>
            <w:t xml:space="preserve">de discrimination </w:t>
          </w:r>
          <w:r>
            <w:rPr>
              <w:sz w:val="34"/>
            </w:rPr>
            <w:br/>
            <w:t>à l’égard des femmes</w:t>
          </w:r>
        </w:p>
      </w:tc>
      <w:tc>
        <w:tcPr>
          <w:tcW w:w="245" w:type="dxa"/>
          <w:tcBorders>
            <w:left w:val="nil"/>
            <w:bottom w:val="single" w:sz="12" w:space="0" w:color="auto"/>
            <w:right w:val="nil"/>
          </w:tcBorders>
        </w:tcPr>
        <w:p w14:paraId="3FFFDC8C" w14:textId="77777777" w:rsidR="00000F67" w:rsidRPr="000830E7" w:rsidRDefault="00000F67">
          <w:pPr>
            <w:pStyle w:val="Header"/>
            <w:spacing w:before="109"/>
            <w:rPr>
              <w:lang w:val="fr-CA"/>
            </w:rPr>
          </w:pPr>
        </w:p>
      </w:tc>
      <w:tc>
        <w:tcPr>
          <w:tcW w:w="3180" w:type="dxa"/>
          <w:gridSpan w:val="2"/>
          <w:tcBorders>
            <w:left w:val="nil"/>
            <w:bottom w:val="single" w:sz="12" w:space="0" w:color="auto"/>
            <w:right w:val="nil"/>
          </w:tcBorders>
        </w:tcPr>
        <w:p w14:paraId="55BCC8A4" w14:textId="77777777" w:rsidR="00000F67" w:rsidRDefault="00000F67">
          <w:pPr>
            <w:spacing w:before="240"/>
          </w:pPr>
          <w:r>
            <w:t>Distr. générale</w:t>
          </w:r>
        </w:p>
        <w:p w14:paraId="466A16FE" w14:textId="77777777" w:rsidR="00000F67" w:rsidRDefault="00000F67">
          <w:r>
            <w:t>9 juillet 2018</w:t>
          </w:r>
        </w:p>
        <w:p w14:paraId="6F00D8D3" w14:textId="77777777" w:rsidR="00000F67" w:rsidRDefault="00000F67">
          <w:r>
            <w:t>Français</w:t>
          </w:r>
        </w:p>
        <w:p w14:paraId="0E8B0C98" w14:textId="77777777" w:rsidR="00000F67" w:rsidRDefault="00000F67" w:rsidP="008A3AA8">
          <w:r>
            <w:t>Original : anglais, espagnol</w:t>
          </w:r>
          <w:r>
            <w:br/>
            <w:t>et français seulement</w:t>
          </w:r>
        </w:p>
      </w:tc>
    </w:tr>
  </w:tbl>
  <w:p w14:paraId="41A5428B" w14:textId="77777777" w:rsidR="00000F67" w:rsidRPr="000830E7" w:rsidRDefault="00000F6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E81E1E"/>
    <w:multiLevelType w:val="singleLevel"/>
    <w:tmpl w:val="637ACBA2"/>
    <w:lvl w:ilvl="0">
      <w:start w:val="83"/>
      <w:numFmt w:val="decimal"/>
      <w:lvlRestart w:val="0"/>
      <w:lvlText w:val="%1."/>
      <w:lvlJc w:val="left"/>
      <w:pPr>
        <w:tabs>
          <w:tab w:val="num" w:pos="1742"/>
        </w:tabs>
        <w:ind w:left="1267" w:firstLine="0"/>
      </w:pPr>
      <w:rPr>
        <w:w w:val="10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868183F"/>
    <w:multiLevelType w:val="singleLevel"/>
    <w:tmpl w:val="4CF26ED8"/>
    <w:lvl w:ilvl="0">
      <w:start w:val="1"/>
      <w:numFmt w:val="decimal"/>
      <w:lvlText w:val="%1."/>
      <w:lvlJc w:val="left"/>
      <w:pPr>
        <w:ind w:left="720" w:hanging="360"/>
      </w:pPr>
      <w:rPr>
        <w:b w:val="0"/>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A1788"/>
    <w:multiLevelType w:val="multilevel"/>
    <w:tmpl w:val="975ACA36"/>
    <w:name w:val="TOC"/>
    <w:lvl w:ilvl="0">
      <w:start w:val="1"/>
      <w:numFmt w:val="upperRoman"/>
      <w:lvlText w:val="%1."/>
      <w:lvlJc w:val="righ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lowerLetter"/>
      <w:lvlText w:val="%8."/>
      <w:lvlJc w:val="left"/>
      <w:pPr>
        <w:tabs>
          <w:tab w:val="num" w:pos="5359"/>
        </w:tabs>
        <w:ind w:left="5359" w:hanging="360"/>
      </w:pPr>
      <w:rPr>
        <w:rFonts w:hint="default"/>
      </w:rPr>
    </w:lvl>
    <w:lvl w:ilvl="8">
      <w:start w:val="1"/>
      <w:numFmt w:val="lowerRoman"/>
      <w:lvlText w:val="%9."/>
      <w:lvlJc w:val="right"/>
      <w:pPr>
        <w:tabs>
          <w:tab w:val="num" w:pos="6079"/>
        </w:tabs>
        <w:ind w:left="6079" w:hanging="18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0"/>
  </w:num>
  <w:num w:numId="15">
    <w:abstractNumId w:val="18"/>
  </w:num>
  <w:num w:numId="16">
    <w:abstractNumId w:val="12"/>
  </w:num>
  <w:num w:numId="17">
    <w:abstractNumId w:val="16"/>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ionDt" w:val="22/03/2000 8:34: AM"/>
    <w:docVar w:name="DocCategory" w:val="Doc"/>
    <w:docVar w:name="DocType" w:val="Final"/>
    <w:docVar w:name="JobNo" w:val="0033337F"/>
    <w:docVar w:name="OandT" w:val=" "/>
    <w:docVar w:name="Symbol1" w:val="CEDAW/..."/>
    <w:docVar w:name="Symbol2" w:val="-"/>
  </w:docVars>
  <w:rsids>
    <w:rsidRoot w:val="00682D21"/>
    <w:rsid w:val="00000F67"/>
    <w:rsid w:val="00014D94"/>
    <w:rsid w:val="000156F9"/>
    <w:rsid w:val="000414C0"/>
    <w:rsid w:val="00047446"/>
    <w:rsid w:val="000515C0"/>
    <w:rsid w:val="00057445"/>
    <w:rsid w:val="00063108"/>
    <w:rsid w:val="00067B5C"/>
    <w:rsid w:val="00075BC9"/>
    <w:rsid w:val="00081001"/>
    <w:rsid w:val="00081AA4"/>
    <w:rsid w:val="000830E7"/>
    <w:rsid w:val="000865DE"/>
    <w:rsid w:val="000909BB"/>
    <w:rsid w:val="000B4775"/>
    <w:rsid w:val="000C6844"/>
    <w:rsid w:val="0010308D"/>
    <w:rsid w:val="00105356"/>
    <w:rsid w:val="001147AD"/>
    <w:rsid w:val="00116D47"/>
    <w:rsid w:val="00135038"/>
    <w:rsid w:val="00145566"/>
    <w:rsid w:val="001635BD"/>
    <w:rsid w:val="00175EA8"/>
    <w:rsid w:val="00182737"/>
    <w:rsid w:val="00187ACF"/>
    <w:rsid w:val="001A0F42"/>
    <w:rsid w:val="001A5FD7"/>
    <w:rsid w:val="001B2FBF"/>
    <w:rsid w:val="001C105E"/>
    <w:rsid w:val="001D0D38"/>
    <w:rsid w:val="001E1851"/>
    <w:rsid w:val="001E61C3"/>
    <w:rsid w:val="001E6BAB"/>
    <w:rsid w:val="001F3EA3"/>
    <w:rsid w:val="001F77A2"/>
    <w:rsid w:val="00202E3E"/>
    <w:rsid w:val="00204270"/>
    <w:rsid w:val="00217370"/>
    <w:rsid w:val="00224C33"/>
    <w:rsid w:val="0022546F"/>
    <w:rsid w:val="00243DAB"/>
    <w:rsid w:val="0024492D"/>
    <w:rsid w:val="00256AC6"/>
    <w:rsid w:val="002571F3"/>
    <w:rsid w:val="0026605E"/>
    <w:rsid w:val="00267A00"/>
    <w:rsid w:val="002813CC"/>
    <w:rsid w:val="00296A78"/>
    <w:rsid w:val="002973C0"/>
    <w:rsid w:val="002A53A0"/>
    <w:rsid w:val="002C02A4"/>
    <w:rsid w:val="002C0B1C"/>
    <w:rsid w:val="002C0F7E"/>
    <w:rsid w:val="002D50DA"/>
    <w:rsid w:val="002E28F5"/>
    <w:rsid w:val="002E56D1"/>
    <w:rsid w:val="002F4A90"/>
    <w:rsid w:val="0030557D"/>
    <w:rsid w:val="003072B6"/>
    <w:rsid w:val="00310135"/>
    <w:rsid w:val="003112C5"/>
    <w:rsid w:val="0031794E"/>
    <w:rsid w:val="00320CA3"/>
    <w:rsid w:val="003468A9"/>
    <w:rsid w:val="00357815"/>
    <w:rsid w:val="00366EC3"/>
    <w:rsid w:val="00372177"/>
    <w:rsid w:val="0037404D"/>
    <w:rsid w:val="00374C28"/>
    <w:rsid w:val="00381F69"/>
    <w:rsid w:val="0039316A"/>
    <w:rsid w:val="003A17B9"/>
    <w:rsid w:val="003B0653"/>
    <w:rsid w:val="003B5B4E"/>
    <w:rsid w:val="003C7340"/>
    <w:rsid w:val="003C7DB2"/>
    <w:rsid w:val="003E0285"/>
    <w:rsid w:val="003E3E88"/>
    <w:rsid w:val="003F072C"/>
    <w:rsid w:val="00402015"/>
    <w:rsid w:val="00412813"/>
    <w:rsid w:val="0041781B"/>
    <w:rsid w:val="00432CCF"/>
    <w:rsid w:val="004567DD"/>
    <w:rsid w:val="004A310E"/>
    <w:rsid w:val="004A7C56"/>
    <w:rsid w:val="004E3989"/>
    <w:rsid w:val="004E52BF"/>
    <w:rsid w:val="004E6A46"/>
    <w:rsid w:val="00510D27"/>
    <w:rsid w:val="0051272F"/>
    <w:rsid w:val="0052477B"/>
    <w:rsid w:val="00525A35"/>
    <w:rsid w:val="00527A8A"/>
    <w:rsid w:val="005320F3"/>
    <w:rsid w:val="005338CF"/>
    <w:rsid w:val="005660E5"/>
    <w:rsid w:val="00594F86"/>
    <w:rsid w:val="005973D8"/>
    <w:rsid w:val="005A6577"/>
    <w:rsid w:val="005B2975"/>
    <w:rsid w:val="005B34C2"/>
    <w:rsid w:val="005B7FDD"/>
    <w:rsid w:val="005C1B5B"/>
    <w:rsid w:val="005D51DA"/>
    <w:rsid w:val="005E1801"/>
    <w:rsid w:val="005E200B"/>
    <w:rsid w:val="005F31C2"/>
    <w:rsid w:val="005F6835"/>
    <w:rsid w:val="00603013"/>
    <w:rsid w:val="00610BC0"/>
    <w:rsid w:val="00613F50"/>
    <w:rsid w:val="00622AF2"/>
    <w:rsid w:val="00623834"/>
    <w:rsid w:val="00625CD9"/>
    <w:rsid w:val="00643156"/>
    <w:rsid w:val="00647C54"/>
    <w:rsid w:val="0066099A"/>
    <w:rsid w:val="00662430"/>
    <w:rsid w:val="00675337"/>
    <w:rsid w:val="00676216"/>
    <w:rsid w:val="00682D21"/>
    <w:rsid w:val="00690E0A"/>
    <w:rsid w:val="00695030"/>
    <w:rsid w:val="006952E2"/>
    <w:rsid w:val="00696AF2"/>
    <w:rsid w:val="006A2D2F"/>
    <w:rsid w:val="006C4275"/>
    <w:rsid w:val="006D6120"/>
    <w:rsid w:val="006F09D5"/>
    <w:rsid w:val="006F53A5"/>
    <w:rsid w:val="007044D2"/>
    <w:rsid w:val="00704AC4"/>
    <w:rsid w:val="00705807"/>
    <w:rsid w:val="007314FB"/>
    <w:rsid w:val="00735358"/>
    <w:rsid w:val="00752D34"/>
    <w:rsid w:val="0075716A"/>
    <w:rsid w:val="00762DC6"/>
    <w:rsid w:val="00782DF3"/>
    <w:rsid w:val="007852BF"/>
    <w:rsid w:val="007B34F6"/>
    <w:rsid w:val="007C78DF"/>
    <w:rsid w:val="007F2078"/>
    <w:rsid w:val="007F41AE"/>
    <w:rsid w:val="00810C8A"/>
    <w:rsid w:val="00812B62"/>
    <w:rsid w:val="0081341A"/>
    <w:rsid w:val="00831D00"/>
    <w:rsid w:val="00834AFC"/>
    <w:rsid w:val="00841C2C"/>
    <w:rsid w:val="00855DCA"/>
    <w:rsid w:val="0085765A"/>
    <w:rsid w:val="00873A05"/>
    <w:rsid w:val="008877AA"/>
    <w:rsid w:val="008957AB"/>
    <w:rsid w:val="00895D54"/>
    <w:rsid w:val="008A3AA8"/>
    <w:rsid w:val="008B58E4"/>
    <w:rsid w:val="008D4E9B"/>
    <w:rsid w:val="008D75E1"/>
    <w:rsid w:val="008E42EB"/>
    <w:rsid w:val="008F4B26"/>
    <w:rsid w:val="009034B5"/>
    <w:rsid w:val="00915FA5"/>
    <w:rsid w:val="00922289"/>
    <w:rsid w:val="00922445"/>
    <w:rsid w:val="009224C3"/>
    <w:rsid w:val="00935060"/>
    <w:rsid w:val="009363E5"/>
    <w:rsid w:val="00952448"/>
    <w:rsid w:val="009635E0"/>
    <w:rsid w:val="009774B2"/>
    <w:rsid w:val="00983CA7"/>
    <w:rsid w:val="0099363C"/>
    <w:rsid w:val="009B3E31"/>
    <w:rsid w:val="009B7F6D"/>
    <w:rsid w:val="00A1372E"/>
    <w:rsid w:val="00A172F1"/>
    <w:rsid w:val="00A2165D"/>
    <w:rsid w:val="00A22E5A"/>
    <w:rsid w:val="00A45056"/>
    <w:rsid w:val="00A56218"/>
    <w:rsid w:val="00A5659B"/>
    <w:rsid w:val="00A77D78"/>
    <w:rsid w:val="00AA1C13"/>
    <w:rsid w:val="00AD12A9"/>
    <w:rsid w:val="00AD338F"/>
    <w:rsid w:val="00AE0DA1"/>
    <w:rsid w:val="00AE2B9A"/>
    <w:rsid w:val="00AF0DC7"/>
    <w:rsid w:val="00AF34C2"/>
    <w:rsid w:val="00B0140E"/>
    <w:rsid w:val="00B061DC"/>
    <w:rsid w:val="00B13E6D"/>
    <w:rsid w:val="00B164CE"/>
    <w:rsid w:val="00B4133E"/>
    <w:rsid w:val="00B418E5"/>
    <w:rsid w:val="00B45094"/>
    <w:rsid w:val="00B5692F"/>
    <w:rsid w:val="00B57F6D"/>
    <w:rsid w:val="00B61421"/>
    <w:rsid w:val="00B654A6"/>
    <w:rsid w:val="00B800C4"/>
    <w:rsid w:val="00B87DD6"/>
    <w:rsid w:val="00B91310"/>
    <w:rsid w:val="00B92732"/>
    <w:rsid w:val="00BA1FB3"/>
    <w:rsid w:val="00BA2F6F"/>
    <w:rsid w:val="00BA377A"/>
    <w:rsid w:val="00BC62B0"/>
    <w:rsid w:val="00BC7D16"/>
    <w:rsid w:val="00C02D9C"/>
    <w:rsid w:val="00C1589D"/>
    <w:rsid w:val="00C20BF5"/>
    <w:rsid w:val="00C21A17"/>
    <w:rsid w:val="00C40D04"/>
    <w:rsid w:val="00C427A4"/>
    <w:rsid w:val="00C44A22"/>
    <w:rsid w:val="00C52878"/>
    <w:rsid w:val="00C67914"/>
    <w:rsid w:val="00C81459"/>
    <w:rsid w:val="00CA2DD2"/>
    <w:rsid w:val="00CA2E81"/>
    <w:rsid w:val="00CB3B6C"/>
    <w:rsid w:val="00CB7140"/>
    <w:rsid w:val="00CD6A76"/>
    <w:rsid w:val="00CF2942"/>
    <w:rsid w:val="00CF2F5C"/>
    <w:rsid w:val="00CF6B8C"/>
    <w:rsid w:val="00D01205"/>
    <w:rsid w:val="00D249F9"/>
    <w:rsid w:val="00D26B0D"/>
    <w:rsid w:val="00D30207"/>
    <w:rsid w:val="00D50309"/>
    <w:rsid w:val="00D620CB"/>
    <w:rsid w:val="00D6270A"/>
    <w:rsid w:val="00D66FD0"/>
    <w:rsid w:val="00D70FD4"/>
    <w:rsid w:val="00D74A85"/>
    <w:rsid w:val="00D824A4"/>
    <w:rsid w:val="00D835F2"/>
    <w:rsid w:val="00D84AE2"/>
    <w:rsid w:val="00D860E3"/>
    <w:rsid w:val="00DA1C26"/>
    <w:rsid w:val="00DA5529"/>
    <w:rsid w:val="00DE6AE3"/>
    <w:rsid w:val="00DF0CAA"/>
    <w:rsid w:val="00DF571D"/>
    <w:rsid w:val="00E03921"/>
    <w:rsid w:val="00E052F8"/>
    <w:rsid w:val="00E0641B"/>
    <w:rsid w:val="00E12B00"/>
    <w:rsid w:val="00E12BF4"/>
    <w:rsid w:val="00E13E5C"/>
    <w:rsid w:val="00E236D9"/>
    <w:rsid w:val="00E2795F"/>
    <w:rsid w:val="00E55624"/>
    <w:rsid w:val="00E66561"/>
    <w:rsid w:val="00E80CCA"/>
    <w:rsid w:val="00E91104"/>
    <w:rsid w:val="00E969B5"/>
    <w:rsid w:val="00EB072E"/>
    <w:rsid w:val="00ED3730"/>
    <w:rsid w:val="00EE1164"/>
    <w:rsid w:val="00EE79B8"/>
    <w:rsid w:val="00EF4888"/>
    <w:rsid w:val="00EF4A69"/>
    <w:rsid w:val="00F06440"/>
    <w:rsid w:val="00F26CEE"/>
    <w:rsid w:val="00F3013E"/>
    <w:rsid w:val="00F46F39"/>
    <w:rsid w:val="00F55005"/>
    <w:rsid w:val="00F60BE3"/>
    <w:rsid w:val="00F679E8"/>
    <w:rsid w:val="00F71E04"/>
    <w:rsid w:val="00F728A7"/>
    <w:rsid w:val="00FC6708"/>
    <w:rsid w:val="00FE64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4E11E"/>
  <w15:docId w15:val="{D6F17686-4AD8-43D2-AEA4-3FB290C8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exact"/>
    </w:pPr>
    <w:rPr>
      <w:spacing w:val="4"/>
      <w:w w:val="103"/>
      <w:kern w:val="14"/>
      <w:lang w:val="fr-CA"/>
    </w:rPr>
  </w:style>
  <w:style w:type="paragraph" w:styleId="Heading1">
    <w:name w:val="heading 1"/>
    <w:aliases w:val="Table_G"/>
    <w:basedOn w:val="SingleTxtG"/>
    <w:next w:val="SingleTxtG"/>
    <w:link w:val="Heading1Char"/>
    <w:qFormat/>
    <w:rsid w:val="005B7FDD"/>
    <w:pPr>
      <w:spacing w:after="0" w:line="240" w:lineRule="auto"/>
      <w:ind w:right="0"/>
      <w:jc w:val="left"/>
      <w:outlineLvl w:val="0"/>
    </w:pPr>
  </w:style>
  <w:style w:type="paragraph" w:styleId="Heading2">
    <w:name w:val="heading 2"/>
    <w:basedOn w:val="Normal"/>
    <w:next w:val="Normal"/>
    <w:link w:val="Heading2Char"/>
    <w:qFormat/>
    <w:rsid w:val="005B7FDD"/>
    <w:pPr>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5B7FDD"/>
    <w:pPr>
      <w:suppressAutoHyphens/>
      <w:spacing w:line="240" w:lineRule="auto"/>
      <w:outlineLvl w:val="2"/>
    </w:pPr>
    <w:rPr>
      <w:spacing w:val="0"/>
      <w:w w:val="100"/>
      <w:kern w:val="0"/>
      <w:lang w:val="en-GB"/>
    </w:rPr>
  </w:style>
  <w:style w:type="paragraph" w:styleId="Heading4">
    <w:name w:val="heading 4"/>
    <w:basedOn w:val="Normal"/>
    <w:next w:val="Normal"/>
    <w:qFormat/>
    <w:rsid w:val="005B7FDD"/>
    <w:pPr>
      <w:suppressAutoHyphens/>
      <w:spacing w:line="240" w:lineRule="auto"/>
      <w:outlineLvl w:val="3"/>
    </w:pPr>
    <w:rPr>
      <w:spacing w:val="0"/>
      <w:w w:val="100"/>
      <w:kern w:val="0"/>
      <w:lang w:val="en-GB"/>
    </w:rPr>
  </w:style>
  <w:style w:type="paragraph" w:styleId="Heading5">
    <w:name w:val="heading 5"/>
    <w:basedOn w:val="Normal"/>
    <w:next w:val="Normal"/>
    <w:qFormat/>
    <w:rsid w:val="005B7FDD"/>
    <w:pPr>
      <w:suppressAutoHyphens/>
      <w:spacing w:line="240" w:lineRule="auto"/>
      <w:outlineLvl w:val="4"/>
    </w:pPr>
    <w:rPr>
      <w:spacing w:val="0"/>
      <w:w w:val="100"/>
      <w:kern w:val="0"/>
      <w:lang w:val="en-GB"/>
    </w:rPr>
  </w:style>
  <w:style w:type="paragraph" w:styleId="Heading6">
    <w:name w:val="heading 6"/>
    <w:basedOn w:val="Normal"/>
    <w:next w:val="Normal"/>
    <w:link w:val="Heading6Char"/>
    <w:qFormat/>
    <w:rsid w:val="005B7FDD"/>
    <w:pPr>
      <w:suppressAutoHyphens/>
      <w:spacing w:line="240" w:lineRule="auto"/>
      <w:outlineLvl w:val="5"/>
    </w:pPr>
    <w:rPr>
      <w:spacing w:val="0"/>
      <w:w w:val="100"/>
      <w:kern w:val="0"/>
      <w:lang w:val="en-GB"/>
    </w:rPr>
  </w:style>
  <w:style w:type="paragraph" w:styleId="Heading7">
    <w:name w:val="heading 7"/>
    <w:basedOn w:val="Normal"/>
    <w:next w:val="Normal"/>
    <w:qFormat/>
    <w:rsid w:val="005B7FDD"/>
    <w:pPr>
      <w:suppressAutoHyphens/>
      <w:spacing w:line="240" w:lineRule="auto"/>
      <w:outlineLvl w:val="6"/>
    </w:pPr>
    <w:rPr>
      <w:spacing w:val="0"/>
      <w:w w:val="100"/>
      <w:kern w:val="0"/>
      <w:lang w:val="en-GB"/>
    </w:rPr>
  </w:style>
  <w:style w:type="paragraph" w:styleId="Heading8">
    <w:name w:val="heading 8"/>
    <w:basedOn w:val="Normal"/>
    <w:next w:val="Normal"/>
    <w:qFormat/>
    <w:rsid w:val="005B7FDD"/>
    <w:pPr>
      <w:suppressAutoHyphens/>
      <w:spacing w:line="240" w:lineRule="auto"/>
      <w:outlineLvl w:val="7"/>
    </w:pPr>
    <w:rPr>
      <w:spacing w:val="0"/>
      <w:w w:val="100"/>
      <w:kern w:val="0"/>
      <w:lang w:val="en-GB"/>
    </w:rPr>
  </w:style>
  <w:style w:type="paragraph" w:styleId="Heading9">
    <w:name w:val="heading 9"/>
    <w:basedOn w:val="Normal"/>
    <w:next w:val="Normal"/>
    <w:qFormat/>
    <w:rsid w:val="005B7FDD"/>
    <w:pPr>
      <w:suppressAutoHyphens/>
      <w:spacing w:line="240" w:lineRule="auto"/>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0"/>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uiPriority w:val="99"/>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uiPriority w:val="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uiPriority w:val="99"/>
    <w:semiHidden/>
    <w:rPr>
      <w:sz w:val="6"/>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basedOn w:val="DefaultParagraphFont"/>
    <w:link w:val="Refdenotaalpie"/>
    <w:uiPriority w:val="99"/>
    <w:qFormat/>
    <w:rPr>
      <w:rFonts w:ascii="Times New Roman" w:hAnsi="Times New Roman"/>
      <w:dstrike w:val="0"/>
      <w:color w:val="FF0000"/>
      <w:spacing w:val="-5"/>
      <w:w w:val="130"/>
      <w:position w:val="-4"/>
      <w:sz w:val="20"/>
      <w:vertAlign w:val="superscript"/>
    </w:rPr>
  </w:style>
  <w:style w:type="character" w:styleId="EndnoteReference">
    <w:name w:val="endnote reference"/>
    <w:aliases w:val="1_G"/>
    <w:basedOn w:val="FootnoteReference"/>
    <w:qFormat/>
    <w:rPr>
      <w:rFonts w:ascii="Times New Roman" w:hAnsi="Times New Roman"/>
      <w:dstrike w:val="0"/>
      <w:color w:val="FF00FF"/>
      <w:spacing w:val="-5"/>
      <w:w w:val="130"/>
      <w:position w:val="-4"/>
      <w:sz w:val="20"/>
      <w:vertAlign w:val="superscript"/>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uiPriority w:val="99"/>
    <w:qFormat/>
    <w:pPr>
      <w:widowControl w:val="0"/>
      <w:tabs>
        <w:tab w:val="right" w:pos="418"/>
      </w:tabs>
      <w:suppressAutoHyphens/>
      <w:spacing w:line="210" w:lineRule="exact"/>
      <w:ind w:left="475" w:hanging="475"/>
    </w:pPr>
    <w:rPr>
      <w:spacing w:val="5"/>
      <w:w w:val="104"/>
      <w:sz w:val="17"/>
    </w:rPr>
  </w:style>
  <w:style w:type="paragraph" w:styleId="EndnoteText">
    <w:name w:val="endnote text"/>
    <w:aliases w:val="2_G"/>
    <w:basedOn w:val="FootnoteText"/>
    <w:link w:val="EndnoteTextChar"/>
    <w:qFormat/>
    <w:pPr>
      <w:widowControl/>
      <w:spacing w:after="80"/>
    </w:pPr>
  </w:style>
  <w:style w:type="paragraph" w:styleId="Footer">
    <w:name w:val="footer"/>
    <w:aliases w:val="3_G"/>
    <w:link w:val="FooterChar1"/>
    <w:uiPriority w:val="99"/>
    <w:qFormat/>
    <w:pPr>
      <w:tabs>
        <w:tab w:val="center" w:pos="4320"/>
        <w:tab w:val="right" w:pos="8640"/>
      </w:tabs>
      <w:spacing w:line="210" w:lineRule="exact"/>
    </w:pPr>
    <w:rPr>
      <w:b/>
      <w:noProof/>
      <w:spacing w:val="3"/>
      <w:w w:val="105"/>
      <w:sz w:val="17"/>
    </w:rPr>
  </w:style>
  <w:style w:type="paragraph" w:styleId="Header">
    <w:name w:val="header"/>
    <w:aliases w:val="6_G"/>
    <w:link w:val="HeaderChar1"/>
    <w:uiPriority w:val="99"/>
    <w:qFormat/>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link w:val="CommentTextChar1"/>
    <w:uiPriority w:val="99"/>
  </w:style>
  <w:style w:type="paragraph" w:styleId="BalloonText">
    <w:name w:val="Balloon Text"/>
    <w:basedOn w:val="Normal"/>
    <w:link w:val="BalloonTextChar"/>
    <w:uiPriority w:val="99"/>
    <w:semiHidden/>
    <w:rsid w:val="00682D21"/>
    <w:rPr>
      <w:rFonts w:ascii="Tahoma" w:hAnsi="Tahoma" w:cs="Tahoma"/>
      <w:sz w:val="16"/>
      <w:szCs w:val="16"/>
    </w:rPr>
  </w:style>
  <w:style w:type="paragraph" w:customStyle="1" w:styleId="HMG">
    <w:name w:val="_ H __M_G"/>
    <w:basedOn w:val="Normal"/>
    <w:next w:val="Normal"/>
    <w:qFormat/>
    <w:rsid w:val="005B7FDD"/>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uiPriority w:val="99"/>
    <w:qFormat/>
    <w:rsid w:val="005B7FDD"/>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link w:val="SingleTxtGChar"/>
    <w:qFormat/>
    <w:rsid w:val="005B7FDD"/>
    <w:pPr>
      <w:suppressAutoHyphens/>
      <w:spacing w:after="120" w:line="240" w:lineRule="atLeast"/>
      <w:ind w:left="1134" w:right="1134"/>
      <w:jc w:val="both"/>
    </w:pPr>
    <w:rPr>
      <w:spacing w:val="0"/>
      <w:w w:val="100"/>
      <w:kern w:val="0"/>
      <w:lang w:val="en-GB"/>
    </w:rPr>
  </w:style>
  <w:style w:type="character" w:styleId="PageNumber">
    <w:name w:val="page number"/>
    <w:aliases w:val="7_G"/>
    <w:qFormat/>
    <w:rsid w:val="005B7FDD"/>
    <w:rPr>
      <w:rFonts w:ascii="Times New Roman" w:hAnsi="Times New Roman"/>
      <w:b/>
      <w:sz w:val="18"/>
    </w:rPr>
  </w:style>
  <w:style w:type="paragraph" w:styleId="PlainText">
    <w:name w:val="Plain Text"/>
    <w:basedOn w:val="Normal"/>
    <w:link w:val="PlainTextChar"/>
    <w:semiHidden/>
    <w:rsid w:val="005B7FDD"/>
    <w:pPr>
      <w:suppressAutoHyphens/>
      <w:spacing w:line="240" w:lineRule="atLeast"/>
    </w:pPr>
    <w:rPr>
      <w:rFonts w:cs="Courier New"/>
      <w:spacing w:val="0"/>
      <w:w w:val="100"/>
      <w:kern w:val="0"/>
      <w:lang w:val="en-GB"/>
    </w:rPr>
  </w:style>
  <w:style w:type="paragraph" w:styleId="BodyText">
    <w:name w:val="Body Text"/>
    <w:basedOn w:val="Normal"/>
    <w:next w:val="Normal"/>
    <w:link w:val="BodyTextChar"/>
    <w:rsid w:val="005B7FDD"/>
    <w:pPr>
      <w:suppressAutoHyphens/>
      <w:spacing w:line="240" w:lineRule="atLeast"/>
    </w:pPr>
    <w:rPr>
      <w:spacing w:val="0"/>
      <w:w w:val="100"/>
      <w:kern w:val="0"/>
      <w:lang w:val="en-GB"/>
    </w:rPr>
  </w:style>
  <w:style w:type="paragraph" w:styleId="BodyTextIndent">
    <w:name w:val="Body Text Indent"/>
    <w:basedOn w:val="Normal"/>
    <w:semiHidden/>
    <w:rsid w:val="005B7FDD"/>
    <w:pPr>
      <w:suppressAutoHyphens/>
      <w:spacing w:after="120" w:line="240" w:lineRule="atLeast"/>
      <w:ind w:left="283"/>
    </w:pPr>
    <w:rPr>
      <w:spacing w:val="0"/>
      <w:w w:val="100"/>
      <w:kern w:val="0"/>
      <w:lang w:val="en-GB"/>
    </w:rPr>
  </w:style>
  <w:style w:type="paragraph" w:styleId="BlockText">
    <w:name w:val="Block Text"/>
    <w:basedOn w:val="Normal"/>
    <w:semiHidden/>
    <w:rsid w:val="005B7FDD"/>
    <w:pPr>
      <w:suppressAutoHyphens/>
      <w:spacing w:line="240" w:lineRule="atLeast"/>
      <w:ind w:left="1440" w:right="1440"/>
    </w:pPr>
    <w:rPr>
      <w:spacing w:val="0"/>
      <w:w w:val="100"/>
      <w:kern w:val="0"/>
      <w:lang w:val="en-GB"/>
    </w:rPr>
  </w:style>
  <w:style w:type="paragraph" w:customStyle="1" w:styleId="SMG">
    <w:name w:val="__S_M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5B7FDD"/>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5B7FDD"/>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5B7FDD"/>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uiPriority w:val="99"/>
    <w:qFormat/>
    <w:rsid w:val="005B7FDD"/>
    <w:pPr>
      <w:numPr>
        <w:numId w:val="14"/>
      </w:numPr>
      <w:suppressAutoHyphens/>
      <w:spacing w:after="120" w:line="240" w:lineRule="atLeast"/>
      <w:ind w:right="1134"/>
      <w:jc w:val="both"/>
    </w:pPr>
    <w:rPr>
      <w:spacing w:val="0"/>
      <w:w w:val="100"/>
      <w:kern w:val="0"/>
      <w:lang w:val="en-GB"/>
    </w:rPr>
  </w:style>
  <w:style w:type="paragraph" w:customStyle="1" w:styleId="Bullet2G">
    <w:name w:val="_Bullet 2_G"/>
    <w:basedOn w:val="Normal"/>
    <w:qFormat/>
    <w:rsid w:val="005B7FDD"/>
    <w:pPr>
      <w:numPr>
        <w:numId w:val="15"/>
      </w:numPr>
      <w:suppressAutoHyphens/>
      <w:spacing w:after="120" w:line="240" w:lineRule="atLeast"/>
      <w:ind w:right="1134"/>
      <w:jc w:val="both"/>
    </w:pPr>
    <w:rPr>
      <w:spacing w:val="0"/>
      <w:w w:val="100"/>
      <w:kern w:val="0"/>
      <w:lang w:val="en-GB"/>
    </w:rPr>
  </w:style>
  <w:style w:type="paragraph" w:customStyle="1" w:styleId="H1G">
    <w:name w:val="_ H_1_G"/>
    <w:basedOn w:val="Normal"/>
    <w:next w:val="Normal"/>
    <w:qFormat/>
    <w:rsid w:val="005B7FDD"/>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qFormat/>
    <w:rsid w:val="005B7FDD"/>
    <w:pPr>
      <w:keepNext/>
      <w:keepLines/>
      <w:tabs>
        <w:tab w:val="right" w:pos="851"/>
      </w:tabs>
      <w:suppressAutoHyphens/>
      <w:spacing w:before="240" w:after="120"/>
      <w:ind w:left="1134" w:right="1134" w:hanging="1134"/>
    </w:pPr>
    <w:rPr>
      <w:b/>
      <w:spacing w:val="0"/>
      <w:w w:val="100"/>
      <w:kern w:val="0"/>
      <w:lang w:val="en-GB"/>
    </w:rPr>
  </w:style>
  <w:style w:type="paragraph" w:customStyle="1" w:styleId="H4G">
    <w:name w:val="_ H_4_G"/>
    <w:basedOn w:val="Normal"/>
    <w:next w:val="Normal"/>
    <w:uiPriority w:val="99"/>
    <w:qFormat/>
    <w:rsid w:val="005B7FDD"/>
    <w:pPr>
      <w:keepNext/>
      <w:keepLines/>
      <w:tabs>
        <w:tab w:val="right" w:pos="851"/>
      </w:tabs>
      <w:suppressAutoHyphens/>
      <w:spacing w:before="240" w:after="120"/>
      <w:ind w:left="1134" w:right="1134" w:hanging="1134"/>
    </w:pPr>
    <w:rPr>
      <w:i/>
      <w:spacing w:val="0"/>
      <w:w w:val="100"/>
      <w:kern w:val="0"/>
      <w:lang w:val="en-GB"/>
    </w:rPr>
  </w:style>
  <w:style w:type="paragraph" w:customStyle="1" w:styleId="H56G">
    <w:name w:val="_ H_5/6_G"/>
    <w:basedOn w:val="Normal"/>
    <w:next w:val="Normal"/>
    <w:qFormat/>
    <w:rsid w:val="005B7FDD"/>
    <w:pPr>
      <w:keepNext/>
      <w:keepLines/>
      <w:tabs>
        <w:tab w:val="right" w:pos="851"/>
      </w:tabs>
      <w:suppressAutoHyphens/>
      <w:spacing w:before="240" w:after="120"/>
      <w:ind w:left="1134" w:right="1134" w:hanging="1134"/>
    </w:pPr>
    <w:rPr>
      <w:spacing w:val="0"/>
      <w:w w:val="100"/>
      <w:kern w:val="0"/>
      <w:lang w:val="en-GB"/>
    </w:rPr>
  </w:style>
  <w:style w:type="numbering" w:styleId="111111">
    <w:name w:val="Outline List 2"/>
    <w:basedOn w:val="NoList"/>
    <w:semiHidden/>
    <w:rsid w:val="005B7FDD"/>
    <w:pPr>
      <w:numPr>
        <w:numId w:val="11"/>
      </w:numPr>
    </w:pPr>
  </w:style>
  <w:style w:type="numbering" w:styleId="1ai">
    <w:name w:val="Outline List 1"/>
    <w:basedOn w:val="NoList"/>
    <w:semiHidden/>
    <w:rsid w:val="005B7FDD"/>
    <w:pPr>
      <w:numPr>
        <w:numId w:val="12"/>
      </w:numPr>
    </w:pPr>
  </w:style>
  <w:style w:type="numbering" w:styleId="ArticleSection">
    <w:name w:val="Outline List 3"/>
    <w:basedOn w:val="NoList"/>
    <w:semiHidden/>
    <w:rsid w:val="005B7FDD"/>
    <w:pPr>
      <w:numPr>
        <w:numId w:val="13"/>
      </w:numPr>
    </w:pPr>
  </w:style>
  <w:style w:type="paragraph" w:styleId="BodyText2">
    <w:name w:val="Body Text 2"/>
    <w:basedOn w:val="Normal"/>
    <w:link w:val="BodyText2Char"/>
    <w:rsid w:val="005B7FDD"/>
    <w:pPr>
      <w:suppressAutoHyphens/>
      <w:spacing w:after="120" w:line="480" w:lineRule="auto"/>
    </w:pPr>
    <w:rPr>
      <w:spacing w:val="0"/>
      <w:w w:val="100"/>
      <w:kern w:val="0"/>
      <w:lang w:val="en-GB"/>
    </w:rPr>
  </w:style>
  <w:style w:type="paragraph" w:styleId="BodyText3">
    <w:name w:val="Body Text 3"/>
    <w:basedOn w:val="Normal"/>
    <w:semiHidden/>
    <w:rsid w:val="005B7FDD"/>
    <w:pPr>
      <w:suppressAutoHyphens/>
      <w:spacing w:after="120" w:line="240" w:lineRule="atLeast"/>
    </w:pPr>
    <w:rPr>
      <w:spacing w:val="0"/>
      <w:w w:val="100"/>
      <w:kern w:val="0"/>
      <w:sz w:val="16"/>
      <w:szCs w:val="16"/>
      <w:lang w:val="en-GB"/>
    </w:rPr>
  </w:style>
  <w:style w:type="paragraph" w:styleId="BodyTextFirstIndent">
    <w:name w:val="Body Text First Indent"/>
    <w:basedOn w:val="BodyText"/>
    <w:semiHidden/>
    <w:rsid w:val="005B7FDD"/>
    <w:pPr>
      <w:spacing w:after="120"/>
      <w:ind w:firstLine="210"/>
    </w:pPr>
  </w:style>
  <w:style w:type="paragraph" w:styleId="BodyTextFirstIndent2">
    <w:name w:val="Body Text First Indent 2"/>
    <w:basedOn w:val="BodyTextIndent"/>
    <w:semiHidden/>
    <w:rsid w:val="005B7FDD"/>
    <w:pPr>
      <w:ind w:firstLine="210"/>
    </w:pPr>
  </w:style>
  <w:style w:type="paragraph" w:styleId="BodyTextIndent2">
    <w:name w:val="Body Text Indent 2"/>
    <w:basedOn w:val="Normal"/>
    <w:semiHidden/>
    <w:rsid w:val="005B7FDD"/>
    <w:pPr>
      <w:suppressAutoHyphens/>
      <w:spacing w:after="120" w:line="480" w:lineRule="auto"/>
      <w:ind w:left="283"/>
    </w:pPr>
    <w:rPr>
      <w:spacing w:val="0"/>
      <w:w w:val="100"/>
      <w:kern w:val="0"/>
      <w:lang w:val="en-GB"/>
    </w:rPr>
  </w:style>
  <w:style w:type="paragraph" w:styleId="BodyTextIndent3">
    <w:name w:val="Body Text Indent 3"/>
    <w:basedOn w:val="Normal"/>
    <w:semiHidden/>
    <w:rsid w:val="005B7FDD"/>
    <w:pPr>
      <w:suppressAutoHyphens/>
      <w:spacing w:after="120" w:line="240" w:lineRule="atLeast"/>
      <w:ind w:left="283"/>
    </w:pPr>
    <w:rPr>
      <w:spacing w:val="0"/>
      <w:w w:val="100"/>
      <w:kern w:val="0"/>
      <w:sz w:val="16"/>
      <w:szCs w:val="16"/>
      <w:lang w:val="en-GB"/>
    </w:rPr>
  </w:style>
  <w:style w:type="paragraph" w:styleId="Closing">
    <w:name w:val="Closing"/>
    <w:basedOn w:val="Normal"/>
    <w:semiHidden/>
    <w:rsid w:val="005B7FDD"/>
    <w:pPr>
      <w:suppressAutoHyphens/>
      <w:spacing w:line="240" w:lineRule="atLeast"/>
      <w:ind w:left="4252"/>
    </w:pPr>
    <w:rPr>
      <w:spacing w:val="0"/>
      <w:w w:val="100"/>
      <w:kern w:val="0"/>
      <w:lang w:val="en-GB"/>
    </w:rPr>
  </w:style>
  <w:style w:type="paragraph" w:styleId="Date">
    <w:name w:val="Date"/>
    <w:basedOn w:val="Normal"/>
    <w:next w:val="Normal"/>
    <w:semiHidden/>
    <w:rsid w:val="005B7FDD"/>
    <w:pPr>
      <w:suppressAutoHyphens/>
      <w:spacing w:line="240" w:lineRule="atLeast"/>
    </w:pPr>
    <w:rPr>
      <w:spacing w:val="0"/>
      <w:w w:val="100"/>
      <w:kern w:val="0"/>
      <w:lang w:val="en-GB"/>
    </w:rPr>
  </w:style>
  <w:style w:type="paragraph" w:styleId="E-mailSignature">
    <w:name w:val="E-mail Signature"/>
    <w:basedOn w:val="Normal"/>
    <w:semiHidden/>
    <w:rsid w:val="005B7FDD"/>
    <w:pPr>
      <w:suppressAutoHyphens/>
      <w:spacing w:line="240" w:lineRule="atLeast"/>
    </w:pPr>
    <w:rPr>
      <w:spacing w:val="0"/>
      <w:w w:val="100"/>
      <w:kern w:val="0"/>
      <w:lang w:val="en-GB"/>
    </w:rPr>
  </w:style>
  <w:style w:type="character" w:styleId="Emphasis">
    <w:name w:val="Emphasis"/>
    <w:uiPriority w:val="20"/>
    <w:qFormat/>
    <w:rsid w:val="005B7FDD"/>
    <w:rPr>
      <w:i/>
      <w:iCs/>
    </w:rPr>
  </w:style>
  <w:style w:type="paragraph" w:styleId="EnvelopeReturn">
    <w:name w:val="envelope return"/>
    <w:basedOn w:val="Normal"/>
    <w:semiHidden/>
    <w:rsid w:val="005B7FDD"/>
    <w:pPr>
      <w:suppressAutoHyphens/>
      <w:spacing w:line="240" w:lineRule="atLeast"/>
    </w:pPr>
    <w:rPr>
      <w:rFonts w:ascii="Arial" w:hAnsi="Arial" w:cs="Arial"/>
      <w:spacing w:val="0"/>
      <w:w w:val="100"/>
      <w:kern w:val="0"/>
      <w:lang w:val="en-GB"/>
    </w:rPr>
  </w:style>
  <w:style w:type="character" w:styleId="FollowedHyperlink">
    <w:name w:val="FollowedHyperlink"/>
    <w:semiHidden/>
    <w:rsid w:val="005B7FDD"/>
    <w:rPr>
      <w:color w:val="0000FF"/>
      <w:u w:val="single"/>
    </w:rPr>
  </w:style>
  <w:style w:type="character" w:styleId="HTMLAcronym">
    <w:name w:val="HTML Acronym"/>
    <w:basedOn w:val="DefaultParagraphFont"/>
    <w:semiHidden/>
    <w:rsid w:val="005B7FDD"/>
  </w:style>
  <w:style w:type="paragraph" w:styleId="HTMLAddress">
    <w:name w:val="HTML Address"/>
    <w:basedOn w:val="Normal"/>
    <w:semiHidden/>
    <w:rsid w:val="005B7FDD"/>
    <w:pPr>
      <w:suppressAutoHyphens/>
      <w:spacing w:line="240" w:lineRule="atLeast"/>
    </w:pPr>
    <w:rPr>
      <w:i/>
      <w:iCs/>
      <w:spacing w:val="0"/>
      <w:w w:val="100"/>
      <w:kern w:val="0"/>
      <w:lang w:val="en-GB"/>
    </w:rPr>
  </w:style>
  <w:style w:type="character" w:styleId="HTMLCite">
    <w:name w:val="HTML Cite"/>
    <w:semiHidden/>
    <w:rsid w:val="005B7FDD"/>
    <w:rPr>
      <w:i/>
      <w:iCs/>
    </w:rPr>
  </w:style>
  <w:style w:type="character" w:styleId="HTMLCode">
    <w:name w:val="HTML Code"/>
    <w:semiHidden/>
    <w:rsid w:val="005B7FDD"/>
    <w:rPr>
      <w:rFonts w:ascii="Courier New" w:hAnsi="Courier New" w:cs="Courier New"/>
      <w:sz w:val="20"/>
      <w:szCs w:val="20"/>
    </w:rPr>
  </w:style>
  <w:style w:type="character" w:styleId="HTMLDefinition">
    <w:name w:val="HTML Definition"/>
    <w:semiHidden/>
    <w:rsid w:val="005B7FDD"/>
    <w:rPr>
      <w:i/>
      <w:iCs/>
    </w:rPr>
  </w:style>
  <w:style w:type="character" w:styleId="HTMLKeyboard">
    <w:name w:val="HTML Keyboard"/>
    <w:semiHidden/>
    <w:rsid w:val="005B7FDD"/>
    <w:rPr>
      <w:rFonts w:ascii="Courier New" w:hAnsi="Courier New" w:cs="Courier New"/>
      <w:sz w:val="20"/>
      <w:szCs w:val="20"/>
    </w:rPr>
  </w:style>
  <w:style w:type="paragraph" w:styleId="HTMLPreformatted">
    <w:name w:val="HTML Preformatted"/>
    <w:basedOn w:val="Normal"/>
    <w:link w:val="HTMLPreformattedChar"/>
    <w:uiPriority w:val="99"/>
    <w:rsid w:val="005B7FDD"/>
    <w:pPr>
      <w:suppressAutoHyphens/>
      <w:spacing w:line="240" w:lineRule="atLeast"/>
    </w:pPr>
    <w:rPr>
      <w:rFonts w:ascii="Courier New" w:hAnsi="Courier New" w:cs="Courier New"/>
      <w:spacing w:val="0"/>
      <w:w w:val="100"/>
      <w:kern w:val="0"/>
      <w:lang w:val="en-GB"/>
    </w:rPr>
  </w:style>
  <w:style w:type="character" w:styleId="HTMLSample">
    <w:name w:val="HTML Sample"/>
    <w:semiHidden/>
    <w:rsid w:val="005B7FDD"/>
    <w:rPr>
      <w:rFonts w:ascii="Courier New" w:hAnsi="Courier New" w:cs="Courier New"/>
    </w:rPr>
  </w:style>
  <w:style w:type="character" w:styleId="HTMLTypewriter">
    <w:name w:val="HTML Typewriter"/>
    <w:semiHidden/>
    <w:rsid w:val="005B7FDD"/>
    <w:rPr>
      <w:rFonts w:ascii="Courier New" w:hAnsi="Courier New" w:cs="Courier New"/>
      <w:sz w:val="20"/>
      <w:szCs w:val="20"/>
    </w:rPr>
  </w:style>
  <w:style w:type="character" w:styleId="HTMLVariable">
    <w:name w:val="HTML Variable"/>
    <w:semiHidden/>
    <w:rsid w:val="005B7FDD"/>
    <w:rPr>
      <w:i/>
      <w:iCs/>
    </w:rPr>
  </w:style>
  <w:style w:type="character" w:styleId="Hyperlink">
    <w:name w:val="Hyperlink"/>
    <w:uiPriority w:val="99"/>
    <w:rsid w:val="005B7FDD"/>
    <w:rPr>
      <w:color w:val="auto"/>
      <w:u w:val="single"/>
    </w:rPr>
  </w:style>
  <w:style w:type="paragraph" w:styleId="List">
    <w:name w:val="List"/>
    <w:basedOn w:val="Normal"/>
    <w:semiHidden/>
    <w:rsid w:val="005B7FDD"/>
    <w:pPr>
      <w:suppressAutoHyphens/>
      <w:spacing w:line="240" w:lineRule="atLeast"/>
      <w:ind w:left="283" w:hanging="283"/>
    </w:pPr>
    <w:rPr>
      <w:spacing w:val="0"/>
      <w:w w:val="100"/>
      <w:kern w:val="0"/>
      <w:lang w:val="en-GB"/>
    </w:rPr>
  </w:style>
  <w:style w:type="paragraph" w:styleId="List2">
    <w:name w:val="List 2"/>
    <w:basedOn w:val="Normal"/>
    <w:semiHidden/>
    <w:rsid w:val="005B7FDD"/>
    <w:pPr>
      <w:suppressAutoHyphens/>
      <w:spacing w:line="240" w:lineRule="atLeast"/>
      <w:ind w:left="566" w:hanging="283"/>
    </w:pPr>
    <w:rPr>
      <w:spacing w:val="0"/>
      <w:w w:val="100"/>
      <w:kern w:val="0"/>
      <w:lang w:val="en-GB"/>
    </w:rPr>
  </w:style>
  <w:style w:type="paragraph" w:styleId="List3">
    <w:name w:val="List 3"/>
    <w:basedOn w:val="Normal"/>
    <w:semiHidden/>
    <w:rsid w:val="005B7FDD"/>
    <w:pPr>
      <w:suppressAutoHyphens/>
      <w:spacing w:line="240" w:lineRule="atLeast"/>
      <w:ind w:left="849" w:hanging="283"/>
    </w:pPr>
    <w:rPr>
      <w:spacing w:val="0"/>
      <w:w w:val="100"/>
      <w:kern w:val="0"/>
      <w:lang w:val="en-GB"/>
    </w:rPr>
  </w:style>
  <w:style w:type="paragraph" w:styleId="List4">
    <w:name w:val="List 4"/>
    <w:basedOn w:val="Normal"/>
    <w:semiHidden/>
    <w:rsid w:val="005B7FDD"/>
    <w:pPr>
      <w:suppressAutoHyphens/>
      <w:spacing w:line="240" w:lineRule="atLeast"/>
      <w:ind w:left="1132" w:hanging="283"/>
    </w:pPr>
    <w:rPr>
      <w:spacing w:val="0"/>
      <w:w w:val="100"/>
      <w:kern w:val="0"/>
      <w:lang w:val="en-GB"/>
    </w:rPr>
  </w:style>
  <w:style w:type="paragraph" w:styleId="List5">
    <w:name w:val="List 5"/>
    <w:basedOn w:val="Normal"/>
    <w:semiHidden/>
    <w:rsid w:val="005B7FDD"/>
    <w:pPr>
      <w:suppressAutoHyphens/>
      <w:spacing w:line="240" w:lineRule="atLeast"/>
      <w:ind w:left="1415" w:hanging="283"/>
    </w:pPr>
    <w:rPr>
      <w:spacing w:val="0"/>
      <w:w w:val="100"/>
      <w:kern w:val="0"/>
      <w:lang w:val="en-GB"/>
    </w:rPr>
  </w:style>
  <w:style w:type="paragraph" w:styleId="ListBullet">
    <w:name w:val="List Bullet"/>
    <w:basedOn w:val="Normal"/>
    <w:semiHidden/>
    <w:rsid w:val="005B7FDD"/>
    <w:pPr>
      <w:numPr>
        <w:numId w:val="6"/>
      </w:numPr>
      <w:suppressAutoHyphens/>
      <w:spacing w:line="240" w:lineRule="atLeast"/>
    </w:pPr>
    <w:rPr>
      <w:spacing w:val="0"/>
      <w:w w:val="100"/>
      <w:kern w:val="0"/>
      <w:lang w:val="en-GB"/>
    </w:rPr>
  </w:style>
  <w:style w:type="paragraph" w:styleId="ListBullet2">
    <w:name w:val="List Bullet 2"/>
    <w:basedOn w:val="Normal"/>
    <w:semiHidden/>
    <w:rsid w:val="005B7FDD"/>
    <w:pPr>
      <w:numPr>
        <w:numId w:val="7"/>
      </w:numPr>
      <w:suppressAutoHyphens/>
      <w:spacing w:line="240" w:lineRule="atLeast"/>
    </w:pPr>
    <w:rPr>
      <w:spacing w:val="0"/>
      <w:w w:val="100"/>
      <w:kern w:val="0"/>
      <w:lang w:val="en-GB"/>
    </w:rPr>
  </w:style>
  <w:style w:type="paragraph" w:styleId="ListBullet3">
    <w:name w:val="List Bullet 3"/>
    <w:basedOn w:val="Normal"/>
    <w:semiHidden/>
    <w:rsid w:val="005B7FDD"/>
    <w:pPr>
      <w:numPr>
        <w:numId w:val="8"/>
      </w:numPr>
      <w:suppressAutoHyphens/>
      <w:spacing w:line="240" w:lineRule="atLeast"/>
    </w:pPr>
    <w:rPr>
      <w:spacing w:val="0"/>
      <w:w w:val="100"/>
      <w:kern w:val="0"/>
      <w:lang w:val="en-GB"/>
    </w:rPr>
  </w:style>
  <w:style w:type="paragraph" w:styleId="ListBullet4">
    <w:name w:val="List Bullet 4"/>
    <w:basedOn w:val="Normal"/>
    <w:semiHidden/>
    <w:rsid w:val="005B7FDD"/>
    <w:pPr>
      <w:numPr>
        <w:numId w:val="9"/>
      </w:numPr>
      <w:suppressAutoHyphens/>
      <w:spacing w:line="240" w:lineRule="atLeast"/>
    </w:pPr>
    <w:rPr>
      <w:spacing w:val="0"/>
      <w:w w:val="100"/>
      <w:kern w:val="0"/>
      <w:lang w:val="en-GB"/>
    </w:rPr>
  </w:style>
  <w:style w:type="paragraph" w:styleId="ListBullet5">
    <w:name w:val="List Bullet 5"/>
    <w:basedOn w:val="Normal"/>
    <w:semiHidden/>
    <w:rsid w:val="005B7FDD"/>
    <w:pPr>
      <w:numPr>
        <w:numId w:val="10"/>
      </w:numPr>
      <w:suppressAutoHyphens/>
      <w:spacing w:line="240" w:lineRule="atLeast"/>
    </w:pPr>
    <w:rPr>
      <w:spacing w:val="0"/>
      <w:w w:val="100"/>
      <w:kern w:val="0"/>
      <w:lang w:val="en-GB"/>
    </w:rPr>
  </w:style>
  <w:style w:type="paragraph" w:styleId="ListContinue">
    <w:name w:val="List Continue"/>
    <w:basedOn w:val="Normal"/>
    <w:semiHidden/>
    <w:rsid w:val="005B7FDD"/>
    <w:pPr>
      <w:suppressAutoHyphens/>
      <w:spacing w:after="120" w:line="240" w:lineRule="atLeast"/>
      <w:ind w:left="283"/>
    </w:pPr>
    <w:rPr>
      <w:spacing w:val="0"/>
      <w:w w:val="100"/>
      <w:kern w:val="0"/>
      <w:lang w:val="en-GB"/>
    </w:rPr>
  </w:style>
  <w:style w:type="paragraph" w:styleId="ListContinue2">
    <w:name w:val="List Continue 2"/>
    <w:basedOn w:val="Normal"/>
    <w:semiHidden/>
    <w:rsid w:val="005B7FDD"/>
    <w:pPr>
      <w:suppressAutoHyphens/>
      <w:spacing w:after="120" w:line="240" w:lineRule="atLeast"/>
      <w:ind w:left="566"/>
    </w:pPr>
    <w:rPr>
      <w:spacing w:val="0"/>
      <w:w w:val="100"/>
      <w:kern w:val="0"/>
      <w:lang w:val="en-GB"/>
    </w:rPr>
  </w:style>
  <w:style w:type="paragraph" w:styleId="ListContinue3">
    <w:name w:val="List Continue 3"/>
    <w:basedOn w:val="Normal"/>
    <w:semiHidden/>
    <w:rsid w:val="005B7FDD"/>
    <w:pPr>
      <w:suppressAutoHyphens/>
      <w:spacing w:after="120" w:line="240" w:lineRule="atLeast"/>
      <w:ind w:left="849"/>
    </w:pPr>
    <w:rPr>
      <w:spacing w:val="0"/>
      <w:w w:val="100"/>
      <w:kern w:val="0"/>
      <w:lang w:val="en-GB"/>
    </w:rPr>
  </w:style>
  <w:style w:type="paragraph" w:styleId="ListContinue4">
    <w:name w:val="List Continue 4"/>
    <w:basedOn w:val="Normal"/>
    <w:semiHidden/>
    <w:rsid w:val="005B7FDD"/>
    <w:pPr>
      <w:suppressAutoHyphens/>
      <w:spacing w:after="120" w:line="240" w:lineRule="atLeast"/>
      <w:ind w:left="1132"/>
    </w:pPr>
    <w:rPr>
      <w:spacing w:val="0"/>
      <w:w w:val="100"/>
      <w:kern w:val="0"/>
      <w:lang w:val="en-GB"/>
    </w:rPr>
  </w:style>
  <w:style w:type="paragraph" w:styleId="ListContinue5">
    <w:name w:val="List Continue 5"/>
    <w:basedOn w:val="Normal"/>
    <w:semiHidden/>
    <w:rsid w:val="005B7FDD"/>
    <w:pPr>
      <w:suppressAutoHyphens/>
      <w:spacing w:after="120" w:line="240" w:lineRule="atLeast"/>
      <w:ind w:left="1415"/>
    </w:pPr>
    <w:rPr>
      <w:spacing w:val="0"/>
      <w:w w:val="100"/>
      <w:kern w:val="0"/>
      <w:lang w:val="en-GB"/>
    </w:rPr>
  </w:style>
  <w:style w:type="paragraph" w:styleId="ListNumber">
    <w:name w:val="List Number"/>
    <w:basedOn w:val="Normal"/>
    <w:rsid w:val="005B7FDD"/>
    <w:pPr>
      <w:numPr>
        <w:numId w:val="5"/>
      </w:numPr>
      <w:suppressAutoHyphens/>
      <w:spacing w:line="240" w:lineRule="atLeast"/>
    </w:pPr>
    <w:rPr>
      <w:spacing w:val="0"/>
      <w:w w:val="100"/>
      <w:kern w:val="0"/>
      <w:lang w:val="en-GB"/>
    </w:rPr>
  </w:style>
  <w:style w:type="paragraph" w:styleId="ListNumber2">
    <w:name w:val="List Number 2"/>
    <w:basedOn w:val="Normal"/>
    <w:rsid w:val="005B7FDD"/>
    <w:pPr>
      <w:numPr>
        <w:numId w:val="4"/>
      </w:numPr>
      <w:suppressAutoHyphens/>
      <w:spacing w:line="240" w:lineRule="atLeast"/>
    </w:pPr>
    <w:rPr>
      <w:spacing w:val="0"/>
      <w:w w:val="100"/>
      <w:kern w:val="0"/>
      <w:lang w:val="en-GB"/>
    </w:rPr>
  </w:style>
  <w:style w:type="paragraph" w:styleId="ListNumber3">
    <w:name w:val="List Number 3"/>
    <w:basedOn w:val="Normal"/>
    <w:rsid w:val="005B7FDD"/>
    <w:pPr>
      <w:numPr>
        <w:numId w:val="3"/>
      </w:numPr>
      <w:suppressAutoHyphens/>
      <w:spacing w:line="240" w:lineRule="atLeast"/>
    </w:pPr>
    <w:rPr>
      <w:spacing w:val="0"/>
      <w:w w:val="100"/>
      <w:kern w:val="0"/>
      <w:lang w:val="en-GB"/>
    </w:rPr>
  </w:style>
  <w:style w:type="paragraph" w:styleId="ListNumber4">
    <w:name w:val="List Number 4"/>
    <w:basedOn w:val="Normal"/>
    <w:rsid w:val="005B7FDD"/>
    <w:pPr>
      <w:numPr>
        <w:numId w:val="1"/>
      </w:numPr>
      <w:suppressAutoHyphens/>
      <w:spacing w:line="240" w:lineRule="atLeast"/>
    </w:pPr>
    <w:rPr>
      <w:spacing w:val="0"/>
      <w:w w:val="100"/>
      <w:kern w:val="0"/>
      <w:lang w:val="en-GB"/>
    </w:rPr>
  </w:style>
  <w:style w:type="paragraph" w:styleId="ListNumber5">
    <w:name w:val="List Number 5"/>
    <w:basedOn w:val="Normal"/>
    <w:rsid w:val="005B7FDD"/>
    <w:pPr>
      <w:numPr>
        <w:numId w:val="2"/>
      </w:numPr>
      <w:suppressAutoHyphens/>
      <w:spacing w:line="240" w:lineRule="atLeast"/>
    </w:pPr>
    <w:rPr>
      <w:spacing w:val="0"/>
      <w:w w:val="100"/>
      <w:kern w:val="0"/>
      <w:lang w:val="en-GB"/>
    </w:rPr>
  </w:style>
  <w:style w:type="paragraph" w:styleId="MessageHeader">
    <w:name w:val="Message Header"/>
    <w:basedOn w:val="Normal"/>
    <w:semiHidden/>
    <w:rsid w:val="005B7FDD"/>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spacing w:val="0"/>
      <w:w w:val="100"/>
      <w:kern w:val="0"/>
      <w:sz w:val="24"/>
      <w:szCs w:val="24"/>
      <w:lang w:val="en-GB"/>
    </w:rPr>
  </w:style>
  <w:style w:type="paragraph" w:styleId="NormalWeb">
    <w:name w:val="Normal (Web)"/>
    <w:basedOn w:val="Normal"/>
    <w:uiPriority w:val="99"/>
    <w:rsid w:val="005B7FDD"/>
    <w:pPr>
      <w:suppressAutoHyphens/>
      <w:spacing w:line="240" w:lineRule="atLeast"/>
    </w:pPr>
    <w:rPr>
      <w:spacing w:val="0"/>
      <w:w w:val="100"/>
      <w:kern w:val="0"/>
      <w:sz w:val="24"/>
      <w:szCs w:val="24"/>
      <w:lang w:val="en-GB"/>
    </w:rPr>
  </w:style>
  <w:style w:type="paragraph" w:styleId="NormalIndent">
    <w:name w:val="Normal Indent"/>
    <w:basedOn w:val="Normal"/>
    <w:semiHidden/>
    <w:rsid w:val="005B7FDD"/>
    <w:pPr>
      <w:suppressAutoHyphens/>
      <w:spacing w:line="240" w:lineRule="atLeast"/>
      <w:ind w:left="567"/>
    </w:pPr>
    <w:rPr>
      <w:spacing w:val="0"/>
      <w:w w:val="100"/>
      <w:kern w:val="0"/>
      <w:lang w:val="en-GB"/>
    </w:rPr>
  </w:style>
  <w:style w:type="paragraph" w:styleId="NoteHeading">
    <w:name w:val="Note Heading"/>
    <w:basedOn w:val="Normal"/>
    <w:next w:val="Normal"/>
    <w:semiHidden/>
    <w:rsid w:val="005B7FDD"/>
    <w:pPr>
      <w:suppressAutoHyphens/>
      <w:spacing w:line="240" w:lineRule="atLeast"/>
    </w:pPr>
    <w:rPr>
      <w:spacing w:val="0"/>
      <w:w w:val="100"/>
      <w:kern w:val="0"/>
      <w:lang w:val="en-GB"/>
    </w:rPr>
  </w:style>
  <w:style w:type="paragraph" w:styleId="Salutation">
    <w:name w:val="Salutation"/>
    <w:basedOn w:val="Normal"/>
    <w:next w:val="Normal"/>
    <w:semiHidden/>
    <w:rsid w:val="005B7FDD"/>
    <w:pPr>
      <w:suppressAutoHyphens/>
      <w:spacing w:line="240" w:lineRule="atLeast"/>
    </w:pPr>
    <w:rPr>
      <w:spacing w:val="0"/>
      <w:w w:val="100"/>
      <w:kern w:val="0"/>
      <w:lang w:val="en-GB"/>
    </w:rPr>
  </w:style>
  <w:style w:type="paragraph" w:styleId="Signature">
    <w:name w:val="Signature"/>
    <w:basedOn w:val="Normal"/>
    <w:semiHidden/>
    <w:rsid w:val="005B7FDD"/>
    <w:pPr>
      <w:suppressAutoHyphens/>
      <w:spacing w:line="240" w:lineRule="atLeast"/>
      <w:ind w:left="4252"/>
    </w:pPr>
    <w:rPr>
      <w:spacing w:val="0"/>
      <w:w w:val="100"/>
      <w:kern w:val="0"/>
      <w:lang w:val="en-GB"/>
    </w:rPr>
  </w:style>
  <w:style w:type="character" w:styleId="Strong">
    <w:name w:val="Strong"/>
    <w:uiPriority w:val="22"/>
    <w:qFormat/>
    <w:rsid w:val="005B7FDD"/>
    <w:rPr>
      <w:b/>
      <w:bCs/>
    </w:rPr>
  </w:style>
  <w:style w:type="paragraph" w:styleId="Subtitle">
    <w:name w:val="Subtitle"/>
    <w:basedOn w:val="Normal"/>
    <w:qFormat/>
    <w:rsid w:val="005B7FDD"/>
    <w:pPr>
      <w:suppressAutoHyphens/>
      <w:spacing w:after="60" w:line="240" w:lineRule="atLeast"/>
      <w:jc w:val="center"/>
      <w:outlineLvl w:val="1"/>
    </w:pPr>
    <w:rPr>
      <w:rFonts w:ascii="Arial" w:hAnsi="Arial" w:cs="Arial"/>
      <w:spacing w:val="0"/>
      <w:w w:val="100"/>
      <w:kern w:val="0"/>
      <w:sz w:val="24"/>
      <w:szCs w:val="24"/>
      <w:lang w:val="en-GB"/>
    </w:rPr>
  </w:style>
  <w:style w:type="table" w:styleId="Table3Deffects1">
    <w:name w:val="Table 3D effects 1"/>
    <w:basedOn w:val="TableNormal"/>
    <w:semiHidden/>
    <w:rsid w:val="005B7FD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7FD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7FD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7FD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7FD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7FD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7FD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7FD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7FD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7FD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7FD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7FD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7FD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7FD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7FD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7FD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7FD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7FD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7FD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7FD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7FD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7FD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7FD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7FD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7FD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7FD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7FD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7FD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7FD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7FD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7FD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7FD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7FD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7FD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7FD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7FD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7FDD"/>
    <w:pPr>
      <w:suppressAutoHyphens/>
      <w:spacing w:before="240" w:after="60" w:line="240" w:lineRule="atLeast"/>
      <w:jc w:val="center"/>
      <w:outlineLvl w:val="0"/>
    </w:pPr>
    <w:rPr>
      <w:rFonts w:ascii="Arial" w:hAnsi="Arial" w:cs="Arial"/>
      <w:b/>
      <w:bCs/>
      <w:spacing w:val="0"/>
      <w:w w:val="100"/>
      <w:kern w:val="28"/>
      <w:sz w:val="32"/>
      <w:szCs w:val="32"/>
      <w:lang w:val="en-GB"/>
    </w:rPr>
  </w:style>
  <w:style w:type="paragraph" w:styleId="EnvelopeAddress">
    <w:name w:val="envelope address"/>
    <w:basedOn w:val="Normal"/>
    <w:semiHidden/>
    <w:rsid w:val="005B7FDD"/>
    <w:pPr>
      <w:framePr w:w="7920" w:h="1980" w:hRule="exact" w:hSpace="180" w:wrap="auto" w:hAnchor="page" w:xAlign="center" w:yAlign="bottom"/>
      <w:suppressAutoHyphens/>
      <w:spacing w:line="240" w:lineRule="atLeast"/>
      <w:ind w:left="2880"/>
    </w:pPr>
    <w:rPr>
      <w:rFonts w:ascii="Arial" w:hAnsi="Arial" w:cs="Arial"/>
      <w:spacing w:val="0"/>
      <w:w w:val="100"/>
      <w:kern w:val="0"/>
      <w:sz w:val="24"/>
      <w:szCs w:val="24"/>
      <w:lang w:val="en-GB"/>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5B7FDD"/>
    <w:rPr>
      <w:spacing w:val="5"/>
      <w:w w:val="104"/>
      <w:kern w:val="14"/>
      <w:sz w:val="17"/>
      <w:lang w:val="fr-CA" w:eastAsia="en-US" w:bidi="ar-SA"/>
    </w:rPr>
  </w:style>
  <w:style w:type="character" w:customStyle="1" w:styleId="HChGChar">
    <w:name w:val="_ H _Ch_G Char"/>
    <w:link w:val="HChG"/>
    <w:rsid w:val="005B7FDD"/>
    <w:rPr>
      <w:b/>
      <w:sz w:val="28"/>
      <w:lang w:val="en-GB" w:eastAsia="en-US" w:bidi="ar-SA"/>
    </w:rPr>
  </w:style>
  <w:style w:type="character" w:customStyle="1" w:styleId="Heading1Char">
    <w:name w:val="Heading 1 Char"/>
    <w:aliases w:val="Table_G Char"/>
    <w:link w:val="Heading1"/>
    <w:locked/>
    <w:rsid w:val="005B7FDD"/>
    <w:rPr>
      <w:lang w:val="en-GB" w:eastAsia="en-US" w:bidi="ar-SA"/>
    </w:rPr>
  </w:style>
  <w:style w:type="character" w:customStyle="1" w:styleId="Heading2Char">
    <w:name w:val="Heading 2 Char"/>
    <w:link w:val="Heading2"/>
    <w:locked/>
    <w:rsid w:val="005B7FDD"/>
    <w:rPr>
      <w:lang w:val="en-GB" w:eastAsia="en-US" w:bidi="ar-SA"/>
    </w:rPr>
  </w:style>
  <w:style w:type="character" w:customStyle="1" w:styleId="Heading3Char">
    <w:name w:val="Heading 3 Char"/>
    <w:link w:val="Heading3"/>
    <w:locked/>
    <w:rsid w:val="005B7FDD"/>
    <w:rPr>
      <w:lang w:val="en-GB" w:eastAsia="en-US" w:bidi="ar-SA"/>
    </w:rPr>
  </w:style>
  <w:style w:type="character" w:customStyle="1" w:styleId="Heading6Char">
    <w:name w:val="Heading 6 Char"/>
    <w:link w:val="Heading6"/>
    <w:locked/>
    <w:rsid w:val="005B7FDD"/>
    <w:rPr>
      <w:lang w:val="en-GB" w:eastAsia="en-US" w:bidi="ar-SA"/>
    </w:rPr>
  </w:style>
  <w:style w:type="character" w:customStyle="1" w:styleId="BalloonTextChar">
    <w:name w:val="Balloon Text Char"/>
    <w:link w:val="BalloonText"/>
    <w:uiPriority w:val="99"/>
    <w:rsid w:val="005B7FDD"/>
    <w:rPr>
      <w:rFonts w:ascii="Tahoma" w:hAnsi="Tahoma" w:cs="Tahoma"/>
      <w:spacing w:val="4"/>
      <w:w w:val="103"/>
      <w:kern w:val="14"/>
      <w:sz w:val="16"/>
      <w:szCs w:val="16"/>
      <w:lang w:val="fr-CA" w:eastAsia="en-US" w:bidi="ar-SA"/>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34"/>
    <w:qFormat/>
    <w:rsid w:val="005B7FDD"/>
    <w:pPr>
      <w:spacing w:after="200" w:line="276" w:lineRule="auto"/>
      <w:ind w:left="720"/>
      <w:contextualSpacing/>
    </w:pPr>
    <w:rPr>
      <w:rFonts w:ascii="Arial" w:eastAsia="Calibri" w:hAnsi="Arial"/>
      <w:spacing w:val="0"/>
      <w:w w:val="100"/>
      <w:kern w:val="0"/>
      <w:sz w:val="22"/>
      <w:szCs w:val="22"/>
      <w:lang w:val="en-ZA"/>
    </w:rPr>
  </w:style>
  <w:style w:type="character" w:customStyle="1" w:styleId="HeaderChar1">
    <w:name w:val="Header Char1"/>
    <w:aliases w:val="6_G Char"/>
    <w:link w:val="Header"/>
    <w:locked/>
    <w:rsid w:val="005B7FDD"/>
    <w:rPr>
      <w:noProof/>
      <w:spacing w:val="3"/>
      <w:w w:val="105"/>
      <w:sz w:val="17"/>
      <w:lang w:val="en-US" w:eastAsia="en-US" w:bidi="ar-SA"/>
    </w:rPr>
  </w:style>
  <w:style w:type="character" w:customStyle="1" w:styleId="HeaderChar">
    <w:name w:val="Header Char"/>
    <w:uiPriority w:val="99"/>
    <w:locked/>
    <w:rsid w:val="005B7FDD"/>
    <w:rPr>
      <w:rFonts w:ascii="Arial" w:eastAsia="Times New Roman" w:hAnsi="Arial" w:cs="Times New Roman"/>
      <w:lang w:val="en-US"/>
    </w:rPr>
  </w:style>
  <w:style w:type="character" w:customStyle="1" w:styleId="FooterChar1">
    <w:name w:val="Footer Char1"/>
    <w:aliases w:val="3_G Char"/>
    <w:link w:val="Footer"/>
    <w:locked/>
    <w:rsid w:val="005B7FDD"/>
    <w:rPr>
      <w:b/>
      <w:noProof/>
      <w:spacing w:val="3"/>
      <w:w w:val="105"/>
      <w:sz w:val="17"/>
      <w:lang w:val="en-US" w:eastAsia="en-US" w:bidi="ar-SA"/>
    </w:rPr>
  </w:style>
  <w:style w:type="character" w:customStyle="1" w:styleId="FooterChar">
    <w:name w:val="Footer Char"/>
    <w:uiPriority w:val="99"/>
    <w:locked/>
    <w:rsid w:val="005B7FDD"/>
    <w:rPr>
      <w:rFonts w:ascii="Arial" w:eastAsia="Times New Roman" w:hAnsi="Arial" w:cs="Times New Roman"/>
      <w:lang w:val="en-US"/>
    </w:rPr>
  </w:style>
  <w:style w:type="character" w:customStyle="1" w:styleId="BodyTextChar">
    <w:name w:val="Body Text Char"/>
    <w:link w:val="BodyText"/>
    <w:locked/>
    <w:rsid w:val="005B7FDD"/>
    <w:rPr>
      <w:lang w:val="en-GB" w:eastAsia="en-US" w:bidi="ar-SA"/>
    </w:rPr>
  </w:style>
  <w:style w:type="character" w:customStyle="1" w:styleId="BodyText2Char">
    <w:name w:val="Body Text 2 Char"/>
    <w:link w:val="BodyText2"/>
    <w:locked/>
    <w:rsid w:val="005B7FDD"/>
    <w:rPr>
      <w:lang w:val="en-GB" w:eastAsia="en-US" w:bidi="ar-SA"/>
    </w:rPr>
  </w:style>
  <w:style w:type="paragraph" w:customStyle="1" w:styleId="style22">
    <w:name w:val="style22"/>
    <w:basedOn w:val="Normal"/>
    <w:rsid w:val="005B7FDD"/>
    <w:pPr>
      <w:spacing w:before="100" w:beforeAutospacing="1" w:after="100" w:afterAutospacing="1" w:line="240" w:lineRule="auto"/>
    </w:pPr>
    <w:rPr>
      <w:spacing w:val="0"/>
      <w:w w:val="100"/>
      <w:kern w:val="0"/>
      <w:sz w:val="24"/>
      <w:szCs w:val="24"/>
      <w:lang w:val="en-ZA"/>
    </w:rPr>
  </w:style>
  <w:style w:type="character" w:customStyle="1" w:styleId="papers1">
    <w:name w:val="papers1"/>
    <w:rsid w:val="005B7FDD"/>
    <w:rPr>
      <w:rFonts w:ascii="Verdana" w:hAnsi="Verdana" w:cs="Times New Roman"/>
      <w:b/>
      <w:bCs/>
      <w:color w:val="000000"/>
      <w:sz w:val="22"/>
      <w:szCs w:val="22"/>
    </w:rPr>
  </w:style>
  <w:style w:type="paragraph" w:customStyle="1" w:styleId="Pa1">
    <w:name w:val="Pa1"/>
    <w:basedOn w:val="Normal"/>
    <w:next w:val="Normal"/>
    <w:rsid w:val="005B7FDD"/>
    <w:pPr>
      <w:autoSpaceDE w:val="0"/>
      <w:autoSpaceDN w:val="0"/>
      <w:adjustRightInd w:val="0"/>
      <w:spacing w:line="241" w:lineRule="atLeast"/>
    </w:pPr>
    <w:rPr>
      <w:rFonts w:ascii="Arial"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5B7FDD"/>
    <w:rPr>
      <w:sz w:val="20"/>
      <w:szCs w:val="20"/>
      <w:lang w:eastAsia="en-US"/>
    </w:rPr>
  </w:style>
  <w:style w:type="character" w:customStyle="1" w:styleId="texto11">
    <w:name w:val="texto11"/>
    <w:rsid w:val="005B7FDD"/>
    <w:rPr>
      <w:rFonts w:ascii="Arial" w:hAnsi="Arial" w:cs="Arial"/>
      <w:color w:val="000000"/>
      <w:sz w:val="20"/>
      <w:szCs w:val="20"/>
    </w:rPr>
  </w:style>
  <w:style w:type="paragraph" w:customStyle="1" w:styleId="bodytext0">
    <w:name w:val="bodytext"/>
    <w:basedOn w:val="Normal"/>
    <w:rsid w:val="005B7FDD"/>
    <w:pPr>
      <w:spacing w:before="100" w:beforeAutospacing="1" w:after="100" w:afterAutospacing="1" w:line="240" w:lineRule="auto"/>
    </w:pPr>
    <w:rPr>
      <w:spacing w:val="0"/>
      <w:w w:val="100"/>
      <w:kern w:val="0"/>
      <w:sz w:val="24"/>
      <w:szCs w:val="24"/>
      <w:lang w:val="en-GB" w:eastAsia="en-GB"/>
    </w:rPr>
  </w:style>
  <w:style w:type="paragraph" w:customStyle="1" w:styleId="Default">
    <w:name w:val="Default"/>
    <w:rsid w:val="005B7FDD"/>
    <w:pPr>
      <w:autoSpaceDE w:val="0"/>
      <w:autoSpaceDN w:val="0"/>
      <w:adjustRightInd w:val="0"/>
    </w:pPr>
    <w:rPr>
      <w:rFonts w:ascii="KACKAH+Garamond" w:hAnsi="KACKAH+Garamond" w:cs="KACKAH+Garamond"/>
      <w:color w:val="000000"/>
      <w:sz w:val="24"/>
      <w:szCs w:val="24"/>
      <w:lang w:val="en-GB" w:eastAsia="en-GB"/>
    </w:rPr>
  </w:style>
  <w:style w:type="character" w:customStyle="1" w:styleId="CommentTextChar">
    <w:name w:val="Comment Text Char"/>
    <w:uiPriority w:val="99"/>
    <w:locked/>
    <w:rsid w:val="005B7FD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5B7FDD"/>
    <w:pPr>
      <w:spacing w:after="200" w:line="276" w:lineRule="auto"/>
    </w:pPr>
    <w:rPr>
      <w:rFonts w:ascii="Arial" w:eastAsia="Calibri" w:hAnsi="Arial"/>
      <w:b/>
      <w:bCs/>
      <w:spacing w:val="0"/>
      <w:w w:val="100"/>
      <w:kern w:val="0"/>
      <w:lang w:val="en-ZA"/>
    </w:rPr>
  </w:style>
  <w:style w:type="character" w:customStyle="1" w:styleId="CommentTextChar1">
    <w:name w:val="Comment Text Char1"/>
    <w:link w:val="CommentText"/>
    <w:semiHidden/>
    <w:rsid w:val="005B7FDD"/>
    <w:rPr>
      <w:spacing w:val="4"/>
      <w:w w:val="103"/>
      <w:kern w:val="14"/>
      <w:lang w:val="fr-CA" w:eastAsia="en-US" w:bidi="ar-SA"/>
    </w:rPr>
  </w:style>
  <w:style w:type="character" w:customStyle="1" w:styleId="CommentSubjectChar">
    <w:name w:val="Comment Subject Char"/>
    <w:link w:val="CommentSubject"/>
    <w:rsid w:val="005B7FDD"/>
    <w:rPr>
      <w:rFonts w:ascii="Arial" w:eastAsia="Calibri" w:hAnsi="Arial"/>
      <w:b/>
      <w:bCs/>
      <w:lang w:val="en-ZA" w:eastAsia="en-US" w:bidi="ar-SA"/>
    </w:rPr>
  </w:style>
  <w:style w:type="character" w:customStyle="1" w:styleId="EndnoteTextChar">
    <w:name w:val="Endnote Text Char"/>
    <w:aliases w:val="2_G Char"/>
    <w:link w:val="EndnoteText"/>
    <w:locked/>
    <w:rsid w:val="005B7FDD"/>
    <w:rPr>
      <w:spacing w:val="5"/>
      <w:w w:val="104"/>
      <w:kern w:val="14"/>
      <w:sz w:val="17"/>
      <w:lang w:val="fr-CA" w:eastAsia="en-US" w:bidi="ar-SA"/>
    </w:rPr>
  </w:style>
  <w:style w:type="paragraph" w:styleId="DocumentMap">
    <w:name w:val="Document Map"/>
    <w:basedOn w:val="Normal"/>
    <w:link w:val="DocumentMapChar"/>
    <w:rsid w:val="005B7FDD"/>
    <w:pPr>
      <w:shd w:val="clear" w:color="auto" w:fill="000080"/>
      <w:spacing w:after="200" w:line="276" w:lineRule="auto"/>
    </w:pPr>
    <w:rPr>
      <w:rFonts w:ascii="Tahoma" w:eastAsia="Calibri" w:hAnsi="Tahoma" w:cs="Tahoma"/>
      <w:spacing w:val="0"/>
      <w:w w:val="100"/>
      <w:kern w:val="0"/>
      <w:lang w:val="en-ZA"/>
    </w:rPr>
  </w:style>
  <w:style w:type="character" w:customStyle="1" w:styleId="DocumentMapChar">
    <w:name w:val="Document Map Char"/>
    <w:link w:val="DocumentMap"/>
    <w:rsid w:val="005B7FDD"/>
    <w:rPr>
      <w:rFonts w:ascii="Tahoma" w:eastAsia="Calibri" w:hAnsi="Tahoma" w:cs="Tahoma"/>
      <w:lang w:val="en-ZA" w:eastAsia="en-US" w:bidi="ar-SA"/>
    </w:rPr>
  </w:style>
  <w:style w:type="character" w:customStyle="1" w:styleId="BodyTextChar1">
    <w:name w:val="Body Text Char1"/>
    <w:locked/>
    <w:rsid w:val="005B7FDD"/>
    <w:rPr>
      <w:rFonts w:ascii="Times New Roman" w:hAnsi="Times New Roman" w:cs="Times New Roman"/>
      <w:b/>
      <w:bCs/>
      <w:sz w:val="24"/>
      <w:szCs w:val="24"/>
    </w:rPr>
  </w:style>
  <w:style w:type="paragraph" w:styleId="Caption">
    <w:name w:val="caption"/>
    <w:basedOn w:val="Normal"/>
    <w:next w:val="Normal"/>
    <w:autoRedefine/>
    <w:uiPriority w:val="35"/>
    <w:qFormat/>
    <w:rsid w:val="005B7FDD"/>
    <w:pPr>
      <w:keepNext/>
      <w:keepLines/>
      <w:spacing w:line="240" w:lineRule="auto"/>
      <w:jc w:val="both"/>
      <w:outlineLvl w:val="0"/>
    </w:pPr>
    <w:rPr>
      <w:rFonts w:eastAsia="Calibri"/>
      <w:bCs/>
      <w:iCs/>
      <w:spacing w:val="0"/>
      <w:w w:val="100"/>
      <w:kern w:val="0"/>
      <w:lang w:val="en-ZA"/>
    </w:rPr>
  </w:style>
  <w:style w:type="paragraph" w:styleId="Revision">
    <w:name w:val="Revision"/>
    <w:hidden/>
    <w:uiPriority w:val="99"/>
    <w:semiHidden/>
    <w:rsid w:val="005B7FDD"/>
    <w:rPr>
      <w:rFonts w:ascii="Arial" w:eastAsia="Calibri" w:hAnsi="Arial"/>
      <w:sz w:val="22"/>
      <w:szCs w:val="22"/>
    </w:rPr>
  </w:style>
  <w:style w:type="character" w:customStyle="1" w:styleId="body">
    <w:name w:val="body"/>
    <w:rsid w:val="005B7FDD"/>
  </w:style>
  <w:style w:type="paragraph" w:customStyle="1" w:styleId="Char">
    <w:name w:val="Char"/>
    <w:basedOn w:val="Normal"/>
    <w:rsid w:val="005B7FDD"/>
    <w:pPr>
      <w:spacing w:after="160"/>
    </w:pPr>
    <w:rPr>
      <w:rFonts w:ascii="Arial" w:hAnsi="Arial" w:cs="Angsana New"/>
      <w:spacing w:val="0"/>
      <w:w w:val="100"/>
      <w:kern w:val="0"/>
      <w:lang w:val="en-ZA"/>
    </w:rPr>
  </w:style>
  <w:style w:type="paragraph" w:customStyle="1" w:styleId="style30">
    <w:name w:val="style30"/>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style221">
    <w:name w:val="style221"/>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Pa7">
    <w:name w:val="Pa7"/>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5">
    <w:name w:val="A5"/>
    <w:rsid w:val="005B7FDD"/>
    <w:rPr>
      <w:rFonts w:cs="Humanst521 BT"/>
      <w:color w:val="000000"/>
      <w:sz w:val="16"/>
      <w:szCs w:val="16"/>
    </w:rPr>
  </w:style>
  <w:style w:type="paragraph" w:customStyle="1" w:styleId="Pa12">
    <w:name w:val="Pa12"/>
    <w:basedOn w:val="Default"/>
    <w:next w:val="Default"/>
    <w:rsid w:val="005B7FDD"/>
    <w:pPr>
      <w:spacing w:line="241" w:lineRule="atLeast"/>
    </w:pPr>
    <w:rPr>
      <w:rFonts w:ascii="Humanst521 BT" w:eastAsia="Calibri" w:hAnsi="Humanst521 BT" w:cs="Times New Roman"/>
      <w:color w:val="auto"/>
      <w:lang w:val="en-ZA" w:eastAsia="en-ZA"/>
    </w:rPr>
  </w:style>
  <w:style w:type="character" w:customStyle="1" w:styleId="A17">
    <w:name w:val="A17"/>
    <w:rsid w:val="005B7FDD"/>
    <w:rPr>
      <w:rFonts w:cs="Humanst521 BT"/>
      <w:b/>
      <w:bCs/>
      <w:color w:val="000000"/>
      <w:sz w:val="14"/>
      <w:szCs w:val="14"/>
    </w:rPr>
  </w:style>
  <w:style w:type="paragraph" w:customStyle="1" w:styleId="Pa4">
    <w:name w:val="Pa4"/>
    <w:basedOn w:val="Default"/>
    <w:next w:val="Default"/>
    <w:rsid w:val="005B7FDD"/>
    <w:pPr>
      <w:spacing w:line="191" w:lineRule="atLeast"/>
    </w:pPr>
    <w:rPr>
      <w:rFonts w:ascii="Humanst521 Lt BT" w:eastAsia="Calibri" w:hAnsi="Humanst521 Lt BT" w:cs="Times New Roman"/>
      <w:color w:val="auto"/>
      <w:lang w:val="en-ZA" w:eastAsia="en-ZA"/>
    </w:rPr>
  </w:style>
  <w:style w:type="character" w:customStyle="1" w:styleId="A10">
    <w:name w:val="A10"/>
    <w:rsid w:val="005B7FDD"/>
    <w:rPr>
      <w:rFonts w:cs="Humanst521 BT"/>
      <w:color w:val="000000"/>
      <w:sz w:val="12"/>
      <w:szCs w:val="12"/>
    </w:rPr>
  </w:style>
  <w:style w:type="character" w:customStyle="1" w:styleId="A7">
    <w:name w:val="A7"/>
    <w:rsid w:val="005B7FDD"/>
    <w:rPr>
      <w:rFonts w:cs="Humanst521 BT"/>
      <w:color w:val="000000"/>
      <w:sz w:val="22"/>
      <w:szCs w:val="22"/>
    </w:rPr>
  </w:style>
  <w:style w:type="character" w:customStyle="1" w:styleId="ddsf">
    <w:name w:val="ddsf"/>
    <w:rsid w:val="005B7FDD"/>
  </w:style>
  <w:style w:type="paragraph" w:customStyle="1" w:styleId="styletitle2">
    <w:name w:val="styletitle2"/>
    <w:basedOn w:val="Normal"/>
    <w:rsid w:val="005B7FDD"/>
    <w:pPr>
      <w:spacing w:before="100" w:beforeAutospacing="1" w:after="100" w:afterAutospacing="1" w:line="240" w:lineRule="auto"/>
    </w:pPr>
    <w:rPr>
      <w:spacing w:val="0"/>
      <w:w w:val="100"/>
      <w:kern w:val="0"/>
      <w:sz w:val="24"/>
      <w:szCs w:val="24"/>
      <w:lang w:val="en-ZA" w:eastAsia="en-ZA"/>
    </w:rPr>
  </w:style>
  <w:style w:type="paragraph" w:customStyle="1" w:styleId="AABody">
    <w:name w:val="AA Body"/>
    <w:basedOn w:val="Normal"/>
    <w:link w:val="AABodyChar"/>
    <w:rsid w:val="005B7FDD"/>
    <w:pPr>
      <w:tabs>
        <w:tab w:val="left" w:pos="720"/>
      </w:tabs>
      <w:spacing w:after="180" w:line="280" w:lineRule="exact"/>
    </w:pPr>
    <w:rPr>
      <w:rFonts w:ascii="Bookman Old Style" w:hAnsi="Bookman Old Style"/>
      <w:spacing w:val="0"/>
      <w:w w:val="100"/>
      <w:kern w:val="0"/>
      <w:sz w:val="24"/>
      <w:szCs w:val="24"/>
      <w:lang w:val="en-GB"/>
    </w:rPr>
  </w:style>
  <w:style w:type="character" w:customStyle="1" w:styleId="AABodyChar">
    <w:name w:val="AA Body Char"/>
    <w:link w:val="AABody"/>
    <w:rsid w:val="005B7FDD"/>
    <w:rPr>
      <w:rFonts w:ascii="Bookman Old Style" w:hAnsi="Bookman Old Style"/>
      <w:sz w:val="24"/>
      <w:szCs w:val="24"/>
      <w:lang w:val="en-GB" w:eastAsia="en-US" w:bidi="ar-SA"/>
    </w:rPr>
  </w:style>
  <w:style w:type="character" w:customStyle="1" w:styleId="reportbody">
    <w:name w:val="reportbody"/>
    <w:rsid w:val="005B7FDD"/>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5B7FDD"/>
    <w:rPr>
      <w:lang w:val="en-GB" w:eastAsia="en-US" w:bidi="ar-SA"/>
    </w:rPr>
  </w:style>
  <w:style w:type="character" w:customStyle="1" w:styleId="Heading1Char1">
    <w:name w:val="Heading 1 Char1"/>
    <w:aliases w:val="Table_G Char1"/>
    <w:locked/>
    <w:rsid w:val="005B7FDD"/>
    <w:rPr>
      <w:lang w:val="x-none" w:eastAsia="en-US"/>
    </w:rPr>
  </w:style>
  <w:style w:type="character" w:customStyle="1" w:styleId="PlainTextChar">
    <w:name w:val="Plain Text Char"/>
    <w:link w:val="PlainText"/>
    <w:semiHidden/>
    <w:locked/>
    <w:rsid w:val="005B7FDD"/>
    <w:rPr>
      <w:rFonts w:cs="Courier New"/>
      <w:lang w:val="en-GB" w:eastAsia="en-US" w:bidi="ar-SA"/>
    </w:rPr>
  </w:style>
  <w:style w:type="paragraph" w:customStyle="1" w:styleId="ParNoG">
    <w:name w:val="_ParNo_G"/>
    <w:basedOn w:val="SingleTxtG"/>
    <w:qFormat/>
    <w:rsid w:val="00C21A17"/>
    <w:pPr>
      <w:numPr>
        <w:numId w:val="16"/>
      </w:numPr>
      <w:kinsoku w:val="0"/>
      <w:overflowPunct w:val="0"/>
      <w:autoSpaceDE w:val="0"/>
      <w:autoSpaceDN w:val="0"/>
      <w:adjustRightInd w:val="0"/>
      <w:snapToGrid w:val="0"/>
    </w:pPr>
    <w:rPr>
      <w:lang w:val="es-ES_tradnl"/>
    </w:rPr>
  </w:style>
  <w:style w:type="paragraph" w:customStyle="1" w:styleId="Refdenotaalpie">
    <w:name w:val="Ref. de nota al pie."/>
    <w:aliases w:val="Appel note de bas de..."/>
    <w:basedOn w:val="Normal"/>
    <w:link w:val="FootnoteReference"/>
    <w:rsid w:val="00C21A17"/>
    <w:pPr>
      <w:spacing w:after="160"/>
    </w:pPr>
    <w:rPr>
      <w:color w:val="FF0000"/>
      <w:spacing w:val="-5"/>
      <w:w w:val="130"/>
      <w:kern w:val="0"/>
      <w:position w:val="-4"/>
      <w:vertAlign w:val="superscript"/>
      <w:lang w:val="en-US"/>
    </w:rPr>
  </w:style>
  <w:style w:type="paragraph" w:styleId="NoSpacing">
    <w:name w:val="No Spacing"/>
    <w:link w:val="NoSpacingChar"/>
    <w:uiPriority w:val="1"/>
    <w:qFormat/>
    <w:rsid w:val="00C21A17"/>
    <w:rPr>
      <w:rFonts w:asciiTheme="minorHAnsi" w:eastAsiaTheme="minorHAnsi" w:hAnsiTheme="minorHAnsi" w:cstheme="minorBidi"/>
      <w:sz w:val="22"/>
      <w:szCs w:val="22"/>
      <w:lang w:val="es-CO"/>
    </w:rPr>
  </w:style>
  <w:style w:type="character" w:customStyle="1" w:styleId="NoSpacingChar">
    <w:name w:val="No Spacing Char"/>
    <w:link w:val="NoSpacing"/>
    <w:uiPriority w:val="1"/>
    <w:locked/>
    <w:rsid w:val="00C21A17"/>
    <w:rPr>
      <w:rFonts w:asciiTheme="minorHAnsi" w:eastAsiaTheme="minorHAnsi" w:hAnsiTheme="minorHAnsi" w:cstheme="minorBidi"/>
      <w:sz w:val="22"/>
      <w:szCs w:val="22"/>
      <w:lang w:val="es-CO"/>
    </w:rPr>
  </w:style>
  <w:style w:type="paragraph" w:customStyle="1" w:styleId="paragraph">
    <w:name w:val="paragraph"/>
    <w:basedOn w:val="Normal"/>
    <w:rsid w:val="00C21A17"/>
    <w:pPr>
      <w:spacing w:before="100" w:beforeAutospacing="1" w:after="100" w:afterAutospacing="1" w:line="240" w:lineRule="auto"/>
    </w:pPr>
    <w:rPr>
      <w:spacing w:val="0"/>
      <w:w w:val="100"/>
      <w:kern w:val="0"/>
      <w:sz w:val="24"/>
      <w:szCs w:val="24"/>
      <w:lang w:val="es-CO" w:eastAsia="es-CO"/>
    </w:rPr>
  </w:style>
  <w:style w:type="character" w:customStyle="1" w:styleId="normaltextrun">
    <w:name w:val="normaltextrun"/>
    <w:basedOn w:val="DefaultParagraphFont"/>
    <w:rsid w:val="00C21A17"/>
  </w:style>
  <w:style w:type="character" w:customStyle="1" w:styleId="apple-converted-space">
    <w:name w:val="apple-converted-space"/>
    <w:basedOn w:val="DefaultParagraphFont"/>
    <w:rsid w:val="00C21A17"/>
  </w:style>
  <w:style w:type="character" w:customStyle="1" w:styleId="eop">
    <w:name w:val="eop"/>
    <w:basedOn w:val="DefaultParagraphFont"/>
    <w:rsid w:val="00C21A17"/>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34"/>
    <w:qFormat/>
    <w:locked/>
    <w:rsid w:val="00C21A17"/>
    <w:rPr>
      <w:rFonts w:ascii="Arial" w:eastAsia="Calibri" w:hAnsi="Arial"/>
      <w:sz w:val="22"/>
      <w:szCs w:val="22"/>
      <w:lang w:val="en-ZA"/>
    </w:rPr>
  </w:style>
  <w:style w:type="character" w:customStyle="1" w:styleId="Mencionar1">
    <w:name w:val="Mencionar1"/>
    <w:basedOn w:val="DefaultParagraphFont"/>
    <w:uiPriority w:val="99"/>
    <w:semiHidden/>
    <w:unhideWhenUsed/>
    <w:rsid w:val="00C21A17"/>
    <w:rPr>
      <w:color w:val="2B579A"/>
      <w:shd w:val="clear" w:color="auto" w:fill="E6E6E6"/>
    </w:rPr>
  </w:style>
  <w:style w:type="paragraph" w:customStyle="1" w:styleId="Texte">
    <w:name w:val="Texte"/>
    <w:basedOn w:val="Normal"/>
    <w:rsid w:val="00C21A17"/>
    <w:pPr>
      <w:spacing w:before="100" w:beforeAutospacing="1" w:after="100" w:afterAutospacing="1" w:line="276" w:lineRule="auto"/>
      <w:jc w:val="both"/>
    </w:pPr>
    <w:rPr>
      <w:rFonts w:eastAsiaTheme="minorHAnsi"/>
      <w:spacing w:val="0"/>
      <w:w w:val="100"/>
      <w:kern w:val="0"/>
      <w:sz w:val="22"/>
      <w:szCs w:val="22"/>
      <w:lang w:val="es-CO" w:eastAsia="fr-FR"/>
    </w:rPr>
  </w:style>
  <w:style w:type="table" w:customStyle="1" w:styleId="Tabladecuadrcula4-nfasis110">
    <w:name w:val="Tabla de cuadrícula 4 - Énfasis 110"/>
    <w:basedOn w:val="TableNormal"/>
    <w:next w:val="Tabladecuadrcula4-nfasis11"/>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C21A17"/>
    <w:pPr>
      <w:spacing w:after="160"/>
    </w:pPr>
    <w:rPr>
      <w:rFonts w:ascii="Calibri" w:eastAsia="Calibri" w:hAnsi="Calibri"/>
      <w:spacing w:val="0"/>
      <w:w w:val="100"/>
      <w:kern w:val="0"/>
      <w:sz w:val="22"/>
      <w:szCs w:val="22"/>
      <w:vertAlign w:val="superscript"/>
      <w:lang w:val="en-US"/>
    </w:rPr>
  </w:style>
  <w:style w:type="paragraph" w:customStyle="1" w:styleId="xmsonormal">
    <w:name w:val="x_msonormal"/>
    <w:basedOn w:val="Normal"/>
    <w:rsid w:val="00C21A17"/>
    <w:pPr>
      <w:spacing w:before="100" w:beforeAutospacing="1" w:after="100" w:afterAutospacing="1" w:line="240" w:lineRule="auto"/>
    </w:pPr>
    <w:rPr>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C21A17"/>
    <w:pPr>
      <w:spacing w:line="240" w:lineRule="auto"/>
    </w:pPr>
    <w:rPr>
      <w:rFonts w:asciiTheme="minorHAnsi" w:eastAsiaTheme="minorHAnsi" w:hAnsiTheme="minorHAnsi" w:cstheme="minorBidi"/>
      <w:spacing w:val="0"/>
      <w:w w:val="100"/>
      <w:kern w:val="0"/>
      <w:sz w:val="22"/>
      <w:szCs w:val="22"/>
      <w:vertAlign w:val="superscript"/>
      <w:lang w:val="es-CO"/>
    </w:rPr>
  </w:style>
  <w:style w:type="character" w:customStyle="1" w:styleId="Mencionar2">
    <w:name w:val="Mencionar2"/>
    <w:basedOn w:val="DefaultParagraphFont"/>
    <w:uiPriority w:val="99"/>
    <w:semiHidden/>
    <w:unhideWhenUsed/>
    <w:rsid w:val="00C21A17"/>
    <w:rPr>
      <w:color w:val="2B579A"/>
      <w:shd w:val="clear" w:color="auto" w:fill="E6E6E6"/>
    </w:rPr>
  </w:style>
  <w:style w:type="table" w:customStyle="1" w:styleId="Tabladecuadrcula4-nfasis12">
    <w:name w:val="Tabla de cuadrícula 4 - Énfasis 12"/>
    <w:basedOn w:val="TableNormal"/>
    <w:uiPriority w:val="49"/>
    <w:rsid w:val="00C21A17"/>
    <w:rPr>
      <w:rFonts w:asciiTheme="minorHAnsi" w:eastAsiaTheme="minorHAnsi" w:hAnsiTheme="minorHAnsi" w:cstheme="minorBidi"/>
      <w:sz w:val="22"/>
      <w:szCs w:val="22"/>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C21A17"/>
    <w:pPr>
      <w:suppressAutoHyphens/>
      <w:autoSpaceDN w:val="0"/>
      <w:spacing w:after="200" w:line="276" w:lineRule="auto"/>
      <w:textAlignment w:val="baseline"/>
    </w:pPr>
    <w:rPr>
      <w:rFonts w:ascii="Calibri" w:eastAsia="Arial Unicode MS" w:hAnsi="Calibri" w:cs="F"/>
      <w:kern w:val="3"/>
      <w:sz w:val="22"/>
      <w:szCs w:val="22"/>
      <w:lang w:val="es-CO"/>
    </w:rPr>
  </w:style>
  <w:style w:type="character" w:customStyle="1" w:styleId="shorttext">
    <w:name w:val="short_text"/>
    <w:basedOn w:val="DefaultParagraphFont"/>
    <w:rsid w:val="00C21A17"/>
  </w:style>
  <w:style w:type="character" w:customStyle="1" w:styleId="HTMLPreformattedChar">
    <w:name w:val="HTML Preformatted Char"/>
    <w:basedOn w:val="DefaultParagraphFont"/>
    <w:link w:val="HTMLPreformatted"/>
    <w:uiPriority w:val="99"/>
    <w:rsid w:val="00C21A17"/>
    <w:rPr>
      <w:rFonts w:ascii="Courier New" w:hAnsi="Courier New" w:cs="Courier New"/>
      <w:lang w:val="en-GB"/>
    </w:rPr>
  </w:style>
  <w:style w:type="character" w:customStyle="1" w:styleId="Mencionar3">
    <w:name w:val="Mencionar3"/>
    <w:basedOn w:val="DefaultParagraphFont"/>
    <w:uiPriority w:val="99"/>
    <w:semiHidden/>
    <w:unhideWhenUsed/>
    <w:rsid w:val="00C21A17"/>
    <w:rPr>
      <w:color w:val="2B579A"/>
      <w:shd w:val="clear" w:color="auto" w:fill="E6E6E6"/>
    </w:rPr>
  </w:style>
  <w:style w:type="character" w:customStyle="1" w:styleId="Mencionar4">
    <w:name w:val="Mencionar4"/>
    <w:basedOn w:val="DefaultParagraphFont"/>
    <w:uiPriority w:val="99"/>
    <w:semiHidden/>
    <w:unhideWhenUsed/>
    <w:rsid w:val="00C21A17"/>
    <w:rPr>
      <w:color w:val="2B579A"/>
      <w:shd w:val="clear" w:color="auto" w:fill="E6E6E6"/>
    </w:rPr>
  </w:style>
  <w:style w:type="character" w:customStyle="1" w:styleId="Mencionar5">
    <w:name w:val="Mencionar5"/>
    <w:basedOn w:val="DefaultParagraphFont"/>
    <w:uiPriority w:val="99"/>
    <w:semiHidden/>
    <w:unhideWhenUsed/>
    <w:rsid w:val="00C21A17"/>
    <w:rPr>
      <w:color w:val="2B579A"/>
      <w:shd w:val="clear" w:color="auto" w:fill="E6E6E6"/>
    </w:rPr>
  </w:style>
  <w:style w:type="paragraph" w:customStyle="1" w:styleId="Prrafo">
    <w:name w:val="Párrafo"/>
    <w:basedOn w:val="ListParagraph"/>
    <w:link w:val="PrrafoCar"/>
    <w:qFormat/>
    <w:rsid w:val="00C21A17"/>
    <w:pPr>
      <w:numPr>
        <w:numId w:val="17"/>
      </w:numPr>
      <w:spacing w:after="0" w:line="240" w:lineRule="auto"/>
      <w:ind w:left="425" w:hanging="357"/>
      <w:jc w:val="both"/>
    </w:pPr>
    <w:rPr>
      <w:rFonts w:ascii="Times New Roman" w:eastAsiaTheme="minorHAnsi" w:hAnsi="Times New Roman"/>
      <w:sz w:val="24"/>
      <w:szCs w:val="24"/>
      <w:lang w:val="es-ES"/>
    </w:rPr>
  </w:style>
  <w:style w:type="character" w:customStyle="1" w:styleId="PrrafoCar">
    <w:name w:val="Párrafo Car"/>
    <w:basedOn w:val="DefaultParagraphFont"/>
    <w:link w:val="Prrafo"/>
    <w:rsid w:val="00C21A17"/>
    <w:rPr>
      <w:rFonts w:eastAsiaTheme="minorHAnsi"/>
      <w:sz w:val="24"/>
      <w:szCs w:val="24"/>
      <w:lang w:val="es-ES"/>
    </w:rPr>
  </w:style>
  <w:style w:type="paragraph" w:customStyle="1" w:styleId="AgendaItemNormal">
    <w:name w:val="Agenda_Item_Normal"/>
    <w:next w:val="Normal"/>
    <w:uiPriority w:val="99"/>
    <w:qFormat/>
    <w:rsid w:val="00320CA3"/>
    <w:rPr>
      <w:rFonts w:eastAsiaTheme="minorHAnsi"/>
      <w:spacing w:val="4"/>
      <w:w w:val="103"/>
      <w:kern w:val="14"/>
      <w:lang w:val="en-GB"/>
    </w:rPr>
  </w:style>
  <w:style w:type="paragraph" w:customStyle="1" w:styleId="AgendaTitleH2">
    <w:name w:val="Agenda_Title_H2"/>
    <w:basedOn w:val="Normal"/>
    <w:next w:val="Normal"/>
    <w:uiPriority w:val="99"/>
    <w:qFormat/>
    <w:rsid w:val="00320CA3"/>
    <w:pPr>
      <w:keepNext/>
      <w:keepLines/>
      <w:suppressAutoHyphens/>
      <w:ind w:right="5040"/>
      <w:outlineLvl w:val="1"/>
    </w:pPr>
    <w:rPr>
      <w:rFonts w:eastAsiaTheme="minorHAnsi"/>
      <w:b/>
      <w:lang w:val="en-GB"/>
    </w:rPr>
  </w:style>
  <w:style w:type="paragraph" w:customStyle="1" w:styleId="TitleHCH">
    <w:name w:val="Title_H_CH"/>
    <w:basedOn w:val="H1"/>
    <w:next w:val="Normal"/>
    <w:uiPriority w:val="99"/>
    <w:qFormat/>
    <w:rsid w:val="00320C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heme="minorHAnsi"/>
      <w:spacing w:val="-2"/>
      <w:sz w:val="28"/>
      <w:lang w:val="en-GB"/>
    </w:rPr>
  </w:style>
  <w:style w:type="paragraph" w:customStyle="1" w:styleId="Session">
    <w:name w:val="Session"/>
    <w:basedOn w:val="H23"/>
    <w:uiPriority w:val="99"/>
    <w:rsid w:val="00320CA3"/>
    <w:pPr>
      <w:keepNext w:val="0"/>
      <w:keepLines w:val="0"/>
    </w:pPr>
    <w:rPr>
      <w:rFonts w:eastAsiaTheme="minorHAnsi"/>
      <w:spacing w:val="4"/>
      <w:lang w:val="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A56218"/>
    <w:pPr>
      <w:spacing w:after="160"/>
    </w:pPr>
    <w:rPr>
      <w:spacing w:val="0"/>
      <w:w w:val="100"/>
      <w:kern w:val="0"/>
      <w:sz w:val="18"/>
      <w:vertAlign w:val="superscript"/>
      <w:lang w:val="fr-FR" w:eastAsia="fr-FR"/>
    </w:rPr>
  </w:style>
  <w:style w:type="character" w:customStyle="1" w:styleId="SingleTxtGChar">
    <w:name w:val="_ Single Txt_G Char"/>
    <w:link w:val="SingleTxtG"/>
    <w:locked/>
    <w:rsid w:val="00ED37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307C-474F-4216-B045-D9E90C29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12952</Words>
  <Characters>73832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DGAACS User</dc:creator>
  <cp:lastModifiedBy>FTPU Front Desk1</cp:lastModifiedBy>
  <cp:revision>4</cp:revision>
  <cp:lastPrinted>2018-09-07T20:36:00Z</cp:lastPrinted>
  <dcterms:created xsi:type="dcterms:W3CDTF">2018-09-07T20:36:00Z</dcterms:created>
  <dcterms:modified xsi:type="dcterms:W3CDTF">2018-09-11T15:13:00Z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Comment">
    <vt:lpwstr/>
  </property>
  <property fmtid="{D5CDD505-2E9C-101B-9397-08002B2CF9AE}" pid="4" name="DraftPages">
    <vt:lpwstr> </vt:lpwstr>
  </property>
  <property fmtid="{D5CDD505-2E9C-101B-9397-08002B2CF9AE}" pid="5" name="Operator">
    <vt:lpwstr>cde</vt:lpwstr>
  </property>
  <property fmtid="{D5CDD505-2E9C-101B-9397-08002B2CF9AE}" pid="6" name="JobNo">
    <vt:lpwstr>1811297F</vt:lpwstr>
  </property>
  <property fmtid="{D5CDD505-2E9C-101B-9397-08002B2CF9AE}" pid="7" name="ODSRefJobNo">
    <vt:lpwstr>1821630F</vt:lpwstr>
  </property>
  <property fmtid="{D5CDD505-2E9C-101B-9397-08002B2CF9AE}" pid="8" name="Symbol1">
    <vt:lpwstr>CEDAW/C/BHS/Q/6/Add.1</vt:lpwstr>
  </property>
  <property fmtid="{D5CDD505-2E9C-101B-9397-08002B2CF9AE}" pid="9" name="Symbol2">
    <vt:lpwstr/>
  </property>
  <property fmtid="{D5CDD505-2E9C-101B-9397-08002B2CF9AE}" pid="10" name="Category">
    <vt:lpwstr>Document</vt:lpwstr>
  </property>
  <property fmtid="{D5CDD505-2E9C-101B-9397-08002B2CF9AE}" pid="11" name="Release Date">
    <vt:lpwstr/>
  </property>
  <property fmtid="{D5CDD505-2E9C-101B-9397-08002B2CF9AE}" pid="12" name="Session">
    <vt:lpwstr>Soixante et onzième session_x000d_</vt:lpwstr>
  </property>
  <property fmtid="{D5CDD505-2E9C-101B-9397-08002B2CF9AE}" pid="13" name="Agenda">
    <vt:lpwstr>Point 4 de l’ordre du jour provisoire_x000d_</vt:lpwstr>
  </property>
  <property fmtid="{D5CDD505-2E9C-101B-9397-08002B2CF9AE}" pid="14" name="Agenda Title0">
    <vt:lpwstr>Examen des rapports présentés par les États parties en application de l’article 18 de la Convention sur l’élimination de toutes les formes de discrimination à l’égard des femmes_x000d_</vt:lpwstr>
  </property>
  <property fmtid="{D5CDD505-2E9C-101B-9397-08002B2CF9AE}" pid="15" name="Title1">
    <vt:lpwstr>		Liste de points et de questions concernant le sixième rapport périodique des Bahamas_x000d_</vt:lpwstr>
  </property>
</Properties>
</file>