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DDB5" w14:textId="77777777" w:rsidR="003C1FCD" w:rsidRDefault="003C1FCD" w:rsidP="003C1FCD">
      <w:pPr>
        <w:spacing w:line="60" w:lineRule="exact"/>
        <w:rPr>
          <w:color w:val="010000"/>
          <w:sz w:val="2"/>
        </w:rPr>
        <w:sectPr w:rsidR="003C1FCD" w:rsidSect="00936A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1"/>
      </w:r>
    </w:p>
    <w:p w14:paraId="2E4FBD45" w14:textId="77A5338B" w:rsidR="003C1FCD" w:rsidRDefault="008B1346" w:rsidP="00715A33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710"/>
      </w:pPr>
      <w:r w:rsidRPr="00CC0B75">
        <w:t>Комите</w:t>
      </w:r>
      <w:r w:rsidR="00715A33">
        <w:t>т по ликвидации дискриминации в</w:t>
      </w:r>
      <w:r w:rsidR="00715A33">
        <w:rPr>
          <w:lang w:val="en-US"/>
        </w:rPr>
        <w:t> </w:t>
      </w:r>
      <w:r w:rsidRPr="00CC0B75">
        <w:t>отношении женщин</w:t>
      </w:r>
    </w:p>
    <w:p w14:paraId="678CCF56" w14:textId="1FFB04C4" w:rsidR="008B1346" w:rsidRPr="008B1346" w:rsidRDefault="008B1346" w:rsidP="008B1346">
      <w:pPr>
        <w:pStyle w:val="SingleTxt"/>
        <w:spacing w:after="0" w:line="120" w:lineRule="exact"/>
        <w:rPr>
          <w:sz w:val="10"/>
        </w:rPr>
      </w:pPr>
    </w:p>
    <w:p w14:paraId="7BF28F11" w14:textId="23678466" w:rsidR="008B1346" w:rsidRPr="008B1346" w:rsidRDefault="008B1346" w:rsidP="008B1346">
      <w:pPr>
        <w:pStyle w:val="SingleTxt"/>
        <w:spacing w:after="0" w:line="120" w:lineRule="exact"/>
        <w:rPr>
          <w:sz w:val="10"/>
        </w:rPr>
      </w:pPr>
    </w:p>
    <w:p w14:paraId="554F1565" w14:textId="55F4A373" w:rsidR="008B1346" w:rsidRPr="008B1346" w:rsidRDefault="008B1346" w:rsidP="008B1346">
      <w:pPr>
        <w:pStyle w:val="SingleTxt"/>
        <w:spacing w:after="0" w:line="120" w:lineRule="exact"/>
        <w:rPr>
          <w:sz w:val="10"/>
        </w:rPr>
      </w:pPr>
    </w:p>
    <w:p w14:paraId="252F51DD" w14:textId="3ADD21E6" w:rsidR="008B1346" w:rsidRDefault="008B1346" w:rsidP="00EC61B3">
      <w:pPr>
        <w:pStyle w:val="TitleH1"/>
        <w:rPr>
          <w:sz w:val="20"/>
        </w:rPr>
      </w:pPr>
      <w:r>
        <w:tab/>
      </w:r>
      <w:r>
        <w:tab/>
      </w:r>
      <w:r w:rsidRPr="00CC0B75">
        <w:t>Заключительные замечания по шестому периодическому докладу Багамских Островов</w:t>
      </w:r>
      <w:r w:rsidRPr="00AA30E5">
        <w:rPr>
          <w:rStyle w:val="FootnoteReference"/>
          <w:b w:val="0"/>
          <w:sz w:val="20"/>
        </w:rPr>
        <w:footnoteReference w:customMarkFollows="1" w:id="1"/>
        <w:t>*</w:t>
      </w:r>
    </w:p>
    <w:p w14:paraId="58064E1B" w14:textId="6CF4D141" w:rsidR="008B1346" w:rsidRPr="008B1346" w:rsidRDefault="008B1346" w:rsidP="008B1346">
      <w:pPr>
        <w:pStyle w:val="SingleTxt"/>
        <w:spacing w:after="0" w:line="120" w:lineRule="exact"/>
        <w:rPr>
          <w:sz w:val="10"/>
        </w:rPr>
      </w:pPr>
    </w:p>
    <w:p w14:paraId="4E3FFA1F" w14:textId="076B59F2" w:rsidR="008B1346" w:rsidRPr="008B1346" w:rsidRDefault="008B1346" w:rsidP="008B1346">
      <w:pPr>
        <w:pStyle w:val="SingleTxt"/>
        <w:spacing w:after="0" w:line="120" w:lineRule="exact"/>
        <w:rPr>
          <w:sz w:val="10"/>
        </w:rPr>
      </w:pPr>
    </w:p>
    <w:p w14:paraId="0D8A6614" w14:textId="7D4E3422" w:rsidR="008B1346" w:rsidRPr="008B1346" w:rsidRDefault="008B1346" w:rsidP="008B1346">
      <w:pPr>
        <w:pStyle w:val="SingleTxt"/>
      </w:pPr>
      <w:r w:rsidRPr="008B1346">
        <w:t>1.</w:t>
      </w:r>
      <w:r w:rsidRPr="008B1346">
        <w:tab/>
        <w:t>Комитет рассмотрел шестой периодический доклад Багамских Островов (</w:t>
      </w:r>
      <w:hyperlink r:id="rId16" w:history="1">
        <w:r w:rsidRPr="00ED6880">
          <w:rPr>
            <w:rStyle w:val="Hyperlink"/>
          </w:rPr>
          <w:t>CEDAW/C/BHS/6</w:t>
        </w:r>
      </w:hyperlink>
      <w:r w:rsidRPr="008B1346">
        <w:t>) в ходе своих 1635-го и 1636-го заседаний (см. </w:t>
      </w:r>
      <w:hyperlink r:id="rId17" w:history="1">
        <w:r w:rsidRPr="00ED6880">
          <w:rPr>
            <w:rStyle w:val="Hyperlink"/>
          </w:rPr>
          <w:t>CEDAW/C/SR.1635</w:t>
        </w:r>
      </w:hyperlink>
      <w:r w:rsidRPr="008B1346">
        <w:t xml:space="preserve"> и </w:t>
      </w:r>
      <w:hyperlink r:id="rId18" w:history="1">
        <w:r w:rsidRPr="00ED6880">
          <w:rPr>
            <w:rStyle w:val="Hyperlink"/>
          </w:rPr>
          <w:t>CEDAW/C/SR.1636</w:t>
        </w:r>
      </w:hyperlink>
      <w:r w:rsidR="00667E4E">
        <w:t>), состоявшихся 25 октября 2018 </w:t>
      </w:r>
      <w:r w:rsidRPr="008B1346">
        <w:t xml:space="preserve">года. Подготовленный Комитетом перечень тем и вопросов содержится в документе </w:t>
      </w:r>
      <w:hyperlink r:id="rId19" w:history="1">
        <w:r w:rsidRPr="00ED6880">
          <w:rPr>
            <w:rStyle w:val="Hyperlink"/>
          </w:rPr>
          <w:t>CEDAW/C/BHS/Q/6</w:t>
        </w:r>
      </w:hyperlink>
      <w:r w:rsidRPr="008B1346">
        <w:t>, а ответы государства-участника — в документе</w:t>
      </w:r>
      <w:hyperlink r:id="rId20" w:history="1">
        <w:r w:rsidRPr="00ED6880">
          <w:rPr>
            <w:rStyle w:val="Hyperlink"/>
          </w:rPr>
          <w:t xml:space="preserve"> CEDAW/C/BHS/Q/6/Add.1</w:t>
        </w:r>
      </w:hyperlink>
      <w:r w:rsidRPr="008B1346">
        <w:t>.</w:t>
      </w:r>
    </w:p>
    <w:p w14:paraId="5373924D" w14:textId="356BAA3E" w:rsidR="00ED6880" w:rsidRPr="00ED6880" w:rsidRDefault="00ED6880" w:rsidP="00ED68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14:paraId="7E6ECCA9" w14:textId="7BAE72D1" w:rsidR="00ED6880" w:rsidRPr="00ED6880" w:rsidRDefault="00ED6880" w:rsidP="00ED6880">
      <w:pPr>
        <w:pStyle w:val="SingleTxt"/>
        <w:spacing w:after="0" w:line="120" w:lineRule="exact"/>
        <w:rPr>
          <w:sz w:val="10"/>
        </w:rPr>
      </w:pPr>
    </w:p>
    <w:p w14:paraId="117AB894" w14:textId="5BF7FB61" w:rsidR="008B1346" w:rsidRPr="008B1346" w:rsidRDefault="00ED6880" w:rsidP="00ED68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B1346" w:rsidRPr="008B1346">
        <w:t>A.</w:t>
      </w:r>
      <w:r w:rsidR="008B1346" w:rsidRPr="008B1346">
        <w:tab/>
        <w:t>Введение</w:t>
      </w:r>
    </w:p>
    <w:p w14:paraId="5A2A403F" w14:textId="77777777" w:rsidR="00ED6880" w:rsidRPr="00ED6880" w:rsidRDefault="00ED6880" w:rsidP="00ED6880">
      <w:pPr>
        <w:pStyle w:val="SingleTxt"/>
        <w:spacing w:after="0" w:line="120" w:lineRule="exact"/>
        <w:rPr>
          <w:sz w:val="10"/>
        </w:rPr>
      </w:pPr>
    </w:p>
    <w:p w14:paraId="01D72323" w14:textId="77777777" w:rsidR="00ED6880" w:rsidRPr="00ED6880" w:rsidRDefault="00ED6880" w:rsidP="00ED6880">
      <w:pPr>
        <w:pStyle w:val="SingleTxt"/>
        <w:spacing w:after="0" w:line="120" w:lineRule="exact"/>
        <w:rPr>
          <w:sz w:val="10"/>
        </w:rPr>
      </w:pPr>
    </w:p>
    <w:p w14:paraId="2C07B8CB" w14:textId="3C32FFB4" w:rsidR="008B1346" w:rsidRPr="008B1346" w:rsidRDefault="008B1346" w:rsidP="008B1346">
      <w:pPr>
        <w:pStyle w:val="SingleTxt"/>
      </w:pPr>
      <w:r w:rsidRPr="008B1346">
        <w:t>2.</w:t>
      </w:r>
      <w:r w:rsidRPr="008B1346">
        <w:tab/>
        <w:t>Комитет выражает признательность государству — участнику Конвенции за представление им своего шестого периодического доклада. Он также признателен государству-участнику за отчет о принятых мерах (</w:t>
      </w:r>
      <w:hyperlink r:id="rId21" w:history="1">
        <w:r w:rsidR="00832E10">
          <w:rPr>
            <w:rStyle w:val="Hyperlink"/>
          </w:rPr>
          <w:t>CEDAW/C/BHS/CO/1</w:t>
        </w:r>
        <w:r w:rsidR="00832E10">
          <w:rPr>
            <w:rStyle w:val="Hyperlink"/>
          </w:rPr>
          <w:noBreakHyphen/>
        </w:r>
        <w:r w:rsidRPr="00ED6880">
          <w:rPr>
            <w:rStyle w:val="Hyperlink"/>
          </w:rPr>
          <w:t>5/Add.1</w:t>
        </w:r>
      </w:hyperlink>
      <w:r w:rsidRPr="008B1346">
        <w:t xml:space="preserve">) и письменные комментарии по перечню тем и вопросов, поднятых предсессионной рабочей группой, а также за устное выступление делегации и дополнительные разъяснения, представленные в ответ на устные вопросы, заданные Комитетом в ходе диалога. </w:t>
      </w:r>
    </w:p>
    <w:p w14:paraId="3F4911F9" w14:textId="77777777" w:rsidR="008B1346" w:rsidRPr="008B1346" w:rsidRDefault="008B1346" w:rsidP="008B1346">
      <w:pPr>
        <w:pStyle w:val="SingleTxt"/>
      </w:pPr>
      <w:r w:rsidRPr="008B1346">
        <w:t>3.</w:t>
      </w:r>
      <w:r w:rsidRPr="008B1346">
        <w:tab/>
        <w:t>Комитет с удовлетворением отмечает высокий уровень делегации государства-участника, которую возглавил министр социального обеспечения и городского развития г</w:t>
      </w:r>
      <w:r w:rsidRPr="008B1346">
        <w:noBreakHyphen/>
        <w:t>н Фрэнки А. Кэмпбелл. В состав делегации также вошли представители Департамента по гендерным вопросам и делам семьи, Генеральной прокуратуры, Министерства юстиции, Министерства образования, Министерства здравоохранения, Министерства иностранных дел и Постоянного представительства Багамских Островов при Отделении Организации Объединенных Наций и других международных организациях в Женеве.</w:t>
      </w:r>
    </w:p>
    <w:p w14:paraId="49FA3DAE" w14:textId="77777777" w:rsidR="00401D48" w:rsidRPr="00401D48" w:rsidRDefault="00401D48" w:rsidP="00401D48">
      <w:pPr>
        <w:pStyle w:val="SingleTxt"/>
        <w:spacing w:after="0" w:line="120" w:lineRule="exact"/>
        <w:rPr>
          <w:b/>
          <w:sz w:val="10"/>
        </w:rPr>
      </w:pPr>
    </w:p>
    <w:p w14:paraId="1531B5ED" w14:textId="77777777" w:rsidR="00401D48" w:rsidRPr="00401D48" w:rsidRDefault="00401D48" w:rsidP="00401D48">
      <w:pPr>
        <w:pStyle w:val="SingleTxt"/>
        <w:spacing w:after="0" w:line="120" w:lineRule="exact"/>
        <w:rPr>
          <w:b/>
          <w:sz w:val="10"/>
        </w:rPr>
      </w:pPr>
    </w:p>
    <w:p w14:paraId="71434935" w14:textId="23338198" w:rsidR="008B1346" w:rsidRPr="008B1346" w:rsidRDefault="00401D48" w:rsidP="00401D4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B1346" w:rsidRPr="008B1346">
        <w:t>B.</w:t>
      </w:r>
      <w:r w:rsidR="008B1346" w:rsidRPr="008B1346">
        <w:tab/>
        <w:t>Позитивные аспекты</w:t>
      </w:r>
    </w:p>
    <w:p w14:paraId="28186832" w14:textId="77777777" w:rsidR="00401D48" w:rsidRPr="00401D48" w:rsidRDefault="00401D48" w:rsidP="00401D48">
      <w:pPr>
        <w:pStyle w:val="SingleTxt"/>
        <w:spacing w:after="0" w:line="120" w:lineRule="exact"/>
        <w:rPr>
          <w:sz w:val="10"/>
        </w:rPr>
      </w:pPr>
    </w:p>
    <w:p w14:paraId="09AA0F22" w14:textId="77777777" w:rsidR="00401D48" w:rsidRPr="00401D48" w:rsidRDefault="00401D48" w:rsidP="00401D48">
      <w:pPr>
        <w:pStyle w:val="SingleTxt"/>
        <w:spacing w:after="0" w:line="120" w:lineRule="exact"/>
        <w:rPr>
          <w:sz w:val="10"/>
        </w:rPr>
      </w:pPr>
    </w:p>
    <w:p w14:paraId="3D5C6898" w14:textId="09D3EDA6" w:rsidR="008B1346" w:rsidRPr="008B1346" w:rsidRDefault="008B1346" w:rsidP="008B1346">
      <w:pPr>
        <w:pStyle w:val="SingleTxt"/>
      </w:pPr>
      <w:r w:rsidRPr="008B1346">
        <w:t>4.</w:t>
      </w:r>
      <w:r w:rsidRPr="008B1346">
        <w:tab/>
        <w:t>Комитет приветствует прогресс в проведении законодательных реформ, достигнутый после рассмотрения в 2012 году объединенного первоначального — четвертого периодического доклада (</w:t>
      </w:r>
      <w:hyperlink r:id="rId22" w:history="1">
        <w:r w:rsidRPr="00ED6880">
          <w:rPr>
            <w:rStyle w:val="Hyperlink"/>
          </w:rPr>
          <w:t>CEDAW/C/BHS/4</w:t>
        </w:r>
      </w:hyperlink>
      <w:r w:rsidRPr="008B1346">
        <w:t xml:space="preserve">) и пятого </w:t>
      </w:r>
      <w:r w:rsidRPr="008B1346">
        <w:lastRenderedPageBreak/>
        <w:t>периодического доклада (</w:t>
      </w:r>
      <w:hyperlink r:id="rId23" w:history="1">
        <w:r w:rsidRPr="00ED6880">
          <w:rPr>
            <w:rStyle w:val="Hyperlink"/>
          </w:rPr>
          <w:t>CEDAW/C/BHS/5</w:t>
        </w:r>
      </w:hyperlink>
      <w:r w:rsidRPr="008B1346">
        <w:t xml:space="preserve">) государства-участника, и, в частности, принятие следующих законодательных актов: </w:t>
      </w:r>
    </w:p>
    <w:p w14:paraId="1D257041" w14:textId="0F6A2FB1" w:rsidR="008B1346" w:rsidRPr="008B1346" w:rsidRDefault="00667E4E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>Закона (измененной редакции) о преступлениях на сексуальной почве, предусматривающего создание реестра и регистра лиц, совершивших преступления на сексуальной почве, в 2014 году;</w:t>
      </w:r>
    </w:p>
    <w:p w14:paraId="405029B5" w14:textId="77B45B03" w:rsidR="008B1346" w:rsidRPr="008B1346" w:rsidRDefault="00667E4E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>Закона об инвалидах (равных возможностях), в 2014 году.</w:t>
      </w:r>
    </w:p>
    <w:p w14:paraId="5E5CD227" w14:textId="77777777" w:rsidR="008B1346" w:rsidRPr="008B1346" w:rsidRDefault="008B1346" w:rsidP="008B1346">
      <w:pPr>
        <w:pStyle w:val="SingleTxt"/>
      </w:pPr>
      <w:r w:rsidRPr="008B1346">
        <w:t>5.</w:t>
      </w:r>
      <w:r w:rsidRPr="008B1346">
        <w:tab/>
        <w:t>Комитет приветствует усилия государства-участника по совершенствованию его организационной и нормативно-правовой базы в целях ускорения ликвидации дискриминации в отношении женщин и содействия достижению гендерного равенства, в том числе:</w:t>
      </w:r>
    </w:p>
    <w:p w14:paraId="29F7145C" w14:textId="5D146764" w:rsidR="008B1346" w:rsidRPr="008B1346" w:rsidRDefault="00667E4E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 xml:space="preserve">преобразование в 2016 году Бюро по делам женщин с повышением его статуса в Департамент по гендерным вопросам и делам семьи в структуре Министерства социального обеспечения и городского развития и увеличение объема выделяемых ему ресурсов; </w:t>
      </w:r>
    </w:p>
    <w:p w14:paraId="06D4E05F" w14:textId="72CF5758" w:rsidR="008B1346" w:rsidRPr="008B1346" w:rsidRDefault="00667E4E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>создание в 2014 году Национальной комиссии по делам инвалидов;</w:t>
      </w:r>
    </w:p>
    <w:p w14:paraId="2FB052E9" w14:textId="1756BA04" w:rsidR="008B1346" w:rsidRPr="008B1346" w:rsidRDefault="00667E4E" w:rsidP="008B1346">
      <w:pPr>
        <w:pStyle w:val="SingleTxt"/>
      </w:pPr>
      <w:r>
        <w:tab/>
      </w:r>
      <w:r w:rsidR="008B1346" w:rsidRPr="008B1346">
        <w:t>c)</w:t>
      </w:r>
      <w:r w:rsidR="008B1346" w:rsidRPr="008B1346">
        <w:tab/>
        <w:t>создание в 2013 году Национальной целевой группы по борьбе с гендерным насилием и разработку соответствующих стратегического плана и плана внедрения;</w:t>
      </w:r>
    </w:p>
    <w:p w14:paraId="1A69898A" w14:textId="752AE66B" w:rsidR="008B1346" w:rsidRPr="008B1346" w:rsidRDefault="00667E4E" w:rsidP="008B1346">
      <w:pPr>
        <w:pStyle w:val="SingleTxt"/>
      </w:pPr>
      <w:r>
        <w:tab/>
      </w:r>
      <w:r w:rsidR="008B1346" w:rsidRPr="008B1346">
        <w:t>d)</w:t>
      </w:r>
      <w:r w:rsidR="008B1346" w:rsidRPr="008B1346">
        <w:tab/>
        <w:t>создание в 2013 году Межведомственного комитета по борьбе с торговлей людьми и Целевой группы по борьбе с торговлей людьми.</w:t>
      </w:r>
    </w:p>
    <w:p w14:paraId="5DCE4541" w14:textId="77777777" w:rsidR="008B1346" w:rsidRPr="008B1346" w:rsidRDefault="008B1346" w:rsidP="008B1346">
      <w:pPr>
        <w:pStyle w:val="SingleTxt"/>
      </w:pPr>
      <w:r w:rsidRPr="008B1346">
        <w:t>6.</w:t>
      </w:r>
      <w:r w:rsidRPr="008B1346">
        <w:tab/>
        <w:t>Комитет приветствует тот факт, что за истекшее с момента рассмотрения предыдущих докладов время государство-участник ратифицировало следующие международно-правовые документы или присоединилось к ним:</w:t>
      </w:r>
    </w:p>
    <w:p w14:paraId="4D43AB73" w14:textId="09D69534" w:rsidR="008B1346" w:rsidRPr="008B1346" w:rsidRDefault="00667E4E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>Конвенция против пыток и других жестоких, бесчеловечных или унижающих достоинство видов обращения и наказания (в 2018 году);</w:t>
      </w:r>
    </w:p>
    <w:p w14:paraId="381536A4" w14:textId="0826A8F6" w:rsidR="008B1346" w:rsidRPr="008B1346" w:rsidRDefault="00667E4E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>Конвенция о правах инвалидов (в 2015 году);</w:t>
      </w:r>
    </w:p>
    <w:p w14:paraId="20DDFF95" w14:textId="4E2C9A44" w:rsidR="008B1346" w:rsidRPr="008B1346" w:rsidRDefault="00667E4E" w:rsidP="008B1346">
      <w:pPr>
        <w:pStyle w:val="SingleTxt"/>
      </w:pPr>
      <w:r>
        <w:tab/>
      </w:r>
      <w:r w:rsidR="008B1346" w:rsidRPr="008B1346">
        <w:t>c)</w:t>
      </w:r>
      <w:r w:rsidR="008B1346" w:rsidRPr="008B1346">
        <w:tab/>
        <w:t>Факультативный протокол к Конвенции о правах ребенка, касающийся участия детей в вооруженных конфликтах (в 2015 году);</w:t>
      </w:r>
    </w:p>
    <w:p w14:paraId="7FA2ADF9" w14:textId="7A19DB1E" w:rsidR="008B1346" w:rsidRPr="008B1346" w:rsidRDefault="00667E4E" w:rsidP="008B1346">
      <w:pPr>
        <w:pStyle w:val="SingleTxt"/>
      </w:pPr>
      <w:r>
        <w:tab/>
      </w:r>
      <w:r w:rsidR="008B1346" w:rsidRPr="008B1346">
        <w:t>d)</w:t>
      </w:r>
      <w:r w:rsidR="008B1346" w:rsidRPr="008B1346">
        <w:tab/>
        <w:t>Факультативный протокол к Конвенции о правах ребенка, касающийся торговли детьми, детской проституци</w:t>
      </w:r>
      <w:r w:rsidR="001463E0">
        <w:t>и и детской порнографии (в 2015 </w:t>
      </w:r>
      <w:r w:rsidR="008B1346" w:rsidRPr="008B1346">
        <w:t>году).</w:t>
      </w:r>
    </w:p>
    <w:p w14:paraId="0D26EBAD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1EF9282A" w14:textId="292BFB0E" w:rsidR="008B1346" w:rsidRPr="008B1346" w:rsidRDefault="00667E4E" w:rsidP="00667E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B1346" w:rsidRPr="008B1346">
        <w:tab/>
        <w:t>Цели в области устойчивого развития</w:t>
      </w:r>
    </w:p>
    <w:p w14:paraId="351FB846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57868CBA" w14:textId="174B0C33" w:rsidR="008B1346" w:rsidRPr="008B1346" w:rsidRDefault="008B1346" w:rsidP="008B1346">
      <w:pPr>
        <w:pStyle w:val="SingleTxt"/>
      </w:pPr>
      <w:r w:rsidRPr="008B1346">
        <w:t>7.</w:t>
      </w:r>
      <w:r w:rsidRPr="008B1346">
        <w:tab/>
        <w:t>Комитет приветствует поддержку международным сообществом целей в области устойчивого развития и призывает к реализации принципа гендерного равенства де-юре (на законодательном уровне) и де-факто (по существу) в соответствии с положениями Конвенции на протяжении всего процесса претворения в жизнь Повестки дня в области устойчивого развития на период до 2030 года. Комитет напоминает о большом значении цели 5 и о необходимости учета принципов равенства и недискриминации в процессе достижения всех 17 целей. Он настоятельно призывает государство-участник признать женщин движущей силой устойчивого развития страны и принять в этой связи соответствующие меры политики и стратегии.</w:t>
      </w:r>
    </w:p>
    <w:p w14:paraId="530A326D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53129E8C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35457C93" w14:textId="77777777" w:rsidR="00667E4E" w:rsidRDefault="00667E4E">
      <w:pPr>
        <w:spacing w:after="200" w:line="276" w:lineRule="auto"/>
        <w:rPr>
          <w:b/>
          <w:sz w:val="24"/>
        </w:rPr>
      </w:pPr>
      <w:r>
        <w:br w:type="page"/>
      </w:r>
    </w:p>
    <w:p w14:paraId="5FD1A19F" w14:textId="6F9B562A" w:rsidR="008B1346" w:rsidRPr="008B1346" w:rsidRDefault="00667E4E" w:rsidP="00667E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8B1346" w:rsidRPr="008B1346">
        <w:t>C.</w:t>
      </w:r>
      <w:r w:rsidR="008B1346" w:rsidRPr="008B1346">
        <w:tab/>
        <w:t>Парламент</w:t>
      </w:r>
    </w:p>
    <w:p w14:paraId="63355843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48333594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083239BD" w14:textId="2250ACC8" w:rsidR="008B1346" w:rsidRPr="008B1346" w:rsidRDefault="008B1346" w:rsidP="008B1346">
      <w:pPr>
        <w:pStyle w:val="SingleTxt"/>
        <w:rPr>
          <w:b/>
        </w:rPr>
      </w:pPr>
      <w:r w:rsidRPr="008B1346">
        <w:t>8.</w:t>
      </w:r>
      <w:r w:rsidRPr="008B1346">
        <w:tab/>
      </w:r>
      <w:r w:rsidRPr="008B1346">
        <w:rPr>
          <w:b/>
          <w:bCs/>
        </w:rPr>
        <w:t>Комитет подчеркивает важнейшую роль законодательной власти в обеспечении полного осуществления Конвенции (см. </w:t>
      </w:r>
      <w:hyperlink r:id="rId24" w:history="1">
        <w:r w:rsidRPr="00ED6880">
          <w:rPr>
            <w:rStyle w:val="Hyperlink"/>
            <w:b/>
            <w:bCs/>
          </w:rPr>
          <w:t>A/65/38</w:t>
        </w:r>
      </w:hyperlink>
      <w:r w:rsidRPr="008B1346">
        <w:rPr>
          <w:b/>
          <w:bCs/>
        </w:rPr>
        <w:t>, часть вторая, приложение VI)</w:t>
      </w:r>
      <w:r w:rsidRPr="008B1346">
        <w:t xml:space="preserve"> </w:t>
      </w:r>
      <w:r w:rsidRPr="008B1346">
        <w:rPr>
          <w:b/>
          <w:bCs/>
        </w:rPr>
        <w:t>Он предлагает парламенту, в соответствии с его мандатом, предпринять необходимые шаги по выполнению настоящих заключительных замечаний до представления очередного периодического доклада согласно Конвенции.</w:t>
      </w:r>
    </w:p>
    <w:p w14:paraId="45A75333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21639EC5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09DDCD7F" w14:textId="5E20213B" w:rsidR="008B1346" w:rsidRPr="008B1346" w:rsidRDefault="00667E4E" w:rsidP="00667E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B1346" w:rsidRPr="008B1346">
        <w:t>D.</w:t>
      </w:r>
      <w:r w:rsidR="008B1346" w:rsidRPr="008B1346">
        <w:tab/>
        <w:t>Основные вопросы</w:t>
      </w:r>
      <w:r>
        <w:t>, вызывающие обеспокоенность, и </w:t>
      </w:r>
      <w:r w:rsidR="008B1346" w:rsidRPr="008B1346">
        <w:t>рекомендации</w:t>
      </w:r>
    </w:p>
    <w:p w14:paraId="41F20752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1D213FB4" w14:textId="7D0FADA7" w:rsidR="008B1346" w:rsidRPr="008B1346" w:rsidRDefault="008B1346" w:rsidP="00667E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 xml:space="preserve">Оговорки </w:t>
      </w:r>
    </w:p>
    <w:p w14:paraId="6C75FB54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1F95A992" w14:textId="11A7C67A" w:rsidR="008B1346" w:rsidRPr="008B1346" w:rsidRDefault="008B1346" w:rsidP="008B1346">
      <w:pPr>
        <w:pStyle w:val="SingleTxt"/>
      </w:pPr>
      <w:r w:rsidRPr="008B1346">
        <w:t>9.</w:t>
      </w:r>
      <w:r w:rsidRPr="008B1346">
        <w:tab/>
        <w:t xml:space="preserve">Комитет по-прежнему обеспокоен тем, что государство-участник сохраняет оговорки к статье 2 a) об общих юридических обязательствах государств-участников по Конвенции, а также к статье 9 (пункт 2) о гражданстве. </w:t>
      </w:r>
    </w:p>
    <w:p w14:paraId="4B96FCF6" w14:textId="77777777" w:rsidR="008B1346" w:rsidRPr="008B1346" w:rsidRDefault="008B1346" w:rsidP="008B1346">
      <w:pPr>
        <w:pStyle w:val="SingleTxt"/>
        <w:rPr>
          <w:b/>
        </w:rPr>
      </w:pPr>
      <w:r w:rsidRPr="008B1346">
        <w:t>10.</w:t>
      </w:r>
      <w:r w:rsidRPr="008B1346">
        <w:tab/>
      </w:r>
      <w:r w:rsidRPr="008B1346">
        <w:rPr>
          <w:b/>
          <w:bCs/>
        </w:rPr>
        <w:t>Комитет рекомендует государству-участнику продемонстрировать свою приверженность ликвидации всех форм дискриминации в отношении женщин путем снятия оговорок к статьям 2 a) и 9 (пункт 2) в четко установленный срок в целях обеспечения применения Конвенции в государстве-участнике в полном объеме.</w:t>
      </w:r>
    </w:p>
    <w:p w14:paraId="43958476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7A7348AC" w14:textId="0537AA86" w:rsidR="008B1346" w:rsidRPr="008B1346" w:rsidRDefault="008B1346" w:rsidP="00667E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Конституционная и законодательная защита женщин от дискриминации</w:t>
      </w:r>
    </w:p>
    <w:p w14:paraId="6C2E1E96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33B7F07C" w14:textId="5A077C08" w:rsidR="008B1346" w:rsidRPr="008B1346" w:rsidRDefault="008B1346" w:rsidP="008B1346">
      <w:pPr>
        <w:pStyle w:val="SingleTxt"/>
      </w:pPr>
      <w:r w:rsidRPr="008B1346">
        <w:t>11.</w:t>
      </w:r>
      <w:r w:rsidRPr="008B1346">
        <w:tab/>
        <w:t xml:space="preserve">Комитет обеспокоен тем, что четыре законопроекта о поправках к Конституции, направленные на обеспечение гендерного равенства, были отклонены участниками голосования в ходе референдума, проведенного в июне 2016 года. Комитет по-прежнему обеспокоен отсутствием в Конституции и внутреннем законодательстве государства-участника четкого определения дискриминации в отношении женщин и положений о гендерном равенстве в соответствии с Конвенцией. Комитет особенно обеспокоен следующим: </w:t>
      </w:r>
    </w:p>
    <w:p w14:paraId="3291A495" w14:textId="40585EF9" w:rsidR="008B1346" w:rsidRPr="008B1346" w:rsidRDefault="00667E4E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>тем фактом, что в статье 26 (1) Конституции не запрещена дискриминация по признаку пола и женщины не защищены от дискриминации;</w:t>
      </w:r>
    </w:p>
    <w:p w14:paraId="1863B250" w14:textId="19404150" w:rsidR="008B1346" w:rsidRPr="008B1346" w:rsidRDefault="00667E4E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>отсутствием эффективных механизмов и недостаточным объемом выделяемых на государственном уровне бюджетных средств для осуществления и контроля за осуществлением законов, касающихся гендерного равенства;</w:t>
      </w:r>
    </w:p>
    <w:p w14:paraId="43BC53CB" w14:textId="51165F25" w:rsidR="008B1346" w:rsidRPr="008B1346" w:rsidRDefault="00667E4E" w:rsidP="008B1346">
      <w:pPr>
        <w:pStyle w:val="SingleTxt"/>
      </w:pPr>
      <w:r>
        <w:tab/>
      </w:r>
      <w:r w:rsidR="008B1346" w:rsidRPr="008B1346">
        <w:t>c)</w:t>
      </w:r>
      <w:r w:rsidR="008B1346" w:rsidRPr="008B1346">
        <w:tab/>
        <w:t>неспособностью ликвидировать дискриминацию, в частности, перекрестные формы дискриминации, особенно в отношении женщин гаитянского происхождения, мигранток, женщин-инвалидов, лесбиянок, бисексуалок, женщин-трансгендеров и интерсексов, а также женщин, живущих на островах Фэмили.</w:t>
      </w:r>
    </w:p>
    <w:p w14:paraId="2AE77D72" w14:textId="0C014655" w:rsidR="008B1346" w:rsidRPr="008B1346" w:rsidRDefault="008B1346" w:rsidP="008B1346">
      <w:pPr>
        <w:pStyle w:val="SingleTxt"/>
        <w:rPr>
          <w:b/>
        </w:rPr>
      </w:pPr>
      <w:r w:rsidRPr="008B1346">
        <w:t>12.</w:t>
      </w:r>
      <w:r w:rsidRPr="008B1346">
        <w:tab/>
      </w:r>
      <w:r w:rsidRPr="008B1346">
        <w:rPr>
          <w:b/>
          <w:bCs/>
        </w:rPr>
        <w:t>Комитет вновь подтверждает свою предыдущую рекомендацию (</w:t>
      </w:r>
      <w:hyperlink r:id="rId25" w:history="1">
        <w:r w:rsidRPr="00ED6880">
          <w:rPr>
            <w:rStyle w:val="Hyperlink"/>
            <w:b/>
            <w:bCs/>
          </w:rPr>
          <w:t>CEDAW/C/BHS/CO/1-5</w:t>
        </w:r>
      </w:hyperlink>
      <w:r w:rsidRPr="008B1346">
        <w:rPr>
          <w:b/>
          <w:bCs/>
        </w:rPr>
        <w:t>, пункт 14) и рекомендует государству-участнику в соответствии со статьями 1 и 2 Конвенции и общей рекомендацией № 28 (2010), касающейся основных обязательств государств-участников по статье 2 Конвенции о ликвидации всех форм дискриминации в отношении женщин:</w:t>
      </w:r>
    </w:p>
    <w:p w14:paraId="0DC44B12" w14:textId="48A1D613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установить четкие сроки проведения конституционной реформы, обеспечив ей поддержку в виде всеобъемлющей просветительской и информационно-разъяснительной кампании и широкого участия организаций гражданского общества, расширить конституционную защиту от дискриминации в соответствии со статьей 26 (1), включив, по меньшей мере, признаки пола и гендерной принадлежности;</w:t>
      </w:r>
    </w:p>
    <w:p w14:paraId="3E809E0C" w14:textId="039E80C8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безотлагательно обеспечить проведение всеобъемлющего обзора действующего законодательства, предложить всеобъемлющее определение дискриминации в отношении женщин в соответствии с Конвенцией и закрепить принцип гендерного равенства во всех национальных законах;</w:t>
      </w:r>
    </w:p>
    <w:p w14:paraId="673C0826" w14:textId="72BF1F04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обеспечить эффективное соблюдение запрета на дискриминацию по признаку пола и гендерной принадлежности посредством использования надлежащих правоприменительных механизмов и санкций;</w:t>
      </w:r>
    </w:p>
    <w:p w14:paraId="05119930" w14:textId="2915DCA8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принять план действий, включающий надлежащие ресурсы, сроки и поддающиеся измерению целевые показатели, который бы требовал от органов власти осуществления соответствующих законов по предупреждению и искоренению всех видов фактической дискриминации в отношении женщин и девочек, особенно женщин гаитянского происхождения, мигранток и женщин, ищущих убежища, женщин-инвалидов, лесбиянок, бисексуалок, женщин-трансгендеров и интерсексов, а также женщин, живущих на островах Фэмили.</w:t>
      </w:r>
    </w:p>
    <w:p w14:paraId="2541B4A7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0F2E71D3" w14:textId="46BEEAC7" w:rsidR="008B1346" w:rsidRPr="008B1346" w:rsidRDefault="008B1346" w:rsidP="00667E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Доступ к правосудию</w:t>
      </w:r>
    </w:p>
    <w:p w14:paraId="23415C0F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03D165A7" w14:textId="64BC34C5" w:rsidR="008B1346" w:rsidRPr="008B1346" w:rsidRDefault="008B1346" w:rsidP="008B1346">
      <w:pPr>
        <w:pStyle w:val="SingleTxt"/>
      </w:pPr>
      <w:r w:rsidRPr="008B1346">
        <w:t>13.</w:t>
      </w:r>
      <w:r w:rsidRPr="008B1346">
        <w:tab/>
        <w:t xml:space="preserve">Комитет приветствует деятельность государства-участника по организации программ повышения квалификации для сотрудников судебных органов. Вместе с тем он выражает обеспокоенность по поводу ограниченных возможностей полиции и судов в плане рассмотрения жалоб женщин на гендерное насилие с учетом гендерной специфики. Кроме того, Комитет обеспокоен тем, что женщины в государстве-участнике, особенно из неблагополучных групп населения, не осведомлены о своих правах согласно Конвенции и поэтому не располагают информацией, необходимой для отстаивания этих прав. </w:t>
      </w:r>
    </w:p>
    <w:p w14:paraId="13355B69" w14:textId="77777777" w:rsidR="008B1346" w:rsidRPr="008B1346" w:rsidRDefault="008B1346" w:rsidP="008B1346">
      <w:pPr>
        <w:pStyle w:val="SingleTxt"/>
        <w:rPr>
          <w:b/>
        </w:rPr>
      </w:pPr>
      <w:r w:rsidRPr="008B1346">
        <w:t>14.</w:t>
      </w:r>
      <w:r w:rsidRPr="008B1346">
        <w:tab/>
      </w:r>
      <w:r w:rsidRPr="008B1346">
        <w:rPr>
          <w:b/>
          <w:bCs/>
        </w:rPr>
        <w:t>Комитет рекомендует государству-участнику:</w:t>
      </w:r>
      <w:r w:rsidRPr="008B1346">
        <w:t xml:space="preserve"> </w:t>
      </w:r>
    </w:p>
    <w:p w14:paraId="01009747" w14:textId="1D7573E8" w:rsidR="008B1346" w:rsidRPr="008B1346" w:rsidRDefault="00667E4E" w:rsidP="008B1346">
      <w:pPr>
        <w:pStyle w:val="SingleTxt"/>
        <w:rPr>
          <w:b/>
          <w:bCs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укрепить судебную систему, в том числе посредством выделения достаточных людских, технических и финансовых ресурсов, а также путем реализации программ систематического повышения юридической квалификации и наращивания потенциала судей, прокуроров, юристов, сотрудников полиции и других правоохранительных органов по вопросам, касающимся прав женщин и гендерного равенства, и повышать осведомленность в этой области для искоренения дискриминации и стигматизации, с которыми сталкиваются женщины и девочки, отстаивающие свои права;</w:t>
      </w:r>
    </w:p>
    <w:p w14:paraId="0EB820E4" w14:textId="2EE7DF58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обеспечить, чтобы полиция и суды рассматривали жалобы от женщин и девочек о гендерном насилии оперативно, эффективно и с учетом гендерной специфики;</w:t>
      </w:r>
      <w:r w:rsidR="008B1346" w:rsidRPr="008B1346">
        <w:t xml:space="preserve"> </w:t>
      </w:r>
    </w:p>
    <w:p w14:paraId="48D270BE" w14:textId="3263B882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повышать уровень осведомленности женщин об их правах и средствах правовой защиты, имеющихся в их распоряжении в соответствии с Конвенцией, посредством проведения информационно-просветительских кампаний в сотрудничестве с организациями гражданского общества и женскими объединениями на местах.</w:t>
      </w:r>
    </w:p>
    <w:p w14:paraId="353D08A4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4C3C0AEB" w14:textId="36AA1038" w:rsidR="008B1346" w:rsidRPr="008B1346" w:rsidRDefault="008B1346" w:rsidP="00667E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Национальные механизмы по улучшению положения женщин</w:t>
      </w:r>
    </w:p>
    <w:p w14:paraId="55F3C6DE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367BAC18" w14:textId="01813C52" w:rsidR="008B1346" w:rsidRPr="008B1346" w:rsidRDefault="008B1346" w:rsidP="008B1346">
      <w:pPr>
        <w:pStyle w:val="SingleTxt"/>
      </w:pPr>
      <w:r w:rsidRPr="008B1346">
        <w:t>15.</w:t>
      </w:r>
      <w:r w:rsidRPr="008B1346">
        <w:tab/>
        <w:t>Комитет приветствует преобразование в октябре 2016 года Бюро по делам женщин с повышением его статуса в Департамент по гендерным вопросам и делам семьи в структуре Министерства социального обеспечения и городского развития. Вместе с тем Комитет обеспокоен:</w:t>
      </w:r>
    </w:p>
    <w:p w14:paraId="4185DC93" w14:textId="04210B85" w:rsidR="008B1346" w:rsidRPr="008B1346" w:rsidRDefault="00667E4E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>нехваткой людских ресурсов и недостаточным освоением финансовых ресурсов, выделяемых Департаменту по гендерным вопросам и делам семьи;</w:t>
      </w:r>
    </w:p>
    <w:p w14:paraId="476BD4A9" w14:textId="02C3963B" w:rsidR="008B1346" w:rsidRPr="008B1346" w:rsidRDefault="00667E4E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>недостаточными самостоятельностью и полномочиями Департамента для того, чтобы он мог эффективно решать свои задачи;</w:t>
      </w:r>
    </w:p>
    <w:p w14:paraId="0ECA2865" w14:textId="24670FA8" w:rsidR="008B1346" w:rsidRPr="008B1346" w:rsidRDefault="00667E4E" w:rsidP="008B1346">
      <w:pPr>
        <w:pStyle w:val="SingleTxt"/>
      </w:pPr>
      <w:r>
        <w:tab/>
      </w:r>
      <w:r w:rsidR="008B1346" w:rsidRPr="008B1346">
        <w:t>c)</w:t>
      </w:r>
      <w:r w:rsidR="008B1346" w:rsidRPr="008B1346">
        <w:tab/>
        <w:t>слабостью организационной структуры Департамента в том, что касается обеспечения непрерывности осуществления основных программ в области гендерного равенства во всех ветвях и на всех уровнях государственного управления на всей территории страны;</w:t>
      </w:r>
    </w:p>
    <w:p w14:paraId="7C7C6BBA" w14:textId="20D058AE" w:rsidR="008B1346" w:rsidRPr="008B1346" w:rsidRDefault="00667E4E" w:rsidP="008B1346">
      <w:pPr>
        <w:pStyle w:val="SingleTxt"/>
      </w:pPr>
      <w:r>
        <w:tab/>
      </w:r>
      <w:r w:rsidR="008B1346" w:rsidRPr="008B1346">
        <w:t>d)</w:t>
      </w:r>
      <w:r w:rsidR="008B1346" w:rsidRPr="008B1346">
        <w:tab/>
        <w:t>задержками в принятии проекта гендерной политики и проекта стратегического плана для Департамента;</w:t>
      </w:r>
    </w:p>
    <w:p w14:paraId="4C3DB1E2" w14:textId="73E6E1FA" w:rsidR="008B1346" w:rsidRPr="008B1346" w:rsidRDefault="00667E4E" w:rsidP="008B1346">
      <w:pPr>
        <w:pStyle w:val="SingleTxt"/>
      </w:pPr>
      <w:r>
        <w:tab/>
      </w:r>
      <w:r w:rsidR="008B1346" w:rsidRPr="008B1346">
        <w:t>e)</w:t>
      </w:r>
      <w:r w:rsidR="008B1346" w:rsidRPr="008B1346">
        <w:tab/>
        <w:t>недостаточным привлечением организаций гражданского общества к планированию и разработке мер политики, программ и мероприятий, связанных с правами женщин.</w:t>
      </w:r>
    </w:p>
    <w:p w14:paraId="75DE19EB" w14:textId="77777777" w:rsidR="008B1346" w:rsidRPr="008B1346" w:rsidRDefault="008B1346" w:rsidP="008B1346">
      <w:pPr>
        <w:pStyle w:val="SingleTxt"/>
        <w:rPr>
          <w:b/>
        </w:rPr>
      </w:pPr>
      <w:r w:rsidRPr="008B1346">
        <w:t>16.</w:t>
      </w:r>
      <w:r w:rsidRPr="008B1346">
        <w:tab/>
      </w:r>
      <w:r w:rsidRPr="008B1346">
        <w:rPr>
          <w:b/>
          <w:bCs/>
        </w:rPr>
        <w:t>Комитет, напоминая о руководящих указаниях, сформулированных в Пекинской платформе действий, в частности об условиях, необходимых для эффективного функционирования национальных механизмов по улучшению положения женщин, рекомендует государству-участнику:</w:t>
      </w:r>
    </w:p>
    <w:p w14:paraId="64953F02" w14:textId="7B781AB2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организовать учебные курсы по вопросам гендерного равенства и прав женщин для сотрудников Департамента по гендерным вопросам и делам семьи, а также для всех работников, занимающихся смежной проблематикой в министерствах;</w:t>
      </w:r>
      <w:r w:rsidR="008B1346" w:rsidRPr="008B1346">
        <w:t xml:space="preserve"> </w:t>
      </w:r>
    </w:p>
    <w:p w14:paraId="4C9F2CA2" w14:textId="49A507A3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эффективно выявлять направления и области, требующие дополнительных усилий для более эффективного использования финансовых ресурсов, выделяемых Департаменту;</w:t>
      </w:r>
      <w:r w:rsidR="008B1346" w:rsidRPr="008B1346">
        <w:t xml:space="preserve"> </w:t>
      </w:r>
    </w:p>
    <w:p w14:paraId="118014D4" w14:textId="5B22E47C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расширить полномочия и регулирующие и надзорные функции Департамента и обеспечить его самостоятельность для повышения эффективности выполнения его мандата;</w:t>
      </w:r>
    </w:p>
    <w:p w14:paraId="79ABB18C" w14:textId="64A454F1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укрепить организационную структуру Департамента, с тем чтобы он мог выполнять поставленные перед ним задачи, обеспечивая непрерывность выполнения своих функций и основных программ во всех ветвях и на всех уровнях государственного управления;</w:t>
      </w:r>
    </w:p>
    <w:p w14:paraId="4AC75254" w14:textId="34A2FEF3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e)</w:t>
      </w:r>
      <w:r w:rsidR="008B1346" w:rsidRPr="008B1346">
        <w:tab/>
      </w:r>
      <w:r w:rsidR="008B1346" w:rsidRPr="008B1346">
        <w:rPr>
          <w:b/>
          <w:bCs/>
        </w:rPr>
        <w:t>ускорить принятие проекта стратегического плана для Департамента и проекта гендерной политики, включив в нее конкретные показатели и цели, направленные на усиление подотчетности заинтересованных сторон;</w:t>
      </w:r>
    </w:p>
    <w:p w14:paraId="5BAE2DC4" w14:textId="6C1B919C" w:rsidR="008B1346" w:rsidRPr="008B1346" w:rsidRDefault="00667E4E" w:rsidP="008B1346">
      <w:pPr>
        <w:pStyle w:val="SingleTxt"/>
      </w:pPr>
      <w:r>
        <w:tab/>
      </w:r>
      <w:r w:rsidR="008B1346" w:rsidRPr="008B1346">
        <w:t>f)</w:t>
      </w:r>
      <w:r w:rsidR="008B1346" w:rsidRPr="008B1346">
        <w:tab/>
      </w:r>
      <w:r w:rsidR="008B1346" w:rsidRPr="008B1346">
        <w:rPr>
          <w:b/>
          <w:bCs/>
        </w:rPr>
        <w:t>расширить участие организаций гражданского общества в работе всех национальных механизмов, задействованных в осуществлении Конвенции и рекомендаций Комитета, в целях достижения гендерного равенства всеобъемлющим и эффективным образом.</w:t>
      </w:r>
    </w:p>
    <w:p w14:paraId="4408BDAE" w14:textId="77777777" w:rsidR="00667E4E" w:rsidRPr="00667E4E" w:rsidRDefault="00667E4E" w:rsidP="00667E4E">
      <w:pPr>
        <w:pStyle w:val="SingleTxt"/>
        <w:spacing w:after="0" w:line="120" w:lineRule="exact"/>
        <w:rPr>
          <w:b/>
          <w:bCs/>
          <w:sz w:val="10"/>
        </w:rPr>
      </w:pPr>
    </w:p>
    <w:p w14:paraId="441E9C75" w14:textId="225E7008" w:rsidR="008B1346" w:rsidRPr="008B1346" w:rsidRDefault="00667E4E" w:rsidP="00667E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B1346" w:rsidRPr="008B1346">
        <w:t xml:space="preserve">Национальное правозащитное учреждение </w:t>
      </w:r>
    </w:p>
    <w:p w14:paraId="485ACEA6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65650FB1" w14:textId="1BFCB28F" w:rsidR="008B1346" w:rsidRPr="008B1346" w:rsidRDefault="008B1346" w:rsidP="008B1346">
      <w:pPr>
        <w:pStyle w:val="SingleTxt"/>
      </w:pPr>
      <w:r w:rsidRPr="008B1346">
        <w:t>17.</w:t>
      </w:r>
      <w:r w:rsidRPr="008B1346">
        <w:tab/>
        <w:t>Комитет отмечает, что в октябре 2017 года в парламент был внесен проект закона об омбудсмене, который в настоящее время рассматривается с целью обеспечения его соответствия Принципам, касающимся статуса национальных учреждений по поощрению и защите прав человека (Парижским принципам). При этом Комитет вновь выражает обеспокоенность по поводу отсутствия независимого и эффективного национального правозащитного учреждения, наделенного мандатом по обеспечению прав женщин в соответствии с Парижскими принципами.</w:t>
      </w:r>
    </w:p>
    <w:p w14:paraId="7117D54F" w14:textId="27F3DDE8" w:rsidR="008B1346" w:rsidRPr="008B1346" w:rsidRDefault="008B1346" w:rsidP="008B1346">
      <w:pPr>
        <w:pStyle w:val="SingleTxt"/>
        <w:rPr>
          <w:b/>
        </w:rPr>
      </w:pPr>
      <w:r w:rsidRPr="008B1346">
        <w:t>18.</w:t>
      </w:r>
      <w:r w:rsidRPr="008B1346">
        <w:tab/>
      </w:r>
      <w:r w:rsidRPr="008B1346">
        <w:rPr>
          <w:b/>
          <w:bCs/>
        </w:rPr>
        <w:t>Напоминая о своей предыдущей рекомендации (</w:t>
      </w:r>
      <w:hyperlink r:id="rId26" w:history="1">
        <w:r w:rsidR="00667E4E">
          <w:rPr>
            <w:rStyle w:val="Hyperlink"/>
            <w:b/>
            <w:bCs/>
          </w:rPr>
          <w:t>CEDAW/C/BHS/CO/1</w:t>
        </w:r>
        <w:r w:rsidR="00667E4E">
          <w:rPr>
            <w:rStyle w:val="Hyperlink"/>
            <w:b/>
            <w:bCs/>
          </w:rPr>
          <w:noBreakHyphen/>
        </w:r>
        <w:r w:rsidRPr="00ED6880">
          <w:rPr>
            <w:rStyle w:val="Hyperlink"/>
            <w:b/>
            <w:bCs/>
          </w:rPr>
          <w:t>5</w:t>
        </w:r>
      </w:hyperlink>
      <w:r w:rsidRPr="008B1346">
        <w:rPr>
          <w:b/>
          <w:bCs/>
        </w:rPr>
        <w:t>, пункт 40), Комитет рекомендует государству-участнику создать в первоочередном порядке национальное правозащитное учреждение с широкими полномочиями в полном соответствии с Парижскими принципами и предоставить ему достаточные ресурсы и конкретный мандат на обеспечение прав женщин.</w:t>
      </w:r>
    </w:p>
    <w:p w14:paraId="211191E5" w14:textId="77777777" w:rsidR="00667E4E" w:rsidRPr="00667E4E" w:rsidRDefault="00667E4E" w:rsidP="00667E4E">
      <w:pPr>
        <w:pStyle w:val="SingleTxt"/>
        <w:spacing w:after="0" w:line="120" w:lineRule="exact"/>
        <w:rPr>
          <w:b/>
          <w:bCs/>
          <w:sz w:val="10"/>
        </w:rPr>
      </w:pPr>
    </w:p>
    <w:p w14:paraId="3A5F3A00" w14:textId="154B8C0B" w:rsidR="008B1346" w:rsidRPr="008B1346" w:rsidRDefault="00667E4E" w:rsidP="00667E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B1346" w:rsidRPr="008B1346">
        <w:t>Временные специальные меры</w:t>
      </w:r>
    </w:p>
    <w:p w14:paraId="0596B958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7240E70A" w14:textId="0E484549" w:rsidR="008B1346" w:rsidRPr="008B1346" w:rsidRDefault="008B1346" w:rsidP="008B1346">
      <w:pPr>
        <w:pStyle w:val="SingleTxt"/>
      </w:pPr>
      <w:r w:rsidRPr="008B1346">
        <w:t>19.</w:t>
      </w:r>
      <w:r w:rsidRPr="008B1346">
        <w:tab/>
        <w:t>Комитет выражает обеспокоенность в связи с отсутствием всеобъемлющей стратегии по принятию и осуществлению временных специальных мер, направленных на достижение реального равенства женщин и мужчин в государстве-участнике во всех охватываемых Конвенцией областях, в которых женщины недопредставлены или ущемлены, включая политическую и общественную жизнь, образование, занятость и здравоохранение.</w:t>
      </w:r>
    </w:p>
    <w:p w14:paraId="3EEC710E" w14:textId="77777777" w:rsidR="008B1346" w:rsidRPr="008B1346" w:rsidRDefault="008B1346" w:rsidP="008B1346">
      <w:pPr>
        <w:pStyle w:val="SingleTxt"/>
        <w:rPr>
          <w:b/>
        </w:rPr>
      </w:pPr>
      <w:r w:rsidRPr="008B1346">
        <w:t>20.</w:t>
      </w:r>
      <w:r w:rsidRPr="008B1346">
        <w:tab/>
      </w:r>
      <w:r w:rsidRPr="008B1346">
        <w:rPr>
          <w:b/>
          <w:bCs/>
        </w:rPr>
        <w:t>Комитет рекомендует государству-участнику шире использовать временные специальные меры в качестве средства ускорения достижения гендерного равенства в соответствии со статьей 4 (пункт 1) Конвенции и общей рекомендацией Комитета № 25 (2004) о временных специальных мерах, в том числе путем задействования секторальных стратегий, задач, среднесрочных планов и путей и методов достижения целей в области устойчивого развития, и рассмотреть вопрос о введении квот и принятие других инициативных мер, подкрепленных стимулами и санкциями за несоблюдение, в целях достижения реального равенства женщин и мужчин во всех областях, охватываемых Конвенцией, в которых женщины недопредставлены или ущемлены, таких как общественная и политическая жизнь, образование, здравоохранение и занятость.</w:t>
      </w:r>
      <w:r w:rsidRPr="008B1346">
        <w:t xml:space="preserve"> </w:t>
      </w:r>
    </w:p>
    <w:p w14:paraId="7DFDE9BE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0FB9FAD5" w14:textId="025124D0" w:rsidR="008B1346" w:rsidRPr="008B1346" w:rsidRDefault="008B1346" w:rsidP="00667E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Стереотипы и вредные виды практики</w:t>
      </w:r>
    </w:p>
    <w:p w14:paraId="5B018E5C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6CD88190" w14:textId="10FD2859" w:rsidR="008B1346" w:rsidRPr="008B1346" w:rsidRDefault="008B1346" w:rsidP="008B1346">
      <w:pPr>
        <w:pStyle w:val="SingleTxt"/>
      </w:pPr>
      <w:r w:rsidRPr="008B1346">
        <w:t>21.</w:t>
      </w:r>
      <w:r w:rsidRPr="008B1346">
        <w:tab/>
        <w:t>Комитет с удовлетворением отмечает, что учебная программа по вопросам охраны здоровья и семейной жизни содержит раздел, посвященный борьбе с дискриминационными гендерными стереотипами. Он также отмечает, что проект плана осуществления гендерной политики будет включать всеобъемлющую стратегию по искоренению дискриминационных стереотипов и вредных видов практики. В то же время глубокую обеспокоенность Комитета по-прежнему вызывает следующее:</w:t>
      </w:r>
    </w:p>
    <w:p w14:paraId="48EF5664" w14:textId="65BF49D1" w:rsidR="008B1346" w:rsidRPr="008B1346" w:rsidRDefault="00667E4E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>сохранение глубоко укоренившихся патриархальных взглядов и дискриминационных стереотипов в отношении роли и обязанностей женщин и мужчин в семье и обществе: следствием этого является то, что население недостаточно осведомлено о правах женщин и гендерном равенстве и эти вопросы не обсуждаются в обществе в должной мере;</w:t>
      </w:r>
    </w:p>
    <w:p w14:paraId="20D21585" w14:textId="767FD46D" w:rsidR="008B1346" w:rsidRPr="008B1346" w:rsidRDefault="00667E4E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 xml:space="preserve">тот факт, что стереотипы также являются фундаментальными причинами насилия в отношении женщин, и то, что государство-участник не приняло последовательных мер по изменению или искоренению дискриминационных стереотипов в отношении женщин, особенно женщин из неблагополучных групп населения. </w:t>
      </w:r>
    </w:p>
    <w:p w14:paraId="369044F7" w14:textId="77777777" w:rsidR="008B1346" w:rsidRPr="008B1346" w:rsidRDefault="008B1346" w:rsidP="008B1346">
      <w:pPr>
        <w:pStyle w:val="SingleTxt"/>
        <w:rPr>
          <w:b/>
        </w:rPr>
      </w:pPr>
      <w:r w:rsidRPr="008B1346">
        <w:t>22.</w:t>
      </w:r>
      <w:r w:rsidRPr="008B1346">
        <w:tab/>
        <w:t>Комитет рекомендует государству-участнику:</w:t>
      </w:r>
    </w:p>
    <w:p w14:paraId="57B293AB" w14:textId="21056351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безотлагательно принять план осуществления проекта гендерной политики и соответствующую всеобъемлющую стратегию, предусматривающие принятие инициативных и последовательных мер, направленных на борьбу с дискриминационными стереотипами и вредными видами практики в школах, средствах массовой информации и общественных местах;</w:t>
      </w:r>
      <w:bookmarkStart w:id="2" w:name="_Hlk531004734"/>
      <w:bookmarkEnd w:id="2"/>
    </w:p>
    <w:p w14:paraId="78D7DC16" w14:textId="66BFEEDE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более активно проводить информационно-просветительские кампании в отношении гендерных стереотипов среди всех государственных должностных лиц, общинных и религиозных лидеров и широкой общественности;</w:t>
      </w:r>
    </w:p>
    <w:p w14:paraId="0C233773" w14:textId="6C3BAFAF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усилить воспитательную работу в области гендерных стереотипов, предрассудков и гендерных ролей в семейных отношениях в начальной и средней школе;</w:t>
      </w:r>
    </w:p>
    <w:p w14:paraId="3E12E934" w14:textId="48CFC223" w:rsidR="008B1346" w:rsidRPr="008B1346" w:rsidRDefault="00667E4E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разработать план действий по искоренению дискриминационных гендерных стереотипов, провоцирующих насилие в отношении женщин и девочек, и создать механизм мониторинга для оценки действенности соответствующих мер, особенно в отношении женщин и девочек, сталкивающихся со множественными и перекрестными формами дискриминации.</w:t>
      </w:r>
    </w:p>
    <w:p w14:paraId="6B986384" w14:textId="77777777" w:rsidR="00667E4E" w:rsidRPr="00667E4E" w:rsidRDefault="00667E4E" w:rsidP="00667E4E">
      <w:pPr>
        <w:pStyle w:val="SingleTxt"/>
        <w:spacing w:after="0" w:line="120" w:lineRule="exact"/>
        <w:rPr>
          <w:b/>
          <w:sz w:val="10"/>
        </w:rPr>
      </w:pPr>
    </w:p>
    <w:p w14:paraId="76895318" w14:textId="65579267" w:rsidR="008B1346" w:rsidRPr="008B1346" w:rsidRDefault="008B1346" w:rsidP="00667E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Гендерное насилие в отношении женщин</w:t>
      </w:r>
    </w:p>
    <w:p w14:paraId="27D3680B" w14:textId="77777777" w:rsidR="00667E4E" w:rsidRPr="00667E4E" w:rsidRDefault="00667E4E" w:rsidP="00667E4E">
      <w:pPr>
        <w:pStyle w:val="SingleTxt"/>
        <w:spacing w:after="0" w:line="120" w:lineRule="exact"/>
        <w:rPr>
          <w:sz w:val="10"/>
        </w:rPr>
      </w:pPr>
    </w:p>
    <w:p w14:paraId="0D45AC71" w14:textId="502EA096" w:rsidR="008B1346" w:rsidRPr="008B1346" w:rsidRDefault="008B1346" w:rsidP="008B1346">
      <w:pPr>
        <w:pStyle w:val="SingleTxt"/>
      </w:pPr>
      <w:r w:rsidRPr="008B1346">
        <w:t>23.</w:t>
      </w:r>
      <w:r w:rsidRPr="008B1346">
        <w:tab/>
        <w:t>Комитет приветствует принятые государством-участником меры по борьбе с гендерным насилием в отношении женщин и девочек, в том числе создание Группы по консультированию и вопросам домашнего насилия, учреждение Национальной целевой группы по вопросам гендерного насилия и разработку проекта национального стратегического плана по борьбе с гендерным насилием. Он также приветствует меры, принятые Королевской полицией Багамских Островов и судебными органами, такие как создание Группы по борьбе с преступлениями на сексуальной почве в составе прокуратуры и инициатива «Оперативное правосудие», нацеленная на устранение задержек в доступе к правосудию. Вместе с тем у Комитета вызывают обеспокоенность следующие проблемы:</w:t>
      </w:r>
    </w:p>
    <w:p w14:paraId="44F5341B" w14:textId="02DBD81F" w:rsidR="008B1346" w:rsidRPr="008B1346" w:rsidRDefault="00AA30E5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>широкая распространенность гендерного насилия в отношении женщин и девочек, включая домашнее и сексуальное насилие и изнасилования, и высокое число регистрируемых преступлений на почве ненависти в отношении женщин из числа лесбиянок, бисексуалок и трансгендеров, а также интерсексов, которые в культурном плане по-прежнему считаются приемлемыми и о которых не всегда сообщается;</w:t>
      </w:r>
    </w:p>
    <w:p w14:paraId="0DDCCD79" w14:textId="46FEBCB2" w:rsidR="008B1346" w:rsidRPr="008B1346" w:rsidRDefault="00AA30E5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>отсутствие всеобъемлющего законодательства по борьбе с насилием в отношении женщин и задержки в завершении разработки и принятии проекта закона о гендерном насилии и проекта национального стратегического плана по борьбе с гендерным насилием;</w:t>
      </w:r>
    </w:p>
    <w:p w14:paraId="6AC35061" w14:textId="3599C6EE" w:rsidR="008B1346" w:rsidRPr="008B1346" w:rsidRDefault="00AA30E5" w:rsidP="008B1346">
      <w:pPr>
        <w:pStyle w:val="SingleTxt"/>
      </w:pPr>
      <w:r>
        <w:tab/>
      </w:r>
      <w:r w:rsidR="008B1346" w:rsidRPr="008B1346">
        <w:t>c)</w:t>
      </w:r>
      <w:r w:rsidR="008B1346" w:rsidRPr="008B1346">
        <w:tab/>
        <w:t>задержки с принятием проекта поправок к Закону о преступлениях на сексуальной почве, полностью соответствующих общей рекомендации № 35 (2017) о гендерном насилии в отношении женщин, предназначенной для обновления общей рекомендации № 19, а также предлагаемая поправка, ограничивающая право обращения в правоохранительные органы по поводу изнасилования в браке сроком в один год с момента его совершения;</w:t>
      </w:r>
    </w:p>
    <w:p w14:paraId="61EF86A2" w14:textId="67716B7B" w:rsidR="008B1346" w:rsidRPr="008B1346" w:rsidRDefault="00AA30E5" w:rsidP="008B1346">
      <w:pPr>
        <w:pStyle w:val="SingleTxt"/>
      </w:pPr>
      <w:r>
        <w:tab/>
      </w:r>
      <w:r w:rsidR="008B1346" w:rsidRPr="008B1346">
        <w:t>d)</w:t>
      </w:r>
      <w:r w:rsidR="008B1346" w:rsidRPr="008B1346">
        <w:tab/>
        <w:t>задержка и отсутствие конкретных сроков создания реестра и регистра лиц, совершивших преступления на сексуальной почве;</w:t>
      </w:r>
    </w:p>
    <w:p w14:paraId="3D0CD62F" w14:textId="0535316B" w:rsidR="008B1346" w:rsidRPr="008B1346" w:rsidRDefault="00AA30E5" w:rsidP="008B1346">
      <w:pPr>
        <w:pStyle w:val="SingleTxt"/>
      </w:pPr>
      <w:r>
        <w:tab/>
      </w:r>
      <w:r w:rsidR="008B1346" w:rsidRPr="008B1346">
        <w:t>e)</w:t>
      </w:r>
      <w:r w:rsidR="008B1346" w:rsidRPr="008B1346">
        <w:tab/>
        <w:t>массовое применение телесных наказаний в качестве традиционной меры дисциплинарного воздействия на детей в школе и семье;</w:t>
      </w:r>
    </w:p>
    <w:p w14:paraId="3081A10B" w14:textId="64B58047" w:rsidR="008B1346" w:rsidRPr="008B1346" w:rsidRDefault="00AA30E5" w:rsidP="008B1346">
      <w:pPr>
        <w:pStyle w:val="SingleTxt"/>
      </w:pPr>
      <w:r>
        <w:tab/>
      </w:r>
      <w:r w:rsidR="008B1346" w:rsidRPr="008B1346">
        <w:t>f)</w:t>
      </w:r>
      <w:r w:rsidR="008B1346" w:rsidRPr="008B1346">
        <w:tab/>
        <w:t>значительное число накопившихся в судах нерассмотренных дел о насилии в отношении женщин и девочек;</w:t>
      </w:r>
    </w:p>
    <w:p w14:paraId="780BDFE9" w14:textId="22071CA8" w:rsidR="008B1346" w:rsidRPr="008B1346" w:rsidRDefault="00AA30E5" w:rsidP="008B1346">
      <w:pPr>
        <w:pStyle w:val="SingleTxt"/>
      </w:pPr>
      <w:r>
        <w:tab/>
      </w:r>
      <w:r w:rsidR="008B1346" w:rsidRPr="008B1346">
        <w:t>g)</w:t>
      </w:r>
      <w:r w:rsidR="008B1346" w:rsidRPr="008B1346">
        <w:tab/>
        <w:t>недостаточное число государственных приютов для женщин и девочек, ставших жертвами гендерного и сексуального насилия;</w:t>
      </w:r>
    </w:p>
    <w:p w14:paraId="7A99E155" w14:textId="05E30BFD" w:rsidR="008B1346" w:rsidRPr="008B1346" w:rsidRDefault="00AA30E5" w:rsidP="008B1346">
      <w:pPr>
        <w:pStyle w:val="SingleTxt"/>
      </w:pPr>
      <w:r>
        <w:tab/>
      </w:r>
      <w:r w:rsidR="008B1346" w:rsidRPr="008B1346">
        <w:t>h)</w:t>
      </w:r>
      <w:r w:rsidR="008B1346" w:rsidRPr="008B1346">
        <w:tab/>
        <w:t>отсутствие данных о расследованных и рассмотренных в суде делах о насилии в отношении женщин и девочек в государстве-участнике, а также о санкциях, примененных в отношении виновных, с разбивкой по возрасту и типу отношений между жертвой и преступником.</w:t>
      </w:r>
    </w:p>
    <w:p w14:paraId="7C666519" w14:textId="77777777" w:rsidR="008B1346" w:rsidRPr="008B1346" w:rsidRDefault="008B1346" w:rsidP="008B1346">
      <w:pPr>
        <w:pStyle w:val="SingleTxt"/>
        <w:rPr>
          <w:b/>
        </w:rPr>
      </w:pPr>
      <w:r w:rsidRPr="008B1346">
        <w:t>24.</w:t>
      </w:r>
      <w:r w:rsidRPr="008B1346">
        <w:tab/>
      </w:r>
      <w:r w:rsidRPr="008B1346">
        <w:rPr>
          <w:b/>
          <w:bCs/>
        </w:rPr>
        <w:t>Ссылаясь на свою общую рекомендацию № 35 и руководствуясь задачей 5.2 целей в области устойчивого развития, предусматривающей ликвидацию всех форм насилия в отношении всех женщин и девочек в публичной и частной сферах, Комитет рекомендует государству-участнику:</w:t>
      </w:r>
      <w:r w:rsidRPr="008B1346">
        <w:t xml:space="preserve"> </w:t>
      </w:r>
    </w:p>
    <w:p w14:paraId="7F416D95" w14:textId="724F89CD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разработать и осуществить комплексные меры в целях предотвращения и искоренения гендерного насилия в отношении женщин и девочек, особенно домашнего и сексуального насилия и изнасилований, провести анализ статистики зарегистрированных преступлений в отношении женщин из числа лесбиянок, бисексуалок и трансгендеров, а также интерсексов и активизировать усилия, направленные на изменение социальных норм и культурных представлений, из-за которых гендерное насилие воспринимается как приемлемое с культурной точки зрения;</w:t>
      </w:r>
      <w:r w:rsidR="008B1346" w:rsidRPr="008B1346">
        <w:t xml:space="preserve"> </w:t>
      </w:r>
    </w:p>
    <w:p w14:paraId="0C15F6ED" w14:textId="706673B5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ускорить принятие всеобъемлющего законопроекта по борьбе с гендерным насилием и проекта национального стратегического плана по борьбе с гендерным насилием согласно общей рекомендации Комитета № 35;</w:t>
      </w:r>
    </w:p>
    <w:p w14:paraId="41AE9712" w14:textId="2571D8DF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безотлагательно принять поправки к Закону о преступлениях на сексуальной почве, явным образом устанавливающие уголовную ответственность за изнасилование в браке, снять любые ограничения по срокам на право обращения в правоохранительные органы в связи с изнасилованием в браке в проекте поправок к Закону о преступлениях на сексуальной почве и создать реестр и регистр лиц, совершивших преступления на сексуальной почве;</w:t>
      </w:r>
    </w:p>
    <w:p w14:paraId="61E6777C" w14:textId="1B99AF11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запретить де-юре и де-факто применение телесных наказаний в отношении девочек в школах и в семье и более активно проводить информационно-просветительские программы в целях поощрения ненасильственных форм воспитания детей и поддержания дисциплины;</w:t>
      </w:r>
      <w:r w:rsidR="008B1346" w:rsidRPr="008B1346">
        <w:t xml:space="preserve"> </w:t>
      </w:r>
      <w:bookmarkStart w:id="3" w:name="_Hlk531029125"/>
      <w:bookmarkEnd w:id="3"/>
    </w:p>
    <w:p w14:paraId="6182CA1A" w14:textId="71DDE0A9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e)</w:t>
      </w:r>
      <w:r w:rsidR="008B1346" w:rsidRPr="008B1346">
        <w:tab/>
      </w:r>
      <w:r w:rsidR="008B1346" w:rsidRPr="008B1346">
        <w:rPr>
          <w:b/>
          <w:bCs/>
        </w:rPr>
        <w:t>обеспечить, чтобы по случаям гендерного насилия в отношении женщин и девочек проводилось эффективное расследование, чтобы виновные привлекались к уголовной ответственности и чтобы выносимые им приговоры соответствовали тяжести совершенных преступлений;</w:t>
      </w:r>
    </w:p>
    <w:p w14:paraId="71904386" w14:textId="6800AA27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f)</w:t>
      </w:r>
      <w:r w:rsidR="008B1346" w:rsidRPr="008B1346">
        <w:tab/>
      </w:r>
      <w:r w:rsidR="008B1346" w:rsidRPr="008B1346">
        <w:rPr>
          <w:b/>
          <w:bCs/>
        </w:rPr>
        <w:t>организовать обязательное повышение квалификации для судей, прокуроров, адвокатов, сотрудников полиции и сотрудников других правоохранительных органов по вопросам, касающимся строгого применения законодательства, предусматривающего уголовную ответственность за гендерное насилие в отношении женщин и девочек, и применения при взаимодействии с женщинами и девочками, ставшими жертвами такого насилия, методов и процедур, учитывающих гендерную специфику;</w:t>
      </w:r>
    </w:p>
    <w:p w14:paraId="467B6417" w14:textId="7C8C969F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g)</w:t>
      </w:r>
      <w:r w:rsidR="008B1346" w:rsidRPr="008B1346">
        <w:tab/>
      </w:r>
      <w:r w:rsidR="008B1346" w:rsidRPr="008B1346">
        <w:rPr>
          <w:b/>
          <w:bCs/>
        </w:rPr>
        <w:t>предоставлять надлежащую помощь, защиту и реабилитацию женщинам, ставшим жертвами насилия, в том числе путем расширения возможностей существующих приютов и укрепления сотрудничества с неправительственными организациями, предоставляющими жертвам приют и услуги по реабилитации, и содействия их финансированию;</w:t>
      </w:r>
    </w:p>
    <w:p w14:paraId="06BB9C4D" w14:textId="387B46A7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h)</w:t>
      </w:r>
      <w:r w:rsidR="008B1346" w:rsidRPr="008B1346">
        <w:tab/>
      </w:r>
      <w:r w:rsidR="008B1346" w:rsidRPr="008B1346">
        <w:rPr>
          <w:b/>
          <w:bCs/>
        </w:rPr>
        <w:t>обеспечить сбор статистических данных о случаях домашнего, сексуального и иных форм гендерного насилия в отношении женщин и девочек с разбивкой по возрасту и типу отношений между жертвой и преступником.</w:t>
      </w:r>
      <w:r w:rsidR="008B1346" w:rsidRPr="008B1346">
        <w:t xml:space="preserve"> </w:t>
      </w:r>
    </w:p>
    <w:p w14:paraId="28EBCD52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6667F68F" w14:textId="6C5235EE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 xml:space="preserve">Торговля людьми и эксплуатация проституции </w:t>
      </w:r>
    </w:p>
    <w:p w14:paraId="5483515F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3D6ABBD1" w14:textId="79307EF4" w:rsidR="008B1346" w:rsidRPr="008B1346" w:rsidRDefault="008B1346" w:rsidP="008B1346">
      <w:pPr>
        <w:pStyle w:val="SingleTxt"/>
      </w:pPr>
      <w:r w:rsidRPr="008B1346">
        <w:t>25.</w:t>
      </w:r>
      <w:r w:rsidRPr="008B1346">
        <w:tab/>
        <w:t xml:space="preserve">Комитет приветствует различные инициативы по борьбе с торговлей людьми, а также меры, принимаемые государством-участником, включая создание Межведомственного комитета по борьбе с торговлей людьми и Целевой группы по проблемам торговли людьми. Вместе с тем он по-прежнему обеспокоен низким числом передаваемых в суд дел, связанных с торговлей людьми, и отсутствием исследований в области тенденций и масштабов торговли женщинами и девочками в государстве-участнике. </w:t>
      </w:r>
    </w:p>
    <w:p w14:paraId="42B42208" w14:textId="77777777" w:rsidR="008B1346" w:rsidRPr="008B1346" w:rsidRDefault="008B1346" w:rsidP="008B1346">
      <w:pPr>
        <w:pStyle w:val="SingleTxt"/>
        <w:rPr>
          <w:b/>
        </w:rPr>
      </w:pPr>
      <w:r w:rsidRPr="008B1346">
        <w:t>26.</w:t>
      </w:r>
      <w:r w:rsidRPr="008B1346">
        <w:tab/>
        <w:t>Комитет рекомендует государству-участнику:</w:t>
      </w:r>
    </w:p>
    <w:p w14:paraId="138A7655" w14:textId="4CD597BB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повышать уровень компетентности сотрудников судебных и правоохранительных органов, пограничной полиции, социальных работников и медицинского персонала в вопросах выявления и безотлагательного направления женщин и девочек, ставших жертвами торговли людьми, в соответствующие социальные службы и соблюдения при обращении с ними правил, учитывающих гендерную специфику;</w:t>
      </w:r>
    </w:p>
    <w:p w14:paraId="41EA6429" w14:textId="392AC231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активизировать усилия по исполнению Закона 2008 года о предотвращении и искоренении торговли людьми, увеличить объем финансирования программ Межведомственного комитета и Целевой группы, направленных на борьбу с торговлей людьми, и ускорить создание секретариата по вопросам борьбы с торговлей людьми, укомплектовав эти органы подготовленными специалистами, способными эффективно выполнять их мандат;</w:t>
      </w:r>
    </w:p>
    <w:p w14:paraId="58114518" w14:textId="3868A2CD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провести исследование в целях определения базового уровня в отношении тенденций и масштабов торговли женщинами и девочками в государстве-участнике.</w:t>
      </w:r>
    </w:p>
    <w:p w14:paraId="29949F82" w14:textId="77777777" w:rsidR="008B1346" w:rsidRPr="008B1346" w:rsidRDefault="008B1346" w:rsidP="008B1346">
      <w:pPr>
        <w:pStyle w:val="SingleTxt"/>
      </w:pPr>
      <w:r w:rsidRPr="008B1346">
        <w:t>27.</w:t>
      </w:r>
      <w:r w:rsidRPr="008B1346">
        <w:tab/>
        <w:t xml:space="preserve">Комитет по-прежнему обеспокоен тем, что Законом о преступлениях на сексуальной почве и домашнем насилии предусмотрена уголовная ответственность за занятие проституцией, отсутствием информации о масштабах этого явления и численности женщин, занимающихся проституцией в государстве-участнике, и, следовательно, подпадающих под действие Закона, а также отсутствием информации о программах поддержки женщин, желающих оставить занятие проституцией. Кроме того, Комитет выражает обеспокоенность по поводу масштабов вовлечения детей в проституцию и производство детской порнографии, в том числе в контексте туризма. </w:t>
      </w:r>
    </w:p>
    <w:p w14:paraId="45B80662" w14:textId="5194DB81" w:rsidR="008B1346" w:rsidRPr="008B1346" w:rsidRDefault="008B1346" w:rsidP="008B1346">
      <w:pPr>
        <w:pStyle w:val="SingleTxt"/>
        <w:rPr>
          <w:b/>
        </w:rPr>
      </w:pPr>
      <w:r w:rsidRPr="008B1346">
        <w:t>28.</w:t>
      </w:r>
      <w:r w:rsidRPr="008B1346">
        <w:tab/>
      </w:r>
      <w:r w:rsidRPr="008B1346">
        <w:rPr>
          <w:b/>
          <w:bCs/>
        </w:rPr>
        <w:t>Комитет повторяет свою предыдущую рекомендацию (</w:t>
      </w:r>
      <w:hyperlink r:id="rId27" w:history="1">
        <w:r w:rsidRPr="00ED6880">
          <w:rPr>
            <w:rStyle w:val="Hyperlink"/>
            <w:b/>
            <w:bCs/>
          </w:rPr>
          <w:t>CEDAW/C/BHS/CO/1-5</w:t>
        </w:r>
      </w:hyperlink>
      <w:r w:rsidRPr="008B1346">
        <w:rPr>
          <w:b/>
          <w:bCs/>
        </w:rPr>
        <w:t>, пункт 26) и рекомендует государству-участнику:</w:t>
      </w:r>
      <w:r w:rsidRPr="008B1346">
        <w:t xml:space="preserve"> </w:t>
      </w:r>
    </w:p>
    <w:p w14:paraId="3FD9B45E" w14:textId="213A5383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отменить уголовную ответственность за проституцию;</w:t>
      </w:r>
    </w:p>
    <w:p w14:paraId="1DE96107" w14:textId="55A2958A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работать над устранением первопричин эксплуатации вовлеченных в проституцию женщин и девочек, предоставляя женщинам, которым угрожает опасность стать жертвами эксплуатации, особенно девочкам из бедных семей, вынужденным заниматься проституцией, чтобы добыть средства к существованию для своих семей, возможности для получения образования и альтернативных источников дохода, а также организуя программы помощи женщинам, желающим оставить занятие проституцией, включая стратегии социальной и профессиональной реинтеграции.</w:t>
      </w:r>
    </w:p>
    <w:p w14:paraId="1D3C0C15" w14:textId="594FBDE0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принять все необходимые меры для искоренения детской порнографии, в том числе в контексте туризма, и повышать информированность субъектов, непосредственно связанных с индустрией туризма, по вопросам детей и особенно девочек, занятых в связанных с туризмом видах деятельности, которые находятся в группе риска и могут стать жертвами коммерческой сексуальной эксплуатации;</w:t>
      </w:r>
    </w:p>
    <w:p w14:paraId="62A474DF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23A8407F" w14:textId="6334260C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 xml:space="preserve">Участие в политической и общественной жизни </w:t>
      </w:r>
    </w:p>
    <w:p w14:paraId="444428EF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08BF0AD4" w14:textId="5A247909" w:rsidR="008B1346" w:rsidRPr="008B1346" w:rsidRDefault="008B1346" w:rsidP="008B1346">
      <w:pPr>
        <w:pStyle w:val="SingleTxt"/>
      </w:pPr>
      <w:r w:rsidRPr="008B1346">
        <w:t>29.</w:t>
      </w:r>
      <w:r w:rsidRPr="008B1346">
        <w:tab/>
        <w:t xml:space="preserve">Комитет по-прежнему обеспокоен низким уровнем участия женщин в политической и общественной жизни, в частности на руководящих должностях, что может быть отчасти связано с патриархальными взглядами, недостатком таких мер, как гарантированные законом квоты или паритетная система при назначении на политические должности, ограниченным доступом к политическим сетям и недостаточно широким осуществлением программ по развитию у женщин лидерских и политических навыков. </w:t>
      </w:r>
    </w:p>
    <w:p w14:paraId="240F0D75" w14:textId="56B5D5FA" w:rsidR="008B1346" w:rsidRPr="008B1346" w:rsidRDefault="008B1346" w:rsidP="008B1346">
      <w:pPr>
        <w:pStyle w:val="SingleTxt"/>
        <w:rPr>
          <w:b/>
        </w:rPr>
      </w:pPr>
      <w:r w:rsidRPr="008B1346">
        <w:t>30.</w:t>
      </w:r>
      <w:r w:rsidRPr="008B1346">
        <w:tab/>
      </w:r>
      <w:r w:rsidRPr="008B1346">
        <w:rPr>
          <w:b/>
          <w:bCs/>
        </w:rPr>
        <w:t>В соответствии со своей общей рекомендацией № 23 (1997) о женщинах в политической и общественной жизни Комитет вновь ссылается на свою предыдущую рекомендацию (</w:t>
      </w:r>
      <w:hyperlink r:id="rId28" w:history="1">
        <w:r w:rsidRPr="00ED6880">
          <w:rPr>
            <w:rStyle w:val="Hyperlink"/>
            <w:b/>
            <w:bCs/>
          </w:rPr>
          <w:t>CEDAW/C/BHS/CO/1-5</w:t>
        </w:r>
      </w:hyperlink>
      <w:r w:rsidRPr="008B1346">
        <w:rPr>
          <w:b/>
          <w:bCs/>
        </w:rPr>
        <w:t>, пункт 28) и рекомендует государству-участнику:</w:t>
      </w:r>
    </w:p>
    <w:p w14:paraId="7083FBF2" w14:textId="05E32A6D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установить конкретные цели и сроки расширения равноправного участия женщин в общественной и политической жизни на всех уровнях и создать необходимые условия для достижения этих целей, например, установив гарантированные законом квоты;</w:t>
      </w:r>
    </w:p>
    <w:p w14:paraId="126566D5" w14:textId="76DF43A7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принять меры для обеспечения де-юре и де-факто равного представительства полов в политических партиях и поощрять выдвижение женщинами своих кандидатур на выборах на национальном и местном уровнях;</w:t>
      </w:r>
    </w:p>
    <w:p w14:paraId="5726ACDB" w14:textId="6E335660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увеличить количество программ профессиональной подготовки и развития компетенций для женщин, желающих участвовать в политической жизни или занимать государственные должности;</w:t>
      </w:r>
    </w:p>
    <w:p w14:paraId="01C21F3C" w14:textId="428592B1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повышать информированность политиков, средств массовой информации, религиозных лидеров и широкой общественности, с тем чтобы обеспечить полное, равное, свободное и демократическое участие женщин в политической и общественной жизни наравне с мужчинами.</w:t>
      </w:r>
    </w:p>
    <w:p w14:paraId="15CB3E71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0F34F3D4" w14:textId="195966D8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Гражданство</w:t>
      </w:r>
    </w:p>
    <w:p w14:paraId="4A66A562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7D7AB3E0" w14:textId="312743F4" w:rsidR="008B1346" w:rsidRPr="008B1346" w:rsidRDefault="008B1346" w:rsidP="008B1346">
      <w:pPr>
        <w:pStyle w:val="SingleTxt"/>
      </w:pPr>
      <w:r w:rsidRPr="008B1346">
        <w:t>31.</w:t>
      </w:r>
      <w:r w:rsidRPr="008B1346">
        <w:tab/>
        <w:t xml:space="preserve">Комитет принимает к сведению сделанное в ноябре 2017 года заявление государства-участника о намерении внести в Закон о гражданстве Содружества Багамских Островов поправки, обеспечивающие багамским женщинам равные с багамскими мужчинами права в вопросе передачи гражданства своим детям. При этом он выражает сожаление по поводу отрицательного результата проведенных в 2012 и 2016 годах референдумов об изменении Конституции с целью предоставления багамским женщинам права передавать гражданство своим детям на равной с мужчинами основе. Комитет также обеспокоен тем, что на Багамских Островах дети, не имеющие гражданства, в том числе сироты, чьи родители сами являлись лицами без гражданства или с неизвестным гражданством, не могут воспользоваться для получения гражданства принципом </w:t>
      </w:r>
      <w:r w:rsidRPr="008B1346">
        <w:rPr>
          <w:iCs/>
        </w:rPr>
        <w:t>jus sanguinis</w:t>
      </w:r>
      <w:r w:rsidRPr="008B1346">
        <w:t xml:space="preserve"> (приобретения гражданства по гражданству родителей) или</w:t>
      </w:r>
      <w:r w:rsidRPr="008B1346">
        <w:rPr>
          <w:i/>
          <w:iCs/>
        </w:rPr>
        <w:t xml:space="preserve"> </w:t>
      </w:r>
      <w:r w:rsidRPr="008B1346">
        <w:rPr>
          <w:iCs/>
        </w:rPr>
        <w:t>jus soli</w:t>
      </w:r>
      <w:r w:rsidRPr="008B1346">
        <w:t xml:space="preserve"> (приобретения гражданства по месту рождения), а также отсутствием информации или статистических данных о проживающих в государстве-участнике женщинах и девочках без гражданства. </w:t>
      </w:r>
    </w:p>
    <w:p w14:paraId="6753A17E" w14:textId="18DECA2A" w:rsidR="008B1346" w:rsidRPr="008B1346" w:rsidRDefault="008B1346" w:rsidP="008B1346">
      <w:pPr>
        <w:pStyle w:val="SingleTxt"/>
        <w:rPr>
          <w:b/>
          <w:bCs/>
        </w:rPr>
      </w:pPr>
      <w:r w:rsidRPr="008B1346">
        <w:t>32.</w:t>
      </w:r>
      <w:r w:rsidRPr="008B1346">
        <w:tab/>
      </w:r>
      <w:r w:rsidRPr="008B1346">
        <w:rPr>
          <w:b/>
          <w:bCs/>
        </w:rPr>
        <w:t>Напоминая о своей предыдущей рекомендации (</w:t>
      </w:r>
      <w:hyperlink r:id="rId29" w:history="1">
        <w:r w:rsidR="00AA30E5">
          <w:rPr>
            <w:rStyle w:val="Hyperlink"/>
            <w:b/>
            <w:bCs/>
          </w:rPr>
          <w:t>CEDAW/C/BHS/CO/1</w:t>
        </w:r>
        <w:r w:rsidR="00AA30E5">
          <w:rPr>
            <w:rStyle w:val="Hyperlink"/>
            <w:b/>
            <w:bCs/>
          </w:rPr>
          <w:noBreakHyphen/>
        </w:r>
        <w:r w:rsidRPr="00ED6880">
          <w:rPr>
            <w:rStyle w:val="Hyperlink"/>
            <w:b/>
            <w:bCs/>
          </w:rPr>
          <w:t>5</w:t>
        </w:r>
      </w:hyperlink>
      <w:r w:rsidRPr="008B1346">
        <w:rPr>
          <w:b/>
          <w:bCs/>
        </w:rPr>
        <w:t>, пункт 30) и общей рекомендации № 32 (2014) по гендерным аспектам статуса беженца, убежища, гражданства и безгражданства женщин, Комитет рекомендует государству-участнику:</w:t>
      </w:r>
    </w:p>
    <w:p w14:paraId="0E674833" w14:textId="755545BD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принять конкретные меры, направленные на повышение информированности политиков и широкой общественности о необходимости внесения в Конституцию поправок, отменяющих положения, которые дискриминируют женщин в вопросах гражданства;</w:t>
      </w:r>
      <w:r w:rsidR="008B1346" w:rsidRPr="008B1346">
        <w:t xml:space="preserve"> </w:t>
      </w:r>
    </w:p>
    <w:p w14:paraId="2B4995CF" w14:textId="52DF067C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изменить Закон 1973 года о гражданстве Содружества Багамских Островов, включив в него положения, разрешающие багамским мужчинам и женщинам передавать гражданство своим детям на равной основе, и принять дополнительные законодательные меры для обеспечения того, чтобы багамские женщины могли передавать свое гражданство супругам, не являющимся гражданами Багамских Островов, в соответствии со статьей 9 Конвенции;</w:t>
      </w:r>
    </w:p>
    <w:p w14:paraId="4104F267" w14:textId="51089FA8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ввести процедуру определения безгражданства для выявления не имеющих гражданства женщин и детей, включая сирот, родители которых сами являлись лицами без гражданства или с неизвестным гражданством, и предоставить им защиту в государстве-участнике, включая доступ к упрощенной процедуре натурализации до достижения ими возраста 18 лет.</w:t>
      </w:r>
    </w:p>
    <w:p w14:paraId="3DF5A00F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75D428D7" w14:textId="52E1DD5A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Образование</w:t>
      </w:r>
    </w:p>
    <w:p w14:paraId="0A9AD9AE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672FAE9F" w14:textId="130A3B8A" w:rsidR="008B1346" w:rsidRPr="008B1346" w:rsidRDefault="008B1346" w:rsidP="008B1346">
      <w:pPr>
        <w:pStyle w:val="SingleTxt"/>
      </w:pPr>
      <w:r w:rsidRPr="008B1346">
        <w:t>33.</w:t>
      </w:r>
      <w:r w:rsidRPr="008B1346">
        <w:tab/>
        <w:t>Комитет с удовлетворением отмечает прогресс, достигнутый в отношении обеспечения доступа к образованию для девочек, и восстановление в 2017 году Национального агентства профессиональной подготовки. В то же время Комитет обеспокоен следующим:</w:t>
      </w:r>
    </w:p>
    <w:p w14:paraId="2B4B06F8" w14:textId="719D92B1" w:rsidR="008B1346" w:rsidRPr="008B1346" w:rsidRDefault="00AA30E5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>недостаточными мерами, принимаемыми в целях обеспечения доступа к качественному образованию для всех девочек, особенно для девочек, проживающих на островах Фэмили, и девочек из малоимущих общин, в том числе девочек гаитянского происхождения, и повышения качества образования, особенно в государственных школах;</w:t>
      </w:r>
    </w:p>
    <w:p w14:paraId="78571F92" w14:textId="45119021" w:rsidR="008B1346" w:rsidRPr="008B1346" w:rsidRDefault="00AA30E5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>затянувшимися сроками пересмотра Закона об образовании и реформы учебных программ, направленных на более эффективное решение проблемы гендерного равенства;</w:t>
      </w:r>
    </w:p>
    <w:p w14:paraId="41632F2E" w14:textId="4DD31755" w:rsidR="008B1346" w:rsidRPr="008B1346" w:rsidRDefault="00AA30E5" w:rsidP="008B1346">
      <w:pPr>
        <w:pStyle w:val="SingleTxt"/>
      </w:pPr>
      <w:r>
        <w:tab/>
      </w:r>
      <w:r w:rsidR="008B1346" w:rsidRPr="008B1346">
        <w:t>c)</w:t>
      </w:r>
      <w:r w:rsidR="008B1346" w:rsidRPr="008B1346">
        <w:tab/>
        <w:t>преобладанием женщин и девочек в традиционно женских областях образования и их недопредставленностью в областях науки и техники, инженерного дела и математики и в Программе Технического кадетского корпуса;</w:t>
      </w:r>
    </w:p>
    <w:p w14:paraId="1515DD64" w14:textId="3632ED73" w:rsidR="008B1346" w:rsidRPr="008B1346" w:rsidRDefault="00AA30E5" w:rsidP="008B1346">
      <w:pPr>
        <w:pStyle w:val="SingleTxt"/>
      </w:pPr>
      <w:r>
        <w:tab/>
      </w:r>
      <w:r w:rsidR="008B1346" w:rsidRPr="008B1346">
        <w:t>d)</w:t>
      </w:r>
      <w:r w:rsidR="008B1346" w:rsidRPr="008B1346">
        <w:tab/>
        <w:t>направлением беременных девочек в специальные школы, находящиеся в ведении Фонда обеспечения доступа к непрерывному образованию, с тем чтобы не допустить стигматизации, и отсутствием практических мер, направленных на то, чтобы после рождения ребенка такие девочки продолжали обучение в школах;</w:t>
      </w:r>
    </w:p>
    <w:p w14:paraId="02DB0B77" w14:textId="5ACC18E3" w:rsidR="008B1346" w:rsidRPr="008B1346" w:rsidRDefault="00AA30E5" w:rsidP="008B1346">
      <w:pPr>
        <w:pStyle w:val="SingleTxt"/>
      </w:pPr>
      <w:r>
        <w:tab/>
      </w:r>
      <w:r w:rsidR="008B1346" w:rsidRPr="008B1346">
        <w:t>e)</w:t>
      </w:r>
      <w:r w:rsidR="008B1346" w:rsidRPr="008B1346">
        <w:tab/>
        <w:t>ограниченным доступом девочек-инвалидов к инклюзивному образованию.</w:t>
      </w:r>
    </w:p>
    <w:p w14:paraId="626A36D1" w14:textId="77777777" w:rsidR="001463E0" w:rsidRDefault="001463E0">
      <w:pPr>
        <w:spacing w:after="200" w:line="276" w:lineRule="auto"/>
      </w:pPr>
      <w:r>
        <w:br w:type="page"/>
      </w:r>
    </w:p>
    <w:p w14:paraId="2853884F" w14:textId="4CF8087B" w:rsidR="008B1346" w:rsidRPr="008B1346" w:rsidRDefault="008B1346" w:rsidP="008B1346">
      <w:pPr>
        <w:pStyle w:val="SingleTxt"/>
        <w:rPr>
          <w:b/>
        </w:rPr>
      </w:pPr>
      <w:r w:rsidRPr="008B1346">
        <w:t>34.</w:t>
      </w:r>
      <w:r w:rsidRPr="008B1346">
        <w:tab/>
        <w:t>Комитет рекомендует государству-участнику:</w:t>
      </w:r>
    </w:p>
    <w:p w14:paraId="27A0FB65" w14:textId="62E39A93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обеспечить, чтобы девочки на островах Фэмили и девочки из малоимущих общин, в том числе девочки гаитянского происхождения, имели равный доступ к высококачественному образованию на начальном и среднем уровнях;</w:t>
      </w:r>
    </w:p>
    <w:p w14:paraId="65D9211D" w14:textId="50ADD8A3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ускорить пересмотр Закона об образовании и реформу учебных программ с целью более эффективного решения проблемы гендерного равенства;</w:t>
      </w:r>
    </w:p>
    <w:p w14:paraId="55D8440E" w14:textId="385CB9E2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устранить негативные стереотипы и структурные барьеры, препятствующие приему девочек на нетрадиционные специальности обучения, в частности научно-технические, инженерные и математические, и организовать для девочек профориентационное консультирование по выбору нетрадиционных профессий;</w:t>
      </w:r>
    </w:p>
    <w:p w14:paraId="64B7A3DA" w14:textId="5853F6AE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принять политику, направленную на обеспечение того, чтобы беременные женщины и девочки не покидали школу во время беременности, а молодые матери возвращались в школу после рождения ребенка для завершения образования;</w:t>
      </w:r>
    </w:p>
    <w:p w14:paraId="7415C912" w14:textId="282B5A69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e)</w:t>
      </w:r>
      <w:r w:rsidR="008B1346" w:rsidRPr="008B1346">
        <w:tab/>
      </w:r>
      <w:r w:rsidR="008B1346" w:rsidRPr="008B1346">
        <w:rPr>
          <w:b/>
          <w:bCs/>
        </w:rPr>
        <w:t>принять меры для разработки стратегии инклюзивного образования для всех девочек-инвалидов.</w:t>
      </w:r>
      <w:r w:rsidR="008B1346" w:rsidRPr="008B1346">
        <w:t xml:space="preserve"> </w:t>
      </w:r>
    </w:p>
    <w:p w14:paraId="6450DEAA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02CFA071" w14:textId="223848E3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Занятость</w:t>
      </w:r>
    </w:p>
    <w:p w14:paraId="45CB45F5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724ACDEA" w14:textId="0D7B146D" w:rsidR="008B1346" w:rsidRPr="008B1346" w:rsidRDefault="008B1346" w:rsidP="008B1346">
      <w:pPr>
        <w:pStyle w:val="SingleTxt"/>
      </w:pPr>
      <w:r w:rsidRPr="008B1346">
        <w:t>35.</w:t>
      </w:r>
      <w:r w:rsidRPr="008B1346">
        <w:tab/>
        <w:t>Комитет выражает сожаление в связи с тем, что государство-участник не представило достаточной информации, чтобы можно было в полной мере оценить достигнутый им прогресс в обеспечении гендерного равенства в области занятости. Комитет по-прежнему испытывает озабоченность в отношении законодательства, ограничивающего применение принципа равного вознаграждения за труд равной ценности, и положений, касающихся прав на отпуск по беременности и родам, которые не обеспечивают таких прав и их защиты в соответствии с Конвенцией. Комитет особо обеспокоен следующим:</w:t>
      </w:r>
    </w:p>
    <w:p w14:paraId="3ACA730F" w14:textId="22478FDD" w:rsidR="008B1346" w:rsidRPr="008B1346" w:rsidRDefault="00AA30E5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>непропорционально высоким уровнем безработицы среди женщин, несмотря на их более высокие показатели достигнутого уровня образования, сохраняющейся профессиональной сегрегацией на рынке труда и преобладанием женщин на низкооплачиваемых работах в формальном и неформальном секторах;</w:t>
      </w:r>
    </w:p>
    <w:p w14:paraId="03ACEA55" w14:textId="2E66CC2E" w:rsidR="008B1346" w:rsidRPr="008B1346" w:rsidRDefault="00AA30E5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>большим объемом не оплачиваемой и не учитываемой работы, выполняемой женщинами, которая не принимается в расчет при назначении пенсии и других пособий и льгот, связанных с трудовой деятельностью;</w:t>
      </w:r>
    </w:p>
    <w:p w14:paraId="1BA6773A" w14:textId="38B3D1B6" w:rsidR="008B1346" w:rsidRPr="008B1346" w:rsidRDefault="00AA30E5" w:rsidP="008B1346">
      <w:pPr>
        <w:pStyle w:val="SingleTxt"/>
      </w:pPr>
      <w:r>
        <w:tab/>
      </w:r>
      <w:r w:rsidR="008B1346" w:rsidRPr="008B1346">
        <w:t>c)</w:t>
      </w:r>
      <w:r w:rsidR="008B1346" w:rsidRPr="008B1346">
        <w:tab/>
        <w:t>отсутствием информации о практическом осуществлении предусмотренных мер в отношении правовых положений, включая главу 99 Свода законов Багамских Островов и Закон о преступлениях на сексуальной почве и домашнем насилии, запрещающих сексуальное домогательство и насилие в отношении женщин на рабочем месте.</w:t>
      </w:r>
    </w:p>
    <w:p w14:paraId="5C38B653" w14:textId="6580F427" w:rsidR="008B1346" w:rsidRPr="008B1346" w:rsidRDefault="00AA30E5" w:rsidP="008B1346">
      <w:pPr>
        <w:pStyle w:val="SingleTxt"/>
      </w:pPr>
      <w:r>
        <w:tab/>
      </w:r>
      <w:r w:rsidR="008B1346" w:rsidRPr="008B1346">
        <w:t>d)</w:t>
      </w:r>
      <w:r w:rsidR="008B1346" w:rsidRPr="008B1346">
        <w:tab/>
        <w:t xml:space="preserve">ограниченными возможностями женщин-инвалидов в плане доступа к рынку труда; </w:t>
      </w:r>
    </w:p>
    <w:p w14:paraId="06B76838" w14:textId="1F236F7C" w:rsidR="008B1346" w:rsidRPr="008B1346" w:rsidRDefault="00AA30E5" w:rsidP="008B1346">
      <w:pPr>
        <w:pStyle w:val="SingleTxt"/>
      </w:pPr>
      <w:r>
        <w:tab/>
      </w:r>
      <w:r w:rsidR="008B1346" w:rsidRPr="008B1346">
        <w:t>e)</w:t>
      </w:r>
      <w:r w:rsidR="008B1346" w:rsidRPr="008B1346">
        <w:tab/>
        <w:t>недостатком информации о масштабах гендерного неравенства в области занятости и об уязвимом положении домашних работников, многие из которых не имеют надлежащего доступа к социальному обеспечению и подвергаются риску сексуальных домогательств на рабочем месте.</w:t>
      </w:r>
    </w:p>
    <w:p w14:paraId="4525EC8F" w14:textId="35FE67C7" w:rsidR="008B1346" w:rsidRPr="008B1346" w:rsidRDefault="008B1346" w:rsidP="008B1346">
      <w:pPr>
        <w:pStyle w:val="SingleTxt"/>
        <w:rPr>
          <w:b/>
        </w:rPr>
      </w:pPr>
      <w:r w:rsidRPr="008B1346">
        <w:t>36.</w:t>
      </w:r>
      <w:r w:rsidRPr="008B1346">
        <w:tab/>
      </w:r>
      <w:r w:rsidRPr="008B1346">
        <w:rPr>
          <w:b/>
          <w:bCs/>
        </w:rPr>
        <w:t>Комитет ссылается на свою предыдущую рекомендацию (</w:t>
      </w:r>
      <w:hyperlink r:id="rId30" w:history="1">
        <w:r w:rsidRPr="00ED6880">
          <w:rPr>
            <w:rStyle w:val="Hyperlink"/>
            <w:b/>
            <w:bCs/>
          </w:rPr>
          <w:t>CEDAW/C/BHS/CO/1-5</w:t>
        </w:r>
      </w:hyperlink>
      <w:r w:rsidRPr="008B1346">
        <w:rPr>
          <w:b/>
          <w:bCs/>
        </w:rPr>
        <w:t>, пункт 34) и рекомендует государству-участнику:</w:t>
      </w:r>
    </w:p>
    <w:p w14:paraId="5AF0F6F9" w14:textId="2D78B06E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принять соответствующее законодательство, гарантирующее принцип равной оплаты за труд равной ценности во всех областях трудовой деятельности, и внести поправки в положения, касающиеся права на отпуск по беременности и родам, с тем чтобы гарантировать осуществление этих прав и их защиту в соответствии с Конвенцией, в частности в отношении обязательного шестинедельного отпуска после рождения ребенка, перерывов в работе для кормления ребенка или для сцеживания молока и защиты от увольнения в период отпуска по беременности и родам;</w:t>
      </w:r>
    </w:p>
    <w:p w14:paraId="693FA42B" w14:textId="0A153146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активизировать усилия по созданию благоприятных условий для обеспечения экономической независимости женщин, в том числе путем повышения осведомленности работодателей и профсоюзов в государственном и частном секторах о запрете дискриминации в отношении женщин в сфере занятости, и содействовать трудоустройству женщин в секторе формальной экономики, в том числе путем организации профессионально-технической подготовки;</w:t>
      </w:r>
    </w:p>
    <w:p w14:paraId="4989ED2C" w14:textId="6A0FFE94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обеспечить, чтобы женщины, выполняющие неоплачиваемую работу, имели право на получение пенсии и других связанных с трудовой деятельностью пособий, особенно после завершения трудовой деятельности;</w:t>
      </w:r>
    </w:p>
    <w:p w14:paraId="4B5C8BDF" w14:textId="02A65DCB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обеспечить эффективное выполнение правовых положений, включая статью 99 Свода законов и Закон о преступлениях на сексуальной почве и домашнем насилии, защищающих от сексуальных домогательств и насилия в отношении женщин на рабочем месте;</w:t>
      </w:r>
    </w:p>
    <w:p w14:paraId="386ED084" w14:textId="4368E90C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e)</w:t>
      </w:r>
      <w:r w:rsidR="008B1346" w:rsidRPr="008B1346">
        <w:tab/>
      </w:r>
      <w:r w:rsidR="008B1346" w:rsidRPr="008B1346">
        <w:rPr>
          <w:b/>
          <w:bCs/>
        </w:rPr>
        <w:t>принять временные специальные меры для расширения доступа женщин-инвалидов к рынку труда;</w:t>
      </w:r>
      <w:r w:rsidR="008B1346" w:rsidRPr="008B1346">
        <w:t xml:space="preserve"> </w:t>
      </w:r>
    </w:p>
    <w:p w14:paraId="0E421E04" w14:textId="2AC142F6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f)</w:t>
      </w:r>
      <w:r w:rsidR="008B1346" w:rsidRPr="008B1346">
        <w:tab/>
      </w:r>
      <w:r w:rsidR="008B1346" w:rsidRPr="008B1346">
        <w:rPr>
          <w:b/>
          <w:bCs/>
        </w:rPr>
        <w:t>принять стратегию для защиты домашних работников, включая обеспечение контроля за соблюдением условий труда, и ратифицировать Конвенцию 2011 года о достойном труде домашних работников (№ 189) Международной организации труда.</w:t>
      </w:r>
    </w:p>
    <w:p w14:paraId="575B373D" w14:textId="77777777" w:rsidR="00AA30E5" w:rsidRPr="00AA30E5" w:rsidRDefault="00AA30E5" w:rsidP="00AA30E5">
      <w:pPr>
        <w:pStyle w:val="SingleTxt"/>
        <w:spacing w:after="0" w:line="120" w:lineRule="exact"/>
        <w:rPr>
          <w:b/>
          <w:bCs/>
          <w:sz w:val="10"/>
        </w:rPr>
      </w:pPr>
    </w:p>
    <w:p w14:paraId="19862C90" w14:textId="30ABDBFF" w:rsidR="008B1346" w:rsidRPr="008B1346" w:rsidRDefault="00AA30E5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B1346" w:rsidRPr="008B1346">
        <w:t>Охрана здоровья</w:t>
      </w:r>
    </w:p>
    <w:p w14:paraId="0B037B84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4B685120" w14:textId="4C238DCB" w:rsidR="008B1346" w:rsidRPr="008B1346" w:rsidRDefault="008B1346" w:rsidP="008B1346">
      <w:pPr>
        <w:pStyle w:val="SingleTxt"/>
      </w:pPr>
      <w:r w:rsidRPr="008B1346">
        <w:t>37.</w:t>
      </w:r>
      <w:r w:rsidRPr="008B1346">
        <w:tab/>
        <w:t>Комитет обеспокоен следующим:</w:t>
      </w:r>
    </w:p>
    <w:p w14:paraId="7BFD1708" w14:textId="1FA63778" w:rsidR="008B1346" w:rsidRPr="008B1346" w:rsidRDefault="00AA30E5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 xml:space="preserve">отсутствием соответствующего возрасту и всестороннего просвещения по вопросам сексуального и репродуктивного здоровья и соответствующих прав, в том числе по теме ответственного сексуального поведения для девочек и мальчиков, и нехваткой услуг в области планирования семьи; </w:t>
      </w:r>
    </w:p>
    <w:p w14:paraId="37698904" w14:textId="46AAB921" w:rsidR="008B1346" w:rsidRPr="008B1346" w:rsidRDefault="00AA30E5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 xml:space="preserve">несоответствием между возрастом согласия на вступление в половые отношения, составляющим 16 лет, и возрастом, в котором контрацептивные и другие медико-санитарные услуги могут предоставляться без согласия родителей, составляющим 18 лет; </w:t>
      </w:r>
    </w:p>
    <w:p w14:paraId="66BA22B6" w14:textId="1E8D0C38" w:rsidR="008B1346" w:rsidRPr="008B1346" w:rsidRDefault="00AA30E5" w:rsidP="008B1346">
      <w:pPr>
        <w:pStyle w:val="SingleTxt"/>
      </w:pPr>
      <w:r>
        <w:tab/>
      </w:r>
      <w:r w:rsidR="008B1346" w:rsidRPr="008B1346">
        <w:t>c)</w:t>
      </w:r>
      <w:r w:rsidR="008B1346" w:rsidRPr="008B1346">
        <w:tab/>
        <w:t xml:space="preserve">жесткими ограничениями на легальные аборты, которые могут побудить женщин к поиску возможностей для проведения небезопасных и незаконных абортов; </w:t>
      </w:r>
    </w:p>
    <w:p w14:paraId="0DD28C2B" w14:textId="241A8308" w:rsidR="008B1346" w:rsidRPr="008B1346" w:rsidRDefault="00AA30E5" w:rsidP="008B1346">
      <w:pPr>
        <w:pStyle w:val="SingleTxt"/>
      </w:pPr>
      <w:r>
        <w:tab/>
      </w:r>
      <w:r w:rsidR="008B1346" w:rsidRPr="008B1346">
        <w:t>d)</w:t>
      </w:r>
      <w:r w:rsidR="008B1346" w:rsidRPr="008B1346">
        <w:tab/>
        <w:t xml:space="preserve">высокими показателями материнской смертности и факторами, дополнительно усугубляющими материнскую смертность и заболеваемость, включая возможное влияние на коэффициент материнской смертности ранних беременностей и небезопасных абортов; </w:t>
      </w:r>
    </w:p>
    <w:p w14:paraId="6157FE3F" w14:textId="282196B6" w:rsidR="008B1346" w:rsidRPr="008B1346" w:rsidRDefault="00AA30E5" w:rsidP="008B1346">
      <w:pPr>
        <w:pStyle w:val="SingleTxt"/>
      </w:pPr>
      <w:r>
        <w:tab/>
      </w:r>
      <w:r w:rsidR="008B1346" w:rsidRPr="008B1346">
        <w:t>e)</w:t>
      </w:r>
      <w:r w:rsidR="008B1346" w:rsidRPr="008B1346">
        <w:tab/>
        <w:t xml:space="preserve">числом впервые диагностированных случаев ВИЧ/СПИДа среди женщин; </w:t>
      </w:r>
    </w:p>
    <w:p w14:paraId="07C1B2AC" w14:textId="2B9F7E90" w:rsidR="008B1346" w:rsidRPr="008B1346" w:rsidRDefault="00AA30E5" w:rsidP="008B1346">
      <w:pPr>
        <w:pStyle w:val="SingleTxt"/>
      </w:pPr>
      <w:r>
        <w:tab/>
      </w:r>
      <w:r w:rsidR="008B1346" w:rsidRPr="008B1346">
        <w:t>f)</w:t>
      </w:r>
      <w:r w:rsidR="008B1346" w:rsidRPr="008B1346">
        <w:tab/>
        <w:t>нехваткой специализированных услуг, в частности профилактических обследований с целью выявления и лечения рака груди и услуг в области психического здоровья, особенно на островах Фэмили.</w:t>
      </w:r>
    </w:p>
    <w:p w14:paraId="2CF026A9" w14:textId="7BE011CF" w:rsidR="008B1346" w:rsidRPr="008B1346" w:rsidRDefault="008B1346" w:rsidP="008B1346">
      <w:pPr>
        <w:pStyle w:val="SingleTxt"/>
        <w:rPr>
          <w:b/>
        </w:rPr>
      </w:pPr>
      <w:r w:rsidRPr="008B1346">
        <w:t>38.</w:t>
      </w:r>
      <w:r w:rsidRPr="008B1346">
        <w:tab/>
      </w:r>
      <w:r w:rsidRPr="008B1346">
        <w:rPr>
          <w:b/>
          <w:bCs/>
        </w:rPr>
        <w:t>Ссылаясь на свою предыдущую рекомендацию (</w:t>
      </w:r>
      <w:hyperlink r:id="rId31" w:history="1">
        <w:r w:rsidR="00AA30E5">
          <w:rPr>
            <w:rStyle w:val="Hyperlink"/>
            <w:b/>
            <w:bCs/>
          </w:rPr>
          <w:t>CEDAW/C/BHS/CO/1</w:t>
        </w:r>
        <w:r w:rsidR="00AA30E5">
          <w:rPr>
            <w:rStyle w:val="Hyperlink"/>
            <w:b/>
            <w:bCs/>
          </w:rPr>
          <w:noBreakHyphen/>
        </w:r>
        <w:r w:rsidRPr="00ED6880">
          <w:rPr>
            <w:rStyle w:val="Hyperlink"/>
            <w:b/>
            <w:bCs/>
          </w:rPr>
          <w:t>5</w:t>
        </w:r>
      </w:hyperlink>
      <w:r w:rsidRPr="008B1346">
        <w:rPr>
          <w:b/>
          <w:bCs/>
        </w:rPr>
        <w:t>, пункт 36) и на общую рекомендацию № 24 (1999) в отношении женщин и здоровья, Комитет рекомендует государству-участнику:</w:t>
      </w:r>
    </w:p>
    <w:p w14:paraId="1407E163" w14:textId="4E11571C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включить в школьные учебные программы и информационно-просветительские кампании по повышению информированности населения обучение с учетом возрастной специфики по вопросам сексуального и репродуктивного здоровья и прав в этой области, ответственного сексуального поведения и предупреждения ранней беременности и инфекций, передаваемых половым путем, включая ВИЧ, и организовать профессиональную подготовку преподавателей и других специалистов для осуществления этих стратегий и проведения информационно-просветительских кампаний;</w:t>
      </w:r>
    </w:p>
    <w:p w14:paraId="0D5E4B17" w14:textId="0A479B07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обеспечить, чтобы девушки в возрасте от 16 лет имели бесплатный доступ в необходимом объеме к контрацептивам и услугам в области сексуального и репродуктивного здоровья, в том числе на островах Фэмили;</w:t>
      </w:r>
    </w:p>
    <w:p w14:paraId="757366B4" w14:textId="5E6221FA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отменить во всех случаях уголовную ответственность за аборты, узаконить аборты в случаях, когда беременность стала результатом изнасилования или инцеста, а также в случаях серьезных внутриутробных патологий развития плода, и предоставить женщинам доступ к качественному уходу после аборта, особенно при возникновении осложнений в результате небезопасных абортов;</w:t>
      </w:r>
    </w:p>
    <w:p w14:paraId="6737EDD1" w14:textId="75BE5FA4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активизировать усилия по снижению высокого уровня материнской смертности и устранению факторов, усугубляющих проблему материнской смертности, таких как ранняя беременность и небезопасные аборты, путем предоставления надлежащих медицинских услуг, в том числе обеспечения доступа к медицинским учреждениям и медицинской помощи, оказываемой квалифицированным персоналом;</w:t>
      </w:r>
    </w:p>
    <w:p w14:paraId="67AB5074" w14:textId="2367FF08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e)</w:t>
      </w:r>
      <w:r w:rsidR="008B1346" w:rsidRPr="008B1346">
        <w:tab/>
      </w:r>
      <w:r w:rsidR="008B1346" w:rsidRPr="008B1346">
        <w:rPr>
          <w:b/>
          <w:bCs/>
        </w:rPr>
        <w:t>осуществлять стратегии по борьбе с ВИЧ, особенно меры профилактики, и установить базовый уровень для определения распространенности ВИЧ, особенно среди групп риска, в том числе населения в возрасте до 25 лет, и побуждать женщин, занимающихся проституцией, пользоваться презервативами и гарантировать им доступ к надлежащему и уважительному медицинскому обслуживанию;</w:t>
      </w:r>
    </w:p>
    <w:p w14:paraId="323A50B4" w14:textId="67AF9179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f)</w:t>
      </w:r>
      <w:r w:rsidR="008B1346" w:rsidRPr="008B1346">
        <w:tab/>
      </w:r>
      <w:r w:rsidR="008B1346" w:rsidRPr="008B1346">
        <w:rPr>
          <w:b/>
          <w:bCs/>
        </w:rPr>
        <w:t>улучшить доступ женщин к услугам в области психического здоровья и специализированных услуг по профилактике и лечению рака груди в государстве-участнике и организовать профессиональную подготовку врачей и медицинского персонала в области ранней диагностики психических заболеваний и рака груди, в том числе на островах Фэмили.</w:t>
      </w:r>
    </w:p>
    <w:p w14:paraId="5042237F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0236C5B6" w14:textId="279DCD39" w:rsidR="008B1346" w:rsidRPr="008B1346" w:rsidRDefault="00AA30E5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B1346" w:rsidRPr="008B1346">
        <w:t>Расширение экономических возможностей женщин</w:t>
      </w:r>
    </w:p>
    <w:p w14:paraId="2CE436B2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0A4B9310" w14:textId="6BD6DCDF" w:rsidR="008B1346" w:rsidRPr="008B1346" w:rsidRDefault="008B1346" w:rsidP="008B1346">
      <w:pPr>
        <w:pStyle w:val="SingleTxt"/>
      </w:pPr>
      <w:r w:rsidRPr="008B1346">
        <w:t>39.</w:t>
      </w:r>
      <w:r w:rsidRPr="008B1346">
        <w:tab/>
        <w:t>Комитет обеспокоен несоразмерно высоким уровнем нищеты среди женщин и приостановкой в 2017 году начатой в 2015 году Программы обновления, стимулирования, поддержки и расширения возможностей, которая была нацелена на сокращение числа багамцев, живущих у черты или за чертой бедности. Кроме того, Комитет обеспокоен недостатком имеющейся информации о новых мерах структурной корректировки стратегий развития государства-участника, о мерах политики по либерализации торговли и их последствиях для женщин и о программах, направленных на улучшение положения наиболее неблагополучных групп женщин, включая пожилых женщин и женщин-инвалидов.</w:t>
      </w:r>
      <w:bookmarkStart w:id="4" w:name="_Hlk531053902"/>
      <w:bookmarkEnd w:id="4"/>
    </w:p>
    <w:p w14:paraId="10558C48" w14:textId="77777777" w:rsidR="008B1346" w:rsidRPr="008B1346" w:rsidRDefault="008B1346" w:rsidP="008B1346">
      <w:pPr>
        <w:pStyle w:val="SingleTxt"/>
        <w:rPr>
          <w:b/>
        </w:rPr>
      </w:pPr>
      <w:r w:rsidRPr="008B1346">
        <w:t>40.</w:t>
      </w:r>
      <w:r w:rsidRPr="008B1346">
        <w:tab/>
      </w:r>
      <w:r w:rsidRPr="008B1346">
        <w:rPr>
          <w:b/>
          <w:bCs/>
        </w:rPr>
        <w:t>Комитет рекомендует государству-участнику произвести оценку последствий прекращения Программы обновления, стимулирования, поддержки и расширения возможностей для женщин и опубликовать результаты этой оценки.</w:t>
      </w:r>
      <w:r w:rsidRPr="008B1346">
        <w:t xml:space="preserve"> </w:t>
      </w:r>
      <w:r w:rsidRPr="008B1346">
        <w:rPr>
          <w:b/>
          <w:bCs/>
        </w:rPr>
        <w:t>Кроме того, Комитет рекомендует государству-участнику оградить нуждающихся женщин от негативных последствий прекращения Программы и заменить ее аналогичной новой программой выплаты денежных пособий, направленной на оказание помощи находящимся в неблагоприятном положении группам женщин и девочек, в том числе пожилым женщинам и женщинам-инвалидам.</w:t>
      </w:r>
      <w:r w:rsidRPr="008B1346">
        <w:t xml:space="preserve"> </w:t>
      </w:r>
      <w:r w:rsidRPr="008B1346">
        <w:rPr>
          <w:b/>
          <w:bCs/>
        </w:rPr>
        <w:t>Комитет далее рекомендует государству-участнику принять программы, направленные на сокращение масштабов нищеты среди наиболее неблагополучных групп женщин и учитывать гендерные аспекты при осуществлении мер в рамках структурной перестройки и либерализации торговли, а также оценивать их влияние на положение женщин.</w:t>
      </w:r>
      <w:r w:rsidRPr="008B1346">
        <w:t xml:space="preserve"> </w:t>
      </w:r>
      <w:r w:rsidRPr="008B1346">
        <w:rPr>
          <w:b/>
          <w:bCs/>
        </w:rPr>
        <w:t>Комитет рекомендует государству-участнику в соответствии с его экстерриториальными обязательствами обеспечить, чтобы его политика в области финансов и налогов не ущемляла права женщин и не препятствовала усилиям, направленным на обеспечение реального равенства между женщинами и мужчинами.</w:t>
      </w:r>
    </w:p>
    <w:p w14:paraId="5B2CFD61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3CF36ADB" w14:textId="4A1322DB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Сельские женщины</w:t>
      </w:r>
    </w:p>
    <w:p w14:paraId="16D5D5A9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615733CD" w14:textId="68015990" w:rsidR="008B1346" w:rsidRPr="008B1346" w:rsidRDefault="008B1346" w:rsidP="008B1346">
      <w:pPr>
        <w:pStyle w:val="SingleTxt"/>
      </w:pPr>
      <w:r w:rsidRPr="008B1346">
        <w:t>41.</w:t>
      </w:r>
      <w:r w:rsidRPr="008B1346">
        <w:tab/>
        <w:t xml:space="preserve">Комитет выражает обеспокоенность по поводу неблагополучного положения женщин, проживающих на островах Фэмили, в том, что касается их доступа к медицинскому обслуживанию и образованию, особенно к высшему образованию, а также к правосудию, трудоустройству, программам повышения квалификации и профессиональной подготовки, возможностям хозяйствования на земле и приносящим доход видам деятельности. </w:t>
      </w:r>
    </w:p>
    <w:p w14:paraId="696B38B4" w14:textId="77777777" w:rsidR="008B1346" w:rsidRPr="008B1346" w:rsidRDefault="008B1346" w:rsidP="008B1346">
      <w:pPr>
        <w:pStyle w:val="SingleTxt"/>
        <w:rPr>
          <w:b/>
        </w:rPr>
      </w:pPr>
      <w:r w:rsidRPr="008B1346">
        <w:t>42.</w:t>
      </w:r>
      <w:r w:rsidRPr="008B1346">
        <w:tab/>
      </w:r>
      <w:r w:rsidRPr="008B1346">
        <w:rPr>
          <w:b/>
          <w:bCs/>
        </w:rPr>
        <w:t>Ссылаясь на свою общую рекомендацию № 34 (2016), касающуюся прав сельских женщин, Комитет рекомендует государству-участнику содействовать участию женщин, проживающих на островах Фэмили, в процессах принятия решений, а также обеспечению их доступа к качественному медицинскому обслуживанию, образованию, правосудию, трудоустройству, программам повышения квалификации и профессиональной подготовки, возможностям хозяйствования на земле и новым приносящим доход видам деятельности.</w:t>
      </w:r>
    </w:p>
    <w:p w14:paraId="57C7BC7D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516B4D8C" w14:textId="247280E6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Неблагополучные категории женщин</w:t>
      </w:r>
    </w:p>
    <w:p w14:paraId="4BED1EAE" w14:textId="77777777" w:rsidR="00AA30E5" w:rsidRPr="00AA30E5" w:rsidRDefault="00AA30E5" w:rsidP="00AA30E5">
      <w:pPr>
        <w:pStyle w:val="SingleTxt"/>
        <w:spacing w:after="0" w:line="120" w:lineRule="exact"/>
        <w:rPr>
          <w:i/>
          <w:iCs/>
          <w:sz w:val="10"/>
        </w:rPr>
      </w:pPr>
    </w:p>
    <w:p w14:paraId="1C8ACCE0" w14:textId="4D8B2D34" w:rsidR="008B1346" w:rsidRPr="008B1346" w:rsidRDefault="00AA30E5" w:rsidP="00AA30E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B1346" w:rsidRPr="008B1346">
        <w:t>Мигрантки, беженки и просительницы убежища</w:t>
      </w:r>
    </w:p>
    <w:p w14:paraId="3A542004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13E27F20" w14:textId="7F1B8621" w:rsidR="008B1346" w:rsidRPr="008B1346" w:rsidRDefault="008B1346" w:rsidP="008B1346">
      <w:pPr>
        <w:pStyle w:val="SingleTxt"/>
      </w:pPr>
      <w:r w:rsidRPr="008B1346">
        <w:t>43.</w:t>
      </w:r>
      <w:r w:rsidRPr="008B1346">
        <w:tab/>
        <w:t>Комитет с удовлетворением отмечает приверженность государства-участника делу укрепления регионального сотрудничества в области защиты беженцев и лиц без гражданства, о чем свидетельствует проведение им в дек</w:t>
      </w:r>
      <w:r w:rsidR="00AA30E5">
        <w:t>абре 2017 </w:t>
      </w:r>
      <w:r w:rsidRPr="008B1346">
        <w:t>года мероприятий в рамках процесса «Консультации по вопросам миграции в Карибском бассейне». Комитет отмечает также наличие Рабочей группы по миграции. Вместе с тем у Комитета вызывают обеспокоенность следующие вопросы:</w:t>
      </w:r>
    </w:p>
    <w:p w14:paraId="7333A89E" w14:textId="5DF5ABF4" w:rsidR="008B1346" w:rsidRPr="008B1346" w:rsidRDefault="00AA30E5" w:rsidP="008B1346">
      <w:pPr>
        <w:pStyle w:val="SingleTxt"/>
      </w:pPr>
      <w:r>
        <w:tab/>
      </w:r>
      <w:r w:rsidR="008B1346" w:rsidRPr="008B1346">
        <w:t>а)</w:t>
      </w:r>
      <w:r w:rsidR="008B1346" w:rsidRPr="008B1346">
        <w:tab/>
        <w:t xml:space="preserve">отсутствие специального законодательства, разработанного с учетом гендерных аспектов, которое регулировало бы процессы, связанные с беженцами и просителями убежища; </w:t>
      </w:r>
      <w:bookmarkStart w:id="5" w:name="_Hlk531272554"/>
      <w:bookmarkEnd w:id="5"/>
    </w:p>
    <w:p w14:paraId="1FD8A5DE" w14:textId="34D2952B" w:rsidR="008B1346" w:rsidRPr="008B1346" w:rsidRDefault="00AA30E5" w:rsidP="008B1346">
      <w:pPr>
        <w:pStyle w:val="SingleTxt"/>
      </w:pPr>
      <w:r>
        <w:tab/>
      </w:r>
      <w:r w:rsidR="008B1346" w:rsidRPr="008B1346">
        <w:t>b)</w:t>
      </w:r>
      <w:r w:rsidR="008B1346" w:rsidRPr="008B1346">
        <w:tab/>
        <w:t>содержание под стражей женщин, ищущих убежища, в том числе женщин с детьми;</w:t>
      </w:r>
    </w:p>
    <w:p w14:paraId="556001D9" w14:textId="0DB1712F" w:rsidR="008B1346" w:rsidRPr="008B1346" w:rsidRDefault="00AA30E5" w:rsidP="008B1346">
      <w:pPr>
        <w:pStyle w:val="SingleTxt"/>
      </w:pPr>
      <w:r>
        <w:tab/>
      </w:r>
      <w:r w:rsidR="008B1346" w:rsidRPr="008B1346">
        <w:t>c)</w:t>
      </w:r>
      <w:r w:rsidR="008B1346" w:rsidRPr="008B1346">
        <w:tab/>
        <w:t>отсутствие в государстве-участнике программ, направленных на социально-экономическую интеграцию мигранток, женщин гаитянского происхождения, беженок и просительниц убежища;</w:t>
      </w:r>
    </w:p>
    <w:p w14:paraId="5F33D79E" w14:textId="6B4FD464" w:rsidR="008B1346" w:rsidRPr="008B1346" w:rsidRDefault="00AA30E5" w:rsidP="008B1346">
      <w:pPr>
        <w:pStyle w:val="SingleTxt"/>
      </w:pPr>
      <w:r>
        <w:tab/>
      </w:r>
      <w:r w:rsidR="008B1346" w:rsidRPr="008B1346">
        <w:t>d)</w:t>
      </w:r>
      <w:r w:rsidR="008B1346" w:rsidRPr="008B1346">
        <w:tab/>
        <w:t xml:space="preserve">положение просительниц убежища и мигранток, а также женщин гаитянского происхождения, не имеющих удостоверяющих личность документов или национальных паспортов, которые не сообщают властям о нарушениях их прав, включая гендерное насилие, опасаясь депортации. </w:t>
      </w:r>
    </w:p>
    <w:p w14:paraId="62E3B6EA" w14:textId="77777777" w:rsidR="008B1346" w:rsidRPr="008B1346" w:rsidRDefault="008B1346" w:rsidP="008B1346">
      <w:pPr>
        <w:pStyle w:val="SingleTxt"/>
        <w:rPr>
          <w:b/>
        </w:rPr>
      </w:pPr>
      <w:r w:rsidRPr="008B1346">
        <w:t>44.</w:t>
      </w:r>
      <w:r w:rsidRPr="008B1346">
        <w:tab/>
      </w:r>
      <w:r w:rsidRPr="008B1346">
        <w:rPr>
          <w:b/>
          <w:bCs/>
        </w:rPr>
        <w:t>В соответствии с общей рекомендацией № 32 Комитет рекомендует государству-участнику:</w:t>
      </w:r>
      <w:r w:rsidRPr="008B1346">
        <w:t xml:space="preserve"> </w:t>
      </w:r>
    </w:p>
    <w:p w14:paraId="54ED2C23" w14:textId="7093E2A2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принять специальное законодательство, разработанное с учетом гендерных аспектов, которое регулировало бы процессы, связанные с беженцами и просителями убежища;</w:t>
      </w:r>
      <w:r w:rsidR="008B1346" w:rsidRPr="008B1346">
        <w:t xml:space="preserve"> </w:t>
      </w:r>
    </w:p>
    <w:p w14:paraId="29C32198" w14:textId="746A46AD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применять учитывающий гендерную специфику подход к приему просительниц убежища и рассмотрению ходатайств о предоставлении убежища в целях обеспечения защиты таких женщин от эксплуатации и насилия во время содержания под стражей и предоставления им доступа к необходимым медицинским и другим услугам;</w:t>
      </w:r>
      <w:r w:rsidR="008B1346" w:rsidRPr="008B1346">
        <w:t xml:space="preserve"> </w:t>
      </w:r>
    </w:p>
    <w:p w14:paraId="3DEC86C1" w14:textId="2C26555B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принимать менее жесткие альтернативные меры в отношении женщин, ходатайствующих о предоставлении убежища или статуса беженца, либо незаконно въехавших в страну, и их детей, прибегая к содержанию под стражей лишь в качестве крайней меры;</w:t>
      </w:r>
    </w:p>
    <w:p w14:paraId="35FA7F58" w14:textId="55A55D4C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принимать меры для улучшения социально-экономического положения беженок, просительниц убежища и мигранток, а также женщин гаитянского происхождения с целью искоренения множественных и перекрестных форм дискриминации и насилия в отношении этих категорий женщин, в том числе домашнего насилия, и обеспечить их базовые нужды независимо от их иммиграционного статуса;</w:t>
      </w:r>
    </w:p>
    <w:p w14:paraId="65F415A7" w14:textId="43F91343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e)</w:t>
      </w:r>
      <w:r w:rsidR="008B1346" w:rsidRPr="008B1346">
        <w:tab/>
      </w:r>
      <w:r w:rsidR="008B1346" w:rsidRPr="008B1346">
        <w:rPr>
          <w:b/>
          <w:bCs/>
        </w:rPr>
        <w:t>обеспечить применение учитывающего гендерную специфику подхода к рассмотрению ходатайств женщин и девочек о предоставлении убежища и организовать для беженок, просительниц убежища и мигранток бесплатные юридические консультации по процедуре получения законного статуса в государстве-участнике и документам, относящимся к гражданству.</w:t>
      </w:r>
      <w:r w:rsidR="008B1346" w:rsidRPr="008B1346">
        <w:t xml:space="preserve"> </w:t>
      </w:r>
    </w:p>
    <w:p w14:paraId="45F33F78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5FEF9AD5" w14:textId="4564C556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Брак и семейные отношения</w:t>
      </w:r>
    </w:p>
    <w:p w14:paraId="0D8AB3B0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0613BE31" w14:textId="1FD6C686" w:rsidR="008B1346" w:rsidRPr="008B1346" w:rsidRDefault="008B1346" w:rsidP="008B1346">
      <w:pPr>
        <w:pStyle w:val="SingleTxt"/>
      </w:pPr>
      <w:r w:rsidRPr="008B1346">
        <w:t>45.</w:t>
      </w:r>
      <w:r w:rsidRPr="008B1346">
        <w:tab/>
        <w:t>Комитет обеспокоен тем, что статья 50 Закона о браке устанавливает минимальный возраст вступления в брак в 15 лет, а также разрешает в исключительных случаях браки с участием лиц в возрасте от 13 до 15 лет. Комитет по-прежнему обеспокоен отсутствием правовых положений, регулирующих фактические союзы, в результате чего женщины могут оказаться без средств правовой защиты и обеспечения своих имущественных и других прав в случае разрыва отношений. Кроме того, Комитет выражает обеспокоенность отсутствием существенного прогресса в создании единой системы судов и суда по семейным делам. Помимо этого, Комитет обеспокоен тем, что матери, особенно матери-одиночки, в силу культурных факторов несут несоизмеримо большую нагрузку в плане заботы о детях, а также отсутствием механизма обеспечения выплаты пособий на содержание детей.</w:t>
      </w:r>
    </w:p>
    <w:p w14:paraId="3E7404FD" w14:textId="5E182E34" w:rsidR="008B1346" w:rsidRPr="008B1346" w:rsidRDefault="008B1346" w:rsidP="008B1346">
      <w:pPr>
        <w:pStyle w:val="SingleTxt"/>
        <w:rPr>
          <w:b/>
        </w:rPr>
      </w:pPr>
      <w:r w:rsidRPr="008B1346">
        <w:t>46.</w:t>
      </w:r>
      <w:r w:rsidRPr="008B1346">
        <w:tab/>
      </w:r>
      <w:r w:rsidRPr="008B1346">
        <w:rPr>
          <w:b/>
          <w:bCs/>
        </w:rPr>
        <w:t>Комитет повторяет свою предыдущую рекомендацию (</w:t>
      </w:r>
      <w:hyperlink r:id="rId32" w:history="1">
        <w:r w:rsidRPr="00ED6880">
          <w:rPr>
            <w:rStyle w:val="Hyperlink"/>
            <w:b/>
            <w:bCs/>
          </w:rPr>
          <w:t>CEDAW/C/BHS/CO/1-5</w:t>
        </w:r>
      </w:hyperlink>
      <w:r w:rsidRPr="008B1346">
        <w:rPr>
          <w:b/>
          <w:bCs/>
        </w:rPr>
        <w:t>, пункт 38) и рекомендует государству-участнику:</w:t>
      </w:r>
    </w:p>
    <w:p w14:paraId="03F037AE" w14:textId="1D1C1279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обеспечить законодательно и на практике соблюдение установленного минимального возраста вступления в брак в 18 лет без каких-либо исключений;</w:t>
      </w:r>
      <w:r w:rsidR="008B1346" w:rsidRPr="008B1346">
        <w:t xml:space="preserve"> </w:t>
      </w:r>
    </w:p>
    <w:p w14:paraId="3194B28D" w14:textId="58FD73E3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пересмотреть его правовую систему, регулирующую брак и семейные отношения, с целью распространения существующих правовых положений на пары, живущие в фактических союзах;</w:t>
      </w:r>
    </w:p>
    <w:p w14:paraId="3092A8BC" w14:textId="0E53B3B2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c)</w:t>
      </w:r>
      <w:r w:rsidR="008B1346" w:rsidRPr="008B1346">
        <w:tab/>
      </w:r>
      <w:r w:rsidR="008B1346" w:rsidRPr="008B1346">
        <w:rPr>
          <w:b/>
          <w:bCs/>
        </w:rPr>
        <w:t>ускорить создание единой системы судов, включающей суды по семейным делам и службы содействия альтернативному урегулированию споров, в соответствии с рекомендациями Комитета по системе семейных судов и выделить достаточные кадровые, финансовые и технические ресурсы, необходимые для создания и эффективного ввода в действие единой системы судов в четко установленные сроки;</w:t>
      </w:r>
    </w:p>
    <w:p w14:paraId="05600227" w14:textId="3C215A2E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d)</w:t>
      </w:r>
      <w:r w:rsidR="008B1346" w:rsidRPr="008B1346">
        <w:tab/>
      </w:r>
      <w:r w:rsidR="008B1346" w:rsidRPr="008B1346">
        <w:rPr>
          <w:b/>
          <w:bCs/>
        </w:rPr>
        <w:t>улучшить систему просвещения для родителей, семей и широкой общественности в целях поощрения совместного исполнения обоими родителями общих обязанностей по воспитанию и содержанию детей, пересмотреть законодательство и инструкции в области содержания детей и безотлагательно решить вопросы по своевременной выплате детских пособий матерям-одиночкам.</w:t>
      </w:r>
      <w:r w:rsidR="008B1346" w:rsidRPr="008B1346">
        <w:t xml:space="preserve"> </w:t>
      </w:r>
    </w:p>
    <w:p w14:paraId="577A8D0E" w14:textId="77777777" w:rsidR="00AA30E5" w:rsidRPr="00AA30E5" w:rsidRDefault="00AA30E5" w:rsidP="00AA30E5">
      <w:pPr>
        <w:pStyle w:val="SingleTxt"/>
        <w:spacing w:after="0" w:line="120" w:lineRule="exact"/>
        <w:rPr>
          <w:b/>
          <w:bCs/>
          <w:sz w:val="10"/>
        </w:rPr>
      </w:pPr>
    </w:p>
    <w:p w14:paraId="4F3F3B14" w14:textId="03E77442" w:rsidR="008B1346" w:rsidRPr="008B1346" w:rsidRDefault="00AA30E5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B1346" w:rsidRPr="008B1346">
        <w:t>Воздействие на женщин изменения климата и стихийных бедствий</w:t>
      </w:r>
    </w:p>
    <w:p w14:paraId="4791800A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47CA4ED9" w14:textId="6163AA84" w:rsidR="008B1346" w:rsidRPr="008B1346" w:rsidRDefault="008B1346" w:rsidP="008B1346">
      <w:pPr>
        <w:pStyle w:val="SingleTxt"/>
      </w:pPr>
      <w:r w:rsidRPr="008B1346">
        <w:t>47.</w:t>
      </w:r>
      <w:r w:rsidRPr="008B1346">
        <w:tab/>
        <w:t>Комитет с удовлетворением отмечает, что женщины занимают руководящие должности в Национальном агентстве по чрезвычайным ситуациям и что после урагана «Мэтью» была проведена гендерная экспертиза. При этом Комитет напоминает о подверженности государства-участника серьезным экологическим и климатическим изменениям, а также стихийным бедствиям. В этой связи Комитет обеспокоен тем, что изменение климата и связанные с ним бедствия в несоразмерно большей степени затрагивают женщин и что можно было бы сделать больше для учета особых потребностей женщин, особенно уязвимых групп женщин, в деятельности по снижению риска бедствий, обеспечению готовности к ним, реагированию на них и восстановлению.</w:t>
      </w:r>
      <w:bookmarkStart w:id="6" w:name="_Hlk531056995"/>
      <w:bookmarkEnd w:id="6"/>
    </w:p>
    <w:p w14:paraId="373FB9D8" w14:textId="77777777" w:rsidR="008B1346" w:rsidRPr="008B1346" w:rsidRDefault="008B1346" w:rsidP="008B1346">
      <w:pPr>
        <w:pStyle w:val="SingleTxt"/>
        <w:rPr>
          <w:b/>
        </w:rPr>
      </w:pPr>
      <w:r w:rsidRPr="008B1346">
        <w:t>48.</w:t>
      </w:r>
      <w:r w:rsidRPr="008B1346">
        <w:tab/>
      </w:r>
      <w:r w:rsidRPr="008B1346">
        <w:rPr>
          <w:b/>
          <w:bCs/>
        </w:rPr>
        <w:t>В соответствии с общей рекомендацией № 37 (2018) о гендерных аспектах снижения риска бедствий в условиях изменения климата Комитет рекомендует государству-участнику:</w:t>
      </w:r>
    </w:p>
    <w:p w14:paraId="22C9533C" w14:textId="33E9E3AA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а)</w:t>
      </w:r>
      <w:r w:rsidR="008B1346" w:rsidRPr="008B1346">
        <w:tab/>
      </w:r>
      <w:r w:rsidR="008B1346" w:rsidRPr="008B1346">
        <w:rPr>
          <w:b/>
          <w:bCs/>
        </w:rPr>
        <w:t>обеспечить участие женщин в процессах принятия решений на всех уровнях в отношении разработки и осуществления мер политики в области снижения риска бедствий, ликвидации их последствий и изменения климата;</w:t>
      </w:r>
    </w:p>
    <w:p w14:paraId="208AEE61" w14:textId="2ECFB70B" w:rsidR="008B1346" w:rsidRPr="008B1346" w:rsidRDefault="00AA30E5" w:rsidP="008B1346">
      <w:pPr>
        <w:pStyle w:val="SingleTxt"/>
        <w:rPr>
          <w:b/>
        </w:rPr>
      </w:pPr>
      <w:r>
        <w:tab/>
      </w:r>
      <w:r w:rsidR="008B1346" w:rsidRPr="008B1346">
        <w:t>b)</w:t>
      </w:r>
      <w:r w:rsidR="008B1346" w:rsidRPr="008B1346">
        <w:tab/>
      </w:r>
      <w:r w:rsidR="008B1346" w:rsidRPr="008B1346">
        <w:rPr>
          <w:b/>
          <w:bCs/>
        </w:rPr>
        <w:t>обеспечить, чтобы при разработке и осуществлении будущих стратегий и программ по снижению риска бедствий и изменению климата, а также по другим чрезвычайным ситуациям использовались результаты гендерной экспертизы, проведенной после недавних ураганов, чтобы все стратегии и программы основывались на всестороннем гендерном анализе и чтобы в них учитывались особые потребности женщин, включая уязвимые группы женщин.</w:t>
      </w:r>
      <w:r w:rsidR="008B1346" w:rsidRPr="008B1346">
        <w:t xml:space="preserve"> </w:t>
      </w:r>
    </w:p>
    <w:p w14:paraId="36EA9E8A" w14:textId="77777777" w:rsidR="00AA30E5" w:rsidRPr="00AA30E5" w:rsidRDefault="00AA30E5" w:rsidP="00AA30E5">
      <w:pPr>
        <w:pStyle w:val="SingleTxt"/>
        <w:spacing w:after="0" w:line="120" w:lineRule="exact"/>
        <w:rPr>
          <w:b/>
          <w:bCs/>
          <w:sz w:val="10"/>
        </w:rPr>
      </w:pPr>
    </w:p>
    <w:p w14:paraId="0CE7C0F4" w14:textId="131AA14E" w:rsidR="008B1346" w:rsidRPr="008B1346" w:rsidRDefault="00AA30E5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B1346" w:rsidRPr="008B1346">
        <w:t xml:space="preserve">Факультативный протокол к Конвенции </w:t>
      </w:r>
    </w:p>
    <w:p w14:paraId="440F38E0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31E20F95" w14:textId="093EAA12" w:rsidR="008B1346" w:rsidRPr="008B1346" w:rsidRDefault="008B1346" w:rsidP="008B1346">
      <w:pPr>
        <w:pStyle w:val="SingleTxt"/>
        <w:rPr>
          <w:b/>
        </w:rPr>
      </w:pPr>
      <w:r w:rsidRPr="008B1346">
        <w:t>49.</w:t>
      </w:r>
      <w:r w:rsidRPr="008B1346">
        <w:tab/>
      </w:r>
      <w:r w:rsidRPr="008B1346">
        <w:rPr>
          <w:b/>
          <w:bCs/>
        </w:rPr>
        <w:t>Комитет приветствует данное во время диалога заверение государства-участника в его намерении в самое ближайшее время ратифицировать Факультативный протокол к Конвенции.</w:t>
      </w:r>
    </w:p>
    <w:p w14:paraId="49221377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487C90C9" w14:textId="595FBEA8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 xml:space="preserve">Пекинская декларация и Платформа действий </w:t>
      </w:r>
    </w:p>
    <w:p w14:paraId="42A6B158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6DCB37B3" w14:textId="3B518D4E" w:rsidR="008B1346" w:rsidRPr="008B1346" w:rsidRDefault="008B1346" w:rsidP="008B1346">
      <w:pPr>
        <w:pStyle w:val="SingleTxt"/>
        <w:rPr>
          <w:b/>
        </w:rPr>
      </w:pPr>
      <w:r w:rsidRPr="008B1346">
        <w:t>50.</w:t>
      </w:r>
      <w:r w:rsidRPr="008B1346">
        <w:tab/>
      </w:r>
      <w:r w:rsidRPr="008B1346">
        <w:rPr>
          <w:b/>
          <w:bCs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Конвенции.</w:t>
      </w:r>
    </w:p>
    <w:p w14:paraId="42F8923A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2824AF36" w14:textId="0FEE45CD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 xml:space="preserve">Распространение </w:t>
      </w:r>
    </w:p>
    <w:p w14:paraId="2D98879E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226274B9" w14:textId="550EA338" w:rsidR="008B1346" w:rsidRPr="008B1346" w:rsidRDefault="008B1346" w:rsidP="008B1346">
      <w:pPr>
        <w:pStyle w:val="SingleTxt"/>
        <w:rPr>
          <w:b/>
        </w:rPr>
      </w:pPr>
      <w:r w:rsidRPr="008B1346">
        <w:t>51.</w:t>
      </w:r>
      <w:r w:rsidRPr="008B1346">
        <w:tab/>
      </w:r>
      <w:r w:rsidRPr="008B1346">
        <w:rPr>
          <w:b/>
          <w:bCs/>
        </w:rPr>
        <w:t>Комитет просит государство-участник обеспечить своевременное направление настоящих заключительных замечаний на официальном языке государства-участника соответствующим государственным учреждениям на всех уровнях (национальном, областном и местном), в частности правительству, министерствам, парламенту и судебным органам, в целях обеспечения полного выполнения содержащихся в них рекомендаций.</w:t>
      </w:r>
    </w:p>
    <w:p w14:paraId="01C702E2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3624A956" w14:textId="4F977DEE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 xml:space="preserve">Техническая помощь </w:t>
      </w:r>
    </w:p>
    <w:p w14:paraId="34E0D7D8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378110B3" w14:textId="4AC64F66" w:rsidR="008B1346" w:rsidRPr="008B1346" w:rsidRDefault="008B1346" w:rsidP="008B1346">
      <w:pPr>
        <w:pStyle w:val="SingleTxt"/>
        <w:rPr>
          <w:b/>
        </w:rPr>
      </w:pPr>
      <w:r w:rsidRPr="008B1346">
        <w:t>52.</w:t>
      </w:r>
      <w:r w:rsidRPr="008B1346">
        <w:tab/>
      </w:r>
      <w:r w:rsidRPr="008B1346">
        <w:rPr>
          <w:b/>
          <w:bCs/>
        </w:rPr>
        <w:t>Комитет рекомендует государству-участнику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помощью.</w:t>
      </w:r>
    </w:p>
    <w:p w14:paraId="1DBAC822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6D6A6F4D" w14:textId="30C55781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 xml:space="preserve">Ратификация других договоров </w:t>
      </w:r>
    </w:p>
    <w:p w14:paraId="09EC1F80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273CD9BB" w14:textId="539FFB5F" w:rsidR="008B1346" w:rsidRPr="008B1346" w:rsidRDefault="008B1346" w:rsidP="008B1346">
      <w:pPr>
        <w:pStyle w:val="SingleTxt"/>
        <w:rPr>
          <w:b/>
        </w:rPr>
      </w:pPr>
      <w:r w:rsidRPr="008B1346">
        <w:t>53.</w:t>
      </w:r>
      <w:r w:rsidRPr="008B1346">
        <w:tab/>
      </w:r>
      <w:r w:rsidRPr="008B1346">
        <w:rPr>
          <w:b/>
          <w:bCs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="00AA30E5" w:rsidRPr="00AA30E5">
        <w:rPr>
          <w:rStyle w:val="FootnoteReference"/>
          <w:bCs/>
        </w:rPr>
        <w:footnoteReference w:id="2"/>
      </w:r>
      <w:r w:rsidRPr="008B1346">
        <w:t xml:space="preserve"> </w:t>
      </w:r>
      <w:r w:rsidRPr="008B1346">
        <w:rPr>
          <w:b/>
          <w:bCs/>
        </w:rPr>
        <w:t>будет способствовать более полному осуществлению женщинами своих прав человека и основных свобод во всех сферах жизни.</w:t>
      </w:r>
      <w:r w:rsidRPr="008B1346">
        <w:t xml:space="preserve"> </w:t>
      </w:r>
      <w:r w:rsidRPr="008B1346">
        <w:rPr>
          <w:b/>
          <w:bCs/>
        </w:rPr>
        <w:t>В этой связи Комитет призывает государство-участник ратифицировать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участником которых оно пока не является.</w:t>
      </w:r>
    </w:p>
    <w:p w14:paraId="7248BBE6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64799F0B" w14:textId="428137DC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>Последующая деятельность по выполнению заключительных замечаний</w:t>
      </w:r>
    </w:p>
    <w:p w14:paraId="78C337A7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28D7471C" w14:textId="6B5D639C" w:rsidR="008B1346" w:rsidRPr="008B1346" w:rsidRDefault="008B1346" w:rsidP="008B1346">
      <w:pPr>
        <w:pStyle w:val="SingleTxt"/>
        <w:rPr>
          <w:b/>
        </w:rPr>
      </w:pPr>
      <w:r w:rsidRPr="008B1346">
        <w:t>54.</w:t>
      </w:r>
      <w:r w:rsidRPr="008B1346">
        <w:tab/>
      </w:r>
      <w:r w:rsidRPr="008B1346">
        <w:rPr>
          <w:b/>
          <w:bCs/>
        </w:rPr>
        <w:t>Комитет просит государство-участник представить в течение двух лет в письменном виде информацию о мерах, принятых для осуществления рекомендаций, содержащихся в приведенных выше пунктах 12 a), 16 d), 24 b) и 26 b) выше.</w:t>
      </w:r>
      <w:r w:rsidRPr="008B1346">
        <w:t xml:space="preserve"> </w:t>
      </w:r>
    </w:p>
    <w:p w14:paraId="14F1EEB6" w14:textId="77777777" w:rsidR="00AA30E5" w:rsidRPr="00AA30E5" w:rsidRDefault="00AA30E5" w:rsidP="00AA30E5">
      <w:pPr>
        <w:pStyle w:val="SingleTxt"/>
        <w:spacing w:after="0" w:line="120" w:lineRule="exact"/>
        <w:rPr>
          <w:b/>
          <w:sz w:val="10"/>
        </w:rPr>
      </w:pPr>
    </w:p>
    <w:p w14:paraId="5EB149B5" w14:textId="77777777" w:rsidR="000922A6" w:rsidRDefault="000922A6">
      <w:pPr>
        <w:spacing w:after="200" w:line="276" w:lineRule="auto"/>
        <w:rPr>
          <w:b/>
          <w:spacing w:val="2"/>
        </w:rPr>
      </w:pPr>
      <w:r>
        <w:br w:type="page"/>
      </w:r>
    </w:p>
    <w:p w14:paraId="65CFB60A" w14:textId="7B5749A5" w:rsidR="008B1346" w:rsidRPr="008B1346" w:rsidRDefault="008B1346" w:rsidP="00AA30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346">
        <w:tab/>
      </w:r>
      <w:r w:rsidRPr="008B1346">
        <w:tab/>
        <w:t xml:space="preserve">Подготовка следующего периодического доклада </w:t>
      </w:r>
    </w:p>
    <w:p w14:paraId="0B9605DF" w14:textId="77777777" w:rsidR="00AA30E5" w:rsidRPr="00AA30E5" w:rsidRDefault="00AA30E5" w:rsidP="00AA30E5">
      <w:pPr>
        <w:pStyle w:val="SingleTxt"/>
        <w:spacing w:after="0" w:line="120" w:lineRule="exact"/>
        <w:rPr>
          <w:sz w:val="10"/>
        </w:rPr>
      </w:pPr>
    </w:p>
    <w:p w14:paraId="6C8798AA" w14:textId="205F85A0" w:rsidR="008B1346" w:rsidRPr="008B1346" w:rsidRDefault="008B1346" w:rsidP="008B1346">
      <w:pPr>
        <w:pStyle w:val="SingleTxt"/>
      </w:pPr>
      <w:r w:rsidRPr="008B1346">
        <w:t>55.</w:t>
      </w:r>
      <w:r w:rsidRPr="008B1346">
        <w:tab/>
      </w:r>
      <w:r w:rsidRPr="008B1346">
        <w:rPr>
          <w:b/>
          <w:bCs/>
        </w:rPr>
        <w:t>Комитет предлагает государству-участнику представить свой седьмой периодический доклад в ноябре 2022 года.</w:t>
      </w:r>
      <w:r w:rsidRPr="008B1346">
        <w:t xml:space="preserve"> </w:t>
      </w:r>
      <w:r w:rsidRPr="008B1346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28F89557" w14:textId="69EE34C2" w:rsidR="008B1346" w:rsidRPr="008B1346" w:rsidRDefault="008B1346" w:rsidP="008B1346">
      <w:pPr>
        <w:pStyle w:val="SingleTxt"/>
        <w:rPr>
          <w:b/>
        </w:rPr>
      </w:pPr>
      <w:r w:rsidRPr="008B1346">
        <w:t>56.</w:t>
      </w:r>
      <w:r w:rsidRPr="008B1346">
        <w:tab/>
      </w:r>
      <w:r w:rsidRPr="008B1346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(см.</w:t>
      </w:r>
      <w:r w:rsidR="000922A6">
        <w:rPr>
          <w:b/>
          <w:bCs/>
        </w:rPr>
        <w:t> </w:t>
      </w:r>
      <w:hyperlink r:id="rId33" w:history="1">
        <w:r w:rsidRPr="00ED6880">
          <w:rPr>
            <w:rStyle w:val="Hyperlink"/>
            <w:b/>
            <w:bCs/>
          </w:rPr>
          <w:t>HRI/GEN/2/Rev.6</w:t>
        </w:r>
      </w:hyperlink>
      <w:r w:rsidRPr="008B1346">
        <w:rPr>
          <w:b/>
          <w:bCs/>
        </w:rPr>
        <w:t>, глава I).</w:t>
      </w:r>
    </w:p>
    <w:p w14:paraId="3C6654DB" w14:textId="624B7011" w:rsidR="008B1346" w:rsidRPr="000922A6" w:rsidRDefault="000922A6" w:rsidP="000922A6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18A4" wp14:editId="16A72254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D342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B1346" w:rsidRPr="000922A6" w:rsidSect="00936A6D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art" w:date="2018-12-17T12:18:00Z" w:initials="Start">
    <w:p w14:paraId="78BE6393" w14:textId="77777777" w:rsidR="00794E61" w:rsidRPr="00936A6D" w:rsidRDefault="00794E61">
      <w:pPr>
        <w:pStyle w:val="CommentText"/>
        <w:rPr>
          <w:lang w:val="en-US"/>
        </w:rPr>
      </w:pPr>
      <w:r>
        <w:fldChar w:fldCharType="begin"/>
      </w:r>
      <w:r w:rsidRPr="00936A6D">
        <w:rPr>
          <w:rStyle w:val="CommentReference"/>
          <w:lang w:val="en-US"/>
        </w:rPr>
        <w:instrText xml:space="preserve"> </w:instrText>
      </w:r>
      <w:r w:rsidRPr="00936A6D">
        <w:rPr>
          <w:lang w:val="en-US"/>
        </w:rPr>
        <w:instrText>PAGE \# "'Page: '#'</w:instrText>
      </w:r>
      <w:r w:rsidRPr="00936A6D">
        <w:rPr>
          <w:lang w:val="en-US"/>
        </w:rPr>
        <w:br/>
        <w:instrText>'"</w:instrText>
      </w:r>
      <w:r w:rsidRPr="00936A6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36A6D">
        <w:rPr>
          <w:lang w:val="en-US"/>
        </w:rPr>
        <w:t>&lt;&lt;ODS JOB NO&gt;&gt;N1837903R&lt;&lt;ODS JOB NO&gt;&gt;</w:t>
      </w:r>
    </w:p>
    <w:p w14:paraId="3AFEEC8C" w14:textId="77777777" w:rsidR="00794E61" w:rsidRPr="00936A6D" w:rsidRDefault="00794E61">
      <w:pPr>
        <w:pStyle w:val="CommentText"/>
        <w:rPr>
          <w:lang w:val="en-US"/>
        </w:rPr>
      </w:pPr>
      <w:r w:rsidRPr="00936A6D">
        <w:rPr>
          <w:lang w:val="en-US"/>
        </w:rPr>
        <w:t>&lt;&lt;ODS DOC SYMBOL1&gt;&gt;CEDAW/C/BHS/CO/6&lt;&lt;ODS DOC SYMBOL1&gt;&gt;</w:t>
      </w:r>
    </w:p>
    <w:p w14:paraId="60C5914C" w14:textId="77777777" w:rsidR="00794E61" w:rsidRDefault="00794E61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C5914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9AF6" w14:textId="77777777" w:rsidR="00794E61" w:rsidRDefault="00794E61" w:rsidP="001824A1">
      <w:pPr>
        <w:spacing w:line="240" w:lineRule="auto"/>
      </w:pPr>
      <w:r>
        <w:separator/>
      </w:r>
    </w:p>
  </w:endnote>
  <w:endnote w:type="continuationSeparator" w:id="0">
    <w:p w14:paraId="3A83FB62" w14:textId="77777777" w:rsidR="00794E61" w:rsidRDefault="00794E61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94E61" w14:paraId="29D68226" w14:textId="77777777" w:rsidTr="003C1FCD">
      <w:tc>
        <w:tcPr>
          <w:tcW w:w="4920" w:type="dxa"/>
          <w:shd w:val="clear" w:color="auto" w:fill="auto"/>
          <w:vAlign w:val="bottom"/>
        </w:tcPr>
        <w:p w14:paraId="7B51280A" w14:textId="77777777" w:rsidR="00794E61" w:rsidRPr="003C1FCD" w:rsidRDefault="00794E61" w:rsidP="003C1FC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656797">
            <w:fldChar w:fldCharType="begin"/>
          </w:r>
          <w:r w:rsidR="00656797">
            <w:instrText xml:space="preserve"> NUMPAGES  \* Arabic  \* MERGEFORMAT </w:instrText>
          </w:r>
          <w:r w:rsidR="00656797">
            <w:fldChar w:fldCharType="separate"/>
          </w:r>
          <w:r>
            <w:rPr>
              <w:noProof/>
            </w:rPr>
            <w:t>4</w:t>
          </w:r>
          <w:r w:rsidR="00656797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379FC71" w14:textId="5C13353C" w:rsidR="00794E61" w:rsidRPr="00401D48" w:rsidRDefault="00794E61" w:rsidP="003C1FCD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t>18-19355</w:t>
          </w:r>
          <w:r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254BB277" w14:textId="77777777" w:rsidR="00794E61" w:rsidRPr="003C1FCD" w:rsidRDefault="00794E61" w:rsidP="003C1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94E61" w14:paraId="6DFEAEF1" w14:textId="77777777" w:rsidTr="003C1FCD">
      <w:tc>
        <w:tcPr>
          <w:tcW w:w="4920" w:type="dxa"/>
          <w:shd w:val="clear" w:color="auto" w:fill="auto"/>
          <w:vAlign w:val="bottom"/>
        </w:tcPr>
        <w:p w14:paraId="77EEA869" w14:textId="3E36FBC9" w:rsidR="00794E61" w:rsidRPr="00401D48" w:rsidRDefault="00794E61" w:rsidP="003C1FCD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t>18-19355</w:t>
          </w:r>
          <w:r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4920" w:type="dxa"/>
          <w:shd w:val="clear" w:color="auto" w:fill="auto"/>
          <w:vAlign w:val="bottom"/>
        </w:tcPr>
        <w:p w14:paraId="19BFCBEB" w14:textId="77777777" w:rsidR="00794E61" w:rsidRPr="003C1FCD" w:rsidRDefault="00794E61" w:rsidP="003C1FC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656797">
            <w:fldChar w:fldCharType="begin"/>
          </w:r>
          <w:r w:rsidR="00656797">
            <w:instrText xml:space="preserve"> NUMPAGES  \* Arabic  \* MERGEFORMAT </w:instrText>
          </w:r>
          <w:r w:rsidR="00656797">
            <w:fldChar w:fldCharType="separate"/>
          </w:r>
          <w:r>
            <w:rPr>
              <w:noProof/>
            </w:rPr>
            <w:t>4</w:t>
          </w:r>
          <w:r w:rsidR="00656797">
            <w:rPr>
              <w:noProof/>
            </w:rPr>
            <w:fldChar w:fldCharType="end"/>
          </w:r>
        </w:p>
      </w:tc>
    </w:tr>
  </w:tbl>
  <w:p w14:paraId="5E8A32B5" w14:textId="77777777" w:rsidR="00794E61" w:rsidRPr="003C1FCD" w:rsidRDefault="00794E61" w:rsidP="003C1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794E61" w14:paraId="058F70BA" w14:textId="77777777" w:rsidTr="003C1FCD">
      <w:tc>
        <w:tcPr>
          <w:tcW w:w="3830" w:type="dxa"/>
        </w:tcPr>
        <w:p w14:paraId="48339D41" w14:textId="5142E2D8" w:rsidR="00794E61" w:rsidRDefault="00794E61" w:rsidP="003C1FCD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CAEAE8F" wp14:editId="146B8283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BHS/CO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BHS/CO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18-19355</w:t>
          </w:r>
          <w:r>
            <w:rPr>
              <w:lang w:val="en-US"/>
            </w:rPr>
            <w:t>X</w:t>
          </w:r>
          <w:r>
            <w:t xml:space="preserve"> (R)</w:t>
          </w:r>
          <w:r w:rsidR="00881B61">
            <w:rPr>
              <w:color w:val="010000"/>
            </w:rPr>
            <w:t xml:space="preserve">    1</w:t>
          </w:r>
          <w:r w:rsidR="00881B61">
            <w:rPr>
              <w:color w:val="010000"/>
              <w:lang w:val="en-US"/>
            </w:rPr>
            <w:t>4</w:t>
          </w:r>
          <w:bookmarkStart w:id="0" w:name="_GoBack"/>
          <w:bookmarkEnd w:id="0"/>
          <w:r>
            <w:rPr>
              <w:color w:val="010000"/>
            </w:rPr>
            <w:t>1218    171218</w:t>
          </w:r>
        </w:p>
        <w:p w14:paraId="7F2493A3" w14:textId="77777777" w:rsidR="00794E61" w:rsidRPr="003C1FCD" w:rsidRDefault="00794E61" w:rsidP="003C1FC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*1819355*</w:t>
          </w:r>
        </w:p>
      </w:tc>
      <w:tc>
        <w:tcPr>
          <w:tcW w:w="4920" w:type="dxa"/>
        </w:tcPr>
        <w:p w14:paraId="3940C9EE" w14:textId="77777777" w:rsidR="00794E61" w:rsidRDefault="00794E61" w:rsidP="003C1FC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7B7A97E7" wp14:editId="2922819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E44B10" w14:textId="77777777" w:rsidR="00794E61" w:rsidRPr="003C1FCD" w:rsidRDefault="00794E61" w:rsidP="003C1FC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F8C" w14:textId="0952A502" w:rsidR="00794E61" w:rsidRPr="00AA30E5" w:rsidRDefault="00794E61" w:rsidP="00AA30E5">
      <w:pPr>
        <w:pStyle w:val="Footer"/>
        <w:spacing w:after="80"/>
        <w:ind w:left="792"/>
      </w:pPr>
      <w:r w:rsidRPr="00AA30E5">
        <w:t>__________________</w:t>
      </w:r>
    </w:p>
  </w:footnote>
  <w:footnote w:type="continuationSeparator" w:id="0">
    <w:p w14:paraId="0BBE30CA" w14:textId="4C4317EB" w:rsidR="00794E61" w:rsidRPr="00AA30E5" w:rsidRDefault="00794E61" w:rsidP="00AA30E5">
      <w:pPr>
        <w:pStyle w:val="Footer"/>
        <w:spacing w:after="80"/>
        <w:ind w:left="792"/>
      </w:pPr>
      <w:r w:rsidRPr="00AA30E5">
        <w:t>__________________</w:t>
      </w:r>
    </w:p>
  </w:footnote>
  <w:footnote w:id="1">
    <w:p w14:paraId="24C8BE13" w14:textId="346F5C3D" w:rsidR="00794E61" w:rsidRPr="008B1346" w:rsidRDefault="00794E61" w:rsidP="00AA30E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8B1346">
        <w:t>Приняты Комитетом на его семьдесят первой сессии (22 октября — 9 ноября 2018 года).</w:t>
      </w:r>
    </w:p>
  </w:footnote>
  <w:footnote w:id="2">
    <w:p w14:paraId="3B7B3E29" w14:textId="51F9852E" w:rsidR="00794E61" w:rsidRDefault="00794E61" w:rsidP="00AA30E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94E61" w14:paraId="5C18C0DD" w14:textId="77777777" w:rsidTr="003C1FC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EE8554E" w14:textId="7EAC118A" w:rsidR="00794E61" w:rsidRPr="003C1FCD" w:rsidRDefault="00794E61" w:rsidP="003C1FC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56797">
            <w:rPr>
              <w:b/>
            </w:rPr>
            <w:t>CEDAW/C/BHS/CO/6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21D60D6" w14:textId="77777777" w:rsidR="00794E61" w:rsidRDefault="00794E61" w:rsidP="003C1FCD">
          <w:pPr>
            <w:pStyle w:val="Header"/>
          </w:pPr>
        </w:p>
      </w:tc>
    </w:tr>
  </w:tbl>
  <w:p w14:paraId="3CABD74B" w14:textId="77777777" w:rsidR="00794E61" w:rsidRPr="003C1FCD" w:rsidRDefault="00794E61" w:rsidP="003C1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94E61" w14:paraId="18F87A54" w14:textId="77777777" w:rsidTr="003C1FC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1E3D083" w14:textId="77777777" w:rsidR="00794E61" w:rsidRDefault="00794E61" w:rsidP="003C1FC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BC32893" w14:textId="1F9A28FA" w:rsidR="00794E61" w:rsidRPr="003C1FCD" w:rsidRDefault="00794E61" w:rsidP="003C1FC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56797">
            <w:rPr>
              <w:b/>
            </w:rPr>
            <w:t>CEDAW/C/BHS/CO/6</w:t>
          </w:r>
          <w:r>
            <w:rPr>
              <w:b/>
            </w:rPr>
            <w:fldChar w:fldCharType="end"/>
          </w:r>
        </w:p>
      </w:tc>
    </w:tr>
  </w:tbl>
  <w:p w14:paraId="0F79A3B6" w14:textId="77777777" w:rsidR="00794E61" w:rsidRPr="003C1FCD" w:rsidRDefault="00794E61" w:rsidP="003C1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794E61" w14:paraId="18C35B56" w14:textId="77777777" w:rsidTr="003C1FC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7AFE225D" w14:textId="77777777" w:rsidR="00794E61" w:rsidRPr="003C1FCD" w:rsidRDefault="00794E61" w:rsidP="003C1FC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27950E3" w14:textId="77777777" w:rsidR="00794E61" w:rsidRDefault="00794E61" w:rsidP="003C1FCD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320B4C3" w14:textId="77777777" w:rsidR="00794E61" w:rsidRPr="003C1FCD" w:rsidRDefault="00794E61" w:rsidP="003C1FC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/C/BHS/CO/6</w:t>
          </w:r>
        </w:p>
      </w:tc>
    </w:tr>
    <w:tr w:rsidR="00794E61" w:rsidRPr="00881B61" w14:paraId="5E173DC3" w14:textId="77777777" w:rsidTr="003C1FCD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93A916" w14:textId="77777777" w:rsidR="00794E61" w:rsidRPr="003C1FCD" w:rsidRDefault="00794E61" w:rsidP="003C1FC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DB3B666" wp14:editId="22694CA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0CA81B5" w14:textId="77777777" w:rsidR="00794E61" w:rsidRPr="003C1FCD" w:rsidRDefault="00794E61" w:rsidP="003C1FC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DEE6CD" w14:textId="77777777" w:rsidR="00794E61" w:rsidRPr="003C1FCD" w:rsidRDefault="00794E61" w:rsidP="003C1FCD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48F2E8" w14:textId="77777777" w:rsidR="00794E61" w:rsidRPr="00936A6D" w:rsidRDefault="00794E61" w:rsidP="003C1FCD">
          <w:pPr>
            <w:pStyle w:val="Distribution"/>
            <w:rPr>
              <w:color w:val="000000"/>
              <w:lang w:val="en-US"/>
            </w:rPr>
          </w:pPr>
          <w:r w:rsidRPr="00936A6D">
            <w:rPr>
              <w:color w:val="000000"/>
              <w:lang w:val="en-US"/>
            </w:rPr>
            <w:t>Distr.: General</w:t>
          </w:r>
        </w:p>
        <w:p w14:paraId="1E9B7D1C" w14:textId="77777777" w:rsidR="00794E61" w:rsidRPr="00936A6D" w:rsidRDefault="00794E61" w:rsidP="003C1FCD">
          <w:pPr>
            <w:pStyle w:val="Publication"/>
            <w:rPr>
              <w:color w:val="000000"/>
              <w:lang w:val="en-US"/>
            </w:rPr>
          </w:pPr>
          <w:r w:rsidRPr="00936A6D">
            <w:rPr>
              <w:color w:val="000000"/>
              <w:lang w:val="en-US"/>
            </w:rPr>
            <w:t>14 December 2018</w:t>
          </w:r>
        </w:p>
        <w:p w14:paraId="4E1B51F2" w14:textId="77777777" w:rsidR="00794E61" w:rsidRPr="00936A6D" w:rsidRDefault="00794E61" w:rsidP="003C1FCD">
          <w:pPr>
            <w:rPr>
              <w:color w:val="000000"/>
              <w:lang w:val="en-US"/>
            </w:rPr>
          </w:pPr>
          <w:r w:rsidRPr="00936A6D">
            <w:rPr>
              <w:color w:val="000000"/>
              <w:lang w:val="en-US"/>
            </w:rPr>
            <w:t>Russian</w:t>
          </w:r>
        </w:p>
        <w:p w14:paraId="0923824A" w14:textId="77777777" w:rsidR="00794E61" w:rsidRPr="00936A6D" w:rsidRDefault="00794E61" w:rsidP="003C1FCD">
          <w:pPr>
            <w:pStyle w:val="Original"/>
            <w:rPr>
              <w:color w:val="000000"/>
              <w:lang w:val="en-US"/>
            </w:rPr>
          </w:pPr>
          <w:r w:rsidRPr="00936A6D">
            <w:rPr>
              <w:color w:val="000000"/>
              <w:lang w:val="en-US"/>
            </w:rPr>
            <w:t>Original: English</w:t>
          </w:r>
        </w:p>
        <w:p w14:paraId="324A0E66" w14:textId="77777777" w:rsidR="00794E61" w:rsidRPr="00936A6D" w:rsidRDefault="00794E61" w:rsidP="003C1FCD">
          <w:pPr>
            <w:rPr>
              <w:lang w:val="en-US"/>
            </w:rPr>
          </w:pPr>
        </w:p>
      </w:tc>
    </w:tr>
  </w:tbl>
  <w:p w14:paraId="3CA95275" w14:textId="77777777" w:rsidR="00794E61" w:rsidRPr="00936A6D" w:rsidRDefault="00794E61" w:rsidP="003C1FC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337EC6E4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A38"/>
    <w:multiLevelType w:val="hybridMultilevel"/>
    <w:tmpl w:val="6F98B038"/>
    <w:lvl w:ilvl="0" w:tplc="38AA461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E42048"/>
    <w:multiLevelType w:val="hybridMultilevel"/>
    <w:tmpl w:val="3E5802A0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E110D00E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9C0867E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9"/>
  </w:num>
  <w:num w:numId="30">
    <w:abstractNumId w:val="8"/>
  </w:num>
  <w:num w:numId="31">
    <w:abstractNumId w:val="7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9"/>
  </w:num>
  <w:num w:numId="39">
    <w:abstractNumId w:val="8"/>
  </w:num>
  <w:num w:numId="40">
    <w:abstractNumId w:val="7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defaultTabStop w:val="475"/>
  <w:autoHyphenation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9355*"/>
    <w:docVar w:name="CreationDt" w:val="17/12/2018 12:18 PM"/>
    <w:docVar w:name="DocCategory" w:val="Doc"/>
    <w:docVar w:name="DocType" w:val="Final"/>
    <w:docVar w:name="DutyStation" w:val="New York"/>
    <w:docVar w:name="FooterJN" w:val="18-19355"/>
    <w:docVar w:name="jobn" w:val="18-19355 (R)"/>
    <w:docVar w:name="jobnDT" w:val="18-19355 (R)   171218"/>
    <w:docVar w:name="jobnDTDT" w:val="18-19355 (R)   171218   171218"/>
    <w:docVar w:name="JobNo" w:val="1819355R"/>
    <w:docVar w:name="JobNo2" w:val="1837903R"/>
    <w:docVar w:name="LocalDrive" w:val="0"/>
    <w:docVar w:name="OandT" w:val=" "/>
    <w:docVar w:name="sss1" w:val="CEDAW/C/BHS/CO/6"/>
    <w:docVar w:name="sss2" w:val="-"/>
    <w:docVar w:name="Symbol1" w:val="CEDAW/C/BHS/CO/6"/>
    <w:docVar w:name="Symbol2" w:val="-"/>
  </w:docVars>
  <w:rsids>
    <w:rsidRoot w:val="000D3EDF"/>
    <w:rsid w:val="00057473"/>
    <w:rsid w:val="000922A6"/>
    <w:rsid w:val="000A1A1B"/>
    <w:rsid w:val="000D3EDF"/>
    <w:rsid w:val="000D4F8A"/>
    <w:rsid w:val="001463E0"/>
    <w:rsid w:val="001824A1"/>
    <w:rsid w:val="001B06EB"/>
    <w:rsid w:val="001B0786"/>
    <w:rsid w:val="001F427A"/>
    <w:rsid w:val="00210AF4"/>
    <w:rsid w:val="00215A7D"/>
    <w:rsid w:val="002A2CC2"/>
    <w:rsid w:val="003218EF"/>
    <w:rsid w:val="003807EF"/>
    <w:rsid w:val="0038495D"/>
    <w:rsid w:val="00392547"/>
    <w:rsid w:val="003C1FCD"/>
    <w:rsid w:val="003F7347"/>
    <w:rsid w:val="00401D48"/>
    <w:rsid w:val="004240B1"/>
    <w:rsid w:val="004275D7"/>
    <w:rsid w:val="004279A5"/>
    <w:rsid w:val="00431502"/>
    <w:rsid w:val="004731F9"/>
    <w:rsid w:val="004B4A19"/>
    <w:rsid w:val="004C5378"/>
    <w:rsid w:val="00542D6F"/>
    <w:rsid w:val="005644C2"/>
    <w:rsid w:val="00571999"/>
    <w:rsid w:val="005A2266"/>
    <w:rsid w:val="005B58D8"/>
    <w:rsid w:val="00643F79"/>
    <w:rsid w:val="00656797"/>
    <w:rsid w:val="00666F59"/>
    <w:rsid w:val="00667E4E"/>
    <w:rsid w:val="006B0972"/>
    <w:rsid w:val="006D4969"/>
    <w:rsid w:val="006E5CA5"/>
    <w:rsid w:val="00705A84"/>
    <w:rsid w:val="00715A33"/>
    <w:rsid w:val="007521E7"/>
    <w:rsid w:val="00794E61"/>
    <w:rsid w:val="007D2E54"/>
    <w:rsid w:val="00832E10"/>
    <w:rsid w:val="00840363"/>
    <w:rsid w:val="00843551"/>
    <w:rsid w:val="00881B61"/>
    <w:rsid w:val="008B1346"/>
    <w:rsid w:val="008E0493"/>
    <w:rsid w:val="008E3D70"/>
    <w:rsid w:val="00936A6D"/>
    <w:rsid w:val="0096420F"/>
    <w:rsid w:val="009F077A"/>
    <w:rsid w:val="00A57ABA"/>
    <w:rsid w:val="00A72FF5"/>
    <w:rsid w:val="00AA30E5"/>
    <w:rsid w:val="00AD6D9A"/>
    <w:rsid w:val="00B535EE"/>
    <w:rsid w:val="00B745E4"/>
    <w:rsid w:val="00BE188F"/>
    <w:rsid w:val="00C26FCC"/>
    <w:rsid w:val="00C41769"/>
    <w:rsid w:val="00C45C26"/>
    <w:rsid w:val="00C92A42"/>
    <w:rsid w:val="00CA4BB0"/>
    <w:rsid w:val="00D760D3"/>
    <w:rsid w:val="00D82BC5"/>
    <w:rsid w:val="00D96F14"/>
    <w:rsid w:val="00D9743E"/>
    <w:rsid w:val="00DE54F1"/>
    <w:rsid w:val="00E2049D"/>
    <w:rsid w:val="00E25037"/>
    <w:rsid w:val="00E720E8"/>
    <w:rsid w:val="00EC2A36"/>
    <w:rsid w:val="00EC61B3"/>
    <w:rsid w:val="00ED31CE"/>
    <w:rsid w:val="00ED6880"/>
    <w:rsid w:val="00F2422B"/>
    <w:rsid w:val="00F62971"/>
    <w:rsid w:val="00F63321"/>
    <w:rsid w:val="00F64826"/>
    <w:rsid w:val="00F81CC1"/>
    <w:rsid w:val="00FB731E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23D52"/>
  <w15:chartTrackingRefBased/>
  <w15:docId w15:val="{59B4B19D-05F5-4D40-9646-95A9B4C2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0D4F8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D4F8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0D4F8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4F8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0D4F8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0D4F8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D4F8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0D4F8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0D4F8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D4F8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0D4F8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D4F8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D4F8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0D4F8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0D4F8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D4F8A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0D4F8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D4F8A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0D4F8A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D4F8A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0D4F8A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0D4F8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0D4F8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0D4F8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0D4F8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0D4F8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0D4F8A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0D4F8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0D4F8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D4F8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0D4F8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0D4F8A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4F8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D4F8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4F8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0D4F8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0D4F8A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0D4F8A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0D4F8A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0D4F8A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0D4F8A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0D4F8A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0D4F8A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0D4F8A"/>
    <w:rPr>
      <w:szCs w:val="20"/>
    </w:rPr>
  </w:style>
  <w:style w:type="paragraph" w:customStyle="1" w:styleId="Publication">
    <w:name w:val="Publication"/>
    <w:basedOn w:val="Normal"/>
    <w:next w:val="Normal"/>
    <w:qFormat/>
    <w:rsid w:val="000D4F8A"/>
  </w:style>
  <w:style w:type="paragraph" w:customStyle="1" w:styleId="ReleaseDate">
    <w:name w:val="ReleaseDate"/>
    <w:basedOn w:val="Normal"/>
    <w:next w:val="Normal"/>
    <w:qFormat/>
    <w:rsid w:val="000D4F8A"/>
    <w:rPr>
      <w:szCs w:val="20"/>
    </w:rPr>
  </w:style>
  <w:style w:type="paragraph" w:customStyle="1" w:styleId="Small">
    <w:name w:val="Small"/>
    <w:basedOn w:val="Normal"/>
    <w:next w:val="Normal"/>
    <w:qFormat/>
    <w:rsid w:val="000D4F8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D4F8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D4F8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0D4F8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D4F8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3C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F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FC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FC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ED688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D6880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D6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SR.1636" TargetMode="External"/><Relationship Id="rId26" Type="http://schemas.openxmlformats.org/officeDocument/2006/relationships/hyperlink" Target="https://undocs.org/ru/CEDAW/C/BHS/CO/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BHS/CO/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SR.1635%20" TargetMode="External"/><Relationship Id="rId25" Type="http://schemas.openxmlformats.org/officeDocument/2006/relationships/hyperlink" Target="https://undocs.org/ru/CEDAW/C/BHS/CO/1" TargetMode="External"/><Relationship Id="rId33" Type="http://schemas.openxmlformats.org/officeDocument/2006/relationships/hyperlink" Target="https://undocs.org/ru/HRI/GEN/2/Rev.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BHS/6" TargetMode="External"/><Relationship Id="rId20" Type="http://schemas.openxmlformats.org/officeDocument/2006/relationships/hyperlink" Target="https://undocs.org/ru/CEDAW/C/BHS/Q/6/Add.1" TargetMode="External"/><Relationship Id="rId29" Type="http://schemas.openxmlformats.org/officeDocument/2006/relationships/hyperlink" Target="https://undocs.org/ru/CEDAW/C/BHS/CO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A/65/38" TargetMode="External"/><Relationship Id="rId32" Type="http://schemas.openxmlformats.org/officeDocument/2006/relationships/hyperlink" Target="https://undocs.org/ru/CEDAW/C/BHS/CO/1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CEDAW/C/BHS/5" TargetMode="External"/><Relationship Id="rId28" Type="http://schemas.openxmlformats.org/officeDocument/2006/relationships/hyperlink" Target="https://undocs.org/ru/CEDAW/C/BHS/CO/1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BHS/Q/6" TargetMode="External"/><Relationship Id="rId31" Type="http://schemas.openxmlformats.org/officeDocument/2006/relationships/hyperlink" Target="https://undocs.org/ru/CEDAW/C/BHS/CO/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BHS/4" TargetMode="External"/><Relationship Id="rId27" Type="http://schemas.openxmlformats.org/officeDocument/2006/relationships/hyperlink" Target="https://undocs.org/ru/CEDAW/C/BHS/CO/1" TargetMode="External"/><Relationship Id="rId30" Type="http://schemas.openxmlformats.org/officeDocument/2006/relationships/hyperlink" Target="https://undocs.org/ru/CEDAW/C/BHS/CO/1" TargetMode="Externa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DE10-C2E8-446A-B2C0-725C8600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7636</Words>
  <Characters>43526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Zemlinskaya</dc:creator>
  <cp:keywords/>
  <dc:description/>
  <cp:lastModifiedBy>Svetlana Zemlinskaya</cp:lastModifiedBy>
  <cp:revision>17</cp:revision>
  <cp:lastPrinted>2018-12-17T17:58:00Z</cp:lastPrinted>
  <dcterms:created xsi:type="dcterms:W3CDTF">2018-12-17T17:46:00Z</dcterms:created>
  <dcterms:modified xsi:type="dcterms:W3CDTF">2018-12-17T17:58:00Z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1819355R</vt:lpwstr>
  </property>
  <property fmtid="{D5CDD505-2E9C-101B-9397-08002B2CF9AE}" pid="3" name="ODSRefJobNo">
    <vt:lpwstr>1837903R</vt:lpwstr>
  </property>
  <property fmtid="{D5CDD505-2E9C-101B-9397-08002B2CF9AE}" pid="4" name="Symbol1">
    <vt:lpwstr>CEDAW/C/BHS/CO/6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Distribution">
    <vt:lpwstr>General</vt:lpwstr>
  </property>
  <property fmtid="{D5CDD505-2E9C-101B-9397-08002B2CF9AE}" pid="10" name="Publication Date">
    <vt:lpwstr>14 December 2018</vt:lpwstr>
  </property>
  <property fmtid="{D5CDD505-2E9C-101B-9397-08002B2CF9AE}" pid="11" name="Original">
    <vt:lpwstr>English</vt:lpwstr>
  </property>
  <property fmtid="{D5CDD505-2E9C-101B-9397-08002B2CF9AE}" pid="12" name="Release Date">
    <vt:lpwstr>171218</vt:lpwstr>
  </property>
  <property fmtid="{D5CDD505-2E9C-101B-9397-08002B2CF9AE}" pid="13" name="Title1">
    <vt:lpwstr>		Заключительные замечания по шестому периодическому докладу Багамских Островов*_x000d_</vt:lpwstr>
  </property>
  <property fmtid="{D5CDD505-2E9C-101B-9397-08002B2CF9AE}" pid="14" name="Comment">
    <vt:lpwstr/>
  </property>
  <property fmtid="{D5CDD505-2E9C-101B-9397-08002B2CF9AE}" pid="15" name="DraftPages">
    <vt:lpwstr>19 </vt:lpwstr>
  </property>
  <property fmtid="{D5CDD505-2E9C-101B-9397-08002B2CF9AE}" pid="16" name="Operator">
    <vt:lpwstr>Zemlinskaya</vt:lpwstr>
  </property>
</Properties>
</file>