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07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074D" w:rsidP="00E8074D">
            <w:pPr>
              <w:jc w:val="right"/>
            </w:pPr>
            <w:r w:rsidRPr="00E8074D">
              <w:rPr>
                <w:sz w:val="40"/>
              </w:rPr>
              <w:t>CAT</w:t>
            </w:r>
            <w:r>
              <w:t>/C/ATG/CO/1</w:t>
            </w:r>
          </w:p>
        </w:tc>
      </w:tr>
      <w:tr w:rsidR="002D5AAC" w:rsidRPr="004B5E0B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8074D" w:rsidRDefault="00E8074D" w:rsidP="00F90E40">
            <w:pPr>
              <w:spacing w:before="240"/>
              <w:rPr>
                <w:lang w:val="en-US"/>
              </w:rPr>
            </w:pPr>
            <w:r w:rsidRPr="00E8074D">
              <w:rPr>
                <w:lang w:val="en-US"/>
              </w:rPr>
              <w:t>Distr.: General</w:t>
            </w:r>
          </w:p>
          <w:p w:rsidR="00E8074D" w:rsidRPr="00E8074D" w:rsidRDefault="00E8074D" w:rsidP="00E8074D">
            <w:pPr>
              <w:spacing w:line="240" w:lineRule="exact"/>
              <w:rPr>
                <w:lang w:val="en-US"/>
              </w:rPr>
            </w:pPr>
            <w:r w:rsidRPr="00E8074D">
              <w:rPr>
                <w:lang w:val="en-US"/>
              </w:rPr>
              <w:t>30 August 2017</w:t>
            </w:r>
          </w:p>
          <w:p w:rsidR="00E8074D" w:rsidRPr="00E8074D" w:rsidRDefault="00E8074D" w:rsidP="00E8074D">
            <w:pPr>
              <w:spacing w:line="240" w:lineRule="exact"/>
              <w:rPr>
                <w:lang w:val="en-US"/>
              </w:rPr>
            </w:pPr>
            <w:r w:rsidRPr="00E8074D">
              <w:rPr>
                <w:lang w:val="en-US"/>
              </w:rPr>
              <w:t>Russian</w:t>
            </w:r>
          </w:p>
          <w:p w:rsidR="00E8074D" w:rsidRPr="00E8074D" w:rsidRDefault="00E8074D" w:rsidP="00E8074D">
            <w:pPr>
              <w:spacing w:line="240" w:lineRule="exact"/>
              <w:rPr>
                <w:lang w:val="en-US"/>
              </w:rPr>
            </w:pPr>
            <w:r w:rsidRPr="00E8074D">
              <w:rPr>
                <w:lang w:val="en-US"/>
              </w:rPr>
              <w:t>Original: English</w:t>
            </w:r>
          </w:p>
        </w:tc>
      </w:tr>
    </w:tbl>
    <w:p w:rsidR="00923DCD" w:rsidRPr="00923DCD" w:rsidRDefault="00923DCD" w:rsidP="00923DCD">
      <w:pPr>
        <w:pStyle w:val="SingleTxtGR"/>
        <w:spacing w:before="120"/>
        <w:ind w:left="0"/>
        <w:rPr>
          <w:b/>
          <w:bCs/>
          <w:sz w:val="24"/>
        </w:rPr>
      </w:pPr>
      <w:r w:rsidRPr="00923DCD">
        <w:rPr>
          <w:b/>
          <w:bCs/>
          <w:sz w:val="24"/>
        </w:rPr>
        <w:t>Комитет против пыток</w:t>
      </w:r>
    </w:p>
    <w:p w:rsidR="00923DCD" w:rsidRPr="00923DCD" w:rsidRDefault="00923DCD" w:rsidP="00923DCD">
      <w:pPr>
        <w:pStyle w:val="HChGR"/>
        <w:rPr>
          <w:b w:val="0"/>
          <w:sz w:val="20"/>
        </w:rPr>
      </w:pPr>
      <w:r w:rsidRPr="00923DCD">
        <w:tab/>
      </w:r>
      <w:r w:rsidRPr="00923DCD">
        <w:tab/>
        <w:t>Заключительные з</w:t>
      </w:r>
      <w:r>
        <w:t>амечания по Антигуа и Барбуде в</w:t>
      </w:r>
      <w:r>
        <w:rPr>
          <w:lang w:val="en-US"/>
        </w:rPr>
        <w:t> </w:t>
      </w:r>
      <w:r w:rsidRPr="00923DCD">
        <w:t>отсутствие доклада</w:t>
      </w:r>
      <w:r w:rsidRPr="00923DCD">
        <w:rPr>
          <w:b w:val="0"/>
          <w:sz w:val="20"/>
        </w:rPr>
        <w:footnoteReference w:customMarkFollows="1" w:id="1"/>
        <w:t>*</w:t>
      </w:r>
    </w:p>
    <w:p w:rsidR="00923DCD" w:rsidRPr="00923DCD" w:rsidRDefault="00923DCD" w:rsidP="00923DCD">
      <w:pPr>
        <w:pStyle w:val="SingleTxtGR"/>
      </w:pPr>
      <w:r w:rsidRPr="00923DCD">
        <w:t>1.</w:t>
      </w:r>
      <w:r w:rsidRPr="00923DCD">
        <w:tab/>
        <w:t>В отсутствие первоначального доклада государства-участника Комитет против пыток рассмотрел положение дел с осуществлением Конвенции в Ант</w:t>
      </w:r>
      <w:r w:rsidRPr="00923DCD">
        <w:t>и</w:t>
      </w:r>
      <w:r w:rsidRPr="00923DCD">
        <w:t>гуа и Барбуд</w:t>
      </w:r>
      <w:r w:rsidR="004B5E0B">
        <w:t>е</w:t>
      </w:r>
      <w:r w:rsidRPr="00923DCD">
        <w:t xml:space="preserve"> на своих 1543-м и 1545-м заседаниях (см. CAT/C/SR.1543 и 1545), состоявшихся 24 и 25 июля 2017 года. В соответствии с пунктом 3 правила 67 своих правил процедуры Комитет уведомил государство-участник о том, что он намерен рассмотреть меры, принятые для защиты или обеспечения осущест</w:t>
      </w:r>
      <w:r w:rsidRPr="00923DCD">
        <w:t>в</w:t>
      </w:r>
      <w:r w:rsidRPr="00923DCD">
        <w:t>ления прав, признанных в Конвенции, в отсутствие доклада и принять заключ</w:t>
      </w:r>
      <w:r w:rsidRPr="00923DCD">
        <w:t>и</w:t>
      </w:r>
      <w:r w:rsidRPr="00923DCD">
        <w:t>тельные замечания. Комитет проанализировал информацию, полученную от национальных и международных источников, включая другие механизмы Орг</w:t>
      </w:r>
      <w:r w:rsidRPr="00923DCD">
        <w:t>а</w:t>
      </w:r>
      <w:r w:rsidRPr="00923DCD">
        <w:t>низации Объединенных Наций, и на своем 1563-м заседании, состояв</w:t>
      </w:r>
      <w:r>
        <w:t>шемся 8</w:t>
      </w:r>
      <w:r>
        <w:rPr>
          <w:lang w:val="en-US"/>
        </w:rPr>
        <w:t> </w:t>
      </w:r>
      <w:r w:rsidRPr="00923DCD">
        <w:t>августа 2017 года, принял настоящие заключительные замечания.</w:t>
      </w:r>
    </w:p>
    <w:p w:rsidR="00923DCD" w:rsidRPr="00923DCD" w:rsidRDefault="00923DCD" w:rsidP="00923DCD">
      <w:pPr>
        <w:pStyle w:val="H1GR"/>
      </w:pPr>
      <w:r w:rsidRPr="00923DCD">
        <w:tab/>
        <w:t>A.</w:t>
      </w:r>
      <w:r w:rsidRPr="00923DCD">
        <w:tab/>
        <w:t>Введение</w:t>
      </w:r>
    </w:p>
    <w:p w:rsidR="00923DCD" w:rsidRPr="00923DCD" w:rsidRDefault="00923DCD" w:rsidP="00923DCD">
      <w:pPr>
        <w:pStyle w:val="SingleTxtGR"/>
      </w:pPr>
      <w:r w:rsidRPr="00923DCD">
        <w:t>2.</w:t>
      </w:r>
      <w:r w:rsidRPr="00923DCD">
        <w:tab/>
        <w:t>Антигуа и Барбуда присоединилась к Конвенции 19 июля 1993 года. Го</w:t>
      </w:r>
      <w:r w:rsidR="00AC69FD">
        <w:t>-</w:t>
      </w:r>
      <w:r w:rsidRPr="00923DCD">
        <w:t>сударство-участник</w:t>
      </w:r>
      <w:r>
        <w:t xml:space="preserve"> </w:t>
      </w:r>
      <w:r w:rsidRPr="00923DCD">
        <w:t>было обязано представить свой первоначальный доклад в соответствии с пунктом 1 статьи 19 Конвенции до 17 августа 1994 года. Ка</w:t>
      </w:r>
      <w:r w:rsidRPr="00923DCD">
        <w:t>ж</w:t>
      </w:r>
      <w:r w:rsidRPr="00923DCD">
        <w:t>дый последующий год Антигуа и Барбуда включалась в список не представи</w:t>
      </w:r>
      <w:r w:rsidRPr="00923DCD">
        <w:t>в</w:t>
      </w:r>
      <w:r w:rsidRPr="00923DCD">
        <w:t>ших доклады в срок государств-участников</w:t>
      </w:r>
      <w:r>
        <w:t xml:space="preserve"> </w:t>
      </w:r>
      <w:r w:rsidRPr="00923DCD">
        <w:t>в ежегодном докладе,</w:t>
      </w:r>
      <w:r>
        <w:t xml:space="preserve"> </w:t>
      </w:r>
      <w:r w:rsidRPr="00923DCD">
        <w:t>представля</w:t>
      </w:r>
      <w:r w:rsidRPr="00923DCD">
        <w:t>е</w:t>
      </w:r>
      <w:r w:rsidRPr="00923DCD">
        <w:t>мом Комитетом государствам-участникам и Генеральной Ассамблее. В своем письме от 10 декабря 2015 года Комитет напомнил государству-участнику о его просроченном первоначальном докладе и о том, что Комитет может провести обзор в отсутствие такого доклада ввиду</w:t>
      </w:r>
      <w:r>
        <w:t xml:space="preserve"> </w:t>
      </w:r>
      <w:r w:rsidRPr="00923DCD">
        <w:t xml:space="preserve"> длительной задержки с его предста</w:t>
      </w:r>
      <w:r w:rsidRPr="00923DCD">
        <w:t>в</w:t>
      </w:r>
      <w:r w:rsidRPr="00923DCD">
        <w:t>лением. В том же письме Комитет также</w:t>
      </w:r>
      <w:r>
        <w:t xml:space="preserve"> </w:t>
      </w:r>
      <w:r w:rsidRPr="00923DCD">
        <w:t>предложил</w:t>
      </w:r>
      <w:r>
        <w:t xml:space="preserve"> </w:t>
      </w:r>
      <w:r w:rsidRPr="00923DCD">
        <w:t>государству-участнику принять упрощенную процедуру представления докладов для оказания ему п</w:t>
      </w:r>
      <w:r w:rsidRPr="00923DCD">
        <w:t>о</w:t>
      </w:r>
      <w:r w:rsidRPr="00923DCD">
        <w:t>мощи в подготовке его просроченного доклада. 15 августа 2016 года Комитет проинформировал государство-участник о возможности рассмотрения на своей шестьдесят первой сессии положения дел в государстве-участнике в отсутствие доклада в соответствии с пунктом 3 прави</w:t>
      </w:r>
      <w:r>
        <w:t>ла 67 своих правил процедуры. В</w:t>
      </w:r>
      <w:r>
        <w:rPr>
          <w:lang w:val="en-US"/>
        </w:rPr>
        <w:t> </w:t>
      </w:r>
      <w:r w:rsidRPr="00923DCD">
        <w:t>письме от 18 декабря 2016 года Комитет сообщил государству-участнику о том, что он проведет соответствующий обзор в отсутствие доклада на своей шестьдесят первой сессии. Никакого ответа на эти сообщения государство-участник не представило. 15 мая и 9 июня 2017 года государству-участнику б</w:t>
      </w:r>
      <w:r w:rsidRPr="00923DCD">
        <w:t>ы</w:t>
      </w:r>
      <w:r w:rsidRPr="00923DCD">
        <w:t>ли направлены напоминания с предложением обеспечить участие его делегации в режиме видеоконференции. 21 июня представитель Министерства юстиции и по правовым вопросам Антигуа и Барбуды в своем электронном письме соо</w:t>
      </w:r>
      <w:r w:rsidRPr="00923DCD">
        <w:t>б</w:t>
      </w:r>
      <w:r w:rsidRPr="00923DCD">
        <w:lastRenderedPageBreak/>
        <w:t>щила секретариату, что правительство примет участие в обзоре в режиме в</w:t>
      </w:r>
      <w:r w:rsidRPr="00923DCD">
        <w:t>и</w:t>
      </w:r>
      <w:r w:rsidRPr="00923DCD">
        <w:t>деоконференции. В период с 30 июня до начала шестьдесят первой сессии се</w:t>
      </w:r>
      <w:r w:rsidRPr="00923DCD">
        <w:t>к</w:t>
      </w:r>
      <w:r w:rsidRPr="00923DCD">
        <w:t>ретариат Комитета направил несколько запросов на проверку работы режима видеоконференции до начала диалога. Государство-участник не ответило ни на один из этих запросов. В своем письме от 19 июля 2017 года Председатель К</w:t>
      </w:r>
      <w:r w:rsidRPr="00923DCD">
        <w:t>о</w:t>
      </w:r>
      <w:r w:rsidRPr="00923DCD">
        <w:t>митета обратился к государству-участнику с просьбой подтвердить свое неи</w:t>
      </w:r>
      <w:r w:rsidRPr="00923DCD">
        <w:t>з</w:t>
      </w:r>
      <w:r w:rsidRPr="00923DCD">
        <w:t>менное намерение принять участие в проведении обзора положения дел в стране и незамедлительно организовать проверку работы режима видеоконф</w:t>
      </w:r>
      <w:r w:rsidRPr="00923DCD">
        <w:t>е</w:t>
      </w:r>
      <w:r w:rsidRPr="00923DCD">
        <w:t>ренции. В своих электронных письмах от 19 и 20 июля представитель госуда</w:t>
      </w:r>
      <w:r w:rsidRPr="00923DCD">
        <w:t>р</w:t>
      </w:r>
      <w:r w:rsidRPr="00923DCD">
        <w:t xml:space="preserve">ства-участника сообщила, что она не уполномочена давать такое обязательство. </w:t>
      </w:r>
    </w:p>
    <w:p w:rsidR="00923DCD" w:rsidRPr="00923DCD" w:rsidRDefault="00923DCD" w:rsidP="00923DCD">
      <w:pPr>
        <w:pStyle w:val="SingleTxtGR"/>
      </w:pPr>
      <w:r w:rsidRPr="00923DCD">
        <w:t>3.</w:t>
      </w:r>
      <w:r w:rsidRPr="00923DCD">
        <w:tab/>
        <w:t>24 и 25 июля 2017 года государство-участник без предварительного ув</w:t>
      </w:r>
      <w:r w:rsidRPr="00923DCD">
        <w:t>е</w:t>
      </w:r>
      <w:r w:rsidRPr="00923DCD">
        <w:t>домления не принял участие в диалоге с Комитетом. Комитет принимает к св</w:t>
      </w:r>
      <w:r w:rsidRPr="00923DCD">
        <w:t>е</w:t>
      </w:r>
      <w:r w:rsidRPr="00923DCD">
        <w:t>дению письменные ответы на некоторые из поднятых им вопросов и проблем, которые он получил от государства-участника 7 августа, в день рассмотрения заключительных замечаний в отношении хода осуществления Конвенции в А</w:t>
      </w:r>
      <w:r w:rsidRPr="00923DCD">
        <w:t>н</w:t>
      </w:r>
      <w:r w:rsidRPr="00923DCD">
        <w:t xml:space="preserve">тигуа и Барбуде. </w:t>
      </w:r>
    </w:p>
    <w:p w:rsidR="00923DCD" w:rsidRPr="00923DCD" w:rsidRDefault="00923DCD" w:rsidP="00923DCD">
      <w:pPr>
        <w:pStyle w:val="SingleTxtGR"/>
      </w:pPr>
      <w:r w:rsidRPr="00923DCD">
        <w:t>4.</w:t>
      </w:r>
      <w:r w:rsidRPr="00923DCD">
        <w:tab/>
        <w:t>Комитет выражает сожаление по поводу того, что государство-участник не выполняет свои обязательства по представлению докладов согласн</w:t>
      </w:r>
      <w:r>
        <w:t>о ст</w:t>
      </w:r>
      <w:r>
        <w:t>а</w:t>
      </w:r>
      <w:r>
        <w:t>тье</w:t>
      </w:r>
      <w:r>
        <w:rPr>
          <w:lang w:val="en-US"/>
        </w:rPr>
        <w:t> </w:t>
      </w:r>
      <w:r w:rsidRPr="00923DCD">
        <w:t xml:space="preserve">19 Конвенции на протяжении 23 лет, что не позволило Комитету оценить ход осуществления Конвенции государством-участником на основе доклада правительства. </w:t>
      </w:r>
    </w:p>
    <w:p w:rsidR="00923DCD" w:rsidRPr="00923DCD" w:rsidRDefault="00923DCD" w:rsidP="00923DCD">
      <w:pPr>
        <w:pStyle w:val="SingleTxtGR"/>
      </w:pPr>
      <w:r w:rsidRPr="00923DCD">
        <w:t>5.</w:t>
      </w:r>
      <w:r w:rsidRPr="00923DCD">
        <w:tab/>
        <w:t>Несмотря на то, что в ходе универсального периодического обзора</w:t>
      </w:r>
      <w:r>
        <w:t xml:space="preserve"> </w:t>
      </w:r>
      <w:r w:rsidRPr="00923DCD">
        <w:t>Сов</w:t>
      </w:r>
      <w:r w:rsidRPr="00923DCD">
        <w:t>е</w:t>
      </w:r>
      <w:r w:rsidRPr="00923DCD">
        <w:t>та по правам человека в 2016 году государство-участник обязалось</w:t>
      </w:r>
      <w:r>
        <w:t xml:space="preserve"> </w:t>
      </w:r>
      <w:r w:rsidRPr="00923DCD">
        <w:t>обращаться за технической помощью к Управлению Верховного комиссара по правам чел</w:t>
      </w:r>
      <w:r w:rsidRPr="00923DCD">
        <w:t>о</w:t>
      </w:r>
      <w:r w:rsidRPr="00923DCD">
        <w:t>века с целью выполнения своих международных обязательств в области прав человека (см. A/HRC/33/13, пункт 76), Комитет с сожалением констатирует, что от государства-участника не поступило ни одной просьбы предоставить такую помощь.</w:t>
      </w:r>
    </w:p>
    <w:p w:rsidR="00923DCD" w:rsidRPr="00923DCD" w:rsidRDefault="00923DCD" w:rsidP="00923DCD">
      <w:pPr>
        <w:pStyle w:val="H1GR"/>
      </w:pPr>
      <w:r w:rsidRPr="004B5E0B">
        <w:tab/>
      </w:r>
      <w:r w:rsidRPr="00923DCD">
        <w:t>B.</w:t>
      </w:r>
      <w:r w:rsidRPr="00923DCD">
        <w:tab/>
        <w:t>Позитивные аспекты</w:t>
      </w:r>
    </w:p>
    <w:p w:rsidR="00923DCD" w:rsidRPr="00923DCD" w:rsidRDefault="00923DCD" w:rsidP="00923DCD">
      <w:pPr>
        <w:pStyle w:val="SingleTxtGR"/>
      </w:pPr>
      <w:r w:rsidRPr="00923DCD">
        <w:t>6.</w:t>
      </w:r>
      <w:r w:rsidRPr="00923DCD">
        <w:tab/>
        <w:t>Комитет приветствует ратификацию государством-участником следу</w:t>
      </w:r>
      <w:r w:rsidRPr="00923DCD">
        <w:t>ю</w:t>
      </w:r>
      <w:r w:rsidRPr="00923DCD">
        <w:t>щих международных договоров или присоединение к ним с момента его прис</w:t>
      </w:r>
      <w:r w:rsidRPr="00923DCD">
        <w:t>о</w:t>
      </w:r>
      <w:r w:rsidRPr="00923DCD">
        <w:t>единения к Конвенции:</w:t>
      </w:r>
    </w:p>
    <w:p w:rsidR="00923DCD" w:rsidRPr="00923DCD" w:rsidRDefault="00923DCD" w:rsidP="00923DCD">
      <w:pPr>
        <w:pStyle w:val="SingleTxtGR"/>
      </w:pPr>
      <w:r w:rsidRPr="00923DCD">
        <w:tab/>
        <w:t>а)</w:t>
      </w:r>
      <w:r w:rsidRPr="00923DCD">
        <w:tab/>
        <w:t>Конвенция о правах ребенка, 5 октября 1993 года;</w:t>
      </w:r>
    </w:p>
    <w:p w:rsidR="00923DCD" w:rsidRPr="00923DCD" w:rsidRDefault="00923DCD" w:rsidP="00923DCD">
      <w:pPr>
        <w:pStyle w:val="SingleTxtGR"/>
      </w:pPr>
      <w:r w:rsidRPr="00923DCD">
        <w:tab/>
        <w:t>b)</w:t>
      </w:r>
      <w:r w:rsidRPr="00923DCD">
        <w:tab/>
        <w:t>Конвенция о статусе беженцев 1951 года и Протокол к ней 1967 г</w:t>
      </w:r>
      <w:r w:rsidRPr="00923DCD">
        <w:t>о</w:t>
      </w:r>
      <w:r w:rsidRPr="00923DCD">
        <w:t>да, 7 сентября 1995 года;</w:t>
      </w:r>
    </w:p>
    <w:p w:rsidR="00923DCD" w:rsidRPr="00923DCD" w:rsidRDefault="00923DCD" w:rsidP="00923DCD">
      <w:pPr>
        <w:pStyle w:val="SingleTxtGR"/>
      </w:pPr>
      <w:r w:rsidRPr="00923DCD">
        <w:tab/>
        <w:t>с)</w:t>
      </w:r>
      <w:r w:rsidRPr="00923DCD">
        <w:tab/>
        <w:t>Римский статут Международног</w:t>
      </w:r>
      <w:r>
        <w:t>о уголовного суда, 18 июня 2001</w:t>
      </w:r>
      <w:r>
        <w:rPr>
          <w:lang w:val="en-US"/>
        </w:rPr>
        <w:t> </w:t>
      </w:r>
      <w:r w:rsidRPr="00923DCD">
        <w:t>года;</w:t>
      </w:r>
    </w:p>
    <w:p w:rsidR="00923DCD" w:rsidRPr="00923DCD" w:rsidRDefault="00923DCD" w:rsidP="00923DCD">
      <w:pPr>
        <w:pStyle w:val="SingleTxtGR"/>
      </w:pPr>
      <w:r w:rsidRPr="00923DCD">
        <w:tab/>
        <w:t>d)</w:t>
      </w:r>
      <w:r w:rsidRPr="00923DCD">
        <w:tab/>
        <w:t>Факультативный протокол к Конвенции о правах ребенка, каса</w:t>
      </w:r>
      <w:r w:rsidRPr="00923DCD">
        <w:t>ю</w:t>
      </w:r>
      <w:r w:rsidRPr="00923DCD">
        <w:t>щийся торговли детьми, детской проституции и детской порнографии, 30 апр</w:t>
      </w:r>
      <w:r w:rsidRPr="00923DCD">
        <w:t>е</w:t>
      </w:r>
      <w:r w:rsidRPr="00923DCD">
        <w:t xml:space="preserve">ля 2002 года; </w:t>
      </w:r>
    </w:p>
    <w:p w:rsidR="00923DCD" w:rsidRPr="00923DCD" w:rsidRDefault="00923DCD" w:rsidP="00923DCD">
      <w:pPr>
        <w:pStyle w:val="SingleTxtGR"/>
      </w:pPr>
      <w:r w:rsidRPr="00923DCD">
        <w:tab/>
        <w:t>e)</w:t>
      </w:r>
      <w:r w:rsidRPr="00923DCD">
        <w:tab/>
        <w:t>Конвенция о правах инвалидов, 7 января 2016 года.</w:t>
      </w:r>
    </w:p>
    <w:p w:rsidR="00923DCD" w:rsidRPr="00923DCD" w:rsidRDefault="00923DCD" w:rsidP="00923DCD">
      <w:pPr>
        <w:pStyle w:val="SingleTxtGR"/>
      </w:pPr>
      <w:r w:rsidRPr="00923DCD">
        <w:t>7.</w:t>
      </w:r>
      <w:r w:rsidRPr="00923DCD">
        <w:tab/>
        <w:t>Кроме того, Комитет приветствует, в частности, следующие законод</w:t>
      </w:r>
      <w:r w:rsidRPr="00923DCD">
        <w:t>а</w:t>
      </w:r>
      <w:r w:rsidRPr="00923DCD">
        <w:t>тельные меры, принятые государством-участником с целью обеспечения ос</w:t>
      </w:r>
      <w:r w:rsidRPr="00923DCD">
        <w:t>у</w:t>
      </w:r>
      <w:r w:rsidRPr="00923DCD">
        <w:t>ществления Конвенции:</w:t>
      </w:r>
    </w:p>
    <w:p w:rsidR="00923DCD" w:rsidRPr="00923DCD" w:rsidRDefault="00923DCD" w:rsidP="00923DCD">
      <w:pPr>
        <w:pStyle w:val="SingleTxtGR"/>
      </w:pPr>
      <w:r w:rsidRPr="00923DCD">
        <w:tab/>
        <w:t>а)</w:t>
      </w:r>
      <w:r w:rsidRPr="00923DCD">
        <w:tab/>
        <w:t>Закон № 15 от 1993 года о пресечении пыток;</w:t>
      </w:r>
    </w:p>
    <w:p w:rsidR="00923DCD" w:rsidRPr="00923DCD" w:rsidRDefault="00923DCD" w:rsidP="00923DCD">
      <w:pPr>
        <w:pStyle w:val="SingleTxtGR"/>
      </w:pPr>
      <w:r w:rsidRPr="00923DCD">
        <w:tab/>
        <w:t>b)</w:t>
      </w:r>
      <w:r w:rsidRPr="00923DCD">
        <w:tab/>
        <w:t>Закон № 12 от 2015 года о внесени</w:t>
      </w:r>
      <w:r>
        <w:t>и поправок в Закон № 11 от 2010</w:t>
      </w:r>
      <w:r>
        <w:rPr>
          <w:lang w:val="en-US"/>
        </w:rPr>
        <w:t> </w:t>
      </w:r>
      <w:r w:rsidRPr="00923DCD">
        <w:t>года о предупреждении незаконного ввоза мигрантов;</w:t>
      </w:r>
    </w:p>
    <w:p w:rsidR="00923DCD" w:rsidRPr="00923DCD" w:rsidRDefault="00923DCD" w:rsidP="00923DCD">
      <w:pPr>
        <w:pStyle w:val="SingleTxtGR"/>
      </w:pPr>
      <w:r w:rsidRPr="00923DCD">
        <w:tab/>
        <w:t>с)</w:t>
      </w:r>
      <w:r w:rsidRPr="00923DCD">
        <w:tab/>
        <w:t>Закон № 13 от 2015 года о внесени</w:t>
      </w:r>
      <w:r>
        <w:t>и поправок в Закон № 12 от 2010</w:t>
      </w:r>
      <w:r>
        <w:rPr>
          <w:lang w:val="en-US"/>
        </w:rPr>
        <w:t> </w:t>
      </w:r>
      <w:r w:rsidRPr="00923DCD">
        <w:t>года о предупреждении торговли людьми;</w:t>
      </w:r>
    </w:p>
    <w:p w:rsidR="00923DCD" w:rsidRPr="00923DCD" w:rsidRDefault="00923DCD" w:rsidP="00923DCD">
      <w:pPr>
        <w:pStyle w:val="SingleTxtGR"/>
      </w:pPr>
      <w:r w:rsidRPr="00923DCD">
        <w:lastRenderedPageBreak/>
        <w:tab/>
        <w:t>d)</w:t>
      </w:r>
      <w:r w:rsidRPr="00923DCD">
        <w:tab/>
        <w:t>Закон № 23 от 2015 года об отправлении правосудия в отношении несовершеннолетних;</w:t>
      </w:r>
    </w:p>
    <w:p w:rsidR="00923DCD" w:rsidRPr="00923DCD" w:rsidRDefault="00923DCD" w:rsidP="00923DCD">
      <w:pPr>
        <w:pStyle w:val="SingleTxtGR"/>
      </w:pPr>
      <w:r w:rsidRPr="00923DCD">
        <w:tab/>
        <w:t>e)</w:t>
      </w:r>
      <w:r w:rsidRPr="00923DCD">
        <w:tab/>
        <w:t xml:space="preserve">Закон № 24 от 2015 года об уходе за детьми и их усыновлении; </w:t>
      </w:r>
    </w:p>
    <w:p w:rsidR="00923DCD" w:rsidRPr="00923DCD" w:rsidRDefault="00923DCD" w:rsidP="00923DCD">
      <w:pPr>
        <w:pStyle w:val="SingleTxtGR"/>
      </w:pPr>
      <w:r w:rsidRPr="00923DCD">
        <w:tab/>
        <w:t>f)</w:t>
      </w:r>
      <w:r w:rsidRPr="00923DCD">
        <w:tab/>
        <w:t>Закон № 27 от 2015 г</w:t>
      </w:r>
      <w:r w:rsidR="004B5E0B">
        <w:t>ода о борьбе с насилием в семье.</w:t>
      </w:r>
    </w:p>
    <w:p w:rsidR="00923DCD" w:rsidRPr="00923DCD" w:rsidRDefault="00923DCD" w:rsidP="00923DCD">
      <w:pPr>
        <w:pStyle w:val="SingleTxtGR"/>
      </w:pPr>
      <w:r w:rsidRPr="00923DCD">
        <w:t>8.</w:t>
      </w:r>
      <w:r w:rsidRPr="00923DCD">
        <w:tab/>
        <w:t>Комитет отмечает, в частности, следующие инициативы государства-участника, направленные на изменение его стратегий и процедур, с тем чтобы обеспечить более эффективную защиту прав человека и применение положений Конвенции:</w:t>
      </w:r>
    </w:p>
    <w:p w:rsidR="00923DCD" w:rsidRPr="00923DCD" w:rsidRDefault="00923DCD" w:rsidP="00923DCD">
      <w:pPr>
        <w:pStyle w:val="SingleTxtGR"/>
      </w:pPr>
      <w:r w:rsidRPr="00923DCD">
        <w:tab/>
        <w:t>а)</w:t>
      </w:r>
      <w:r w:rsidRPr="00923DCD">
        <w:tab/>
        <w:t>принятие Национального плана действий по искоренению генде</w:t>
      </w:r>
      <w:r w:rsidRPr="00923DCD">
        <w:t>р</w:t>
      </w:r>
      <w:r w:rsidRPr="00923DCD">
        <w:t>ного насилия на 2013</w:t>
      </w:r>
      <w:r w:rsidR="004B5E0B">
        <w:t>–</w:t>
      </w:r>
      <w:r w:rsidRPr="00923DCD">
        <w:t>2018 годы;</w:t>
      </w:r>
    </w:p>
    <w:p w:rsidR="00923DCD" w:rsidRPr="00923DCD" w:rsidRDefault="00923DCD" w:rsidP="00923DCD">
      <w:pPr>
        <w:pStyle w:val="SingleTxtGR"/>
      </w:pPr>
      <w:r w:rsidRPr="00923DCD">
        <w:tab/>
        <w:t>b)</w:t>
      </w:r>
      <w:r w:rsidRPr="00923DCD">
        <w:tab/>
        <w:t>разработку национального плана действий по предупреждению торговли людьми на 2016</w:t>
      </w:r>
      <w:r w:rsidR="004B5E0B">
        <w:t>–</w:t>
      </w:r>
      <w:r w:rsidRPr="00923DCD">
        <w:t>2018 годы;</w:t>
      </w:r>
    </w:p>
    <w:p w:rsidR="00923DCD" w:rsidRPr="00923DCD" w:rsidRDefault="00923DCD" w:rsidP="00923DCD">
      <w:pPr>
        <w:pStyle w:val="SingleTxtGR"/>
      </w:pPr>
      <w:r w:rsidRPr="00923DCD">
        <w:tab/>
        <w:t>с)</w:t>
      </w:r>
      <w:r w:rsidRPr="00923DCD">
        <w:tab/>
        <w:t>создание в 2008 году в полиции подразделения по борьбе с пр</w:t>
      </w:r>
      <w:r w:rsidRPr="00923DCD">
        <w:t>е</w:t>
      </w:r>
      <w:r w:rsidRPr="00923DCD">
        <w:t xml:space="preserve">ступлениями против половой неприкосновенности; </w:t>
      </w:r>
    </w:p>
    <w:p w:rsidR="00923DCD" w:rsidRPr="00923DCD" w:rsidRDefault="00923DCD" w:rsidP="00923DCD">
      <w:pPr>
        <w:pStyle w:val="SingleTxtGR"/>
      </w:pPr>
      <w:r w:rsidRPr="00923DCD">
        <w:tab/>
        <w:t>d)</w:t>
      </w:r>
      <w:r w:rsidRPr="00923DCD">
        <w:tab/>
        <w:t>создание в 2015 году Специального комитета по проверке соотве</w:t>
      </w:r>
      <w:r w:rsidRPr="00923DCD">
        <w:t>т</w:t>
      </w:r>
      <w:r w:rsidRPr="00923DCD">
        <w:t>ствия ходатайств о предоставлении убежища установленным требованиям в с</w:t>
      </w:r>
      <w:r w:rsidRPr="00923DCD">
        <w:t>о</w:t>
      </w:r>
      <w:r w:rsidRPr="00923DCD">
        <w:t>трудничестве с Управлением Верховного комиссара Организации Объедине</w:t>
      </w:r>
      <w:r w:rsidRPr="00923DCD">
        <w:t>н</w:t>
      </w:r>
      <w:r w:rsidRPr="00923DCD">
        <w:t>ных Наций по делам беженцев (УВКБ) и отделением Красного Креста в Ант</w:t>
      </w:r>
      <w:r w:rsidRPr="00923DCD">
        <w:t>и</w:t>
      </w:r>
      <w:r w:rsidRPr="00923DCD">
        <w:t>гуа и Барбуде.</w:t>
      </w:r>
    </w:p>
    <w:p w:rsidR="00923DCD" w:rsidRPr="00923DCD" w:rsidRDefault="00AC69FD" w:rsidP="00923DCD">
      <w:pPr>
        <w:pStyle w:val="H1GR"/>
      </w:pPr>
      <w:r>
        <w:tab/>
      </w:r>
      <w:r w:rsidR="00923DCD" w:rsidRPr="00923DCD">
        <w:t>C.</w:t>
      </w:r>
      <w:r w:rsidR="00923DCD" w:rsidRPr="00923DCD">
        <w:tab/>
        <w:t xml:space="preserve">Основные вопросы, вызывающие обеспокоенность, </w:t>
      </w:r>
      <w:r>
        <w:br/>
      </w:r>
      <w:r w:rsidR="00923DCD" w:rsidRPr="00923DCD">
        <w:t>и рекомендации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Определение пытки</w:t>
      </w:r>
    </w:p>
    <w:p w:rsidR="00923DCD" w:rsidRPr="00923DCD" w:rsidRDefault="00923DCD" w:rsidP="00923DCD">
      <w:pPr>
        <w:pStyle w:val="SingleTxtGR"/>
      </w:pPr>
      <w:r w:rsidRPr="00923DCD">
        <w:t>9.</w:t>
      </w:r>
      <w:r w:rsidRPr="00923DCD">
        <w:tab/>
      </w:r>
      <w:r w:rsidR="00AC69FD" w:rsidRPr="00923DCD">
        <w:t>Отмечая, что в соответствии с Законом от 1993 года о пресечении пыток и Конституцией пытки запрещены, Комитет с обеспокоенностью констатирует, что содержащееся в этом Законе определение пытки не содержит всех соотве</w:t>
      </w:r>
      <w:r w:rsidR="00AC69FD" w:rsidRPr="00923DCD">
        <w:t>т</w:t>
      </w:r>
      <w:r w:rsidR="00AC69FD" w:rsidRPr="00923DCD">
        <w:t>ствующих элементов,</w:t>
      </w:r>
      <w:r w:rsidR="00AC69FD">
        <w:t xml:space="preserve">  </w:t>
      </w:r>
      <w:r w:rsidR="00AC69FD" w:rsidRPr="00923DCD">
        <w:t>включая цели, предусмотренных</w:t>
      </w:r>
      <w:r w:rsidR="00AC69FD">
        <w:t xml:space="preserve"> </w:t>
      </w:r>
      <w:r w:rsidR="00AC69FD" w:rsidRPr="00923DCD">
        <w:t xml:space="preserve">в статье 1 Конвенции. </w:t>
      </w:r>
      <w:r w:rsidRPr="00923DCD">
        <w:t>Кроме того, Комитет</w:t>
      </w:r>
      <w:r>
        <w:t xml:space="preserve"> </w:t>
      </w:r>
      <w:r w:rsidRPr="00923DCD">
        <w:t>обеспокоен тем, что в законодательстве страны отсу</w:t>
      </w:r>
      <w:r w:rsidRPr="00923DCD">
        <w:t>т</w:t>
      </w:r>
      <w:r w:rsidRPr="00923DCD">
        <w:t>ствуют какие-либо четкие положения о том, что в отношении преступления пытки не действует срок давности (статьи 1 и 4).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10.</w:t>
      </w:r>
      <w:r w:rsidRPr="00923DCD">
        <w:tab/>
      </w:r>
      <w:r w:rsidRPr="00923DCD">
        <w:rPr>
          <w:b/>
          <w:bCs/>
        </w:rPr>
        <w:t>Комитет призывает государство-участник внести поправки в Закон о пресечении пыток от 1993 года, предусматривающие включение в него всех элементов определения, содержащегося в статье 1 Конвенции. Государству-участнику следует обеспечить, чтобы на пытки срок давности не распр</w:t>
      </w:r>
      <w:r w:rsidRPr="00923DCD">
        <w:rPr>
          <w:b/>
          <w:bCs/>
        </w:rPr>
        <w:t>о</w:t>
      </w:r>
      <w:r w:rsidRPr="00923DCD">
        <w:rPr>
          <w:b/>
          <w:bCs/>
        </w:rPr>
        <w:t>странялся.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</w:r>
      <w:r>
        <w:t xml:space="preserve"> </w:t>
      </w:r>
      <w:r w:rsidRPr="00923DCD">
        <w:t>Прямое применение Конвенции национальными судами</w:t>
      </w:r>
    </w:p>
    <w:p w:rsidR="00923DCD" w:rsidRPr="00923DCD" w:rsidRDefault="00923DCD" w:rsidP="00923DCD">
      <w:pPr>
        <w:pStyle w:val="SingleTxtGR"/>
      </w:pPr>
      <w:r w:rsidRPr="00923DCD">
        <w:t>11.</w:t>
      </w:r>
      <w:r w:rsidRPr="00923DCD">
        <w:tab/>
        <w:t>Комитет обеспокоен отсутствием информации о прямом применении Конвенции национальными судами и</w:t>
      </w:r>
      <w:r>
        <w:t xml:space="preserve"> </w:t>
      </w:r>
      <w:r w:rsidRPr="00923DCD">
        <w:t>фактической практике, а также о случаях,</w:t>
      </w:r>
      <w:r>
        <w:t xml:space="preserve"> </w:t>
      </w:r>
      <w:r w:rsidRPr="00923DCD">
        <w:t>когда</w:t>
      </w:r>
      <w:r>
        <w:t xml:space="preserve"> </w:t>
      </w:r>
      <w:r w:rsidRPr="00923DCD">
        <w:t>положения Конвенции напрямую применялись национальными судами (статьи 2 и 12).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12.</w:t>
      </w:r>
      <w:r w:rsidRPr="00923DCD">
        <w:tab/>
      </w:r>
      <w:r w:rsidRPr="00923DCD">
        <w:rPr>
          <w:b/>
          <w:bCs/>
        </w:rPr>
        <w:t>Государству-участнику следует обеспечить применение</w:t>
      </w:r>
      <w:r>
        <w:rPr>
          <w:b/>
          <w:bCs/>
        </w:rPr>
        <w:t xml:space="preserve"> </w:t>
      </w:r>
      <w:r w:rsidRPr="00923DCD">
        <w:rPr>
          <w:b/>
          <w:bCs/>
        </w:rPr>
        <w:t xml:space="preserve"> положений Конвенции в полном объеме в рамках национального правового режима. Кроме того, ему надлежит представить информацию о конкретных случаях непосредственного обращения к положениям Конвенции в национальных судах. Ему следует обеспечить подготовку сотрудников судебных органов и адвокатов по вопросам прямого применения положений</w:t>
      </w:r>
      <w:r>
        <w:rPr>
          <w:b/>
          <w:bCs/>
        </w:rPr>
        <w:t xml:space="preserve"> </w:t>
      </w:r>
      <w:r w:rsidRPr="00923DCD">
        <w:rPr>
          <w:b/>
          <w:bCs/>
        </w:rPr>
        <w:t>Конвенции и з</w:t>
      </w:r>
      <w:r w:rsidRPr="00923DCD">
        <w:rPr>
          <w:b/>
          <w:bCs/>
        </w:rPr>
        <w:t>а</w:t>
      </w:r>
      <w:r w:rsidRPr="00923DCD">
        <w:rPr>
          <w:b/>
          <w:bCs/>
        </w:rPr>
        <w:t>щиты прав, предусмотренных этими положениями, в судах.</w:t>
      </w:r>
    </w:p>
    <w:p w:rsidR="00923DCD" w:rsidRPr="00923DCD" w:rsidRDefault="00923DCD" w:rsidP="00923DCD">
      <w:pPr>
        <w:pStyle w:val="H23GR"/>
      </w:pPr>
      <w:r w:rsidRPr="00923DCD">
        <w:lastRenderedPageBreak/>
        <w:tab/>
      </w:r>
      <w:r w:rsidRPr="00923DCD">
        <w:tab/>
        <w:t xml:space="preserve">Полное запрещение пыток </w:t>
      </w:r>
    </w:p>
    <w:p w:rsidR="00923DCD" w:rsidRPr="00923DCD" w:rsidRDefault="00923DCD" w:rsidP="00923DCD">
      <w:pPr>
        <w:pStyle w:val="SingleTxtGR"/>
      </w:pPr>
      <w:r w:rsidRPr="00923DCD">
        <w:t>13.</w:t>
      </w:r>
      <w:r w:rsidRPr="00923DCD">
        <w:tab/>
        <w:t>Комитет обеспокоен тем, что статья 72 Уголовно-процессуального коде</w:t>
      </w:r>
      <w:r w:rsidRPr="00923DCD">
        <w:t>к</w:t>
      </w:r>
      <w:r w:rsidRPr="00923DCD">
        <w:t>са предусматривает возможность снятия судимости на основании акта помил</w:t>
      </w:r>
      <w:r w:rsidRPr="00923DCD">
        <w:t>о</w:t>
      </w:r>
      <w:r w:rsidRPr="00923DCD">
        <w:t>вания, которая может также распространяться на</w:t>
      </w:r>
      <w:r>
        <w:t xml:space="preserve"> </w:t>
      </w:r>
      <w:r w:rsidRPr="00923DCD">
        <w:t>п</w:t>
      </w:r>
      <w:r w:rsidR="00AC69FD">
        <w:t>реступление пытки (ст</w:t>
      </w:r>
      <w:r w:rsidR="00AC69FD">
        <w:t>а</w:t>
      </w:r>
      <w:r w:rsidR="00AC69FD">
        <w:t>тья </w:t>
      </w:r>
      <w:r w:rsidRPr="00923DCD">
        <w:t>2).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14.</w:t>
      </w:r>
      <w:r w:rsidRPr="00923DCD">
        <w:tab/>
      </w:r>
      <w:r w:rsidRPr="00923DCD">
        <w:rPr>
          <w:b/>
          <w:bCs/>
        </w:rPr>
        <w:t>Ссылаясь на свои замечания общего порядка № 2 (2008) об импл</w:t>
      </w:r>
      <w:r w:rsidRPr="00923DCD">
        <w:rPr>
          <w:b/>
          <w:bCs/>
        </w:rPr>
        <w:t>е</w:t>
      </w:r>
      <w:r w:rsidRPr="00923DCD">
        <w:rPr>
          <w:b/>
          <w:bCs/>
        </w:rPr>
        <w:t>ментации статьи 2 и № 3 (2012) об осуществлении статьи 14, Комитет вновь обращает внимание на то, что положения об амнистии или другие юрид</w:t>
      </w:r>
      <w:r w:rsidRPr="00923DCD">
        <w:rPr>
          <w:b/>
          <w:bCs/>
        </w:rPr>
        <w:t>и</w:t>
      </w:r>
      <w:r w:rsidRPr="00923DCD">
        <w:rPr>
          <w:b/>
          <w:bCs/>
        </w:rPr>
        <w:t>ческие препятствия, исключающие и свидетельствующие о нежелании обеспечить своевременное и правомерное судебное преследование и нак</w:t>
      </w:r>
      <w:r w:rsidRPr="00923DCD">
        <w:rPr>
          <w:b/>
          <w:bCs/>
        </w:rPr>
        <w:t>а</w:t>
      </w:r>
      <w:r w:rsidRPr="00923DCD">
        <w:rPr>
          <w:b/>
          <w:bCs/>
        </w:rPr>
        <w:t>зание лиц, виновных в совершении пыток или жестоком обращении, нарушают принцип недопустимости отступления от требования о запрещ</w:t>
      </w:r>
      <w:r w:rsidRPr="00923DCD">
        <w:rPr>
          <w:b/>
          <w:bCs/>
        </w:rPr>
        <w:t>е</w:t>
      </w:r>
      <w:r w:rsidRPr="00923DCD">
        <w:rPr>
          <w:b/>
          <w:bCs/>
        </w:rPr>
        <w:t>нии пыток и порождают атмосферу безнаказанности. Государству-участнику следует внести поправки в соответствующие законодательные положения с четким указанием того, что в случае пыток</w:t>
      </w:r>
      <w:r>
        <w:rPr>
          <w:b/>
          <w:bCs/>
        </w:rPr>
        <w:t xml:space="preserve"> </w:t>
      </w:r>
      <w:r w:rsidRPr="00923DCD">
        <w:rPr>
          <w:b/>
          <w:bCs/>
        </w:rPr>
        <w:t>предоставление амнистии или помилования недопустимо.</w:t>
      </w:r>
      <w:r w:rsidRPr="00923DCD">
        <w:t xml:space="preserve"> 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Приказы вышестоящего начальника и надлежащее повиновение</w:t>
      </w:r>
    </w:p>
    <w:p w:rsidR="00923DCD" w:rsidRPr="00923DCD" w:rsidRDefault="00923DCD" w:rsidP="00923DCD">
      <w:pPr>
        <w:pStyle w:val="SingleTxtGR"/>
      </w:pPr>
      <w:r w:rsidRPr="00923DCD">
        <w:t>15.</w:t>
      </w:r>
      <w:r w:rsidRPr="00923DCD">
        <w:tab/>
        <w:t>Комитет обеспокоен тем, что в статье 3 Закона от 1993 года о пресечении пыток предусмотрено, что лицо, которому предъявлено обвинение в примен</w:t>
      </w:r>
      <w:r w:rsidRPr="00923DCD">
        <w:t>е</w:t>
      </w:r>
      <w:r w:rsidRPr="00923DCD">
        <w:t>нии пыток, может в качестве средства защиты ссылаться на то, что в соотве</w:t>
      </w:r>
      <w:r w:rsidRPr="00923DCD">
        <w:t>т</w:t>
      </w:r>
      <w:r w:rsidRPr="00923DCD">
        <w:t>ствии с национальным законодательством оно имело правомерные основания или оправдание для совершения таких деяний, не исключая возможность сс</w:t>
      </w:r>
      <w:r w:rsidRPr="00923DCD">
        <w:t>ы</w:t>
      </w:r>
      <w:r w:rsidRPr="00923DCD">
        <w:t>латься на приказ вышестоящего начальника для оправдания пыток, что прот</w:t>
      </w:r>
      <w:r w:rsidRPr="00923DCD">
        <w:t>и</w:t>
      </w:r>
      <w:r w:rsidRPr="00923DCD">
        <w:t xml:space="preserve">воречит положениям Конвенции (статья 2).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16.</w:t>
      </w:r>
      <w:r w:rsidRPr="00923DCD">
        <w:tab/>
      </w:r>
      <w:r w:rsidRPr="00923DCD">
        <w:rPr>
          <w:b/>
          <w:bCs/>
        </w:rPr>
        <w:t>С учетом пункта 3 статьи 2 Конве</w:t>
      </w:r>
      <w:r w:rsidR="004B5E0B">
        <w:rPr>
          <w:b/>
          <w:bCs/>
        </w:rPr>
        <w:t>нции и замечания общего поря</w:t>
      </w:r>
      <w:r w:rsidR="004B5E0B">
        <w:rPr>
          <w:b/>
          <w:bCs/>
        </w:rPr>
        <w:t>д</w:t>
      </w:r>
      <w:r w:rsidR="004B5E0B">
        <w:rPr>
          <w:b/>
          <w:bCs/>
        </w:rPr>
        <w:t>ка </w:t>
      </w:r>
      <w:r w:rsidRPr="00923DCD">
        <w:rPr>
          <w:b/>
          <w:bCs/>
        </w:rPr>
        <w:t>№ 2 Комитета государству-участнику следует гарантировать в законод</w:t>
      </w:r>
      <w:r w:rsidRPr="00923DCD">
        <w:rPr>
          <w:b/>
          <w:bCs/>
        </w:rPr>
        <w:t>а</w:t>
      </w:r>
      <w:r w:rsidRPr="00923DCD">
        <w:rPr>
          <w:b/>
          <w:bCs/>
        </w:rPr>
        <w:t>тельном порядке и на практике право всех сотрудников правоохранител</w:t>
      </w:r>
      <w:r w:rsidRPr="00923DCD">
        <w:rPr>
          <w:b/>
          <w:bCs/>
        </w:rPr>
        <w:t>ь</w:t>
      </w:r>
      <w:r w:rsidRPr="00923DCD">
        <w:rPr>
          <w:b/>
          <w:bCs/>
        </w:rPr>
        <w:t>ных органов и военнослужащих отказываться от выполнения в качестве подчиненных приказов вышестоящих начальников, которые противоречат Конвенции. Кроме того, ему следует включить</w:t>
      </w:r>
      <w:r>
        <w:rPr>
          <w:b/>
          <w:bCs/>
        </w:rPr>
        <w:t xml:space="preserve"> </w:t>
      </w:r>
      <w:r w:rsidRPr="00923DCD">
        <w:rPr>
          <w:b/>
          <w:bCs/>
        </w:rPr>
        <w:t>в свое национальное зак</w:t>
      </w:r>
      <w:r w:rsidRPr="00923DCD">
        <w:rPr>
          <w:b/>
          <w:bCs/>
        </w:rPr>
        <w:t>о</w:t>
      </w:r>
      <w:r w:rsidRPr="00923DCD">
        <w:rPr>
          <w:b/>
          <w:bCs/>
        </w:rPr>
        <w:t>нодательство однозначное положение о том, что в полном соответствии с пунктом 3 статьи 2 Конвенции выполнение такого приказа</w:t>
      </w:r>
      <w:r>
        <w:rPr>
          <w:b/>
          <w:bCs/>
        </w:rPr>
        <w:t xml:space="preserve"> </w:t>
      </w:r>
      <w:r w:rsidRPr="00923DCD">
        <w:rPr>
          <w:b/>
          <w:bCs/>
        </w:rPr>
        <w:t>вышестоящего начальника не может служить оправданием пыток. Ему надлежит также создать соответствующий механизм защиты подчиненных от репрессий в случае отказа от выполнения такого приказа.</w:t>
      </w:r>
      <w:r w:rsidRPr="00923DCD">
        <w:t xml:space="preserve"> 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Основные правовые гарантии</w:t>
      </w:r>
    </w:p>
    <w:p w:rsidR="00923DCD" w:rsidRPr="00923DCD" w:rsidRDefault="00923DCD" w:rsidP="00923DCD">
      <w:pPr>
        <w:pStyle w:val="SingleTxtGR"/>
      </w:pPr>
      <w:r w:rsidRPr="00923DCD">
        <w:t>17.</w:t>
      </w:r>
      <w:r w:rsidRPr="00923DCD">
        <w:tab/>
        <w:t>Комитет принимает к сведению процессуальные гарантии, закрепленные в Конституции и Уголовно-процессуальном кодексе, в частности право заде</w:t>
      </w:r>
      <w:r w:rsidRPr="00923DCD">
        <w:t>р</w:t>
      </w:r>
      <w:r w:rsidRPr="00923DCD">
        <w:t>жанных лиц на доступ к выбранному ими адвокату, право на получение инфо</w:t>
      </w:r>
      <w:r w:rsidRPr="00923DCD">
        <w:t>р</w:t>
      </w:r>
      <w:r w:rsidRPr="00923DCD">
        <w:t>мации о причинах их задержания или помещения под стражу, а также право предстать перед судьей в течение 48 часов с момента задержания. Вместе с тем он по-прежнему обеспокоен тем, что на практике многие задержанные лица с</w:t>
      </w:r>
      <w:r w:rsidRPr="00923DCD">
        <w:t>о</w:t>
      </w:r>
      <w:r w:rsidRPr="00923DCD">
        <w:t>держатся под стражей в течение более четырех суток, бесплатная юридическая помощь предоставляется только в случае дел об убийстве, а переводческие услуги недоступны до тех пор, пока соответствующему лицу не будет предъя</w:t>
      </w:r>
      <w:r w:rsidRPr="00923DCD">
        <w:t>в</w:t>
      </w:r>
      <w:r w:rsidRPr="00923DCD">
        <w:t>лено обвинение. Кроме того, он обеспокоен отсутствием каких-либо полож</w:t>
      </w:r>
      <w:r w:rsidRPr="00923DCD">
        <w:t>е</w:t>
      </w:r>
      <w:r w:rsidRPr="00923DCD">
        <w:t>ний, гарантирующих право задержанных лиц незамедлительно устанавливать связь с родственником или иным выбранным ими лицом, а также право ход</w:t>
      </w:r>
      <w:r w:rsidRPr="00923DCD">
        <w:t>а</w:t>
      </w:r>
      <w:r w:rsidRPr="00923DCD">
        <w:t>тайствовать о проведении независимого медицинского освидетельствования и проходить такое освидетельствование сразу п</w:t>
      </w:r>
      <w:r w:rsidR="00AC69FD">
        <w:t>осле лишения их свободы (ст</w:t>
      </w:r>
      <w:r w:rsidR="00AC69FD">
        <w:t>а</w:t>
      </w:r>
      <w:r w:rsidR="00AC69FD">
        <w:t>тья </w:t>
      </w:r>
      <w:r w:rsidRPr="00923DCD">
        <w:t>2).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t>18.</w:t>
      </w:r>
      <w:r w:rsidRPr="00923DCD">
        <w:tab/>
      </w:r>
      <w:r w:rsidRPr="00923DCD">
        <w:rPr>
          <w:b/>
          <w:bCs/>
        </w:rPr>
        <w:t xml:space="preserve">Государству-участнику следует: 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а)</w:t>
      </w:r>
      <w:r w:rsidRPr="00923DCD">
        <w:rPr>
          <w:b/>
          <w:bCs/>
        </w:rPr>
        <w:tab/>
        <w:t>предоставлять всем задержанным лицам в законодательном порядке и на практике все основные правовые гарантии сразу после лиш</w:t>
      </w:r>
      <w:r w:rsidRPr="00923DCD">
        <w:rPr>
          <w:b/>
          <w:bCs/>
        </w:rPr>
        <w:t>е</w:t>
      </w:r>
      <w:r w:rsidRPr="00923DCD">
        <w:rPr>
          <w:b/>
          <w:bCs/>
        </w:rPr>
        <w:lastRenderedPageBreak/>
        <w:t>ния их свободы, включая право незамедлительно получать услуги адвок</w:t>
      </w:r>
      <w:r w:rsidRPr="00923DCD">
        <w:rPr>
          <w:b/>
          <w:bCs/>
        </w:rPr>
        <w:t>а</w:t>
      </w:r>
      <w:r w:rsidRPr="00923DCD">
        <w:rPr>
          <w:b/>
          <w:bCs/>
        </w:rPr>
        <w:t>та, на безвозмездной основе в случае малоимущих лиц; получать беспла</w:t>
      </w:r>
      <w:r w:rsidRPr="00923DCD">
        <w:rPr>
          <w:b/>
          <w:bCs/>
        </w:rPr>
        <w:t>т</w:t>
      </w:r>
      <w:r w:rsidRPr="00923DCD">
        <w:rPr>
          <w:b/>
          <w:bCs/>
        </w:rPr>
        <w:t>ные переводческие услуги; уведомлять родственника или иное выбранное ими лицо о факте их задержания или помещения под стражу; представать перед судьей в течение 48 часов с момента задержания; а также</w:t>
      </w:r>
      <w:r>
        <w:rPr>
          <w:b/>
          <w:bCs/>
        </w:rPr>
        <w:t xml:space="preserve"> </w:t>
      </w:r>
      <w:r w:rsidRPr="00923DCD">
        <w:rPr>
          <w:b/>
          <w:bCs/>
        </w:rPr>
        <w:t>ходата</w:t>
      </w:r>
      <w:r w:rsidRPr="00923DCD">
        <w:rPr>
          <w:b/>
          <w:bCs/>
        </w:rPr>
        <w:t>й</w:t>
      </w:r>
      <w:r w:rsidRPr="00923DCD">
        <w:rPr>
          <w:b/>
          <w:bCs/>
        </w:rPr>
        <w:t>ствовать о проведении независимого медицинского освидетельствования независимым врачом без возможности слухового и визуального контроля со стороны государственных должностных лиц и проходить такое освид</w:t>
      </w:r>
      <w:r w:rsidRPr="00923DCD">
        <w:rPr>
          <w:b/>
          <w:bCs/>
        </w:rPr>
        <w:t>е</w:t>
      </w:r>
      <w:r w:rsidRPr="00923DCD">
        <w:rPr>
          <w:b/>
          <w:bCs/>
        </w:rPr>
        <w:t xml:space="preserve">тельствование; 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b)</w:t>
      </w:r>
      <w:r w:rsidRPr="00923DCD">
        <w:rPr>
          <w:b/>
          <w:bCs/>
        </w:rPr>
        <w:tab/>
        <w:t>незамедлительно регистрировать каждый случай лишения св</w:t>
      </w:r>
      <w:r w:rsidRPr="00923DCD">
        <w:rPr>
          <w:b/>
          <w:bCs/>
        </w:rPr>
        <w:t>о</w:t>
      </w:r>
      <w:r w:rsidRPr="00923DCD">
        <w:rPr>
          <w:b/>
          <w:bCs/>
        </w:rPr>
        <w:t>боды в общем национальном реестре задержаний;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с)</w:t>
      </w:r>
      <w:r w:rsidRPr="00923DCD">
        <w:rPr>
          <w:b/>
          <w:bCs/>
        </w:rPr>
        <w:tab/>
        <w:t>систематически контролировать соблюдение всеми госуда</w:t>
      </w:r>
      <w:r w:rsidRPr="00923DCD">
        <w:rPr>
          <w:b/>
          <w:bCs/>
        </w:rPr>
        <w:t>р</w:t>
      </w:r>
      <w:r w:rsidRPr="00923DCD">
        <w:rPr>
          <w:b/>
          <w:bCs/>
        </w:rPr>
        <w:t xml:space="preserve">ственными должностными лицами правовых гарантий и наказывать должностных лиц за любое их несоблюдение;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rPr>
          <w:b/>
          <w:bCs/>
        </w:rPr>
        <w:tab/>
        <w:t>d)</w:t>
      </w:r>
      <w:r w:rsidRPr="00923DCD">
        <w:rPr>
          <w:b/>
          <w:bCs/>
        </w:rPr>
        <w:tab/>
        <w:t>информировать Комитет о количестве полученных жалоб на несоблюдение таких гарантий, а также о результатах мер, принятых в св</w:t>
      </w:r>
      <w:r w:rsidRPr="00923DCD">
        <w:rPr>
          <w:b/>
          <w:bCs/>
        </w:rPr>
        <w:t>я</w:t>
      </w:r>
      <w:r w:rsidRPr="00923DCD">
        <w:rPr>
          <w:b/>
          <w:bCs/>
        </w:rPr>
        <w:t>зи с этими жалобами.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Отправление правосудия и длительное содержание под стражей до суда</w:t>
      </w:r>
    </w:p>
    <w:p w:rsidR="00923DCD" w:rsidRPr="00923DCD" w:rsidRDefault="00923DCD" w:rsidP="00923DCD">
      <w:pPr>
        <w:pStyle w:val="SingleTxtGR"/>
      </w:pPr>
      <w:r w:rsidRPr="00923DCD">
        <w:t>19.</w:t>
      </w:r>
      <w:r w:rsidRPr="00923DCD">
        <w:tab/>
        <w:t>Комитет обеспокоен постоянными сообщениями о том, что серьезное о</w:t>
      </w:r>
      <w:r w:rsidRPr="00923DCD">
        <w:t>т</w:t>
      </w:r>
      <w:r w:rsidRPr="00923DCD">
        <w:t>ставание в рассмотрении уголовных дел приводит к длительному (до пяти лет) досудебному содержанию под стражей. Он с сожалением отмечает, что из-за непредоставления государством-участником доклада отсутствует информация о мерах, принятых для преодоления отставания или сокращения срока досуде</w:t>
      </w:r>
      <w:r w:rsidRPr="00923DCD">
        <w:t>б</w:t>
      </w:r>
      <w:r w:rsidRPr="00923DCD">
        <w:t>ного содержания под стражей (статья 2).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20.</w:t>
      </w:r>
      <w:r w:rsidRPr="00923DCD">
        <w:tab/>
      </w:r>
      <w:r w:rsidRPr="00923DCD">
        <w:rPr>
          <w:b/>
          <w:bCs/>
        </w:rPr>
        <w:t>Государству-участнику следует принять меры для преодоления о</w:t>
      </w:r>
      <w:r w:rsidRPr="00923DCD">
        <w:rPr>
          <w:b/>
          <w:bCs/>
        </w:rPr>
        <w:t>т</w:t>
      </w:r>
      <w:r w:rsidRPr="00923DCD">
        <w:rPr>
          <w:b/>
          <w:bCs/>
        </w:rPr>
        <w:t>ставания</w:t>
      </w:r>
      <w:r>
        <w:rPr>
          <w:b/>
          <w:bCs/>
        </w:rPr>
        <w:t xml:space="preserve"> </w:t>
      </w:r>
      <w:r w:rsidRPr="00923DCD">
        <w:rPr>
          <w:b/>
          <w:bCs/>
        </w:rPr>
        <w:t>в рассмотрении уголовных дел, в том числе за счет укрепления потенциала судебной системы, в частности увеличения числа судей. Гос</w:t>
      </w:r>
      <w:r w:rsidRPr="00923DCD">
        <w:rPr>
          <w:b/>
          <w:bCs/>
        </w:rPr>
        <w:t>у</w:t>
      </w:r>
      <w:r w:rsidRPr="00923DCD">
        <w:rPr>
          <w:b/>
          <w:bCs/>
        </w:rPr>
        <w:t>дарству-участнику следует обеспечить в законодательстве и на практике, чтобы досудебное содержание под стражей</w:t>
      </w:r>
      <w:r>
        <w:rPr>
          <w:b/>
          <w:bCs/>
        </w:rPr>
        <w:t xml:space="preserve"> </w:t>
      </w:r>
      <w:r w:rsidRPr="00923DCD">
        <w:rPr>
          <w:b/>
          <w:bCs/>
        </w:rPr>
        <w:t>применялось лишь в исключ</w:t>
      </w:r>
      <w:r w:rsidRPr="00923DCD">
        <w:rPr>
          <w:b/>
          <w:bCs/>
        </w:rPr>
        <w:t>и</w:t>
      </w:r>
      <w:r w:rsidRPr="00923DCD">
        <w:rPr>
          <w:b/>
          <w:bCs/>
        </w:rPr>
        <w:t>тельных случаях и в течение ограниченного периода времени, а также п</w:t>
      </w:r>
      <w:r w:rsidRPr="00923DCD">
        <w:rPr>
          <w:b/>
          <w:bCs/>
        </w:rPr>
        <w:t>о</w:t>
      </w:r>
      <w:r w:rsidRPr="00923DCD">
        <w:rPr>
          <w:b/>
          <w:bCs/>
        </w:rPr>
        <w:t>ощрять альтернативы досудебному содержанию под стражей в соотве</w:t>
      </w:r>
      <w:r w:rsidRPr="00923DCD">
        <w:rPr>
          <w:b/>
          <w:bCs/>
        </w:rPr>
        <w:t>т</w:t>
      </w:r>
      <w:r w:rsidRPr="00923DCD">
        <w:rPr>
          <w:b/>
          <w:bCs/>
        </w:rPr>
        <w:t>ствии с Минимальными стандартными правилами Организации Объед</w:t>
      </w:r>
      <w:r w:rsidRPr="00923DCD">
        <w:rPr>
          <w:b/>
          <w:bCs/>
        </w:rPr>
        <w:t>и</w:t>
      </w:r>
      <w:r w:rsidRPr="00923DCD">
        <w:rPr>
          <w:b/>
          <w:bCs/>
        </w:rPr>
        <w:t>ненных Наций в отношении мер, не связанных с тюремным заключением (Токийские правила).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Условия содержания под стражей</w:t>
      </w:r>
    </w:p>
    <w:p w:rsidR="00923DCD" w:rsidRPr="00923DCD" w:rsidRDefault="00923DCD" w:rsidP="00923DCD">
      <w:pPr>
        <w:pStyle w:val="SingleTxtGR"/>
      </w:pPr>
      <w:r w:rsidRPr="00923DCD">
        <w:t>21.</w:t>
      </w:r>
      <w:r w:rsidRPr="00923DCD">
        <w:tab/>
        <w:t>Комитет выражает обеспокоенность по поводу крайней переполненности Королевской тюрьмы, единственного пенитенциарного учреждения в госуда</w:t>
      </w:r>
      <w:r w:rsidRPr="00923DCD">
        <w:t>р</w:t>
      </w:r>
      <w:r w:rsidRPr="00923DCD">
        <w:t>стве-участнике, и с сожалением отмечает, что</w:t>
      </w:r>
      <w:r w:rsidR="004B5E0B">
        <w:t xml:space="preserve"> численность заключенных с 2000 </w:t>
      </w:r>
      <w:r w:rsidRPr="00923DCD">
        <w:t>года практически удвоилась. Отмечая предпринимаемые государством-участником усилия по использованию при определенных условиях таких ал</w:t>
      </w:r>
      <w:r w:rsidRPr="00923DCD">
        <w:t>ь</w:t>
      </w:r>
      <w:r w:rsidRPr="00923DCD">
        <w:t>тернативных мер, как условно-досрочное освобождение и помилование, Ком</w:t>
      </w:r>
      <w:r w:rsidRPr="00923DCD">
        <w:t>и</w:t>
      </w:r>
      <w:r w:rsidRPr="00923DCD">
        <w:t>тет выражает сожаление по поводу того, что из-за отсутствия доклада госуда</w:t>
      </w:r>
      <w:r w:rsidRPr="00923DCD">
        <w:t>р</w:t>
      </w:r>
      <w:r w:rsidRPr="00923DCD">
        <w:t>ства-участника он не располагает информацией о воздействии этих мер на практике. Кроме того, Комитет обеспокоен отсутствием в пенитенциарных учреждениях надлежащих материальных условий, в том числе наличием пр</w:t>
      </w:r>
      <w:r w:rsidRPr="00923DCD">
        <w:t>о</w:t>
      </w:r>
      <w:r w:rsidRPr="00923DCD">
        <w:t>блем с санитарными услугами и вентиляцией, водоснабжением и туалетами, а также недавней вспышкой инфекционных заболеваний, которая привела к о</w:t>
      </w:r>
      <w:r w:rsidRPr="00923DCD">
        <w:t>т</w:t>
      </w:r>
      <w:r w:rsidRPr="00923DCD">
        <w:t>мене реабилитационных курсов. Он также с обеспокоенностью отмечает, что заключенные, в частности с психическими расстройствами, не получают надлежащего медицинского обслуживания. Кроме того, он обеспокоен сообщ</w:t>
      </w:r>
      <w:r w:rsidRPr="00923DCD">
        <w:t>е</w:t>
      </w:r>
      <w:r w:rsidRPr="00923DCD">
        <w:t>ниями о случаях неправомерного обращения и сексуального насилия в тюрьме и с сожалением отмечает отсутствие дополнительной информации о существ</w:t>
      </w:r>
      <w:r w:rsidRPr="00923DCD">
        <w:t>у</w:t>
      </w:r>
      <w:r w:rsidRPr="00923DCD">
        <w:t xml:space="preserve">ющем в ней механизме рассмотрения жалоб (статья 11). 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lastRenderedPageBreak/>
        <w:t>22.</w:t>
      </w:r>
      <w:r w:rsidRPr="00923DCD">
        <w:tab/>
      </w:r>
      <w:r w:rsidRPr="00923DCD">
        <w:rPr>
          <w:b/>
          <w:bCs/>
        </w:rPr>
        <w:t>Государству-участнику следует принять меры для приведения и</w:t>
      </w:r>
      <w:r w:rsidRPr="00923DCD">
        <w:rPr>
          <w:b/>
          <w:bCs/>
        </w:rPr>
        <w:t>с</w:t>
      </w:r>
      <w:r w:rsidRPr="00923DCD">
        <w:rPr>
          <w:b/>
          <w:bCs/>
        </w:rPr>
        <w:t>пользуемых в тюрьме оперативных процедур в соответствие с Минимал</w:t>
      </w:r>
      <w:r w:rsidRPr="00923DCD">
        <w:rPr>
          <w:b/>
          <w:bCs/>
        </w:rPr>
        <w:t>ь</w:t>
      </w:r>
      <w:r w:rsidRPr="00923DCD">
        <w:rPr>
          <w:b/>
          <w:bCs/>
        </w:rPr>
        <w:t>ными стандартными правилами Организации Объединенных Наций в о</w:t>
      </w:r>
      <w:r w:rsidRPr="00923DCD">
        <w:rPr>
          <w:b/>
          <w:bCs/>
        </w:rPr>
        <w:t>т</w:t>
      </w:r>
      <w:r w:rsidRPr="00923DCD">
        <w:rPr>
          <w:b/>
          <w:bCs/>
        </w:rPr>
        <w:t>ношении обращения с заключенными (Правила Нельсона Манделы), М</w:t>
      </w:r>
      <w:r w:rsidRPr="00923DCD">
        <w:rPr>
          <w:b/>
          <w:bCs/>
        </w:rPr>
        <w:t>и</w:t>
      </w:r>
      <w:r w:rsidRPr="00923DCD">
        <w:rPr>
          <w:b/>
          <w:bCs/>
        </w:rPr>
        <w:t>нимальными стандартными правилами Организации Объединенных Наций, касающимися отправления правосудия в отношении несоверше</w:t>
      </w:r>
      <w:r w:rsidRPr="00923DCD">
        <w:rPr>
          <w:b/>
          <w:bCs/>
        </w:rPr>
        <w:t>н</w:t>
      </w:r>
      <w:r w:rsidRPr="00923DCD">
        <w:rPr>
          <w:b/>
          <w:bCs/>
        </w:rPr>
        <w:t>нолетних (Пекинские правила), а также Принципами и наилучшей пра</w:t>
      </w:r>
      <w:r w:rsidRPr="00923DCD">
        <w:rPr>
          <w:b/>
          <w:bCs/>
        </w:rPr>
        <w:t>к</w:t>
      </w:r>
      <w:r w:rsidRPr="00923DCD">
        <w:rPr>
          <w:b/>
          <w:bCs/>
        </w:rPr>
        <w:t>тикой защиты лишенных свободы лиц в странах Америки,</w:t>
      </w:r>
      <w:r>
        <w:rPr>
          <w:b/>
          <w:bCs/>
        </w:rPr>
        <w:t xml:space="preserve"> </w:t>
      </w:r>
      <w:r w:rsidRPr="00923DCD">
        <w:rPr>
          <w:b/>
          <w:bCs/>
        </w:rPr>
        <w:t>принятыми Межамериканской комиссией по правам человека в 2008 году. В частности, ему следует: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а)</w:t>
      </w:r>
      <w:r w:rsidRPr="00923DCD">
        <w:rPr>
          <w:b/>
          <w:bCs/>
        </w:rPr>
        <w:tab/>
        <w:t>снизить</w:t>
      </w:r>
      <w:r>
        <w:rPr>
          <w:b/>
          <w:bCs/>
        </w:rPr>
        <w:t xml:space="preserve"> </w:t>
      </w:r>
      <w:r w:rsidRPr="00923DCD">
        <w:rPr>
          <w:b/>
          <w:bCs/>
        </w:rPr>
        <w:t>показатели переполненности тюрьмы, в частности п</w:t>
      </w:r>
      <w:r w:rsidRPr="00923DCD">
        <w:rPr>
          <w:b/>
          <w:bCs/>
        </w:rPr>
        <w:t>у</w:t>
      </w:r>
      <w:r w:rsidRPr="00923DCD">
        <w:rPr>
          <w:b/>
          <w:bCs/>
        </w:rPr>
        <w:t>тем</w:t>
      </w:r>
      <w:r>
        <w:rPr>
          <w:b/>
          <w:bCs/>
        </w:rPr>
        <w:t xml:space="preserve"> </w:t>
      </w:r>
      <w:r w:rsidRPr="00923DCD">
        <w:rPr>
          <w:b/>
          <w:bCs/>
        </w:rPr>
        <w:t>выделения большего пространства для содержания под стражей и и</w:t>
      </w:r>
      <w:r w:rsidRPr="00923DCD">
        <w:rPr>
          <w:b/>
          <w:bCs/>
        </w:rPr>
        <w:t>с</w:t>
      </w:r>
      <w:r w:rsidRPr="00923DCD">
        <w:rPr>
          <w:b/>
          <w:bCs/>
        </w:rPr>
        <w:t>пользования альтернатив лишению свободы в соответствии с Минимал</w:t>
      </w:r>
      <w:r w:rsidRPr="00923DCD">
        <w:rPr>
          <w:b/>
          <w:bCs/>
        </w:rPr>
        <w:t>ь</w:t>
      </w:r>
      <w:r w:rsidRPr="00923DCD">
        <w:rPr>
          <w:b/>
          <w:bCs/>
        </w:rPr>
        <w:t>ными стандартными правилами Организации Объединенных Наций, к</w:t>
      </w:r>
      <w:r w:rsidRPr="00923DCD">
        <w:rPr>
          <w:b/>
          <w:bCs/>
        </w:rPr>
        <w:t>а</w:t>
      </w:r>
      <w:r w:rsidRPr="00923DCD">
        <w:rPr>
          <w:b/>
          <w:bCs/>
        </w:rPr>
        <w:t>сающимися отправления правосудия в отношении несовершеннолетних (Пекинские правила), и Правилами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(Бан</w:t>
      </w:r>
      <w:r w:rsidRPr="00923DCD">
        <w:rPr>
          <w:b/>
          <w:bCs/>
        </w:rPr>
        <w:t>г</w:t>
      </w:r>
      <w:r w:rsidRPr="00923DCD">
        <w:rPr>
          <w:b/>
          <w:bCs/>
        </w:rPr>
        <w:t>кокские правила);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b)</w:t>
      </w:r>
      <w:r w:rsidRPr="00923DCD">
        <w:rPr>
          <w:b/>
          <w:bCs/>
        </w:rPr>
        <w:tab/>
        <w:t>незамедлительно улучшить материальные условия в местах с</w:t>
      </w:r>
      <w:r w:rsidRPr="00923DCD">
        <w:rPr>
          <w:b/>
          <w:bCs/>
        </w:rPr>
        <w:t>о</w:t>
      </w:r>
      <w:r w:rsidRPr="00923DCD">
        <w:rPr>
          <w:b/>
          <w:bCs/>
        </w:rPr>
        <w:t>держания под стражей, в том числе температурный режим и вентиляцию в камерах, а также обеспечить заключенных надлежащим питанием и вод</w:t>
      </w:r>
      <w:r w:rsidRPr="00923DCD">
        <w:rPr>
          <w:b/>
          <w:bCs/>
        </w:rPr>
        <w:t>о</w:t>
      </w:r>
      <w:r w:rsidRPr="00923DCD">
        <w:rPr>
          <w:b/>
          <w:bCs/>
        </w:rPr>
        <w:t xml:space="preserve">снабжением; 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с)</w:t>
      </w:r>
      <w:r w:rsidRPr="00923DCD">
        <w:rPr>
          <w:b/>
          <w:bCs/>
        </w:rPr>
        <w:tab/>
        <w:t>обеспечить предоставление надлежащих медицинских услуг з</w:t>
      </w:r>
      <w:r w:rsidRPr="00923DCD">
        <w:rPr>
          <w:b/>
          <w:bCs/>
        </w:rPr>
        <w:t>а</w:t>
      </w:r>
      <w:r w:rsidRPr="00923DCD">
        <w:rPr>
          <w:b/>
          <w:bCs/>
        </w:rPr>
        <w:t xml:space="preserve">ключенным, в частности лицам с психосоциальными расстройствами, и проведение тщательного и независимого медицинского обследование всех содержащихся под стражей лиц сразу после их лишения свободы, а также на регулярной основе в течение всего срока их содержания под стражей;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rPr>
          <w:b/>
          <w:bCs/>
        </w:rPr>
        <w:tab/>
        <w:t>d)</w:t>
      </w:r>
      <w:r w:rsidRPr="00923DCD">
        <w:rPr>
          <w:b/>
          <w:bCs/>
        </w:rPr>
        <w:tab/>
        <w:t>обеспечить, чтобы заключенные могли подавать в независ</w:t>
      </w:r>
      <w:r w:rsidRPr="00923DCD">
        <w:rPr>
          <w:b/>
          <w:bCs/>
        </w:rPr>
        <w:t>и</w:t>
      </w:r>
      <w:r w:rsidRPr="00923DCD">
        <w:rPr>
          <w:b/>
          <w:bCs/>
        </w:rPr>
        <w:t>мый орган жалобы на условия их содержания под стражей и/или пытки и неправомерное обращение, в том числе на сексуальное насилие, и чтобы в связи с такими жалобами проводились оперативные, беспристрастные и тщательные проверки.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 xml:space="preserve">Предполагаемые случаи жестокого обращения со стороны полиции </w:t>
      </w:r>
    </w:p>
    <w:p w:rsidR="00923DCD" w:rsidRPr="00923DCD" w:rsidRDefault="00923DCD" w:rsidP="00923DCD">
      <w:pPr>
        <w:pStyle w:val="SingleTxtGR"/>
      </w:pPr>
      <w:r w:rsidRPr="00923DCD">
        <w:t>23.</w:t>
      </w:r>
      <w:r w:rsidRPr="00923DCD">
        <w:tab/>
        <w:t>Комитет обеспокоен сообщениями о жестоком обращении сотрудников</w:t>
      </w:r>
      <w:r>
        <w:t xml:space="preserve"> </w:t>
      </w:r>
      <w:r w:rsidRPr="00923DCD">
        <w:t>полиции с задержанными и помещенными под стражу лицами. Комитет серье</w:t>
      </w:r>
      <w:r w:rsidRPr="00923DCD">
        <w:t>з</w:t>
      </w:r>
      <w:r w:rsidRPr="00923DCD">
        <w:t>но обеспокоен сообщениями о применении физического насилия к иностра</w:t>
      </w:r>
      <w:r w:rsidRPr="00923DCD">
        <w:t>н</w:t>
      </w:r>
      <w:r w:rsidRPr="00923DCD">
        <w:t>ным гражданам в полицейском участке Сент-Джонса. Отмечая создание в п</w:t>
      </w:r>
      <w:r w:rsidRPr="00923DCD">
        <w:t>о</w:t>
      </w:r>
      <w:r w:rsidRPr="00923DCD">
        <w:t>лиции Департамента по профессиональным стандартам для рассмотрения ж</w:t>
      </w:r>
      <w:r w:rsidRPr="00923DCD">
        <w:t>а</w:t>
      </w:r>
      <w:r w:rsidRPr="00923DCD">
        <w:t>лоб на действия полиции, Комитет выражает сохраняющуюся обеспокоенность по поводу отсутствия полностью независимого механизма для получения таких жалоб и реагирования на них (статьи 12 и 13).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t>24.</w:t>
      </w:r>
      <w:r w:rsidRPr="00923DCD">
        <w:tab/>
      </w:r>
      <w:r w:rsidRPr="00923DCD">
        <w:rPr>
          <w:b/>
          <w:bCs/>
        </w:rPr>
        <w:t>Государству-участнику следует обеспечить: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а)</w:t>
      </w:r>
      <w:r w:rsidRPr="00923DCD">
        <w:rPr>
          <w:b/>
          <w:bCs/>
        </w:rPr>
        <w:tab/>
        <w:t>принятие мер для усиления контроля за деятельностью сил п</w:t>
      </w:r>
      <w:r w:rsidRPr="00923DCD">
        <w:rPr>
          <w:b/>
          <w:bCs/>
        </w:rPr>
        <w:t>о</w:t>
      </w:r>
      <w:r w:rsidRPr="00923DCD">
        <w:rPr>
          <w:b/>
          <w:bCs/>
        </w:rPr>
        <w:t>лиции, включая обращение с содержащимися под стражей лицами;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b)</w:t>
      </w:r>
      <w:r w:rsidRPr="00923DCD">
        <w:rPr>
          <w:b/>
          <w:bCs/>
        </w:rPr>
        <w:tab/>
        <w:t xml:space="preserve">проведение независимым органом оперативных, тщательных и беспристрастных расследований по всем жалобам на жестокое обращение со стороны сотрудников полиции и применение ими чрезмерной силы; </w:t>
      </w:r>
      <w:r w:rsidR="004B5E0B">
        <w:rPr>
          <w:b/>
          <w:bCs/>
        </w:rPr>
        <w:br/>
      </w:r>
      <w:r w:rsidRPr="00923DCD">
        <w:rPr>
          <w:b/>
          <w:bCs/>
        </w:rPr>
        <w:t>отсутствие каких-либо институциональных или иерархических связей между следователями и предполагаемыми правонарушителями; судебное пресл</w:t>
      </w:r>
      <w:r w:rsidRPr="00923DCD">
        <w:rPr>
          <w:b/>
          <w:bCs/>
        </w:rPr>
        <w:t>е</w:t>
      </w:r>
      <w:r w:rsidRPr="00923DCD">
        <w:rPr>
          <w:b/>
          <w:bCs/>
        </w:rPr>
        <w:t>дование обвиняемых и, в случае признания их вины, назначение им нак</w:t>
      </w:r>
      <w:r w:rsidRPr="00923DCD">
        <w:rPr>
          <w:b/>
          <w:bCs/>
        </w:rPr>
        <w:t>а</w:t>
      </w:r>
      <w:r w:rsidRPr="00923DCD">
        <w:rPr>
          <w:b/>
          <w:bCs/>
        </w:rPr>
        <w:t>зания, соразмерного тяжести совершенных деяний;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с)</w:t>
      </w:r>
      <w:r w:rsidRPr="00923DCD">
        <w:rPr>
          <w:b/>
          <w:bCs/>
        </w:rPr>
        <w:tab/>
        <w:t>проведение властями по собственной инициативе расследов</w:t>
      </w:r>
      <w:r w:rsidRPr="00923DCD">
        <w:rPr>
          <w:b/>
          <w:bCs/>
        </w:rPr>
        <w:t>а</w:t>
      </w:r>
      <w:r w:rsidRPr="00923DCD">
        <w:rPr>
          <w:b/>
          <w:bCs/>
        </w:rPr>
        <w:t xml:space="preserve">ния во всех случаях, когда имеются достаточные основания полагать, что </w:t>
      </w:r>
      <w:r w:rsidRPr="00923DCD">
        <w:rPr>
          <w:b/>
          <w:bCs/>
        </w:rPr>
        <w:lastRenderedPageBreak/>
        <w:t xml:space="preserve">имели место акты жестокого обращения или применения чрезмерной силы со стороны полиции;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rPr>
          <w:b/>
          <w:bCs/>
        </w:rPr>
        <w:tab/>
        <w:t>d)</w:t>
      </w:r>
      <w:r w:rsidRPr="00923DCD">
        <w:rPr>
          <w:b/>
          <w:bCs/>
        </w:rPr>
        <w:tab/>
        <w:t>незамедлительное отстранение от выполнения служебных об</w:t>
      </w:r>
      <w:r w:rsidRPr="00923DCD">
        <w:rPr>
          <w:b/>
          <w:bCs/>
        </w:rPr>
        <w:t>я</w:t>
      </w:r>
      <w:r w:rsidRPr="00923DCD">
        <w:rPr>
          <w:b/>
          <w:bCs/>
        </w:rPr>
        <w:t>занностей предполагаемых виновных в жестоком обращении или примен</w:t>
      </w:r>
      <w:r w:rsidRPr="00923DCD">
        <w:rPr>
          <w:b/>
          <w:bCs/>
        </w:rPr>
        <w:t>е</w:t>
      </w:r>
      <w:r w:rsidRPr="00923DCD">
        <w:rPr>
          <w:b/>
          <w:bCs/>
        </w:rPr>
        <w:t>нии чрезмерной силы со стороны полиции на весь период проведения ра</w:t>
      </w:r>
      <w:r w:rsidRPr="00923DCD">
        <w:rPr>
          <w:b/>
          <w:bCs/>
        </w:rPr>
        <w:t>с</w:t>
      </w:r>
      <w:r w:rsidRPr="00923DCD">
        <w:rPr>
          <w:b/>
          <w:bCs/>
        </w:rPr>
        <w:t>следования для недопущения репрессий и воспрепятствования произво</w:t>
      </w:r>
      <w:r w:rsidRPr="00923DCD">
        <w:rPr>
          <w:b/>
          <w:bCs/>
        </w:rPr>
        <w:t>д</w:t>
      </w:r>
      <w:r w:rsidRPr="00923DCD">
        <w:rPr>
          <w:b/>
          <w:bCs/>
        </w:rPr>
        <w:t>ству расследования, а также соблюдение принципа презумпции невиновн</w:t>
      </w:r>
      <w:r w:rsidRPr="00923DCD">
        <w:rPr>
          <w:b/>
          <w:bCs/>
        </w:rPr>
        <w:t>о</w:t>
      </w:r>
      <w:r w:rsidRPr="00923DCD">
        <w:rPr>
          <w:b/>
          <w:bCs/>
        </w:rPr>
        <w:t>сти.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 xml:space="preserve">Национальное правозащитное учреждение </w:t>
      </w:r>
    </w:p>
    <w:p w:rsidR="00923DCD" w:rsidRPr="00923DCD" w:rsidRDefault="00923DCD" w:rsidP="00923DCD">
      <w:pPr>
        <w:pStyle w:val="SingleTxtGR"/>
      </w:pPr>
      <w:r w:rsidRPr="00923DCD">
        <w:t>25.</w:t>
      </w:r>
      <w:r w:rsidRPr="00923DCD">
        <w:tab/>
        <w:t>Комитет обеспокоен ограниченными полномочиями и недостаточными ресурсами существующего в стране Управления Омбудсмена. Он с сожалением отмечает, что из-за отсутствия доклада государства-участника он не располаг</w:t>
      </w:r>
      <w:r w:rsidRPr="00923DCD">
        <w:t>а</w:t>
      </w:r>
      <w:r w:rsidRPr="00923DCD">
        <w:t>ет информацией о мерах, принятых для выполнения рекомендаций,</w:t>
      </w:r>
      <w:r>
        <w:t xml:space="preserve"> </w:t>
      </w:r>
      <w:r w:rsidRPr="00923DCD">
        <w:t>принятых государством-участником в ходе универсаль</w:t>
      </w:r>
      <w:r w:rsidR="00AC69FD">
        <w:t>ного периодического обзора 2016 </w:t>
      </w:r>
      <w:r w:rsidRPr="00923DCD">
        <w:t>года (см. A/HRC/33/13, пункт 76), о создании национального правозащи</w:t>
      </w:r>
      <w:r w:rsidRPr="00923DCD">
        <w:t>т</w:t>
      </w:r>
      <w:r w:rsidRPr="00923DCD">
        <w:t>ного учреждения в соответствии с Принципами, касающимися статуса наци</w:t>
      </w:r>
      <w:r w:rsidRPr="00923DCD">
        <w:t>о</w:t>
      </w:r>
      <w:r w:rsidRPr="00923DCD">
        <w:t xml:space="preserve">нальных учреждений, занимающихся поощрением и защитой прав человека (Парижские принципы) (статья 2).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26.</w:t>
      </w:r>
      <w:r w:rsidRPr="00923DCD">
        <w:tab/>
      </w:r>
      <w:r w:rsidRPr="00923DCD">
        <w:rPr>
          <w:b/>
          <w:bCs/>
        </w:rPr>
        <w:t>Государству-участнику следует расширить полномочия Управления Омбудсмена, в частности в отношении рассмотрения жалоб на пытки и н</w:t>
      </w:r>
      <w:r w:rsidRPr="00923DCD">
        <w:rPr>
          <w:b/>
          <w:bCs/>
        </w:rPr>
        <w:t>е</w:t>
      </w:r>
      <w:r w:rsidRPr="00923DCD">
        <w:rPr>
          <w:b/>
          <w:bCs/>
        </w:rPr>
        <w:t>правомерное обращение, а также выделить достаточные ресурсы для его независимого функционирования. Кроме того, ему надлежит обеспечить создание национального правозащитного учреждения в полном соотве</w:t>
      </w:r>
      <w:r w:rsidRPr="00923DCD">
        <w:rPr>
          <w:b/>
          <w:bCs/>
        </w:rPr>
        <w:t>т</w:t>
      </w:r>
      <w:r w:rsidRPr="00923DCD">
        <w:rPr>
          <w:b/>
          <w:bCs/>
        </w:rPr>
        <w:t xml:space="preserve">ствии с Парижскими принципами. 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 xml:space="preserve">Беженцы и принцип невозвращения </w:t>
      </w:r>
    </w:p>
    <w:p w:rsidR="00923DCD" w:rsidRPr="00923DCD" w:rsidRDefault="00923DCD" w:rsidP="00923DCD">
      <w:pPr>
        <w:pStyle w:val="SingleTxtGR"/>
      </w:pPr>
      <w:r w:rsidRPr="00923DCD">
        <w:t>27.</w:t>
      </w:r>
      <w:r w:rsidRPr="00923DCD">
        <w:tab/>
        <w:t>Комитет выражает обеспокоенность по поводу отсутствия национального законодательства и административных нормативных положений, регулирующих процедуры предоставления убежища и права беженцев. Комитет обеспокоен информацией, содержащейся в докладе УВКБ</w:t>
      </w:r>
      <w:r w:rsidR="004B5E0B">
        <w:t xml:space="preserve"> ООН за 2015 год, о том, что 15 </w:t>
      </w:r>
      <w:r w:rsidRPr="00923DCD">
        <w:t>сирийских просителей убежища были помещены под стражу и подверглись угрозе высылки, несмотря на выраженные ими опасения по поводу их возвр</w:t>
      </w:r>
      <w:r w:rsidRPr="00923DCD">
        <w:t>а</w:t>
      </w:r>
      <w:r w:rsidRPr="00923DCD">
        <w:t>щения. Отмечая, что созданный в 2015 году Специальный комитет по проверке соответствия установленным требованиям рекомендовал предоставить убеж</w:t>
      </w:r>
      <w:r w:rsidRPr="00923DCD">
        <w:t>и</w:t>
      </w:r>
      <w:r w:rsidRPr="00923DCD">
        <w:t>ще этим сирийским гражданам, Комитет с обеспокоенностью констатирует, что, по имеющейся информации, этим рекомендациям Специального комитета не было придано юридической силы (статья 3).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t>28.</w:t>
      </w:r>
      <w:r w:rsidRPr="00923DCD">
        <w:tab/>
      </w:r>
      <w:r w:rsidRPr="00923DCD">
        <w:rPr>
          <w:b/>
          <w:bCs/>
        </w:rPr>
        <w:t>Государству-участнику следует: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</w:r>
      <w:r w:rsidR="00AC69FD" w:rsidRPr="00923DCD">
        <w:rPr>
          <w:b/>
          <w:bCs/>
        </w:rPr>
        <w:t>а)</w:t>
      </w:r>
      <w:r w:rsidR="00AC69FD" w:rsidRPr="00923DCD">
        <w:rPr>
          <w:b/>
          <w:bCs/>
        </w:rPr>
        <w:tab/>
        <w:t>принять национальное законодательство в интересах просит</w:t>
      </w:r>
      <w:r w:rsidR="00AC69FD" w:rsidRPr="00923DCD">
        <w:rPr>
          <w:b/>
          <w:bCs/>
        </w:rPr>
        <w:t>е</w:t>
      </w:r>
      <w:r w:rsidR="00AC69FD" w:rsidRPr="00923DCD">
        <w:rPr>
          <w:b/>
          <w:bCs/>
        </w:rPr>
        <w:t>лей убежища и беженцев в соответствии с международными нормами и в полном соответствии со статьей 3 Конвенции, а также обеспечить наличие процессуальных гарантий защиты от возвращения;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b)</w:t>
      </w:r>
      <w:r w:rsidRPr="00923DCD">
        <w:rPr>
          <w:b/>
          <w:bCs/>
        </w:rPr>
        <w:tab/>
        <w:t>создать процедуру предоставления убежища, позволяющую</w:t>
      </w:r>
      <w:r>
        <w:rPr>
          <w:b/>
          <w:bCs/>
        </w:rPr>
        <w:t xml:space="preserve"> </w:t>
      </w:r>
      <w:r w:rsidRPr="00923DCD">
        <w:rPr>
          <w:b/>
          <w:bCs/>
        </w:rPr>
        <w:t>проводить индивидуальную оценку каждого конкретного случая;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с)</w:t>
      </w:r>
      <w:r w:rsidRPr="00923DCD">
        <w:rPr>
          <w:b/>
          <w:bCs/>
        </w:rPr>
        <w:tab/>
        <w:t>разработать процедуру проверки с целью выявления, как мо</w:t>
      </w:r>
      <w:r w:rsidRPr="00923DCD">
        <w:rPr>
          <w:b/>
          <w:bCs/>
        </w:rPr>
        <w:t>ж</w:t>
      </w:r>
      <w:r w:rsidRPr="00923DCD">
        <w:rPr>
          <w:b/>
          <w:bCs/>
        </w:rPr>
        <w:t>но раньше, уязвимых лиц, таких как жертвы пыток и торговли людьми, и обеспечить прохождение ими медицинского и психиатрического освид</w:t>
      </w:r>
      <w:r w:rsidRPr="00923DCD">
        <w:rPr>
          <w:b/>
          <w:bCs/>
        </w:rPr>
        <w:t>е</w:t>
      </w:r>
      <w:r w:rsidRPr="00923DCD">
        <w:rPr>
          <w:b/>
          <w:bCs/>
        </w:rPr>
        <w:t>тельствования, а также получение ими приоритетного доступа к процедуре принятия решений о предоставлении убежища и надлежащего лечения;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d)</w:t>
      </w:r>
      <w:r w:rsidRPr="00923DCD">
        <w:rPr>
          <w:b/>
          <w:bCs/>
        </w:rPr>
        <w:tab/>
        <w:t>официально закрепить мандат и полномочия Специального комитета по проверке соответствия установленным требованиям с целью придания надлежащей юридической силы его рекомендациям;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lastRenderedPageBreak/>
        <w:tab/>
        <w:t>e)</w:t>
      </w:r>
      <w:r w:rsidRPr="00923DCD">
        <w:rPr>
          <w:b/>
          <w:bCs/>
        </w:rPr>
        <w:tab/>
        <w:t>предоставить Комитету дезагрегированные данные о доле уд</w:t>
      </w:r>
      <w:r w:rsidRPr="00923DCD">
        <w:rPr>
          <w:b/>
          <w:bCs/>
        </w:rPr>
        <w:t>о</w:t>
      </w:r>
      <w:r w:rsidRPr="00923DCD">
        <w:rPr>
          <w:b/>
          <w:bCs/>
        </w:rPr>
        <w:t>влетворенных ходатайств о предоставлении убежища от общего количества подданных ходатайств, а также о случаях возвращения</w:t>
      </w:r>
      <w:r>
        <w:rPr>
          <w:b/>
          <w:bCs/>
        </w:rPr>
        <w:t xml:space="preserve"> </w:t>
      </w:r>
      <w:r w:rsidRPr="00923DCD">
        <w:rPr>
          <w:b/>
          <w:bCs/>
        </w:rPr>
        <w:t>и экстрадиции, в том числе в случаях</w:t>
      </w:r>
      <w:r>
        <w:rPr>
          <w:b/>
          <w:bCs/>
        </w:rPr>
        <w:t xml:space="preserve"> </w:t>
      </w:r>
      <w:r w:rsidRPr="00923DCD">
        <w:rPr>
          <w:b/>
          <w:bCs/>
        </w:rPr>
        <w:t>выражения</w:t>
      </w:r>
      <w:r>
        <w:rPr>
          <w:b/>
          <w:bCs/>
        </w:rPr>
        <w:t xml:space="preserve"> </w:t>
      </w:r>
      <w:r w:rsidRPr="00923DCD">
        <w:rPr>
          <w:b/>
          <w:bCs/>
        </w:rPr>
        <w:t>ходатайствующими опасений</w:t>
      </w:r>
      <w:r>
        <w:rPr>
          <w:b/>
          <w:bCs/>
        </w:rPr>
        <w:t xml:space="preserve"> </w:t>
      </w:r>
      <w:r w:rsidRPr="00923DCD">
        <w:rPr>
          <w:b/>
          <w:bCs/>
        </w:rPr>
        <w:t xml:space="preserve">по поводу риска подвергнуться пыткам по возвращении;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rPr>
          <w:b/>
          <w:bCs/>
        </w:rPr>
        <w:tab/>
        <w:t>f)</w:t>
      </w:r>
      <w:r w:rsidRPr="00923DCD">
        <w:rPr>
          <w:b/>
          <w:bCs/>
        </w:rPr>
        <w:tab/>
        <w:t>рассмотреть возможность присоединения к Конвенции 1961 г</w:t>
      </w:r>
      <w:r w:rsidRPr="00923DCD">
        <w:rPr>
          <w:b/>
          <w:bCs/>
        </w:rPr>
        <w:t>о</w:t>
      </w:r>
      <w:r w:rsidRPr="00923DCD">
        <w:rPr>
          <w:b/>
          <w:bCs/>
        </w:rPr>
        <w:t>да о сокращении безгражданства в соответствии с рекомендацией Комит</w:t>
      </w:r>
      <w:r w:rsidRPr="00923DCD">
        <w:rPr>
          <w:b/>
          <w:bCs/>
        </w:rPr>
        <w:t>е</w:t>
      </w:r>
      <w:r w:rsidRPr="00923DCD">
        <w:rPr>
          <w:b/>
          <w:bCs/>
        </w:rPr>
        <w:t xml:space="preserve">та по правам ребенка (см. CRC/C/ATG/CO/2-4, пункт 56). 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Содержание под стражей просителей убежища и других мигрантов</w:t>
      </w:r>
    </w:p>
    <w:p w:rsidR="00923DCD" w:rsidRPr="00923DCD" w:rsidRDefault="00923DCD" w:rsidP="00923DCD">
      <w:pPr>
        <w:pStyle w:val="SingleTxtGR"/>
      </w:pPr>
      <w:r w:rsidRPr="00923DCD">
        <w:t>29.</w:t>
      </w:r>
      <w:r w:rsidRPr="00923DCD">
        <w:tab/>
        <w:t>Комитет обеспокоен применяемой государством-участником практикой содержания под стражей мигрантов и просителей убежища даже в тех случаях, когда они въехали в страну и пребывают на ее территории на законных основ</w:t>
      </w:r>
      <w:r w:rsidRPr="00923DCD">
        <w:t>а</w:t>
      </w:r>
      <w:r w:rsidRPr="00923DCD">
        <w:t>ниях, имеют действительные документы, удостоверяющие личность, и никогда не нарушали закон. Кроме того, Комитет с сожалением отмечает, что из-за о</w:t>
      </w:r>
      <w:r w:rsidRPr="00923DCD">
        <w:t>т</w:t>
      </w:r>
      <w:r w:rsidRPr="00923DCD">
        <w:t>сутствия доклада государства-участника он не располагает информацией об иммигрантах, помещенных в центр содержания</w:t>
      </w:r>
      <w:r>
        <w:t xml:space="preserve"> </w:t>
      </w:r>
      <w:r w:rsidRPr="00923DCD">
        <w:t>под стражей и высылки имм</w:t>
      </w:r>
      <w:r w:rsidRPr="00923DCD">
        <w:t>и</w:t>
      </w:r>
      <w:r w:rsidRPr="00923DCD">
        <w:t>грантов при полицейском участке Сент-Джонса в связи с нарушением ими тр</w:t>
      </w:r>
      <w:r w:rsidRPr="00923DCD">
        <w:t>у</w:t>
      </w:r>
      <w:r w:rsidRPr="00923DCD">
        <w:t>дового и иммиграционного законодательства (статьи 11 и 16).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30.</w:t>
      </w:r>
      <w:r w:rsidRPr="00923DCD">
        <w:tab/>
      </w:r>
      <w:r w:rsidRPr="00923DCD">
        <w:rPr>
          <w:b/>
          <w:bCs/>
        </w:rPr>
        <w:t>Государству-участнику следует воздерживаться от</w:t>
      </w:r>
      <w:r>
        <w:rPr>
          <w:b/>
          <w:bCs/>
        </w:rPr>
        <w:t xml:space="preserve"> </w:t>
      </w:r>
      <w:r w:rsidRPr="00923DCD">
        <w:rPr>
          <w:b/>
          <w:bCs/>
        </w:rPr>
        <w:t>содержания под стражей беженцев, просителей убежища и не имеющих документов м</w:t>
      </w:r>
      <w:r w:rsidRPr="00923DCD">
        <w:rPr>
          <w:b/>
          <w:bCs/>
        </w:rPr>
        <w:t>и</w:t>
      </w:r>
      <w:r w:rsidRPr="00923DCD">
        <w:rPr>
          <w:b/>
          <w:bCs/>
        </w:rPr>
        <w:t>грантов в течение продолжительных периодов времени, особенно в тех случаях, когда им не было предъявлено обвинения в совершении какого-либо преступления в соответствии с законом; использовать содержание под стражей только в качестве крайней меры и в течение как можно более к</w:t>
      </w:r>
      <w:r w:rsidRPr="00923DCD">
        <w:rPr>
          <w:b/>
          <w:bCs/>
        </w:rPr>
        <w:t>о</w:t>
      </w:r>
      <w:r w:rsidRPr="00923DCD">
        <w:rPr>
          <w:b/>
          <w:bCs/>
        </w:rPr>
        <w:t>роткого периода времени; а также поощрять применение альтернатив с</w:t>
      </w:r>
      <w:r w:rsidRPr="00923DCD">
        <w:rPr>
          <w:b/>
          <w:bCs/>
        </w:rPr>
        <w:t>о</w:t>
      </w:r>
      <w:r w:rsidRPr="00923DCD">
        <w:rPr>
          <w:b/>
          <w:bCs/>
        </w:rPr>
        <w:t xml:space="preserve">держанию под стражей. 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Универсальная юрисдикция</w:t>
      </w:r>
    </w:p>
    <w:p w:rsidR="00923DCD" w:rsidRPr="00923DCD" w:rsidRDefault="00923DCD" w:rsidP="00923DCD">
      <w:pPr>
        <w:pStyle w:val="SingleTxtGR"/>
      </w:pPr>
      <w:r w:rsidRPr="00923DCD">
        <w:t>31.</w:t>
      </w:r>
      <w:r w:rsidRPr="00923DCD">
        <w:tab/>
        <w:t>Комитет обеспокоен отсутствием ясности относительно юридических п</w:t>
      </w:r>
      <w:r w:rsidRPr="00923DCD">
        <w:t>о</w:t>
      </w:r>
      <w:r w:rsidRPr="00923DCD">
        <w:t>ложений, позволяющих государству-участнику устанавливать универсальную юрисдикцию в отношении такого преступления, как пытки. Кроме того, Ком</w:t>
      </w:r>
      <w:r w:rsidRPr="00923DCD">
        <w:t>и</w:t>
      </w:r>
      <w:r w:rsidRPr="00923DCD">
        <w:t>тет выражает сожаление по поводу отсутствия информации о том, каким обр</w:t>
      </w:r>
      <w:r w:rsidRPr="00923DCD">
        <w:t>а</w:t>
      </w:r>
      <w:r w:rsidRPr="00923DCD">
        <w:t>зом государство-участник осуществляет на практике свою юрисдикцию в о</w:t>
      </w:r>
      <w:r w:rsidRPr="00923DCD">
        <w:t>т</w:t>
      </w:r>
      <w:r w:rsidRPr="00923DCD">
        <w:t>ношении случаев применения пыток в соответствии со статьей 5 Конвенции (статья 5).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32.</w:t>
      </w:r>
      <w:r w:rsidRPr="00923DCD">
        <w:tab/>
      </w:r>
      <w:r w:rsidRPr="00923DCD">
        <w:rPr>
          <w:b/>
          <w:bCs/>
        </w:rPr>
        <w:t>Государству-участнику следует обеспечить осуществление униве</w:t>
      </w:r>
      <w:r w:rsidRPr="00923DCD">
        <w:rPr>
          <w:b/>
          <w:bCs/>
        </w:rPr>
        <w:t>р</w:t>
      </w:r>
      <w:r w:rsidRPr="00923DCD">
        <w:rPr>
          <w:b/>
          <w:bCs/>
        </w:rPr>
        <w:t>сальной юрисдикции в отношении лиц, виновных в совершении актов п</w:t>
      </w:r>
      <w:r w:rsidRPr="00923DCD">
        <w:rPr>
          <w:b/>
          <w:bCs/>
        </w:rPr>
        <w:t>ы</w:t>
      </w:r>
      <w:r w:rsidRPr="00923DCD">
        <w:rPr>
          <w:b/>
          <w:bCs/>
        </w:rPr>
        <w:t>ток. Кроме того, государству-участнику следует представить Комитету и</w:t>
      </w:r>
      <w:r w:rsidRPr="00923DCD">
        <w:rPr>
          <w:b/>
          <w:bCs/>
        </w:rPr>
        <w:t>н</w:t>
      </w:r>
      <w:r w:rsidRPr="00923DCD">
        <w:rPr>
          <w:b/>
          <w:bCs/>
        </w:rPr>
        <w:t>формацию о случаях, когда в судебных решениях, касающихся экстрад</w:t>
      </w:r>
      <w:r w:rsidRPr="00923DCD">
        <w:rPr>
          <w:b/>
          <w:bCs/>
        </w:rPr>
        <w:t>и</w:t>
      </w:r>
      <w:r w:rsidRPr="00923DCD">
        <w:rPr>
          <w:b/>
          <w:bCs/>
        </w:rPr>
        <w:t>ции и универсальной юрисдикции, приводились ссылки на Конвенцию в соответствии со статьей 5 Конвенции.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Неприемлемость заявлений, сделанных в результате применения пыток</w:t>
      </w:r>
    </w:p>
    <w:p w:rsidR="00923DCD" w:rsidRPr="00923DCD" w:rsidRDefault="00923DCD" w:rsidP="00923DCD">
      <w:pPr>
        <w:pStyle w:val="SingleTxtGR"/>
      </w:pPr>
      <w:r w:rsidRPr="00923DCD">
        <w:t>33.</w:t>
      </w:r>
      <w:r w:rsidRPr="00923DCD">
        <w:tab/>
        <w:t>Комитет обеспокоен отсутствием в национальном законодательстве ко</w:t>
      </w:r>
      <w:r w:rsidRPr="00923DCD">
        <w:t>н</w:t>
      </w:r>
      <w:r w:rsidRPr="00923DCD">
        <w:t>кретного положения о том, что доказательства, полученные с помощью пыток или жестокого, бесчеловечного или унижающего достоинство обращения, я</w:t>
      </w:r>
      <w:r w:rsidRPr="00923DCD">
        <w:t>в</w:t>
      </w:r>
      <w:r w:rsidRPr="00923DCD">
        <w:t>ляются неприемлемыми</w:t>
      </w:r>
      <w:r>
        <w:t xml:space="preserve"> </w:t>
      </w:r>
      <w:r w:rsidRPr="00923DCD">
        <w:t>(статья 15).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34.</w:t>
      </w:r>
      <w:r w:rsidRPr="00923DCD">
        <w:tab/>
      </w:r>
      <w:r w:rsidRPr="00923DCD">
        <w:rPr>
          <w:b/>
          <w:bCs/>
        </w:rPr>
        <w:t xml:space="preserve">Комитет настоятельно призывает государство-участник обеспечить в законодательстве и на практике, чтобы ни одно заявление, полученное </w:t>
      </w:r>
      <w:r w:rsidR="004B5E0B">
        <w:rPr>
          <w:b/>
          <w:bCs/>
        </w:rPr>
        <w:t>с помощью пыток, не использовало</w:t>
      </w:r>
      <w:r w:rsidRPr="00923DCD">
        <w:rPr>
          <w:b/>
          <w:bCs/>
        </w:rPr>
        <w:t>сь в качестве доказательства, а также обеспечить</w:t>
      </w:r>
      <w:r>
        <w:rPr>
          <w:b/>
          <w:bCs/>
        </w:rPr>
        <w:t xml:space="preserve"> </w:t>
      </w:r>
      <w:r w:rsidRPr="00923DCD">
        <w:rPr>
          <w:b/>
          <w:bCs/>
        </w:rPr>
        <w:t xml:space="preserve"> необходимую подготовку сотрудников правоохранительных и судебных органов.</w:t>
      </w:r>
    </w:p>
    <w:p w:rsidR="00923DCD" w:rsidRPr="00923DCD" w:rsidRDefault="00923DCD" w:rsidP="00923DCD">
      <w:pPr>
        <w:pStyle w:val="H23GR"/>
      </w:pPr>
      <w:r w:rsidRPr="00923DCD">
        <w:lastRenderedPageBreak/>
        <w:tab/>
      </w:r>
      <w:r w:rsidRPr="00923DCD">
        <w:tab/>
        <w:t>Ювенальная юстиция</w:t>
      </w:r>
    </w:p>
    <w:p w:rsidR="00923DCD" w:rsidRPr="00923DCD" w:rsidRDefault="00923DCD" w:rsidP="00923DCD">
      <w:pPr>
        <w:pStyle w:val="SingleTxtGR"/>
      </w:pPr>
      <w:r w:rsidRPr="00923DCD">
        <w:t>35.</w:t>
      </w:r>
      <w:r w:rsidRPr="00923DCD">
        <w:tab/>
        <w:t>Приветствуя принятие Закона 2015 года об отправлении правосудия в о</w:t>
      </w:r>
      <w:r w:rsidRPr="00923DCD">
        <w:t>т</w:t>
      </w:r>
      <w:r w:rsidRPr="00923DCD">
        <w:t>ношении несовершеннолетних, Комитет выражает обеспокоенность по поводу того, что возраст наступления уголовной ответственности составляет восемь лет и что единственной альтернативой осуждению и лишению свободы нес</w:t>
      </w:r>
      <w:r w:rsidRPr="00923DCD">
        <w:t>о</w:t>
      </w:r>
      <w:r w:rsidRPr="00923DCD">
        <w:t>вершеннолетних является</w:t>
      </w:r>
      <w:r>
        <w:t xml:space="preserve"> </w:t>
      </w:r>
      <w:r w:rsidRPr="00923DCD">
        <w:t>условное осуждение. Комитет обеспокоен сообщен</w:t>
      </w:r>
      <w:r w:rsidRPr="00923DCD">
        <w:t>и</w:t>
      </w:r>
      <w:r w:rsidRPr="00923DCD">
        <w:t>ями о том, что не обеспечивается раздельное содержание несовершеннолетних и совершеннолетних лиц, и с сожалением констатирует отсутствие информации о намерении государства-участника создать отдельное место содержания под стражей для несовершеннолетних, о котором было упомянуто в ходе униве</w:t>
      </w:r>
      <w:r w:rsidRPr="00923DCD">
        <w:t>р</w:t>
      </w:r>
      <w:r w:rsidRPr="00923DCD">
        <w:t>сального периодического обзора 2016 года (см. A/HRC/33/13, пункт 22) (ст</w:t>
      </w:r>
      <w:r w:rsidRPr="00923DCD">
        <w:t>а</w:t>
      </w:r>
      <w:r w:rsidR="00AC69FD">
        <w:t>тья </w:t>
      </w:r>
      <w:r w:rsidRPr="00923DCD">
        <w:t xml:space="preserve">11).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36.</w:t>
      </w:r>
      <w:r w:rsidRPr="00923DCD">
        <w:tab/>
      </w:r>
      <w:r w:rsidRPr="00923DCD">
        <w:rPr>
          <w:b/>
          <w:bCs/>
        </w:rPr>
        <w:t>Государству-участнику следует внести в Закон 2015 года об отправл</w:t>
      </w:r>
      <w:r w:rsidRPr="00923DCD">
        <w:rPr>
          <w:b/>
          <w:bCs/>
        </w:rPr>
        <w:t>е</w:t>
      </w:r>
      <w:r w:rsidRPr="00923DCD">
        <w:rPr>
          <w:b/>
          <w:bCs/>
        </w:rPr>
        <w:t>нии правосудия в отношении несовершеннолетних поправки, предусма</w:t>
      </w:r>
      <w:r w:rsidRPr="00923DCD">
        <w:rPr>
          <w:b/>
          <w:bCs/>
        </w:rPr>
        <w:t>т</w:t>
      </w:r>
      <w:r w:rsidRPr="00923DCD">
        <w:rPr>
          <w:b/>
          <w:bCs/>
        </w:rPr>
        <w:t>ривающие</w:t>
      </w:r>
      <w:r>
        <w:rPr>
          <w:b/>
          <w:bCs/>
        </w:rPr>
        <w:t xml:space="preserve"> </w:t>
      </w:r>
      <w:r w:rsidRPr="00923DCD">
        <w:rPr>
          <w:b/>
          <w:bCs/>
        </w:rPr>
        <w:t>повышение возраста наступлен</w:t>
      </w:r>
      <w:r w:rsidR="00AC69FD">
        <w:rPr>
          <w:b/>
          <w:bCs/>
        </w:rPr>
        <w:t>ия уголовной ответственности. В </w:t>
      </w:r>
      <w:r w:rsidRPr="00923DCD">
        <w:rPr>
          <w:b/>
          <w:bCs/>
        </w:rPr>
        <w:t>отношении несовершеннолетних ему следует также использовать меры, альтернативные осуждению и лишению свободы,</w:t>
      </w:r>
      <w:r>
        <w:rPr>
          <w:b/>
          <w:bCs/>
        </w:rPr>
        <w:t xml:space="preserve"> </w:t>
      </w:r>
      <w:r w:rsidRPr="00923DCD">
        <w:rPr>
          <w:b/>
          <w:bCs/>
        </w:rPr>
        <w:t>а также обеспечить, чт</w:t>
      </w:r>
      <w:r w:rsidRPr="00923DCD">
        <w:rPr>
          <w:b/>
          <w:bCs/>
        </w:rPr>
        <w:t>о</w:t>
      </w:r>
      <w:r w:rsidRPr="00923DCD">
        <w:rPr>
          <w:b/>
          <w:bCs/>
        </w:rPr>
        <w:t>бы лишение свободы применялось только в качестве крайней меры в теч</w:t>
      </w:r>
      <w:r w:rsidRPr="00923DCD">
        <w:rPr>
          <w:b/>
          <w:bCs/>
        </w:rPr>
        <w:t>е</w:t>
      </w:r>
      <w:r w:rsidRPr="00923DCD">
        <w:rPr>
          <w:b/>
          <w:bCs/>
        </w:rPr>
        <w:t>ние как можно более короткого соответствующего периода времени и в с</w:t>
      </w:r>
      <w:r w:rsidRPr="00923DCD">
        <w:rPr>
          <w:b/>
          <w:bCs/>
        </w:rPr>
        <w:t>о</w:t>
      </w:r>
      <w:r w:rsidRPr="00923DCD">
        <w:rPr>
          <w:b/>
          <w:bCs/>
        </w:rPr>
        <w:t>ответствии с Правилами Организации Объединенных Наций, касающим</w:t>
      </w:r>
      <w:r w:rsidRPr="00923DCD">
        <w:rPr>
          <w:b/>
          <w:bCs/>
        </w:rPr>
        <w:t>и</w:t>
      </w:r>
      <w:r w:rsidRPr="00923DCD">
        <w:rPr>
          <w:b/>
          <w:bCs/>
        </w:rPr>
        <w:t>ся защиты несовершеннолетних, лишенных свободы (</w:t>
      </w:r>
      <w:r w:rsidR="00AC69FD">
        <w:rPr>
          <w:b/>
          <w:bCs/>
        </w:rPr>
        <w:t>«</w:t>
      </w:r>
      <w:r w:rsidRPr="00923DCD">
        <w:rPr>
          <w:b/>
          <w:bCs/>
        </w:rPr>
        <w:t>Гаванские прав</w:t>
      </w:r>
      <w:r w:rsidRPr="00923DCD">
        <w:rPr>
          <w:b/>
          <w:bCs/>
        </w:rPr>
        <w:t>и</w:t>
      </w:r>
      <w:r w:rsidRPr="00923DCD">
        <w:rPr>
          <w:b/>
          <w:bCs/>
        </w:rPr>
        <w:t>ла</w:t>
      </w:r>
      <w:r w:rsidR="00AC69FD">
        <w:rPr>
          <w:b/>
          <w:bCs/>
        </w:rPr>
        <w:t>»</w:t>
      </w:r>
      <w:r w:rsidRPr="00923DCD">
        <w:rPr>
          <w:b/>
          <w:bCs/>
        </w:rPr>
        <w:t>), как это было рекомендовано К</w:t>
      </w:r>
      <w:r w:rsidR="00AC69FD">
        <w:rPr>
          <w:b/>
          <w:bCs/>
        </w:rPr>
        <w:t>омитетом по правам ребенка (см. </w:t>
      </w:r>
      <w:r w:rsidRPr="00923DCD">
        <w:rPr>
          <w:b/>
          <w:bCs/>
        </w:rPr>
        <w:t>CRC/C/ATG/CO/2-4, пункт 57). Кроме того, ему следует представить Комитету информацию о нынешних механизмах содержания под стражей несовершеннолетних, в том числе о раздельном содержании несовершенн</w:t>
      </w:r>
      <w:r w:rsidRPr="00923DCD">
        <w:rPr>
          <w:b/>
          <w:bCs/>
        </w:rPr>
        <w:t>о</w:t>
      </w:r>
      <w:r w:rsidRPr="00923DCD">
        <w:rPr>
          <w:b/>
          <w:bCs/>
        </w:rPr>
        <w:t>летних и совершеннолетних лиц в любом пенитенциарном учреждении.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Насилие в отношении женщин, включая насилие в семье и сексуальное насилие</w:t>
      </w:r>
    </w:p>
    <w:p w:rsidR="00923DCD" w:rsidRPr="00923DCD" w:rsidRDefault="00923DCD" w:rsidP="00923DCD">
      <w:pPr>
        <w:pStyle w:val="SingleTxtGR"/>
      </w:pPr>
      <w:r w:rsidRPr="00923DCD">
        <w:t>37.</w:t>
      </w:r>
      <w:r w:rsidRPr="00923DCD">
        <w:tab/>
        <w:t>Приветствуя принятие Закона 2015 года о борьбе с насилием в семье и создание в полиции подразделения по борьбе с преступлениями против половой неприкосновенности, Комитет выражает сохраняющуюся обеспокоенность по поводу широкого распространения насилия в отношении женщин, включая насилие в семье и сексуальное насилие. Он серьезно обеспокоен сообщениями о том, что в октябре 2016 года две 13-летние девочки подверглись сексуальному насилию со стороны сотрудников полиции. Комитет с обеспокоенностью отм</w:t>
      </w:r>
      <w:r w:rsidRPr="00923DCD">
        <w:t>е</w:t>
      </w:r>
      <w:r w:rsidRPr="00923DCD">
        <w:t>чает, что в Законе 1995 года о борьбе с преступлениями против половой непр</w:t>
      </w:r>
      <w:r w:rsidRPr="00923DCD">
        <w:t>и</w:t>
      </w:r>
      <w:r w:rsidRPr="00923DCD">
        <w:t>косновенности изнасилование супругом квалифицируется как преступление только при определенных обстоятельствах и что многочисленные супруги, с</w:t>
      </w:r>
      <w:r w:rsidRPr="00923DCD">
        <w:t>о</w:t>
      </w:r>
      <w:r w:rsidRPr="00923DCD">
        <w:t>вершающие акты насилия в отношении своих жен, остаются безнаказанными (статьи 2, 12, 13 и 16).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t>38.</w:t>
      </w:r>
      <w:r w:rsidRPr="00923DCD">
        <w:tab/>
      </w:r>
      <w:r w:rsidRPr="00923DCD">
        <w:rPr>
          <w:b/>
          <w:bCs/>
        </w:rPr>
        <w:t>Комитет настоятельно призывает государство-участник: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а)</w:t>
      </w:r>
      <w:r w:rsidRPr="00923DCD">
        <w:rPr>
          <w:b/>
          <w:bCs/>
        </w:rPr>
        <w:tab/>
        <w:t>обеспечить, чтобы все случаи насилия в отношении женщин, включая насилие в семье и сексуальное насилие, регистрировались пол</w:t>
      </w:r>
      <w:r w:rsidRPr="00923DCD">
        <w:rPr>
          <w:b/>
          <w:bCs/>
        </w:rPr>
        <w:t>и</w:t>
      </w:r>
      <w:r w:rsidRPr="00923DCD">
        <w:rPr>
          <w:b/>
          <w:bCs/>
        </w:rPr>
        <w:t>цией и оперативно, тщательно и беспристрастно расследовались, а обвин</w:t>
      </w:r>
      <w:r w:rsidRPr="00923DCD">
        <w:rPr>
          <w:b/>
          <w:bCs/>
        </w:rPr>
        <w:t>я</w:t>
      </w:r>
      <w:r w:rsidRPr="00923DCD">
        <w:rPr>
          <w:b/>
          <w:bCs/>
        </w:rPr>
        <w:t xml:space="preserve">емые преследовались в судебном порядке и, в случае признания их вины, получали наказание, соразмерное тяжести совершенных ими деяний; 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b)</w:t>
      </w:r>
      <w:r w:rsidRPr="00923DCD">
        <w:rPr>
          <w:b/>
          <w:bCs/>
        </w:rPr>
        <w:tab/>
        <w:t>включить в Закон 1995 года о борьбе с преступлениями против половой неприкосновенности изнасилование супругом, которое квалиф</w:t>
      </w:r>
      <w:r w:rsidRPr="00923DCD">
        <w:rPr>
          <w:b/>
          <w:bCs/>
        </w:rPr>
        <w:t>и</w:t>
      </w:r>
      <w:r w:rsidRPr="00923DCD">
        <w:rPr>
          <w:b/>
          <w:bCs/>
        </w:rPr>
        <w:t>цируется как половое сношение без согласия одного из супругов, в качестве отдельного уголовного преступления, предусматривающего соответству</w:t>
      </w:r>
      <w:r w:rsidRPr="00923DCD">
        <w:rPr>
          <w:b/>
          <w:bCs/>
        </w:rPr>
        <w:t>ю</w:t>
      </w:r>
      <w:r w:rsidRPr="00923DCD">
        <w:rPr>
          <w:b/>
          <w:bCs/>
        </w:rPr>
        <w:t>щее наказание;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с)</w:t>
      </w:r>
      <w:r w:rsidRPr="00923DCD">
        <w:rPr>
          <w:b/>
          <w:bCs/>
        </w:rPr>
        <w:tab/>
        <w:t>обеспечить специальную подготовку сотрудников правоохран</w:t>
      </w:r>
      <w:r w:rsidRPr="00923DCD">
        <w:rPr>
          <w:b/>
          <w:bCs/>
        </w:rPr>
        <w:t>и</w:t>
      </w:r>
      <w:r w:rsidRPr="00923DCD">
        <w:rPr>
          <w:b/>
          <w:bCs/>
        </w:rPr>
        <w:t>тельных и судебных органов по</w:t>
      </w:r>
      <w:r>
        <w:rPr>
          <w:b/>
          <w:bCs/>
        </w:rPr>
        <w:t xml:space="preserve"> </w:t>
      </w:r>
      <w:r w:rsidRPr="00923DCD">
        <w:rPr>
          <w:b/>
          <w:bCs/>
        </w:rPr>
        <w:t xml:space="preserve"> работе с делами, касающимися насилия в отношении женщин, включая сексуальное насилие в отношении детей, а </w:t>
      </w:r>
      <w:r w:rsidRPr="00923DCD">
        <w:rPr>
          <w:b/>
          <w:bCs/>
        </w:rPr>
        <w:lastRenderedPageBreak/>
        <w:t>также выявлению жертв</w:t>
      </w:r>
      <w:r>
        <w:rPr>
          <w:b/>
          <w:bCs/>
        </w:rPr>
        <w:t xml:space="preserve"> </w:t>
      </w:r>
      <w:r w:rsidRPr="00923DCD">
        <w:rPr>
          <w:b/>
          <w:bCs/>
        </w:rPr>
        <w:t>и обеспечению возмещения нанесенного им уще</w:t>
      </w:r>
      <w:r w:rsidRPr="00923DCD">
        <w:rPr>
          <w:b/>
          <w:bCs/>
        </w:rPr>
        <w:t>р</w:t>
      </w:r>
      <w:r w:rsidRPr="00923DCD">
        <w:rPr>
          <w:b/>
          <w:bCs/>
        </w:rPr>
        <w:t xml:space="preserve">ба;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rPr>
          <w:b/>
          <w:bCs/>
        </w:rPr>
        <w:tab/>
        <w:t>d)</w:t>
      </w:r>
      <w:r w:rsidRPr="00923DCD">
        <w:rPr>
          <w:b/>
          <w:bCs/>
        </w:rPr>
        <w:tab/>
        <w:t>обеспечить, чтобы жертвы насилия в отношении женщин, в том числе дети-жертвы, получали надлежащее возмещение ущерба, а та</w:t>
      </w:r>
      <w:r w:rsidRPr="00923DCD">
        <w:rPr>
          <w:b/>
          <w:bCs/>
        </w:rPr>
        <w:t>к</w:t>
      </w:r>
      <w:r w:rsidRPr="00923DCD">
        <w:rPr>
          <w:b/>
          <w:bCs/>
        </w:rPr>
        <w:t>же медицинские и юридические услуги, как это предусмотрено в замечании общего порядка № 3 Комитета.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Телесные наказания</w:t>
      </w:r>
    </w:p>
    <w:p w:rsidR="00923DCD" w:rsidRPr="00923DCD" w:rsidRDefault="00923DCD" w:rsidP="00923DCD">
      <w:pPr>
        <w:pStyle w:val="SingleTxtGR"/>
      </w:pPr>
      <w:r w:rsidRPr="00923DCD">
        <w:t>39.</w:t>
      </w:r>
      <w:r w:rsidRPr="00923DCD">
        <w:tab/>
        <w:t>Комитет обеспокоен тем, что положения Закона 1949 года о телесных наказаниях и Закона 1956 года о тюрьме допускают применение порки за нар</w:t>
      </w:r>
      <w:r w:rsidRPr="00923DCD">
        <w:t>у</w:t>
      </w:r>
      <w:r w:rsidRPr="00923DCD">
        <w:t>шение тюремной дисциплины. Отмечая, что в соответствии с Законом 2015 года об отправлении правосудия в отношении несовершеннолетних к детям запр</w:t>
      </w:r>
      <w:r w:rsidRPr="00923DCD">
        <w:t>е</w:t>
      </w:r>
      <w:r w:rsidRPr="00923DCD">
        <w:t>щено применять телесные наказания в случае совершения ими преступления, Комитет c сожалением констатирует, что согласно законодательству телесные наказания допускаются дома, в школе, а также в дневных</w:t>
      </w:r>
      <w:r>
        <w:t xml:space="preserve"> </w:t>
      </w:r>
      <w:r w:rsidRPr="00923DCD">
        <w:t>детских учреждениях и в пенитенциарных учреждениях (статья 16).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40.</w:t>
      </w:r>
      <w:r w:rsidRPr="00923DCD">
        <w:tab/>
      </w:r>
      <w:r w:rsidRPr="00923DCD">
        <w:rPr>
          <w:b/>
          <w:bCs/>
        </w:rPr>
        <w:t>Комитет призывает государство-участник ввести однозначный</w:t>
      </w:r>
      <w:r>
        <w:rPr>
          <w:b/>
          <w:bCs/>
        </w:rPr>
        <w:t xml:space="preserve"> </w:t>
      </w:r>
      <w:r w:rsidRPr="00923DCD">
        <w:rPr>
          <w:b/>
          <w:bCs/>
        </w:rPr>
        <w:t>з</w:t>
      </w:r>
      <w:r w:rsidRPr="00923DCD">
        <w:rPr>
          <w:b/>
          <w:bCs/>
        </w:rPr>
        <w:t>а</w:t>
      </w:r>
      <w:r w:rsidRPr="00923DCD">
        <w:rPr>
          <w:b/>
          <w:bCs/>
        </w:rPr>
        <w:t>прет на телесные наказания в любых условиях и отменить все положения национального законодательства, допускающие применение телесных наказаний в любых условиях.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Торговля людьми и принудительный труд</w:t>
      </w:r>
    </w:p>
    <w:p w:rsidR="00923DCD" w:rsidRPr="00923DCD" w:rsidRDefault="00923DCD" w:rsidP="00923DCD">
      <w:pPr>
        <w:pStyle w:val="SingleTxtGR"/>
      </w:pPr>
      <w:r w:rsidRPr="00923DCD">
        <w:t>41.</w:t>
      </w:r>
      <w:r w:rsidRPr="00923DCD">
        <w:tab/>
        <w:t>Приветствуя принятие в 2015 году поправок к Закону 2010 года о пред</w:t>
      </w:r>
      <w:r w:rsidRPr="00923DCD">
        <w:t>у</w:t>
      </w:r>
      <w:r w:rsidRPr="00923DCD">
        <w:t>преждении торговли людьми, Комитет выражает обеспокоенность по поводу отсутствия инициированных судебных преследований и вынесенных обвин</w:t>
      </w:r>
      <w:r w:rsidRPr="00923DCD">
        <w:t>и</w:t>
      </w:r>
      <w:r w:rsidRPr="00923DCD">
        <w:t>тельных приговоров в соответствии с этим законом и с сожалением констатир</w:t>
      </w:r>
      <w:r w:rsidRPr="00923DCD">
        <w:t>у</w:t>
      </w:r>
      <w:r w:rsidRPr="00923DCD">
        <w:t>ет, что торговля людьми в целях сексуальной эксплуатации и принудительной работы</w:t>
      </w:r>
      <w:r>
        <w:t xml:space="preserve"> </w:t>
      </w:r>
      <w:r w:rsidRPr="00923DCD">
        <w:t>в качестве домашней прислуги по-прежнему широко распространена (статьи 2, 12 и 16).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t>42.</w:t>
      </w:r>
      <w:r w:rsidRPr="00923DCD">
        <w:tab/>
      </w:r>
      <w:r w:rsidRPr="00923DCD">
        <w:rPr>
          <w:b/>
          <w:bCs/>
        </w:rPr>
        <w:t>Комитет настоятельно призывает государство-участник: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а)</w:t>
      </w:r>
      <w:r w:rsidRPr="00923DCD">
        <w:rPr>
          <w:b/>
          <w:bCs/>
        </w:rPr>
        <w:tab/>
        <w:t>обеспечить применение на практике законодательства о борьбе с торговлей людьми с целью искоренения торговли людьми и принуд</w:t>
      </w:r>
      <w:r w:rsidRPr="00923DCD">
        <w:rPr>
          <w:b/>
          <w:bCs/>
        </w:rPr>
        <w:t>и</w:t>
      </w:r>
      <w:r w:rsidRPr="00923DCD">
        <w:rPr>
          <w:b/>
          <w:bCs/>
        </w:rPr>
        <w:t>тельного труда;</w:t>
      </w:r>
    </w:p>
    <w:p w:rsidR="00923DCD" w:rsidRPr="00923DCD" w:rsidRDefault="00923DCD" w:rsidP="00923DCD">
      <w:pPr>
        <w:pStyle w:val="SingleTxtGR"/>
        <w:rPr>
          <w:b/>
          <w:bCs/>
        </w:rPr>
      </w:pPr>
      <w:r w:rsidRPr="00923DCD">
        <w:rPr>
          <w:b/>
          <w:bCs/>
        </w:rPr>
        <w:tab/>
        <w:t>b)</w:t>
      </w:r>
      <w:r w:rsidRPr="00923DCD">
        <w:rPr>
          <w:b/>
          <w:bCs/>
        </w:rPr>
        <w:tab/>
        <w:t>обеспечить проведение оперативных, беспристрастных и тщ</w:t>
      </w:r>
      <w:r w:rsidRPr="00923DCD">
        <w:rPr>
          <w:b/>
          <w:bCs/>
        </w:rPr>
        <w:t>а</w:t>
      </w:r>
      <w:r w:rsidRPr="00923DCD">
        <w:rPr>
          <w:b/>
          <w:bCs/>
        </w:rPr>
        <w:t xml:space="preserve">тельных расследований по всем сообщениям о торговле людьми; судебное преследование обвиняемых и, в случае признания их вины, назначение им наказания, соразмерного тяжести совершенных ими деяний; и доступ жертв ко всем имеющимся средствам возмещения ущерба;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rPr>
          <w:b/>
          <w:bCs/>
        </w:rPr>
        <w:tab/>
        <w:t>с)</w:t>
      </w:r>
      <w:r w:rsidRPr="00923DCD">
        <w:rPr>
          <w:b/>
          <w:bCs/>
        </w:rPr>
        <w:tab/>
        <w:t>обеспечить специальную подготовку сотрудников правоохран</w:t>
      </w:r>
      <w:r w:rsidRPr="00923DCD">
        <w:rPr>
          <w:b/>
          <w:bCs/>
        </w:rPr>
        <w:t>и</w:t>
      </w:r>
      <w:r w:rsidRPr="00923DCD">
        <w:rPr>
          <w:b/>
          <w:bCs/>
        </w:rPr>
        <w:t>тельных и судебных органов по вопросам расследования случаев торговли людьми и процедур выявления жертв, в том числе среди просителей уб</w:t>
      </w:r>
      <w:r w:rsidRPr="00923DCD">
        <w:rPr>
          <w:b/>
          <w:bCs/>
        </w:rPr>
        <w:t>е</w:t>
      </w:r>
      <w:r w:rsidRPr="00923DCD">
        <w:rPr>
          <w:b/>
          <w:bCs/>
        </w:rPr>
        <w:t>жища.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Смертная казнь</w:t>
      </w:r>
    </w:p>
    <w:p w:rsidR="00923DCD" w:rsidRPr="00923DCD" w:rsidRDefault="00923DCD" w:rsidP="00923DCD">
      <w:pPr>
        <w:pStyle w:val="SingleTxtGR"/>
      </w:pPr>
      <w:r w:rsidRPr="00923DCD">
        <w:t>43.</w:t>
      </w:r>
      <w:r w:rsidRPr="00923DCD">
        <w:tab/>
        <w:t>Отмечая, что в ходе универсального периодического обзора 2016 года государство-участник сообщило о возможности введения моратория на испо</w:t>
      </w:r>
      <w:r w:rsidRPr="00923DCD">
        <w:t>л</w:t>
      </w:r>
      <w:r w:rsidRPr="00923DCD">
        <w:t>нение смертных приговоров или принятия аналогичных мер</w:t>
      </w:r>
      <w:r>
        <w:t xml:space="preserve"> </w:t>
      </w:r>
      <w:r w:rsidRPr="00923DCD">
        <w:t>(см. A/HRC/33/13, пункт 65), Комитет с сожалением констатирует, что из-за отсутствия доклада государства-участника он не располагает информацией о соответствующих м</w:t>
      </w:r>
      <w:r w:rsidRPr="00923DCD">
        <w:t>е</w:t>
      </w:r>
      <w:r w:rsidRPr="00923DCD">
        <w:t>рах, принятых государством-участником по этому вопросу (статья 16).</w:t>
      </w:r>
    </w:p>
    <w:p w:rsidR="00923DCD" w:rsidRPr="00923DCD" w:rsidRDefault="00923DCD" w:rsidP="00923DCD">
      <w:pPr>
        <w:pStyle w:val="SingleTxtGR"/>
        <w:rPr>
          <w:b/>
          <w:lang w:eastAsia="ru-RU"/>
        </w:rPr>
      </w:pPr>
      <w:r w:rsidRPr="00923DCD">
        <w:t>44.</w:t>
      </w:r>
      <w:r w:rsidRPr="00923DCD">
        <w:tab/>
      </w:r>
      <w:r w:rsidRPr="00923DCD">
        <w:rPr>
          <w:b/>
          <w:bCs/>
        </w:rPr>
        <w:t>Комитет призывает государство-участник принять необходимые м</w:t>
      </w:r>
      <w:r w:rsidRPr="00923DCD">
        <w:rPr>
          <w:b/>
          <w:bCs/>
        </w:rPr>
        <w:t>е</w:t>
      </w:r>
      <w:r w:rsidRPr="00923DCD">
        <w:rPr>
          <w:b/>
          <w:bCs/>
        </w:rPr>
        <w:t xml:space="preserve">ры для объявления официального моратория на смертную казнь с целью ее </w:t>
      </w:r>
      <w:r w:rsidRPr="00923DCD">
        <w:rPr>
          <w:b/>
          <w:lang w:eastAsia="ru-RU"/>
        </w:rPr>
        <w:t>отмены.</w:t>
      </w:r>
    </w:p>
    <w:p w:rsidR="00923DCD" w:rsidRPr="00923DCD" w:rsidRDefault="00923DCD" w:rsidP="00923DCD">
      <w:pPr>
        <w:pStyle w:val="H23GR"/>
      </w:pPr>
      <w:r w:rsidRPr="00923DCD">
        <w:lastRenderedPageBreak/>
        <w:tab/>
      </w:r>
      <w:r w:rsidRPr="00923DCD">
        <w:tab/>
        <w:t>Профессиональная подготовка</w:t>
      </w:r>
    </w:p>
    <w:p w:rsidR="00923DCD" w:rsidRPr="00923DCD" w:rsidRDefault="00923DCD" w:rsidP="00923DCD">
      <w:pPr>
        <w:pStyle w:val="SingleTxtGR"/>
      </w:pPr>
      <w:r w:rsidRPr="00923DCD">
        <w:t>45.</w:t>
      </w:r>
      <w:r w:rsidRPr="00923DCD">
        <w:tab/>
        <w:t>Комитет обеспокоен отсутствием программ профессиональной подгото</w:t>
      </w:r>
      <w:r w:rsidRPr="00923DCD">
        <w:t>в</w:t>
      </w:r>
      <w:r w:rsidRPr="00923DCD">
        <w:t>ки по положениям Конвенции для сотрудников правоприменительных органов и других государственных должностных лиц, работающих с лишенными свободы лицами, просителями убежища и мигрантами. Кроме того, он с обеспокоенн</w:t>
      </w:r>
      <w:r w:rsidRPr="00923DCD">
        <w:t>о</w:t>
      </w:r>
      <w:r w:rsidRPr="00923DCD">
        <w:t>стью отмечает, что для врачей и других медицинских работников не проводится профессиональная подготовка по положениям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 и что отсутствуют конкретные методы оценки степени эффективн</w:t>
      </w:r>
      <w:r w:rsidRPr="00923DCD">
        <w:t>о</w:t>
      </w:r>
      <w:r w:rsidRPr="00923DCD">
        <w:t>сти и результативности проводимых программ профессиональной подготовки (статьи 2,</w:t>
      </w:r>
      <w:r w:rsidR="00523000">
        <w:t xml:space="preserve"> </w:t>
      </w:r>
      <w:r w:rsidRPr="00923DCD">
        <w:t xml:space="preserve">10 и 16).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46.</w:t>
      </w:r>
      <w:r w:rsidRPr="00923DCD">
        <w:tab/>
      </w:r>
      <w:r w:rsidRPr="00923DCD">
        <w:rPr>
          <w:b/>
          <w:bCs/>
        </w:rPr>
        <w:t>Государству-участнику следует обеспечить, чтобы сотрудники прав</w:t>
      </w:r>
      <w:r w:rsidRPr="00923DCD">
        <w:rPr>
          <w:b/>
          <w:bCs/>
        </w:rPr>
        <w:t>о</w:t>
      </w:r>
      <w:r w:rsidRPr="00923DCD">
        <w:rPr>
          <w:b/>
          <w:bCs/>
        </w:rPr>
        <w:t xml:space="preserve">применительных органов и другие государственные должностные лица, </w:t>
      </w:r>
      <w:r w:rsidR="00AC69FD" w:rsidRPr="00923DCD">
        <w:rPr>
          <w:b/>
          <w:bCs/>
        </w:rPr>
        <w:t>работающие</w:t>
      </w:r>
      <w:r w:rsidRPr="00923DCD">
        <w:rPr>
          <w:b/>
          <w:bCs/>
        </w:rPr>
        <w:t xml:space="preserve"> с лишенными свободы лицами, просителями убежища и м</w:t>
      </w:r>
      <w:r w:rsidRPr="00923DCD">
        <w:rPr>
          <w:b/>
          <w:bCs/>
        </w:rPr>
        <w:t>и</w:t>
      </w:r>
      <w:r w:rsidRPr="00923DCD">
        <w:rPr>
          <w:b/>
          <w:bCs/>
        </w:rPr>
        <w:t>грантами, получали профессиональную подготовку по положениям Ко</w:t>
      </w:r>
      <w:r w:rsidRPr="00923DCD">
        <w:rPr>
          <w:b/>
          <w:bCs/>
        </w:rPr>
        <w:t>н</w:t>
      </w:r>
      <w:r w:rsidRPr="00923DCD">
        <w:rPr>
          <w:b/>
          <w:bCs/>
        </w:rPr>
        <w:t xml:space="preserve">венции. Кроме того, ему надлежит обеспечить включение Стамбульского протокола в качестве неотъемлемой части в программу профессиональной подготовки, в частности, </w:t>
      </w:r>
      <w:r w:rsidR="00523000">
        <w:rPr>
          <w:b/>
          <w:bCs/>
        </w:rPr>
        <w:t>для всех медицинских работников</w:t>
      </w:r>
      <w:r w:rsidRPr="00923DCD">
        <w:rPr>
          <w:b/>
          <w:bCs/>
        </w:rPr>
        <w:t xml:space="preserve"> и предусмо</w:t>
      </w:r>
      <w:r w:rsidRPr="00923DCD">
        <w:rPr>
          <w:b/>
          <w:bCs/>
        </w:rPr>
        <w:t>т</w:t>
      </w:r>
      <w:r w:rsidRPr="00923DCD">
        <w:rPr>
          <w:b/>
          <w:bCs/>
        </w:rPr>
        <w:t>реть, чтобы эта подготовка охватывала программы ознакомления с мет</w:t>
      </w:r>
      <w:r w:rsidRPr="00923DCD">
        <w:rPr>
          <w:b/>
          <w:bCs/>
        </w:rPr>
        <w:t>о</w:t>
      </w:r>
      <w:r w:rsidRPr="00923DCD">
        <w:rPr>
          <w:b/>
          <w:bCs/>
        </w:rPr>
        <w:t>дами расследования, не связанными с принуждением. Государству-участнику следует разработать и применять конкретные методы оценки степени эффективности и результативности такой профессиональной по</w:t>
      </w:r>
      <w:r w:rsidRPr="00923DCD">
        <w:rPr>
          <w:b/>
          <w:bCs/>
        </w:rPr>
        <w:t>д</w:t>
      </w:r>
      <w:r w:rsidRPr="00923DCD">
        <w:rPr>
          <w:b/>
          <w:bCs/>
        </w:rPr>
        <w:t>готовки</w:t>
      </w:r>
      <w:r w:rsidRPr="00923DCD">
        <w:t>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Сбор данных</w:t>
      </w:r>
    </w:p>
    <w:p w:rsidR="00923DCD" w:rsidRPr="00923DCD" w:rsidRDefault="00923DCD" w:rsidP="00923DCD">
      <w:pPr>
        <w:pStyle w:val="SingleTxtGR"/>
      </w:pPr>
      <w:r w:rsidRPr="00923DCD">
        <w:t>47.</w:t>
      </w:r>
      <w:r w:rsidRPr="00923DCD">
        <w:tab/>
        <w:t>Комитет выражает сожаление по поводу отсутствия всеобъемлющих</w:t>
      </w:r>
      <w:r>
        <w:t xml:space="preserve"> </w:t>
      </w:r>
      <w:r w:rsidRPr="00923DCD">
        <w:t>де</w:t>
      </w:r>
      <w:r w:rsidRPr="00923DCD">
        <w:t>з</w:t>
      </w:r>
      <w:r w:rsidRPr="00923DCD">
        <w:t>агрегированных данных о поданных жалобах, проведенных расследованиях и судебных преследованиях и вынесенных обвинительных приговорах в связи со случаями применения пыток и неправомерного обращения со стороны сотру</w:t>
      </w:r>
      <w:r w:rsidRPr="00923DCD">
        <w:t>д</w:t>
      </w:r>
      <w:r w:rsidRPr="00923DCD">
        <w:t xml:space="preserve">ников правоохранительных органов и пенитенциарных учреждений, а также о случаях насилия в отношении женщин и торговли людьми (статьи 2, 12, 13 и 16). </w:t>
      </w:r>
    </w:p>
    <w:p w:rsidR="00923DCD" w:rsidRPr="00923DCD" w:rsidRDefault="00923DCD" w:rsidP="00923DCD">
      <w:pPr>
        <w:pStyle w:val="SingleTxtGR"/>
        <w:rPr>
          <w:b/>
        </w:rPr>
      </w:pPr>
      <w:r w:rsidRPr="00923DCD">
        <w:t>48.</w:t>
      </w:r>
      <w:r w:rsidRPr="00923DCD">
        <w:tab/>
      </w:r>
      <w:r w:rsidRPr="00923DCD">
        <w:rPr>
          <w:b/>
          <w:bCs/>
        </w:rPr>
        <w:t>Государству-участнику следует собирать статистические данные, к</w:t>
      </w:r>
      <w:r w:rsidRPr="00923DCD">
        <w:rPr>
          <w:b/>
          <w:bCs/>
        </w:rPr>
        <w:t>а</w:t>
      </w:r>
      <w:r w:rsidRPr="00923DCD">
        <w:rPr>
          <w:b/>
          <w:bCs/>
        </w:rPr>
        <w:t>сающиеся мониторинга осуществления Конвенции на национальном уровне, включая данные о поданных жалобах, проведенных расследован</w:t>
      </w:r>
      <w:r w:rsidRPr="00923DCD">
        <w:rPr>
          <w:b/>
          <w:bCs/>
        </w:rPr>
        <w:t>и</w:t>
      </w:r>
      <w:r w:rsidRPr="00923DCD">
        <w:rPr>
          <w:b/>
          <w:bCs/>
        </w:rPr>
        <w:t>ях и судебных преследованиях и вынесенных обвинительных приговорах в связи со случаями применения пыток и неправомерного обращения со ст</w:t>
      </w:r>
      <w:r w:rsidRPr="00923DCD">
        <w:rPr>
          <w:b/>
          <w:bCs/>
        </w:rPr>
        <w:t>о</w:t>
      </w:r>
      <w:r w:rsidRPr="00923DCD">
        <w:rPr>
          <w:b/>
          <w:bCs/>
        </w:rPr>
        <w:t>роны сотрудников правоохранительных органов и пенитенциарных учр</w:t>
      </w:r>
      <w:r w:rsidRPr="00923DCD">
        <w:rPr>
          <w:b/>
          <w:bCs/>
        </w:rPr>
        <w:t>е</w:t>
      </w:r>
      <w:r w:rsidRPr="00923DCD">
        <w:rPr>
          <w:b/>
          <w:bCs/>
        </w:rPr>
        <w:t>ждений, а также о случаях насилия в отношении женщин и торговли людьми и средствах возмещения ущерба, включая предоставленную жер</w:t>
      </w:r>
      <w:r w:rsidRPr="00923DCD">
        <w:rPr>
          <w:b/>
          <w:bCs/>
        </w:rPr>
        <w:t>т</w:t>
      </w:r>
      <w:r w:rsidRPr="00923DCD">
        <w:rPr>
          <w:b/>
          <w:bCs/>
        </w:rPr>
        <w:t>вам компенсацию и реабилитацию.</w:t>
      </w:r>
    </w:p>
    <w:p w:rsidR="00923DCD" w:rsidRPr="00923DCD" w:rsidRDefault="00923DCD" w:rsidP="00923DCD">
      <w:pPr>
        <w:pStyle w:val="H23GR"/>
      </w:pPr>
      <w:r w:rsidRPr="00923DCD">
        <w:tab/>
      </w:r>
      <w:r w:rsidRPr="00923DCD">
        <w:tab/>
        <w:t>Процедура последующих действий</w:t>
      </w:r>
    </w:p>
    <w:p w:rsidR="00923DCD" w:rsidRDefault="00923DCD" w:rsidP="00923DCD">
      <w:pPr>
        <w:pStyle w:val="SingleTxtGR"/>
      </w:pPr>
      <w:r w:rsidRPr="00923DCD">
        <w:t>49.</w:t>
      </w:r>
      <w:r w:rsidRPr="00923DCD">
        <w:tab/>
        <w:t>Комитет просит государство-участник представить к 11 августу 2018 года информацию о последующей деятельности по выполнению рекомендаций К</w:t>
      </w:r>
      <w:r w:rsidRPr="00923DCD">
        <w:t>о</w:t>
      </w:r>
      <w:r w:rsidRPr="00923DCD">
        <w:t>митета, содержащихся в пунктах 18, 22, 26, 28 b), c), d), e) и f), а также 38 a), c) и d). В этой связи государству-участнику предлагается проинформировать К</w:t>
      </w:r>
      <w:r w:rsidRPr="00923DCD">
        <w:t>о</w:t>
      </w:r>
      <w:r w:rsidRPr="00923DCD">
        <w:t>митет о своих планах по выполнению в предстоящий отчетный период некот</w:t>
      </w:r>
      <w:r w:rsidRPr="00923DCD">
        <w:t>о</w:t>
      </w:r>
      <w:r w:rsidRPr="00923DCD">
        <w:t>рых или всех из оставшихся рекомендаций, содержащихся в заключительных</w:t>
      </w:r>
      <w:bookmarkStart w:id="0" w:name="_GoBack"/>
      <w:bookmarkEnd w:id="0"/>
      <w:r w:rsidRPr="00923DCD">
        <w:t xml:space="preserve"> замечаниях.</w:t>
      </w:r>
    </w:p>
    <w:p w:rsidR="00523000" w:rsidRPr="00923DCD" w:rsidRDefault="00523000" w:rsidP="00523000">
      <w:pPr>
        <w:pStyle w:val="H23GR"/>
      </w:pPr>
      <w:r>
        <w:tab/>
      </w:r>
      <w:r>
        <w:tab/>
        <w:t>Прочие вопросы</w:t>
      </w:r>
    </w:p>
    <w:p w:rsidR="00923DCD" w:rsidRPr="00923DCD" w:rsidRDefault="00923DCD" w:rsidP="00923DCD">
      <w:pPr>
        <w:pStyle w:val="SingleTxtGR"/>
      </w:pPr>
      <w:r w:rsidRPr="00923DCD">
        <w:t>50.</w:t>
      </w:r>
      <w:r w:rsidRPr="00923DCD">
        <w:tab/>
        <w:t>Комитет призывает государство-участник рассмотреть возможность</w:t>
      </w:r>
      <w:r>
        <w:t xml:space="preserve"> </w:t>
      </w:r>
      <w:r w:rsidRPr="00923DCD">
        <w:t>сд</w:t>
      </w:r>
      <w:r w:rsidRPr="00923DCD">
        <w:t>е</w:t>
      </w:r>
      <w:r w:rsidRPr="00923DCD">
        <w:t>лать заявления по статьям 21 и 22 Конвенции.</w:t>
      </w:r>
    </w:p>
    <w:p w:rsidR="00923DCD" w:rsidRPr="00923DCD" w:rsidRDefault="00923DCD" w:rsidP="00923DCD">
      <w:pPr>
        <w:pStyle w:val="SingleTxtGR"/>
      </w:pPr>
      <w:r w:rsidRPr="00923DCD">
        <w:lastRenderedPageBreak/>
        <w:t>51.</w:t>
      </w:r>
      <w:r w:rsidRPr="00923DCD">
        <w:tab/>
        <w:t>Комитет предлагает государству-участнику рассмотреть возможность скорейшей ратификации</w:t>
      </w:r>
      <w:r>
        <w:t xml:space="preserve"> </w:t>
      </w:r>
      <w:r w:rsidRPr="00923DCD">
        <w:t>Факультативного протокола к Конвенции.</w:t>
      </w:r>
    </w:p>
    <w:p w:rsidR="00923DCD" w:rsidRPr="00923DCD" w:rsidRDefault="00923DCD" w:rsidP="00923DCD">
      <w:pPr>
        <w:pStyle w:val="SingleTxtGR"/>
      </w:pPr>
      <w:r w:rsidRPr="00923DCD">
        <w:t>52.</w:t>
      </w:r>
      <w:r w:rsidRPr="00923DCD">
        <w:tab/>
        <w:t>Комитет предлагает государству-участнику рассмотреть возможность р</w:t>
      </w:r>
      <w:r w:rsidRPr="00923DCD">
        <w:t>а</w:t>
      </w:r>
      <w:r w:rsidRPr="00923DCD">
        <w:t>тификации основных договоров Организации Объединенных Наций по правам человека, стороной которых оно еще не является.</w:t>
      </w:r>
    </w:p>
    <w:p w:rsidR="00923DCD" w:rsidRPr="00923DCD" w:rsidRDefault="00923DCD" w:rsidP="00923DCD">
      <w:pPr>
        <w:pStyle w:val="SingleTxtGR"/>
      </w:pPr>
      <w:r w:rsidRPr="00923DCD">
        <w:t>53.</w:t>
      </w:r>
      <w:r w:rsidRPr="00923DCD">
        <w:tab/>
        <w:t>Государству-участнику предлагается представить свой общий базовый документ в соответствии с требованиями, содержащимися в согласованных р</w:t>
      </w:r>
      <w:r w:rsidRPr="00923DCD">
        <w:t>у</w:t>
      </w:r>
      <w:r w:rsidRPr="00923DCD">
        <w:t>ководящих принципах представления докладов</w:t>
      </w:r>
      <w:r>
        <w:t xml:space="preserve"> </w:t>
      </w:r>
      <w:r w:rsidRPr="00923DCD">
        <w:t>согласно международным дог</w:t>
      </w:r>
      <w:r w:rsidRPr="00923DCD">
        <w:t>о</w:t>
      </w:r>
      <w:r w:rsidRPr="00923DCD">
        <w:t>ворам по правам человека (HRI/GEN.2/Rev.6).</w:t>
      </w:r>
    </w:p>
    <w:p w:rsidR="00923DCD" w:rsidRPr="00923DCD" w:rsidRDefault="00923DCD" w:rsidP="00923DCD">
      <w:pPr>
        <w:pStyle w:val="SingleTxtGR"/>
      </w:pPr>
      <w:r w:rsidRPr="00923DCD">
        <w:t>54.</w:t>
      </w:r>
      <w:r w:rsidRPr="00923DCD">
        <w:tab/>
        <w:t>Комитет просит государство-участник обеспечить широкое распростр</w:t>
      </w:r>
      <w:r w:rsidRPr="00923DCD">
        <w:t>а</w:t>
      </w:r>
      <w:r w:rsidRPr="00923DCD">
        <w:t>нение настоящих заключительных замечаний на соответствующих языках через официальные веб-сайты, средства массовой информации и неправительстве</w:t>
      </w:r>
      <w:r w:rsidRPr="00923DCD">
        <w:t>н</w:t>
      </w:r>
      <w:r w:rsidRPr="00923DCD">
        <w:t>ные организации.</w:t>
      </w:r>
    </w:p>
    <w:p w:rsidR="00923DCD" w:rsidRPr="00923DCD" w:rsidRDefault="00923DCD" w:rsidP="00923DCD">
      <w:pPr>
        <w:pStyle w:val="SingleTxtGR"/>
      </w:pPr>
      <w:r w:rsidRPr="00923DCD">
        <w:t>55.</w:t>
      </w:r>
      <w:r w:rsidRPr="00923DCD">
        <w:tab/>
        <w:t>Комитет призывает государство-участник выполнить свои обязательства по представлению докладов согласно статье 19 Конвенции и представить свой доклад, который будет считаться вторым, до 11 августа 2021 года. В этой связи Комитет предлагает государству-участнику до 11 августа 2018 года согласиться подготовить свой доклад в соответствии с упрощенной процедурой представл</w:t>
      </w:r>
      <w:r w:rsidRPr="00923DCD">
        <w:t>е</w:t>
      </w:r>
      <w:r w:rsidRPr="00923DCD">
        <w:t>ния докладов, согласно которой Комитет препроводит государству-участнику перечень вопросов, предваряющий представление доклада. Ответ государства-участника на этот перечень вопросов будет представлять собой его следующий периодический доклад по статье 19 Конвенции.</w:t>
      </w:r>
    </w:p>
    <w:p w:rsidR="00923DCD" w:rsidRDefault="00923DCD" w:rsidP="00923DC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923DCD" w:rsidRDefault="00381C24" w:rsidP="00923DCD">
      <w:pPr>
        <w:pStyle w:val="SingleTxtGR"/>
      </w:pPr>
    </w:p>
    <w:sectPr w:rsidR="00381C24" w:rsidRPr="00923DCD" w:rsidSect="00E807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74" w:rsidRPr="00A312BC" w:rsidRDefault="004D2874" w:rsidP="00A312BC"/>
  </w:endnote>
  <w:endnote w:type="continuationSeparator" w:id="0">
    <w:p w:rsidR="004D2874" w:rsidRPr="00A312BC" w:rsidRDefault="004D28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CD" w:rsidRPr="00E8074D" w:rsidRDefault="00923DCD">
    <w:pPr>
      <w:pStyle w:val="a8"/>
    </w:pPr>
    <w:r w:rsidRPr="00E8074D">
      <w:rPr>
        <w:b/>
        <w:sz w:val="18"/>
      </w:rPr>
      <w:fldChar w:fldCharType="begin"/>
    </w:r>
    <w:r w:rsidRPr="00E8074D">
      <w:rPr>
        <w:b/>
        <w:sz w:val="18"/>
      </w:rPr>
      <w:instrText xml:space="preserve"> PAGE  \* MERGEFORMAT </w:instrText>
    </w:r>
    <w:r w:rsidRPr="00E8074D">
      <w:rPr>
        <w:b/>
        <w:sz w:val="18"/>
      </w:rPr>
      <w:fldChar w:fldCharType="separate"/>
    </w:r>
    <w:r w:rsidR="00385DBF">
      <w:rPr>
        <w:b/>
        <w:noProof/>
        <w:sz w:val="18"/>
      </w:rPr>
      <w:t>12</w:t>
    </w:r>
    <w:r w:rsidRPr="00E8074D">
      <w:rPr>
        <w:b/>
        <w:sz w:val="18"/>
      </w:rPr>
      <w:fldChar w:fldCharType="end"/>
    </w:r>
    <w:r>
      <w:rPr>
        <w:b/>
        <w:sz w:val="18"/>
      </w:rPr>
      <w:tab/>
    </w:r>
    <w:r>
      <w:t>GE.17-15034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CD" w:rsidRPr="00E8074D" w:rsidRDefault="00923DCD" w:rsidP="00E8074D">
    <w:pPr>
      <w:pStyle w:val="a8"/>
      <w:tabs>
        <w:tab w:val="clear" w:pos="9639"/>
        <w:tab w:val="right" w:pos="9638"/>
      </w:tabs>
      <w:rPr>
        <w:b/>
        <w:sz w:val="18"/>
      </w:rPr>
    </w:pPr>
    <w:r>
      <w:t>GE.17-15034</w:t>
    </w:r>
    <w:r>
      <w:tab/>
    </w:r>
    <w:r w:rsidRPr="00E8074D">
      <w:rPr>
        <w:b/>
        <w:sz w:val="18"/>
      </w:rPr>
      <w:fldChar w:fldCharType="begin"/>
    </w:r>
    <w:r w:rsidRPr="00E8074D">
      <w:rPr>
        <w:b/>
        <w:sz w:val="18"/>
      </w:rPr>
      <w:instrText xml:space="preserve"> PAGE  \* MERGEFORMAT </w:instrText>
    </w:r>
    <w:r w:rsidRPr="00E8074D">
      <w:rPr>
        <w:b/>
        <w:sz w:val="18"/>
      </w:rPr>
      <w:fldChar w:fldCharType="separate"/>
    </w:r>
    <w:r w:rsidR="00385DBF">
      <w:rPr>
        <w:b/>
        <w:noProof/>
        <w:sz w:val="18"/>
      </w:rPr>
      <w:t>11</w:t>
    </w:r>
    <w:r w:rsidRPr="00E807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CD" w:rsidRPr="00E8074D" w:rsidRDefault="00923DCD" w:rsidP="00E8074D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3E3A85D" wp14:editId="3FBEC3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17-15034  (R)</w:t>
    </w:r>
    <w:r w:rsidR="00AC69FD">
      <w:t xml:space="preserve">  041017  111017</w:t>
    </w:r>
    <w:r>
      <w:br/>
    </w:r>
    <w:r w:rsidRPr="00E8074D">
      <w:rPr>
        <w:rFonts w:ascii="C39T30Lfz" w:hAnsi="C39T30Lfz"/>
        <w:spacing w:val="0"/>
        <w:w w:val="100"/>
        <w:sz w:val="56"/>
      </w:rPr>
      <w:t></w:t>
    </w:r>
    <w:r w:rsidRPr="00E8074D">
      <w:rPr>
        <w:rFonts w:ascii="C39T30Lfz" w:hAnsi="C39T30Lfz"/>
        <w:spacing w:val="0"/>
        <w:w w:val="100"/>
        <w:sz w:val="56"/>
      </w:rPr>
      <w:t></w:t>
    </w:r>
    <w:r w:rsidRPr="00E8074D">
      <w:rPr>
        <w:rFonts w:ascii="C39T30Lfz" w:hAnsi="C39T30Lfz"/>
        <w:spacing w:val="0"/>
        <w:w w:val="100"/>
        <w:sz w:val="56"/>
      </w:rPr>
      <w:t></w:t>
    </w:r>
    <w:r w:rsidRPr="00E8074D">
      <w:rPr>
        <w:rFonts w:ascii="C39T30Lfz" w:hAnsi="C39T30Lfz"/>
        <w:spacing w:val="0"/>
        <w:w w:val="100"/>
        <w:sz w:val="56"/>
      </w:rPr>
      <w:t></w:t>
    </w:r>
    <w:r w:rsidRPr="00E8074D">
      <w:rPr>
        <w:rFonts w:ascii="C39T30Lfz" w:hAnsi="C39T30Lfz"/>
        <w:spacing w:val="0"/>
        <w:w w:val="100"/>
        <w:sz w:val="56"/>
      </w:rPr>
      <w:t></w:t>
    </w:r>
    <w:r w:rsidRPr="00E8074D">
      <w:rPr>
        <w:rFonts w:ascii="C39T30Lfz" w:hAnsi="C39T30Lfz"/>
        <w:spacing w:val="0"/>
        <w:w w:val="100"/>
        <w:sz w:val="56"/>
      </w:rPr>
      <w:t></w:t>
    </w:r>
    <w:r w:rsidRPr="00E8074D">
      <w:rPr>
        <w:rFonts w:ascii="C39T30Lfz" w:hAnsi="C39T30Lfz"/>
        <w:spacing w:val="0"/>
        <w:w w:val="100"/>
        <w:sz w:val="56"/>
      </w:rPr>
      <w:t></w:t>
    </w:r>
    <w:r w:rsidRPr="00E8074D">
      <w:rPr>
        <w:rFonts w:ascii="C39T30Lfz" w:hAnsi="C39T30Lfz"/>
        <w:spacing w:val="0"/>
        <w:w w:val="100"/>
        <w:sz w:val="56"/>
      </w:rPr>
      <w:t></w:t>
    </w:r>
    <w:r w:rsidRPr="00E8074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ATG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ATG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74" w:rsidRPr="001075E9" w:rsidRDefault="004D28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2874" w:rsidRDefault="004D28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23DCD" w:rsidRPr="00923DCD" w:rsidRDefault="00923DCD" w:rsidP="00923DCD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шестьдесят первой сессии (24 июля – 11 августа 2017</w:t>
      </w:r>
      <w:r>
        <w:rPr>
          <w:lang w:val="en-US"/>
        </w:rPr>
        <w:t> </w:t>
      </w:r>
      <w:r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CD" w:rsidRPr="00E8074D" w:rsidRDefault="00A2282A">
    <w:pPr>
      <w:pStyle w:val="a5"/>
    </w:pPr>
    <w:fldSimple w:instr=" TITLE  \* MERGEFORMAT ">
      <w:r w:rsidR="00385DBF">
        <w:t>CAT/C/ATG/CO/1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CD" w:rsidRPr="00E8074D" w:rsidRDefault="00A2282A" w:rsidP="00E8074D">
    <w:pPr>
      <w:pStyle w:val="a5"/>
      <w:jc w:val="right"/>
    </w:pPr>
    <w:fldSimple w:instr=" TITLE  \* MERGEFORMAT ">
      <w:r w:rsidR="00385DBF">
        <w:t>CAT/C/ATG/CO/1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57"/>
    <w:rsid w:val="00033EE1"/>
    <w:rsid w:val="00041407"/>
    <w:rsid w:val="00042B72"/>
    <w:rsid w:val="000558BD"/>
    <w:rsid w:val="000814CD"/>
    <w:rsid w:val="000B57E7"/>
    <w:rsid w:val="000B6373"/>
    <w:rsid w:val="000E0B15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85DBF"/>
    <w:rsid w:val="00393C46"/>
    <w:rsid w:val="003958D0"/>
    <w:rsid w:val="003B00E5"/>
    <w:rsid w:val="00407B78"/>
    <w:rsid w:val="00424203"/>
    <w:rsid w:val="00452493"/>
    <w:rsid w:val="00454E07"/>
    <w:rsid w:val="00472C5C"/>
    <w:rsid w:val="004B5E0B"/>
    <w:rsid w:val="004D2874"/>
    <w:rsid w:val="0050108D"/>
    <w:rsid w:val="00513081"/>
    <w:rsid w:val="00517901"/>
    <w:rsid w:val="00523000"/>
    <w:rsid w:val="00526683"/>
    <w:rsid w:val="00550706"/>
    <w:rsid w:val="005709E0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23DCD"/>
    <w:rsid w:val="00951972"/>
    <w:rsid w:val="00953B7A"/>
    <w:rsid w:val="009569AF"/>
    <w:rsid w:val="009608F3"/>
    <w:rsid w:val="009A24AC"/>
    <w:rsid w:val="00A2282A"/>
    <w:rsid w:val="00A312BC"/>
    <w:rsid w:val="00A66C5E"/>
    <w:rsid w:val="00A84021"/>
    <w:rsid w:val="00A84D35"/>
    <w:rsid w:val="00A917B3"/>
    <w:rsid w:val="00AB4B51"/>
    <w:rsid w:val="00AC69FD"/>
    <w:rsid w:val="00B10CC7"/>
    <w:rsid w:val="00B539E7"/>
    <w:rsid w:val="00B62458"/>
    <w:rsid w:val="00BC18B2"/>
    <w:rsid w:val="00BD33EE"/>
    <w:rsid w:val="00C106D6"/>
    <w:rsid w:val="00C23549"/>
    <w:rsid w:val="00C60F0C"/>
    <w:rsid w:val="00C805C9"/>
    <w:rsid w:val="00C86557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21A29"/>
    <w:rsid w:val="00E528D1"/>
    <w:rsid w:val="00E73F76"/>
    <w:rsid w:val="00E8074D"/>
    <w:rsid w:val="00EA2C9F"/>
    <w:rsid w:val="00ED0BDA"/>
    <w:rsid w:val="00EF1360"/>
    <w:rsid w:val="00EF3220"/>
    <w:rsid w:val="00F21B00"/>
    <w:rsid w:val="00F36643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12</Pages>
  <Words>4451</Words>
  <Characters>31068</Characters>
  <Application>Microsoft Office Word</Application>
  <DocSecurity>0</DocSecurity>
  <Lines>597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CAT/C/ATG/CO/1</vt:lpstr>
      <vt:lpstr>A/</vt:lpstr>
    </vt:vector>
  </TitlesOfParts>
  <Company>DCM</Company>
  <LinksUpToDate>false</LinksUpToDate>
  <CharactersWithSpaces>35372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CAT/C/ATG/CO/1</dc:title>
  <dc:creator>Anna Blagodatskikh</dc:creator>
  <cp:lastModifiedBy>Anna Blagodatskikh</cp:lastModifiedBy>
  <cp:revision>3</cp:revision>
  <cp:lastPrinted>2017-10-11T13:06:00Z</cp:lastPrinted>
  <dcterms:created xsi:type="dcterms:W3CDTF">2017-10-11T13:06:00Z</dcterms:created>
  <dcterms:modified xsi:type="dcterms:W3CDTF">2017-10-11T13:08:00Z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