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AB5EFE">
        <w:trPr>
          <w:trHeight w:hRule="exact" w:val="851"/>
        </w:trPr>
        <w:tc>
          <w:tcPr>
            <w:tcW w:w="1276" w:type="dxa"/>
            <w:tcBorders>
              <w:bottom w:val="single" w:sz="4" w:space="0" w:color="auto"/>
            </w:tcBorders>
          </w:tcPr>
          <w:p w:rsidR="002E0D40" w:rsidRPr="00DB58B5" w:rsidRDefault="002E0D40" w:rsidP="00AB5EFE"/>
        </w:tc>
        <w:tc>
          <w:tcPr>
            <w:tcW w:w="2268" w:type="dxa"/>
            <w:tcBorders>
              <w:bottom w:val="single" w:sz="4" w:space="0" w:color="auto"/>
            </w:tcBorders>
            <w:vAlign w:val="bottom"/>
          </w:tcPr>
          <w:p w:rsidR="002E0D40" w:rsidRPr="00DB58B5" w:rsidRDefault="002E0D40" w:rsidP="00AB5EF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AE7225" w:rsidRDefault="00AE7225" w:rsidP="00AE7225">
            <w:pPr>
              <w:jc w:val="right"/>
            </w:pPr>
            <w:r w:rsidRPr="00AE7225">
              <w:rPr>
                <w:sz w:val="40"/>
              </w:rPr>
              <w:t>CERD</w:t>
            </w:r>
            <w:r>
              <w:t>/C/MRT/Q/8-14</w:t>
            </w:r>
          </w:p>
        </w:tc>
      </w:tr>
      <w:tr w:rsidR="002E0D40" w:rsidRPr="00DB58B5" w:rsidTr="00AB5EFE">
        <w:trPr>
          <w:trHeight w:hRule="exact" w:val="2835"/>
        </w:trPr>
        <w:tc>
          <w:tcPr>
            <w:tcW w:w="1276" w:type="dxa"/>
            <w:tcBorders>
              <w:top w:val="single" w:sz="4" w:space="0" w:color="auto"/>
              <w:bottom w:val="single" w:sz="12" w:space="0" w:color="auto"/>
            </w:tcBorders>
          </w:tcPr>
          <w:p w:rsidR="002E0D40" w:rsidRPr="00DB58B5" w:rsidRDefault="000F654A" w:rsidP="00AB5EFE">
            <w:pPr>
              <w:spacing w:before="120"/>
              <w:jc w:val="center"/>
            </w:pPr>
            <w:r>
              <w:rPr>
                <w:noProof/>
                <w:lang w:eastAsia="fr-CH"/>
              </w:rPr>
              <w:drawing>
                <wp:inline distT="0" distB="0" distL="0" distR="0" wp14:anchorId="6E412E78" wp14:editId="55A0A402">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E0D40" w:rsidRPr="00740562" w:rsidRDefault="002E0D40" w:rsidP="00AB5EFE">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2E0D40" w:rsidRDefault="007C05B6" w:rsidP="007C05B6">
            <w:pPr>
              <w:spacing w:before="240" w:line="240" w:lineRule="exact"/>
            </w:pPr>
            <w:r>
              <w:t>Distr. générale</w:t>
            </w:r>
          </w:p>
          <w:p w:rsidR="007C05B6" w:rsidRDefault="0018655D" w:rsidP="00BF7BE0">
            <w:pPr>
              <w:spacing w:line="240" w:lineRule="exact"/>
            </w:pPr>
            <w:r>
              <w:t>5</w:t>
            </w:r>
            <w:r w:rsidR="0086401E">
              <w:t xml:space="preserve"> mars</w:t>
            </w:r>
            <w:r w:rsidR="007C05B6">
              <w:t xml:space="preserve"> 2018</w:t>
            </w:r>
          </w:p>
          <w:p w:rsidR="007C05B6" w:rsidRDefault="007C05B6" w:rsidP="007C05B6">
            <w:pPr>
              <w:spacing w:line="240" w:lineRule="exact"/>
            </w:pPr>
          </w:p>
          <w:p w:rsidR="007C05B6" w:rsidRDefault="007C05B6" w:rsidP="007C05B6">
            <w:pPr>
              <w:spacing w:line="240" w:lineRule="exact"/>
            </w:pPr>
            <w:r>
              <w:t>Original</w:t>
            </w:r>
            <w:r w:rsidR="00997878">
              <w:t> </w:t>
            </w:r>
            <w:r>
              <w:t>: français</w:t>
            </w:r>
          </w:p>
          <w:p w:rsidR="00B236ED" w:rsidRPr="00DB58B5" w:rsidRDefault="00B236ED" w:rsidP="0068627A">
            <w:pPr>
              <w:spacing w:line="240" w:lineRule="exact"/>
            </w:pPr>
            <w:r>
              <w:t xml:space="preserve">Anglais, </w:t>
            </w:r>
            <w:r w:rsidR="0068627A">
              <w:t>espagnol et français seulement</w:t>
            </w:r>
          </w:p>
        </w:tc>
      </w:tr>
    </w:tbl>
    <w:p w:rsidR="0078670C" w:rsidRPr="00C56102" w:rsidRDefault="0078670C" w:rsidP="0078670C">
      <w:pPr>
        <w:spacing w:before="120"/>
        <w:rPr>
          <w:b/>
          <w:sz w:val="24"/>
          <w:szCs w:val="24"/>
        </w:rPr>
      </w:pPr>
      <w:r w:rsidRPr="00C56102">
        <w:rPr>
          <w:b/>
          <w:sz w:val="24"/>
          <w:szCs w:val="24"/>
        </w:rPr>
        <w:t>Comité pour l’élimination de la discrimination raciale</w:t>
      </w:r>
    </w:p>
    <w:p w:rsidR="00B236ED" w:rsidRPr="005B14B0" w:rsidRDefault="00853135">
      <w:pPr>
        <w:rPr>
          <w:b/>
          <w:lang w:val="fr-FR"/>
        </w:rPr>
      </w:pPr>
      <w:r w:rsidRPr="00BC50F0">
        <w:rPr>
          <w:b/>
          <w:lang w:val="fr-FR"/>
        </w:rPr>
        <w:t>Quatre-vingt-</w:t>
      </w:r>
      <w:r w:rsidR="00601BEF">
        <w:rPr>
          <w:b/>
          <w:lang w:val="fr-FR"/>
        </w:rPr>
        <w:t>quinzième</w:t>
      </w:r>
      <w:r w:rsidR="00601BEF" w:rsidRPr="00BC50F0">
        <w:rPr>
          <w:b/>
          <w:lang w:val="fr-FR"/>
        </w:rPr>
        <w:t xml:space="preserve"> </w:t>
      </w:r>
      <w:r w:rsidR="00B236ED" w:rsidRPr="00BC50F0">
        <w:rPr>
          <w:b/>
          <w:lang w:val="fr-FR"/>
        </w:rPr>
        <w:t>session</w:t>
      </w:r>
      <w:r w:rsidR="00B236ED" w:rsidRPr="005B14B0">
        <w:rPr>
          <w:b/>
          <w:lang w:val="fr-FR"/>
        </w:rPr>
        <w:t xml:space="preserve"> </w:t>
      </w:r>
    </w:p>
    <w:p w:rsidR="00B236ED" w:rsidRPr="005B14B0" w:rsidRDefault="0068627A" w:rsidP="00B236ED">
      <w:pPr>
        <w:rPr>
          <w:lang w:val="fr-FR"/>
        </w:rPr>
      </w:pPr>
      <w:r>
        <w:rPr>
          <w:lang w:val="fr-FR"/>
        </w:rPr>
        <w:t>23 avril-</w:t>
      </w:r>
      <w:r w:rsidR="00B236ED">
        <w:rPr>
          <w:lang w:val="fr-FR"/>
        </w:rPr>
        <w:t>11 mai 2018</w:t>
      </w:r>
    </w:p>
    <w:p w:rsidR="00B236ED" w:rsidRDefault="00B236ED" w:rsidP="00B236ED">
      <w:pPr>
        <w:rPr>
          <w:lang w:val="fr-FR"/>
        </w:rPr>
      </w:pPr>
      <w:r w:rsidRPr="00853135">
        <w:rPr>
          <w:lang w:val="fr-FR"/>
        </w:rPr>
        <w:t xml:space="preserve">Point </w:t>
      </w:r>
      <w:r w:rsidR="00853135" w:rsidRPr="00853135">
        <w:rPr>
          <w:lang w:val="fr-FR"/>
        </w:rPr>
        <w:t>6</w:t>
      </w:r>
      <w:r w:rsidR="00853135">
        <w:rPr>
          <w:lang w:val="fr-FR"/>
        </w:rPr>
        <w:t xml:space="preserve"> </w:t>
      </w:r>
      <w:r w:rsidRPr="005B14B0">
        <w:rPr>
          <w:lang w:val="fr-FR"/>
        </w:rPr>
        <w:t>de l’ordre du jour provisoire</w:t>
      </w:r>
    </w:p>
    <w:p w:rsidR="00B236ED" w:rsidRPr="00E97310" w:rsidRDefault="00B236ED" w:rsidP="00B236ED">
      <w:pPr>
        <w:rPr>
          <w:b/>
          <w:sz w:val="24"/>
          <w:szCs w:val="24"/>
          <w:lang w:val="fr-FR"/>
        </w:rPr>
      </w:pPr>
      <w:r w:rsidRPr="005B14B0">
        <w:rPr>
          <w:b/>
          <w:lang w:val="fr-FR"/>
        </w:rPr>
        <w:t>Examen des rapports, observations et rensei</w:t>
      </w:r>
      <w:bookmarkStart w:id="0" w:name="_GoBack"/>
      <w:bookmarkEnd w:id="0"/>
      <w:r w:rsidRPr="005B14B0">
        <w:rPr>
          <w:b/>
          <w:lang w:val="fr-FR"/>
        </w:rPr>
        <w:t xml:space="preserve">gnements soumis </w:t>
      </w:r>
      <w:r w:rsidRPr="005B14B0">
        <w:rPr>
          <w:b/>
          <w:lang w:val="fr-FR"/>
        </w:rPr>
        <w:br/>
        <w:t>par les États parties en application de l’article 9 de la Convention</w:t>
      </w:r>
    </w:p>
    <w:p w:rsidR="00B236ED" w:rsidRPr="00C87062" w:rsidRDefault="00B236ED">
      <w:pPr>
        <w:pStyle w:val="HChG"/>
        <w:rPr>
          <w:lang w:val="fr-FR"/>
        </w:rPr>
      </w:pPr>
      <w:r w:rsidRPr="00C87062">
        <w:rPr>
          <w:lang w:val="fr-FR"/>
        </w:rPr>
        <w:tab/>
      </w:r>
      <w:r w:rsidRPr="00C87062">
        <w:rPr>
          <w:lang w:val="fr-FR"/>
        </w:rPr>
        <w:tab/>
        <w:t>Liste de thèmes concernant l</w:t>
      </w:r>
      <w:r>
        <w:rPr>
          <w:lang w:val="fr-FR"/>
        </w:rPr>
        <w:t xml:space="preserve">e </w:t>
      </w:r>
      <w:r w:rsidR="00355823">
        <w:rPr>
          <w:lang w:val="fr-FR"/>
        </w:rPr>
        <w:t xml:space="preserve">rapport de la Mauritanie valant </w:t>
      </w:r>
      <w:r>
        <w:rPr>
          <w:lang w:val="fr-FR"/>
        </w:rPr>
        <w:t xml:space="preserve">huitième </w:t>
      </w:r>
      <w:r w:rsidRPr="00C87062">
        <w:rPr>
          <w:lang w:val="fr-FR"/>
        </w:rPr>
        <w:t xml:space="preserve">à </w:t>
      </w:r>
      <w:r>
        <w:rPr>
          <w:lang w:val="fr-FR"/>
        </w:rPr>
        <w:t xml:space="preserve">quatorzième </w:t>
      </w:r>
      <w:r w:rsidRPr="00C87062">
        <w:rPr>
          <w:lang w:val="fr-FR"/>
        </w:rPr>
        <w:t>rapports périodiques</w:t>
      </w:r>
    </w:p>
    <w:p w:rsidR="001B50C6" w:rsidRDefault="00B236ED">
      <w:pPr>
        <w:pStyle w:val="H1G"/>
        <w:rPr>
          <w:lang w:val="fr-FR"/>
        </w:rPr>
      </w:pPr>
      <w:r w:rsidRPr="00C87062">
        <w:rPr>
          <w:lang w:val="fr-FR"/>
        </w:rPr>
        <w:tab/>
      </w:r>
      <w:r w:rsidRPr="00C87062">
        <w:rPr>
          <w:lang w:val="fr-FR"/>
        </w:rPr>
        <w:tab/>
        <w:t xml:space="preserve">Note du </w:t>
      </w:r>
      <w:r w:rsidR="00C163A9">
        <w:rPr>
          <w:lang w:val="fr-FR"/>
        </w:rPr>
        <w:t>r</w:t>
      </w:r>
      <w:r w:rsidR="00C163A9" w:rsidRPr="00C87062">
        <w:rPr>
          <w:lang w:val="fr-FR"/>
        </w:rPr>
        <w:t xml:space="preserve">apporteur </w:t>
      </w:r>
      <w:r w:rsidR="0082084D">
        <w:rPr>
          <w:lang w:val="fr-FR"/>
        </w:rPr>
        <w:t>de pays</w:t>
      </w:r>
      <w:r w:rsidR="009F59CF" w:rsidRPr="009F59CF">
        <w:rPr>
          <w:rStyle w:val="Appelnotedebasdep"/>
          <w:sz w:val="20"/>
          <w:vertAlign w:val="baseline"/>
        </w:rPr>
        <w:footnoteReference w:customMarkFollows="1" w:id="2"/>
        <w:t>*</w:t>
      </w:r>
    </w:p>
    <w:p w:rsidR="002E5F00" w:rsidRPr="002E5F00" w:rsidRDefault="004C5657" w:rsidP="004C5657">
      <w:pPr>
        <w:pStyle w:val="SingleTxtG"/>
        <w:rPr>
          <w:lang w:val="fr-FR"/>
        </w:rPr>
      </w:pPr>
      <w:r w:rsidRPr="002E5F00">
        <w:rPr>
          <w:lang w:val="fr-FR"/>
        </w:rPr>
        <w:t>1.</w:t>
      </w:r>
      <w:r w:rsidRPr="002E5F00">
        <w:rPr>
          <w:lang w:val="fr-FR"/>
        </w:rPr>
        <w:tab/>
      </w:r>
      <w:r w:rsidR="002E5F00" w:rsidRPr="00B92CC7">
        <w:t>À sa soixante-seizième session (A/65/18, par. 85), le Comité pour l’élimination de la discrimination raciale a décidé que le rapporteur de pays ferait parvenir à l’État partie concerné une courte liste de thèmes en vue de guider et de structurer le dialogue entre la délégation de l’État partie et le Comité pendant l’examen du rapport de l’État partie. On trouvera ci-après une liste de thèmes non exhaustive, d’autres questions pouvant être traitées au cours du dialogue. Cette liste n’appelle pas de réponses écrites</w:t>
      </w:r>
      <w:r w:rsidR="002E5F00">
        <w:t>.</w:t>
      </w:r>
    </w:p>
    <w:p w:rsidR="002E5F00" w:rsidRPr="002E5F00" w:rsidRDefault="00853135" w:rsidP="00853135">
      <w:pPr>
        <w:pStyle w:val="H23G"/>
        <w:rPr>
          <w:lang w:val="fr-FR"/>
        </w:rPr>
      </w:pPr>
      <w:r>
        <w:tab/>
      </w:r>
      <w:r>
        <w:tab/>
      </w:r>
      <w:r w:rsidR="002E5F00" w:rsidRPr="002E5F00">
        <w:t xml:space="preserve">La Convention dans le droit interne et le cadre institutionnel et politique </w:t>
      </w:r>
      <w:r w:rsidR="002E5F00" w:rsidRPr="002E5F00">
        <w:br/>
        <w:t>de sa mise en œuvre (art. 1, 2, 3, 4 et 6)</w:t>
      </w:r>
    </w:p>
    <w:p w:rsidR="002E5F00" w:rsidRDefault="004C5657" w:rsidP="004C5657">
      <w:pPr>
        <w:pStyle w:val="SingleTxtG"/>
        <w:rPr>
          <w:lang w:val="fr-FR"/>
        </w:rPr>
      </w:pPr>
      <w:r>
        <w:rPr>
          <w:lang w:val="fr-FR"/>
        </w:rPr>
        <w:t>2.</w:t>
      </w:r>
      <w:r>
        <w:rPr>
          <w:lang w:val="fr-FR"/>
        </w:rPr>
        <w:tab/>
      </w:r>
      <w:r w:rsidR="002E5F00" w:rsidRPr="00853135">
        <w:t>D</w:t>
      </w:r>
      <w:r w:rsidR="00BC1B9B" w:rsidRPr="00853135">
        <w:t>onnées</w:t>
      </w:r>
      <w:r w:rsidR="00BC1B9B">
        <w:rPr>
          <w:lang w:val="fr-FR"/>
        </w:rPr>
        <w:t xml:space="preserve"> statistiques récentes et complètes sur la</w:t>
      </w:r>
      <w:r w:rsidR="002E5F00">
        <w:rPr>
          <w:lang w:val="fr-FR"/>
        </w:rPr>
        <w:t xml:space="preserve"> composition démographique de la population : </w:t>
      </w:r>
      <w:r w:rsidR="002E5F00" w:rsidRPr="00853135">
        <w:t>groupes</w:t>
      </w:r>
      <w:r w:rsidR="002E5F00">
        <w:rPr>
          <w:lang w:val="fr-FR"/>
        </w:rPr>
        <w:t xml:space="preserve"> </w:t>
      </w:r>
      <w:r w:rsidR="002E5F00" w:rsidRPr="00853135">
        <w:t>ethniques</w:t>
      </w:r>
      <w:r w:rsidR="002E5F00">
        <w:rPr>
          <w:lang w:val="fr-FR"/>
        </w:rPr>
        <w:t xml:space="preserve"> formant la population, migrants</w:t>
      </w:r>
      <w:r w:rsidR="00090A4D">
        <w:rPr>
          <w:lang w:val="fr-FR"/>
        </w:rPr>
        <w:t>,</w:t>
      </w:r>
      <w:r w:rsidR="002E5F00">
        <w:rPr>
          <w:lang w:val="fr-FR"/>
        </w:rPr>
        <w:t xml:space="preserve"> y compris réfugiés et demandeurs d’asile. Données socioéconomiques et linguistiques concernant lesdits groupes. </w:t>
      </w:r>
    </w:p>
    <w:p w:rsidR="00B35895" w:rsidRPr="00587819" w:rsidRDefault="004C5657" w:rsidP="004C5657">
      <w:pPr>
        <w:pStyle w:val="SingleTxtG"/>
        <w:rPr>
          <w:lang w:val="fr-FR"/>
        </w:rPr>
      </w:pPr>
      <w:r w:rsidRPr="00587819">
        <w:rPr>
          <w:lang w:val="fr-FR"/>
        </w:rPr>
        <w:t>3.</w:t>
      </w:r>
      <w:r w:rsidRPr="00587819">
        <w:rPr>
          <w:lang w:val="fr-FR"/>
        </w:rPr>
        <w:tab/>
      </w:r>
      <w:r w:rsidR="00B35895">
        <w:rPr>
          <w:lang w:val="fr-FR"/>
        </w:rPr>
        <w:t xml:space="preserve">Harmonisation </w:t>
      </w:r>
      <w:r w:rsidR="00B35895" w:rsidRPr="00B92CC7">
        <w:t>de la définition de la discrimination raciale dans la Constitution et les autres textes législatifs</w:t>
      </w:r>
      <w:r w:rsidR="00B35895">
        <w:t xml:space="preserve">, en particulier la nouvelle loi sur la </w:t>
      </w:r>
      <w:r w:rsidR="00DE4FAB">
        <w:t>non-</w:t>
      </w:r>
      <w:r w:rsidR="00B35895">
        <w:t xml:space="preserve">discrimination, avec tous les éléments contenus </w:t>
      </w:r>
      <w:r w:rsidR="004F35B2">
        <w:t xml:space="preserve">dans </w:t>
      </w:r>
      <w:r w:rsidR="00B35895">
        <w:t xml:space="preserve">l’article </w:t>
      </w:r>
      <w:r w:rsidR="004F35B2">
        <w:t xml:space="preserve">premier </w:t>
      </w:r>
      <w:r w:rsidR="00B35895">
        <w:t>de la Convention.</w:t>
      </w:r>
    </w:p>
    <w:p w:rsidR="00587819" w:rsidRPr="00393D97" w:rsidRDefault="004C5657" w:rsidP="004C5657">
      <w:pPr>
        <w:pStyle w:val="SingleTxtG"/>
        <w:rPr>
          <w:lang w:val="fr-FR"/>
        </w:rPr>
      </w:pPr>
      <w:r w:rsidRPr="00393D97">
        <w:rPr>
          <w:lang w:val="fr-FR"/>
        </w:rPr>
        <w:t>4.</w:t>
      </w:r>
      <w:r w:rsidRPr="00393D97">
        <w:rPr>
          <w:lang w:val="fr-FR"/>
        </w:rPr>
        <w:tab/>
      </w:r>
      <w:r w:rsidR="00587819">
        <w:rPr>
          <w:lang w:val="fr-FR"/>
        </w:rPr>
        <w:t xml:space="preserve">Révision de </w:t>
      </w:r>
      <w:r w:rsidR="00587819" w:rsidRPr="00853135">
        <w:t>la</w:t>
      </w:r>
      <w:r w:rsidR="00587819">
        <w:rPr>
          <w:lang w:val="fr-FR"/>
        </w:rPr>
        <w:t xml:space="preserve"> nouvelle loi sur la non-discrimination adoptée par </w:t>
      </w:r>
      <w:r w:rsidR="0082084D">
        <w:rPr>
          <w:lang w:val="fr-FR"/>
        </w:rPr>
        <w:t xml:space="preserve">l’État </w:t>
      </w:r>
      <w:r w:rsidR="00587819">
        <w:rPr>
          <w:lang w:val="fr-FR"/>
        </w:rPr>
        <w:t xml:space="preserve">partie. </w:t>
      </w:r>
    </w:p>
    <w:p w:rsidR="00DD488F" w:rsidRPr="00C92504" w:rsidRDefault="004C5657" w:rsidP="004C5657">
      <w:pPr>
        <w:pStyle w:val="SingleTxtG"/>
        <w:rPr>
          <w:lang w:val="fr-FR"/>
        </w:rPr>
      </w:pPr>
      <w:r w:rsidRPr="00C92504">
        <w:rPr>
          <w:lang w:val="fr-FR"/>
        </w:rPr>
        <w:t>5.</w:t>
      </w:r>
      <w:r w:rsidRPr="00C92504">
        <w:rPr>
          <w:lang w:val="fr-FR"/>
        </w:rPr>
        <w:tab/>
      </w:r>
      <w:r w:rsidR="00DD488F">
        <w:t xml:space="preserve">Dispositions du Code pénal consacrant sa pleine conformité </w:t>
      </w:r>
      <w:r w:rsidR="004F35B2">
        <w:t xml:space="preserve">avec </w:t>
      </w:r>
      <w:r w:rsidR="00DD488F">
        <w:t xml:space="preserve">l’article 4 </w:t>
      </w:r>
      <w:r w:rsidR="00393D97">
        <w:t>(</w:t>
      </w:r>
      <w:r w:rsidR="00393D97" w:rsidRPr="00393D97">
        <w:rPr>
          <w:i/>
        </w:rPr>
        <w:t xml:space="preserve">a </w:t>
      </w:r>
      <w:r w:rsidR="00393D97" w:rsidRPr="004C5657">
        <w:rPr>
          <w:iCs/>
        </w:rPr>
        <w:t>et</w:t>
      </w:r>
      <w:r w:rsidR="00393D97" w:rsidRPr="00393D97">
        <w:rPr>
          <w:i/>
        </w:rPr>
        <w:t xml:space="preserve"> c</w:t>
      </w:r>
      <w:r w:rsidR="00393D97">
        <w:t xml:space="preserve">) </w:t>
      </w:r>
      <w:r w:rsidR="00DD488F">
        <w:t>de la Convention</w:t>
      </w:r>
      <w:r w:rsidR="00393D97">
        <w:t xml:space="preserve"> et visant à établir la motivation raciste comme circonstance aggravante</w:t>
      </w:r>
      <w:r w:rsidR="00DD488F">
        <w:t>.</w:t>
      </w:r>
    </w:p>
    <w:p w:rsidR="00393D97" w:rsidRDefault="004C5657" w:rsidP="004C5657">
      <w:pPr>
        <w:pStyle w:val="SingleTxtG"/>
        <w:rPr>
          <w:lang w:val="fr-FR"/>
        </w:rPr>
      </w:pPr>
      <w:r>
        <w:rPr>
          <w:lang w:val="fr-FR"/>
        </w:rPr>
        <w:t>6.</w:t>
      </w:r>
      <w:r>
        <w:rPr>
          <w:lang w:val="fr-FR"/>
        </w:rPr>
        <w:tab/>
      </w:r>
      <w:r w:rsidR="00C92504">
        <w:rPr>
          <w:lang w:val="fr-FR"/>
        </w:rPr>
        <w:t>Renforcement de l’indépendance de la Commission nationale des droits de l’</w:t>
      </w:r>
      <w:r w:rsidR="00DE4FAB">
        <w:rPr>
          <w:lang w:val="fr-FR"/>
        </w:rPr>
        <w:t xml:space="preserve">homme et </w:t>
      </w:r>
      <w:r w:rsidR="00DE4FAB" w:rsidRPr="00853135">
        <w:t>allocation</w:t>
      </w:r>
      <w:r w:rsidR="00C92504">
        <w:rPr>
          <w:lang w:val="fr-FR"/>
        </w:rPr>
        <w:t xml:space="preserve"> de ressources humaines et financières suffisantes.</w:t>
      </w:r>
      <w:r w:rsidR="003A1196">
        <w:rPr>
          <w:lang w:val="fr-FR"/>
        </w:rPr>
        <w:t xml:space="preserve"> Ressources financières et humaines allouées à l’</w:t>
      </w:r>
      <w:r w:rsidR="00E0748B">
        <w:rPr>
          <w:lang w:val="fr-FR"/>
        </w:rPr>
        <w:t>a</w:t>
      </w:r>
      <w:r w:rsidR="003A1196">
        <w:rPr>
          <w:lang w:val="fr-FR"/>
        </w:rPr>
        <w:t>gence TADAMOUN.</w:t>
      </w:r>
    </w:p>
    <w:p w:rsidR="003A1196" w:rsidRPr="007B3B24" w:rsidRDefault="004C5657" w:rsidP="004C5657">
      <w:pPr>
        <w:pStyle w:val="SingleTxtG"/>
        <w:rPr>
          <w:lang w:val="fr-FR"/>
        </w:rPr>
      </w:pPr>
      <w:r w:rsidRPr="007B3B24">
        <w:rPr>
          <w:lang w:val="fr-FR"/>
        </w:rPr>
        <w:t>7.</w:t>
      </w:r>
      <w:r w:rsidRPr="007B3B24">
        <w:rPr>
          <w:lang w:val="fr-FR"/>
        </w:rPr>
        <w:tab/>
      </w:r>
      <w:r w:rsidR="00F55F69">
        <w:rPr>
          <w:lang w:val="fr-FR"/>
        </w:rPr>
        <w:t>Mesures visant à faciliter le dépôt de plaintes pour des actes, des faits ou des situations de discrimination raciale</w:t>
      </w:r>
      <w:r w:rsidR="00DE4FAB">
        <w:rPr>
          <w:lang w:val="fr-FR"/>
        </w:rPr>
        <w:t>, en particulier</w:t>
      </w:r>
      <w:r w:rsidR="008568F3">
        <w:rPr>
          <w:lang w:val="fr-FR"/>
        </w:rPr>
        <w:t xml:space="preserve"> d’esclavage et de pratiques </w:t>
      </w:r>
      <w:r w:rsidR="00C27D28">
        <w:rPr>
          <w:lang w:val="fr-FR"/>
        </w:rPr>
        <w:t>esclavagistes</w:t>
      </w:r>
      <w:r w:rsidR="00F55F69">
        <w:rPr>
          <w:lang w:val="fr-FR"/>
        </w:rPr>
        <w:t xml:space="preserve">. Mise à jour des informations sur </w:t>
      </w:r>
      <w:r w:rsidR="00DE4FAB">
        <w:t xml:space="preserve">le traitement de cas relatifs à la </w:t>
      </w:r>
      <w:r w:rsidR="00F55F69" w:rsidRPr="00B92CC7">
        <w:t xml:space="preserve">discrimination raciale, </w:t>
      </w:r>
      <w:r w:rsidR="00DE4FAB">
        <w:t>en particulier les</w:t>
      </w:r>
      <w:r w:rsidR="00F55F69">
        <w:t xml:space="preserve"> cas d’escl</w:t>
      </w:r>
      <w:r w:rsidR="00DE4FAB">
        <w:t>avage et de pratiques esclavagistes,</w:t>
      </w:r>
      <w:r w:rsidR="00F55F69">
        <w:t xml:space="preserve"> traités par les juridictions de l’</w:t>
      </w:r>
      <w:r w:rsidR="0082084D">
        <w:rPr>
          <w:lang w:val="fr-FR"/>
        </w:rPr>
        <w:t>É</w:t>
      </w:r>
      <w:r w:rsidR="00F55F69">
        <w:t xml:space="preserve">tat partie, notamment les </w:t>
      </w:r>
      <w:r w:rsidR="00DE4FAB">
        <w:t xml:space="preserve">plaintes déposées, les </w:t>
      </w:r>
      <w:r w:rsidR="008568F3">
        <w:t xml:space="preserve">enquêtes menées, les poursuites </w:t>
      </w:r>
      <w:r w:rsidR="008568F3">
        <w:lastRenderedPageBreak/>
        <w:t xml:space="preserve">engagées, </w:t>
      </w:r>
      <w:r w:rsidR="00C27D28">
        <w:t xml:space="preserve">les </w:t>
      </w:r>
      <w:r w:rsidR="00F55F69">
        <w:t xml:space="preserve">condamnations </w:t>
      </w:r>
      <w:r w:rsidR="00C27D28">
        <w:t xml:space="preserve">et sanctions </w:t>
      </w:r>
      <w:r w:rsidR="00F55F69">
        <w:t>prononcées</w:t>
      </w:r>
      <w:r w:rsidR="00C27D28">
        <w:t xml:space="preserve"> ainsi que</w:t>
      </w:r>
      <w:r w:rsidR="00F55F69">
        <w:t xml:space="preserve"> la réparation accordée aux victimes.</w:t>
      </w:r>
    </w:p>
    <w:p w:rsidR="007B3B24" w:rsidRPr="007B3B24" w:rsidRDefault="00853135" w:rsidP="004C5657">
      <w:pPr>
        <w:pStyle w:val="H23G"/>
        <w:rPr>
          <w:lang w:val="fr-FR"/>
        </w:rPr>
      </w:pPr>
      <w:r>
        <w:tab/>
      </w:r>
      <w:r>
        <w:tab/>
      </w:r>
      <w:r w:rsidR="007B3B24" w:rsidRPr="007B3B24">
        <w:t>Situation des groupes ethniques (art. </w:t>
      </w:r>
      <w:r w:rsidR="007B3B24" w:rsidRPr="007B3B24">
        <w:rPr>
          <w:lang w:val="fr-FR"/>
        </w:rPr>
        <w:t>1 et 5)</w:t>
      </w:r>
    </w:p>
    <w:p w:rsidR="00F55F69" w:rsidRDefault="004C5657" w:rsidP="004C5657">
      <w:pPr>
        <w:pStyle w:val="SingleTxtG"/>
        <w:keepNext/>
        <w:keepLines/>
        <w:rPr>
          <w:lang w:val="fr-FR"/>
        </w:rPr>
      </w:pPr>
      <w:r>
        <w:rPr>
          <w:lang w:val="fr-FR"/>
        </w:rPr>
        <w:t>8.</w:t>
      </w:r>
      <w:r>
        <w:rPr>
          <w:lang w:val="fr-FR"/>
        </w:rPr>
        <w:tab/>
      </w:r>
      <w:r w:rsidR="007B3B24">
        <w:rPr>
          <w:lang w:val="fr-FR"/>
        </w:rPr>
        <w:t xml:space="preserve">Non-discrimination à l’égard des </w:t>
      </w:r>
      <w:proofErr w:type="spellStart"/>
      <w:r w:rsidR="007B3B24">
        <w:rPr>
          <w:lang w:val="fr-FR"/>
        </w:rPr>
        <w:t>Haratines</w:t>
      </w:r>
      <w:proofErr w:type="spellEnd"/>
      <w:r w:rsidR="007B3B24">
        <w:rPr>
          <w:lang w:val="fr-FR"/>
        </w:rPr>
        <w:t xml:space="preserve"> (Maures noirs) et des </w:t>
      </w:r>
      <w:r w:rsidR="0037380A">
        <w:rPr>
          <w:lang w:val="fr-FR"/>
        </w:rPr>
        <w:t>Afro-Mauritaniens. Stati</w:t>
      </w:r>
      <w:r w:rsidR="003A56BE">
        <w:rPr>
          <w:lang w:val="fr-FR"/>
        </w:rPr>
        <w:t>stiques sur la participation de</w:t>
      </w:r>
      <w:r w:rsidR="0037380A">
        <w:rPr>
          <w:lang w:val="fr-FR"/>
        </w:rPr>
        <w:t xml:space="preserve"> ces </w:t>
      </w:r>
      <w:r w:rsidR="007622BC">
        <w:rPr>
          <w:lang w:val="fr-FR"/>
        </w:rPr>
        <w:t>catégories aux</w:t>
      </w:r>
      <w:r w:rsidR="0037380A">
        <w:rPr>
          <w:lang w:val="fr-FR"/>
        </w:rPr>
        <w:t xml:space="preserve"> affaires politiques et publiques, y</w:t>
      </w:r>
      <w:r w:rsidR="009A4B0D">
        <w:rPr>
          <w:lang w:val="fr-FR"/>
        </w:rPr>
        <w:t> </w:t>
      </w:r>
      <w:r w:rsidR="0037380A">
        <w:rPr>
          <w:lang w:val="fr-FR"/>
        </w:rPr>
        <w:t xml:space="preserve">compris </w:t>
      </w:r>
      <w:r w:rsidR="004431B1">
        <w:rPr>
          <w:lang w:val="fr-FR"/>
        </w:rPr>
        <w:t>au sein du</w:t>
      </w:r>
      <w:r w:rsidR="0037380A">
        <w:rPr>
          <w:lang w:val="fr-FR"/>
        </w:rPr>
        <w:t xml:space="preserve"> </w:t>
      </w:r>
      <w:r w:rsidR="00BA6A75">
        <w:rPr>
          <w:lang w:val="fr-FR"/>
        </w:rPr>
        <w:t>Parlement</w:t>
      </w:r>
      <w:r w:rsidR="0037380A">
        <w:rPr>
          <w:lang w:val="fr-FR"/>
        </w:rPr>
        <w:t xml:space="preserve">, </w:t>
      </w:r>
      <w:r w:rsidR="004431B1">
        <w:rPr>
          <w:lang w:val="fr-FR"/>
        </w:rPr>
        <w:t xml:space="preserve">du </w:t>
      </w:r>
      <w:r w:rsidR="00BA6A75">
        <w:rPr>
          <w:lang w:val="fr-FR"/>
        </w:rPr>
        <w:t>Gouvernement</w:t>
      </w:r>
      <w:r w:rsidR="0037380A">
        <w:rPr>
          <w:lang w:val="fr-FR"/>
        </w:rPr>
        <w:t xml:space="preserve">, </w:t>
      </w:r>
      <w:r w:rsidR="004431B1">
        <w:rPr>
          <w:lang w:val="fr-FR"/>
        </w:rPr>
        <w:t>d</w:t>
      </w:r>
      <w:r w:rsidR="0037380A">
        <w:rPr>
          <w:lang w:val="fr-FR"/>
        </w:rPr>
        <w:t xml:space="preserve">es exécutifs locaux, </w:t>
      </w:r>
      <w:r w:rsidR="004431B1">
        <w:rPr>
          <w:lang w:val="fr-FR"/>
        </w:rPr>
        <w:t xml:space="preserve">de </w:t>
      </w:r>
      <w:r w:rsidR="0037380A">
        <w:rPr>
          <w:lang w:val="fr-FR"/>
        </w:rPr>
        <w:t xml:space="preserve">l’armée et </w:t>
      </w:r>
      <w:r w:rsidR="004431B1">
        <w:rPr>
          <w:lang w:val="fr-FR"/>
        </w:rPr>
        <w:t xml:space="preserve">de </w:t>
      </w:r>
      <w:r w:rsidR="0037380A">
        <w:rPr>
          <w:lang w:val="fr-FR"/>
        </w:rPr>
        <w:t xml:space="preserve">la police. </w:t>
      </w:r>
    </w:p>
    <w:p w:rsidR="007622BC" w:rsidRDefault="004C5657" w:rsidP="004C5657">
      <w:pPr>
        <w:pStyle w:val="SingleTxtG"/>
        <w:rPr>
          <w:lang w:val="fr-FR"/>
        </w:rPr>
      </w:pPr>
      <w:r>
        <w:rPr>
          <w:lang w:val="fr-FR"/>
        </w:rPr>
        <w:t>9.</w:t>
      </w:r>
      <w:r>
        <w:rPr>
          <w:lang w:val="fr-FR"/>
        </w:rPr>
        <w:tab/>
      </w:r>
      <w:r w:rsidR="007622BC">
        <w:rPr>
          <w:lang w:val="fr-FR"/>
        </w:rPr>
        <w:t xml:space="preserve">Nature et </w:t>
      </w:r>
      <w:r w:rsidR="007622BC" w:rsidRPr="00853135">
        <w:t>ampleur</w:t>
      </w:r>
      <w:r w:rsidR="007622BC">
        <w:rPr>
          <w:lang w:val="fr-FR"/>
        </w:rPr>
        <w:t xml:space="preserve"> de l’esclavage et </w:t>
      </w:r>
      <w:r w:rsidR="00C27D28">
        <w:rPr>
          <w:lang w:val="fr-FR"/>
        </w:rPr>
        <w:t xml:space="preserve">des </w:t>
      </w:r>
      <w:r w:rsidR="007622BC">
        <w:rPr>
          <w:lang w:val="fr-FR"/>
        </w:rPr>
        <w:t xml:space="preserve">pratiques esclavagistes. </w:t>
      </w:r>
    </w:p>
    <w:p w:rsidR="00812F04" w:rsidRDefault="004C5657" w:rsidP="004C5657">
      <w:pPr>
        <w:pStyle w:val="SingleTxtG"/>
        <w:rPr>
          <w:lang w:val="fr-FR"/>
        </w:rPr>
      </w:pPr>
      <w:r>
        <w:rPr>
          <w:lang w:val="fr-FR"/>
        </w:rPr>
        <w:t>10.</w:t>
      </w:r>
      <w:r>
        <w:rPr>
          <w:lang w:val="fr-FR"/>
        </w:rPr>
        <w:tab/>
      </w:r>
      <w:r w:rsidR="00072341">
        <w:rPr>
          <w:lang w:val="fr-FR"/>
        </w:rPr>
        <w:t>É</w:t>
      </w:r>
      <w:r w:rsidR="00945449">
        <w:rPr>
          <w:lang w:val="fr-FR"/>
        </w:rPr>
        <w:t>radication</w:t>
      </w:r>
      <w:r w:rsidR="00072341">
        <w:rPr>
          <w:lang w:val="fr-FR"/>
        </w:rPr>
        <w:t xml:space="preserve"> </w:t>
      </w:r>
      <w:r w:rsidR="00226720">
        <w:rPr>
          <w:lang w:val="fr-FR"/>
        </w:rPr>
        <w:t xml:space="preserve">de l’esclavage </w:t>
      </w:r>
      <w:r w:rsidR="00000BAE">
        <w:rPr>
          <w:lang w:val="fr-FR"/>
        </w:rPr>
        <w:t xml:space="preserve">et </w:t>
      </w:r>
      <w:r w:rsidR="00226720">
        <w:rPr>
          <w:lang w:val="fr-FR"/>
        </w:rPr>
        <w:t>d</w:t>
      </w:r>
      <w:r w:rsidR="00000BAE">
        <w:rPr>
          <w:lang w:val="fr-FR"/>
        </w:rPr>
        <w:t xml:space="preserve">es pratiques </w:t>
      </w:r>
      <w:r w:rsidR="00226720">
        <w:rPr>
          <w:lang w:val="fr-FR"/>
        </w:rPr>
        <w:t>esclavagistes</w:t>
      </w:r>
      <w:r w:rsidR="00000BAE">
        <w:rPr>
          <w:lang w:val="fr-FR"/>
        </w:rPr>
        <w:t xml:space="preserve"> : informations sur les campagnes menées </w:t>
      </w:r>
      <w:r w:rsidR="00000BAE" w:rsidRPr="00853135">
        <w:t>pour</w:t>
      </w:r>
      <w:r w:rsidR="00000BAE">
        <w:rPr>
          <w:lang w:val="fr-FR"/>
        </w:rPr>
        <w:t xml:space="preserve"> faire connaître la législation incriminant l’esclavage ainsi que </w:t>
      </w:r>
      <w:r w:rsidR="00A35529">
        <w:rPr>
          <w:lang w:val="fr-FR"/>
        </w:rPr>
        <w:t xml:space="preserve">sur </w:t>
      </w:r>
      <w:r w:rsidR="00000BAE">
        <w:rPr>
          <w:lang w:val="fr-FR"/>
        </w:rPr>
        <w:t>l</w:t>
      </w:r>
      <w:r w:rsidR="00226720">
        <w:rPr>
          <w:lang w:val="fr-FR"/>
        </w:rPr>
        <w:t>’</w:t>
      </w:r>
      <w:r w:rsidR="00000BAE">
        <w:rPr>
          <w:lang w:val="fr-FR"/>
        </w:rPr>
        <w:t>impact</w:t>
      </w:r>
      <w:r w:rsidR="003E50EB">
        <w:rPr>
          <w:lang w:val="fr-FR"/>
        </w:rPr>
        <w:t xml:space="preserve"> </w:t>
      </w:r>
      <w:r w:rsidR="00226720">
        <w:rPr>
          <w:lang w:val="fr-FR"/>
        </w:rPr>
        <w:t>de telles campagnes</w:t>
      </w:r>
      <w:r w:rsidR="00072341">
        <w:rPr>
          <w:lang w:val="fr-FR"/>
        </w:rPr>
        <w:t> </w:t>
      </w:r>
      <w:r w:rsidR="00000BAE">
        <w:rPr>
          <w:lang w:val="fr-FR"/>
        </w:rPr>
        <w:t xml:space="preserve">; </w:t>
      </w:r>
      <w:r w:rsidR="00072341">
        <w:rPr>
          <w:lang w:val="fr-FR"/>
        </w:rPr>
        <w:t xml:space="preserve">résultats </w:t>
      </w:r>
      <w:r w:rsidR="00000BAE">
        <w:rPr>
          <w:lang w:val="fr-FR"/>
        </w:rPr>
        <w:t>de</w:t>
      </w:r>
      <w:r w:rsidR="00945449">
        <w:rPr>
          <w:lang w:val="fr-FR"/>
        </w:rPr>
        <w:t>s actions menées dans le cadre de</w:t>
      </w:r>
      <w:r w:rsidR="00000BAE">
        <w:rPr>
          <w:lang w:val="fr-FR"/>
        </w:rPr>
        <w:t xml:space="preserve"> la mise en œuvre de la </w:t>
      </w:r>
      <w:r w:rsidR="002146AD">
        <w:rPr>
          <w:lang w:val="fr-FR"/>
        </w:rPr>
        <w:t xml:space="preserve">feuille </w:t>
      </w:r>
      <w:r w:rsidR="00000BAE">
        <w:rPr>
          <w:lang w:val="fr-FR"/>
        </w:rPr>
        <w:t>de route</w:t>
      </w:r>
      <w:r w:rsidR="006D2387">
        <w:rPr>
          <w:lang w:val="fr-FR"/>
        </w:rPr>
        <w:t xml:space="preserve"> adoptée </w:t>
      </w:r>
      <w:r w:rsidR="00945449">
        <w:rPr>
          <w:lang w:val="fr-FR"/>
        </w:rPr>
        <w:t xml:space="preserve">le 6 mars 2014 </w:t>
      </w:r>
      <w:r w:rsidR="006D2387">
        <w:rPr>
          <w:lang w:val="fr-FR"/>
        </w:rPr>
        <w:t>par l’</w:t>
      </w:r>
      <w:r w:rsidR="0082084D">
        <w:rPr>
          <w:lang w:val="fr-FR"/>
        </w:rPr>
        <w:t>É</w:t>
      </w:r>
      <w:r w:rsidR="00945449">
        <w:rPr>
          <w:lang w:val="fr-FR"/>
        </w:rPr>
        <w:t>tat partie pour l’éradication des formes contemporaines de l’esclavage</w:t>
      </w:r>
      <w:r w:rsidR="00812F04">
        <w:rPr>
          <w:lang w:val="fr-FR"/>
        </w:rPr>
        <w:t>.</w:t>
      </w:r>
    </w:p>
    <w:p w:rsidR="00812F04" w:rsidRDefault="004C5657" w:rsidP="004C5657">
      <w:pPr>
        <w:pStyle w:val="SingleTxtG"/>
        <w:rPr>
          <w:lang w:val="fr-FR"/>
        </w:rPr>
      </w:pPr>
      <w:r>
        <w:rPr>
          <w:lang w:val="fr-FR"/>
        </w:rPr>
        <w:t>11.</w:t>
      </w:r>
      <w:r>
        <w:rPr>
          <w:lang w:val="fr-FR"/>
        </w:rPr>
        <w:tab/>
      </w:r>
      <w:r w:rsidR="007622BC">
        <w:rPr>
          <w:lang w:val="fr-FR"/>
        </w:rPr>
        <w:t xml:space="preserve">Mesures de réparation, de réhabilitation et d’intégration des anciens esclaves et données </w:t>
      </w:r>
      <w:r w:rsidR="007622BC" w:rsidRPr="00853135">
        <w:t>statistiques</w:t>
      </w:r>
      <w:r w:rsidR="007622BC">
        <w:rPr>
          <w:lang w:val="fr-FR"/>
        </w:rPr>
        <w:t xml:space="preserve"> à ce sujet.</w:t>
      </w:r>
    </w:p>
    <w:p w:rsidR="007622BC" w:rsidRDefault="004C5657" w:rsidP="004C5657">
      <w:pPr>
        <w:pStyle w:val="SingleTxtG"/>
        <w:rPr>
          <w:lang w:val="fr-FR"/>
        </w:rPr>
      </w:pPr>
      <w:r>
        <w:rPr>
          <w:lang w:val="fr-FR"/>
        </w:rPr>
        <w:t>12.</w:t>
      </w:r>
      <w:r>
        <w:rPr>
          <w:lang w:val="fr-FR"/>
        </w:rPr>
        <w:tab/>
      </w:r>
      <w:r w:rsidR="004B09EE">
        <w:rPr>
          <w:lang w:val="fr-FR"/>
        </w:rPr>
        <w:t>Données statistiques relatives à l’i</w:t>
      </w:r>
      <w:r w:rsidR="007622BC">
        <w:rPr>
          <w:lang w:val="fr-FR"/>
        </w:rPr>
        <w:t xml:space="preserve">nclusion et </w:t>
      </w:r>
      <w:r w:rsidR="004B09EE">
        <w:rPr>
          <w:lang w:val="fr-FR"/>
        </w:rPr>
        <w:t>à l’</w:t>
      </w:r>
      <w:r w:rsidR="007622BC">
        <w:rPr>
          <w:lang w:val="fr-FR"/>
        </w:rPr>
        <w:t xml:space="preserve">apprentissage des langues nationales </w:t>
      </w:r>
      <w:proofErr w:type="spellStart"/>
      <w:r w:rsidR="003E50EB">
        <w:rPr>
          <w:lang w:val="fr-FR"/>
        </w:rPr>
        <w:t>pular</w:t>
      </w:r>
      <w:proofErr w:type="spellEnd"/>
      <w:r w:rsidR="007622BC">
        <w:rPr>
          <w:lang w:val="fr-FR"/>
        </w:rPr>
        <w:t xml:space="preserve">, </w:t>
      </w:r>
      <w:r w:rsidR="003E50EB">
        <w:rPr>
          <w:lang w:val="fr-FR"/>
        </w:rPr>
        <w:t xml:space="preserve">soninké </w:t>
      </w:r>
      <w:r w:rsidR="007622BC">
        <w:rPr>
          <w:lang w:val="fr-FR"/>
        </w:rPr>
        <w:t xml:space="preserve">et </w:t>
      </w:r>
      <w:r w:rsidR="003E50EB">
        <w:rPr>
          <w:lang w:val="fr-FR"/>
        </w:rPr>
        <w:t xml:space="preserve">wolof </w:t>
      </w:r>
      <w:r w:rsidR="007622BC">
        <w:rPr>
          <w:lang w:val="fr-FR"/>
        </w:rPr>
        <w:t>dans le cursus scolaire.</w:t>
      </w:r>
      <w:r w:rsidR="00454588">
        <w:rPr>
          <w:lang w:val="fr-FR"/>
        </w:rPr>
        <w:t xml:space="preserve"> Utilisation desdites langues dans les documents officiels</w:t>
      </w:r>
      <w:r w:rsidR="00226720">
        <w:rPr>
          <w:lang w:val="fr-FR"/>
        </w:rPr>
        <w:t>, les services sociaux, la justice</w:t>
      </w:r>
      <w:r w:rsidR="00454588">
        <w:rPr>
          <w:lang w:val="fr-FR"/>
        </w:rPr>
        <w:t xml:space="preserve"> et </w:t>
      </w:r>
      <w:r w:rsidR="00E53FD7">
        <w:rPr>
          <w:lang w:val="fr-FR"/>
        </w:rPr>
        <w:t>l’administration.</w:t>
      </w:r>
      <w:r w:rsidR="0005387B">
        <w:rPr>
          <w:lang w:val="fr-FR"/>
        </w:rPr>
        <w:t xml:space="preserve"> Préservation et promotion de la langue et de la culture berbères</w:t>
      </w:r>
      <w:r w:rsidR="00353437">
        <w:rPr>
          <w:lang w:val="fr-FR"/>
        </w:rPr>
        <w:t>,</w:t>
      </w:r>
      <w:r w:rsidR="0005387B">
        <w:rPr>
          <w:lang w:val="fr-FR"/>
        </w:rPr>
        <w:t xml:space="preserve"> notamment dans les manuels scolaires, l’enseignement et les manifestations culturelles.</w:t>
      </w:r>
    </w:p>
    <w:p w:rsidR="007622BC" w:rsidRDefault="00853135" w:rsidP="00853135">
      <w:pPr>
        <w:pStyle w:val="H23G"/>
        <w:rPr>
          <w:lang w:val="fr-FR"/>
        </w:rPr>
      </w:pPr>
      <w:r>
        <w:rPr>
          <w:lang w:val="fr-FR"/>
        </w:rPr>
        <w:tab/>
      </w:r>
      <w:r>
        <w:rPr>
          <w:lang w:val="fr-FR"/>
        </w:rPr>
        <w:tab/>
      </w:r>
      <w:r w:rsidR="00FD07C3" w:rsidRPr="00FD07C3">
        <w:rPr>
          <w:lang w:val="fr-FR"/>
        </w:rPr>
        <w:t xml:space="preserve">Situation des non-ressortissants, notamment les migrants, les réfugiés </w:t>
      </w:r>
      <w:r w:rsidR="00FD07C3" w:rsidRPr="00FD07C3">
        <w:rPr>
          <w:lang w:val="fr-FR"/>
        </w:rPr>
        <w:br/>
        <w:t>et les demandeurs d’asile (art. 1, 2, 5 et 6</w:t>
      </w:r>
      <w:r w:rsidR="00FD07C3" w:rsidRPr="00B92CC7">
        <w:rPr>
          <w:lang w:val="fr-FR"/>
        </w:rPr>
        <w:t>)</w:t>
      </w:r>
    </w:p>
    <w:p w:rsidR="007622BC" w:rsidRDefault="004C5657" w:rsidP="004C5657">
      <w:pPr>
        <w:pStyle w:val="SingleTxtG"/>
        <w:rPr>
          <w:lang w:val="fr-FR"/>
        </w:rPr>
      </w:pPr>
      <w:r>
        <w:rPr>
          <w:lang w:val="fr-FR"/>
        </w:rPr>
        <w:t>13.</w:t>
      </w:r>
      <w:r>
        <w:rPr>
          <w:lang w:val="fr-FR"/>
        </w:rPr>
        <w:tab/>
      </w:r>
      <w:r w:rsidR="00454588">
        <w:rPr>
          <w:lang w:val="fr-FR"/>
        </w:rPr>
        <w:t>Protection effective des non-nationaux dans la jouissance de</w:t>
      </w:r>
      <w:r w:rsidR="00FD07C3">
        <w:rPr>
          <w:lang w:val="fr-FR"/>
        </w:rPr>
        <w:t xml:space="preserve"> leurs droits économiques, sociaux et culturels</w:t>
      </w:r>
      <w:r w:rsidR="00454588">
        <w:rPr>
          <w:lang w:val="fr-FR"/>
        </w:rPr>
        <w:t>, notamment dans l’accès à l’emploi</w:t>
      </w:r>
      <w:r w:rsidR="00E53FD7">
        <w:rPr>
          <w:lang w:val="fr-FR"/>
        </w:rPr>
        <w:t xml:space="preserve"> et aux soins de santé</w:t>
      </w:r>
      <w:r w:rsidR="00FD07C3">
        <w:rPr>
          <w:lang w:val="fr-FR"/>
        </w:rPr>
        <w:t xml:space="preserve">. </w:t>
      </w:r>
    </w:p>
    <w:p w:rsidR="00E53FD7" w:rsidRDefault="004C5657" w:rsidP="004C5657">
      <w:pPr>
        <w:pStyle w:val="SingleTxtG"/>
        <w:rPr>
          <w:lang w:val="fr-FR"/>
        </w:rPr>
      </w:pPr>
      <w:r>
        <w:rPr>
          <w:lang w:val="fr-FR"/>
        </w:rPr>
        <w:t>14.</w:t>
      </w:r>
      <w:r>
        <w:rPr>
          <w:lang w:val="fr-FR"/>
        </w:rPr>
        <w:tab/>
      </w:r>
      <w:r w:rsidR="002C1D17">
        <w:rPr>
          <w:lang w:val="fr-FR"/>
        </w:rPr>
        <w:t xml:space="preserve">Non-discrimination entre nationaux et non-nationaux en matière de rémunération. </w:t>
      </w:r>
      <w:r w:rsidR="00B802EE">
        <w:rPr>
          <w:lang w:val="fr-FR"/>
        </w:rPr>
        <w:t xml:space="preserve">Mesures de contrôle </w:t>
      </w:r>
      <w:r w:rsidR="002C1D17">
        <w:rPr>
          <w:lang w:val="fr-FR"/>
        </w:rPr>
        <w:t>mis</w:t>
      </w:r>
      <w:r w:rsidR="00B802EE">
        <w:rPr>
          <w:lang w:val="fr-FR"/>
        </w:rPr>
        <w:t>es</w:t>
      </w:r>
      <w:r w:rsidR="002C1D17">
        <w:rPr>
          <w:lang w:val="fr-FR"/>
        </w:rPr>
        <w:t xml:space="preserve"> en place par l’</w:t>
      </w:r>
      <w:r w:rsidR="0082084D">
        <w:rPr>
          <w:lang w:val="fr-FR"/>
        </w:rPr>
        <w:t>É</w:t>
      </w:r>
      <w:r w:rsidR="002C1D17">
        <w:rPr>
          <w:lang w:val="fr-FR"/>
        </w:rPr>
        <w:t>tat partie pour assurer l’égalité dans les conditions de travail entre nationaux et non-nationaux.</w:t>
      </w:r>
    </w:p>
    <w:p w:rsidR="002C1D17" w:rsidRDefault="004C5657" w:rsidP="004C5657">
      <w:pPr>
        <w:pStyle w:val="SingleTxtG"/>
        <w:rPr>
          <w:lang w:val="fr-FR"/>
        </w:rPr>
      </w:pPr>
      <w:r>
        <w:rPr>
          <w:lang w:val="fr-FR"/>
        </w:rPr>
        <w:t>15.</w:t>
      </w:r>
      <w:r>
        <w:rPr>
          <w:lang w:val="fr-FR"/>
        </w:rPr>
        <w:tab/>
      </w:r>
      <w:r w:rsidR="002C1D17" w:rsidRPr="00853135">
        <w:t>Mesures</w:t>
      </w:r>
      <w:r w:rsidR="002C1D17">
        <w:rPr>
          <w:lang w:val="fr-FR"/>
        </w:rPr>
        <w:t xml:space="preserve"> pour assurer l’enregistrement effectif de tous les enfants</w:t>
      </w:r>
      <w:r w:rsidR="00BE290E">
        <w:rPr>
          <w:lang w:val="fr-FR"/>
        </w:rPr>
        <w:t>, notamment de migrants,</w:t>
      </w:r>
      <w:r w:rsidR="002C1D17">
        <w:rPr>
          <w:lang w:val="fr-FR"/>
        </w:rPr>
        <w:t xml:space="preserve"> nés en Mauritanie et leur octroyer des pièces d’identité. Mesures additionnelles pour octroyer </w:t>
      </w:r>
      <w:r w:rsidR="00906662">
        <w:rPr>
          <w:lang w:val="fr-FR"/>
        </w:rPr>
        <w:t>d</w:t>
      </w:r>
      <w:r w:rsidR="002C1D17">
        <w:rPr>
          <w:lang w:val="fr-FR"/>
        </w:rPr>
        <w:t>es pièces d’id</w:t>
      </w:r>
      <w:r w:rsidR="004B09EE">
        <w:rPr>
          <w:lang w:val="fr-FR"/>
        </w:rPr>
        <w:t>entité à toutes les personnes de retour</w:t>
      </w:r>
      <w:r w:rsidR="00785A13">
        <w:rPr>
          <w:lang w:val="fr-FR"/>
        </w:rPr>
        <w:t xml:space="preserve"> (rapatriés)</w:t>
      </w:r>
      <w:r w:rsidR="004B09EE">
        <w:rPr>
          <w:lang w:val="fr-FR"/>
        </w:rPr>
        <w:t>, en particulier les Afro-</w:t>
      </w:r>
      <w:r w:rsidR="00052110">
        <w:rPr>
          <w:lang w:val="fr-FR"/>
        </w:rPr>
        <w:t>Mauritaniens</w:t>
      </w:r>
      <w:r w:rsidR="004B09EE">
        <w:rPr>
          <w:lang w:val="fr-FR"/>
        </w:rPr>
        <w:t>, expulsés dans les années 1989-1992 dans le contexte du passif humanitaire</w:t>
      </w:r>
      <w:r w:rsidR="006D6282">
        <w:rPr>
          <w:lang w:val="fr-FR"/>
        </w:rPr>
        <w:t>. Données statistiques sur les mesures de réinsertion des rapatriés</w:t>
      </w:r>
      <w:r w:rsidR="004B09EE">
        <w:rPr>
          <w:lang w:val="fr-FR"/>
        </w:rPr>
        <w:t xml:space="preserve">. </w:t>
      </w:r>
    </w:p>
    <w:p w:rsidR="004B09EE" w:rsidRDefault="004C5657" w:rsidP="004C5657">
      <w:pPr>
        <w:pStyle w:val="SingleTxtG"/>
        <w:rPr>
          <w:lang w:val="fr-FR"/>
        </w:rPr>
      </w:pPr>
      <w:r>
        <w:rPr>
          <w:lang w:val="fr-FR"/>
        </w:rPr>
        <w:t>16.</w:t>
      </w:r>
      <w:r>
        <w:rPr>
          <w:lang w:val="fr-FR"/>
        </w:rPr>
        <w:tab/>
      </w:r>
      <w:r w:rsidR="004B09EE">
        <w:rPr>
          <w:lang w:val="fr-FR"/>
        </w:rPr>
        <w:t>Mise à jour concernant l’adoption de la loi sur l’asile</w:t>
      </w:r>
      <w:r w:rsidR="00DC2CC2">
        <w:rPr>
          <w:lang w:val="fr-FR"/>
        </w:rPr>
        <w:t xml:space="preserve"> et respect du principe de non-</w:t>
      </w:r>
      <w:r w:rsidR="00DC2CC2" w:rsidRPr="00853135">
        <w:t>refoulement</w:t>
      </w:r>
      <w:r w:rsidR="004B09EE">
        <w:rPr>
          <w:lang w:val="fr-FR"/>
        </w:rPr>
        <w:t xml:space="preserve">. </w:t>
      </w:r>
    </w:p>
    <w:p w:rsidR="006D6282" w:rsidRDefault="004C5657" w:rsidP="004C5657">
      <w:pPr>
        <w:pStyle w:val="SingleTxtG"/>
        <w:rPr>
          <w:lang w:val="fr-FR"/>
        </w:rPr>
      </w:pPr>
      <w:r>
        <w:rPr>
          <w:lang w:val="fr-FR"/>
        </w:rPr>
        <w:t>17.</w:t>
      </w:r>
      <w:r>
        <w:rPr>
          <w:lang w:val="fr-FR"/>
        </w:rPr>
        <w:tab/>
      </w:r>
      <w:r w:rsidR="006D6282">
        <w:rPr>
          <w:lang w:val="fr-FR"/>
        </w:rPr>
        <w:t xml:space="preserve">Discrimination </w:t>
      </w:r>
      <w:r w:rsidR="00DE4FAB">
        <w:rPr>
          <w:lang w:val="fr-FR"/>
        </w:rPr>
        <w:t xml:space="preserve">de la femme mauritanienne par rapport à l’homme mauritanien </w:t>
      </w:r>
      <w:r w:rsidR="006D6282">
        <w:rPr>
          <w:lang w:val="fr-FR"/>
        </w:rPr>
        <w:t xml:space="preserve">quant à </w:t>
      </w:r>
      <w:r w:rsidR="00DC323A">
        <w:rPr>
          <w:lang w:val="fr-FR"/>
        </w:rPr>
        <w:t xml:space="preserve">la </w:t>
      </w:r>
      <w:r w:rsidR="006D6282">
        <w:rPr>
          <w:lang w:val="fr-FR"/>
        </w:rPr>
        <w:t>t</w:t>
      </w:r>
      <w:r w:rsidR="00DE4FAB">
        <w:rPr>
          <w:lang w:val="fr-FR"/>
        </w:rPr>
        <w:t>ransmission de la nationalité</w:t>
      </w:r>
      <w:r w:rsidR="006D6282">
        <w:rPr>
          <w:lang w:val="fr-FR"/>
        </w:rPr>
        <w:t xml:space="preserve"> aux enfants et aux conjoints étrangers.</w:t>
      </w:r>
    </w:p>
    <w:p w:rsidR="00BE290E" w:rsidRDefault="004C5657" w:rsidP="004C5657">
      <w:pPr>
        <w:pStyle w:val="SingleTxtG"/>
        <w:rPr>
          <w:lang w:val="fr-FR"/>
        </w:rPr>
      </w:pPr>
      <w:r>
        <w:rPr>
          <w:lang w:val="fr-FR"/>
        </w:rPr>
        <w:t>18.</w:t>
      </w:r>
      <w:r>
        <w:rPr>
          <w:lang w:val="fr-FR"/>
        </w:rPr>
        <w:tab/>
      </w:r>
      <w:r w:rsidR="00BE290E">
        <w:rPr>
          <w:lang w:val="fr-FR"/>
        </w:rPr>
        <w:t>Ampleur de la traite des personnes dans l’</w:t>
      </w:r>
      <w:r w:rsidR="0082084D">
        <w:rPr>
          <w:lang w:val="fr-FR"/>
        </w:rPr>
        <w:t>É</w:t>
      </w:r>
      <w:r w:rsidR="00BE290E">
        <w:rPr>
          <w:lang w:val="fr-FR"/>
        </w:rPr>
        <w:t>tat partie. Mesures de facilitation de</w:t>
      </w:r>
      <w:r w:rsidR="00200251">
        <w:rPr>
          <w:lang w:val="fr-FR"/>
        </w:rPr>
        <w:t>s</w:t>
      </w:r>
      <w:r w:rsidR="00BE290E">
        <w:rPr>
          <w:lang w:val="fr-FR"/>
        </w:rPr>
        <w:t xml:space="preserve"> plaintes et de protection des </w:t>
      </w:r>
      <w:r w:rsidR="00BE290E" w:rsidRPr="00853135">
        <w:t>victimes</w:t>
      </w:r>
      <w:r w:rsidR="00BE290E">
        <w:rPr>
          <w:lang w:val="fr-FR"/>
        </w:rPr>
        <w:t xml:space="preserve"> contre toutes représailles. Application de la loi portant trafic des migrants</w:t>
      </w:r>
      <w:r w:rsidR="00F34858">
        <w:rPr>
          <w:lang w:val="fr-FR"/>
        </w:rPr>
        <w:t xml:space="preserve"> et de la </w:t>
      </w:r>
      <w:r w:rsidR="00DC323A">
        <w:rPr>
          <w:lang w:val="fr-FR"/>
        </w:rPr>
        <w:t xml:space="preserve">loi </w:t>
      </w:r>
      <w:r w:rsidR="0082084D">
        <w:rPr>
          <w:lang w:val="fr-FR"/>
        </w:rPr>
        <w:t>n</w:t>
      </w:r>
      <w:r w:rsidR="0082084D" w:rsidRPr="004C5657">
        <w:rPr>
          <w:vertAlign w:val="superscript"/>
          <w:lang w:val="fr-FR"/>
        </w:rPr>
        <w:t>o</w:t>
      </w:r>
      <w:r w:rsidR="0082084D">
        <w:rPr>
          <w:lang w:val="fr-FR"/>
        </w:rPr>
        <w:t> </w:t>
      </w:r>
      <w:r w:rsidR="00F34858">
        <w:rPr>
          <w:lang w:val="fr-FR"/>
        </w:rPr>
        <w:t>2003-025 du 17 juillet 2003</w:t>
      </w:r>
      <w:r w:rsidR="00DE4FAB">
        <w:rPr>
          <w:lang w:val="fr-FR"/>
        </w:rPr>
        <w:t xml:space="preserve"> portant </w:t>
      </w:r>
      <w:r w:rsidR="008A3597">
        <w:rPr>
          <w:lang w:val="fr-FR"/>
        </w:rPr>
        <w:t xml:space="preserve">répression de la </w:t>
      </w:r>
      <w:r w:rsidR="00DE4FAB">
        <w:rPr>
          <w:lang w:val="fr-FR"/>
        </w:rPr>
        <w:t>traite des personnes</w:t>
      </w:r>
      <w:r w:rsidR="00072341">
        <w:rPr>
          <w:lang w:val="fr-FR"/>
        </w:rPr>
        <w:t> </w:t>
      </w:r>
      <w:r w:rsidR="00BE290E">
        <w:rPr>
          <w:lang w:val="fr-FR"/>
        </w:rPr>
        <w:t>: plaintes, enquêtes, poursuites, condamnations, sanctions et mesures de réparation et de réhabilitation des victimes.</w:t>
      </w:r>
    </w:p>
    <w:p w:rsidR="004D4D78" w:rsidRPr="00B92CC7" w:rsidRDefault="00853135" w:rsidP="00853135">
      <w:pPr>
        <w:pStyle w:val="H23G"/>
      </w:pPr>
      <w:r>
        <w:tab/>
      </w:r>
      <w:r>
        <w:tab/>
      </w:r>
      <w:r w:rsidR="004D4D78" w:rsidRPr="00B92CC7">
        <w:t>Éducation pour lutter contre les préjugés et promouvoir la compréhension (art. 7)</w:t>
      </w:r>
    </w:p>
    <w:p w:rsidR="004D4D78" w:rsidRDefault="004C5657" w:rsidP="004C5657">
      <w:pPr>
        <w:pStyle w:val="SingleTxtG"/>
      </w:pPr>
      <w:r>
        <w:t>19.</w:t>
      </w:r>
      <w:r>
        <w:tab/>
      </w:r>
      <w:r w:rsidR="004D4D78" w:rsidRPr="00853135">
        <w:t xml:space="preserve">Sensibilisation de la population à la discrimination raciale et à la tolérance en vue de lutter contre les préjugés ; droits de l’homme et promotion de la compréhension entre différents groupes dans le cursus scolaire et dans les programmes de formation professionnelle ; impact de la formation </w:t>
      </w:r>
      <w:r w:rsidR="00596394">
        <w:t>dispensée</w:t>
      </w:r>
      <w:r w:rsidR="00596394" w:rsidRPr="00853135">
        <w:t xml:space="preserve"> </w:t>
      </w:r>
      <w:r w:rsidR="004D4D78" w:rsidRPr="00853135">
        <w:t xml:space="preserve">aux magistrats auxiliaires et avocats sur la législation antiesclavagiste et </w:t>
      </w:r>
      <w:r w:rsidR="00F348B6" w:rsidRPr="00853135">
        <w:t xml:space="preserve">sur le </w:t>
      </w:r>
      <w:r w:rsidR="004D4D78" w:rsidRPr="00853135">
        <w:t>traitement des affaires concernant l’esclavage et les pratiques esclavagistes</w:t>
      </w:r>
      <w:r w:rsidR="004D4D78" w:rsidRPr="00B92CC7">
        <w:t>.</w:t>
      </w:r>
    </w:p>
    <w:p w:rsidR="00853135" w:rsidRPr="00853135" w:rsidRDefault="00853135" w:rsidP="00853135">
      <w:pPr>
        <w:pStyle w:val="SingleTxtG"/>
        <w:spacing w:before="240" w:after="0"/>
        <w:jc w:val="center"/>
        <w:rPr>
          <w:u w:val="single"/>
        </w:rPr>
      </w:pPr>
      <w:r>
        <w:rPr>
          <w:u w:val="single"/>
        </w:rPr>
        <w:tab/>
      </w:r>
      <w:r>
        <w:rPr>
          <w:u w:val="single"/>
        </w:rPr>
        <w:tab/>
      </w:r>
      <w:r>
        <w:rPr>
          <w:u w:val="single"/>
        </w:rPr>
        <w:tab/>
      </w:r>
      <w:r w:rsidR="008A24F7">
        <w:rPr>
          <w:u w:val="single"/>
        </w:rPr>
        <w:tab/>
      </w:r>
    </w:p>
    <w:sectPr w:rsidR="00853135" w:rsidRPr="00853135" w:rsidSect="004C565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9A6" w:rsidRDefault="00D659A6"/>
  </w:endnote>
  <w:endnote w:type="continuationSeparator" w:id="0">
    <w:p w:rsidR="00D659A6" w:rsidRDefault="00D659A6"/>
  </w:endnote>
  <w:endnote w:type="continuationNotice" w:id="1">
    <w:p w:rsidR="00D659A6" w:rsidRDefault="00D65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B6" w:rsidRPr="007C05B6" w:rsidRDefault="007C05B6" w:rsidP="007C05B6">
    <w:pPr>
      <w:pStyle w:val="Pieddepage"/>
      <w:tabs>
        <w:tab w:val="right" w:pos="9638"/>
      </w:tabs>
      <w:rPr>
        <w:sz w:val="18"/>
      </w:rPr>
    </w:pPr>
    <w:r w:rsidRPr="007C05B6">
      <w:rPr>
        <w:b/>
        <w:sz w:val="18"/>
      </w:rPr>
      <w:fldChar w:fldCharType="begin"/>
    </w:r>
    <w:r w:rsidRPr="007C05B6">
      <w:rPr>
        <w:b/>
        <w:sz w:val="18"/>
      </w:rPr>
      <w:instrText xml:space="preserve"> PAGE  \* MERGEFORMAT </w:instrText>
    </w:r>
    <w:r w:rsidRPr="007C05B6">
      <w:rPr>
        <w:b/>
        <w:sz w:val="18"/>
      </w:rPr>
      <w:fldChar w:fldCharType="separate"/>
    </w:r>
    <w:r w:rsidR="00AB7A03">
      <w:rPr>
        <w:b/>
        <w:noProof/>
        <w:sz w:val="18"/>
      </w:rPr>
      <w:t>2</w:t>
    </w:r>
    <w:r w:rsidRPr="007C05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B6" w:rsidRPr="007C05B6" w:rsidRDefault="007C05B6" w:rsidP="007C05B6">
    <w:pPr>
      <w:pStyle w:val="Pieddepage"/>
      <w:tabs>
        <w:tab w:val="right" w:pos="9638"/>
      </w:tabs>
      <w:rPr>
        <w:b/>
        <w:sz w:val="18"/>
      </w:rPr>
    </w:pPr>
    <w:r>
      <w:tab/>
    </w:r>
    <w:r w:rsidRPr="007C05B6">
      <w:rPr>
        <w:b/>
        <w:sz w:val="18"/>
      </w:rPr>
      <w:fldChar w:fldCharType="begin"/>
    </w:r>
    <w:r w:rsidRPr="007C05B6">
      <w:rPr>
        <w:b/>
        <w:sz w:val="18"/>
      </w:rPr>
      <w:instrText xml:space="preserve"> PAGE  \* MERGEFORMAT </w:instrText>
    </w:r>
    <w:r w:rsidRPr="007C05B6">
      <w:rPr>
        <w:b/>
        <w:sz w:val="18"/>
      </w:rPr>
      <w:fldChar w:fldCharType="separate"/>
    </w:r>
    <w:r w:rsidR="00533D6B">
      <w:rPr>
        <w:b/>
        <w:noProof/>
        <w:sz w:val="18"/>
      </w:rPr>
      <w:t>3</w:t>
    </w:r>
    <w:r w:rsidRPr="007C05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225" w:rsidRPr="00AE7225" w:rsidRDefault="00F97DBC" w:rsidP="00AE7225">
    <w:pPr>
      <w:pStyle w:val="Pieddepage"/>
      <w:spacing w:before="120"/>
      <w:rPr>
        <w:sz w:val="20"/>
      </w:rPr>
    </w:pPr>
    <w:r w:rsidRPr="00AE7225">
      <w:rPr>
        <w:rFonts w:ascii="C39T30Lfz" w:hAnsi="C39T30Lfz"/>
        <w:noProof/>
        <w:sz w:val="56"/>
        <w:lang w:eastAsia="fr-CH"/>
      </w:rPr>
      <w:drawing>
        <wp:anchor distT="0" distB="0" distL="114300" distR="114300" simplePos="0" relativeHeight="251657216" behindDoc="0" locked="0" layoutInCell="1" allowOverlap="0" wp14:anchorId="6B8CDD53" wp14:editId="1613B2EA">
          <wp:simplePos x="0" y="0"/>
          <wp:positionH relativeFrom="margin">
            <wp:posOffset>4275662</wp:posOffset>
          </wp:positionH>
          <wp:positionV relativeFrom="margin">
            <wp:posOffset>8914944</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225">
      <w:rPr>
        <w:sz w:val="20"/>
      </w:rPr>
      <w:t>GE.18-03236  (F)</w:t>
    </w:r>
    <w:r w:rsidR="00AE7225">
      <w:rPr>
        <w:sz w:val="20"/>
      </w:rPr>
      <w:br/>
    </w:r>
    <w:r w:rsidR="00AE7225" w:rsidRPr="00AE7225">
      <w:rPr>
        <w:rFonts w:ascii="C39T30Lfz" w:hAnsi="C39T30Lfz"/>
        <w:sz w:val="56"/>
      </w:rPr>
      <w:t></w:t>
    </w:r>
    <w:r w:rsidR="00AE7225" w:rsidRPr="00AE7225">
      <w:rPr>
        <w:rFonts w:ascii="C39T30Lfz" w:hAnsi="C39T30Lfz"/>
        <w:sz w:val="56"/>
      </w:rPr>
      <w:t></w:t>
    </w:r>
    <w:r w:rsidR="00AE7225" w:rsidRPr="00AE7225">
      <w:rPr>
        <w:rFonts w:ascii="C39T30Lfz" w:hAnsi="C39T30Lfz"/>
        <w:sz w:val="56"/>
      </w:rPr>
      <w:t></w:t>
    </w:r>
    <w:r w:rsidR="00AE7225" w:rsidRPr="00AE7225">
      <w:rPr>
        <w:rFonts w:ascii="C39T30Lfz" w:hAnsi="C39T30Lfz"/>
        <w:sz w:val="56"/>
      </w:rPr>
      <w:t></w:t>
    </w:r>
    <w:r w:rsidR="00AE7225" w:rsidRPr="00AE7225">
      <w:rPr>
        <w:rFonts w:ascii="C39T30Lfz" w:hAnsi="C39T30Lfz"/>
        <w:sz w:val="56"/>
      </w:rPr>
      <w:t></w:t>
    </w:r>
    <w:r w:rsidR="00AE7225" w:rsidRPr="00AE7225">
      <w:rPr>
        <w:rFonts w:ascii="C39T30Lfz" w:hAnsi="C39T30Lfz"/>
        <w:sz w:val="56"/>
      </w:rPr>
      <w:t></w:t>
    </w:r>
    <w:r w:rsidR="00AE7225" w:rsidRPr="00AE7225">
      <w:rPr>
        <w:rFonts w:ascii="C39T30Lfz" w:hAnsi="C39T30Lfz"/>
        <w:sz w:val="56"/>
      </w:rPr>
      <w:t></w:t>
    </w:r>
    <w:r w:rsidR="00AE7225" w:rsidRPr="00AE7225">
      <w:rPr>
        <w:rFonts w:ascii="C39T30Lfz" w:hAnsi="C39T30Lfz"/>
        <w:sz w:val="56"/>
      </w:rPr>
      <w:t></w:t>
    </w:r>
    <w:r w:rsidR="00AE7225" w:rsidRPr="00AE7225">
      <w:rPr>
        <w:rFonts w:ascii="C39T30Lfz" w:hAnsi="C39T30Lfz"/>
        <w:sz w:val="56"/>
      </w:rPr>
      <w:t></w:t>
    </w:r>
    <w:r w:rsidR="00AE7225">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CERD/C/MRT/Q/8-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RT/Q/8-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9A6" w:rsidRPr="00D27D5E" w:rsidRDefault="00D659A6" w:rsidP="00D27D5E">
      <w:pPr>
        <w:tabs>
          <w:tab w:val="right" w:pos="2155"/>
        </w:tabs>
        <w:spacing w:after="80"/>
        <w:ind w:left="680"/>
        <w:rPr>
          <w:u w:val="single"/>
        </w:rPr>
      </w:pPr>
      <w:r>
        <w:rPr>
          <w:u w:val="single"/>
        </w:rPr>
        <w:tab/>
      </w:r>
    </w:p>
  </w:footnote>
  <w:footnote w:type="continuationSeparator" w:id="0">
    <w:p w:rsidR="00D659A6" w:rsidRPr="00AA7FE7" w:rsidRDefault="00D659A6" w:rsidP="00AA7FE7">
      <w:pPr>
        <w:tabs>
          <w:tab w:val="right" w:pos="2155"/>
        </w:tabs>
        <w:spacing w:after="80"/>
        <w:ind w:left="680"/>
        <w:rPr>
          <w:u w:val="single"/>
        </w:rPr>
      </w:pPr>
      <w:r w:rsidRPr="00AA7FE7">
        <w:rPr>
          <w:u w:val="single"/>
        </w:rPr>
        <w:tab/>
      </w:r>
    </w:p>
  </w:footnote>
  <w:footnote w:type="continuationNotice" w:id="1">
    <w:p w:rsidR="00D659A6" w:rsidRDefault="00D659A6"/>
  </w:footnote>
  <w:footnote w:id="2">
    <w:p w:rsidR="009F59CF" w:rsidRPr="009F59CF" w:rsidRDefault="009F59CF">
      <w:pPr>
        <w:pStyle w:val="Notedebasdepage"/>
      </w:pPr>
      <w:r>
        <w:tab/>
      </w:r>
      <w:r w:rsidRPr="009F59CF">
        <w:rPr>
          <w:rStyle w:val="Appelnotedebasdep"/>
          <w:sz w:val="20"/>
          <w:vertAlign w:val="baseline"/>
        </w:rPr>
        <w:t>*</w:t>
      </w:r>
      <w:r>
        <w:rPr>
          <w:rStyle w:val="Appelnotedebasdep"/>
          <w:sz w:val="20"/>
          <w:vertAlign w:val="baseline"/>
        </w:rPr>
        <w:tab/>
      </w:r>
      <w:r w:rsidRPr="009F59CF">
        <w:rPr>
          <w:color w:val="000000"/>
        </w:rPr>
        <w:t>Le présent rapport a été soumis après la date limite pour tenir compte des faits les plus récents</w:t>
      </w:r>
      <w:r w:rsidR="00AE7225">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B6" w:rsidRPr="007C05B6" w:rsidRDefault="0018655D">
    <w:pPr>
      <w:pStyle w:val="En-tte"/>
    </w:pPr>
    <w:fldSimple w:instr=" TITLE  \* MERGEFORMAT ">
      <w:r w:rsidR="00AB7A03">
        <w:t>CERD/C/MRT/Q/8-14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B6" w:rsidRPr="007C05B6" w:rsidRDefault="0018655D" w:rsidP="007C05B6">
    <w:pPr>
      <w:pStyle w:val="En-tte"/>
      <w:jc w:val="right"/>
    </w:pPr>
    <w:fldSimple w:instr=" TITLE  \* MERGEFORMAT ">
      <w:r w:rsidR="00AB7A03">
        <w:t>CERD/C/MRT/Q/8-14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393"/>
    <w:multiLevelType w:val="hybridMultilevel"/>
    <w:tmpl w:val="D898F7A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84919A4"/>
    <w:multiLevelType w:val="hybridMultilevel"/>
    <w:tmpl w:val="DBD6357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49D375FE"/>
    <w:multiLevelType w:val="hybridMultilevel"/>
    <w:tmpl w:val="91A84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B6"/>
    <w:rsid w:val="00000BAE"/>
    <w:rsid w:val="000062DD"/>
    <w:rsid w:val="00016AC5"/>
    <w:rsid w:val="00037230"/>
    <w:rsid w:val="00052110"/>
    <w:rsid w:val="0005387B"/>
    <w:rsid w:val="00054609"/>
    <w:rsid w:val="00055E32"/>
    <w:rsid w:val="00071C66"/>
    <w:rsid w:val="00072341"/>
    <w:rsid w:val="00090A4D"/>
    <w:rsid w:val="000A6F55"/>
    <w:rsid w:val="000E4411"/>
    <w:rsid w:val="000E7579"/>
    <w:rsid w:val="000F41F2"/>
    <w:rsid w:val="000F654A"/>
    <w:rsid w:val="001033B2"/>
    <w:rsid w:val="001231AD"/>
    <w:rsid w:val="001450E6"/>
    <w:rsid w:val="00150465"/>
    <w:rsid w:val="00160540"/>
    <w:rsid w:val="00162AD8"/>
    <w:rsid w:val="0018655D"/>
    <w:rsid w:val="00192EEB"/>
    <w:rsid w:val="00197832"/>
    <w:rsid w:val="001A20FB"/>
    <w:rsid w:val="001B3867"/>
    <w:rsid w:val="001B50C6"/>
    <w:rsid w:val="001C2D1C"/>
    <w:rsid w:val="001D72C5"/>
    <w:rsid w:val="001D7F8A"/>
    <w:rsid w:val="001E3FEB"/>
    <w:rsid w:val="001E4A02"/>
    <w:rsid w:val="00200251"/>
    <w:rsid w:val="00204BC1"/>
    <w:rsid w:val="00205D37"/>
    <w:rsid w:val="002146AD"/>
    <w:rsid w:val="00225A8C"/>
    <w:rsid w:val="00225CE0"/>
    <w:rsid w:val="00225F92"/>
    <w:rsid w:val="00226720"/>
    <w:rsid w:val="00235237"/>
    <w:rsid w:val="002548B9"/>
    <w:rsid w:val="002626D4"/>
    <w:rsid w:val="002659F1"/>
    <w:rsid w:val="00265CD7"/>
    <w:rsid w:val="00287E79"/>
    <w:rsid w:val="002928F9"/>
    <w:rsid w:val="00293C09"/>
    <w:rsid w:val="002A5D07"/>
    <w:rsid w:val="002C1D17"/>
    <w:rsid w:val="002D3F03"/>
    <w:rsid w:val="002E0D40"/>
    <w:rsid w:val="002E5B0C"/>
    <w:rsid w:val="002E5E85"/>
    <w:rsid w:val="002E5F00"/>
    <w:rsid w:val="002F289D"/>
    <w:rsid w:val="00300D06"/>
    <w:rsid w:val="003016B7"/>
    <w:rsid w:val="003127D3"/>
    <w:rsid w:val="003515AA"/>
    <w:rsid w:val="00353437"/>
    <w:rsid w:val="00355823"/>
    <w:rsid w:val="0037380A"/>
    <w:rsid w:val="00374106"/>
    <w:rsid w:val="00393D97"/>
    <w:rsid w:val="00396CDF"/>
    <w:rsid w:val="003976D5"/>
    <w:rsid w:val="003A1196"/>
    <w:rsid w:val="003A56BE"/>
    <w:rsid w:val="003D6C68"/>
    <w:rsid w:val="003E50EB"/>
    <w:rsid w:val="003E6859"/>
    <w:rsid w:val="004159D0"/>
    <w:rsid w:val="004431B1"/>
    <w:rsid w:val="00454430"/>
    <w:rsid w:val="00454588"/>
    <w:rsid w:val="00472145"/>
    <w:rsid w:val="004B09EE"/>
    <w:rsid w:val="004C5657"/>
    <w:rsid w:val="004D4565"/>
    <w:rsid w:val="004D4863"/>
    <w:rsid w:val="004D4D78"/>
    <w:rsid w:val="004F35B2"/>
    <w:rsid w:val="00512F5D"/>
    <w:rsid w:val="00533D6B"/>
    <w:rsid w:val="00540389"/>
    <w:rsid w:val="00543D5E"/>
    <w:rsid w:val="0054767C"/>
    <w:rsid w:val="00561F8F"/>
    <w:rsid w:val="00571F41"/>
    <w:rsid w:val="00585D86"/>
    <w:rsid w:val="00587819"/>
    <w:rsid w:val="00593658"/>
    <w:rsid w:val="00596394"/>
    <w:rsid w:val="005A6157"/>
    <w:rsid w:val="005E5D1F"/>
    <w:rsid w:val="005E7E59"/>
    <w:rsid w:val="00601BEF"/>
    <w:rsid w:val="006034FC"/>
    <w:rsid w:val="00611D43"/>
    <w:rsid w:val="00612D48"/>
    <w:rsid w:val="00614FBA"/>
    <w:rsid w:val="00616B45"/>
    <w:rsid w:val="00630D9B"/>
    <w:rsid w:val="00631953"/>
    <w:rsid w:val="006439EC"/>
    <w:rsid w:val="00657120"/>
    <w:rsid w:val="0068627A"/>
    <w:rsid w:val="00693E16"/>
    <w:rsid w:val="006B4590"/>
    <w:rsid w:val="006C340C"/>
    <w:rsid w:val="006D2387"/>
    <w:rsid w:val="006D6282"/>
    <w:rsid w:val="006D7B0B"/>
    <w:rsid w:val="006E6AE5"/>
    <w:rsid w:val="006F39E4"/>
    <w:rsid w:val="00700406"/>
    <w:rsid w:val="0070347C"/>
    <w:rsid w:val="007176C1"/>
    <w:rsid w:val="007231EF"/>
    <w:rsid w:val="007622BC"/>
    <w:rsid w:val="00767D21"/>
    <w:rsid w:val="00785A13"/>
    <w:rsid w:val="0078670C"/>
    <w:rsid w:val="007B3B24"/>
    <w:rsid w:val="007C05B6"/>
    <w:rsid w:val="007D3553"/>
    <w:rsid w:val="007E06A1"/>
    <w:rsid w:val="007F219C"/>
    <w:rsid w:val="007F55CB"/>
    <w:rsid w:val="00812F04"/>
    <w:rsid w:val="00816580"/>
    <w:rsid w:val="0082084D"/>
    <w:rsid w:val="00844750"/>
    <w:rsid w:val="00853135"/>
    <w:rsid w:val="008568F3"/>
    <w:rsid w:val="0086401E"/>
    <w:rsid w:val="00881561"/>
    <w:rsid w:val="008833A5"/>
    <w:rsid w:val="008A24F7"/>
    <w:rsid w:val="008A3597"/>
    <w:rsid w:val="008B44C4"/>
    <w:rsid w:val="008D2259"/>
    <w:rsid w:val="008E7FAE"/>
    <w:rsid w:val="00906662"/>
    <w:rsid w:val="00911BF7"/>
    <w:rsid w:val="00936215"/>
    <w:rsid w:val="00945449"/>
    <w:rsid w:val="00977EC8"/>
    <w:rsid w:val="00994C98"/>
    <w:rsid w:val="00997878"/>
    <w:rsid w:val="009A4B0D"/>
    <w:rsid w:val="009C0AA6"/>
    <w:rsid w:val="009C17F5"/>
    <w:rsid w:val="009D3A8C"/>
    <w:rsid w:val="009E7956"/>
    <w:rsid w:val="009F59CF"/>
    <w:rsid w:val="00A026F7"/>
    <w:rsid w:val="00A2492E"/>
    <w:rsid w:val="00A30A16"/>
    <w:rsid w:val="00A31FCE"/>
    <w:rsid w:val="00A35529"/>
    <w:rsid w:val="00A82B6C"/>
    <w:rsid w:val="00A9704C"/>
    <w:rsid w:val="00AA7FE7"/>
    <w:rsid w:val="00AB3173"/>
    <w:rsid w:val="00AB4FE1"/>
    <w:rsid w:val="00AB5EFE"/>
    <w:rsid w:val="00AB7A03"/>
    <w:rsid w:val="00AC01AA"/>
    <w:rsid w:val="00AC67A1"/>
    <w:rsid w:val="00AC7977"/>
    <w:rsid w:val="00AD6AA5"/>
    <w:rsid w:val="00AE352C"/>
    <w:rsid w:val="00AE7225"/>
    <w:rsid w:val="00B05654"/>
    <w:rsid w:val="00B236ED"/>
    <w:rsid w:val="00B32E2D"/>
    <w:rsid w:val="00B35895"/>
    <w:rsid w:val="00B61990"/>
    <w:rsid w:val="00B6669C"/>
    <w:rsid w:val="00B802EE"/>
    <w:rsid w:val="00BA6A75"/>
    <w:rsid w:val="00BB7839"/>
    <w:rsid w:val="00BC1B9B"/>
    <w:rsid w:val="00BE290E"/>
    <w:rsid w:val="00BF0556"/>
    <w:rsid w:val="00BF2325"/>
    <w:rsid w:val="00BF7BE0"/>
    <w:rsid w:val="00C03431"/>
    <w:rsid w:val="00C163A9"/>
    <w:rsid w:val="00C261F8"/>
    <w:rsid w:val="00C27D28"/>
    <w:rsid w:val="00C33100"/>
    <w:rsid w:val="00C62731"/>
    <w:rsid w:val="00C87E6A"/>
    <w:rsid w:val="00C922BC"/>
    <w:rsid w:val="00C92504"/>
    <w:rsid w:val="00CD1A71"/>
    <w:rsid w:val="00CD1FBB"/>
    <w:rsid w:val="00D016B5"/>
    <w:rsid w:val="00D034F1"/>
    <w:rsid w:val="00D1085B"/>
    <w:rsid w:val="00D1596A"/>
    <w:rsid w:val="00D27D5E"/>
    <w:rsid w:val="00D37345"/>
    <w:rsid w:val="00D455C5"/>
    <w:rsid w:val="00D659A6"/>
    <w:rsid w:val="00D66CCD"/>
    <w:rsid w:val="00D753D6"/>
    <w:rsid w:val="00DC156C"/>
    <w:rsid w:val="00DC2CC2"/>
    <w:rsid w:val="00DC323A"/>
    <w:rsid w:val="00DD488F"/>
    <w:rsid w:val="00DE41C6"/>
    <w:rsid w:val="00DE4FAB"/>
    <w:rsid w:val="00DE6D90"/>
    <w:rsid w:val="00DF002F"/>
    <w:rsid w:val="00DF323F"/>
    <w:rsid w:val="00E0244D"/>
    <w:rsid w:val="00E0748B"/>
    <w:rsid w:val="00E17343"/>
    <w:rsid w:val="00E42D5E"/>
    <w:rsid w:val="00E466CB"/>
    <w:rsid w:val="00E53FD7"/>
    <w:rsid w:val="00E81E94"/>
    <w:rsid w:val="00E82607"/>
    <w:rsid w:val="00EA7E5A"/>
    <w:rsid w:val="00EC5A42"/>
    <w:rsid w:val="00ED4540"/>
    <w:rsid w:val="00EF47E9"/>
    <w:rsid w:val="00F34858"/>
    <w:rsid w:val="00F348B6"/>
    <w:rsid w:val="00F55F69"/>
    <w:rsid w:val="00F63A7D"/>
    <w:rsid w:val="00F63BC6"/>
    <w:rsid w:val="00F97DBC"/>
    <w:rsid w:val="00FA5A79"/>
    <w:rsid w:val="00FB0BFE"/>
    <w:rsid w:val="00FB4C51"/>
    <w:rsid w:val="00FD07C3"/>
    <w:rsid w:val="00FE0152"/>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14:docId w14:val="4940C26A"/>
  <w15:docId w15:val="{71EA5532-7E97-4B12-947D-B3D4DD79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F654A"/>
    <w:pPr>
      <w:suppressAutoHyphens/>
      <w:spacing w:line="240" w:lineRule="atLeast"/>
    </w:pPr>
    <w:rPr>
      <w:lang w:val="fr-CH" w:eastAsia="en-US"/>
    </w:rPr>
  </w:style>
  <w:style w:type="paragraph" w:styleId="Titre1">
    <w:name w:val="heading 1"/>
    <w:aliases w:val="Table_G"/>
    <w:basedOn w:val="SingleTxtG"/>
    <w:next w:val="SingleTxtG"/>
    <w:qFormat/>
    <w:rsid w:val="00D37345"/>
    <w:pPr>
      <w:keepNext/>
      <w:keepLines/>
      <w:spacing w:after="0" w:line="240" w:lineRule="auto"/>
      <w:ind w:right="0"/>
      <w:jc w:val="left"/>
      <w:outlineLvl w:val="0"/>
    </w:pPr>
  </w:style>
  <w:style w:type="paragraph" w:styleId="Titre2">
    <w:name w:val="heading 2"/>
    <w:basedOn w:val="Normal"/>
    <w:next w:val="Normal"/>
    <w:semiHidden/>
    <w:qFormat/>
    <w:rsid w:val="009C17F5"/>
    <w:pPr>
      <w:outlineLvl w:val="1"/>
    </w:pPr>
  </w:style>
  <w:style w:type="paragraph" w:styleId="Titre3">
    <w:name w:val="heading 3"/>
    <w:basedOn w:val="Normal"/>
    <w:next w:val="Normal"/>
    <w:semiHidden/>
    <w:qFormat/>
    <w:rsid w:val="009C17F5"/>
    <w:pPr>
      <w:outlineLvl w:val="2"/>
    </w:pPr>
  </w:style>
  <w:style w:type="paragraph" w:styleId="Titre4">
    <w:name w:val="heading 4"/>
    <w:basedOn w:val="Normal"/>
    <w:next w:val="Normal"/>
    <w:semiHidden/>
    <w:qFormat/>
    <w:rsid w:val="009C17F5"/>
    <w:pPr>
      <w:outlineLvl w:val="3"/>
    </w:pPr>
  </w:style>
  <w:style w:type="paragraph" w:styleId="Titre5">
    <w:name w:val="heading 5"/>
    <w:basedOn w:val="Normal"/>
    <w:next w:val="Normal"/>
    <w:semiHidden/>
    <w:qFormat/>
    <w:rsid w:val="009C17F5"/>
    <w:pPr>
      <w:outlineLvl w:val="4"/>
    </w:pPr>
  </w:style>
  <w:style w:type="paragraph" w:styleId="Titre6">
    <w:name w:val="heading 6"/>
    <w:basedOn w:val="Normal"/>
    <w:next w:val="Normal"/>
    <w:semiHidden/>
    <w:qFormat/>
    <w:rsid w:val="009C17F5"/>
    <w:pPr>
      <w:outlineLvl w:val="5"/>
    </w:pPr>
  </w:style>
  <w:style w:type="paragraph" w:styleId="Titre7">
    <w:name w:val="heading 7"/>
    <w:basedOn w:val="Normal"/>
    <w:next w:val="Normal"/>
    <w:semiHidden/>
    <w:qFormat/>
    <w:rsid w:val="009C17F5"/>
    <w:pPr>
      <w:outlineLvl w:val="6"/>
    </w:pPr>
  </w:style>
  <w:style w:type="paragraph" w:styleId="Titre8">
    <w:name w:val="heading 8"/>
    <w:basedOn w:val="Normal"/>
    <w:next w:val="Normal"/>
    <w:semiHidden/>
    <w:qFormat/>
    <w:rsid w:val="009C17F5"/>
    <w:pPr>
      <w:outlineLvl w:val="7"/>
    </w:pPr>
  </w:style>
  <w:style w:type="paragraph" w:styleId="Titre9">
    <w:name w:val="heading 9"/>
    <w:basedOn w:val="Normal"/>
    <w:next w:val="Normal"/>
    <w:semiHidden/>
    <w:qFormat/>
    <w:rsid w:val="009C17F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qFormat/>
    <w:rsid w:val="009C17F5"/>
    <w:pPr>
      <w:numPr>
        <w:numId w:val="1"/>
      </w:numPr>
      <w:spacing w:after="120"/>
      <w:ind w:right="1134"/>
      <w:jc w:val="both"/>
    </w:pPr>
  </w:style>
  <w:style w:type="paragraph" w:customStyle="1" w:styleId="Bullet2G">
    <w:name w:val="_Bullet 2_G"/>
    <w:basedOn w:val="Normal"/>
    <w:qFormat/>
    <w:rsid w:val="009C17F5"/>
    <w:pPr>
      <w:numPr>
        <w:numId w:val="2"/>
      </w:numPr>
      <w:spacing w:after="120"/>
      <w:ind w:right="1134"/>
      <w:jc w:val="both"/>
    </w:pPr>
  </w:style>
  <w:style w:type="character" w:styleId="Appelnotedebasdep">
    <w:name w:val="footnote reference"/>
    <w:aliases w:val="4_G"/>
    <w:basedOn w:val="Policepardfaut"/>
    <w:qFormat/>
    <w:rsid w:val="009C17F5"/>
    <w:rPr>
      <w:rFonts w:ascii="Times New Roman" w:hAnsi="Times New Roman"/>
      <w:sz w:val="18"/>
      <w:vertAlign w:val="superscript"/>
      <w:lang w:val="fr-CH"/>
    </w:rPr>
  </w:style>
  <w:style w:type="character" w:styleId="Appeldenotedefin">
    <w:name w:val="endnote reference"/>
    <w:aliases w:val="1_G"/>
    <w:basedOn w:val="Appelnotedebasdep"/>
    <w:qFormat/>
    <w:rsid w:val="009C17F5"/>
    <w:rPr>
      <w:rFonts w:ascii="Times New Roman" w:hAnsi="Times New Roman"/>
      <w:sz w:val="18"/>
      <w:vertAlign w:val="superscript"/>
      <w:lang w:val="fr-CH"/>
    </w:rPr>
  </w:style>
  <w:style w:type="paragraph" w:styleId="En-tte">
    <w:name w:val="header"/>
    <w:aliases w:val="6_G"/>
    <w:basedOn w:val="Normal"/>
    <w:next w:val="Normal"/>
    <w:qFormat/>
    <w:rsid w:val="009C17F5"/>
    <w:pPr>
      <w:pBdr>
        <w:bottom w:val="single" w:sz="4" w:space="4" w:color="auto"/>
      </w:pBdr>
      <w:spacing w:line="240" w:lineRule="auto"/>
    </w:pPr>
    <w:rPr>
      <w:b/>
      <w:sz w:val="18"/>
    </w:rPr>
  </w:style>
  <w:style w:type="paragraph" w:styleId="Notedebasdepage">
    <w:name w:val="footnote text"/>
    <w:aliases w:val="5_G"/>
    <w:basedOn w:val="Normal"/>
    <w:qFormat/>
    <w:rsid w:val="00054609"/>
    <w:pPr>
      <w:tabs>
        <w:tab w:val="right" w:pos="1021"/>
      </w:tabs>
      <w:spacing w:line="220" w:lineRule="exact"/>
      <w:ind w:left="1134" w:right="1134" w:hanging="1134"/>
    </w:pPr>
    <w:rPr>
      <w:sz w:val="18"/>
    </w:rPr>
  </w:style>
  <w:style w:type="paragraph" w:styleId="Notedefin">
    <w:name w:val="endnote text"/>
    <w:aliases w:val="2_G"/>
    <w:basedOn w:val="Notedebasdepage"/>
    <w:qFormat/>
    <w:rsid w:val="00054609"/>
  </w:style>
  <w:style w:type="character" w:styleId="Numrodepage">
    <w:name w:val="page number"/>
    <w:aliases w:val="7_G"/>
    <w:basedOn w:val="Policepardfaut"/>
    <w:qFormat/>
    <w:rsid w:val="009C17F5"/>
    <w:rPr>
      <w:rFonts w:ascii="Times New Roman" w:hAnsi="Times New Roman"/>
      <w:b/>
      <w:sz w:val="18"/>
      <w:lang w:val="fr-CH"/>
    </w:rPr>
  </w:style>
  <w:style w:type="paragraph" w:styleId="Pieddepage">
    <w:name w:val="footer"/>
    <w:aliases w:val="3_G"/>
    <w:basedOn w:val="Normal"/>
    <w:next w:val="Normal"/>
    <w:qFormat/>
    <w:rsid w:val="009C17F5"/>
    <w:pPr>
      <w:spacing w:line="240" w:lineRule="auto"/>
    </w:pPr>
    <w:rPr>
      <w:sz w:val="16"/>
    </w:rPr>
  </w:style>
  <w:style w:type="character" w:styleId="Lienhypertexte">
    <w:name w:val="Hyperlink"/>
    <w:basedOn w:val="Policepardfaut"/>
    <w:semiHidden/>
    <w:rsid w:val="00540389"/>
    <w:rPr>
      <w:color w:val="auto"/>
      <w:u w:val="none"/>
    </w:rPr>
  </w:style>
  <w:style w:type="character" w:styleId="Lienhypertextesuivivisit">
    <w:name w:val="FollowedHyperlink"/>
    <w:basedOn w:val="Policepardfaut"/>
    <w:semiHidden/>
    <w:rsid w:val="00540389"/>
    <w:rPr>
      <w:color w:val="auto"/>
      <w:u w:val="none"/>
    </w:rPr>
  </w:style>
  <w:style w:type="table" w:styleId="Grilledutableau">
    <w:name w:val="Table Grid"/>
    <w:basedOn w:val="TableauNormal"/>
    <w:semiHidden/>
    <w:rsid w:val="00204BC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994C98"/>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994C98"/>
    <w:rPr>
      <w:rFonts w:ascii="Tahoma" w:hAnsi="Tahoma" w:cs="Tahoma"/>
      <w:sz w:val="16"/>
      <w:szCs w:val="16"/>
      <w:lang w:val="fr-CH" w:eastAsia="en-US"/>
    </w:rPr>
  </w:style>
  <w:style w:type="paragraph" w:customStyle="1" w:styleId="ParNoG">
    <w:name w:val="_ParNo_G"/>
    <w:basedOn w:val="SingleTxtG"/>
    <w:qFormat/>
    <w:rsid w:val="00ED4540"/>
    <w:pPr>
      <w:numPr>
        <w:numId w:val="3"/>
      </w:numPr>
      <w:kinsoku w:val="0"/>
      <w:overflowPunct w:val="0"/>
      <w:autoSpaceDE w:val="0"/>
      <w:autoSpaceDN w:val="0"/>
      <w:adjustRightInd w:val="0"/>
      <w:snapToGrid w:val="0"/>
    </w:pPr>
  </w:style>
  <w:style w:type="paragraph" w:styleId="Paragraphedeliste">
    <w:name w:val="List Paragraph"/>
    <w:basedOn w:val="Normal"/>
    <w:uiPriority w:val="34"/>
    <w:semiHidden/>
    <w:qFormat/>
    <w:rsid w:val="002E5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RD\CERD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2C4CC-9B9B-45ED-A8E5-C4AF2E82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CERD_F.dotm</Template>
  <TotalTime>0</TotalTime>
  <Pages>2</Pages>
  <Words>929</Words>
  <Characters>5398</Characters>
  <Application>Microsoft Office Word</Application>
  <DocSecurity>0</DocSecurity>
  <Lines>98</Lines>
  <Paragraphs>43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CERD/C/MRT/Q/8-14</vt:lpstr>
      <vt:lpstr>CERD/C/MRT/Q/8-14</vt:lpstr>
      <vt:lpstr>CERD/C/MRT/Q/8-14</vt:lpstr>
    </vt:vector>
  </TitlesOfParts>
  <Company>CSD</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CERD/C/MRT/Q/8-14</dc:title>
  <dc:subject/>
  <dc:creator>Kalpana Singh</dc:creator>
  <cp:keywords/>
  <cp:lastModifiedBy>Edith Bourion</cp:lastModifiedBy>
  <cp:revision>3</cp:revision>
  <cp:lastPrinted>2018-03-05T15:25:00Z</cp:lastPrinted>
  <dcterms:created xsi:type="dcterms:W3CDTF">2018-03-05T15:25:00Z</dcterms:created>
  <dcterms:modified xsi:type="dcterms:W3CDTF">2018-03-05T15:25:00Z</dcterms:modified>
</cp:coreProperties>
</file>