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6A1C25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6A1C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A1C25" w:rsidP="006A1C25">
            <w:pPr>
              <w:jc w:val="right"/>
            </w:pPr>
            <w:proofErr w:type="spellStart"/>
            <w:r w:rsidRPr="006A1C25">
              <w:rPr>
                <w:sz w:val="40"/>
              </w:rPr>
              <w:t>CERD</w:t>
            </w:r>
            <w:proofErr w:type="spellEnd"/>
            <w:r>
              <w:t>/C/</w:t>
            </w:r>
            <w:proofErr w:type="spellStart"/>
            <w:r>
              <w:t>MRT</w:t>
            </w:r>
            <w:proofErr w:type="spellEnd"/>
            <w:r>
              <w:t>/Q/8-14</w:t>
            </w:r>
          </w:p>
        </w:tc>
      </w:tr>
      <w:tr w:rsidR="002D5AAC" w:rsidTr="006A1C2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A1C25" w:rsidP="00213632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6A1C25" w:rsidRDefault="006A1C25" w:rsidP="006A1C25">
            <w:pPr>
              <w:spacing w:line="240" w:lineRule="exact"/>
            </w:pPr>
            <w:r>
              <w:t>5 de marzo de 2018</w:t>
            </w:r>
          </w:p>
          <w:p w:rsidR="006A1C25" w:rsidRDefault="006A1C25" w:rsidP="006A1C25">
            <w:pPr>
              <w:spacing w:line="240" w:lineRule="exact"/>
            </w:pPr>
            <w:r>
              <w:t>Español</w:t>
            </w:r>
          </w:p>
          <w:p w:rsidR="006A1C25" w:rsidRDefault="006A1C25" w:rsidP="006A1C25">
            <w:pPr>
              <w:spacing w:line="240" w:lineRule="exact"/>
            </w:pPr>
            <w:r>
              <w:t>Original: francés</w:t>
            </w:r>
          </w:p>
          <w:p w:rsidR="006A1C25" w:rsidRDefault="006A1C25" w:rsidP="006A1C25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6A1C25" w:rsidRPr="006A1C25" w:rsidRDefault="006A1C25" w:rsidP="006A1C25">
      <w:pPr>
        <w:spacing w:before="120"/>
        <w:rPr>
          <w:b/>
          <w:sz w:val="24"/>
        </w:rPr>
      </w:pPr>
      <w:r w:rsidRPr="006A1C25">
        <w:rPr>
          <w:b/>
          <w:sz w:val="24"/>
        </w:rPr>
        <w:t>Comité para la Eliminación de la Discriminación Racial</w:t>
      </w:r>
    </w:p>
    <w:p w:rsidR="006A1C25" w:rsidRPr="006A1C25" w:rsidRDefault="006A1C25" w:rsidP="006A1C25">
      <w:pPr>
        <w:rPr>
          <w:b/>
        </w:rPr>
      </w:pPr>
      <w:r w:rsidRPr="006A1C25">
        <w:rPr>
          <w:b/>
        </w:rPr>
        <w:t xml:space="preserve">95º período de sesiones </w:t>
      </w:r>
    </w:p>
    <w:p w:rsidR="006A1C25" w:rsidRPr="006A1C25" w:rsidRDefault="006A1C25" w:rsidP="006A1C25">
      <w:r w:rsidRPr="006A1C25">
        <w:t>23 de abril a 11 de mayo de 2018</w:t>
      </w:r>
    </w:p>
    <w:p w:rsidR="006A1C25" w:rsidRPr="006A1C25" w:rsidRDefault="006A1C25" w:rsidP="006A1C25">
      <w:r w:rsidRPr="006A1C25">
        <w:t>Tema 6 del programa provisional</w:t>
      </w:r>
    </w:p>
    <w:p w:rsidR="006A1C25" w:rsidRDefault="006A1C25" w:rsidP="006A1C25">
      <w:pPr>
        <w:rPr>
          <w:b/>
        </w:rPr>
      </w:pPr>
      <w:r w:rsidRPr="006A1C25">
        <w:rPr>
          <w:b/>
        </w:rPr>
        <w:t>Examen de los informes, las</w:t>
      </w:r>
      <w:r>
        <w:rPr>
          <w:b/>
        </w:rPr>
        <w:t xml:space="preserve"> observaciones y la información</w:t>
      </w:r>
    </w:p>
    <w:p w:rsidR="006A1C25" w:rsidRDefault="006A1C25" w:rsidP="006A1C25">
      <w:pPr>
        <w:rPr>
          <w:b/>
        </w:rPr>
      </w:pPr>
      <w:r w:rsidRPr="006A1C25">
        <w:rPr>
          <w:b/>
        </w:rPr>
        <w:t xml:space="preserve">presentados por los Estados </w:t>
      </w:r>
      <w:r>
        <w:rPr>
          <w:b/>
        </w:rPr>
        <w:t>partes en virtud del artículo 9</w:t>
      </w:r>
    </w:p>
    <w:p w:rsidR="006A1C25" w:rsidRPr="006A1C25" w:rsidRDefault="006A1C25" w:rsidP="006A1C25">
      <w:pPr>
        <w:rPr>
          <w:b/>
        </w:rPr>
      </w:pPr>
      <w:r w:rsidRPr="006A1C25">
        <w:rPr>
          <w:b/>
        </w:rPr>
        <w:t>de la Convención</w:t>
      </w:r>
    </w:p>
    <w:p w:rsidR="006A1C25" w:rsidRPr="006A1C25" w:rsidRDefault="006A1C25" w:rsidP="00EC00DA">
      <w:pPr>
        <w:pStyle w:val="HChG"/>
      </w:pPr>
      <w:r>
        <w:tab/>
      </w:r>
      <w:r w:rsidRPr="006A1C25">
        <w:tab/>
        <w:t>Lista de temas relativa a l</w:t>
      </w:r>
      <w:r>
        <w:t>os informes periódicos</w:t>
      </w:r>
      <w:r w:rsidR="00EC00DA">
        <w:br/>
      </w:r>
      <w:r>
        <w:t>8º a</w:t>
      </w:r>
      <w:r w:rsidR="00EC00DA">
        <w:t xml:space="preserve"> </w:t>
      </w:r>
      <w:r>
        <w:t>14º </w:t>
      </w:r>
      <w:r w:rsidRPr="006A1C25">
        <w:t>combinados de Mauritania</w:t>
      </w:r>
    </w:p>
    <w:p w:rsidR="006A1C25" w:rsidRPr="006A1C25" w:rsidRDefault="006A1C25" w:rsidP="006A1C25">
      <w:pPr>
        <w:pStyle w:val="H1G"/>
      </w:pPr>
      <w:r>
        <w:tab/>
      </w:r>
      <w:r w:rsidRPr="006A1C25">
        <w:tab/>
        <w:t>Nota del Relator para el país</w:t>
      </w:r>
      <w:r w:rsidRPr="006A1C25">
        <w:rPr>
          <w:rStyle w:val="Refdenotaalpie"/>
          <w:b w:val="0"/>
          <w:sz w:val="20"/>
          <w:vertAlign w:val="baseline"/>
        </w:rPr>
        <w:footnoteReference w:customMarkFollows="1" w:id="1"/>
        <w:t>*</w:t>
      </w:r>
    </w:p>
    <w:p w:rsidR="006A1C25" w:rsidRPr="006A1C25" w:rsidRDefault="006A1C25" w:rsidP="006A1C25">
      <w:pPr>
        <w:pStyle w:val="SingleTxtG"/>
      </w:pPr>
      <w:r w:rsidRPr="006A1C25">
        <w:t>1.</w:t>
      </w:r>
      <w:r w:rsidRPr="006A1C25">
        <w:tab/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:rsidR="006A1C25" w:rsidRPr="006A1C25" w:rsidRDefault="006A1C25" w:rsidP="006A1C25">
      <w:pPr>
        <w:pStyle w:val="H23G"/>
      </w:pPr>
      <w:r>
        <w:tab/>
      </w:r>
      <w:r w:rsidRPr="006A1C25">
        <w:tab/>
        <w:t>La Convención en el derecho interno y el marco con</w:t>
      </w:r>
      <w:r>
        <w:t>stitucional y normativo para su </w:t>
      </w:r>
      <w:r w:rsidR="00827A65">
        <w:t>aplicación (arts. 1</w:t>
      </w:r>
      <w:r w:rsidRPr="006A1C25">
        <w:t xml:space="preserve"> </w:t>
      </w:r>
      <w:r w:rsidR="00827A65">
        <w:t>a</w:t>
      </w:r>
      <w:r w:rsidRPr="006A1C25">
        <w:t xml:space="preserve"> 4 y 6)</w:t>
      </w:r>
    </w:p>
    <w:p w:rsidR="006A1C25" w:rsidRPr="006A1C25" w:rsidRDefault="006A1C25" w:rsidP="006A1C25">
      <w:pPr>
        <w:pStyle w:val="SingleTxtG"/>
      </w:pPr>
      <w:r w:rsidRPr="006A1C25">
        <w:t>2.</w:t>
      </w:r>
      <w:r w:rsidRPr="006A1C25">
        <w:tab/>
        <w:t xml:space="preserve">Información estadística actualizada y completa sobre la composición demográfica de la población: grupos étnicos que la conforman y migrantes, incluidos los refugiados y solicitantes de asilo. Datos socioeconómicos y lingüísticos sobre dichos grupos. </w:t>
      </w:r>
    </w:p>
    <w:p w:rsidR="006A1C25" w:rsidRPr="006A1C25" w:rsidRDefault="006A1C25" w:rsidP="006A1C25">
      <w:pPr>
        <w:pStyle w:val="SingleTxtG"/>
      </w:pPr>
      <w:r w:rsidRPr="006A1C25">
        <w:t>3.</w:t>
      </w:r>
      <w:r w:rsidRPr="006A1C25">
        <w:tab/>
        <w:t>Armonización de la definición de discriminación racial en la Constitución y los demás instrumentos legislativos, en particular la nueva Ley de Lucha contra la Discriminación, con todos los elementos del artículo 1 de la Convención.</w:t>
      </w:r>
    </w:p>
    <w:p w:rsidR="006A1C25" w:rsidRPr="006A1C25" w:rsidRDefault="006A1C25" w:rsidP="006A1C25">
      <w:pPr>
        <w:pStyle w:val="SingleTxtG"/>
      </w:pPr>
      <w:r w:rsidRPr="006A1C25">
        <w:t>4.</w:t>
      </w:r>
      <w:r w:rsidRPr="006A1C25">
        <w:tab/>
        <w:t xml:space="preserve">Revisión de la nueva Ley de Lucha contra la Discriminación aprobada por el Estado parte. </w:t>
      </w:r>
    </w:p>
    <w:p w:rsidR="006A1C25" w:rsidRPr="006A1C25" w:rsidRDefault="006A1C25" w:rsidP="006A1C25">
      <w:pPr>
        <w:pStyle w:val="SingleTxtG"/>
      </w:pPr>
      <w:r w:rsidRPr="006A1C25">
        <w:t>5.</w:t>
      </w:r>
      <w:r w:rsidRPr="006A1C25">
        <w:tab/>
        <w:t xml:space="preserve">Disposiciones del Código Penal que aseguran su plena conformidad con </w:t>
      </w:r>
      <w:r w:rsidR="00FD4A89">
        <w:t>el artículo </w:t>
      </w:r>
      <w:r w:rsidRPr="006A1C25">
        <w:t>4, apartados a) y c), de la Convención, y que establecen los prejuicios racistas como circunstancia agravante.</w:t>
      </w:r>
    </w:p>
    <w:p w:rsidR="006A1C25" w:rsidRPr="006A1C25" w:rsidRDefault="006A1C25" w:rsidP="006A1C25">
      <w:pPr>
        <w:pStyle w:val="SingleTxtG"/>
      </w:pPr>
      <w:r w:rsidRPr="006A1C25">
        <w:t>6.</w:t>
      </w:r>
      <w:r w:rsidRPr="006A1C25">
        <w:tab/>
        <w:t xml:space="preserve">Medidas adoptadas para reforzar la independencia de la Comisión Nacional de Derechos Humanos y dotarla de recursos humanos y financieros suficientes. Recursos financieros y humanos asignados al Organismo Nacional </w:t>
      </w:r>
      <w:proofErr w:type="spellStart"/>
      <w:r w:rsidRPr="006A1C25">
        <w:t>TADAMOUN</w:t>
      </w:r>
      <w:proofErr w:type="spellEnd"/>
      <w:r w:rsidRPr="006A1C25">
        <w:t>.</w:t>
      </w:r>
    </w:p>
    <w:p w:rsidR="006A1C25" w:rsidRPr="006A1C25" w:rsidRDefault="006A1C25" w:rsidP="006A1C25">
      <w:pPr>
        <w:pStyle w:val="SingleTxtG"/>
      </w:pPr>
      <w:r w:rsidRPr="006A1C25">
        <w:lastRenderedPageBreak/>
        <w:t>7.</w:t>
      </w:r>
      <w:r w:rsidRPr="006A1C25">
        <w:tab/>
        <w:t>Medidas encaminadas a facilitar la presentación de denuncias por actos, hechos o situaciones de discriminación racial, en particular de esclavitud y prácticas a</w:t>
      </w:r>
      <w:r w:rsidR="00FD4A89">
        <w:t>nálogas. </w:t>
      </w:r>
      <w:r w:rsidRPr="006A1C25">
        <w:t>Información actualizada sobre los casos de discriminación racial, en particular de esclavitud y prácticas análogas, tramitados por los tribunales del Estado parte, a saber, sobre las denuncias presentadas, las investigaciones realizadas, los procesos entablados y las condenas y sanciones impuestas, así como sobre las reparaciones ofrecidas a las víctimas.</w:t>
      </w:r>
    </w:p>
    <w:p w:rsidR="006A1C25" w:rsidRPr="006A1C25" w:rsidRDefault="006A1C25" w:rsidP="006A1C25">
      <w:pPr>
        <w:pStyle w:val="H23G"/>
      </w:pPr>
      <w:r>
        <w:tab/>
      </w:r>
      <w:r w:rsidRPr="006A1C25">
        <w:tab/>
        <w:t>Situación de los grupos étnicos (arts. 1 y 5)</w:t>
      </w:r>
    </w:p>
    <w:p w:rsidR="006A1C25" w:rsidRPr="006A1C25" w:rsidRDefault="006A1C25" w:rsidP="006A1C25">
      <w:pPr>
        <w:pStyle w:val="SingleTxtG"/>
      </w:pPr>
      <w:r w:rsidRPr="006A1C25">
        <w:t>8.</w:t>
      </w:r>
      <w:r w:rsidRPr="006A1C25">
        <w:tab/>
        <w:t xml:space="preserve">No discriminación contra los </w:t>
      </w:r>
      <w:proofErr w:type="spellStart"/>
      <w:r w:rsidRPr="006A1C25">
        <w:t>harratinos</w:t>
      </w:r>
      <w:proofErr w:type="spellEnd"/>
      <w:r w:rsidRPr="006A1C25">
        <w:t xml:space="preserve"> (moros negros) y los </w:t>
      </w:r>
      <w:proofErr w:type="spellStart"/>
      <w:r w:rsidRPr="006A1C25">
        <w:t>afromauritanos</w:t>
      </w:r>
      <w:proofErr w:type="spellEnd"/>
      <w:r w:rsidRPr="006A1C25">
        <w:t xml:space="preserve">. Estadísticas sobre la participación de estos grupos en la vida política y pública, en particular en el Parlamento, el Gobierno, los gobiernos locales, el ejército y la policía. </w:t>
      </w:r>
    </w:p>
    <w:p w:rsidR="006A1C25" w:rsidRPr="006A1C25" w:rsidRDefault="006A1C25" w:rsidP="006A1C25">
      <w:pPr>
        <w:pStyle w:val="SingleTxtG"/>
      </w:pPr>
      <w:r w:rsidRPr="006A1C25">
        <w:t>9.</w:t>
      </w:r>
      <w:r w:rsidRPr="006A1C25">
        <w:tab/>
        <w:t xml:space="preserve">Naturaleza y magnitud de la esclavitud y las prácticas análogas. </w:t>
      </w:r>
    </w:p>
    <w:p w:rsidR="006A1C25" w:rsidRPr="006A1C25" w:rsidRDefault="006A1C25" w:rsidP="006A1C25">
      <w:pPr>
        <w:pStyle w:val="SingleTxtG"/>
      </w:pPr>
      <w:r w:rsidRPr="006A1C25">
        <w:t>10.</w:t>
      </w:r>
      <w:r w:rsidRPr="006A1C25">
        <w:tab/>
        <w:t>Erradicación de la esclavitud y las prácticas análogas: información sobre las campañas emprendidas para dar a conocer la normativa que penaliza la esclavitud y sobre las repercusiones de esas campañas; los resultados de las medidas adoptadas en el marco de la aplicación de la hoja de ruta sobre la erradicación de las formas contemporáneas de esclavitud, aprobada el 6 de marzo de 2014 por el Estado parte.</w:t>
      </w:r>
    </w:p>
    <w:p w:rsidR="006A1C25" w:rsidRPr="006A1C25" w:rsidRDefault="006A1C25" w:rsidP="006A1C25">
      <w:pPr>
        <w:pStyle w:val="SingleTxtG"/>
      </w:pPr>
      <w:r w:rsidRPr="006A1C25">
        <w:t>11.</w:t>
      </w:r>
      <w:r w:rsidRPr="006A1C25">
        <w:tab/>
        <w:t>Medidas de reparación, rehabilitación e integración de los antiguos esclavos y datos estadísticos pertinentes.</w:t>
      </w:r>
    </w:p>
    <w:p w:rsidR="006A1C25" w:rsidRPr="006A1C25" w:rsidRDefault="006A1C25" w:rsidP="006A1C25">
      <w:pPr>
        <w:pStyle w:val="SingleTxtG"/>
      </w:pPr>
      <w:r w:rsidRPr="006A1C25">
        <w:t>12.</w:t>
      </w:r>
      <w:r w:rsidRPr="006A1C25">
        <w:tab/>
        <w:t xml:space="preserve">Datos estadísticos sobre el aprendizaje y la inclusión en el plan de estudios de las lenguas nacionales </w:t>
      </w:r>
      <w:proofErr w:type="spellStart"/>
      <w:r w:rsidRPr="006A1C25">
        <w:t>fulaní</w:t>
      </w:r>
      <w:proofErr w:type="spellEnd"/>
      <w:r w:rsidRPr="006A1C25">
        <w:t xml:space="preserve">, </w:t>
      </w:r>
      <w:proofErr w:type="spellStart"/>
      <w:r w:rsidRPr="006A1C25">
        <w:t>soninké</w:t>
      </w:r>
      <w:proofErr w:type="spellEnd"/>
      <w:r w:rsidRPr="006A1C25">
        <w:t xml:space="preserve"> y </w:t>
      </w:r>
      <w:proofErr w:type="spellStart"/>
      <w:r w:rsidRPr="006A1C25">
        <w:t>wolof</w:t>
      </w:r>
      <w:proofErr w:type="spellEnd"/>
      <w:r w:rsidRPr="006A1C25">
        <w:t>. Uso de esas lenguas en los documentos oficiales, los servicios sociales, la justicia y la administración. Protección y promoción de la lengua y la cultura bereberes, en particular en los libros de texto, la educación y las actividades culturales.</w:t>
      </w:r>
    </w:p>
    <w:p w:rsidR="006A1C25" w:rsidRPr="006A1C25" w:rsidRDefault="006A1C25" w:rsidP="006A1C25">
      <w:pPr>
        <w:pStyle w:val="H23G"/>
      </w:pPr>
      <w:r>
        <w:tab/>
      </w:r>
      <w:r w:rsidRPr="006A1C25">
        <w:tab/>
        <w:t>Situación de los no ciudadanos, en particular los migrantes, los refugiados y los solicitantes de asilo (arts. 1, 2, 5 y 6)</w:t>
      </w:r>
    </w:p>
    <w:p w:rsidR="006A1C25" w:rsidRPr="006A1C25" w:rsidRDefault="006A1C25" w:rsidP="006A1C25">
      <w:pPr>
        <w:pStyle w:val="SingleTxtG"/>
      </w:pPr>
      <w:r w:rsidRPr="006A1C25">
        <w:t>13.</w:t>
      </w:r>
      <w:r w:rsidRPr="006A1C25">
        <w:tab/>
        <w:t>Protección eficaz de los no nacionales en el ejerci</w:t>
      </w:r>
      <w:r w:rsidR="00FD4A89">
        <w:t xml:space="preserve">cio de sus derechos económicos, </w:t>
      </w:r>
      <w:r w:rsidRPr="006A1C25">
        <w:t xml:space="preserve">sociales y culturales, en particular en el acceso al empleo y la atención sanitaria. </w:t>
      </w:r>
    </w:p>
    <w:p w:rsidR="006A1C25" w:rsidRPr="006A1C25" w:rsidRDefault="006A1C25" w:rsidP="006A1C25">
      <w:pPr>
        <w:pStyle w:val="SingleTxtG"/>
      </w:pPr>
      <w:r w:rsidRPr="006A1C25">
        <w:t>14.</w:t>
      </w:r>
      <w:r w:rsidRPr="006A1C25">
        <w:tab/>
        <w:t>No distinción entre nacionales y no nacionales en materia de remuneración. Medidas de control adoptadas por el Estado parte para garantizar iguales condiciones de trabajo a los nacionales y los no nacionales.</w:t>
      </w:r>
    </w:p>
    <w:p w:rsidR="006A1C25" w:rsidRPr="006A1C25" w:rsidRDefault="006A1C25" w:rsidP="006A1C25">
      <w:pPr>
        <w:pStyle w:val="SingleTxtG"/>
      </w:pPr>
      <w:r w:rsidRPr="006A1C25">
        <w:t>15.</w:t>
      </w:r>
      <w:r w:rsidRPr="006A1C25">
        <w:tab/>
        <w:t>Medidas para garantizar la inscripción efectiva de todos los niños, incluidos los migrantes, nacidos en Mauritania y para otorgarles docume</w:t>
      </w:r>
      <w:r w:rsidR="00FD4A89">
        <w:t xml:space="preserve">ntos de identidad. Medidas </w:t>
      </w:r>
      <w:r w:rsidRPr="006A1C25">
        <w:t xml:space="preserve">adicionales para proporcionar documentos de identidad a todos los repatriados, en particular los </w:t>
      </w:r>
      <w:proofErr w:type="spellStart"/>
      <w:r w:rsidRPr="006A1C25">
        <w:t>afromauritanos</w:t>
      </w:r>
      <w:proofErr w:type="spellEnd"/>
      <w:r w:rsidRPr="006A1C25">
        <w:t xml:space="preserve">, expulsados entre </w:t>
      </w:r>
      <w:r w:rsidR="00FD4A89">
        <w:t>1989 y 1992 en el contexto del “pasivo </w:t>
      </w:r>
      <w:r w:rsidRPr="006A1C25">
        <w:t>humanitario</w:t>
      </w:r>
      <w:r w:rsidR="00FD4A89">
        <w:t>”</w:t>
      </w:r>
      <w:r w:rsidRPr="006A1C25">
        <w:t xml:space="preserve">. Datos estadísticos sobre las medidas para la reintegración de los repatriados. </w:t>
      </w:r>
    </w:p>
    <w:p w:rsidR="006A1C25" w:rsidRPr="006A1C25" w:rsidRDefault="006A1C25" w:rsidP="006A1C25">
      <w:pPr>
        <w:pStyle w:val="SingleTxtG"/>
      </w:pPr>
      <w:r w:rsidRPr="006A1C25">
        <w:t>16.</w:t>
      </w:r>
      <w:r w:rsidRPr="006A1C25">
        <w:tab/>
        <w:t xml:space="preserve">Información actualizada sobre la aprobación de la Ley de Asilo y la observancia del principio de no devolución. </w:t>
      </w:r>
    </w:p>
    <w:p w:rsidR="006A1C25" w:rsidRPr="006A1C25" w:rsidRDefault="006A1C25" w:rsidP="006A1C25">
      <w:pPr>
        <w:pStyle w:val="SingleTxtG"/>
      </w:pPr>
      <w:r w:rsidRPr="006A1C25">
        <w:t>17.</w:t>
      </w:r>
      <w:r w:rsidRPr="006A1C25">
        <w:tab/>
        <w:t>Discriminación entre las mujeres y los hombres mauritanos respecto de la transmisión de la nacionalidad a los hijos y los cónyuges extranjeros.</w:t>
      </w:r>
    </w:p>
    <w:p w:rsidR="006A1C25" w:rsidRPr="006A1C25" w:rsidRDefault="006A1C25" w:rsidP="006A1C25">
      <w:pPr>
        <w:pStyle w:val="SingleTxtG"/>
      </w:pPr>
      <w:r w:rsidRPr="006A1C25">
        <w:t>18.</w:t>
      </w:r>
      <w:r w:rsidRPr="006A1C25">
        <w:tab/>
        <w:t xml:space="preserve">Alcance de la trata de personas en el Estado parte. Medidas para facilitar la presentación de denuncias y la protección de las víctimas frente a las represalias. Aplicación de la Ley de Lucha contra el Tráfico de </w:t>
      </w:r>
      <w:r w:rsidR="002B13B1">
        <w:t>Migrantes y de la Ley núm. 2003-</w:t>
      </w:r>
      <w:r w:rsidRPr="006A1C25">
        <w:t>025, de 17 de julio de 2003, de Represión de la Trata de Personas: denuncias, investigaciones, enjuiciamientos, condenas, sanciones y medidas de reparación y rehabilitación de las víctimas.</w:t>
      </w:r>
      <w:bookmarkStart w:id="0" w:name="_GoBack"/>
      <w:bookmarkEnd w:id="0"/>
    </w:p>
    <w:p w:rsidR="006A1C25" w:rsidRPr="006A1C25" w:rsidRDefault="006A1C25" w:rsidP="00FD4A89">
      <w:pPr>
        <w:pStyle w:val="H23G"/>
      </w:pPr>
      <w:r>
        <w:lastRenderedPageBreak/>
        <w:tab/>
      </w:r>
      <w:r w:rsidRPr="006A1C25">
        <w:tab/>
        <w:t>Educación para luchar contra los prejuicios y promover la comprensión (art. 7)</w:t>
      </w:r>
    </w:p>
    <w:p w:rsidR="006A1C25" w:rsidRDefault="006A1C25" w:rsidP="00FD4A89">
      <w:pPr>
        <w:pStyle w:val="SingleTxtG"/>
        <w:keepNext/>
        <w:keepLines/>
      </w:pPr>
      <w:r w:rsidRPr="006A1C25">
        <w:t>19.</w:t>
      </w:r>
      <w:r w:rsidRPr="006A1C25">
        <w:tab/>
        <w:t>Sensibilización de la población con respecto a la discriminación racial y la tolerancia a fin de luchar contra los prejuicios; derechos humanos y fomento de la comprensión entre diferentes grupos en los planes de estudio escolares y en los programas de formación profesional; efectos de la formación impartida a los funcionarios judiciales auxiliares y los abogados sobre la legislación que penaliza la esclavitud y sobre el tratamiento de los casos de esclavitud y prácticas análogas.</w:t>
      </w:r>
    </w:p>
    <w:p w:rsidR="006A1C25" w:rsidRPr="006A1C25" w:rsidRDefault="006A1C25" w:rsidP="006A1C25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1C25" w:rsidRPr="006A1C25" w:rsidSect="006A1C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A7" w:rsidRPr="00D43FF0" w:rsidRDefault="00FD00A7" w:rsidP="00D43FF0">
      <w:pPr>
        <w:pStyle w:val="Piedepgina"/>
      </w:pPr>
    </w:p>
  </w:endnote>
  <w:endnote w:type="continuationSeparator" w:id="0">
    <w:p w:rsidR="00FD00A7" w:rsidRPr="00D43FF0" w:rsidRDefault="00FD00A7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25" w:rsidRPr="006A1C25" w:rsidRDefault="006A1C25" w:rsidP="006A1C25">
    <w:pPr>
      <w:pStyle w:val="Piedepgina"/>
      <w:tabs>
        <w:tab w:val="right" w:pos="9638"/>
      </w:tabs>
    </w:pPr>
    <w:r w:rsidRPr="006A1C25">
      <w:rPr>
        <w:b/>
        <w:sz w:val="18"/>
      </w:rPr>
      <w:fldChar w:fldCharType="begin"/>
    </w:r>
    <w:r w:rsidRPr="006A1C25">
      <w:rPr>
        <w:b/>
        <w:sz w:val="18"/>
      </w:rPr>
      <w:instrText xml:space="preserve"> PAGE  \* MERGEFORMAT </w:instrText>
    </w:r>
    <w:r w:rsidRPr="006A1C25">
      <w:rPr>
        <w:b/>
        <w:sz w:val="18"/>
      </w:rPr>
      <w:fldChar w:fldCharType="separate"/>
    </w:r>
    <w:r w:rsidR="00D319A7">
      <w:rPr>
        <w:b/>
        <w:noProof/>
        <w:sz w:val="18"/>
      </w:rPr>
      <w:t>2</w:t>
    </w:r>
    <w:r w:rsidRPr="006A1C25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GE.18</w:t>
    </w:r>
    <w:proofErr w:type="spellEnd"/>
    <w:r>
      <w:t>-03236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25" w:rsidRPr="006A1C25" w:rsidRDefault="006A1C25" w:rsidP="006A1C25">
    <w:pPr>
      <w:pStyle w:val="Piedepgina"/>
      <w:tabs>
        <w:tab w:val="right" w:pos="9638"/>
      </w:tabs>
      <w:rPr>
        <w:b/>
        <w:sz w:val="18"/>
      </w:rPr>
    </w:pPr>
    <w:proofErr w:type="spellStart"/>
    <w:r>
      <w:t>GE.18</w:t>
    </w:r>
    <w:proofErr w:type="spellEnd"/>
    <w:r>
      <w:t>-03236</w:t>
    </w:r>
    <w:r>
      <w:tab/>
    </w:r>
    <w:r w:rsidRPr="006A1C25">
      <w:rPr>
        <w:b/>
        <w:sz w:val="18"/>
      </w:rPr>
      <w:fldChar w:fldCharType="begin"/>
    </w:r>
    <w:r w:rsidRPr="006A1C25">
      <w:rPr>
        <w:b/>
        <w:sz w:val="18"/>
      </w:rPr>
      <w:instrText xml:space="preserve"> PAGE  \* MERGEFORMAT </w:instrText>
    </w:r>
    <w:r w:rsidRPr="006A1C25">
      <w:rPr>
        <w:b/>
        <w:sz w:val="18"/>
      </w:rPr>
      <w:fldChar w:fldCharType="separate"/>
    </w:r>
    <w:r w:rsidR="00D319A7">
      <w:rPr>
        <w:b/>
        <w:noProof/>
        <w:sz w:val="18"/>
      </w:rPr>
      <w:t>3</w:t>
    </w:r>
    <w:r w:rsidRPr="006A1C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6A1C25" w:rsidRDefault="006A1C25" w:rsidP="006A1C25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CC15A3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</w:t>
    </w:r>
    <w:proofErr w:type="spellEnd"/>
    <w:r>
      <w:rPr>
        <w:sz w:val="20"/>
      </w:rPr>
      <w:t>-03236  (S)    100518    100518</w:t>
    </w:r>
    <w:r>
      <w:rPr>
        <w:sz w:val="20"/>
      </w:rPr>
      <w:br/>
    </w:r>
    <w:r w:rsidRPr="006A1C25">
      <w:rPr>
        <w:rFonts w:ascii="C39T30Lfz" w:hAnsi="C39T30Lfz"/>
        <w:sz w:val="56"/>
      </w:rPr>
      <w:t></w:t>
    </w:r>
    <w:r w:rsidRPr="006A1C25">
      <w:rPr>
        <w:rFonts w:ascii="C39T30Lfz" w:hAnsi="C39T30Lfz"/>
        <w:sz w:val="56"/>
      </w:rPr>
      <w:t></w:t>
    </w:r>
    <w:r w:rsidRPr="006A1C25">
      <w:rPr>
        <w:rFonts w:ascii="C39T30Lfz" w:hAnsi="C39T30Lfz"/>
        <w:sz w:val="56"/>
      </w:rPr>
      <w:t></w:t>
    </w:r>
    <w:r w:rsidRPr="006A1C25">
      <w:rPr>
        <w:rFonts w:ascii="C39T30Lfz" w:hAnsi="C39T30Lfz"/>
        <w:sz w:val="56"/>
      </w:rPr>
      <w:t></w:t>
    </w:r>
    <w:r w:rsidRPr="006A1C25">
      <w:rPr>
        <w:rFonts w:ascii="C39T30Lfz" w:hAnsi="C39T30Lfz"/>
        <w:sz w:val="56"/>
      </w:rPr>
      <w:t></w:t>
    </w:r>
    <w:r w:rsidRPr="006A1C25">
      <w:rPr>
        <w:rFonts w:ascii="C39T30Lfz" w:hAnsi="C39T30Lfz"/>
        <w:sz w:val="56"/>
      </w:rPr>
      <w:t></w:t>
    </w:r>
    <w:r w:rsidRPr="006A1C25">
      <w:rPr>
        <w:rFonts w:ascii="C39T30Lfz" w:hAnsi="C39T30Lfz"/>
        <w:sz w:val="56"/>
      </w:rPr>
      <w:t></w:t>
    </w:r>
    <w:r w:rsidRPr="006A1C25">
      <w:rPr>
        <w:rFonts w:ascii="C39T30Lfz" w:hAnsi="C39T30Lfz"/>
        <w:sz w:val="56"/>
      </w:rPr>
      <w:t></w:t>
    </w:r>
    <w:r w:rsidRPr="006A1C25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ERD/C/MRT/Q/8-1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MRT/Q/8-1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A7" w:rsidRPr="001075E9" w:rsidRDefault="00FD00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00A7" w:rsidRDefault="00FD00A7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A1C25" w:rsidRPr="006A1C25" w:rsidRDefault="006A1C25">
      <w:pPr>
        <w:pStyle w:val="Textonotapie"/>
        <w:rPr>
          <w:sz w:val="20"/>
        </w:rPr>
      </w:pPr>
      <w:r>
        <w:tab/>
      </w:r>
      <w:r w:rsidRPr="006A1C25">
        <w:rPr>
          <w:rStyle w:val="Refdenotaalpie"/>
          <w:sz w:val="20"/>
          <w:vertAlign w:val="baseline"/>
        </w:rPr>
        <w:t>*</w:t>
      </w:r>
      <w:r w:rsidRPr="006A1C25">
        <w:rPr>
          <w:rStyle w:val="Refdenotaalpie"/>
          <w:vertAlign w:val="baseline"/>
        </w:rPr>
        <w:tab/>
      </w:r>
      <w:r w:rsidRPr="006A1C25">
        <w:t>El presente informe se presentó después del plazo establecido a fin de poder incluir en él los hechos más recientes.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25" w:rsidRPr="006A1C25" w:rsidRDefault="002113AF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A1C25">
      <w:t>CERD</w:t>
    </w:r>
    <w:proofErr w:type="spellEnd"/>
    <w:r w:rsidR="006A1C25">
      <w:t>/C/</w:t>
    </w:r>
    <w:proofErr w:type="spellStart"/>
    <w:r w:rsidR="006A1C25">
      <w:t>MRT</w:t>
    </w:r>
    <w:proofErr w:type="spellEnd"/>
    <w:r w:rsidR="006A1C25">
      <w:t>/Q/8-14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25" w:rsidRPr="006A1C25" w:rsidRDefault="002113AF" w:rsidP="006A1C25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A1C25">
      <w:t>CERD</w:t>
    </w:r>
    <w:proofErr w:type="spellEnd"/>
    <w:r w:rsidR="006A1C25">
      <w:t>/C/</w:t>
    </w:r>
    <w:proofErr w:type="spellStart"/>
    <w:r w:rsidR="006A1C25">
      <w:t>MRT</w:t>
    </w:r>
    <w:proofErr w:type="spellEnd"/>
    <w:r w:rsidR="006A1C25">
      <w:t>/Q/8-14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A7"/>
    <w:rsid w:val="00006BB9"/>
    <w:rsid w:val="000107A1"/>
    <w:rsid w:val="0002339D"/>
    <w:rsid w:val="00036733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B13B1"/>
    <w:rsid w:val="002C0E18"/>
    <w:rsid w:val="002C33BB"/>
    <w:rsid w:val="002D5AAC"/>
    <w:rsid w:val="002E0148"/>
    <w:rsid w:val="00301299"/>
    <w:rsid w:val="00322004"/>
    <w:rsid w:val="003402C2"/>
    <w:rsid w:val="00381C24"/>
    <w:rsid w:val="003958D0"/>
    <w:rsid w:val="004031F0"/>
    <w:rsid w:val="00454E07"/>
    <w:rsid w:val="00471CB3"/>
    <w:rsid w:val="0050108D"/>
    <w:rsid w:val="0051740C"/>
    <w:rsid w:val="00572E19"/>
    <w:rsid w:val="005F0B42"/>
    <w:rsid w:val="00634841"/>
    <w:rsid w:val="00655A21"/>
    <w:rsid w:val="0067198A"/>
    <w:rsid w:val="006725B3"/>
    <w:rsid w:val="006808A9"/>
    <w:rsid w:val="006A1C25"/>
    <w:rsid w:val="006D631C"/>
    <w:rsid w:val="006F35EE"/>
    <w:rsid w:val="007021FF"/>
    <w:rsid w:val="007076CB"/>
    <w:rsid w:val="007967DF"/>
    <w:rsid w:val="00827A65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51972"/>
    <w:rsid w:val="00954E65"/>
    <w:rsid w:val="00A17DFD"/>
    <w:rsid w:val="00A414EF"/>
    <w:rsid w:val="00A4674B"/>
    <w:rsid w:val="00A917B3"/>
    <w:rsid w:val="00AB4B51"/>
    <w:rsid w:val="00B066FC"/>
    <w:rsid w:val="00B10CC7"/>
    <w:rsid w:val="00B432CC"/>
    <w:rsid w:val="00B62458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C15A3"/>
    <w:rsid w:val="00D05347"/>
    <w:rsid w:val="00D319A7"/>
    <w:rsid w:val="00D43FF0"/>
    <w:rsid w:val="00D90138"/>
    <w:rsid w:val="00DA26B8"/>
    <w:rsid w:val="00DD4E25"/>
    <w:rsid w:val="00E2656E"/>
    <w:rsid w:val="00E73F76"/>
    <w:rsid w:val="00EA31D8"/>
    <w:rsid w:val="00EA5579"/>
    <w:rsid w:val="00EC00DA"/>
    <w:rsid w:val="00EF1360"/>
    <w:rsid w:val="00EF3220"/>
    <w:rsid w:val="00EF7198"/>
    <w:rsid w:val="00F41883"/>
    <w:rsid w:val="00F45524"/>
    <w:rsid w:val="00F94155"/>
    <w:rsid w:val="00FC28A5"/>
    <w:rsid w:val="00FD00A7"/>
    <w:rsid w:val="00FD2EF7"/>
    <w:rsid w:val="00FD4A89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514C5"/>
  <w15:docId w15:val="{8DF253AC-32D8-4BDD-A485-621B3E16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qFormat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3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</vt:lpstr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CERD/C/MRT/Q/8-14</dc:title>
  <dc:subject/>
  <dc:creator>Angel MORENO TORRES</dc:creator>
  <cp:keywords/>
  <cp:lastModifiedBy>Carlos Bragunde Lopez</cp:lastModifiedBy>
  <cp:revision>2</cp:revision>
  <dcterms:created xsi:type="dcterms:W3CDTF">2018-05-10T17:11:00Z</dcterms:created>
  <dcterms:modified xsi:type="dcterms:W3CDTF">2018-05-10T17:11:00Z</dcterms:modified>
</cp:coreProperties>
</file>