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380CC0" w:rsidRPr="003007FC" w14:paraId="5FF1EE8C" w14:textId="77777777" w:rsidTr="00E56EE3">
        <w:trPr>
          <w:trHeight w:hRule="exact" w:val="851"/>
        </w:trPr>
        <w:tc>
          <w:tcPr>
            <w:tcW w:w="1280" w:type="dxa"/>
            <w:tcBorders>
              <w:bottom w:val="single" w:sz="4" w:space="0" w:color="auto"/>
            </w:tcBorders>
            <w:shd w:val="clear" w:color="auto" w:fill="auto"/>
          </w:tcPr>
          <w:p w14:paraId="1EA95FAB" w14:textId="77777777" w:rsidR="002D5AAC" w:rsidRDefault="002D5AAC" w:rsidP="00E56EE3"/>
        </w:tc>
        <w:tc>
          <w:tcPr>
            <w:tcW w:w="2273" w:type="dxa"/>
            <w:tcBorders>
              <w:bottom w:val="single" w:sz="4" w:space="0" w:color="auto"/>
            </w:tcBorders>
            <w:shd w:val="clear" w:color="auto" w:fill="auto"/>
            <w:vAlign w:val="bottom"/>
          </w:tcPr>
          <w:p w14:paraId="62C7D638" w14:textId="77777777" w:rsidR="002D5AAC" w:rsidRPr="00D4778E" w:rsidRDefault="0024336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27721DE7" w14:textId="2C6B865D" w:rsidR="002D5AAC" w:rsidRPr="00412C2F" w:rsidRDefault="00412C2F" w:rsidP="00412C2F">
            <w:pPr>
              <w:jc w:val="right"/>
              <w:rPr>
                <w:lang w:val="en-GB"/>
              </w:rPr>
            </w:pPr>
            <w:r w:rsidRPr="00412C2F">
              <w:rPr>
                <w:sz w:val="40"/>
                <w:lang w:val="en-GB"/>
              </w:rPr>
              <w:t>CAT</w:t>
            </w:r>
            <w:r>
              <w:rPr>
                <w:lang w:val="en-GB"/>
              </w:rPr>
              <w:t>/C/NIC/</w:t>
            </w:r>
            <w:proofErr w:type="spellStart"/>
            <w:r>
              <w:rPr>
                <w:lang w:val="en-GB"/>
              </w:rPr>
              <w:t>PCO</w:t>
            </w:r>
            <w:proofErr w:type="spellEnd"/>
            <w:r>
              <w:rPr>
                <w:lang w:val="en-GB"/>
              </w:rPr>
              <w:t>/2</w:t>
            </w:r>
          </w:p>
        </w:tc>
      </w:tr>
      <w:tr w:rsidR="00380CC0" w14:paraId="0BABDBAF" w14:textId="77777777" w:rsidTr="00E56EE3">
        <w:trPr>
          <w:trHeight w:hRule="exact" w:val="2835"/>
        </w:trPr>
        <w:tc>
          <w:tcPr>
            <w:tcW w:w="1280" w:type="dxa"/>
            <w:tcBorders>
              <w:top w:val="single" w:sz="4" w:space="0" w:color="auto"/>
              <w:bottom w:val="single" w:sz="12" w:space="0" w:color="auto"/>
            </w:tcBorders>
            <w:shd w:val="clear" w:color="auto" w:fill="auto"/>
          </w:tcPr>
          <w:p w14:paraId="5F596393" w14:textId="77777777" w:rsidR="002D5AAC" w:rsidRDefault="0024336E" w:rsidP="00E56EE3">
            <w:pPr>
              <w:spacing w:before="120"/>
              <w:jc w:val="center"/>
            </w:pPr>
            <w:r>
              <w:rPr>
                <w:noProof/>
                <w:lang w:val="en-GB" w:eastAsia="en-GB"/>
              </w:rPr>
              <w:drawing>
                <wp:inline distT="0" distB="0" distL="0" distR="0" wp14:anchorId="59DC0939" wp14:editId="695AC378">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34DDBC4" w14:textId="77777777" w:rsidR="002D5AAC" w:rsidRPr="00D4778E" w:rsidRDefault="0024336E" w:rsidP="00E56EE3">
            <w:pPr>
              <w:spacing w:before="120" w:line="360" w:lineRule="exact"/>
              <w:rPr>
                <w:b/>
                <w:sz w:val="34"/>
                <w:szCs w:val="34"/>
              </w:rPr>
            </w:pPr>
            <w:r w:rsidRPr="00D4778E">
              <w:rPr>
                <w:b/>
                <w:sz w:val="34"/>
                <w:szCs w:val="34"/>
              </w:rPr>
              <w:t xml:space="preserve">Convención contra </w:t>
            </w:r>
            <w:r w:rsidR="007021FF" w:rsidRPr="00D4778E">
              <w:rPr>
                <w:b/>
                <w:sz w:val="34"/>
                <w:szCs w:val="34"/>
              </w:rPr>
              <w:t xml:space="preserve">la </w:t>
            </w:r>
            <w:r w:rsidRPr="00D4778E">
              <w:rPr>
                <w:b/>
                <w:sz w:val="34"/>
                <w:szCs w:val="34"/>
              </w:rPr>
              <w:t>Tortura</w:t>
            </w:r>
            <w:r w:rsidR="00033EE1" w:rsidRPr="00D4778E">
              <w:rPr>
                <w:b/>
                <w:sz w:val="34"/>
                <w:szCs w:val="34"/>
              </w:rPr>
              <w:br/>
            </w:r>
            <w:r w:rsidRPr="00D4778E">
              <w:rPr>
                <w:b/>
                <w:sz w:val="34"/>
                <w:szCs w:val="34"/>
              </w:rPr>
              <w:t xml:space="preserve">y Otros </w:t>
            </w:r>
            <w:r w:rsidR="007021FF" w:rsidRPr="00D4778E">
              <w:rPr>
                <w:b/>
                <w:sz w:val="34"/>
                <w:szCs w:val="34"/>
              </w:rPr>
              <w:t xml:space="preserve">Tratos </w:t>
            </w:r>
            <w:r w:rsidRPr="00D4778E">
              <w:rPr>
                <w:b/>
                <w:sz w:val="34"/>
                <w:szCs w:val="34"/>
              </w:rPr>
              <w:t>o Penas Crueles,</w:t>
            </w:r>
            <w:r w:rsidRPr="00D4778E">
              <w:rPr>
                <w:b/>
                <w:sz w:val="34"/>
                <w:szCs w:val="34"/>
              </w:rPr>
              <w:br/>
              <w:t>Inhumanos o Degradantes</w:t>
            </w:r>
          </w:p>
        </w:tc>
        <w:tc>
          <w:tcPr>
            <w:tcW w:w="2819" w:type="dxa"/>
            <w:tcBorders>
              <w:top w:val="single" w:sz="4" w:space="0" w:color="auto"/>
              <w:bottom w:val="single" w:sz="12" w:space="0" w:color="auto"/>
            </w:tcBorders>
            <w:shd w:val="clear" w:color="auto" w:fill="auto"/>
          </w:tcPr>
          <w:p w14:paraId="5CF4AE1E" w14:textId="022D98E1" w:rsidR="00935A0B" w:rsidRPr="00F43810" w:rsidRDefault="0024336E" w:rsidP="00935A0B">
            <w:pPr>
              <w:spacing w:before="240" w:line="240" w:lineRule="exact"/>
            </w:pPr>
            <w:r w:rsidRPr="00F43810">
              <w:t xml:space="preserve">Distr. </w:t>
            </w:r>
            <w:r w:rsidR="00280D93">
              <w:t>general</w:t>
            </w:r>
          </w:p>
          <w:p w14:paraId="31C88C6B" w14:textId="32BFAF09" w:rsidR="00935A0B" w:rsidRPr="00F43810" w:rsidRDefault="0075186C" w:rsidP="00935A0B">
            <w:r>
              <w:t>1</w:t>
            </w:r>
            <w:r w:rsidR="00E0183D">
              <w:t xml:space="preserve"> </w:t>
            </w:r>
            <w:r w:rsidR="000B432F">
              <w:t xml:space="preserve">de </w:t>
            </w:r>
            <w:r w:rsidR="00A731D7">
              <w:t>septiembre</w:t>
            </w:r>
            <w:r w:rsidR="00E0183D">
              <w:t xml:space="preserve"> </w:t>
            </w:r>
            <w:r w:rsidR="000B432F">
              <w:t>de 2022</w:t>
            </w:r>
          </w:p>
          <w:p w14:paraId="75BFB557" w14:textId="77777777" w:rsidR="00935A0B" w:rsidRPr="00F43810" w:rsidRDefault="00935A0B" w:rsidP="00935A0B"/>
          <w:p w14:paraId="5895F383" w14:textId="5E4BB81B" w:rsidR="002D5AAC" w:rsidRDefault="0024336E" w:rsidP="0045380A">
            <w:r w:rsidRPr="00F43810">
              <w:t xml:space="preserve">Original: </w:t>
            </w:r>
            <w:r w:rsidR="000B432F">
              <w:t>español</w:t>
            </w:r>
          </w:p>
        </w:tc>
      </w:tr>
    </w:tbl>
    <w:p w14:paraId="5B177C0C" w14:textId="77777777" w:rsidR="004E6A62" w:rsidRDefault="0024336E" w:rsidP="004E6A62">
      <w:pPr>
        <w:spacing w:before="120"/>
      </w:pPr>
      <w:r w:rsidRPr="002541C7">
        <w:rPr>
          <w:b/>
          <w:sz w:val="24"/>
        </w:rPr>
        <w:t>Comité contra la Tortura</w:t>
      </w:r>
    </w:p>
    <w:p w14:paraId="15BAA6BF" w14:textId="520844BD" w:rsidR="000603FE" w:rsidRDefault="0024336E" w:rsidP="0045380A">
      <w:pPr>
        <w:pStyle w:val="HChG"/>
        <w:rPr>
          <w:bCs/>
        </w:rPr>
      </w:pPr>
      <w:r>
        <w:tab/>
      </w:r>
      <w:r>
        <w:tab/>
        <w:t xml:space="preserve">Observaciones </w:t>
      </w:r>
      <w:r w:rsidRPr="004939BD">
        <w:t xml:space="preserve">finales </w:t>
      </w:r>
      <w:r w:rsidR="00C7285F" w:rsidRPr="0045380A">
        <w:t xml:space="preserve">de carácter provisional </w:t>
      </w:r>
      <w:r w:rsidR="00A731D7">
        <w:rPr>
          <w:bCs/>
        </w:rPr>
        <w:t>sobre</w:t>
      </w:r>
      <w:r w:rsidR="00CB4AA4" w:rsidRPr="003007FC">
        <w:t xml:space="preserve"> </w:t>
      </w:r>
      <w:r w:rsidR="00A731D7" w:rsidRPr="003007FC">
        <w:t>el</w:t>
      </w:r>
      <w:r w:rsidR="00A731D7">
        <w:t> </w:t>
      </w:r>
      <w:r w:rsidR="00CB4AA4" w:rsidRPr="00502F54">
        <w:t xml:space="preserve">segundo </w:t>
      </w:r>
      <w:r w:rsidR="00CB4AA4" w:rsidRPr="003007FC">
        <w:t>informe periódico</w:t>
      </w:r>
      <w:r w:rsidR="009C3600" w:rsidRPr="003007FC">
        <w:t> </w:t>
      </w:r>
      <w:r w:rsidR="00CB4AA4" w:rsidRPr="003007FC">
        <w:t>de</w:t>
      </w:r>
      <w:r w:rsidR="009C3600" w:rsidRPr="003007FC">
        <w:t> </w:t>
      </w:r>
      <w:r w:rsidR="00CB4AA4" w:rsidRPr="003007FC">
        <w:t>Nicaragua</w:t>
      </w:r>
      <w:r w:rsidR="00007311" w:rsidRPr="0045380A">
        <w:rPr>
          <w:b w:val="0"/>
          <w:sz w:val="20"/>
          <w:szCs w:val="16"/>
        </w:rPr>
        <w:footnoteReference w:customMarkFollows="1" w:id="1"/>
        <w:t>*</w:t>
      </w:r>
    </w:p>
    <w:p w14:paraId="16AD6FEF" w14:textId="3EFD414C" w:rsidR="009459DA" w:rsidRPr="008848AD" w:rsidRDefault="009459DA" w:rsidP="009459DA">
      <w:pPr>
        <w:pStyle w:val="SingleTxtG"/>
      </w:pPr>
      <w:r w:rsidRPr="008848AD">
        <w:t>1.</w:t>
      </w:r>
      <w:r w:rsidRPr="008848AD">
        <w:tab/>
        <w:t>El Comité contra la Tortura examinó el segundo informe periódico de Nicaragua</w:t>
      </w:r>
      <w:r w:rsidRPr="0045380A">
        <w:rPr>
          <w:sz w:val="18"/>
          <w:szCs w:val="18"/>
          <w:vertAlign w:val="superscript"/>
        </w:rPr>
        <w:footnoteReference w:id="2"/>
      </w:r>
      <w:r w:rsidRPr="008848AD">
        <w:t xml:space="preserve"> en su sesión 1916ª</w:t>
      </w:r>
      <w:r w:rsidRPr="0045380A">
        <w:rPr>
          <w:sz w:val="18"/>
          <w:szCs w:val="18"/>
          <w:vertAlign w:val="superscript"/>
        </w:rPr>
        <w:footnoteReference w:id="3"/>
      </w:r>
      <w:r w:rsidR="00EA2DA3">
        <w:t>,</w:t>
      </w:r>
      <w:r w:rsidR="009316F1">
        <w:t xml:space="preserve"> </w:t>
      </w:r>
      <w:r w:rsidRPr="008848AD">
        <w:t xml:space="preserve">celebrada el día 14 de julio de 2022, y aprobó en su </w:t>
      </w:r>
      <w:r>
        <w:t>1931</w:t>
      </w:r>
      <w:r w:rsidRPr="008848AD">
        <w:t xml:space="preserve">ª sesión, celebrada el </w:t>
      </w:r>
      <w:r>
        <w:t>26</w:t>
      </w:r>
      <w:r w:rsidRPr="008848AD">
        <w:t xml:space="preserve"> de julio de 2022, las </w:t>
      </w:r>
      <w:r w:rsidR="00F943E5">
        <w:t xml:space="preserve">presentes </w:t>
      </w:r>
      <w:r w:rsidRPr="008848AD">
        <w:t xml:space="preserve">observaciones finales </w:t>
      </w:r>
      <w:r w:rsidRPr="00B66BE1">
        <w:t>de carácter provisional</w:t>
      </w:r>
      <w:r w:rsidRPr="000C224D">
        <w:t>.</w:t>
      </w:r>
    </w:p>
    <w:p w14:paraId="16ABD967" w14:textId="77777777" w:rsidR="009459DA" w:rsidRPr="008848AD" w:rsidRDefault="009459DA" w:rsidP="009459DA">
      <w:pPr>
        <w:pStyle w:val="H1G"/>
      </w:pPr>
      <w:r w:rsidRPr="008848AD">
        <w:tab/>
        <w:t>A.</w:t>
      </w:r>
      <w:r w:rsidRPr="008848AD">
        <w:tab/>
        <w:t>Introducción</w:t>
      </w:r>
    </w:p>
    <w:p w14:paraId="59BFF306" w14:textId="0ABF7825" w:rsidR="009459DA" w:rsidRPr="008848AD" w:rsidRDefault="009459DA" w:rsidP="0045380A">
      <w:pPr>
        <w:pStyle w:val="SingleTxtG"/>
      </w:pPr>
      <w:r w:rsidRPr="008848AD">
        <w:t>2.</w:t>
      </w:r>
      <w:r w:rsidRPr="008848AD">
        <w:tab/>
        <w:t xml:space="preserve">El Comité celebra la presentación del informe periódico, si bien se recibió con seis años de retraso. Lamenta, no obstante, la negativa explícita de las autoridades nicaragüenses a remitir por escrito sus respuestas a la lista de cuestiones </w:t>
      </w:r>
      <w:r w:rsidR="00F943E5">
        <w:t>aprobada</w:t>
      </w:r>
      <w:r w:rsidRPr="008848AD">
        <w:t xml:space="preserve"> en diciembre de 2020</w:t>
      </w:r>
      <w:r w:rsidR="00F960A3" w:rsidRPr="0045380A">
        <w:rPr>
          <w:sz w:val="18"/>
          <w:szCs w:val="18"/>
          <w:vertAlign w:val="superscript"/>
        </w:rPr>
        <w:footnoteReference w:id="4"/>
      </w:r>
      <w:r w:rsidRPr="008848AD">
        <w:t xml:space="preserve">. Al respecto, el Comité rechaza enérgicamente los términos de la carta de fecha 29 de junio de 2022 </w:t>
      </w:r>
      <w:r w:rsidRPr="007C0EFB">
        <w:t xml:space="preserve">dirigida al </w:t>
      </w:r>
      <w:r w:rsidRPr="006D7444">
        <w:t>Presidente</w:t>
      </w:r>
      <w:r w:rsidRPr="008848AD">
        <w:t xml:space="preserve"> del Comité por el Ministerio de Relaciones Exteriores, en la que se cuestiona la legitimidad e integridad del Comité y otros de los mecanismos internacionales de derechos humanos, como la Oficina del Alto Comisionado de las Naciones Unidas para los Derechos Humanos (ACNUDH). Más aún, y a pesar de los repetidos requerimientos del Comité, el Estado parte no envío a ningún representante al 74º período de sesiones. Ante esta situación y en aplicación de su </w:t>
      </w:r>
      <w:r w:rsidR="000E64FA">
        <w:t>r</w:t>
      </w:r>
      <w:r w:rsidRPr="008848AD">
        <w:t>eglamento, el Comité decidió proceder a examinar el informe periódico y luego aprobar unas observaciones finales de carácter provisional que serán presentadas al Estado parte para que formule comentarios. El Comité aprobará sus observaciones finales de carácter definitivo en su 75º período de sesiones</w:t>
      </w:r>
      <w:r>
        <w:t xml:space="preserve">, </w:t>
      </w:r>
      <w:r w:rsidRPr="00A650CD">
        <w:t>conforme a</w:t>
      </w:r>
      <w:r w:rsidR="00F57279">
        <w:t>l artículo </w:t>
      </w:r>
      <w:r w:rsidRPr="00A650CD">
        <w:t>68, párrafo 2 b)</w:t>
      </w:r>
      <w:r w:rsidR="00F57279">
        <w:t>,</w:t>
      </w:r>
      <w:r w:rsidRPr="00A650CD">
        <w:t xml:space="preserve"> de su </w:t>
      </w:r>
      <w:r w:rsidR="00F57279">
        <w:t>r</w:t>
      </w:r>
      <w:r w:rsidRPr="00A650CD">
        <w:t>eglamento.</w:t>
      </w:r>
    </w:p>
    <w:p w14:paraId="33DB0645" w14:textId="6E70D843" w:rsidR="009459DA" w:rsidRPr="008848AD" w:rsidRDefault="009459DA" w:rsidP="009459DA">
      <w:pPr>
        <w:pStyle w:val="H1G"/>
      </w:pPr>
      <w:r w:rsidRPr="008848AD">
        <w:tab/>
        <w:t>B.</w:t>
      </w:r>
      <w:r w:rsidRPr="008848AD">
        <w:tab/>
        <w:t>Aspectos positivos</w:t>
      </w:r>
    </w:p>
    <w:p w14:paraId="748C5DC7" w14:textId="77777777" w:rsidR="009459DA" w:rsidRPr="008848AD" w:rsidRDefault="009459DA" w:rsidP="0045380A">
      <w:pPr>
        <w:pStyle w:val="SingleTxtG"/>
      </w:pPr>
      <w:r w:rsidRPr="008848AD">
        <w:t>3.</w:t>
      </w:r>
      <w:r w:rsidRPr="008848AD">
        <w:tab/>
        <w:t xml:space="preserve">El Comité celebra la ratificación de los siguientes instrumentos o la adhesión del Estado parte a ellos: </w:t>
      </w:r>
    </w:p>
    <w:p w14:paraId="47F69DE5" w14:textId="0957A9EB" w:rsidR="009459DA" w:rsidRPr="008848AD" w:rsidRDefault="00A731D7" w:rsidP="0045380A">
      <w:pPr>
        <w:pStyle w:val="SingleTxtG"/>
      </w:pPr>
      <w:r>
        <w:tab/>
      </w:r>
      <w:r w:rsidR="009459DA" w:rsidRPr="008848AD">
        <w:t>a)</w:t>
      </w:r>
      <w:r w:rsidR="009459DA" w:rsidRPr="008848AD">
        <w:tab/>
        <w:t xml:space="preserve">La Convención para </w:t>
      </w:r>
      <w:r w:rsidR="00B71742">
        <w:t>R</w:t>
      </w:r>
      <w:r w:rsidR="009459DA" w:rsidRPr="008848AD">
        <w:t xml:space="preserve">educir los </w:t>
      </w:r>
      <w:r w:rsidR="00B71742">
        <w:t>C</w:t>
      </w:r>
      <w:r w:rsidR="009459DA" w:rsidRPr="008848AD">
        <w:t xml:space="preserve">asos de </w:t>
      </w:r>
      <w:r w:rsidR="00B71742">
        <w:t>A</w:t>
      </w:r>
      <w:r w:rsidR="009459DA" w:rsidRPr="008848AD">
        <w:t>patridia, en 2013;</w:t>
      </w:r>
    </w:p>
    <w:p w14:paraId="5B1424BE" w14:textId="3DD89EC5" w:rsidR="009459DA" w:rsidRPr="008848AD" w:rsidRDefault="00A731D7" w:rsidP="0045380A">
      <w:pPr>
        <w:pStyle w:val="SingleTxtG"/>
      </w:pPr>
      <w:r>
        <w:tab/>
      </w:r>
      <w:r w:rsidR="009459DA" w:rsidRPr="008848AD">
        <w:t>b)</w:t>
      </w:r>
      <w:r w:rsidR="009459DA" w:rsidRPr="008848AD">
        <w:tab/>
        <w:t xml:space="preserve">La Convención sobre el </w:t>
      </w:r>
      <w:r w:rsidR="00E1323A">
        <w:t>E</w:t>
      </w:r>
      <w:r w:rsidR="009459DA" w:rsidRPr="008848AD">
        <w:t xml:space="preserve">statuto de los </w:t>
      </w:r>
      <w:r w:rsidR="00E1323A">
        <w:t>A</w:t>
      </w:r>
      <w:r w:rsidR="009459DA" w:rsidRPr="008848AD">
        <w:t>pátridas, en 2013;</w:t>
      </w:r>
    </w:p>
    <w:p w14:paraId="2ED282F6" w14:textId="37B3FE8C" w:rsidR="009459DA" w:rsidRPr="008848AD" w:rsidRDefault="00A731D7" w:rsidP="0045380A">
      <w:pPr>
        <w:pStyle w:val="SingleTxtG"/>
      </w:pPr>
      <w:r>
        <w:tab/>
      </w:r>
      <w:r w:rsidR="009459DA" w:rsidRPr="008848AD">
        <w:t>c)</w:t>
      </w:r>
      <w:r w:rsidR="009459DA" w:rsidRPr="008848AD">
        <w:tab/>
        <w:t>El Protocolo Facultativo de la Convención sobre los Derechos de las Personas con D</w:t>
      </w:r>
      <w:r w:rsidR="009459DA">
        <w:t>iscapacidad, en febrero de 2010.</w:t>
      </w:r>
    </w:p>
    <w:p w14:paraId="5CF6ED75" w14:textId="77777777" w:rsidR="009459DA" w:rsidRPr="008848AD" w:rsidRDefault="009459DA" w:rsidP="0045380A">
      <w:pPr>
        <w:pStyle w:val="SingleTxtG"/>
        <w:keepNext/>
        <w:keepLines/>
      </w:pPr>
      <w:r w:rsidRPr="008848AD">
        <w:lastRenderedPageBreak/>
        <w:t>4.</w:t>
      </w:r>
      <w:r w:rsidRPr="008848AD">
        <w:tab/>
        <w:t>El Comité acoge con satisfacción las iniciativas emprendidas por el Estado parte para revisar su legislación en ámbitos relacionados con la Convención, entre otras las siguientes:</w:t>
      </w:r>
    </w:p>
    <w:p w14:paraId="08009665" w14:textId="77777777" w:rsidR="009459DA" w:rsidRPr="008848AD" w:rsidRDefault="009459DA" w:rsidP="0045380A">
      <w:pPr>
        <w:pStyle w:val="SingleTxtG"/>
      </w:pPr>
      <w:r w:rsidRPr="008848AD">
        <w:tab/>
        <w:t>a)</w:t>
      </w:r>
      <w:r w:rsidRPr="008848AD">
        <w:tab/>
        <w:t>La promulgación en 2015 de la Ley contra la Trata de Personas (núm. 896);</w:t>
      </w:r>
    </w:p>
    <w:p w14:paraId="199661F5" w14:textId="77777777" w:rsidR="009459DA" w:rsidRPr="008848AD" w:rsidRDefault="009459DA" w:rsidP="0045380A">
      <w:pPr>
        <w:pStyle w:val="SingleTxtG"/>
      </w:pPr>
      <w:r w:rsidRPr="008848AD">
        <w:tab/>
        <w:t>b)</w:t>
      </w:r>
      <w:r w:rsidRPr="008848AD">
        <w:tab/>
        <w:t>La promulgación en 2015 del Código de la Familia, que consagra la obligación de prevenir, sancionar y erradicar la violencia doméstica o intrafamiliar;</w:t>
      </w:r>
    </w:p>
    <w:p w14:paraId="3938AF7F" w14:textId="77777777" w:rsidR="009459DA" w:rsidRPr="008848AD" w:rsidRDefault="009459DA" w:rsidP="0045380A">
      <w:pPr>
        <w:pStyle w:val="SingleTxtG"/>
      </w:pPr>
      <w:r w:rsidRPr="008848AD">
        <w:tab/>
        <w:t>c)</w:t>
      </w:r>
      <w:r w:rsidRPr="008848AD">
        <w:tab/>
        <w:t>La promulgación en 2012 de la Ley Integral contra la Violencia hacia las Mujeres (núm. 779);</w:t>
      </w:r>
    </w:p>
    <w:p w14:paraId="4EB17D84" w14:textId="3A4FC82E" w:rsidR="009459DA" w:rsidRPr="008848AD" w:rsidRDefault="009459DA" w:rsidP="0045380A">
      <w:pPr>
        <w:pStyle w:val="SingleTxtG"/>
      </w:pPr>
      <w:r w:rsidRPr="008848AD">
        <w:tab/>
        <w:t>d)</w:t>
      </w:r>
      <w:r w:rsidRPr="008848AD">
        <w:tab/>
        <w:t>La promulgación en 2011 de la Ley General de Migración y Extranjería (núm.</w:t>
      </w:r>
      <w:r w:rsidR="00604232">
        <w:t> </w:t>
      </w:r>
      <w:r w:rsidRPr="008848AD">
        <w:t>761);</w:t>
      </w:r>
    </w:p>
    <w:p w14:paraId="0A291DC1" w14:textId="77777777" w:rsidR="009459DA" w:rsidRPr="008848AD" w:rsidRDefault="009459DA" w:rsidP="0045380A">
      <w:pPr>
        <w:pStyle w:val="SingleTxtG"/>
      </w:pPr>
      <w:r w:rsidRPr="008848AD">
        <w:tab/>
        <w:t>e)</w:t>
      </w:r>
      <w:r w:rsidRPr="008848AD">
        <w:tab/>
        <w:t>La promulgación en 2011 de la Ley de Ejecución, Beneficios y Control Jurisdiccional de la Sanción Penal (núm. 745).</w:t>
      </w:r>
    </w:p>
    <w:p w14:paraId="66671EB2" w14:textId="77777777" w:rsidR="009459DA" w:rsidRPr="008848AD" w:rsidRDefault="009459DA" w:rsidP="0045380A">
      <w:pPr>
        <w:pStyle w:val="SingleTxtG"/>
        <w:rPr>
          <w:rFonts w:eastAsia="Calibri"/>
          <w:u w:color="000000"/>
          <w:bdr w:val="nil"/>
          <w:lang w:val="es-ES_tradnl" w:eastAsia="en-GB"/>
        </w:rPr>
      </w:pPr>
      <w:r w:rsidRPr="008848AD">
        <w:rPr>
          <w:rFonts w:eastAsia="Calibri"/>
          <w:u w:color="000000"/>
          <w:bdr w:val="nil"/>
          <w:lang w:val="es-ES_tradnl" w:eastAsia="en-GB"/>
        </w:rPr>
        <w:t>5.</w:t>
      </w:r>
      <w:r w:rsidRPr="008848AD">
        <w:rPr>
          <w:rFonts w:eastAsia="Calibri"/>
          <w:u w:color="000000"/>
          <w:bdr w:val="nil"/>
          <w:lang w:val="es-ES_tradnl" w:eastAsia="en-GB"/>
        </w:rPr>
        <w:tab/>
        <w:t xml:space="preserve">El Comité acoge </w:t>
      </w:r>
      <w:r w:rsidRPr="008848AD">
        <w:rPr>
          <w:lang w:val="es-419"/>
        </w:rPr>
        <w:t xml:space="preserve">con satisfacción </w:t>
      </w:r>
      <w:r w:rsidRPr="008848AD">
        <w:rPr>
          <w:rFonts w:eastAsia="Calibri"/>
          <w:u w:color="000000"/>
          <w:bdr w:val="nil"/>
          <w:lang w:val="es-ES_tradnl" w:eastAsia="en-GB"/>
        </w:rPr>
        <w:t>también los esfuerzos realizados por el Estado parte con miras a modificar sus políticas y procedimientos a fin de reforzar la protección de los derechos humanos y aplicar las disposiciones de la Convención, en particular:</w:t>
      </w:r>
    </w:p>
    <w:p w14:paraId="1D118B9A" w14:textId="39ABD165" w:rsidR="009459DA" w:rsidRPr="008848AD" w:rsidRDefault="009459DA" w:rsidP="0045380A">
      <w:pPr>
        <w:pStyle w:val="SingleTxtG"/>
        <w:rPr>
          <w:rFonts w:eastAsia="Calibri"/>
          <w:u w:color="000000"/>
          <w:bdr w:val="nil"/>
          <w:lang w:eastAsia="en-GB"/>
        </w:rPr>
      </w:pPr>
      <w:r w:rsidRPr="008848AD">
        <w:rPr>
          <w:lang w:eastAsia="en-US"/>
        </w:rPr>
        <w:tab/>
        <w:t>a)</w:t>
      </w:r>
      <w:r w:rsidRPr="008848AD">
        <w:rPr>
          <w:lang w:eastAsia="en-US"/>
        </w:rPr>
        <w:tab/>
      </w:r>
      <w:r w:rsidRPr="008848AD">
        <w:rPr>
          <w:rFonts w:eastAsia="Calibri"/>
          <w:u w:color="000000"/>
          <w:bdr w:val="nil"/>
          <w:lang w:eastAsia="en-GB"/>
        </w:rPr>
        <w:t xml:space="preserve">La aprobación del </w:t>
      </w:r>
      <w:r w:rsidR="006504FA">
        <w:rPr>
          <w:rFonts w:eastAsia="Calibri"/>
          <w:u w:color="000000"/>
          <w:bdr w:val="nil"/>
          <w:lang w:eastAsia="en-GB"/>
        </w:rPr>
        <w:t>Pl</w:t>
      </w:r>
      <w:r w:rsidRPr="008848AD">
        <w:rPr>
          <w:rFonts w:eastAsia="Calibri"/>
          <w:u w:color="000000"/>
          <w:bdr w:val="nil"/>
          <w:lang w:eastAsia="en-GB"/>
        </w:rPr>
        <w:t xml:space="preserve">an </w:t>
      </w:r>
      <w:r w:rsidR="006504FA">
        <w:rPr>
          <w:rFonts w:eastAsia="Calibri"/>
          <w:u w:color="000000"/>
          <w:bdr w:val="nil"/>
          <w:lang w:eastAsia="en-GB"/>
        </w:rPr>
        <w:t>Nacional E</w:t>
      </w:r>
      <w:r w:rsidRPr="008848AD">
        <w:rPr>
          <w:rFonts w:eastAsia="Calibri"/>
          <w:u w:color="000000"/>
          <w:bdr w:val="nil"/>
          <w:lang w:eastAsia="en-GB"/>
        </w:rPr>
        <w:t xml:space="preserve">stratégico </w:t>
      </w:r>
      <w:r w:rsidR="006504FA">
        <w:rPr>
          <w:rFonts w:eastAsia="Calibri"/>
          <w:u w:color="000000"/>
          <w:bdr w:val="nil"/>
          <w:lang w:eastAsia="en-GB"/>
        </w:rPr>
        <w:t>C</w:t>
      </w:r>
      <w:r w:rsidRPr="008848AD">
        <w:rPr>
          <w:rFonts w:eastAsia="Calibri"/>
          <w:u w:color="000000"/>
          <w:bdr w:val="nil"/>
          <w:lang w:eastAsia="en-GB"/>
        </w:rPr>
        <w:t>ontra la Trata de Personas (2012-2014);</w:t>
      </w:r>
    </w:p>
    <w:p w14:paraId="45254CDD" w14:textId="77777777" w:rsidR="009459DA" w:rsidRPr="006D7444" w:rsidRDefault="009459DA" w:rsidP="0045380A">
      <w:pPr>
        <w:pStyle w:val="SingleTxtG"/>
        <w:rPr>
          <w:rFonts w:eastAsia="Calibri"/>
          <w:u w:color="000000"/>
          <w:bdr w:val="nil"/>
          <w:lang w:eastAsia="en-GB"/>
        </w:rPr>
      </w:pPr>
      <w:r w:rsidRPr="008848AD">
        <w:rPr>
          <w:lang w:eastAsia="en-GB"/>
        </w:rPr>
        <w:tab/>
      </w:r>
      <w:r w:rsidRPr="008848AD">
        <w:rPr>
          <w:lang w:eastAsia="en-US"/>
        </w:rPr>
        <w:t>b)</w:t>
      </w:r>
      <w:r w:rsidRPr="008848AD">
        <w:rPr>
          <w:lang w:eastAsia="en-GB"/>
        </w:rPr>
        <w:tab/>
      </w:r>
      <w:r w:rsidRPr="007C0EFB">
        <w:rPr>
          <w:rFonts w:eastAsia="Calibri"/>
          <w:u w:color="000000"/>
          <w:bdr w:val="nil"/>
          <w:lang w:eastAsia="en-GB"/>
        </w:rPr>
        <w:t>La adopción del Plan Nacional de Desarrollo Humano (2012-2016);</w:t>
      </w:r>
    </w:p>
    <w:p w14:paraId="4302A3C9" w14:textId="0A3203E0" w:rsidR="009459DA" w:rsidRPr="006504FA" w:rsidRDefault="009459DA" w:rsidP="0045380A">
      <w:pPr>
        <w:pStyle w:val="SingleTxtG"/>
        <w:rPr>
          <w:rFonts w:eastAsia="Calibri"/>
          <w:u w:color="000000"/>
          <w:bdr w:val="nil"/>
          <w:lang w:eastAsia="en-GB"/>
        </w:rPr>
      </w:pPr>
      <w:r w:rsidRPr="006504FA">
        <w:rPr>
          <w:rFonts w:eastAsia="Calibri"/>
          <w:u w:color="000000"/>
          <w:bdr w:val="nil"/>
          <w:lang w:eastAsia="en-GB"/>
        </w:rPr>
        <w:tab/>
        <w:t>c)</w:t>
      </w:r>
      <w:r w:rsidRPr="006504FA">
        <w:rPr>
          <w:rFonts w:eastAsia="Calibri"/>
          <w:u w:color="000000"/>
          <w:bdr w:val="nil"/>
          <w:lang w:eastAsia="en-GB"/>
        </w:rPr>
        <w:tab/>
        <w:t>La adopción de medidas administrativas contra el castigo corporal en las escuelas a través del Acuerdo Ministerial núm. 134</w:t>
      </w:r>
      <w:r w:rsidR="00F960A3">
        <w:rPr>
          <w:rFonts w:eastAsia="Calibri"/>
          <w:u w:color="000000"/>
          <w:bdr w:val="nil"/>
          <w:lang w:eastAsia="en-GB"/>
        </w:rPr>
        <w:t>-</w:t>
      </w:r>
      <w:r w:rsidRPr="006504FA">
        <w:rPr>
          <w:rFonts w:eastAsia="Calibri"/>
          <w:u w:color="000000"/>
          <w:bdr w:val="nil"/>
          <w:lang w:eastAsia="en-GB"/>
        </w:rPr>
        <w:t>2009;</w:t>
      </w:r>
    </w:p>
    <w:p w14:paraId="57522644" w14:textId="03DD2861" w:rsidR="009459DA" w:rsidRPr="008848AD" w:rsidRDefault="009459DA" w:rsidP="0045380A">
      <w:pPr>
        <w:pStyle w:val="SingleTxtG"/>
      </w:pPr>
      <w:r w:rsidRPr="006504FA">
        <w:tab/>
        <w:t>d)</w:t>
      </w:r>
      <w:r w:rsidRPr="006504FA">
        <w:tab/>
        <w:t>La designación de la Procuraduría para la Defensa de los Derechos Humanos como mecanismo nacional de prevención de la tortura mediante el Acuerdo Presidencial núm. 04-2012</w:t>
      </w:r>
      <w:r w:rsidRPr="007C0EFB">
        <w:t>;</w:t>
      </w:r>
    </w:p>
    <w:p w14:paraId="0592ED27" w14:textId="26A2CC56" w:rsidR="009459DA" w:rsidRPr="008848AD" w:rsidRDefault="009459DA" w:rsidP="0045380A">
      <w:pPr>
        <w:pStyle w:val="SingleTxtG"/>
      </w:pPr>
      <w:r w:rsidRPr="008848AD">
        <w:tab/>
        <w:t>e)</w:t>
      </w:r>
      <w:r w:rsidRPr="008848AD">
        <w:tab/>
        <w:t>La reciente construcción y equipamiento del Establecimiento Penitenciario de Máxima Seguridad, el Establecimiento Penitenciario Integral de Mujeres, ambos en el departamento de Managua, y del Establecimiento Penitenciario de Bluefields</w:t>
      </w:r>
      <w:r w:rsidR="007653EE">
        <w:t xml:space="preserve"> (</w:t>
      </w:r>
      <w:r w:rsidRPr="008848AD">
        <w:t>Región Autónoma de la Costa Caribe Sur</w:t>
      </w:r>
      <w:r w:rsidR="007653EE">
        <w:t>)</w:t>
      </w:r>
      <w:r w:rsidRPr="008848AD">
        <w:t xml:space="preserve">, así como la construcción de </w:t>
      </w:r>
      <w:r w:rsidRPr="008848AD">
        <w:rPr>
          <w:rFonts w:eastAsia="Calibri"/>
          <w:u w:color="000000"/>
          <w:bdr w:val="nil"/>
          <w:lang w:eastAsia="en-GB"/>
        </w:rPr>
        <w:t xml:space="preserve">28 </w:t>
      </w:r>
      <w:r w:rsidRPr="008848AD">
        <w:t>pabellones en los nuevos establecimientos penitenciarios con capacidad para albergar a 234 personas privadas de libertad, y la ampliación de plazas para el personal penitenciario</w:t>
      </w:r>
      <w:r w:rsidRPr="0045380A">
        <w:rPr>
          <w:rFonts w:eastAsiaTheme="majorEastAsia"/>
          <w:bCs/>
          <w:sz w:val="18"/>
          <w:szCs w:val="18"/>
          <w:vertAlign w:val="superscript"/>
          <w:lang w:eastAsia="en-US"/>
        </w:rPr>
        <w:footnoteReference w:id="5"/>
      </w:r>
      <w:r>
        <w:rPr>
          <w:rFonts w:eastAsia="Calibri"/>
          <w:u w:color="000000"/>
          <w:bdr w:val="nil"/>
          <w:lang w:eastAsia="en-GB"/>
        </w:rPr>
        <w:t>.</w:t>
      </w:r>
    </w:p>
    <w:p w14:paraId="70A09A9A" w14:textId="77777777" w:rsidR="009459DA" w:rsidRPr="008848AD" w:rsidRDefault="009459DA" w:rsidP="009459DA">
      <w:pPr>
        <w:pStyle w:val="H1G"/>
      </w:pPr>
      <w:r w:rsidRPr="008848AD">
        <w:rPr>
          <w:lang w:val="es-419"/>
        </w:rPr>
        <w:tab/>
      </w:r>
      <w:r w:rsidRPr="008848AD">
        <w:t>C.</w:t>
      </w:r>
      <w:r w:rsidRPr="008848AD">
        <w:tab/>
        <w:t>Principales motivos de preocupación y recomendaciones</w:t>
      </w:r>
    </w:p>
    <w:p w14:paraId="5C57F0F1" w14:textId="77777777" w:rsidR="009459DA" w:rsidRPr="008848AD" w:rsidRDefault="009459DA" w:rsidP="009459DA">
      <w:pPr>
        <w:pStyle w:val="H23G"/>
      </w:pPr>
      <w:r w:rsidRPr="008848AD">
        <w:tab/>
      </w:r>
      <w:r w:rsidRPr="008848AD">
        <w:tab/>
        <w:t>Cuestiones de seguimiento pendientes del anterior ciclo de presentación</w:t>
      </w:r>
      <w:r w:rsidRPr="008848AD">
        <w:br/>
        <w:t>de informes</w:t>
      </w:r>
    </w:p>
    <w:p w14:paraId="34C33614" w14:textId="449E3936" w:rsidR="009459DA" w:rsidRPr="008848AD" w:rsidRDefault="009459DA" w:rsidP="0045380A">
      <w:pPr>
        <w:pStyle w:val="SingleTxtG"/>
      </w:pPr>
      <w:r w:rsidRPr="008848AD">
        <w:t>6.</w:t>
      </w:r>
      <w:r w:rsidRPr="008848AD">
        <w:tab/>
        <w:t>En sus anteriores observaciones finales</w:t>
      </w:r>
      <w:r w:rsidRPr="0045380A">
        <w:rPr>
          <w:sz w:val="18"/>
          <w:szCs w:val="18"/>
          <w:vertAlign w:val="superscript"/>
        </w:rPr>
        <w:footnoteReference w:id="6"/>
      </w:r>
      <w:r w:rsidRPr="008848AD">
        <w:t>, el Comité solicitó al Estado parte que le proporcionara información sobre el seguimiento dado a las medidas adoptadas para aplicar las recomendaciones del Comité en relación con</w:t>
      </w:r>
      <w:r w:rsidRPr="008848AD">
        <w:rPr>
          <w:bCs/>
          <w:lang w:val="es-ES_tradnl"/>
        </w:rPr>
        <w:t xml:space="preserve"> la tipificación del delito de tortura</w:t>
      </w:r>
      <w:r w:rsidRPr="0045380A">
        <w:rPr>
          <w:sz w:val="18"/>
          <w:szCs w:val="18"/>
          <w:vertAlign w:val="superscript"/>
          <w:lang w:eastAsia="en-US"/>
        </w:rPr>
        <w:footnoteReference w:id="7"/>
      </w:r>
      <w:r w:rsidRPr="008848AD">
        <w:rPr>
          <w:lang w:eastAsia="en-US"/>
        </w:rPr>
        <w:t xml:space="preserve">; </w:t>
      </w:r>
      <w:r w:rsidRPr="008848AD">
        <w:rPr>
          <w:bCs/>
          <w:lang w:val="es-ES_tradnl"/>
        </w:rPr>
        <w:t>el enjuiciamiento y sanción de presuntos autores de actos de tortura o malos tratos y la recopilación de datos estadísticos sobre este delito</w:t>
      </w:r>
      <w:r w:rsidRPr="0045380A">
        <w:rPr>
          <w:sz w:val="18"/>
          <w:szCs w:val="18"/>
          <w:vertAlign w:val="superscript"/>
          <w:lang w:eastAsia="en-US"/>
        </w:rPr>
        <w:footnoteReference w:id="8"/>
      </w:r>
      <w:r w:rsidRPr="008848AD">
        <w:rPr>
          <w:lang w:eastAsia="en-US"/>
        </w:rPr>
        <w:t xml:space="preserve">; </w:t>
      </w:r>
      <w:r w:rsidRPr="008848AD">
        <w:rPr>
          <w:bCs/>
          <w:lang w:val="es-ES_tradnl"/>
        </w:rPr>
        <w:t>las deficiencias en la administración de justicia y el uso excesivo de la detención preventiva</w:t>
      </w:r>
      <w:r w:rsidRPr="0045380A">
        <w:rPr>
          <w:rFonts w:eastAsia="Cambria"/>
          <w:sz w:val="18"/>
          <w:szCs w:val="18"/>
          <w:vertAlign w:val="superscript"/>
          <w:lang w:eastAsia="en-US"/>
        </w:rPr>
        <w:footnoteReference w:id="9"/>
      </w:r>
      <w:r w:rsidRPr="008848AD">
        <w:rPr>
          <w:lang w:eastAsia="en-US"/>
        </w:rPr>
        <w:t>;</w:t>
      </w:r>
      <w:r w:rsidRPr="0045380A">
        <w:rPr>
          <w:lang w:val="es-ES_tradnl"/>
        </w:rPr>
        <w:t xml:space="preserve"> </w:t>
      </w:r>
      <w:r w:rsidRPr="008848AD">
        <w:rPr>
          <w:bCs/>
          <w:lang w:val="es-ES_tradnl"/>
        </w:rPr>
        <w:t>la violencia contra la mujer</w:t>
      </w:r>
      <w:r w:rsidRPr="0045380A">
        <w:rPr>
          <w:sz w:val="18"/>
          <w:szCs w:val="18"/>
          <w:vertAlign w:val="superscript"/>
          <w:lang w:eastAsia="en-US"/>
        </w:rPr>
        <w:footnoteReference w:id="10"/>
      </w:r>
      <w:r w:rsidRPr="008848AD">
        <w:rPr>
          <w:lang w:eastAsia="en-US"/>
        </w:rPr>
        <w:t xml:space="preserve">; </w:t>
      </w:r>
      <w:r w:rsidRPr="008848AD">
        <w:rPr>
          <w:bCs/>
          <w:lang w:val="es-ES_tradnl"/>
        </w:rPr>
        <w:t>y los malos tratos a menores</w:t>
      </w:r>
      <w:r w:rsidRPr="0045380A">
        <w:rPr>
          <w:rFonts w:eastAsiaTheme="majorEastAsia"/>
          <w:sz w:val="18"/>
          <w:szCs w:val="18"/>
          <w:vertAlign w:val="superscript"/>
        </w:rPr>
        <w:footnoteReference w:id="11"/>
      </w:r>
      <w:r w:rsidRPr="008848AD">
        <w:t>.</w:t>
      </w:r>
      <w:r w:rsidRPr="008848AD">
        <w:rPr>
          <w:bCs/>
          <w:lang w:val="es-ES_tradnl"/>
        </w:rPr>
        <w:t xml:space="preserve"> Si bien el Relator para el seguimiento de las observaciones finales remitió al Estado parte un recordatorio el 28 de marzo de 2011, el Comité lamenta no haber recibido ninguna respuesta del Estado parte en el marco del proceso de seguimiento de las observaciones finales. Habida cuenta de la </w:t>
      </w:r>
      <w:r w:rsidRPr="008848AD">
        <w:t xml:space="preserve">información incluida en el segundo informe </w:t>
      </w:r>
      <w:r w:rsidRPr="008848AD">
        <w:lastRenderedPageBreak/>
        <w:t>periódico del Estado parte, el Comité considera que dichas recomendaciones no se han aplicado (véanse los párrafos 7</w:t>
      </w:r>
      <w:r w:rsidR="006270A4">
        <w:t xml:space="preserve"> y </w:t>
      </w:r>
      <w:r w:rsidRPr="008848AD">
        <w:t>8, 18</w:t>
      </w:r>
      <w:r w:rsidR="006270A4">
        <w:t xml:space="preserve"> y </w:t>
      </w:r>
      <w:r w:rsidRPr="008848AD">
        <w:t>19, 11</w:t>
      </w:r>
      <w:r w:rsidR="006270A4">
        <w:t xml:space="preserve"> y </w:t>
      </w:r>
      <w:r w:rsidRPr="008848AD">
        <w:t>12 y 25</w:t>
      </w:r>
      <w:r w:rsidR="006270A4">
        <w:t xml:space="preserve"> a </w:t>
      </w:r>
      <w:r w:rsidRPr="008848AD">
        <w:t>28 del presente documento).</w:t>
      </w:r>
    </w:p>
    <w:p w14:paraId="3FFE5FA7" w14:textId="0505B512" w:rsidR="009459DA" w:rsidRPr="008848AD" w:rsidRDefault="009459DA" w:rsidP="009459DA">
      <w:pPr>
        <w:pStyle w:val="H23G"/>
        <w:rPr>
          <w:rFonts w:eastAsia="Calibri"/>
          <w:u w:color="000000"/>
          <w:bdr w:val="nil"/>
          <w:lang w:val="es-419" w:eastAsia="en-GB"/>
        </w:rPr>
      </w:pPr>
      <w:r w:rsidRPr="0045380A">
        <w:rPr>
          <w:rFonts w:eastAsia="Calibri"/>
          <w:u w:color="000000"/>
          <w:bdr w:val="nil"/>
          <w:lang w:eastAsia="en-GB"/>
        </w:rPr>
        <w:tab/>
      </w:r>
      <w:r w:rsidRPr="0045380A">
        <w:rPr>
          <w:rFonts w:eastAsia="Calibri"/>
          <w:u w:color="000000"/>
          <w:bdr w:val="nil"/>
          <w:lang w:eastAsia="en-GB"/>
        </w:rPr>
        <w:tab/>
      </w:r>
      <w:r w:rsidRPr="008848AD">
        <w:rPr>
          <w:rFonts w:eastAsia="Calibri"/>
          <w:u w:color="000000"/>
          <w:bdr w:val="nil"/>
          <w:lang w:val="es-419" w:eastAsia="en-GB"/>
        </w:rPr>
        <w:t>Tipificación y prescripción de la tortura</w:t>
      </w:r>
    </w:p>
    <w:p w14:paraId="1CA860F6" w14:textId="6D16486A" w:rsidR="009459DA" w:rsidRPr="008848AD" w:rsidRDefault="009459DA" w:rsidP="0045380A">
      <w:pPr>
        <w:pStyle w:val="SingleTxtG"/>
        <w:rPr>
          <w:lang w:eastAsia="fr-FR"/>
        </w:rPr>
      </w:pPr>
      <w:r w:rsidRPr="008848AD">
        <w:rPr>
          <w:lang w:val="es-ES_tradnl" w:eastAsia="en-US"/>
        </w:rPr>
        <w:t>7.</w:t>
      </w:r>
      <w:r w:rsidRPr="008848AD">
        <w:rPr>
          <w:lang w:val="es-ES_tradnl" w:eastAsia="en-US"/>
        </w:rPr>
        <w:tab/>
      </w:r>
      <w:r w:rsidRPr="008848AD">
        <w:rPr>
          <w:lang w:val="es-419" w:eastAsia="en-GB"/>
        </w:rPr>
        <w:t xml:space="preserve">Si bien el artículo </w:t>
      </w:r>
      <w:r w:rsidRPr="008848AD">
        <w:rPr>
          <w:lang w:val="es-ES_tradnl" w:eastAsia="en-US"/>
        </w:rPr>
        <w:t>486 del Código Penal</w:t>
      </w:r>
      <w:r w:rsidRPr="008848AD">
        <w:rPr>
          <w:lang w:val="es-419" w:eastAsia="en-GB"/>
        </w:rPr>
        <w:t xml:space="preserve"> </w:t>
      </w:r>
      <w:r w:rsidR="006270A4">
        <w:rPr>
          <w:lang w:val="es-419" w:eastAsia="en-GB"/>
        </w:rPr>
        <w:t xml:space="preserve">se </w:t>
      </w:r>
      <w:r w:rsidRPr="008848AD">
        <w:rPr>
          <w:lang w:val="es-419" w:eastAsia="en-GB"/>
        </w:rPr>
        <w:t xml:space="preserve">consagra </w:t>
      </w:r>
      <w:r w:rsidR="006270A4">
        <w:rPr>
          <w:lang w:val="es-419" w:eastAsia="en-GB"/>
        </w:rPr>
        <w:t xml:space="preserve">a </w:t>
      </w:r>
      <w:r w:rsidRPr="008848AD">
        <w:rPr>
          <w:lang w:val="es-419" w:eastAsia="en-GB"/>
        </w:rPr>
        <w:t>la prohibición de la tortura, el Comité reitera su preocupación por el hecho de que aún no se haya tipificado el delito de tortura</w:t>
      </w:r>
      <w:r w:rsidRPr="008848AD">
        <w:rPr>
          <w:lang w:val="es-ES_tradnl" w:eastAsia="en-US"/>
        </w:rPr>
        <w:t xml:space="preserve"> tal como se define en el artículo 1 de la Convención</w:t>
      </w:r>
      <w:r w:rsidRPr="0045380A">
        <w:rPr>
          <w:rFonts w:eastAsiaTheme="majorEastAsia"/>
          <w:sz w:val="18"/>
          <w:szCs w:val="18"/>
          <w:vertAlign w:val="superscript"/>
          <w:lang w:val="es-ES_tradnl" w:eastAsia="en-US"/>
        </w:rPr>
        <w:footnoteReference w:id="12"/>
      </w:r>
      <w:r w:rsidRPr="008848AD">
        <w:rPr>
          <w:lang w:val="es-ES_tradnl" w:eastAsia="en-US"/>
        </w:rPr>
        <w:t>. En particular, el Comité observa que dicho artículo no menciona la discriminación como una de las finalidades específicas de la conducta delictiva ni tampoco se contemplan los actos cometidos por una persona, distinta de un funcionario público, en el ejercicio de sus funciones públicas, a instigación suya o con su consentimiento o aquiescencia.</w:t>
      </w:r>
      <w:r>
        <w:rPr>
          <w:lang w:val="es-ES_tradnl" w:eastAsia="en-US"/>
        </w:rPr>
        <w:t xml:space="preserve"> </w:t>
      </w:r>
      <w:r w:rsidRPr="008848AD">
        <w:t xml:space="preserve">Al respecto, el Comité toma nota de la precisión contenida en el informe periódico del Estado parte según la cual la responsabilidad por los actos de tortura cometidos por </w:t>
      </w:r>
      <w:r w:rsidRPr="008848AD">
        <w:rPr>
          <w:lang w:val="es-ES_tradnl" w:eastAsia="en-US"/>
        </w:rPr>
        <w:t xml:space="preserve">una persona distinta de un funcionario público por instigación o con consentimiento o aquiescencia está contemplada en los grados de participación de los delitos y faltas (el </w:t>
      </w:r>
      <w:r w:rsidR="00616384">
        <w:rPr>
          <w:lang w:val="es-ES_tradnl" w:eastAsia="en-US"/>
        </w:rPr>
        <w:t>t</w:t>
      </w:r>
      <w:r w:rsidRPr="008848AD">
        <w:rPr>
          <w:lang w:val="es-ES_tradnl" w:eastAsia="en-US"/>
        </w:rPr>
        <w:t>ítulo II del Código</w:t>
      </w:r>
      <w:r w:rsidRPr="008848AD">
        <w:t xml:space="preserve"> Penal, Capítulo Único), aunque sigue preocupado porque la definición jurídica de dichas disposiciones no incluye expresamente los actos de consentimiento o aquiescencia. También preocupa al Comité que el delito de tortura no esté incluido en el artículo 16 del Código Penal que, si fuera leído en conjunto con el artículo 131 de dicho Código, prevé las acciones penales no sujetas a prescripción. </w:t>
      </w:r>
      <w:r w:rsidRPr="008848AD">
        <w:rPr>
          <w:lang w:val="es-ES_tradnl"/>
        </w:rPr>
        <w:t>Asimismo, el Comité se declara preocupado por el hecho de que el Código Penal Militar no incorpore el delito de tortura</w:t>
      </w:r>
      <w:r w:rsidRPr="008848AD">
        <w:t xml:space="preserve"> y lamenta la falta de información relativa a la aplicación del artículo 486 del Código Penal en el caso de los actos de tortura cometidos por miembros de las fuerzas armadas </w:t>
      </w:r>
      <w:r w:rsidRPr="008848AD">
        <w:rPr>
          <w:lang w:eastAsia="en-US"/>
        </w:rPr>
        <w:t>(arts.</w:t>
      </w:r>
      <w:r w:rsidR="00A731D7">
        <w:rPr>
          <w:lang w:eastAsia="en-US"/>
        </w:rPr>
        <w:t> </w:t>
      </w:r>
      <w:r w:rsidRPr="008848AD">
        <w:rPr>
          <w:lang w:eastAsia="en-US"/>
        </w:rPr>
        <w:t>1 y 4).</w:t>
      </w:r>
    </w:p>
    <w:p w14:paraId="7FC07DF7" w14:textId="0AE4FB6E" w:rsidR="009459DA" w:rsidRPr="00C338BA" w:rsidRDefault="009459DA" w:rsidP="009459DA">
      <w:pPr>
        <w:pStyle w:val="SingleTxtG"/>
        <w:rPr>
          <w:bCs/>
        </w:rPr>
      </w:pPr>
      <w:r w:rsidRPr="008848AD">
        <w:rPr>
          <w:lang w:val="es-ES_tradnl" w:eastAsia="en-US"/>
        </w:rPr>
        <w:t>8.</w:t>
      </w:r>
      <w:r w:rsidRPr="008848AD">
        <w:rPr>
          <w:lang w:val="es-ES_tradnl" w:eastAsia="en-US"/>
        </w:rPr>
        <w:tab/>
      </w:r>
      <w:r w:rsidRPr="008848AD">
        <w:rPr>
          <w:b/>
          <w:lang w:val="es-ES_tradnl" w:eastAsia="en-US"/>
        </w:rPr>
        <w:t xml:space="preserve">El Comité reitera su recomendación anterior en la que se instaba al </w:t>
      </w:r>
      <w:r w:rsidRPr="008848AD">
        <w:rPr>
          <w:rFonts w:eastAsia="Calibri"/>
          <w:b/>
          <w:lang w:val="es-419" w:eastAsia="en-US"/>
        </w:rPr>
        <w:t xml:space="preserve">Estado parte a armonizar </w:t>
      </w:r>
      <w:r w:rsidRPr="008848AD">
        <w:rPr>
          <w:b/>
          <w:bCs/>
          <w:shd w:val="clear" w:color="auto" w:fill="FFFFFF"/>
        </w:rPr>
        <w:t>el contenido del artículo 486 del Código Penal con lo dispuesto en el artículo 1 de la Convención</w:t>
      </w:r>
      <w:r w:rsidRPr="008848AD">
        <w:rPr>
          <w:b/>
          <w:bCs/>
          <w:lang w:val="es-ES_tradnl"/>
        </w:rPr>
        <w:t xml:space="preserve">. </w:t>
      </w:r>
      <w:r w:rsidRPr="008848AD">
        <w:rPr>
          <w:b/>
        </w:rPr>
        <w:t xml:space="preserve">Al respecto, el Comité señala a la atención del Estado parte </w:t>
      </w:r>
      <w:r>
        <w:rPr>
          <w:b/>
        </w:rPr>
        <w:t>su</w:t>
      </w:r>
      <w:r w:rsidRPr="008848AD">
        <w:rPr>
          <w:b/>
        </w:rPr>
        <w:t xml:space="preserve"> observación general núm. 2 (2007) relativa a la aplicación del artículo 2, en la que se señala que las discrepancias graves entre la definición que figura en la Convención y la reflejada </w:t>
      </w:r>
      <w:r w:rsidRPr="008848AD">
        <w:rPr>
          <w:b/>
          <w:lang w:eastAsia="en-US"/>
        </w:rPr>
        <w:t>en la legislación nacional abren resquicios reales o potenciales para la impunidad</w:t>
      </w:r>
      <w:r w:rsidR="00F960A3">
        <w:rPr>
          <w:b/>
          <w:lang w:eastAsia="en-US"/>
        </w:rPr>
        <w:t xml:space="preserve"> </w:t>
      </w:r>
      <w:r w:rsidR="00F960A3">
        <w:rPr>
          <w:b/>
        </w:rPr>
        <w:t>(párr. 9)</w:t>
      </w:r>
      <w:r w:rsidRPr="008848AD">
        <w:rPr>
          <w:b/>
          <w:lang w:eastAsia="en-US"/>
        </w:rPr>
        <w:t>.</w:t>
      </w:r>
      <w:r w:rsidRPr="008848AD">
        <w:rPr>
          <w:b/>
        </w:rPr>
        <w:t xml:space="preserve"> El Estado parte debe garantizar que el delito de tortura sea imprescriptible, a fin de excluir cualquier posibilidad de impunidad en relación con la investigación de los actos de tortura y el enjuiciamiento y castigo de los autores.</w:t>
      </w:r>
      <w:r w:rsidRPr="008848AD">
        <w:rPr>
          <w:b/>
          <w:bCs/>
          <w:lang w:val="es-ES_tradnl"/>
        </w:rPr>
        <w:t xml:space="preserve"> El Estado parte debería incluir el delito de tortura en el Código Penal Militar y adecuarlo a lo que disponen los artículos 1 y 4 de la Convención.</w:t>
      </w:r>
    </w:p>
    <w:p w14:paraId="349BAFB3" w14:textId="77777777" w:rsidR="008848AD" w:rsidRPr="008848AD" w:rsidRDefault="008848AD" w:rsidP="008848AD">
      <w:pPr>
        <w:keepNext/>
        <w:keepLines/>
        <w:tabs>
          <w:tab w:val="right" w:pos="851"/>
        </w:tabs>
        <w:suppressAutoHyphens/>
        <w:spacing w:before="240" w:after="120" w:line="240" w:lineRule="exact"/>
        <w:ind w:left="1134" w:right="1134" w:hanging="1134"/>
        <w:outlineLvl w:val="3"/>
        <w:rPr>
          <w:rFonts w:eastAsia="Calibri"/>
          <w:b/>
          <w:lang w:val="es-419" w:eastAsia="en-US"/>
        </w:rPr>
      </w:pPr>
      <w:r w:rsidRPr="008848AD">
        <w:rPr>
          <w:b/>
        </w:rPr>
        <w:tab/>
      </w:r>
      <w:r w:rsidRPr="008848AD">
        <w:rPr>
          <w:b/>
        </w:rPr>
        <w:tab/>
      </w:r>
      <w:r w:rsidRPr="008848AD">
        <w:rPr>
          <w:lang w:val="es-419" w:eastAsia="en-US"/>
        </w:rPr>
        <w:tab/>
      </w:r>
      <w:r w:rsidRPr="008848AD">
        <w:rPr>
          <w:b/>
          <w:lang w:val="es-419" w:eastAsia="en-US"/>
        </w:rPr>
        <w:t xml:space="preserve">Salvaguardias legales fundamentales </w:t>
      </w:r>
    </w:p>
    <w:p w14:paraId="53B03659" w14:textId="267D21AF" w:rsidR="008848AD" w:rsidRPr="008848AD" w:rsidRDefault="008848AD" w:rsidP="0045380A">
      <w:pPr>
        <w:pStyle w:val="SingleTxtG"/>
        <w:rPr>
          <w:lang w:val="es-CO" w:eastAsia="en-US"/>
        </w:rPr>
      </w:pPr>
      <w:r w:rsidRPr="008848AD">
        <w:rPr>
          <w:lang w:val="es-ES_tradnl" w:eastAsia="en-US"/>
        </w:rPr>
        <w:t>9.</w:t>
      </w:r>
      <w:r w:rsidRPr="008848AD">
        <w:rPr>
          <w:lang w:val="es-CO" w:eastAsia="en-US"/>
        </w:rPr>
        <w:tab/>
        <w:t xml:space="preserve">El Comité mantiene su preocupación por los </w:t>
      </w:r>
      <w:r w:rsidRPr="008848AD">
        <w:rPr>
          <w:lang w:eastAsia="en-US"/>
        </w:rPr>
        <w:t>informes concordantes según los cuales las salvaguardias procesales establecidas en la legislación del Estado parte no se aplican de manera efectiva en la práctica, en particular en el caso de las personas detenidas a raíz de las protestas de abril de 2018 y en el per</w:t>
      </w:r>
      <w:r w:rsidR="002549AA">
        <w:rPr>
          <w:lang w:eastAsia="en-US"/>
        </w:rPr>
        <w:t>í</w:t>
      </w:r>
      <w:r w:rsidRPr="008848AD">
        <w:rPr>
          <w:lang w:eastAsia="en-US"/>
        </w:rPr>
        <w:t>odo subsiguiente</w:t>
      </w:r>
      <w:r w:rsidR="00431E7C" w:rsidRPr="0045380A">
        <w:rPr>
          <w:rStyle w:val="Refdenotaalpie"/>
          <w:szCs w:val="18"/>
          <w:lang w:eastAsia="en-US"/>
        </w:rPr>
        <w:footnoteReference w:id="13"/>
      </w:r>
      <w:r w:rsidRPr="008848AD">
        <w:t>. A ese respecto, preocupan al Comité</w:t>
      </w:r>
      <w:r w:rsidRPr="008848AD">
        <w:rPr>
          <w:rFonts w:eastAsia="Calibri"/>
          <w:u w:color="000000"/>
          <w:bdr w:val="nil"/>
          <w:lang w:val="es-ES_tradnl" w:eastAsia="en-GB"/>
        </w:rPr>
        <w:t>:</w:t>
      </w:r>
    </w:p>
    <w:p w14:paraId="2A21E9BF" w14:textId="7DDC70EA" w:rsidR="008848AD" w:rsidRPr="008848AD" w:rsidRDefault="008848AD" w:rsidP="0045380A">
      <w:pPr>
        <w:pStyle w:val="SingleTxtG"/>
        <w:rPr>
          <w:i/>
        </w:rPr>
      </w:pPr>
      <w:r w:rsidRPr="008848AD">
        <w:tab/>
        <w:t>a)</w:t>
      </w:r>
      <w:r w:rsidRPr="008848AD">
        <w:tab/>
        <w:t>Los pronunciamientos emitidos por diversas instancias</w:t>
      </w:r>
      <w:r w:rsidRPr="0045380A">
        <w:rPr>
          <w:rFonts w:eastAsiaTheme="majorEastAsia"/>
          <w:sz w:val="18"/>
          <w:szCs w:val="18"/>
          <w:vertAlign w:val="superscript"/>
        </w:rPr>
        <w:footnoteReference w:id="14"/>
      </w:r>
      <w:r w:rsidRPr="008848AD">
        <w:t>, incluidas las opiniones del Grupo de Trabajo sobre la Detención Arbitraria</w:t>
      </w:r>
      <w:r w:rsidRPr="0045380A">
        <w:rPr>
          <w:sz w:val="18"/>
          <w:szCs w:val="18"/>
          <w:vertAlign w:val="superscript"/>
        </w:rPr>
        <w:footnoteReference w:id="15"/>
      </w:r>
      <w:r w:rsidRPr="008848AD">
        <w:t>, en los que se documentan i)</w:t>
      </w:r>
      <w:r w:rsidR="00060055">
        <w:t> </w:t>
      </w:r>
      <w:r w:rsidRPr="008848AD">
        <w:t>detenciones arbitrarias al haberse efectuado sin presentar una orden de detención y/o sin informar a la persona detenida sobre los motivos de la misma; ii)</w:t>
      </w:r>
      <w:r w:rsidR="00F960A3">
        <w:t> </w:t>
      </w:r>
      <w:r w:rsidRPr="008848AD">
        <w:t>dificultades en la notificación de la detención</w:t>
      </w:r>
      <w:r w:rsidRPr="0045380A">
        <w:rPr>
          <w:rFonts w:eastAsiaTheme="majorEastAsia"/>
          <w:sz w:val="18"/>
          <w:szCs w:val="18"/>
          <w:vertAlign w:val="superscript"/>
        </w:rPr>
        <w:footnoteReference w:id="16"/>
      </w:r>
      <w:r w:rsidRPr="008848AD">
        <w:t xml:space="preserve"> y en el pronto acceso a un abogado; iii) detenciones en régimen de incomunicación durante períodos de hasta 90 días; iv) interrogatorios sin presencia de representación letrada</w:t>
      </w:r>
      <w:r w:rsidRPr="0045380A">
        <w:rPr>
          <w:rFonts w:eastAsiaTheme="majorEastAsia"/>
          <w:sz w:val="18"/>
          <w:szCs w:val="18"/>
          <w:vertAlign w:val="superscript"/>
        </w:rPr>
        <w:footnoteReference w:id="17"/>
      </w:r>
      <w:r w:rsidRPr="008848AD">
        <w:t>, con palizas, amenazas y privación de sueño</w:t>
      </w:r>
      <w:r w:rsidRPr="0045380A">
        <w:rPr>
          <w:rFonts w:eastAsiaTheme="majorEastAsia"/>
          <w:sz w:val="18"/>
          <w:szCs w:val="18"/>
          <w:vertAlign w:val="superscript"/>
        </w:rPr>
        <w:footnoteReference w:id="18"/>
      </w:r>
      <w:r w:rsidRPr="008848AD">
        <w:t>; v)</w:t>
      </w:r>
      <w:r w:rsidR="00F960A3">
        <w:t> </w:t>
      </w:r>
      <w:r w:rsidRPr="008848AD">
        <w:t xml:space="preserve">la falta de acceso a </w:t>
      </w:r>
      <w:r w:rsidRPr="008848AD">
        <w:lastRenderedPageBreak/>
        <w:t>un examen médico independiente</w:t>
      </w:r>
      <w:r w:rsidR="003B440C">
        <w:t>,</w:t>
      </w:r>
      <w:r w:rsidRPr="008848AD">
        <w:t xml:space="preserve"> así como vi)</w:t>
      </w:r>
      <w:r w:rsidR="00F960A3">
        <w:t> </w:t>
      </w:r>
      <w:r w:rsidRPr="008848AD">
        <w:t xml:space="preserve">la ineficacia de los recursos de </w:t>
      </w:r>
      <w:r w:rsidRPr="008848AD">
        <w:rPr>
          <w:i/>
        </w:rPr>
        <w:t>habeas corpus</w:t>
      </w:r>
      <w:r w:rsidRPr="0045380A">
        <w:rPr>
          <w:rFonts w:eastAsiaTheme="majorEastAsia"/>
          <w:iCs/>
          <w:sz w:val="18"/>
          <w:szCs w:val="18"/>
          <w:vertAlign w:val="superscript"/>
        </w:rPr>
        <w:footnoteReference w:id="19"/>
      </w:r>
      <w:r w:rsidRPr="0045380A">
        <w:rPr>
          <w:iCs/>
        </w:rPr>
        <w:t>;</w:t>
      </w:r>
    </w:p>
    <w:p w14:paraId="72111010" w14:textId="3D3CEFA8" w:rsidR="008848AD" w:rsidRPr="008848AD" w:rsidRDefault="008848AD" w:rsidP="0045380A">
      <w:pPr>
        <w:pStyle w:val="SingleTxtG"/>
      </w:pPr>
      <w:r w:rsidRPr="008848AD">
        <w:tab/>
        <w:t>b)</w:t>
      </w:r>
      <w:r w:rsidRPr="008848AD">
        <w:tab/>
        <w:t xml:space="preserve">La promulgación en 2021 de la Ley </w:t>
      </w:r>
      <w:r w:rsidR="00F06D31">
        <w:t>núm. </w:t>
      </w:r>
      <w:r w:rsidRPr="008848AD">
        <w:t xml:space="preserve">1060 </w:t>
      </w:r>
      <w:r w:rsidR="00F06D31">
        <w:t xml:space="preserve">de reforma </w:t>
      </w:r>
      <w:r w:rsidRPr="008848AD">
        <w:t>y adición a la Ley</w:t>
      </w:r>
      <w:r w:rsidR="00F06D31">
        <w:t xml:space="preserve"> núm. 406</w:t>
      </w:r>
      <w:r w:rsidRPr="008848AD">
        <w:t xml:space="preserve"> del Código Procesal Penal, por la que se amplió el plazo establecido por el artículo</w:t>
      </w:r>
      <w:r w:rsidR="00F06D31">
        <w:t> </w:t>
      </w:r>
      <w:r w:rsidRPr="008848AD">
        <w:t>33, apartado 2.2, de la Constitución</w:t>
      </w:r>
      <w:r w:rsidRPr="008848AD">
        <w:rPr>
          <w:bCs/>
          <w:shd w:val="clear" w:color="auto" w:fill="FFFFFF"/>
        </w:rPr>
        <w:t xml:space="preserve"> para que las personas detenidas sean puesta</w:t>
      </w:r>
      <w:r w:rsidR="00F06D31">
        <w:rPr>
          <w:bCs/>
          <w:shd w:val="clear" w:color="auto" w:fill="FFFFFF"/>
        </w:rPr>
        <w:t>s</w:t>
      </w:r>
      <w:r w:rsidRPr="008848AD">
        <w:rPr>
          <w:bCs/>
          <w:shd w:val="clear" w:color="auto" w:fill="FFFFFF"/>
        </w:rPr>
        <w:t xml:space="preserve"> en libertad o a disposición de la autoridad competente de 48 horas </w:t>
      </w:r>
      <w:r w:rsidRPr="008848AD">
        <w:t>a 90 días cuando se cuente con autorización judicial a petición del Ministerio Público, pero sin necesidad de completar la investigación preliminar, presentar pruebas en contra, imputar algún delito o evaluar la necesidad y proporcionalidad de la medida de privación de libertad</w:t>
      </w:r>
      <w:r w:rsidRPr="008848AD">
        <w:rPr>
          <w:rFonts w:eastAsiaTheme="majorEastAsia"/>
          <w:sz w:val="18"/>
          <w:vertAlign w:val="superscript"/>
        </w:rPr>
        <w:footnoteReference w:id="20"/>
      </w:r>
      <w:r w:rsidRPr="008848AD">
        <w:t>, así como su aplicación generalizada</w:t>
      </w:r>
      <w:r w:rsidRPr="0045380A">
        <w:rPr>
          <w:rFonts w:eastAsiaTheme="majorEastAsia"/>
          <w:sz w:val="18"/>
          <w:szCs w:val="18"/>
          <w:vertAlign w:val="superscript"/>
        </w:rPr>
        <w:footnoteReference w:id="21"/>
      </w:r>
      <w:r w:rsidRPr="008848AD">
        <w:t>;</w:t>
      </w:r>
    </w:p>
    <w:p w14:paraId="13A22130" w14:textId="77777777" w:rsidR="008848AD" w:rsidRPr="008848AD" w:rsidRDefault="008848AD" w:rsidP="0045380A">
      <w:pPr>
        <w:pStyle w:val="SingleTxtG"/>
      </w:pPr>
      <w:r w:rsidRPr="008848AD">
        <w:tab/>
        <w:t>c)</w:t>
      </w:r>
      <w:r w:rsidRPr="008848AD">
        <w:tab/>
        <w:t>Las deficiencias del sistema de registro de detenciones de la policía, incluida la inscripción de arrestos de duración breve de personas puestas en libertad sin haber comparecido ante un juez</w:t>
      </w:r>
      <w:r w:rsidRPr="0045380A">
        <w:rPr>
          <w:rFonts w:eastAsiaTheme="majorEastAsia"/>
          <w:sz w:val="18"/>
          <w:szCs w:val="18"/>
          <w:vertAlign w:val="superscript"/>
        </w:rPr>
        <w:footnoteReference w:id="22"/>
      </w:r>
      <w:r w:rsidRPr="008848AD">
        <w:t>;</w:t>
      </w:r>
    </w:p>
    <w:p w14:paraId="4DDFED27" w14:textId="77777777" w:rsidR="008848AD" w:rsidRPr="008848AD" w:rsidRDefault="008848AD" w:rsidP="0045380A">
      <w:pPr>
        <w:pStyle w:val="SingleTxtG"/>
      </w:pPr>
      <w:r w:rsidRPr="008848AD">
        <w:tab/>
        <w:t>d)</w:t>
      </w:r>
      <w:r w:rsidRPr="008848AD">
        <w:tab/>
        <w:t>La insuficiente información disponible sobre las acciones disciplinarias emprendidas durante el período examinado en contra de agentes de las fuerzas del orden que no hayan permitido inmediatamente el goce de garantías legales fundamentales a personas privadas de libertad (arts. 2 y 16).</w:t>
      </w:r>
    </w:p>
    <w:p w14:paraId="2299CC48" w14:textId="65C2DA18" w:rsidR="008848AD" w:rsidRPr="0045380A" w:rsidRDefault="008848AD" w:rsidP="0045380A">
      <w:pPr>
        <w:pStyle w:val="SingleTxtG"/>
        <w:rPr>
          <w:b/>
          <w:bCs/>
        </w:rPr>
      </w:pPr>
      <w:r w:rsidRPr="008848AD">
        <w:t>10.</w:t>
      </w:r>
      <w:r w:rsidRPr="008848AD">
        <w:tab/>
      </w:r>
      <w:r w:rsidRPr="0045380A">
        <w:rPr>
          <w:b/>
          <w:bCs/>
        </w:rPr>
        <w:t>El Estado parte debe:</w:t>
      </w:r>
    </w:p>
    <w:p w14:paraId="013EBB34" w14:textId="49DF7DA3" w:rsidR="008848AD" w:rsidRPr="0045380A" w:rsidRDefault="008848AD" w:rsidP="0045380A">
      <w:pPr>
        <w:pStyle w:val="SingleTxtG"/>
        <w:rPr>
          <w:b/>
          <w:bCs/>
        </w:rPr>
      </w:pPr>
      <w:r w:rsidRPr="0045380A">
        <w:rPr>
          <w:b/>
          <w:bCs/>
        </w:rPr>
        <w:tab/>
        <w:t>a)</w:t>
      </w:r>
      <w:r w:rsidRPr="0045380A">
        <w:rPr>
          <w:b/>
          <w:bCs/>
        </w:rPr>
        <w:tab/>
        <w:t xml:space="preserve">Garantizar que </w:t>
      </w:r>
      <w:r w:rsidRPr="0045380A">
        <w:rPr>
          <w:b/>
          <w:bCs/>
          <w:lang w:val="es-ES_tradnl"/>
        </w:rPr>
        <w:t xml:space="preserve">todas las personas detenidas </w:t>
      </w:r>
      <w:r w:rsidRPr="0045380A">
        <w:rPr>
          <w:b/>
          <w:bCs/>
        </w:rPr>
        <w:t xml:space="preserve">cuenten, en la ley y en la práctica, con todas las salvaguardias fundamentales contra la tortura </w:t>
      </w:r>
      <w:r w:rsidRPr="0045380A">
        <w:rPr>
          <w:b/>
          <w:bCs/>
          <w:lang w:val="es-ES_tradnl"/>
        </w:rPr>
        <w:t>desde el momento mismo de su privación de libertad</w:t>
      </w:r>
      <w:r w:rsidRPr="0045380A">
        <w:rPr>
          <w:b/>
          <w:bCs/>
        </w:rPr>
        <w:t>, incluidos los derechos a ser asistidas por un abogado sin demora, en particular durante las etapas de la investigación y los interrogatorios; a solicitar y tener un reconocimiento médico independiente; a ser informadas de sus derechos, los motivos de la detención y los cargos formulados en su contra; a notificar inmediatamente su detención y el lugar de la misma a sus familiares o a cualquier otra persona de su elección; a comparecer ante un juez sin demora</w:t>
      </w:r>
      <w:r w:rsidR="00B946B8" w:rsidRPr="0045380A">
        <w:rPr>
          <w:b/>
          <w:bCs/>
        </w:rPr>
        <w:t>,</w:t>
      </w:r>
      <w:r w:rsidRPr="0045380A">
        <w:rPr>
          <w:b/>
          <w:bCs/>
        </w:rPr>
        <w:t xml:space="preserve"> y a contar con recursos efectivos para impugnar la legalidad de su detención;</w:t>
      </w:r>
    </w:p>
    <w:p w14:paraId="5EA07395" w14:textId="1DE3A591" w:rsidR="008848AD" w:rsidRPr="0045380A" w:rsidRDefault="008848AD" w:rsidP="0045380A">
      <w:pPr>
        <w:pStyle w:val="SingleTxtG"/>
        <w:rPr>
          <w:b/>
          <w:bCs/>
        </w:rPr>
      </w:pPr>
      <w:r w:rsidRPr="0045380A">
        <w:rPr>
          <w:b/>
          <w:bCs/>
        </w:rPr>
        <w:tab/>
        <w:t>b)</w:t>
      </w:r>
      <w:r w:rsidRPr="0045380A">
        <w:rPr>
          <w:b/>
          <w:bCs/>
        </w:rPr>
        <w:tab/>
        <w:t>Garantizar que todas las personas que se encuentren en detención policial o en prisión preventiva sean inscritas en el registro del lugar de detención, dejando constancia de todas las etapas de su privación de la libertad, incluidas las transferencias a otras instalaciones. El Estado parte debería establecer un registro centralizado y estandarizado al que puedan acceder sus familiares y representantes legales;</w:t>
      </w:r>
    </w:p>
    <w:p w14:paraId="4C7F1616" w14:textId="3884352D" w:rsidR="008848AD" w:rsidRPr="0045380A" w:rsidRDefault="008848AD" w:rsidP="0045380A">
      <w:pPr>
        <w:pStyle w:val="SingleTxtG"/>
        <w:rPr>
          <w:b/>
          <w:bCs/>
        </w:rPr>
      </w:pPr>
      <w:r w:rsidRPr="0045380A">
        <w:rPr>
          <w:b/>
          <w:bCs/>
        </w:rPr>
        <w:tab/>
        <w:t>c)</w:t>
      </w:r>
      <w:r w:rsidRPr="0045380A">
        <w:rPr>
          <w:b/>
          <w:bCs/>
        </w:rPr>
        <w:tab/>
        <w:t>Tomar las medidas legislativas y de otra índole necesarias para asegurar que la duración máxima de la detención policial no exceda las 48 horas, renovable máximo una vez en circunstancias excepcionales debidamente justificadas por pruebas tangibles, e impuesta solo después de que una autoridad judicial haya realizado una evaluación individualizada de la necesidad y proporcionalidad de la prolongación de la privación de la libertad en cada caso y como medida de último recurso;</w:t>
      </w:r>
    </w:p>
    <w:p w14:paraId="427F3211" w14:textId="2F988987" w:rsidR="008848AD" w:rsidRPr="0045380A" w:rsidRDefault="008848AD" w:rsidP="0045380A">
      <w:pPr>
        <w:pStyle w:val="SingleTxtG"/>
        <w:rPr>
          <w:b/>
          <w:bCs/>
          <w:shd w:val="clear" w:color="auto" w:fill="FFFFFF"/>
        </w:rPr>
      </w:pPr>
      <w:r w:rsidRPr="0045380A">
        <w:rPr>
          <w:b/>
          <w:bCs/>
        </w:rPr>
        <w:tab/>
        <w:t>d)</w:t>
      </w:r>
      <w:r w:rsidRPr="0045380A">
        <w:rPr>
          <w:b/>
          <w:bCs/>
        </w:rPr>
        <w:tab/>
        <w:t xml:space="preserve">Velar también por que se apliquen sanciones </w:t>
      </w:r>
      <w:r w:rsidR="008F3B37" w:rsidRPr="0045380A">
        <w:rPr>
          <w:b/>
          <w:bCs/>
        </w:rPr>
        <w:t xml:space="preserve">a los funcionarios responsables </w:t>
      </w:r>
      <w:r w:rsidRPr="0045380A">
        <w:rPr>
          <w:b/>
          <w:bCs/>
        </w:rPr>
        <w:t>cuando</w:t>
      </w:r>
      <w:r w:rsidRPr="0045380A">
        <w:rPr>
          <w:b/>
          <w:bCs/>
          <w:lang w:val="es-419"/>
        </w:rPr>
        <w:t xml:space="preserve"> no se permita a las personas privadas de libertad el goce de dichas salvaguardias fundamentales</w:t>
      </w:r>
      <w:r w:rsidRPr="0045380A">
        <w:rPr>
          <w:b/>
          <w:bCs/>
          <w:shd w:val="clear" w:color="auto" w:fill="FFFFFF"/>
        </w:rPr>
        <w:t>.</w:t>
      </w:r>
    </w:p>
    <w:p w14:paraId="24B09B7B" w14:textId="5BD6E477" w:rsidR="008848AD" w:rsidRPr="008848AD" w:rsidRDefault="008848AD" w:rsidP="0045380A">
      <w:pPr>
        <w:pStyle w:val="H23G"/>
        <w:rPr>
          <w:lang w:eastAsia="en-US"/>
        </w:rPr>
      </w:pPr>
      <w:r w:rsidRPr="008848AD">
        <w:rPr>
          <w:lang w:val="es-ES_tradnl"/>
        </w:rPr>
        <w:tab/>
      </w:r>
      <w:r w:rsidRPr="008848AD">
        <w:rPr>
          <w:lang w:val="es-ES_tradnl"/>
        </w:rPr>
        <w:tab/>
      </w:r>
      <w:r w:rsidR="00B946B8">
        <w:rPr>
          <w:lang w:val="es-ES_tradnl"/>
        </w:rPr>
        <w:t>A</w:t>
      </w:r>
      <w:r w:rsidRPr="008848AD">
        <w:rPr>
          <w:lang w:val="es-ES_tradnl"/>
        </w:rPr>
        <w:t>dministración de justicia</w:t>
      </w:r>
    </w:p>
    <w:p w14:paraId="26498757" w14:textId="6AD8A188" w:rsidR="008848AD" w:rsidRPr="008848AD" w:rsidRDefault="008848AD" w:rsidP="0045380A">
      <w:pPr>
        <w:pStyle w:val="SingleTxtG"/>
      </w:pPr>
      <w:r w:rsidRPr="008848AD">
        <w:rPr>
          <w:lang w:eastAsia="en-US"/>
        </w:rPr>
        <w:t>11.</w:t>
      </w:r>
      <w:r w:rsidRPr="008848AD">
        <w:rPr>
          <w:lang w:eastAsia="en-US"/>
        </w:rPr>
        <w:tab/>
      </w:r>
      <w:r w:rsidRPr="008848AD">
        <w:t>Aunque toma nota de la información contenida en el informe periódico sobre el Proyecto de Modernización del Poder Judicial, entre otras medidas adoptadas durante el per</w:t>
      </w:r>
      <w:r w:rsidR="00B946B8">
        <w:t>í</w:t>
      </w:r>
      <w:r w:rsidRPr="008848AD">
        <w:t>odo considerado</w:t>
      </w:r>
      <w:r w:rsidRPr="0045380A">
        <w:rPr>
          <w:rFonts w:eastAsiaTheme="majorEastAsia"/>
          <w:sz w:val="18"/>
          <w:szCs w:val="18"/>
          <w:vertAlign w:val="superscript"/>
        </w:rPr>
        <w:footnoteReference w:id="23"/>
      </w:r>
      <w:r w:rsidRPr="008848AD">
        <w:t xml:space="preserve">, el Comité reitera su preocupación sobre la falta de independencia e </w:t>
      </w:r>
      <w:r w:rsidRPr="008848AD">
        <w:lastRenderedPageBreak/>
        <w:t>imparcialidad del Poder Judicial respecto del Ejecutivo</w:t>
      </w:r>
      <w:r w:rsidR="00EA24B8">
        <w:rPr>
          <w:rStyle w:val="Refdenotaalpie"/>
        </w:rPr>
        <w:footnoteReference w:id="24"/>
      </w:r>
      <w:r w:rsidRPr="008848AD">
        <w:t xml:space="preserve">. Asimismo, si bien tiene en cuenta las disposiciones constitucionales relativas a la independencia del Ministerio Público </w:t>
      </w:r>
      <w:r w:rsidRPr="00D17722">
        <w:t>(</w:t>
      </w:r>
      <w:r w:rsidRPr="00616384">
        <w:t xml:space="preserve">artículo </w:t>
      </w:r>
      <w:r w:rsidR="0062649E" w:rsidRPr="0045380A">
        <w:t>13</w:t>
      </w:r>
      <w:r w:rsidRPr="00D17722">
        <w:t>8</w:t>
      </w:r>
      <w:r w:rsidR="0062649E" w:rsidRPr="0045380A">
        <w:t>, párr. 9 </w:t>
      </w:r>
      <w:r w:rsidRPr="0062649E">
        <w:t>b)), al</w:t>
      </w:r>
      <w:r w:rsidRPr="008848AD">
        <w:t xml:space="preserve"> Comité le preocupan los informes concordantes según los cuales su utilización partidista facilita la injerencia y control por parte del Poder Ejecutivo. Al respecto, preocupan las informaciones que indican </w:t>
      </w:r>
      <w:r w:rsidR="00107EE9">
        <w:t xml:space="preserve">que </w:t>
      </w:r>
      <w:r w:rsidRPr="008848AD">
        <w:t>la actual ausencia de separación de poderes en el Estado parte facilita el uso del derecho penal para criminalizar la disidencia</w:t>
      </w:r>
      <w:r w:rsidR="009E2FDA">
        <w:t xml:space="preserve"> y</w:t>
      </w:r>
      <w:r w:rsidRPr="008848AD">
        <w:t xml:space="preserve"> la vulneración de las garantías procesales y contribuyen a la impunidad</w:t>
      </w:r>
      <w:r w:rsidRPr="0045380A">
        <w:rPr>
          <w:rFonts w:eastAsiaTheme="majorEastAsia"/>
          <w:sz w:val="18"/>
          <w:szCs w:val="18"/>
          <w:vertAlign w:val="superscript"/>
        </w:rPr>
        <w:footnoteReference w:id="25"/>
      </w:r>
      <w:r w:rsidRPr="008848AD">
        <w:t xml:space="preserve"> </w:t>
      </w:r>
      <w:r w:rsidRPr="008848AD">
        <w:rPr>
          <w:lang w:eastAsia="en-US"/>
        </w:rPr>
        <w:t>(arts. 2, párr. 1</w:t>
      </w:r>
      <w:r w:rsidRPr="008848AD">
        <w:rPr>
          <w:rFonts w:eastAsia="Calibri"/>
          <w:lang w:val="es-ES_tradnl" w:eastAsia="en-US"/>
        </w:rPr>
        <w:t>, 12 y 13).</w:t>
      </w:r>
    </w:p>
    <w:p w14:paraId="6DD9DD49" w14:textId="13B9C8F5" w:rsidR="008848AD" w:rsidRPr="0045380A" w:rsidRDefault="008848AD" w:rsidP="0045380A">
      <w:pPr>
        <w:pStyle w:val="SingleTxtG"/>
        <w:rPr>
          <w:b/>
          <w:bCs/>
        </w:rPr>
      </w:pPr>
      <w:r w:rsidRPr="008848AD">
        <w:t>12.</w:t>
      </w:r>
      <w:r w:rsidRPr="008848AD">
        <w:tab/>
      </w:r>
      <w:r w:rsidRPr="0045380A">
        <w:rPr>
          <w:b/>
          <w:bCs/>
        </w:rPr>
        <w:t>El Estado parte debe velar por la plena independencia, imparcialidad y eficacia del Poder Judicial y de la Fiscalía General, en particular a través de una reforma en consonancia con las normas internacionales, tales como los Principios Básicos relativos a la Independencia de la Judicatura y las Directrices sobre la Función de los Fiscales.</w:t>
      </w:r>
    </w:p>
    <w:p w14:paraId="5A0B1AB3" w14:textId="595F1DDE" w:rsidR="008848AD" w:rsidRPr="008848AD" w:rsidRDefault="008848AD" w:rsidP="0045380A">
      <w:pPr>
        <w:pStyle w:val="H23G"/>
        <w:rPr>
          <w:rFonts w:eastAsia="Calibri"/>
          <w:lang w:eastAsia="en-US"/>
        </w:rPr>
      </w:pPr>
      <w:r w:rsidRPr="008848AD">
        <w:rPr>
          <w:rFonts w:eastAsia="Calibri"/>
          <w:lang w:val="es-ES_tradnl" w:eastAsia="en-US"/>
        </w:rPr>
        <w:tab/>
      </w:r>
      <w:r w:rsidRPr="008848AD">
        <w:rPr>
          <w:rFonts w:eastAsia="Calibri"/>
          <w:lang w:val="es-ES_tradnl" w:eastAsia="en-US"/>
        </w:rPr>
        <w:tab/>
        <w:t xml:space="preserve">Condiciones de </w:t>
      </w:r>
      <w:r w:rsidRPr="008848AD">
        <w:rPr>
          <w:rFonts w:eastAsia="Calibri"/>
          <w:u w:color="000000"/>
          <w:bdr w:val="nil"/>
          <w:lang w:val="es-ES_tradnl" w:eastAsia="en-GB"/>
        </w:rPr>
        <w:t>detención</w:t>
      </w:r>
    </w:p>
    <w:p w14:paraId="770C357E" w14:textId="33441EA8" w:rsidR="008848AD" w:rsidRPr="008848AD" w:rsidRDefault="008848AD" w:rsidP="0045380A">
      <w:pPr>
        <w:pStyle w:val="SingleTxtG"/>
        <w:rPr>
          <w:shd w:val="clear" w:color="auto" w:fill="FFFFFF"/>
        </w:rPr>
      </w:pPr>
      <w:r w:rsidRPr="008848AD">
        <w:rPr>
          <w:shd w:val="clear" w:color="auto" w:fill="FFFFFF"/>
        </w:rPr>
        <w:t>13.</w:t>
      </w:r>
      <w:r w:rsidRPr="008848AD">
        <w:rPr>
          <w:shd w:val="clear" w:color="auto" w:fill="FFFFFF"/>
        </w:rPr>
        <w:tab/>
        <w:t>Si bien toma nota de la información proporcionada por el Estado parte sobre las inversiones realizadas en nuevas infraestructuras penitenciarias</w:t>
      </w:r>
      <w:r w:rsidRPr="0045380A">
        <w:rPr>
          <w:rFonts w:eastAsiaTheme="majorEastAsia"/>
          <w:sz w:val="18"/>
          <w:szCs w:val="18"/>
          <w:shd w:val="clear" w:color="auto" w:fill="FFFFFF"/>
          <w:vertAlign w:val="superscript"/>
        </w:rPr>
        <w:footnoteReference w:id="26"/>
      </w:r>
      <w:r w:rsidRPr="008848AD">
        <w:rPr>
          <w:shd w:val="clear" w:color="auto" w:fill="FFFFFF"/>
        </w:rPr>
        <w:t>, el Comité lamenta no contar con información actualizada relativa a la ejecución del plan que prevé la construcción de cinco</w:t>
      </w:r>
      <w:r w:rsidRPr="008848AD">
        <w:t xml:space="preserve"> nuevos establecimientos carcelarios</w:t>
      </w:r>
      <w:r w:rsidRPr="0045380A">
        <w:rPr>
          <w:rFonts w:eastAsiaTheme="majorEastAsia"/>
          <w:sz w:val="18"/>
          <w:szCs w:val="18"/>
          <w:vertAlign w:val="superscript"/>
        </w:rPr>
        <w:footnoteReference w:id="27"/>
      </w:r>
      <w:r w:rsidR="00E7786C">
        <w:t>.</w:t>
      </w:r>
      <w:r w:rsidRPr="008848AD">
        <w:t xml:space="preserve"> El Comité también toma nota de la información facilitada por el Estado parte sobre los índices de ocupación en celdas policiales (un 3,38</w:t>
      </w:r>
      <w:r w:rsidR="00E7786C">
        <w:t> </w:t>
      </w:r>
      <w:r w:rsidRPr="008848AD">
        <w:t>%)</w:t>
      </w:r>
      <w:r w:rsidRPr="0045380A">
        <w:rPr>
          <w:rFonts w:eastAsiaTheme="majorEastAsia"/>
          <w:sz w:val="18"/>
          <w:szCs w:val="18"/>
          <w:vertAlign w:val="superscript"/>
        </w:rPr>
        <w:footnoteReference w:id="28"/>
      </w:r>
      <w:r w:rsidRPr="008848AD">
        <w:t>, pero lamenta no contar con datos estadísticos oficiales y actualizados relativos a la población reclusa, desglosados por lugar de detención y tasa de ocupación. Además, al Comité</w:t>
      </w:r>
      <w:r w:rsidRPr="008848AD">
        <w:rPr>
          <w:shd w:val="clear" w:color="auto" w:fill="FFFFFF"/>
        </w:rPr>
        <w:t xml:space="preserve"> le preocupan:</w:t>
      </w:r>
    </w:p>
    <w:p w14:paraId="2A6D1544" w14:textId="6FB17937" w:rsidR="008848AD" w:rsidRPr="008848AD" w:rsidRDefault="008848AD" w:rsidP="0045380A">
      <w:pPr>
        <w:pStyle w:val="SingleTxtG"/>
      </w:pPr>
      <w:r w:rsidRPr="008848AD">
        <w:rPr>
          <w:shd w:val="clear" w:color="auto" w:fill="FFFFFF"/>
        </w:rPr>
        <w:tab/>
        <w:t>a)</w:t>
      </w:r>
      <w:r w:rsidRPr="008848AD">
        <w:rPr>
          <w:shd w:val="clear" w:color="auto" w:fill="FFFFFF"/>
        </w:rPr>
        <w:tab/>
        <w:t>Las informaciones recibidas en las que se denuncian las graves condiciones de detención, incluida la situación de</w:t>
      </w:r>
      <w:r w:rsidRPr="008848AD">
        <w:rPr>
          <w:lang w:eastAsia="en-US"/>
        </w:rPr>
        <w:t xml:space="preserve"> </w:t>
      </w:r>
      <w:r w:rsidR="00E7786C">
        <w:rPr>
          <w:lang w:eastAsia="en-US"/>
        </w:rPr>
        <w:t xml:space="preserve">las </w:t>
      </w:r>
      <w:r w:rsidRPr="008848AD">
        <w:rPr>
          <w:lang w:eastAsia="en-US"/>
        </w:rPr>
        <w:t>mujeres,</w:t>
      </w:r>
      <w:r>
        <w:rPr>
          <w:lang w:eastAsia="en-US"/>
        </w:rPr>
        <w:t xml:space="preserve"> </w:t>
      </w:r>
      <w:r w:rsidRPr="008848AD">
        <w:rPr>
          <w:shd w:val="clear" w:color="auto" w:fill="FFFFFF"/>
        </w:rPr>
        <w:t>en los establecimientos penitenciarios, particularmente La Modelo y La Esperanza en Tipitapa,</w:t>
      </w:r>
      <w:r w:rsidRPr="008848AD">
        <w:rPr>
          <w:lang w:eastAsia="en-US"/>
        </w:rPr>
        <w:t xml:space="preserve"> </w:t>
      </w:r>
      <w:r w:rsidRPr="008848AD">
        <w:rPr>
          <w:shd w:val="clear" w:color="auto" w:fill="FFFFFF"/>
        </w:rPr>
        <w:t>así como en la Dirección de Auxilio Judicial en Managua (“El Chipote”) y el</w:t>
      </w:r>
      <w:r w:rsidRPr="008848AD">
        <w:rPr>
          <w:rFonts w:eastAsiaTheme="majorEastAsia"/>
          <w:b/>
          <w:i/>
          <w:iCs/>
          <w:shd w:val="clear" w:color="auto" w:fill="FFFFFF"/>
          <w:vertAlign w:val="superscript"/>
        </w:rPr>
        <w:t xml:space="preserve"> </w:t>
      </w:r>
      <w:r w:rsidRPr="008848AD">
        <w:t>Complejo</w:t>
      </w:r>
      <w:r w:rsidRPr="008848AD">
        <w:rPr>
          <w:shd w:val="clear" w:color="auto" w:fill="FFFFFF"/>
        </w:rPr>
        <w:t> Judicial de la Policía Nacional “Evaristo Vásquez Sánchez” (“Nuevo Chipote”)</w:t>
      </w:r>
      <w:r w:rsidRPr="0045380A">
        <w:rPr>
          <w:rFonts w:eastAsiaTheme="majorEastAsia"/>
          <w:sz w:val="18"/>
          <w:szCs w:val="18"/>
          <w:shd w:val="clear" w:color="auto" w:fill="FFFFFF"/>
          <w:vertAlign w:val="superscript"/>
        </w:rPr>
        <w:footnoteReference w:id="29"/>
      </w:r>
      <w:r w:rsidRPr="008848AD">
        <w:rPr>
          <w:shd w:val="clear" w:color="auto" w:fill="FFFFFF"/>
        </w:rPr>
        <w:t>, donde personas condenadas y aquellas en prisión preventiva son detenidas en las mismas celdas. Preocupan e</w:t>
      </w:r>
      <w:r w:rsidRPr="008848AD">
        <w:t xml:space="preserve">n particular los informes relativos al </w:t>
      </w:r>
      <w:r w:rsidRPr="008848AD">
        <w:rPr>
          <w:lang w:eastAsia="en-US"/>
        </w:rPr>
        <w:t xml:space="preserve">hacinamiento, </w:t>
      </w:r>
      <w:r w:rsidRPr="008848AD">
        <w:rPr>
          <w:shd w:val="clear" w:color="auto" w:fill="FFFFFF"/>
        </w:rPr>
        <w:t xml:space="preserve">insalubridad, falta de ventilación y acceso a la luz natural, </w:t>
      </w:r>
      <w:r w:rsidRPr="008848AD">
        <w:rPr>
          <w:lang w:eastAsia="en-US"/>
        </w:rPr>
        <w:t xml:space="preserve">malnutrición y </w:t>
      </w:r>
      <w:r w:rsidRPr="008848AD">
        <w:rPr>
          <w:shd w:val="clear" w:color="auto" w:fill="FFFFFF"/>
        </w:rPr>
        <w:t>acceso limitado al agua potable y medicamentos en dichos centros penitenciarios</w:t>
      </w:r>
      <w:r w:rsidRPr="0045380A">
        <w:rPr>
          <w:rFonts w:eastAsiaTheme="majorEastAsia"/>
          <w:sz w:val="18"/>
          <w:szCs w:val="18"/>
          <w:shd w:val="clear" w:color="auto" w:fill="FFFFFF"/>
          <w:vertAlign w:val="superscript"/>
        </w:rPr>
        <w:footnoteReference w:id="30"/>
      </w:r>
      <w:r w:rsidRPr="008848AD">
        <w:t>;</w:t>
      </w:r>
    </w:p>
    <w:p w14:paraId="35D59A29" w14:textId="162B004F" w:rsidR="008848AD" w:rsidRPr="008848AD" w:rsidRDefault="008848AD" w:rsidP="0045380A">
      <w:pPr>
        <w:pStyle w:val="SingleTxtG"/>
        <w:rPr>
          <w:lang w:eastAsia="en-US"/>
        </w:rPr>
      </w:pPr>
      <w:r w:rsidRPr="008848AD">
        <w:tab/>
        <w:t>b)</w:t>
      </w:r>
      <w:r w:rsidRPr="008848AD">
        <w:tab/>
      </w:r>
      <w:r w:rsidRPr="008848AD">
        <w:rPr>
          <w:lang w:eastAsia="en-US"/>
        </w:rPr>
        <w:t>Los informes recibidos sobre la</w:t>
      </w:r>
      <w:r w:rsidRPr="008848AD">
        <w:rPr>
          <w:shd w:val="clear" w:color="auto" w:fill="FFFFFF"/>
        </w:rPr>
        <w:t>s dificultades en el acceso a una atención médica adecuada</w:t>
      </w:r>
      <w:r w:rsidRPr="008848AD">
        <w:rPr>
          <w:lang w:eastAsia="en-US"/>
        </w:rPr>
        <w:t xml:space="preserve">, </w:t>
      </w:r>
      <w:r w:rsidRPr="008848AD">
        <w:rPr>
          <w:shd w:val="clear" w:color="auto" w:fill="FFFFFF"/>
        </w:rPr>
        <w:t>en particular en el caso de las personas privadas de libertad que sufren enfermedades crónicas o</w:t>
      </w:r>
      <w:r w:rsidRPr="008848AD">
        <w:rPr>
          <w:lang w:eastAsia="en-US"/>
        </w:rPr>
        <w:t xml:space="preserve"> tienen síntomas de </w:t>
      </w:r>
      <w:r w:rsidR="00492019">
        <w:rPr>
          <w:lang w:eastAsia="en-US"/>
        </w:rPr>
        <w:t>enfermedad por coronavirus (</w:t>
      </w:r>
      <w:r w:rsidRPr="008848AD">
        <w:rPr>
          <w:lang w:eastAsia="en-US"/>
        </w:rPr>
        <w:t>COVID-19</w:t>
      </w:r>
      <w:r w:rsidR="00492019">
        <w:rPr>
          <w:lang w:eastAsia="en-US"/>
        </w:rPr>
        <w:t>)</w:t>
      </w:r>
      <w:r w:rsidRPr="0045380A">
        <w:rPr>
          <w:rFonts w:eastAsiaTheme="majorEastAsia"/>
          <w:sz w:val="18"/>
          <w:szCs w:val="18"/>
          <w:vertAlign w:val="superscript"/>
          <w:lang w:eastAsia="en-US"/>
        </w:rPr>
        <w:footnoteReference w:id="31"/>
      </w:r>
      <w:r w:rsidRPr="008848AD">
        <w:rPr>
          <w:lang w:eastAsia="en-US"/>
        </w:rPr>
        <w:t>;</w:t>
      </w:r>
    </w:p>
    <w:p w14:paraId="5E87E32C" w14:textId="0684385B" w:rsidR="008848AD" w:rsidRPr="008848AD" w:rsidRDefault="008848AD" w:rsidP="0045380A">
      <w:pPr>
        <w:pStyle w:val="SingleTxtG"/>
        <w:rPr>
          <w:lang w:eastAsia="en-US"/>
        </w:rPr>
      </w:pPr>
      <w:r w:rsidRPr="008848AD">
        <w:tab/>
        <w:t>c)</w:t>
      </w:r>
      <w:r w:rsidRPr="008848AD">
        <w:tab/>
        <w:t>Las denuncias de agresiones y violencia sexual en los centros de detención, con una incidencia particularmente elevada en el caso de las mujeres detenidas</w:t>
      </w:r>
      <w:r w:rsidR="006B354D">
        <w:rPr>
          <w:rStyle w:val="Refdenotaalpie"/>
        </w:rPr>
        <w:footnoteReference w:id="32"/>
      </w:r>
      <w:r w:rsidRPr="008848AD">
        <w:t xml:space="preserve">, </w:t>
      </w:r>
      <w:r w:rsidRPr="008848AD">
        <w:rPr>
          <w:lang w:eastAsia="en-US"/>
        </w:rPr>
        <w:t>incluidas las mujeres transgénero encarceladas en prisiones para hombres</w:t>
      </w:r>
      <w:r w:rsidRPr="0045380A">
        <w:rPr>
          <w:rFonts w:eastAsiaTheme="majorEastAsia"/>
          <w:sz w:val="18"/>
          <w:szCs w:val="18"/>
          <w:vertAlign w:val="superscript"/>
        </w:rPr>
        <w:footnoteReference w:id="33"/>
      </w:r>
      <w:r w:rsidRPr="008848AD">
        <w:rPr>
          <w:lang w:eastAsia="en-US"/>
        </w:rPr>
        <w:t>;</w:t>
      </w:r>
    </w:p>
    <w:p w14:paraId="1E22E561" w14:textId="060D9183" w:rsidR="008848AD" w:rsidRPr="008848AD" w:rsidRDefault="008848AD" w:rsidP="0045380A">
      <w:pPr>
        <w:pStyle w:val="SingleTxtG"/>
        <w:rPr>
          <w:lang w:val="es-419"/>
        </w:rPr>
      </w:pPr>
      <w:r w:rsidRPr="008848AD">
        <w:rPr>
          <w:lang w:eastAsia="en-US"/>
        </w:rPr>
        <w:tab/>
        <w:t>d)</w:t>
      </w:r>
      <w:r w:rsidRPr="008848AD">
        <w:tab/>
        <w:t>La falta de información</w:t>
      </w:r>
      <w:r w:rsidRPr="008848AD">
        <w:rPr>
          <w:lang w:val="es-419"/>
        </w:rPr>
        <w:t xml:space="preserve"> sobre los resultados de las investigaciones de todas las muertes bajo custodia ocurridas durante el período examinado</w:t>
      </w:r>
      <w:r w:rsidRPr="0045380A">
        <w:rPr>
          <w:rFonts w:eastAsiaTheme="majorEastAsia"/>
          <w:sz w:val="18"/>
          <w:szCs w:val="18"/>
          <w:vertAlign w:val="superscript"/>
          <w:lang w:val="es-419"/>
        </w:rPr>
        <w:footnoteReference w:id="34"/>
      </w:r>
      <w:r w:rsidRPr="008848AD">
        <w:rPr>
          <w:lang w:val="es-419"/>
        </w:rPr>
        <w:t xml:space="preserve">, </w:t>
      </w:r>
      <w:r w:rsidRPr="008848AD">
        <w:t xml:space="preserve">así como sobre </w:t>
      </w:r>
      <w:r w:rsidRPr="008848AD">
        <w:rPr>
          <w:lang w:val="es-419"/>
        </w:rPr>
        <w:t>las medidas concretas adoptadas para evitar que se produzcan casos similares en el futuro;</w:t>
      </w:r>
    </w:p>
    <w:p w14:paraId="3BC67E46" w14:textId="084D7CF6" w:rsidR="008848AD" w:rsidRPr="008848AD" w:rsidRDefault="008848AD" w:rsidP="0045380A">
      <w:pPr>
        <w:pStyle w:val="SingleTxtG"/>
        <w:rPr>
          <w:shd w:val="clear" w:color="auto" w:fill="FFFFFF"/>
        </w:rPr>
      </w:pPr>
      <w:r w:rsidRPr="008848AD">
        <w:rPr>
          <w:lang w:val="es-419"/>
        </w:rPr>
        <w:lastRenderedPageBreak/>
        <w:tab/>
        <w:t>e)</w:t>
      </w:r>
      <w:r w:rsidRPr="008848AD">
        <w:rPr>
          <w:lang w:val="es-419"/>
        </w:rPr>
        <w:tab/>
        <w:t xml:space="preserve">La </w:t>
      </w:r>
      <w:r w:rsidRPr="008848AD">
        <w:t>denegación de acceso a los lugares de privación de libertad a representantes de</w:t>
      </w:r>
      <w:r w:rsidR="009345E0">
        <w:t>l</w:t>
      </w:r>
      <w:r w:rsidRPr="008848AD">
        <w:t xml:space="preserve"> ACNUDH y de otras </w:t>
      </w:r>
      <w:r w:rsidR="009E2FDA">
        <w:t>o</w:t>
      </w:r>
      <w:r w:rsidRPr="008848AD">
        <w:t xml:space="preserve">rganizaciones </w:t>
      </w:r>
      <w:r w:rsidR="009E2FDA">
        <w:t>i</w:t>
      </w:r>
      <w:r w:rsidRPr="008848AD">
        <w:t xml:space="preserve">nternacionales, así como de organizaciones no gubernamentales de carácter humanitario y de derechos humanos </w:t>
      </w:r>
      <w:r w:rsidRPr="008848AD">
        <w:rPr>
          <w:rFonts w:eastAsia="Calibri"/>
          <w:lang w:val="es-ES_tradnl"/>
        </w:rPr>
        <w:t>(arts. 2, 11 y 16).</w:t>
      </w:r>
    </w:p>
    <w:p w14:paraId="48E71A92" w14:textId="77777777" w:rsidR="008848AD" w:rsidRPr="0045380A" w:rsidRDefault="008848AD" w:rsidP="0045380A">
      <w:pPr>
        <w:pStyle w:val="SingleTxtG"/>
        <w:rPr>
          <w:b/>
          <w:bCs/>
        </w:rPr>
      </w:pPr>
      <w:r w:rsidRPr="008848AD">
        <w:t>14.</w:t>
      </w:r>
      <w:r w:rsidRPr="008848AD">
        <w:tab/>
      </w:r>
      <w:r w:rsidRPr="0045380A">
        <w:rPr>
          <w:b/>
          <w:bCs/>
        </w:rPr>
        <w:t>El Comité insta al Estado parte a:</w:t>
      </w:r>
    </w:p>
    <w:p w14:paraId="64F33664" w14:textId="1FBF8D1C" w:rsidR="008848AD" w:rsidRPr="0045380A" w:rsidRDefault="00416D5C" w:rsidP="0045380A">
      <w:pPr>
        <w:pStyle w:val="SingleTxtG"/>
        <w:rPr>
          <w:b/>
          <w:bCs/>
        </w:rPr>
      </w:pPr>
      <w:r>
        <w:rPr>
          <w:b/>
          <w:bCs/>
        </w:rPr>
        <w:tab/>
        <w:t>a)</w:t>
      </w:r>
      <w:r>
        <w:rPr>
          <w:b/>
          <w:bCs/>
        </w:rPr>
        <w:tab/>
      </w:r>
      <w:r w:rsidR="008848AD" w:rsidRPr="0045380A">
        <w:rPr>
          <w:b/>
          <w:bCs/>
        </w:rPr>
        <w:t>Garantizar que las condiciones de reclusión se ajusten plenamente a las Reglas Mínimas de las Naciones Unidas para el Tratamiento de los Reclusos (Reglas Nelson Mandela) y las Reglas de las Naciones Unidas para el Tratamiento de las Reclusas y Medidas No Privativas de la Libertad para las Mujeres Delincuentes (Reglas de Bangkok), velando por la correcta alimentación y atención médica de las personas privadas de libertad;</w:t>
      </w:r>
    </w:p>
    <w:p w14:paraId="617A94FC" w14:textId="58E2413D" w:rsidR="008848AD" w:rsidRPr="0045380A" w:rsidRDefault="00416D5C" w:rsidP="0045380A">
      <w:pPr>
        <w:pStyle w:val="SingleTxtG"/>
        <w:rPr>
          <w:rFonts w:eastAsia="Cambria"/>
          <w:b/>
          <w:bCs/>
          <w:lang w:eastAsia="en-US"/>
        </w:rPr>
      </w:pPr>
      <w:r>
        <w:rPr>
          <w:b/>
          <w:bCs/>
        </w:rPr>
        <w:tab/>
        <w:t>b)</w:t>
      </w:r>
      <w:r>
        <w:rPr>
          <w:b/>
          <w:bCs/>
        </w:rPr>
        <w:tab/>
      </w:r>
      <w:r w:rsidR="008848AD" w:rsidRPr="0045380A">
        <w:rPr>
          <w:b/>
          <w:bCs/>
        </w:rPr>
        <w:t>Velar por</w:t>
      </w:r>
      <w:r w:rsidR="008848AD" w:rsidRPr="0045380A">
        <w:rPr>
          <w:rFonts w:eastAsia="Cambria"/>
          <w:b/>
          <w:bCs/>
          <w:lang w:eastAsia="en-US"/>
        </w:rPr>
        <w:t xml:space="preserve"> la estricta separación entre las personas detenidas en prisión preventiva y aquellas que cumplen condenas</w:t>
      </w:r>
      <w:r w:rsidR="006524CC" w:rsidRPr="0045380A">
        <w:rPr>
          <w:rFonts w:eastAsia="Cambria"/>
          <w:b/>
          <w:bCs/>
          <w:lang w:eastAsia="en-US"/>
        </w:rPr>
        <w:t>.</w:t>
      </w:r>
      <w:r w:rsidR="008848AD" w:rsidRPr="0045380A">
        <w:rPr>
          <w:rFonts w:eastAsia="Cambria"/>
          <w:b/>
          <w:bCs/>
          <w:lang w:eastAsia="en-US"/>
        </w:rPr>
        <w:t xml:space="preserve"> </w:t>
      </w:r>
      <w:r w:rsidR="006524CC" w:rsidRPr="0045380A">
        <w:rPr>
          <w:rFonts w:eastAsia="Cambria"/>
          <w:b/>
          <w:bCs/>
          <w:lang w:eastAsia="en-US"/>
        </w:rPr>
        <w:t>E</w:t>
      </w:r>
      <w:r w:rsidR="008848AD" w:rsidRPr="0045380A">
        <w:rPr>
          <w:rFonts w:eastAsia="Cambria"/>
          <w:b/>
          <w:bCs/>
          <w:lang w:eastAsia="en-US"/>
        </w:rPr>
        <w:t>n establecimientos penitenciarios mixtos, el pabellón destinado a mujeres deberá estar completamente separado del de los hombres;</w:t>
      </w:r>
    </w:p>
    <w:p w14:paraId="36B26EA6" w14:textId="1BE30532" w:rsidR="008848AD" w:rsidRPr="0045380A" w:rsidRDefault="00416D5C" w:rsidP="0045380A">
      <w:pPr>
        <w:pStyle w:val="SingleTxtG"/>
        <w:rPr>
          <w:b/>
          <w:bCs/>
        </w:rPr>
      </w:pPr>
      <w:r>
        <w:rPr>
          <w:rFonts w:eastAsia="Cambria"/>
          <w:b/>
          <w:bCs/>
          <w:lang w:eastAsia="en-US"/>
        </w:rPr>
        <w:tab/>
        <w:t>c)</w:t>
      </w:r>
      <w:r>
        <w:rPr>
          <w:rFonts w:eastAsia="Cambria"/>
          <w:b/>
          <w:bCs/>
          <w:lang w:eastAsia="en-US"/>
        </w:rPr>
        <w:tab/>
      </w:r>
      <w:r w:rsidR="008848AD" w:rsidRPr="0045380A">
        <w:rPr>
          <w:rFonts w:eastAsia="Cambria"/>
          <w:b/>
          <w:bCs/>
          <w:lang w:eastAsia="en-US"/>
        </w:rPr>
        <w:t>Asegurar que todos los casos de muerte de personas privadas de libertad sean investigados con prontitud y de forma imparcial por un órgano independiente, teniendo debidamente en cuenta el Protocolo de Minnesota sobre la Investigación de Muertes Potencialmente Ilícitas y</w:t>
      </w:r>
      <w:r w:rsidR="00DC09E0" w:rsidRPr="0045380A">
        <w:rPr>
          <w:rFonts w:eastAsia="Cambria"/>
          <w:b/>
          <w:bCs/>
          <w:lang w:eastAsia="en-US"/>
        </w:rPr>
        <w:t>,</w:t>
      </w:r>
      <w:r w:rsidR="008848AD" w:rsidRPr="0045380A">
        <w:rPr>
          <w:rFonts w:eastAsia="Cambria"/>
          <w:b/>
          <w:bCs/>
          <w:lang w:eastAsia="en-US"/>
        </w:rPr>
        <w:t xml:space="preserve"> cuando corresponda, castigar debidamente a los responsables, proporcionando una indemnización justa y adecuada a los familiares. Se deberá revisar también la eficacia de las estrategias y programas de prevención de suicidios</w:t>
      </w:r>
      <w:r w:rsidR="00F56E1D" w:rsidRPr="0045380A">
        <w:rPr>
          <w:rFonts w:eastAsia="Cambria"/>
          <w:b/>
          <w:bCs/>
          <w:lang w:eastAsia="en-US"/>
        </w:rPr>
        <w:t xml:space="preserve"> y la violencia en los centros penitenciarios</w:t>
      </w:r>
      <w:r w:rsidR="008848AD" w:rsidRPr="0045380A">
        <w:rPr>
          <w:rFonts w:eastAsia="Cambria"/>
          <w:b/>
          <w:bCs/>
          <w:lang w:eastAsia="en-US"/>
        </w:rPr>
        <w:t>. El Estado parte debe proporcionar al Comité información pormenorizada sobre los casos de muerte de personas privadas de libertad y sus causas;</w:t>
      </w:r>
    </w:p>
    <w:p w14:paraId="764BADBE" w14:textId="15C1DFA8" w:rsidR="008848AD" w:rsidRPr="0045380A" w:rsidRDefault="00416D5C" w:rsidP="0045380A">
      <w:pPr>
        <w:pStyle w:val="SingleTxtG"/>
        <w:rPr>
          <w:b/>
          <w:bCs/>
        </w:rPr>
      </w:pPr>
      <w:r>
        <w:rPr>
          <w:b/>
          <w:bCs/>
          <w:lang w:eastAsia="en-US"/>
        </w:rPr>
        <w:tab/>
        <w:t>d)</w:t>
      </w:r>
      <w:r>
        <w:rPr>
          <w:b/>
          <w:bCs/>
          <w:lang w:eastAsia="en-US"/>
        </w:rPr>
        <w:tab/>
      </w:r>
      <w:r w:rsidR="008848AD" w:rsidRPr="0045380A">
        <w:rPr>
          <w:b/>
          <w:bCs/>
          <w:lang w:eastAsia="en-US"/>
        </w:rPr>
        <w:t>Permitir la supervisión independiente y sin previo aviso de los centros de detención por parte de entes nacionales y organizaciones internacionales, sin trabas y sin tener que avisar previamente. El Estado parte debe también autorizar a las organizaciones no gubernamentales de carácter humanitario y de derechos humanos a llevar a cabo actividades de supervisión en todos los lugares de reclusión;</w:t>
      </w:r>
    </w:p>
    <w:p w14:paraId="50555140" w14:textId="6F4B026A" w:rsidR="008848AD" w:rsidRPr="0045380A" w:rsidRDefault="00416D5C" w:rsidP="0045380A">
      <w:pPr>
        <w:pStyle w:val="SingleTxtG"/>
        <w:rPr>
          <w:b/>
          <w:bCs/>
        </w:rPr>
      </w:pPr>
      <w:r>
        <w:rPr>
          <w:b/>
          <w:bCs/>
        </w:rPr>
        <w:tab/>
        <w:t>e)</w:t>
      </w:r>
      <w:r>
        <w:rPr>
          <w:b/>
          <w:bCs/>
        </w:rPr>
        <w:tab/>
      </w:r>
      <w:r w:rsidR="008848AD" w:rsidRPr="0045380A">
        <w:rPr>
          <w:b/>
          <w:bCs/>
        </w:rPr>
        <w:t>Reunir y publicar datos sobre la capacidad máxima y tasa de ocupación, así como sobre el número de personas condenadas y en prisión preventiva en todos los lugares de detención del Estado parte.</w:t>
      </w:r>
    </w:p>
    <w:p w14:paraId="741AEE92" w14:textId="7A35760A" w:rsidR="008848AD" w:rsidRPr="008848AD" w:rsidRDefault="008848AD" w:rsidP="008848AD">
      <w:pPr>
        <w:pStyle w:val="H23G"/>
        <w:rPr>
          <w:lang w:eastAsia="en-US"/>
        </w:rPr>
      </w:pPr>
      <w:r>
        <w:rPr>
          <w:lang w:eastAsia="en-US"/>
        </w:rPr>
        <w:tab/>
      </w:r>
      <w:r>
        <w:rPr>
          <w:lang w:eastAsia="en-US"/>
        </w:rPr>
        <w:tab/>
      </w:r>
      <w:r w:rsidR="00496192">
        <w:rPr>
          <w:lang w:eastAsia="en-US"/>
        </w:rPr>
        <w:t>R</w:t>
      </w:r>
      <w:r w:rsidRPr="008848AD">
        <w:rPr>
          <w:lang w:eastAsia="en-US"/>
        </w:rPr>
        <w:t xml:space="preserve">égimen de aislamiento, sanciones disciplinarias y castigos </w:t>
      </w:r>
    </w:p>
    <w:p w14:paraId="483F4D93" w14:textId="52E213FD" w:rsidR="008848AD" w:rsidRPr="008848AD" w:rsidRDefault="008848AD" w:rsidP="0045380A">
      <w:pPr>
        <w:pStyle w:val="SingleTxtG"/>
        <w:rPr>
          <w:shd w:val="clear" w:color="auto" w:fill="FFFFFF"/>
        </w:rPr>
      </w:pPr>
      <w:r w:rsidRPr="008848AD">
        <w:rPr>
          <w:lang w:eastAsia="en-US"/>
        </w:rPr>
        <w:t>15.</w:t>
      </w:r>
      <w:r w:rsidRPr="008848AD">
        <w:rPr>
          <w:shd w:val="clear" w:color="auto" w:fill="FFFFFF"/>
        </w:rPr>
        <w:tab/>
        <w:t>El Comité toma nota de</w:t>
      </w:r>
      <w:r w:rsidR="009E2FDA">
        <w:rPr>
          <w:shd w:val="clear" w:color="auto" w:fill="FFFFFF"/>
        </w:rPr>
        <w:t xml:space="preserve"> la</w:t>
      </w:r>
      <w:r w:rsidRPr="008848AD">
        <w:rPr>
          <w:shd w:val="clear" w:color="auto" w:fill="FFFFFF"/>
        </w:rPr>
        <w:t xml:space="preserve"> adopción de la Ley </w:t>
      </w:r>
      <w:r w:rsidR="00DC09E0">
        <w:rPr>
          <w:shd w:val="clear" w:color="auto" w:fill="FFFFFF"/>
        </w:rPr>
        <w:t>núm</w:t>
      </w:r>
      <w:r w:rsidRPr="008848AD">
        <w:rPr>
          <w:shd w:val="clear" w:color="auto" w:fill="FFFFFF"/>
        </w:rPr>
        <w:t>. 745 de Ejecución, Beneficios y Control Jurisdiccional de la Sanción Penal</w:t>
      </w:r>
      <w:r w:rsidR="00DC09E0">
        <w:rPr>
          <w:shd w:val="clear" w:color="auto" w:fill="FFFFFF"/>
        </w:rPr>
        <w:t xml:space="preserve">, de </w:t>
      </w:r>
      <w:r w:rsidRPr="008848AD">
        <w:rPr>
          <w:shd w:val="clear" w:color="auto" w:fill="FFFFFF"/>
        </w:rPr>
        <w:t>2010, la cual tiene por objeto regular el control de las sanciones penales por parte de los jueces, incluidas las medidas de aislamiento que superen las 48 horas (art</w:t>
      </w:r>
      <w:r w:rsidR="00DC09E0">
        <w:rPr>
          <w:shd w:val="clear" w:color="auto" w:fill="FFFFFF"/>
        </w:rPr>
        <w:t>.</w:t>
      </w:r>
      <w:r w:rsidRPr="008848AD">
        <w:rPr>
          <w:shd w:val="clear" w:color="auto" w:fill="FFFFFF"/>
        </w:rPr>
        <w:t xml:space="preserve"> 26</w:t>
      </w:r>
      <w:r w:rsidR="009E2FDA">
        <w:rPr>
          <w:shd w:val="clear" w:color="auto" w:fill="FFFFFF"/>
        </w:rPr>
        <w:t xml:space="preserve"> de la Ley</w:t>
      </w:r>
      <w:r w:rsidRPr="008848AD">
        <w:rPr>
          <w:shd w:val="clear" w:color="auto" w:fill="FFFFFF"/>
        </w:rPr>
        <w:t>) y en general la vigilancia penitenciaria (art</w:t>
      </w:r>
      <w:r w:rsidR="00DC09E0">
        <w:rPr>
          <w:shd w:val="clear" w:color="auto" w:fill="FFFFFF"/>
        </w:rPr>
        <w:t>.</w:t>
      </w:r>
      <w:r w:rsidR="009E2FDA">
        <w:rPr>
          <w:shd w:val="clear" w:color="auto" w:fill="FFFFFF"/>
        </w:rPr>
        <w:t> </w:t>
      </w:r>
      <w:r w:rsidRPr="008848AD">
        <w:rPr>
          <w:shd w:val="clear" w:color="auto" w:fill="FFFFFF"/>
        </w:rPr>
        <w:t>23</w:t>
      </w:r>
      <w:r w:rsidR="009E2FDA" w:rsidRPr="009E2FDA">
        <w:rPr>
          <w:shd w:val="clear" w:color="auto" w:fill="FFFFFF"/>
        </w:rPr>
        <w:t xml:space="preserve"> </w:t>
      </w:r>
      <w:r w:rsidR="009E2FDA">
        <w:rPr>
          <w:shd w:val="clear" w:color="auto" w:fill="FFFFFF"/>
        </w:rPr>
        <w:t>de la Ley</w:t>
      </w:r>
      <w:r w:rsidRPr="008848AD">
        <w:rPr>
          <w:shd w:val="clear" w:color="auto" w:fill="FFFFFF"/>
        </w:rPr>
        <w:t>). El Comité lamenta la ausencia de información relativa a las visitas realizadas por jueces de ejecución durante el período que se examina y el impacto de las medidas correctivas llevadas a cabo. Preocupan también los informes que indican el internamiento en régimen de aislamiento por per</w:t>
      </w:r>
      <w:r w:rsidR="00496192">
        <w:rPr>
          <w:shd w:val="clear" w:color="auto" w:fill="FFFFFF"/>
        </w:rPr>
        <w:t>í</w:t>
      </w:r>
      <w:r w:rsidRPr="008848AD">
        <w:rPr>
          <w:shd w:val="clear" w:color="auto" w:fill="FFFFFF"/>
        </w:rPr>
        <w:t>odos superiores</w:t>
      </w:r>
      <w:r w:rsidRPr="008848AD">
        <w:rPr>
          <w:lang w:eastAsia="en-US"/>
        </w:rPr>
        <w:t xml:space="preserve"> a 15 días</w:t>
      </w:r>
      <w:r w:rsidRPr="008848AD">
        <w:rPr>
          <w:shd w:val="clear" w:color="auto" w:fill="FFFFFF"/>
        </w:rPr>
        <w:t>,</w:t>
      </w:r>
      <w:r w:rsidRPr="008848AD">
        <w:rPr>
          <w:lang w:eastAsia="en-US"/>
        </w:rPr>
        <w:t xml:space="preserve"> </w:t>
      </w:r>
      <w:r w:rsidRPr="008848AD">
        <w:t>como sanción disciplinaria</w:t>
      </w:r>
      <w:r w:rsidRPr="0045380A">
        <w:rPr>
          <w:sz w:val="18"/>
          <w:szCs w:val="18"/>
          <w:vertAlign w:val="superscript"/>
          <w:lang w:eastAsia="en-US"/>
        </w:rPr>
        <w:footnoteReference w:id="35"/>
      </w:r>
      <w:r w:rsidRPr="008848AD">
        <w:rPr>
          <w:shd w:val="clear" w:color="auto" w:fill="FFFFFF"/>
        </w:rPr>
        <w:t>.</w:t>
      </w:r>
      <w:r w:rsidRPr="0045380A">
        <w:rPr>
          <w:bCs/>
          <w:shd w:val="clear" w:color="auto" w:fill="FFFFFF"/>
        </w:rPr>
        <w:t xml:space="preserve"> </w:t>
      </w:r>
      <w:r w:rsidRPr="008848AD">
        <w:rPr>
          <w:lang w:eastAsia="en-US"/>
        </w:rPr>
        <w:t>Por otro lado,</w:t>
      </w:r>
      <w:r w:rsidRPr="008848AD">
        <w:rPr>
          <w:shd w:val="clear" w:color="auto" w:fill="FFFFFF"/>
        </w:rPr>
        <w:t xml:space="preserve"> preocupan los casos documentados de castigo colectivo de personas reclusas</w:t>
      </w:r>
      <w:r w:rsidRPr="0045380A">
        <w:rPr>
          <w:rFonts w:eastAsiaTheme="majorEastAsia"/>
          <w:sz w:val="18"/>
          <w:szCs w:val="18"/>
          <w:shd w:val="clear" w:color="auto" w:fill="FFFFFF"/>
          <w:vertAlign w:val="superscript"/>
        </w:rPr>
        <w:footnoteReference w:id="36"/>
      </w:r>
      <w:r>
        <w:rPr>
          <w:shd w:val="clear" w:color="auto" w:fill="FFFFFF"/>
        </w:rPr>
        <w:t>,</w:t>
      </w:r>
      <w:r w:rsidRPr="008848AD">
        <w:rPr>
          <w:shd w:val="clear" w:color="auto" w:fill="FFFFFF"/>
        </w:rPr>
        <w:t xml:space="preserve"> así como las informaciones recibidas que indican </w:t>
      </w:r>
      <w:r w:rsidRPr="008848AD">
        <w:rPr>
          <w:lang w:eastAsia="en-US"/>
        </w:rPr>
        <w:t xml:space="preserve">restricciones injustificadas como la suspensión del contacto familiar, especialmente con menores, y la prohibición de cualquier tipo de correspondencia o material de lectura. Son también motivo de preocupación los informes que denuncian </w:t>
      </w:r>
      <w:r w:rsidRPr="008848AD">
        <w:t xml:space="preserve">registros corporales invasivos </w:t>
      </w:r>
      <w:r w:rsidRPr="008848AD">
        <w:rPr>
          <w:lang w:eastAsia="en-US"/>
        </w:rPr>
        <w:t>y presiones indebidas a los familiares de las personas privadas de libertad durante las visitas</w:t>
      </w:r>
      <w:r w:rsidRPr="0045380A">
        <w:rPr>
          <w:rFonts w:eastAsiaTheme="majorEastAsia"/>
          <w:sz w:val="18"/>
          <w:szCs w:val="18"/>
          <w:vertAlign w:val="superscript"/>
          <w:lang w:eastAsia="en-US"/>
        </w:rPr>
        <w:footnoteReference w:id="37"/>
      </w:r>
      <w:r w:rsidRPr="008848AD">
        <w:rPr>
          <w:lang w:eastAsia="en-US"/>
        </w:rPr>
        <w:t xml:space="preserve"> (arts. 11 y 16).</w:t>
      </w:r>
    </w:p>
    <w:p w14:paraId="3F8FE807" w14:textId="2D090573" w:rsidR="008848AD" w:rsidRPr="0045380A" w:rsidRDefault="008848AD" w:rsidP="0045380A">
      <w:pPr>
        <w:pStyle w:val="SingleTxtG"/>
        <w:rPr>
          <w:b/>
        </w:rPr>
      </w:pPr>
      <w:r w:rsidRPr="008848AD">
        <w:rPr>
          <w:bCs/>
          <w:shd w:val="clear" w:color="auto" w:fill="FFFFFF"/>
        </w:rPr>
        <w:t>16.</w:t>
      </w:r>
      <w:r w:rsidRPr="008848AD">
        <w:rPr>
          <w:bCs/>
          <w:shd w:val="clear" w:color="auto" w:fill="FFFFFF"/>
        </w:rPr>
        <w:tab/>
      </w:r>
      <w:r w:rsidRPr="0045380A">
        <w:rPr>
          <w:b/>
          <w:shd w:val="clear" w:color="auto" w:fill="FFFFFF"/>
        </w:rPr>
        <w:t xml:space="preserve">El Estado parte debe velar por que el régimen de aislamiento se utilice únicamente en casos excepcionales, como último recurso, durante el menor tiempo posible (no más de 15 días), con sujeción a una revisión independiente, y solo con el permiso de la autoridad competente, de conformidad con las reglas 43 a 46 de las Reglas </w:t>
      </w:r>
      <w:r w:rsidRPr="0045380A">
        <w:rPr>
          <w:b/>
          <w:shd w:val="clear" w:color="auto" w:fill="FFFFFF"/>
        </w:rPr>
        <w:lastRenderedPageBreak/>
        <w:t>Nelson Mandela. </w:t>
      </w:r>
      <w:r w:rsidR="00B842B6" w:rsidRPr="0045380A">
        <w:rPr>
          <w:b/>
        </w:rPr>
        <w:t>Asimismo, el Estado parte debe respetar la prohibición de imponer el régimen de aislamiento y medidas similares a menores (véase</w:t>
      </w:r>
      <w:r w:rsidR="00920383" w:rsidRPr="0045380A">
        <w:rPr>
          <w:b/>
        </w:rPr>
        <w:t xml:space="preserve"> también</w:t>
      </w:r>
      <w:r w:rsidR="00B842B6" w:rsidRPr="0045380A">
        <w:rPr>
          <w:b/>
        </w:rPr>
        <w:t xml:space="preserve"> la regla 67 de las Reglas de las Naciones Unidas para la Protección de los Menores Privados de Libertad). </w:t>
      </w:r>
      <w:r w:rsidRPr="0045380A">
        <w:rPr>
          <w:b/>
          <w:shd w:val="clear" w:color="auto" w:fill="FFFFFF"/>
        </w:rPr>
        <w:t xml:space="preserve">Además, la regla 43, párrafo 3, de </w:t>
      </w:r>
      <w:r w:rsidR="007E77B8" w:rsidRPr="0045380A">
        <w:rPr>
          <w:b/>
          <w:shd w:val="clear" w:color="auto" w:fill="FFFFFF"/>
        </w:rPr>
        <w:t xml:space="preserve">las </w:t>
      </w:r>
      <w:r w:rsidRPr="0045380A">
        <w:rPr>
          <w:b/>
          <w:shd w:val="clear" w:color="auto" w:fill="FFFFFF"/>
        </w:rPr>
        <w:t xml:space="preserve">Reglas </w:t>
      </w:r>
      <w:r w:rsidR="007E77B8" w:rsidRPr="0045380A">
        <w:rPr>
          <w:b/>
          <w:shd w:val="clear" w:color="auto" w:fill="FFFFFF"/>
        </w:rPr>
        <w:t xml:space="preserve">Nelson Mandela </w:t>
      </w:r>
      <w:r w:rsidRPr="0045380A">
        <w:rPr>
          <w:b/>
          <w:shd w:val="clear" w:color="auto" w:fill="FFFFFF"/>
        </w:rPr>
        <w:t>dispone que entre las sanciones disciplinarias o medidas restrictivas no podrá figurar la prohibición del contacto con la familia y que solo se podrán restringir los medios de contacto familiar por un período limitado y en la estricta medida en que lo exija el mantenimiento de la seguridad y el orden, pero nunca como medida disciplinaria. También debe existir una clara distinción entre el aislamiento de orden administrativo y el aislamiento por motivos disciplinarios. El Estado parte debe in</w:t>
      </w:r>
      <w:r w:rsidRPr="0045380A">
        <w:rPr>
          <w:b/>
        </w:rPr>
        <w:t>vestigar restricciones arbitrarias o injustificadas de los derechos de las personas detenidas. Deberá velar también por que los registros personales sin ropa se lleven a cabo en casos excepcionales, de la manera menos invasiva posible, por parte de personal calificado del mismo sexo que la persona objeto del registro y respetando plenamente su dignidad.</w:t>
      </w:r>
    </w:p>
    <w:p w14:paraId="0EC53667" w14:textId="4E22E5CB" w:rsidR="008848AD" w:rsidRPr="008848AD" w:rsidRDefault="008848AD" w:rsidP="0045380A">
      <w:pPr>
        <w:pStyle w:val="H23G"/>
        <w:rPr>
          <w:lang w:eastAsia="en-US"/>
        </w:rPr>
      </w:pPr>
      <w:r w:rsidRPr="008848AD">
        <w:rPr>
          <w:lang w:eastAsia="en-US"/>
        </w:rPr>
        <w:tab/>
      </w:r>
      <w:r w:rsidRPr="008848AD">
        <w:rPr>
          <w:lang w:eastAsia="en-US"/>
        </w:rPr>
        <w:tab/>
        <w:t>Procuraduría para la Defensa de los Derechos Humanos</w:t>
      </w:r>
    </w:p>
    <w:p w14:paraId="3EC4C970" w14:textId="78F9BA74" w:rsidR="008848AD" w:rsidRPr="008848AD" w:rsidRDefault="008848AD" w:rsidP="008848AD">
      <w:pPr>
        <w:pStyle w:val="SingleTxtG"/>
        <w:rPr>
          <w:lang w:eastAsia="en-US"/>
        </w:rPr>
      </w:pPr>
      <w:r w:rsidRPr="008848AD">
        <w:t>17.</w:t>
      </w:r>
      <w:r w:rsidRPr="008848AD">
        <w:tab/>
        <w:t xml:space="preserve">Al Comité le preocupa la </w:t>
      </w:r>
      <w:r w:rsidR="003B7F65" w:rsidRPr="00502F54">
        <w:t>escasa efectividad</w:t>
      </w:r>
      <w:r w:rsidRPr="00502F54">
        <w:t xml:space="preserve"> de la </w:t>
      </w:r>
      <w:r w:rsidRPr="00502F54">
        <w:rPr>
          <w:lang w:eastAsia="en-US"/>
        </w:rPr>
        <w:t xml:space="preserve">Procuraduría </w:t>
      </w:r>
      <w:r w:rsidR="00076C88">
        <w:rPr>
          <w:lang w:eastAsia="en-US"/>
        </w:rPr>
        <w:t xml:space="preserve">para la Defensa de los Derechos Humanos </w:t>
      </w:r>
      <w:r w:rsidRPr="00502F54">
        <w:t>en su calidad de mecanismo nacional de prevención</w:t>
      </w:r>
      <w:r w:rsidRPr="008848AD">
        <w:t xml:space="preserve"> de la tortura y los malos tratos mediante la realización de visitas periódicas a los lugares de privación de libertad, así como la falta de información relativa al seguimiento de las recomendaciones emitidas por dicho organismo</w:t>
      </w:r>
      <w:r w:rsidRPr="0045380A">
        <w:rPr>
          <w:rFonts w:eastAsiaTheme="majorEastAsia"/>
          <w:sz w:val="18"/>
          <w:szCs w:val="18"/>
          <w:vertAlign w:val="superscript"/>
        </w:rPr>
        <w:footnoteReference w:id="38"/>
      </w:r>
      <w:r w:rsidRPr="008848AD">
        <w:t>.</w:t>
      </w:r>
      <w:r>
        <w:t xml:space="preserve"> </w:t>
      </w:r>
      <w:r w:rsidRPr="008848AD">
        <w:t>Preocupa también al Comité la falta de independencia de la Procuraduría, como institución</w:t>
      </w:r>
      <w:r w:rsidRPr="008848AD">
        <w:rPr>
          <w:lang w:val="es-MX"/>
        </w:rPr>
        <w:t xml:space="preserve"> nacional de derechos humanos</w:t>
      </w:r>
      <w:r w:rsidRPr="008848AD">
        <w:t xml:space="preserve"> y su falta de respuesta ante denuncias de presuntas violaciones de derechos humanos en el Estado parte</w:t>
      </w:r>
      <w:r w:rsidRPr="008848AD">
        <w:rPr>
          <w:rFonts w:eastAsiaTheme="majorEastAsia"/>
          <w:sz w:val="18"/>
          <w:vertAlign w:val="superscript"/>
        </w:rPr>
        <w:footnoteReference w:id="39"/>
      </w:r>
      <w:r w:rsidRPr="008848AD">
        <w:rPr>
          <w:lang w:eastAsia="en-US"/>
        </w:rPr>
        <w:t xml:space="preserve"> (art. 2).</w:t>
      </w:r>
    </w:p>
    <w:p w14:paraId="1E70941F" w14:textId="3A770893" w:rsidR="008848AD" w:rsidRPr="008848AD" w:rsidRDefault="008848AD" w:rsidP="008848AD">
      <w:pPr>
        <w:pStyle w:val="SingleTxtG"/>
        <w:rPr>
          <w:b/>
        </w:rPr>
      </w:pPr>
      <w:r w:rsidRPr="008848AD">
        <w:t>18.</w:t>
      </w:r>
      <w:r w:rsidRPr="008848AD">
        <w:tab/>
      </w:r>
      <w:r w:rsidRPr="008848AD">
        <w:rPr>
          <w:b/>
        </w:rPr>
        <w:t xml:space="preserve">El Estado parte debe garantizar la independencia funcional de la Procuraduría </w:t>
      </w:r>
      <w:r w:rsidR="00076C88">
        <w:rPr>
          <w:b/>
        </w:rPr>
        <w:t>para la Defensa de los Derechos Humanos a fin de</w:t>
      </w:r>
      <w:r w:rsidR="00076C88" w:rsidRPr="008848AD">
        <w:rPr>
          <w:b/>
        </w:rPr>
        <w:t xml:space="preserve"> </w:t>
      </w:r>
      <w:r w:rsidRPr="008848AD">
        <w:rPr>
          <w:b/>
        </w:rPr>
        <w:t xml:space="preserve">que pueda cumplir su mandato con eficacia, de conformidad con los </w:t>
      </w:r>
      <w:r w:rsidR="00E571C4">
        <w:rPr>
          <w:b/>
          <w:lang w:val="es-MX"/>
        </w:rPr>
        <w:t>p</w:t>
      </w:r>
      <w:r w:rsidRPr="008848AD">
        <w:rPr>
          <w:b/>
        </w:rPr>
        <w:t xml:space="preserve">rincipios relativos al estatuto de las instituciones nacionales de promoción y protección de los </w:t>
      </w:r>
      <w:r w:rsidRPr="008848AD">
        <w:rPr>
          <w:b/>
          <w:bCs/>
        </w:rPr>
        <w:t xml:space="preserve">derechos humanos (Principios de París) y las </w:t>
      </w:r>
      <w:r w:rsidR="00E571C4">
        <w:rPr>
          <w:b/>
          <w:bCs/>
        </w:rPr>
        <w:t>D</w:t>
      </w:r>
      <w:r w:rsidRPr="008848AD">
        <w:rPr>
          <w:b/>
          <w:bCs/>
        </w:rPr>
        <w:t>irectrices</w:t>
      </w:r>
      <w:r w:rsidRPr="008848AD">
        <w:rPr>
          <w:b/>
        </w:rPr>
        <w:t xml:space="preserve"> relativas a los mecanismos nacionales de prevención del Subcomité para la Prevención de la Tortura y Otros Tratos o Penas Crueles, Inhumanos o Degradantes</w:t>
      </w:r>
      <w:r w:rsidR="00E3640D" w:rsidRPr="0045380A">
        <w:rPr>
          <w:rStyle w:val="Refdenotaalpie"/>
          <w:bCs/>
        </w:rPr>
        <w:footnoteReference w:id="40"/>
      </w:r>
      <w:r w:rsidRPr="008848AD">
        <w:rPr>
          <w:b/>
        </w:rPr>
        <w:t xml:space="preserve">. El Estado parte debe adoptar también medidas que mejoren la efectividad de las actividades de vigilancia del mecanismo nacional de prevención y permitir que </w:t>
      </w:r>
      <w:r w:rsidR="00761DA2">
        <w:rPr>
          <w:b/>
        </w:rPr>
        <w:t>e</w:t>
      </w:r>
      <w:r w:rsidRPr="008848AD">
        <w:rPr>
          <w:b/>
        </w:rPr>
        <w:t xml:space="preserve">ste realice visitas periódicas y sin previo aviso a todos los lugares donde se encuentren personas privadas de libertad, haciendo públicos sus hallazgos y recomendaciones a las autoridades. El Estado parte debe considerar la posibilidad de permitir que el Subcomité para la Prevención de la Tortura y Otros Tratos o Penas Crueles, Inhumanos o Degradantes publique el informe de su visita de 2014, y solicitar el apoyo del Fondo Especial establecido en virtud del Protocolo Facultativo para poner en práctica las recomendaciones del Subcomité y cooperar plenamente con </w:t>
      </w:r>
      <w:r w:rsidR="00761DA2">
        <w:rPr>
          <w:b/>
        </w:rPr>
        <w:t>este</w:t>
      </w:r>
      <w:r w:rsidRPr="008848AD">
        <w:rPr>
          <w:b/>
        </w:rPr>
        <w:t xml:space="preserve"> durante su próxima visita anunciada para 2023</w:t>
      </w:r>
      <w:r w:rsidRPr="0045380A">
        <w:rPr>
          <w:rFonts w:eastAsiaTheme="majorEastAsia"/>
          <w:bCs/>
          <w:sz w:val="18"/>
          <w:vertAlign w:val="superscript"/>
        </w:rPr>
        <w:footnoteReference w:id="41"/>
      </w:r>
      <w:r w:rsidRPr="008848AD">
        <w:rPr>
          <w:b/>
        </w:rPr>
        <w:t>.</w:t>
      </w:r>
    </w:p>
    <w:p w14:paraId="5FEF3935" w14:textId="77777777" w:rsidR="008848AD" w:rsidRPr="008848AD" w:rsidRDefault="008848AD" w:rsidP="008848AD">
      <w:pPr>
        <w:pStyle w:val="H23G"/>
      </w:pPr>
      <w:r w:rsidRPr="008848AD">
        <w:rPr>
          <w:lang w:eastAsia="en-US"/>
        </w:rPr>
        <w:tab/>
      </w:r>
      <w:r>
        <w:rPr>
          <w:lang w:eastAsia="en-US"/>
        </w:rPr>
        <w:tab/>
      </w:r>
      <w:r>
        <w:rPr>
          <w:lang w:eastAsia="en-US"/>
        </w:rPr>
        <w:tab/>
      </w:r>
      <w:r w:rsidRPr="008848AD">
        <w:rPr>
          <w:rFonts w:eastAsia="Cambria"/>
          <w:lang w:eastAsia="en-US"/>
        </w:rPr>
        <w:t>Impunidad: mecanismos de denuncias, investigaciones y amnistías</w:t>
      </w:r>
    </w:p>
    <w:p w14:paraId="77729F2F" w14:textId="0390C3B3" w:rsidR="008848AD" w:rsidRPr="008848AD" w:rsidRDefault="008848AD" w:rsidP="008848AD">
      <w:pPr>
        <w:pStyle w:val="SingleTxtG"/>
      </w:pPr>
      <w:r w:rsidRPr="008848AD">
        <w:t>19.</w:t>
      </w:r>
      <w:r w:rsidRPr="008848AD">
        <w:tab/>
        <w:t xml:space="preserve">El Comité expresa su seria preocupación ante: </w:t>
      </w:r>
    </w:p>
    <w:p w14:paraId="0351D4B9" w14:textId="01FCB8A6" w:rsidR="008848AD" w:rsidRPr="008848AD" w:rsidRDefault="008848AD" w:rsidP="008848AD">
      <w:pPr>
        <w:pStyle w:val="SingleTxtG"/>
      </w:pPr>
      <w:r>
        <w:tab/>
      </w:r>
      <w:r w:rsidRPr="008848AD">
        <w:t>a)</w:t>
      </w:r>
      <w:r w:rsidRPr="008848AD">
        <w:tab/>
        <w:t>Los numerosos casos de tortura y malos tratos en centros penitenciarios y comisarías documentados por diversos mecanismos internacionales y organizaciones no gubernamentales durante el per</w:t>
      </w:r>
      <w:r w:rsidRPr="008848AD">
        <w:rPr>
          <w:bCs/>
        </w:rPr>
        <w:t>í</w:t>
      </w:r>
      <w:r w:rsidRPr="008848AD">
        <w:t>odo en examen</w:t>
      </w:r>
      <w:r w:rsidRPr="0045380A">
        <w:rPr>
          <w:rFonts w:eastAsiaTheme="majorEastAsia"/>
          <w:sz w:val="18"/>
          <w:szCs w:val="18"/>
          <w:vertAlign w:val="superscript"/>
        </w:rPr>
        <w:footnoteReference w:id="42"/>
      </w:r>
      <w:r w:rsidRPr="008848AD">
        <w:t xml:space="preserve">, así como la falta </w:t>
      </w:r>
      <w:r w:rsidR="009E2FDA">
        <w:t xml:space="preserve">de </w:t>
      </w:r>
      <w:r w:rsidRPr="008848AD">
        <w:t xml:space="preserve">información relativa al seguimiento dado a dichas denuncias por parte de las autoridades, lo que pone en entredicho </w:t>
      </w:r>
      <w:r w:rsidRPr="008848AD">
        <w:lastRenderedPageBreak/>
        <w:t>la afirmación del Estado parte en su comunicación de 29 de junio de 2022 en la que se afirma que no se practica la tortura en el país;</w:t>
      </w:r>
    </w:p>
    <w:p w14:paraId="755A806A" w14:textId="76C24B02" w:rsidR="008848AD" w:rsidRPr="008848AD" w:rsidRDefault="008848AD" w:rsidP="008848AD">
      <w:pPr>
        <w:pStyle w:val="SingleTxtG"/>
      </w:pPr>
      <w:r>
        <w:tab/>
      </w:r>
      <w:r w:rsidRPr="008848AD">
        <w:t>b)</w:t>
      </w:r>
      <w:r w:rsidRPr="008848AD">
        <w:tab/>
        <w:t>Las 12.284 denuncias presentadas contra agentes de policía y funcionarios de prisiones registradas por la Procuraduría para la Defensa de los Derechos Humanos entre 2005 y 2018</w:t>
      </w:r>
      <w:r w:rsidRPr="008848AD">
        <w:rPr>
          <w:rFonts w:eastAsiaTheme="majorEastAsia"/>
          <w:sz w:val="18"/>
          <w:vertAlign w:val="superscript"/>
        </w:rPr>
        <w:footnoteReference w:id="43"/>
      </w:r>
      <w:r w:rsidRPr="008848AD">
        <w:t xml:space="preserve"> y la falta de información sobre el seguimiento dado a esas denuncias por parte de las autoridades competentes, así como la ausencia de datos sobre denuncias recibidas e investigadas desde entonces;</w:t>
      </w:r>
    </w:p>
    <w:p w14:paraId="2BFD6017" w14:textId="4F62BE0C" w:rsidR="008848AD" w:rsidRPr="008848AD" w:rsidRDefault="008848AD" w:rsidP="008848AD">
      <w:pPr>
        <w:pStyle w:val="SingleTxtG"/>
      </w:pPr>
      <w:r>
        <w:tab/>
      </w:r>
      <w:r w:rsidRPr="008848AD">
        <w:t>c)</w:t>
      </w:r>
      <w:r w:rsidRPr="008848AD">
        <w:tab/>
        <w:t>La escasa información</w:t>
      </w:r>
      <w:r w:rsidRPr="008848AD">
        <w:rPr>
          <w:lang w:eastAsia="en-US"/>
        </w:rPr>
        <w:t xml:space="preserve"> proporcionada por el Estado parte</w:t>
      </w:r>
      <w:r w:rsidRPr="0045380A">
        <w:rPr>
          <w:rFonts w:eastAsiaTheme="majorEastAsia"/>
          <w:sz w:val="18"/>
          <w:szCs w:val="18"/>
          <w:vertAlign w:val="superscript"/>
        </w:rPr>
        <w:footnoteReference w:id="44"/>
      </w:r>
      <w:r w:rsidRPr="008848AD">
        <w:t xml:space="preserve"> sobre las denuncias recibidas</w:t>
      </w:r>
      <w:r w:rsidRPr="008848AD">
        <w:rPr>
          <w:lang w:val="es-419" w:eastAsia="en-US"/>
        </w:rPr>
        <w:t xml:space="preserve"> en el </w:t>
      </w:r>
      <w:r w:rsidRPr="008848AD">
        <w:rPr>
          <w:lang w:eastAsia="en-US"/>
        </w:rPr>
        <w:t xml:space="preserve">período 2008-2018 por parte de </w:t>
      </w:r>
      <w:r w:rsidRPr="008848AD">
        <w:t xml:space="preserve">la Policía </w:t>
      </w:r>
      <w:r w:rsidRPr="008848AD">
        <w:rPr>
          <w:lang w:eastAsia="en-US"/>
        </w:rPr>
        <w:t xml:space="preserve">Nacional, </w:t>
      </w:r>
      <w:r w:rsidRPr="008848AD">
        <w:t xml:space="preserve">el </w:t>
      </w:r>
      <w:r w:rsidRPr="008848AD">
        <w:rPr>
          <w:lang w:eastAsia="en-US"/>
        </w:rPr>
        <w:t xml:space="preserve">Ministerio </w:t>
      </w:r>
      <w:r w:rsidRPr="008848AD">
        <w:t xml:space="preserve">Público y el Ministerio de Gobernación relacionadas con violaciones </w:t>
      </w:r>
      <w:r w:rsidR="00910E39">
        <w:t>de</w:t>
      </w:r>
      <w:r w:rsidRPr="008848AD">
        <w:t xml:space="preserve"> los derechos humanos y presuntos malos tratos</w:t>
      </w:r>
      <w:r w:rsidR="00910E39">
        <w:t>;</w:t>
      </w:r>
      <w:r w:rsidRPr="008848AD">
        <w:t xml:space="preserve"> la falta de información actualizada sobre las denuncias recibidas desde entonces, </w:t>
      </w:r>
      <w:r w:rsidR="00910E39">
        <w:t>el</w:t>
      </w:r>
      <w:r w:rsidR="00910E39" w:rsidRPr="008848AD">
        <w:t xml:space="preserve"> </w:t>
      </w:r>
      <w:r w:rsidRPr="008848AD">
        <w:t>escaso número de procesamientos de casos de tortura y malos tratos</w:t>
      </w:r>
      <w:r w:rsidR="00910E39">
        <w:t>,</w:t>
      </w:r>
      <w:r w:rsidRPr="008848AD">
        <w:t xml:space="preserve"> así como la información </w:t>
      </w:r>
      <w:r w:rsidR="00910E39">
        <w:t xml:space="preserve">relativa a </w:t>
      </w:r>
      <w:r w:rsidRPr="008848AD">
        <w:t>que el funcionariado está sometido a medidas</w:t>
      </w:r>
      <w:r>
        <w:t xml:space="preserve"> </w:t>
      </w:r>
      <w:r w:rsidRPr="008848AD">
        <w:t xml:space="preserve">administrativas con respecto a los casos de tortura y/o malos tratos en lugar de </w:t>
      </w:r>
      <w:r w:rsidR="00910E39">
        <w:t xml:space="preserve">a </w:t>
      </w:r>
      <w:r w:rsidRPr="008848AD">
        <w:t>sanciones penales;</w:t>
      </w:r>
    </w:p>
    <w:p w14:paraId="325C2D65" w14:textId="42595224" w:rsidR="008848AD" w:rsidRPr="008848AD" w:rsidRDefault="008848AD" w:rsidP="008848AD">
      <w:pPr>
        <w:pStyle w:val="SingleTxtG"/>
      </w:pPr>
      <w:r>
        <w:tab/>
      </w:r>
      <w:r w:rsidRPr="008848AD">
        <w:t>d)</w:t>
      </w:r>
      <w:r w:rsidRPr="008848AD">
        <w:tab/>
        <w:t>La ausencia de medidas promovidas por el Estado parte para reformar la Policía Nacional en respuesta a las graves violaciones de los derechos humanos ocurridas desde abril de 2018</w:t>
      </w:r>
      <w:r w:rsidR="00100EC0">
        <w:t>,</w:t>
      </w:r>
      <w:r w:rsidRPr="008848AD">
        <w:t xml:space="preserve"> y </w:t>
      </w:r>
      <w:r w:rsidR="00100EC0">
        <w:t>que la</w:t>
      </w:r>
      <w:r w:rsidRPr="008848AD">
        <w:t xml:space="preserve"> dirección</w:t>
      </w:r>
      <w:r w:rsidR="00100EC0">
        <w:t xml:space="preserve"> de esta se haya sometido</w:t>
      </w:r>
      <w:r w:rsidRPr="008848AD">
        <w:t xml:space="preserve"> al control del Presidente </w:t>
      </w:r>
      <w:r w:rsidR="00100EC0">
        <w:t xml:space="preserve">en virtud </w:t>
      </w:r>
      <w:r w:rsidRPr="008848AD">
        <w:t xml:space="preserve">de la Ley </w:t>
      </w:r>
      <w:r w:rsidR="00910E39">
        <w:t>núm</w:t>
      </w:r>
      <w:r w:rsidRPr="008848AD">
        <w:t>. 872 sobre Organización, Funciones, Carrera y Régimen Especial de Seguridad Social de la Policía Nacional (2014);</w:t>
      </w:r>
    </w:p>
    <w:p w14:paraId="154649C5" w14:textId="77B104DE" w:rsidR="008848AD" w:rsidRPr="008848AD" w:rsidRDefault="008848AD" w:rsidP="008848AD">
      <w:pPr>
        <w:pStyle w:val="SingleTxtG"/>
        <w:rPr>
          <w:bCs/>
          <w:shd w:val="clear" w:color="auto" w:fill="FFFFFF"/>
        </w:rPr>
      </w:pPr>
      <w:r w:rsidRPr="008848AD">
        <w:tab/>
        <w:t>e)</w:t>
      </w:r>
      <w:r w:rsidRPr="008848AD">
        <w:tab/>
        <w:t>L</w:t>
      </w:r>
      <w:r w:rsidRPr="008848AD">
        <w:rPr>
          <w:bCs/>
          <w:shd w:val="clear" w:color="auto" w:fill="FFFFFF"/>
        </w:rPr>
        <w:t>a ausencia de información relativa a los criterios, condiciones y procedimientos establecidos para la excarcelación de personas reclusas, incluidas</w:t>
      </w:r>
      <w:r w:rsidRPr="008848AD">
        <w:t xml:space="preserve"> aquellas concedidas por un indulto presidencial o en aplicación de la Ley de </w:t>
      </w:r>
      <w:r w:rsidRPr="008848AD">
        <w:rPr>
          <w:bCs/>
          <w:shd w:val="clear" w:color="auto" w:fill="FFFFFF"/>
        </w:rPr>
        <w:t xml:space="preserve">Amnistía </w:t>
      </w:r>
      <w:r w:rsidR="00910E39">
        <w:rPr>
          <w:bCs/>
          <w:shd w:val="clear" w:color="auto" w:fill="FFFFFF"/>
        </w:rPr>
        <w:t>núm. </w:t>
      </w:r>
      <w:r w:rsidRPr="008848AD">
        <w:rPr>
          <w:bCs/>
          <w:shd w:val="clear" w:color="auto" w:fill="FFFFFF"/>
        </w:rPr>
        <w:t xml:space="preserve">996 de 2019. Respecto de dicha norma, el Comité expresa su preocupación tanto por </w:t>
      </w:r>
      <w:r w:rsidRPr="008848AD">
        <w:t xml:space="preserve">la ambigüedad de sus preceptos, como las informaciones que </w:t>
      </w:r>
      <w:r w:rsidRPr="008848AD">
        <w:rPr>
          <w:bCs/>
          <w:shd w:val="clear" w:color="auto" w:fill="FFFFFF"/>
        </w:rPr>
        <w:t xml:space="preserve">señalan </w:t>
      </w:r>
      <w:r w:rsidRPr="008848AD">
        <w:t xml:space="preserve">su aplicación en casos de condenas por </w:t>
      </w:r>
      <w:r w:rsidRPr="008848AD">
        <w:rPr>
          <w:bCs/>
          <w:shd w:val="clear" w:color="auto" w:fill="FFFFFF"/>
        </w:rPr>
        <w:t xml:space="preserve">femicidios y </w:t>
      </w:r>
      <w:r w:rsidRPr="008848AD">
        <w:t>delitos sexuales, así como en los casos de tortura,</w:t>
      </w:r>
      <w:r w:rsidR="00402349">
        <w:t xml:space="preserve"> y</w:t>
      </w:r>
      <w:r w:rsidRPr="008848AD">
        <w:t xml:space="preserve"> uso excesivo y letal</w:t>
      </w:r>
      <w:r w:rsidRPr="008848AD">
        <w:rPr>
          <w:bCs/>
          <w:shd w:val="clear" w:color="auto" w:fill="FFFFFF"/>
        </w:rPr>
        <w:t xml:space="preserve"> de la fuerza ocurridos dura</w:t>
      </w:r>
      <w:r w:rsidRPr="008848AD">
        <w:t xml:space="preserve">nte las protestas iniciadas en abril de 2018; </w:t>
      </w:r>
    </w:p>
    <w:p w14:paraId="4488C862" w14:textId="23FB6D5C" w:rsidR="008848AD" w:rsidRPr="008848AD" w:rsidRDefault="008848AD" w:rsidP="008848AD">
      <w:pPr>
        <w:pStyle w:val="SingleTxtG"/>
      </w:pPr>
      <w:r>
        <w:tab/>
      </w:r>
      <w:r w:rsidRPr="008848AD">
        <w:t>f)</w:t>
      </w:r>
      <w:r w:rsidRPr="008848AD">
        <w:tab/>
        <w:t xml:space="preserve">La falta de información </w:t>
      </w:r>
      <w:r w:rsidRPr="008848AD">
        <w:rPr>
          <w:shd w:val="clear" w:color="auto" w:fill="FFFFFF"/>
        </w:rPr>
        <w:t xml:space="preserve">detallada al respecto </w:t>
      </w:r>
      <w:r w:rsidRPr="008848AD">
        <w:t>de las</w:t>
      </w:r>
      <w:r w:rsidRPr="008848AD">
        <w:rPr>
          <w:shd w:val="clear" w:color="auto" w:fill="FFFFFF"/>
        </w:rPr>
        <w:t xml:space="preserve"> investigaciones abiertas</w:t>
      </w:r>
      <w:r w:rsidRPr="008848AD">
        <w:t xml:space="preserve"> respecto de las graves violaciones </w:t>
      </w:r>
      <w:r w:rsidR="00910E39">
        <w:t>de</w:t>
      </w:r>
      <w:r w:rsidRPr="008848AD">
        <w:t xml:space="preserve"> los derechos humanos</w:t>
      </w:r>
      <w:r w:rsidRPr="008848AD">
        <w:rPr>
          <w:shd w:val="clear" w:color="auto" w:fill="FFFFFF"/>
        </w:rPr>
        <w:t xml:space="preserve">, incluida </w:t>
      </w:r>
      <w:r w:rsidR="00910E39">
        <w:rPr>
          <w:shd w:val="clear" w:color="auto" w:fill="FFFFFF"/>
        </w:rPr>
        <w:t xml:space="preserve">la </w:t>
      </w:r>
      <w:r w:rsidRPr="008848AD">
        <w:rPr>
          <w:shd w:val="clear" w:color="auto" w:fill="FFFFFF"/>
        </w:rPr>
        <w:t xml:space="preserve">tortura, </w:t>
      </w:r>
      <w:r w:rsidR="00910E39">
        <w:rPr>
          <w:shd w:val="clear" w:color="auto" w:fill="FFFFFF"/>
        </w:rPr>
        <w:t xml:space="preserve">los </w:t>
      </w:r>
      <w:r w:rsidRPr="008848AD">
        <w:rPr>
          <w:shd w:val="clear" w:color="auto" w:fill="FFFFFF"/>
        </w:rPr>
        <w:t xml:space="preserve">procedimientos penales realizados, </w:t>
      </w:r>
      <w:r w:rsidR="00910E39">
        <w:rPr>
          <w:shd w:val="clear" w:color="auto" w:fill="FFFFFF"/>
        </w:rPr>
        <w:t xml:space="preserve">las </w:t>
      </w:r>
      <w:r w:rsidRPr="008848AD">
        <w:rPr>
          <w:shd w:val="clear" w:color="auto" w:fill="FFFFFF"/>
        </w:rPr>
        <w:t xml:space="preserve">sanciones impuestas y </w:t>
      </w:r>
      <w:r w:rsidR="00910E39">
        <w:rPr>
          <w:shd w:val="clear" w:color="auto" w:fill="FFFFFF"/>
        </w:rPr>
        <w:t>la</w:t>
      </w:r>
      <w:r w:rsidR="00910E39" w:rsidRPr="008848AD">
        <w:rPr>
          <w:shd w:val="clear" w:color="auto" w:fill="FFFFFF"/>
        </w:rPr>
        <w:t xml:space="preserve"> </w:t>
      </w:r>
      <w:r w:rsidRPr="008848AD">
        <w:rPr>
          <w:shd w:val="clear" w:color="auto" w:fill="FFFFFF"/>
        </w:rPr>
        <w:t xml:space="preserve">reparación integral </w:t>
      </w:r>
      <w:r w:rsidRPr="008848AD">
        <w:rPr>
          <w:bCs/>
        </w:rPr>
        <w:t>proporcionada a las víctimas</w:t>
      </w:r>
      <w:r w:rsidRPr="008848AD">
        <w:t>, lo</w:t>
      </w:r>
      <w:r w:rsidRPr="008848AD">
        <w:rPr>
          <w:bCs/>
        </w:rPr>
        <w:t xml:space="preserve"> que crea un clima general de </w:t>
      </w:r>
      <w:r w:rsidRPr="008848AD">
        <w:t xml:space="preserve">impunidad </w:t>
      </w:r>
      <w:r w:rsidRPr="008848AD">
        <w:rPr>
          <w:rFonts w:eastAsia="Cambria"/>
          <w:lang w:eastAsia="en-US"/>
        </w:rPr>
        <w:t>(arts. 1, 2, 4, 12</w:t>
      </w:r>
      <w:r w:rsidR="00910E39">
        <w:rPr>
          <w:rFonts w:eastAsia="Cambria"/>
          <w:lang w:eastAsia="en-US"/>
        </w:rPr>
        <w:t xml:space="preserve"> a </w:t>
      </w:r>
      <w:r w:rsidRPr="008848AD">
        <w:rPr>
          <w:rFonts w:eastAsia="Cambria"/>
          <w:lang w:eastAsia="en-US"/>
        </w:rPr>
        <w:t>14 y 16).</w:t>
      </w:r>
    </w:p>
    <w:p w14:paraId="4E7C2BD2" w14:textId="77777777" w:rsidR="008848AD" w:rsidRPr="0045380A" w:rsidRDefault="008848AD" w:rsidP="0045380A">
      <w:pPr>
        <w:pStyle w:val="SingleTxtG"/>
        <w:rPr>
          <w:b/>
          <w:bCs/>
        </w:rPr>
      </w:pPr>
      <w:r w:rsidRPr="008848AD">
        <w:t>20.</w:t>
      </w:r>
      <w:r w:rsidRPr="008848AD">
        <w:tab/>
      </w:r>
      <w:r w:rsidRPr="0045380A">
        <w:rPr>
          <w:b/>
          <w:bCs/>
        </w:rPr>
        <w:t>El Comité urge al Estado parte a:</w:t>
      </w:r>
    </w:p>
    <w:p w14:paraId="0CA9F76D" w14:textId="7F9F22A2" w:rsidR="008848AD" w:rsidRPr="0045380A" w:rsidRDefault="008848AD" w:rsidP="0045380A">
      <w:pPr>
        <w:pStyle w:val="SingleTxtG"/>
        <w:rPr>
          <w:b/>
          <w:bCs/>
          <w:lang w:eastAsia="en-US"/>
        </w:rPr>
      </w:pPr>
      <w:r w:rsidRPr="0045380A">
        <w:rPr>
          <w:b/>
          <w:bCs/>
        </w:rPr>
        <w:tab/>
        <w:t>a)</w:t>
      </w:r>
      <w:r w:rsidRPr="0045380A">
        <w:rPr>
          <w:b/>
          <w:bCs/>
        </w:rPr>
        <w:tab/>
        <w:t xml:space="preserve">Velar por que las autoridades abran una investigación siempre que haya motivos razonables para creer que se ha cometido un acto de tortura o se han infligido malos tratos, y garantizar </w:t>
      </w:r>
      <w:r w:rsidRPr="0045380A">
        <w:rPr>
          <w:b/>
          <w:bCs/>
          <w:lang w:eastAsia="en-US"/>
        </w:rPr>
        <w:t>que las personas privadas de libertad dispongan de mecanismos de denuncia efectivos, independientes y accesibles y no sufran represalias por presentar denuncias;</w:t>
      </w:r>
    </w:p>
    <w:p w14:paraId="6F85C5CB" w14:textId="1700943E" w:rsidR="008848AD" w:rsidRPr="0045380A" w:rsidRDefault="008848AD" w:rsidP="0045380A">
      <w:pPr>
        <w:pStyle w:val="SingleTxtG"/>
        <w:rPr>
          <w:b/>
          <w:bCs/>
          <w:lang w:eastAsia="en-US"/>
        </w:rPr>
      </w:pPr>
      <w:r w:rsidRPr="0045380A">
        <w:rPr>
          <w:b/>
          <w:bCs/>
          <w:lang w:eastAsia="en-US"/>
        </w:rPr>
        <w:tab/>
        <w:t>b)</w:t>
      </w:r>
      <w:r w:rsidRPr="0045380A">
        <w:rPr>
          <w:b/>
          <w:bCs/>
          <w:lang w:eastAsia="en-US"/>
        </w:rPr>
        <w:tab/>
        <w:t>Recopilar y publicar información estadística completa y desglosada sobre todos los informes y denuncias recibidos acerca de tortura o malos tratos, especificando si esas denuncias dieron lugar a investigaciones y, en caso afirmativo, por qué autoridad, si las investigaciones condujeron a la imposición de medidas disciplinarias o a enjuiciamientos, el tipo de pena impuesta y si las víctimas obtuvieron reparación, de modo que el Estado parte pueda facilitar esa información al Comité y a otros observadores competentes en el futuro;</w:t>
      </w:r>
    </w:p>
    <w:p w14:paraId="7A01FB99" w14:textId="33F49108" w:rsidR="008848AD" w:rsidRPr="0045380A" w:rsidRDefault="008848AD" w:rsidP="0045380A">
      <w:pPr>
        <w:pStyle w:val="SingleTxtG"/>
        <w:rPr>
          <w:b/>
          <w:bCs/>
          <w:lang w:eastAsia="en-US"/>
        </w:rPr>
      </w:pPr>
      <w:r w:rsidRPr="0045380A">
        <w:rPr>
          <w:b/>
          <w:bCs/>
          <w:lang w:eastAsia="en-US"/>
        </w:rPr>
        <w:tab/>
        <w:t>c)</w:t>
      </w:r>
      <w:r w:rsidRPr="0045380A">
        <w:rPr>
          <w:b/>
          <w:bCs/>
          <w:lang w:eastAsia="en-US"/>
        </w:rPr>
        <w:tab/>
        <w:t xml:space="preserve">Tomar las medidas necesarias legislativas y de otra índole necesarias para reformar la Policía Nacional, para reforzar la independencia del Ministerio Público y considerar la creación de una unidad especial en su seno encargada de las investigaciones sobre denuncias de tortura y malos tratos registradas desde el 18 </w:t>
      </w:r>
      <w:r w:rsidR="009E2FDA" w:rsidRPr="0045380A">
        <w:rPr>
          <w:b/>
          <w:bCs/>
          <w:lang w:eastAsia="en-US"/>
        </w:rPr>
        <w:t xml:space="preserve">de </w:t>
      </w:r>
      <w:r w:rsidRPr="0045380A">
        <w:rPr>
          <w:b/>
          <w:bCs/>
          <w:lang w:eastAsia="en-US"/>
        </w:rPr>
        <w:t xml:space="preserve">abril de 2018 hasta la fecha, con la facultad de iniciar investigaciones de oficio, tal y </w:t>
      </w:r>
      <w:r w:rsidRPr="0045380A">
        <w:rPr>
          <w:b/>
          <w:bCs/>
          <w:lang w:eastAsia="en-US"/>
        </w:rPr>
        <w:lastRenderedPageBreak/>
        <w:t>como recomendó el ACNUDH en su informe presentado de conformidad con la resolución</w:t>
      </w:r>
      <w:r w:rsidR="00711FB2" w:rsidRPr="0045380A">
        <w:rPr>
          <w:b/>
          <w:bCs/>
          <w:lang w:eastAsia="en-US"/>
        </w:rPr>
        <w:t> </w:t>
      </w:r>
      <w:r w:rsidRPr="0045380A">
        <w:rPr>
          <w:b/>
          <w:bCs/>
          <w:lang w:eastAsia="en-US"/>
        </w:rPr>
        <w:t>40/2 del Consejo de Derechos Humanos</w:t>
      </w:r>
      <w:r w:rsidRPr="00BA3997">
        <w:rPr>
          <w:rFonts w:eastAsiaTheme="majorEastAsia"/>
          <w:color w:val="000000"/>
          <w:sz w:val="18"/>
          <w:szCs w:val="27"/>
          <w:vertAlign w:val="superscript"/>
        </w:rPr>
        <w:footnoteReference w:id="45"/>
      </w:r>
      <w:r w:rsidRPr="0045380A">
        <w:rPr>
          <w:b/>
          <w:bCs/>
          <w:lang w:eastAsia="en-US"/>
        </w:rPr>
        <w:t>;</w:t>
      </w:r>
    </w:p>
    <w:p w14:paraId="391E0A5A" w14:textId="776F3C59" w:rsidR="008848AD" w:rsidRPr="0045380A" w:rsidRDefault="008848AD" w:rsidP="0045380A">
      <w:pPr>
        <w:pStyle w:val="SingleTxtG"/>
        <w:rPr>
          <w:b/>
          <w:bCs/>
        </w:rPr>
      </w:pPr>
      <w:r w:rsidRPr="0045380A">
        <w:rPr>
          <w:b/>
          <w:bCs/>
          <w:lang w:eastAsia="en-US"/>
        </w:rPr>
        <w:tab/>
      </w:r>
      <w:r w:rsidRPr="0045380A">
        <w:rPr>
          <w:b/>
          <w:bCs/>
        </w:rPr>
        <w:t>d)</w:t>
      </w:r>
      <w:r w:rsidRPr="0045380A">
        <w:rPr>
          <w:b/>
          <w:bCs/>
        </w:rPr>
        <w:tab/>
        <w:t>Garantizar que los presuntos autores de</w:t>
      </w:r>
      <w:r w:rsidR="00791C88" w:rsidRPr="0045380A">
        <w:rPr>
          <w:b/>
          <w:bCs/>
        </w:rPr>
        <w:t xml:space="preserve"> actos de</w:t>
      </w:r>
      <w:r w:rsidRPr="0045380A">
        <w:rPr>
          <w:b/>
          <w:bCs/>
        </w:rPr>
        <w:t xml:space="preserve"> tortura y malos tratos, incluida la violencia sexual, sean suspendidos de sus funciones de forma inmediata y durante toda la investigación, en particular si existe el riesgo de que, de no hacerse así, pudieran volver a cometer los actos de los que sean sospechosos, ejercer represalias u obstruir la investigación. Se deberá garantizar también la protección y asistencia a las víctimas y los testigos;</w:t>
      </w:r>
    </w:p>
    <w:p w14:paraId="507FFC94" w14:textId="486CA5F7" w:rsidR="008848AD" w:rsidRPr="0045380A" w:rsidRDefault="008848AD" w:rsidP="0045380A">
      <w:pPr>
        <w:pStyle w:val="SingleTxtG"/>
        <w:rPr>
          <w:b/>
          <w:bCs/>
          <w:lang w:eastAsia="en-US"/>
        </w:rPr>
      </w:pPr>
      <w:r w:rsidRPr="0045380A">
        <w:rPr>
          <w:b/>
          <w:bCs/>
        </w:rPr>
        <w:tab/>
        <w:t>e)</w:t>
      </w:r>
      <w:r w:rsidRPr="0045380A">
        <w:rPr>
          <w:b/>
          <w:bCs/>
        </w:rPr>
        <w:tab/>
        <w:t>A</w:t>
      </w:r>
      <w:r w:rsidRPr="0045380A">
        <w:rPr>
          <w:b/>
          <w:bCs/>
          <w:lang w:eastAsia="en-US"/>
        </w:rPr>
        <w:t>bstenerse de conceder amnistías e indultos a personas condenadas por actos de tortura, al ser incompatibles con las obligaciones de los Estados parte relativas al carácter absoluto e inderogable de la prohibición de la tortura;</w:t>
      </w:r>
    </w:p>
    <w:p w14:paraId="5909AA75" w14:textId="3DEB7573" w:rsidR="008848AD" w:rsidRPr="0045380A" w:rsidRDefault="008848AD" w:rsidP="0045380A">
      <w:pPr>
        <w:pStyle w:val="SingleTxtG"/>
        <w:rPr>
          <w:b/>
          <w:bCs/>
          <w:lang w:val="es-419"/>
        </w:rPr>
      </w:pPr>
      <w:r w:rsidRPr="0045380A">
        <w:rPr>
          <w:b/>
          <w:bCs/>
        </w:rPr>
        <w:tab/>
        <w:t>f</w:t>
      </w:r>
      <w:r w:rsidRPr="0045380A">
        <w:rPr>
          <w:b/>
          <w:bCs/>
          <w:lang w:eastAsia="en-US"/>
        </w:rPr>
        <w:t>)</w:t>
      </w:r>
      <w:r w:rsidRPr="0045380A">
        <w:rPr>
          <w:b/>
          <w:bCs/>
          <w:lang w:eastAsia="en-US"/>
        </w:rPr>
        <w:tab/>
      </w:r>
      <w:r w:rsidRPr="0045380A">
        <w:rPr>
          <w:b/>
          <w:bCs/>
          <w:lang w:val="es-419"/>
        </w:rPr>
        <w:t xml:space="preserve">Elaborar programas de capacitación obligatoria inicial y en servicio para que todos los funcionarios públicos, en particular los miembros de los cuerpos de seguridad, los funcionarios de prisiones y los operadores de justicia, conozcan bien las disposiciones de la Convención, en especial la prohibición absoluta de la tortura, y sean plenamente conscientes de que las vulneraciones de esas disposiciones no se tolerarán y se investigarán y de que se enjuiciará a los responsables, quienes, de ser declarados culpables, serán castigados con una sanción adecuada. </w:t>
      </w:r>
      <w:r w:rsidR="008704C0" w:rsidRPr="0045380A">
        <w:rPr>
          <w:b/>
          <w:bCs/>
          <w:lang w:val="es-419"/>
        </w:rPr>
        <w:t xml:space="preserve">Además, </w:t>
      </w:r>
      <w:r w:rsidR="00711FB2" w:rsidRPr="0045380A">
        <w:rPr>
          <w:b/>
          <w:bCs/>
          <w:lang w:val="es-419"/>
        </w:rPr>
        <w:t xml:space="preserve">el Estado parte debe </w:t>
      </w:r>
      <w:r w:rsidR="008704C0" w:rsidRPr="0045380A">
        <w:rPr>
          <w:b/>
          <w:bCs/>
          <w:lang w:val="es-419"/>
        </w:rPr>
        <w:t>v</w:t>
      </w:r>
      <w:r w:rsidR="008704C0" w:rsidRPr="0045380A">
        <w:rPr>
          <w:b/>
          <w:bCs/>
        </w:rPr>
        <w:t>elar por que todo el personal competente, incluido el personal médico, reciba una formación específica que le permita identificar los casos de tortura y malos tratos de conformidad con el Manual para la investigación y documentación eficaces de la tortura y otros tratos o penas crueles, inhumanos o degradantes (Protocolo de Estambul).</w:t>
      </w:r>
    </w:p>
    <w:p w14:paraId="1673DD75" w14:textId="5C409369" w:rsidR="003B7F65" w:rsidRPr="008848AD" w:rsidRDefault="003B7F65" w:rsidP="0045380A">
      <w:pPr>
        <w:pStyle w:val="H23G"/>
        <w:rPr>
          <w:lang w:eastAsia="en-US"/>
        </w:rPr>
      </w:pPr>
      <w:r>
        <w:tab/>
      </w:r>
      <w:r>
        <w:tab/>
      </w:r>
      <w:r w:rsidRPr="008848AD">
        <w:t>Confesiones obtenidas mediante coacción</w:t>
      </w:r>
    </w:p>
    <w:p w14:paraId="76039550" w14:textId="0B27C834" w:rsidR="003B7F65" w:rsidRPr="008848AD" w:rsidRDefault="003B7F65" w:rsidP="0045380A">
      <w:pPr>
        <w:pStyle w:val="SingleTxtG"/>
        <w:rPr>
          <w:lang w:eastAsia="en-US"/>
        </w:rPr>
      </w:pPr>
      <w:r w:rsidRPr="008848AD">
        <w:rPr>
          <w:lang w:eastAsia="en-US"/>
        </w:rPr>
        <w:t>21.</w:t>
      </w:r>
      <w:r w:rsidRPr="008848AD">
        <w:rPr>
          <w:lang w:eastAsia="en-US"/>
        </w:rPr>
        <w:tab/>
        <w:t>Si bien toma nota de las garantías establecidas en el artículo 16 del Código Procesal Penal, relativo a la inadmisibilidad de las pruebas obtenidas por un medio ilícito, el Comité lamenta que el Estado parte no haya proporcionado ejemplos de casos que hayan sido desestimados por los tribunales debido a la presentación de pruebas o testimonios obtenidos mediante tortura o malos tratos. Preocupan al Comité los informes concordantes recibidos sobre el uso de métodos coercitivos en los interrogatorios</w:t>
      </w:r>
      <w:r w:rsidRPr="0045380A">
        <w:rPr>
          <w:rFonts w:eastAsiaTheme="majorEastAsia"/>
          <w:sz w:val="18"/>
          <w:szCs w:val="18"/>
          <w:vertAlign w:val="superscript"/>
          <w:lang w:eastAsia="en-US"/>
        </w:rPr>
        <w:footnoteReference w:id="46"/>
      </w:r>
      <w:r w:rsidRPr="008848AD">
        <w:rPr>
          <w:lang w:eastAsia="en-US"/>
        </w:rPr>
        <w:t xml:space="preserve"> recurriéndose a amenazas, palizas y asfixia, entre otros</w:t>
      </w:r>
      <w:r w:rsidRPr="008848AD">
        <w:t xml:space="preserve"> </w:t>
      </w:r>
      <w:r w:rsidRPr="008848AD">
        <w:rPr>
          <w:lang w:eastAsia="en-US"/>
        </w:rPr>
        <w:t>(arts. 2, 11, 15 y 16).</w:t>
      </w:r>
    </w:p>
    <w:p w14:paraId="028406AB" w14:textId="103833B5" w:rsidR="003B7F65" w:rsidRPr="0045380A" w:rsidRDefault="003B7F65" w:rsidP="0045380A">
      <w:pPr>
        <w:pStyle w:val="SingleTxtG"/>
        <w:rPr>
          <w:rFonts w:eastAsia="Cambria"/>
          <w:b/>
          <w:bCs/>
          <w:lang w:eastAsia="en-US"/>
        </w:rPr>
      </w:pPr>
      <w:r w:rsidRPr="008848AD">
        <w:rPr>
          <w:lang w:eastAsia="en-US"/>
        </w:rPr>
        <w:t>22.</w:t>
      </w:r>
      <w:r w:rsidRPr="008848AD">
        <w:rPr>
          <w:lang w:eastAsia="en-US"/>
        </w:rPr>
        <w:tab/>
      </w:r>
      <w:r w:rsidRPr="0045380A">
        <w:rPr>
          <w:b/>
          <w:bCs/>
          <w:lang w:eastAsia="en-US"/>
        </w:rPr>
        <w:t>El Estado parte debe a</w:t>
      </w:r>
      <w:r w:rsidRPr="0045380A">
        <w:rPr>
          <w:b/>
          <w:bCs/>
        </w:rPr>
        <w:t xml:space="preserve">doptar medidas inmediatas para poner término a las prácticas coercitivas en los interrogatorios y </w:t>
      </w:r>
      <w:r w:rsidRPr="0045380A">
        <w:rPr>
          <w:b/>
          <w:bCs/>
          <w:lang w:val="es-419"/>
        </w:rPr>
        <w:t>asegurar en la práctica la inadmisibilidad de cualquier declaración obtenida mediante tortura, salvo en contra de una persona acusada de tortura como prueba de que se ha formulado la declaración</w:t>
      </w:r>
      <w:r w:rsidRPr="0045380A">
        <w:rPr>
          <w:b/>
          <w:bCs/>
          <w:lang w:eastAsia="en-US"/>
        </w:rPr>
        <w:t>.</w:t>
      </w:r>
    </w:p>
    <w:p w14:paraId="1E00711D" w14:textId="77777777" w:rsidR="003B7F65" w:rsidRPr="008848AD" w:rsidRDefault="003B7F65" w:rsidP="0045380A">
      <w:pPr>
        <w:pStyle w:val="H23G"/>
        <w:rPr>
          <w:rFonts w:eastAsia="Calibri"/>
          <w:lang w:val="es-419" w:eastAsia="en-US"/>
        </w:rPr>
      </w:pPr>
      <w:r w:rsidRPr="008848AD">
        <w:rPr>
          <w:rFonts w:eastAsia="Cambria"/>
          <w:lang w:eastAsia="en-US"/>
        </w:rPr>
        <w:tab/>
      </w:r>
      <w:r w:rsidRPr="008848AD">
        <w:rPr>
          <w:rFonts w:eastAsia="Cambria"/>
          <w:lang w:eastAsia="en-US"/>
        </w:rPr>
        <w:tab/>
      </w:r>
      <w:r w:rsidRPr="008848AD">
        <w:rPr>
          <w:shd w:val="clear" w:color="auto" w:fill="FFFFFF"/>
        </w:rPr>
        <w:t>Criminalización de la protesta</w:t>
      </w:r>
      <w:r w:rsidRPr="008848AD">
        <w:rPr>
          <w:rFonts w:eastAsia="Calibri"/>
          <w:lang w:eastAsia="en-US"/>
        </w:rPr>
        <w:t xml:space="preserve"> y </w:t>
      </w:r>
      <w:r w:rsidRPr="008848AD">
        <w:rPr>
          <w:shd w:val="clear" w:color="auto" w:fill="FFFFFF"/>
        </w:rPr>
        <w:t xml:space="preserve">actos de represión </w:t>
      </w:r>
    </w:p>
    <w:p w14:paraId="120038B6" w14:textId="57245ECD" w:rsidR="003B7F65" w:rsidRPr="008848AD" w:rsidRDefault="003B7F65" w:rsidP="0045380A">
      <w:pPr>
        <w:pStyle w:val="SingleTxtG"/>
        <w:rPr>
          <w:rFonts w:eastAsia="Calibri"/>
          <w:u w:color="000000"/>
          <w:bdr w:val="nil"/>
          <w:lang w:val="es-ES_tradnl" w:eastAsia="en-GB"/>
        </w:rPr>
      </w:pPr>
      <w:r w:rsidRPr="008848AD">
        <w:rPr>
          <w:rFonts w:eastAsia="Calibri"/>
          <w:u w:color="000000"/>
          <w:bdr w:val="nil"/>
          <w:lang w:val="es-ES_tradnl" w:eastAsia="en-GB"/>
        </w:rPr>
        <w:t>23.</w:t>
      </w:r>
      <w:r w:rsidRPr="008848AD">
        <w:rPr>
          <w:rFonts w:eastAsia="Calibri"/>
          <w:u w:color="000000"/>
          <w:bdr w:val="nil"/>
          <w:lang w:val="es-ES_tradnl" w:eastAsia="en-GB"/>
        </w:rPr>
        <w:tab/>
        <w:t>Al Comité le preocupan:</w:t>
      </w:r>
    </w:p>
    <w:p w14:paraId="2D8C5A10" w14:textId="6683075F" w:rsidR="003B7F65" w:rsidRPr="008848AD" w:rsidRDefault="003B7F65" w:rsidP="0045380A">
      <w:pPr>
        <w:pStyle w:val="SingleTxtG"/>
      </w:pPr>
      <w:r w:rsidRPr="008848AD">
        <w:rPr>
          <w:rFonts w:eastAsia="Calibri"/>
          <w:u w:color="000000"/>
          <w:bdr w:val="nil"/>
          <w:lang w:val="es-ES_tradnl" w:eastAsia="en-GB"/>
        </w:rPr>
        <w:tab/>
        <w:t>a)</w:t>
      </w:r>
      <w:r w:rsidRPr="008848AD">
        <w:rPr>
          <w:rFonts w:eastAsia="Calibri"/>
          <w:u w:color="000000"/>
          <w:bdr w:val="nil"/>
          <w:lang w:val="es-ES_tradnl" w:eastAsia="en-GB"/>
        </w:rPr>
        <w:tab/>
        <w:t xml:space="preserve">Las informaciones </w:t>
      </w:r>
      <w:r w:rsidR="00BB79D1">
        <w:rPr>
          <w:rFonts w:eastAsia="Calibri"/>
          <w:u w:color="000000"/>
          <w:bdr w:val="nil"/>
          <w:lang w:val="es-ES_tradnl" w:eastAsia="en-GB"/>
        </w:rPr>
        <w:t>aportadas por las</w:t>
      </w:r>
      <w:r w:rsidRPr="008848AD">
        <w:rPr>
          <w:rFonts w:eastAsia="Calibri"/>
          <w:u w:color="000000"/>
          <w:bdr w:val="nil"/>
          <w:lang w:val="es-ES_tradnl" w:eastAsia="en-GB"/>
        </w:rPr>
        <w:t xml:space="preserve"> Naciones Unidas y otras fuentes fiables que documentan el uso de fuerza letal contra manifestantes pacíficos</w:t>
      </w:r>
      <w:r w:rsidRPr="008848AD">
        <w:rPr>
          <w:rFonts w:eastAsia="Calibri"/>
          <w:sz w:val="18"/>
          <w:u w:color="000000"/>
          <w:bdr w:val="nil"/>
          <w:vertAlign w:val="superscript"/>
          <w:lang w:val="es-ES_tradnl" w:eastAsia="en-GB"/>
        </w:rPr>
        <w:footnoteReference w:id="47"/>
      </w:r>
      <w:r w:rsidRPr="008848AD">
        <w:rPr>
          <w:rFonts w:eastAsia="Calibri"/>
          <w:u w:color="000000"/>
          <w:bdr w:val="nil"/>
          <w:lang w:val="es-ES_tradnl" w:eastAsia="en-GB"/>
        </w:rPr>
        <w:t xml:space="preserve">, </w:t>
      </w:r>
      <w:r w:rsidRPr="008848AD">
        <w:t xml:space="preserve">incluidos menores, y </w:t>
      </w:r>
      <w:r w:rsidR="00BB79D1">
        <w:t xml:space="preserve">el </w:t>
      </w:r>
      <w:r w:rsidRPr="008848AD">
        <w:t>maltrato en el</w:t>
      </w:r>
      <w:r w:rsidRPr="008848AD">
        <w:rPr>
          <w:rFonts w:eastAsia="Calibri"/>
          <w:u w:color="000000"/>
          <w:bdr w:val="nil"/>
          <w:lang w:val="es-ES_tradnl" w:eastAsia="en-GB"/>
        </w:rPr>
        <w:t xml:space="preserve"> momento de la detención en el marco de las protestas iniciadas en abril </w:t>
      </w:r>
      <w:r>
        <w:rPr>
          <w:rFonts w:eastAsia="Calibri"/>
          <w:u w:color="000000"/>
          <w:bdr w:val="nil"/>
          <w:lang w:val="es-ES_tradnl" w:eastAsia="en-GB"/>
        </w:rPr>
        <w:t xml:space="preserve">de </w:t>
      </w:r>
      <w:r w:rsidRPr="008848AD">
        <w:rPr>
          <w:rFonts w:eastAsia="Calibri"/>
          <w:u w:color="000000"/>
          <w:bdr w:val="nil"/>
          <w:lang w:val="es-ES_tradnl" w:eastAsia="en-GB"/>
        </w:rPr>
        <w:t xml:space="preserve">2018 y </w:t>
      </w:r>
      <w:r w:rsidRPr="008848AD">
        <w:rPr>
          <w:lang w:val="es-419"/>
        </w:rPr>
        <w:t>durante el per</w:t>
      </w:r>
      <w:r w:rsidR="00BB79D1">
        <w:rPr>
          <w:rFonts w:eastAsia="Calibri"/>
          <w:u w:color="000000"/>
          <w:bdr w:val="nil"/>
          <w:lang w:val="es-419" w:eastAsia="en-GB"/>
        </w:rPr>
        <w:t>í</w:t>
      </w:r>
      <w:r w:rsidRPr="008848AD">
        <w:rPr>
          <w:rFonts w:eastAsia="Calibri"/>
          <w:u w:color="000000"/>
          <w:bdr w:val="nil"/>
          <w:lang w:val="es-419" w:eastAsia="en-GB"/>
        </w:rPr>
        <w:t>od</w:t>
      </w:r>
      <w:r w:rsidRPr="008848AD">
        <w:rPr>
          <w:lang w:val="es-419"/>
        </w:rPr>
        <w:t xml:space="preserve">o electoral en 2021. Dichas informaciones también denuncian </w:t>
      </w:r>
      <w:r w:rsidRPr="008848AD">
        <w:rPr>
          <w:rFonts w:eastAsia="Calibri"/>
          <w:u w:color="000000"/>
          <w:bdr w:val="nil"/>
          <w:lang w:val="es-ES_tradnl" w:eastAsia="en-GB"/>
        </w:rPr>
        <w:t xml:space="preserve">la presunta detención </w:t>
      </w:r>
      <w:r w:rsidRPr="008848AD">
        <w:rPr>
          <w:lang w:val="es-419"/>
        </w:rPr>
        <w:t>arbitraria de</w:t>
      </w:r>
      <w:r w:rsidRPr="008848AD">
        <w:t xml:space="preserve"> entre 170 y 190 personas por razones políticas, actos de </w:t>
      </w:r>
      <w:r w:rsidRPr="008848AD">
        <w:rPr>
          <w:rFonts w:eastAsia="Calibri"/>
          <w:u w:color="000000"/>
          <w:bdr w:val="nil"/>
          <w:lang w:val="es-ES_tradnl" w:eastAsia="en-GB"/>
        </w:rPr>
        <w:t>tortura física y psicológica y malos tratos</w:t>
      </w:r>
      <w:r w:rsidRPr="008848AD">
        <w:t xml:space="preserve">, desapariciones forzadas, </w:t>
      </w:r>
      <w:r w:rsidRPr="008848AD">
        <w:rPr>
          <w:lang w:val="es-419"/>
        </w:rPr>
        <w:t>amenazas y</w:t>
      </w:r>
      <w:r w:rsidRPr="008848AD">
        <w:rPr>
          <w:rFonts w:eastAsia="Calibri"/>
          <w:u w:color="000000"/>
          <w:bdr w:val="nil"/>
          <w:lang w:val="es-ES_tradnl" w:eastAsia="en-GB"/>
        </w:rPr>
        <w:t xml:space="preserve"> represalias por parte de agentes de la Policía Nacional, la Dirección de Operaciones Especiales, agentes vestidos de civil, y en algunos casos por actores </w:t>
      </w:r>
      <w:r w:rsidRPr="008848AD">
        <w:rPr>
          <w:lang w:val="es-419"/>
        </w:rPr>
        <w:t>paraestatales</w:t>
      </w:r>
      <w:r w:rsidRPr="0045380A">
        <w:rPr>
          <w:rFonts w:eastAsia="Calibri"/>
          <w:sz w:val="18"/>
          <w:szCs w:val="18"/>
          <w:u w:color="000000"/>
          <w:bdr w:val="nil"/>
          <w:vertAlign w:val="superscript"/>
          <w:lang w:val="es-ES_tradnl" w:eastAsia="en-GB"/>
        </w:rPr>
        <w:footnoteReference w:id="48"/>
      </w:r>
      <w:r w:rsidRPr="008848AD">
        <w:rPr>
          <w:lang w:val="es-419"/>
        </w:rPr>
        <w:t>;</w:t>
      </w:r>
    </w:p>
    <w:p w14:paraId="7C67D746" w14:textId="0B9D045C" w:rsidR="003B7F65" w:rsidRPr="008848AD" w:rsidRDefault="003B7F65" w:rsidP="0045380A">
      <w:pPr>
        <w:pStyle w:val="SingleTxtG"/>
        <w:rPr>
          <w:rFonts w:eastAsia="Calibri"/>
          <w:u w:color="000000"/>
          <w:bdr w:val="nil"/>
          <w:lang w:val="es-ES_tradnl" w:eastAsia="en-GB"/>
        </w:rPr>
      </w:pPr>
      <w:r w:rsidRPr="008848AD">
        <w:lastRenderedPageBreak/>
        <w:tab/>
        <w:t>b)</w:t>
      </w:r>
      <w:r w:rsidRPr="008848AD">
        <w:tab/>
      </w:r>
      <w:r w:rsidRPr="008848AD">
        <w:rPr>
          <w:rFonts w:eastAsia="Calibri"/>
          <w:u w:color="000000"/>
          <w:bdr w:val="nil"/>
          <w:lang w:val="es-ES_tradnl" w:eastAsia="en-GB"/>
        </w:rPr>
        <w:t xml:space="preserve">Las informaciones que denuncian </w:t>
      </w:r>
      <w:r w:rsidR="00F21882">
        <w:rPr>
          <w:rFonts w:eastAsia="Calibri"/>
          <w:u w:color="000000"/>
          <w:bdr w:val="nil"/>
          <w:lang w:val="es-ES_tradnl" w:eastAsia="en-GB"/>
        </w:rPr>
        <w:t>ataques</w:t>
      </w:r>
      <w:r w:rsidRPr="008848AD">
        <w:rPr>
          <w:rFonts w:eastAsia="Calibri"/>
          <w:u w:color="000000"/>
          <w:bdr w:val="nil"/>
          <w:lang w:val="es-ES_tradnl" w:eastAsia="en-GB"/>
        </w:rPr>
        <w:t xml:space="preserve"> contra</w:t>
      </w:r>
      <w:r w:rsidR="0064190A">
        <w:rPr>
          <w:rFonts w:eastAsia="Calibri"/>
          <w:u w:color="000000"/>
          <w:bdr w:val="nil"/>
          <w:lang w:val="es-ES_tradnl" w:eastAsia="en-GB"/>
        </w:rPr>
        <w:t xml:space="preserve"> personas</w:t>
      </w:r>
      <w:r w:rsidRPr="008848AD">
        <w:rPr>
          <w:rFonts w:eastAsia="Calibri"/>
          <w:u w:color="000000"/>
          <w:bdr w:val="nil"/>
          <w:lang w:val="es-ES_tradnl" w:eastAsia="en-GB"/>
        </w:rPr>
        <w:t xml:space="preserve"> defensor</w:t>
      </w:r>
      <w:r w:rsidR="0064190A">
        <w:rPr>
          <w:rFonts w:eastAsia="Calibri"/>
          <w:u w:color="000000"/>
          <w:bdr w:val="nil"/>
          <w:lang w:val="es-ES_tradnl" w:eastAsia="en-GB"/>
        </w:rPr>
        <w:t>a</w:t>
      </w:r>
      <w:r w:rsidRPr="008848AD">
        <w:rPr>
          <w:rFonts w:eastAsia="Calibri"/>
          <w:u w:color="000000"/>
          <w:bdr w:val="nil"/>
          <w:lang w:val="es-ES_tradnl" w:eastAsia="en-GB"/>
        </w:rPr>
        <w:t>s de derechos humanos</w:t>
      </w:r>
      <w:r w:rsidRPr="0045380A">
        <w:rPr>
          <w:rFonts w:eastAsia="Calibri"/>
          <w:sz w:val="18"/>
          <w:szCs w:val="18"/>
          <w:u w:color="000000"/>
          <w:bdr w:val="nil"/>
          <w:vertAlign w:val="superscript"/>
          <w:lang w:val="es-ES_tradnl" w:eastAsia="en-GB"/>
        </w:rPr>
        <w:footnoteReference w:id="49"/>
      </w:r>
      <w:r w:rsidRPr="008848AD">
        <w:rPr>
          <w:rFonts w:eastAsia="Calibri"/>
          <w:u w:color="000000"/>
          <w:bdr w:val="nil"/>
          <w:lang w:val="es-ES_tradnl" w:eastAsia="en-GB"/>
        </w:rPr>
        <w:t>, periodistas</w:t>
      </w:r>
      <w:r w:rsidRPr="0045380A">
        <w:rPr>
          <w:rFonts w:eastAsia="Calibri"/>
          <w:sz w:val="18"/>
          <w:szCs w:val="18"/>
          <w:u w:color="000000"/>
          <w:bdr w:val="nil"/>
          <w:vertAlign w:val="superscript"/>
          <w:lang w:val="es-ES_tradnl" w:eastAsia="en-GB"/>
        </w:rPr>
        <w:footnoteReference w:id="50"/>
      </w:r>
      <w:r w:rsidRPr="008848AD">
        <w:rPr>
          <w:rFonts w:eastAsia="Calibri"/>
          <w:u w:color="000000"/>
          <w:bdr w:val="nil"/>
          <w:lang w:val="es-ES_tradnl" w:eastAsia="en-GB"/>
        </w:rPr>
        <w:t>, líderes</w:t>
      </w:r>
      <w:r w:rsidR="00603457">
        <w:rPr>
          <w:rFonts w:eastAsia="Calibri"/>
          <w:u w:color="000000"/>
          <w:bdr w:val="nil"/>
          <w:lang w:val="es-ES_tradnl" w:eastAsia="en-GB"/>
        </w:rPr>
        <w:t xml:space="preserve"> y lideresas</w:t>
      </w:r>
      <w:r w:rsidRPr="008848AD">
        <w:rPr>
          <w:rFonts w:eastAsia="Calibri"/>
          <w:u w:color="000000"/>
          <w:bdr w:val="nil"/>
          <w:lang w:val="es-ES_tradnl" w:eastAsia="en-GB"/>
        </w:rPr>
        <w:t xml:space="preserve"> sociales, </w:t>
      </w:r>
      <w:r w:rsidR="00603457">
        <w:rPr>
          <w:rFonts w:eastAsia="Calibri"/>
          <w:u w:color="000000"/>
          <w:bdr w:val="nil"/>
          <w:lang w:val="es-ES_tradnl" w:eastAsia="en-GB"/>
        </w:rPr>
        <w:t xml:space="preserve">representantes de </w:t>
      </w:r>
      <w:r w:rsidR="00A066AE" w:rsidRPr="00A066AE">
        <w:rPr>
          <w:rFonts w:eastAsia="Calibri"/>
          <w:u w:color="000000"/>
          <w:bdr w:val="nil"/>
          <w:lang w:val="es-ES_tradnl" w:eastAsia="en-GB"/>
        </w:rPr>
        <w:t>confesiones religiosas</w:t>
      </w:r>
      <w:r w:rsidR="0064190A">
        <w:rPr>
          <w:rFonts w:ascii="Arial" w:hAnsi="Arial" w:cs="Arial"/>
          <w:color w:val="4D5156"/>
          <w:sz w:val="21"/>
          <w:szCs w:val="21"/>
          <w:shd w:val="clear" w:color="auto" w:fill="FFFFFF"/>
        </w:rPr>
        <w:t xml:space="preserve"> </w:t>
      </w:r>
      <w:r w:rsidRPr="008848AD">
        <w:rPr>
          <w:rFonts w:eastAsia="Calibri"/>
          <w:u w:color="000000"/>
          <w:bdr w:val="nil"/>
          <w:lang w:val="es-ES_tradnl" w:eastAsia="en-GB"/>
        </w:rPr>
        <w:t>y</w:t>
      </w:r>
      <w:r w:rsidR="00F21882">
        <w:rPr>
          <w:rFonts w:eastAsia="Calibri"/>
          <w:u w:color="000000"/>
          <w:bdr w:val="nil"/>
          <w:lang w:val="es-ES_tradnl" w:eastAsia="en-GB"/>
        </w:rPr>
        <w:t xml:space="preserve"> miembros</w:t>
      </w:r>
      <w:r w:rsidRPr="008848AD">
        <w:rPr>
          <w:rFonts w:eastAsia="Calibri"/>
          <w:u w:color="000000"/>
          <w:bdr w:val="nil"/>
          <w:lang w:val="es-ES_tradnl" w:eastAsia="en-GB"/>
        </w:rPr>
        <w:t xml:space="preserve"> de la oposición</w:t>
      </w:r>
      <w:r w:rsidRPr="0045380A">
        <w:rPr>
          <w:rFonts w:eastAsia="Calibri"/>
          <w:sz w:val="18"/>
          <w:szCs w:val="18"/>
          <w:u w:color="000000"/>
          <w:bdr w:val="nil"/>
          <w:vertAlign w:val="superscript"/>
          <w:lang w:val="es-ES_tradnl" w:eastAsia="en-GB"/>
        </w:rPr>
        <w:footnoteReference w:id="51"/>
      </w:r>
      <w:r w:rsidRPr="008848AD">
        <w:rPr>
          <w:rFonts w:eastAsia="Calibri"/>
          <w:u w:color="000000"/>
          <w:bdr w:val="nil"/>
          <w:lang w:val="es-ES_tradnl" w:eastAsia="en-GB"/>
        </w:rPr>
        <w:t>; la revocación arbitraria del registro legal de organizaciones de la sociedad civil y universidades</w:t>
      </w:r>
      <w:r w:rsidRPr="0045380A">
        <w:rPr>
          <w:rFonts w:eastAsia="Calibri"/>
          <w:sz w:val="18"/>
          <w:szCs w:val="18"/>
          <w:u w:color="000000"/>
          <w:bdr w:val="nil"/>
          <w:vertAlign w:val="superscript"/>
          <w:lang w:val="es-ES_tradnl" w:eastAsia="en-GB"/>
        </w:rPr>
        <w:footnoteReference w:id="52"/>
      </w:r>
      <w:r w:rsidRPr="008848AD">
        <w:rPr>
          <w:rFonts w:eastAsia="Calibri"/>
          <w:u w:color="000000"/>
          <w:bdr w:val="nil"/>
          <w:lang w:val="es-ES_tradnl" w:eastAsia="en-GB"/>
        </w:rPr>
        <w:t xml:space="preserve">, incluidas las que brindan atención a las víctimas de tortura y violencia sexual; y el éxodo de </w:t>
      </w:r>
      <w:r w:rsidRPr="008848AD">
        <w:t>más de 150.000 nicaragüenses en busca de asilo en Costa Rica y un aumento sin precedentes del número de nicaragüenses interceptados en las fronteras de los Estados Unidos de América, como resultado de esta represión</w:t>
      </w:r>
      <w:r w:rsidRPr="0045380A">
        <w:rPr>
          <w:rFonts w:eastAsiaTheme="majorEastAsia"/>
          <w:sz w:val="18"/>
          <w:szCs w:val="18"/>
          <w:vertAlign w:val="superscript"/>
        </w:rPr>
        <w:footnoteReference w:id="53"/>
      </w:r>
      <w:r w:rsidRPr="008848AD">
        <w:rPr>
          <w:rFonts w:eastAsia="Calibri"/>
          <w:u w:color="000000"/>
          <w:bdr w:val="nil"/>
          <w:lang w:val="es-ES_tradnl" w:eastAsia="en-GB"/>
        </w:rPr>
        <w:t>;</w:t>
      </w:r>
    </w:p>
    <w:p w14:paraId="36BA92DD" w14:textId="6E7561CC" w:rsidR="003B7F65" w:rsidRPr="008848AD" w:rsidRDefault="003B7F65" w:rsidP="0045380A">
      <w:pPr>
        <w:pStyle w:val="SingleTxtG"/>
      </w:pPr>
      <w:r w:rsidRPr="008848AD">
        <w:rPr>
          <w:rFonts w:eastAsia="Calibri"/>
          <w:u w:color="000000"/>
          <w:bdr w:val="nil"/>
          <w:lang w:val="es-ES_tradnl" w:eastAsia="en-GB"/>
        </w:rPr>
        <w:tab/>
        <w:t>c)</w:t>
      </w:r>
      <w:r w:rsidRPr="008848AD">
        <w:rPr>
          <w:rFonts w:eastAsia="Calibri"/>
          <w:u w:color="000000"/>
          <w:bdr w:val="nil"/>
          <w:lang w:val="es-ES_tradnl" w:eastAsia="en-GB"/>
        </w:rPr>
        <w:tab/>
      </w:r>
      <w:r w:rsidRPr="008848AD">
        <w:rPr>
          <w:lang w:val="es-419"/>
        </w:rPr>
        <w:t xml:space="preserve">Las </w:t>
      </w:r>
      <w:r w:rsidRPr="008848AD">
        <w:t>informaciones que indican que las personas detenidas en el marco de las protestas iniciadas en abril</w:t>
      </w:r>
      <w:r w:rsidR="00C31765">
        <w:t xml:space="preserve"> de</w:t>
      </w:r>
      <w:r w:rsidRPr="008848AD">
        <w:t xml:space="preserve"> 2018 o </w:t>
      </w:r>
      <w:r w:rsidR="00B90702">
        <w:t xml:space="preserve">que </w:t>
      </w:r>
      <w:r w:rsidRPr="008848AD">
        <w:t>por haberse presentado a las elecciones en 2021 estarían siendo acusadas por delitos de terrorismo y crimen organizado y procesadas sin las debidas garantías</w:t>
      </w:r>
      <w:r w:rsidRPr="0045380A">
        <w:rPr>
          <w:rFonts w:eastAsiaTheme="majorEastAsia"/>
          <w:sz w:val="18"/>
          <w:szCs w:val="18"/>
          <w:vertAlign w:val="superscript"/>
        </w:rPr>
        <w:footnoteReference w:id="54"/>
      </w:r>
      <w:r w:rsidRPr="008848AD">
        <w:t xml:space="preserve">. Al respecto, preocupa al Comité la vaguedad de los tipos penales de los delitos de terrorismo establecidos en la Ley </w:t>
      </w:r>
      <w:r w:rsidR="00C31765">
        <w:t>n</w:t>
      </w:r>
      <w:r w:rsidRPr="008848AD">
        <w:t xml:space="preserve">úm. 977 de 2018 contra el </w:t>
      </w:r>
      <w:r w:rsidR="00C31765">
        <w:t>L</w:t>
      </w:r>
      <w:r w:rsidRPr="008848AD">
        <w:t xml:space="preserve">avado de </w:t>
      </w:r>
      <w:r w:rsidR="00C31765">
        <w:t>A</w:t>
      </w:r>
      <w:r w:rsidRPr="008848AD">
        <w:t>ctivos</w:t>
      </w:r>
      <w:r w:rsidR="00C31765">
        <w:t>,</w:t>
      </w:r>
      <w:r w:rsidRPr="008848AD">
        <w:t xml:space="preserve"> el </w:t>
      </w:r>
      <w:r w:rsidR="00C31765">
        <w:t>F</w:t>
      </w:r>
      <w:r w:rsidRPr="008848AD">
        <w:t>inanciamiento</w:t>
      </w:r>
      <w:r w:rsidR="00C31765">
        <w:t xml:space="preserve"> al Terrorismo y el Financiamiento</w:t>
      </w:r>
      <w:r w:rsidRPr="008848AD">
        <w:t xml:space="preserve"> a la </w:t>
      </w:r>
      <w:r w:rsidR="00C31765">
        <w:t>P</w:t>
      </w:r>
      <w:r w:rsidRPr="008848AD">
        <w:t xml:space="preserve">roliferación de </w:t>
      </w:r>
      <w:r w:rsidR="00C31765">
        <w:t>A</w:t>
      </w:r>
      <w:r w:rsidRPr="008848AD">
        <w:t xml:space="preserve">rmas de </w:t>
      </w:r>
      <w:r w:rsidR="00C31765">
        <w:t>D</w:t>
      </w:r>
      <w:r w:rsidRPr="008848AD">
        <w:t xml:space="preserve">estrucción </w:t>
      </w:r>
      <w:r w:rsidR="00C31765">
        <w:t>M</w:t>
      </w:r>
      <w:r w:rsidRPr="008848AD">
        <w:t>asiva</w:t>
      </w:r>
      <w:r w:rsidRPr="0045380A">
        <w:rPr>
          <w:rFonts w:eastAsiaTheme="majorEastAsia"/>
          <w:sz w:val="18"/>
          <w:szCs w:val="18"/>
          <w:vertAlign w:val="superscript"/>
          <w:lang w:val="es-419"/>
        </w:rPr>
        <w:footnoteReference w:id="55"/>
      </w:r>
      <w:r w:rsidRPr="008848AD">
        <w:t xml:space="preserve"> y por el amplio</w:t>
      </w:r>
      <w:r w:rsidRPr="009E3FCF">
        <w:t xml:space="preserve"> </w:t>
      </w:r>
      <w:r w:rsidRPr="008848AD">
        <w:t xml:space="preserve">ámbito de aplicación de la Ley </w:t>
      </w:r>
      <w:r w:rsidR="008C1C70">
        <w:t>núm</w:t>
      </w:r>
      <w:r w:rsidRPr="008848AD">
        <w:t>. 1055</w:t>
      </w:r>
      <w:r w:rsidR="008C1C70">
        <w:t>,</w:t>
      </w:r>
      <w:r w:rsidRPr="008848AD">
        <w:t xml:space="preserve"> </w:t>
      </w:r>
      <w:r w:rsidR="008C1C70">
        <w:t xml:space="preserve">de </w:t>
      </w:r>
      <w:r w:rsidRPr="008848AD">
        <w:t>2020</w:t>
      </w:r>
      <w:r w:rsidR="008C1C70">
        <w:t>,</w:t>
      </w:r>
      <w:r w:rsidRPr="008848AD">
        <w:t xml:space="preserve"> </w:t>
      </w:r>
      <w:r w:rsidR="008C1C70">
        <w:t>de</w:t>
      </w:r>
      <w:r w:rsidRPr="008848AD">
        <w:t xml:space="preserve"> </w:t>
      </w:r>
      <w:r w:rsidR="008C1C70">
        <w:t>D</w:t>
      </w:r>
      <w:r w:rsidRPr="008848AD">
        <w:t xml:space="preserve">efensa de los </w:t>
      </w:r>
      <w:r w:rsidR="00D93B16">
        <w:t>D</w:t>
      </w:r>
      <w:r w:rsidRPr="008848AD">
        <w:t xml:space="preserve">erechos del </w:t>
      </w:r>
      <w:r w:rsidR="00D93B16">
        <w:t>P</w:t>
      </w:r>
      <w:r w:rsidRPr="008848AD">
        <w:t xml:space="preserve">ueblo a la </w:t>
      </w:r>
      <w:r w:rsidR="00D93B16">
        <w:t>I</w:t>
      </w:r>
      <w:r w:rsidRPr="008848AD">
        <w:t xml:space="preserve">ndependencia, la </w:t>
      </w:r>
      <w:r w:rsidR="00D93B16">
        <w:t>S</w:t>
      </w:r>
      <w:r w:rsidRPr="008848AD">
        <w:t xml:space="preserve">oberanía y </w:t>
      </w:r>
      <w:r w:rsidR="00D93B16">
        <w:t>A</w:t>
      </w:r>
      <w:r w:rsidRPr="008848AD">
        <w:t xml:space="preserve">utodeterminación para la </w:t>
      </w:r>
      <w:r w:rsidR="00D93B16">
        <w:t>P</w:t>
      </w:r>
      <w:r w:rsidRPr="008848AD">
        <w:t xml:space="preserve">az, así como la Ley </w:t>
      </w:r>
      <w:r w:rsidR="002A1B72">
        <w:t>Especial de C</w:t>
      </w:r>
      <w:r w:rsidRPr="008848AD">
        <w:t>iberdelitos</w:t>
      </w:r>
      <w:r w:rsidR="002A1B72">
        <w:t xml:space="preserve"> (Ley n</w:t>
      </w:r>
      <w:r w:rsidR="002A1B72" w:rsidRPr="008848AD">
        <w:t xml:space="preserve">úm. 1042 </w:t>
      </w:r>
      <w:r w:rsidR="002A1B72">
        <w:t>)</w:t>
      </w:r>
      <w:r w:rsidRPr="008848AD">
        <w:t xml:space="preserve"> </w:t>
      </w:r>
      <w:r>
        <w:t xml:space="preserve">de </w:t>
      </w:r>
      <w:r w:rsidRPr="008848AD">
        <w:t xml:space="preserve">2020, la Ley </w:t>
      </w:r>
      <w:r w:rsidR="002A1B72">
        <w:t>n</w:t>
      </w:r>
      <w:r w:rsidRPr="008848AD">
        <w:t>úm.</w:t>
      </w:r>
      <w:r w:rsidR="002A1B72">
        <w:t> </w:t>
      </w:r>
      <w:r w:rsidRPr="008848AD">
        <w:t xml:space="preserve">1040 de </w:t>
      </w:r>
      <w:r w:rsidR="002A1B72">
        <w:t>R</w:t>
      </w:r>
      <w:r w:rsidRPr="008848AD">
        <w:t xml:space="preserve">egulación de </w:t>
      </w:r>
      <w:r w:rsidR="002A1B72">
        <w:t>A</w:t>
      </w:r>
      <w:r w:rsidRPr="008848AD">
        <w:t xml:space="preserve">gentes </w:t>
      </w:r>
      <w:r w:rsidR="002A1B72">
        <w:t>E</w:t>
      </w:r>
      <w:r w:rsidRPr="008848AD">
        <w:t>xtranjeros</w:t>
      </w:r>
      <w:r>
        <w:t xml:space="preserve"> de </w:t>
      </w:r>
      <w:r w:rsidRPr="008848AD">
        <w:t>2020</w:t>
      </w:r>
      <w:r w:rsidRPr="0045380A">
        <w:rPr>
          <w:rFonts w:eastAsiaTheme="majorEastAsia"/>
          <w:sz w:val="18"/>
          <w:szCs w:val="18"/>
          <w:vertAlign w:val="superscript"/>
        </w:rPr>
        <w:footnoteReference w:id="56"/>
      </w:r>
      <w:r w:rsidRPr="008848AD">
        <w:t xml:space="preserve"> y los artículos 410 y 412 del Código Penal relativos a la conspiración para cometer “menoscabo a la integridad nacional”, usad</w:t>
      </w:r>
      <w:r w:rsidR="004939BD">
        <w:t>a</w:t>
      </w:r>
      <w:r w:rsidRPr="008848AD">
        <w:t>s como método disuasorio de las protestas o de cualquier forma de oposición, y su uso arbitrario;</w:t>
      </w:r>
    </w:p>
    <w:p w14:paraId="2EA0FAA2" w14:textId="316DB842" w:rsidR="003B7F65" w:rsidRPr="008848AD" w:rsidRDefault="003B7F65" w:rsidP="0045380A">
      <w:pPr>
        <w:pStyle w:val="SingleTxtG"/>
        <w:rPr>
          <w:bCs/>
          <w:lang w:eastAsia="en-US"/>
        </w:rPr>
      </w:pPr>
      <w:r w:rsidRPr="008848AD">
        <w:rPr>
          <w:bCs/>
          <w:shd w:val="clear" w:color="auto" w:fill="FFFFFF"/>
        </w:rPr>
        <w:tab/>
        <w:t>d)</w:t>
      </w:r>
      <w:r w:rsidRPr="008848AD">
        <w:rPr>
          <w:bCs/>
          <w:shd w:val="clear" w:color="auto" w:fill="FFFFFF"/>
        </w:rPr>
        <w:tab/>
        <w:t xml:space="preserve">La </w:t>
      </w:r>
      <w:r w:rsidRPr="008848AD">
        <w:rPr>
          <w:bCs/>
          <w:lang w:eastAsia="en-US"/>
        </w:rPr>
        <w:t>información recibida respecto a que la excarcelación en virtud de la Ley de Amnistía no ha beneficiado</w:t>
      </w:r>
      <w:r w:rsidR="002A1B72">
        <w:rPr>
          <w:bCs/>
          <w:lang w:eastAsia="en-US"/>
        </w:rPr>
        <w:t xml:space="preserve"> a</w:t>
      </w:r>
      <w:r w:rsidRPr="008848AD">
        <w:rPr>
          <w:bCs/>
          <w:lang w:eastAsia="en-US"/>
        </w:rPr>
        <w:t xml:space="preserve"> todas las personas identificadas como pres</w:t>
      </w:r>
      <w:r>
        <w:rPr>
          <w:bCs/>
          <w:lang w:eastAsia="en-US"/>
        </w:rPr>
        <w:t>o</w:t>
      </w:r>
      <w:r w:rsidRPr="008848AD">
        <w:rPr>
          <w:bCs/>
          <w:lang w:eastAsia="en-US"/>
        </w:rPr>
        <w:t>s polític</w:t>
      </w:r>
      <w:r w:rsidR="00A066AE">
        <w:rPr>
          <w:bCs/>
          <w:lang w:eastAsia="en-US"/>
        </w:rPr>
        <w:t>o</w:t>
      </w:r>
      <w:r w:rsidRPr="008848AD">
        <w:rPr>
          <w:bCs/>
          <w:lang w:eastAsia="en-US"/>
        </w:rPr>
        <w:t xml:space="preserve">s, incluidas las que se encontraban en un grave estado de salud, y que las que fueron excarceladas habrían sido </w:t>
      </w:r>
      <w:r w:rsidRPr="008848AD">
        <w:t>sometidas a asedio, amenazas, nuevas detenciones arbitrarias, y sus antecedentes penales</w:t>
      </w:r>
      <w:r w:rsidRPr="008848AD">
        <w:rPr>
          <w:bCs/>
          <w:lang w:eastAsia="en-US"/>
        </w:rPr>
        <w:t xml:space="preserve"> se habrían mantenido</w:t>
      </w:r>
      <w:r w:rsidRPr="0045380A">
        <w:rPr>
          <w:rFonts w:eastAsiaTheme="majorEastAsia"/>
          <w:sz w:val="18"/>
          <w:szCs w:val="18"/>
          <w:vertAlign w:val="superscript"/>
        </w:rPr>
        <w:footnoteReference w:id="57"/>
      </w:r>
      <w:r w:rsidRPr="008848AD">
        <w:t xml:space="preserve"> </w:t>
      </w:r>
      <w:r w:rsidRPr="008848AD">
        <w:rPr>
          <w:rFonts w:eastAsia="Arial Unicode MS"/>
          <w:lang w:val="es-419" w:eastAsia="en-US"/>
        </w:rPr>
        <w:t>(arts. 2, 12</w:t>
      </w:r>
      <w:r w:rsidR="002A1B72">
        <w:rPr>
          <w:rFonts w:eastAsia="Arial Unicode MS"/>
          <w:lang w:val="es-419" w:eastAsia="en-US"/>
        </w:rPr>
        <w:t xml:space="preserve"> a </w:t>
      </w:r>
      <w:r w:rsidRPr="008848AD">
        <w:rPr>
          <w:rFonts w:eastAsia="Arial Unicode MS"/>
          <w:lang w:val="es-419" w:eastAsia="en-US"/>
        </w:rPr>
        <w:t>14 y 16).</w:t>
      </w:r>
    </w:p>
    <w:p w14:paraId="70BBE43A" w14:textId="6A1B68DD" w:rsidR="003B7F65" w:rsidRPr="0045380A" w:rsidRDefault="003B7F65" w:rsidP="0045380A">
      <w:pPr>
        <w:pStyle w:val="SingleTxtG"/>
        <w:rPr>
          <w:rFonts w:eastAsia="Cambria"/>
          <w:b/>
          <w:bCs/>
          <w:lang w:eastAsia="en-US"/>
        </w:rPr>
      </w:pPr>
      <w:r w:rsidRPr="008848AD">
        <w:rPr>
          <w:rFonts w:eastAsia="Cambria"/>
          <w:lang w:val="es-419"/>
        </w:rPr>
        <w:t>24</w:t>
      </w:r>
      <w:r w:rsidRPr="008848AD">
        <w:rPr>
          <w:rFonts w:eastAsia="Cambria"/>
          <w:lang w:eastAsia="en-US"/>
        </w:rPr>
        <w:t>.</w:t>
      </w:r>
      <w:r w:rsidRPr="008848AD">
        <w:rPr>
          <w:rFonts w:eastAsia="Cambria"/>
          <w:lang w:eastAsia="en-US"/>
        </w:rPr>
        <w:tab/>
      </w:r>
      <w:r w:rsidRPr="0045380A">
        <w:rPr>
          <w:b/>
          <w:bCs/>
          <w:lang w:val="es-ES_tradnl" w:eastAsia="en-US"/>
        </w:rPr>
        <w:t xml:space="preserve">El Comité </w:t>
      </w:r>
      <w:r w:rsidRPr="0045380A">
        <w:rPr>
          <w:rFonts w:eastAsia="Cambria"/>
          <w:b/>
          <w:bCs/>
          <w:lang w:eastAsia="en-US"/>
        </w:rPr>
        <w:t>urge al Estado parte a:</w:t>
      </w:r>
    </w:p>
    <w:p w14:paraId="732F7AEE" w14:textId="29DBF227" w:rsidR="003B7F65" w:rsidRPr="0045380A" w:rsidRDefault="00BA3997" w:rsidP="0045380A">
      <w:pPr>
        <w:pStyle w:val="SingleTxtG"/>
        <w:rPr>
          <w:rFonts w:eastAsia="Arial"/>
          <w:b/>
          <w:bCs/>
        </w:rPr>
      </w:pPr>
      <w:r>
        <w:rPr>
          <w:b/>
          <w:bCs/>
          <w:lang w:eastAsia="en-US"/>
        </w:rPr>
        <w:tab/>
        <w:t>a)</w:t>
      </w:r>
      <w:r>
        <w:rPr>
          <w:b/>
          <w:bCs/>
          <w:lang w:eastAsia="en-US"/>
        </w:rPr>
        <w:tab/>
      </w:r>
      <w:r w:rsidR="003B7F65" w:rsidRPr="0045380A">
        <w:rPr>
          <w:b/>
          <w:bCs/>
          <w:lang w:eastAsia="en-US"/>
        </w:rPr>
        <w:t>Adoptar las medidas necesarias para prevenir y cesar las detenciones arbitrarias, actos de represión y violencia en contra</w:t>
      </w:r>
      <w:r w:rsidR="003B7F65" w:rsidRPr="0045380A">
        <w:rPr>
          <w:rFonts w:eastAsia="Calibri"/>
          <w:b/>
          <w:bCs/>
          <w:u w:color="000000"/>
          <w:bdr w:val="nil"/>
          <w:lang w:val="es-ES_tradnl" w:eastAsia="en-GB"/>
        </w:rPr>
        <w:t xml:space="preserve"> </w:t>
      </w:r>
      <w:r w:rsidR="003B7F65" w:rsidRPr="0045380A">
        <w:rPr>
          <w:b/>
          <w:bCs/>
          <w:lang w:eastAsia="en-US"/>
        </w:rPr>
        <w:t xml:space="preserve">de </w:t>
      </w:r>
      <w:r w:rsidR="00B90702" w:rsidRPr="0045380A">
        <w:rPr>
          <w:b/>
          <w:bCs/>
          <w:lang w:eastAsia="en-US"/>
        </w:rPr>
        <w:t xml:space="preserve">personas </w:t>
      </w:r>
      <w:r w:rsidR="003B7F65" w:rsidRPr="0045380A">
        <w:rPr>
          <w:b/>
          <w:bCs/>
          <w:lang w:eastAsia="en-US"/>
        </w:rPr>
        <w:t>defensor</w:t>
      </w:r>
      <w:r w:rsidR="00D927D0" w:rsidRPr="0045380A">
        <w:rPr>
          <w:b/>
          <w:bCs/>
          <w:lang w:eastAsia="en-US"/>
        </w:rPr>
        <w:t>as</w:t>
      </w:r>
      <w:r w:rsidR="003B7F65" w:rsidRPr="0045380A">
        <w:rPr>
          <w:b/>
          <w:bCs/>
          <w:lang w:eastAsia="en-US"/>
        </w:rPr>
        <w:t xml:space="preserve"> de derechos humanos, periodistas, líderes </w:t>
      </w:r>
      <w:r w:rsidR="00A066AE" w:rsidRPr="0045380A">
        <w:rPr>
          <w:b/>
          <w:bCs/>
          <w:lang w:eastAsia="en-US"/>
        </w:rPr>
        <w:t xml:space="preserve">y lideresas </w:t>
      </w:r>
      <w:r w:rsidR="003B7F65" w:rsidRPr="0045380A">
        <w:rPr>
          <w:b/>
          <w:bCs/>
          <w:lang w:eastAsia="en-US"/>
        </w:rPr>
        <w:t>sociales,</w:t>
      </w:r>
      <w:r w:rsidR="00D927D0" w:rsidRPr="0045380A">
        <w:rPr>
          <w:rFonts w:eastAsia="Calibri"/>
          <w:b/>
          <w:bCs/>
          <w:u w:color="000000"/>
          <w:bdr w:val="nil"/>
          <w:lang w:val="es-ES_tradnl" w:eastAsia="en-GB"/>
        </w:rPr>
        <w:t xml:space="preserve"> representantes de confesiones religiosas</w:t>
      </w:r>
      <w:r w:rsidR="00D927D0" w:rsidRPr="0045380A">
        <w:rPr>
          <w:b/>
          <w:bCs/>
          <w:lang w:val="es-ES_tradnl" w:eastAsia="en-US"/>
        </w:rPr>
        <w:t xml:space="preserve">, </w:t>
      </w:r>
      <w:r w:rsidR="003B7F65" w:rsidRPr="0045380A">
        <w:rPr>
          <w:b/>
          <w:bCs/>
          <w:lang w:eastAsia="en-US"/>
        </w:rPr>
        <w:t>po</w:t>
      </w:r>
      <w:r w:rsidR="003B7F65" w:rsidRPr="0045380A">
        <w:rPr>
          <w:b/>
          <w:bCs/>
        </w:rPr>
        <w:t>líticos y políticas de oposición y sus familiares, libera</w:t>
      </w:r>
      <w:r w:rsidR="00B90702" w:rsidRPr="0045380A">
        <w:rPr>
          <w:b/>
          <w:bCs/>
        </w:rPr>
        <w:t>r</w:t>
      </w:r>
      <w:r w:rsidR="003B7F65" w:rsidRPr="0045380A">
        <w:rPr>
          <w:b/>
          <w:bCs/>
        </w:rPr>
        <w:t xml:space="preserve"> a las personas detenidas arbitrariamente y restablecer la personalidad jurídica de las organizaciones de la sociedad civil;</w:t>
      </w:r>
    </w:p>
    <w:p w14:paraId="7F8BF205" w14:textId="6CC9C605" w:rsidR="003B7F65" w:rsidRPr="0045380A" w:rsidRDefault="00BA3997" w:rsidP="0045380A">
      <w:pPr>
        <w:pStyle w:val="SingleTxtG"/>
        <w:rPr>
          <w:b/>
          <w:bCs/>
        </w:rPr>
      </w:pPr>
      <w:r>
        <w:rPr>
          <w:rFonts w:eastAsia="Arial"/>
          <w:b/>
          <w:bCs/>
        </w:rPr>
        <w:tab/>
        <w:t>b)</w:t>
      </w:r>
      <w:r>
        <w:rPr>
          <w:rFonts w:eastAsia="Arial"/>
          <w:b/>
          <w:bCs/>
        </w:rPr>
        <w:tab/>
      </w:r>
      <w:r w:rsidR="003B7F65" w:rsidRPr="0045380A">
        <w:rPr>
          <w:rFonts w:eastAsia="Arial"/>
          <w:b/>
          <w:bCs/>
        </w:rPr>
        <w:t xml:space="preserve">Investigar de manera pronta, independiente y exhaustiva los actos de uso excesivo de la fuerza, tortura y malos tratos cometidos en el marco de las protestas </w:t>
      </w:r>
      <w:r w:rsidR="003B7F65" w:rsidRPr="0045380A">
        <w:rPr>
          <w:rFonts w:eastAsia="Arial"/>
          <w:b/>
          <w:bCs/>
        </w:rPr>
        <w:lastRenderedPageBreak/>
        <w:t xml:space="preserve">iniciadas en abril </w:t>
      </w:r>
      <w:r w:rsidR="00B90702" w:rsidRPr="0045380A">
        <w:rPr>
          <w:rFonts w:eastAsia="Arial"/>
          <w:b/>
          <w:bCs/>
        </w:rPr>
        <w:t xml:space="preserve">de </w:t>
      </w:r>
      <w:r w:rsidR="003B7F65" w:rsidRPr="0045380A">
        <w:rPr>
          <w:rFonts w:eastAsia="Arial"/>
          <w:b/>
          <w:bCs/>
        </w:rPr>
        <w:t>2018 y</w:t>
      </w:r>
      <w:r w:rsidR="00B90702" w:rsidRPr="0045380A">
        <w:rPr>
          <w:rFonts w:eastAsia="Arial"/>
          <w:b/>
          <w:bCs/>
        </w:rPr>
        <w:t>,</w:t>
      </w:r>
      <w:r w:rsidR="003B7F65" w:rsidRPr="0045380A">
        <w:rPr>
          <w:rFonts w:eastAsia="Arial"/>
          <w:b/>
          <w:bCs/>
        </w:rPr>
        <w:t xml:space="preserve"> posteriormente, juzgar y sancionar a los responsables, asegurando que las víctimas reciban una reparación integral adecuada</w:t>
      </w:r>
      <w:r w:rsidR="00B90702" w:rsidRPr="0045380A">
        <w:rPr>
          <w:rFonts w:eastAsia="Arial"/>
          <w:b/>
          <w:bCs/>
        </w:rPr>
        <w:t>,</w:t>
      </w:r>
      <w:r w:rsidR="003B7F65" w:rsidRPr="0045380A">
        <w:rPr>
          <w:rFonts w:eastAsia="Arial"/>
          <w:b/>
          <w:bCs/>
        </w:rPr>
        <w:t xml:space="preserve"> y </w:t>
      </w:r>
      <w:r w:rsidR="003B7F65" w:rsidRPr="0045380A">
        <w:rPr>
          <w:b/>
          <w:bCs/>
          <w:lang w:val="es-419"/>
        </w:rPr>
        <w:t>condenar públicamente dichas violaciones;</w:t>
      </w:r>
    </w:p>
    <w:p w14:paraId="36D0A9DF" w14:textId="3D7F1131" w:rsidR="003B7F65" w:rsidRPr="0045380A" w:rsidRDefault="00BA3997" w:rsidP="0045380A">
      <w:pPr>
        <w:pStyle w:val="SingleTxtG"/>
        <w:rPr>
          <w:b/>
          <w:bCs/>
        </w:rPr>
      </w:pPr>
      <w:r>
        <w:rPr>
          <w:b/>
          <w:bCs/>
          <w:lang w:eastAsia="en-US"/>
        </w:rPr>
        <w:tab/>
        <w:t>c)</w:t>
      </w:r>
      <w:r>
        <w:rPr>
          <w:b/>
          <w:bCs/>
          <w:lang w:eastAsia="en-US"/>
        </w:rPr>
        <w:tab/>
      </w:r>
      <w:r w:rsidR="003B7F65" w:rsidRPr="0045380A">
        <w:rPr>
          <w:b/>
          <w:bCs/>
          <w:lang w:eastAsia="en-US"/>
        </w:rPr>
        <w:t xml:space="preserve">Asegurar que todas las personas estén protegidas frente a la intimidación, represalias y violencia a las que podrían exponerlas sus actividades o el ejercicio de la defensa de derechos humanos, el libre ejercicio de su libertad de expresión y opinión, así como </w:t>
      </w:r>
      <w:r w:rsidR="00B90702" w:rsidRPr="0045380A">
        <w:rPr>
          <w:b/>
          <w:bCs/>
          <w:lang w:eastAsia="en-US"/>
        </w:rPr>
        <w:t xml:space="preserve">el ejercicio </w:t>
      </w:r>
      <w:r w:rsidR="003B7F65" w:rsidRPr="0045380A">
        <w:rPr>
          <w:b/>
          <w:bCs/>
          <w:lang w:eastAsia="en-US"/>
        </w:rPr>
        <w:t>de sus derechos de asociación y reunión pacífica</w:t>
      </w:r>
      <w:r w:rsidR="00B90702" w:rsidRPr="0045380A">
        <w:rPr>
          <w:b/>
          <w:bCs/>
          <w:lang w:eastAsia="en-US"/>
        </w:rPr>
        <w:t>, y</w:t>
      </w:r>
      <w:r w:rsidR="003B7F65" w:rsidRPr="0045380A">
        <w:rPr>
          <w:b/>
          <w:bCs/>
          <w:lang w:eastAsia="en-US"/>
        </w:rPr>
        <w:t xml:space="preserve"> </w:t>
      </w:r>
      <w:r w:rsidR="00B90702" w:rsidRPr="0045380A">
        <w:rPr>
          <w:b/>
          <w:bCs/>
          <w:lang w:eastAsia="en-US"/>
        </w:rPr>
        <w:t>e</w:t>
      </w:r>
      <w:r w:rsidR="003B7F65" w:rsidRPr="0045380A">
        <w:rPr>
          <w:b/>
          <w:bCs/>
          <w:lang w:eastAsia="en-US"/>
        </w:rPr>
        <w:t>s</w:t>
      </w:r>
      <w:r w:rsidR="003B7F65" w:rsidRPr="0045380A">
        <w:rPr>
          <w:b/>
          <w:bCs/>
        </w:rPr>
        <w:t xml:space="preserve">tablecer un </w:t>
      </w:r>
      <w:r w:rsidR="003B7F65" w:rsidRPr="0045380A">
        <w:rPr>
          <w:b/>
          <w:bCs/>
          <w:lang w:eastAsia="en-US"/>
        </w:rPr>
        <w:t>mecanismo nacional independiente de protección al respecto</w:t>
      </w:r>
      <w:r w:rsidR="003B7F65" w:rsidRPr="0045380A">
        <w:rPr>
          <w:b/>
          <w:bCs/>
        </w:rPr>
        <w:t>;</w:t>
      </w:r>
    </w:p>
    <w:p w14:paraId="7E1193D2" w14:textId="37CD8E5B" w:rsidR="003B7F65" w:rsidRPr="0045380A" w:rsidRDefault="003B7F65" w:rsidP="0045380A">
      <w:pPr>
        <w:pStyle w:val="SingleTxtG"/>
        <w:rPr>
          <w:rFonts w:eastAsia="Arial"/>
          <w:b/>
          <w:bCs/>
        </w:rPr>
      </w:pPr>
      <w:r w:rsidRPr="0045380A">
        <w:rPr>
          <w:b/>
          <w:bCs/>
        </w:rPr>
        <w:tab/>
        <w:t>d)</w:t>
      </w:r>
      <w:r w:rsidRPr="0045380A">
        <w:rPr>
          <w:b/>
          <w:bCs/>
        </w:rPr>
        <w:tab/>
      </w:r>
      <w:r w:rsidRPr="0045380A">
        <w:rPr>
          <w:rFonts w:eastAsia="Arial"/>
          <w:b/>
          <w:bCs/>
        </w:rPr>
        <w:t>Establecer protocolos que regulen la actuación de las fuerzas de seguridad l</w:t>
      </w:r>
      <w:r w:rsidR="00B90702" w:rsidRPr="0045380A">
        <w:rPr>
          <w:rFonts w:eastAsia="Arial"/>
          <w:b/>
          <w:bCs/>
        </w:rPr>
        <w:t>a</w:t>
      </w:r>
      <w:r w:rsidRPr="0045380A">
        <w:rPr>
          <w:rFonts w:eastAsia="Arial"/>
          <w:b/>
          <w:bCs/>
        </w:rPr>
        <w:t>s cuales han desempeñado un papel preponderante en acciones de violencia e intimidación durante las protestas, conforme a las normas internacionales de protección de derechos humanos;</w:t>
      </w:r>
    </w:p>
    <w:p w14:paraId="45975EA8" w14:textId="63F2AFEF" w:rsidR="002E009A" w:rsidRPr="0045380A" w:rsidRDefault="003B7F65" w:rsidP="0045380A">
      <w:pPr>
        <w:pStyle w:val="SingleTxtG"/>
        <w:rPr>
          <w:b/>
          <w:bCs/>
        </w:rPr>
      </w:pPr>
      <w:r w:rsidRPr="0045380A">
        <w:rPr>
          <w:b/>
          <w:bCs/>
        </w:rPr>
        <w:tab/>
        <w:t>e</w:t>
      </w:r>
      <w:r w:rsidRPr="0045380A">
        <w:rPr>
          <w:rFonts w:eastAsia="Arial"/>
          <w:b/>
          <w:bCs/>
        </w:rPr>
        <w:t>)</w:t>
      </w:r>
      <w:r w:rsidRPr="0045380A">
        <w:rPr>
          <w:rFonts w:eastAsia="Arial"/>
          <w:b/>
          <w:bCs/>
        </w:rPr>
        <w:tab/>
        <w:t>Desmantelar y desarmar de inmediato a los grupos armados progubernamentales</w:t>
      </w:r>
      <w:r w:rsidR="002E009A" w:rsidRPr="0045380A">
        <w:rPr>
          <w:rFonts w:eastAsia="Arial"/>
          <w:b/>
          <w:bCs/>
        </w:rPr>
        <w:t>;</w:t>
      </w:r>
    </w:p>
    <w:p w14:paraId="32E13F2F" w14:textId="26B91686" w:rsidR="003B7F65" w:rsidRPr="0045380A" w:rsidRDefault="003B7F65" w:rsidP="0045380A">
      <w:pPr>
        <w:pStyle w:val="SingleTxtG"/>
        <w:rPr>
          <w:rFonts w:eastAsia="Arial"/>
          <w:b/>
          <w:bCs/>
        </w:rPr>
      </w:pPr>
      <w:r w:rsidRPr="0045380A">
        <w:rPr>
          <w:b/>
          <w:bCs/>
        </w:rPr>
        <w:tab/>
        <w:t>f)</w:t>
      </w:r>
      <w:r w:rsidRPr="0045380A">
        <w:rPr>
          <w:b/>
          <w:bCs/>
        </w:rPr>
        <w:tab/>
      </w:r>
      <w:r w:rsidRPr="0045380A">
        <w:rPr>
          <w:rFonts w:eastAsia="Arial"/>
          <w:b/>
          <w:bCs/>
        </w:rPr>
        <w:t>Revocar o enmendar las leyes mencionadas en el párrafo 23</w:t>
      </w:r>
      <w:r w:rsidR="00B90702" w:rsidRPr="0045380A">
        <w:rPr>
          <w:rFonts w:eastAsia="Arial"/>
          <w:b/>
          <w:bCs/>
        </w:rPr>
        <w:t> </w:t>
      </w:r>
      <w:r w:rsidRPr="0045380A">
        <w:rPr>
          <w:rFonts w:eastAsia="Arial"/>
          <w:b/>
          <w:bCs/>
        </w:rPr>
        <w:t>c) para garantizar que los delitos contenidos en las mismas estén definidos de manera precisa, clara y estricta, y abstenerse de aplicar dicha legislación como una herramienta de persecución contra aquellos que hayan participado o apoyado las protestas sociales, pretendido postularse a las elecciones o expresado opiniones disidentes</w:t>
      </w:r>
      <w:r w:rsidR="0064190A" w:rsidRPr="0045380A">
        <w:rPr>
          <w:rFonts w:eastAsia="Arial"/>
          <w:b/>
          <w:bCs/>
        </w:rPr>
        <w:t>.</w:t>
      </w:r>
    </w:p>
    <w:p w14:paraId="0641C140" w14:textId="25A1D225" w:rsidR="003B7F65" w:rsidRPr="008848AD" w:rsidRDefault="003B7F65" w:rsidP="0045380A">
      <w:pPr>
        <w:pStyle w:val="H23G"/>
        <w:rPr>
          <w:rFonts w:eastAsia="Calibri"/>
          <w:lang w:val="es-ES_tradnl" w:eastAsia="en-US"/>
        </w:rPr>
      </w:pPr>
      <w:r w:rsidRPr="008848AD">
        <w:rPr>
          <w:rFonts w:eastAsia="Calibri"/>
          <w:lang w:eastAsia="en-US"/>
        </w:rPr>
        <w:tab/>
      </w:r>
      <w:r w:rsidRPr="008848AD">
        <w:rPr>
          <w:lang w:val="es-419" w:eastAsia="en-US"/>
        </w:rPr>
        <w:tab/>
      </w:r>
      <w:r w:rsidRPr="008848AD">
        <w:rPr>
          <w:lang w:val="es-419" w:eastAsia="en-US"/>
        </w:rPr>
        <w:tab/>
        <w:t xml:space="preserve">Violencia de </w:t>
      </w:r>
      <w:r w:rsidRPr="008848AD">
        <w:rPr>
          <w:rFonts w:eastAsia="Calibri"/>
          <w:u w:color="000000"/>
          <w:bdr w:val="nil"/>
          <w:lang w:val="es-ES_tradnl" w:eastAsia="en-GB"/>
        </w:rPr>
        <w:t>género</w:t>
      </w:r>
    </w:p>
    <w:p w14:paraId="239F5931" w14:textId="5EDD3658" w:rsidR="003B7F65" w:rsidRPr="008848AD" w:rsidRDefault="003B7F65" w:rsidP="0045380A">
      <w:pPr>
        <w:pStyle w:val="SingleTxtG"/>
        <w:rPr>
          <w:highlight w:val="cyan"/>
          <w:lang w:val="es-CO"/>
        </w:rPr>
      </w:pPr>
      <w:r w:rsidRPr="008848AD">
        <w:rPr>
          <w:lang w:val="es-CO"/>
        </w:rPr>
        <w:t>25.</w:t>
      </w:r>
      <w:r w:rsidRPr="008848AD">
        <w:rPr>
          <w:lang w:val="es-CO"/>
        </w:rPr>
        <w:tab/>
        <w:t xml:space="preserve">Si bien la </w:t>
      </w:r>
      <w:r w:rsidRPr="008848AD">
        <w:t>información proporcionada por el Estado parte</w:t>
      </w:r>
      <w:r w:rsidRPr="0045380A">
        <w:rPr>
          <w:rFonts w:eastAsiaTheme="majorEastAsia"/>
          <w:sz w:val="18"/>
          <w:szCs w:val="18"/>
          <w:vertAlign w:val="superscript"/>
        </w:rPr>
        <w:footnoteReference w:id="58"/>
      </w:r>
      <w:r w:rsidRPr="008848AD">
        <w:t xml:space="preserve"> indica l</w:t>
      </w:r>
      <w:r w:rsidRPr="008848AD">
        <w:rPr>
          <w:rFonts w:eastAsia="Calibri"/>
          <w:u w:color="000000"/>
          <w:bdr w:val="nil"/>
          <w:lang w:eastAsia="en-GB"/>
        </w:rPr>
        <w:t>a creación de nuevos órga</w:t>
      </w:r>
      <w:r w:rsidRPr="008848AD">
        <w:t xml:space="preserve">nos jurisdiccionales especializados en </w:t>
      </w:r>
      <w:r w:rsidR="00626773">
        <w:t xml:space="preserve">materia de </w:t>
      </w:r>
      <w:r w:rsidRPr="008848AD">
        <w:t>violencia y</w:t>
      </w:r>
      <w:r w:rsidR="00B90702">
        <w:t xml:space="preserve"> </w:t>
      </w:r>
      <w:r w:rsidRPr="008848AD">
        <w:t>en</w:t>
      </w:r>
      <w:r w:rsidR="00B90702">
        <w:t xml:space="preserve"> </w:t>
      </w:r>
      <w:r w:rsidRPr="008848AD">
        <w:t>derecho</w:t>
      </w:r>
      <w:r w:rsidR="00B90702">
        <w:t xml:space="preserve"> </w:t>
      </w:r>
      <w:r w:rsidRPr="008848AD">
        <w:t>de</w:t>
      </w:r>
      <w:r w:rsidR="00B90702">
        <w:t xml:space="preserve"> </w:t>
      </w:r>
      <w:r w:rsidRPr="008848AD">
        <w:t xml:space="preserve">familia y varias iniciativas de capacitación en materia de violencia de género, el Comité observa con preocupación un aumento de femicidios, </w:t>
      </w:r>
      <w:r w:rsidR="00B90702">
        <w:t>también</w:t>
      </w:r>
      <w:r w:rsidRPr="008848AD">
        <w:t xml:space="preserve"> de niñas, entre 2020 y 2021</w:t>
      </w:r>
      <w:r w:rsidR="00B90702">
        <w:t>,</w:t>
      </w:r>
      <w:r w:rsidRPr="008848AD">
        <w:t xml:space="preserve"> y lamenta la falta de revocación del artículo 9 de la Ley </w:t>
      </w:r>
      <w:r w:rsidR="00B90702">
        <w:t>Integral contra</w:t>
      </w:r>
      <w:r w:rsidRPr="008848AD">
        <w:t xml:space="preserve"> la Violencia </w:t>
      </w:r>
      <w:r w:rsidR="00B90702">
        <w:t>hacia</w:t>
      </w:r>
      <w:r w:rsidRPr="008848AD">
        <w:t xml:space="preserve"> las Mujeres</w:t>
      </w:r>
      <w:r w:rsidR="00F814E5">
        <w:t xml:space="preserve"> </w:t>
      </w:r>
      <w:r w:rsidR="00F814E5" w:rsidRPr="00F814E5">
        <w:t>y de Reformas a la Ley núm. 641, Código Penal</w:t>
      </w:r>
      <w:r w:rsidR="00B90702">
        <w:t xml:space="preserve"> (Ley núm. </w:t>
      </w:r>
      <w:r w:rsidR="00B90702" w:rsidRPr="008848AD">
        <w:t>779</w:t>
      </w:r>
      <w:r w:rsidR="00B90702">
        <w:t>),</w:t>
      </w:r>
      <w:r w:rsidR="00B90702" w:rsidRPr="008848AD">
        <w:t xml:space="preserve"> de 2012</w:t>
      </w:r>
      <w:r w:rsidR="00B90702">
        <w:t>,</w:t>
      </w:r>
      <w:r w:rsidRPr="008848AD">
        <w:t xml:space="preserve"> que limita la definición de femicidio al asesinato de mujeres </w:t>
      </w:r>
      <w:r w:rsidR="00B90702">
        <w:t>en e</w:t>
      </w:r>
      <w:r w:rsidRPr="008848AD">
        <w:t>l contexto de una relación. También lamenta la incorporación de la mediación entre la víctima y el agresor, lo que aumenta el riesgo de impunidad, mientras se expone a las víctimas a la revictimización y a las represalias</w:t>
      </w:r>
      <w:r w:rsidRPr="0045380A">
        <w:rPr>
          <w:rFonts w:eastAsiaTheme="majorEastAsia"/>
          <w:sz w:val="18"/>
          <w:szCs w:val="18"/>
          <w:vertAlign w:val="superscript"/>
        </w:rPr>
        <w:footnoteReference w:id="59"/>
      </w:r>
      <w:r w:rsidRPr="008848AD">
        <w:t>. El Comité también toma nota de la información facilitada por el Estado parte según la cual el 62</w:t>
      </w:r>
      <w:r w:rsidR="00BF169C">
        <w:t> </w:t>
      </w:r>
      <w:r w:rsidRPr="008848AD">
        <w:t>% de las 69.605 causas penales por violencia contra la mujer registradas durante el período 2014-2018 se resolvieron, habiéndose dictado 65</w:t>
      </w:r>
      <w:r w:rsidR="00BF169C">
        <w:t> </w:t>
      </w:r>
      <w:r w:rsidRPr="008848AD">
        <w:t>sentencias de femicidio durante el mismo período</w:t>
      </w:r>
      <w:r w:rsidRPr="0045380A">
        <w:rPr>
          <w:rFonts w:eastAsiaTheme="majorEastAsia"/>
          <w:sz w:val="18"/>
          <w:szCs w:val="18"/>
          <w:vertAlign w:val="superscript"/>
        </w:rPr>
        <w:footnoteReference w:id="60"/>
      </w:r>
      <w:r w:rsidRPr="008848AD">
        <w:t xml:space="preserve">, aunque le preocupa </w:t>
      </w:r>
      <w:r w:rsidRPr="008848AD">
        <w:rPr>
          <w:lang w:val="es-CO"/>
        </w:rPr>
        <w:t>no contar con</w:t>
      </w:r>
      <w:r w:rsidRPr="008848AD">
        <w:t xml:space="preserve"> información completa sobre el resultado de dichas causas penales, con datos estadísticos actualizados desglosados sobre violencia de género en todas sus formas, ni sobre las resoluciones dictadas, incluidos los enjuiciamientos, sentencias y condenas de los responsables, y </w:t>
      </w:r>
      <w:r w:rsidR="00BF169C">
        <w:t xml:space="preserve">las </w:t>
      </w:r>
      <w:r w:rsidRPr="008848AD">
        <w:t>reparaciones otorgadas a las víctimas (arts</w:t>
      </w:r>
      <w:r w:rsidRPr="008848AD">
        <w:rPr>
          <w:rFonts w:eastAsia="Calibri"/>
          <w:lang w:val="es-419" w:eastAsia="en-US"/>
        </w:rPr>
        <w:t xml:space="preserve">. </w:t>
      </w:r>
      <w:r w:rsidRPr="008848AD">
        <w:rPr>
          <w:rFonts w:eastAsia="Calibri"/>
          <w:lang w:val="es-ES_tradnl" w:eastAsia="en-US"/>
        </w:rPr>
        <w:t xml:space="preserve">2, 14 y 16). </w:t>
      </w:r>
    </w:p>
    <w:p w14:paraId="332D7555" w14:textId="77777777" w:rsidR="003B7F65" w:rsidRPr="0045380A" w:rsidRDefault="003B7F65" w:rsidP="0045380A">
      <w:pPr>
        <w:pStyle w:val="SingleTxtG"/>
        <w:rPr>
          <w:b/>
          <w:bCs/>
        </w:rPr>
      </w:pPr>
      <w:r w:rsidRPr="008848AD">
        <w:t>26.</w:t>
      </w:r>
      <w:r w:rsidRPr="008848AD">
        <w:tab/>
      </w:r>
      <w:r w:rsidRPr="0045380A">
        <w:rPr>
          <w:b/>
          <w:bCs/>
        </w:rPr>
        <w:t>El Estado parte debe:</w:t>
      </w:r>
    </w:p>
    <w:p w14:paraId="71FB111F" w14:textId="21438AB0" w:rsidR="003B7F65" w:rsidRPr="0045380A" w:rsidRDefault="00BA3997" w:rsidP="0045380A">
      <w:pPr>
        <w:pStyle w:val="SingleTxtG"/>
        <w:rPr>
          <w:b/>
          <w:bCs/>
        </w:rPr>
      </w:pPr>
      <w:r>
        <w:rPr>
          <w:b/>
          <w:bCs/>
        </w:rPr>
        <w:tab/>
        <w:t>a)</w:t>
      </w:r>
      <w:r>
        <w:rPr>
          <w:b/>
          <w:bCs/>
        </w:rPr>
        <w:tab/>
      </w:r>
      <w:r w:rsidR="003B7F65" w:rsidRPr="0045380A">
        <w:rPr>
          <w:b/>
          <w:bCs/>
        </w:rPr>
        <w:t>Velar por que todos los casos de violencia de género, en particular aquellos en los que haya habido acciones u omisiones de autoridades que den lugar a la responsabilidad internacional del Estado parte con arreglo a la Convención, sean investigados exhaustivamente, que los presuntos autores sean enjuiciados y, de ser condenados, sancionados debidamente, y que las víctimas obtengan reparación integral;</w:t>
      </w:r>
    </w:p>
    <w:p w14:paraId="47CCCAE5" w14:textId="4E7BDC59" w:rsidR="003B7F65" w:rsidRPr="0045380A" w:rsidRDefault="00BA3997" w:rsidP="0045380A">
      <w:pPr>
        <w:pStyle w:val="SingleTxtG"/>
        <w:rPr>
          <w:b/>
          <w:bCs/>
        </w:rPr>
      </w:pPr>
      <w:r>
        <w:rPr>
          <w:b/>
          <w:bCs/>
        </w:rPr>
        <w:tab/>
        <w:t>b)</w:t>
      </w:r>
      <w:r>
        <w:rPr>
          <w:b/>
          <w:bCs/>
        </w:rPr>
        <w:tab/>
      </w:r>
      <w:r w:rsidR="003B7F65" w:rsidRPr="0045380A">
        <w:rPr>
          <w:b/>
          <w:bCs/>
        </w:rPr>
        <w:t>Proporcionar los servicios de protección y asistencia a las mujeres en situación de violencia, asegurando que cuenten con infraestructura, equipamiento, personal especializado y presupuesto adecuado;</w:t>
      </w:r>
    </w:p>
    <w:p w14:paraId="16909E1E" w14:textId="69C33A73" w:rsidR="003B7F65" w:rsidRPr="0045380A" w:rsidRDefault="00BA3997" w:rsidP="0045380A">
      <w:pPr>
        <w:pStyle w:val="SingleTxtG"/>
        <w:rPr>
          <w:b/>
          <w:bCs/>
        </w:rPr>
      </w:pPr>
      <w:r>
        <w:rPr>
          <w:b/>
          <w:bCs/>
        </w:rPr>
        <w:lastRenderedPageBreak/>
        <w:tab/>
        <w:t>c)</w:t>
      </w:r>
      <w:r>
        <w:rPr>
          <w:b/>
          <w:bCs/>
        </w:rPr>
        <w:tab/>
      </w:r>
      <w:r w:rsidR="003B7F65" w:rsidRPr="0045380A">
        <w:rPr>
          <w:b/>
          <w:bCs/>
        </w:rPr>
        <w:t>Reforzar la formación obligatoria en materia de violencia de género dirigida a policías, fiscales y autoridades judiciales, las campañas</w:t>
      </w:r>
      <w:r w:rsidR="00B52309" w:rsidRPr="0045380A">
        <w:rPr>
          <w:b/>
          <w:bCs/>
        </w:rPr>
        <w:t xml:space="preserve"> y</w:t>
      </w:r>
      <w:r w:rsidR="003B7F65" w:rsidRPr="0045380A">
        <w:rPr>
          <w:b/>
          <w:bCs/>
        </w:rPr>
        <w:t xml:space="preserve"> concienciación pública</w:t>
      </w:r>
      <w:r w:rsidR="00B52309" w:rsidRPr="0045380A">
        <w:rPr>
          <w:b/>
          <w:bCs/>
        </w:rPr>
        <w:t>, así como</w:t>
      </w:r>
      <w:r w:rsidR="00E85F44" w:rsidRPr="0045380A">
        <w:rPr>
          <w:b/>
          <w:bCs/>
        </w:rPr>
        <w:t xml:space="preserve"> otras medidas de prevención</w:t>
      </w:r>
      <w:r w:rsidR="003B7F65" w:rsidRPr="0045380A">
        <w:rPr>
          <w:b/>
          <w:bCs/>
        </w:rPr>
        <w:t xml:space="preserve"> y su evaluación;</w:t>
      </w:r>
    </w:p>
    <w:p w14:paraId="450EA018" w14:textId="3603121B" w:rsidR="003B7F65" w:rsidRPr="0045380A" w:rsidRDefault="00BA3997" w:rsidP="0045380A">
      <w:pPr>
        <w:pStyle w:val="SingleTxtG"/>
        <w:rPr>
          <w:b/>
          <w:bCs/>
        </w:rPr>
      </w:pPr>
      <w:r>
        <w:rPr>
          <w:b/>
          <w:bCs/>
        </w:rPr>
        <w:tab/>
        <w:t>d)</w:t>
      </w:r>
      <w:r>
        <w:rPr>
          <w:b/>
          <w:bCs/>
        </w:rPr>
        <w:tab/>
      </w:r>
      <w:r w:rsidR="003B7F65" w:rsidRPr="0045380A">
        <w:rPr>
          <w:b/>
          <w:bCs/>
        </w:rPr>
        <w:t>Contar con datos estadísticos, desglosados por edad y origen étnico o nacionalidad de las víctimas, sobre denuncias, investigaciones, enjuiciamientos, condenas y sentencias vinculadas a violencia de género.</w:t>
      </w:r>
    </w:p>
    <w:p w14:paraId="5D207F3A" w14:textId="77777777" w:rsidR="003B7F65" w:rsidRPr="008848AD" w:rsidRDefault="003B7F65" w:rsidP="003B7F65">
      <w:pPr>
        <w:pStyle w:val="H23G"/>
      </w:pPr>
      <w:r>
        <w:tab/>
      </w:r>
      <w:r>
        <w:tab/>
      </w:r>
      <w:r w:rsidRPr="008848AD">
        <w:t>Interrupción voluntaria del embarazo</w:t>
      </w:r>
    </w:p>
    <w:p w14:paraId="42BDAAFD" w14:textId="677AACAD" w:rsidR="003B7F65" w:rsidRPr="008848AD" w:rsidRDefault="003B7F65" w:rsidP="0045380A">
      <w:pPr>
        <w:pStyle w:val="SingleTxtG"/>
        <w:rPr>
          <w:lang w:val="es-CO"/>
        </w:rPr>
      </w:pPr>
      <w:r w:rsidRPr="008848AD">
        <w:rPr>
          <w:lang w:val="es-CO"/>
        </w:rPr>
        <w:t>27.</w:t>
      </w:r>
      <w:r w:rsidRPr="008848AD">
        <w:rPr>
          <w:lang w:val="es-CO"/>
        </w:rPr>
        <w:tab/>
        <w:t>El Comité expresa su preocupación por las restricciones al acceso a la interrupción voluntaria del embarazo</w:t>
      </w:r>
      <w:r w:rsidRPr="0045380A">
        <w:rPr>
          <w:rFonts w:eastAsiaTheme="majorEastAsia"/>
          <w:sz w:val="18"/>
          <w:szCs w:val="18"/>
          <w:vertAlign w:val="superscript"/>
          <w:lang w:val="es-CO"/>
        </w:rPr>
        <w:footnoteReference w:id="61"/>
      </w:r>
      <w:r w:rsidRPr="008848AD">
        <w:rPr>
          <w:lang w:val="es-CO"/>
        </w:rPr>
        <w:t>, especialmente para las víctimas de violencia sexual, incluid</w:t>
      </w:r>
      <w:r w:rsidR="00F814E5">
        <w:rPr>
          <w:lang w:val="es-CO"/>
        </w:rPr>
        <w:t>as</w:t>
      </w:r>
      <w:r w:rsidRPr="008848AD">
        <w:rPr>
          <w:lang w:val="es-CO"/>
        </w:rPr>
        <w:t xml:space="preserve"> las niñas</w:t>
      </w:r>
      <w:r w:rsidRPr="0045380A">
        <w:rPr>
          <w:rFonts w:eastAsiaTheme="majorEastAsia"/>
          <w:sz w:val="18"/>
          <w:szCs w:val="18"/>
          <w:vertAlign w:val="superscript"/>
          <w:lang w:val="es-CO"/>
        </w:rPr>
        <w:footnoteReference w:id="62"/>
      </w:r>
      <w:r w:rsidRPr="008848AD">
        <w:rPr>
          <w:lang w:val="es-CO"/>
        </w:rPr>
        <w:t>, establecidas en la legislación penal del Estado parte, que no permite ninguna excepción, ni siquiera por motivos terapéuticos. Le preocupa que dichas restricciones no solo obliguen a las mujeres a recurrir a abortos clandestinos que ponen en peligro su vida y su salud, sino que además exponen a las mujeres y a sus médicos al riesgo de ser sancionados penalmente</w:t>
      </w:r>
      <w:r w:rsidRPr="0045380A">
        <w:rPr>
          <w:rFonts w:eastAsiaTheme="majorEastAsia"/>
          <w:sz w:val="18"/>
          <w:szCs w:val="18"/>
          <w:shd w:val="clear" w:color="auto" w:fill="FFFFFF"/>
          <w:vertAlign w:val="superscript"/>
        </w:rPr>
        <w:footnoteReference w:id="63"/>
      </w:r>
      <w:r w:rsidRPr="008848AD">
        <w:rPr>
          <w:lang w:val="es-CO"/>
        </w:rPr>
        <w:t xml:space="preserve"> (arts. 2 y 16).</w:t>
      </w:r>
    </w:p>
    <w:p w14:paraId="01557A5D" w14:textId="08A997D4" w:rsidR="003B7F65" w:rsidRPr="0045380A" w:rsidRDefault="003B7F65" w:rsidP="0045380A">
      <w:pPr>
        <w:pStyle w:val="SingleTxtG"/>
        <w:rPr>
          <w:b/>
        </w:rPr>
      </w:pPr>
      <w:r w:rsidRPr="008848AD">
        <w:rPr>
          <w:bCs/>
          <w:lang w:val="es-CO"/>
        </w:rPr>
        <w:t>28.</w:t>
      </w:r>
      <w:r>
        <w:rPr>
          <w:bCs/>
          <w:lang w:val="es-CO"/>
        </w:rPr>
        <w:tab/>
      </w:r>
      <w:r w:rsidRPr="0045380A">
        <w:rPr>
          <w:b/>
          <w:lang w:val="es-CO"/>
        </w:rPr>
        <w:t>El Estado parte debería revisar</w:t>
      </w:r>
      <w:r w:rsidRPr="0045380A">
        <w:rPr>
          <w:b/>
        </w:rPr>
        <w:t xml:space="preserve"> su Código Penal a fin de despenalizar la interrupción voluntaria del embarazo cuando el hecho de llevarlo a término pueda ocasionar un sufrimiento considerable a la mujer o cuando el embarazo sea el resultado de una violación o un incesto, o </w:t>
      </w:r>
      <w:r w:rsidR="009E2FDA" w:rsidRPr="0045380A">
        <w:rPr>
          <w:b/>
        </w:rPr>
        <w:t xml:space="preserve">el feto </w:t>
      </w:r>
      <w:r w:rsidRPr="0045380A">
        <w:rPr>
          <w:b/>
        </w:rPr>
        <w:t>no sea viable</w:t>
      </w:r>
      <w:r w:rsidR="00250539" w:rsidRPr="0045380A">
        <w:rPr>
          <w:b/>
        </w:rPr>
        <w:t>. También debería</w:t>
      </w:r>
      <w:r w:rsidRPr="0045380A">
        <w:rPr>
          <w:b/>
        </w:rPr>
        <w:t xml:space="preserve"> velar por que ni las pacientes que recurren al aborto ni sus médicos se enfrenten a sanciones penales</w:t>
      </w:r>
      <w:r w:rsidR="0074434F" w:rsidRPr="0045380A">
        <w:rPr>
          <w:b/>
        </w:rPr>
        <w:t>,</w:t>
      </w:r>
      <w:r w:rsidRPr="0045380A">
        <w:rPr>
          <w:b/>
        </w:rPr>
        <w:t xml:space="preserve"> y garantizar atención sanitaria a las mujeres después de que hayan abortado, independientemente de que lo hayan hecho de forma legal o ilegal.</w:t>
      </w:r>
    </w:p>
    <w:p w14:paraId="4743FC14" w14:textId="77777777" w:rsidR="003B7F65" w:rsidRPr="008848AD" w:rsidRDefault="003B7F65" w:rsidP="003B7F65">
      <w:pPr>
        <w:pStyle w:val="H23G"/>
      </w:pPr>
      <w:r>
        <w:tab/>
      </w:r>
      <w:r>
        <w:tab/>
      </w:r>
      <w:r w:rsidRPr="008848AD">
        <w:t>Violencia contra los pueblos indígenas y afrodescendientes</w:t>
      </w:r>
    </w:p>
    <w:p w14:paraId="162A713F" w14:textId="3CCE508F" w:rsidR="003B7F65" w:rsidRPr="008848AD" w:rsidRDefault="003B7F65" w:rsidP="0045380A">
      <w:pPr>
        <w:pStyle w:val="SingleTxtG"/>
      </w:pPr>
      <w:r w:rsidRPr="008848AD">
        <w:t>29.</w:t>
      </w:r>
      <w:r w:rsidRPr="008848AD">
        <w:tab/>
        <w:t>Al Comité le preocupan los informes que indican ataques violentos contra miembros de pueblos indígenas y personas afrodescendientes, algunos con resultado de muerte, y la presunta reticencia de las autoridades a investigar estos hechos. También preocupan los informes que indican intentos de criminalización de estos grupos y la estigmatización de las organizaciones defensoras que trabajan en la protección de sus derechos</w:t>
      </w:r>
      <w:r w:rsidRPr="008848AD">
        <w:rPr>
          <w:rFonts w:eastAsiaTheme="majorEastAsia"/>
          <w:sz w:val="18"/>
          <w:vertAlign w:val="superscript"/>
        </w:rPr>
        <w:footnoteReference w:id="64"/>
      </w:r>
      <w:r w:rsidRPr="008848AD">
        <w:t xml:space="preserve">, así como la ausencia de información relativa al estado de la investigación de las denuncias presentadas ante la </w:t>
      </w:r>
      <w:r w:rsidR="00F814E5">
        <w:t>P</w:t>
      </w:r>
      <w:r w:rsidRPr="008848AD">
        <w:t>olicía (arts. 2, 12 a 14 y 16).</w:t>
      </w:r>
    </w:p>
    <w:p w14:paraId="754744FE" w14:textId="4E469A42" w:rsidR="003B7F65" w:rsidRPr="0045380A" w:rsidRDefault="003B7F65" w:rsidP="0045380A">
      <w:pPr>
        <w:pStyle w:val="SingleTxtG"/>
        <w:rPr>
          <w:b/>
          <w:bCs/>
        </w:rPr>
      </w:pPr>
      <w:r w:rsidRPr="008848AD">
        <w:t>30.</w:t>
      </w:r>
      <w:r w:rsidRPr="008848AD">
        <w:tab/>
      </w:r>
      <w:r w:rsidRPr="0045380A">
        <w:rPr>
          <w:b/>
          <w:bCs/>
        </w:rPr>
        <w:t xml:space="preserve">El Estado parte debe velar por que se investiguen las denuncias sobre ataques violentos contra miembros de pueblos indígenas y afrodescencientes. Se debe proteger también su integridad física y velar por que los pueblos indígenas, afrodescendientes y las organizaciones que defienden sus derechos estén protegidos frente a las amenazas y la intimidación y se les permita la libertad necesaria para que lleven a cabo sus actividades. El Estado parte debe </w:t>
      </w:r>
      <w:r w:rsidR="009B03FE" w:rsidRPr="0045380A">
        <w:rPr>
          <w:b/>
          <w:bCs/>
        </w:rPr>
        <w:t xml:space="preserve">asimismo </w:t>
      </w:r>
      <w:r w:rsidRPr="0045380A">
        <w:rPr>
          <w:b/>
          <w:bCs/>
        </w:rPr>
        <w:t>otorgar medidas de reparación, en particular indemnizaciones y rehabilitación, a las víctimas.</w:t>
      </w:r>
    </w:p>
    <w:p w14:paraId="4A2EAC93" w14:textId="77777777" w:rsidR="003B7F65" w:rsidRPr="008848AD" w:rsidRDefault="003B7F65" w:rsidP="003B7F65">
      <w:pPr>
        <w:pStyle w:val="H23G"/>
        <w:rPr>
          <w:lang w:val="es-419"/>
        </w:rPr>
      </w:pPr>
      <w:r>
        <w:rPr>
          <w:lang w:val="es-419"/>
        </w:rPr>
        <w:tab/>
      </w:r>
      <w:r>
        <w:rPr>
          <w:lang w:val="es-419"/>
        </w:rPr>
        <w:tab/>
      </w:r>
      <w:r w:rsidRPr="008848AD">
        <w:rPr>
          <w:lang w:val="es-419"/>
        </w:rPr>
        <w:t>Reparación, incluidas la indemnización y la rehabilitación</w:t>
      </w:r>
    </w:p>
    <w:p w14:paraId="7B9F573E" w14:textId="0598B85C" w:rsidR="003B7F65" w:rsidRPr="008848AD" w:rsidRDefault="003B7F65" w:rsidP="0045380A">
      <w:pPr>
        <w:pStyle w:val="SingleTxtG"/>
      </w:pPr>
      <w:r w:rsidRPr="008848AD">
        <w:t>31.</w:t>
      </w:r>
      <w:r w:rsidRPr="008848AD">
        <w:tab/>
        <w:t xml:space="preserve">Si bien toma nota </w:t>
      </w:r>
      <w:r>
        <w:t xml:space="preserve">de </w:t>
      </w:r>
      <w:r w:rsidRPr="008848AD">
        <w:t xml:space="preserve">la aprobación de la Ley </w:t>
      </w:r>
      <w:r w:rsidR="0064190A">
        <w:t>núm. </w:t>
      </w:r>
      <w:r w:rsidRPr="008848AD">
        <w:t>994</w:t>
      </w:r>
      <w:r w:rsidR="00F814E5">
        <w:t>, de 2019,</w:t>
      </w:r>
      <w:r w:rsidRPr="008848AD">
        <w:t xml:space="preserve"> que implementa el Plan de Atención Integral a Víctimas, al Comité le preocupa que dicha ley no garantiza el derecho a una reparación integral conforme al artículo 14 de la Convención</w:t>
      </w:r>
      <w:r>
        <w:t>,</w:t>
      </w:r>
      <w:r w:rsidRPr="008848AD">
        <w:t xml:space="preserve"> ni contempla medida alguna para garantizar el derecho </w:t>
      </w:r>
      <w:r>
        <w:t>de</w:t>
      </w:r>
      <w:r w:rsidRPr="008848AD">
        <w:t xml:space="preserve"> las víctimas y sus familiares para acceder a la justicia</w:t>
      </w:r>
      <w:r w:rsidRPr="0045380A">
        <w:rPr>
          <w:rFonts w:eastAsiaTheme="majorEastAsia"/>
          <w:sz w:val="18"/>
          <w:szCs w:val="18"/>
          <w:vertAlign w:val="superscript"/>
        </w:rPr>
        <w:footnoteReference w:id="65"/>
      </w:r>
      <w:r w:rsidRPr="008848AD">
        <w:t>. A</w:t>
      </w:r>
      <w:r w:rsidR="009E2FDA">
        <w:t xml:space="preserve"> la</w:t>
      </w:r>
      <w:r w:rsidRPr="008848AD">
        <w:t xml:space="preserve"> luz del artículo 81 del Código Procesal Penal, que vincula el ejercicio de la acción civil en casos de tortura a la existencia de una sentencia condenatoria firme, el Comité lamenta que el Estado parte no haya modificado </w:t>
      </w:r>
      <w:r>
        <w:t xml:space="preserve">su </w:t>
      </w:r>
      <w:r w:rsidRPr="008848AD">
        <w:t xml:space="preserve">legislación </w:t>
      </w:r>
      <w:r>
        <w:t>para garantizar que</w:t>
      </w:r>
      <w:r w:rsidRPr="008848AD">
        <w:t xml:space="preserve"> las </w:t>
      </w:r>
      <w:r w:rsidRPr="008848AD">
        <w:lastRenderedPageBreak/>
        <w:t>víctimas de tortura puedan exigir reparación por la vía civil sin necesidad de la existencia de una sentencia condenatoria firme en procedimientos penales</w:t>
      </w:r>
      <w:r w:rsidRPr="008848AD">
        <w:rPr>
          <w:rFonts w:eastAsiaTheme="majorEastAsia"/>
          <w:sz w:val="18"/>
          <w:vertAlign w:val="superscript"/>
        </w:rPr>
        <w:footnoteReference w:id="66"/>
      </w:r>
      <w:r w:rsidRPr="008848AD">
        <w:t xml:space="preserve"> (art. 14).</w:t>
      </w:r>
    </w:p>
    <w:p w14:paraId="2AE2EF8B" w14:textId="51CE0C82" w:rsidR="003B7F65" w:rsidRPr="0045380A" w:rsidRDefault="003B7F65" w:rsidP="0045380A">
      <w:pPr>
        <w:pStyle w:val="SingleTxtG"/>
        <w:rPr>
          <w:b/>
          <w:bCs/>
        </w:rPr>
      </w:pPr>
      <w:r w:rsidRPr="008848AD">
        <w:t>32.</w:t>
      </w:r>
      <w:r w:rsidRPr="008848AD">
        <w:tab/>
      </w:r>
      <w:r w:rsidRPr="0045380A">
        <w:rPr>
          <w:b/>
          <w:bCs/>
        </w:rPr>
        <w:t>El Estado parte debe tomar las medidas legislativas y administrativas necesarias para garantizar que las víctimas de tortura y malos tratos dispongan de recursos efectivos para garantizar el acceso a la justicia y obtengan reparación, incluso en los casos en que no se haya identificado al autor del delito, de conformidad con el artículo</w:t>
      </w:r>
      <w:r w:rsidR="00F814E5" w:rsidRPr="0045380A">
        <w:rPr>
          <w:b/>
          <w:bCs/>
        </w:rPr>
        <w:t> </w:t>
      </w:r>
      <w:r w:rsidRPr="0045380A">
        <w:rPr>
          <w:b/>
          <w:bCs/>
        </w:rPr>
        <w:t>14 de la Convención y teniendo presente la observación general núm. 3</w:t>
      </w:r>
      <w:r w:rsidR="009217ED" w:rsidRPr="0045380A">
        <w:rPr>
          <w:b/>
          <w:bCs/>
        </w:rPr>
        <w:t xml:space="preserve"> (2012)</w:t>
      </w:r>
      <w:r w:rsidRPr="0045380A">
        <w:rPr>
          <w:b/>
          <w:bCs/>
        </w:rPr>
        <w:t xml:space="preserve"> del Comité.</w:t>
      </w:r>
    </w:p>
    <w:p w14:paraId="5F0C7173" w14:textId="77777777" w:rsidR="003B7F65" w:rsidRPr="00E95FA2" w:rsidRDefault="003B7F65">
      <w:pPr>
        <w:pStyle w:val="H23G"/>
      </w:pPr>
      <w:r w:rsidRPr="008848AD">
        <w:tab/>
      </w:r>
      <w:r w:rsidRPr="008848AD">
        <w:tab/>
        <w:t xml:space="preserve">Procedimiento de </w:t>
      </w:r>
      <w:r w:rsidRPr="008848AD">
        <w:rPr>
          <w:rFonts w:eastAsia="Calibri"/>
          <w:u w:color="000000"/>
          <w:bdr w:val="nil"/>
          <w:lang w:val="es-ES_tradnl" w:eastAsia="en-GB"/>
        </w:rPr>
        <w:t>seguimiento</w:t>
      </w:r>
    </w:p>
    <w:p w14:paraId="7B692D54" w14:textId="588D6202" w:rsidR="003B7F65" w:rsidRPr="0045380A" w:rsidRDefault="003B7F65" w:rsidP="003B7F65">
      <w:pPr>
        <w:pStyle w:val="SingleTxtG"/>
        <w:rPr>
          <w:lang w:eastAsia="en-US"/>
        </w:rPr>
      </w:pPr>
      <w:r w:rsidRPr="008848AD">
        <w:t>33.</w:t>
      </w:r>
      <w:r w:rsidRPr="008848AD">
        <w:tab/>
      </w:r>
      <w:r w:rsidRPr="008848AD">
        <w:rPr>
          <w:b/>
        </w:rPr>
        <w:t>El Comité solicita al Estado parte que proporcione, a más tardar el 29 de julio de 2023, información sobre el seguimiento dado a las recomendaciones del Comité concernientes a las salvaguardias legales fundamentales</w:t>
      </w:r>
      <w:r w:rsidR="009217ED">
        <w:rPr>
          <w:b/>
        </w:rPr>
        <w:t>,</w:t>
      </w:r>
      <w:r w:rsidRPr="008848AD">
        <w:rPr>
          <w:b/>
        </w:rPr>
        <w:t xml:space="preserve"> las condiciones de detención y la criminalización de la protesta y </w:t>
      </w:r>
      <w:r w:rsidR="009217ED">
        <w:rPr>
          <w:b/>
        </w:rPr>
        <w:t xml:space="preserve">los </w:t>
      </w:r>
      <w:r w:rsidRPr="008848AD">
        <w:rPr>
          <w:b/>
        </w:rPr>
        <w:t>actos de represión (véanse los párrs. 10</w:t>
      </w:r>
      <w:r w:rsidR="0064190A">
        <w:rPr>
          <w:b/>
        </w:rPr>
        <w:t> </w:t>
      </w:r>
      <w:r w:rsidRPr="008848AD">
        <w:rPr>
          <w:b/>
        </w:rPr>
        <w:t>a) y c), 14</w:t>
      </w:r>
      <w:r w:rsidR="0064190A">
        <w:rPr>
          <w:b/>
        </w:rPr>
        <w:t> </w:t>
      </w:r>
      <w:r w:rsidRPr="008848AD">
        <w:rPr>
          <w:b/>
        </w:rPr>
        <w:t>a) y 24 a)</w:t>
      </w:r>
      <w:r w:rsidR="009217ED">
        <w:rPr>
          <w:b/>
        </w:rPr>
        <w:t>)</w:t>
      </w:r>
      <w:r w:rsidRPr="008848AD">
        <w:rPr>
          <w:b/>
        </w:rPr>
        <w:t xml:space="preserve">. En ese contexto, se invita al Estado parte a que informe al Comité sobre sus planes para </w:t>
      </w:r>
      <w:r w:rsidR="009217ED">
        <w:rPr>
          <w:b/>
        </w:rPr>
        <w:t>aplicar</w:t>
      </w:r>
      <w:r w:rsidRPr="008848AD">
        <w:rPr>
          <w:b/>
        </w:rPr>
        <w:t>, durante el período correspondiente al siguiente informe, algunas de las demás recomendaciones formuladas en las observaciones finales o todas ellas.</w:t>
      </w:r>
    </w:p>
    <w:p w14:paraId="0CFCE695" w14:textId="77777777" w:rsidR="003B7F65" w:rsidRPr="008848AD" w:rsidRDefault="003B7F65" w:rsidP="0045380A">
      <w:pPr>
        <w:pStyle w:val="H23G"/>
      </w:pPr>
      <w:r w:rsidRPr="008848AD">
        <w:rPr>
          <w:rFonts w:eastAsia="Calibri"/>
          <w:u w:color="000000"/>
          <w:bdr w:val="nil"/>
          <w:lang w:val="es-ES_tradnl" w:eastAsia="en-GB"/>
        </w:rPr>
        <w:tab/>
      </w:r>
      <w:r w:rsidRPr="008848AD">
        <w:tab/>
        <w:t xml:space="preserve">Otras </w:t>
      </w:r>
      <w:r w:rsidRPr="008848AD">
        <w:rPr>
          <w:rFonts w:eastAsia="Calibri"/>
          <w:u w:color="000000"/>
          <w:bdr w:val="nil"/>
          <w:lang w:val="es-ES_tradnl" w:eastAsia="en-GB"/>
        </w:rPr>
        <w:t>cuestiones</w:t>
      </w:r>
    </w:p>
    <w:p w14:paraId="5D26875E" w14:textId="42F5C12B" w:rsidR="003B7F65" w:rsidRPr="0045380A" w:rsidRDefault="003B7F65" w:rsidP="0045380A">
      <w:pPr>
        <w:pStyle w:val="SingleTxtG"/>
        <w:rPr>
          <w:b/>
          <w:bCs/>
        </w:rPr>
      </w:pPr>
      <w:r w:rsidRPr="008848AD">
        <w:t>34.</w:t>
      </w:r>
      <w:r w:rsidRPr="008848AD">
        <w:tab/>
      </w:r>
      <w:r w:rsidRPr="0045380A">
        <w:rPr>
          <w:b/>
          <w:bCs/>
          <w:shd w:val="clear" w:color="auto" w:fill="FFFFFF"/>
        </w:rPr>
        <w:t>El Comité alienta al Estado parte a que considere la posibilidad de formular la declaración prevista en el artículo 22 de la Convención a fin de reconocer la competencia del Comité para recibir y examinar comunicaciones de personas sometidas a su jurisdicción.</w:t>
      </w:r>
    </w:p>
    <w:p w14:paraId="2A24058E" w14:textId="24EBA3A9" w:rsidR="003B7F65" w:rsidRPr="0045380A" w:rsidRDefault="003B7F65" w:rsidP="0045380A">
      <w:pPr>
        <w:pStyle w:val="SingleTxtG"/>
        <w:rPr>
          <w:b/>
          <w:bCs/>
        </w:rPr>
      </w:pPr>
      <w:r w:rsidRPr="008848AD">
        <w:rPr>
          <w:bCs/>
        </w:rPr>
        <w:t>35.</w:t>
      </w:r>
      <w:r w:rsidRPr="008848AD">
        <w:rPr>
          <w:bCs/>
        </w:rPr>
        <w:tab/>
      </w:r>
      <w:r w:rsidRPr="0045380A">
        <w:rPr>
          <w:b/>
          <w:bCs/>
        </w:rPr>
        <w:t>El Comité solicita al Estado parte que se conceda acceso al país a</w:t>
      </w:r>
      <w:r w:rsidR="009217ED" w:rsidRPr="0045380A">
        <w:rPr>
          <w:b/>
          <w:bCs/>
        </w:rPr>
        <w:t>l</w:t>
      </w:r>
      <w:r w:rsidRPr="0045380A">
        <w:rPr>
          <w:b/>
          <w:bCs/>
        </w:rPr>
        <w:t xml:space="preserve"> ACNUDH, a otras organizaciones internacionales y a los </w:t>
      </w:r>
      <w:r w:rsidR="009217ED" w:rsidRPr="0045380A">
        <w:rPr>
          <w:b/>
          <w:bCs/>
        </w:rPr>
        <w:t>p</w:t>
      </w:r>
      <w:r w:rsidRPr="0045380A">
        <w:rPr>
          <w:b/>
          <w:bCs/>
        </w:rPr>
        <w:t xml:space="preserve">rocedimientos </w:t>
      </w:r>
      <w:r w:rsidR="009217ED" w:rsidRPr="0045380A">
        <w:rPr>
          <w:b/>
          <w:bCs/>
        </w:rPr>
        <w:t>e</w:t>
      </w:r>
      <w:r w:rsidRPr="0045380A">
        <w:rPr>
          <w:b/>
          <w:bCs/>
        </w:rPr>
        <w:t>speciales del Consejo de Derechos Humanos, en particular a</w:t>
      </w:r>
      <w:r w:rsidR="00626773" w:rsidRPr="0045380A">
        <w:rPr>
          <w:b/>
          <w:bCs/>
        </w:rPr>
        <w:t xml:space="preserve"> </w:t>
      </w:r>
      <w:r w:rsidR="009217ED" w:rsidRPr="0045380A">
        <w:rPr>
          <w:b/>
          <w:bCs/>
        </w:rPr>
        <w:t>l</w:t>
      </w:r>
      <w:r w:rsidR="00626773" w:rsidRPr="0045380A">
        <w:rPr>
          <w:b/>
          <w:bCs/>
        </w:rPr>
        <w:t>a</w:t>
      </w:r>
      <w:r w:rsidRPr="0045380A">
        <w:rPr>
          <w:b/>
          <w:bCs/>
        </w:rPr>
        <w:t xml:space="preserve"> Relator</w:t>
      </w:r>
      <w:r w:rsidR="00626773" w:rsidRPr="0045380A">
        <w:rPr>
          <w:b/>
          <w:bCs/>
        </w:rPr>
        <w:t>a</w:t>
      </w:r>
      <w:r w:rsidRPr="0045380A">
        <w:rPr>
          <w:b/>
          <w:bCs/>
        </w:rPr>
        <w:t xml:space="preserve"> Especial sobre la tortura y otros tratos o penas crueles, inhumanos o degradantes, que han solicitado realizar visitas oficiales.</w:t>
      </w:r>
    </w:p>
    <w:p w14:paraId="42F5DB59" w14:textId="7EF262E2" w:rsidR="003B7F65" w:rsidRPr="0045380A" w:rsidRDefault="003B7F65" w:rsidP="0045380A">
      <w:pPr>
        <w:pStyle w:val="SingleTxtG"/>
        <w:rPr>
          <w:b/>
          <w:bCs/>
        </w:rPr>
      </w:pPr>
      <w:r w:rsidRPr="008848AD">
        <w:t>36.</w:t>
      </w:r>
      <w:r w:rsidRPr="008848AD">
        <w:tab/>
      </w:r>
      <w:r w:rsidRPr="0045380A">
        <w:rPr>
          <w:b/>
          <w:bCs/>
        </w:rPr>
        <w:t xml:space="preserve">Se solicita al Estado parte que dé amplia difusión al informe presentado al Comité y estas observaciones finales, en los idiomas pertinentes, a través de los sitios web oficiales, los medios de difusión y las organizaciones no gubernamentales, </w:t>
      </w:r>
      <w:bookmarkStart w:id="0" w:name="_Hlk90374576"/>
      <w:r w:rsidRPr="0045380A">
        <w:rPr>
          <w:b/>
          <w:bCs/>
        </w:rPr>
        <w:t>e informe al Comité sobre sus actividades de difusión</w:t>
      </w:r>
      <w:bookmarkEnd w:id="0"/>
      <w:r w:rsidRPr="0045380A">
        <w:rPr>
          <w:b/>
          <w:bCs/>
        </w:rPr>
        <w:t>.</w:t>
      </w:r>
    </w:p>
    <w:p w14:paraId="2DAAA33A" w14:textId="33C865CC" w:rsidR="003B7F65" w:rsidRPr="006C0010" w:rsidRDefault="003B7F65" w:rsidP="0045380A">
      <w:pPr>
        <w:pStyle w:val="SingleTxtG"/>
      </w:pPr>
      <w:r w:rsidRPr="008848AD">
        <w:t>37.</w:t>
      </w:r>
      <w:r w:rsidRPr="008848AD">
        <w:rPr>
          <w:bCs/>
        </w:rPr>
        <w:tab/>
      </w:r>
      <w:r w:rsidRPr="0045380A">
        <w:rPr>
          <w:b/>
        </w:rPr>
        <w:t>El Comité solicita al Estado parte que presente su próximo informe periódico, que será el tercero, a más tardar el 29 de julio de 2026. Con ese propósito, el Comité invita al Estado parte a que acepte, a más tardar el 29 de julio de 2024, el procedimiento simplificado de presentación de informes, que consiste en la transmisión por el Comité al Estado parte de una lista de cuestiones previa a la presentación del informe. Las respuestas del Estado parte a esa lista de cuestiones constituirán su tercer informe periódico en virtud del artículo 19 de la Convención.</w:t>
      </w:r>
    </w:p>
    <w:p w14:paraId="62DD2B89" w14:textId="77777777" w:rsidR="008848AD" w:rsidRPr="008848AD" w:rsidRDefault="008848AD" w:rsidP="008848AD">
      <w:pPr>
        <w:pStyle w:val="SingleTxtG"/>
        <w:suppressAutoHyphens/>
        <w:spacing w:before="240" w:after="0"/>
        <w:jc w:val="center"/>
        <w:rPr>
          <w:u w:val="single"/>
        </w:rPr>
      </w:pPr>
      <w:r>
        <w:rPr>
          <w:u w:val="single"/>
        </w:rPr>
        <w:tab/>
      </w:r>
      <w:r>
        <w:rPr>
          <w:u w:val="single"/>
        </w:rPr>
        <w:tab/>
      </w:r>
      <w:r>
        <w:rPr>
          <w:u w:val="single"/>
        </w:rPr>
        <w:tab/>
      </w:r>
    </w:p>
    <w:sectPr w:rsidR="008848AD" w:rsidRPr="008848AD" w:rsidSect="00E56EE3">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2A70" w14:textId="77777777" w:rsidR="009826AE" w:rsidRDefault="009826AE">
      <w:r>
        <w:separator/>
      </w:r>
    </w:p>
  </w:endnote>
  <w:endnote w:type="continuationSeparator" w:id="0">
    <w:p w14:paraId="06D1FCA7" w14:textId="77777777" w:rsidR="009826AE" w:rsidRDefault="0098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8FE8" w14:textId="14E1180C" w:rsidR="001A4396" w:rsidRPr="001A4396" w:rsidRDefault="0024336E" w:rsidP="00D61E3C">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280D93">
      <w:rPr>
        <w:b/>
        <w:noProof/>
        <w:sz w:val="18"/>
      </w:rPr>
      <w:t>12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1EC2" w14:textId="15AFD106" w:rsidR="001A4396" w:rsidRPr="001A4396" w:rsidRDefault="0024336E" w:rsidP="00D61E3C">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280D93">
      <w:rPr>
        <w:b/>
        <w:noProof/>
        <w:sz w:val="18"/>
      </w:rPr>
      <w:t>13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3557" w14:textId="7978AE1E" w:rsidR="00A86F80" w:rsidRPr="00412C2F" w:rsidRDefault="00412C2F" w:rsidP="00412C2F">
    <w:pPr>
      <w:pStyle w:val="Piedepgina"/>
      <w:tabs>
        <w:tab w:val="left" w:pos="6520"/>
        <w:tab w:val="right" w:pos="9638"/>
      </w:tabs>
      <w:spacing w:before="120" w:line="240" w:lineRule="auto"/>
      <w:rPr>
        <w:sz w:val="20"/>
      </w:rPr>
    </w:pPr>
    <w:proofErr w:type="spellStart"/>
    <w:r>
      <w:rPr>
        <w:sz w:val="20"/>
      </w:rPr>
      <w:t>GE.22</w:t>
    </w:r>
    <w:proofErr w:type="spellEnd"/>
    <w:r>
      <w:rPr>
        <w:sz w:val="20"/>
      </w:rPr>
      <w:t>-13656  (S)</w:t>
    </w:r>
    <w:bookmarkStart w:id="1" w:name="_GoBack"/>
    <w:bookmarkEnd w:id="1"/>
    <w:r>
      <w:rPr>
        <w:sz w:val="20"/>
      </w:rPr>
      <w:tab/>
    </w:r>
    <w:r w:rsidRPr="00412C2F">
      <w:rPr>
        <w:noProof/>
        <w:sz w:val="20"/>
        <w:lang w:val="fr-CH" w:eastAsia="zh-CN"/>
      </w:rPr>
      <w:drawing>
        <wp:inline distT="0" distB="0" distL="0" distR="0" wp14:anchorId="177E6D68" wp14:editId="6837ECE5">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FF9C1F7" wp14:editId="23CAFC07">
          <wp:extent cx="560070" cy="5600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28C3" w14:textId="77777777" w:rsidR="009826AE" w:rsidRPr="001075E9" w:rsidRDefault="009826AE" w:rsidP="001075E9">
      <w:pPr>
        <w:tabs>
          <w:tab w:val="right" w:pos="2155"/>
        </w:tabs>
        <w:spacing w:after="80" w:line="240" w:lineRule="auto"/>
        <w:ind w:left="680"/>
        <w:rPr>
          <w:u w:val="single"/>
        </w:rPr>
      </w:pPr>
      <w:r>
        <w:rPr>
          <w:u w:val="single"/>
        </w:rPr>
        <w:tab/>
      </w:r>
    </w:p>
  </w:footnote>
  <w:footnote w:type="continuationSeparator" w:id="0">
    <w:p w14:paraId="510083E3" w14:textId="77777777" w:rsidR="009826AE" w:rsidRDefault="009826AE" w:rsidP="00407B78">
      <w:pPr>
        <w:tabs>
          <w:tab w:val="right" w:pos="2155"/>
        </w:tabs>
        <w:spacing w:after="80"/>
        <w:ind w:left="680"/>
        <w:rPr>
          <w:u w:val="single"/>
        </w:rPr>
      </w:pPr>
      <w:r>
        <w:rPr>
          <w:u w:val="single"/>
        </w:rPr>
        <w:tab/>
      </w:r>
    </w:p>
  </w:footnote>
  <w:footnote w:id="1">
    <w:p w14:paraId="30DBCFF1" w14:textId="79244513" w:rsidR="00007311" w:rsidRPr="00640861" w:rsidRDefault="00007311" w:rsidP="00007311">
      <w:pPr>
        <w:pStyle w:val="Textonotapie"/>
      </w:pPr>
      <w:r w:rsidRPr="00640861">
        <w:tab/>
      </w:r>
      <w:r w:rsidRPr="00C338BA">
        <w:rPr>
          <w:sz w:val="20"/>
          <w:szCs w:val="22"/>
        </w:rPr>
        <w:t>*</w:t>
      </w:r>
      <w:r w:rsidRPr="00640861">
        <w:tab/>
      </w:r>
      <w:r w:rsidRPr="003007FC">
        <w:t xml:space="preserve">De conformidad con </w:t>
      </w:r>
      <w:r w:rsidR="00BA0695">
        <w:t>el</w:t>
      </w:r>
      <w:r w:rsidRPr="003007FC">
        <w:t xml:space="preserve"> </w:t>
      </w:r>
      <w:r w:rsidR="00BA0695">
        <w:t>artículo</w:t>
      </w:r>
      <w:r w:rsidRPr="003007FC">
        <w:t xml:space="preserve"> 68, párrafo 2 b)</w:t>
      </w:r>
      <w:r w:rsidR="0064190A">
        <w:t>,</w:t>
      </w:r>
      <w:r w:rsidRPr="003007FC">
        <w:t xml:space="preserve"> del </w:t>
      </w:r>
      <w:r w:rsidR="00BA0695">
        <w:t>r</w:t>
      </w:r>
      <w:r w:rsidRPr="003007FC">
        <w:t>eglamento del Comité (</w:t>
      </w:r>
      <w:hyperlink r:id="rId1" w:history="1">
        <w:r w:rsidRPr="00A731D7">
          <w:rPr>
            <w:rStyle w:val="Hipervnculo"/>
          </w:rPr>
          <w:t>CAT/C/3/</w:t>
        </w:r>
        <w:proofErr w:type="spellStart"/>
        <w:r w:rsidRPr="00A731D7">
          <w:rPr>
            <w:rStyle w:val="Hipervnculo"/>
          </w:rPr>
          <w:t>Rev.6</w:t>
        </w:r>
        <w:proofErr w:type="spellEnd"/>
      </w:hyperlink>
      <w:r w:rsidRPr="003007FC">
        <w:t>), el Estado parte puede formular comentarios por escrito antes de que el Comité apruebe con carácter definitivo las presentes observaciones finales durante su próximo período de sesiones.</w:t>
      </w:r>
    </w:p>
  </w:footnote>
  <w:footnote w:id="2">
    <w:p w14:paraId="4A2597A9" w14:textId="7F7AEA53" w:rsidR="009459DA" w:rsidRPr="00972C11" w:rsidRDefault="009459DA" w:rsidP="009459DA">
      <w:pPr>
        <w:pStyle w:val="Textonotapie"/>
        <w:rPr>
          <w:szCs w:val="18"/>
          <w:lang w:val="en-GB"/>
        </w:rPr>
      </w:pPr>
      <w:r w:rsidRPr="000A47F7">
        <w:rPr>
          <w:szCs w:val="18"/>
        </w:rPr>
        <w:tab/>
      </w:r>
      <w:r w:rsidRPr="000A47F7">
        <w:rPr>
          <w:rStyle w:val="Refdenotaalpie"/>
          <w:szCs w:val="18"/>
        </w:rPr>
        <w:footnoteRef/>
      </w:r>
      <w:r w:rsidRPr="00972C11">
        <w:rPr>
          <w:szCs w:val="18"/>
          <w:lang w:val="en-GB"/>
        </w:rPr>
        <w:tab/>
      </w:r>
      <w:hyperlink r:id="rId2" w:history="1">
        <w:r w:rsidRPr="00A731D7">
          <w:rPr>
            <w:rStyle w:val="Hipervnculo"/>
            <w:szCs w:val="18"/>
            <w:lang w:val="en-GB"/>
          </w:rPr>
          <w:t>CAT/C/NIC/2</w:t>
        </w:r>
      </w:hyperlink>
      <w:r w:rsidRPr="00972C11">
        <w:rPr>
          <w:szCs w:val="18"/>
          <w:lang w:val="en-GB"/>
        </w:rPr>
        <w:t>.</w:t>
      </w:r>
    </w:p>
  </w:footnote>
  <w:footnote w:id="3">
    <w:p w14:paraId="1F381640" w14:textId="297C7F3E" w:rsidR="009459DA" w:rsidRPr="00972C11" w:rsidRDefault="009459DA" w:rsidP="009459DA">
      <w:pPr>
        <w:pStyle w:val="Textonotapie"/>
        <w:rPr>
          <w:szCs w:val="18"/>
          <w:lang w:val="en-GB"/>
        </w:rPr>
      </w:pPr>
      <w:r w:rsidRPr="00972C11">
        <w:rPr>
          <w:szCs w:val="18"/>
          <w:lang w:val="en-GB"/>
        </w:rPr>
        <w:tab/>
      </w:r>
      <w:r w:rsidRPr="0068086D">
        <w:rPr>
          <w:rStyle w:val="Refdenotaalpie"/>
          <w:szCs w:val="18"/>
        </w:rPr>
        <w:footnoteRef/>
      </w:r>
      <w:r w:rsidRPr="00972C11">
        <w:rPr>
          <w:szCs w:val="18"/>
          <w:lang w:val="en-GB"/>
        </w:rPr>
        <w:tab/>
      </w:r>
      <w:hyperlink r:id="rId3" w:history="1">
        <w:r w:rsidRPr="009316F1">
          <w:rPr>
            <w:rStyle w:val="Hipervnculo"/>
            <w:szCs w:val="18"/>
            <w:lang w:val="en-GB" w:eastAsia="en-US"/>
          </w:rPr>
          <w:t>CAT/C/</w:t>
        </w:r>
        <w:proofErr w:type="spellStart"/>
        <w:r w:rsidRPr="009316F1">
          <w:rPr>
            <w:rStyle w:val="Hipervnculo"/>
            <w:szCs w:val="18"/>
            <w:lang w:val="en-GB" w:eastAsia="en-US"/>
          </w:rPr>
          <w:t>SR.1916</w:t>
        </w:r>
        <w:proofErr w:type="spellEnd"/>
      </w:hyperlink>
      <w:r w:rsidRPr="00972C11">
        <w:rPr>
          <w:szCs w:val="18"/>
          <w:lang w:val="en-GB"/>
        </w:rPr>
        <w:t>.</w:t>
      </w:r>
    </w:p>
  </w:footnote>
  <w:footnote w:id="4">
    <w:p w14:paraId="2F9C012F" w14:textId="282A4890" w:rsidR="00F960A3" w:rsidRPr="00972C11" w:rsidRDefault="00F960A3" w:rsidP="00F960A3">
      <w:pPr>
        <w:pStyle w:val="Textonotapie"/>
        <w:rPr>
          <w:szCs w:val="18"/>
          <w:lang w:val="en-GB"/>
        </w:rPr>
      </w:pPr>
      <w:r w:rsidRPr="00972C11">
        <w:rPr>
          <w:szCs w:val="18"/>
          <w:lang w:val="en-GB"/>
        </w:rPr>
        <w:tab/>
      </w:r>
      <w:r w:rsidRPr="000A47F7">
        <w:rPr>
          <w:rStyle w:val="Refdenotaalpie"/>
          <w:szCs w:val="18"/>
        </w:rPr>
        <w:footnoteRef/>
      </w:r>
      <w:r w:rsidRPr="00972C11">
        <w:rPr>
          <w:szCs w:val="18"/>
          <w:lang w:val="en-GB"/>
        </w:rPr>
        <w:tab/>
      </w:r>
      <w:hyperlink r:id="rId4" w:history="1">
        <w:r w:rsidRPr="00A731D7">
          <w:rPr>
            <w:rStyle w:val="Hipervnculo"/>
            <w:szCs w:val="18"/>
            <w:lang w:val="en-GB"/>
          </w:rPr>
          <w:t>CAT/C/NIC/Q/2</w:t>
        </w:r>
      </w:hyperlink>
      <w:r w:rsidRPr="00972C11">
        <w:rPr>
          <w:szCs w:val="18"/>
          <w:lang w:val="en-GB"/>
        </w:rPr>
        <w:t>.</w:t>
      </w:r>
    </w:p>
  </w:footnote>
  <w:footnote w:id="5">
    <w:p w14:paraId="188D21D6" w14:textId="792E8A62" w:rsidR="009459DA" w:rsidRPr="00972C11" w:rsidRDefault="009459DA" w:rsidP="009459DA">
      <w:pPr>
        <w:pStyle w:val="Textonotapie"/>
        <w:rPr>
          <w:szCs w:val="18"/>
          <w:lang w:val="en-GB"/>
        </w:rPr>
      </w:pPr>
      <w:r w:rsidRPr="00972C11">
        <w:rPr>
          <w:szCs w:val="18"/>
          <w:lang w:val="en-GB"/>
        </w:rPr>
        <w:tab/>
      </w:r>
      <w:r w:rsidRPr="000A47F7">
        <w:rPr>
          <w:rStyle w:val="Refdenotaalpie"/>
          <w:szCs w:val="18"/>
        </w:rPr>
        <w:footnoteRef/>
      </w:r>
      <w:r w:rsidRPr="00972C11">
        <w:rPr>
          <w:szCs w:val="18"/>
          <w:lang w:val="en-GB"/>
        </w:rPr>
        <w:tab/>
      </w:r>
      <w:hyperlink r:id="rId5" w:history="1">
        <w:r w:rsidRPr="00A731D7">
          <w:rPr>
            <w:rStyle w:val="Hipervnculo"/>
            <w:szCs w:val="18"/>
            <w:lang w:val="en-GB"/>
          </w:rPr>
          <w:tab/>
          <w:t>CAT/C/NIC/2</w:t>
        </w:r>
      </w:hyperlink>
      <w:r w:rsidRPr="00972C11">
        <w:rPr>
          <w:szCs w:val="18"/>
          <w:lang w:val="en-GB"/>
        </w:rPr>
        <w:t xml:space="preserve">, </w:t>
      </w:r>
      <w:proofErr w:type="spellStart"/>
      <w:r w:rsidRPr="00972C11">
        <w:rPr>
          <w:szCs w:val="18"/>
          <w:lang w:val="en-GB"/>
        </w:rPr>
        <w:t>párrs</w:t>
      </w:r>
      <w:proofErr w:type="spellEnd"/>
      <w:r w:rsidRPr="00972C11">
        <w:rPr>
          <w:szCs w:val="18"/>
          <w:lang w:val="en-GB"/>
        </w:rPr>
        <w:t>. 182</w:t>
      </w:r>
      <w:r w:rsidR="00963B6D">
        <w:rPr>
          <w:szCs w:val="18"/>
          <w:lang w:val="en-GB"/>
        </w:rPr>
        <w:t xml:space="preserve">, </w:t>
      </w:r>
      <w:r w:rsidRPr="00972C11">
        <w:rPr>
          <w:szCs w:val="18"/>
          <w:lang w:val="en-GB"/>
        </w:rPr>
        <w:t>183, 192 y 197.</w:t>
      </w:r>
    </w:p>
  </w:footnote>
  <w:footnote w:id="6">
    <w:p w14:paraId="7957D71F" w14:textId="097FDC26" w:rsidR="009459DA" w:rsidRPr="001C7D4D" w:rsidRDefault="009459DA" w:rsidP="009459DA">
      <w:pPr>
        <w:pStyle w:val="Textonotapie"/>
        <w:rPr>
          <w:szCs w:val="18"/>
          <w:lang w:val="en-GB"/>
        </w:rPr>
      </w:pPr>
      <w:r w:rsidRPr="00972C11">
        <w:rPr>
          <w:szCs w:val="18"/>
          <w:lang w:val="en-GB"/>
        </w:rPr>
        <w:tab/>
      </w:r>
      <w:r w:rsidRPr="000A47F7">
        <w:rPr>
          <w:rStyle w:val="Refdenotaalpie"/>
          <w:szCs w:val="18"/>
        </w:rPr>
        <w:footnoteRef/>
      </w:r>
      <w:r w:rsidRPr="000A47F7">
        <w:rPr>
          <w:szCs w:val="18"/>
          <w:lang w:val="en-GB"/>
        </w:rPr>
        <w:tab/>
      </w:r>
      <w:hyperlink r:id="rId6" w:history="1">
        <w:r w:rsidRPr="00A731D7">
          <w:rPr>
            <w:rStyle w:val="Hipervnculo"/>
            <w:szCs w:val="18"/>
            <w:lang w:val="en-GB"/>
          </w:rPr>
          <w:t>CAT/C/NIC/CO/1</w:t>
        </w:r>
      </w:hyperlink>
      <w:r w:rsidRPr="000A47F7">
        <w:rPr>
          <w:szCs w:val="18"/>
          <w:lang w:val="en-GB"/>
        </w:rPr>
        <w:t xml:space="preserve">, </w:t>
      </w:r>
      <w:proofErr w:type="spellStart"/>
      <w:r w:rsidRPr="000A47F7">
        <w:rPr>
          <w:szCs w:val="18"/>
          <w:lang w:val="en-GB"/>
        </w:rPr>
        <w:t>párr</w:t>
      </w:r>
      <w:proofErr w:type="spellEnd"/>
      <w:r w:rsidRPr="000A47F7">
        <w:rPr>
          <w:szCs w:val="18"/>
          <w:lang w:val="en-GB"/>
        </w:rPr>
        <w:t xml:space="preserve">. </w:t>
      </w:r>
      <w:r w:rsidRPr="001C7D4D">
        <w:rPr>
          <w:szCs w:val="18"/>
          <w:lang w:val="en-GB"/>
        </w:rPr>
        <w:t>30.</w:t>
      </w:r>
    </w:p>
  </w:footnote>
  <w:footnote w:id="7">
    <w:p w14:paraId="39E4ABEF" w14:textId="27310125" w:rsidR="009459DA" w:rsidRPr="001C7D4D" w:rsidRDefault="009459DA" w:rsidP="009459DA">
      <w:pPr>
        <w:pStyle w:val="Textonotapie"/>
        <w:rPr>
          <w:szCs w:val="18"/>
          <w:lang w:val="en-GB"/>
        </w:rPr>
      </w:pPr>
      <w:r w:rsidRPr="001C7D4D">
        <w:rPr>
          <w:szCs w:val="18"/>
          <w:lang w:val="en-GB"/>
        </w:rPr>
        <w:tab/>
      </w:r>
      <w:r w:rsidRPr="000A47F7">
        <w:rPr>
          <w:rStyle w:val="Refdenotaalpie"/>
          <w:szCs w:val="18"/>
        </w:rPr>
        <w:footnoteRef/>
      </w:r>
      <w:r w:rsidRPr="001C7D4D">
        <w:rPr>
          <w:szCs w:val="18"/>
          <w:lang w:val="en-GB"/>
        </w:rPr>
        <w:tab/>
      </w:r>
      <w:r w:rsidRPr="001C7D4D">
        <w:rPr>
          <w:i/>
          <w:szCs w:val="18"/>
          <w:lang w:val="en-GB"/>
        </w:rPr>
        <w:t>Ibid.</w:t>
      </w:r>
      <w:r w:rsidR="00963B6D">
        <w:rPr>
          <w:iCs/>
          <w:szCs w:val="18"/>
          <w:lang w:val="en-GB"/>
        </w:rPr>
        <w:t>,</w:t>
      </w:r>
      <w:r w:rsidRPr="001C7D4D">
        <w:rPr>
          <w:i/>
          <w:szCs w:val="18"/>
          <w:lang w:val="en-GB"/>
        </w:rPr>
        <w:t xml:space="preserve"> </w:t>
      </w:r>
      <w:r w:rsidRPr="001C7D4D">
        <w:rPr>
          <w:szCs w:val="18"/>
          <w:lang w:val="en-GB"/>
        </w:rPr>
        <w:t>párr. 10.</w:t>
      </w:r>
    </w:p>
  </w:footnote>
  <w:footnote w:id="8">
    <w:p w14:paraId="14A4CA6A" w14:textId="1E05A1D7" w:rsidR="009459DA" w:rsidRPr="001C7D4D" w:rsidRDefault="009459DA" w:rsidP="009459DA">
      <w:pPr>
        <w:pStyle w:val="Textonotapie"/>
        <w:rPr>
          <w:szCs w:val="18"/>
          <w:lang w:val="en-GB"/>
        </w:rPr>
      </w:pPr>
      <w:r w:rsidRPr="001C7D4D">
        <w:rPr>
          <w:szCs w:val="18"/>
          <w:lang w:val="en-GB"/>
        </w:rPr>
        <w:tab/>
      </w:r>
      <w:r w:rsidRPr="000A47F7">
        <w:rPr>
          <w:rStyle w:val="Refdenotaalpie"/>
          <w:szCs w:val="18"/>
        </w:rPr>
        <w:footnoteRef/>
      </w:r>
      <w:r w:rsidRPr="001C7D4D">
        <w:rPr>
          <w:szCs w:val="18"/>
          <w:lang w:val="en-GB"/>
        </w:rPr>
        <w:tab/>
      </w:r>
      <w:r w:rsidRPr="001C7D4D">
        <w:rPr>
          <w:i/>
          <w:szCs w:val="18"/>
          <w:lang w:val="en-GB"/>
        </w:rPr>
        <w:t>Ibid</w:t>
      </w:r>
      <w:r w:rsidRPr="0045380A">
        <w:rPr>
          <w:iCs/>
          <w:szCs w:val="18"/>
          <w:lang w:val="en-GB"/>
        </w:rPr>
        <w:t>.</w:t>
      </w:r>
      <w:r w:rsidR="00963B6D" w:rsidRPr="0045380A">
        <w:rPr>
          <w:iCs/>
          <w:szCs w:val="18"/>
          <w:lang w:val="en-GB"/>
        </w:rPr>
        <w:t>,</w:t>
      </w:r>
      <w:r w:rsidRPr="001C7D4D">
        <w:rPr>
          <w:i/>
          <w:szCs w:val="18"/>
          <w:lang w:val="en-GB"/>
        </w:rPr>
        <w:t xml:space="preserve"> </w:t>
      </w:r>
      <w:r w:rsidRPr="001C7D4D">
        <w:rPr>
          <w:szCs w:val="18"/>
          <w:lang w:val="en-GB"/>
        </w:rPr>
        <w:t>párr. 11.</w:t>
      </w:r>
    </w:p>
  </w:footnote>
  <w:footnote w:id="9">
    <w:p w14:paraId="10F60F24" w14:textId="58B0C35F" w:rsidR="009459DA" w:rsidRPr="000A47F7" w:rsidRDefault="009459DA" w:rsidP="009459DA">
      <w:pPr>
        <w:pStyle w:val="Textonotapie"/>
        <w:rPr>
          <w:szCs w:val="18"/>
          <w:lang w:val="en-GB"/>
        </w:rPr>
      </w:pPr>
      <w:r w:rsidRPr="001C7D4D">
        <w:rPr>
          <w:szCs w:val="18"/>
          <w:lang w:val="en-GB"/>
        </w:rPr>
        <w:tab/>
      </w:r>
      <w:r w:rsidRPr="000A47F7">
        <w:rPr>
          <w:rStyle w:val="Refdenotaalpie"/>
          <w:szCs w:val="18"/>
        </w:rPr>
        <w:footnoteRef/>
      </w:r>
      <w:r w:rsidRPr="001C7D4D">
        <w:rPr>
          <w:szCs w:val="18"/>
          <w:lang w:val="en-GB"/>
        </w:rPr>
        <w:tab/>
      </w:r>
      <w:r w:rsidRPr="001C7D4D">
        <w:rPr>
          <w:i/>
          <w:szCs w:val="18"/>
          <w:lang w:val="en-GB"/>
        </w:rPr>
        <w:t>Ibid</w:t>
      </w:r>
      <w:r w:rsidRPr="0045380A">
        <w:rPr>
          <w:iCs/>
          <w:szCs w:val="18"/>
          <w:lang w:val="en-GB"/>
        </w:rPr>
        <w:t>.</w:t>
      </w:r>
      <w:r w:rsidR="00963B6D" w:rsidRPr="0045380A">
        <w:rPr>
          <w:iCs/>
          <w:szCs w:val="18"/>
          <w:lang w:val="en-GB"/>
        </w:rPr>
        <w:t>,</w:t>
      </w:r>
      <w:r w:rsidRPr="001C7D4D">
        <w:rPr>
          <w:i/>
          <w:szCs w:val="18"/>
          <w:lang w:val="en-GB"/>
        </w:rPr>
        <w:t xml:space="preserve"> </w:t>
      </w:r>
      <w:r w:rsidRPr="001C7D4D">
        <w:rPr>
          <w:szCs w:val="18"/>
          <w:lang w:val="en-GB"/>
        </w:rPr>
        <w:t xml:space="preserve">párr. </w:t>
      </w:r>
      <w:r w:rsidRPr="000A47F7">
        <w:rPr>
          <w:szCs w:val="18"/>
          <w:lang w:val="en-GB"/>
        </w:rPr>
        <w:t xml:space="preserve">14. </w:t>
      </w:r>
    </w:p>
  </w:footnote>
  <w:footnote w:id="10">
    <w:p w14:paraId="4AAF8842" w14:textId="7F6824BF" w:rsidR="009459DA" w:rsidRPr="000A47F7" w:rsidRDefault="009459DA" w:rsidP="009459DA">
      <w:pPr>
        <w:pStyle w:val="Textonotapie"/>
        <w:rPr>
          <w:szCs w:val="18"/>
          <w:lang w:val="en-GB"/>
        </w:rPr>
      </w:pPr>
      <w:r w:rsidRPr="000A47F7">
        <w:rPr>
          <w:szCs w:val="18"/>
          <w:lang w:val="en-GB"/>
        </w:rPr>
        <w:tab/>
      </w:r>
      <w:r w:rsidRPr="000A47F7">
        <w:rPr>
          <w:rStyle w:val="Refdenotaalpie"/>
          <w:szCs w:val="18"/>
        </w:rPr>
        <w:footnoteRef/>
      </w:r>
      <w:r w:rsidRPr="000A47F7">
        <w:rPr>
          <w:szCs w:val="18"/>
          <w:lang w:val="en-GB"/>
        </w:rPr>
        <w:tab/>
      </w:r>
      <w:r w:rsidRPr="000A47F7">
        <w:rPr>
          <w:i/>
          <w:szCs w:val="18"/>
          <w:lang w:val="en-GB"/>
        </w:rPr>
        <w:t>Ibid</w:t>
      </w:r>
      <w:r w:rsidRPr="0045380A">
        <w:rPr>
          <w:iCs/>
          <w:szCs w:val="18"/>
          <w:lang w:val="en-GB"/>
        </w:rPr>
        <w:t>.</w:t>
      </w:r>
      <w:r w:rsidR="00963B6D" w:rsidRPr="0045380A">
        <w:rPr>
          <w:iCs/>
          <w:szCs w:val="18"/>
          <w:lang w:val="en-GB"/>
        </w:rPr>
        <w:t>,</w:t>
      </w:r>
      <w:r w:rsidRPr="000A47F7">
        <w:rPr>
          <w:i/>
          <w:szCs w:val="18"/>
          <w:lang w:val="en-GB"/>
        </w:rPr>
        <w:t xml:space="preserve"> </w:t>
      </w:r>
      <w:r w:rsidRPr="000A47F7">
        <w:rPr>
          <w:szCs w:val="18"/>
          <w:lang w:val="en-GB"/>
        </w:rPr>
        <w:t>párr. 15.</w:t>
      </w:r>
    </w:p>
  </w:footnote>
  <w:footnote w:id="11">
    <w:p w14:paraId="4B0B1DF3" w14:textId="59569F35" w:rsidR="009459DA" w:rsidRPr="000A47F7" w:rsidRDefault="009459DA" w:rsidP="009459DA">
      <w:pPr>
        <w:pStyle w:val="Textonotapie"/>
        <w:rPr>
          <w:szCs w:val="18"/>
          <w:lang w:val="en-GB"/>
        </w:rPr>
      </w:pPr>
      <w:r w:rsidRPr="000A47F7">
        <w:rPr>
          <w:szCs w:val="18"/>
          <w:lang w:val="en-GB"/>
        </w:rPr>
        <w:tab/>
      </w:r>
      <w:r w:rsidRPr="000A47F7">
        <w:rPr>
          <w:rStyle w:val="Refdenotaalpie"/>
          <w:szCs w:val="18"/>
        </w:rPr>
        <w:footnoteRef/>
      </w:r>
      <w:r w:rsidRPr="000A47F7">
        <w:rPr>
          <w:szCs w:val="18"/>
          <w:lang w:val="en-GB"/>
        </w:rPr>
        <w:tab/>
      </w:r>
      <w:r w:rsidRPr="000A47F7">
        <w:rPr>
          <w:szCs w:val="18"/>
          <w:lang w:val="en-GB"/>
        </w:rPr>
        <w:tab/>
      </w:r>
      <w:r w:rsidRPr="000A47F7">
        <w:rPr>
          <w:i/>
          <w:szCs w:val="18"/>
          <w:lang w:val="en-GB"/>
        </w:rPr>
        <w:t>Ibid</w:t>
      </w:r>
      <w:r w:rsidRPr="0045380A">
        <w:rPr>
          <w:iCs/>
          <w:szCs w:val="18"/>
          <w:lang w:val="en-GB"/>
        </w:rPr>
        <w:t>.</w:t>
      </w:r>
      <w:r w:rsidR="00963B6D" w:rsidRPr="0045380A">
        <w:rPr>
          <w:iCs/>
          <w:szCs w:val="18"/>
          <w:lang w:val="en-GB"/>
        </w:rPr>
        <w:t>,</w:t>
      </w:r>
      <w:r w:rsidRPr="000A47F7">
        <w:rPr>
          <w:i/>
          <w:szCs w:val="18"/>
          <w:lang w:val="en-GB"/>
        </w:rPr>
        <w:t xml:space="preserve"> </w:t>
      </w:r>
      <w:r w:rsidRPr="000A47F7">
        <w:rPr>
          <w:szCs w:val="18"/>
          <w:lang w:val="en-GB"/>
        </w:rPr>
        <w:t>párr. 17.</w:t>
      </w:r>
    </w:p>
  </w:footnote>
  <w:footnote w:id="12">
    <w:p w14:paraId="0488C22E" w14:textId="092D4BBD" w:rsidR="009459DA" w:rsidRPr="000A47F7" w:rsidRDefault="009459DA" w:rsidP="009459DA">
      <w:pPr>
        <w:pStyle w:val="Textonotapie"/>
        <w:rPr>
          <w:szCs w:val="18"/>
        </w:rPr>
      </w:pPr>
      <w:r w:rsidRPr="00E321B9">
        <w:rPr>
          <w:szCs w:val="18"/>
          <w:lang w:val="en-GB"/>
        </w:rPr>
        <w:tab/>
      </w:r>
      <w:r w:rsidRPr="000A47F7">
        <w:rPr>
          <w:rStyle w:val="Refdenotaalpie"/>
          <w:szCs w:val="18"/>
        </w:rPr>
        <w:footnoteRef/>
      </w:r>
      <w:r w:rsidRPr="00E321B9">
        <w:rPr>
          <w:szCs w:val="18"/>
          <w:lang w:val="en-GB"/>
        </w:rPr>
        <w:tab/>
      </w:r>
      <w:r w:rsidRPr="00E321B9">
        <w:rPr>
          <w:szCs w:val="18"/>
          <w:lang w:val="en-GB"/>
        </w:rPr>
        <w:tab/>
      </w:r>
      <w:hyperlink r:id="rId7" w:history="1">
        <w:r w:rsidRPr="00A731D7">
          <w:rPr>
            <w:rStyle w:val="Hipervnculo"/>
            <w:szCs w:val="18"/>
            <w:lang w:val="en-GB"/>
          </w:rPr>
          <w:t>CAT/C/NIC/CO/1</w:t>
        </w:r>
      </w:hyperlink>
      <w:r w:rsidRPr="000A47F7">
        <w:rPr>
          <w:szCs w:val="18"/>
          <w:lang w:val="en-GB"/>
        </w:rPr>
        <w:t xml:space="preserve">, </w:t>
      </w:r>
      <w:proofErr w:type="spellStart"/>
      <w:r w:rsidRPr="000A47F7">
        <w:rPr>
          <w:szCs w:val="18"/>
          <w:lang w:val="en-GB"/>
        </w:rPr>
        <w:t>párr</w:t>
      </w:r>
      <w:proofErr w:type="spellEnd"/>
      <w:r w:rsidRPr="000A47F7">
        <w:rPr>
          <w:szCs w:val="18"/>
          <w:lang w:val="en-GB"/>
        </w:rPr>
        <w:t xml:space="preserve">. </w:t>
      </w:r>
      <w:r w:rsidRPr="000A47F7">
        <w:rPr>
          <w:szCs w:val="18"/>
        </w:rPr>
        <w:t>10.</w:t>
      </w:r>
    </w:p>
  </w:footnote>
  <w:footnote w:id="13">
    <w:p w14:paraId="1C80EDCF" w14:textId="29BF5266" w:rsidR="00431E7C" w:rsidRPr="00EA24B8" w:rsidRDefault="00431E7C">
      <w:pPr>
        <w:pStyle w:val="Textonotapie"/>
      </w:pPr>
      <w:r>
        <w:tab/>
      </w:r>
      <w:r>
        <w:rPr>
          <w:rStyle w:val="Refdenotaalpie"/>
        </w:rPr>
        <w:footnoteRef/>
      </w:r>
      <w:r>
        <w:tab/>
      </w:r>
      <w:r>
        <w:tab/>
      </w:r>
      <w:r w:rsidRPr="000A47F7">
        <w:rPr>
          <w:szCs w:val="18"/>
        </w:rPr>
        <w:t>ACNUDH</w:t>
      </w:r>
      <w:r w:rsidRPr="009E2FDA">
        <w:rPr>
          <w:szCs w:val="18"/>
        </w:rPr>
        <w:t xml:space="preserve">, </w:t>
      </w:r>
      <w:r w:rsidR="0082158A" w:rsidRPr="009E2FDA">
        <w:rPr>
          <w:szCs w:val="18"/>
        </w:rPr>
        <w:t>“</w:t>
      </w:r>
      <w:hyperlink r:id="rId8" w:history="1">
        <w:r w:rsidRPr="009E2FDA">
          <w:rPr>
            <w:rStyle w:val="Hipervnculo"/>
            <w:color w:val="auto"/>
            <w:szCs w:val="18"/>
          </w:rPr>
          <w:t xml:space="preserve">Violaciones de </w:t>
        </w:r>
        <w:r w:rsidR="00D5371D" w:rsidRPr="0082158A">
          <w:rPr>
            <w:rStyle w:val="Hipervnculo"/>
            <w:color w:val="auto"/>
            <w:szCs w:val="18"/>
          </w:rPr>
          <w:t>d</w:t>
        </w:r>
        <w:r w:rsidRPr="0082158A">
          <w:rPr>
            <w:rStyle w:val="Hipervnculo"/>
            <w:color w:val="auto"/>
            <w:szCs w:val="18"/>
          </w:rPr>
          <w:t xml:space="preserve">erechos </w:t>
        </w:r>
        <w:r w:rsidR="00D5371D" w:rsidRPr="0082158A">
          <w:rPr>
            <w:rStyle w:val="Hipervnculo"/>
            <w:color w:val="auto"/>
            <w:szCs w:val="18"/>
          </w:rPr>
          <w:t>h</w:t>
        </w:r>
        <w:r w:rsidRPr="0082158A">
          <w:rPr>
            <w:rStyle w:val="Hipervnculo"/>
            <w:color w:val="auto"/>
            <w:szCs w:val="18"/>
          </w:rPr>
          <w:t>umanos y abusos en el contexto de las protestas en Nicaragua 18 de abril – 18 de agosto de 2018</w:t>
        </w:r>
      </w:hyperlink>
      <w:r w:rsidR="0082158A" w:rsidRPr="0045380A">
        <w:rPr>
          <w:rStyle w:val="Hipervnculo"/>
          <w:color w:val="auto"/>
          <w:szCs w:val="18"/>
        </w:rPr>
        <w:t>”</w:t>
      </w:r>
      <w:r w:rsidRPr="0082158A">
        <w:rPr>
          <w:szCs w:val="18"/>
        </w:rPr>
        <w:t xml:space="preserve">, </w:t>
      </w:r>
      <w:proofErr w:type="spellStart"/>
      <w:r w:rsidRPr="0082158A">
        <w:rPr>
          <w:szCs w:val="18"/>
        </w:rPr>
        <w:t>párrs</w:t>
      </w:r>
      <w:proofErr w:type="spellEnd"/>
      <w:r w:rsidRPr="000A47F7">
        <w:rPr>
          <w:szCs w:val="18"/>
        </w:rPr>
        <w:t xml:space="preserve">. </w:t>
      </w:r>
      <w:r w:rsidRPr="00F83FBE">
        <w:rPr>
          <w:szCs w:val="18"/>
        </w:rPr>
        <w:t>69</w:t>
      </w:r>
      <w:r w:rsidR="00060055">
        <w:rPr>
          <w:szCs w:val="18"/>
        </w:rPr>
        <w:t xml:space="preserve"> a </w:t>
      </w:r>
      <w:r w:rsidRPr="00F83FBE">
        <w:rPr>
          <w:szCs w:val="18"/>
        </w:rPr>
        <w:t>78.</w:t>
      </w:r>
    </w:p>
  </w:footnote>
  <w:footnote w:id="14">
    <w:p w14:paraId="3BC87D54" w14:textId="55D8E300" w:rsidR="008848AD" w:rsidRPr="009E34AF" w:rsidRDefault="008848AD" w:rsidP="009C3600">
      <w:pPr>
        <w:pStyle w:val="Textonotapie"/>
        <w:rPr>
          <w:szCs w:val="18"/>
        </w:rPr>
      </w:pPr>
      <w:r w:rsidRPr="00F83FBE">
        <w:rPr>
          <w:szCs w:val="18"/>
        </w:rPr>
        <w:tab/>
      </w:r>
      <w:r w:rsidRPr="000A47F7">
        <w:rPr>
          <w:rStyle w:val="Refdenotaalpie"/>
          <w:szCs w:val="18"/>
        </w:rPr>
        <w:footnoteRef/>
      </w:r>
      <w:r w:rsidRPr="009E34AF">
        <w:rPr>
          <w:szCs w:val="18"/>
        </w:rPr>
        <w:tab/>
      </w:r>
      <w:hyperlink r:id="rId9" w:history="1">
        <w:r w:rsidRPr="00416D5C">
          <w:rPr>
            <w:rStyle w:val="Hipervnculo"/>
            <w:szCs w:val="18"/>
          </w:rPr>
          <w:tab/>
          <w:t>A/HRC/49/23</w:t>
        </w:r>
      </w:hyperlink>
      <w:r w:rsidRPr="009E34AF">
        <w:rPr>
          <w:szCs w:val="18"/>
        </w:rPr>
        <w:t>, párr. 30</w:t>
      </w:r>
      <w:r w:rsidR="003B440C">
        <w:rPr>
          <w:szCs w:val="18"/>
        </w:rPr>
        <w:t>, y</w:t>
      </w:r>
      <w:r w:rsidRPr="009E34AF">
        <w:rPr>
          <w:szCs w:val="18"/>
        </w:rPr>
        <w:t xml:space="preserve"> </w:t>
      </w:r>
      <w:hyperlink r:id="rId10" w:history="1">
        <w:r w:rsidR="003B440C" w:rsidRPr="00416D5C">
          <w:rPr>
            <w:rStyle w:val="Hipervnculo"/>
            <w:szCs w:val="18"/>
          </w:rPr>
          <w:t>A</w:t>
        </w:r>
        <w:r w:rsidRPr="00416D5C">
          <w:rPr>
            <w:rStyle w:val="Hipervnculo"/>
            <w:szCs w:val="18"/>
          </w:rPr>
          <w:t>/HRC/46/21</w:t>
        </w:r>
      </w:hyperlink>
      <w:r w:rsidRPr="009E34AF">
        <w:rPr>
          <w:szCs w:val="18"/>
        </w:rPr>
        <w:t xml:space="preserve">, </w:t>
      </w:r>
      <w:proofErr w:type="spellStart"/>
      <w:r w:rsidRPr="009E34AF">
        <w:rPr>
          <w:szCs w:val="18"/>
        </w:rPr>
        <w:t>párrs</w:t>
      </w:r>
      <w:proofErr w:type="spellEnd"/>
      <w:r w:rsidRPr="009E34AF">
        <w:rPr>
          <w:szCs w:val="18"/>
        </w:rPr>
        <w:t>. 38</w:t>
      </w:r>
      <w:r w:rsidR="003B440C">
        <w:rPr>
          <w:szCs w:val="18"/>
        </w:rPr>
        <w:t xml:space="preserve"> a </w:t>
      </w:r>
      <w:r w:rsidRPr="009E34AF">
        <w:rPr>
          <w:szCs w:val="18"/>
        </w:rPr>
        <w:t>42.</w:t>
      </w:r>
    </w:p>
  </w:footnote>
  <w:footnote w:id="15">
    <w:p w14:paraId="157CDA2F" w14:textId="4BEFEE65" w:rsidR="008848AD" w:rsidRPr="009E34AF" w:rsidRDefault="008848AD" w:rsidP="009C3600">
      <w:pPr>
        <w:pStyle w:val="Textonotapie"/>
        <w:rPr>
          <w:szCs w:val="18"/>
          <w:lang w:eastAsia="en-GB"/>
        </w:rPr>
      </w:pPr>
      <w:r w:rsidRPr="009E34AF">
        <w:rPr>
          <w:szCs w:val="18"/>
        </w:rPr>
        <w:tab/>
      </w:r>
      <w:r w:rsidRPr="003D2D67">
        <w:rPr>
          <w:rStyle w:val="Refdenotaalpie"/>
          <w:szCs w:val="18"/>
        </w:rPr>
        <w:footnoteRef/>
      </w:r>
      <w:r w:rsidRPr="009E34AF">
        <w:rPr>
          <w:szCs w:val="18"/>
        </w:rPr>
        <w:tab/>
        <w:t>Véa</w:t>
      </w:r>
      <w:r w:rsidR="003B440C">
        <w:rPr>
          <w:szCs w:val="18"/>
        </w:rPr>
        <w:t>n</w:t>
      </w:r>
      <w:r w:rsidRPr="009E34AF">
        <w:rPr>
          <w:szCs w:val="18"/>
        </w:rPr>
        <w:t>se</w:t>
      </w:r>
      <w:r w:rsidR="003B440C">
        <w:rPr>
          <w:szCs w:val="18"/>
        </w:rPr>
        <w:t xml:space="preserve"> las</w:t>
      </w:r>
      <w:r w:rsidRPr="009E34AF">
        <w:rPr>
          <w:szCs w:val="18"/>
        </w:rPr>
        <w:t xml:space="preserve"> </w:t>
      </w:r>
      <w:r w:rsidR="003B440C">
        <w:rPr>
          <w:szCs w:val="18"/>
        </w:rPr>
        <w:t>o</w:t>
      </w:r>
      <w:r w:rsidRPr="009E34AF">
        <w:rPr>
          <w:szCs w:val="18"/>
        </w:rPr>
        <w:t>piniones núm</w:t>
      </w:r>
      <w:r w:rsidR="00ED016B">
        <w:rPr>
          <w:szCs w:val="18"/>
        </w:rPr>
        <w:t>s</w:t>
      </w:r>
      <w:r w:rsidRPr="009E34AF">
        <w:rPr>
          <w:szCs w:val="18"/>
        </w:rPr>
        <w:t>. 39/2020</w:t>
      </w:r>
      <w:r w:rsidR="00ED016B">
        <w:rPr>
          <w:szCs w:val="18"/>
        </w:rPr>
        <w:t>,</w:t>
      </w:r>
      <w:r w:rsidRPr="009E34AF">
        <w:rPr>
          <w:szCs w:val="18"/>
        </w:rPr>
        <w:t xml:space="preserve"> 21/2020</w:t>
      </w:r>
      <w:r w:rsidR="00ED016B">
        <w:rPr>
          <w:szCs w:val="18"/>
        </w:rPr>
        <w:t>,</w:t>
      </w:r>
      <w:r w:rsidRPr="009E34AF">
        <w:rPr>
          <w:szCs w:val="18"/>
        </w:rPr>
        <w:t xml:space="preserve"> 43/2019</w:t>
      </w:r>
      <w:r w:rsidR="00ED016B">
        <w:rPr>
          <w:szCs w:val="18"/>
        </w:rPr>
        <w:t>,</w:t>
      </w:r>
      <w:r w:rsidRPr="009E34AF">
        <w:rPr>
          <w:szCs w:val="18"/>
        </w:rPr>
        <w:t xml:space="preserve"> 19/2019</w:t>
      </w:r>
      <w:r w:rsidR="002C5923">
        <w:rPr>
          <w:rStyle w:val="Hipervnculo"/>
          <w:color w:val="auto"/>
          <w:szCs w:val="18"/>
        </w:rPr>
        <w:t xml:space="preserve"> y </w:t>
      </w:r>
      <w:r w:rsidRPr="009E34AF">
        <w:rPr>
          <w:szCs w:val="18"/>
        </w:rPr>
        <w:t>16/2019</w:t>
      </w:r>
      <w:r w:rsidR="003A7FB9">
        <w:rPr>
          <w:szCs w:val="18"/>
        </w:rPr>
        <w:t>, entre otras</w:t>
      </w:r>
      <w:r>
        <w:rPr>
          <w:rStyle w:val="Hipervnculo"/>
          <w:color w:val="auto"/>
          <w:szCs w:val="18"/>
        </w:rPr>
        <w:t>.</w:t>
      </w:r>
    </w:p>
  </w:footnote>
  <w:footnote w:id="16">
    <w:p w14:paraId="71CAFF4F" w14:textId="7C89612C" w:rsidR="008848AD" w:rsidRPr="0045380A" w:rsidRDefault="008848AD" w:rsidP="009C3600">
      <w:pPr>
        <w:pStyle w:val="Textonotapie"/>
        <w:rPr>
          <w:szCs w:val="18"/>
        </w:rPr>
      </w:pPr>
      <w:r w:rsidRPr="009E34AF">
        <w:rPr>
          <w:szCs w:val="18"/>
        </w:rPr>
        <w:tab/>
      </w:r>
      <w:r w:rsidRPr="000A47F7">
        <w:rPr>
          <w:rStyle w:val="Refdenotaalpie"/>
          <w:szCs w:val="18"/>
        </w:rPr>
        <w:footnoteRef/>
      </w:r>
      <w:r w:rsidRPr="0045380A">
        <w:rPr>
          <w:szCs w:val="18"/>
          <w:lang w:val="en-US"/>
        </w:rPr>
        <w:tab/>
      </w:r>
      <w:r w:rsidRPr="0045380A">
        <w:rPr>
          <w:szCs w:val="18"/>
          <w:lang w:val="en-US"/>
        </w:rPr>
        <w:tab/>
      </w:r>
      <w:hyperlink r:id="rId11" w:history="1">
        <w:r w:rsidRPr="0045380A">
          <w:rPr>
            <w:rStyle w:val="Hipervnculo"/>
            <w:lang w:val="en-US"/>
          </w:rPr>
          <w:t>A/HRC/</w:t>
        </w:r>
        <w:proofErr w:type="spellStart"/>
        <w:r w:rsidRPr="0045380A">
          <w:rPr>
            <w:rStyle w:val="Hipervnculo"/>
            <w:lang w:val="en-US"/>
          </w:rPr>
          <w:t>WG.6</w:t>
        </w:r>
        <w:proofErr w:type="spellEnd"/>
        <w:r w:rsidRPr="0045380A">
          <w:rPr>
            <w:rStyle w:val="Hipervnculo"/>
            <w:lang w:val="en-US"/>
          </w:rPr>
          <w:t>/33/NIC/2</w:t>
        </w:r>
      </w:hyperlink>
      <w:r w:rsidRPr="0045380A">
        <w:rPr>
          <w:szCs w:val="18"/>
          <w:lang w:val="en-US"/>
        </w:rPr>
        <w:t xml:space="preserve">, </w:t>
      </w:r>
      <w:proofErr w:type="spellStart"/>
      <w:r w:rsidRPr="0045380A">
        <w:rPr>
          <w:szCs w:val="18"/>
          <w:lang w:val="en-US"/>
        </w:rPr>
        <w:t>párr</w:t>
      </w:r>
      <w:proofErr w:type="spellEnd"/>
      <w:r w:rsidRPr="0045380A">
        <w:rPr>
          <w:szCs w:val="18"/>
          <w:lang w:val="en-US"/>
        </w:rPr>
        <w:t xml:space="preserve">. </w:t>
      </w:r>
      <w:r w:rsidRPr="0045380A">
        <w:rPr>
          <w:szCs w:val="18"/>
        </w:rPr>
        <w:t>24.</w:t>
      </w:r>
    </w:p>
  </w:footnote>
  <w:footnote w:id="17">
    <w:p w14:paraId="13B1696C" w14:textId="3D61BD96" w:rsidR="008848AD" w:rsidRPr="0045380A" w:rsidRDefault="008848AD" w:rsidP="009C3600">
      <w:pPr>
        <w:pStyle w:val="Textonotapie"/>
        <w:rPr>
          <w:szCs w:val="18"/>
        </w:rPr>
      </w:pPr>
      <w:r w:rsidRPr="0045380A">
        <w:rPr>
          <w:szCs w:val="18"/>
        </w:rPr>
        <w:tab/>
      </w:r>
      <w:r w:rsidRPr="000A47F7">
        <w:rPr>
          <w:rStyle w:val="Refdenotaalpie"/>
          <w:szCs w:val="18"/>
        </w:rPr>
        <w:footnoteRef/>
      </w:r>
      <w:r w:rsidRPr="0045380A">
        <w:rPr>
          <w:szCs w:val="18"/>
        </w:rPr>
        <w:tab/>
      </w:r>
      <w:r w:rsidRPr="0045380A">
        <w:rPr>
          <w:szCs w:val="18"/>
        </w:rPr>
        <w:tab/>
      </w:r>
      <w:hyperlink r:id="rId12" w:history="1">
        <w:r w:rsidRPr="009413A8">
          <w:rPr>
            <w:rStyle w:val="Hipervnculo"/>
          </w:rPr>
          <w:t>A/HRC/49/23</w:t>
        </w:r>
      </w:hyperlink>
      <w:r w:rsidRPr="009413A8">
        <w:t>, párr. 24</w:t>
      </w:r>
      <w:r w:rsidRPr="0045380A">
        <w:rPr>
          <w:szCs w:val="18"/>
        </w:rPr>
        <w:t>.</w:t>
      </w:r>
    </w:p>
  </w:footnote>
  <w:footnote w:id="18">
    <w:p w14:paraId="1826011F" w14:textId="69B2ECD8" w:rsidR="008848AD" w:rsidRPr="0045380A" w:rsidRDefault="008848AD" w:rsidP="009C3600">
      <w:pPr>
        <w:pStyle w:val="Textonotapie"/>
        <w:rPr>
          <w:szCs w:val="18"/>
        </w:rPr>
      </w:pPr>
      <w:r w:rsidRPr="0045380A">
        <w:rPr>
          <w:szCs w:val="18"/>
        </w:rPr>
        <w:tab/>
      </w:r>
      <w:r w:rsidRPr="000A47F7">
        <w:rPr>
          <w:rStyle w:val="Refdenotaalpie"/>
          <w:szCs w:val="18"/>
        </w:rPr>
        <w:footnoteRef/>
      </w:r>
      <w:r w:rsidRPr="0045380A">
        <w:rPr>
          <w:szCs w:val="18"/>
        </w:rPr>
        <w:tab/>
      </w:r>
      <w:r w:rsidRPr="0045380A">
        <w:rPr>
          <w:szCs w:val="18"/>
        </w:rPr>
        <w:tab/>
      </w:r>
      <w:hyperlink r:id="rId13" w:history="1">
        <w:r w:rsidRPr="009413A8">
          <w:rPr>
            <w:rStyle w:val="Hipervnculo"/>
          </w:rPr>
          <w:t>A/HRC/42/18</w:t>
        </w:r>
      </w:hyperlink>
      <w:r w:rsidRPr="009413A8">
        <w:t>, párr. 31</w:t>
      </w:r>
      <w:r w:rsidRPr="0045380A">
        <w:rPr>
          <w:szCs w:val="18"/>
        </w:rPr>
        <w:t>.</w:t>
      </w:r>
    </w:p>
  </w:footnote>
  <w:footnote w:id="19">
    <w:p w14:paraId="0505AE2C" w14:textId="5F4D35AA" w:rsidR="008848AD" w:rsidRPr="0045380A" w:rsidRDefault="008848AD" w:rsidP="009C3600">
      <w:pPr>
        <w:pStyle w:val="Textonotapie"/>
        <w:rPr>
          <w:szCs w:val="18"/>
        </w:rPr>
      </w:pPr>
      <w:r w:rsidRPr="0045380A">
        <w:rPr>
          <w:szCs w:val="18"/>
        </w:rPr>
        <w:tab/>
      </w:r>
      <w:r w:rsidRPr="000A47F7">
        <w:rPr>
          <w:rStyle w:val="Refdenotaalpie"/>
          <w:szCs w:val="18"/>
        </w:rPr>
        <w:footnoteRef/>
      </w:r>
      <w:r w:rsidRPr="0045380A">
        <w:rPr>
          <w:szCs w:val="18"/>
        </w:rPr>
        <w:tab/>
      </w:r>
      <w:hyperlink r:id="rId14" w:history="1">
        <w:r w:rsidRPr="0045380A">
          <w:rPr>
            <w:rStyle w:val="Hipervnculo"/>
          </w:rPr>
          <w:tab/>
          <w:t>A/HRC/49/23</w:t>
        </w:r>
      </w:hyperlink>
      <w:r w:rsidRPr="0045380A">
        <w:rPr>
          <w:szCs w:val="18"/>
        </w:rPr>
        <w:t>, párr. 23</w:t>
      </w:r>
      <w:r w:rsidR="002F663E" w:rsidRPr="0045380A">
        <w:rPr>
          <w:szCs w:val="18"/>
        </w:rPr>
        <w:t>, y</w:t>
      </w:r>
      <w:r w:rsidRPr="0045380A">
        <w:rPr>
          <w:szCs w:val="18"/>
        </w:rPr>
        <w:t xml:space="preserve"> </w:t>
      </w:r>
      <w:hyperlink r:id="rId15" w:history="1">
        <w:r w:rsidRPr="0045380A">
          <w:rPr>
            <w:rStyle w:val="Hipervnculo"/>
          </w:rPr>
          <w:t>A/HRC/42/18</w:t>
        </w:r>
      </w:hyperlink>
      <w:r w:rsidRPr="0045380A">
        <w:rPr>
          <w:szCs w:val="18"/>
        </w:rPr>
        <w:t>, párr. 26.</w:t>
      </w:r>
    </w:p>
  </w:footnote>
  <w:footnote w:id="20">
    <w:p w14:paraId="45F79265" w14:textId="3010A9A7" w:rsidR="008848AD" w:rsidRPr="0045380A" w:rsidRDefault="008848AD" w:rsidP="009C3600">
      <w:pPr>
        <w:pStyle w:val="Textonotapie"/>
        <w:rPr>
          <w:szCs w:val="18"/>
        </w:rPr>
      </w:pPr>
      <w:r w:rsidRPr="0045380A">
        <w:tab/>
      </w:r>
      <w:r>
        <w:rPr>
          <w:rStyle w:val="Refdenotaalpie"/>
        </w:rPr>
        <w:footnoteRef/>
      </w:r>
      <w:r w:rsidRPr="0045380A">
        <w:tab/>
      </w:r>
      <w:r w:rsidRPr="0045380A">
        <w:tab/>
      </w:r>
      <w:hyperlink r:id="rId16" w:history="1">
        <w:r w:rsidRPr="0045380A">
          <w:rPr>
            <w:rStyle w:val="Hipervnculo"/>
          </w:rPr>
          <w:t>A/HRC/49/23</w:t>
        </w:r>
      </w:hyperlink>
      <w:r w:rsidRPr="0045380A">
        <w:rPr>
          <w:szCs w:val="18"/>
        </w:rPr>
        <w:t>, párr. 23</w:t>
      </w:r>
      <w:r w:rsidR="002F663E" w:rsidRPr="0045380A">
        <w:rPr>
          <w:szCs w:val="18"/>
        </w:rPr>
        <w:t>.</w:t>
      </w:r>
      <w:r w:rsidR="001F7EF2" w:rsidRPr="0045380A">
        <w:rPr>
          <w:szCs w:val="18"/>
        </w:rPr>
        <w:t xml:space="preserve"> Véase</w:t>
      </w:r>
      <w:r w:rsidR="002F663E" w:rsidRPr="0045380A">
        <w:rPr>
          <w:szCs w:val="18"/>
        </w:rPr>
        <w:t xml:space="preserve"> también</w:t>
      </w:r>
      <w:r w:rsidR="001F7EF2" w:rsidRPr="0045380A">
        <w:rPr>
          <w:szCs w:val="18"/>
        </w:rPr>
        <w:t xml:space="preserve"> </w:t>
      </w:r>
      <w:r w:rsidR="00937977" w:rsidRPr="00937977">
        <w:rPr>
          <w:szCs w:val="18"/>
        </w:rPr>
        <w:t>Michelle Bachelet, Alta Comisionada de las Naciones Unidas para los Derechos Humanos, “47º período de sesiones del Consejo de Derechos Humanos: actualización oral sobre la situación de los derechos humanos en Nicaragua”, Ginebra, 22 de junio de</w:t>
      </w:r>
      <w:r w:rsidR="00416D5C">
        <w:rPr>
          <w:szCs w:val="18"/>
        </w:rPr>
        <w:t> </w:t>
      </w:r>
      <w:r w:rsidR="00937977" w:rsidRPr="00937977">
        <w:rPr>
          <w:szCs w:val="18"/>
        </w:rPr>
        <w:t>2021.</w:t>
      </w:r>
    </w:p>
  </w:footnote>
  <w:footnote w:id="21">
    <w:p w14:paraId="45B80050" w14:textId="36FF6948" w:rsidR="008848AD" w:rsidRPr="009C6D32" w:rsidRDefault="008848AD" w:rsidP="009C3600">
      <w:pPr>
        <w:pStyle w:val="Textonotapie"/>
        <w:rPr>
          <w:szCs w:val="18"/>
          <w:lang w:val="en-GB"/>
        </w:rPr>
      </w:pPr>
      <w:r w:rsidRPr="0045380A">
        <w:rPr>
          <w:szCs w:val="18"/>
        </w:rPr>
        <w:tab/>
      </w:r>
      <w:r w:rsidRPr="000A47F7">
        <w:rPr>
          <w:rStyle w:val="Refdenotaalpie"/>
          <w:szCs w:val="18"/>
        </w:rPr>
        <w:footnoteRef/>
      </w:r>
      <w:r w:rsidRPr="0045380A">
        <w:rPr>
          <w:szCs w:val="18"/>
        </w:rPr>
        <w:tab/>
      </w:r>
      <w:r w:rsidRPr="0045380A">
        <w:rPr>
          <w:szCs w:val="18"/>
        </w:rPr>
        <w:tab/>
      </w:r>
      <w:hyperlink r:id="rId17" w:history="1">
        <w:r w:rsidRPr="0045380A">
          <w:rPr>
            <w:rStyle w:val="Hipervnculo"/>
          </w:rPr>
          <w:t>A/HRC/42/18</w:t>
        </w:r>
      </w:hyperlink>
      <w:r w:rsidRPr="0045380A">
        <w:rPr>
          <w:szCs w:val="18"/>
        </w:rPr>
        <w:t>, párr. 25</w:t>
      </w:r>
      <w:r w:rsidR="00507C58" w:rsidRPr="0045380A">
        <w:rPr>
          <w:szCs w:val="18"/>
        </w:rPr>
        <w:t>, y</w:t>
      </w:r>
      <w:r w:rsidRPr="0045380A">
        <w:rPr>
          <w:szCs w:val="18"/>
        </w:rPr>
        <w:t xml:space="preserve"> </w:t>
      </w:r>
      <w:hyperlink r:id="rId18" w:history="1">
        <w:r w:rsidRPr="0045380A">
          <w:rPr>
            <w:rStyle w:val="Hipervnculo"/>
          </w:rPr>
          <w:t>A/HRC/49/23</w:t>
        </w:r>
      </w:hyperlink>
      <w:r w:rsidRPr="0045380A">
        <w:rPr>
          <w:szCs w:val="18"/>
        </w:rPr>
        <w:t xml:space="preserve">, párr. </w:t>
      </w:r>
      <w:r w:rsidRPr="009C6D32">
        <w:rPr>
          <w:szCs w:val="18"/>
          <w:lang w:val="en-GB"/>
        </w:rPr>
        <w:t>18.</w:t>
      </w:r>
    </w:p>
  </w:footnote>
  <w:footnote w:id="22">
    <w:p w14:paraId="3EF0CBD0" w14:textId="7F76B390" w:rsidR="008848AD" w:rsidRPr="000A47F7" w:rsidRDefault="008848AD" w:rsidP="009C3600">
      <w:pPr>
        <w:pStyle w:val="Textonotapie"/>
        <w:rPr>
          <w:szCs w:val="18"/>
          <w:lang w:val="en-GB"/>
        </w:rPr>
      </w:pPr>
      <w:r w:rsidRPr="009C6D32">
        <w:rPr>
          <w:szCs w:val="18"/>
          <w:lang w:val="en-GB"/>
        </w:rPr>
        <w:tab/>
      </w:r>
      <w:r w:rsidRPr="000A47F7">
        <w:rPr>
          <w:rStyle w:val="Refdenotaalpie"/>
          <w:szCs w:val="18"/>
        </w:rPr>
        <w:footnoteRef/>
      </w:r>
      <w:r w:rsidRPr="000A47F7">
        <w:rPr>
          <w:szCs w:val="18"/>
          <w:lang w:val="en-GB"/>
        </w:rPr>
        <w:tab/>
      </w:r>
      <w:r w:rsidRPr="000A47F7">
        <w:rPr>
          <w:szCs w:val="18"/>
          <w:lang w:val="en-GB"/>
        </w:rPr>
        <w:tab/>
      </w:r>
      <w:hyperlink r:id="rId19" w:history="1">
        <w:r w:rsidRPr="00416D5C">
          <w:rPr>
            <w:rStyle w:val="Hipervnculo"/>
            <w:szCs w:val="18"/>
            <w:lang w:val="en-GB"/>
          </w:rPr>
          <w:t>A/HRC/46/21</w:t>
        </w:r>
      </w:hyperlink>
      <w:r w:rsidRPr="000A47F7">
        <w:rPr>
          <w:szCs w:val="18"/>
          <w:lang w:val="en-GB"/>
        </w:rPr>
        <w:t xml:space="preserve">, </w:t>
      </w:r>
      <w:proofErr w:type="spellStart"/>
      <w:r w:rsidRPr="000A47F7">
        <w:rPr>
          <w:szCs w:val="18"/>
          <w:lang w:val="en-GB"/>
        </w:rPr>
        <w:t>párr</w:t>
      </w:r>
      <w:proofErr w:type="spellEnd"/>
      <w:r w:rsidRPr="000A47F7">
        <w:rPr>
          <w:szCs w:val="18"/>
          <w:lang w:val="en-GB"/>
        </w:rPr>
        <w:t>. 38.</w:t>
      </w:r>
    </w:p>
  </w:footnote>
  <w:footnote w:id="23">
    <w:p w14:paraId="36C7C0BB" w14:textId="07D3954D" w:rsidR="008848AD" w:rsidRPr="000A47F7" w:rsidRDefault="008848AD" w:rsidP="009C3600">
      <w:pPr>
        <w:pStyle w:val="Textonotapie"/>
        <w:rPr>
          <w:szCs w:val="18"/>
          <w:lang w:val="en-GB"/>
        </w:rPr>
      </w:pPr>
      <w:r w:rsidRPr="000A47F7">
        <w:rPr>
          <w:szCs w:val="18"/>
          <w:lang w:val="en-GB"/>
        </w:rPr>
        <w:tab/>
      </w:r>
      <w:r w:rsidRPr="000A47F7">
        <w:rPr>
          <w:rStyle w:val="Refdenotaalpie"/>
          <w:szCs w:val="18"/>
        </w:rPr>
        <w:footnoteRef/>
      </w:r>
      <w:r w:rsidRPr="000A47F7">
        <w:rPr>
          <w:szCs w:val="18"/>
          <w:lang w:val="en-GB"/>
        </w:rPr>
        <w:tab/>
      </w:r>
      <w:hyperlink r:id="rId20" w:history="1">
        <w:r w:rsidRPr="00416D5C">
          <w:rPr>
            <w:rStyle w:val="Hipervnculo"/>
            <w:szCs w:val="18"/>
            <w:lang w:val="en-GB"/>
          </w:rPr>
          <w:tab/>
          <w:t>CAT/C/NIC/2</w:t>
        </w:r>
      </w:hyperlink>
      <w:r w:rsidRPr="000A47F7">
        <w:rPr>
          <w:szCs w:val="18"/>
          <w:lang w:val="en-GB"/>
        </w:rPr>
        <w:t xml:space="preserve">, </w:t>
      </w:r>
      <w:proofErr w:type="spellStart"/>
      <w:r w:rsidRPr="000A47F7">
        <w:rPr>
          <w:szCs w:val="18"/>
          <w:lang w:val="en-GB"/>
        </w:rPr>
        <w:t>párr</w:t>
      </w:r>
      <w:r>
        <w:rPr>
          <w:szCs w:val="18"/>
          <w:lang w:val="en-GB"/>
        </w:rPr>
        <w:t>s</w:t>
      </w:r>
      <w:proofErr w:type="spellEnd"/>
      <w:r w:rsidRPr="000A47F7">
        <w:rPr>
          <w:szCs w:val="18"/>
          <w:lang w:val="en-GB"/>
        </w:rPr>
        <w:t>. 72</w:t>
      </w:r>
      <w:r w:rsidR="002F610F">
        <w:rPr>
          <w:szCs w:val="18"/>
          <w:lang w:val="en-GB"/>
        </w:rPr>
        <w:t xml:space="preserve"> a </w:t>
      </w:r>
      <w:r w:rsidRPr="000A47F7">
        <w:rPr>
          <w:szCs w:val="18"/>
          <w:lang w:val="en-GB"/>
        </w:rPr>
        <w:t>79</w:t>
      </w:r>
      <w:r>
        <w:rPr>
          <w:szCs w:val="18"/>
          <w:lang w:val="en-GB"/>
        </w:rPr>
        <w:t>.</w:t>
      </w:r>
    </w:p>
  </w:footnote>
  <w:footnote w:id="24">
    <w:p w14:paraId="79C36F04" w14:textId="14028DD7" w:rsidR="00EA24B8" w:rsidRPr="00502F54" w:rsidRDefault="00EA24B8">
      <w:pPr>
        <w:pStyle w:val="Textonotapie"/>
      </w:pPr>
      <w:r>
        <w:rPr>
          <w:lang w:val="en-GB"/>
        </w:rPr>
        <w:tab/>
      </w:r>
      <w:r>
        <w:rPr>
          <w:rStyle w:val="Refdenotaalpie"/>
        </w:rPr>
        <w:footnoteRef/>
      </w:r>
      <w:r>
        <w:rPr>
          <w:lang w:val="en-GB"/>
        </w:rPr>
        <w:tab/>
      </w:r>
      <w:r>
        <w:rPr>
          <w:lang w:val="en-GB"/>
        </w:rPr>
        <w:tab/>
      </w:r>
      <w:hyperlink r:id="rId21" w:history="1">
        <w:r w:rsidRPr="00416D5C">
          <w:rPr>
            <w:rStyle w:val="Hipervnculo"/>
            <w:szCs w:val="18"/>
            <w:lang w:val="en-GB"/>
          </w:rPr>
          <w:t>A/HRC/</w:t>
        </w:r>
        <w:proofErr w:type="spellStart"/>
        <w:r w:rsidRPr="00416D5C">
          <w:rPr>
            <w:rStyle w:val="Hipervnculo"/>
            <w:szCs w:val="18"/>
            <w:lang w:val="en-GB"/>
          </w:rPr>
          <w:t>WG.6</w:t>
        </w:r>
        <w:proofErr w:type="spellEnd"/>
        <w:r w:rsidRPr="00416D5C">
          <w:rPr>
            <w:rStyle w:val="Hipervnculo"/>
            <w:szCs w:val="18"/>
            <w:lang w:val="en-GB"/>
          </w:rPr>
          <w:t>/33/NIC/3</w:t>
        </w:r>
      </w:hyperlink>
      <w:r w:rsidRPr="000A47F7">
        <w:rPr>
          <w:szCs w:val="18"/>
          <w:lang w:val="en-GB"/>
        </w:rPr>
        <w:t xml:space="preserve">, </w:t>
      </w:r>
      <w:proofErr w:type="spellStart"/>
      <w:r w:rsidRPr="000A47F7">
        <w:rPr>
          <w:szCs w:val="18"/>
          <w:lang w:val="en-GB"/>
        </w:rPr>
        <w:t>párr</w:t>
      </w:r>
      <w:r>
        <w:rPr>
          <w:szCs w:val="18"/>
          <w:lang w:val="en-GB"/>
        </w:rPr>
        <w:t>s</w:t>
      </w:r>
      <w:proofErr w:type="spellEnd"/>
      <w:r w:rsidRPr="000A47F7">
        <w:rPr>
          <w:szCs w:val="18"/>
          <w:lang w:val="en-GB"/>
        </w:rPr>
        <w:t xml:space="preserve">. </w:t>
      </w:r>
      <w:r w:rsidRPr="0045380A">
        <w:rPr>
          <w:szCs w:val="18"/>
        </w:rPr>
        <w:t>28</w:t>
      </w:r>
      <w:r w:rsidR="00CC29FB" w:rsidRPr="0045380A">
        <w:rPr>
          <w:szCs w:val="18"/>
        </w:rPr>
        <w:t xml:space="preserve"> a </w:t>
      </w:r>
      <w:r w:rsidRPr="0045380A">
        <w:rPr>
          <w:szCs w:val="18"/>
        </w:rPr>
        <w:t>30</w:t>
      </w:r>
      <w:r w:rsidR="00CC29FB" w:rsidRPr="0045380A">
        <w:rPr>
          <w:szCs w:val="18"/>
        </w:rPr>
        <w:t xml:space="preserve"> y</w:t>
      </w:r>
      <w:r w:rsidRPr="0045380A">
        <w:rPr>
          <w:szCs w:val="18"/>
        </w:rPr>
        <w:t xml:space="preserve"> 33; </w:t>
      </w:r>
      <w:hyperlink r:id="rId22" w:history="1">
        <w:r w:rsidRPr="0045380A">
          <w:rPr>
            <w:rStyle w:val="Hipervnculo"/>
          </w:rPr>
          <w:t>A/HRC/</w:t>
        </w:r>
        <w:proofErr w:type="spellStart"/>
        <w:r w:rsidRPr="0045380A">
          <w:rPr>
            <w:rStyle w:val="Hipervnculo"/>
          </w:rPr>
          <w:t>WG.6</w:t>
        </w:r>
        <w:proofErr w:type="spellEnd"/>
        <w:r w:rsidRPr="0045380A">
          <w:rPr>
            <w:rStyle w:val="Hipervnculo"/>
          </w:rPr>
          <w:t>/33/NIC/2</w:t>
        </w:r>
      </w:hyperlink>
      <w:r w:rsidRPr="0045380A">
        <w:rPr>
          <w:szCs w:val="18"/>
        </w:rPr>
        <w:t xml:space="preserve">, </w:t>
      </w:r>
      <w:proofErr w:type="spellStart"/>
      <w:r w:rsidRPr="0045380A">
        <w:rPr>
          <w:szCs w:val="18"/>
        </w:rPr>
        <w:t>párrs</w:t>
      </w:r>
      <w:proofErr w:type="spellEnd"/>
      <w:r w:rsidRPr="0045380A">
        <w:rPr>
          <w:szCs w:val="18"/>
        </w:rPr>
        <w:t xml:space="preserve">. </w:t>
      </w:r>
      <w:r w:rsidRPr="00502F54">
        <w:rPr>
          <w:szCs w:val="18"/>
        </w:rPr>
        <w:t>30</w:t>
      </w:r>
      <w:r w:rsidR="00CC29FB">
        <w:rPr>
          <w:szCs w:val="18"/>
        </w:rPr>
        <w:t xml:space="preserve"> a </w:t>
      </w:r>
      <w:r w:rsidRPr="00B66BE1">
        <w:rPr>
          <w:szCs w:val="18"/>
        </w:rPr>
        <w:t xml:space="preserve">36; </w:t>
      </w:r>
      <w:hyperlink r:id="rId23" w:history="1">
        <w:r w:rsidRPr="00416D5C">
          <w:rPr>
            <w:rStyle w:val="Hipervnculo"/>
          </w:rPr>
          <w:t>A/HRC/42/16</w:t>
        </w:r>
      </w:hyperlink>
      <w:r w:rsidRPr="00B66BE1">
        <w:t xml:space="preserve">, </w:t>
      </w:r>
      <w:proofErr w:type="spellStart"/>
      <w:r w:rsidRPr="00B66BE1">
        <w:rPr>
          <w:szCs w:val="18"/>
        </w:rPr>
        <w:t>párrs</w:t>
      </w:r>
      <w:proofErr w:type="spellEnd"/>
      <w:r w:rsidRPr="00B66BE1">
        <w:rPr>
          <w:szCs w:val="18"/>
        </w:rPr>
        <w:t>. 125.39, 125.95</w:t>
      </w:r>
      <w:r w:rsidR="0061397F" w:rsidRPr="00B66BE1">
        <w:rPr>
          <w:szCs w:val="18"/>
        </w:rPr>
        <w:t xml:space="preserve"> y</w:t>
      </w:r>
      <w:r w:rsidRPr="00B66BE1">
        <w:rPr>
          <w:szCs w:val="18"/>
        </w:rPr>
        <w:t xml:space="preserve"> 125.105</w:t>
      </w:r>
      <w:r w:rsidR="0061397F" w:rsidRPr="00B66BE1">
        <w:rPr>
          <w:szCs w:val="18"/>
        </w:rPr>
        <w:t>,</w:t>
      </w:r>
      <w:r w:rsidRPr="00B66BE1">
        <w:rPr>
          <w:szCs w:val="18"/>
        </w:rPr>
        <w:t xml:space="preserve"> y</w:t>
      </w:r>
      <w:r w:rsidRPr="00502F54">
        <w:rPr>
          <w:szCs w:val="18"/>
        </w:rPr>
        <w:t xml:space="preserve"> </w:t>
      </w:r>
      <w:hyperlink r:id="rId24" w:history="1">
        <w:r w:rsidRPr="00416D5C">
          <w:rPr>
            <w:rStyle w:val="Hipervnculo"/>
          </w:rPr>
          <w:t>A/HRC/42/16/</w:t>
        </w:r>
        <w:proofErr w:type="spellStart"/>
        <w:r w:rsidRPr="00416D5C">
          <w:rPr>
            <w:rStyle w:val="Hipervnculo"/>
          </w:rPr>
          <w:t>Add.1</w:t>
        </w:r>
        <w:proofErr w:type="spellEnd"/>
      </w:hyperlink>
      <w:r w:rsidR="006B354D" w:rsidRPr="00502F54">
        <w:t>.</w:t>
      </w:r>
    </w:p>
  </w:footnote>
  <w:footnote w:id="25">
    <w:p w14:paraId="450C881A" w14:textId="71B22B50" w:rsidR="008848AD" w:rsidRPr="0045380A" w:rsidRDefault="008848AD" w:rsidP="009C3600">
      <w:pPr>
        <w:pStyle w:val="Textonotapie"/>
        <w:rPr>
          <w:szCs w:val="18"/>
        </w:rPr>
      </w:pPr>
      <w:r w:rsidRPr="00502F54">
        <w:rPr>
          <w:szCs w:val="18"/>
        </w:rPr>
        <w:tab/>
      </w:r>
      <w:r w:rsidRPr="000A47F7">
        <w:rPr>
          <w:rStyle w:val="Refdenotaalpie"/>
          <w:szCs w:val="18"/>
        </w:rPr>
        <w:footnoteRef/>
      </w:r>
      <w:r w:rsidRPr="00502F54">
        <w:rPr>
          <w:szCs w:val="18"/>
        </w:rPr>
        <w:tab/>
      </w:r>
      <w:r w:rsidRPr="00502F54">
        <w:rPr>
          <w:szCs w:val="18"/>
        </w:rPr>
        <w:tab/>
      </w:r>
      <w:hyperlink r:id="rId25" w:history="1">
        <w:r w:rsidRPr="00416D5C">
          <w:rPr>
            <w:rStyle w:val="Hipervnculo"/>
            <w:szCs w:val="18"/>
          </w:rPr>
          <w:t>A/HRC/42/18</w:t>
        </w:r>
      </w:hyperlink>
      <w:r w:rsidRPr="00502F54">
        <w:rPr>
          <w:szCs w:val="18"/>
        </w:rPr>
        <w:t xml:space="preserve">, párr. </w:t>
      </w:r>
      <w:r w:rsidRPr="006B354D">
        <w:rPr>
          <w:szCs w:val="18"/>
        </w:rPr>
        <w:t>64</w:t>
      </w:r>
      <w:r w:rsidR="00F754FB">
        <w:rPr>
          <w:szCs w:val="18"/>
        </w:rPr>
        <w:t>.</w:t>
      </w:r>
      <w:r w:rsidR="006B354D" w:rsidRPr="006B354D">
        <w:rPr>
          <w:szCs w:val="18"/>
        </w:rPr>
        <w:t xml:space="preserve"> </w:t>
      </w:r>
      <w:r w:rsidR="006B354D" w:rsidRPr="00972C11">
        <w:rPr>
          <w:szCs w:val="18"/>
        </w:rPr>
        <w:t>Véase</w:t>
      </w:r>
      <w:r w:rsidR="00F754FB">
        <w:rPr>
          <w:szCs w:val="18"/>
        </w:rPr>
        <w:t xml:space="preserve"> también</w:t>
      </w:r>
      <w:r w:rsidR="006B354D" w:rsidRPr="00972C11">
        <w:rPr>
          <w:szCs w:val="18"/>
        </w:rPr>
        <w:t xml:space="preserve"> ACNUDH, </w:t>
      </w:r>
      <w:r w:rsidR="0082158A" w:rsidRPr="009E2FDA">
        <w:rPr>
          <w:szCs w:val="18"/>
        </w:rPr>
        <w:t>“</w:t>
      </w:r>
      <w:hyperlink r:id="rId26" w:history="1">
        <w:r w:rsidR="006B354D" w:rsidRPr="009E2FDA">
          <w:rPr>
            <w:rStyle w:val="Hipervnculo"/>
            <w:color w:val="auto"/>
            <w:szCs w:val="18"/>
          </w:rPr>
          <w:t xml:space="preserve">Violaciones de </w:t>
        </w:r>
        <w:r w:rsidR="00F754FB" w:rsidRPr="0082158A">
          <w:rPr>
            <w:rStyle w:val="Hipervnculo"/>
            <w:color w:val="auto"/>
            <w:szCs w:val="18"/>
          </w:rPr>
          <w:t>d</w:t>
        </w:r>
        <w:r w:rsidR="006B354D" w:rsidRPr="0082158A">
          <w:rPr>
            <w:rStyle w:val="Hipervnculo"/>
            <w:color w:val="auto"/>
            <w:szCs w:val="18"/>
          </w:rPr>
          <w:t xml:space="preserve">erechos </w:t>
        </w:r>
        <w:r w:rsidR="00F754FB" w:rsidRPr="0082158A">
          <w:rPr>
            <w:rStyle w:val="Hipervnculo"/>
            <w:color w:val="auto"/>
            <w:szCs w:val="18"/>
          </w:rPr>
          <w:t>h</w:t>
        </w:r>
        <w:r w:rsidR="006B354D" w:rsidRPr="0082158A">
          <w:rPr>
            <w:rStyle w:val="Hipervnculo"/>
            <w:color w:val="auto"/>
            <w:szCs w:val="18"/>
          </w:rPr>
          <w:t>umanos y abusos en el contexto de las protestas en Nicaragua 18 de abril – 18 de agosto de 2018</w:t>
        </w:r>
      </w:hyperlink>
      <w:r w:rsidR="0082158A" w:rsidRPr="0045380A">
        <w:rPr>
          <w:rStyle w:val="Hipervnculo"/>
          <w:color w:val="auto"/>
          <w:szCs w:val="18"/>
        </w:rPr>
        <w:t>”</w:t>
      </w:r>
      <w:r w:rsidR="006B354D" w:rsidRPr="0082158A">
        <w:rPr>
          <w:szCs w:val="18"/>
        </w:rPr>
        <w:t>,</w:t>
      </w:r>
      <w:r w:rsidR="006B354D" w:rsidRPr="00972C11">
        <w:rPr>
          <w:szCs w:val="18"/>
        </w:rPr>
        <w:t xml:space="preserve"> pág. 8.</w:t>
      </w:r>
    </w:p>
  </w:footnote>
  <w:footnote w:id="26">
    <w:p w14:paraId="0CCE2FAE" w14:textId="5B349A9D" w:rsidR="008848AD" w:rsidRPr="000A47F7" w:rsidRDefault="008848AD" w:rsidP="009C3600">
      <w:pPr>
        <w:pStyle w:val="Textonotapie"/>
        <w:rPr>
          <w:szCs w:val="18"/>
          <w:lang w:val="en-GB"/>
        </w:rPr>
      </w:pPr>
      <w:r w:rsidRPr="0045380A">
        <w:rPr>
          <w:szCs w:val="18"/>
        </w:rPr>
        <w:tab/>
      </w:r>
      <w:r w:rsidRPr="000A47F7">
        <w:rPr>
          <w:rStyle w:val="Refdenotaalpie"/>
          <w:szCs w:val="18"/>
        </w:rPr>
        <w:footnoteRef/>
      </w:r>
      <w:r w:rsidRPr="000A47F7">
        <w:rPr>
          <w:szCs w:val="18"/>
          <w:lang w:val="en-GB"/>
        </w:rPr>
        <w:tab/>
      </w:r>
      <w:r w:rsidRPr="000A47F7">
        <w:rPr>
          <w:szCs w:val="18"/>
          <w:lang w:val="en-GB"/>
        </w:rPr>
        <w:tab/>
      </w:r>
      <w:hyperlink r:id="rId27" w:history="1">
        <w:r w:rsidRPr="00416D5C">
          <w:rPr>
            <w:rStyle w:val="Hipervnculo"/>
            <w:szCs w:val="18"/>
            <w:lang w:val="en-GB"/>
          </w:rPr>
          <w:t>CAT/C/NIC/2</w:t>
        </w:r>
      </w:hyperlink>
      <w:r w:rsidRPr="000A47F7">
        <w:rPr>
          <w:szCs w:val="18"/>
          <w:lang w:val="en-GB"/>
        </w:rPr>
        <w:t xml:space="preserve">, </w:t>
      </w:r>
      <w:proofErr w:type="spellStart"/>
      <w:r w:rsidRPr="000A47F7">
        <w:rPr>
          <w:szCs w:val="18"/>
          <w:lang w:val="en-GB"/>
        </w:rPr>
        <w:t>párr</w:t>
      </w:r>
      <w:proofErr w:type="spellEnd"/>
      <w:r w:rsidRPr="000A47F7">
        <w:rPr>
          <w:szCs w:val="18"/>
          <w:lang w:val="en-GB"/>
        </w:rPr>
        <w:t>. 198.</w:t>
      </w:r>
    </w:p>
  </w:footnote>
  <w:footnote w:id="27">
    <w:p w14:paraId="5D07DEB5" w14:textId="325B7A7B" w:rsidR="008848AD" w:rsidRPr="0045380A" w:rsidRDefault="008848AD" w:rsidP="009C3600">
      <w:pPr>
        <w:pStyle w:val="Textonotapie"/>
        <w:rPr>
          <w:szCs w:val="18"/>
        </w:rPr>
      </w:pPr>
      <w:r w:rsidRPr="000A47F7">
        <w:rPr>
          <w:szCs w:val="18"/>
          <w:lang w:val="en-GB"/>
        </w:rPr>
        <w:tab/>
      </w:r>
      <w:r w:rsidRPr="000A47F7">
        <w:rPr>
          <w:rStyle w:val="Refdenotaalpie"/>
          <w:szCs w:val="18"/>
        </w:rPr>
        <w:footnoteRef/>
      </w:r>
      <w:r w:rsidRPr="000A47F7">
        <w:rPr>
          <w:szCs w:val="18"/>
          <w:lang w:val="en-GB"/>
        </w:rPr>
        <w:tab/>
      </w:r>
      <w:r w:rsidRPr="000A47F7">
        <w:rPr>
          <w:szCs w:val="18"/>
          <w:lang w:val="en-GB"/>
        </w:rPr>
        <w:tab/>
      </w:r>
      <w:r w:rsidR="009345E0" w:rsidRPr="0045380A">
        <w:rPr>
          <w:i/>
          <w:iCs/>
          <w:szCs w:val="18"/>
          <w:lang w:val="en-GB"/>
        </w:rPr>
        <w:t>Ibid</w:t>
      </w:r>
      <w:r w:rsidR="009345E0">
        <w:rPr>
          <w:szCs w:val="18"/>
          <w:lang w:val="en-GB"/>
        </w:rPr>
        <w:t>.</w:t>
      </w:r>
      <w:r w:rsidRPr="000A47F7">
        <w:rPr>
          <w:szCs w:val="18"/>
          <w:lang w:val="en-GB"/>
        </w:rPr>
        <w:t>, párr.</w:t>
      </w:r>
      <w:r>
        <w:rPr>
          <w:szCs w:val="18"/>
          <w:lang w:val="en-GB"/>
        </w:rPr>
        <w:t xml:space="preserve"> </w:t>
      </w:r>
      <w:r w:rsidRPr="0045380A">
        <w:rPr>
          <w:szCs w:val="18"/>
        </w:rPr>
        <w:t>196.</w:t>
      </w:r>
    </w:p>
  </w:footnote>
  <w:footnote w:id="28">
    <w:p w14:paraId="11F79DF3" w14:textId="32831ED2" w:rsidR="008848AD" w:rsidRPr="0045380A" w:rsidRDefault="008848AD" w:rsidP="009C3600">
      <w:pPr>
        <w:pStyle w:val="Textonotapie"/>
        <w:rPr>
          <w:szCs w:val="18"/>
        </w:rPr>
      </w:pPr>
      <w:r w:rsidRPr="0045380A">
        <w:rPr>
          <w:szCs w:val="18"/>
        </w:rPr>
        <w:tab/>
      </w:r>
      <w:r w:rsidRPr="000A47F7">
        <w:rPr>
          <w:rStyle w:val="Refdenotaalpie"/>
          <w:szCs w:val="18"/>
        </w:rPr>
        <w:footnoteRef/>
      </w:r>
      <w:r w:rsidRPr="0045380A">
        <w:rPr>
          <w:i/>
          <w:iCs/>
          <w:szCs w:val="18"/>
        </w:rPr>
        <w:tab/>
      </w:r>
      <w:r w:rsidRPr="0045380A">
        <w:rPr>
          <w:i/>
          <w:iCs/>
          <w:szCs w:val="18"/>
        </w:rPr>
        <w:tab/>
      </w:r>
      <w:r w:rsidR="009345E0" w:rsidRPr="0045380A">
        <w:rPr>
          <w:i/>
          <w:iCs/>
          <w:szCs w:val="18"/>
        </w:rPr>
        <w:t>Ibid</w:t>
      </w:r>
      <w:r w:rsidR="009345E0" w:rsidRPr="0045380A">
        <w:rPr>
          <w:szCs w:val="18"/>
        </w:rPr>
        <w:t>.</w:t>
      </w:r>
      <w:r w:rsidRPr="0045380A">
        <w:rPr>
          <w:szCs w:val="18"/>
        </w:rPr>
        <w:t>, párr. 201.</w:t>
      </w:r>
    </w:p>
  </w:footnote>
  <w:footnote w:id="29">
    <w:p w14:paraId="526EF99F" w14:textId="0C1C714C" w:rsidR="008848AD" w:rsidRPr="00502F54" w:rsidRDefault="008848AD" w:rsidP="009C3600">
      <w:pPr>
        <w:pStyle w:val="Textonotapie"/>
        <w:rPr>
          <w:szCs w:val="18"/>
        </w:rPr>
      </w:pPr>
      <w:r w:rsidRPr="0045380A">
        <w:rPr>
          <w:szCs w:val="18"/>
        </w:rPr>
        <w:tab/>
      </w:r>
      <w:r w:rsidRPr="000A47F7">
        <w:rPr>
          <w:rStyle w:val="Refdenotaalpie"/>
          <w:szCs w:val="18"/>
        </w:rPr>
        <w:footnoteRef/>
      </w:r>
      <w:r w:rsidRPr="0045380A">
        <w:rPr>
          <w:szCs w:val="18"/>
        </w:rPr>
        <w:tab/>
      </w:r>
      <w:r w:rsidRPr="0045380A">
        <w:rPr>
          <w:szCs w:val="18"/>
        </w:rPr>
        <w:tab/>
      </w:r>
      <w:hyperlink r:id="rId28" w:history="1">
        <w:r w:rsidRPr="0045380A">
          <w:rPr>
            <w:rStyle w:val="Hipervnculo"/>
          </w:rPr>
          <w:t>A/HRC/49/23</w:t>
        </w:r>
      </w:hyperlink>
      <w:r w:rsidRPr="0045380A">
        <w:rPr>
          <w:szCs w:val="18"/>
        </w:rPr>
        <w:t xml:space="preserve">, </w:t>
      </w:r>
      <w:proofErr w:type="spellStart"/>
      <w:r w:rsidRPr="0045380A">
        <w:rPr>
          <w:szCs w:val="18"/>
        </w:rPr>
        <w:t>párrs</w:t>
      </w:r>
      <w:proofErr w:type="spellEnd"/>
      <w:r w:rsidRPr="0045380A">
        <w:rPr>
          <w:szCs w:val="18"/>
        </w:rPr>
        <w:t xml:space="preserve">. </w:t>
      </w:r>
      <w:r w:rsidRPr="00502F54">
        <w:rPr>
          <w:szCs w:val="18"/>
        </w:rPr>
        <w:t>25</w:t>
      </w:r>
      <w:r w:rsidR="006524CC">
        <w:rPr>
          <w:szCs w:val="18"/>
        </w:rPr>
        <w:t xml:space="preserve"> y </w:t>
      </w:r>
      <w:r w:rsidRPr="00502F54">
        <w:rPr>
          <w:szCs w:val="18"/>
        </w:rPr>
        <w:t>26.</w:t>
      </w:r>
    </w:p>
  </w:footnote>
  <w:footnote w:id="30">
    <w:p w14:paraId="066B351D" w14:textId="3FC4197B" w:rsidR="008848AD" w:rsidRPr="00502F54" w:rsidRDefault="008848AD" w:rsidP="009C3600">
      <w:pPr>
        <w:pStyle w:val="Textonotapie"/>
        <w:rPr>
          <w:szCs w:val="18"/>
        </w:rPr>
      </w:pPr>
      <w:r w:rsidRPr="00502F54">
        <w:rPr>
          <w:szCs w:val="18"/>
        </w:rPr>
        <w:tab/>
      </w:r>
      <w:r w:rsidRPr="0027788F">
        <w:rPr>
          <w:rStyle w:val="Refdenotaalpie"/>
          <w:szCs w:val="18"/>
        </w:rPr>
        <w:footnoteRef/>
      </w:r>
      <w:r w:rsidRPr="00502F54">
        <w:rPr>
          <w:szCs w:val="18"/>
        </w:rPr>
        <w:tab/>
      </w:r>
      <w:r w:rsidR="00147C3A" w:rsidRPr="0045380A">
        <w:rPr>
          <w:i/>
          <w:iCs/>
          <w:szCs w:val="18"/>
        </w:rPr>
        <w:t>Ibid</w:t>
      </w:r>
      <w:r w:rsidR="00147C3A" w:rsidRPr="0045380A">
        <w:rPr>
          <w:szCs w:val="18"/>
        </w:rPr>
        <w:t xml:space="preserve">., </w:t>
      </w:r>
      <w:r w:rsidRPr="00502F54">
        <w:rPr>
          <w:szCs w:val="18"/>
        </w:rPr>
        <w:t>párr. 25.</w:t>
      </w:r>
    </w:p>
  </w:footnote>
  <w:footnote w:id="31">
    <w:p w14:paraId="59E13FAC" w14:textId="3A33388B" w:rsidR="008848AD" w:rsidRPr="00502F54" w:rsidRDefault="008848AD" w:rsidP="009C3600">
      <w:pPr>
        <w:pStyle w:val="Textonotapie"/>
        <w:rPr>
          <w:szCs w:val="18"/>
        </w:rPr>
      </w:pPr>
      <w:r w:rsidRPr="00502F54">
        <w:rPr>
          <w:szCs w:val="18"/>
        </w:rPr>
        <w:tab/>
      </w:r>
      <w:r w:rsidRPr="000A47F7">
        <w:rPr>
          <w:rStyle w:val="Refdenotaalpie"/>
          <w:szCs w:val="18"/>
        </w:rPr>
        <w:footnoteRef/>
      </w:r>
      <w:r w:rsidRPr="00502F54">
        <w:rPr>
          <w:szCs w:val="18"/>
        </w:rPr>
        <w:tab/>
      </w:r>
      <w:r w:rsidRPr="00502F54">
        <w:rPr>
          <w:szCs w:val="18"/>
        </w:rPr>
        <w:tab/>
      </w:r>
      <w:r w:rsidR="006524CC" w:rsidRPr="0045380A">
        <w:rPr>
          <w:i/>
          <w:iCs/>
          <w:szCs w:val="18"/>
        </w:rPr>
        <w:t>Ibid.</w:t>
      </w:r>
      <w:r w:rsidR="006524CC">
        <w:rPr>
          <w:szCs w:val="18"/>
        </w:rPr>
        <w:t>, y</w:t>
      </w:r>
      <w:r w:rsidRPr="00502F54">
        <w:rPr>
          <w:szCs w:val="18"/>
        </w:rPr>
        <w:t xml:space="preserve"> </w:t>
      </w:r>
      <w:hyperlink r:id="rId29" w:history="1">
        <w:r w:rsidRPr="00416D5C">
          <w:rPr>
            <w:rStyle w:val="Hipervnculo"/>
            <w:szCs w:val="18"/>
          </w:rPr>
          <w:t>A/HRC/42/18</w:t>
        </w:r>
      </w:hyperlink>
      <w:r w:rsidRPr="00502F54">
        <w:rPr>
          <w:szCs w:val="18"/>
        </w:rPr>
        <w:t>, párr. 37.</w:t>
      </w:r>
    </w:p>
  </w:footnote>
  <w:footnote w:id="32">
    <w:p w14:paraId="7332B857" w14:textId="3D210C4C" w:rsidR="006B354D" w:rsidRPr="0045380A" w:rsidRDefault="006B354D">
      <w:pPr>
        <w:pStyle w:val="Textonotapie"/>
      </w:pPr>
      <w:r>
        <w:tab/>
      </w:r>
      <w:r>
        <w:rPr>
          <w:rStyle w:val="Refdenotaalpie"/>
        </w:rPr>
        <w:footnoteRef/>
      </w:r>
      <w:r>
        <w:tab/>
      </w:r>
      <w:r>
        <w:tab/>
      </w:r>
      <w:r w:rsidRPr="00B36669">
        <w:rPr>
          <w:szCs w:val="18"/>
        </w:rPr>
        <w:t>Véase ACNUDH</w:t>
      </w:r>
      <w:r>
        <w:rPr>
          <w:szCs w:val="18"/>
        </w:rPr>
        <w:t xml:space="preserve">, </w:t>
      </w:r>
      <w:hyperlink r:id="rId30" w:history="1">
        <w:r w:rsidR="00496192">
          <w:rPr>
            <w:rStyle w:val="Hipervnculo"/>
            <w:color w:val="auto"/>
            <w:szCs w:val="18"/>
          </w:rPr>
          <w:t>“Nicaragua</w:t>
        </w:r>
      </w:hyperlink>
      <w:r w:rsidR="00496192">
        <w:rPr>
          <w:rStyle w:val="Hipervnculo"/>
          <w:color w:val="auto"/>
          <w:szCs w:val="18"/>
        </w:rPr>
        <w:t xml:space="preserve"> debe poner fin a la represión de los derechos humanos – Expertos de la ONU”, comunicado de prensa, 22 de noviembre de 2018</w:t>
      </w:r>
      <w:r w:rsidR="00496192">
        <w:rPr>
          <w:szCs w:val="18"/>
        </w:rPr>
        <w:t>,</w:t>
      </w:r>
      <w:r w:rsidR="00F754FB">
        <w:rPr>
          <w:szCs w:val="18"/>
        </w:rPr>
        <w:t xml:space="preserve"> y</w:t>
      </w:r>
      <w:r w:rsidRPr="009E2FDA">
        <w:rPr>
          <w:szCs w:val="18"/>
        </w:rPr>
        <w:t xml:space="preserve"> </w:t>
      </w:r>
      <w:r w:rsidR="0082158A" w:rsidRPr="009E2FDA">
        <w:rPr>
          <w:szCs w:val="18"/>
        </w:rPr>
        <w:t>“</w:t>
      </w:r>
      <w:hyperlink r:id="rId31" w:history="1">
        <w:r w:rsidRPr="009E2FDA">
          <w:rPr>
            <w:rStyle w:val="Hipervnculo"/>
            <w:color w:val="auto"/>
            <w:szCs w:val="18"/>
          </w:rPr>
          <w:t xml:space="preserve">Violaciones de </w:t>
        </w:r>
        <w:r w:rsidR="00F754FB" w:rsidRPr="0082158A">
          <w:rPr>
            <w:rStyle w:val="Hipervnculo"/>
            <w:color w:val="auto"/>
            <w:szCs w:val="18"/>
          </w:rPr>
          <w:t>d</w:t>
        </w:r>
        <w:r w:rsidRPr="0082158A">
          <w:rPr>
            <w:rStyle w:val="Hipervnculo"/>
            <w:color w:val="auto"/>
            <w:szCs w:val="18"/>
          </w:rPr>
          <w:t xml:space="preserve">erechos </w:t>
        </w:r>
        <w:r w:rsidR="00F754FB" w:rsidRPr="0082158A">
          <w:rPr>
            <w:rStyle w:val="Hipervnculo"/>
            <w:color w:val="auto"/>
            <w:szCs w:val="18"/>
          </w:rPr>
          <w:t>h</w:t>
        </w:r>
        <w:r w:rsidRPr="0082158A">
          <w:rPr>
            <w:rStyle w:val="Hipervnculo"/>
            <w:color w:val="auto"/>
            <w:szCs w:val="18"/>
          </w:rPr>
          <w:t>umanos y abusos en el contexto de las protestas en Nicaragua 18 de abril – 18 de agosto de 2018</w:t>
        </w:r>
      </w:hyperlink>
      <w:r w:rsidR="0082158A" w:rsidRPr="0045380A">
        <w:rPr>
          <w:rStyle w:val="Hipervnculo"/>
          <w:color w:val="auto"/>
          <w:szCs w:val="18"/>
        </w:rPr>
        <w:t>”</w:t>
      </w:r>
      <w:r w:rsidRPr="0082158A">
        <w:rPr>
          <w:szCs w:val="18"/>
        </w:rPr>
        <w:t xml:space="preserve">, </w:t>
      </w:r>
      <w:r w:rsidRPr="000A47F7">
        <w:rPr>
          <w:szCs w:val="18"/>
        </w:rPr>
        <w:t xml:space="preserve">párr. </w:t>
      </w:r>
      <w:r w:rsidRPr="00972C11">
        <w:rPr>
          <w:szCs w:val="18"/>
        </w:rPr>
        <w:t>80</w:t>
      </w:r>
      <w:r w:rsidR="003724C9">
        <w:rPr>
          <w:szCs w:val="18"/>
        </w:rPr>
        <w:t>.</w:t>
      </w:r>
    </w:p>
  </w:footnote>
  <w:footnote w:id="33">
    <w:p w14:paraId="14DC9AB2" w14:textId="37E1A763" w:rsidR="008848AD" w:rsidRPr="0045380A" w:rsidRDefault="008848AD" w:rsidP="009C3600">
      <w:pPr>
        <w:pStyle w:val="Textonotapie"/>
        <w:rPr>
          <w:szCs w:val="18"/>
        </w:rPr>
      </w:pPr>
      <w:r w:rsidRPr="0045380A">
        <w:rPr>
          <w:szCs w:val="18"/>
        </w:rPr>
        <w:tab/>
      </w:r>
      <w:r w:rsidRPr="000A47F7">
        <w:rPr>
          <w:rStyle w:val="Refdenotaalpie"/>
          <w:szCs w:val="18"/>
        </w:rPr>
        <w:footnoteRef/>
      </w:r>
      <w:r w:rsidRPr="0045380A">
        <w:rPr>
          <w:szCs w:val="18"/>
        </w:rPr>
        <w:tab/>
      </w:r>
      <w:r w:rsidRPr="0045380A">
        <w:rPr>
          <w:szCs w:val="18"/>
        </w:rPr>
        <w:tab/>
      </w:r>
      <w:hyperlink r:id="rId32" w:history="1">
        <w:r w:rsidRPr="0045380A">
          <w:rPr>
            <w:rStyle w:val="Hipervnculo"/>
          </w:rPr>
          <w:t>A/HRC/46/21</w:t>
        </w:r>
      </w:hyperlink>
      <w:r w:rsidRPr="0045380A">
        <w:rPr>
          <w:szCs w:val="18"/>
        </w:rPr>
        <w:t>, párr. 42.</w:t>
      </w:r>
    </w:p>
  </w:footnote>
  <w:footnote w:id="34">
    <w:p w14:paraId="2F670881" w14:textId="66DF4A64" w:rsidR="002F610F" w:rsidRPr="0045380A" w:rsidRDefault="008848AD" w:rsidP="009C3600">
      <w:pPr>
        <w:pStyle w:val="Textonotapie"/>
        <w:rPr>
          <w:szCs w:val="18"/>
        </w:rPr>
      </w:pPr>
      <w:r w:rsidRPr="0045380A">
        <w:rPr>
          <w:szCs w:val="18"/>
        </w:rPr>
        <w:tab/>
      </w:r>
      <w:r w:rsidRPr="000A47F7">
        <w:rPr>
          <w:rStyle w:val="Refdenotaalpie"/>
          <w:szCs w:val="18"/>
        </w:rPr>
        <w:footnoteRef/>
      </w:r>
      <w:r w:rsidRPr="0045380A">
        <w:rPr>
          <w:szCs w:val="18"/>
        </w:rPr>
        <w:tab/>
      </w:r>
      <w:r w:rsidRPr="0045380A">
        <w:rPr>
          <w:szCs w:val="18"/>
        </w:rPr>
        <w:tab/>
      </w:r>
      <w:hyperlink r:id="rId33" w:history="1">
        <w:r w:rsidRPr="0045380A">
          <w:rPr>
            <w:rStyle w:val="Hipervnculo"/>
          </w:rPr>
          <w:t>A/HRC/42/18</w:t>
        </w:r>
      </w:hyperlink>
      <w:r w:rsidRPr="0045380A">
        <w:rPr>
          <w:szCs w:val="18"/>
        </w:rPr>
        <w:t>, párr. 32.</w:t>
      </w:r>
    </w:p>
  </w:footnote>
  <w:footnote w:id="35">
    <w:p w14:paraId="754AA376" w14:textId="70B2588F" w:rsidR="008848AD" w:rsidRPr="0045380A" w:rsidRDefault="0083460A" w:rsidP="009C3600">
      <w:pPr>
        <w:pStyle w:val="Textonotapie"/>
        <w:rPr>
          <w:szCs w:val="18"/>
        </w:rPr>
      </w:pPr>
      <w:r>
        <w:rPr>
          <w:szCs w:val="18"/>
        </w:rPr>
        <w:tab/>
      </w:r>
      <w:r w:rsidR="008848AD" w:rsidRPr="000A47F7">
        <w:rPr>
          <w:rStyle w:val="Refdenotaalpie"/>
          <w:szCs w:val="18"/>
        </w:rPr>
        <w:footnoteRef/>
      </w:r>
      <w:r w:rsidR="008848AD" w:rsidRPr="0045380A">
        <w:rPr>
          <w:szCs w:val="18"/>
        </w:rPr>
        <w:tab/>
      </w:r>
      <w:hyperlink r:id="rId34" w:history="1">
        <w:r w:rsidR="008848AD" w:rsidRPr="0045380A">
          <w:rPr>
            <w:rStyle w:val="Hipervnculo"/>
          </w:rPr>
          <w:t>A/HRC/42/18</w:t>
        </w:r>
      </w:hyperlink>
      <w:r w:rsidR="008848AD" w:rsidRPr="0045380A">
        <w:rPr>
          <w:szCs w:val="18"/>
        </w:rPr>
        <w:t>, párr. 36;</w:t>
      </w:r>
      <w:r w:rsidR="00DC09E0" w:rsidRPr="0045380A">
        <w:rPr>
          <w:szCs w:val="18"/>
        </w:rPr>
        <w:t xml:space="preserve"> y</w:t>
      </w:r>
      <w:r w:rsidR="008848AD" w:rsidRPr="0045380A">
        <w:rPr>
          <w:szCs w:val="18"/>
        </w:rPr>
        <w:t xml:space="preserve"> </w:t>
      </w:r>
      <w:hyperlink r:id="rId35" w:history="1">
        <w:r w:rsidR="008848AD" w:rsidRPr="0045380A">
          <w:rPr>
            <w:rStyle w:val="Hipervnculo"/>
          </w:rPr>
          <w:t>A/HRC/49/23</w:t>
        </w:r>
      </w:hyperlink>
      <w:r w:rsidR="008848AD" w:rsidRPr="0045380A">
        <w:rPr>
          <w:szCs w:val="18"/>
        </w:rPr>
        <w:t>, párr. 26</w:t>
      </w:r>
      <w:r w:rsidR="00DC09E0">
        <w:rPr>
          <w:rStyle w:val="Hipervnculo"/>
          <w:color w:val="auto"/>
        </w:rPr>
        <w:t>.</w:t>
      </w:r>
    </w:p>
  </w:footnote>
  <w:footnote w:id="36">
    <w:p w14:paraId="4B6DEF83" w14:textId="04FC5539" w:rsidR="008848AD" w:rsidRPr="009C6D32" w:rsidRDefault="008848AD" w:rsidP="009C3600">
      <w:pPr>
        <w:pStyle w:val="Textonotapie"/>
        <w:rPr>
          <w:szCs w:val="18"/>
          <w:lang w:val="en-GB"/>
        </w:rPr>
      </w:pPr>
      <w:r w:rsidRPr="0045380A">
        <w:rPr>
          <w:szCs w:val="18"/>
        </w:rPr>
        <w:tab/>
      </w:r>
      <w:r w:rsidRPr="000A47F7">
        <w:rPr>
          <w:rStyle w:val="Refdenotaalpie"/>
          <w:szCs w:val="18"/>
        </w:rPr>
        <w:footnoteRef/>
      </w:r>
      <w:r w:rsidRPr="009C6D32">
        <w:rPr>
          <w:szCs w:val="18"/>
          <w:lang w:val="en-GB"/>
        </w:rPr>
        <w:tab/>
      </w:r>
      <w:r w:rsidRPr="009C6D32">
        <w:rPr>
          <w:szCs w:val="18"/>
          <w:lang w:val="en-GB"/>
        </w:rPr>
        <w:tab/>
      </w:r>
      <w:hyperlink r:id="rId36" w:history="1">
        <w:r w:rsidRPr="00416D5C">
          <w:rPr>
            <w:rStyle w:val="Hipervnculo"/>
            <w:szCs w:val="18"/>
            <w:lang w:val="en-GB"/>
          </w:rPr>
          <w:t>A/HRC/42/18</w:t>
        </w:r>
      </w:hyperlink>
      <w:r w:rsidRPr="009C6D32">
        <w:rPr>
          <w:szCs w:val="18"/>
          <w:lang w:val="en-GB"/>
        </w:rPr>
        <w:t xml:space="preserve">, </w:t>
      </w:r>
      <w:proofErr w:type="spellStart"/>
      <w:r w:rsidRPr="009C6D32">
        <w:rPr>
          <w:szCs w:val="18"/>
          <w:lang w:val="en-GB"/>
        </w:rPr>
        <w:t>párr</w:t>
      </w:r>
      <w:proofErr w:type="spellEnd"/>
      <w:r w:rsidRPr="009C6D32">
        <w:rPr>
          <w:szCs w:val="18"/>
          <w:lang w:val="en-GB"/>
        </w:rPr>
        <w:t>. 32.</w:t>
      </w:r>
    </w:p>
  </w:footnote>
  <w:footnote w:id="37">
    <w:p w14:paraId="538A41FD" w14:textId="5F5E1524" w:rsidR="008848AD" w:rsidRPr="009C6D32" w:rsidRDefault="008848AD" w:rsidP="009C3600">
      <w:pPr>
        <w:pStyle w:val="Textonotapie"/>
        <w:rPr>
          <w:szCs w:val="18"/>
          <w:lang w:val="en-GB"/>
        </w:rPr>
      </w:pPr>
      <w:r w:rsidRPr="009C6D32">
        <w:rPr>
          <w:szCs w:val="18"/>
          <w:lang w:val="en-GB"/>
        </w:rPr>
        <w:tab/>
      </w:r>
      <w:r w:rsidRPr="000A47F7">
        <w:rPr>
          <w:rStyle w:val="Refdenotaalpie"/>
          <w:szCs w:val="18"/>
        </w:rPr>
        <w:footnoteRef/>
      </w:r>
      <w:r w:rsidRPr="009C6D32">
        <w:rPr>
          <w:szCs w:val="18"/>
          <w:lang w:val="en-GB"/>
        </w:rPr>
        <w:tab/>
      </w:r>
      <w:r w:rsidRPr="009C6D32">
        <w:rPr>
          <w:szCs w:val="18"/>
          <w:lang w:val="en-GB"/>
        </w:rPr>
        <w:tab/>
      </w:r>
      <w:hyperlink r:id="rId37" w:history="1">
        <w:r w:rsidRPr="00416D5C">
          <w:rPr>
            <w:rStyle w:val="Hipervnculo"/>
            <w:szCs w:val="18"/>
            <w:lang w:val="en-GB"/>
          </w:rPr>
          <w:t>A/HRC/46/21</w:t>
        </w:r>
      </w:hyperlink>
      <w:r w:rsidRPr="009C6D32">
        <w:rPr>
          <w:szCs w:val="18"/>
          <w:lang w:val="en-GB"/>
        </w:rPr>
        <w:t xml:space="preserve">, </w:t>
      </w:r>
      <w:proofErr w:type="spellStart"/>
      <w:r w:rsidRPr="009C6D32">
        <w:rPr>
          <w:szCs w:val="18"/>
          <w:lang w:val="en-GB"/>
        </w:rPr>
        <w:t>párr</w:t>
      </w:r>
      <w:proofErr w:type="spellEnd"/>
      <w:r w:rsidRPr="009C6D32">
        <w:rPr>
          <w:szCs w:val="18"/>
          <w:lang w:val="en-GB"/>
        </w:rPr>
        <w:t>. 43.</w:t>
      </w:r>
    </w:p>
  </w:footnote>
  <w:footnote w:id="38">
    <w:p w14:paraId="7A127919" w14:textId="375DF114" w:rsidR="008848AD" w:rsidRPr="000A47F7" w:rsidRDefault="008848AD" w:rsidP="009C3600">
      <w:pPr>
        <w:pStyle w:val="Textonotapie"/>
        <w:rPr>
          <w:szCs w:val="18"/>
          <w:lang w:val="en-GB"/>
        </w:rPr>
      </w:pPr>
      <w:r w:rsidRPr="009C6D32">
        <w:rPr>
          <w:szCs w:val="18"/>
          <w:lang w:val="en-GB"/>
        </w:rPr>
        <w:tab/>
      </w:r>
      <w:r w:rsidRPr="000A47F7">
        <w:rPr>
          <w:rStyle w:val="Refdenotaalpie"/>
          <w:szCs w:val="18"/>
        </w:rPr>
        <w:footnoteRef/>
      </w:r>
      <w:r w:rsidRPr="000A47F7">
        <w:rPr>
          <w:szCs w:val="18"/>
          <w:lang w:val="en-GB"/>
        </w:rPr>
        <w:tab/>
      </w:r>
      <w:r w:rsidRPr="000A47F7">
        <w:rPr>
          <w:szCs w:val="18"/>
          <w:lang w:val="en-GB"/>
        </w:rPr>
        <w:tab/>
      </w:r>
      <w:hyperlink r:id="rId38" w:history="1">
        <w:r w:rsidRPr="00416D5C">
          <w:rPr>
            <w:rStyle w:val="Hipervnculo"/>
            <w:szCs w:val="18"/>
            <w:lang w:val="en-GB"/>
          </w:rPr>
          <w:t>CAT/C/NIC/2</w:t>
        </w:r>
      </w:hyperlink>
      <w:r w:rsidRPr="000A47F7">
        <w:rPr>
          <w:szCs w:val="18"/>
          <w:lang w:val="en-GB"/>
        </w:rPr>
        <w:t xml:space="preserve">, </w:t>
      </w:r>
      <w:proofErr w:type="spellStart"/>
      <w:r w:rsidRPr="000A47F7">
        <w:rPr>
          <w:szCs w:val="18"/>
          <w:lang w:val="en-GB"/>
        </w:rPr>
        <w:t>párr</w:t>
      </w:r>
      <w:proofErr w:type="spellEnd"/>
      <w:r w:rsidRPr="000A47F7">
        <w:rPr>
          <w:szCs w:val="18"/>
          <w:lang w:val="en-GB"/>
        </w:rPr>
        <w:t>. 54.</w:t>
      </w:r>
    </w:p>
  </w:footnote>
  <w:footnote w:id="39">
    <w:p w14:paraId="2E54B22A" w14:textId="2FE8AF24" w:rsidR="008848AD" w:rsidRPr="0045380A" w:rsidRDefault="008848AD" w:rsidP="009C3600">
      <w:pPr>
        <w:pStyle w:val="Textonotapie"/>
      </w:pPr>
      <w:r w:rsidRPr="00E321B9">
        <w:rPr>
          <w:lang w:val="en-GB"/>
        </w:rPr>
        <w:tab/>
      </w:r>
      <w:r>
        <w:rPr>
          <w:rStyle w:val="Refdenotaalpie"/>
        </w:rPr>
        <w:footnoteRef/>
      </w:r>
      <w:r>
        <w:rPr>
          <w:lang w:val="en-GB"/>
        </w:rPr>
        <w:tab/>
      </w:r>
      <w:r>
        <w:rPr>
          <w:lang w:val="en-GB"/>
        </w:rPr>
        <w:tab/>
      </w:r>
      <w:hyperlink r:id="rId39" w:history="1">
        <w:r w:rsidR="003724C9" w:rsidRPr="00416D5C">
          <w:rPr>
            <w:rStyle w:val="Hipervnculo"/>
            <w:szCs w:val="18"/>
            <w:lang w:val="en-GB"/>
          </w:rPr>
          <w:t>A/HRC/</w:t>
        </w:r>
        <w:proofErr w:type="spellStart"/>
        <w:r w:rsidR="003724C9" w:rsidRPr="00416D5C">
          <w:rPr>
            <w:rStyle w:val="Hipervnculo"/>
            <w:szCs w:val="18"/>
            <w:lang w:val="en-GB"/>
          </w:rPr>
          <w:t>WG.6</w:t>
        </w:r>
        <w:proofErr w:type="spellEnd"/>
        <w:r w:rsidR="003724C9" w:rsidRPr="00416D5C">
          <w:rPr>
            <w:rStyle w:val="Hipervnculo"/>
            <w:szCs w:val="18"/>
            <w:lang w:val="en-GB"/>
          </w:rPr>
          <w:t>/33/NIC/3</w:t>
        </w:r>
      </w:hyperlink>
      <w:r w:rsidR="003724C9" w:rsidRPr="000A47F7">
        <w:rPr>
          <w:szCs w:val="18"/>
          <w:lang w:val="en-GB"/>
        </w:rPr>
        <w:t xml:space="preserve">, </w:t>
      </w:r>
      <w:proofErr w:type="spellStart"/>
      <w:r w:rsidR="003724C9" w:rsidRPr="000A47F7">
        <w:rPr>
          <w:szCs w:val="18"/>
          <w:lang w:val="en-GB"/>
        </w:rPr>
        <w:t>párr</w:t>
      </w:r>
      <w:r w:rsidR="003724C9">
        <w:rPr>
          <w:szCs w:val="18"/>
          <w:lang w:val="en-GB"/>
        </w:rPr>
        <w:t>s</w:t>
      </w:r>
      <w:proofErr w:type="spellEnd"/>
      <w:r w:rsidR="003724C9" w:rsidRPr="000A47F7">
        <w:rPr>
          <w:szCs w:val="18"/>
          <w:lang w:val="en-GB"/>
        </w:rPr>
        <w:t xml:space="preserve">. </w:t>
      </w:r>
      <w:r w:rsidR="003724C9" w:rsidRPr="0045380A">
        <w:rPr>
          <w:szCs w:val="18"/>
        </w:rPr>
        <w:t>9</w:t>
      </w:r>
      <w:r w:rsidR="000C224D" w:rsidRPr="0045380A">
        <w:rPr>
          <w:szCs w:val="18"/>
        </w:rPr>
        <w:t xml:space="preserve"> y </w:t>
      </w:r>
      <w:r w:rsidR="003724C9" w:rsidRPr="0045380A">
        <w:rPr>
          <w:szCs w:val="18"/>
        </w:rPr>
        <w:t xml:space="preserve">10; </w:t>
      </w:r>
      <w:hyperlink r:id="rId40" w:history="1">
        <w:r w:rsidR="003724C9" w:rsidRPr="0045380A">
          <w:rPr>
            <w:rStyle w:val="Hipervnculo"/>
          </w:rPr>
          <w:t>A/HRC/42/16</w:t>
        </w:r>
      </w:hyperlink>
      <w:r w:rsidR="003724C9" w:rsidRPr="0045380A">
        <w:t xml:space="preserve">, </w:t>
      </w:r>
      <w:proofErr w:type="spellStart"/>
      <w:r w:rsidR="003724C9" w:rsidRPr="0045380A">
        <w:rPr>
          <w:szCs w:val="18"/>
        </w:rPr>
        <w:t>párrs</w:t>
      </w:r>
      <w:proofErr w:type="spellEnd"/>
      <w:r w:rsidR="003724C9" w:rsidRPr="0045380A">
        <w:rPr>
          <w:szCs w:val="18"/>
        </w:rPr>
        <w:t>. 125.37, 125.38,</w:t>
      </w:r>
      <w:r w:rsidR="003724C9" w:rsidRPr="0045380A">
        <w:t xml:space="preserve"> 125.40, 125.41, 125.43</w:t>
      </w:r>
      <w:r w:rsidR="00B66BE1" w:rsidRPr="0045380A">
        <w:t xml:space="preserve"> </w:t>
      </w:r>
      <w:r w:rsidR="00B66BE1" w:rsidRPr="007D27DB">
        <w:t>y</w:t>
      </w:r>
      <w:r w:rsidR="003724C9" w:rsidRPr="0045380A">
        <w:t xml:space="preserve"> 125.45</w:t>
      </w:r>
      <w:r w:rsidR="00B66BE1" w:rsidRPr="007D27DB">
        <w:rPr>
          <w:szCs w:val="18"/>
        </w:rPr>
        <w:t>;</w:t>
      </w:r>
      <w:r w:rsidR="003724C9" w:rsidRPr="0045380A">
        <w:rPr>
          <w:szCs w:val="18"/>
        </w:rPr>
        <w:t xml:space="preserve"> </w:t>
      </w:r>
      <w:hyperlink r:id="rId41" w:history="1">
        <w:r w:rsidR="003724C9" w:rsidRPr="0045380A">
          <w:rPr>
            <w:rStyle w:val="Hipervnculo"/>
          </w:rPr>
          <w:t>A/HRC/42/16/</w:t>
        </w:r>
        <w:proofErr w:type="spellStart"/>
        <w:r w:rsidR="003724C9" w:rsidRPr="0045380A">
          <w:rPr>
            <w:rStyle w:val="Hipervnculo"/>
          </w:rPr>
          <w:t>Add.1</w:t>
        </w:r>
        <w:proofErr w:type="spellEnd"/>
      </w:hyperlink>
      <w:r w:rsidR="003724C9" w:rsidRPr="0045380A">
        <w:t xml:space="preserve">; </w:t>
      </w:r>
      <w:hyperlink r:id="rId42" w:history="1">
        <w:r w:rsidRPr="0045380A">
          <w:rPr>
            <w:rStyle w:val="Hipervnculo"/>
            <w:bCs/>
            <w:szCs w:val="18"/>
          </w:rPr>
          <w:t>E/C.12/NIC/CO/5</w:t>
        </w:r>
      </w:hyperlink>
      <w:r w:rsidRPr="0045380A">
        <w:rPr>
          <w:szCs w:val="18"/>
        </w:rPr>
        <w:t xml:space="preserve">, </w:t>
      </w:r>
      <w:proofErr w:type="spellStart"/>
      <w:r w:rsidRPr="0045380A">
        <w:rPr>
          <w:szCs w:val="18"/>
        </w:rPr>
        <w:t>párrs</w:t>
      </w:r>
      <w:proofErr w:type="spellEnd"/>
      <w:r w:rsidRPr="0045380A">
        <w:rPr>
          <w:szCs w:val="18"/>
        </w:rPr>
        <w:t>. 7</w:t>
      </w:r>
      <w:r w:rsidR="00B66BE1" w:rsidRPr="0045380A">
        <w:rPr>
          <w:szCs w:val="18"/>
        </w:rPr>
        <w:t xml:space="preserve"> y </w:t>
      </w:r>
      <w:r w:rsidRPr="0045380A">
        <w:rPr>
          <w:szCs w:val="18"/>
        </w:rPr>
        <w:t>8;</w:t>
      </w:r>
      <w:r w:rsidR="00B66BE1" w:rsidRPr="0045380A">
        <w:rPr>
          <w:szCs w:val="18"/>
        </w:rPr>
        <w:t xml:space="preserve"> y</w:t>
      </w:r>
      <w:r w:rsidRPr="0045380A">
        <w:rPr>
          <w:szCs w:val="18"/>
        </w:rPr>
        <w:t xml:space="preserve"> </w:t>
      </w:r>
      <w:hyperlink r:id="rId43" w:history="1">
        <w:proofErr w:type="spellStart"/>
        <w:r w:rsidRPr="0045380A">
          <w:rPr>
            <w:rStyle w:val="Hipervnculo"/>
            <w:bCs/>
            <w:szCs w:val="18"/>
          </w:rPr>
          <w:t>CMW</w:t>
        </w:r>
        <w:proofErr w:type="spellEnd"/>
        <w:r w:rsidRPr="0045380A">
          <w:rPr>
            <w:rStyle w:val="Hipervnculo"/>
            <w:bCs/>
            <w:szCs w:val="18"/>
          </w:rPr>
          <w:t>/C/NIC/CO/1</w:t>
        </w:r>
      </w:hyperlink>
      <w:r w:rsidRPr="0045380A">
        <w:rPr>
          <w:bCs/>
          <w:szCs w:val="18"/>
        </w:rPr>
        <w:t xml:space="preserve">, </w:t>
      </w:r>
      <w:proofErr w:type="spellStart"/>
      <w:r w:rsidRPr="0045380A">
        <w:rPr>
          <w:szCs w:val="18"/>
        </w:rPr>
        <w:t>párrs</w:t>
      </w:r>
      <w:proofErr w:type="spellEnd"/>
      <w:r w:rsidRPr="0045380A">
        <w:rPr>
          <w:szCs w:val="18"/>
        </w:rPr>
        <w:t xml:space="preserve">. </w:t>
      </w:r>
      <w:r w:rsidRPr="0045380A">
        <w:rPr>
          <w:bCs/>
          <w:szCs w:val="18"/>
        </w:rPr>
        <w:t>27</w:t>
      </w:r>
      <w:r w:rsidR="00B66BE1" w:rsidRPr="0045380A">
        <w:rPr>
          <w:bCs/>
          <w:szCs w:val="18"/>
        </w:rPr>
        <w:t xml:space="preserve"> y </w:t>
      </w:r>
      <w:r w:rsidRPr="0045380A">
        <w:rPr>
          <w:bCs/>
          <w:szCs w:val="18"/>
        </w:rPr>
        <w:t>28.</w:t>
      </w:r>
    </w:p>
  </w:footnote>
  <w:footnote w:id="40">
    <w:p w14:paraId="4B82F369" w14:textId="0C93B992" w:rsidR="00E3640D" w:rsidRPr="005026E8" w:rsidRDefault="00416D5C">
      <w:pPr>
        <w:pStyle w:val="Textonotapie"/>
      </w:pPr>
      <w:r>
        <w:tab/>
      </w:r>
      <w:r w:rsidR="00E3640D">
        <w:rPr>
          <w:rStyle w:val="Refdenotaalpie"/>
        </w:rPr>
        <w:footnoteRef/>
      </w:r>
      <w:r>
        <w:tab/>
      </w:r>
      <w:hyperlink r:id="rId44" w:history="1">
        <w:r w:rsidR="00E3640D" w:rsidRPr="00416D5C">
          <w:rPr>
            <w:rStyle w:val="Hipervnculo"/>
          </w:rPr>
          <w:t>CAT/OP/12/5</w:t>
        </w:r>
      </w:hyperlink>
      <w:r w:rsidR="003B2790" w:rsidRPr="005026E8">
        <w:t>.</w:t>
      </w:r>
    </w:p>
  </w:footnote>
  <w:footnote w:id="41">
    <w:p w14:paraId="0243D120" w14:textId="1A42D714" w:rsidR="008848AD" w:rsidRPr="0045380A" w:rsidRDefault="008848AD" w:rsidP="009C3600">
      <w:pPr>
        <w:pStyle w:val="Textonotapie"/>
      </w:pPr>
      <w:r w:rsidRPr="0045380A">
        <w:tab/>
      </w:r>
      <w:r>
        <w:rPr>
          <w:rStyle w:val="Refdenotaalpie"/>
        </w:rPr>
        <w:footnoteRef/>
      </w:r>
      <w:r w:rsidRPr="0045380A">
        <w:tab/>
      </w:r>
      <w:r w:rsidRPr="0045380A">
        <w:tab/>
      </w:r>
      <w:r w:rsidRPr="0045380A">
        <w:rPr>
          <w:szCs w:val="18"/>
        </w:rPr>
        <w:t xml:space="preserve">Véase </w:t>
      </w:r>
      <w:r w:rsidR="003B2790" w:rsidRPr="0045380A">
        <w:rPr>
          <w:szCs w:val="18"/>
        </w:rPr>
        <w:t xml:space="preserve">Naciones </w:t>
      </w:r>
      <w:r w:rsidR="003B2790" w:rsidRPr="0091706D">
        <w:rPr>
          <w:szCs w:val="18"/>
        </w:rPr>
        <w:t>Unidas, “</w:t>
      </w:r>
      <w:r w:rsidR="003B2790" w:rsidRPr="00761DA2">
        <w:rPr>
          <w:szCs w:val="18"/>
        </w:rPr>
        <w:t xml:space="preserve">UN torture prevention body announces </w:t>
      </w:r>
      <w:r w:rsidR="003B2790" w:rsidRPr="0045380A">
        <w:rPr>
          <w:szCs w:val="18"/>
        </w:rPr>
        <w:t xml:space="preserve">visits for 2023”, comunicado de </w:t>
      </w:r>
      <w:r w:rsidR="003B2790">
        <w:rPr>
          <w:szCs w:val="18"/>
        </w:rPr>
        <w:t xml:space="preserve">prensa, 30 de junio de 2022 (en inglés solamente). Disponible en </w:t>
      </w:r>
      <w:hyperlink r:id="rId45" w:history="1">
        <w:r w:rsidR="003B2790" w:rsidRPr="0045380A">
          <w:rPr>
            <w:rStyle w:val="Hipervnculo"/>
          </w:rPr>
          <w:t>https://www.ohchr.org/en/press-releases/2022/06/un-torture-prevention-body-announces-visits-2023</w:t>
        </w:r>
      </w:hyperlink>
      <w:r w:rsidR="003B2790">
        <w:rPr>
          <w:szCs w:val="18"/>
        </w:rPr>
        <w:t>.</w:t>
      </w:r>
    </w:p>
  </w:footnote>
  <w:footnote w:id="42">
    <w:p w14:paraId="7EBA6042" w14:textId="23AAFFE2" w:rsidR="008848AD" w:rsidRPr="0045380A" w:rsidRDefault="008848AD" w:rsidP="009C3600">
      <w:pPr>
        <w:pStyle w:val="Textonotapie"/>
        <w:rPr>
          <w:szCs w:val="18"/>
        </w:rPr>
      </w:pPr>
      <w:r w:rsidRPr="0045380A">
        <w:rPr>
          <w:szCs w:val="18"/>
        </w:rPr>
        <w:tab/>
      </w:r>
      <w:r w:rsidRPr="000A47F7">
        <w:rPr>
          <w:rStyle w:val="Refdenotaalpie"/>
          <w:szCs w:val="18"/>
        </w:rPr>
        <w:footnoteRef/>
      </w:r>
      <w:r w:rsidRPr="0045380A">
        <w:rPr>
          <w:szCs w:val="18"/>
        </w:rPr>
        <w:tab/>
      </w:r>
      <w:r w:rsidRPr="0045380A">
        <w:rPr>
          <w:szCs w:val="18"/>
        </w:rPr>
        <w:tab/>
      </w:r>
      <w:hyperlink r:id="rId46" w:history="1">
        <w:r w:rsidRPr="0045380A">
          <w:rPr>
            <w:rStyle w:val="Hipervnculo"/>
          </w:rPr>
          <w:t>A/HRC/42/18</w:t>
        </w:r>
      </w:hyperlink>
      <w:r w:rsidRPr="0045380A">
        <w:rPr>
          <w:szCs w:val="18"/>
        </w:rPr>
        <w:t xml:space="preserve">, </w:t>
      </w:r>
      <w:proofErr w:type="spellStart"/>
      <w:r w:rsidRPr="0045380A">
        <w:rPr>
          <w:szCs w:val="18"/>
        </w:rPr>
        <w:t>párrs</w:t>
      </w:r>
      <w:proofErr w:type="spellEnd"/>
      <w:r w:rsidRPr="0045380A">
        <w:rPr>
          <w:szCs w:val="18"/>
        </w:rPr>
        <w:t>. 30</w:t>
      </w:r>
      <w:r w:rsidR="00761DA2" w:rsidRPr="0045380A">
        <w:rPr>
          <w:szCs w:val="18"/>
        </w:rPr>
        <w:t xml:space="preserve"> a </w:t>
      </w:r>
      <w:r w:rsidRPr="0045380A">
        <w:rPr>
          <w:szCs w:val="18"/>
        </w:rPr>
        <w:t xml:space="preserve">32; </w:t>
      </w:r>
      <w:hyperlink r:id="rId47" w:history="1">
        <w:r w:rsidRPr="0045380A">
          <w:rPr>
            <w:rStyle w:val="Hipervnculo"/>
          </w:rPr>
          <w:t>A/HRC/</w:t>
        </w:r>
        <w:proofErr w:type="spellStart"/>
        <w:r w:rsidRPr="0045380A">
          <w:rPr>
            <w:rStyle w:val="Hipervnculo"/>
          </w:rPr>
          <w:t>WG.6</w:t>
        </w:r>
        <w:proofErr w:type="spellEnd"/>
        <w:r w:rsidRPr="0045380A">
          <w:rPr>
            <w:rStyle w:val="Hipervnculo"/>
          </w:rPr>
          <w:t>/33/NIC/3</w:t>
        </w:r>
      </w:hyperlink>
      <w:r w:rsidRPr="0045380A">
        <w:rPr>
          <w:szCs w:val="18"/>
        </w:rPr>
        <w:t xml:space="preserve">, </w:t>
      </w:r>
      <w:proofErr w:type="spellStart"/>
      <w:r w:rsidRPr="0045380A">
        <w:rPr>
          <w:szCs w:val="18"/>
        </w:rPr>
        <w:t>párrs</w:t>
      </w:r>
      <w:proofErr w:type="spellEnd"/>
      <w:r w:rsidRPr="0045380A">
        <w:rPr>
          <w:szCs w:val="18"/>
        </w:rPr>
        <w:t xml:space="preserve">. </w:t>
      </w:r>
      <w:r w:rsidRPr="00204C87">
        <w:rPr>
          <w:szCs w:val="18"/>
        </w:rPr>
        <w:t>31</w:t>
      </w:r>
      <w:r w:rsidR="00761DA2">
        <w:rPr>
          <w:szCs w:val="18"/>
        </w:rPr>
        <w:t xml:space="preserve"> y </w:t>
      </w:r>
      <w:r w:rsidRPr="00204C87">
        <w:rPr>
          <w:szCs w:val="18"/>
        </w:rPr>
        <w:t>32</w:t>
      </w:r>
      <w:r w:rsidR="00993CEA" w:rsidRPr="00204C87">
        <w:rPr>
          <w:szCs w:val="18"/>
        </w:rPr>
        <w:t xml:space="preserve">; </w:t>
      </w:r>
      <w:r w:rsidR="006504FA">
        <w:rPr>
          <w:szCs w:val="18"/>
        </w:rPr>
        <w:t>y</w:t>
      </w:r>
      <w:r w:rsidR="00993CEA" w:rsidRPr="00590F27">
        <w:rPr>
          <w:szCs w:val="18"/>
        </w:rPr>
        <w:t xml:space="preserve"> </w:t>
      </w:r>
      <w:r w:rsidR="00993CEA" w:rsidRPr="00972C11">
        <w:rPr>
          <w:szCs w:val="18"/>
        </w:rPr>
        <w:t>ACNUDH</w:t>
      </w:r>
      <w:r w:rsidR="00993CEA" w:rsidRPr="009E2FDA">
        <w:rPr>
          <w:szCs w:val="18"/>
        </w:rPr>
        <w:t>,</w:t>
      </w:r>
      <w:r w:rsidR="00761DA2" w:rsidRPr="0082158A">
        <w:rPr>
          <w:szCs w:val="18"/>
        </w:rPr>
        <w:t xml:space="preserve"> </w:t>
      </w:r>
      <w:r w:rsidR="0082158A" w:rsidRPr="0082158A">
        <w:rPr>
          <w:szCs w:val="18"/>
        </w:rPr>
        <w:t>“</w:t>
      </w:r>
      <w:hyperlink r:id="rId48" w:history="1">
        <w:r w:rsidR="00761DA2" w:rsidRPr="0045380A">
          <w:rPr>
            <w:rStyle w:val="Hipervnculo"/>
            <w:color w:val="auto"/>
            <w:szCs w:val="18"/>
          </w:rPr>
          <w:t>Violaciones de derechos humanos y abusos en el contexto de las protestas en Nicaragua 18 de abril – 18 de agosto de</w:t>
        </w:r>
        <w:r w:rsidR="00416D5C">
          <w:rPr>
            <w:rStyle w:val="Hipervnculo"/>
            <w:color w:val="auto"/>
            <w:szCs w:val="18"/>
          </w:rPr>
          <w:t> </w:t>
        </w:r>
        <w:r w:rsidR="00761DA2" w:rsidRPr="0045380A">
          <w:rPr>
            <w:rStyle w:val="Hipervnculo"/>
            <w:color w:val="auto"/>
            <w:szCs w:val="18"/>
          </w:rPr>
          <w:t>2018</w:t>
        </w:r>
      </w:hyperlink>
      <w:r w:rsidR="0082158A" w:rsidRPr="0045380A">
        <w:rPr>
          <w:rStyle w:val="Hipervnculo"/>
          <w:color w:val="auto"/>
          <w:szCs w:val="18"/>
        </w:rPr>
        <w:t>”</w:t>
      </w:r>
      <w:r w:rsidR="00761DA2" w:rsidRPr="009E2FDA">
        <w:rPr>
          <w:szCs w:val="18"/>
        </w:rPr>
        <w:t xml:space="preserve">, </w:t>
      </w:r>
      <w:r w:rsidR="00993CEA" w:rsidRPr="00590F27">
        <w:rPr>
          <w:szCs w:val="18"/>
        </w:rPr>
        <w:t>p</w:t>
      </w:r>
      <w:r w:rsidR="00993CEA" w:rsidRPr="00972C11">
        <w:rPr>
          <w:szCs w:val="18"/>
        </w:rPr>
        <w:t>ág. 7</w:t>
      </w:r>
      <w:r w:rsidR="00993CEA">
        <w:rPr>
          <w:szCs w:val="18"/>
        </w:rPr>
        <w:t>.</w:t>
      </w:r>
    </w:p>
  </w:footnote>
  <w:footnote w:id="43">
    <w:p w14:paraId="4F0BC78D" w14:textId="72273540" w:rsidR="008848AD" w:rsidRPr="009C6D32" w:rsidRDefault="008848AD" w:rsidP="009C3600">
      <w:pPr>
        <w:pStyle w:val="Textonotapie"/>
        <w:rPr>
          <w:szCs w:val="18"/>
          <w:lang w:val="en-GB"/>
        </w:rPr>
      </w:pPr>
      <w:r w:rsidRPr="0045380A">
        <w:tab/>
      </w:r>
      <w:r>
        <w:rPr>
          <w:rStyle w:val="Refdenotaalpie"/>
        </w:rPr>
        <w:footnoteRef/>
      </w:r>
      <w:r w:rsidRPr="009C6D32">
        <w:rPr>
          <w:lang w:val="en-GB"/>
        </w:rPr>
        <w:tab/>
      </w:r>
      <w:hyperlink r:id="rId49" w:history="1">
        <w:r w:rsidRPr="00BA3997">
          <w:rPr>
            <w:rStyle w:val="Hipervnculo"/>
            <w:lang w:val="en-GB"/>
          </w:rPr>
          <w:tab/>
        </w:r>
        <w:r w:rsidRPr="00BA3997">
          <w:rPr>
            <w:rStyle w:val="Hipervnculo"/>
            <w:szCs w:val="18"/>
            <w:lang w:val="en-GB"/>
          </w:rPr>
          <w:t>CAT/C/NIC/2</w:t>
        </w:r>
      </w:hyperlink>
      <w:r w:rsidRPr="009C6D32">
        <w:rPr>
          <w:szCs w:val="18"/>
          <w:lang w:val="en-GB"/>
        </w:rPr>
        <w:t xml:space="preserve">, </w:t>
      </w:r>
      <w:proofErr w:type="spellStart"/>
      <w:r w:rsidRPr="009C6D32">
        <w:rPr>
          <w:szCs w:val="18"/>
          <w:lang w:val="en-GB"/>
        </w:rPr>
        <w:t>párr</w:t>
      </w:r>
      <w:proofErr w:type="spellEnd"/>
      <w:r w:rsidRPr="009C6D32">
        <w:rPr>
          <w:szCs w:val="18"/>
          <w:lang w:val="en-GB"/>
        </w:rPr>
        <w:t>. 45.</w:t>
      </w:r>
    </w:p>
  </w:footnote>
  <w:footnote w:id="44">
    <w:p w14:paraId="11F35BA5" w14:textId="77689E5C" w:rsidR="008848AD" w:rsidRPr="0045380A" w:rsidRDefault="008848AD" w:rsidP="009C3600">
      <w:pPr>
        <w:pStyle w:val="Textonotapie"/>
        <w:rPr>
          <w:szCs w:val="18"/>
          <w:lang w:val="pt-PT"/>
        </w:rPr>
      </w:pPr>
      <w:r w:rsidRPr="009C6D32">
        <w:rPr>
          <w:szCs w:val="18"/>
          <w:lang w:val="en-GB"/>
        </w:rPr>
        <w:tab/>
      </w:r>
      <w:r w:rsidRPr="000A47F7">
        <w:rPr>
          <w:rStyle w:val="Refdenotaalpie"/>
          <w:szCs w:val="18"/>
        </w:rPr>
        <w:footnoteRef/>
      </w:r>
      <w:r w:rsidRPr="009E34AF">
        <w:rPr>
          <w:szCs w:val="18"/>
          <w:lang w:val="en-GB"/>
        </w:rPr>
        <w:tab/>
      </w:r>
      <w:r w:rsidRPr="009E34AF">
        <w:rPr>
          <w:szCs w:val="18"/>
          <w:lang w:val="en-GB"/>
        </w:rPr>
        <w:tab/>
      </w:r>
      <w:r w:rsidR="00910E39">
        <w:rPr>
          <w:i/>
          <w:iCs/>
          <w:szCs w:val="18"/>
          <w:lang w:val="en-GB"/>
        </w:rPr>
        <w:t>I</w:t>
      </w:r>
      <w:r w:rsidR="00910E39" w:rsidRPr="0045380A">
        <w:rPr>
          <w:i/>
          <w:iCs/>
          <w:szCs w:val="18"/>
          <w:lang w:val="en-GB"/>
        </w:rPr>
        <w:t>bid.</w:t>
      </w:r>
      <w:r w:rsidRPr="009E34AF">
        <w:rPr>
          <w:szCs w:val="18"/>
          <w:lang w:val="en-GB"/>
        </w:rPr>
        <w:t xml:space="preserve">, párrs. </w:t>
      </w:r>
      <w:r w:rsidRPr="0045380A">
        <w:rPr>
          <w:szCs w:val="18"/>
          <w:lang w:val="pt-PT"/>
        </w:rPr>
        <w:t>31</w:t>
      </w:r>
      <w:r w:rsidR="00910E39" w:rsidRPr="0045380A">
        <w:rPr>
          <w:szCs w:val="18"/>
          <w:lang w:val="pt-PT"/>
        </w:rPr>
        <w:t xml:space="preserve"> a </w:t>
      </w:r>
      <w:r w:rsidRPr="0045380A">
        <w:rPr>
          <w:szCs w:val="18"/>
          <w:lang w:val="pt-PT"/>
        </w:rPr>
        <w:t xml:space="preserve">46. </w:t>
      </w:r>
    </w:p>
  </w:footnote>
  <w:footnote w:id="45">
    <w:p w14:paraId="400F803D" w14:textId="6532C246" w:rsidR="008848AD" w:rsidRPr="0045380A" w:rsidRDefault="008848AD" w:rsidP="009C3600">
      <w:pPr>
        <w:pStyle w:val="Textonotapie"/>
        <w:rPr>
          <w:lang w:val="pt-PT"/>
        </w:rPr>
      </w:pPr>
      <w:r w:rsidRPr="0045380A">
        <w:rPr>
          <w:lang w:val="pt-PT"/>
        </w:rPr>
        <w:tab/>
      </w:r>
      <w:r>
        <w:rPr>
          <w:rStyle w:val="Refdenotaalpie"/>
        </w:rPr>
        <w:footnoteRef/>
      </w:r>
      <w:r w:rsidRPr="0045380A">
        <w:rPr>
          <w:lang w:val="pt-PT"/>
        </w:rPr>
        <w:tab/>
      </w:r>
      <w:hyperlink r:id="rId50" w:history="1">
        <w:r w:rsidRPr="0045380A">
          <w:rPr>
            <w:rStyle w:val="Hipervnculo"/>
            <w:lang w:val="pt-PT"/>
          </w:rPr>
          <w:tab/>
        </w:r>
        <w:r w:rsidRPr="0045380A">
          <w:rPr>
            <w:rStyle w:val="Hipervnculo"/>
            <w:lang w:val="pt-PT"/>
          </w:rPr>
          <w:t>A/HRC/42/18</w:t>
        </w:r>
      </w:hyperlink>
      <w:r w:rsidRPr="0045380A">
        <w:rPr>
          <w:lang w:val="pt-PT"/>
        </w:rPr>
        <w:t>, párr. 65</w:t>
      </w:r>
      <w:r w:rsidR="0064190A" w:rsidRPr="0045380A">
        <w:rPr>
          <w:lang w:val="pt-PT"/>
        </w:rPr>
        <w:t> </w:t>
      </w:r>
      <w:r w:rsidRPr="0045380A">
        <w:rPr>
          <w:lang w:val="pt-PT"/>
        </w:rPr>
        <w:t>d)</w:t>
      </w:r>
      <w:r w:rsidR="0064190A" w:rsidRPr="0045380A">
        <w:rPr>
          <w:lang w:val="pt-PT"/>
        </w:rPr>
        <w:t> </w:t>
      </w:r>
      <w:r w:rsidRPr="0045380A">
        <w:rPr>
          <w:lang w:val="pt-PT"/>
        </w:rPr>
        <w:t>i).</w:t>
      </w:r>
    </w:p>
  </w:footnote>
  <w:footnote w:id="46">
    <w:p w14:paraId="3E66A15A" w14:textId="6753D22A" w:rsidR="003B7F65" w:rsidRPr="009E34AF" w:rsidRDefault="003B7F65" w:rsidP="003B7F65">
      <w:pPr>
        <w:pStyle w:val="Textonotapie"/>
        <w:rPr>
          <w:szCs w:val="18"/>
          <w:lang w:val="en-GB"/>
        </w:rPr>
      </w:pPr>
      <w:r w:rsidRPr="0045380A">
        <w:rPr>
          <w:szCs w:val="18"/>
          <w:lang w:val="pt-PT"/>
        </w:rPr>
        <w:tab/>
      </w:r>
      <w:r w:rsidRPr="000A47F7">
        <w:rPr>
          <w:rStyle w:val="Refdenotaalpie"/>
          <w:szCs w:val="18"/>
        </w:rPr>
        <w:footnoteRef/>
      </w:r>
      <w:r w:rsidRPr="00F56B36">
        <w:rPr>
          <w:szCs w:val="18"/>
          <w:lang w:val="en-GB"/>
        </w:rPr>
        <w:tab/>
      </w:r>
      <w:r w:rsidRPr="00F56B36">
        <w:rPr>
          <w:szCs w:val="18"/>
          <w:lang w:val="en-GB"/>
        </w:rPr>
        <w:tab/>
      </w:r>
      <w:hyperlink r:id="rId51" w:history="1">
        <w:r w:rsidRPr="00BA3997">
          <w:rPr>
            <w:rStyle w:val="Hipervnculo"/>
            <w:szCs w:val="18"/>
            <w:lang w:val="en-GB"/>
          </w:rPr>
          <w:t>A/HRC/46/21</w:t>
        </w:r>
      </w:hyperlink>
      <w:r w:rsidRPr="00F56B36">
        <w:rPr>
          <w:szCs w:val="18"/>
          <w:lang w:val="en-GB"/>
        </w:rPr>
        <w:t xml:space="preserve">, </w:t>
      </w:r>
      <w:proofErr w:type="spellStart"/>
      <w:r w:rsidRPr="00F56B36">
        <w:rPr>
          <w:szCs w:val="18"/>
          <w:lang w:val="en-GB"/>
        </w:rPr>
        <w:t>párr</w:t>
      </w:r>
      <w:proofErr w:type="spellEnd"/>
      <w:r w:rsidRPr="00F56B36">
        <w:rPr>
          <w:szCs w:val="18"/>
          <w:lang w:val="en-GB"/>
        </w:rPr>
        <w:t xml:space="preserve">. </w:t>
      </w:r>
      <w:r w:rsidRPr="009E34AF">
        <w:rPr>
          <w:szCs w:val="18"/>
          <w:lang w:val="en-GB"/>
        </w:rPr>
        <w:t xml:space="preserve">40. </w:t>
      </w:r>
    </w:p>
  </w:footnote>
  <w:footnote w:id="47">
    <w:p w14:paraId="0248D6E9" w14:textId="479F0375" w:rsidR="003B7F65" w:rsidRPr="00F56B36" w:rsidRDefault="003B7F65" w:rsidP="003B7F65">
      <w:pPr>
        <w:pStyle w:val="Textonotapie"/>
      </w:pPr>
      <w:r w:rsidRPr="009E34AF">
        <w:rPr>
          <w:lang w:val="en-GB"/>
        </w:rPr>
        <w:tab/>
      </w:r>
      <w:r>
        <w:rPr>
          <w:rStyle w:val="Refdenotaalpie"/>
        </w:rPr>
        <w:footnoteRef/>
      </w:r>
      <w:r w:rsidRPr="00E321B9">
        <w:rPr>
          <w:lang w:val="en-GB"/>
        </w:rPr>
        <w:tab/>
      </w:r>
      <w:r w:rsidRPr="00E321B9">
        <w:rPr>
          <w:lang w:val="en-GB"/>
        </w:rPr>
        <w:tab/>
      </w:r>
      <w:hyperlink r:id="rId52" w:history="1">
        <w:r w:rsidRPr="00BA3997">
          <w:rPr>
            <w:rStyle w:val="Hipervnculo"/>
            <w:szCs w:val="18"/>
            <w:lang w:val="en-GB"/>
          </w:rPr>
          <w:t>A/HRC/</w:t>
        </w:r>
        <w:proofErr w:type="spellStart"/>
        <w:r w:rsidRPr="00BA3997">
          <w:rPr>
            <w:rStyle w:val="Hipervnculo"/>
            <w:szCs w:val="18"/>
            <w:lang w:val="en-GB"/>
          </w:rPr>
          <w:t>WG.6</w:t>
        </w:r>
        <w:proofErr w:type="spellEnd"/>
        <w:r w:rsidRPr="00BA3997">
          <w:rPr>
            <w:rStyle w:val="Hipervnculo"/>
            <w:szCs w:val="18"/>
            <w:lang w:val="en-GB"/>
          </w:rPr>
          <w:t>/33/NIC/2</w:t>
        </w:r>
      </w:hyperlink>
      <w:r w:rsidRPr="00E321B9">
        <w:rPr>
          <w:szCs w:val="18"/>
          <w:lang w:val="en-GB"/>
        </w:rPr>
        <w:t xml:space="preserve">, </w:t>
      </w:r>
      <w:proofErr w:type="spellStart"/>
      <w:r w:rsidRPr="00E321B9">
        <w:rPr>
          <w:szCs w:val="18"/>
          <w:lang w:val="en-GB"/>
        </w:rPr>
        <w:t>párr</w:t>
      </w:r>
      <w:r w:rsidRPr="00405D3F">
        <w:rPr>
          <w:szCs w:val="18"/>
          <w:lang w:val="en-GB"/>
        </w:rPr>
        <w:t>s</w:t>
      </w:r>
      <w:proofErr w:type="spellEnd"/>
      <w:r w:rsidRPr="00E321B9">
        <w:rPr>
          <w:szCs w:val="18"/>
          <w:lang w:val="en-GB"/>
        </w:rPr>
        <w:t xml:space="preserve">. </w:t>
      </w:r>
      <w:r w:rsidRPr="00140130">
        <w:rPr>
          <w:szCs w:val="18"/>
        </w:rPr>
        <w:t>19</w:t>
      </w:r>
      <w:r w:rsidR="004E78EC">
        <w:rPr>
          <w:szCs w:val="18"/>
        </w:rPr>
        <w:t xml:space="preserve"> a </w:t>
      </w:r>
      <w:r w:rsidRPr="00140130">
        <w:rPr>
          <w:szCs w:val="18"/>
        </w:rPr>
        <w:t>23</w:t>
      </w:r>
      <w:r w:rsidR="004E78EC">
        <w:rPr>
          <w:szCs w:val="18"/>
        </w:rPr>
        <w:t>.</w:t>
      </w:r>
      <w:r w:rsidRPr="00140130">
        <w:rPr>
          <w:szCs w:val="18"/>
        </w:rPr>
        <w:t xml:space="preserve"> Véa</w:t>
      </w:r>
      <w:r w:rsidR="0096429C">
        <w:rPr>
          <w:szCs w:val="18"/>
        </w:rPr>
        <w:t>n</w:t>
      </w:r>
      <w:r w:rsidRPr="00140130">
        <w:rPr>
          <w:szCs w:val="18"/>
        </w:rPr>
        <w:t>se también</w:t>
      </w:r>
      <w:r w:rsidRPr="00F56B36">
        <w:rPr>
          <w:szCs w:val="18"/>
        </w:rPr>
        <w:t xml:space="preserve"> </w:t>
      </w:r>
      <w:r w:rsidR="0096429C">
        <w:rPr>
          <w:szCs w:val="18"/>
        </w:rPr>
        <w:t xml:space="preserve">las </w:t>
      </w:r>
      <w:r w:rsidR="0096429C" w:rsidRPr="009E2FDA">
        <w:rPr>
          <w:szCs w:val="18"/>
        </w:rPr>
        <w:t xml:space="preserve">comunicaciones </w:t>
      </w:r>
      <w:hyperlink r:id="rId53" w:history="1">
        <w:r w:rsidRPr="00C217C5">
          <w:rPr>
            <w:rStyle w:val="Hipervnculo"/>
            <w:color w:val="auto"/>
            <w:szCs w:val="18"/>
          </w:rPr>
          <w:t>NIC 3/2018</w:t>
        </w:r>
      </w:hyperlink>
      <w:r w:rsidR="004B22C2" w:rsidRPr="009E2FDA">
        <w:rPr>
          <w:rStyle w:val="Hipervnculo"/>
          <w:color w:val="auto"/>
          <w:szCs w:val="18"/>
        </w:rPr>
        <w:t xml:space="preserve"> y </w:t>
      </w:r>
      <w:hyperlink r:id="rId54" w:tgtFrame="Com_23786" w:history="1">
        <w:r w:rsidR="004B22C2" w:rsidRPr="0045380A">
          <w:rPr>
            <w:rStyle w:val="Hipervnculo"/>
            <w:color w:val="auto"/>
            <w:szCs w:val="18"/>
            <w:bdr w:val="none" w:sz="0" w:space="0" w:color="auto" w:frame="1"/>
          </w:rPr>
          <w:t>NIC</w:t>
        </w:r>
        <w:r w:rsidR="000D7C85">
          <w:rPr>
            <w:rStyle w:val="Hipervnculo"/>
            <w:color w:val="auto"/>
            <w:szCs w:val="18"/>
            <w:bdr w:val="none" w:sz="0" w:space="0" w:color="auto" w:frame="1"/>
          </w:rPr>
          <w:t> </w:t>
        </w:r>
        <w:r w:rsidR="004B22C2" w:rsidRPr="0045380A">
          <w:rPr>
            <w:rStyle w:val="Hipervnculo"/>
            <w:color w:val="auto"/>
            <w:szCs w:val="18"/>
            <w:bdr w:val="none" w:sz="0" w:space="0" w:color="auto" w:frame="1"/>
          </w:rPr>
          <w:t>1/2018</w:t>
        </w:r>
      </w:hyperlink>
      <w:r w:rsidR="0096429C" w:rsidRPr="009E2FDA">
        <w:rPr>
          <w:rStyle w:val="Hipervnculo"/>
          <w:color w:val="auto"/>
          <w:szCs w:val="18"/>
        </w:rPr>
        <w:t>. Todas las comunicaciones mencionadas en el p</w:t>
      </w:r>
      <w:r w:rsidR="0096429C" w:rsidRPr="00C217C5">
        <w:rPr>
          <w:rStyle w:val="Hipervnculo"/>
          <w:color w:val="auto"/>
          <w:szCs w:val="18"/>
        </w:rPr>
        <w:t>resente documento están</w:t>
      </w:r>
      <w:r w:rsidR="0096429C">
        <w:rPr>
          <w:rStyle w:val="Hipervnculo"/>
          <w:color w:val="auto"/>
          <w:szCs w:val="18"/>
        </w:rPr>
        <w:t xml:space="preserve"> disponibles en </w:t>
      </w:r>
      <w:hyperlink r:id="rId55" w:history="1">
        <w:r w:rsidR="0096429C" w:rsidRPr="001D5A61">
          <w:rPr>
            <w:rStyle w:val="Hipervnculo"/>
            <w:szCs w:val="18"/>
          </w:rPr>
          <w:t>https://</w:t>
        </w:r>
        <w:proofErr w:type="spellStart"/>
        <w:r w:rsidR="0096429C" w:rsidRPr="001D5A61">
          <w:rPr>
            <w:rStyle w:val="Hipervnculo"/>
            <w:szCs w:val="18"/>
          </w:rPr>
          <w:t>spcommreports.ohchr.org</w:t>
        </w:r>
        <w:proofErr w:type="spellEnd"/>
        <w:r w:rsidR="0096429C" w:rsidRPr="001D5A61">
          <w:rPr>
            <w:rStyle w:val="Hipervnculo"/>
            <w:szCs w:val="18"/>
          </w:rPr>
          <w:t>/</w:t>
        </w:r>
        <w:proofErr w:type="spellStart"/>
        <w:r w:rsidR="0096429C" w:rsidRPr="001D5A61">
          <w:rPr>
            <w:rStyle w:val="Hipervnculo"/>
            <w:szCs w:val="18"/>
          </w:rPr>
          <w:t>tmsearch</w:t>
        </w:r>
        <w:proofErr w:type="spellEnd"/>
        <w:r w:rsidR="0096429C" w:rsidRPr="001D5A61">
          <w:rPr>
            <w:rStyle w:val="Hipervnculo"/>
            <w:szCs w:val="18"/>
          </w:rPr>
          <w:t>/</w:t>
        </w:r>
        <w:proofErr w:type="spellStart"/>
        <w:r w:rsidR="0096429C" w:rsidRPr="001D5A61">
          <w:rPr>
            <w:rStyle w:val="Hipervnculo"/>
            <w:szCs w:val="18"/>
          </w:rPr>
          <w:t>TMDocuments</w:t>
        </w:r>
        <w:proofErr w:type="spellEnd"/>
      </w:hyperlink>
      <w:r w:rsidRPr="00140130">
        <w:rPr>
          <w:szCs w:val="18"/>
        </w:rPr>
        <w:t>.</w:t>
      </w:r>
    </w:p>
  </w:footnote>
  <w:footnote w:id="48">
    <w:p w14:paraId="3F695A9F" w14:textId="63511112" w:rsidR="003B7F65" w:rsidRPr="00BE5E31" w:rsidRDefault="003B7F65" w:rsidP="003B7F65">
      <w:pPr>
        <w:pStyle w:val="Textonotapie"/>
        <w:rPr>
          <w:szCs w:val="18"/>
        </w:rPr>
      </w:pPr>
      <w:r w:rsidRPr="000A47F7">
        <w:rPr>
          <w:szCs w:val="18"/>
        </w:rPr>
        <w:tab/>
      </w:r>
      <w:r w:rsidRPr="000A47F7">
        <w:rPr>
          <w:rStyle w:val="Refdenotaalpie"/>
          <w:szCs w:val="18"/>
        </w:rPr>
        <w:footnoteRef/>
      </w:r>
      <w:r w:rsidRPr="00E23AC3">
        <w:rPr>
          <w:szCs w:val="18"/>
        </w:rPr>
        <w:tab/>
      </w:r>
      <w:r w:rsidRPr="00E23AC3">
        <w:rPr>
          <w:szCs w:val="18"/>
        </w:rPr>
        <w:tab/>
        <w:t>Véase</w:t>
      </w:r>
      <w:r w:rsidR="004E78EC">
        <w:rPr>
          <w:szCs w:val="18"/>
        </w:rPr>
        <w:t xml:space="preserve"> </w:t>
      </w:r>
      <w:r w:rsidRPr="00E23AC3">
        <w:rPr>
          <w:szCs w:val="18"/>
        </w:rPr>
        <w:t>ACNUDH</w:t>
      </w:r>
      <w:r w:rsidRPr="009E2FDA">
        <w:rPr>
          <w:szCs w:val="18"/>
        </w:rPr>
        <w:t xml:space="preserve">, </w:t>
      </w:r>
      <w:r w:rsidR="0082158A" w:rsidRPr="009E2FDA">
        <w:rPr>
          <w:szCs w:val="18"/>
        </w:rPr>
        <w:t>“</w:t>
      </w:r>
      <w:hyperlink r:id="rId56" w:history="1">
        <w:r w:rsidR="004E78EC" w:rsidRPr="0045380A">
          <w:rPr>
            <w:rStyle w:val="Hipervnculo"/>
            <w:color w:val="auto"/>
            <w:szCs w:val="18"/>
          </w:rPr>
          <w:t>Violaciones de derechos humanos y abusos en el contexto de las protestas en Nicaragua 18 de abril – 18 de agosto de 2018</w:t>
        </w:r>
      </w:hyperlink>
      <w:r w:rsidR="0082158A" w:rsidRPr="0045380A">
        <w:rPr>
          <w:rStyle w:val="Hipervnculo"/>
          <w:color w:val="auto"/>
          <w:szCs w:val="18"/>
        </w:rPr>
        <w:t>”</w:t>
      </w:r>
      <w:r w:rsidRPr="009E2FDA">
        <w:rPr>
          <w:szCs w:val="18"/>
        </w:rPr>
        <w:t>;</w:t>
      </w:r>
      <w:r w:rsidRPr="00E23AC3">
        <w:rPr>
          <w:szCs w:val="18"/>
        </w:rPr>
        <w:t xml:space="preserve"> </w:t>
      </w:r>
      <w:hyperlink r:id="rId57" w:history="1">
        <w:r w:rsidRPr="00BA3997">
          <w:rPr>
            <w:rStyle w:val="Hipervnculo"/>
            <w:szCs w:val="18"/>
          </w:rPr>
          <w:t>A/HRC/40/</w:t>
        </w:r>
        <w:proofErr w:type="spellStart"/>
        <w:r w:rsidRPr="00BA3997">
          <w:rPr>
            <w:rStyle w:val="Hipervnculo"/>
            <w:szCs w:val="18"/>
          </w:rPr>
          <w:t>L.8</w:t>
        </w:r>
        <w:proofErr w:type="spellEnd"/>
      </w:hyperlink>
      <w:r w:rsidRPr="00E23AC3">
        <w:rPr>
          <w:szCs w:val="18"/>
        </w:rPr>
        <w:t xml:space="preserve">; </w:t>
      </w:r>
      <w:r>
        <w:rPr>
          <w:szCs w:val="18"/>
        </w:rPr>
        <w:t xml:space="preserve">ACNUDH, </w:t>
      </w:r>
      <w:hyperlink r:id="rId58" w:history="1">
        <w:r w:rsidR="004E78EC">
          <w:rPr>
            <w:rStyle w:val="Hipervnculo"/>
            <w:color w:val="auto"/>
            <w:szCs w:val="18"/>
          </w:rPr>
          <w:t>“Nicaragua</w:t>
        </w:r>
      </w:hyperlink>
      <w:r w:rsidR="004E78EC">
        <w:rPr>
          <w:rStyle w:val="Hipervnculo"/>
          <w:color w:val="auto"/>
          <w:szCs w:val="18"/>
        </w:rPr>
        <w:t xml:space="preserve"> debe poner fin a la represión de los derechos humanos – Expertos de la ONU”, comunicado de prensa, 22 de noviembre de 2018</w:t>
      </w:r>
      <w:r>
        <w:rPr>
          <w:rStyle w:val="Hipervnculo"/>
          <w:color w:val="auto"/>
          <w:szCs w:val="18"/>
        </w:rPr>
        <w:t xml:space="preserve">; </w:t>
      </w:r>
      <w:r w:rsidR="00C217C5">
        <w:rPr>
          <w:rStyle w:val="Hipervnculo"/>
          <w:color w:val="auto"/>
          <w:szCs w:val="18"/>
        </w:rPr>
        <w:t>Nada Al-Nashif, Alta Comisionada Adjunta de las Naciones Unidas para los Derechos Humanos,</w:t>
      </w:r>
      <w:r w:rsidR="00C217C5" w:rsidDel="00C217C5">
        <w:rPr>
          <w:rStyle w:val="Hipervnculo"/>
          <w:color w:val="auto"/>
          <w:szCs w:val="18"/>
        </w:rPr>
        <w:t xml:space="preserve"> </w:t>
      </w:r>
      <w:hyperlink r:id="rId59" w:history="1">
        <w:r w:rsidR="004E78EC">
          <w:rPr>
            <w:rStyle w:val="Hipervnculo"/>
            <w:color w:val="auto"/>
            <w:szCs w:val="18"/>
          </w:rPr>
          <w:t>“Diálogo</w:t>
        </w:r>
      </w:hyperlink>
      <w:r w:rsidR="004E78EC">
        <w:rPr>
          <w:rStyle w:val="Hipervnculo"/>
          <w:color w:val="auto"/>
          <w:szCs w:val="18"/>
        </w:rPr>
        <w:t xml:space="preserve"> interactivo sobre la actualización oral provisional de la Alta Comisionada sobre la situación de los derechos humanos en Nicaragua”, 14 de diciembre de 2021</w:t>
      </w:r>
      <w:r w:rsidRPr="00E23AC3">
        <w:rPr>
          <w:szCs w:val="18"/>
        </w:rPr>
        <w:t xml:space="preserve">; </w:t>
      </w:r>
      <w:r w:rsidR="00FA4732">
        <w:rPr>
          <w:rStyle w:val="Hipervnculo"/>
          <w:color w:val="auto"/>
          <w:szCs w:val="18"/>
        </w:rPr>
        <w:t xml:space="preserve">y </w:t>
      </w:r>
      <w:hyperlink r:id="rId60" w:history="1">
        <w:r w:rsidRPr="00BA3997">
          <w:rPr>
            <w:rStyle w:val="Hipervnculo"/>
            <w:szCs w:val="18"/>
          </w:rPr>
          <w:t>A/HRC/</w:t>
        </w:r>
        <w:proofErr w:type="spellStart"/>
        <w:r w:rsidRPr="00BA3997">
          <w:rPr>
            <w:rStyle w:val="Hipervnculo"/>
            <w:szCs w:val="18"/>
          </w:rPr>
          <w:t>WG.6</w:t>
        </w:r>
        <w:proofErr w:type="spellEnd"/>
        <w:r w:rsidRPr="00BA3997">
          <w:rPr>
            <w:rStyle w:val="Hipervnculo"/>
            <w:szCs w:val="18"/>
          </w:rPr>
          <w:t>/33/NIC/3</w:t>
        </w:r>
      </w:hyperlink>
      <w:r w:rsidRPr="00337C58">
        <w:rPr>
          <w:szCs w:val="18"/>
        </w:rPr>
        <w:t xml:space="preserve">, </w:t>
      </w:r>
      <w:proofErr w:type="spellStart"/>
      <w:r w:rsidRPr="00337C58">
        <w:rPr>
          <w:szCs w:val="18"/>
        </w:rPr>
        <w:t>párr</w:t>
      </w:r>
      <w:r>
        <w:rPr>
          <w:szCs w:val="18"/>
        </w:rPr>
        <w:t>s</w:t>
      </w:r>
      <w:proofErr w:type="spellEnd"/>
      <w:r w:rsidRPr="00337C58">
        <w:rPr>
          <w:szCs w:val="18"/>
        </w:rPr>
        <w:t xml:space="preserve">. </w:t>
      </w:r>
      <w:r w:rsidRPr="00BE5E31">
        <w:rPr>
          <w:szCs w:val="18"/>
        </w:rPr>
        <w:t>20</w:t>
      </w:r>
      <w:r w:rsidR="00FA4732">
        <w:rPr>
          <w:szCs w:val="18"/>
        </w:rPr>
        <w:t xml:space="preserve"> a </w:t>
      </w:r>
      <w:r w:rsidRPr="00BE5E31">
        <w:rPr>
          <w:szCs w:val="18"/>
        </w:rPr>
        <w:t>26</w:t>
      </w:r>
      <w:r>
        <w:rPr>
          <w:szCs w:val="18"/>
        </w:rPr>
        <w:t>.</w:t>
      </w:r>
    </w:p>
  </w:footnote>
  <w:footnote w:id="49">
    <w:p w14:paraId="47C66586" w14:textId="20886B44" w:rsidR="003B7F65" w:rsidRPr="000A47F7" w:rsidRDefault="003B7F65" w:rsidP="003B7F65">
      <w:pPr>
        <w:pStyle w:val="Textonotapie"/>
        <w:ind w:hanging="567"/>
        <w:rPr>
          <w:szCs w:val="18"/>
        </w:rPr>
      </w:pPr>
      <w:r w:rsidRPr="00BE5E31">
        <w:rPr>
          <w:szCs w:val="18"/>
        </w:rPr>
        <w:tab/>
      </w:r>
      <w:r w:rsidRPr="00BE5E31">
        <w:rPr>
          <w:rStyle w:val="Refdenotaalpie"/>
          <w:szCs w:val="18"/>
        </w:rPr>
        <w:footnoteRef/>
      </w:r>
      <w:r w:rsidRPr="0045380A">
        <w:rPr>
          <w:szCs w:val="18"/>
          <w:lang w:val="en-US"/>
        </w:rPr>
        <w:tab/>
      </w:r>
      <w:hyperlink r:id="rId61" w:history="1">
        <w:r w:rsidRPr="0045380A">
          <w:rPr>
            <w:rStyle w:val="Hipervnculo"/>
            <w:lang w:val="en-US"/>
          </w:rPr>
          <w:tab/>
          <w:t>E/C.12/NIC/CO/5</w:t>
        </w:r>
      </w:hyperlink>
      <w:r w:rsidRPr="0045380A">
        <w:rPr>
          <w:szCs w:val="18"/>
          <w:lang w:val="en-US"/>
        </w:rPr>
        <w:t xml:space="preserve">, </w:t>
      </w:r>
      <w:proofErr w:type="spellStart"/>
      <w:r w:rsidRPr="0045380A">
        <w:rPr>
          <w:szCs w:val="18"/>
          <w:lang w:val="en-US"/>
        </w:rPr>
        <w:t>párrs</w:t>
      </w:r>
      <w:proofErr w:type="spellEnd"/>
      <w:r w:rsidRPr="0045380A">
        <w:rPr>
          <w:szCs w:val="18"/>
          <w:lang w:val="en-US"/>
        </w:rPr>
        <w:t xml:space="preserve">. </w:t>
      </w:r>
      <w:r w:rsidRPr="00BE5E31">
        <w:rPr>
          <w:szCs w:val="18"/>
        </w:rPr>
        <w:t>9</w:t>
      </w:r>
      <w:r w:rsidR="004B22C2">
        <w:rPr>
          <w:szCs w:val="18"/>
        </w:rPr>
        <w:t xml:space="preserve"> y </w:t>
      </w:r>
      <w:r w:rsidRPr="00BE5E31">
        <w:rPr>
          <w:szCs w:val="18"/>
        </w:rPr>
        <w:t>10</w:t>
      </w:r>
      <w:r w:rsidR="0096429C">
        <w:rPr>
          <w:szCs w:val="18"/>
        </w:rPr>
        <w:t>.</w:t>
      </w:r>
      <w:r w:rsidRPr="00BE5E31">
        <w:rPr>
          <w:szCs w:val="18"/>
        </w:rPr>
        <w:t xml:space="preserve"> </w:t>
      </w:r>
      <w:r w:rsidRPr="006335B3">
        <w:rPr>
          <w:szCs w:val="18"/>
        </w:rPr>
        <w:t>Véa</w:t>
      </w:r>
      <w:r w:rsidR="0096429C">
        <w:rPr>
          <w:szCs w:val="18"/>
        </w:rPr>
        <w:t>n</w:t>
      </w:r>
      <w:r w:rsidRPr="006335B3">
        <w:rPr>
          <w:szCs w:val="18"/>
        </w:rPr>
        <w:t xml:space="preserve">se </w:t>
      </w:r>
      <w:r w:rsidR="0096429C">
        <w:rPr>
          <w:szCs w:val="18"/>
        </w:rPr>
        <w:t xml:space="preserve">las comunicaciones </w:t>
      </w:r>
      <w:hyperlink r:id="rId62" w:history="1">
        <w:r w:rsidRPr="00BE5E31">
          <w:rPr>
            <w:rStyle w:val="Hipervnculo"/>
            <w:color w:val="auto"/>
            <w:szCs w:val="18"/>
          </w:rPr>
          <w:t>NIC 6/2021</w:t>
        </w:r>
      </w:hyperlink>
      <w:r w:rsidR="0096429C">
        <w:rPr>
          <w:szCs w:val="18"/>
        </w:rPr>
        <w:t>,</w:t>
      </w:r>
      <w:r w:rsidRPr="00BE5E31">
        <w:rPr>
          <w:szCs w:val="18"/>
        </w:rPr>
        <w:t xml:space="preserve"> </w:t>
      </w:r>
      <w:hyperlink r:id="rId63" w:history="1">
        <w:r w:rsidRPr="00BE5E31">
          <w:rPr>
            <w:rStyle w:val="Hipervnculo"/>
            <w:color w:val="auto"/>
            <w:szCs w:val="18"/>
          </w:rPr>
          <w:t>NIC 4/2021</w:t>
        </w:r>
      </w:hyperlink>
      <w:r w:rsidR="0096429C">
        <w:rPr>
          <w:szCs w:val="18"/>
        </w:rPr>
        <w:t>,</w:t>
      </w:r>
      <w:r w:rsidRPr="00BE5E31">
        <w:rPr>
          <w:szCs w:val="18"/>
        </w:rPr>
        <w:t xml:space="preserve"> </w:t>
      </w:r>
      <w:hyperlink r:id="rId64" w:history="1">
        <w:r w:rsidRPr="00BE5E31">
          <w:rPr>
            <w:rStyle w:val="Hipervnculo"/>
            <w:color w:val="auto"/>
            <w:szCs w:val="18"/>
          </w:rPr>
          <w:t>NIC 3/2021</w:t>
        </w:r>
      </w:hyperlink>
      <w:r w:rsidRPr="000A47F7">
        <w:rPr>
          <w:szCs w:val="18"/>
        </w:rPr>
        <w:t>;</w:t>
      </w:r>
      <w:hyperlink r:id="rId65" w:history="1">
        <w:r w:rsidRPr="000A47F7">
          <w:rPr>
            <w:rStyle w:val="Hipervnculo"/>
            <w:color w:val="auto"/>
            <w:szCs w:val="18"/>
          </w:rPr>
          <w:t xml:space="preserve"> NIC 1/2020</w:t>
        </w:r>
      </w:hyperlink>
      <w:r w:rsidR="0096429C">
        <w:rPr>
          <w:szCs w:val="18"/>
        </w:rPr>
        <w:t>,</w:t>
      </w:r>
      <w:r w:rsidRPr="000A47F7">
        <w:rPr>
          <w:szCs w:val="18"/>
        </w:rPr>
        <w:t xml:space="preserve"> </w:t>
      </w:r>
      <w:hyperlink r:id="rId66" w:history="1">
        <w:r w:rsidRPr="000A47F7">
          <w:rPr>
            <w:rStyle w:val="Hipervnculo"/>
            <w:color w:val="auto"/>
            <w:szCs w:val="18"/>
          </w:rPr>
          <w:t>NIC 5/2018</w:t>
        </w:r>
      </w:hyperlink>
      <w:r w:rsidR="004B22C2">
        <w:rPr>
          <w:rStyle w:val="Hipervnculo"/>
          <w:color w:val="auto"/>
          <w:szCs w:val="18"/>
        </w:rPr>
        <w:t xml:space="preserve"> y </w:t>
      </w:r>
      <w:hyperlink r:id="rId67" w:history="1">
        <w:r w:rsidR="004B22C2" w:rsidRPr="000A47F7">
          <w:rPr>
            <w:rStyle w:val="Hipervnculo"/>
            <w:color w:val="auto"/>
            <w:szCs w:val="18"/>
          </w:rPr>
          <w:t>NIC 4/2018</w:t>
        </w:r>
      </w:hyperlink>
      <w:r>
        <w:rPr>
          <w:szCs w:val="18"/>
        </w:rPr>
        <w:t>.</w:t>
      </w:r>
    </w:p>
  </w:footnote>
  <w:footnote w:id="50">
    <w:p w14:paraId="21319568" w14:textId="024779A8" w:rsidR="003B7F65" w:rsidRPr="002364A8" w:rsidRDefault="003B7F65" w:rsidP="003B7F65">
      <w:pPr>
        <w:pStyle w:val="Textonotapie"/>
        <w:rPr>
          <w:szCs w:val="18"/>
        </w:rPr>
      </w:pPr>
      <w:r w:rsidRPr="000A47F7">
        <w:rPr>
          <w:szCs w:val="18"/>
        </w:rPr>
        <w:tab/>
      </w:r>
      <w:r w:rsidRPr="000A47F7">
        <w:rPr>
          <w:rStyle w:val="Refdenotaalpie"/>
          <w:szCs w:val="18"/>
        </w:rPr>
        <w:footnoteRef/>
      </w:r>
      <w:r w:rsidRPr="007D27DB">
        <w:rPr>
          <w:szCs w:val="18"/>
        </w:rPr>
        <w:tab/>
      </w:r>
      <w:hyperlink r:id="rId68" w:history="1">
        <w:r w:rsidRPr="00BA3997">
          <w:rPr>
            <w:rStyle w:val="Hipervnculo"/>
            <w:szCs w:val="18"/>
          </w:rPr>
          <w:t>A/HRC/49/23</w:t>
        </w:r>
      </w:hyperlink>
      <w:r w:rsidRPr="007D27DB">
        <w:rPr>
          <w:szCs w:val="18"/>
        </w:rPr>
        <w:t xml:space="preserve">, </w:t>
      </w:r>
      <w:proofErr w:type="spellStart"/>
      <w:r w:rsidRPr="007D27DB">
        <w:rPr>
          <w:szCs w:val="18"/>
        </w:rPr>
        <w:t>párrs</w:t>
      </w:r>
      <w:proofErr w:type="spellEnd"/>
      <w:r w:rsidRPr="007D27DB">
        <w:rPr>
          <w:szCs w:val="18"/>
        </w:rPr>
        <w:t xml:space="preserve">. </w:t>
      </w:r>
      <w:r w:rsidRPr="000D5CE7">
        <w:rPr>
          <w:szCs w:val="18"/>
        </w:rPr>
        <w:t>40</w:t>
      </w:r>
      <w:r w:rsidR="004B22C2" w:rsidRPr="000D5CE7">
        <w:rPr>
          <w:szCs w:val="18"/>
        </w:rPr>
        <w:t xml:space="preserve"> a </w:t>
      </w:r>
      <w:r w:rsidRPr="000D5CE7">
        <w:rPr>
          <w:szCs w:val="18"/>
        </w:rPr>
        <w:t>44</w:t>
      </w:r>
      <w:r w:rsidR="002364A8" w:rsidRPr="0045380A">
        <w:rPr>
          <w:szCs w:val="18"/>
        </w:rPr>
        <w:t>;</w:t>
      </w:r>
      <w:r w:rsidRPr="000D5CE7">
        <w:rPr>
          <w:szCs w:val="18"/>
        </w:rPr>
        <w:t xml:space="preserve"> </w:t>
      </w:r>
      <w:r w:rsidR="00046830">
        <w:rPr>
          <w:szCs w:val="18"/>
        </w:rPr>
        <w:t>comunicación</w:t>
      </w:r>
      <w:r w:rsidR="00046830">
        <w:t xml:space="preserve"> </w:t>
      </w:r>
      <w:hyperlink r:id="rId69" w:history="1">
        <w:r w:rsidRPr="000D5CE7">
          <w:rPr>
            <w:rStyle w:val="Hipervnculo"/>
            <w:color w:val="auto"/>
            <w:szCs w:val="18"/>
          </w:rPr>
          <w:t>NIC 2/2020</w:t>
        </w:r>
      </w:hyperlink>
      <w:r w:rsidRPr="000D5CE7">
        <w:rPr>
          <w:szCs w:val="18"/>
        </w:rPr>
        <w:t xml:space="preserve">; </w:t>
      </w:r>
      <w:hyperlink r:id="rId70" w:history="1">
        <w:r w:rsidRPr="00BA3997">
          <w:rPr>
            <w:rStyle w:val="Hipervnculo"/>
            <w:szCs w:val="18"/>
          </w:rPr>
          <w:t>A/HRC/</w:t>
        </w:r>
        <w:proofErr w:type="spellStart"/>
        <w:r w:rsidRPr="00BA3997">
          <w:rPr>
            <w:rStyle w:val="Hipervnculo"/>
            <w:szCs w:val="18"/>
          </w:rPr>
          <w:t>WG.6</w:t>
        </w:r>
        <w:proofErr w:type="spellEnd"/>
        <w:r w:rsidRPr="00BA3997">
          <w:rPr>
            <w:rStyle w:val="Hipervnculo"/>
            <w:szCs w:val="18"/>
          </w:rPr>
          <w:t>/33/NIC/2</w:t>
        </w:r>
      </w:hyperlink>
      <w:r w:rsidRPr="000D5CE7">
        <w:rPr>
          <w:szCs w:val="18"/>
        </w:rPr>
        <w:t xml:space="preserve">, </w:t>
      </w:r>
      <w:proofErr w:type="spellStart"/>
      <w:r w:rsidRPr="000D5CE7">
        <w:rPr>
          <w:szCs w:val="18"/>
        </w:rPr>
        <w:t>párrs</w:t>
      </w:r>
      <w:proofErr w:type="spellEnd"/>
      <w:r w:rsidRPr="000D5CE7">
        <w:rPr>
          <w:szCs w:val="18"/>
        </w:rPr>
        <w:t xml:space="preserve">. </w:t>
      </w:r>
      <w:r w:rsidRPr="002364A8">
        <w:rPr>
          <w:szCs w:val="18"/>
        </w:rPr>
        <w:t>49</w:t>
      </w:r>
      <w:r w:rsidR="004B22C2" w:rsidRPr="002364A8">
        <w:rPr>
          <w:szCs w:val="18"/>
        </w:rPr>
        <w:t xml:space="preserve"> </w:t>
      </w:r>
      <w:r w:rsidR="004B22C2" w:rsidRPr="0045380A">
        <w:rPr>
          <w:szCs w:val="18"/>
        </w:rPr>
        <w:t xml:space="preserve">y </w:t>
      </w:r>
      <w:r w:rsidRPr="004B22C2">
        <w:rPr>
          <w:szCs w:val="18"/>
        </w:rPr>
        <w:t>50;</w:t>
      </w:r>
      <w:r w:rsidRPr="004B22C2">
        <w:t xml:space="preserve"> </w:t>
      </w:r>
      <w:hyperlink r:id="rId71" w:history="1">
        <w:r w:rsidRPr="00BA3997">
          <w:rPr>
            <w:rStyle w:val="Hipervnculo"/>
          </w:rPr>
          <w:t>A/HRC/42/16</w:t>
        </w:r>
      </w:hyperlink>
      <w:r w:rsidRPr="004B22C2">
        <w:t xml:space="preserve">, </w:t>
      </w:r>
      <w:proofErr w:type="spellStart"/>
      <w:r w:rsidRPr="004B22C2">
        <w:rPr>
          <w:szCs w:val="18"/>
        </w:rPr>
        <w:t>párrs</w:t>
      </w:r>
      <w:proofErr w:type="spellEnd"/>
      <w:r w:rsidRPr="004B22C2">
        <w:rPr>
          <w:szCs w:val="18"/>
        </w:rPr>
        <w:t>. 125.85</w:t>
      </w:r>
      <w:r w:rsidR="002364A8">
        <w:rPr>
          <w:szCs w:val="18"/>
        </w:rPr>
        <w:t xml:space="preserve"> y</w:t>
      </w:r>
      <w:r w:rsidRPr="004B22C2">
        <w:rPr>
          <w:szCs w:val="18"/>
        </w:rPr>
        <w:t xml:space="preserve"> 125.121</w:t>
      </w:r>
      <w:r w:rsidR="004B22C2" w:rsidRPr="0045380A">
        <w:rPr>
          <w:szCs w:val="18"/>
        </w:rPr>
        <w:t>,</w:t>
      </w:r>
      <w:r w:rsidRPr="002364A8">
        <w:rPr>
          <w:szCs w:val="18"/>
        </w:rPr>
        <w:t xml:space="preserve"> y </w:t>
      </w:r>
      <w:hyperlink r:id="rId72" w:history="1">
        <w:r w:rsidRPr="00BA3997">
          <w:rPr>
            <w:rStyle w:val="Hipervnculo"/>
          </w:rPr>
          <w:t>A/HRC/42/16/</w:t>
        </w:r>
        <w:proofErr w:type="spellStart"/>
        <w:r w:rsidRPr="00BA3997">
          <w:rPr>
            <w:rStyle w:val="Hipervnculo"/>
          </w:rPr>
          <w:t>Add.1</w:t>
        </w:r>
        <w:proofErr w:type="spellEnd"/>
      </w:hyperlink>
      <w:r w:rsidRPr="002364A8">
        <w:rPr>
          <w:szCs w:val="18"/>
        </w:rPr>
        <w:t>.</w:t>
      </w:r>
    </w:p>
  </w:footnote>
  <w:footnote w:id="51">
    <w:p w14:paraId="063D7473" w14:textId="3CE279A8" w:rsidR="003B7F65" w:rsidRPr="0045380A" w:rsidRDefault="003B7F65" w:rsidP="003B7F65">
      <w:pPr>
        <w:pStyle w:val="Textonotapie"/>
        <w:rPr>
          <w:szCs w:val="18"/>
        </w:rPr>
      </w:pPr>
      <w:r w:rsidRPr="00F814E5">
        <w:rPr>
          <w:szCs w:val="18"/>
        </w:rPr>
        <w:tab/>
      </w:r>
      <w:r w:rsidRPr="000A47F7">
        <w:rPr>
          <w:rStyle w:val="Refdenotaalpie"/>
          <w:szCs w:val="18"/>
        </w:rPr>
        <w:footnoteRef/>
      </w:r>
      <w:r w:rsidRPr="000A47F7">
        <w:rPr>
          <w:szCs w:val="18"/>
        </w:rPr>
        <w:tab/>
      </w:r>
      <w:r w:rsidRPr="00B36669">
        <w:rPr>
          <w:szCs w:val="18"/>
        </w:rPr>
        <w:t>Véase</w:t>
      </w:r>
      <w:r>
        <w:rPr>
          <w:szCs w:val="18"/>
        </w:rPr>
        <w:t xml:space="preserve"> </w:t>
      </w:r>
      <w:r w:rsidRPr="000A47F7">
        <w:rPr>
          <w:szCs w:val="18"/>
        </w:rPr>
        <w:t xml:space="preserve">ACNUDH, </w:t>
      </w:r>
      <w:r w:rsidR="004B22C2">
        <w:rPr>
          <w:szCs w:val="18"/>
        </w:rPr>
        <w:t>“</w:t>
      </w:r>
      <w:hyperlink r:id="rId73" w:history="1">
        <w:r w:rsidRPr="000A47F7">
          <w:rPr>
            <w:rStyle w:val="Hipervnculo"/>
            <w:color w:val="auto"/>
            <w:szCs w:val="18"/>
          </w:rPr>
          <w:t>Bachelet preocupada por la criminalización de la disidencia en Nicaragua</w:t>
        </w:r>
      </w:hyperlink>
      <w:r w:rsidR="004B22C2">
        <w:rPr>
          <w:rStyle w:val="Hipervnculo"/>
          <w:color w:val="auto"/>
          <w:szCs w:val="18"/>
        </w:rPr>
        <w:t>”, comunicado de prensa</w:t>
      </w:r>
      <w:r w:rsidRPr="000A47F7">
        <w:rPr>
          <w:szCs w:val="18"/>
        </w:rPr>
        <w:t xml:space="preserve">, 22 de febrero de 2019; </w:t>
      </w:r>
      <w:r w:rsidR="00147C3A">
        <w:rPr>
          <w:szCs w:val="18"/>
        </w:rPr>
        <w:t xml:space="preserve">comunicación </w:t>
      </w:r>
      <w:hyperlink r:id="rId74" w:history="1">
        <w:r w:rsidRPr="000A47F7">
          <w:rPr>
            <w:rStyle w:val="Hipervnculo"/>
            <w:color w:val="auto"/>
            <w:szCs w:val="18"/>
          </w:rPr>
          <w:t>NIC 5/2021</w:t>
        </w:r>
      </w:hyperlink>
      <w:r w:rsidRPr="000A47F7">
        <w:rPr>
          <w:rStyle w:val="Hipervnculo"/>
          <w:color w:val="auto"/>
          <w:szCs w:val="18"/>
        </w:rPr>
        <w:t>;</w:t>
      </w:r>
      <w:r>
        <w:rPr>
          <w:rStyle w:val="Hipervnculo"/>
          <w:color w:val="auto"/>
          <w:szCs w:val="18"/>
        </w:rPr>
        <w:t xml:space="preserve"> </w:t>
      </w:r>
      <w:hyperlink r:id="rId75" w:history="1">
        <w:r w:rsidRPr="00BA3997">
          <w:rPr>
            <w:rStyle w:val="Hipervnculo"/>
          </w:rPr>
          <w:t>A/HRC/42/16</w:t>
        </w:r>
      </w:hyperlink>
      <w:r w:rsidRPr="00E27E75">
        <w:t xml:space="preserve">, </w:t>
      </w:r>
      <w:proofErr w:type="spellStart"/>
      <w:r w:rsidRPr="00E27E75">
        <w:rPr>
          <w:szCs w:val="18"/>
        </w:rPr>
        <w:t>párr</w:t>
      </w:r>
      <w:r>
        <w:rPr>
          <w:szCs w:val="18"/>
        </w:rPr>
        <w:t>s</w:t>
      </w:r>
      <w:proofErr w:type="spellEnd"/>
      <w:r w:rsidRPr="00E27E75">
        <w:rPr>
          <w:szCs w:val="18"/>
        </w:rPr>
        <w:t>.</w:t>
      </w:r>
      <w:r w:rsidR="00BA3997">
        <w:rPr>
          <w:szCs w:val="18"/>
        </w:rPr>
        <w:t> </w:t>
      </w:r>
      <w:r w:rsidRPr="0045380A">
        <w:rPr>
          <w:szCs w:val="18"/>
        </w:rPr>
        <w:t>125.145, 125.164, 125.166</w:t>
      </w:r>
      <w:r w:rsidR="004B22C2">
        <w:rPr>
          <w:szCs w:val="18"/>
        </w:rPr>
        <w:t xml:space="preserve"> y 125.</w:t>
      </w:r>
      <w:r w:rsidRPr="0045380A">
        <w:rPr>
          <w:szCs w:val="18"/>
        </w:rPr>
        <w:t>167</w:t>
      </w:r>
      <w:r w:rsidR="004B22C2">
        <w:rPr>
          <w:szCs w:val="18"/>
        </w:rPr>
        <w:t>,</w:t>
      </w:r>
      <w:r w:rsidRPr="0045380A">
        <w:rPr>
          <w:szCs w:val="18"/>
        </w:rPr>
        <w:t xml:space="preserve"> y </w:t>
      </w:r>
      <w:hyperlink r:id="rId76" w:history="1">
        <w:r w:rsidRPr="0045380A">
          <w:rPr>
            <w:rStyle w:val="Hipervnculo"/>
          </w:rPr>
          <w:t>A/HRC/42/16/</w:t>
        </w:r>
        <w:proofErr w:type="spellStart"/>
        <w:r w:rsidRPr="0045380A">
          <w:rPr>
            <w:rStyle w:val="Hipervnculo"/>
          </w:rPr>
          <w:t>Add.1</w:t>
        </w:r>
        <w:proofErr w:type="spellEnd"/>
      </w:hyperlink>
      <w:r w:rsidRPr="0045380A">
        <w:t>.</w:t>
      </w:r>
    </w:p>
  </w:footnote>
  <w:footnote w:id="52">
    <w:p w14:paraId="7EA9260E" w14:textId="4B59DD71" w:rsidR="003B7F65" w:rsidRPr="0045380A" w:rsidRDefault="003B7F65" w:rsidP="003B7F65">
      <w:pPr>
        <w:pStyle w:val="Textonotapie"/>
        <w:rPr>
          <w:szCs w:val="18"/>
        </w:rPr>
      </w:pPr>
      <w:r w:rsidRPr="0045380A">
        <w:rPr>
          <w:szCs w:val="18"/>
        </w:rPr>
        <w:tab/>
      </w:r>
      <w:r w:rsidRPr="000A47F7">
        <w:rPr>
          <w:rStyle w:val="Refdenotaalpie"/>
          <w:szCs w:val="18"/>
        </w:rPr>
        <w:footnoteRef/>
      </w:r>
      <w:r w:rsidRPr="000A47F7">
        <w:rPr>
          <w:szCs w:val="18"/>
          <w:lang w:val="en-GB"/>
        </w:rPr>
        <w:tab/>
      </w:r>
      <w:r w:rsidRPr="000A47F7">
        <w:rPr>
          <w:szCs w:val="18"/>
          <w:lang w:val="en-GB"/>
        </w:rPr>
        <w:tab/>
      </w:r>
      <w:hyperlink r:id="rId77" w:history="1">
        <w:proofErr w:type="spellStart"/>
        <w:r w:rsidRPr="0045380A">
          <w:rPr>
            <w:rStyle w:val="Hipervnculo"/>
            <w:bCs/>
            <w:szCs w:val="18"/>
            <w:lang w:val="en-GB"/>
          </w:rPr>
          <w:t>CMW</w:t>
        </w:r>
        <w:proofErr w:type="spellEnd"/>
        <w:r w:rsidRPr="0045380A">
          <w:rPr>
            <w:rStyle w:val="Hipervnculo"/>
            <w:bCs/>
            <w:szCs w:val="18"/>
            <w:lang w:val="en-GB"/>
          </w:rPr>
          <w:t>/C/NIC/CO/1</w:t>
        </w:r>
      </w:hyperlink>
      <w:r w:rsidRPr="000A47F7">
        <w:rPr>
          <w:bCs/>
          <w:szCs w:val="18"/>
          <w:lang w:val="en-GB"/>
        </w:rPr>
        <w:t>,</w:t>
      </w:r>
      <w:r w:rsidRPr="000A47F7">
        <w:rPr>
          <w:szCs w:val="18"/>
          <w:lang w:val="en-GB"/>
        </w:rPr>
        <w:t xml:space="preserve"> </w:t>
      </w:r>
      <w:proofErr w:type="spellStart"/>
      <w:r w:rsidRPr="000A47F7">
        <w:rPr>
          <w:szCs w:val="18"/>
          <w:lang w:val="en-GB"/>
        </w:rPr>
        <w:t>párr</w:t>
      </w:r>
      <w:proofErr w:type="spellEnd"/>
      <w:r w:rsidRPr="000A47F7">
        <w:rPr>
          <w:szCs w:val="18"/>
          <w:lang w:val="en-GB"/>
        </w:rPr>
        <w:t xml:space="preserve">. </w:t>
      </w:r>
      <w:r w:rsidRPr="0045380A">
        <w:rPr>
          <w:szCs w:val="18"/>
        </w:rPr>
        <w:t>32;</w:t>
      </w:r>
      <w:r w:rsidRPr="0045380A">
        <w:rPr>
          <w:bCs/>
          <w:szCs w:val="18"/>
        </w:rPr>
        <w:t xml:space="preserve"> </w:t>
      </w:r>
      <w:hyperlink r:id="rId78" w:history="1">
        <w:r w:rsidRPr="0045380A">
          <w:rPr>
            <w:rStyle w:val="Hipervnculo"/>
          </w:rPr>
          <w:t>A/HRC/49/23</w:t>
        </w:r>
      </w:hyperlink>
      <w:r w:rsidRPr="0045380A">
        <w:rPr>
          <w:szCs w:val="18"/>
        </w:rPr>
        <w:t xml:space="preserve">, </w:t>
      </w:r>
      <w:proofErr w:type="spellStart"/>
      <w:r w:rsidRPr="0045380A">
        <w:rPr>
          <w:szCs w:val="18"/>
        </w:rPr>
        <w:t>párrs</w:t>
      </w:r>
      <w:proofErr w:type="spellEnd"/>
      <w:r w:rsidRPr="0045380A">
        <w:rPr>
          <w:szCs w:val="18"/>
        </w:rPr>
        <w:t>. 45</w:t>
      </w:r>
      <w:r w:rsidR="002364A8" w:rsidRPr="0045380A">
        <w:rPr>
          <w:szCs w:val="18"/>
        </w:rPr>
        <w:t xml:space="preserve"> a </w:t>
      </w:r>
      <w:r w:rsidRPr="0045380A">
        <w:rPr>
          <w:szCs w:val="18"/>
        </w:rPr>
        <w:t>52;</w:t>
      </w:r>
      <w:r w:rsidR="002364A8" w:rsidRPr="0045380A">
        <w:rPr>
          <w:szCs w:val="18"/>
        </w:rPr>
        <w:t xml:space="preserve"> </w:t>
      </w:r>
      <w:r w:rsidR="00147C3A" w:rsidRPr="0045380A">
        <w:rPr>
          <w:szCs w:val="18"/>
        </w:rPr>
        <w:t xml:space="preserve">comunicación </w:t>
      </w:r>
      <w:hyperlink r:id="rId79" w:history="1">
        <w:r w:rsidRPr="0045380A">
          <w:rPr>
            <w:rStyle w:val="Hipervnculo"/>
            <w:color w:val="auto"/>
            <w:szCs w:val="18"/>
          </w:rPr>
          <w:t>NIC 1/2022</w:t>
        </w:r>
      </w:hyperlink>
      <w:r w:rsidRPr="0045380A">
        <w:rPr>
          <w:rStyle w:val="Hipervnculo"/>
          <w:color w:val="auto"/>
          <w:szCs w:val="18"/>
        </w:rPr>
        <w:t xml:space="preserve">; </w:t>
      </w:r>
      <w:hyperlink r:id="rId80" w:history="1">
        <w:r w:rsidRPr="0045380A">
          <w:rPr>
            <w:rStyle w:val="Hipervnculo"/>
          </w:rPr>
          <w:t>A/HRC/</w:t>
        </w:r>
        <w:proofErr w:type="spellStart"/>
        <w:r w:rsidRPr="0045380A">
          <w:rPr>
            <w:rStyle w:val="Hipervnculo"/>
          </w:rPr>
          <w:t>WG.6</w:t>
        </w:r>
        <w:proofErr w:type="spellEnd"/>
        <w:r w:rsidRPr="0045380A">
          <w:rPr>
            <w:rStyle w:val="Hipervnculo"/>
          </w:rPr>
          <w:t>/33/NIC/3</w:t>
        </w:r>
      </w:hyperlink>
      <w:r w:rsidRPr="0045380A">
        <w:rPr>
          <w:szCs w:val="18"/>
        </w:rPr>
        <w:t xml:space="preserve">, </w:t>
      </w:r>
      <w:proofErr w:type="spellStart"/>
      <w:r w:rsidRPr="0045380A">
        <w:rPr>
          <w:szCs w:val="18"/>
        </w:rPr>
        <w:t>párrs</w:t>
      </w:r>
      <w:proofErr w:type="spellEnd"/>
      <w:r w:rsidRPr="0045380A">
        <w:rPr>
          <w:szCs w:val="18"/>
        </w:rPr>
        <w:t>. 34</w:t>
      </w:r>
      <w:r w:rsidR="004B22C2" w:rsidRPr="0045380A">
        <w:rPr>
          <w:szCs w:val="18"/>
        </w:rPr>
        <w:t xml:space="preserve"> a </w:t>
      </w:r>
      <w:r w:rsidRPr="0045380A">
        <w:rPr>
          <w:szCs w:val="18"/>
        </w:rPr>
        <w:t xml:space="preserve">50; </w:t>
      </w:r>
      <w:hyperlink r:id="rId81" w:history="1">
        <w:r w:rsidRPr="0045380A">
          <w:rPr>
            <w:rStyle w:val="Hipervnculo"/>
          </w:rPr>
          <w:t>A/HRC/42/16</w:t>
        </w:r>
      </w:hyperlink>
      <w:r w:rsidRPr="0045380A">
        <w:t xml:space="preserve">, </w:t>
      </w:r>
      <w:proofErr w:type="spellStart"/>
      <w:r w:rsidRPr="0045380A">
        <w:rPr>
          <w:szCs w:val="18"/>
        </w:rPr>
        <w:t>párrs</w:t>
      </w:r>
      <w:proofErr w:type="spellEnd"/>
      <w:r w:rsidRPr="0045380A">
        <w:rPr>
          <w:szCs w:val="18"/>
        </w:rPr>
        <w:t>. 125.110</w:t>
      </w:r>
      <w:r w:rsidR="004B22C2" w:rsidRPr="0045380A">
        <w:rPr>
          <w:szCs w:val="18"/>
        </w:rPr>
        <w:t xml:space="preserve"> a </w:t>
      </w:r>
      <w:r w:rsidRPr="0045380A">
        <w:rPr>
          <w:szCs w:val="18"/>
        </w:rPr>
        <w:t>125.113, 125.118, 125.124</w:t>
      </w:r>
      <w:r w:rsidR="002364A8" w:rsidRPr="0045380A">
        <w:rPr>
          <w:szCs w:val="18"/>
        </w:rPr>
        <w:t xml:space="preserve"> y</w:t>
      </w:r>
      <w:r w:rsidRPr="0045380A">
        <w:rPr>
          <w:szCs w:val="18"/>
        </w:rPr>
        <w:t xml:space="preserve"> 125</w:t>
      </w:r>
      <w:r w:rsidR="002364A8" w:rsidRPr="0045380A">
        <w:rPr>
          <w:szCs w:val="18"/>
        </w:rPr>
        <w:t xml:space="preserve"> a </w:t>
      </w:r>
      <w:r w:rsidRPr="0045380A">
        <w:rPr>
          <w:szCs w:val="18"/>
        </w:rPr>
        <w:t>151</w:t>
      </w:r>
      <w:r w:rsidR="002364A8" w:rsidRPr="0045380A">
        <w:rPr>
          <w:szCs w:val="18"/>
        </w:rPr>
        <w:t>,</w:t>
      </w:r>
      <w:r w:rsidRPr="0045380A">
        <w:rPr>
          <w:szCs w:val="18"/>
        </w:rPr>
        <w:t xml:space="preserve"> y </w:t>
      </w:r>
      <w:hyperlink r:id="rId82" w:history="1">
        <w:r w:rsidRPr="0045380A">
          <w:rPr>
            <w:rStyle w:val="Hipervnculo"/>
          </w:rPr>
          <w:t>A/HRC/42/16/</w:t>
        </w:r>
        <w:proofErr w:type="spellStart"/>
        <w:r w:rsidRPr="0045380A">
          <w:rPr>
            <w:rStyle w:val="Hipervnculo"/>
          </w:rPr>
          <w:t>Add.1</w:t>
        </w:r>
        <w:proofErr w:type="spellEnd"/>
      </w:hyperlink>
      <w:r w:rsidRPr="0045380A">
        <w:rPr>
          <w:szCs w:val="18"/>
        </w:rPr>
        <w:t>.</w:t>
      </w:r>
    </w:p>
  </w:footnote>
  <w:footnote w:id="53">
    <w:p w14:paraId="3A25F5D3" w14:textId="546D683D" w:rsidR="003B7F65" w:rsidRPr="0045380A" w:rsidRDefault="003B7F65" w:rsidP="003B7F65">
      <w:pPr>
        <w:pStyle w:val="Textonotapie"/>
        <w:rPr>
          <w:szCs w:val="18"/>
        </w:rPr>
      </w:pPr>
      <w:r w:rsidRPr="0045380A">
        <w:rPr>
          <w:szCs w:val="18"/>
        </w:rPr>
        <w:tab/>
      </w:r>
      <w:r w:rsidRPr="000A47F7">
        <w:rPr>
          <w:rStyle w:val="Refdenotaalpie"/>
          <w:szCs w:val="18"/>
        </w:rPr>
        <w:footnoteRef/>
      </w:r>
      <w:r w:rsidRPr="0045380A">
        <w:rPr>
          <w:szCs w:val="18"/>
        </w:rPr>
        <w:tab/>
        <w:t>Véase</w:t>
      </w:r>
      <w:r w:rsidR="0096429C" w:rsidRPr="0045380A">
        <w:rPr>
          <w:szCs w:val="18"/>
        </w:rPr>
        <w:t xml:space="preserve"> </w:t>
      </w:r>
      <w:r w:rsidR="00937977" w:rsidRPr="00937977">
        <w:rPr>
          <w:szCs w:val="18"/>
        </w:rPr>
        <w:t>Michelle Bachelet, Alta Comisionada de las Naciones Unidas para los Derechos Humanos, “47º período de sesiones del Consejo de Derechos Humanos: actualización oral sobre la situación de los derechos humanos en Nicaragua”, Ginebra, 22 de junio de 2021</w:t>
      </w:r>
      <w:r w:rsidRPr="0045380A">
        <w:rPr>
          <w:szCs w:val="18"/>
        </w:rPr>
        <w:t>.</w:t>
      </w:r>
    </w:p>
  </w:footnote>
  <w:footnote w:id="54">
    <w:p w14:paraId="5D547A8A" w14:textId="519121A0" w:rsidR="003B7F65" w:rsidRPr="000A47F7" w:rsidRDefault="003B7F65" w:rsidP="003B7F65">
      <w:pPr>
        <w:pStyle w:val="Textonotapie"/>
        <w:rPr>
          <w:szCs w:val="18"/>
        </w:rPr>
      </w:pPr>
      <w:r w:rsidRPr="0045380A">
        <w:rPr>
          <w:szCs w:val="18"/>
        </w:rPr>
        <w:tab/>
      </w:r>
      <w:r w:rsidRPr="000A47F7">
        <w:rPr>
          <w:rStyle w:val="Refdenotaalpie"/>
          <w:szCs w:val="18"/>
        </w:rPr>
        <w:footnoteRef/>
      </w:r>
      <w:r w:rsidRPr="000A47F7">
        <w:rPr>
          <w:szCs w:val="18"/>
        </w:rPr>
        <w:tab/>
      </w:r>
      <w:r w:rsidRPr="000A47F7">
        <w:rPr>
          <w:szCs w:val="18"/>
        </w:rPr>
        <w:tab/>
        <w:t xml:space="preserve">Véase ACNUDH, </w:t>
      </w:r>
      <w:r w:rsidR="0082158A" w:rsidRPr="009E2FDA">
        <w:rPr>
          <w:szCs w:val="18"/>
        </w:rPr>
        <w:t>“</w:t>
      </w:r>
      <w:hyperlink r:id="rId83" w:history="1">
        <w:r w:rsidR="002364A8" w:rsidRPr="0045380A">
          <w:rPr>
            <w:rStyle w:val="Hipervnculo"/>
            <w:color w:val="auto"/>
            <w:szCs w:val="18"/>
          </w:rPr>
          <w:t>Violaciones de derechos humanos y abusos en el contexto de las protestas en Nicaragua 18 de abril – 18 de agosto de 2018</w:t>
        </w:r>
      </w:hyperlink>
      <w:r w:rsidR="0082158A" w:rsidRPr="0045380A">
        <w:rPr>
          <w:rStyle w:val="Hipervnculo"/>
          <w:color w:val="auto"/>
          <w:szCs w:val="18"/>
        </w:rPr>
        <w:t>”</w:t>
      </w:r>
      <w:r w:rsidR="002364A8" w:rsidRPr="009E2FDA">
        <w:rPr>
          <w:szCs w:val="18"/>
        </w:rPr>
        <w:t>.</w:t>
      </w:r>
    </w:p>
  </w:footnote>
  <w:footnote w:id="55">
    <w:p w14:paraId="0CEDE6A3" w14:textId="3DCFC9EE" w:rsidR="003B7F65" w:rsidRPr="0045380A" w:rsidRDefault="003B7F65" w:rsidP="003B7F65">
      <w:pPr>
        <w:pStyle w:val="Textonotapie"/>
        <w:rPr>
          <w:spacing w:val="4"/>
          <w:szCs w:val="18"/>
        </w:rPr>
      </w:pPr>
      <w:r w:rsidRPr="000A47F7">
        <w:rPr>
          <w:szCs w:val="18"/>
        </w:rPr>
        <w:tab/>
      </w:r>
      <w:r w:rsidRPr="000A47F7">
        <w:rPr>
          <w:rStyle w:val="Refdenotaalpie"/>
          <w:szCs w:val="18"/>
        </w:rPr>
        <w:footnoteRef/>
      </w:r>
      <w:r w:rsidRPr="000A47F7">
        <w:rPr>
          <w:szCs w:val="18"/>
        </w:rPr>
        <w:tab/>
      </w:r>
      <w:r w:rsidR="00147C3A" w:rsidRPr="00147C3A">
        <w:rPr>
          <w:szCs w:val="18"/>
        </w:rPr>
        <w:t>Comunicación</w:t>
      </w:r>
      <w:r w:rsidR="00147C3A">
        <w:rPr>
          <w:szCs w:val="18"/>
        </w:rPr>
        <w:t xml:space="preserve"> </w:t>
      </w:r>
      <w:hyperlink r:id="rId84" w:history="1">
        <w:r w:rsidRPr="000A47F7">
          <w:rPr>
            <w:rStyle w:val="Hipervnculo"/>
            <w:color w:val="auto"/>
            <w:szCs w:val="18"/>
          </w:rPr>
          <w:t>NIC 4/2020</w:t>
        </w:r>
      </w:hyperlink>
      <w:r w:rsidR="004B22C2">
        <w:rPr>
          <w:szCs w:val="18"/>
        </w:rPr>
        <w:t xml:space="preserve"> y </w:t>
      </w:r>
      <w:hyperlink r:id="rId85" w:history="1">
        <w:r w:rsidRPr="00BA3997">
          <w:rPr>
            <w:rStyle w:val="Hipervnculo"/>
            <w:szCs w:val="18"/>
          </w:rPr>
          <w:t>A/HRC/</w:t>
        </w:r>
        <w:proofErr w:type="spellStart"/>
        <w:r w:rsidRPr="00BA3997">
          <w:rPr>
            <w:rStyle w:val="Hipervnculo"/>
            <w:szCs w:val="18"/>
          </w:rPr>
          <w:t>WG.6</w:t>
        </w:r>
        <w:proofErr w:type="spellEnd"/>
        <w:r w:rsidRPr="00BA3997">
          <w:rPr>
            <w:rStyle w:val="Hipervnculo"/>
            <w:szCs w:val="18"/>
          </w:rPr>
          <w:t>/33/NIC/3</w:t>
        </w:r>
      </w:hyperlink>
      <w:r w:rsidRPr="000A47F7">
        <w:rPr>
          <w:szCs w:val="18"/>
        </w:rPr>
        <w:t xml:space="preserve">, </w:t>
      </w:r>
      <w:proofErr w:type="spellStart"/>
      <w:r w:rsidRPr="000A47F7">
        <w:rPr>
          <w:szCs w:val="18"/>
        </w:rPr>
        <w:t>párr</w:t>
      </w:r>
      <w:r>
        <w:rPr>
          <w:szCs w:val="18"/>
        </w:rPr>
        <w:t>s</w:t>
      </w:r>
      <w:proofErr w:type="spellEnd"/>
      <w:r w:rsidRPr="000A47F7">
        <w:rPr>
          <w:szCs w:val="18"/>
        </w:rPr>
        <w:t xml:space="preserve">. </w:t>
      </w:r>
      <w:r w:rsidRPr="0045380A">
        <w:rPr>
          <w:szCs w:val="18"/>
        </w:rPr>
        <w:t>17 y 19.</w:t>
      </w:r>
    </w:p>
  </w:footnote>
  <w:footnote w:id="56">
    <w:p w14:paraId="1DB5C146" w14:textId="67827FA2" w:rsidR="003B7F65" w:rsidRPr="0045380A" w:rsidRDefault="003B7F65" w:rsidP="003B7F65">
      <w:pPr>
        <w:pStyle w:val="Textonotapie"/>
        <w:rPr>
          <w:szCs w:val="18"/>
        </w:rPr>
      </w:pPr>
      <w:r w:rsidRPr="0045380A">
        <w:rPr>
          <w:szCs w:val="18"/>
        </w:rPr>
        <w:tab/>
      </w:r>
      <w:r w:rsidRPr="000A47F7">
        <w:rPr>
          <w:rStyle w:val="Refdenotaalpie"/>
          <w:szCs w:val="18"/>
        </w:rPr>
        <w:footnoteRef/>
      </w:r>
      <w:r w:rsidRPr="0045380A">
        <w:rPr>
          <w:szCs w:val="18"/>
        </w:rPr>
        <w:tab/>
      </w:r>
      <w:r w:rsidRPr="0045380A">
        <w:rPr>
          <w:szCs w:val="18"/>
        </w:rPr>
        <w:tab/>
      </w:r>
      <w:r w:rsidR="00147C3A" w:rsidRPr="0045380A">
        <w:rPr>
          <w:szCs w:val="18"/>
        </w:rPr>
        <w:t xml:space="preserve">Véase la comunicación </w:t>
      </w:r>
      <w:hyperlink r:id="rId86" w:history="1">
        <w:r w:rsidRPr="0045380A">
          <w:rPr>
            <w:rStyle w:val="Hipervnculo"/>
            <w:color w:val="auto"/>
            <w:szCs w:val="18"/>
          </w:rPr>
          <w:t>NIC 3/2020</w:t>
        </w:r>
      </w:hyperlink>
      <w:r w:rsidRPr="0045380A">
        <w:rPr>
          <w:rStyle w:val="Hipervnculo"/>
          <w:color w:val="auto"/>
          <w:szCs w:val="18"/>
        </w:rPr>
        <w:t>.</w:t>
      </w:r>
    </w:p>
  </w:footnote>
  <w:footnote w:id="57">
    <w:p w14:paraId="60C46DE6" w14:textId="14675155" w:rsidR="003B7F65" w:rsidRPr="0045380A" w:rsidRDefault="003B7F65" w:rsidP="003B7F65">
      <w:pPr>
        <w:pStyle w:val="Textonotapie"/>
        <w:rPr>
          <w:szCs w:val="18"/>
        </w:rPr>
      </w:pPr>
      <w:r w:rsidRPr="0045380A">
        <w:rPr>
          <w:szCs w:val="18"/>
        </w:rPr>
        <w:tab/>
      </w:r>
      <w:r w:rsidRPr="000A47F7">
        <w:rPr>
          <w:rStyle w:val="Refdenotaalpie"/>
          <w:szCs w:val="18"/>
        </w:rPr>
        <w:footnoteRef/>
      </w:r>
      <w:r w:rsidRPr="0045380A">
        <w:rPr>
          <w:szCs w:val="18"/>
        </w:rPr>
        <w:tab/>
      </w:r>
      <w:r w:rsidRPr="0045380A">
        <w:rPr>
          <w:szCs w:val="18"/>
        </w:rPr>
        <w:tab/>
      </w:r>
      <w:hyperlink r:id="rId87" w:history="1">
        <w:r w:rsidRPr="0045380A">
          <w:rPr>
            <w:rStyle w:val="Hipervnculo"/>
          </w:rPr>
          <w:t>A/HRC/48/55</w:t>
        </w:r>
      </w:hyperlink>
      <w:r w:rsidRPr="0045380A">
        <w:rPr>
          <w:szCs w:val="18"/>
        </w:rPr>
        <w:t>, pág. 7.</w:t>
      </w:r>
    </w:p>
  </w:footnote>
  <w:footnote w:id="58">
    <w:p w14:paraId="6AB8F7BB" w14:textId="5AA7D76F" w:rsidR="003B7F65" w:rsidRPr="005026E8" w:rsidRDefault="003B7F65" w:rsidP="003B7F65">
      <w:pPr>
        <w:pStyle w:val="Textonotapie"/>
        <w:rPr>
          <w:szCs w:val="18"/>
        </w:rPr>
      </w:pPr>
      <w:r w:rsidRPr="0045380A">
        <w:rPr>
          <w:szCs w:val="18"/>
        </w:rPr>
        <w:tab/>
      </w:r>
      <w:r w:rsidRPr="000A47F7">
        <w:rPr>
          <w:rStyle w:val="Refdenotaalpie"/>
          <w:szCs w:val="18"/>
        </w:rPr>
        <w:footnoteRef/>
      </w:r>
      <w:r w:rsidRPr="0045380A">
        <w:rPr>
          <w:szCs w:val="18"/>
        </w:rPr>
        <w:tab/>
      </w:r>
      <w:hyperlink r:id="rId88" w:history="1">
        <w:r w:rsidRPr="0045380A">
          <w:rPr>
            <w:rStyle w:val="Hipervnculo"/>
          </w:rPr>
          <w:tab/>
          <w:t>CAT/C/NIC/2</w:t>
        </w:r>
      </w:hyperlink>
      <w:r w:rsidRPr="0045380A">
        <w:rPr>
          <w:szCs w:val="18"/>
        </w:rPr>
        <w:t xml:space="preserve">, </w:t>
      </w:r>
      <w:proofErr w:type="spellStart"/>
      <w:r w:rsidRPr="0045380A">
        <w:rPr>
          <w:szCs w:val="18"/>
        </w:rPr>
        <w:t>párrs</w:t>
      </w:r>
      <w:proofErr w:type="spellEnd"/>
      <w:r w:rsidRPr="0045380A">
        <w:rPr>
          <w:szCs w:val="18"/>
        </w:rPr>
        <w:t xml:space="preserve">. </w:t>
      </w:r>
      <w:r w:rsidRPr="005026E8">
        <w:rPr>
          <w:szCs w:val="18"/>
        </w:rPr>
        <w:t>9</w:t>
      </w:r>
      <w:r w:rsidR="00F814E5" w:rsidRPr="0045380A">
        <w:rPr>
          <w:szCs w:val="18"/>
        </w:rPr>
        <w:t xml:space="preserve"> y </w:t>
      </w:r>
      <w:r w:rsidRPr="005026E8">
        <w:rPr>
          <w:szCs w:val="18"/>
        </w:rPr>
        <w:t>10, 16</w:t>
      </w:r>
      <w:r w:rsidR="00F814E5" w:rsidRPr="0045380A">
        <w:rPr>
          <w:szCs w:val="18"/>
        </w:rPr>
        <w:t xml:space="preserve"> a </w:t>
      </w:r>
      <w:r w:rsidRPr="005026E8">
        <w:rPr>
          <w:szCs w:val="18"/>
        </w:rPr>
        <w:t>20, 25</w:t>
      </w:r>
      <w:r w:rsidR="00F814E5" w:rsidRPr="0045380A">
        <w:rPr>
          <w:szCs w:val="18"/>
        </w:rPr>
        <w:t xml:space="preserve"> a </w:t>
      </w:r>
      <w:r w:rsidRPr="005026E8">
        <w:rPr>
          <w:szCs w:val="18"/>
        </w:rPr>
        <w:t>28, 84</w:t>
      </w:r>
      <w:r w:rsidR="00F814E5" w:rsidRPr="0045380A">
        <w:rPr>
          <w:szCs w:val="18"/>
        </w:rPr>
        <w:t xml:space="preserve"> a </w:t>
      </w:r>
      <w:r w:rsidRPr="005026E8">
        <w:rPr>
          <w:szCs w:val="18"/>
        </w:rPr>
        <w:t>110 y 119.</w:t>
      </w:r>
    </w:p>
  </w:footnote>
  <w:footnote w:id="59">
    <w:p w14:paraId="55049F58" w14:textId="02B2EC96" w:rsidR="003B7F65" w:rsidRPr="000A47F7" w:rsidRDefault="003B7F65" w:rsidP="003B7F65">
      <w:pPr>
        <w:pStyle w:val="Textonotapie"/>
        <w:rPr>
          <w:szCs w:val="18"/>
          <w:lang w:val="en-GB"/>
        </w:rPr>
      </w:pPr>
      <w:r w:rsidRPr="005026E8">
        <w:rPr>
          <w:szCs w:val="18"/>
        </w:rPr>
        <w:tab/>
      </w:r>
      <w:r w:rsidRPr="000A47F7">
        <w:rPr>
          <w:rStyle w:val="Refdenotaalpie"/>
          <w:szCs w:val="18"/>
        </w:rPr>
        <w:footnoteRef/>
      </w:r>
      <w:r w:rsidRPr="005026E8">
        <w:rPr>
          <w:szCs w:val="18"/>
        </w:rPr>
        <w:tab/>
      </w:r>
      <w:r w:rsidRPr="005026E8">
        <w:rPr>
          <w:szCs w:val="18"/>
        </w:rPr>
        <w:tab/>
      </w:r>
      <w:hyperlink r:id="rId89" w:history="1">
        <w:r w:rsidRPr="00BA3997">
          <w:rPr>
            <w:rStyle w:val="Hipervnculo"/>
            <w:szCs w:val="18"/>
          </w:rPr>
          <w:t>A/HRC/46/21</w:t>
        </w:r>
      </w:hyperlink>
      <w:r w:rsidRPr="005026E8">
        <w:rPr>
          <w:szCs w:val="18"/>
        </w:rPr>
        <w:t xml:space="preserve">, </w:t>
      </w:r>
      <w:proofErr w:type="spellStart"/>
      <w:r w:rsidRPr="005026E8">
        <w:rPr>
          <w:szCs w:val="18"/>
        </w:rPr>
        <w:t>párrs</w:t>
      </w:r>
      <w:proofErr w:type="spellEnd"/>
      <w:r w:rsidRPr="005026E8">
        <w:rPr>
          <w:szCs w:val="18"/>
        </w:rPr>
        <w:t>. 3</w:t>
      </w:r>
      <w:r w:rsidR="00F814E5" w:rsidRPr="0045380A">
        <w:rPr>
          <w:szCs w:val="18"/>
        </w:rPr>
        <w:t xml:space="preserve"> a </w:t>
      </w:r>
      <w:r w:rsidRPr="005026E8">
        <w:rPr>
          <w:szCs w:val="18"/>
        </w:rPr>
        <w:t xml:space="preserve">36; </w:t>
      </w:r>
      <w:hyperlink r:id="rId90" w:history="1">
        <w:r w:rsidRPr="00BA3997">
          <w:rPr>
            <w:rStyle w:val="Hipervnculo"/>
            <w:szCs w:val="18"/>
          </w:rPr>
          <w:t>A/HRC/49/23</w:t>
        </w:r>
      </w:hyperlink>
      <w:r w:rsidRPr="005026E8">
        <w:rPr>
          <w:szCs w:val="18"/>
        </w:rPr>
        <w:t xml:space="preserve">, </w:t>
      </w:r>
      <w:proofErr w:type="spellStart"/>
      <w:r w:rsidRPr="005026E8">
        <w:rPr>
          <w:szCs w:val="18"/>
        </w:rPr>
        <w:t>párrs</w:t>
      </w:r>
      <w:proofErr w:type="spellEnd"/>
      <w:r w:rsidRPr="005026E8">
        <w:rPr>
          <w:szCs w:val="18"/>
        </w:rPr>
        <w:t xml:space="preserve">. </w:t>
      </w:r>
      <w:r w:rsidRPr="0045380A">
        <w:rPr>
          <w:szCs w:val="18"/>
        </w:rPr>
        <w:t>37</w:t>
      </w:r>
      <w:r w:rsidR="00F814E5" w:rsidRPr="0045380A">
        <w:rPr>
          <w:szCs w:val="18"/>
        </w:rPr>
        <w:t xml:space="preserve"> y </w:t>
      </w:r>
      <w:r w:rsidRPr="0045380A">
        <w:rPr>
          <w:szCs w:val="18"/>
        </w:rPr>
        <w:t xml:space="preserve">38; </w:t>
      </w:r>
      <w:hyperlink r:id="rId91" w:history="1">
        <w:r w:rsidRPr="0045380A">
          <w:rPr>
            <w:rStyle w:val="Hipervnculo"/>
          </w:rPr>
          <w:t>A/HRC/</w:t>
        </w:r>
        <w:proofErr w:type="spellStart"/>
        <w:r w:rsidRPr="0045380A">
          <w:rPr>
            <w:rStyle w:val="Hipervnculo"/>
          </w:rPr>
          <w:t>WG.6</w:t>
        </w:r>
        <w:proofErr w:type="spellEnd"/>
        <w:r w:rsidRPr="0045380A">
          <w:rPr>
            <w:rStyle w:val="Hipervnculo"/>
          </w:rPr>
          <w:t>/33/NIC/3</w:t>
        </w:r>
      </w:hyperlink>
      <w:r w:rsidRPr="0045380A">
        <w:rPr>
          <w:szCs w:val="18"/>
        </w:rPr>
        <w:t xml:space="preserve">, </w:t>
      </w:r>
      <w:proofErr w:type="spellStart"/>
      <w:r w:rsidRPr="0045380A">
        <w:rPr>
          <w:szCs w:val="18"/>
        </w:rPr>
        <w:t>párrs</w:t>
      </w:r>
      <w:proofErr w:type="spellEnd"/>
      <w:r w:rsidRPr="0045380A">
        <w:rPr>
          <w:szCs w:val="18"/>
        </w:rPr>
        <w:t>. 75</w:t>
      </w:r>
      <w:r w:rsidR="00F814E5" w:rsidRPr="0045380A">
        <w:rPr>
          <w:szCs w:val="18"/>
        </w:rPr>
        <w:t xml:space="preserve"> y </w:t>
      </w:r>
      <w:r w:rsidRPr="0045380A">
        <w:rPr>
          <w:szCs w:val="18"/>
        </w:rPr>
        <w:t xml:space="preserve">76; </w:t>
      </w:r>
      <w:r w:rsidR="00F814E5" w:rsidRPr="0045380A">
        <w:rPr>
          <w:szCs w:val="18"/>
        </w:rPr>
        <w:t xml:space="preserve">y </w:t>
      </w:r>
      <w:hyperlink r:id="rId92" w:history="1">
        <w:r w:rsidRPr="0045380A">
          <w:rPr>
            <w:rStyle w:val="Hipervnculo"/>
          </w:rPr>
          <w:t>A/HRC/</w:t>
        </w:r>
        <w:proofErr w:type="spellStart"/>
        <w:r w:rsidRPr="0045380A">
          <w:rPr>
            <w:rStyle w:val="Hipervnculo"/>
          </w:rPr>
          <w:t>WG.6</w:t>
        </w:r>
        <w:proofErr w:type="spellEnd"/>
        <w:r w:rsidRPr="0045380A">
          <w:rPr>
            <w:rStyle w:val="Hipervnculo"/>
          </w:rPr>
          <w:t>/33/NIC/2</w:t>
        </w:r>
      </w:hyperlink>
      <w:r w:rsidRPr="0045380A">
        <w:rPr>
          <w:szCs w:val="18"/>
        </w:rPr>
        <w:t xml:space="preserve">, párr. </w:t>
      </w:r>
      <w:r w:rsidRPr="000A47F7">
        <w:rPr>
          <w:szCs w:val="18"/>
          <w:lang w:val="en-GB"/>
        </w:rPr>
        <w:t>71</w:t>
      </w:r>
      <w:r>
        <w:rPr>
          <w:szCs w:val="18"/>
          <w:lang w:val="en-GB"/>
        </w:rPr>
        <w:t>.</w:t>
      </w:r>
      <w:r w:rsidRPr="000A47F7">
        <w:rPr>
          <w:szCs w:val="18"/>
          <w:lang w:val="en-GB"/>
        </w:rPr>
        <w:t xml:space="preserve"> </w:t>
      </w:r>
    </w:p>
  </w:footnote>
  <w:footnote w:id="60">
    <w:p w14:paraId="2D61C7B7" w14:textId="252AE493" w:rsidR="003B7F65" w:rsidRPr="000A47F7" w:rsidRDefault="003B7F65" w:rsidP="003B7F65">
      <w:pPr>
        <w:pStyle w:val="Textonotapie"/>
        <w:rPr>
          <w:szCs w:val="18"/>
          <w:lang w:val="en-GB"/>
        </w:rPr>
      </w:pPr>
      <w:r w:rsidRPr="000A47F7">
        <w:rPr>
          <w:szCs w:val="18"/>
          <w:lang w:val="en-GB"/>
        </w:rPr>
        <w:tab/>
      </w:r>
      <w:r w:rsidRPr="000A47F7">
        <w:rPr>
          <w:rStyle w:val="Refdenotaalpie"/>
          <w:szCs w:val="18"/>
        </w:rPr>
        <w:footnoteRef/>
      </w:r>
      <w:r w:rsidRPr="000A47F7">
        <w:rPr>
          <w:szCs w:val="18"/>
          <w:lang w:val="en-GB"/>
        </w:rPr>
        <w:tab/>
      </w:r>
      <w:r w:rsidRPr="000A47F7">
        <w:rPr>
          <w:szCs w:val="18"/>
          <w:lang w:val="en-GB"/>
        </w:rPr>
        <w:tab/>
      </w:r>
      <w:hyperlink r:id="rId93" w:history="1">
        <w:r w:rsidRPr="00BA3997">
          <w:rPr>
            <w:rStyle w:val="Hipervnculo"/>
            <w:szCs w:val="18"/>
            <w:lang w:val="en-GB"/>
          </w:rPr>
          <w:t>CAT/C/NIC/2</w:t>
        </w:r>
      </w:hyperlink>
      <w:r w:rsidRPr="000A47F7">
        <w:rPr>
          <w:szCs w:val="18"/>
          <w:lang w:val="en-GB"/>
        </w:rPr>
        <w:t xml:space="preserve">, </w:t>
      </w:r>
      <w:proofErr w:type="spellStart"/>
      <w:r w:rsidRPr="000A47F7">
        <w:rPr>
          <w:szCs w:val="18"/>
          <w:lang w:val="en-GB"/>
        </w:rPr>
        <w:t>párr</w:t>
      </w:r>
      <w:proofErr w:type="spellEnd"/>
      <w:r w:rsidRPr="000A47F7">
        <w:rPr>
          <w:szCs w:val="18"/>
          <w:lang w:val="en-GB"/>
        </w:rPr>
        <w:t>. 111.</w:t>
      </w:r>
    </w:p>
  </w:footnote>
  <w:footnote w:id="61">
    <w:p w14:paraId="1B377BAB" w14:textId="24317725" w:rsidR="003B7F65" w:rsidRPr="0045380A" w:rsidRDefault="003B7F65" w:rsidP="003B7F65">
      <w:pPr>
        <w:pStyle w:val="Textonotapie"/>
        <w:rPr>
          <w:szCs w:val="18"/>
          <w:lang w:val="en-US"/>
        </w:rPr>
      </w:pPr>
      <w:r w:rsidRPr="000A47F7">
        <w:rPr>
          <w:szCs w:val="18"/>
          <w:lang w:val="en-GB"/>
        </w:rPr>
        <w:tab/>
      </w:r>
      <w:r w:rsidRPr="000A47F7">
        <w:rPr>
          <w:rStyle w:val="Refdenotaalpie"/>
          <w:szCs w:val="18"/>
        </w:rPr>
        <w:footnoteRef/>
      </w:r>
      <w:r w:rsidRPr="000A47F7">
        <w:rPr>
          <w:szCs w:val="18"/>
          <w:lang w:val="en-GB"/>
        </w:rPr>
        <w:tab/>
      </w:r>
      <w:hyperlink r:id="rId94" w:history="1">
        <w:r w:rsidRPr="00BA3997">
          <w:rPr>
            <w:rStyle w:val="Hipervnculo"/>
            <w:szCs w:val="18"/>
            <w:lang w:val="en-GB"/>
          </w:rPr>
          <w:tab/>
          <w:t>CAT/C/NIC/2</w:t>
        </w:r>
      </w:hyperlink>
      <w:r w:rsidRPr="000A47F7">
        <w:rPr>
          <w:szCs w:val="18"/>
          <w:lang w:val="en-GB"/>
        </w:rPr>
        <w:t xml:space="preserve">, </w:t>
      </w:r>
      <w:proofErr w:type="spellStart"/>
      <w:r>
        <w:rPr>
          <w:szCs w:val="18"/>
          <w:lang w:val="en-GB"/>
        </w:rPr>
        <w:t>párrs</w:t>
      </w:r>
      <w:proofErr w:type="spellEnd"/>
      <w:r>
        <w:rPr>
          <w:szCs w:val="18"/>
          <w:lang w:val="en-GB"/>
        </w:rPr>
        <w:t xml:space="preserve">. </w:t>
      </w:r>
      <w:r w:rsidRPr="0045380A">
        <w:rPr>
          <w:szCs w:val="18"/>
          <w:lang w:val="en-US"/>
        </w:rPr>
        <w:t>113</w:t>
      </w:r>
      <w:r w:rsidR="009217ED" w:rsidRPr="0045380A">
        <w:rPr>
          <w:szCs w:val="18"/>
          <w:lang w:val="en-US"/>
        </w:rPr>
        <w:t xml:space="preserve"> a </w:t>
      </w:r>
      <w:r w:rsidRPr="0045380A">
        <w:rPr>
          <w:szCs w:val="18"/>
          <w:lang w:val="en-US"/>
        </w:rPr>
        <w:t xml:space="preserve">116; </w:t>
      </w:r>
      <w:hyperlink r:id="rId95" w:history="1">
        <w:r w:rsidRPr="0045380A">
          <w:rPr>
            <w:rStyle w:val="Hipervnculo"/>
            <w:lang w:val="en-US"/>
          </w:rPr>
          <w:t>A/HRC/42/16</w:t>
        </w:r>
      </w:hyperlink>
      <w:r w:rsidRPr="0045380A">
        <w:rPr>
          <w:lang w:val="en-US"/>
        </w:rPr>
        <w:t xml:space="preserve">, </w:t>
      </w:r>
      <w:proofErr w:type="spellStart"/>
      <w:r w:rsidRPr="0045380A">
        <w:rPr>
          <w:szCs w:val="18"/>
          <w:lang w:val="en-US"/>
        </w:rPr>
        <w:t>párr</w:t>
      </w:r>
      <w:proofErr w:type="spellEnd"/>
      <w:r w:rsidRPr="0045380A">
        <w:rPr>
          <w:szCs w:val="18"/>
          <w:lang w:val="en-US"/>
        </w:rPr>
        <w:t xml:space="preserve">. 125.220 y </w:t>
      </w:r>
      <w:hyperlink r:id="rId96" w:history="1">
        <w:r w:rsidRPr="0045380A">
          <w:rPr>
            <w:rStyle w:val="Hipervnculo"/>
            <w:lang w:val="en-US"/>
          </w:rPr>
          <w:t>A/HRC/42/16/</w:t>
        </w:r>
        <w:proofErr w:type="spellStart"/>
        <w:r w:rsidRPr="0045380A">
          <w:rPr>
            <w:rStyle w:val="Hipervnculo"/>
            <w:lang w:val="en-US"/>
          </w:rPr>
          <w:t>Add.1</w:t>
        </w:r>
        <w:proofErr w:type="spellEnd"/>
      </w:hyperlink>
      <w:r w:rsidRPr="0045380A">
        <w:rPr>
          <w:lang w:val="en-US"/>
        </w:rPr>
        <w:t>.</w:t>
      </w:r>
    </w:p>
  </w:footnote>
  <w:footnote w:id="62">
    <w:p w14:paraId="3A900DD6" w14:textId="18B48409" w:rsidR="003B7F65" w:rsidRPr="0045380A" w:rsidRDefault="003B7F65" w:rsidP="003B7F65">
      <w:pPr>
        <w:pStyle w:val="Textonotapie"/>
        <w:rPr>
          <w:szCs w:val="18"/>
          <w:lang w:val="en-US"/>
        </w:rPr>
      </w:pPr>
      <w:r w:rsidRPr="0045380A">
        <w:rPr>
          <w:szCs w:val="18"/>
          <w:lang w:val="en-US"/>
        </w:rPr>
        <w:tab/>
      </w:r>
      <w:r w:rsidRPr="000A47F7">
        <w:rPr>
          <w:rStyle w:val="Refdenotaalpie"/>
          <w:szCs w:val="18"/>
        </w:rPr>
        <w:footnoteRef/>
      </w:r>
      <w:r w:rsidRPr="000A47F7">
        <w:rPr>
          <w:szCs w:val="18"/>
          <w:lang w:val="en-GB"/>
        </w:rPr>
        <w:tab/>
      </w:r>
      <w:r w:rsidRPr="000A47F7">
        <w:rPr>
          <w:szCs w:val="18"/>
          <w:lang w:val="en-GB"/>
        </w:rPr>
        <w:tab/>
      </w:r>
      <w:hyperlink r:id="rId97" w:history="1">
        <w:r w:rsidRPr="00BA3997">
          <w:rPr>
            <w:rStyle w:val="Hipervnculo"/>
            <w:szCs w:val="18"/>
            <w:lang w:val="en-GB"/>
          </w:rPr>
          <w:t>A/HRC/</w:t>
        </w:r>
        <w:proofErr w:type="spellStart"/>
        <w:r w:rsidRPr="00BA3997">
          <w:rPr>
            <w:rStyle w:val="Hipervnculo"/>
            <w:szCs w:val="18"/>
            <w:lang w:val="en-GB"/>
          </w:rPr>
          <w:t>WG.6</w:t>
        </w:r>
        <w:proofErr w:type="spellEnd"/>
        <w:r w:rsidRPr="00BA3997">
          <w:rPr>
            <w:rStyle w:val="Hipervnculo"/>
            <w:szCs w:val="18"/>
            <w:lang w:val="en-GB"/>
          </w:rPr>
          <w:t>/33/NIC/3</w:t>
        </w:r>
      </w:hyperlink>
      <w:r w:rsidRPr="000A47F7">
        <w:rPr>
          <w:szCs w:val="18"/>
          <w:lang w:val="en-GB"/>
        </w:rPr>
        <w:t xml:space="preserve">, </w:t>
      </w:r>
      <w:proofErr w:type="spellStart"/>
      <w:r w:rsidRPr="000A47F7">
        <w:rPr>
          <w:szCs w:val="18"/>
          <w:lang w:val="en-GB"/>
        </w:rPr>
        <w:t>párr</w:t>
      </w:r>
      <w:r>
        <w:rPr>
          <w:szCs w:val="18"/>
          <w:lang w:val="en-GB"/>
        </w:rPr>
        <w:t>s</w:t>
      </w:r>
      <w:proofErr w:type="spellEnd"/>
      <w:r w:rsidRPr="000A47F7">
        <w:rPr>
          <w:szCs w:val="18"/>
          <w:lang w:val="en-GB"/>
        </w:rPr>
        <w:t xml:space="preserve">. </w:t>
      </w:r>
      <w:r w:rsidRPr="0045380A">
        <w:rPr>
          <w:szCs w:val="18"/>
          <w:lang w:val="en-US"/>
        </w:rPr>
        <w:t>78</w:t>
      </w:r>
      <w:r w:rsidR="00E075F6" w:rsidRPr="0045380A">
        <w:rPr>
          <w:szCs w:val="18"/>
          <w:lang w:val="en-US"/>
        </w:rPr>
        <w:t xml:space="preserve"> a </w:t>
      </w:r>
      <w:r w:rsidRPr="0045380A">
        <w:rPr>
          <w:szCs w:val="18"/>
          <w:lang w:val="en-US"/>
        </w:rPr>
        <w:t>80.</w:t>
      </w:r>
    </w:p>
  </w:footnote>
  <w:footnote w:id="63">
    <w:p w14:paraId="436FA5DB" w14:textId="2E019CA0" w:rsidR="003B7F65" w:rsidRPr="009E34AF" w:rsidRDefault="003B7F65" w:rsidP="003B7F65">
      <w:pPr>
        <w:pStyle w:val="Textonotapie"/>
        <w:rPr>
          <w:szCs w:val="18"/>
          <w:lang w:val="en-GB"/>
        </w:rPr>
      </w:pPr>
      <w:r w:rsidRPr="0045380A">
        <w:rPr>
          <w:szCs w:val="18"/>
          <w:lang w:val="en-US"/>
        </w:rPr>
        <w:tab/>
      </w:r>
      <w:r w:rsidRPr="000A47F7">
        <w:rPr>
          <w:rStyle w:val="Refdenotaalpie"/>
          <w:szCs w:val="18"/>
        </w:rPr>
        <w:footnoteRef/>
      </w:r>
      <w:r w:rsidRPr="0045380A">
        <w:rPr>
          <w:szCs w:val="18"/>
          <w:lang w:val="en-US"/>
        </w:rPr>
        <w:tab/>
      </w:r>
      <w:r w:rsidRPr="0045380A">
        <w:rPr>
          <w:szCs w:val="18"/>
          <w:lang w:val="en-US"/>
        </w:rPr>
        <w:tab/>
      </w:r>
      <w:hyperlink r:id="rId98" w:history="1">
        <w:r w:rsidRPr="0045380A">
          <w:rPr>
            <w:rStyle w:val="Hipervnculo"/>
            <w:lang w:val="en-US"/>
          </w:rPr>
          <w:t>E/C.12/NIC/CO/5</w:t>
        </w:r>
      </w:hyperlink>
      <w:r w:rsidRPr="0045380A">
        <w:rPr>
          <w:szCs w:val="18"/>
          <w:lang w:val="en-US"/>
        </w:rPr>
        <w:t xml:space="preserve">, </w:t>
      </w:r>
      <w:proofErr w:type="spellStart"/>
      <w:r w:rsidRPr="0045380A">
        <w:rPr>
          <w:szCs w:val="18"/>
          <w:lang w:val="en-US"/>
        </w:rPr>
        <w:t>párrs</w:t>
      </w:r>
      <w:proofErr w:type="spellEnd"/>
      <w:r w:rsidRPr="0045380A">
        <w:rPr>
          <w:szCs w:val="18"/>
          <w:lang w:val="en-US"/>
        </w:rPr>
        <w:t xml:space="preserve">. </w:t>
      </w:r>
      <w:r w:rsidRPr="0045380A">
        <w:rPr>
          <w:szCs w:val="18"/>
        </w:rPr>
        <w:t>44</w:t>
      </w:r>
      <w:r w:rsidR="00E075F6" w:rsidRPr="0045380A">
        <w:rPr>
          <w:szCs w:val="18"/>
        </w:rPr>
        <w:t xml:space="preserve"> y </w:t>
      </w:r>
      <w:r w:rsidRPr="0045380A">
        <w:rPr>
          <w:szCs w:val="18"/>
        </w:rPr>
        <w:t xml:space="preserve">45; </w:t>
      </w:r>
      <w:r w:rsidR="00147C3A" w:rsidRPr="0045380A">
        <w:rPr>
          <w:szCs w:val="18"/>
        </w:rPr>
        <w:t xml:space="preserve">y </w:t>
      </w:r>
      <w:hyperlink r:id="rId99" w:history="1">
        <w:r w:rsidRPr="0045380A">
          <w:rPr>
            <w:rStyle w:val="Hipervnculo"/>
          </w:rPr>
          <w:t>A/HRC/</w:t>
        </w:r>
        <w:proofErr w:type="spellStart"/>
        <w:r w:rsidRPr="0045380A">
          <w:rPr>
            <w:rStyle w:val="Hipervnculo"/>
          </w:rPr>
          <w:t>WG.6</w:t>
        </w:r>
        <w:proofErr w:type="spellEnd"/>
        <w:r w:rsidRPr="0045380A">
          <w:rPr>
            <w:rStyle w:val="Hipervnculo"/>
          </w:rPr>
          <w:t>/33/NIC/3</w:t>
        </w:r>
      </w:hyperlink>
      <w:r w:rsidRPr="0045380A">
        <w:rPr>
          <w:szCs w:val="18"/>
        </w:rPr>
        <w:t xml:space="preserve">, párr. </w:t>
      </w:r>
      <w:r w:rsidRPr="009E34AF">
        <w:rPr>
          <w:szCs w:val="18"/>
          <w:lang w:val="en-GB"/>
        </w:rPr>
        <w:t>64.</w:t>
      </w:r>
    </w:p>
  </w:footnote>
  <w:footnote w:id="64">
    <w:p w14:paraId="2D3A979B" w14:textId="4021E34D" w:rsidR="003B7F65" w:rsidRPr="00C27EA1" w:rsidRDefault="003B7F65" w:rsidP="003B7F65">
      <w:pPr>
        <w:pStyle w:val="Textonotapie"/>
      </w:pPr>
      <w:r w:rsidRPr="009E34AF">
        <w:rPr>
          <w:lang w:val="en-GB"/>
        </w:rPr>
        <w:tab/>
      </w:r>
      <w:r>
        <w:rPr>
          <w:rStyle w:val="Refdenotaalpie"/>
        </w:rPr>
        <w:footnoteRef/>
      </w:r>
      <w:r w:rsidRPr="0045380A">
        <w:tab/>
      </w:r>
      <w:r w:rsidRPr="0045380A">
        <w:tab/>
      </w:r>
      <w:hyperlink r:id="rId100" w:history="1">
        <w:r w:rsidRPr="0045380A">
          <w:rPr>
            <w:rStyle w:val="Hipervnculo"/>
          </w:rPr>
          <w:t>A/HRC/46/21</w:t>
        </w:r>
      </w:hyperlink>
      <w:r w:rsidRPr="0045380A">
        <w:rPr>
          <w:szCs w:val="18"/>
        </w:rPr>
        <w:t xml:space="preserve">, </w:t>
      </w:r>
      <w:proofErr w:type="spellStart"/>
      <w:r w:rsidRPr="0045380A">
        <w:rPr>
          <w:szCs w:val="18"/>
        </w:rPr>
        <w:t>párrs</w:t>
      </w:r>
      <w:proofErr w:type="spellEnd"/>
      <w:r w:rsidRPr="0045380A">
        <w:rPr>
          <w:szCs w:val="18"/>
        </w:rPr>
        <w:t>. 49</w:t>
      </w:r>
      <w:r w:rsidR="00E075F6" w:rsidRPr="0045380A">
        <w:rPr>
          <w:szCs w:val="18"/>
        </w:rPr>
        <w:t xml:space="preserve"> a </w:t>
      </w:r>
      <w:r w:rsidRPr="0045380A">
        <w:rPr>
          <w:szCs w:val="18"/>
        </w:rPr>
        <w:t xml:space="preserve">53; </w:t>
      </w:r>
      <w:hyperlink r:id="rId101" w:history="1">
        <w:r w:rsidRPr="0045380A">
          <w:rPr>
            <w:rStyle w:val="Hipervnculo"/>
          </w:rPr>
          <w:t>A/HRC/49/23</w:t>
        </w:r>
      </w:hyperlink>
      <w:r w:rsidRPr="0045380A">
        <w:rPr>
          <w:szCs w:val="18"/>
        </w:rPr>
        <w:t xml:space="preserve">, </w:t>
      </w:r>
      <w:proofErr w:type="spellStart"/>
      <w:r w:rsidRPr="0045380A">
        <w:rPr>
          <w:szCs w:val="18"/>
        </w:rPr>
        <w:t>párrs</w:t>
      </w:r>
      <w:proofErr w:type="spellEnd"/>
      <w:r w:rsidRPr="0045380A">
        <w:rPr>
          <w:szCs w:val="18"/>
        </w:rPr>
        <w:t>. 32</w:t>
      </w:r>
      <w:r w:rsidR="00E075F6" w:rsidRPr="0045380A">
        <w:rPr>
          <w:szCs w:val="18"/>
        </w:rPr>
        <w:t xml:space="preserve"> a </w:t>
      </w:r>
      <w:r w:rsidRPr="0045380A">
        <w:rPr>
          <w:szCs w:val="18"/>
        </w:rPr>
        <w:t xml:space="preserve">34; </w:t>
      </w:r>
      <w:hyperlink r:id="rId102" w:history="1">
        <w:r w:rsidR="00E075F6" w:rsidRPr="0045380A">
          <w:rPr>
            <w:rStyle w:val="Hipervnculo"/>
            <w:color w:val="auto"/>
            <w:szCs w:val="18"/>
          </w:rPr>
          <w:t>comunicación</w:t>
        </w:r>
        <w:r w:rsidRPr="0045380A">
          <w:rPr>
            <w:rStyle w:val="Hipervnculo"/>
            <w:color w:val="auto"/>
            <w:szCs w:val="18"/>
          </w:rPr>
          <w:t xml:space="preserve"> NIC 1/2021</w:t>
        </w:r>
      </w:hyperlink>
      <w:r w:rsidRPr="0045380A">
        <w:rPr>
          <w:szCs w:val="18"/>
        </w:rPr>
        <w:t xml:space="preserve">; </w:t>
      </w:r>
      <w:hyperlink r:id="rId103" w:history="1">
        <w:r w:rsidRPr="0045380A">
          <w:rPr>
            <w:rStyle w:val="Hipervnculo"/>
          </w:rPr>
          <w:t>E/C.12/NIC/CO/5</w:t>
        </w:r>
      </w:hyperlink>
      <w:r w:rsidRPr="0045380A">
        <w:rPr>
          <w:szCs w:val="18"/>
        </w:rPr>
        <w:t xml:space="preserve">, </w:t>
      </w:r>
      <w:proofErr w:type="spellStart"/>
      <w:r w:rsidRPr="0045380A">
        <w:rPr>
          <w:szCs w:val="18"/>
        </w:rPr>
        <w:t>párrs</w:t>
      </w:r>
      <w:proofErr w:type="spellEnd"/>
      <w:r w:rsidRPr="0045380A">
        <w:rPr>
          <w:szCs w:val="18"/>
        </w:rPr>
        <w:t>. 11</w:t>
      </w:r>
      <w:r w:rsidR="00E075F6" w:rsidRPr="0045380A">
        <w:rPr>
          <w:szCs w:val="18"/>
        </w:rPr>
        <w:t xml:space="preserve"> y </w:t>
      </w:r>
      <w:r w:rsidRPr="0045380A">
        <w:rPr>
          <w:szCs w:val="18"/>
        </w:rPr>
        <w:t>12;</w:t>
      </w:r>
      <w:r w:rsidR="00E075F6" w:rsidRPr="0045380A">
        <w:rPr>
          <w:szCs w:val="18"/>
        </w:rPr>
        <w:t xml:space="preserve"> y</w:t>
      </w:r>
      <w:r w:rsidR="00E075F6" w:rsidRPr="007C0EFB">
        <w:rPr>
          <w:szCs w:val="18"/>
        </w:rPr>
        <w:t xml:space="preserve"> </w:t>
      </w:r>
      <w:hyperlink r:id="rId104" w:history="1">
        <w:r w:rsidRPr="0045380A">
          <w:rPr>
            <w:rStyle w:val="Hipervnculo"/>
          </w:rPr>
          <w:t>A/HRC/</w:t>
        </w:r>
        <w:proofErr w:type="spellStart"/>
        <w:r w:rsidRPr="0045380A">
          <w:rPr>
            <w:rStyle w:val="Hipervnculo"/>
          </w:rPr>
          <w:t>WG.6</w:t>
        </w:r>
        <w:proofErr w:type="spellEnd"/>
        <w:r w:rsidRPr="0045380A">
          <w:rPr>
            <w:rStyle w:val="Hipervnculo"/>
          </w:rPr>
          <w:t>/33/NIC/3</w:t>
        </w:r>
      </w:hyperlink>
      <w:r w:rsidRPr="0045380A">
        <w:rPr>
          <w:szCs w:val="18"/>
        </w:rPr>
        <w:t xml:space="preserve">, párr. </w:t>
      </w:r>
      <w:r w:rsidRPr="00C27EA1">
        <w:rPr>
          <w:szCs w:val="18"/>
        </w:rPr>
        <w:t>41.</w:t>
      </w:r>
    </w:p>
  </w:footnote>
  <w:footnote w:id="65">
    <w:p w14:paraId="3BD6CF01" w14:textId="6F19E7EC" w:rsidR="003B7F65" w:rsidRPr="000A47F7" w:rsidRDefault="003B7F65" w:rsidP="003B7F65">
      <w:pPr>
        <w:pStyle w:val="Textonotapie"/>
        <w:rPr>
          <w:szCs w:val="18"/>
        </w:rPr>
      </w:pPr>
      <w:r w:rsidRPr="00C27EA1">
        <w:rPr>
          <w:szCs w:val="18"/>
        </w:rPr>
        <w:tab/>
      </w:r>
      <w:r w:rsidRPr="000A47F7">
        <w:rPr>
          <w:rStyle w:val="Refdenotaalpie"/>
          <w:szCs w:val="18"/>
        </w:rPr>
        <w:footnoteRef/>
      </w:r>
      <w:r w:rsidRPr="000A47F7">
        <w:rPr>
          <w:szCs w:val="18"/>
        </w:rPr>
        <w:tab/>
      </w:r>
      <w:r w:rsidRPr="000A47F7">
        <w:rPr>
          <w:szCs w:val="18"/>
        </w:rPr>
        <w:tab/>
        <w:t xml:space="preserve">Véase </w:t>
      </w:r>
      <w:r w:rsidR="00E075F6">
        <w:rPr>
          <w:szCs w:val="18"/>
        </w:rPr>
        <w:t>Comisión Interamericana de Derechos Humanos, “</w:t>
      </w:r>
      <w:hyperlink r:id="rId105" w:history="1">
        <w:r w:rsidRPr="000A47F7">
          <w:rPr>
            <w:rStyle w:val="Hipervnculo"/>
            <w:color w:val="auto"/>
            <w:szCs w:val="18"/>
          </w:rPr>
          <w:t xml:space="preserve">CIDH y </w:t>
        </w:r>
        <w:proofErr w:type="spellStart"/>
        <w:r w:rsidRPr="000A47F7">
          <w:rPr>
            <w:rStyle w:val="Hipervnculo"/>
            <w:color w:val="auto"/>
            <w:szCs w:val="18"/>
          </w:rPr>
          <w:t>OACNUDH</w:t>
        </w:r>
        <w:proofErr w:type="spellEnd"/>
        <w:r w:rsidRPr="000A47F7">
          <w:rPr>
            <w:rStyle w:val="Hipervnculo"/>
            <w:color w:val="auto"/>
            <w:szCs w:val="18"/>
          </w:rPr>
          <w:t xml:space="preserve"> expresan su preocupación por la aprobación de la Ley de Atención Integral a Víctimas en Nicaragua</w:t>
        </w:r>
      </w:hyperlink>
      <w:r w:rsidR="00E075F6">
        <w:rPr>
          <w:rStyle w:val="Hipervnculo"/>
          <w:color w:val="auto"/>
          <w:szCs w:val="18"/>
        </w:rPr>
        <w:t>” comunicado de prensa</w:t>
      </w:r>
      <w:r w:rsidRPr="000A47F7">
        <w:rPr>
          <w:szCs w:val="18"/>
        </w:rPr>
        <w:t>, 3 de junio de 2019</w:t>
      </w:r>
      <w:r>
        <w:rPr>
          <w:szCs w:val="18"/>
        </w:rPr>
        <w:t>.</w:t>
      </w:r>
    </w:p>
  </w:footnote>
  <w:footnote w:id="66">
    <w:p w14:paraId="3AD02DF5" w14:textId="5AFF4D20" w:rsidR="003B7F65" w:rsidRPr="00D01499" w:rsidRDefault="003B7F65" w:rsidP="003B7F65">
      <w:pPr>
        <w:pStyle w:val="Textonotapie"/>
      </w:pPr>
      <w:r>
        <w:tab/>
      </w:r>
      <w:r>
        <w:rPr>
          <w:rStyle w:val="Refdenotaalpie"/>
        </w:rPr>
        <w:footnoteRef/>
      </w:r>
      <w:r>
        <w:tab/>
      </w:r>
      <w:hyperlink r:id="rId106" w:history="1">
        <w:r w:rsidRPr="00351854">
          <w:rPr>
            <w:rStyle w:val="Hipervnculo"/>
          </w:rPr>
          <w:tab/>
          <w:t>A/HRC/42/16</w:t>
        </w:r>
      </w:hyperlink>
      <w:r w:rsidRPr="00D01499">
        <w:t xml:space="preserve">, </w:t>
      </w:r>
      <w:proofErr w:type="spellStart"/>
      <w:r w:rsidRPr="00D01499">
        <w:rPr>
          <w:szCs w:val="18"/>
        </w:rPr>
        <w:t>párr</w:t>
      </w:r>
      <w:r>
        <w:rPr>
          <w:szCs w:val="18"/>
        </w:rPr>
        <w:t>s</w:t>
      </w:r>
      <w:proofErr w:type="spellEnd"/>
      <w:r w:rsidRPr="00D01499">
        <w:rPr>
          <w:szCs w:val="18"/>
        </w:rPr>
        <w:t>. 125.</w:t>
      </w:r>
      <w:r>
        <w:rPr>
          <w:szCs w:val="18"/>
        </w:rPr>
        <w:t>90 y</w:t>
      </w:r>
      <w:r w:rsidR="009413A8">
        <w:rPr>
          <w:szCs w:val="18"/>
        </w:rPr>
        <w:t xml:space="preserve"> </w:t>
      </w:r>
      <w:r>
        <w:rPr>
          <w:szCs w:val="18"/>
        </w:rPr>
        <w:t>125.103</w:t>
      </w:r>
      <w:r w:rsidR="009217ED">
        <w:rPr>
          <w:szCs w:val="18"/>
        </w:rPr>
        <w:t>, y</w:t>
      </w:r>
      <w:r w:rsidRPr="00D01499">
        <w:rPr>
          <w:szCs w:val="18"/>
        </w:rPr>
        <w:t xml:space="preserve"> </w:t>
      </w:r>
      <w:hyperlink r:id="rId107" w:history="1">
        <w:r w:rsidRPr="00351854">
          <w:rPr>
            <w:rStyle w:val="Hipervnculo"/>
          </w:rPr>
          <w:t>A/HRC/42/16/</w:t>
        </w:r>
        <w:proofErr w:type="spellStart"/>
        <w:r w:rsidRPr="00351854">
          <w:rPr>
            <w:rStyle w:val="Hipervnculo"/>
          </w:rPr>
          <w:t>Add.1</w:t>
        </w:r>
        <w:proofErr w:type="spellEnd"/>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1E6" w14:textId="29AE0404" w:rsidR="001A4396" w:rsidRPr="009C6D32" w:rsidRDefault="00C92415">
    <w:pPr>
      <w:pStyle w:val="Encabezado"/>
      <w:rPr>
        <w:lang w:val="en-GB"/>
      </w:rPr>
    </w:pPr>
    <w:r w:rsidRPr="00C92415">
      <w:rPr>
        <w:lang w:val="en-GB"/>
      </w:rPr>
      <w:t>CAT/C/NIC/</w:t>
    </w:r>
    <w:proofErr w:type="spellStart"/>
    <w:r w:rsidRPr="00C92415">
      <w:rPr>
        <w:lang w:val="en-GB"/>
      </w:rPr>
      <w:t>PCO</w:t>
    </w:r>
    <w:proofErr w:type="spellEnd"/>
    <w:r w:rsidRPr="00C92415">
      <w:rPr>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2083" w14:textId="33618556" w:rsidR="001A4396" w:rsidRPr="009C6D32" w:rsidRDefault="00C92415" w:rsidP="00935A0B">
    <w:pPr>
      <w:pStyle w:val="Encabezado"/>
      <w:jc w:val="right"/>
      <w:rPr>
        <w:u w:val="double"/>
        <w:lang w:val="en-GB"/>
      </w:rPr>
    </w:pPr>
    <w:r w:rsidRPr="00C92415">
      <w:rPr>
        <w:lang w:val="en-GB"/>
      </w:rPr>
      <w:t>CAT/C/NIC/</w:t>
    </w:r>
    <w:proofErr w:type="spellStart"/>
    <w:r w:rsidRPr="00C92415">
      <w:rPr>
        <w:lang w:val="en-GB"/>
      </w:rPr>
      <w:t>PCO</w:t>
    </w:r>
    <w:proofErr w:type="spellEnd"/>
    <w:r w:rsidRPr="00C92415">
      <w:rPr>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910E" w14:textId="77777777" w:rsidR="0023417A" w:rsidRPr="00493D40" w:rsidRDefault="0023417A" w:rsidP="00493D40">
    <w:pPr>
      <w:pStyle w:val="Encabezado"/>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C7D3A56"/>
    <w:multiLevelType w:val="hybridMultilevel"/>
    <w:tmpl w:val="A48ADBFE"/>
    <w:lvl w:ilvl="0" w:tplc="49C21B1A">
      <w:start w:val="1"/>
      <w:numFmt w:val="lowerLetter"/>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826FBD"/>
    <w:multiLevelType w:val="hybridMultilevel"/>
    <w:tmpl w:val="0AEA2C54"/>
    <w:lvl w:ilvl="0" w:tplc="F780A382">
      <w:start w:val="1"/>
      <w:numFmt w:val="lowerLetter"/>
      <w:lvlText w:val="%1)"/>
      <w:lvlJc w:val="left"/>
      <w:pPr>
        <w:ind w:left="1854" w:hanging="360"/>
      </w:pPr>
      <w:rPr>
        <w:rFonts w:ascii="Times New Roman" w:hAnsi="Times New Roman" w:cs="Times New Roman" w:hint="default"/>
        <w:b/>
        <w:bCs/>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5A48E46A"/>
    <w:lvl w:ilvl="0" w:tplc="5FAE2F0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6506A9A" w:tentative="1">
      <w:start w:val="1"/>
      <w:numFmt w:val="lowerLetter"/>
      <w:lvlText w:val="%2."/>
      <w:lvlJc w:val="left"/>
      <w:pPr>
        <w:tabs>
          <w:tab w:val="num" w:pos="1440"/>
        </w:tabs>
        <w:ind w:left="1440" w:hanging="360"/>
      </w:pPr>
    </w:lvl>
    <w:lvl w:ilvl="2" w:tplc="340277B4" w:tentative="1">
      <w:start w:val="1"/>
      <w:numFmt w:val="lowerRoman"/>
      <w:lvlText w:val="%3."/>
      <w:lvlJc w:val="right"/>
      <w:pPr>
        <w:tabs>
          <w:tab w:val="num" w:pos="2160"/>
        </w:tabs>
        <w:ind w:left="2160" w:hanging="180"/>
      </w:pPr>
    </w:lvl>
    <w:lvl w:ilvl="3" w:tplc="C3C01288" w:tentative="1">
      <w:start w:val="1"/>
      <w:numFmt w:val="decimal"/>
      <w:lvlText w:val="%4."/>
      <w:lvlJc w:val="left"/>
      <w:pPr>
        <w:tabs>
          <w:tab w:val="num" w:pos="2880"/>
        </w:tabs>
        <w:ind w:left="2880" w:hanging="360"/>
      </w:pPr>
    </w:lvl>
    <w:lvl w:ilvl="4" w:tplc="2F9CE9A8" w:tentative="1">
      <w:start w:val="1"/>
      <w:numFmt w:val="lowerLetter"/>
      <w:lvlText w:val="%5."/>
      <w:lvlJc w:val="left"/>
      <w:pPr>
        <w:tabs>
          <w:tab w:val="num" w:pos="3600"/>
        </w:tabs>
        <w:ind w:left="3600" w:hanging="360"/>
      </w:pPr>
    </w:lvl>
    <w:lvl w:ilvl="5" w:tplc="552AC56A" w:tentative="1">
      <w:start w:val="1"/>
      <w:numFmt w:val="lowerRoman"/>
      <w:lvlText w:val="%6."/>
      <w:lvlJc w:val="right"/>
      <w:pPr>
        <w:tabs>
          <w:tab w:val="num" w:pos="4320"/>
        </w:tabs>
        <w:ind w:left="4320" w:hanging="180"/>
      </w:pPr>
    </w:lvl>
    <w:lvl w:ilvl="6" w:tplc="FBC42D68" w:tentative="1">
      <w:start w:val="1"/>
      <w:numFmt w:val="decimal"/>
      <w:lvlText w:val="%7."/>
      <w:lvlJc w:val="left"/>
      <w:pPr>
        <w:tabs>
          <w:tab w:val="num" w:pos="5040"/>
        </w:tabs>
        <w:ind w:left="5040" w:hanging="360"/>
      </w:pPr>
    </w:lvl>
    <w:lvl w:ilvl="7" w:tplc="62C6AE58" w:tentative="1">
      <w:start w:val="1"/>
      <w:numFmt w:val="lowerLetter"/>
      <w:lvlText w:val="%8."/>
      <w:lvlJc w:val="left"/>
      <w:pPr>
        <w:tabs>
          <w:tab w:val="num" w:pos="5760"/>
        </w:tabs>
        <w:ind w:left="5760" w:hanging="360"/>
      </w:pPr>
    </w:lvl>
    <w:lvl w:ilvl="8" w:tplc="E0D010CE" w:tentative="1">
      <w:start w:val="1"/>
      <w:numFmt w:val="lowerRoman"/>
      <w:lvlText w:val="%9."/>
      <w:lvlJc w:val="right"/>
      <w:pPr>
        <w:tabs>
          <w:tab w:val="num" w:pos="6480"/>
        </w:tabs>
        <w:ind w:left="6480" w:hanging="180"/>
      </w:pPr>
    </w:lvl>
  </w:abstractNum>
  <w:abstractNum w:abstractNumId="13" w15:restartNumberingAfterBreak="0">
    <w:nsid w:val="193D650C"/>
    <w:multiLevelType w:val="hybridMultilevel"/>
    <w:tmpl w:val="0AEA2C54"/>
    <w:lvl w:ilvl="0" w:tplc="F780A382">
      <w:start w:val="1"/>
      <w:numFmt w:val="lowerLetter"/>
      <w:lvlText w:val="%1)"/>
      <w:lvlJc w:val="left"/>
      <w:pPr>
        <w:ind w:left="1854" w:hanging="360"/>
      </w:pPr>
      <w:rPr>
        <w:rFonts w:ascii="Times New Roman" w:hAnsi="Times New Roman" w:cs="Times New Roman" w:hint="default"/>
        <w:b/>
        <w:bCs/>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09403CE"/>
    <w:multiLevelType w:val="multilevel"/>
    <w:tmpl w:val="376A4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A45EC0"/>
    <w:multiLevelType w:val="hybridMultilevel"/>
    <w:tmpl w:val="0AEA2C54"/>
    <w:lvl w:ilvl="0" w:tplc="F780A382">
      <w:start w:val="1"/>
      <w:numFmt w:val="lowerLetter"/>
      <w:lvlText w:val="%1)"/>
      <w:lvlJc w:val="left"/>
      <w:pPr>
        <w:ind w:left="1854" w:hanging="360"/>
      </w:pPr>
      <w:rPr>
        <w:rFonts w:ascii="Times New Roman" w:hAnsi="Times New Roman" w:cs="Times New Roman" w:hint="default"/>
        <w:b/>
        <w:bCs/>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A7743B"/>
    <w:multiLevelType w:val="hybridMultilevel"/>
    <w:tmpl w:val="165289D8"/>
    <w:lvl w:ilvl="0" w:tplc="ADD68AFC">
      <w:start w:val="1"/>
      <w:numFmt w:val="bullet"/>
      <w:pStyle w:val="Bullet2G"/>
      <w:lvlText w:val="•"/>
      <w:lvlJc w:val="left"/>
      <w:pPr>
        <w:tabs>
          <w:tab w:val="num" w:pos="2268"/>
        </w:tabs>
        <w:ind w:left="2268" w:hanging="170"/>
      </w:pPr>
      <w:rPr>
        <w:rFonts w:ascii="Times New Roman" w:hAnsi="Times New Roman" w:cs="Times New Roman" w:hint="default"/>
      </w:rPr>
    </w:lvl>
    <w:lvl w:ilvl="1" w:tplc="500A20CA" w:tentative="1">
      <w:start w:val="1"/>
      <w:numFmt w:val="bullet"/>
      <w:lvlText w:val="o"/>
      <w:lvlJc w:val="left"/>
      <w:pPr>
        <w:tabs>
          <w:tab w:val="num" w:pos="1440"/>
        </w:tabs>
        <w:ind w:left="1440" w:hanging="360"/>
      </w:pPr>
      <w:rPr>
        <w:rFonts w:ascii="Courier New" w:hAnsi="Courier New" w:hint="default"/>
      </w:rPr>
    </w:lvl>
    <w:lvl w:ilvl="2" w:tplc="31BA09F4" w:tentative="1">
      <w:start w:val="1"/>
      <w:numFmt w:val="bullet"/>
      <w:lvlText w:val=""/>
      <w:lvlJc w:val="left"/>
      <w:pPr>
        <w:tabs>
          <w:tab w:val="num" w:pos="2160"/>
        </w:tabs>
        <w:ind w:left="2160" w:hanging="360"/>
      </w:pPr>
      <w:rPr>
        <w:rFonts w:ascii="Wingdings" w:hAnsi="Wingdings" w:hint="default"/>
      </w:rPr>
    </w:lvl>
    <w:lvl w:ilvl="3" w:tplc="4AB09FBA" w:tentative="1">
      <w:start w:val="1"/>
      <w:numFmt w:val="bullet"/>
      <w:lvlText w:val=""/>
      <w:lvlJc w:val="left"/>
      <w:pPr>
        <w:tabs>
          <w:tab w:val="num" w:pos="2880"/>
        </w:tabs>
        <w:ind w:left="2880" w:hanging="360"/>
      </w:pPr>
      <w:rPr>
        <w:rFonts w:ascii="Symbol" w:hAnsi="Symbol" w:hint="default"/>
      </w:rPr>
    </w:lvl>
    <w:lvl w:ilvl="4" w:tplc="2F08C7DE" w:tentative="1">
      <w:start w:val="1"/>
      <w:numFmt w:val="bullet"/>
      <w:lvlText w:val="o"/>
      <w:lvlJc w:val="left"/>
      <w:pPr>
        <w:tabs>
          <w:tab w:val="num" w:pos="3600"/>
        </w:tabs>
        <w:ind w:left="3600" w:hanging="360"/>
      </w:pPr>
      <w:rPr>
        <w:rFonts w:ascii="Courier New" w:hAnsi="Courier New" w:hint="default"/>
      </w:rPr>
    </w:lvl>
    <w:lvl w:ilvl="5" w:tplc="25F690AA" w:tentative="1">
      <w:start w:val="1"/>
      <w:numFmt w:val="bullet"/>
      <w:lvlText w:val=""/>
      <w:lvlJc w:val="left"/>
      <w:pPr>
        <w:tabs>
          <w:tab w:val="num" w:pos="4320"/>
        </w:tabs>
        <w:ind w:left="4320" w:hanging="360"/>
      </w:pPr>
      <w:rPr>
        <w:rFonts w:ascii="Wingdings" w:hAnsi="Wingdings" w:hint="default"/>
      </w:rPr>
    </w:lvl>
    <w:lvl w:ilvl="6" w:tplc="4936FD9A" w:tentative="1">
      <w:start w:val="1"/>
      <w:numFmt w:val="bullet"/>
      <w:lvlText w:val=""/>
      <w:lvlJc w:val="left"/>
      <w:pPr>
        <w:tabs>
          <w:tab w:val="num" w:pos="5040"/>
        </w:tabs>
        <w:ind w:left="5040" w:hanging="360"/>
      </w:pPr>
      <w:rPr>
        <w:rFonts w:ascii="Symbol" w:hAnsi="Symbol" w:hint="default"/>
      </w:rPr>
    </w:lvl>
    <w:lvl w:ilvl="7" w:tplc="95183FE8" w:tentative="1">
      <w:start w:val="1"/>
      <w:numFmt w:val="bullet"/>
      <w:lvlText w:val="o"/>
      <w:lvlJc w:val="left"/>
      <w:pPr>
        <w:tabs>
          <w:tab w:val="num" w:pos="5760"/>
        </w:tabs>
        <w:ind w:left="5760" w:hanging="360"/>
      </w:pPr>
      <w:rPr>
        <w:rFonts w:ascii="Courier New" w:hAnsi="Courier New" w:hint="default"/>
      </w:rPr>
    </w:lvl>
    <w:lvl w:ilvl="8" w:tplc="F5F41E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D3768"/>
    <w:multiLevelType w:val="hybridMultilevel"/>
    <w:tmpl w:val="81AAEB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3596ED1"/>
    <w:multiLevelType w:val="hybridMultilevel"/>
    <w:tmpl w:val="0AEA2C54"/>
    <w:lvl w:ilvl="0" w:tplc="F780A382">
      <w:start w:val="1"/>
      <w:numFmt w:val="lowerLetter"/>
      <w:lvlText w:val="%1)"/>
      <w:lvlJc w:val="left"/>
      <w:pPr>
        <w:ind w:left="1854" w:hanging="360"/>
      </w:pPr>
      <w:rPr>
        <w:rFonts w:ascii="Times New Roman" w:hAnsi="Times New Roman" w:cs="Times New Roman" w:hint="default"/>
        <w:b/>
        <w:bCs/>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BB6455B"/>
    <w:multiLevelType w:val="hybridMultilevel"/>
    <w:tmpl w:val="13F2929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51C3015"/>
    <w:multiLevelType w:val="hybridMultilevel"/>
    <w:tmpl w:val="81AAEB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AFD3DE4"/>
    <w:multiLevelType w:val="hybridMultilevel"/>
    <w:tmpl w:val="569E52D4"/>
    <w:lvl w:ilvl="0" w:tplc="B91AA8F6">
      <w:start w:val="1"/>
      <w:numFmt w:val="bullet"/>
      <w:pStyle w:val="Bullet1G"/>
      <w:lvlText w:val="•"/>
      <w:lvlJc w:val="left"/>
      <w:pPr>
        <w:tabs>
          <w:tab w:val="num" w:pos="1701"/>
        </w:tabs>
        <w:ind w:left="1701" w:hanging="170"/>
      </w:pPr>
      <w:rPr>
        <w:rFonts w:ascii="Times New Roman" w:hAnsi="Times New Roman" w:cs="Times New Roman" w:hint="default"/>
      </w:rPr>
    </w:lvl>
    <w:lvl w:ilvl="1" w:tplc="81FE50D4" w:tentative="1">
      <w:start w:val="1"/>
      <w:numFmt w:val="bullet"/>
      <w:lvlText w:val="o"/>
      <w:lvlJc w:val="left"/>
      <w:pPr>
        <w:tabs>
          <w:tab w:val="num" w:pos="1440"/>
        </w:tabs>
        <w:ind w:left="1440" w:hanging="360"/>
      </w:pPr>
      <w:rPr>
        <w:rFonts w:ascii="Courier New" w:hAnsi="Courier New" w:hint="default"/>
      </w:rPr>
    </w:lvl>
    <w:lvl w:ilvl="2" w:tplc="4C9E9FFE" w:tentative="1">
      <w:start w:val="1"/>
      <w:numFmt w:val="bullet"/>
      <w:lvlText w:val=""/>
      <w:lvlJc w:val="left"/>
      <w:pPr>
        <w:tabs>
          <w:tab w:val="num" w:pos="2160"/>
        </w:tabs>
        <w:ind w:left="2160" w:hanging="360"/>
      </w:pPr>
      <w:rPr>
        <w:rFonts w:ascii="Wingdings" w:hAnsi="Wingdings" w:hint="default"/>
      </w:rPr>
    </w:lvl>
    <w:lvl w:ilvl="3" w:tplc="73CA769C" w:tentative="1">
      <w:start w:val="1"/>
      <w:numFmt w:val="bullet"/>
      <w:lvlText w:val=""/>
      <w:lvlJc w:val="left"/>
      <w:pPr>
        <w:tabs>
          <w:tab w:val="num" w:pos="2880"/>
        </w:tabs>
        <w:ind w:left="2880" w:hanging="360"/>
      </w:pPr>
      <w:rPr>
        <w:rFonts w:ascii="Symbol" w:hAnsi="Symbol" w:hint="default"/>
      </w:rPr>
    </w:lvl>
    <w:lvl w:ilvl="4" w:tplc="A740D920" w:tentative="1">
      <w:start w:val="1"/>
      <w:numFmt w:val="bullet"/>
      <w:lvlText w:val="o"/>
      <w:lvlJc w:val="left"/>
      <w:pPr>
        <w:tabs>
          <w:tab w:val="num" w:pos="3600"/>
        </w:tabs>
        <w:ind w:left="3600" w:hanging="360"/>
      </w:pPr>
      <w:rPr>
        <w:rFonts w:ascii="Courier New" w:hAnsi="Courier New" w:hint="default"/>
      </w:rPr>
    </w:lvl>
    <w:lvl w:ilvl="5" w:tplc="4C1C2648" w:tentative="1">
      <w:start w:val="1"/>
      <w:numFmt w:val="bullet"/>
      <w:lvlText w:val=""/>
      <w:lvlJc w:val="left"/>
      <w:pPr>
        <w:tabs>
          <w:tab w:val="num" w:pos="4320"/>
        </w:tabs>
        <w:ind w:left="4320" w:hanging="360"/>
      </w:pPr>
      <w:rPr>
        <w:rFonts w:ascii="Wingdings" w:hAnsi="Wingdings" w:hint="default"/>
      </w:rPr>
    </w:lvl>
    <w:lvl w:ilvl="6" w:tplc="E2DA3FB8" w:tentative="1">
      <w:start w:val="1"/>
      <w:numFmt w:val="bullet"/>
      <w:lvlText w:val=""/>
      <w:lvlJc w:val="left"/>
      <w:pPr>
        <w:tabs>
          <w:tab w:val="num" w:pos="5040"/>
        </w:tabs>
        <w:ind w:left="5040" w:hanging="360"/>
      </w:pPr>
      <w:rPr>
        <w:rFonts w:ascii="Symbol" w:hAnsi="Symbol" w:hint="default"/>
      </w:rPr>
    </w:lvl>
    <w:lvl w:ilvl="7" w:tplc="F6BC2CDA" w:tentative="1">
      <w:start w:val="1"/>
      <w:numFmt w:val="bullet"/>
      <w:lvlText w:val="o"/>
      <w:lvlJc w:val="left"/>
      <w:pPr>
        <w:tabs>
          <w:tab w:val="num" w:pos="5760"/>
        </w:tabs>
        <w:ind w:left="5760" w:hanging="360"/>
      </w:pPr>
      <w:rPr>
        <w:rFonts w:ascii="Courier New" w:hAnsi="Courier New" w:hint="default"/>
      </w:rPr>
    </w:lvl>
    <w:lvl w:ilvl="8" w:tplc="015A2F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C407C"/>
    <w:multiLevelType w:val="hybridMultilevel"/>
    <w:tmpl w:val="A782CCC8"/>
    <w:lvl w:ilvl="0" w:tplc="9928F964">
      <w:start w:val="1"/>
      <w:numFmt w:val="lowerLetter"/>
      <w:lvlText w:val="%1)"/>
      <w:lvlJc w:val="left"/>
      <w:pPr>
        <w:ind w:left="1854" w:hanging="360"/>
      </w:pPr>
      <w:rPr>
        <w:b/>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6"/>
  </w:num>
  <w:num w:numId="18">
    <w:abstractNumId w:val="25"/>
  </w:num>
  <w:num w:numId="19">
    <w:abstractNumId w:val="24"/>
  </w:num>
  <w:num w:numId="20">
    <w:abstractNumId w:val="20"/>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23"/>
  </w:num>
  <w:num w:numId="33">
    <w:abstractNumId w:val="11"/>
  </w:num>
  <w:num w:numId="34">
    <w:abstractNumId w:val="17"/>
  </w:num>
  <w:num w:numId="35">
    <w:abstractNumId w:val="10"/>
  </w:num>
  <w:num w:numId="36">
    <w:abstractNumId w:val="19"/>
  </w:num>
  <w:num w:numId="37">
    <w:abstractNumId w:val="21"/>
  </w:num>
  <w:num w:numId="38">
    <w:abstractNumId w:val="15"/>
  </w:num>
  <w:num w:numId="39">
    <w:abstractNumId w:val="13"/>
  </w:num>
  <w:num w:numId="40">
    <w:abstractNumId w:val="18"/>
  </w:num>
  <w:num w:numId="4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7311"/>
    <w:rsid w:val="000107AA"/>
    <w:rsid w:val="00017D20"/>
    <w:rsid w:val="0002292E"/>
    <w:rsid w:val="00033EE1"/>
    <w:rsid w:val="00042B72"/>
    <w:rsid w:val="0004417D"/>
    <w:rsid w:val="00044364"/>
    <w:rsid w:val="00046830"/>
    <w:rsid w:val="00046A7B"/>
    <w:rsid w:val="00047DE8"/>
    <w:rsid w:val="00050624"/>
    <w:rsid w:val="000558BD"/>
    <w:rsid w:val="00060055"/>
    <w:rsid w:val="000603FE"/>
    <w:rsid w:val="00060D51"/>
    <w:rsid w:val="0006106E"/>
    <w:rsid w:val="00062A30"/>
    <w:rsid w:val="0007112F"/>
    <w:rsid w:val="00071808"/>
    <w:rsid w:val="00076C88"/>
    <w:rsid w:val="00077E5F"/>
    <w:rsid w:val="00084247"/>
    <w:rsid w:val="000B432F"/>
    <w:rsid w:val="000B57E7"/>
    <w:rsid w:val="000B6373"/>
    <w:rsid w:val="000B65E9"/>
    <w:rsid w:val="000B7D9F"/>
    <w:rsid w:val="000C224D"/>
    <w:rsid w:val="000D3664"/>
    <w:rsid w:val="000D5CE7"/>
    <w:rsid w:val="000D7C85"/>
    <w:rsid w:val="000E0F6D"/>
    <w:rsid w:val="000E64FA"/>
    <w:rsid w:val="000F09DF"/>
    <w:rsid w:val="000F61B2"/>
    <w:rsid w:val="00100EC0"/>
    <w:rsid w:val="00103587"/>
    <w:rsid w:val="001075E9"/>
    <w:rsid w:val="00107EE9"/>
    <w:rsid w:val="001112DB"/>
    <w:rsid w:val="00117018"/>
    <w:rsid w:val="00147C3A"/>
    <w:rsid w:val="0017789C"/>
    <w:rsid w:val="00180183"/>
    <w:rsid w:val="0018024D"/>
    <w:rsid w:val="0018649F"/>
    <w:rsid w:val="00196389"/>
    <w:rsid w:val="001A214D"/>
    <w:rsid w:val="001A4396"/>
    <w:rsid w:val="001B3EF6"/>
    <w:rsid w:val="001C7A89"/>
    <w:rsid w:val="001D2CD6"/>
    <w:rsid w:val="001D4AD3"/>
    <w:rsid w:val="001D5A61"/>
    <w:rsid w:val="001D626E"/>
    <w:rsid w:val="001F7EF2"/>
    <w:rsid w:val="00204C87"/>
    <w:rsid w:val="00213631"/>
    <w:rsid w:val="0023417A"/>
    <w:rsid w:val="002364A8"/>
    <w:rsid w:val="0024336E"/>
    <w:rsid w:val="00244378"/>
    <w:rsid w:val="00250539"/>
    <w:rsid w:val="00251148"/>
    <w:rsid w:val="0025259D"/>
    <w:rsid w:val="002541C7"/>
    <w:rsid w:val="002549AA"/>
    <w:rsid w:val="00256FB4"/>
    <w:rsid w:val="00280D93"/>
    <w:rsid w:val="00295F7B"/>
    <w:rsid w:val="002A02C6"/>
    <w:rsid w:val="002A1B72"/>
    <w:rsid w:val="002A2EFC"/>
    <w:rsid w:val="002C0E18"/>
    <w:rsid w:val="002C3864"/>
    <w:rsid w:val="002C5923"/>
    <w:rsid w:val="002D4172"/>
    <w:rsid w:val="002D5A09"/>
    <w:rsid w:val="002D5AAC"/>
    <w:rsid w:val="002D5FC9"/>
    <w:rsid w:val="002E009A"/>
    <w:rsid w:val="002F033C"/>
    <w:rsid w:val="002F200B"/>
    <w:rsid w:val="002F405F"/>
    <w:rsid w:val="002F4F2D"/>
    <w:rsid w:val="002F610F"/>
    <w:rsid w:val="002F663E"/>
    <w:rsid w:val="003007FC"/>
    <w:rsid w:val="00301299"/>
    <w:rsid w:val="00307FB6"/>
    <w:rsid w:val="00315BA0"/>
    <w:rsid w:val="00317339"/>
    <w:rsid w:val="00320734"/>
    <w:rsid w:val="00322004"/>
    <w:rsid w:val="003402C2"/>
    <w:rsid w:val="00344F15"/>
    <w:rsid w:val="003454C4"/>
    <w:rsid w:val="00351854"/>
    <w:rsid w:val="00362DF3"/>
    <w:rsid w:val="00365AA5"/>
    <w:rsid w:val="003724C9"/>
    <w:rsid w:val="00376E4E"/>
    <w:rsid w:val="00380CC0"/>
    <w:rsid w:val="00381C24"/>
    <w:rsid w:val="003958D0"/>
    <w:rsid w:val="003967E0"/>
    <w:rsid w:val="003A3CE4"/>
    <w:rsid w:val="003A7FB9"/>
    <w:rsid w:val="003B00E5"/>
    <w:rsid w:val="003B1BB1"/>
    <w:rsid w:val="003B2790"/>
    <w:rsid w:val="003B440C"/>
    <w:rsid w:val="003B7F65"/>
    <w:rsid w:val="003C2D1A"/>
    <w:rsid w:val="003D01D8"/>
    <w:rsid w:val="003D3526"/>
    <w:rsid w:val="003E0332"/>
    <w:rsid w:val="003E48D0"/>
    <w:rsid w:val="003F43D1"/>
    <w:rsid w:val="003F6FF0"/>
    <w:rsid w:val="00402349"/>
    <w:rsid w:val="00407B78"/>
    <w:rsid w:val="00412C2F"/>
    <w:rsid w:val="0041604F"/>
    <w:rsid w:val="00416D5C"/>
    <w:rsid w:val="00424203"/>
    <w:rsid w:val="004317F4"/>
    <w:rsid w:val="00431E7C"/>
    <w:rsid w:val="00436934"/>
    <w:rsid w:val="004452DE"/>
    <w:rsid w:val="00445D3D"/>
    <w:rsid w:val="0045380A"/>
    <w:rsid w:val="00454E07"/>
    <w:rsid w:val="00464AFF"/>
    <w:rsid w:val="00477854"/>
    <w:rsid w:val="00485673"/>
    <w:rsid w:val="00492019"/>
    <w:rsid w:val="004939BD"/>
    <w:rsid w:val="00493D40"/>
    <w:rsid w:val="00496192"/>
    <w:rsid w:val="004B22C2"/>
    <w:rsid w:val="004D1828"/>
    <w:rsid w:val="004D1BEF"/>
    <w:rsid w:val="004E6724"/>
    <w:rsid w:val="004E6A62"/>
    <w:rsid w:val="004E78EC"/>
    <w:rsid w:val="0050108D"/>
    <w:rsid w:val="005026E8"/>
    <w:rsid w:val="00502F54"/>
    <w:rsid w:val="00505B5C"/>
    <w:rsid w:val="00507869"/>
    <w:rsid w:val="00507C58"/>
    <w:rsid w:val="00513081"/>
    <w:rsid w:val="005174EA"/>
    <w:rsid w:val="00517901"/>
    <w:rsid w:val="00521DC1"/>
    <w:rsid w:val="00526683"/>
    <w:rsid w:val="005615D2"/>
    <w:rsid w:val="005709E0"/>
    <w:rsid w:val="00572E19"/>
    <w:rsid w:val="005872EC"/>
    <w:rsid w:val="005961C8"/>
    <w:rsid w:val="005C6FAC"/>
    <w:rsid w:val="005D1C8C"/>
    <w:rsid w:val="005D7914"/>
    <w:rsid w:val="005F0B42"/>
    <w:rsid w:val="005F2100"/>
    <w:rsid w:val="00600367"/>
    <w:rsid w:val="00603457"/>
    <w:rsid w:val="00604232"/>
    <w:rsid w:val="0061397F"/>
    <w:rsid w:val="0061515F"/>
    <w:rsid w:val="00615628"/>
    <w:rsid w:val="00616384"/>
    <w:rsid w:val="00621949"/>
    <w:rsid w:val="0062649E"/>
    <w:rsid w:val="00626773"/>
    <w:rsid w:val="006270A4"/>
    <w:rsid w:val="0064190A"/>
    <w:rsid w:val="0064723D"/>
    <w:rsid w:val="006504FA"/>
    <w:rsid w:val="006524CC"/>
    <w:rsid w:val="00653819"/>
    <w:rsid w:val="00681A10"/>
    <w:rsid w:val="006857E9"/>
    <w:rsid w:val="0069547C"/>
    <w:rsid w:val="006A7BAE"/>
    <w:rsid w:val="006B354D"/>
    <w:rsid w:val="006C0010"/>
    <w:rsid w:val="006C02DE"/>
    <w:rsid w:val="006C2031"/>
    <w:rsid w:val="006C6B75"/>
    <w:rsid w:val="006D461A"/>
    <w:rsid w:val="006D7444"/>
    <w:rsid w:val="006E7A15"/>
    <w:rsid w:val="006F0CCC"/>
    <w:rsid w:val="006F21EF"/>
    <w:rsid w:val="006F35EE"/>
    <w:rsid w:val="007021FF"/>
    <w:rsid w:val="007024CA"/>
    <w:rsid w:val="007041DF"/>
    <w:rsid w:val="00711FB2"/>
    <w:rsid w:val="00712895"/>
    <w:rsid w:val="00737275"/>
    <w:rsid w:val="0074434F"/>
    <w:rsid w:val="0075186C"/>
    <w:rsid w:val="00754B77"/>
    <w:rsid w:val="00757357"/>
    <w:rsid w:val="00761DA2"/>
    <w:rsid w:val="007653EE"/>
    <w:rsid w:val="00791C88"/>
    <w:rsid w:val="007C0EFB"/>
    <w:rsid w:val="007C333F"/>
    <w:rsid w:val="007D27DB"/>
    <w:rsid w:val="007D31B3"/>
    <w:rsid w:val="007E072F"/>
    <w:rsid w:val="007E2C6D"/>
    <w:rsid w:val="007E2E00"/>
    <w:rsid w:val="007E77B8"/>
    <w:rsid w:val="00805D1C"/>
    <w:rsid w:val="008169E0"/>
    <w:rsid w:val="0082158A"/>
    <w:rsid w:val="00825F8A"/>
    <w:rsid w:val="00825F8D"/>
    <w:rsid w:val="0083460A"/>
    <w:rsid w:val="00834B71"/>
    <w:rsid w:val="00841CBA"/>
    <w:rsid w:val="0086445C"/>
    <w:rsid w:val="00866246"/>
    <w:rsid w:val="008704C0"/>
    <w:rsid w:val="00876621"/>
    <w:rsid w:val="008848AD"/>
    <w:rsid w:val="00894693"/>
    <w:rsid w:val="008A08D7"/>
    <w:rsid w:val="008B4378"/>
    <w:rsid w:val="008B6909"/>
    <w:rsid w:val="008C1C70"/>
    <w:rsid w:val="008C6BE0"/>
    <w:rsid w:val="008D43F3"/>
    <w:rsid w:val="008E0D49"/>
    <w:rsid w:val="008E1084"/>
    <w:rsid w:val="008F20D9"/>
    <w:rsid w:val="008F3B37"/>
    <w:rsid w:val="0090498E"/>
    <w:rsid w:val="00906890"/>
    <w:rsid w:val="00907EAD"/>
    <w:rsid w:val="00910E39"/>
    <w:rsid w:val="00911BE4"/>
    <w:rsid w:val="0091706D"/>
    <w:rsid w:val="00920383"/>
    <w:rsid w:val="009217ED"/>
    <w:rsid w:val="0092759F"/>
    <w:rsid w:val="009316F1"/>
    <w:rsid w:val="009345E0"/>
    <w:rsid w:val="00935A0B"/>
    <w:rsid w:val="00937977"/>
    <w:rsid w:val="009413A8"/>
    <w:rsid w:val="009459DA"/>
    <w:rsid w:val="00951972"/>
    <w:rsid w:val="00953B31"/>
    <w:rsid w:val="009565A6"/>
    <w:rsid w:val="009608F3"/>
    <w:rsid w:val="00963B6D"/>
    <w:rsid w:val="0096429C"/>
    <w:rsid w:val="00964A82"/>
    <w:rsid w:val="00972E4B"/>
    <w:rsid w:val="009826AE"/>
    <w:rsid w:val="00984937"/>
    <w:rsid w:val="009872B9"/>
    <w:rsid w:val="009906E5"/>
    <w:rsid w:val="00993CEA"/>
    <w:rsid w:val="00993E42"/>
    <w:rsid w:val="00997C09"/>
    <w:rsid w:val="009A000A"/>
    <w:rsid w:val="009B03FE"/>
    <w:rsid w:val="009C3600"/>
    <w:rsid w:val="009C6D32"/>
    <w:rsid w:val="009D14A0"/>
    <w:rsid w:val="009D1E3D"/>
    <w:rsid w:val="009E2FDA"/>
    <w:rsid w:val="00A066AE"/>
    <w:rsid w:val="00A22813"/>
    <w:rsid w:val="00A32382"/>
    <w:rsid w:val="00A34A8D"/>
    <w:rsid w:val="00A44B2D"/>
    <w:rsid w:val="00A50E1A"/>
    <w:rsid w:val="00A52FC5"/>
    <w:rsid w:val="00A538FF"/>
    <w:rsid w:val="00A650CD"/>
    <w:rsid w:val="00A731D7"/>
    <w:rsid w:val="00A77059"/>
    <w:rsid w:val="00A84021"/>
    <w:rsid w:val="00A86F80"/>
    <w:rsid w:val="00A90C2B"/>
    <w:rsid w:val="00A917B3"/>
    <w:rsid w:val="00AA472B"/>
    <w:rsid w:val="00AB4B51"/>
    <w:rsid w:val="00AE0CED"/>
    <w:rsid w:val="00AE5F3B"/>
    <w:rsid w:val="00AF2017"/>
    <w:rsid w:val="00B0282B"/>
    <w:rsid w:val="00B040F8"/>
    <w:rsid w:val="00B10CC7"/>
    <w:rsid w:val="00B27A31"/>
    <w:rsid w:val="00B40D07"/>
    <w:rsid w:val="00B52309"/>
    <w:rsid w:val="00B539E7"/>
    <w:rsid w:val="00B563EB"/>
    <w:rsid w:val="00B62458"/>
    <w:rsid w:val="00B65BD1"/>
    <w:rsid w:val="00B66BE1"/>
    <w:rsid w:val="00B71742"/>
    <w:rsid w:val="00B7297B"/>
    <w:rsid w:val="00B80A93"/>
    <w:rsid w:val="00B83A17"/>
    <w:rsid w:val="00B842B6"/>
    <w:rsid w:val="00B90702"/>
    <w:rsid w:val="00B946B8"/>
    <w:rsid w:val="00BA0695"/>
    <w:rsid w:val="00BA3997"/>
    <w:rsid w:val="00BA5EA8"/>
    <w:rsid w:val="00BA6502"/>
    <w:rsid w:val="00BA688C"/>
    <w:rsid w:val="00BB79D1"/>
    <w:rsid w:val="00BD33EE"/>
    <w:rsid w:val="00BF169C"/>
    <w:rsid w:val="00BF2E5C"/>
    <w:rsid w:val="00C0213D"/>
    <w:rsid w:val="00C06EDE"/>
    <w:rsid w:val="00C106D6"/>
    <w:rsid w:val="00C217C5"/>
    <w:rsid w:val="00C26FEE"/>
    <w:rsid w:val="00C27EA1"/>
    <w:rsid w:val="00C31765"/>
    <w:rsid w:val="00C60F0C"/>
    <w:rsid w:val="00C7285F"/>
    <w:rsid w:val="00C805C9"/>
    <w:rsid w:val="00C92415"/>
    <w:rsid w:val="00C92939"/>
    <w:rsid w:val="00C97D52"/>
    <w:rsid w:val="00CA1679"/>
    <w:rsid w:val="00CB151C"/>
    <w:rsid w:val="00CB242B"/>
    <w:rsid w:val="00CB4AA4"/>
    <w:rsid w:val="00CC29FB"/>
    <w:rsid w:val="00CD3F0E"/>
    <w:rsid w:val="00CE5A1A"/>
    <w:rsid w:val="00CE7F86"/>
    <w:rsid w:val="00CF55F6"/>
    <w:rsid w:val="00CF72CD"/>
    <w:rsid w:val="00D04407"/>
    <w:rsid w:val="00D13045"/>
    <w:rsid w:val="00D17722"/>
    <w:rsid w:val="00D23DE1"/>
    <w:rsid w:val="00D246F2"/>
    <w:rsid w:val="00D33D63"/>
    <w:rsid w:val="00D4778E"/>
    <w:rsid w:val="00D5371D"/>
    <w:rsid w:val="00D61E3C"/>
    <w:rsid w:val="00D61F3B"/>
    <w:rsid w:val="00D84B57"/>
    <w:rsid w:val="00D90138"/>
    <w:rsid w:val="00D927D0"/>
    <w:rsid w:val="00D93B16"/>
    <w:rsid w:val="00DB2241"/>
    <w:rsid w:val="00DB6E49"/>
    <w:rsid w:val="00DC09E0"/>
    <w:rsid w:val="00DC266E"/>
    <w:rsid w:val="00DC6336"/>
    <w:rsid w:val="00DF6018"/>
    <w:rsid w:val="00E0183D"/>
    <w:rsid w:val="00E075F6"/>
    <w:rsid w:val="00E07F89"/>
    <w:rsid w:val="00E11151"/>
    <w:rsid w:val="00E1323A"/>
    <w:rsid w:val="00E22875"/>
    <w:rsid w:val="00E23EE0"/>
    <w:rsid w:val="00E31CF9"/>
    <w:rsid w:val="00E3640D"/>
    <w:rsid w:val="00E4682E"/>
    <w:rsid w:val="00E52428"/>
    <w:rsid w:val="00E56EE3"/>
    <w:rsid w:val="00E571C4"/>
    <w:rsid w:val="00E73F76"/>
    <w:rsid w:val="00E7786C"/>
    <w:rsid w:val="00E85F44"/>
    <w:rsid w:val="00E86371"/>
    <w:rsid w:val="00E95FA2"/>
    <w:rsid w:val="00EA24B8"/>
    <w:rsid w:val="00EA2C9F"/>
    <w:rsid w:val="00EA2DA3"/>
    <w:rsid w:val="00EC5940"/>
    <w:rsid w:val="00ED016B"/>
    <w:rsid w:val="00ED0BDA"/>
    <w:rsid w:val="00ED257A"/>
    <w:rsid w:val="00EE7654"/>
    <w:rsid w:val="00EF1360"/>
    <w:rsid w:val="00EF3220"/>
    <w:rsid w:val="00F06D31"/>
    <w:rsid w:val="00F21882"/>
    <w:rsid w:val="00F43810"/>
    <w:rsid w:val="00F444E9"/>
    <w:rsid w:val="00F56E1D"/>
    <w:rsid w:val="00F57279"/>
    <w:rsid w:val="00F63772"/>
    <w:rsid w:val="00F754FB"/>
    <w:rsid w:val="00F76A49"/>
    <w:rsid w:val="00F814E5"/>
    <w:rsid w:val="00F915C6"/>
    <w:rsid w:val="00F9377E"/>
    <w:rsid w:val="00F94155"/>
    <w:rsid w:val="00F943E5"/>
    <w:rsid w:val="00F960A3"/>
    <w:rsid w:val="00FA4732"/>
    <w:rsid w:val="00FB2720"/>
    <w:rsid w:val="00FB4F8F"/>
    <w:rsid w:val="00FD234F"/>
    <w:rsid w:val="00FD27CA"/>
    <w:rsid w:val="00FD2EF7"/>
    <w:rsid w:val="00FE0883"/>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33C07"/>
  <w15:docId w15:val="{C452249F-AC49-4EB0-8B9F-0E81C1F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521DC1"/>
    <w:pPr>
      <w:keepNext/>
      <w:outlineLvl w:val="1"/>
    </w:pPr>
    <w:rPr>
      <w:rFonts w:cs="Arial"/>
      <w:bCs/>
      <w:iCs/>
      <w:szCs w:val="28"/>
    </w:rPr>
  </w:style>
  <w:style w:type="paragraph" w:styleId="Ttulo3">
    <w:name w:val="heading 3"/>
    <w:basedOn w:val="Normal"/>
    <w:next w:val="Normal"/>
    <w:link w:val="Ttulo3Car"/>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521DC1"/>
    <w:pPr>
      <w:keepNext/>
      <w:spacing w:before="240" w:after="60"/>
      <w:outlineLvl w:val="3"/>
    </w:pPr>
    <w:rPr>
      <w:b/>
      <w:bCs/>
      <w:sz w:val="28"/>
      <w:szCs w:val="28"/>
    </w:rPr>
  </w:style>
  <w:style w:type="paragraph" w:styleId="Ttulo5">
    <w:name w:val="heading 5"/>
    <w:basedOn w:val="Normal"/>
    <w:next w:val="Normal"/>
    <w:link w:val="Ttulo5Car"/>
    <w:semiHidden/>
    <w:rsid w:val="00521DC1"/>
    <w:pPr>
      <w:spacing w:before="240" w:after="60"/>
      <w:outlineLvl w:val="4"/>
    </w:pPr>
    <w:rPr>
      <w:b/>
      <w:bCs/>
      <w:i/>
      <w:iCs/>
      <w:sz w:val="26"/>
      <w:szCs w:val="26"/>
    </w:rPr>
  </w:style>
  <w:style w:type="paragraph" w:styleId="Ttulo6">
    <w:name w:val="heading 6"/>
    <w:basedOn w:val="Normal"/>
    <w:next w:val="Normal"/>
    <w:link w:val="Ttulo6Car"/>
    <w:semiHidden/>
    <w:rsid w:val="00521DC1"/>
    <w:pPr>
      <w:spacing w:before="240" w:after="60"/>
      <w:outlineLvl w:val="5"/>
    </w:pPr>
    <w:rPr>
      <w:b/>
      <w:bCs/>
      <w:sz w:val="22"/>
      <w:szCs w:val="22"/>
    </w:rPr>
  </w:style>
  <w:style w:type="paragraph" w:styleId="Ttulo7">
    <w:name w:val="heading 7"/>
    <w:basedOn w:val="Normal"/>
    <w:next w:val="Normal"/>
    <w:link w:val="Ttulo7Car"/>
    <w:semiHidden/>
    <w:rsid w:val="00521DC1"/>
    <w:pPr>
      <w:spacing w:before="240" w:after="60"/>
      <w:outlineLvl w:val="6"/>
    </w:pPr>
    <w:rPr>
      <w:sz w:val="24"/>
      <w:szCs w:val="24"/>
    </w:rPr>
  </w:style>
  <w:style w:type="paragraph" w:styleId="Ttulo8">
    <w:name w:val="heading 8"/>
    <w:basedOn w:val="Normal"/>
    <w:next w:val="Normal"/>
    <w:link w:val="Ttulo8Car"/>
    <w:semiHidden/>
    <w:rsid w:val="00521DC1"/>
    <w:pPr>
      <w:spacing w:before="240" w:after="60"/>
      <w:outlineLvl w:val="7"/>
    </w:pPr>
    <w:rPr>
      <w:i/>
      <w:iCs/>
      <w:sz w:val="24"/>
      <w:szCs w:val="24"/>
    </w:rPr>
  </w:style>
  <w:style w:type="paragraph" w:styleId="Ttulo9">
    <w:name w:val="heading 9"/>
    <w:basedOn w:val="Normal"/>
    <w:next w:val="Normal"/>
    <w:link w:val="Ttulo9Car"/>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16 Point,4_G,BVI fnr,Footnote,Footnote Refernece,Footnote symbol,Fußnotenzeichen_Raxen,Superscript 6 Point,Texto de nota al pie,ftref,fusnot Char,nota pié di pagina,Footnote reference number,Times 10 Point,Exposant 3 Point"/>
    <w:link w:val="BVIfnrChar"/>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315BA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5BA0"/>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315BA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5BA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15BA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15BA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521DC1"/>
    <w:pPr>
      <w:tabs>
        <w:tab w:val="left" w:pos="1701"/>
        <w:tab w:val="left" w:pos="2268"/>
        <w:tab w:val="left" w:pos="2835"/>
      </w:tabs>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Char,F1,FOOTNOTES,Footnote Text Char Char,Footnote Text Char Char Char,Fußnote,Geneva,fn,fn Cha,footnote text Char,ft,ft Char,ft Char Char,ft Char Char Char,single space,single space Char,single space Char Char Char,Reference,A,f"/>
    <w:basedOn w:val="Normal"/>
    <w:link w:val="TextonotapieCar"/>
    <w:uiPriority w:val="3"/>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3"/>
      </w:numPr>
    </w:pPr>
  </w:style>
  <w:style w:type="numbering" w:styleId="1ai">
    <w:name w:val="Outline List 1"/>
    <w:basedOn w:val="Sinlista"/>
    <w:semiHidden/>
    <w:rsid w:val="00521DC1"/>
    <w:pPr>
      <w:numPr>
        <w:numId w:val="4"/>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5"/>
      </w:numPr>
    </w:pPr>
  </w:style>
  <w:style w:type="paragraph" w:styleId="Cierre">
    <w:name w:val="Closing"/>
    <w:basedOn w:val="Normal"/>
    <w:link w:val="CierreCar"/>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link w:val="DireccinHTMLCar"/>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link w:val="EncabezadodemensajeCar"/>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521DC1"/>
  </w:style>
  <w:style w:type="character" w:styleId="nfasis">
    <w:name w:val="Emphasis"/>
    <w:uiPriority w:val="20"/>
    <w:qFormat/>
    <w:rsid w:val="00521DC1"/>
    <w:rPr>
      <w:i/>
      <w:iCs/>
    </w:rPr>
  </w:style>
  <w:style w:type="paragraph" w:styleId="Fecha">
    <w:name w:val="Date"/>
    <w:basedOn w:val="Normal"/>
    <w:next w:val="Normal"/>
    <w:link w:val="FechaCar"/>
    <w:semiHidden/>
    <w:rsid w:val="00521DC1"/>
  </w:style>
  <w:style w:type="paragraph" w:styleId="Firma">
    <w:name w:val="Signature"/>
    <w:basedOn w:val="Normal"/>
    <w:link w:val="FirmaCar"/>
    <w:semiHidden/>
    <w:rsid w:val="00521DC1"/>
    <w:pPr>
      <w:ind w:left="4252"/>
    </w:pPr>
  </w:style>
  <w:style w:type="paragraph" w:styleId="Firmadecorreoelectrnico">
    <w:name w:val="E-mail Signature"/>
    <w:basedOn w:val="Normal"/>
    <w:link w:val="FirmadecorreoelectrnicoCar"/>
    <w:semiHidden/>
    <w:rsid w:val="00521DC1"/>
  </w:style>
  <w:style w:type="character" w:styleId="Hipervnculo">
    <w:name w:val="Hyperlink"/>
    <w:uiPriority w:val="99"/>
    <w:semiHidden/>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link w:val="HTMLconformatoprevioCar"/>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21"/>
      </w:numPr>
    </w:pPr>
  </w:style>
  <w:style w:type="paragraph" w:styleId="Listaconnmeros2">
    <w:name w:val="List Number 2"/>
    <w:basedOn w:val="Normal"/>
    <w:semiHidden/>
    <w:rsid w:val="00521DC1"/>
    <w:pPr>
      <w:numPr>
        <w:numId w:val="22"/>
      </w:numPr>
    </w:pPr>
  </w:style>
  <w:style w:type="paragraph" w:styleId="Listaconnmeros3">
    <w:name w:val="List Number 3"/>
    <w:basedOn w:val="Normal"/>
    <w:semiHidden/>
    <w:rsid w:val="00521DC1"/>
    <w:pPr>
      <w:numPr>
        <w:numId w:val="23"/>
      </w:numPr>
    </w:pPr>
  </w:style>
  <w:style w:type="paragraph" w:styleId="Listaconnmeros4">
    <w:name w:val="List Number 4"/>
    <w:basedOn w:val="Normal"/>
    <w:semiHidden/>
    <w:rsid w:val="00521DC1"/>
    <w:pPr>
      <w:numPr>
        <w:numId w:val="24"/>
      </w:numPr>
    </w:pPr>
  </w:style>
  <w:style w:type="paragraph" w:styleId="Listaconnmeros5">
    <w:name w:val="List Number 5"/>
    <w:basedOn w:val="Normal"/>
    <w:semiHidden/>
    <w:rsid w:val="00521DC1"/>
    <w:pPr>
      <w:numPr>
        <w:numId w:val="25"/>
      </w:numPr>
    </w:pPr>
  </w:style>
  <w:style w:type="paragraph" w:styleId="Listaconvietas">
    <w:name w:val="List Bullet"/>
    <w:basedOn w:val="Normal"/>
    <w:semiHidden/>
    <w:rsid w:val="00521DC1"/>
    <w:pPr>
      <w:numPr>
        <w:numId w:val="26"/>
      </w:numPr>
    </w:pPr>
  </w:style>
  <w:style w:type="paragraph" w:styleId="Listaconvietas2">
    <w:name w:val="List Bullet 2"/>
    <w:basedOn w:val="Normal"/>
    <w:semiHidden/>
    <w:rsid w:val="00521DC1"/>
    <w:pPr>
      <w:numPr>
        <w:numId w:val="27"/>
      </w:numPr>
    </w:pPr>
  </w:style>
  <w:style w:type="paragraph" w:styleId="Listaconvietas3">
    <w:name w:val="List Bullet 3"/>
    <w:basedOn w:val="Normal"/>
    <w:semiHidden/>
    <w:rsid w:val="00521DC1"/>
    <w:pPr>
      <w:numPr>
        <w:numId w:val="28"/>
      </w:numPr>
    </w:pPr>
  </w:style>
  <w:style w:type="paragraph" w:styleId="Listaconvietas4">
    <w:name w:val="List Bullet 4"/>
    <w:basedOn w:val="Normal"/>
    <w:semiHidden/>
    <w:rsid w:val="00521DC1"/>
    <w:pPr>
      <w:numPr>
        <w:numId w:val="29"/>
      </w:numPr>
    </w:pPr>
  </w:style>
  <w:style w:type="paragraph" w:styleId="Listaconvietas5">
    <w:name w:val="List Bullet 5"/>
    <w:basedOn w:val="Normal"/>
    <w:semiHidden/>
    <w:rsid w:val="00521DC1"/>
    <w:pPr>
      <w:numPr>
        <w:numId w:val="30"/>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uiPriority w:val="99"/>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link w:val="SaludoCar"/>
    <w:semiHidden/>
    <w:rsid w:val="00521DC1"/>
  </w:style>
  <w:style w:type="paragraph" w:styleId="Sangra2detindependiente">
    <w:name w:val="Body Text Indent 2"/>
    <w:basedOn w:val="Normal"/>
    <w:link w:val="Sangra2detindependienteCar"/>
    <w:semiHidden/>
    <w:rsid w:val="00521DC1"/>
    <w:pPr>
      <w:spacing w:after="120" w:line="480" w:lineRule="auto"/>
      <w:ind w:left="283"/>
    </w:pPr>
  </w:style>
  <w:style w:type="paragraph" w:styleId="Sangra3detindependiente">
    <w:name w:val="Body Text Indent 3"/>
    <w:basedOn w:val="Normal"/>
    <w:link w:val="Sangra3detindependienteCar"/>
    <w:semiHidden/>
    <w:rsid w:val="00521DC1"/>
    <w:pPr>
      <w:spacing w:after="120"/>
      <w:ind w:left="283"/>
    </w:pPr>
    <w:rPr>
      <w:sz w:val="16"/>
      <w:szCs w:val="16"/>
    </w:rPr>
  </w:style>
  <w:style w:type="paragraph" w:styleId="Sangradetextonormal">
    <w:name w:val="Body Text Indent"/>
    <w:basedOn w:val="Normal"/>
    <w:link w:val="SangradetextonormalCar"/>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link w:val="SubttuloCar"/>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uiPriority w:val="22"/>
    <w:qFormat/>
    <w:rsid w:val="00521DC1"/>
    <w:rPr>
      <w:b/>
      <w:bCs/>
    </w:rPr>
  </w:style>
  <w:style w:type="paragraph" w:styleId="Textoindependiente">
    <w:name w:val="Body Text"/>
    <w:basedOn w:val="Normal"/>
    <w:link w:val="TextoindependienteCar"/>
    <w:semiHidden/>
    <w:rsid w:val="00521DC1"/>
    <w:pPr>
      <w:spacing w:after="120"/>
    </w:pPr>
  </w:style>
  <w:style w:type="paragraph" w:styleId="Textoindependiente2">
    <w:name w:val="Body Text 2"/>
    <w:basedOn w:val="Normal"/>
    <w:link w:val="Textoindependiente2Car"/>
    <w:semiHidden/>
    <w:rsid w:val="00521DC1"/>
    <w:pPr>
      <w:spacing w:after="120" w:line="480" w:lineRule="auto"/>
    </w:pPr>
  </w:style>
  <w:style w:type="paragraph" w:styleId="Textoindependiente3">
    <w:name w:val="Body Text 3"/>
    <w:basedOn w:val="Normal"/>
    <w:link w:val="Textoindependiente3Car"/>
    <w:semiHidden/>
    <w:rsid w:val="00521DC1"/>
    <w:pPr>
      <w:spacing w:after="120"/>
    </w:pPr>
    <w:rPr>
      <w:sz w:val="16"/>
      <w:szCs w:val="16"/>
    </w:rPr>
  </w:style>
  <w:style w:type="paragraph" w:styleId="Textoindependienteprimerasangra">
    <w:name w:val="Body Text First Indent"/>
    <w:basedOn w:val="Textoindependiente"/>
    <w:link w:val="TextoindependienteprimerasangraCar"/>
    <w:semiHidden/>
    <w:rsid w:val="00521DC1"/>
    <w:pPr>
      <w:ind w:firstLine="210"/>
    </w:pPr>
  </w:style>
  <w:style w:type="paragraph" w:styleId="Textoindependienteprimerasangra2">
    <w:name w:val="Body Text First Indent 2"/>
    <w:basedOn w:val="Sangradetextonormal"/>
    <w:link w:val="Textoindependienteprimerasangra2Car"/>
    <w:semiHidden/>
    <w:rsid w:val="00521DC1"/>
    <w:pPr>
      <w:ind w:firstLine="210"/>
    </w:pPr>
  </w:style>
  <w:style w:type="paragraph" w:styleId="Textonotaalfinal">
    <w:name w:val="endnote text"/>
    <w:aliases w:val="2_G"/>
    <w:basedOn w:val="Textonotapie"/>
    <w:link w:val="TextonotaalfinalCar"/>
    <w:qFormat/>
    <w:rsid w:val="00521DC1"/>
  </w:style>
  <w:style w:type="paragraph" w:styleId="Textosinformato">
    <w:name w:val="Plain Text"/>
    <w:basedOn w:val="Normal"/>
    <w:link w:val="TextosinformatoCar"/>
    <w:semiHidden/>
    <w:rsid w:val="00521DC1"/>
    <w:rPr>
      <w:rFonts w:ascii="Courier New" w:hAnsi="Courier New" w:cs="Courier New"/>
    </w:rPr>
  </w:style>
  <w:style w:type="paragraph" w:styleId="Ttulo">
    <w:name w:val="Title"/>
    <w:basedOn w:val="Normal"/>
    <w:link w:val="TtuloCar"/>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21DC1"/>
    <w:rPr>
      <w:b/>
      <w:bCs/>
      <w:i/>
      <w:iCs/>
      <w:color w:val="4F81BD"/>
      <w:lang w:val="es-ES" w:eastAsia="es-ES"/>
    </w:rPr>
  </w:style>
  <w:style w:type="character" w:styleId="nfasisintenso">
    <w:name w:val="Intense Emphasis"/>
    <w:uiPriority w:val="21"/>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uiPriority w:val="1"/>
    <w:rsid w:val="004E6A62"/>
    <w:rPr>
      <w:lang w:val="es-ES" w:eastAsia="es-ES"/>
    </w:rPr>
  </w:style>
  <w:style w:type="character" w:customStyle="1" w:styleId="TextonotapieCar">
    <w:name w:val="Texto nota pie Car"/>
    <w:aliases w:val="5_G Car,Char Car,F1 Car,FOOTNOTES Car,Footnote Text Char Char Car,Footnote Text Char Char Char Car,Fußnote Car,Geneva Car,fn Car,fn Cha Car,footnote text Char Car,ft Car,ft Char Car,ft Char Char Car,ft Char Char Char Car,Reference Car"/>
    <w:link w:val="Textonotapie"/>
    <w:uiPriority w:val="3"/>
    <w:qFormat/>
    <w:locked/>
    <w:rsid w:val="003D01D8"/>
    <w:rPr>
      <w:sz w:val="18"/>
      <w:lang w:val="es-ES" w:eastAsia="es-ES"/>
    </w:rPr>
  </w:style>
  <w:style w:type="character" w:customStyle="1" w:styleId="H23GChar">
    <w:name w:val="_ H_2/3_G Char"/>
    <w:link w:val="H23G"/>
    <w:locked/>
    <w:rsid w:val="003D01D8"/>
    <w:rPr>
      <w:b/>
      <w:lang w:val="es-ES" w:eastAsia="es-ES"/>
    </w:rPr>
  </w:style>
  <w:style w:type="character" w:customStyle="1" w:styleId="Ttulo2Car">
    <w:name w:val="Título 2 Car"/>
    <w:basedOn w:val="Fuentedeprrafopredeter"/>
    <w:link w:val="Ttulo2"/>
    <w:semiHidden/>
    <w:rsid w:val="008848AD"/>
    <w:rPr>
      <w:rFonts w:cs="Arial"/>
      <w:bCs/>
      <w:iCs/>
      <w:szCs w:val="28"/>
      <w:lang w:val="es-ES" w:eastAsia="es-ES"/>
    </w:rPr>
  </w:style>
  <w:style w:type="character" w:customStyle="1" w:styleId="Ttulo3Car">
    <w:name w:val="Título 3 Car"/>
    <w:basedOn w:val="Fuentedeprrafopredeter"/>
    <w:link w:val="Ttulo3"/>
    <w:semiHidden/>
    <w:rsid w:val="008848AD"/>
    <w:rPr>
      <w:rFonts w:ascii="Arial" w:hAnsi="Arial" w:cs="Arial"/>
      <w:b/>
      <w:bCs/>
      <w:sz w:val="26"/>
      <w:szCs w:val="26"/>
      <w:lang w:val="es-ES" w:eastAsia="es-ES"/>
    </w:rPr>
  </w:style>
  <w:style w:type="character" w:customStyle="1" w:styleId="Ttulo4Car">
    <w:name w:val="Título 4 Car"/>
    <w:basedOn w:val="Fuentedeprrafopredeter"/>
    <w:link w:val="Ttulo4"/>
    <w:semiHidden/>
    <w:rsid w:val="008848AD"/>
    <w:rPr>
      <w:b/>
      <w:bCs/>
      <w:sz w:val="28"/>
      <w:szCs w:val="28"/>
      <w:lang w:val="es-ES" w:eastAsia="es-ES"/>
    </w:rPr>
  </w:style>
  <w:style w:type="character" w:customStyle="1" w:styleId="Ttulo5Car">
    <w:name w:val="Título 5 Car"/>
    <w:basedOn w:val="Fuentedeprrafopredeter"/>
    <w:link w:val="Ttulo5"/>
    <w:semiHidden/>
    <w:rsid w:val="008848AD"/>
    <w:rPr>
      <w:b/>
      <w:bCs/>
      <w:i/>
      <w:iCs/>
      <w:sz w:val="26"/>
      <w:szCs w:val="26"/>
      <w:lang w:val="es-ES" w:eastAsia="es-ES"/>
    </w:rPr>
  </w:style>
  <w:style w:type="character" w:customStyle="1" w:styleId="Ttulo6Car">
    <w:name w:val="Título 6 Car"/>
    <w:basedOn w:val="Fuentedeprrafopredeter"/>
    <w:link w:val="Ttulo6"/>
    <w:semiHidden/>
    <w:rsid w:val="008848AD"/>
    <w:rPr>
      <w:b/>
      <w:bCs/>
      <w:sz w:val="22"/>
      <w:szCs w:val="22"/>
      <w:lang w:val="es-ES" w:eastAsia="es-ES"/>
    </w:rPr>
  </w:style>
  <w:style w:type="character" w:customStyle="1" w:styleId="Ttulo7Car">
    <w:name w:val="Título 7 Car"/>
    <w:basedOn w:val="Fuentedeprrafopredeter"/>
    <w:link w:val="Ttulo7"/>
    <w:semiHidden/>
    <w:rsid w:val="008848AD"/>
    <w:rPr>
      <w:sz w:val="24"/>
      <w:szCs w:val="24"/>
      <w:lang w:val="es-ES" w:eastAsia="es-ES"/>
    </w:rPr>
  </w:style>
  <w:style w:type="character" w:customStyle="1" w:styleId="Ttulo8Car">
    <w:name w:val="Título 8 Car"/>
    <w:basedOn w:val="Fuentedeprrafopredeter"/>
    <w:link w:val="Ttulo8"/>
    <w:semiHidden/>
    <w:rsid w:val="008848AD"/>
    <w:rPr>
      <w:i/>
      <w:iCs/>
      <w:sz w:val="24"/>
      <w:szCs w:val="24"/>
      <w:lang w:val="es-ES" w:eastAsia="es-ES"/>
    </w:rPr>
  </w:style>
  <w:style w:type="character" w:customStyle="1" w:styleId="Ttulo9Car">
    <w:name w:val="Título 9 Car"/>
    <w:basedOn w:val="Fuentedeprrafopredeter"/>
    <w:link w:val="Ttulo9"/>
    <w:semiHidden/>
    <w:rsid w:val="008848AD"/>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8848AD"/>
    <w:rPr>
      <w:b/>
      <w:sz w:val="18"/>
      <w:lang w:val="es-ES" w:eastAsia="es-ES"/>
    </w:rPr>
  </w:style>
  <w:style w:type="character" w:customStyle="1" w:styleId="PiedepginaCar">
    <w:name w:val="Pie de página Car"/>
    <w:aliases w:val="3_G Car"/>
    <w:basedOn w:val="Fuentedeprrafopredeter"/>
    <w:link w:val="Piedepgina"/>
    <w:uiPriority w:val="3"/>
    <w:rsid w:val="008848AD"/>
    <w:rPr>
      <w:sz w:val="16"/>
      <w:lang w:val="es-ES" w:eastAsia="es-ES"/>
    </w:rPr>
  </w:style>
  <w:style w:type="numbering" w:customStyle="1" w:styleId="1111111">
    <w:name w:val="1 / 1.1 / 1.1.11"/>
    <w:basedOn w:val="Sinlista"/>
    <w:next w:val="111111"/>
    <w:semiHidden/>
    <w:rsid w:val="008848AD"/>
  </w:style>
  <w:style w:type="numbering" w:customStyle="1" w:styleId="1ai1">
    <w:name w:val="1 / a / i1"/>
    <w:basedOn w:val="Sinlista"/>
    <w:next w:val="1ai"/>
    <w:semiHidden/>
    <w:rsid w:val="008848AD"/>
  </w:style>
  <w:style w:type="numbering" w:customStyle="1" w:styleId="ArticleSection1">
    <w:name w:val="Article / Section1"/>
    <w:basedOn w:val="Sinlista"/>
    <w:next w:val="ArtculoSeccin"/>
    <w:semiHidden/>
    <w:rsid w:val="008848AD"/>
  </w:style>
  <w:style w:type="character" w:customStyle="1" w:styleId="CierreCar">
    <w:name w:val="Cierre Car"/>
    <w:basedOn w:val="Fuentedeprrafopredeter"/>
    <w:link w:val="Cierre"/>
    <w:semiHidden/>
    <w:rsid w:val="008848AD"/>
    <w:rPr>
      <w:lang w:val="es-ES" w:eastAsia="es-ES"/>
    </w:rPr>
  </w:style>
  <w:style w:type="character" w:customStyle="1" w:styleId="DireccinHTMLCar">
    <w:name w:val="Dirección HTML Car"/>
    <w:basedOn w:val="Fuentedeprrafopredeter"/>
    <w:link w:val="DireccinHTML"/>
    <w:semiHidden/>
    <w:rsid w:val="008848AD"/>
    <w:rPr>
      <w:i/>
      <w:iCs/>
      <w:lang w:val="es-ES" w:eastAsia="es-ES"/>
    </w:rPr>
  </w:style>
  <w:style w:type="character" w:customStyle="1" w:styleId="EncabezadodemensajeCar">
    <w:name w:val="Encabezado de mensaje Car"/>
    <w:basedOn w:val="Fuentedeprrafopredeter"/>
    <w:link w:val="Encabezadodemensaje"/>
    <w:semiHidden/>
    <w:rsid w:val="008848A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848AD"/>
    <w:rPr>
      <w:lang w:val="es-ES" w:eastAsia="es-ES"/>
    </w:rPr>
  </w:style>
  <w:style w:type="character" w:customStyle="1" w:styleId="FechaCar">
    <w:name w:val="Fecha Car"/>
    <w:basedOn w:val="Fuentedeprrafopredeter"/>
    <w:link w:val="Fecha"/>
    <w:semiHidden/>
    <w:rsid w:val="008848AD"/>
    <w:rPr>
      <w:lang w:val="es-ES" w:eastAsia="es-ES"/>
    </w:rPr>
  </w:style>
  <w:style w:type="character" w:customStyle="1" w:styleId="FirmaCar">
    <w:name w:val="Firma Car"/>
    <w:basedOn w:val="Fuentedeprrafopredeter"/>
    <w:link w:val="Firma"/>
    <w:semiHidden/>
    <w:rsid w:val="008848AD"/>
    <w:rPr>
      <w:lang w:val="es-ES" w:eastAsia="es-ES"/>
    </w:rPr>
  </w:style>
  <w:style w:type="character" w:customStyle="1" w:styleId="FirmadecorreoelectrnicoCar">
    <w:name w:val="Firma de correo electrónico Car"/>
    <w:basedOn w:val="Fuentedeprrafopredeter"/>
    <w:link w:val="Firmadecorreoelectrnico"/>
    <w:semiHidden/>
    <w:rsid w:val="008848AD"/>
    <w:rPr>
      <w:lang w:val="es-ES" w:eastAsia="es-ES"/>
    </w:rPr>
  </w:style>
  <w:style w:type="character" w:customStyle="1" w:styleId="HTMLconformatoprevioCar">
    <w:name w:val="HTML con formato previo Car"/>
    <w:basedOn w:val="Fuentedeprrafopredeter"/>
    <w:link w:val="HTMLconformatoprevio"/>
    <w:semiHidden/>
    <w:rsid w:val="008848AD"/>
    <w:rPr>
      <w:rFonts w:ascii="Courier New" w:hAnsi="Courier New" w:cs="Courier New"/>
      <w:lang w:val="es-ES" w:eastAsia="es-ES"/>
    </w:rPr>
  </w:style>
  <w:style w:type="character" w:customStyle="1" w:styleId="SaludoCar">
    <w:name w:val="Saludo Car"/>
    <w:basedOn w:val="Fuentedeprrafopredeter"/>
    <w:link w:val="Saludo"/>
    <w:semiHidden/>
    <w:rsid w:val="008848AD"/>
    <w:rPr>
      <w:lang w:val="es-ES" w:eastAsia="es-ES"/>
    </w:rPr>
  </w:style>
  <w:style w:type="character" w:customStyle="1" w:styleId="Sangra2detindependienteCar">
    <w:name w:val="Sangría 2 de t. independiente Car"/>
    <w:basedOn w:val="Fuentedeprrafopredeter"/>
    <w:link w:val="Sangra2detindependiente"/>
    <w:semiHidden/>
    <w:rsid w:val="008848AD"/>
    <w:rPr>
      <w:lang w:val="es-ES" w:eastAsia="es-ES"/>
    </w:rPr>
  </w:style>
  <w:style w:type="character" w:customStyle="1" w:styleId="Sangra3detindependienteCar">
    <w:name w:val="Sangría 3 de t. independiente Car"/>
    <w:basedOn w:val="Fuentedeprrafopredeter"/>
    <w:link w:val="Sangra3detindependiente"/>
    <w:semiHidden/>
    <w:rsid w:val="008848AD"/>
    <w:rPr>
      <w:sz w:val="16"/>
      <w:szCs w:val="16"/>
      <w:lang w:val="es-ES" w:eastAsia="es-ES"/>
    </w:rPr>
  </w:style>
  <w:style w:type="character" w:customStyle="1" w:styleId="SangradetextonormalCar">
    <w:name w:val="Sangría de texto normal Car"/>
    <w:basedOn w:val="Fuentedeprrafopredeter"/>
    <w:link w:val="Sangradetextonormal"/>
    <w:semiHidden/>
    <w:rsid w:val="008848AD"/>
    <w:rPr>
      <w:lang w:val="es-ES" w:eastAsia="es-ES"/>
    </w:rPr>
  </w:style>
  <w:style w:type="character" w:customStyle="1" w:styleId="SubttuloCar">
    <w:name w:val="Subtítulo Car"/>
    <w:basedOn w:val="Fuentedeprrafopredeter"/>
    <w:link w:val="Subttulo"/>
    <w:rsid w:val="008848A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848AD"/>
    <w:rPr>
      <w:lang w:val="es-ES" w:eastAsia="es-ES"/>
    </w:rPr>
  </w:style>
  <w:style w:type="character" w:customStyle="1" w:styleId="Textoindependiente2Car">
    <w:name w:val="Texto independiente 2 Car"/>
    <w:basedOn w:val="Fuentedeprrafopredeter"/>
    <w:link w:val="Textoindependiente2"/>
    <w:semiHidden/>
    <w:rsid w:val="008848AD"/>
    <w:rPr>
      <w:lang w:val="es-ES" w:eastAsia="es-ES"/>
    </w:rPr>
  </w:style>
  <w:style w:type="character" w:customStyle="1" w:styleId="Textoindependiente3Car">
    <w:name w:val="Texto independiente 3 Car"/>
    <w:basedOn w:val="Fuentedeprrafopredeter"/>
    <w:link w:val="Textoindependiente3"/>
    <w:semiHidden/>
    <w:rsid w:val="008848A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848A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848AD"/>
    <w:rPr>
      <w:lang w:val="es-ES" w:eastAsia="es-ES"/>
    </w:rPr>
  </w:style>
  <w:style w:type="character" w:customStyle="1" w:styleId="TextonotaalfinalCar">
    <w:name w:val="Texto nota al final Car"/>
    <w:aliases w:val="2_G Car"/>
    <w:basedOn w:val="Fuentedeprrafopredeter"/>
    <w:link w:val="Textonotaalfinal"/>
    <w:rsid w:val="008848AD"/>
    <w:rPr>
      <w:sz w:val="18"/>
      <w:lang w:val="es-ES" w:eastAsia="es-ES"/>
    </w:rPr>
  </w:style>
  <w:style w:type="character" w:customStyle="1" w:styleId="TextosinformatoCar">
    <w:name w:val="Texto sin formato Car"/>
    <w:basedOn w:val="Fuentedeprrafopredeter"/>
    <w:link w:val="Textosinformato"/>
    <w:semiHidden/>
    <w:rsid w:val="008848AD"/>
    <w:rPr>
      <w:rFonts w:ascii="Courier New" w:hAnsi="Courier New" w:cs="Courier New"/>
      <w:lang w:val="es-ES" w:eastAsia="es-ES"/>
    </w:rPr>
  </w:style>
  <w:style w:type="character" w:customStyle="1" w:styleId="TtuloCar">
    <w:name w:val="Título Car"/>
    <w:basedOn w:val="Fuentedeprrafopredeter"/>
    <w:link w:val="Ttulo"/>
    <w:rsid w:val="008848AD"/>
    <w:rPr>
      <w:rFonts w:ascii="Arial" w:hAnsi="Arial" w:cs="Arial"/>
      <w:b/>
      <w:bCs/>
      <w:kern w:val="28"/>
      <w:sz w:val="32"/>
      <w:szCs w:val="32"/>
      <w:lang w:val="es-ES" w:eastAsia="es-ES"/>
    </w:rPr>
  </w:style>
  <w:style w:type="table" w:customStyle="1" w:styleId="TableGrid1">
    <w:name w:val="Table Grid1"/>
    <w:basedOn w:val="Tablanormal"/>
    <w:next w:val="Tablaconcuadrcula"/>
    <w:rsid w:val="008848AD"/>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Refdenotaalpie"/>
    <w:rsid w:val="008848AD"/>
    <w:pPr>
      <w:spacing w:after="160" w:line="240" w:lineRule="exact"/>
    </w:pPr>
    <w:rPr>
      <w:sz w:val="18"/>
      <w:vertAlign w:val="superscript"/>
      <w:lang w:val="fr-FR" w:eastAsia="fr-FR"/>
    </w:rPr>
  </w:style>
  <w:style w:type="paragraph" w:customStyle="1" w:styleId="Cuerpo">
    <w:name w:val="Cuerpo"/>
    <w:rsid w:val="008848A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n-GB"/>
    </w:rPr>
  </w:style>
  <w:style w:type="paragraph" w:customStyle="1" w:styleId="Default">
    <w:name w:val="Default"/>
    <w:rsid w:val="008848AD"/>
    <w:pPr>
      <w:autoSpaceDE w:val="0"/>
      <w:autoSpaceDN w:val="0"/>
      <w:adjustRightInd w:val="0"/>
    </w:pPr>
    <w:rPr>
      <w:rFonts w:ascii="Calibri" w:eastAsia="Calibri" w:hAnsi="Calibri" w:cs="Calibri"/>
      <w:color w:val="000000"/>
      <w:sz w:val="24"/>
      <w:szCs w:val="24"/>
      <w:lang w:val="en-GB" w:eastAsia="en-US"/>
    </w:rPr>
  </w:style>
  <w:style w:type="character" w:customStyle="1" w:styleId="Ninguno">
    <w:name w:val="Ninguno"/>
    <w:rsid w:val="008848AD"/>
    <w:rPr>
      <w:lang w:val="es-ES_tradnl"/>
    </w:rPr>
  </w:style>
  <w:style w:type="paragraph" w:styleId="Prrafodelista">
    <w:name w:val="List Paragraph"/>
    <w:basedOn w:val="Normal"/>
    <w:uiPriority w:val="34"/>
    <w:qFormat/>
    <w:rsid w:val="008848AD"/>
    <w:pPr>
      <w:ind w:left="720"/>
      <w:contextualSpacing/>
    </w:pPr>
  </w:style>
  <w:style w:type="paragraph" w:customStyle="1" w:styleId="ftrefCharCharChar">
    <w:name w:val="ftref Char Char Char"/>
    <w:aliases w:val="Heading 2 Char1 Char Char Char Char,Heading 2 Char2 Char Char Char Char Char,Heading 2 Char Char Char Char Char1 Char Char"/>
    <w:basedOn w:val="Normal"/>
    <w:uiPriority w:val="99"/>
    <w:rsid w:val="008848AD"/>
    <w:pPr>
      <w:spacing w:after="160" w:line="240" w:lineRule="exact"/>
    </w:pPr>
    <w:rPr>
      <w:rFonts w:eastAsia="Calibri"/>
      <w:sz w:val="18"/>
      <w:szCs w:val="22"/>
      <w:vertAlign w:val="superscript"/>
      <w:lang w:val="en-GB" w:eastAsia="en-US"/>
    </w:rPr>
  </w:style>
  <w:style w:type="paragraph" w:styleId="Textocomentario">
    <w:name w:val="annotation text"/>
    <w:basedOn w:val="Normal"/>
    <w:link w:val="TextocomentarioCar"/>
    <w:uiPriority w:val="99"/>
    <w:unhideWhenUsed/>
    <w:rsid w:val="008848AD"/>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rsid w:val="008848AD"/>
    <w:rPr>
      <w:lang w:val="en-GB" w:eastAsia="en-US"/>
    </w:rPr>
  </w:style>
  <w:style w:type="character" w:styleId="Refdecomentario">
    <w:name w:val="annotation reference"/>
    <w:basedOn w:val="Fuentedeprrafopredeter"/>
    <w:uiPriority w:val="99"/>
    <w:semiHidden/>
    <w:unhideWhenUsed/>
    <w:rsid w:val="008848AD"/>
    <w:rPr>
      <w:sz w:val="16"/>
      <w:szCs w:val="16"/>
    </w:rPr>
  </w:style>
  <w:style w:type="paragraph" w:styleId="Asuntodelcomentario">
    <w:name w:val="annotation subject"/>
    <w:basedOn w:val="Textocomentario"/>
    <w:next w:val="Textocomentario"/>
    <w:link w:val="AsuntodelcomentarioCar"/>
    <w:uiPriority w:val="99"/>
    <w:semiHidden/>
    <w:unhideWhenUsed/>
    <w:rsid w:val="008848AD"/>
    <w:pPr>
      <w:suppressAutoHyphens w:val="0"/>
    </w:pPr>
    <w:rPr>
      <w:b/>
      <w:bCs/>
      <w:lang w:val="es-ES" w:eastAsia="es-ES"/>
    </w:rPr>
  </w:style>
  <w:style w:type="character" w:customStyle="1" w:styleId="AsuntodelcomentarioCar">
    <w:name w:val="Asunto del comentario Car"/>
    <w:basedOn w:val="TextocomentarioCar"/>
    <w:link w:val="Asuntodelcomentario"/>
    <w:uiPriority w:val="99"/>
    <w:semiHidden/>
    <w:rsid w:val="008848AD"/>
    <w:rPr>
      <w:b/>
      <w:bCs/>
      <w:lang w:val="es-ES" w:eastAsia="es-ES"/>
    </w:rPr>
  </w:style>
  <w:style w:type="paragraph" w:styleId="Revisin">
    <w:name w:val="Revision"/>
    <w:hidden/>
    <w:uiPriority w:val="99"/>
    <w:semiHidden/>
    <w:rsid w:val="008848AD"/>
    <w:rPr>
      <w:lang w:val="es-ES" w:eastAsia="es-ES"/>
    </w:rPr>
  </w:style>
  <w:style w:type="character" w:customStyle="1" w:styleId="UnresolvedMention1">
    <w:name w:val="Unresolved Mention1"/>
    <w:basedOn w:val="Fuentedeprrafopredeter"/>
    <w:uiPriority w:val="99"/>
    <w:semiHidden/>
    <w:unhideWhenUsed/>
    <w:rsid w:val="008848AD"/>
    <w:rPr>
      <w:color w:val="605E5C"/>
      <w:shd w:val="clear" w:color="auto" w:fill="E1DFDD"/>
    </w:rPr>
  </w:style>
  <w:style w:type="character" w:customStyle="1" w:styleId="UnresolvedMention2">
    <w:name w:val="Unresolved Mention2"/>
    <w:basedOn w:val="Fuentedeprrafopredeter"/>
    <w:uiPriority w:val="99"/>
    <w:semiHidden/>
    <w:unhideWhenUsed/>
    <w:rsid w:val="008848AD"/>
    <w:rPr>
      <w:color w:val="605E5C"/>
      <w:shd w:val="clear" w:color="auto" w:fill="E1DFDD"/>
    </w:rPr>
  </w:style>
  <w:style w:type="character" w:customStyle="1" w:styleId="UnresolvedMention3">
    <w:name w:val="Unresolved Mention3"/>
    <w:basedOn w:val="Fuentedeprrafopredeter"/>
    <w:uiPriority w:val="99"/>
    <w:semiHidden/>
    <w:unhideWhenUsed/>
    <w:rsid w:val="008848AD"/>
    <w:rPr>
      <w:color w:val="605E5C"/>
      <w:shd w:val="clear" w:color="auto" w:fill="E1DFDD"/>
    </w:rPr>
  </w:style>
  <w:style w:type="paragraph" w:customStyle="1" w:styleId="merged-reco">
    <w:name w:val="merged-reco"/>
    <w:basedOn w:val="Normal"/>
    <w:rsid w:val="008848AD"/>
    <w:pPr>
      <w:spacing w:before="100" w:beforeAutospacing="1" w:after="100" w:afterAutospacing="1" w:line="240" w:lineRule="auto"/>
    </w:pPr>
    <w:rPr>
      <w:sz w:val="24"/>
      <w:szCs w:val="24"/>
      <w:lang w:val="en-GB" w:eastAsia="en-GB"/>
    </w:rPr>
  </w:style>
  <w:style w:type="character" w:customStyle="1" w:styleId="A9">
    <w:name w:val="A9"/>
    <w:uiPriority w:val="99"/>
    <w:rsid w:val="008848AD"/>
    <w:rPr>
      <w:rFonts w:cs="Roboto Condensed"/>
      <w:b/>
      <w:bCs/>
      <w:color w:val="000000"/>
      <w:sz w:val="14"/>
      <w:szCs w:val="14"/>
    </w:rPr>
  </w:style>
  <w:style w:type="paragraph" w:customStyle="1" w:styleId="Pa9">
    <w:name w:val="Pa9"/>
    <w:basedOn w:val="Default"/>
    <w:next w:val="Default"/>
    <w:uiPriority w:val="99"/>
    <w:rsid w:val="008848AD"/>
    <w:pPr>
      <w:spacing w:line="241" w:lineRule="atLeast"/>
    </w:pPr>
    <w:rPr>
      <w:rFonts w:ascii="Roboto Condensed" w:eastAsiaTheme="minorHAnsi" w:hAnsi="Roboto Condensed" w:cstheme="minorBidi"/>
      <w:color w:val="auto"/>
    </w:rPr>
  </w:style>
  <w:style w:type="paragraph" w:customStyle="1" w:styleId="Pa14">
    <w:name w:val="Pa14"/>
    <w:basedOn w:val="Default"/>
    <w:next w:val="Default"/>
    <w:uiPriority w:val="99"/>
    <w:rsid w:val="008848AD"/>
    <w:pPr>
      <w:spacing w:line="241" w:lineRule="atLeast"/>
    </w:pPr>
    <w:rPr>
      <w:rFonts w:ascii="Roboto Condensed" w:eastAsia="Times New Roman" w:hAnsi="Roboto Condensed" w:cs="Times New Roman"/>
      <w:color w:val="auto"/>
      <w:lang w:eastAsia="fr-FR"/>
    </w:rPr>
  </w:style>
  <w:style w:type="paragraph" w:customStyle="1" w:styleId="SingleTxt">
    <w:name w:val="__Single Txt"/>
    <w:basedOn w:val="Normal"/>
    <w:rsid w:val="008848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UnresolvedMention4">
    <w:name w:val="Unresolved Mention4"/>
    <w:basedOn w:val="Fuentedeprrafopredeter"/>
    <w:uiPriority w:val="99"/>
    <w:semiHidden/>
    <w:unhideWhenUsed/>
    <w:rsid w:val="008848AD"/>
    <w:rPr>
      <w:color w:val="605E5C"/>
      <w:shd w:val="clear" w:color="auto" w:fill="E1DFDD"/>
    </w:rPr>
  </w:style>
  <w:style w:type="character" w:customStyle="1" w:styleId="UnresolvedMention5">
    <w:name w:val="Unresolved Mention5"/>
    <w:basedOn w:val="Fuentedeprrafopredeter"/>
    <w:uiPriority w:val="99"/>
    <w:semiHidden/>
    <w:unhideWhenUsed/>
    <w:rsid w:val="008848AD"/>
    <w:rPr>
      <w:color w:val="605E5C"/>
      <w:shd w:val="clear" w:color="auto" w:fill="E1DFDD"/>
    </w:rPr>
  </w:style>
  <w:style w:type="character" w:styleId="Mencinsinresolver">
    <w:name w:val="Unresolved Mention"/>
    <w:basedOn w:val="Fuentedeprrafopredeter"/>
    <w:uiPriority w:val="99"/>
    <w:semiHidden/>
    <w:unhideWhenUsed/>
    <w:rsid w:val="00F0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3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www.oacnudh.org/wp-content/uploads/2018/08/Nicaragua-Report-FINAL_SP.pdf" TargetMode="External"/><Relationship Id="rId21" Type="http://schemas.openxmlformats.org/officeDocument/2006/relationships/hyperlink" Target="https://undocs.org/es/A/HRC/WG.6/33/NIC/3" TargetMode="External"/><Relationship Id="rId42" Type="http://schemas.openxmlformats.org/officeDocument/2006/relationships/hyperlink" Target="https://undocs.org/es/E/C.12/NIC/CO/5" TargetMode="External"/><Relationship Id="rId47" Type="http://schemas.openxmlformats.org/officeDocument/2006/relationships/hyperlink" Target="https://undocs.org/es/A/HRC/WG.6/33/NIC/3" TargetMode="External"/><Relationship Id="rId63" Type="http://schemas.openxmlformats.org/officeDocument/2006/relationships/hyperlink" Target="https://spcommreports.ohchr.org/TMResultsBase/DownLoadPublicCommunicationFile?gId=26412" TargetMode="External"/><Relationship Id="rId68" Type="http://schemas.openxmlformats.org/officeDocument/2006/relationships/hyperlink" Target="https://undocs.org/es/A/HRC/49/23" TargetMode="External"/><Relationship Id="rId84" Type="http://schemas.openxmlformats.org/officeDocument/2006/relationships/hyperlink" Target="https://spcommreports.ohchr.org/TMResultsBase/DownLoadPublicCommunicationFile?gId=25778" TargetMode="External"/><Relationship Id="rId89" Type="http://schemas.openxmlformats.org/officeDocument/2006/relationships/hyperlink" Target="https://undocs.org/es/A/HRC/46/21" TargetMode="External"/><Relationship Id="rId7" Type="http://schemas.openxmlformats.org/officeDocument/2006/relationships/hyperlink" Target="https://undocs.org/es/CAT/C/NIC/CO/1" TargetMode="External"/><Relationship Id="rId71" Type="http://schemas.openxmlformats.org/officeDocument/2006/relationships/hyperlink" Target="https://undocs.org/es/A/HRC/42/16" TargetMode="External"/><Relationship Id="rId92" Type="http://schemas.openxmlformats.org/officeDocument/2006/relationships/hyperlink" Target="https://undocs.org/es/A/HRC/WG.6/33/NIC/2" TargetMode="External"/><Relationship Id="rId2" Type="http://schemas.openxmlformats.org/officeDocument/2006/relationships/hyperlink" Target="https://undocs.org/es/CAT/C/NIC/2" TargetMode="External"/><Relationship Id="rId16" Type="http://schemas.openxmlformats.org/officeDocument/2006/relationships/hyperlink" Target="https://undocs.org/es/A/HRC/49/23,%20p&#225;rr.%2023" TargetMode="External"/><Relationship Id="rId29" Type="http://schemas.openxmlformats.org/officeDocument/2006/relationships/hyperlink" Target="https://undocs.org/es/A/HRC/42/18" TargetMode="External"/><Relationship Id="rId107" Type="http://schemas.openxmlformats.org/officeDocument/2006/relationships/hyperlink" Target="https://undocs.org/es/A/HRC/42/16/Add.1" TargetMode="External"/><Relationship Id="rId11" Type="http://schemas.openxmlformats.org/officeDocument/2006/relationships/hyperlink" Target="https://undocs.org/es/A/HRC/WG.6/33/NIC/2" TargetMode="External"/><Relationship Id="rId24" Type="http://schemas.openxmlformats.org/officeDocument/2006/relationships/hyperlink" Target="https://undocs.org/es/A/HRC/42/16/Add.1" TargetMode="External"/><Relationship Id="rId32" Type="http://schemas.openxmlformats.org/officeDocument/2006/relationships/hyperlink" Target="https://undocs.org/es/A/HRC/46/21" TargetMode="External"/><Relationship Id="rId37" Type="http://schemas.openxmlformats.org/officeDocument/2006/relationships/hyperlink" Target="https://undocs.org/es/A/HRC/46/21" TargetMode="External"/><Relationship Id="rId40" Type="http://schemas.openxmlformats.org/officeDocument/2006/relationships/hyperlink" Target="https://undocs.org/es/A/HRC/42/16" TargetMode="External"/><Relationship Id="rId45" Type="http://schemas.openxmlformats.org/officeDocument/2006/relationships/hyperlink" Target="https://www.ohchr.org/en/press-releases/2022/06/un-torture-prevention-body-announces-visits-2023" TargetMode="External"/><Relationship Id="rId53" Type="http://schemas.openxmlformats.org/officeDocument/2006/relationships/hyperlink" Target="https://spcommreports.ohchr.org/TMResultsBase/DownLoadPublicCommunicationFile?gId=23890" TargetMode="External"/><Relationship Id="rId58" Type="http://schemas.openxmlformats.org/officeDocument/2006/relationships/hyperlink" Target="https://www.ohchr.org/en/press-releases/2018/11/nicaragua-must-stop-repression-human-rights-un-experts?LangID=E&amp;NewsID=23919" TargetMode="External"/><Relationship Id="rId66" Type="http://schemas.openxmlformats.org/officeDocument/2006/relationships/hyperlink" Target="https://spcommreports.ohchr.org/TMResultsBase/DownLoadPublicCommunicationFile?gId=24170" TargetMode="External"/><Relationship Id="rId74" Type="http://schemas.openxmlformats.org/officeDocument/2006/relationships/hyperlink" Target="https://spcommreports.ohchr.org/TMResultsBase/DownLoadPublicCommunicationFile?gId=26520" TargetMode="External"/><Relationship Id="rId79" Type="http://schemas.openxmlformats.org/officeDocument/2006/relationships/hyperlink" Target="https://spcommreports.ohchr.org/TMResultsBase/DownLoadPublicCommunicationFile?gId=27262" TargetMode="External"/><Relationship Id="rId87" Type="http://schemas.openxmlformats.org/officeDocument/2006/relationships/hyperlink" Target="https://undocs.org/es/A/HRC/48/55" TargetMode="External"/><Relationship Id="rId102" Type="http://schemas.openxmlformats.org/officeDocument/2006/relationships/hyperlink" Target="https://spcommreports.ohchr.org/TMResultsBase/DownLoadPublicCommunicationFile?gId=25843" TargetMode="External"/><Relationship Id="rId5" Type="http://schemas.openxmlformats.org/officeDocument/2006/relationships/hyperlink" Target="https://undocs.org/es/%09CAT/C/NIC/2" TargetMode="External"/><Relationship Id="rId61" Type="http://schemas.openxmlformats.org/officeDocument/2006/relationships/hyperlink" Target="https://undocs.org/es/%09E/C.12/NIC/CO/5" TargetMode="External"/><Relationship Id="rId82" Type="http://schemas.openxmlformats.org/officeDocument/2006/relationships/hyperlink" Target="https://undocs.org/es/A/HRC/42/16/Add.1" TargetMode="External"/><Relationship Id="rId90" Type="http://schemas.openxmlformats.org/officeDocument/2006/relationships/hyperlink" Target="https://undocs.org/es/A/HRC/49/23" TargetMode="External"/><Relationship Id="rId95" Type="http://schemas.openxmlformats.org/officeDocument/2006/relationships/hyperlink" Target="https://undocs.org/es/A/HRC/42/16" TargetMode="External"/><Relationship Id="rId19" Type="http://schemas.openxmlformats.org/officeDocument/2006/relationships/hyperlink" Target="https://undocs.org/es/A/HRC/46/21" TargetMode="External"/><Relationship Id="rId14" Type="http://schemas.openxmlformats.org/officeDocument/2006/relationships/hyperlink" Target="https://undocs.org/es/%09A/HRC/49/23" TargetMode="External"/><Relationship Id="rId22" Type="http://schemas.openxmlformats.org/officeDocument/2006/relationships/hyperlink" Target="https://undocs.org/es/A/HRC/WG.6/33/NIC/2" TargetMode="External"/><Relationship Id="rId27" Type="http://schemas.openxmlformats.org/officeDocument/2006/relationships/hyperlink" Target="https://undocs.org/es/CAT/C/NIC/2" TargetMode="External"/><Relationship Id="rId30" Type="http://schemas.openxmlformats.org/officeDocument/2006/relationships/hyperlink" Target="https://www.ohchr.org/en/press-releases/2018/11/nicaragua-must-stop-repression-human-rights-un-experts?LangID=E&amp;NewsID=23919" TargetMode="External"/><Relationship Id="rId35" Type="http://schemas.openxmlformats.org/officeDocument/2006/relationships/hyperlink" Target="https://undocs.org/es/A/HRC/49/23" TargetMode="External"/><Relationship Id="rId43" Type="http://schemas.openxmlformats.org/officeDocument/2006/relationships/hyperlink" Target="https://undocs.org/es/CMW/C/NIC/CO/1" TargetMode="External"/><Relationship Id="rId48" Type="http://schemas.openxmlformats.org/officeDocument/2006/relationships/hyperlink" Target="http://www.oacnudh.org/wp-content/uploads/2018/08/Nicaragua-Report-FINAL_SP.pdf" TargetMode="External"/><Relationship Id="rId56" Type="http://schemas.openxmlformats.org/officeDocument/2006/relationships/hyperlink" Target="http://www.oacnudh.org/wp-content/uploads/2018/08/Nicaragua-Report-FINAL_SP.pdf" TargetMode="External"/><Relationship Id="rId64" Type="http://schemas.openxmlformats.org/officeDocument/2006/relationships/hyperlink" Target="https://spcommreports.ohchr.org/TMResultsBase/DownLoadPublicCommunicationFile?gId=26391" TargetMode="External"/><Relationship Id="rId69" Type="http://schemas.openxmlformats.org/officeDocument/2006/relationships/hyperlink" Target="https://spcommreports.ohchr.org/TMResultsBase/DownLoadPublicCommunicationFile?gId=25255" TargetMode="External"/><Relationship Id="rId77" Type="http://schemas.openxmlformats.org/officeDocument/2006/relationships/hyperlink" Target="https://undocs.org/es/CMW/C/NIC/CO/1" TargetMode="External"/><Relationship Id="rId100" Type="http://schemas.openxmlformats.org/officeDocument/2006/relationships/hyperlink" Target="https://undocs.org/es/A/HRC/46/21" TargetMode="External"/><Relationship Id="rId105" Type="http://schemas.openxmlformats.org/officeDocument/2006/relationships/hyperlink" Target="https://www.oas.org/es/cidh/prensa/comunicados/2019/137.asp" TargetMode="External"/><Relationship Id="rId8" Type="http://schemas.openxmlformats.org/officeDocument/2006/relationships/hyperlink" Target="http://www.oacnudh.org/wp-content/uploads/2018/08/Nicaragua-Report-FINAL_SP.pdf" TargetMode="External"/><Relationship Id="rId51" Type="http://schemas.openxmlformats.org/officeDocument/2006/relationships/hyperlink" Target="https://undocs.org/es/A/HRC/46/21" TargetMode="External"/><Relationship Id="rId72" Type="http://schemas.openxmlformats.org/officeDocument/2006/relationships/hyperlink" Target="https://undocs.org/es/A/HRC/42/16/Add.1" TargetMode="External"/><Relationship Id="rId80" Type="http://schemas.openxmlformats.org/officeDocument/2006/relationships/hyperlink" Target="https://undocs.org/es/A/HRC/WG.6/33/NIC/3" TargetMode="External"/><Relationship Id="rId85" Type="http://schemas.openxmlformats.org/officeDocument/2006/relationships/hyperlink" Target="https://undocs.org/es/A/HRC/WG.6/33/NIC/3" TargetMode="External"/><Relationship Id="rId93" Type="http://schemas.openxmlformats.org/officeDocument/2006/relationships/hyperlink" Target="https://undocs.org/es/CAT/C/NIC/2" TargetMode="External"/><Relationship Id="rId98" Type="http://schemas.openxmlformats.org/officeDocument/2006/relationships/hyperlink" Target="https://undocs.org/es/E/C.12/NIC/CO/5" TargetMode="External"/><Relationship Id="rId3" Type="http://schemas.openxmlformats.org/officeDocument/2006/relationships/hyperlink" Target="https://undocs.org/es/CAT/C/SR.1916" TargetMode="External"/><Relationship Id="rId12" Type="http://schemas.openxmlformats.org/officeDocument/2006/relationships/hyperlink" Target="https://undocs.org/es/A/HRC/49/23" TargetMode="External"/><Relationship Id="rId17" Type="http://schemas.openxmlformats.org/officeDocument/2006/relationships/hyperlink" Target="https://undocs.org/es/A/HRC/42/18" TargetMode="External"/><Relationship Id="rId25" Type="http://schemas.openxmlformats.org/officeDocument/2006/relationships/hyperlink" Target="https://undocs.org/es/A/HRC/42/18" TargetMode="External"/><Relationship Id="rId33" Type="http://schemas.openxmlformats.org/officeDocument/2006/relationships/hyperlink" Target="https://undocs.org/es/A/HRC/42/18" TargetMode="External"/><Relationship Id="rId38" Type="http://schemas.openxmlformats.org/officeDocument/2006/relationships/hyperlink" Target="https://undocs.org/es/CAT/C/NIC/2" TargetMode="External"/><Relationship Id="rId46" Type="http://schemas.openxmlformats.org/officeDocument/2006/relationships/hyperlink" Target="https://undocs.org/es/A/HRC/42/18" TargetMode="External"/><Relationship Id="rId59" Type="http://schemas.openxmlformats.org/officeDocument/2006/relationships/hyperlink" Target="https://www.ohchr.org/en/statements/2022/01/interactive-dialogue-interim-oral-update-high-commissioner-situation-human" TargetMode="External"/><Relationship Id="rId67" Type="http://schemas.openxmlformats.org/officeDocument/2006/relationships/hyperlink" Target="https://spcommreports.ohchr.org/TMResultsBase/DownLoadPublicCommunicationFile?gId=24145" TargetMode="External"/><Relationship Id="rId103" Type="http://schemas.openxmlformats.org/officeDocument/2006/relationships/hyperlink" Target="https://undocs.org/es/E/C.12/NIC/CO/5" TargetMode="External"/><Relationship Id="rId20" Type="http://schemas.openxmlformats.org/officeDocument/2006/relationships/hyperlink" Target="https://undocs.org/es/%09CAT/C/NIC/2" TargetMode="External"/><Relationship Id="rId41" Type="http://schemas.openxmlformats.org/officeDocument/2006/relationships/hyperlink" Target="https://undocs.org/es/A/HRC/42/16/Add.1" TargetMode="External"/><Relationship Id="rId54" Type="http://schemas.openxmlformats.org/officeDocument/2006/relationships/hyperlink" Target="https://spcommreports.ohchr.org/TMResultsBase/DownLoadPublicCommunicationFile?gId=23786" TargetMode="External"/><Relationship Id="rId62" Type="http://schemas.openxmlformats.org/officeDocument/2006/relationships/hyperlink" Target="https://spcommreports.ohchr.org/TMResultsBase/DownLoadPublicCommunicationFile?gId=26602" TargetMode="External"/><Relationship Id="rId70" Type="http://schemas.openxmlformats.org/officeDocument/2006/relationships/hyperlink" Target="https://undocs.org/es/A/HRC/WG.6/33/NIC/2" TargetMode="External"/><Relationship Id="rId75" Type="http://schemas.openxmlformats.org/officeDocument/2006/relationships/hyperlink" Target="https://undocs.org/es/A/HRC/42/16" TargetMode="External"/><Relationship Id="rId83" Type="http://schemas.openxmlformats.org/officeDocument/2006/relationships/hyperlink" Target="http://www.oacnudh.org/wp-content/uploads/2018/08/Nicaragua-Report-FINAL_SP.pdf" TargetMode="External"/><Relationship Id="rId88" Type="http://schemas.openxmlformats.org/officeDocument/2006/relationships/hyperlink" Target="https://undocs.org/es/%09CAT/C/NIC/2" TargetMode="External"/><Relationship Id="rId91" Type="http://schemas.openxmlformats.org/officeDocument/2006/relationships/hyperlink" Target="https://undocs.org/es/A/HRC/WG.6/33/NIC/3" TargetMode="External"/><Relationship Id="rId96" Type="http://schemas.openxmlformats.org/officeDocument/2006/relationships/hyperlink" Target="https://undocs.org/es/A/HRC/42/16/Add.1" TargetMode="External"/><Relationship Id="rId1" Type="http://schemas.openxmlformats.org/officeDocument/2006/relationships/hyperlink" Target="https://undocs.org/es/CAT/C/3/Rev.6" TargetMode="External"/><Relationship Id="rId6" Type="http://schemas.openxmlformats.org/officeDocument/2006/relationships/hyperlink" Target="https://undocs.org/es/CAT/C/NIC/CO/1" TargetMode="External"/><Relationship Id="rId15" Type="http://schemas.openxmlformats.org/officeDocument/2006/relationships/hyperlink" Target="https://undocs.org/es/A/HRC/42/18" TargetMode="External"/><Relationship Id="rId23" Type="http://schemas.openxmlformats.org/officeDocument/2006/relationships/hyperlink" Target="https://undocs.org/es/A/HRC/42/16" TargetMode="External"/><Relationship Id="rId28" Type="http://schemas.openxmlformats.org/officeDocument/2006/relationships/hyperlink" Target="https://undocs.org/es/A/HRC/49/23" TargetMode="External"/><Relationship Id="rId36" Type="http://schemas.openxmlformats.org/officeDocument/2006/relationships/hyperlink" Target="https://undocs.org/es/A/HRC/42/18" TargetMode="External"/><Relationship Id="rId49" Type="http://schemas.openxmlformats.org/officeDocument/2006/relationships/hyperlink" Target="https://undocs.org/es/%09CAT/C/NIC/2" TargetMode="External"/><Relationship Id="rId57" Type="http://schemas.openxmlformats.org/officeDocument/2006/relationships/hyperlink" Target="https://undocs.org/es/A/HRC/40/L.8" TargetMode="External"/><Relationship Id="rId106" Type="http://schemas.openxmlformats.org/officeDocument/2006/relationships/hyperlink" Target="https://undocs.org/es/%09A/HRC/42/16" TargetMode="External"/><Relationship Id="rId10" Type="http://schemas.openxmlformats.org/officeDocument/2006/relationships/hyperlink" Target="https://undocs.org/es/A/HRC/46/21" TargetMode="External"/><Relationship Id="rId31" Type="http://schemas.openxmlformats.org/officeDocument/2006/relationships/hyperlink" Target="http://www.oacnudh.org/wp-content/uploads/2018/08/Nicaragua-Report-FINAL_SP.pdf" TargetMode="External"/><Relationship Id="rId44" Type="http://schemas.openxmlformats.org/officeDocument/2006/relationships/hyperlink" Target="https://undocs.org/es/CAT/OP/12/5" TargetMode="External"/><Relationship Id="rId52" Type="http://schemas.openxmlformats.org/officeDocument/2006/relationships/hyperlink" Target="https://undocs.org/es/A/HRC/WG.6/33/NIC/2" TargetMode="External"/><Relationship Id="rId60" Type="http://schemas.openxmlformats.org/officeDocument/2006/relationships/hyperlink" Target="https://undocs.org/es/A/HRC/WG.6/33/NIC/3" TargetMode="External"/><Relationship Id="rId65" Type="http://schemas.openxmlformats.org/officeDocument/2006/relationships/hyperlink" Target="https://spcommreports.ohchr.org/TMResultsBase/DownLoadPublicCommunicationFile?gId=25036" TargetMode="External"/><Relationship Id="rId73" Type="http://schemas.openxmlformats.org/officeDocument/2006/relationships/hyperlink" Target="https://www.ohchr.org/es/2019/02/bachelet-concerned-about-criminalization-dissent-nicaragua?LangID=S&amp;NewsID=24193" TargetMode="External"/><Relationship Id="rId78" Type="http://schemas.openxmlformats.org/officeDocument/2006/relationships/hyperlink" Target="https://undocs.org/es/A/HRC/49/23" TargetMode="External"/><Relationship Id="rId81" Type="http://schemas.openxmlformats.org/officeDocument/2006/relationships/hyperlink" Target="https://undocs.org/es/A/HRC/42/16" TargetMode="External"/><Relationship Id="rId86" Type="http://schemas.openxmlformats.org/officeDocument/2006/relationships/hyperlink" Target="https://spcommreports.ohchr.org/TMResultsBase/DownLoadPublicCommunicationFile?gId=25691" TargetMode="External"/><Relationship Id="rId94" Type="http://schemas.openxmlformats.org/officeDocument/2006/relationships/hyperlink" Target="https://undocs.org/es/%09CAT/C/NIC/2" TargetMode="External"/><Relationship Id="rId99" Type="http://schemas.openxmlformats.org/officeDocument/2006/relationships/hyperlink" Target="https://undocs.org/es/A/HRC/WG.6/33/NIC/3" TargetMode="External"/><Relationship Id="rId101" Type="http://schemas.openxmlformats.org/officeDocument/2006/relationships/hyperlink" Target="https://undocs.org/es/A/HRC/49/23" TargetMode="External"/><Relationship Id="rId4" Type="http://schemas.openxmlformats.org/officeDocument/2006/relationships/hyperlink" Target="https://undocs.org/es/CAT/C/NIC/Q/2" TargetMode="External"/><Relationship Id="rId9" Type="http://schemas.openxmlformats.org/officeDocument/2006/relationships/hyperlink" Target="https://undocs.org/es/%09A/HRC/49/23" TargetMode="External"/><Relationship Id="rId13" Type="http://schemas.openxmlformats.org/officeDocument/2006/relationships/hyperlink" Target="https://undocs.org/es/A/HRC/42/18" TargetMode="External"/><Relationship Id="rId18" Type="http://schemas.openxmlformats.org/officeDocument/2006/relationships/hyperlink" Target="https://undocs.org/es/A/HRC/49/23" TargetMode="External"/><Relationship Id="rId39" Type="http://schemas.openxmlformats.org/officeDocument/2006/relationships/hyperlink" Target="https://undocs.org/es/A/HRC/WG.6/33/NIC/3" TargetMode="External"/><Relationship Id="rId34" Type="http://schemas.openxmlformats.org/officeDocument/2006/relationships/hyperlink" Target="https://undocs.org/es/A/HRC/42/18" TargetMode="External"/><Relationship Id="rId50" Type="http://schemas.openxmlformats.org/officeDocument/2006/relationships/hyperlink" Target="https://undocs.org/es/%09A/HRC/42/18" TargetMode="External"/><Relationship Id="rId55" Type="http://schemas.openxmlformats.org/officeDocument/2006/relationships/hyperlink" Target="https://spcommreports.ohchr.org/tmsearch/TMDocuments" TargetMode="External"/><Relationship Id="rId76" Type="http://schemas.openxmlformats.org/officeDocument/2006/relationships/hyperlink" Target="https://undocs.org/es/A/HRC/42/16/Add.1" TargetMode="External"/><Relationship Id="rId97" Type="http://schemas.openxmlformats.org/officeDocument/2006/relationships/hyperlink" Target="https://undocs.org/es/A/HRC/WG.6/33/NIC/3" TargetMode="External"/><Relationship Id="rId104" Type="http://schemas.openxmlformats.org/officeDocument/2006/relationships/hyperlink" Target="https://undocs.org/es/A/HRC/WG.6/33/NIC/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C7CED-D89D-4D78-A7CA-CB0A22C7CA1E}">
  <ds:schemaRefs>
    <ds:schemaRef ds:uri="http://schemas.microsoft.com/sharepoint/v3/contenttype/forms"/>
  </ds:schemaRefs>
</ds:datastoreItem>
</file>

<file path=customXml/itemProps2.xml><?xml version="1.0" encoding="utf-8"?>
<ds:datastoreItem xmlns:ds="http://schemas.openxmlformats.org/officeDocument/2006/customXml" ds:itemID="{77FA57E3-3D9F-4A5E-9111-997D61933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4EC42-A474-41F1-BB0B-AD08F3CE8C1B}">
  <ds:schemaRefs>
    <ds:schemaRef ds:uri="http://schemas.openxmlformats.org/officeDocument/2006/bibliography"/>
  </ds:schemaRefs>
</ds:datastoreItem>
</file>

<file path=customXml/itemProps4.xml><?xml version="1.0" encoding="utf-8"?>
<ds:datastoreItem xmlns:ds="http://schemas.openxmlformats.org/officeDocument/2006/customXml" ds:itemID="{7E79D389-46EE-47D0-8AD1-CB74FEF13C84}">
  <ds:schemaRef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6751</Words>
  <Characters>35984</Characters>
  <Application>Microsoft Office Word</Application>
  <DocSecurity>0</DocSecurity>
  <Lines>562</Lines>
  <Paragraphs>143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CAT/C/NIC/PCO/2</vt:lpstr>
      <vt:lpstr>CAT/C/NIC/CO/R.2</vt:lpstr>
      <vt:lpstr>CAT/C/XXX/Y</vt:lpstr>
    </vt:vector>
  </TitlesOfParts>
  <Company>DCM</Company>
  <LinksUpToDate>false</LinksUpToDate>
  <CharactersWithSpaces>42592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CAT/C/NIC/PCO/2</dc:title>
  <dc:subject/>
  <dc:creator>Gloria</dc:creator>
  <cp:keywords/>
  <cp:lastModifiedBy>Juan Korol</cp:lastModifiedBy>
  <cp:revision>3</cp:revision>
  <cp:lastPrinted>2022-09-20T15:19:00Z</cp:lastPrinted>
  <dcterms:created xsi:type="dcterms:W3CDTF">2022-09-20T15:19:00Z</dcterms:created>
  <dcterms:modified xsi:type="dcterms:W3CDTF">2022-09-20T15:20:00Z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n</vt:lpwstr>
  </property>
  <property fmtid="{D5CDD505-2E9C-101B-9397-08002B2CF9AE}" pid="4" name="Author">
    <vt:lpwstr/>
  </property>
  <property fmtid="{D5CDD505-2E9C-101B-9397-08002B2CF9AE}" pid="5" name="bar">
    <vt:lpwstr/>
  </property>
  <property fmtid="{D5CDD505-2E9C-101B-9397-08002B2CF9AE}" pid="6" name="category">
    <vt:lpwstr>CAT</vt:lpwstr>
  </property>
  <property fmtid="{D5CDD505-2E9C-101B-9397-08002B2CF9AE}" pid="7" name="ContentTypeId">
    <vt:lpwstr>0x010100EF7F3C829DF7D944B160ED13BF208A7C</vt:lpwstr>
  </property>
  <property fmtid="{D5CDD505-2E9C-101B-9397-08002B2CF9AE}" pid="8" name="count">
    <vt:lpwstr>de Nicaragua</vt:lpwstr>
  </property>
  <property fmtid="{D5CDD505-2E9C-101B-9397-08002B2CF9AE}" pid="9" name="countw">
    <vt:lpwstr>Nicaragua</vt:lpwstr>
  </property>
  <property fmtid="{D5CDD505-2E9C-101B-9397-08002B2CF9AE}" pid="10" name="countwd">
    <vt:lpwstr>Nicaragua</vt:lpwstr>
  </property>
  <property fmtid="{D5CDD505-2E9C-101B-9397-08002B2CF9AE}" pid="11" name="date">
    <vt:lpwstr>21 de julio de 2022</vt:lpwstr>
  </property>
  <property fmtid="{D5CDD505-2E9C-101B-9397-08002B2CF9AE}" pid="12" name="Date-Generated">
    <vt:filetime>2022-07-20T14:29:28Z</vt:filetime>
  </property>
  <property fmtid="{D5CDD505-2E9C-101B-9397-08002B2CF9AE}" pid="13" name="dist">
    <vt:lpwstr>reservada</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español</vt:lpwstr>
  </property>
  <property fmtid="{D5CDD505-2E9C-101B-9397-08002B2CF9AE}" pid="20" name="Order">
    <vt:r8>245600</vt:r8>
  </property>
  <property fmtid="{D5CDD505-2E9C-101B-9397-08002B2CF9AE}" pid="21" name="Org">
    <vt:lpwstr>OHCHR</vt:lpwstr>
  </property>
  <property fmtid="{D5CDD505-2E9C-101B-9397-08002B2CF9AE}" pid="22" name="prep">
    <vt:lpwstr>al segundo informe periódico de Nicaragua</vt:lpwstr>
  </property>
  <property fmtid="{D5CDD505-2E9C-101B-9397-08002B2CF9AE}" pid="23" name="preps">
    <vt:lpwstr>segundo informe periódico de Nicaragua</vt:lpwstr>
  </property>
  <property fmtid="{D5CDD505-2E9C-101B-9397-08002B2CF9AE}" pid="24" name="prepw">
    <vt:lpwstr>al segundo informe periódico </vt:lpwstr>
  </property>
  <property fmtid="{D5CDD505-2E9C-101B-9397-08002B2CF9AE}" pid="25" name="prepwc">
    <vt:lpwstr>Segundo informe periódico </vt:lpwstr>
  </property>
  <property fmtid="{D5CDD505-2E9C-101B-9397-08002B2CF9AE}" pid="26" name="prepws">
    <vt:lpwstr>segundo informe periódico</vt:lpwstr>
  </property>
  <property fmtid="{D5CDD505-2E9C-101B-9397-08002B2CF9AE}" pid="27" name="sdate">
    <vt:lpwstr>12 a 29 de julio de 2022</vt:lpwstr>
  </property>
  <property fmtid="{D5CDD505-2E9C-101B-9397-08002B2CF9AE}" pid="28" name="snum">
    <vt:lpwstr>74ᵒ</vt:lpwstr>
  </property>
  <property fmtid="{D5CDD505-2E9C-101B-9397-08002B2CF9AE}" pid="29" name="stitle">
    <vt:lpwstr>[Title]</vt:lpwstr>
  </property>
  <property fmtid="{D5CDD505-2E9C-101B-9397-08002B2CF9AE}" pid="30" name="sym1">
    <vt:lpwstr>C/NIC/CO/R.2</vt:lpwstr>
  </property>
  <property fmtid="{D5CDD505-2E9C-101B-9397-08002B2CF9AE}" pid="31" name="symh">
    <vt:lpwstr>CAT/C/NIC/CO/R.2</vt:lpwstr>
  </property>
  <property fmtid="{D5CDD505-2E9C-101B-9397-08002B2CF9AE}" pid="32" name="Title">
    <vt:lpwstr>CAT/C/NIC/CO/R.2</vt:lpwstr>
  </property>
  <property fmtid="{D5CDD505-2E9C-101B-9397-08002B2CF9AE}" pid="33" name="tlang">
    <vt:lpwstr/>
  </property>
  <property fmtid="{D5CDD505-2E9C-101B-9397-08002B2CF9AE}" pid="34" name="virs">
    <vt:lpwstr>Español, francés e inglés únicamente</vt:lpwstr>
  </property>
</Properties>
</file>