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5F9AA8D6" w14:textId="77777777" w:rsidTr="00A704A8">
        <w:trPr>
          <w:trHeight w:hRule="exact" w:val="851"/>
        </w:trPr>
        <w:tc>
          <w:tcPr>
            <w:tcW w:w="1276" w:type="dxa"/>
            <w:tcBorders>
              <w:bottom w:val="single" w:sz="4" w:space="0" w:color="auto"/>
            </w:tcBorders>
          </w:tcPr>
          <w:p w14:paraId="2563E1B8" w14:textId="77777777" w:rsidR="00807D21" w:rsidRPr="00DB58B5" w:rsidRDefault="00807D21" w:rsidP="009D335A"/>
        </w:tc>
        <w:tc>
          <w:tcPr>
            <w:tcW w:w="2268" w:type="dxa"/>
            <w:tcBorders>
              <w:bottom w:val="single" w:sz="4" w:space="0" w:color="auto"/>
            </w:tcBorders>
            <w:vAlign w:val="bottom"/>
          </w:tcPr>
          <w:p w14:paraId="03D72531"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FBA7801" w14:textId="25BFB18A" w:rsidR="00807D21" w:rsidRPr="00DB58B5" w:rsidRDefault="009D335A" w:rsidP="009D335A">
            <w:pPr>
              <w:jc w:val="right"/>
            </w:pPr>
            <w:r w:rsidRPr="009D335A">
              <w:rPr>
                <w:sz w:val="40"/>
              </w:rPr>
              <w:t>CAT</w:t>
            </w:r>
            <w:r>
              <w:t>/C/NIC/PCO/2</w:t>
            </w:r>
          </w:p>
        </w:tc>
      </w:tr>
      <w:tr w:rsidR="00807D21" w:rsidRPr="00DB58B5" w14:paraId="240E9146" w14:textId="77777777" w:rsidTr="00A704A8">
        <w:trPr>
          <w:trHeight w:hRule="exact" w:val="2835"/>
        </w:trPr>
        <w:tc>
          <w:tcPr>
            <w:tcW w:w="1276" w:type="dxa"/>
            <w:tcBorders>
              <w:top w:val="single" w:sz="4" w:space="0" w:color="auto"/>
              <w:bottom w:val="single" w:sz="12" w:space="0" w:color="auto"/>
            </w:tcBorders>
          </w:tcPr>
          <w:p w14:paraId="4B4BF7ED" w14:textId="77777777" w:rsidR="00807D21" w:rsidRPr="00DB58B5" w:rsidRDefault="00807D21" w:rsidP="00A704A8">
            <w:pPr>
              <w:spacing w:before="120"/>
              <w:jc w:val="center"/>
            </w:pPr>
            <w:r>
              <w:rPr>
                <w:noProof/>
                <w:lang w:eastAsia="fr-CH"/>
              </w:rPr>
              <w:drawing>
                <wp:inline distT="0" distB="0" distL="0" distR="0" wp14:anchorId="1D2DBD68" wp14:editId="7EC8100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C73254D"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12451014" w14:textId="77777777" w:rsidR="00807D21" w:rsidRDefault="009D335A" w:rsidP="00A704A8">
            <w:pPr>
              <w:spacing w:before="240"/>
            </w:pPr>
            <w:r>
              <w:t>Distr. générale</w:t>
            </w:r>
          </w:p>
          <w:p w14:paraId="11F00F17" w14:textId="1FF93907" w:rsidR="009D335A" w:rsidRDefault="009D335A" w:rsidP="009D335A">
            <w:pPr>
              <w:spacing w:line="240" w:lineRule="exact"/>
            </w:pPr>
            <w:r>
              <w:t>1</w:t>
            </w:r>
            <w:r w:rsidRPr="009D335A">
              <w:rPr>
                <w:vertAlign w:val="superscript"/>
              </w:rPr>
              <w:t>er</w:t>
            </w:r>
            <w:r>
              <w:t> septembre 2022</w:t>
            </w:r>
          </w:p>
          <w:p w14:paraId="0CB3F81C" w14:textId="77777777" w:rsidR="009D335A" w:rsidRDefault="009D335A" w:rsidP="009D335A">
            <w:pPr>
              <w:spacing w:line="240" w:lineRule="exact"/>
            </w:pPr>
            <w:r>
              <w:t>Français</w:t>
            </w:r>
          </w:p>
          <w:p w14:paraId="286ACB86" w14:textId="524D93BC" w:rsidR="009D335A" w:rsidRPr="00DB58B5" w:rsidRDefault="009D335A" w:rsidP="009D335A">
            <w:pPr>
              <w:spacing w:line="240" w:lineRule="exact"/>
            </w:pPr>
            <w:r>
              <w:t>Original : espagnol</w:t>
            </w:r>
          </w:p>
        </w:tc>
      </w:tr>
    </w:tbl>
    <w:p w14:paraId="5DE7E9BE"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01982876" w14:textId="77777777" w:rsidR="009D335A" w:rsidRPr="00C076DB" w:rsidRDefault="009D335A" w:rsidP="002354FF">
      <w:pPr>
        <w:pStyle w:val="HChG"/>
        <w:rPr>
          <w:lang w:val="fr-FR"/>
        </w:rPr>
      </w:pPr>
      <w:r w:rsidRPr="00C076DB">
        <w:rPr>
          <w:lang w:val="fr-FR"/>
        </w:rPr>
        <w:tab/>
      </w:r>
      <w:r w:rsidRPr="00C076DB">
        <w:rPr>
          <w:lang w:val="fr-FR"/>
        </w:rPr>
        <w:tab/>
        <w:t xml:space="preserve">Observations finales </w:t>
      </w:r>
      <w:r w:rsidRPr="00016D93">
        <w:rPr>
          <w:bCs/>
          <w:lang w:val="fr-FR"/>
        </w:rPr>
        <w:t xml:space="preserve">provisoires </w:t>
      </w:r>
      <w:r w:rsidRPr="00C076DB">
        <w:rPr>
          <w:lang w:val="fr-FR"/>
        </w:rPr>
        <w:t>concernant le deuxième rapport périodique du Nicaragua</w:t>
      </w:r>
      <w:r w:rsidRPr="00016D93">
        <w:rPr>
          <w:b w:val="0"/>
          <w:sz w:val="20"/>
          <w:szCs w:val="16"/>
          <w:lang w:val="fr-FR"/>
        </w:rPr>
        <w:footnoteReference w:customMarkFollows="1" w:id="2"/>
        <w:t>*</w:t>
      </w:r>
    </w:p>
    <w:p w14:paraId="4554E1F3" w14:textId="77777777" w:rsidR="009D335A" w:rsidRPr="00016D93" w:rsidRDefault="009D335A" w:rsidP="002354FF">
      <w:pPr>
        <w:pStyle w:val="SingleTxtG"/>
        <w:rPr>
          <w:lang w:val="fr-FR"/>
        </w:rPr>
      </w:pPr>
      <w:r w:rsidRPr="00016D93">
        <w:rPr>
          <w:lang w:val="fr-FR"/>
        </w:rPr>
        <w:t>1.</w:t>
      </w:r>
      <w:r w:rsidRPr="00016D93">
        <w:rPr>
          <w:lang w:val="fr-FR"/>
        </w:rPr>
        <w:tab/>
        <w:t>Le Comité contre la torture a examiné le deuxième rapport périodique du Nicaragua</w:t>
      </w:r>
      <w:r w:rsidRPr="002354FF">
        <w:rPr>
          <w:rStyle w:val="Appelnotedebasdep"/>
        </w:rPr>
        <w:footnoteReference w:id="3"/>
      </w:r>
      <w:r w:rsidRPr="00016D93">
        <w:rPr>
          <w:lang w:val="fr-FR"/>
        </w:rPr>
        <w:t xml:space="preserve"> à sa 1916</w:t>
      </w:r>
      <w:r w:rsidRPr="00016D93">
        <w:rPr>
          <w:vertAlign w:val="superscript"/>
          <w:lang w:val="fr-FR"/>
        </w:rPr>
        <w:t>e</w:t>
      </w:r>
      <w:r w:rsidRPr="002354FF">
        <w:rPr>
          <w:rStyle w:val="Appelnotedebasdep"/>
        </w:rPr>
        <w:footnoteReference w:id="4"/>
      </w:r>
      <w:r w:rsidRPr="00016D93">
        <w:rPr>
          <w:lang w:val="fr-FR"/>
        </w:rPr>
        <w:t xml:space="preserve"> séance, le 14 juillet 2022, et a adopté les présentes observations finales provisoires à sa 1931</w:t>
      </w:r>
      <w:r w:rsidRPr="00016D93">
        <w:rPr>
          <w:vertAlign w:val="superscript"/>
          <w:lang w:val="fr-FR"/>
        </w:rPr>
        <w:t>e</w:t>
      </w:r>
      <w:r w:rsidRPr="00016D93">
        <w:rPr>
          <w:lang w:val="fr-FR"/>
        </w:rPr>
        <w:t xml:space="preserve"> séance, le 26 juillet 2022.</w:t>
      </w:r>
    </w:p>
    <w:p w14:paraId="646D1220" w14:textId="77777777" w:rsidR="009D335A" w:rsidRPr="00016D93" w:rsidRDefault="009D335A" w:rsidP="002354FF">
      <w:pPr>
        <w:pStyle w:val="H1G"/>
        <w:rPr>
          <w:lang w:val="fr-FR"/>
        </w:rPr>
      </w:pPr>
      <w:r w:rsidRPr="00016D93">
        <w:rPr>
          <w:lang w:val="fr-FR"/>
        </w:rPr>
        <w:tab/>
        <w:t>A.</w:t>
      </w:r>
      <w:r w:rsidRPr="00016D93">
        <w:rPr>
          <w:lang w:val="fr-FR"/>
        </w:rPr>
        <w:tab/>
      </w:r>
      <w:r w:rsidRPr="002354FF">
        <w:t>Introduction</w:t>
      </w:r>
    </w:p>
    <w:p w14:paraId="475D3BAD" w14:textId="1E66766A" w:rsidR="009D335A" w:rsidRPr="00016D93" w:rsidRDefault="009D335A" w:rsidP="009D335A">
      <w:pPr>
        <w:pStyle w:val="SingleTxtG"/>
        <w:rPr>
          <w:lang w:val="fr-FR"/>
        </w:rPr>
      </w:pPr>
      <w:r w:rsidRPr="00016D93">
        <w:rPr>
          <w:lang w:val="fr-FR"/>
        </w:rPr>
        <w:t>2.</w:t>
      </w:r>
      <w:r w:rsidRPr="00016D93">
        <w:rPr>
          <w:lang w:val="fr-FR"/>
        </w:rPr>
        <w:tab/>
        <w:t>Le Comité se félicite que l</w:t>
      </w:r>
      <w:r w:rsidR="002354FF">
        <w:rPr>
          <w:lang w:val="fr-FR"/>
        </w:rPr>
        <w:t>’</w:t>
      </w:r>
      <w:r w:rsidRPr="00016D93">
        <w:rPr>
          <w:lang w:val="fr-FR"/>
        </w:rPr>
        <w:t>État partie ait soumis son rapport périodique, bien que ce</w:t>
      </w:r>
      <w:r>
        <w:rPr>
          <w:lang w:val="fr-FR"/>
        </w:rPr>
        <w:t xml:space="preserve"> soit avec</w:t>
      </w:r>
      <w:r w:rsidRPr="00016D93">
        <w:rPr>
          <w:lang w:val="fr-FR"/>
        </w:rPr>
        <w:t xml:space="preserve"> six ans de retard. Il regrette toutefois que les autorités nicaraguayennes aient expressément refusé d</w:t>
      </w:r>
      <w:r w:rsidR="002354FF">
        <w:rPr>
          <w:lang w:val="fr-FR"/>
        </w:rPr>
        <w:t>’</w:t>
      </w:r>
      <w:r w:rsidRPr="00016D93">
        <w:rPr>
          <w:lang w:val="fr-FR"/>
        </w:rPr>
        <w:t>apporter des réponses écrites à la liste de points adoptée en décembre 2020</w:t>
      </w:r>
      <w:r w:rsidRPr="002354FF">
        <w:rPr>
          <w:rStyle w:val="Appelnotedebasdep"/>
        </w:rPr>
        <w:footnoteReference w:id="5"/>
      </w:r>
      <w:r w:rsidRPr="00016D93">
        <w:rPr>
          <w:lang w:val="fr-FR"/>
        </w:rPr>
        <w:t>. À cet égard, le Comité rejette fermement les termes de la lettre datée du 29</w:t>
      </w:r>
      <w:r w:rsidR="002354FF">
        <w:rPr>
          <w:lang w:val="fr-FR"/>
        </w:rPr>
        <w:t> </w:t>
      </w:r>
      <w:r w:rsidRPr="00016D93">
        <w:rPr>
          <w:lang w:val="fr-FR"/>
        </w:rPr>
        <w:t>juin 2022 adressée à son président par le Ministère des affaires étrangères, qui remet en question la légitimité et l</w:t>
      </w:r>
      <w:r w:rsidR="002354FF">
        <w:rPr>
          <w:lang w:val="fr-FR"/>
        </w:rPr>
        <w:t>’</w:t>
      </w:r>
      <w:r w:rsidRPr="00016D93">
        <w:rPr>
          <w:lang w:val="fr-FR"/>
        </w:rPr>
        <w:t>intégrité du Comité et d</w:t>
      </w:r>
      <w:r w:rsidR="002354FF">
        <w:rPr>
          <w:lang w:val="fr-FR"/>
        </w:rPr>
        <w:t>’</w:t>
      </w:r>
      <w:r w:rsidRPr="00016D93">
        <w:rPr>
          <w:lang w:val="fr-FR"/>
        </w:rPr>
        <w:t xml:space="preserve">autres mécanismes internationaux de </w:t>
      </w:r>
      <w:r>
        <w:rPr>
          <w:lang w:val="fr-FR"/>
        </w:rPr>
        <w:t>protection</w:t>
      </w:r>
      <w:r w:rsidRPr="00016D93">
        <w:rPr>
          <w:lang w:val="fr-FR"/>
        </w:rPr>
        <w:t xml:space="preserve"> des droits de l</w:t>
      </w:r>
      <w:r w:rsidR="002354FF">
        <w:rPr>
          <w:lang w:val="fr-FR"/>
        </w:rPr>
        <w:t>’</w:t>
      </w:r>
      <w:r w:rsidRPr="00016D93">
        <w:rPr>
          <w:lang w:val="fr-FR"/>
        </w:rPr>
        <w:t>homme, tels que le Haut-Commissariat des Nations Unies aux droits de l</w:t>
      </w:r>
      <w:r w:rsidR="002354FF">
        <w:rPr>
          <w:lang w:val="fr-FR"/>
        </w:rPr>
        <w:t>’</w:t>
      </w:r>
      <w:r w:rsidRPr="00016D93">
        <w:rPr>
          <w:lang w:val="fr-FR"/>
        </w:rPr>
        <w:t>homme (HCDH). En outre, malgré les demandes répétées du Comité, l</w:t>
      </w:r>
      <w:r w:rsidR="002354FF">
        <w:rPr>
          <w:lang w:val="fr-FR"/>
        </w:rPr>
        <w:t>’</w:t>
      </w:r>
      <w:r w:rsidRPr="00016D93">
        <w:rPr>
          <w:lang w:val="fr-FR"/>
        </w:rPr>
        <w:t>État partie n</w:t>
      </w:r>
      <w:r w:rsidR="002354FF">
        <w:rPr>
          <w:lang w:val="fr-FR"/>
        </w:rPr>
        <w:t>’</w:t>
      </w:r>
      <w:r w:rsidRPr="00016D93">
        <w:rPr>
          <w:lang w:val="fr-FR"/>
        </w:rPr>
        <w:t>a envoyé aucun représentant à la soixante-quatorzième session. Compte tenu de cette situation et conformément à son règlement intérieur, le Comité a décidé d</w:t>
      </w:r>
      <w:r w:rsidR="002354FF">
        <w:rPr>
          <w:lang w:val="fr-FR"/>
        </w:rPr>
        <w:t>’</w:t>
      </w:r>
      <w:r w:rsidRPr="00016D93">
        <w:rPr>
          <w:lang w:val="fr-FR"/>
        </w:rPr>
        <w:t>examiner le rapport périodique et d</w:t>
      </w:r>
      <w:r w:rsidR="002354FF">
        <w:rPr>
          <w:lang w:val="fr-FR"/>
        </w:rPr>
        <w:t>’</w:t>
      </w:r>
      <w:r w:rsidRPr="00016D93">
        <w:rPr>
          <w:lang w:val="fr-FR"/>
        </w:rPr>
        <w:t>adopter ensuite des observations finales provisoires, qui seront transmises à l</w:t>
      </w:r>
      <w:r w:rsidR="002354FF">
        <w:rPr>
          <w:lang w:val="fr-FR"/>
        </w:rPr>
        <w:t>’</w:t>
      </w:r>
      <w:r w:rsidRPr="00016D93">
        <w:rPr>
          <w:lang w:val="fr-FR"/>
        </w:rPr>
        <w:t>État partie pour commentaires. Le Comité adoptera des observations finales définitives à sa soixante</w:t>
      </w:r>
      <w:r w:rsidR="002354FF">
        <w:rPr>
          <w:lang w:val="fr-FR"/>
        </w:rPr>
        <w:noBreakHyphen/>
      </w:r>
      <w:r w:rsidRPr="00016D93">
        <w:rPr>
          <w:lang w:val="fr-FR"/>
        </w:rPr>
        <w:t>quinzième session, conformément à l</w:t>
      </w:r>
      <w:r w:rsidR="002354FF">
        <w:rPr>
          <w:lang w:val="fr-FR"/>
        </w:rPr>
        <w:t>’</w:t>
      </w:r>
      <w:r w:rsidR="00F949EA">
        <w:rPr>
          <w:lang w:val="fr-FR"/>
        </w:rPr>
        <w:t>article </w:t>
      </w:r>
      <w:r w:rsidRPr="00016D93">
        <w:rPr>
          <w:lang w:val="fr-FR"/>
        </w:rPr>
        <w:t>68 (</w:t>
      </w:r>
      <w:r w:rsidR="00F949EA">
        <w:rPr>
          <w:lang w:val="fr-FR"/>
        </w:rPr>
        <w:t>par. </w:t>
      </w:r>
      <w:r w:rsidRPr="00016D93">
        <w:rPr>
          <w:lang w:val="fr-FR"/>
        </w:rPr>
        <w:t>2 b)) de son règlement intérieur.</w:t>
      </w:r>
    </w:p>
    <w:p w14:paraId="5EC744D2" w14:textId="77777777" w:rsidR="009D335A" w:rsidRPr="00016D93" w:rsidRDefault="009D335A" w:rsidP="002354FF">
      <w:pPr>
        <w:pStyle w:val="H1G"/>
        <w:rPr>
          <w:lang w:val="fr-FR"/>
        </w:rPr>
      </w:pPr>
      <w:r w:rsidRPr="00016D93">
        <w:rPr>
          <w:lang w:val="fr-FR"/>
        </w:rPr>
        <w:tab/>
        <w:t>B.</w:t>
      </w:r>
      <w:r w:rsidRPr="00016D93">
        <w:rPr>
          <w:lang w:val="fr-FR"/>
        </w:rPr>
        <w:tab/>
      </w:r>
      <w:r w:rsidRPr="002354FF">
        <w:t>Aspects</w:t>
      </w:r>
      <w:r w:rsidRPr="00016D93">
        <w:rPr>
          <w:lang w:val="fr-FR"/>
        </w:rPr>
        <w:t xml:space="preserve"> positifs</w:t>
      </w:r>
    </w:p>
    <w:p w14:paraId="1DA8187D" w14:textId="1125A5A4" w:rsidR="009D335A" w:rsidRPr="00016D93" w:rsidRDefault="009D335A" w:rsidP="002354FF">
      <w:pPr>
        <w:pStyle w:val="SingleTxtG"/>
        <w:keepNext/>
        <w:rPr>
          <w:lang w:val="fr-FR"/>
        </w:rPr>
      </w:pPr>
      <w:r w:rsidRPr="00016D93">
        <w:rPr>
          <w:lang w:val="fr-FR"/>
        </w:rPr>
        <w:t>3.</w:t>
      </w:r>
      <w:r w:rsidRPr="00016D93">
        <w:rPr>
          <w:lang w:val="fr-FR"/>
        </w:rPr>
        <w:tab/>
        <w:t>Le Comité note avec satisfaction que l</w:t>
      </w:r>
      <w:r w:rsidR="002354FF">
        <w:rPr>
          <w:lang w:val="fr-FR"/>
        </w:rPr>
        <w:t>’</w:t>
      </w:r>
      <w:r w:rsidRPr="00016D93">
        <w:rPr>
          <w:lang w:val="fr-FR"/>
        </w:rPr>
        <w:t>État partie a ratifié les instruments ci-après ou y a adhéré</w:t>
      </w:r>
      <w:r w:rsidR="002354FF">
        <w:rPr>
          <w:lang w:val="fr-FR"/>
        </w:rPr>
        <w:t> </w:t>
      </w:r>
      <w:r w:rsidRPr="00016D93">
        <w:rPr>
          <w:lang w:val="fr-FR"/>
        </w:rPr>
        <w:t xml:space="preserve">: </w:t>
      </w:r>
    </w:p>
    <w:p w14:paraId="54C031F9" w14:textId="411EEA8A" w:rsidR="009D335A" w:rsidRPr="002354FF" w:rsidRDefault="009D335A" w:rsidP="002354FF">
      <w:pPr>
        <w:pStyle w:val="SingleTxtG"/>
        <w:ind w:firstLine="567"/>
      </w:pPr>
      <w:r w:rsidRPr="00016D93">
        <w:rPr>
          <w:lang w:val="fr-FR"/>
        </w:rPr>
        <w:t>a</w:t>
      </w:r>
      <w:r w:rsidRPr="002354FF">
        <w:t>)</w:t>
      </w:r>
      <w:r w:rsidRPr="002354FF">
        <w:tab/>
        <w:t>La Convention sur la réduction des cas d</w:t>
      </w:r>
      <w:r w:rsidR="002354FF">
        <w:t>’</w:t>
      </w:r>
      <w:r w:rsidRPr="002354FF">
        <w:t>apatridie, en 2013</w:t>
      </w:r>
      <w:r w:rsidR="00F949EA">
        <w:t> ;</w:t>
      </w:r>
    </w:p>
    <w:p w14:paraId="6C4A10FE" w14:textId="77C5C5E8" w:rsidR="009D335A" w:rsidRPr="002354FF" w:rsidRDefault="009D335A" w:rsidP="002354FF">
      <w:pPr>
        <w:pStyle w:val="SingleTxtG"/>
        <w:ind w:firstLine="567"/>
      </w:pPr>
      <w:r w:rsidRPr="002354FF">
        <w:t>b)</w:t>
      </w:r>
      <w:r w:rsidRPr="002354FF">
        <w:tab/>
        <w:t>La Convention relative au statut des apatrides, en 2013</w:t>
      </w:r>
      <w:r w:rsidR="00F949EA">
        <w:t> ;</w:t>
      </w:r>
    </w:p>
    <w:p w14:paraId="707AE3EB" w14:textId="77777777" w:rsidR="009D335A" w:rsidRPr="00016D93" w:rsidRDefault="009D335A" w:rsidP="002354FF">
      <w:pPr>
        <w:pStyle w:val="SingleTxtG"/>
        <w:ind w:firstLine="567"/>
        <w:rPr>
          <w:lang w:val="fr-FR"/>
        </w:rPr>
      </w:pPr>
      <w:r w:rsidRPr="002354FF">
        <w:t>c)</w:t>
      </w:r>
      <w:r w:rsidRPr="002354FF">
        <w:tab/>
        <w:t>Le Protocole facultatif se rapportant à la Convention relative aux droits des personnes handicapées</w:t>
      </w:r>
      <w:r w:rsidRPr="00016D93">
        <w:rPr>
          <w:lang w:val="fr-FR"/>
        </w:rPr>
        <w:t>, en février 2010.</w:t>
      </w:r>
    </w:p>
    <w:p w14:paraId="3586B41E" w14:textId="7E3ACC14" w:rsidR="009D335A" w:rsidRPr="00016D93" w:rsidRDefault="009D335A" w:rsidP="009D335A">
      <w:pPr>
        <w:pStyle w:val="SingleTxtG"/>
        <w:keepNext/>
        <w:keepLines/>
        <w:rPr>
          <w:lang w:val="fr-FR"/>
        </w:rPr>
      </w:pPr>
      <w:r w:rsidRPr="00016D93">
        <w:rPr>
          <w:lang w:val="fr-FR"/>
        </w:rPr>
        <w:lastRenderedPageBreak/>
        <w:t>4.</w:t>
      </w:r>
      <w:r w:rsidRPr="00016D93">
        <w:rPr>
          <w:lang w:val="fr-FR"/>
        </w:rPr>
        <w:tab/>
        <w:t>Le Comité se félicite des mesures prises par l</w:t>
      </w:r>
      <w:r w:rsidR="002354FF">
        <w:rPr>
          <w:lang w:val="fr-FR"/>
        </w:rPr>
        <w:t>’</w:t>
      </w:r>
      <w:r w:rsidRPr="00016D93">
        <w:rPr>
          <w:lang w:val="fr-FR"/>
        </w:rPr>
        <w:t>État partie pour réviser sa législation dans des domaines intéressant la Convention, notamment</w:t>
      </w:r>
      <w:r w:rsidR="002354FF">
        <w:rPr>
          <w:lang w:val="fr-FR"/>
        </w:rPr>
        <w:t> </w:t>
      </w:r>
      <w:r w:rsidRPr="00016D93">
        <w:rPr>
          <w:lang w:val="fr-FR"/>
        </w:rPr>
        <w:t>:</w:t>
      </w:r>
    </w:p>
    <w:p w14:paraId="0BB8C595" w14:textId="17BAE548" w:rsidR="009D335A" w:rsidRPr="002354FF" w:rsidRDefault="009D335A" w:rsidP="002354FF">
      <w:pPr>
        <w:pStyle w:val="SingleTxtG"/>
        <w:ind w:firstLine="567"/>
      </w:pPr>
      <w:r w:rsidRPr="00016D93">
        <w:rPr>
          <w:lang w:val="fr-FR"/>
        </w:rPr>
        <w:t>a</w:t>
      </w:r>
      <w:r w:rsidRPr="002354FF">
        <w:t>)</w:t>
      </w:r>
      <w:r w:rsidRPr="002354FF">
        <w:tab/>
        <w:t>L</w:t>
      </w:r>
      <w:r w:rsidR="002354FF" w:rsidRPr="002354FF">
        <w:t>’</w:t>
      </w:r>
      <w:r w:rsidRPr="002354FF">
        <w:t>adoption, en 2015, de la loi n</w:t>
      </w:r>
      <w:r w:rsidRPr="002354FF">
        <w:rPr>
          <w:vertAlign w:val="superscript"/>
        </w:rPr>
        <w:t>o</w:t>
      </w:r>
      <w:r w:rsidR="002354FF">
        <w:t> </w:t>
      </w:r>
      <w:r w:rsidRPr="002354FF">
        <w:t>896 relative à la lutte contre la traite des personnes</w:t>
      </w:r>
      <w:r w:rsidR="00F949EA">
        <w:t> ;</w:t>
      </w:r>
    </w:p>
    <w:p w14:paraId="4A80A112" w14:textId="6ADBA28D" w:rsidR="009D335A" w:rsidRPr="002354FF" w:rsidRDefault="009D335A" w:rsidP="002354FF">
      <w:pPr>
        <w:pStyle w:val="SingleTxtG"/>
        <w:ind w:firstLine="567"/>
      </w:pPr>
      <w:r w:rsidRPr="002354FF">
        <w:t>b)</w:t>
      </w:r>
      <w:r w:rsidRPr="002354FF">
        <w:tab/>
        <w:t>L</w:t>
      </w:r>
      <w:r w:rsidR="002354FF" w:rsidRPr="002354FF">
        <w:t>’</w:t>
      </w:r>
      <w:r w:rsidRPr="002354FF">
        <w:t>adoption, en 2015, du Code de la famille, qui consacre l</w:t>
      </w:r>
      <w:r w:rsidR="002354FF" w:rsidRPr="002354FF">
        <w:t>’</w:t>
      </w:r>
      <w:r w:rsidRPr="002354FF">
        <w:t>obligation pour l</w:t>
      </w:r>
      <w:r w:rsidR="002354FF" w:rsidRPr="002354FF">
        <w:t>’</w:t>
      </w:r>
      <w:r w:rsidRPr="002354FF">
        <w:t>État de prévenir, réprimer et éliminer la violence conjugale ou intrafamiliale</w:t>
      </w:r>
      <w:r w:rsidR="00F949EA">
        <w:t> ;</w:t>
      </w:r>
    </w:p>
    <w:p w14:paraId="43B0155E" w14:textId="6F677985" w:rsidR="009D335A" w:rsidRPr="002354FF" w:rsidRDefault="009D335A" w:rsidP="002354FF">
      <w:pPr>
        <w:pStyle w:val="SingleTxtG"/>
        <w:ind w:firstLine="567"/>
      </w:pPr>
      <w:r w:rsidRPr="002354FF">
        <w:t>c)</w:t>
      </w:r>
      <w:r w:rsidRPr="002354FF">
        <w:tab/>
        <w:t>L</w:t>
      </w:r>
      <w:r w:rsidR="002354FF" w:rsidRPr="002354FF">
        <w:t>’</w:t>
      </w:r>
      <w:r w:rsidRPr="002354FF">
        <w:t>adoption, en 2012, de la loi générale n</w:t>
      </w:r>
      <w:r w:rsidRPr="002354FF">
        <w:rPr>
          <w:vertAlign w:val="superscript"/>
        </w:rPr>
        <w:t>o</w:t>
      </w:r>
      <w:r w:rsidR="002354FF">
        <w:t> </w:t>
      </w:r>
      <w:r w:rsidRPr="002354FF">
        <w:t>779 relative à la lutte contre la violence à l</w:t>
      </w:r>
      <w:r w:rsidR="002354FF" w:rsidRPr="002354FF">
        <w:t>’</w:t>
      </w:r>
      <w:r w:rsidRPr="002354FF">
        <w:t>égard des femmes</w:t>
      </w:r>
      <w:r w:rsidR="00F949EA">
        <w:t> ;</w:t>
      </w:r>
    </w:p>
    <w:p w14:paraId="55308B38" w14:textId="797A7F9D" w:rsidR="009D335A" w:rsidRPr="002354FF" w:rsidRDefault="009D335A" w:rsidP="002354FF">
      <w:pPr>
        <w:pStyle w:val="SingleTxtG"/>
        <w:ind w:firstLine="567"/>
      </w:pPr>
      <w:r w:rsidRPr="002354FF">
        <w:t>d)</w:t>
      </w:r>
      <w:r w:rsidRPr="002354FF">
        <w:tab/>
        <w:t>L</w:t>
      </w:r>
      <w:r w:rsidR="002354FF" w:rsidRPr="002354FF">
        <w:t>’</w:t>
      </w:r>
      <w:r w:rsidRPr="002354FF">
        <w:t>adoption, en 2011, de la loi générale n</w:t>
      </w:r>
      <w:r w:rsidRPr="002354FF">
        <w:rPr>
          <w:vertAlign w:val="superscript"/>
        </w:rPr>
        <w:t>o</w:t>
      </w:r>
      <w:r w:rsidR="002354FF">
        <w:t> </w:t>
      </w:r>
      <w:r w:rsidRPr="002354FF">
        <w:t>761 relative aux migrations et aux étrangers</w:t>
      </w:r>
      <w:r w:rsidR="00F949EA">
        <w:t> ;</w:t>
      </w:r>
    </w:p>
    <w:p w14:paraId="4259B58A" w14:textId="1E624264" w:rsidR="009D335A" w:rsidRPr="00016D93" w:rsidRDefault="009D335A" w:rsidP="002354FF">
      <w:pPr>
        <w:pStyle w:val="SingleTxtG"/>
        <w:ind w:firstLine="567"/>
        <w:rPr>
          <w:lang w:val="fr-FR"/>
        </w:rPr>
      </w:pPr>
      <w:r w:rsidRPr="002354FF">
        <w:t>e)</w:t>
      </w:r>
      <w:r w:rsidRPr="002354FF">
        <w:tab/>
        <w:t>L</w:t>
      </w:r>
      <w:r w:rsidR="002354FF" w:rsidRPr="002354FF">
        <w:t>’</w:t>
      </w:r>
      <w:r w:rsidRPr="002354FF">
        <w:t>adoption, en 2011, de la loi n</w:t>
      </w:r>
      <w:r w:rsidRPr="002354FF">
        <w:rPr>
          <w:vertAlign w:val="superscript"/>
        </w:rPr>
        <w:t>o</w:t>
      </w:r>
      <w:r w:rsidR="002354FF">
        <w:t> </w:t>
      </w:r>
      <w:r w:rsidRPr="002354FF">
        <w:t>745 sur l</w:t>
      </w:r>
      <w:r w:rsidR="002354FF" w:rsidRPr="002354FF">
        <w:t>’</w:t>
      </w:r>
      <w:r w:rsidRPr="002354FF">
        <w:t>application, l</w:t>
      </w:r>
      <w:r w:rsidR="002354FF" w:rsidRPr="002354FF">
        <w:t>’</w:t>
      </w:r>
      <w:r w:rsidRPr="002354FF">
        <w:t>aménagement et le contrôle juridictionnel</w:t>
      </w:r>
      <w:r w:rsidRPr="00016D93">
        <w:rPr>
          <w:lang w:val="fr-FR"/>
        </w:rPr>
        <w:t xml:space="preserve"> des peines.</w:t>
      </w:r>
    </w:p>
    <w:p w14:paraId="069652F1" w14:textId="36169E5C" w:rsidR="009D335A" w:rsidRPr="00016D93" w:rsidRDefault="009D335A" w:rsidP="002354FF">
      <w:pPr>
        <w:pStyle w:val="SingleTxtG"/>
        <w:keepNext/>
        <w:rPr>
          <w:rFonts w:eastAsia="Calibri"/>
          <w:u w:color="000000"/>
          <w:bdr w:val="nil"/>
          <w:lang w:val="fr-FR"/>
        </w:rPr>
      </w:pPr>
      <w:r w:rsidRPr="00016D93">
        <w:rPr>
          <w:lang w:val="fr-FR"/>
        </w:rPr>
        <w:t>5.</w:t>
      </w:r>
      <w:r w:rsidRPr="00016D93">
        <w:rPr>
          <w:lang w:val="fr-FR"/>
        </w:rPr>
        <w:tab/>
        <w:t>Le Comité accueille également avec satisfaction les mesures prises par l</w:t>
      </w:r>
      <w:r w:rsidR="002354FF">
        <w:rPr>
          <w:lang w:val="fr-FR"/>
        </w:rPr>
        <w:t>’</w:t>
      </w:r>
      <w:r w:rsidRPr="00016D93">
        <w:rPr>
          <w:lang w:val="fr-FR"/>
        </w:rPr>
        <w:t>État partie pour modifier ses politiques et procédures afin de renforcer la protection des droits de l</w:t>
      </w:r>
      <w:r w:rsidR="002354FF">
        <w:rPr>
          <w:lang w:val="fr-FR"/>
        </w:rPr>
        <w:t>’</w:t>
      </w:r>
      <w:r w:rsidRPr="00016D93">
        <w:rPr>
          <w:lang w:val="fr-FR"/>
        </w:rPr>
        <w:t>homme et d</w:t>
      </w:r>
      <w:r w:rsidR="002354FF">
        <w:rPr>
          <w:lang w:val="fr-FR"/>
        </w:rPr>
        <w:t>’</w:t>
      </w:r>
      <w:r w:rsidRPr="00016D93">
        <w:rPr>
          <w:lang w:val="fr-FR"/>
        </w:rPr>
        <w:t>appliquer les dispositions de la Convention, notamment</w:t>
      </w:r>
      <w:r w:rsidR="002354FF">
        <w:rPr>
          <w:lang w:val="fr-FR"/>
        </w:rPr>
        <w:t> </w:t>
      </w:r>
      <w:r w:rsidRPr="00016D93">
        <w:rPr>
          <w:lang w:val="fr-FR"/>
        </w:rPr>
        <w:t>:</w:t>
      </w:r>
    </w:p>
    <w:p w14:paraId="4FF898EE" w14:textId="75333975" w:rsidR="009D335A" w:rsidRPr="00016D93" w:rsidRDefault="009D335A" w:rsidP="002354FF">
      <w:pPr>
        <w:pStyle w:val="SingleTxtG"/>
        <w:ind w:firstLine="567"/>
        <w:rPr>
          <w:rFonts w:eastAsia="Calibri"/>
          <w:u w:color="000000"/>
          <w:bdr w:val="nil"/>
          <w:lang w:val="fr-FR"/>
        </w:rPr>
      </w:pPr>
      <w:r w:rsidRPr="00016D93">
        <w:rPr>
          <w:lang w:val="fr-FR"/>
        </w:rPr>
        <w:t>a)</w:t>
      </w:r>
      <w:r w:rsidRPr="00016D93">
        <w:rPr>
          <w:lang w:val="fr-FR"/>
        </w:rPr>
        <w:tab/>
        <w:t>L</w:t>
      </w:r>
      <w:r w:rsidR="002354FF">
        <w:rPr>
          <w:lang w:val="fr-FR"/>
        </w:rPr>
        <w:t>’</w:t>
      </w:r>
      <w:r w:rsidRPr="00016D93">
        <w:rPr>
          <w:lang w:val="fr-FR"/>
        </w:rPr>
        <w:t xml:space="preserve">adoption du Plan stratégique </w:t>
      </w:r>
      <w:r>
        <w:rPr>
          <w:lang w:val="fr-FR"/>
        </w:rPr>
        <w:t xml:space="preserve">national </w:t>
      </w:r>
      <w:r w:rsidRPr="00016D93">
        <w:rPr>
          <w:lang w:val="fr-FR"/>
        </w:rPr>
        <w:t>de lutte contre la traite des personnes pour la période 2012-2014</w:t>
      </w:r>
      <w:r w:rsidR="00F949EA">
        <w:t> ;</w:t>
      </w:r>
    </w:p>
    <w:p w14:paraId="0F0FB0D7" w14:textId="57A2BE32" w:rsidR="009D335A" w:rsidRPr="00016D93" w:rsidRDefault="009D335A" w:rsidP="002354FF">
      <w:pPr>
        <w:pStyle w:val="SingleTxtG"/>
        <w:ind w:firstLine="567"/>
        <w:rPr>
          <w:rFonts w:eastAsia="Calibri"/>
          <w:u w:color="000000"/>
          <w:bdr w:val="nil"/>
          <w:lang w:val="fr-FR"/>
        </w:rPr>
      </w:pPr>
      <w:r w:rsidRPr="00016D93">
        <w:rPr>
          <w:lang w:val="fr-FR"/>
        </w:rPr>
        <w:t>b)</w:t>
      </w:r>
      <w:r w:rsidRPr="00016D93">
        <w:rPr>
          <w:lang w:val="fr-FR"/>
        </w:rPr>
        <w:tab/>
        <w:t>L</w:t>
      </w:r>
      <w:r w:rsidR="002354FF">
        <w:rPr>
          <w:lang w:val="fr-FR"/>
        </w:rPr>
        <w:t>’</w:t>
      </w:r>
      <w:r w:rsidRPr="00016D93">
        <w:rPr>
          <w:lang w:val="fr-FR"/>
        </w:rPr>
        <w:t>adoption du Plan national de développement humain pour la période 2012</w:t>
      </w:r>
      <w:r w:rsidR="002354FF">
        <w:rPr>
          <w:lang w:val="fr-FR"/>
        </w:rPr>
        <w:noBreakHyphen/>
      </w:r>
      <w:r w:rsidRPr="00016D93">
        <w:rPr>
          <w:lang w:val="fr-FR"/>
        </w:rPr>
        <w:t>2016</w:t>
      </w:r>
      <w:r w:rsidR="00F949EA">
        <w:rPr>
          <w:lang w:val="fr-FR"/>
        </w:rPr>
        <w:t> ;</w:t>
      </w:r>
    </w:p>
    <w:p w14:paraId="67FFDB6E" w14:textId="2C82CA10" w:rsidR="009D335A" w:rsidRPr="00016D93" w:rsidRDefault="009D335A" w:rsidP="002354FF">
      <w:pPr>
        <w:pStyle w:val="SingleTxtG"/>
        <w:ind w:firstLine="567"/>
        <w:rPr>
          <w:rFonts w:eastAsia="Calibri"/>
          <w:u w:color="000000"/>
          <w:bdr w:val="nil"/>
          <w:lang w:val="fr-FR"/>
        </w:rPr>
      </w:pPr>
      <w:r w:rsidRPr="00016D93">
        <w:rPr>
          <w:lang w:val="fr-FR"/>
        </w:rPr>
        <w:t>c)</w:t>
      </w:r>
      <w:r w:rsidRPr="00016D93">
        <w:rPr>
          <w:lang w:val="fr-FR"/>
        </w:rPr>
        <w:tab/>
        <w:t>L</w:t>
      </w:r>
      <w:r w:rsidR="002354FF">
        <w:rPr>
          <w:lang w:val="fr-FR"/>
        </w:rPr>
        <w:t>’</w:t>
      </w:r>
      <w:r w:rsidRPr="00016D93">
        <w:rPr>
          <w:lang w:val="fr-FR"/>
        </w:rPr>
        <w:t xml:space="preserve">adoption, </w:t>
      </w:r>
      <w:r>
        <w:rPr>
          <w:lang w:val="fr-FR"/>
        </w:rPr>
        <w:t>par voie</w:t>
      </w:r>
      <w:r w:rsidRPr="00016D93">
        <w:rPr>
          <w:lang w:val="fr-FR"/>
        </w:rPr>
        <w:t xml:space="preserve"> de l</w:t>
      </w:r>
      <w:r w:rsidR="002354FF">
        <w:rPr>
          <w:lang w:val="fr-FR"/>
        </w:rPr>
        <w:t>’</w:t>
      </w:r>
      <w:r w:rsidRPr="00016D93">
        <w:rPr>
          <w:lang w:val="fr-FR"/>
        </w:rPr>
        <w:t>arrêté ministériel n</w:t>
      </w:r>
      <w:r w:rsidRPr="00016D93">
        <w:rPr>
          <w:vertAlign w:val="superscript"/>
          <w:lang w:val="fr-FR"/>
        </w:rPr>
        <w:t>o</w:t>
      </w:r>
      <w:r w:rsidR="002354FF">
        <w:rPr>
          <w:lang w:val="fr-FR"/>
        </w:rPr>
        <w:t> </w:t>
      </w:r>
      <w:r w:rsidRPr="00016D93">
        <w:rPr>
          <w:lang w:val="fr-FR"/>
        </w:rPr>
        <w:t>134-2009, de mesures administratives contre les châtiments corporels à l</w:t>
      </w:r>
      <w:r w:rsidR="002354FF">
        <w:rPr>
          <w:lang w:val="fr-FR"/>
        </w:rPr>
        <w:t>’</w:t>
      </w:r>
      <w:r w:rsidRPr="00016D93">
        <w:rPr>
          <w:lang w:val="fr-FR"/>
        </w:rPr>
        <w:t>école</w:t>
      </w:r>
      <w:r w:rsidR="00F949EA">
        <w:rPr>
          <w:lang w:val="fr-FR"/>
        </w:rPr>
        <w:t> ;</w:t>
      </w:r>
    </w:p>
    <w:p w14:paraId="5D91F50F" w14:textId="6ABCB6C3" w:rsidR="009D335A" w:rsidRPr="00016D93" w:rsidRDefault="009D335A" w:rsidP="002354FF">
      <w:pPr>
        <w:pStyle w:val="SingleTxtG"/>
        <w:ind w:firstLine="567"/>
        <w:rPr>
          <w:lang w:val="fr-FR"/>
        </w:rPr>
      </w:pPr>
      <w:r w:rsidRPr="00016D93">
        <w:rPr>
          <w:lang w:val="fr-FR"/>
        </w:rPr>
        <w:t>d)</w:t>
      </w:r>
      <w:r w:rsidRPr="00016D93">
        <w:rPr>
          <w:lang w:val="fr-FR"/>
        </w:rPr>
        <w:tab/>
        <w:t xml:space="preserve">La désignation, </w:t>
      </w:r>
      <w:r>
        <w:rPr>
          <w:lang w:val="fr-FR"/>
        </w:rPr>
        <w:t>par voie</w:t>
      </w:r>
      <w:r w:rsidRPr="00016D93">
        <w:rPr>
          <w:lang w:val="fr-FR"/>
        </w:rPr>
        <w:t xml:space="preserve"> du décret présidentiel n</w:t>
      </w:r>
      <w:r w:rsidRPr="00016D93">
        <w:rPr>
          <w:vertAlign w:val="superscript"/>
          <w:lang w:val="fr-FR"/>
        </w:rPr>
        <w:t>o</w:t>
      </w:r>
      <w:r w:rsidR="002354FF">
        <w:rPr>
          <w:lang w:val="fr-FR"/>
        </w:rPr>
        <w:t> </w:t>
      </w:r>
      <w:r w:rsidRPr="00016D93">
        <w:rPr>
          <w:lang w:val="fr-FR"/>
        </w:rPr>
        <w:t>04-2012, du Bureau du Procureur national chargé de la défense des droits de l</w:t>
      </w:r>
      <w:r w:rsidR="002354FF">
        <w:rPr>
          <w:lang w:val="fr-FR"/>
        </w:rPr>
        <w:t>’</w:t>
      </w:r>
      <w:r w:rsidRPr="00016D93">
        <w:rPr>
          <w:lang w:val="fr-FR"/>
        </w:rPr>
        <w:t xml:space="preserve">homme </w:t>
      </w:r>
      <w:r>
        <w:rPr>
          <w:lang w:val="fr-FR"/>
        </w:rPr>
        <w:t>comme</w:t>
      </w:r>
      <w:r w:rsidRPr="00016D93">
        <w:rPr>
          <w:lang w:val="fr-FR"/>
        </w:rPr>
        <w:t xml:space="preserve"> mécanisme national de prévention de la torture</w:t>
      </w:r>
      <w:r w:rsidR="00F949EA">
        <w:rPr>
          <w:lang w:val="fr-FR"/>
        </w:rPr>
        <w:t> ;</w:t>
      </w:r>
    </w:p>
    <w:p w14:paraId="43732215" w14:textId="36D47CB1" w:rsidR="009D335A" w:rsidRPr="00016D93" w:rsidRDefault="009D335A" w:rsidP="002354FF">
      <w:pPr>
        <w:pStyle w:val="SingleTxtG"/>
        <w:ind w:firstLine="567"/>
        <w:rPr>
          <w:lang w:val="fr-FR"/>
        </w:rPr>
      </w:pPr>
      <w:r w:rsidRPr="00016D93">
        <w:rPr>
          <w:lang w:val="fr-FR"/>
        </w:rPr>
        <w:t>e)</w:t>
      </w:r>
      <w:r w:rsidRPr="00016D93">
        <w:rPr>
          <w:lang w:val="fr-FR"/>
        </w:rPr>
        <w:tab/>
        <w:t>La construction récente et l</w:t>
      </w:r>
      <w:r w:rsidR="002354FF">
        <w:rPr>
          <w:lang w:val="fr-FR"/>
        </w:rPr>
        <w:t>’</w:t>
      </w:r>
      <w:r w:rsidRPr="00016D93">
        <w:rPr>
          <w:lang w:val="fr-FR"/>
        </w:rPr>
        <w:t>équipement de l</w:t>
      </w:r>
      <w:r w:rsidR="002354FF">
        <w:rPr>
          <w:lang w:val="fr-FR"/>
        </w:rPr>
        <w:t>’</w:t>
      </w:r>
      <w:r w:rsidRPr="00016D93">
        <w:rPr>
          <w:lang w:val="fr-FR"/>
        </w:rPr>
        <w:t>établissement pénitentiaire de haute sécurité et de l</w:t>
      </w:r>
      <w:r w:rsidR="002354FF">
        <w:rPr>
          <w:lang w:val="fr-FR"/>
        </w:rPr>
        <w:t>’</w:t>
      </w:r>
      <w:r w:rsidRPr="00016D93">
        <w:rPr>
          <w:lang w:val="fr-FR"/>
        </w:rPr>
        <w:t>établissement pénitentiaire réservé aux femmes, tous deux situés dans le département de Managua, et de l</w:t>
      </w:r>
      <w:r w:rsidR="002354FF">
        <w:rPr>
          <w:lang w:val="fr-FR"/>
        </w:rPr>
        <w:t>’</w:t>
      </w:r>
      <w:r w:rsidRPr="00016D93">
        <w:rPr>
          <w:lang w:val="fr-FR"/>
        </w:rPr>
        <w:t>établissement pénitentiaire de Bluefields, dans la région autonome de la côte caraïbe sud, ainsi que la construction, dans les nouveaux centres pénitentiaires, de 28</w:t>
      </w:r>
      <w:r w:rsidR="002354FF">
        <w:rPr>
          <w:lang w:val="fr-FR"/>
        </w:rPr>
        <w:t> </w:t>
      </w:r>
      <w:r w:rsidRPr="00016D93">
        <w:rPr>
          <w:lang w:val="fr-FR"/>
        </w:rPr>
        <w:t>pavillons pouvant accueillir 234</w:t>
      </w:r>
      <w:r w:rsidR="002354FF">
        <w:rPr>
          <w:lang w:val="fr-FR"/>
        </w:rPr>
        <w:t> </w:t>
      </w:r>
      <w:r w:rsidRPr="00016D93">
        <w:rPr>
          <w:lang w:val="fr-FR"/>
        </w:rPr>
        <w:t xml:space="preserve">personnes privées de liberté, et la création de postes </w:t>
      </w:r>
      <w:r>
        <w:rPr>
          <w:lang w:val="fr-FR"/>
        </w:rPr>
        <w:t xml:space="preserve">supplémentaires </w:t>
      </w:r>
      <w:r w:rsidRPr="00016D93">
        <w:rPr>
          <w:lang w:val="fr-FR"/>
        </w:rPr>
        <w:t>d</w:t>
      </w:r>
      <w:r w:rsidR="002354FF">
        <w:rPr>
          <w:lang w:val="fr-FR"/>
        </w:rPr>
        <w:t>’</w:t>
      </w:r>
      <w:r w:rsidRPr="00016D93">
        <w:rPr>
          <w:lang w:val="fr-FR"/>
        </w:rPr>
        <w:t>agents pénitentiaires</w:t>
      </w:r>
      <w:r w:rsidRPr="002354FF">
        <w:rPr>
          <w:rStyle w:val="Appelnotedebasdep"/>
        </w:rPr>
        <w:footnoteReference w:id="6"/>
      </w:r>
      <w:r w:rsidRPr="00016D93">
        <w:rPr>
          <w:lang w:val="fr-FR"/>
        </w:rPr>
        <w:t>.</w:t>
      </w:r>
    </w:p>
    <w:p w14:paraId="32EF4D1B" w14:textId="77777777" w:rsidR="009D335A" w:rsidRPr="00016D93" w:rsidRDefault="009D335A" w:rsidP="002354FF">
      <w:pPr>
        <w:pStyle w:val="H1G"/>
        <w:rPr>
          <w:lang w:val="fr-FR"/>
        </w:rPr>
      </w:pPr>
      <w:r w:rsidRPr="00016D93">
        <w:rPr>
          <w:lang w:val="fr-FR"/>
        </w:rPr>
        <w:tab/>
        <w:t>C.</w:t>
      </w:r>
      <w:r w:rsidRPr="00016D93">
        <w:rPr>
          <w:lang w:val="fr-FR"/>
        </w:rPr>
        <w:tab/>
        <w:t>Principaux sujets de préoccupation et recommandations</w:t>
      </w:r>
    </w:p>
    <w:p w14:paraId="216DD79B" w14:textId="77777777" w:rsidR="009D335A" w:rsidRPr="00016D93" w:rsidRDefault="009D335A" w:rsidP="002354FF">
      <w:pPr>
        <w:pStyle w:val="H23G"/>
        <w:rPr>
          <w:lang w:val="fr-FR"/>
        </w:rPr>
      </w:pPr>
      <w:r w:rsidRPr="00016D93">
        <w:rPr>
          <w:lang w:val="fr-FR"/>
        </w:rPr>
        <w:tab/>
      </w:r>
      <w:r w:rsidRPr="00016D93">
        <w:rPr>
          <w:lang w:val="fr-FR"/>
        </w:rPr>
        <w:tab/>
        <w:t>Questions en suspens issues du cycle précédent</w:t>
      </w:r>
    </w:p>
    <w:p w14:paraId="0DF52423" w14:textId="3FD62122" w:rsidR="009D335A" w:rsidRPr="00016D93" w:rsidRDefault="009D335A" w:rsidP="009D335A">
      <w:pPr>
        <w:pStyle w:val="SingleTxtG"/>
        <w:rPr>
          <w:lang w:val="fr-FR"/>
        </w:rPr>
      </w:pPr>
      <w:r w:rsidRPr="00016D93">
        <w:rPr>
          <w:lang w:val="fr-FR"/>
        </w:rPr>
        <w:t>6.</w:t>
      </w:r>
      <w:r w:rsidRPr="00016D93">
        <w:rPr>
          <w:lang w:val="fr-FR"/>
        </w:rPr>
        <w:tab/>
        <w:t>Dans ses précédentes observations finales</w:t>
      </w:r>
      <w:r w:rsidRPr="002354FF">
        <w:rPr>
          <w:rStyle w:val="Appelnotedebasdep"/>
        </w:rPr>
        <w:footnoteReference w:id="7"/>
      </w:r>
      <w:r w:rsidRPr="00016D93">
        <w:rPr>
          <w:lang w:val="fr-FR"/>
        </w:rPr>
        <w:t>, le Comité a demandé à l</w:t>
      </w:r>
      <w:r w:rsidR="002354FF">
        <w:rPr>
          <w:lang w:val="fr-FR"/>
        </w:rPr>
        <w:t>’</w:t>
      </w:r>
      <w:r w:rsidRPr="00016D93">
        <w:rPr>
          <w:lang w:val="fr-FR"/>
        </w:rPr>
        <w:t xml:space="preserve">État partie de lui faire parvenir des renseignements sur la suite donnée aux recommandations concernant la </w:t>
      </w:r>
      <w:r>
        <w:rPr>
          <w:lang w:val="fr-FR"/>
        </w:rPr>
        <w:t>définition</w:t>
      </w:r>
      <w:r w:rsidRPr="00016D93">
        <w:rPr>
          <w:lang w:val="fr-FR"/>
        </w:rPr>
        <w:t xml:space="preserve"> d</w:t>
      </w:r>
      <w:r>
        <w:rPr>
          <w:lang w:val="fr-FR"/>
        </w:rPr>
        <w:t>e l</w:t>
      </w:r>
      <w:r w:rsidR="002354FF">
        <w:rPr>
          <w:lang w:val="fr-FR"/>
        </w:rPr>
        <w:t>’</w:t>
      </w:r>
      <w:r>
        <w:rPr>
          <w:lang w:val="fr-FR"/>
        </w:rPr>
        <w:t>infraction</w:t>
      </w:r>
      <w:r w:rsidRPr="00016D93">
        <w:rPr>
          <w:lang w:val="fr-FR"/>
        </w:rPr>
        <w:t xml:space="preserve"> de torture</w:t>
      </w:r>
      <w:r w:rsidRPr="002354FF">
        <w:rPr>
          <w:rStyle w:val="Appelnotedebasdep"/>
        </w:rPr>
        <w:footnoteReference w:id="8"/>
      </w:r>
      <w:r w:rsidRPr="00016D93">
        <w:rPr>
          <w:lang w:val="fr-FR"/>
        </w:rPr>
        <w:t>, les poursuites engagées et les sanctions prononcées contre les auteurs présumés d</w:t>
      </w:r>
      <w:r w:rsidR="002354FF">
        <w:rPr>
          <w:lang w:val="fr-FR"/>
        </w:rPr>
        <w:t>’</w:t>
      </w:r>
      <w:r w:rsidRPr="00016D93">
        <w:rPr>
          <w:lang w:val="fr-FR"/>
        </w:rPr>
        <w:t>actes de torture ou de mauvais traitements et l</w:t>
      </w:r>
      <w:r>
        <w:rPr>
          <w:lang w:val="fr-FR"/>
        </w:rPr>
        <w:t>a collecte</w:t>
      </w:r>
      <w:r w:rsidRPr="00016D93">
        <w:rPr>
          <w:lang w:val="fr-FR"/>
        </w:rPr>
        <w:t xml:space="preserve"> de données statistiques sur cette infraction</w:t>
      </w:r>
      <w:r w:rsidRPr="002354FF">
        <w:rPr>
          <w:rStyle w:val="Appelnotedebasdep"/>
        </w:rPr>
        <w:footnoteReference w:id="9"/>
      </w:r>
      <w:r w:rsidRPr="00016D93">
        <w:rPr>
          <w:lang w:val="fr-FR"/>
        </w:rPr>
        <w:t>, les dysfonctionnements dans l</w:t>
      </w:r>
      <w:r w:rsidR="002354FF">
        <w:rPr>
          <w:lang w:val="fr-FR"/>
        </w:rPr>
        <w:t>’</w:t>
      </w:r>
      <w:r w:rsidRPr="00016D93">
        <w:rPr>
          <w:lang w:val="fr-FR"/>
        </w:rPr>
        <w:t>administration de la justice et le recours excessif à la détention provisoire</w:t>
      </w:r>
      <w:r w:rsidRPr="002354FF">
        <w:rPr>
          <w:rStyle w:val="Appelnotedebasdep"/>
        </w:rPr>
        <w:footnoteReference w:id="10"/>
      </w:r>
      <w:r w:rsidRPr="00016D93">
        <w:rPr>
          <w:lang w:val="fr-FR"/>
        </w:rPr>
        <w:t>, la violence à l</w:t>
      </w:r>
      <w:r w:rsidR="002354FF">
        <w:rPr>
          <w:lang w:val="fr-FR"/>
        </w:rPr>
        <w:t>’</w:t>
      </w:r>
      <w:r w:rsidRPr="00016D93">
        <w:rPr>
          <w:lang w:val="fr-FR"/>
        </w:rPr>
        <w:t>égard des femmes</w:t>
      </w:r>
      <w:r w:rsidRPr="002354FF">
        <w:rPr>
          <w:rStyle w:val="Appelnotedebasdep"/>
        </w:rPr>
        <w:footnoteReference w:id="11"/>
      </w:r>
      <w:r w:rsidRPr="00016D93">
        <w:rPr>
          <w:lang w:val="fr-FR"/>
        </w:rPr>
        <w:t xml:space="preserve"> et les mauvais traitements </w:t>
      </w:r>
      <w:r>
        <w:rPr>
          <w:lang w:val="fr-FR"/>
        </w:rPr>
        <w:t>infligés aux</w:t>
      </w:r>
      <w:r w:rsidRPr="00016D93">
        <w:rPr>
          <w:lang w:val="fr-FR"/>
        </w:rPr>
        <w:t xml:space="preserve"> enfants</w:t>
      </w:r>
      <w:r w:rsidRPr="002354FF">
        <w:rPr>
          <w:rStyle w:val="Appelnotedebasdep"/>
        </w:rPr>
        <w:footnoteReference w:id="12"/>
      </w:r>
      <w:r w:rsidRPr="00016D93">
        <w:rPr>
          <w:lang w:val="fr-FR"/>
        </w:rPr>
        <w:t>. Le Comité regrette que, malgré le rappel adressé le 28</w:t>
      </w:r>
      <w:r w:rsidR="002354FF">
        <w:rPr>
          <w:lang w:val="fr-FR"/>
        </w:rPr>
        <w:t> </w:t>
      </w:r>
      <w:r w:rsidRPr="00016D93">
        <w:rPr>
          <w:lang w:val="fr-FR"/>
        </w:rPr>
        <w:t>mars 2011 par le Rapporteur spécial chargé du suivi des observations finales à l</w:t>
      </w:r>
      <w:r w:rsidR="002354FF">
        <w:rPr>
          <w:lang w:val="fr-FR"/>
        </w:rPr>
        <w:t>’</w:t>
      </w:r>
      <w:r w:rsidRPr="00016D93">
        <w:rPr>
          <w:lang w:val="fr-FR"/>
        </w:rPr>
        <w:t>État partie, celui-ci n</w:t>
      </w:r>
      <w:r w:rsidR="002354FF">
        <w:rPr>
          <w:lang w:val="fr-FR"/>
        </w:rPr>
        <w:t>’</w:t>
      </w:r>
      <w:r w:rsidRPr="00016D93">
        <w:rPr>
          <w:lang w:val="fr-FR"/>
        </w:rPr>
        <w:t xml:space="preserve">a fourni aucune réponse dans le cadre de la procédure de suivi des observations finales. Compte tenu des informations figurant dans le deuxième rapport </w:t>
      </w:r>
      <w:r w:rsidRPr="00016D93">
        <w:rPr>
          <w:lang w:val="fr-FR"/>
        </w:rPr>
        <w:lastRenderedPageBreak/>
        <w:t>périodique de l</w:t>
      </w:r>
      <w:r w:rsidR="002354FF">
        <w:rPr>
          <w:lang w:val="fr-FR"/>
        </w:rPr>
        <w:t>’</w:t>
      </w:r>
      <w:r w:rsidRPr="00016D93">
        <w:rPr>
          <w:lang w:val="fr-FR"/>
        </w:rPr>
        <w:t>État partie, le Comité considère qu</w:t>
      </w:r>
      <w:r w:rsidR="002354FF">
        <w:rPr>
          <w:lang w:val="fr-FR"/>
        </w:rPr>
        <w:t>’</w:t>
      </w:r>
      <w:r>
        <w:rPr>
          <w:lang w:val="fr-FR"/>
        </w:rPr>
        <w:t>il n</w:t>
      </w:r>
      <w:r w:rsidR="002354FF">
        <w:rPr>
          <w:lang w:val="fr-FR"/>
        </w:rPr>
        <w:t>’</w:t>
      </w:r>
      <w:r>
        <w:rPr>
          <w:lang w:val="fr-FR"/>
        </w:rPr>
        <w:t>a pas été donné suite à ce</w:t>
      </w:r>
      <w:r w:rsidRPr="00016D93">
        <w:rPr>
          <w:lang w:val="fr-FR"/>
        </w:rPr>
        <w:t xml:space="preserve">s recommandations (voir </w:t>
      </w:r>
      <w:r w:rsidR="00F949EA">
        <w:rPr>
          <w:lang w:val="fr-FR"/>
        </w:rPr>
        <w:t>par. </w:t>
      </w:r>
      <w:r w:rsidRPr="00016D93">
        <w:rPr>
          <w:lang w:val="fr-FR"/>
        </w:rPr>
        <w:t>7, 8, 11, 12, 18, 19 et 25 à 28 du présent document).</w:t>
      </w:r>
    </w:p>
    <w:p w14:paraId="1078097E" w14:textId="77777777" w:rsidR="009D335A" w:rsidRPr="00016D93" w:rsidRDefault="009D335A" w:rsidP="002354FF">
      <w:pPr>
        <w:pStyle w:val="H23G"/>
        <w:rPr>
          <w:rFonts w:eastAsia="Calibri"/>
          <w:u w:color="000000"/>
          <w:bdr w:val="nil"/>
          <w:lang w:val="fr-FR"/>
        </w:rPr>
      </w:pPr>
      <w:r w:rsidRPr="00016D93">
        <w:rPr>
          <w:lang w:val="fr-FR"/>
        </w:rPr>
        <w:tab/>
      </w:r>
      <w:r w:rsidRPr="00016D93">
        <w:rPr>
          <w:lang w:val="fr-FR"/>
        </w:rPr>
        <w:tab/>
      </w:r>
      <w:r>
        <w:rPr>
          <w:lang w:val="fr-FR"/>
        </w:rPr>
        <w:t>Définition</w:t>
      </w:r>
      <w:r w:rsidRPr="00016D93">
        <w:rPr>
          <w:lang w:val="fr-FR"/>
        </w:rPr>
        <w:t xml:space="preserve"> de la torture et prescription</w:t>
      </w:r>
    </w:p>
    <w:p w14:paraId="6810D1C8" w14:textId="726E2F27" w:rsidR="009D335A" w:rsidRPr="00016D93" w:rsidRDefault="009D335A" w:rsidP="009D335A">
      <w:pPr>
        <w:pStyle w:val="SingleTxtG"/>
        <w:rPr>
          <w:lang w:val="fr-FR"/>
        </w:rPr>
      </w:pPr>
      <w:r w:rsidRPr="00016D93">
        <w:rPr>
          <w:lang w:val="fr-FR"/>
        </w:rPr>
        <w:t>7.</w:t>
      </w:r>
      <w:r w:rsidRPr="00016D93">
        <w:rPr>
          <w:lang w:val="fr-FR"/>
        </w:rPr>
        <w:tab/>
        <w:t>Bien que l</w:t>
      </w:r>
      <w:r w:rsidR="002354FF">
        <w:rPr>
          <w:lang w:val="fr-FR"/>
        </w:rPr>
        <w:t>’</w:t>
      </w:r>
      <w:r w:rsidR="00F949EA">
        <w:rPr>
          <w:lang w:val="fr-FR"/>
        </w:rPr>
        <w:t>article </w:t>
      </w:r>
      <w:r w:rsidRPr="00016D93">
        <w:rPr>
          <w:lang w:val="fr-FR"/>
        </w:rPr>
        <w:t>486 du Code pénal porte sur l</w:t>
      </w:r>
      <w:r w:rsidR="002354FF">
        <w:rPr>
          <w:lang w:val="fr-FR"/>
        </w:rPr>
        <w:t>’</w:t>
      </w:r>
      <w:r w:rsidRPr="00016D93">
        <w:rPr>
          <w:lang w:val="fr-FR"/>
        </w:rPr>
        <w:t xml:space="preserve">interdiction de la torture, le Comité </w:t>
      </w:r>
      <w:r>
        <w:rPr>
          <w:lang w:val="fr-FR"/>
        </w:rPr>
        <w:t>constate</w:t>
      </w:r>
      <w:r w:rsidRPr="00016D93">
        <w:rPr>
          <w:lang w:val="fr-FR"/>
        </w:rPr>
        <w:t xml:space="preserve"> une nouvelle fois avec préoccupation qu</w:t>
      </w:r>
      <w:r>
        <w:rPr>
          <w:lang w:val="fr-FR"/>
        </w:rPr>
        <w:t>e la définition de l</w:t>
      </w:r>
      <w:r w:rsidR="002354FF">
        <w:rPr>
          <w:lang w:val="fr-FR"/>
        </w:rPr>
        <w:t>’</w:t>
      </w:r>
      <w:r>
        <w:rPr>
          <w:lang w:val="fr-FR"/>
        </w:rPr>
        <w:t>infraction de torture n</w:t>
      </w:r>
      <w:r w:rsidR="002354FF">
        <w:rPr>
          <w:lang w:val="fr-FR"/>
        </w:rPr>
        <w:t>’</w:t>
      </w:r>
      <w:r>
        <w:rPr>
          <w:lang w:val="fr-FR"/>
        </w:rPr>
        <w:t xml:space="preserve">est toujours pas </w:t>
      </w:r>
      <w:r w:rsidRPr="00016D93">
        <w:rPr>
          <w:lang w:val="fr-FR"/>
        </w:rPr>
        <w:t xml:space="preserve">conforme à </w:t>
      </w:r>
      <w:r>
        <w:rPr>
          <w:lang w:val="fr-FR"/>
        </w:rPr>
        <w:t>celle qui en est donnée</w:t>
      </w:r>
      <w:r w:rsidRPr="00016D93">
        <w:rPr>
          <w:lang w:val="fr-FR"/>
        </w:rPr>
        <w:t xml:space="preserve"> à l</w:t>
      </w:r>
      <w:r w:rsidR="002354FF">
        <w:rPr>
          <w:lang w:val="fr-FR"/>
        </w:rPr>
        <w:t>’</w:t>
      </w:r>
      <w:r w:rsidR="00F949EA">
        <w:rPr>
          <w:lang w:val="fr-FR"/>
        </w:rPr>
        <w:t>article</w:t>
      </w:r>
      <w:r w:rsidR="005B7E22">
        <w:rPr>
          <w:lang w:val="fr-FR"/>
        </w:rPr>
        <w:t xml:space="preserve"> </w:t>
      </w:r>
      <w:r w:rsidRPr="00016D93">
        <w:rPr>
          <w:lang w:val="fr-FR"/>
        </w:rPr>
        <w:t>premier de la Convention</w:t>
      </w:r>
      <w:r w:rsidRPr="00F949EA">
        <w:rPr>
          <w:rStyle w:val="Appelnotedebasdep"/>
        </w:rPr>
        <w:footnoteReference w:id="13"/>
      </w:r>
      <w:r w:rsidRPr="00016D93">
        <w:rPr>
          <w:lang w:val="fr-FR"/>
        </w:rPr>
        <w:t xml:space="preserve">. Il constate en particulier que ledit </w:t>
      </w:r>
      <w:r w:rsidR="00F949EA">
        <w:rPr>
          <w:lang w:val="fr-FR"/>
        </w:rPr>
        <w:t>article</w:t>
      </w:r>
      <w:r w:rsidR="005B7E22">
        <w:rPr>
          <w:lang w:val="fr-FR"/>
        </w:rPr>
        <w:t xml:space="preserve"> </w:t>
      </w:r>
      <w:r w:rsidRPr="00016D93">
        <w:rPr>
          <w:lang w:val="fr-FR"/>
        </w:rPr>
        <w:t xml:space="preserve">ne </w:t>
      </w:r>
      <w:r>
        <w:rPr>
          <w:lang w:val="fr-FR"/>
        </w:rPr>
        <w:t>vise</w:t>
      </w:r>
      <w:r w:rsidRPr="00016D93">
        <w:rPr>
          <w:lang w:val="fr-FR"/>
        </w:rPr>
        <w:t xml:space="preserve"> pas expressément la discrimination </w:t>
      </w:r>
      <w:r>
        <w:rPr>
          <w:lang w:val="fr-FR"/>
        </w:rPr>
        <w:t>comme</w:t>
      </w:r>
      <w:r w:rsidRPr="00016D93">
        <w:rPr>
          <w:lang w:val="fr-FR"/>
        </w:rPr>
        <w:t xml:space="preserve"> motif la torture et ne vise pas non plus les actes commis par une personne qui, sans être un agent de la fonction publique, agit à titre officiel ou à l</w:t>
      </w:r>
      <w:r w:rsidR="002354FF">
        <w:rPr>
          <w:lang w:val="fr-FR"/>
        </w:rPr>
        <w:t>’</w:t>
      </w:r>
      <w:r w:rsidRPr="00016D93">
        <w:rPr>
          <w:lang w:val="fr-FR"/>
        </w:rPr>
        <w:t>instigation d</w:t>
      </w:r>
      <w:r w:rsidR="002354FF">
        <w:rPr>
          <w:lang w:val="fr-FR"/>
        </w:rPr>
        <w:t>’</w:t>
      </w:r>
      <w:r w:rsidRPr="00016D93">
        <w:rPr>
          <w:lang w:val="fr-FR"/>
        </w:rPr>
        <w:t>un tel agent ou avec son consentement exprès ou tacite. À cet égard, le Comité prend note de la précision apportée dans le rapport périodique de l</w:t>
      </w:r>
      <w:r w:rsidR="002354FF">
        <w:rPr>
          <w:lang w:val="fr-FR"/>
        </w:rPr>
        <w:t>’</w:t>
      </w:r>
      <w:r w:rsidRPr="00016D93">
        <w:rPr>
          <w:lang w:val="fr-FR"/>
        </w:rPr>
        <w:t>État partie selon laquelle la responsabilité des actes de torture commis par une personne qui, sans être un agent de la fonction publique, agit à titre officiel ou à l</w:t>
      </w:r>
      <w:r w:rsidR="002354FF">
        <w:rPr>
          <w:lang w:val="fr-FR"/>
        </w:rPr>
        <w:t>’</w:t>
      </w:r>
      <w:r w:rsidRPr="00016D93">
        <w:rPr>
          <w:lang w:val="fr-FR"/>
        </w:rPr>
        <w:t>instigation d</w:t>
      </w:r>
      <w:r w:rsidR="002354FF">
        <w:rPr>
          <w:lang w:val="fr-FR"/>
        </w:rPr>
        <w:t>’</w:t>
      </w:r>
      <w:r w:rsidRPr="00016D93">
        <w:rPr>
          <w:lang w:val="fr-FR"/>
        </w:rPr>
        <w:t>un tel agent ou avec son consentement exprès ou tacite, est couverte par les</w:t>
      </w:r>
      <w:r>
        <w:rPr>
          <w:lang w:val="fr-FR"/>
        </w:rPr>
        <w:t xml:space="preserve"> dispositions relatives aux</w:t>
      </w:r>
      <w:r w:rsidRPr="00016D93">
        <w:rPr>
          <w:lang w:val="fr-FR"/>
        </w:rPr>
        <w:t xml:space="preserve"> degrés de participation à la commission d</w:t>
      </w:r>
      <w:r w:rsidR="002354FF">
        <w:rPr>
          <w:lang w:val="fr-FR"/>
        </w:rPr>
        <w:t>’</w:t>
      </w:r>
      <w:r w:rsidRPr="00016D93">
        <w:rPr>
          <w:lang w:val="fr-FR"/>
        </w:rPr>
        <w:t>infractions ou de fautes (titre II du Code pénal, chapitre unique). Il reste toutefois préoccupé par le fait que ces dispositions n</w:t>
      </w:r>
      <w:r>
        <w:rPr>
          <w:lang w:val="fr-FR"/>
        </w:rPr>
        <w:t>e visent</w:t>
      </w:r>
      <w:r w:rsidRPr="00016D93">
        <w:rPr>
          <w:lang w:val="fr-FR"/>
        </w:rPr>
        <w:t xml:space="preserve"> pas expressément le consentement exprès ou tacite. Le Comité </w:t>
      </w:r>
      <w:r>
        <w:rPr>
          <w:lang w:val="fr-FR"/>
        </w:rPr>
        <w:t>note</w:t>
      </w:r>
      <w:r w:rsidRPr="00016D93">
        <w:rPr>
          <w:lang w:val="fr-FR"/>
        </w:rPr>
        <w:t xml:space="preserve"> également avec préoccupation que le crime de torture ne figure pas à l</w:t>
      </w:r>
      <w:r w:rsidR="002354FF">
        <w:rPr>
          <w:lang w:val="fr-FR"/>
        </w:rPr>
        <w:t>’</w:t>
      </w:r>
      <w:r w:rsidR="00F949EA">
        <w:rPr>
          <w:lang w:val="fr-FR"/>
        </w:rPr>
        <w:t>article </w:t>
      </w:r>
      <w:r w:rsidRPr="00016D93">
        <w:rPr>
          <w:lang w:val="fr-FR"/>
        </w:rPr>
        <w:t>16 du Code pénal qui, lu conjointement avec l</w:t>
      </w:r>
      <w:r w:rsidR="002354FF">
        <w:rPr>
          <w:lang w:val="fr-FR"/>
        </w:rPr>
        <w:t>’</w:t>
      </w:r>
      <w:r w:rsidR="00F949EA">
        <w:rPr>
          <w:lang w:val="fr-FR"/>
        </w:rPr>
        <w:t>article </w:t>
      </w:r>
      <w:r w:rsidRPr="00016D93">
        <w:rPr>
          <w:lang w:val="fr-FR"/>
        </w:rPr>
        <w:t>131 du même code, précise les infractions pénales imprescriptibles. Le Comité est en outre préoccupé par le fait que le Code pénal militaire n</w:t>
      </w:r>
      <w:r w:rsidR="002354FF">
        <w:rPr>
          <w:lang w:val="fr-FR"/>
        </w:rPr>
        <w:t>’</w:t>
      </w:r>
      <w:r>
        <w:rPr>
          <w:lang w:val="fr-FR"/>
        </w:rPr>
        <w:t xml:space="preserve">incrimine </w:t>
      </w:r>
      <w:r w:rsidRPr="00016D93">
        <w:rPr>
          <w:lang w:val="fr-FR"/>
        </w:rPr>
        <w:t>pas l</w:t>
      </w:r>
      <w:r>
        <w:rPr>
          <w:lang w:val="fr-FR"/>
        </w:rPr>
        <w:t>a</w:t>
      </w:r>
      <w:r w:rsidRPr="00016D93">
        <w:rPr>
          <w:lang w:val="fr-FR"/>
        </w:rPr>
        <w:t xml:space="preserve"> torture, et regrette le manque d</w:t>
      </w:r>
      <w:r w:rsidR="002354FF">
        <w:rPr>
          <w:lang w:val="fr-FR"/>
        </w:rPr>
        <w:t>’</w:t>
      </w:r>
      <w:r w:rsidRPr="00016D93">
        <w:rPr>
          <w:lang w:val="fr-FR"/>
        </w:rPr>
        <w:t>informations sur l</w:t>
      </w:r>
      <w:r w:rsidR="002354FF">
        <w:rPr>
          <w:lang w:val="fr-FR"/>
        </w:rPr>
        <w:t>’</w:t>
      </w:r>
      <w:r w:rsidRPr="00016D93">
        <w:rPr>
          <w:lang w:val="fr-FR"/>
        </w:rPr>
        <w:t>application de l</w:t>
      </w:r>
      <w:r w:rsidR="002354FF">
        <w:rPr>
          <w:lang w:val="fr-FR"/>
        </w:rPr>
        <w:t>’</w:t>
      </w:r>
      <w:r w:rsidR="00F949EA">
        <w:rPr>
          <w:lang w:val="fr-FR"/>
        </w:rPr>
        <w:t>article </w:t>
      </w:r>
      <w:r w:rsidRPr="00016D93">
        <w:rPr>
          <w:lang w:val="fr-FR"/>
        </w:rPr>
        <w:t>486 du Code pénal lorsque des actes de torture sont commis par des membres des forces armées (</w:t>
      </w:r>
      <w:r w:rsidR="00F949EA">
        <w:rPr>
          <w:lang w:val="fr-FR"/>
        </w:rPr>
        <w:t>art. </w:t>
      </w:r>
      <w:r w:rsidRPr="00016D93">
        <w:rPr>
          <w:lang w:val="fr-FR"/>
        </w:rPr>
        <w:t>1</w:t>
      </w:r>
      <w:r w:rsidRPr="00C076DB">
        <w:rPr>
          <w:vertAlign w:val="superscript"/>
          <w:lang w:val="fr-FR"/>
        </w:rPr>
        <w:t>er</w:t>
      </w:r>
      <w:r w:rsidRPr="00016D93">
        <w:rPr>
          <w:lang w:val="fr-FR"/>
        </w:rPr>
        <w:t xml:space="preserve"> et 4).</w:t>
      </w:r>
    </w:p>
    <w:p w14:paraId="684CC989" w14:textId="7DDABD08" w:rsidR="009D335A" w:rsidRPr="00016D93" w:rsidRDefault="009D335A" w:rsidP="00F949EA">
      <w:pPr>
        <w:pStyle w:val="SingleTxtG"/>
        <w:rPr>
          <w:bCs/>
          <w:lang w:val="fr-FR"/>
        </w:rPr>
      </w:pPr>
      <w:r w:rsidRPr="00016D93">
        <w:rPr>
          <w:lang w:val="fr-FR"/>
        </w:rPr>
        <w:t>8.</w:t>
      </w:r>
      <w:r w:rsidRPr="00016D93">
        <w:rPr>
          <w:lang w:val="fr-FR"/>
        </w:rPr>
        <w:tab/>
      </w:r>
      <w:r w:rsidRPr="00016D93">
        <w:rPr>
          <w:b/>
          <w:bCs/>
          <w:lang w:val="fr-FR"/>
        </w:rPr>
        <w:t xml:space="preserve">Le Comité renouvelle sa recommandation précédente par laquelle il </w:t>
      </w:r>
      <w:r>
        <w:rPr>
          <w:b/>
          <w:bCs/>
          <w:lang w:val="fr-FR"/>
        </w:rPr>
        <w:t>invitait instamment</w:t>
      </w:r>
      <w:r w:rsidRPr="00016D93">
        <w:rPr>
          <w:b/>
          <w:bCs/>
          <w:lang w:val="fr-FR"/>
        </w:rPr>
        <w:t xml:space="preserve"> l</w:t>
      </w:r>
      <w:r w:rsidR="002354FF">
        <w:rPr>
          <w:b/>
          <w:bCs/>
          <w:lang w:val="fr-FR"/>
        </w:rPr>
        <w:t>’</w:t>
      </w:r>
      <w:r w:rsidRPr="00016D93">
        <w:rPr>
          <w:b/>
          <w:bCs/>
          <w:lang w:val="fr-FR"/>
        </w:rPr>
        <w:t>État partie à harmoniser les dispositions de l</w:t>
      </w:r>
      <w:r w:rsidR="002354FF">
        <w:rPr>
          <w:b/>
          <w:bCs/>
          <w:lang w:val="fr-FR"/>
        </w:rPr>
        <w:t>’</w:t>
      </w:r>
      <w:r w:rsidR="00F949EA">
        <w:rPr>
          <w:b/>
          <w:bCs/>
          <w:lang w:val="fr-FR"/>
        </w:rPr>
        <w:t>article </w:t>
      </w:r>
      <w:r w:rsidRPr="00016D93">
        <w:rPr>
          <w:b/>
          <w:bCs/>
          <w:lang w:val="fr-FR"/>
        </w:rPr>
        <w:t>486 du Code pénal avec celles de l</w:t>
      </w:r>
      <w:r w:rsidR="002354FF">
        <w:rPr>
          <w:b/>
          <w:bCs/>
          <w:lang w:val="fr-FR"/>
        </w:rPr>
        <w:t>’</w:t>
      </w:r>
      <w:r w:rsidR="00F949EA">
        <w:rPr>
          <w:b/>
          <w:bCs/>
          <w:lang w:val="fr-FR"/>
        </w:rPr>
        <w:t>article</w:t>
      </w:r>
      <w:r w:rsidR="005B7E22">
        <w:rPr>
          <w:b/>
          <w:bCs/>
          <w:lang w:val="fr-FR"/>
        </w:rPr>
        <w:t xml:space="preserve"> </w:t>
      </w:r>
      <w:r w:rsidRPr="00016D93">
        <w:rPr>
          <w:b/>
          <w:bCs/>
          <w:lang w:val="fr-FR"/>
        </w:rPr>
        <w:t>premier de la Convention.</w:t>
      </w:r>
      <w:r w:rsidRPr="00016D93">
        <w:rPr>
          <w:lang w:val="fr-FR"/>
        </w:rPr>
        <w:t xml:space="preserve"> </w:t>
      </w:r>
      <w:r w:rsidRPr="00016D93">
        <w:rPr>
          <w:b/>
          <w:bCs/>
          <w:lang w:val="fr-FR"/>
        </w:rPr>
        <w:t>À cet égard, il appelle l</w:t>
      </w:r>
      <w:r w:rsidR="002354FF">
        <w:rPr>
          <w:b/>
          <w:bCs/>
          <w:lang w:val="fr-FR"/>
        </w:rPr>
        <w:t>’</w:t>
      </w:r>
      <w:r w:rsidRPr="00016D93">
        <w:rPr>
          <w:b/>
          <w:bCs/>
          <w:lang w:val="fr-FR"/>
        </w:rPr>
        <w:t>attention de l</w:t>
      </w:r>
      <w:r w:rsidR="002354FF">
        <w:rPr>
          <w:b/>
          <w:bCs/>
          <w:lang w:val="fr-FR"/>
        </w:rPr>
        <w:t>’</w:t>
      </w:r>
      <w:r w:rsidRPr="00016D93">
        <w:rPr>
          <w:b/>
          <w:bCs/>
          <w:lang w:val="fr-FR"/>
        </w:rPr>
        <w:t>État partie sur son observation générale n</w:t>
      </w:r>
      <w:r w:rsidRPr="00F949EA">
        <w:rPr>
          <w:b/>
          <w:bCs/>
          <w:vertAlign w:val="superscript"/>
          <w:lang w:val="fr-FR"/>
        </w:rPr>
        <w:t>o</w:t>
      </w:r>
      <w:r w:rsidR="00F949EA">
        <w:rPr>
          <w:b/>
          <w:bCs/>
          <w:lang w:val="fr-FR"/>
        </w:rPr>
        <w:t> </w:t>
      </w:r>
      <w:r w:rsidRPr="00016D93">
        <w:rPr>
          <w:b/>
          <w:bCs/>
          <w:lang w:val="fr-FR"/>
        </w:rPr>
        <w:t>2 (2007) sur l</w:t>
      </w:r>
      <w:r w:rsidR="002354FF">
        <w:rPr>
          <w:b/>
          <w:bCs/>
          <w:lang w:val="fr-FR"/>
        </w:rPr>
        <w:t>’</w:t>
      </w:r>
      <w:r w:rsidRPr="00016D93">
        <w:rPr>
          <w:b/>
          <w:bCs/>
          <w:lang w:val="fr-FR"/>
        </w:rPr>
        <w:t>application de l</w:t>
      </w:r>
      <w:r w:rsidR="002354FF">
        <w:rPr>
          <w:b/>
          <w:bCs/>
          <w:lang w:val="fr-FR"/>
        </w:rPr>
        <w:t>’</w:t>
      </w:r>
      <w:r w:rsidR="00F949EA">
        <w:rPr>
          <w:b/>
          <w:bCs/>
          <w:lang w:val="fr-FR"/>
        </w:rPr>
        <w:t>article </w:t>
      </w:r>
      <w:r w:rsidRPr="00016D93">
        <w:rPr>
          <w:b/>
          <w:bCs/>
          <w:lang w:val="fr-FR"/>
        </w:rPr>
        <w:t>2, dans laquelle il souligne que si la définition de la torture en droit interne est trop éloignée de celle énoncée dans la Convention, le vide juridique réel ou potentiel qui en découle peut ouvrir la voie à l</w:t>
      </w:r>
      <w:r w:rsidR="002354FF">
        <w:rPr>
          <w:b/>
          <w:bCs/>
          <w:lang w:val="fr-FR"/>
        </w:rPr>
        <w:t>’</w:t>
      </w:r>
      <w:r w:rsidRPr="00016D93">
        <w:rPr>
          <w:b/>
          <w:bCs/>
          <w:lang w:val="fr-FR"/>
        </w:rPr>
        <w:t>impunité (</w:t>
      </w:r>
      <w:r w:rsidR="00F949EA">
        <w:rPr>
          <w:b/>
          <w:bCs/>
          <w:lang w:val="fr-FR"/>
        </w:rPr>
        <w:t>par. </w:t>
      </w:r>
      <w:r w:rsidRPr="00016D93">
        <w:rPr>
          <w:b/>
          <w:bCs/>
          <w:lang w:val="fr-FR"/>
        </w:rPr>
        <w:t>9).</w:t>
      </w:r>
      <w:r w:rsidRPr="00016D93">
        <w:rPr>
          <w:lang w:val="fr-FR"/>
        </w:rPr>
        <w:t xml:space="preserve"> </w:t>
      </w:r>
      <w:r w:rsidRPr="00016D93">
        <w:rPr>
          <w:b/>
          <w:bCs/>
          <w:lang w:val="fr-FR"/>
        </w:rPr>
        <w:t>L</w:t>
      </w:r>
      <w:r w:rsidR="002354FF">
        <w:rPr>
          <w:b/>
          <w:bCs/>
          <w:lang w:val="fr-FR"/>
        </w:rPr>
        <w:t>’</w:t>
      </w:r>
      <w:r w:rsidRPr="00016D93">
        <w:rPr>
          <w:b/>
          <w:bCs/>
          <w:lang w:val="fr-FR"/>
        </w:rPr>
        <w:t>État partie devrait rendre l</w:t>
      </w:r>
      <w:r w:rsidR="002354FF">
        <w:rPr>
          <w:b/>
          <w:bCs/>
          <w:lang w:val="fr-FR"/>
        </w:rPr>
        <w:t>’</w:t>
      </w:r>
      <w:r>
        <w:rPr>
          <w:b/>
          <w:bCs/>
          <w:lang w:val="fr-FR"/>
        </w:rPr>
        <w:t>infraction</w:t>
      </w:r>
      <w:r w:rsidRPr="00016D93">
        <w:rPr>
          <w:b/>
          <w:bCs/>
          <w:lang w:val="fr-FR"/>
        </w:rPr>
        <w:t xml:space="preserve"> de torture </w:t>
      </w:r>
      <w:r>
        <w:rPr>
          <w:b/>
          <w:bCs/>
          <w:lang w:val="fr-FR"/>
        </w:rPr>
        <w:t xml:space="preserve">imprescriptible </w:t>
      </w:r>
      <w:r w:rsidRPr="00016D93">
        <w:rPr>
          <w:b/>
          <w:bCs/>
          <w:lang w:val="fr-FR"/>
        </w:rPr>
        <w:t>afin d</w:t>
      </w:r>
      <w:r w:rsidR="002354FF">
        <w:rPr>
          <w:b/>
          <w:bCs/>
          <w:lang w:val="fr-FR"/>
        </w:rPr>
        <w:t>’</w:t>
      </w:r>
      <w:r w:rsidRPr="00016D93">
        <w:rPr>
          <w:b/>
          <w:bCs/>
          <w:lang w:val="fr-FR"/>
        </w:rPr>
        <w:t>é</w:t>
      </w:r>
      <w:r>
        <w:rPr>
          <w:b/>
          <w:bCs/>
          <w:lang w:val="fr-FR"/>
        </w:rPr>
        <w:t>carter</w:t>
      </w:r>
      <w:r w:rsidRPr="00016D93">
        <w:rPr>
          <w:b/>
          <w:bCs/>
          <w:lang w:val="fr-FR"/>
        </w:rPr>
        <w:t xml:space="preserve"> tout risque d</w:t>
      </w:r>
      <w:r w:rsidR="002354FF">
        <w:rPr>
          <w:b/>
          <w:bCs/>
          <w:lang w:val="fr-FR"/>
        </w:rPr>
        <w:t>’</w:t>
      </w:r>
      <w:r w:rsidRPr="00016D93">
        <w:rPr>
          <w:b/>
          <w:bCs/>
          <w:lang w:val="fr-FR"/>
        </w:rPr>
        <w:t xml:space="preserve">impunité </w:t>
      </w:r>
      <w:r>
        <w:rPr>
          <w:b/>
          <w:bCs/>
          <w:lang w:val="fr-FR"/>
        </w:rPr>
        <w:t>pour ce qui est des enquêtes sur</w:t>
      </w:r>
      <w:r w:rsidRPr="00016D93">
        <w:rPr>
          <w:b/>
          <w:bCs/>
          <w:lang w:val="fr-FR"/>
        </w:rPr>
        <w:t xml:space="preserve"> les actes de torture </w:t>
      </w:r>
      <w:r>
        <w:rPr>
          <w:b/>
          <w:bCs/>
          <w:lang w:val="fr-FR"/>
        </w:rPr>
        <w:t>et de la poursuite et la punition d</w:t>
      </w:r>
      <w:r w:rsidRPr="00016D93">
        <w:rPr>
          <w:b/>
          <w:bCs/>
          <w:lang w:val="fr-FR"/>
        </w:rPr>
        <w:t xml:space="preserve">es auteurs de </w:t>
      </w:r>
      <w:r>
        <w:rPr>
          <w:b/>
          <w:bCs/>
          <w:lang w:val="fr-FR"/>
        </w:rPr>
        <w:t>tels</w:t>
      </w:r>
      <w:r w:rsidRPr="00016D93">
        <w:rPr>
          <w:b/>
          <w:bCs/>
          <w:lang w:val="fr-FR"/>
        </w:rPr>
        <w:t xml:space="preserve"> actes.</w:t>
      </w:r>
      <w:r w:rsidRPr="00016D93">
        <w:rPr>
          <w:lang w:val="fr-FR"/>
        </w:rPr>
        <w:t xml:space="preserve"> </w:t>
      </w:r>
      <w:r w:rsidRPr="00016D93">
        <w:rPr>
          <w:b/>
          <w:bCs/>
          <w:lang w:val="fr-FR"/>
        </w:rPr>
        <w:t>Il devrait in</w:t>
      </w:r>
      <w:r>
        <w:rPr>
          <w:b/>
          <w:bCs/>
          <w:lang w:val="fr-FR"/>
        </w:rPr>
        <w:t>scrire</w:t>
      </w:r>
      <w:r w:rsidRPr="00016D93">
        <w:rPr>
          <w:b/>
          <w:bCs/>
          <w:lang w:val="fr-FR"/>
        </w:rPr>
        <w:t xml:space="preserve"> l</w:t>
      </w:r>
      <w:r w:rsidR="002354FF">
        <w:rPr>
          <w:b/>
          <w:bCs/>
          <w:lang w:val="fr-FR"/>
        </w:rPr>
        <w:t>’</w:t>
      </w:r>
      <w:r>
        <w:rPr>
          <w:b/>
          <w:bCs/>
          <w:lang w:val="fr-FR"/>
        </w:rPr>
        <w:t>infraction</w:t>
      </w:r>
      <w:r w:rsidRPr="00016D93">
        <w:rPr>
          <w:b/>
          <w:bCs/>
          <w:lang w:val="fr-FR"/>
        </w:rPr>
        <w:t xml:space="preserve"> de torture dans le Code pénal militaire et mettre celui-ci en conformité avec les dispositions des articles</w:t>
      </w:r>
      <w:r w:rsidR="00F949EA">
        <w:rPr>
          <w:b/>
          <w:bCs/>
          <w:lang w:val="fr-FR"/>
        </w:rPr>
        <w:t> </w:t>
      </w:r>
      <w:r w:rsidRPr="00016D93">
        <w:rPr>
          <w:b/>
          <w:bCs/>
          <w:lang w:val="fr-FR"/>
        </w:rPr>
        <w:t>1</w:t>
      </w:r>
      <w:r w:rsidRPr="00C076DB">
        <w:rPr>
          <w:b/>
          <w:bCs/>
          <w:vertAlign w:val="superscript"/>
          <w:lang w:val="fr-FR"/>
        </w:rPr>
        <w:t>er</w:t>
      </w:r>
      <w:r w:rsidRPr="00016D93">
        <w:rPr>
          <w:b/>
          <w:bCs/>
          <w:lang w:val="fr-FR"/>
        </w:rPr>
        <w:t xml:space="preserve"> et 4 de la Convention.</w:t>
      </w:r>
    </w:p>
    <w:p w14:paraId="64DC6B7A" w14:textId="77777777" w:rsidR="009D335A" w:rsidRPr="00C076DB" w:rsidRDefault="009D335A" w:rsidP="00F949EA">
      <w:pPr>
        <w:pStyle w:val="H23G"/>
        <w:rPr>
          <w:rFonts w:eastAsia="Calibri"/>
          <w:lang w:val="fr-FR"/>
        </w:rPr>
      </w:pPr>
      <w:r w:rsidRPr="00C076DB">
        <w:rPr>
          <w:lang w:val="fr-FR"/>
        </w:rPr>
        <w:tab/>
      </w:r>
      <w:r w:rsidRPr="00C076DB">
        <w:rPr>
          <w:lang w:val="fr-FR"/>
        </w:rPr>
        <w:tab/>
      </w:r>
      <w:r w:rsidRPr="00C076DB">
        <w:rPr>
          <w:lang w:val="fr-FR"/>
        </w:rPr>
        <w:tab/>
        <w:t>Garanties juridiques fondamentales</w:t>
      </w:r>
      <w:r w:rsidRPr="00016D93">
        <w:rPr>
          <w:lang w:val="fr-FR"/>
        </w:rPr>
        <w:t xml:space="preserve"> </w:t>
      </w:r>
    </w:p>
    <w:p w14:paraId="771417EF" w14:textId="06632460" w:rsidR="009D335A" w:rsidRPr="00C076DB" w:rsidRDefault="009D335A" w:rsidP="00F949EA">
      <w:pPr>
        <w:pStyle w:val="SingleTxtG"/>
        <w:keepNext/>
        <w:rPr>
          <w:lang w:val="fr-FR"/>
        </w:rPr>
      </w:pPr>
      <w:r w:rsidRPr="00C076DB">
        <w:rPr>
          <w:lang w:val="fr-FR"/>
        </w:rPr>
        <w:t>9.</w:t>
      </w:r>
      <w:r w:rsidRPr="00C076DB">
        <w:rPr>
          <w:lang w:val="fr-FR"/>
        </w:rPr>
        <w:tab/>
        <w:t>Le Comité demeure préoccupé par les informations concordantes selon lesquelles les garanties procédurales énoncées dans la législation de l</w:t>
      </w:r>
      <w:r w:rsidR="002354FF">
        <w:rPr>
          <w:lang w:val="fr-FR"/>
        </w:rPr>
        <w:t>’</w:t>
      </w:r>
      <w:r w:rsidRPr="00C076DB">
        <w:rPr>
          <w:lang w:val="fr-FR"/>
        </w:rPr>
        <w:t xml:space="preserve">État partie ne sont pas </w:t>
      </w:r>
      <w:r>
        <w:rPr>
          <w:lang w:val="fr-FR"/>
        </w:rPr>
        <w:t xml:space="preserve">effectivement </w:t>
      </w:r>
      <w:r w:rsidRPr="00C076DB">
        <w:rPr>
          <w:lang w:val="fr-FR"/>
        </w:rPr>
        <w:t>mises en pratique, en particulier dans le cas des personnes dont la détention est liée aux manifestations d</w:t>
      </w:r>
      <w:r w:rsidR="002354FF">
        <w:rPr>
          <w:lang w:val="fr-FR"/>
        </w:rPr>
        <w:t>’</w:t>
      </w:r>
      <w:r w:rsidRPr="00C076DB">
        <w:rPr>
          <w:lang w:val="fr-FR"/>
        </w:rPr>
        <w:t>avril 2018 ou est intervenue dans la période qui a suivi</w:t>
      </w:r>
      <w:r w:rsidRPr="002354FF">
        <w:rPr>
          <w:rStyle w:val="Appelnotedebasdep"/>
        </w:rPr>
        <w:footnoteReference w:id="14"/>
      </w:r>
      <w:r w:rsidRPr="00C076DB">
        <w:rPr>
          <w:lang w:val="fr-FR"/>
        </w:rPr>
        <w:t>. À cet égard, il est préoccupé par</w:t>
      </w:r>
      <w:r w:rsidR="00F949EA">
        <w:rPr>
          <w:lang w:val="fr-FR"/>
        </w:rPr>
        <w:t> </w:t>
      </w:r>
      <w:r w:rsidRPr="00C076DB">
        <w:rPr>
          <w:lang w:val="fr-FR"/>
        </w:rPr>
        <w:t>:</w:t>
      </w:r>
    </w:p>
    <w:p w14:paraId="58E72C40" w14:textId="7F884919" w:rsidR="009D335A" w:rsidRPr="00C076DB" w:rsidRDefault="009D335A" w:rsidP="00F949EA">
      <w:pPr>
        <w:pStyle w:val="SingleTxtG"/>
        <w:ind w:firstLine="567"/>
        <w:rPr>
          <w:i/>
          <w:lang w:val="fr-FR"/>
        </w:rPr>
      </w:pPr>
      <w:r w:rsidRPr="00C076DB">
        <w:rPr>
          <w:lang w:val="fr-FR"/>
        </w:rPr>
        <w:t>a)</w:t>
      </w:r>
      <w:r w:rsidRPr="00C076DB">
        <w:rPr>
          <w:lang w:val="fr-FR"/>
        </w:rPr>
        <w:tab/>
        <w:t xml:space="preserve">Les observations formulées par différentes </w:t>
      </w:r>
      <w:r>
        <w:rPr>
          <w:lang w:val="fr-FR"/>
        </w:rPr>
        <w:t>organes</w:t>
      </w:r>
      <w:r w:rsidRPr="002354FF">
        <w:rPr>
          <w:rStyle w:val="Appelnotedebasdep"/>
        </w:rPr>
        <w:footnoteReference w:id="15"/>
      </w:r>
      <w:r w:rsidRPr="00C076DB">
        <w:rPr>
          <w:lang w:val="fr-FR"/>
        </w:rPr>
        <w:t>, notamment les avis du Groupe de travail sur la détention arbitraire</w:t>
      </w:r>
      <w:r w:rsidRPr="002354FF">
        <w:rPr>
          <w:rStyle w:val="Appelnotedebasdep"/>
        </w:rPr>
        <w:footnoteReference w:id="16"/>
      </w:r>
      <w:r w:rsidRPr="00C076DB">
        <w:rPr>
          <w:lang w:val="fr-FR"/>
        </w:rPr>
        <w:t>, dans lesquelles il est fait état</w:t>
      </w:r>
      <w:r w:rsidR="00F949EA">
        <w:rPr>
          <w:lang w:val="fr-FR"/>
        </w:rPr>
        <w:t> </w:t>
      </w:r>
      <w:r w:rsidRPr="00C076DB">
        <w:rPr>
          <w:lang w:val="fr-FR"/>
        </w:rPr>
        <w:t>: i)</w:t>
      </w:r>
      <w:r w:rsidR="00F949EA">
        <w:rPr>
          <w:lang w:val="fr-FR"/>
        </w:rPr>
        <w:t> </w:t>
      </w:r>
      <w:r w:rsidRPr="00C076DB">
        <w:rPr>
          <w:lang w:val="fr-FR"/>
        </w:rPr>
        <w:t xml:space="preserve">de détentions à caractère arbitraire car </w:t>
      </w:r>
      <w:r w:rsidRPr="00016D93">
        <w:rPr>
          <w:lang w:val="fr-FR"/>
        </w:rPr>
        <w:t>imposées</w:t>
      </w:r>
      <w:r w:rsidRPr="00C076DB">
        <w:rPr>
          <w:lang w:val="fr-FR"/>
        </w:rPr>
        <w:t xml:space="preserve"> sans présentation d</w:t>
      </w:r>
      <w:r w:rsidR="002354FF">
        <w:rPr>
          <w:lang w:val="fr-FR"/>
        </w:rPr>
        <w:t>’</w:t>
      </w:r>
      <w:r w:rsidRPr="00C076DB">
        <w:rPr>
          <w:lang w:val="fr-FR"/>
        </w:rPr>
        <w:t>un mandat d</w:t>
      </w:r>
      <w:r w:rsidR="002354FF">
        <w:rPr>
          <w:lang w:val="fr-FR"/>
        </w:rPr>
        <w:t>’</w:t>
      </w:r>
      <w:r w:rsidRPr="00C076DB">
        <w:rPr>
          <w:lang w:val="fr-FR"/>
        </w:rPr>
        <w:t>arrêt et/ou sans que l</w:t>
      </w:r>
      <w:r w:rsidR="002354FF">
        <w:rPr>
          <w:lang w:val="fr-FR"/>
        </w:rPr>
        <w:t>’</w:t>
      </w:r>
      <w:r w:rsidRPr="00C076DB">
        <w:rPr>
          <w:lang w:val="fr-FR"/>
        </w:rPr>
        <w:t>intéressé soit informé des motifs de l</w:t>
      </w:r>
      <w:r w:rsidR="002354FF">
        <w:rPr>
          <w:lang w:val="fr-FR"/>
        </w:rPr>
        <w:t>’</w:t>
      </w:r>
      <w:r w:rsidRPr="00C076DB">
        <w:rPr>
          <w:lang w:val="fr-FR"/>
        </w:rPr>
        <w:t>arrestation</w:t>
      </w:r>
      <w:r w:rsidR="00F949EA">
        <w:rPr>
          <w:lang w:val="fr-FR"/>
        </w:rPr>
        <w:t> ;</w:t>
      </w:r>
      <w:r w:rsidRPr="00C076DB">
        <w:rPr>
          <w:lang w:val="fr-FR"/>
        </w:rPr>
        <w:t xml:space="preserve"> ii)</w:t>
      </w:r>
      <w:r w:rsidR="00F949EA">
        <w:rPr>
          <w:lang w:val="fr-FR"/>
        </w:rPr>
        <w:t> </w:t>
      </w:r>
      <w:r w:rsidRPr="00C076DB">
        <w:rPr>
          <w:lang w:val="fr-FR"/>
        </w:rPr>
        <w:t>de problèmes concernant la notification de la détention</w:t>
      </w:r>
      <w:r w:rsidRPr="002354FF">
        <w:rPr>
          <w:rStyle w:val="Appelnotedebasdep"/>
        </w:rPr>
        <w:footnoteReference w:id="17"/>
      </w:r>
      <w:r w:rsidRPr="00C076DB">
        <w:rPr>
          <w:lang w:val="fr-FR"/>
        </w:rPr>
        <w:t xml:space="preserve"> et l</w:t>
      </w:r>
      <w:r w:rsidR="002354FF">
        <w:rPr>
          <w:lang w:val="fr-FR"/>
        </w:rPr>
        <w:t>’</w:t>
      </w:r>
      <w:r w:rsidRPr="00C076DB">
        <w:rPr>
          <w:lang w:val="fr-FR"/>
        </w:rPr>
        <w:t>accès rapide à un avocat</w:t>
      </w:r>
      <w:r w:rsidR="00F949EA">
        <w:rPr>
          <w:lang w:val="fr-FR"/>
        </w:rPr>
        <w:t> ;</w:t>
      </w:r>
      <w:r w:rsidRPr="00C076DB">
        <w:rPr>
          <w:lang w:val="fr-FR"/>
        </w:rPr>
        <w:t xml:space="preserve"> iii)</w:t>
      </w:r>
      <w:r w:rsidR="00F949EA">
        <w:rPr>
          <w:lang w:val="fr-FR"/>
        </w:rPr>
        <w:t> </w:t>
      </w:r>
      <w:r w:rsidRPr="00C076DB">
        <w:rPr>
          <w:lang w:val="fr-FR"/>
        </w:rPr>
        <w:t xml:space="preserve">de </w:t>
      </w:r>
      <w:r>
        <w:rPr>
          <w:lang w:val="fr-FR"/>
        </w:rPr>
        <w:t>placements à l</w:t>
      </w:r>
      <w:r w:rsidR="002354FF">
        <w:rPr>
          <w:lang w:val="fr-FR"/>
        </w:rPr>
        <w:t>’</w:t>
      </w:r>
      <w:r>
        <w:rPr>
          <w:lang w:val="fr-FR"/>
        </w:rPr>
        <w:t>isolement</w:t>
      </w:r>
      <w:r w:rsidRPr="00C076DB">
        <w:rPr>
          <w:lang w:val="fr-FR"/>
        </w:rPr>
        <w:t xml:space="preserve"> pouvant durer jusqu</w:t>
      </w:r>
      <w:r w:rsidR="002354FF">
        <w:rPr>
          <w:lang w:val="fr-FR"/>
        </w:rPr>
        <w:t>’</w:t>
      </w:r>
      <w:r w:rsidRPr="00C076DB">
        <w:rPr>
          <w:lang w:val="fr-FR"/>
        </w:rPr>
        <w:t>à quatre-vingt-dix jours</w:t>
      </w:r>
      <w:r w:rsidR="00F949EA">
        <w:rPr>
          <w:lang w:val="fr-FR"/>
        </w:rPr>
        <w:t> ;</w:t>
      </w:r>
      <w:r w:rsidRPr="00C076DB">
        <w:rPr>
          <w:lang w:val="fr-FR"/>
        </w:rPr>
        <w:t xml:space="preserve"> iv)</w:t>
      </w:r>
      <w:r w:rsidR="00F949EA">
        <w:rPr>
          <w:lang w:val="fr-FR"/>
        </w:rPr>
        <w:t> </w:t>
      </w:r>
      <w:r w:rsidRPr="00C076DB">
        <w:rPr>
          <w:lang w:val="fr-FR"/>
        </w:rPr>
        <w:t>d</w:t>
      </w:r>
      <w:r w:rsidR="002354FF">
        <w:rPr>
          <w:lang w:val="fr-FR"/>
        </w:rPr>
        <w:t>’</w:t>
      </w:r>
      <w:r w:rsidRPr="00C076DB">
        <w:rPr>
          <w:lang w:val="fr-FR"/>
        </w:rPr>
        <w:t>interrogatoires menés en l</w:t>
      </w:r>
      <w:r w:rsidR="002354FF">
        <w:rPr>
          <w:lang w:val="fr-FR"/>
        </w:rPr>
        <w:t>’</w:t>
      </w:r>
      <w:r w:rsidRPr="00C076DB">
        <w:rPr>
          <w:lang w:val="fr-FR"/>
        </w:rPr>
        <w:t>absence d</w:t>
      </w:r>
      <w:r w:rsidR="002354FF">
        <w:rPr>
          <w:lang w:val="fr-FR"/>
        </w:rPr>
        <w:t>’</w:t>
      </w:r>
      <w:r w:rsidRPr="00C076DB">
        <w:rPr>
          <w:lang w:val="fr-FR"/>
        </w:rPr>
        <w:t xml:space="preserve">un </w:t>
      </w:r>
      <w:r w:rsidRPr="00C076DB">
        <w:rPr>
          <w:lang w:val="fr-FR"/>
        </w:rPr>
        <w:lastRenderedPageBreak/>
        <w:t>conseil</w:t>
      </w:r>
      <w:r w:rsidRPr="002354FF">
        <w:rPr>
          <w:rStyle w:val="Appelnotedebasdep"/>
        </w:rPr>
        <w:footnoteReference w:id="18"/>
      </w:r>
      <w:r w:rsidRPr="00C076DB">
        <w:rPr>
          <w:lang w:val="fr-FR"/>
        </w:rPr>
        <w:t xml:space="preserve"> et </w:t>
      </w:r>
      <w:r w:rsidRPr="00016D93">
        <w:rPr>
          <w:lang w:val="fr-FR"/>
        </w:rPr>
        <w:t>marqués par le recours aux</w:t>
      </w:r>
      <w:r w:rsidRPr="00C076DB">
        <w:rPr>
          <w:lang w:val="fr-FR"/>
        </w:rPr>
        <w:t xml:space="preserve"> brutalités, </w:t>
      </w:r>
      <w:r w:rsidRPr="00016D93">
        <w:rPr>
          <w:lang w:val="fr-FR"/>
        </w:rPr>
        <w:t>aux</w:t>
      </w:r>
      <w:r w:rsidRPr="00C076DB">
        <w:rPr>
          <w:lang w:val="fr-FR"/>
        </w:rPr>
        <w:t xml:space="preserve"> menaces et </w:t>
      </w:r>
      <w:r w:rsidRPr="00016D93">
        <w:rPr>
          <w:lang w:val="fr-FR"/>
        </w:rPr>
        <w:t xml:space="preserve">à </w:t>
      </w:r>
      <w:r w:rsidRPr="00C076DB">
        <w:rPr>
          <w:lang w:val="fr-FR"/>
        </w:rPr>
        <w:t>la privation de sommeil</w:t>
      </w:r>
      <w:r w:rsidRPr="002354FF">
        <w:rPr>
          <w:rStyle w:val="Appelnotedebasdep"/>
        </w:rPr>
        <w:footnoteReference w:id="19"/>
      </w:r>
      <w:r w:rsidR="00F949EA">
        <w:rPr>
          <w:lang w:val="fr-FR"/>
        </w:rPr>
        <w:t> ;</w:t>
      </w:r>
      <w:r w:rsidRPr="00C076DB">
        <w:rPr>
          <w:lang w:val="fr-FR"/>
        </w:rPr>
        <w:t xml:space="preserve"> v)</w:t>
      </w:r>
      <w:r w:rsidR="00F949EA">
        <w:rPr>
          <w:lang w:val="fr-FR"/>
        </w:rPr>
        <w:t> </w:t>
      </w:r>
      <w:r w:rsidRPr="00016D93">
        <w:rPr>
          <w:lang w:val="fr-FR"/>
        </w:rPr>
        <w:t xml:space="preserve">de </w:t>
      </w:r>
      <w:r w:rsidRPr="00C076DB">
        <w:rPr>
          <w:lang w:val="fr-FR"/>
        </w:rPr>
        <w:t>l</w:t>
      </w:r>
      <w:r w:rsidR="002354FF">
        <w:rPr>
          <w:lang w:val="fr-FR"/>
        </w:rPr>
        <w:t>’</w:t>
      </w:r>
      <w:r w:rsidRPr="00C076DB">
        <w:rPr>
          <w:lang w:val="fr-FR"/>
        </w:rPr>
        <w:t>absence d</w:t>
      </w:r>
      <w:r w:rsidR="002354FF">
        <w:rPr>
          <w:lang w:val="fr-FR"/>
        </w:rPr>
        <w:t>’</w:t>
      </w:r>
      <w:r w:rsidRPr="00C076DB">
        <w:rPr>
          <w:lang w:val="fr-FR"/>
        </w:rPr>
        <w:t>examen par un médecin indépendant</w:t>
      </w:r>
      <w:r w:rsidR="00F949EA">
        <w:rPr>
          <w:lang w:val="fr-FR"/>
        </w:rPr>
        <w:t> ;</w:t>
      </w:r>
      <w:r w:rsidRPr="00C076DB">
        <w:rPr>
          <w:lang w:val="fr-FR"/>
        </w:rPr>
        <w:t xml:space="preserve"> vi)</w:t>
      </w:r>
      <w:r w:rsidR="00F949EA">
        <w:rPr>
          <w:lang w:val="fr-FR"/>
        </w:rPr>
        <w:t> </w:t>
      </w:r>
      <w:r w:rsidRPr="00016D93">
        <w:rPr>
          <w:lang w:val="fr-FR"/>
        </w:rPr>
        <w:t xml:space="preserve">de </w:t>
      </w:r>
      <w:r w:rsidRPr="00C076DB">
        <w:rPr>
          <w:lang w:val="fr-FR"/>
        </w:rPr>
        <w:t>l</w:t>
      </w:r>
      <w:r w:rsidR="002354FF">
        <w:rPr>
          <w:lang w:val="fr-FR"/>
        </w:rPr>
        <w:t>’</w:t>
      </w:r>
      <w:r w:rsidRPr="00C076DB">
        <w:rPr>
          <w:lang w:val="fr-FR"/>
        </w:rPr>
        <w:t>inefficacité des recours en habeas corpus</w:t>
      </w:r>
      <w:r w:rsidRPr="002354FF">
        <w:rPr>
          <w:rStyle w:val="Appelnotedebasdep"/>
        </w:rPr>
        <w:footnoteReference w:id="20"/>
      </w:r>
      <w:r w:rsidR="00F949EA">
        <w:rPr>
          <w:lang w:val="fr-FR"/>
        </w:rPr>
        <w:t> ;</w:t>
      </w:r>
    </w:p>
    <w:p w14:paraId="379979FA" w14:textId="7212F896" w:rsidR="009D335A" w:rsidRPr="00C076DB" w:rsidRDefault="009D335A" w:rsidP="00F949EA">
      <w:pPr>
        <w:pStyle w:val="SingleTxtG"/>
        <w:ind w:firstLine="567"/>
        <w:rPr>
          <w:lang w:val="fr-FR"/>
        </w:rPr>
      </w:pPr>
      <w:r w:rsidRPr="00C076DB">
        <w:rPr>
          <w:lang w:val="fr-FR"/>
        </w:rPr>
        <w:t>b)</w:t>
      </w:r>
      <w:r w:rsidRPr="00C076DB">
        <w:rPr>
          <w:lang w:val="fr-FR"/>
        </w:rPr>
        <w:tab/>
      </w:r>
      <w:r w:rsidRPr="00016D93">
        <w:rPr>
          <w:lang w:val="fr-FR"/>
        </w:rPr>
        <w:t>L</w:t>
      </w:r>
      <w:r w:rsidR="002354FF">
        <w:rPr>
          <w:lang w:val="fr-FR"/>
        </w:rPr>
        <w:t>’</w:t>
      </w:r>
      <w:r w:rsidRPr="00016D93">
        <w:rPr>
          <w:lang w:val="fr-FR"/>
        </w:rPr>
        <w:t>adoption</w:t>
      </w:r>
      <w:r w:rsidRPr="00C076DB">
        <w:rPr>
          <w:lang w:val="fr-FR"/>
        </w:rPr>
        <w:t>, en 2021, de la loi n</w:t>
      </w:r>
      <w:r w:rsidRPr="00C076DB">
        <w:rPr>
          <w:vertAlign w:val="superscript"/>
          <w:lang w:val="fr-FR"/>
        </w:rPr>
        <w:t>o</w:t>
      </w:r>
      <w:r w:rsidR="00F949EA">
        <w:rPr>
          <w:lang w:val="fr-FR"/>
        </w:rPr>
        <w:t> </w:t>
      </w:r>
      <w:r w:rsidRPr="00C076DB">
        <w:rPr>
          <w:lang w:val="fr-FR"/>
        </w:rPr>
        <w:t>1060 modifiant et complétant le Code de procédure pénale</w:t>
      </w:r>
      <w:r w:rsidRPr="00016D93">
        <w:rPr>
          <w:lang w:val="fr-FR"/>
        </w:rPr>
        <w:t xml:space="preserve"> (loi n</w:t>
      </w:r>
      <w:r w:rsidRPr="00016D93">
        <w:rPr>
          <w:vertAlign w:val="superscript"/>
          <w:lang w:val="fr-FR"/>
        </w:rPr>
        <w:t>o</w:t>
      </w:r>
      <w:r w:rsidR="00F949EA">
        <w:rPr>
          <w:lang w:val="fr-FR"/>
        </w:rPr>
        <w:t> </w:t>
      </w:r>
      <w:r w:rsidRPr="00016D93">
        <w:rPr>
          <w:lang w:val="fr-FR"/>
        </w:rPr>
        <w:t>406),</w:t>
      </w:r>
      <w:r w:rsidRPr="00C076DB">
        <w:rPr>
          <w:lang w:val="fr-FR"/>
        </w:rPr>
        <w:t xml:space="preserve"> qui </w:t>
      </w:r>
      <w:r w:rsidRPr="00016D93">
        <w:rPr>
          <w:lang w:val="fr-FR"/>
        </w:rPr>
        <w:t>prévoit le prolongement du</w:t>
      </w:r>
      <w:r w:rsidRPr="00C076DB">
        <w:rPr>
          <w:lang w:val="fr-FR"/>
        </w:rPr>
        <w:t xml:space="preserve"> délai, fixé à l</w:t>
      </w:r>
      <w:r w:rsidR="002354FF">
        <w:rPr>
          <w:lang w:val="fr-FR"/>
        </w:rPr>
        <w:t>’</w:t>
      </w:r>
      <w:r w:rsidR="00F949EA">
        <w:rPr>
          <w:lang w:val="fr-FR"/>
        </w:rPr>
        <w:t>article </w:t>
      </w:r>
      <w:r w:rsidRPr="00C076DB">
        <w:rPr>
          <w:lang w:val="fr-FR"/>
        </w:rPr>
        <w:t>33 (</w:t>
      </w:r>
      <w:r w:rsidR="00F949EA">
        <w:rPr>
          <w:lang w:val="fr-FR"/>
        </w:rPr>
        <w:t>par. </w:t>
      </w:r>
      <w:r w:rsidRPr="00C076DB">
        <w:rPr>
          <w:lang w:val="fr-FR"/>
        </w:rPr>
        <w:t>2.2) de la Constitution, au terme duquel une personne détenue doit être remise en liberté ou présentée à l</w:t>
      </w:r>
      <w:r w:rsidR="002354FF">
        <w:rPr>
          <w:lang w:val="fr-FR"/>
        </w:rPr>
        <w:t>’</w:t>
      </w:r>
      <w:r w:rsidRPr="00C076DB">
        <w:rPr>
          <w:lang w:val="fr-FR"/>
        </w:rPr>
        <w:t xml:space="preserve">autorité compétente, </w:t>
      </w:r>
      <w:r>
        <w:rPr>
          <w:lang w:val="fr-FR"/>
        </w:rPr>
        <w:t>délai qui peut</w:t>
      </w:r>
      <w:r w:rsidRPr="00C076DB">
        <w:rPr>
          <w:lang w:val="fr-FR"/>
        </w:rPr>
        <w:t xml:space="preserve"> passer de quarante-huit heures à quatre</w:t>
      </w:r>
      <w:r w:rsidR="00F949EA">
        <w:rPr>
          <w:lang w:val="fr-FR"/>
        </w:rPr>
        <w:noBreakHyphen/>
      </w:r>
      <w:r w:rsidRPr="00C076DB">
        <w:rPr>
          <w:lang w:val="fr-FR"/>
        </w:rPr>
        <w:t>vingt-dix jours à la demande du ministère public et avec l</w:t>
      </w:r>
      <w:r w:rsidR="002354FF">
        <w:rPr>
          <w:lang w:val="fr-FR"/>
        </w:rPr>
        <w:t>’</w:t>
      </w:r>
      <w:r w:rsidRPr="00C076DB">
        <w:rPr>
          <w:lang w:val="fr-FR"/>
        </w:rPr>
        <w:t>autorisation d</w:t>
      </w:r>
      <w:r w:rsidR="002354FF">
        <w:rPr>
          <w:lang w:val="fr-FR"/>
        </w:rPr>
        <w:t>’</w:t>
      </w:r>
      <w:r w:rsidRPr="00C076DB">
        <w:rPr>
          <w:lang w:val="fr-FR"/>
        </w:rPr>
        <w:t xml:space="preserve">un juge, sans </w:t>
      </w:r>
      <w:r>
        <w:rPr>
          <w:lang w:val="fr-FR"/>
        </w:rPr>
        <w:t>qu</w:t>
      </w:r>
      <w:r w:rsidR="002354FF">
        <w:rPr>
          <w:lang w:val="fr-FR"/>
        </w:rPr>
        <w:t>’</w:t>
      </w:r>
      <w:r>
        <w:rPr>
          <w:lang w:val="fr-FR"/>
        </w:rPr>
        <w:t xml:space="preserve">il faille </w:t>
      </w:r>
      <w:r w:rsidRPr="00C076DB">
        <w:rPr>
          <w:lang w:val="fr-FR"/>
        </w:rPr>
        <w:t>que l</w:t>
      </w:r>
      <w:r w:rsidR="002354FF">
        <w:rPr>
          <w:lang w:val="fr-FR"/>
        </w:rPr>
        <w:t>’</w:t>
      </w:r>
      <w:r w:rsidRPr="00C076DB">
        <w:rPr>
          <w:lang w:val="fr-FR"/>
        </w:rPr>
        <w:t xml:space="preserve">enquête préliminaire soit terminée, que des preuves à charge </w:t>
      </w:r>
      <w:r w:rsidRPr="00016D93">
        <w:rPr>
          <w:lang w:val="fr-FR"/>
        </w:rPr>
        <w:t>aient</w:t>
      </w:r>
      <w:r w:rsidRPr="00C076DB">
        <w:rPr>
          <w:lang w:val="fr-FR"/>
        </w:rPr>
        <w:t xml:space="preserve"> été présentées, que l</w:t>
      </w:r>
      <w:r w:rsidR="002354FF">
        <w:rPr>
          <w:lang w:val="fr-FR"/>
        </w:rPr>
        <w:t>’</w:t>
      </w:r>
      <w:r w:rsidRPr="00C076DB">
        <w:rPr>
          <w:lang w:val="fr-FR"/>
        </w:rPr>
        <w:t>intéressé ait été inculpé et que la nécessité et la proportionnalité de la mesure de privation de liberté ait été justifiée</w:t>
      </w:r>
      <w:r w:rsidRPr="002354FF">
        <w:rPr>
          <w:rStyle w:val="Appelnotedebasdep"/>
        </w:rPr>
        <w:footnoteReference w:id="21"/>
      </w:r>
      <w:r w:rsidRPr="00C076DB">
        <w:rPr>
          <w:lang w:val="fr-FR"/>
        </w:rPr>
        <w:t>, et l</w:t>
      </w:r>
      <w:r w:rsidR="002354FF">
        <w:rPr>
          <w:lang w:val="fr-FR"/>
        </w:rPr>
        <w:t>’</w:t>
      </w:r>
      <w:r w:rsidRPr="00C076DB">
        <w:rPr>
          <w:lang w:val="fr-FR"/>
        </w:rPr>
        <w:t xml:space="preserve">application généralisée de cette </w:t>
      </w:r>
      <w:r w:rsidRPr="00016D93">
        <w:rPr>
          <w:lang w:val="fr-FR"/>
        </w:rPr>
        <w:t>loi</w:t>
      </w:r>
      <w:r w:rsidRPr="002354FF">
        <w:rPr>
          <w:rStyle w:val="Appelnotedebasdep"/>
        </w:rPr>
        <w:footnoteReference w:id="22"/>
      </w:r>
      <w:r w:rsidR="00F949EA">
        <w:rPr>
          <w:lang w:val="fr-FR"/>
        </w:rPr>
        <w:t> ;</w:t>
      </w:r>
    </w:p>
    <w:p w14:paraId="15E946C9" w14:textId="6272407B" w:rsidR="009D335A" w:rsidRPr="00C076DB" w:rsidRDefault="009D335A" w:rsidP="00F949EA">
      <w:pPr>
        <w:pStyle w:val="SingleTxtG"/>
        <w:ind w:firstLine="567"/>
        <w:rPr>
          <w:lang w:val="fr-FR"/>
        </w:rPr>
      </w:pPr>
      <w:r w:rsidRPr="00C076DB">
        <w:rPr>
          <w:lang w:val="fr-FR"/>
        </w:rPr>
        <w:t>c)</w:t>
      </w:r>
      <w:r w:rsidRPr="00C076DB">
        <w:rPr>
          <w:lang w:val="fr-FR"/>
        </w:rPr>
        <w:tab/>
        <w:t>Les dysfonctionnements du système d</w:t>
      </w:r>
      <w:r w:rsidR="002354FF">
        <w:rPr>
          <w:lang w:val="fr-FR"/>
        </w:rPr>
        <w:t>’</w:t>
      </w:r>
      <w:r w:rsidRPr="00C076DB">
        <w:rPr>
          <w:lang w:val="fr-FR"/>
        </w:rPr>
        <w:t xml:space="preserve">enregistrement des gardes à vue, notamment </w:t>
      </w:r>
      <w:r>
        <w:rPr>
          <w:lang w:val="fr-FR"/>
        </w:rPr>
        <w:t xml:space="preserve">en ce qui concerner </w:t>
      </w:r>
      <w:r w:rsidRPr="00C076DB">
        <w:rPr>
          <w:lang w:val="fr-FR"/>
        </w:rPr>
        <w:t>la consignation des détentions de courte durée à l</w:t>
      </w:r>
      <w:r w:rsidR="002354FF">
        <w:rPr>
          <w:lang w:val="fr-FR"/>
        </w:rPr>
        <w:t>’</w:t>
      </w:r>
      <w:r w:rsidRPr="00C076DB">
        <w:rPr>
          <w:lang w:val="fr-FR"/>
        </w:rPr>
        <w:t>issue desquelles l</w:t>
      </w:r>
      <w:r w:rsidR="002354FF">
        <w:rPr>
          <w:lang w:val="fr-FR"/>
        </w:rPr>
        <w:t>’</w:t>
      </w:r>
      <w:r w:rsidRPr="00C076DB">
        <w:rPr>
          <w:lang w:val="fr-FR"/>
        </w:rPr>
        <w:t xml:space="preserve">intéressé est remis en liberté sans avoir été présenté </w:t>
      </w:r>
      <w:r>
        <w:rPr>
          <w:lang w:val="fr-FR"/>
        </w:rPr>
        <w:t>devant</w:t>
      </w:r>
      <w:r w:rsidRPr="00C076DB">
        <w:rPr>
          <w:lang w:val="fr-FR"/>
        </w:rPr>
        <w:t xml:space="preserve"> un juge</w:t>
      </w:r>
      <w:r w:rsidRPr="002354FF">
        <w:rPr>
          <w:rStyle w:val="Appelnotedebasdep"/>
        </w:rPr>
        <w:footnoteReference w:id="23"/>
      </w:r>
      <w:r w:rsidR="00F949EA">
        <w:rPr>
          <w:lang w:val="fr-FR"/>
        </w:rPr>
        <w:t> ;</w:t>
      </w:r>
    </w:p>
    <w:p w14:paraId="314D5421" w14:textId="4B917025" w:rsidR="009D335A" w:rsidRPr="00C076DB" w:rsidRDefault="009D335A" w:rsidP="00F949EA">
      <w:pPr>
        <w:pStyle w:val="SingleTxtG"/>
        <w:ind w:firstLine="567"/>
        <w:rPr>
          <w:lang w:val="fr-FR"/>
        </w:rPr>
      </w:pPr>
      <w:r w:rsidRPr="00C076DB">
        <w:rPr>
          <w:lang w:val="fr-FR"/>
        </w:rPr>
        <w:t>d)</w:t>
      </w:r>
      <w:r w:rsidRPr="00C076DB">
        <w:rPr>
          <w:lang w:val="fr-FR"/>
        </w:rPr>
        <w:tab/>
        <w:t>Le manque d</w:t>
      </w:r>
      <w:r w:rsidR="002354FF">
        <w:rPr>
          <w:lang w:val="fr-FR"/>
        </w:rPr>
        <w:t>’</w:t>
      </w:r>
      <w:r w:rsidRPr="00C076DB">
        <w:rPr>
          <w:lang w:val="fr-FR"/>
        </w:rPr>
        <w:t>informations disponibles sur les mesures disciplinaires prises, au cours de la période considérée, contre les agents des forces de l</w:t>
      </w:r>
      <w:r w:rsidR="002354FF">
        <w:rPr>
          <w:lang w:val="fr-FR"/>
        </w:rPr>
        <w:t>’</w:t>
      </w:r>
      <w:r w:rsidRPr="00C076DB">
        <w:rPr>
          <w:lang w:val="fr-FR"/>
        </w:rPr>
        <w:t>ordre qui n</w:t>
      </w:r>
      <w:r w:rsidR="002354FF">
        <w:rPr>
          <w:lang w:val="fr-FR"/>
        </w:rPr>
        <w:t>’</w:t>
      </w:r>
      <w:r w:rsidRPr="00C076DB">
        <w:rPr>
          <w:lang w:val="fr-FR"/>
        </w:rPr>
        <w:t>ont pas fait en sorte que les personnes privées de liberté bénéficient sans délai des garanties juridiques fondamentales (</w:t>
      </w:r>
      <w:r w:rsidR="00F949EA">
        <w:rPr>
          <w:lang w:val="fr-FR"/>
        </w:rPr>
        <w:t>art. </w:t>
      </w:r>
      <w:r w:rsidRPr="00C076DB">
        <w:rPr>
          <w:lang w:val="fr-FR"/>
        </w:rPr>
        <w:t>2 et 16).</w:t>
      </w:r>
    </w:p>
    <w:p w14:paraId="7EA137EC" w14:textId="50B41B6B" w:rsidR="009D335A" w:rsidRPr="00C076DB" w:rsidRDefault="009D335A" w:rsidP="00F949EA">
      <w:pPr>
        <w:pStyle w:val="SingleTxtG"/>
        <w:keepNext/>
        <w:rPr>
          <w:b/>
          <w:lang w:val="fr-FR"/>
        </w:rPr>
      </w:pPr>
      <w:r w:rsidRPr="00C076DB">
        <w:rPr>
          <w:lang w:val="fr-FR"/>
        </w:rPr>
        <w:t>10.</w:t>
      </w:r>
      <w:r w:rsidRPr="00C076DB">
        <w:rPr>
          <w:lang w:val="fr-FR"/>
        </w:rPr>
        <w:tab/>
      </w:r>
      <w:r w:rsidRPr="00C076DB">
        <w:rPr>
          <w:b/>
          <w:lang w:val="fr-FR"/>
        </w:rPr>
        <w:t>L</w:t>
      </w:r>
      <w:r w:rsidR="002354FF">
        <w:rPr>
          <w:b/>
          <w:lang w:val="fr-FR"/>
        </w:rPr>
        <w:t>’</w:t>
      </w:r>
      <w:r w:rsidRPr="00C076DB">
        <w:rPr>
          <w:b/>
          <w:lang w:val="fr-FR"/>
        </w:rPr>
        <w:t>État partie devrait</w:t>
      </w:r>
      <w:r w:rsidR="00F949EA">
        <w:rPr>
          <w:b/>
          <w:bCs/>
          <w:lang w:val="fr-FR"/>
        </w:rPr>
        <w:t> </w:t>
      </w:r>
      <w:r w:rsidRPr="00C076DB">
        <w:rPr>
          <w:b/>
          <w:lang w:val="fr-FR"/>
        </w:rPr>
        <w:t>:</w:t>
      </w:r>
    </w:p>
    <w:p w14:paraId="09EB52F2" w14:textId="03697D15" w:rsidR="009D335A" w:rsidRPr="00C076DB" w:rsidRDefault="009D335A" w:rsidP="00F949EA">
      <w:pPr>
        <w:pStyle w:val="SingleTxtG"/>
        <w:ind w:firstLine="567"/>
        <w:rPr>
          <w:b/>
          <w:lang w:val="fr-FR"/>
        </w:rPr>
      </w:pPr>
      <w:r w:rsidRPr="00F949EA">
        <w:rPr>
          <w:bCs/>
          <w:lang w:val="fr-FR"/>
        </w:rPr>
        <w:t>a)</w:t>
      </w:r>
      <w:r w:rsidRPr="00F949EA">
        <w:rPr>
          <w:bCs/>
          <w:lang w:val="fr-FR"/>
        </w:rPr>
        <w:tab/>
      </w:r>
      <w:r w:rsidRPr="00C076DB">
        <w:rPr>
          <w:b/>
          <w:lang w:val="fr-FR"/>
        </w:rPr>
        <w:t>Veiller à ce que tous les détenus bénéficient, en droit et dans la pratique, de toutes les garanties fondamentales contre la torture dès le début de leur privation de liberté, y compris du droit d</w:t>
      </w:r>
      <w:r w:rsidR="002354FF">
        <w:rPr>
          <w:b/>
          <w:lang w:val="fr-FR"/>
        </w:rPr>
        <w:t>’</w:t>
      </w:r>
      <w:r w:rsidRPr="00C076DB">
        <w:rPr>
          <w:b/>
          <w:lang w:val="fr-FR"/>
        </w:rPr>
        <w:t>être assistés d</w:t>
      </w:r>
      <w:r w:rsidR="002354FF">
        <w:rPr>
          <w:b/>
          <w:lang w:val="fr-FR"/>
        </w:rPr>
        <w:t>’</w:t>
      </w:r>
      <w:r w:rsidRPr="00C076DB">
        <w:rPr>
          <w:b/>
          <w:lang w:val="fr-FR"/>
        </w:rPr>
        <w:t>un avocat sans délai, en particulier pendant les phases de l</w:t>
      </w:r>
      <w:r w:rsidR="002354FF">
        <w:rPr>
          <w:b/>
          <w:lang w:val="fr-FR"/>
        </w:rPr>
        <w:t>’</w:t>
      </w:r>
      <w:r w:rsidRPr="00C076DB">
        <w:rPr>
          <w:b/>
          <w:lang w:val="fr-FR"/>
        </w:rPr>
        <w:t>enquête et les interrogatoires,</w:t>
      </w:r>
      <w:r w:rsidRPr="00C076DB">
        <w:rPr>
          <w:lang w:val="fr-FR"/>
        </w:rPr>
        <w:t xml:space="preserve"> </w:t>
      </w:r>
      <w:r w:rsidRPr="00C076DB">
        <w:rPr>
          <w:b/>
          <w:lang w:val="fr-FR"/>
        </w:rPr>
        <w:t>du droit d</w:t>
      </w:r>
      <w:r w:rsidR="002354FF">
        <w:rPr>
          <w:b/>
          <w:lang w:val="fr-FR"/>
        </w:rPr>
        <w:t>’</w:t>
      </w:r>
      <w:r w:rsidRPr="00C076DB">
        <w:rPr>
          <w:b/>
          <w:lang w:val="fr-FR"/>
        </w:rPr>
        <w:t>être examinés par un médecin indépendant,</w:t>
      </w:r>
      <w:r w:rsidRPr="00C076DB">
        <w:rPr>
          <w:lang w:val="fr-FR"/>
        </w:rPr>
        <w:t xml:space="preserve"> </w:t>
      </w:r>
      <w:r w:rsidRPr="00C076DB">
        <w:rPr>
          <w:b/>
          <w:lang w:val="fr-FR"/>
        </w:rPr>
        <w:t>du droit d</w:t>
      </w:r>
      <w:r w:rsidR="002354FF">
        <w:rPr>
          <w:b/>
          <w:lang w:val="fr-FR"/>
        </w:rPr>
        <w:t>’</w:t>
      </w:r>
      <w:r w:rsidRPr="00C076DB">
        <w:rPr>
          <w:b/>
          <w:lang w:val="fr-FR"/>
        </w:rPr>
        <w:t>être informés de leurs droits, des motifs de leur arrestation et des charges retenues contre eux,</w:t>
      </w:r>
      <w:r w:rsidRPr="00C076DB">
        <w:rPr>
          <w:lang w:val="fr-FR"/>
        </w:rPr>
        <w:t xml:space="preserve"> </w:t>
      </w:r>
      <w:r w:rsidRPr="00C076DB">
        <w:rPr>
          <w:b/>
          <w:lang w:val="fr-FR"/>
        </w:rPr>
        <w:t>du droit à ce que leurs proches ou toute autre personne de leur choix soient notifiés de leur détention et du lieu de celle-ci,</w:t>
      </w:r>
      <w:r w:rsidRPr="00C076DB">
        <w:rPr>
          <w:lang w:val="fr-FR"/>
        </w:rPr>
        <w:t xml:space="preserve"> </w:t>
      </w:r>
      <w:r w:rsidRPr="00C076DB">
        <w:rPr>
          <w:b/>
          <w:lang w:val="fr-FR"/>
        </w:rPr>
        <w:t>du droit d</w:t>
      </w:r>
      <w:r w:rsidR="002354FF">
        <w:rPr>
          <w:b/>
          <w:lang w:val="fr-FR"/>
        </w:rPr>
        <w:t>’</w:t>
      </w:r>
      <w:r w:rsidRPr="00C076DB">
        <w:rPr>
          <w:b/>
          <w:lang w:val="fr-FR"/>
        </w:rPr>
        <w:t>être présentés à un juge sans délai et du droit de disposer d</w:t>
      </w:r>
      <w:r w:rsidR="002354FF">
        <w:rPr>
          <w:b/>
          <w:lang w:val="fr-FR"/>
        </w:rPr>
        <w:t>’</w:t>
      </w:r>
      <w:r w:rsidRPr="00C076DB">
        <w:rPr>
          <w:b/>
          <w:lang w:val="fr-FR"/>
        </w:rPr>
        <w:t>une voie de recours utile pour contester la légalité de leur détention</w:t>
      </w:r>
      <w:r w:rsidR="00F949EA">
        <w:rPr>
          <w:b/>
          <w:bCs/>
          <w:lang w:val="fr-FR"/>
        </w:rPr>
        <w:t> ;</w:t>
      </w:r>
    </w:p>
    <w:p w14:paraId="23D9CB48" w14:textId="1C7DF379" w:rsidR="009D335A" w:rsidRPr="00C076DB" w:rsidRDefault="009D335A" w:rsidP="00F949EA">
      <w:pPr>
        <w:pStyle w:val="SingleTxtG"/>
        <w:ind w:firstLine="567"/>
        <w:rPr>
          <w:b/>
          <w:lang w:val="fr-FR"/>
        </w:rPr>
      </w:pPr>
      <w:r w:rsidRPr="00F949EA">
        <w:rPr>
          <w:bCs/>
          <w:lang w:val="fr-FR"/>
        </w:rPr>
        <w:t>b)</w:t>
      </w:r>
      <w:r w:rsidRPr="00F949EA">
        <w:rPr>
          <w:bCs/>
          <w:lang w:val="fr-FR"/>
        </w:rPr>
        <w:tab/>
      </w:r>
      <w:r w:rsidRPr="00C076DB">
        <w:rPr>
          <w:b/>
          <w:lang w:val="fr-FR"/>
        </w:rPr>
        <w:t>Veiller à ce que toutes les personnes qui sont placées en garde à vue ou en détention provisoire soient inscrites dans le registre du lieu de détention, et à ce que chaque étape de la privation de liberté soit consignée, y compris les transfèrements d</w:t>
      </w:r>
      <w:r w:rsidR="002354FF">
        <w:rPr>
          <w:b/>
          <w:lang w:val="fr-FR"/>
        </w:rPr>
        <w:t>’</w:t>
      </w:r>
      <w:r w:rsidRPr="00C076DB">
        <w:rPr>
          <w:b/>
          <w:lang w:val="fr-FR"/>
        </w:rPr>
        <w:t>un établissement à un autre.</w:t>
      </w:r>
      <w:r w:rsidRPr="00C076DB">
        <w:rPr>
          <w:lang w:val="fr-FR"/>
        </w:rPr>
        <w:t xml:space="preserve"> </w:t>
      </w:r>
      <w:r w:rsidRPr="00C076DB">
        <w:rPr>
          <w:b/>
          <w:lang w:val="fr-FR"/>
        </w:rPr>
        <w:t>L</w:t>
      </w:r>
      <w:r w:rsidR="002354FF">
        <w:rPr>
          <w:b/>
          <w:lang w:val="fr-FR"/>
        </w:rPr>
        <w:t>’</w:t>
      </w:r>
      <w:r w:rsidRPr="00C076DB">
        <w:rPr>
          <w:b/>
          <w:lang w:val="fr-FR"/>
        </w:rPr>
        <w:t>État partie devrait établir un registre centralisé et uniformisé qui soit accessible aux familles et aux représentants légaux des détenus</w:t>
      </w:r>
      <w:r w:rsidR="00F949EA">
        <w:rPr>
          <w:b/>
          <w:bCs/>
          <w:lang w:val="fr-FR"/>
        </w:rPr>
        <w:t> ;</w:t>
      </w:r>
    </w:p>
    <w:p w14:paraId="755859ED" w14:textId="35025FEA" w:rsidR="009D335A" w:rsidRPr="00C076DB" w:rsidRDefault="009D335A" w:rsidP="00F949EA">
      <w:pPr>
        <w:pStyle w:val="SingleTxtG"/>
        <w:ind w:firstLine="567"/>
        <w:rPr>
          <w:b/>
          <w:lang w:val="fr-FR"/>
        </w:rPr>
      </w:pPr>
      <w:r w:rsidRPr="00F949EA">
        <w:rPr>
          <w:bCs/>
          <w:lang w:val="fr-FR"/>
        </w:rPr>
        <w:t>c)</w:t>
      </w:r>
      <w:r w:rsidRPr="00F949EA">
        <w:rPr>
          <w:bCs/>
          <w:lang w:val="fr-FR"/>
        </w:rPr>
        <w:tab/>
      </w:r>
      <w:r w:rsidRPr="00C076DB">
        <w:rPr>
          <w:b/>
          <w:lang w:val="fr-FR"/>
        </w:rPr>
        <w:t>Prendre les mesures législatives et autres nécessaires pour que la durée maximale de la garde à vue n</w:t>
      </w:r>
      <w:r w:rsidR="002354FF">
        <w:rPr>
          <w:b/>
          <w:lang w:val="fr-FR"/>
        </w:rPr>
        <w:t>’</w:t>
      </w:r>
      <w:r w:rsidRPr="00C076DB">
        <w:rPr>
          <w:b/>
          <w:lang w:val="fr-FR"/>
        </w:rPr>
        <w:t>excède pas quarante-huit heures, renouvelables une fois seulement, dans des circonstances exceptionnelles dûment justifiées par des preuves tangibles et uniquement après qu</w:t>
      </w:r>
      <w:r w:rsidR="002354FF">
        <w:rPr>
          <w:b/>
          <w:lang w:val="fr-FR"/>
        </w:rPr>
        <w:t>’</w:t>
      </w:r>
      <w:r w:rsidRPr="00C076DB">
        <w:rPr>
          <w:b/>
          <w:lang w:val="fr-FR"/>
        </w:rPr>
        <w:t xml:space="preserve">une autorité judiciaire </w:t>
      </w:r>
      <w:r w:rsidRPr="00016D93">
        <w:rPr>
          <w:b/>
          <w:bCs/>
          <w:lang w:val="fr-FR"/>
        </w:rPr>
        <w:t>a</w:t>
      </w:r>
      <w:r w:rsidRPr="00C076DB">
        <w:rPr>
          <w:b/>
          <w:lang w:val="fr-FR"/>
        </w:rPr>
        <w:t xml:space="preserve"> procédé à une évaluation individualisée de la nécessité de prolonger la privation de liberté en tant que mesure de dernier recours et de la proportionnalité de cette mesure, dans chaque cas</w:t>
      </w:r>
      <w:r w:rsidR="00F949EA">
        <w:rPr>
          <w:b/>
          <w:bCs/>
          <w:lang w:val="fr-FR"/>
        </w:rPr>
        <w:t> ;</w:t>
      </w:r>
    </w:p>
    <w:p w14:paraId="597ED1F5" w14:textId="07E53560" w:rsidR="009D335A" w:rsidRPr="00C076DB" w:rsidRDefault="009D335A" w:rsidP="00F949EA">
      <w:pPr>
        <w:pStyle w:val="SingleTxtG"/>
        <w:ind w:firstLine="567"/>
        <w:rPr>
          <w:b/>
          <w:shd w:val="clear" w:color="auto" w:fill="FFFFFF"/>
          <w:lang w:val="fr-FR"/>
        </w:rPr>
      </w:pPr>
      <w:r w:rsidRPr="00F949EA">
        <w:rPr>
          <w:bCs/>
          <w:lang w:val="fr-FR"/>
        </w:rPr>
        <w:t>d)</w:t>
      </w:r>
      <w:r w:rsidRPr="00F949EA">
        <w:rPr>
          <w:bCs/>
          <w:lang w:val="fr-FR"/>
        </w:rPr>
        <w:tab/>
      </w:r>
      <w:r w:rsidRPr="00C076DB">
        <w:rPr>
          <w:b/>
          <w:lang w:val="fr-FR"/>
        </w:rPr>
        <w:t xml:space="preserve">Veiller à ce que des sanctions soient </w:t>
      </w:r>
      <w:r>
        <w:rPr>
          <w:b/>
          <w:lang w:val="fr-FR"/>
        </w:rPr>
        <w:t>imposées</w:t>
      </w:r>
      <w:r w:rsidRPr="00016D93">
        <w:rPr>
          <w:b/>
          <w:bCs/>
          <w:lang w:val="fr-FR"/>
        </w:rPr>
        <w:t xml:space="preserve"> aux fonctionnaires responsables</w:t>
      </w:r>
      <w:r w:rsidRPr="00C076DB">
        <w:rPr>
          <w:b/>
          <w:lang w:val="fr-FR"/>
        </w:rPr>
        <w:t xml:space="preserve"> lorsqu</w:t>
      </w:r>
      <w:r w:rsidR="002354FF">
        <w:rPr>
          <w:b/>
          <w:lang w:val="fr-FR"/>
        </w:rPr>
        <w:t>’</w:t>
      </w:r>
      <w:r w:rsidRPr="00C076DB">
        <w:rPr>
          <w:b/>
          <w:lang w:val="fr-FR"/>
        </w:rPr>
        <w:t>il n</w:t>
      </w:r>
      <w:r w:rsidR="002354FF">
        <w:rPr>
          <w:b/>
          <w:lang w:val="fr-FR"/>
        </w:rPr>
        <w:t>’</w:t>
      </w:r>
      <w:r w:rsidRPr="00C076DB">
        <w:rPr>
          <w:b/>
          <w:lang w:val="fr-FR"/>
        </w:rPr>
        <w:t>a pas été permis aux personnes privées de liberté de bénéficier de ces garanties fondamentales.</w:t>
      </w:r>
    </w:p>
    <w:p w14:paraId="71497D64" w14:textId="77777777" w:rsidR="009D335A" w:rsidRPr="00C076DB" w:rsidRDefault="009D335A" w:rsidP="00F949EA">
      <w:pPr>
        <w:pStyle w:val="H23G"/>
        <w:rPr>
          <w:lang w:val="fr-FR"/>
        </w:rPr>
      </w:pPr>
      <w:r w:rsidRPr="00C076DB">
        <w:rPr>
          <w:lang w:val="fr-FR"/>
        </w:rPr>
        <w:lastRenderedPageBreak/>
        <w:tab/>
      </w:r>
      <w:r w:rsidRPr="00C076DB">
        <w:rPr>
          <w:lang w:val="fr-FR"/>
        </w:rPr>
        <w:tab/>
        <w:t>Administration de la justice</w:t>
      </w:r>
    </w:p>
    <w:p w14:paraId="2B5C59EB" w14:textId="21D2393E" w:rsidR="009D335A" w:rsidRPr="00C076DB" w:rsidRDefault="009D335A" w:rsidP="00F949EA">
      <w:pPr>
        <w:pStyle w:val="SingleTxtG"/>
        <w:keepNext/>
        <w:keepLines/>
        <w:rPr>
          <w:lang w:val="fr-FR"/>
        </w:rPr>
      </w:pPr>
      <w:r w:rsidRPr="00C076DB">
        <w:rPr>
          <w:lang w:val="fr-FR"/>
        </w:rPr>
        <w:t>11.</w:t>
      </w:r>
      <w:r w:rsidRPr="00C076DB">
        <w:rPr>
          <w:lang w:val="fr-FR"/>
        </w:rPr>
        <w:tab/>
        <w:t>Le Comité prend note des informations données dans le rapport périodique au sujet du projet de modernisation de l</w:t>
      </w:r>
      <w:r w:rsidR="002354FF">
        <w:rPr>
          <w:lang w:val="fr-FR"/>
        </w:rPr>
        <w:t>’</w:t>
      </w:r>
      <w:r w:rsidRPr="00C076DB">
        <w:rPr>
          <w:lang w:val="fr-FR"/>
        </w:rPr>
        <w:t>appareil judiciaire, parmi d</w:t>
      </w:r>
      <w:r w:rsidR="002354FF">
        <w:rPr>
          <w:lang w:val="fr-FR"/>
        </w:rPr>
        <w:t>’</w:t>
      </w:r>
      <w:r w:rsidRPr="00C076DB">
        <w:rPr>
          <w:lang w:val="fr-FR"/>
        </w:rPr>
        <w:t>autres mesures adoptées au cours de la période considérée</w:t>
      </w:r>
      <w:r w:rsidRPr="002354FF">
        <w:rPr>
          <w:rStyle w:val="Appelnotedebasdep"/>
        </w:rPr>
        <w:footnoteReference w:id="24"/>
      </w:r>
      <w:r w:rsidRPr="00C076DB">
        <w:rPr>
          <w:lang w:val="fr-FR"/>
        </w:rPr>
        <w:t>, mais il demeure préoccupé par le manque d</w:t>
      </w:r>
      <w:r w:rsidR="002354FF">
        <w:rPr>
          <w:lang w:val="fr-FR"/>
        </w:rPr>
        <w:t>’</w:t>
      </w:r>
      <w:r w:rsidRPr="00C076DB">
        <w:rPr>
          <w:lang w:val="fr-FR"/>
        </w:rPr>
        <w:t>indépendance et d</w:t>
      </w:r>
      <w:r w:rsidR="002354FF">
        <w:rPr>
          <w:lang w:val="fr-FR"/>
        </w:rPr>
        <w:t>’</w:t>
      </w:r>
      <w:r w:rsidRPr="00C076DB">
        <w:rPr>
          <w:lang w:val="fr-FR"/>
        </w:rPr>
        <w:t>impartialité du pouvoir judiciaire vis-à-vis de l</w:t>
      </w:r>
      <w:r w:rsidR="002354FF">
        <w:rPr>
          <w:lang w:val="fr-FR"/>
        </w:rPr>
        <w:t>’</w:t>
      </w:r>
      <w:r w:rsidRPr="00C076DB">
        <w:rPr>
          <w:lang w:val="fr-FR"/>
        </w:rPr>
        <w:t>exécutif</w:t>
      </w:r>
      <w:r w:rsidRPr="002354FF">
        <w:rPr>
          <w:rStyle w:val="Appelnotedebasdep"/>
        </w:rPr>
        <w:footnoteReference w:id="25"/>
      </w:r>
      <w:r w:rsidRPr="00C076DB">
        <w:rPr>
          <w:lang w:val="fr-FR"/>
        </w:rPr>
        <w:t>. De même, s</w:t>
      </w:r>
      <w:r w:rsidR="002354FF">
        <w:rPr>
          <w:lang w:val="fr-FR"/>
        </w:rPr>
        <w:t>’</w:t>
      </w:r>
      <w:r w:rsidRPr="00C076DB">
        <w:rPr>
          <w:lang w:val="fr-FR"/>
        </w:rPr>
        <w:t>il prend note des dispositions constitutionnelles relatives à l</w:t>
      </w:r>
      <w:r w:rsidR="002354FF">
        <w:rPr>
          <w:lang w:val="fr-FR"/>
        </w:rPr>
        <w:t>’</w:t>
      </w:r>
      <w:r w:rsidRPr="00C076DB">
        <w:rPr>
          <w:lang w:val="fr-FR"/>
        </w:rPr>
        <w:t>indépendance du ministère public (</w:t>
      </w:r>
      <w:r w:rsidR="00F949EA">
        <w:rPr>
          <w:lang w:val="fr-FR"/>
        </w:rPr>
        <w:t>art. </w:t>
      </w:r>
      <w:r w:rsidRPr="00016D93">
        <w:rPr>
          <w:lang w:val="fr-FR"/>
        </w:rPr>
        <w:t xml:space="preserve">138, </w:t>
      </w:r>
      <w:r w:rsidR="00F949EA">
        <w:rPr>
          <w:lang w:val="fr-FR"/>
        </w:rPr>
        <w:t>par. </w:t>
      </w:r>
      <w:r w:rsidRPr="00016D93">
        <w:rPr>
          <w:lang w:val="fr-FR"/>
        </w:rPr>
        <w:t>9</w:t>
      </w:r>
      <w:r w:rsidR="00DC079B">
        <w:rPr>
          <w:lang w:val="fr-FR"/>
        </w:rPr>
        <w:t> </w:t>
      </w:r>
      <w:r w:rsidRPr="00C076DB">
        <w:rPr>
          <w:lang w:val="fr-FR"/>
        </w:rPr>
        <w:t>b)), le Comité est préoccupé par les informations concordantes selon lesquelles l</w:t>
      </w:r>
      <w:r w:rsidR="002354FF">
        <w:rPr>
          <w:lang w:val="fr-FR"/>
        </w:rPr>
        <w:t>’</w:t>
      </w:r>
      <w:r w:rsidRPr="00C076DB">
        <w:rPr>
          <w:lang w:val="fr-FR"/>
        </w:rPr>
        <w:t>utilisation partisane de ces dispositions facilite l</w:t>
      </w:r>
      <w:r w:rsidR="002354FF">
        <w:rPr>
          <w:lang w:val="fr-FR"/>
        </w:rPr>
        <w:t>’</w:t>
      </w:r>
      <w:r w:rsidRPr="00C076DB">
        <w:rPr>
          <w:lang w:val="fr-FR"/>
        </w:rPr>
        <w:t>ingérence et le contrôle par le pouvoir exécutif. À cet égard, les informations indiquant que l</w:t>
      </w:r>
      <w:r w:rsidR="002354FF">
        <w:rPr>
          <w:lang w:val="fr-FR"/>
        </w:rPr>
        <w:t>’</w:t>
      </w:r>
      <w:r w:rsidRPr="00C076DB">
        <w:rPr>
          <w:lang w:val="fr-FR"/>
        </w:rPr>
        <w:t>absence de séparation des pouvoirs dans l</w:t>
      </w:r>
      <w:r w:rsidR="002354FF">
        <w:rPr>
          <w:lang w:val="fr-FR"/>
        </w:rPr>
        <w:t>’</w:t>
      </w:r>
      <w:r w:rsidRPr="00C076DB">
        <w:rPr>
          <w:lang w:val="fr-FR"/>
        </w:rPr>
        <w:t>État partie permet l</w:t>
      </w:r>
      <w:r w:rsidR="002354FF">
        <w:rPr>
          <w:lang w:val="fr-FR"/>
        </w:rPr>
        <w:t>’</w:t>
      </w:r>
      <w:r w:rsidRPr="00C076DB">
        <w:rPr>
          <w:lang w:val="fr-FR"/>
        </w:rPr>
        <w:t xml:space="preserve">utilisation du droit pénal pour </w:t>
      </w:r>
      <w:r>
        <w:rPr>
          <w:lang w:val="fr-FR"/>
        </w:rPr>
        <w:t>réprimer</w:t>
      </w:r>
      <w:r w:rsidRPr="00C076DB">
        <w:rPr>
          <w:lang w:val="fr-FR"/>
        </w:rPr>
        <w:t xml:space="preserve"> la dissidence, facilite le non-respect des garanties procédurales et contribue à l</w:t>
      </w:r>
      <w:r w:rsidR="002354FF">
        <w:rPr>
          <w:lang w:val="fr-FR"/>
        </w:rPr>
        <w:t>’</w:t>
      </w:r>
      <w:r w:rsidRPr="00C076DB">
        <w:rPr>
          <w:lang w:val="fr-FR"/>
        </w:rPr>
        <w:t>impunité sont préoccupantes</w:t>
      </w:r>
      <w:r w:rsidRPr="002354FF">
        <w:rPr>
          <w:rStyle w:val="Appelnotedebasdep"/>
        </w:rPr>
        <w:footnoteReference w:id="26"/>
      </w:r>
      <w:r w:rsidRPr="00C076DB">
        <w:rPr>
          <w:lang w:val="fr-FR"/>
        </w:rPr>
        <w:t xml:space="preserve"> (</w:t>
      </w:r>
      <w:r w:rsidR="00F949EA">
        <w:rPr>
          <w:lang w:val="fr-FR"/>
        </w:rPr>
        <w:t>art. </w:t>
      </w:r>
      <w:r w:rsidRPr="00C076DB">
        <w:rPr>
          <w:lang w:val="fr-FR"/>
        </w:rPr>
        <w:t>2 (</w:t>
      </w:r>
      <w:r w:rsidR="00F949EA">
        <w:rPr>
          <w:lang w:val="fr-FR"/>
        </w:rPr>
        <w:t>par. </w:t>
      </w:r>
      <w:r w:rsidRPr="00C076DB">
        <w:rPr>
          <w:lang w:val="fr-FR"/>
        </w:rPr>
        <w:t>1), 12 et</w:t>
      </w:r>
      <w:r w:rsidR="00DC079B">
        <w:rPr>
          <w:lang w:val="fr-FR"/>
        </w:rPr>
        <w:t xml:space="preserve"> </w:t>
      </w:r>
      <w:r w:rsidRPr="00C076DB">
        <w:rPr>
          <w:lang w:val="fr-FR"/>
        </w:rPr>
        <w:t>13).</w:t>
      </w:r>
    </w:p>
    <w:p w14:paraId="10F25820" w14:textId="05BA993F" w:rsidR="009D335A" w:rsidRPr="00C076DB" w:rsidRDefault="009D335A" w:rsidP="00DC079B">
      <w:pPr>
        <w:pStyle w:val="SingleTxtG"/>
        <w:rPr>
          <w:b/>
          <w:lang w:val="fr-FR"/>
        </w:rPr>
      </w:pPr>
      <w:r w:rsidRPr="00C076DB">
        <w:rPr>
          <w:lang w:val="fr-FR"/>
        </w:rPr>
        <w:t>12.</w:t>
      </w:r>
      <w:r w:rsidRPr="00C076DB">
        <w:rPr>
          <w:lang w:val="fr-FR"/>
        </w:rPr>
        <w:tab/>
      </w:r>
      <w:r w:rsidRPr="00C076DB">
        <w:rPr>
          <w:b/>
          <w:lang w:val="fr-FR"/>
        </w:rPr>
        <w:t>L</w:t>
      </w:r>
      <w:r w:rsidR="002354FF">
        <w:rPr>
          <w:b/>
          <w:lang w:val="fr-FR"/>
        </w:rPr>
        <w:t>’</w:t>
      </w:r>
      <w:r w:rsidRPr="00C076DB">
        <w:rPr>
          <w:b/>
          <w:lang w:val="fr-FR"/>
        </w:rPr>
        <w:t>État partie devrait garantir la pleine indépendance, l</w:t>
      </w:r>
      <w:r w:rsidR="002354FF">
        <w:rPr>
          <w:b/>
          <w:lang w:val="fr-FR"/>
        </w:rPr>
        <w:t>’</w:t>
      </w:r>
      <w:r w:rsidRPr="00C076DB">
        <w:rPr>
          <w:b/>
          <w:lang w:val="fr-FR"/>
        </w:rPr>
        <w:t>impartialité et l</w:t>
      </w:r>
      <w:r w:rsidR="002354FF">
        <w:rPr>
          <w:b/>
          <w:lang w:val="fr-FR"/>
        </w:rPr>
        <w:t>’</w:t>
      </w:r>
      <w:r w:rsidRPr="00C076DB">
        <w:rPr>
          <w:b/>
          <w:lang w:val="fr-FR"/>
        </w:rPr>
        <w:t>efficacité du pouvoir judiciaire et des services du Procureur général, notamment en menant une réforme visant à mettre les institutions judiciaires en conformité avec les normes internationales, en particulier les Principes fondamentaux relatifs à l</w:t>
      </w:r>
      <w:r w:rsidR="002354FF">
        <w:rPr>
          <w:b/>
          <w:lang w:val="fr-FR"/>
        </w:rPr>
        <w:t>’</w:t>
      </w:r>
      <w:r w:rsidRPr="00C076DB">
        <w:rPr>
          <w:b/>
          <w:lang w:val="fr-FR"/>
        </w:rPr>
        <w:t>indépendance de la magistrature et les Principes directeurs applicables au rôle des magistrats du parquet</w:t>
      </w:r>
      <w:r w:rsidRPr="00016D93">
        <w:rPr>
          <w:b/>
          <w:bCs/>
          <w:lang w:val="fr-FR"/>
        </w:rPr>
        <w:t>.</w:t>
      </w:r>
    </w:p>
    <w:p w14:paraId="3C2B8F9A" w14:textId="77777777" w:rsidR="009D335A" w:rsidRPr="00C076DB" w:rsidRDefault="009D335A" w:rsidP="00DC079B">
      <w:pPr>
        <w:pStyle w:val="H23G"/>
        <w:rPr>
          <w:rFonts w:eastAsia="Calibri"/>
          <w:lang w:val="fr-FR"/>
        </w:rPr>
      </w:pPr>
      <w:r w:rsidRPr="00C076DB">
        <w:rPr>
          <w:lang w:val="fr-FR"/>
        </w:rPr>
        <w:tab/>
      </w:r>
      <w:r w:rsidRPr="00C076DB">
        <w:rPr>
          <w:lang w:val="fr-FR"/>
        </w:rPr>
        <w:tab/>
        <w:t xml:space="preserve">Conditions de </w:t>
      </w:r>
      <w:r w:rsidRPr="00DC079B">
        <w:t>détention</w:t>
      </w:r>
    </w:p>
    <w:p w14:paraId="6E30E7D3" w14:textId="3AD6EDF9" w:rsidR="009D335A" w:rsidRPr="00C076DB" w:rsidRDefault="009D335A" w:rsidP="00DC079B">
      <w:pPr>
        <w:pStyle w:val="SingleTxtG"/>
        <w:keepNext/>
        <w:rPr>
          <w:shd w:val="clear" w:color="auto" w:fill="FFFFFF"/>
          <w:lang w:val="fr-FR"/>
        </w:rPr>
      </w:pPr>
      <w:r w:rsidRPr="00C076DB">
        <w:rPr>
          <w:lang w:val="fr-FR"/>
        </w:rPr>
        <w:t>13.</w:t>
      </w:r>
      <w:r w:rsidRPr="00C076DB">
        <w:rPr>
          <w:lang w:val="fr-FR"/>
        </w:rPr>
        <w:tab/>
        <w:t xml:space="preserve">Le Comité prend note des </w:t>
      </w:r>
      <w:r w:rsidRPr="00016D93">
        <w:rPr>
          <w:lang w:val="fr-FR"/>
        </w:rPr>
        <w:t>renseignements fournis</w:t>
      </w:r>
      <w:r w:rsidRPr="00C076DB">
        <w:rPr>
          <w:lang w:val="fr-FR"/>
        </w:rPr>
        <w:t xml:space="preserve"> par l</w:t>
      </w:r>
      <w:r w:rsidR="002354FF">
        <w:rPr>
          <w:lang w:val="fr-FR"/>
        </w:rPr>
        <w:t>’</w:t>
      </w:r>
      <w:r w:rsidRPr="00C076DB">
        <w:rPr>
          <w:lang w:val="fr-FR"/>
        </w:rPr>
        <w:t>État partie au sujet des investissements réalisés dans de nouvelles infrastructures pénitentiaires</w:t>
      </w:r>
      <w:r w:rsidRPr="002354FF">
        <w:rPr>
          <w:rStyle w:val="Appelnotedebasdep"/>
        </w:rPr>
        <w:footnoteReference w:id="27"/>
      </w:r>
      <w:r w:rsidRPr="00C076DB">
        <w:rPr>
          <w:lang w:val="fr-FR"/>
        </w:rPr>
        <w:t>, mais regrette l</w:t>
      </w:r>
      <w:r w:rsidR="002354FF">
        <w:rPr>
          <w:lang w:val="fr-FR"/>
        </w:rPr>
        <w:t>’</w:t>
      </w:r>
      <w:r w:rsidRPr="00C076DB">
        <w:rPr>
          <w:lang w:val="fr-FR"/>
        </w:rPr>
        <w:t>absence d</w:t>
      </w:r>
      <w:r w:rsidR="002354FF">
        <w:rPr>
          <w:lang w:val="fr-FR"/>
        </w:rPr>
        <w:t>’</w:t>
      </w:r>
      <w:r w:rsidRPr="00C076DB">
        <w:rPr>
          <w:lang w:val="fr-FR"/>
        </w:rPr>
        <w:t>informations à jour sur l</w:t>
      </w:r>
      <w:r w:rsidR="002354FF">
        <w:rPr>
          <w:lang w:val="fr-FR"/>
        </w:rPr>
        <w:t>’</w:t>
      </w:r>
      <w:r w:rsidRPr="00C076DB">
        <w:rPr>
          <w:lang w:val="fr-FR"/>
        </w:rPr>
        <w:t>exécution du plan prévoyant la construction de cinq nouveaux établissements de détention</w:t>
      </w:r>
      <w:r w:rsidRPr="002354FF">
        <w:rPr>
          <w:rStyle w:val="Appelnotedebasdep"/>
        </w:rPr>
        <w:footnoteReference w:id="28"/>
      </w:r>
      <w:r w:rsidRPr="00C076DB">
        <w:rPr>
          <w:lang w:val="fr-FR"/>
        </w:rPr>
        <w:t>.</w:t>
      </w:r>
      <w:r w:rsidRPr="00016D93">
        <w:rPr>
          <w:lang w:val="fr-FR"/>
        </w:rPr>
        <w:t xml:space="preserve"> Il</w:t>
      </w:r>
      <w:r w:rsidRPr="00C076DB">
        <w:rPr>
          <w:lang w:val="fr-FR"/>
        </w:rPr>
        <w:t xml:space="preserve"> prend également note des informations communiquées par l</w:t>
      </w:r>
      <w:r w:rsidR="002354FF">
        <w:rPr>
          <w:lang w:val="fr-FR"/>
        </w:rPr>
        <w:t>’</w:t>
      </w:r>
      <w:r w:rsidRPr="00C076DB">
        <w:rPr>
          <w:lang w:val="fr-FR"/>
        </w:rPr>
        <w:t>État partie sur le taux d</w:t>
      </w:r>
      <w:r w:rsidR="002354FF">
        <w:rPr>
          <w:lang w:val="fr-FR"/>
        </w:rPr>
        <w:t>’</w:t>
      </w:r>
      <w:r w:rsidRPr="00C076DB">
        <w:rPr>
          <w:lang w:val="fr-FR"/>
        </w:rPr>
        <w:t>occupation des cellules de garde à vue (3,38 %)</w:t>
      </w:r>
      <w:r w:rsidRPr="002354FF">
        <w:rPr>
          <w:rStyle w:val="Appelnotedebasdep"/>
        </w:rPr>
        <w:footnoteReference w:id="29"/>
      </w:r>
      <w:r w:rsidRPr="00C076DB">
        <w:rPr>
          <w:lang w:val="fr-FR"/>
        </w:rPr>
        <w:t>, mais regrette de ne pas disposer de données statistiques officielles et à jour sur la population carcérale, ventilées par lieu de détention et par taux d</w:t>
      </w:r>
      <w:r w:rsidR="002354FF">
        <w:rPr>
          <w:lang w:val="fr-FR"/>
        </w:rPr>
        <w:t>’</w:t>
      </w:r>
      <w:r w:rsidRPr="00C076DB">
        <w:rPr>
          <w:lang w:val="fr-FR"/>
        </w:rPr>
        <w:t>occupation. Le Comité est par ailleurs préoccupé par</w:t>
      </w:r>
      <w:r w:rsidR="00DC079B">
        <w:rPr>
          <w:lang w:val="fr-FR"/>
        </w:rPr>
        <w:t> </w:t>
      </w:r>
      <w:r w:rsidRPr="00C076DB">
        <w:rPr>
          <w:lang w:val="fr-FR"/>
        </w:rPr>
        <w:t>:</w:t>
      </w:r>
    </w:p>
    <w:p w14:paraId="653A8488" w14:textId="11023307" w:rsidR="009D335A" w:rsidRPr="00C076DB" w:rsidRDefault="009D335A" w:rsidP="00F949EA">
      <w:pPr>
        <w:pStyle w:val="SingleTxtG"/>
        <w:ind w:firstLine="567"/>
        <w:rPr>
          <w:lang w:val="fr-FR"/>
        </w:rPr>
      </w:pPr>
      <w:r w:rsidRPr="00C076DB">
        <w:rPr>
          <w:lang w:val="fr-FR"/>
        </w:rPr>
        <w:t>a)</w:t>
      </w:r>
      <w:r w:rsidRPr="00C076DB">
        <w:rPr>
          <w:lang w:val="fr-FR"/>
        </w:rPr>
        <w:tab/>
        <w:t>Les informations reçues au sujet des conditions de</w:t>
      </w:r>
      <w:r>
        <w:rPr>
          <w:lang w:val="fr-FR"/>
        </w:rPr>
        <w:t>s très mauvaises conditions de</w:t>
      </w:r>
      <w:r w:rsidRPr="00C076DB">
        <w:rPr>
          <w:lang w:val="fr-FR"/>
        </w:rPr>
        <w:t xml:space="preserve"> détention, notamment en ce qui concerne les femmes, dans les établissements pénitentiaires, en particulier</w:t>
      </w:r>
      <w:r w:rsidR="00B73952">
        <w:rPr>
          <w:lang w:val="fr-FR"/>
        </w:rPr>
        <w:t xml:space="preserve"> </w:t>
      </w:r>
      <w:r w:rsidRPr="00C076DB">
        <w:rPr>
          <w:spacing w:val="-1"/>
        </w:rPr>
        <w:t xml:space="preserve">ceux </w:t>
      </w:r>
      <w:r w:rsidRPr="00016D93">
        <w:rPr>
          <w:lang w:val="fr-FR"/>
        </w:rPr>
        <w:t>de</w:t>
      </w:r>
      <w:r w:rsidRPr="00C076DB">
        <w:rPr>
          <w:lang w:val="fr-FR"/>
        </w:rPr>
        <w:t xml:space="preserve"> La Modelo et</w:t>
      </w:r>
      <w:r w:rsidRPr="00016D93">
        <w:rPr>
          <w:lang w:val="fr-FR"/>
        </w:rPr>
        <w:t xml:space="preserve"> de</w:t>
      </w:r>
      <w:r w:rsidRPr="00C076DB">
        <w:rPr>
          <w:lang w:val="fr-FR"/>
        </w:rPr>
        <w:t xml:space="preserve"> La Esperanza, à Tipitapa, ainsi que dans les locaux de la Direction des enquêtes judiciaires à Managua («</w:t>
      </w:r>
      <w:r w:rsidR="00DC079B">
        <w:rPr>
          <w:lang w:val="fr-FR"/>
        </w:rPr>
        <w:t> </w:t>
      </w:r>
      <w:r w:rsidRPr="00C076DB">
        <w:rPr>
          <w:lang w:val="fr-FR"/>
        </w:rPr>
        <w:t>El Chipote</w:t>
      </w:r>
      <w:r w:rsidR="00DC079B">
        <w:rPr>
          <w:lang w:val="fr-FR"/>
        </w:rPr>
        <w:t> </w:t>
      </w:r>
      <w:r w:rsidRPr="00C076DB">
        <w:rPr>
          <w:lang w:val="fr-FR"/>
        </w:rPr>
        <w:t>») et au complexe judiciaire de la police nationale Evaristo Vásquez Sánchez («</w:t>
      </w:r>
      <w:r w:rsidR="00DC079B">
        <w:rPr>
          <w:lang w:val="fr-FR"/>
        </w:rPr>
        <w:t> </w:t>
      </w:r>
      <w:r w:rsidRPr="00C076DB">
        <w:rPr>
          <w:lang w:val="fr-FR"/>
        </w:rPr>
        <w:t>Nuevo Chipote</w:t>
      </w:r>
      <w:r w:rsidR="00DC079B">
        <w:rPr>
          <w:lang w:val="fr-FR"/>
        </w:rPr>
        <w:t> </w:t>
      </w:r>
      <w:r w:rsidRPr="00C076DB">
        <w:rPr>
          <w:lang w:val="fr-FR"/>
        </w:rPr>
        <w:t>»)</w:t>
      </w:r>
      <w:r w:rsidRPr="002354FF">
        <w:rPr>
          <w:rStyle w:val="Appelnotedebasdep"/>
        </w:rPr>
        <w:footnoteReference w:id="30"/>
      </w:r>
      <w:r w:rsidRPr="00C076DB">
        <w:rPr>
          <w:lang w:val="fr-FR"/>
        </w:rPr>
        <w:t xml:space="preserve">, où condamnés et personnes en détention provisoire partagent les mêmes cellules. Le Comité est particulièrement préoccupé par les informations </w:t>
      </w:r>
      <w:r>
        <w:rPr>
          <w:lang w:val="fr-FR"/>
        </w:rPr>
        <w:t>concernant</w:t>
      </w:r>
      <w:r w:rsidRPr="00C076DB">
        <w:rPr>
          <w:lang w:val="fr-FR"/>
        </w:rPr>
        <w:t xml:space="preserve"> </w:t>
      </w:r>
      <w:r w:rsidRPr="00016D93">
        <w:rPr>
          <w:lang w:val="fr-FR"/>
        </w:rPr>
        <w:t xml:space="preserve">la </w:t>
      </w:r>
      <w:r w:rsidRPr="00C076DB">
        <w:rPr>
          <w:lang w:val="fr-FR"/>
        </w:rPr>
        <w:t xml:space="preserve">surpopulation, </w:t>
      </w:r>
      <w:r w:rsidRPr="00016D93">
        <w:rPr>
          <w:lang w:val="fr-FR"/>
        </w:rPr>
        <w:t>l</w:t>
      </w:r>
      <w:r w:rsidR="002354FF">
        <w:rPr>
          <w:lang w:val="fr-FR"/>
        </w:rPr>
        <w:t>’</w:t>
      </w:r>
      <w:r w:rsidRPr="00016D93">
        <w:rPr>
          <w:lang w:val="fr-FR"/>
        </w:rPr>
        <w:t xml:space="preserve">insalubrité, </w:t>
      </w:r>
      <w:r>
        <w:rPr>
          <w:lang w:val="fr-FR"/>
        </w:rPr>
        <w:t>le</w:t>
      </w:r>
      <w:r w:rsidRPr="00C076DB">
        <w:rPr>
          <w:lang w:val="fr-FR"/>
        </w:rPr>
        <w:t xml:space="preserve"> manque d</w:t>
      </w:r>
      <w:r w:rsidR="002354FF">
        <w:rPr>
          <w:lang w:val="fr-FR"/>
        </w:rPr>
        <w:t>’</w:t>
      </w:r>
      <w:r w:rsidRPr="00C076DB">
        <w:rPr>
          <w:lang w:val="fr-FR"/>
        </w:rPr>
        <w:t>aération et d</w:t>
      </w:r>
      <w:r w:rsidR="002354FF">
        <w:rPr>
          <w:lang w:val="fr-FR"/>
        </w:rPr>
        <w:t>’</w:t>
      </w:r>
      <w:r w:rsidRPr="00C076DB">
        <w:rPr>
          <w:lang w:val="fr-FR"/>
        </w:rPr>
        <w:t xml:space="preserve">accès à la lumière naturelle, </w:t>
      </w:r>
      <w:r w:rsidRPr="00016D93">
        <w:rPr>
          <w:lang w:val="fr-FR"/>
        </w:rPr>
        <w:t xml:space="preserve">la </w:t>
      </w:r>
      <w:r w:rsidRPr="00C076DB">
        <w:rPr>
          <w:lang w:val="fr-FR"/>
        </w:rPr>
        <w:t xml:space="preserve">malnutrition et </w:t>
      </w:r>
      <w:r w:rsidRPr="00016D93">
        <w:rPr>
          <w:lang w:val="fr-FR"/>
        </w:rPr>
        <w:t>l</w:t>
      </w:r>
      <w:r w:rsidR="002354FF">
        <w:rPr>
          <w:lang w:val="fr-FR"/>
        </w:rPr>
        <w:t>’</w:t>
      </w:r>
      <w:r w:rsidRPr="00016D93">
        <w:rPr>
          <w:lang w:val="fr-FR"/>
        </w:rPr>
        <w:t>accès</w:t>
      </w:r>
      <w:r w:rsidRPr="00C076DB">
        <w:rPr>
          <w:lang w:val="fr-FR"/>
        </w:rPr>
        <w:t xml:space="preserve"> limité à l</w:t>
      </w:r>
      <w:r w:rsidR="002354FF">
        <w:rPr>
          <w:lang w:val="fr-FR"/>
        </w:rPr>
        <w:t>’</w:t>
      </w:r>
      <w:r w:rsidRPr="00C076DB">
        <w:rPr>
          <w:lang w:val="fr-FR"/>
        </w:rPr>
        <w:t>eau potable et aux médicaments dans ces centres pénitentiaires</w:t>
      </w:r>
      <w:r w:rsidRPr="002354FF">
        <w:rPr>
          <w:rStyle w:val="Appelnotedebasdep"/>
        </w:rPr>
        <w:footnoteReference w:id="31"/>
      </w:r>
      <w:r w:rsidR="00F949EA">
        <w:rPr>
          <w:lang w:val="fr-FR"/>
        </w:rPr>
        <w:t> ;</w:t>
      </w:r>
    </w:p>
    <w:p w14:paraId="10FB516A" w14:textId="02E47251" w:rsidR="009D335A" w:rsidRPr="00C076DB" w:rsidRDefault="009D335A" w:rsidP="00F949EA">
      <w:pPr>
        <w:pStyle w:val="SingleTxtG"/>
        <w:ind w:firstLine="567"/>
        <w:rPr>
          <w:lang w:val="fr-FR"/>
        </w:rPr>
      </w:pPr>
      <w:r w:rsidRPr="00C076DB">
        <w:rPr>
          <w:lang w:val="fr-FR"/>
        </w:rPr>
        <w:t>b)</w:t>
      </w:r>
      <w:r w:rsidRPr="00C076DB">
        <w:rPr>
          <w:lang w:val="fr-FR"/>
        </w:rPr>
        <w:tab/>
        <w:t>Les informations signalant des difficultés d</w:t>
      </w:r>
      <w:r w:rsidR="002354FF">
        <w:rPr>
          <w:lang w:val="fr-FR"/>
        </w:rPr>
        <w:t>’</w:t>
      </w:r>
      <w:r w:rsidRPr="00C076DB">
        <w:rPr>
          <w:lang w:val="fr-FR"/>
        </w:rPr>
        <w:t xml:space="preserve">accès à des soins médicaux adéquats, concernant en particulier les personnes privées de liberté qui souffrent de maladies chroniques ou </w:t>
      </w:r>
      <w:r>
        <w:rPr>
          <w:lang w:val="fr-FR"/>
        </w:rPr>
        <w:t xml:space="preserve">qui </w:t>
      </w:r>
      <w:r w:rsidRPr="00C076DB">
        <w:rPr>
          <w:lang w:val="fr-FR"/>
        </w:rPr>
        <w:t xml:space="preserve">présentent des symptômes de la </w:t>
      </w:r>
      <w:r w:rsidRPr="00016D93">
        <w:rPr>
          <w:lang w:val="fr-FR"/>
        </w:rPr>
        <w:t>maladie à coronavirus 2019</w:t>
      </w:r>
      <w:r w:rsidRPr="002354FF">
        <w:rPr>
          <w:rStyle w:val="Appelnotedebasdep"/>
        </w:rPr>
        <w:footnoteReference w:id="32"/>
      </w:r>
      <w:r w:rsidR="00F949EA">
        <w:rPr>
          <w:lang w:val="fr-FR"/>
        </w:rPr>
        <w:t> ;</w:t>
      </w:r>
    </w:p>
    <w:p w14:paraId="146F1A97" w14:textId="46AA0246" w:rsidR="009D335A" w:rsidRPr="00C076DB" w:rsidRDefault="009D335A" w:rsidP="00F949EA">
      <w:pPr>
        <w:pStyle w:val="SingleTxtG"/>
        <w:ind w:firstLine="567"/>
        <w:rPr>
          <w:lang w:val="fr-FR"/>
        </w:rPr>
      </w:pPr>
      <w:r w:rsidRPr="00C076DB">
        <w:rPr>
          <w:lang w:val="fr-FR"/>
        </w:rPr>
        <w:lastRenderedPageBreak/>
        <w:t>c)</w:t>
      </w:r>
      <w:r w:rsidRPr="00C076DB">
        <w:rPr>
          <w:lang w:val="fr-FR"/>
        </w:rPr>
        <w:tab/>
        <w:t>Les signalements d</w:t>
      </w:r>
      <w:r w:rsidR="002354FF">
        <w:rPr>
          <w:lang w:val="fr-FR"/>
        </w:rPr>
        <w:t>’</w:t>
      </w:r>
      <w:r w:rsidRPr="00C076DB">
        <w:rPr>
          <w:lang w:val="fr-FR"/>
        </w:rPr>
        <w:t>agressions et de violences sexuelles dans les centres de détention, que subiraient en nombre particulièrement élevé les détenues</w:t>
      </w:r>
      <w:r w:rsidRPr="002354FF">
        <w:rPr>
          <w:rStyle w:val="Appelnotedebasdep"/>
        </w:rPr>
        <w:footnoteReference w:id="33"/>
      </w:r>
      <w:r w:rsidRPr="00C076DB">
        <w:rPr>
          <w:lang w:val="fr-FR"/>
        </w:rPr>
        <w:t>, en particulier les femmes transgenres incarcérées dans des prisons pour hommes</w:t>
      </w:r>
      <w:r w:rsidRPr="002354FF">
        <w:rPr>
          <w:rStyle w:val="Appelnotedebasdep"/>
        </w:rPr>
        <w:footnoteReference w:id="34"/>
      </w:r>
      <w:r w:rsidR="00DC079B">
        <w:rPr>
          <w:lang w:val="fr-FR"/>
        </w:rPr>
        <w:t> </w:t>
      </w:r>
      <w:r w:rsidRPr="00016D93">
        <w:rPr>
          <w:lang w:val="fr-FR"/>
        </w:rPr>
        <w:t>;</w:t>
      </w:r>
    </w:p>
    <w:p w14:paraId="055BC67C" w14:textId="1F4FA648" w:rsidR="009D335A" w:rsidRPr="00C076DB" w:rsidRDefault="009D335A" w:rsidP="00F949EA">
      <w:pPr>
        <w:pStyle w:val="SingleTxtG"/>
        <w:ind w:firstLine="567"/>
        <w:rPr>
          <w:lang w:val="fr-FR"/>
        </w:rPr>
      </w:pPr>
      <w:r w:rsidRPr="00C076DB">
        <w:rPr>
          <w:lang w:val="fr-FR"/>
        </w:rPr>
        <w:t>d)</w:t>
      </w:r>
      <w:r w:rsidRPr="00C076DB">
        <w:rPr>
          <w:lang w:val="fr-FR"/>
        </w:rPr>
        <w:tab/>
        <w:t>Le manque d</w:t>
      </w:r>
      <w:r w:rsidR="002354FF">
        <w:rPr>
          <w:lang w:val="fr-FR"/>
        </w:rPr>
        <w:t>’</w:t>
      </w:r>
      <w:r w:rsidRPr="00C076DB">
        <w:rPr>
          <w:lang w:val="fr-FR"/>
        </w:rPr>
        <w:t>informations sur les résultats des enquêtes menées sur tous les décès en détention survenus au cours de la période considérée</w:t>
      </w:r>
      <w:r w:rsidRPr="002354FF">
        <w:rPr>
          <w:rStyle w:val="Appelnotedebasdep"/>
        </w:rPr>
        <w:footnoteReference w:id="35"/>
      </w:r>
      <w:r w:rsidRPr="00C076DB">
        <w:rPr>
          <w:lang w:val="fr-FR"/>
        </w:rPr>
        <w:t xml:space="preserve">, ainsi que sur les mesures concrètes adoptées pour </w:t>
      </w:r>
      <w:r w:rsidRPr="00016D93">
        <w:rPr>
          <w:lang w:val="fr-FR"/>
        </w:rPr>
        <w:t>éviter que de tels cas ne se reproduisent</w:t>
      </w:r>
      <w:r w:rsidR="00F949EA">
        <w:rPr>
          <w:lang w:val="fr-FR"/>
        </w:rPr>
        <w:t> ;</w:t>
      </w:r>
    </w:p>
    <w:p w14:paraId="2CDA3C4B" w14:textId="0AA12BFC" w:rsidR="009D335A" w:rsidRPr="00C076DB" w:rsidRDefault="009D335A" w:rsidP="00F949EA">
      <w:pPr>
        <w:pStyle w:val="SingleTxtG"/>
        <w:ind w:firstLine="567"/>
        <w:rPr>
          <w:shd w:val="clear" w:color="auto" w:fill="FFFFFF"/>
          <w:lang w:val="fr-FR"/>
        </w:rPr>
      </w:pPr>
      <w:r w:rsidRPr="00C076DB">
        <w:rPr>
          <w:lang w:val="fr-FR"/>
        </w:rPr>
        <w:t>e)</w:t>
      </w:r>
      <w:r w:rsidRPr="00C076DB">
        <w:rPr>
          <w:lang w:val="fr-FR"/>
        </w:rPr>
        <w:tab/>
        <w:t>Le refus d</w:t>
      </w:r>
      <w:r w:rsidR="002354FF">
        <w:rPr>
          <w:lang w:val="fr-FR"/>
        </w:rPr>
        <w:t>’</w:t>
      </w:r>
      <w:r w:rsidRPr="00C076DB">
        <w:rPr>
          <w:lang w:val="fr-FR"/>
        </w:rPr>
        <w:t>autoriser l</w:t>
      </w:r>
      <w:r w:rsidR="002354FF">
        <w:rPr>
          <w:lang w:val="fr-FR"/>
        </w:rPr>
        <w:t>’</w:t>
      </w:r>
      <w:r w:rsidRPr="00C076DB">
        <w:rPr>
          <w:lang w:val="fr-FR"/>
        </w:rPr>
        <w:t>accès aux lieux de privation de liberté aux représentants du HCDH et d</w:t>
      </w:r>
      <w:r w:rsidR="002354FF">
        <w:rPr>
          <w:lang w:val="fr-FR"/>
        </w:rPr>
        <w:t>’</w:t>
      </w:r>
      <w:r w:rsidRPr="00C076DB">
        <w:rPr>
          <w:lang w:val="fr-FR"/>
        </w:rPr>
        <w:t>autres organisations internationales, ainsi qu</w:t>
      </w:r>
      <w:r w:rsidR="002354FF">
        <w:rPr>
          <w:lang w:val="fr-FR"/>
        </w:rPr>
        <w:t>’</w:t>
      </w:r>
      <w:r w:rsidRPr="00C076DB">
        <w:rPr>
          <w:lang w:val="fr-FR"/>
        </w:rPr>
        <w:t>aux organisations non gouvernementales humanitaires et de défense des droits de l</w:t>
      </w:r>
      <w:r w:rsidR="002354FF">
        <w:rPr>
          <w:lang w:val="fr-FR"/>
        </w:rPr>
        <w:t>’</w:t>
      </w:r>
      <w:r w:rsidRPr="00C076DB">
        <w:rPr>
          <w:lang w:val="fr-FR"/>
        </w:rPr>
        <w:t>homme (</w:t>
      </w:r>
      <w:r w:rsidR="00F949EA">
        <w:rPr>
          <w:lang w:val="fr-FR"/>
        </w:rPr>
        <w:t>art. </w:t>
      </w:r>
      <w:r w:rsidRPr="00C076DB">
        <w:rPr>
          <w:lang w:val="fr-FR"/>
        </w:rPr>
        <w:t>2, 11 et 16).</w:t>
      </w:r>
    </w:p>
    <w:p w14:paraId="4B47DA65" w14:textId="028B49DF" w:rsidR="009D335A" w:rsidRPr="00C076DB" w:rsidRDefault="009D335A" w:rsidP="00DC079B">
      <w:pPr>
        <w:pStyle w:val="SingleTxtG"/>
        <w:keepNext/>
        <w:rPr>
          <w:b/>
          <w:lang w:val="fr-FR"/>
        </w:rPr>
      </w:pPr>
      <w:r w:rsidRPr="00C076DB">
        <w:rPr>
          <w:lang w:val="fr-FR"/>
        </w:rPr>
        <w:t>14.</w:t>
      </w:r>
      <w:r w:rsidRPr="00C076DB">
        <w:rPr>
          <w:lang w:val="fr-FR"/>
        </w:rPr>
        <w:tab/>
      </w:r>
      <w:r w:rsidRPr="00C076DB">
        <w:rPr>
          <w:b/>
          <w:lang w:val="fr-FR"/>
        </w:rPr>
        <w:t>Le Comité e</w:t>
      </w:r>
      <w:r>
        <w:rPr>
          <w:b/>
          <w:lang w:val="fr-FR"/>
        </w:rPr>
        <w:t>ngage instamment</w:t>
      </w:r>
      <w:r w:rsidR="00B73952">
        <w:rPr>
          <w:b/>
          <w:lang w:val="fr-FR"/>
        </w:rPr>
        <w:t xml:space="preserve"> </w:t>
      </w:r>
      <w:r w:rsidRPr="00C076DB">
        <w:rPr>
          <w:b/>
          <w:lang w:val="fr-FR"/>
        </w:rPr>
        <w:t>l</w:t>
      </w:r>
      <w:r w:rsidR="002354FF">
        <w:rPr>
          <w:b/>
          <w:lang w:val="fr-FR"/>
        </w:rPr>
        <w:t>’</w:t>
      </w:r>
      <w:r w:rsidRPr="00C076DB">
        <w:rPr>
          <w:b/>
          <w:lang w:val="fr-FR"/>
        </w:rPr>
        <w:t>État partie à</w:t>
      </w:r>
      <w:r w:rsidR="00DC079B">
        <w:rPr>
          <w:b/>
          <w:bCs/>
          <w:lang w:val="fr-FR"/>
        </w:rPr>
        <w:t> </w:t>
      </w:r>
      <w:r w:rsidRPr="00C076DB">
        <w:rPr>
          <w:b/>
          <w:lang w:val="fr-FR"/>
        </w:rPr>
        <w:t>:</w:t>
      </w:r>
    </w:p>
    <w:p w14:paraId="1E9223AB" w14:textId="313AFF02" w:rsidR="009D335A" w:rsidRPr="00C076DB" w:rsidRDefault="009D335A" w:rsidP="00F949EA">
      <w:pPr>
        <w:pStyle w:val="SingleTxtG"/>
        <w:ind w:firstLine="567"/>
        <w:rPr>
          <w:b/>
          <w:lang w:val="fr-FR"/>
        </w:rPr>
      </w:pPr>
      <w:r w:rsidRPr="00DC079B">
        <w:rPr>
          <w:bCs/>
          <w:lang w:val="fr-FR"/>
        </w:rPr>
        <w:t>a)</w:t>
      </w:r>
      <w:r w:rsidRPr="00DC079B">
        <w:rPr>
          <w:bCs/>
          <w:lang w:val="fr-FR"/>
        </w:rPr>
        <w:tab/>
      </w:r>
      <w:r w:rsidRPr="00C076DB">
        <w:rPr>
          <w:b/>
          <w:lang w:val="fr-FR"/>
        </w:rPr>
        <w:t>Faire en sorte que les conditions de détention soient pleinement conformes à l</w:t>
      </w:r>
      <w:r w:rsidR="002354FF">
        <w:rPr>
          <w:b/>
          <w:lang w:val="fr-FR"/>
        </w:rPr>
        <w:t>’</w:t>
      </w:r>
      <w:r w:rsidRPr="00C076DB">
        <w:rPr>
          <w:b/>
          <w:lang w:val="fr-FR"/>
        </w:rPr>
        <w:t>Ensemble de règles minima des Nations Unies pour le traitement des détenus (Règles Nelson Mandela) et aux Règles des Nations Unies concernant le traitement des détenues et l</w:t>
      </w:r>
      <w:r w:rsidR="002354FF">
        <w:rPr>
          <w:b/>
          <w:lang w:val="fr-FR"/>
        </w:rPr>
        <w:t>’</w:t>
      </w:r>
      <w:r w:rsidRPr="00C076DB">
        <w:rPr>
          <w:b/>
          <w:lang w:val="fr-FR"/>
        </w:rPr>
        <w:t>imposition de mesures non privatives de liberté aux délinquantes (Règles de Bangkok</w:t>
      </w:r>
      <w:r w:rsidRPr="00016D93">
        <w:rPr>
          <w:b/>
          <w:bCs/>
          <w:lang w:val="fr-FR"/>
        </w:rPr>
        <w:t>),</w:t>
      </w:r>
      <w:r w:rsidRPr="00C076DB">
        <w:rPr>
          <w:b/>
          <w:lang w:val="fr-FR"/>
        </w:rPr>
        <w:t xml:space="preserve"> et </w:t>
      </w:r>
      <w:r w:rsidRPr="00016D93">
        <w:rPr>
          <w:b/>
          <w:bCs/>
          <w:lang w:val="fr-FR"/>
        </w:rPr>
        <w:t xml:space="preserve">veiller, </w:t>
      </w:r>
      <w:r w:rsidRPr="00C076DB">
        <w:rPr>
          <w:b/>
          <w:lang w:val="fr-FR"/>
        </w:rPr>
        <w:t>notamment</w:t>
      </w:r>
      <w:r w:rsidRPr="00016D93">
        <w:rPr>
          <w:b/>
          <w:bCs/>
          <w:lang w:val="fr-FR"/>
        </w:rPr>
        <w:t>,</w:t>
      </w:r>
      <w:r w:rsidRPr="00C076DB">
        <w:rPr>
          <w:b/>
          <w:lang w:val="fr-FR"/>
        </w:rPr>
        <w:t xml:space="preserve"> à ce que les personnes privées le liberté reçoivent une alimentation convenable et des soins médicaux appropriés</w:t>
      </w:r>
      <w:r w:rsidR="00F949EA">
        <w:rPr>
          <w:b/>
          <w:bCs/>
          <w:lang w:val="fr-FR"/>
        </w:rPr>
        <w:t> ;</w:t>
      </w:r>
    </w:p>
    <w:p w14:paraId="676F1BD4" w14:textId="5964AE5F" w:rsidR="009D335A" w:rsidRPr="00C076DB" w:rsidRDefault="009D335A" w:rsidP="00F949EA">
      <w:pPr>
        <w:pStyle w:val="SingleTxtG"/>
        <w:ind w:firstLine="567"/>
        <w:rPr>
          <w:rFonts w:eastAsia="Cambria"/>
          <w:b/>
          <w:lang w:val="fr-FR"/>
        </w:rPr>
      </w:pPr>
      <w:r w:rsidRPr="00DC079B">
        <w:rPr>
          <w:bCs/>
          <w:lang w:val="fr-FR"/>
        </w:rPr>
        <w:t>b)</w:t>
      </w:r>
      <w:r w:rsidRPr="00DC079B">
        <w:rPr>
          <w:bCs/>
          <w:lang w:val="fr-FR"/>
        </w:rPr>
        <w:tab/>
      </w:r>
      <w:r w:rsidRPr="00C076DB">
        <w:rPr>
          <w:b/>
          <w:lang w:val="fr-FR"/>
        </w:rPr>
        <w:t>Veiller à ce que les personnes en détention provisoire soient strictement séparées des condamnés qui purgent une peine</w:t>
      </w:r>
      <w:r>
        <w:rPr>
          <w:b/>
          <w:bCs/>
          <w:lang w:val="fr-FR"/>
        </w:rPr>
        <w:t xml:space="preserve"> et, </w:t>
      </w:r>
      <w:r w:rsidRPr="00C076DB">
        <w:rPr>
          <w:b/>
          <w:lang w:val="fr-FR"/>
        </w:rPr>
        <w:t xml:space="preserve">dans les établissements pénitentiaires mixtes, à ce que le quartier des femmes soit entièrement séparé </w:t>
      </w:r>
      <w:r w:rsidRPr="00016D93">
        <w:rPr>
          <w:b/>
          <w:bCs/>
          <w:lang w:val="fr-FR"/>
        </w:rPr>
        <w:t>de celui</w:t>
      </w:r>
      <w:r w:rsidRPr="00C076DB">
        <w:rPr>
          <w:b/>
          <w:lang w:val="fr-FR"/>
        </w:rPr>
        <w:t xml:space="preserve"> des</w:t>
      </w:r>
      <w:r w:rsidRPr="00016D93">
        <w:rPr>
          <w:b/>
          <w:bCs/>
          <w:lang w:val="fr-FR"/>
        </w:rPr>
        <w:t xml:space="preserve"> </w:t>
      </w:r>
      <w:r w:rsidRPr="00C076DB">
        <w:rPr>
          <w:b/>
          <w:lang w:val="fr-FR"/>
        </w:rPr>
        <w:t>hommes</w:t>
      </w:r>
      <w:r w:rsidR="00F949EA">
        <w:rPr>
          <w:b/>
          <w:lang w:val="fr-FR"/>
        </w:rPr>
        <w:t> ;</w:t>
      </w:r>
    </w:p>
    <w:p w14:paraId="2C8B8383" w14:textId="7709A0FF" w:rsidR="009D335A" w:rsidRPr="00C076DB" w:rsidRDefault="009D335A" w:rsidP="00F949EA">
      <w:pPr>
        <w:pStyle w:val="SingleTxtG"/>
        <w:ind w:firstLine="567"/>
        <w:rPr>
          <w:b/>
          <w:lang w:val="fr-FR"/>
        </w:rPr>
      </w:pPr>
      <w:r w:rsidRPr="00DC079B">
        <w:rPr>
          <w:bCs/>
          <w:lang w:val="fr-FR"/>
        </w:rPr>
        <w:t>c)</w:t>
      </w:r>
      <w:r w:rsidRPr="00DC079B">
        <w:rPr>
          <w:bCs/>
          <w:lang w:val="fr-FR"/>
        </w:rPr>
        <w:tab/>
      </w:r>
      <w:r w:rsidRPr="00016D93">
        <w:rPr>
          <w:b/>
          <w:bCs/>
          <w:lang w:val="fr-FR"/>
        </w:rPr>
        <w:t>Faire en sorte</w:t>
      </w:r>
      <w:r w:rsidRPr="00C076DB">
        <w:rPr>
          <w:b/>
          <w:lang w:val="fr-FR"/>
        </w:rPr>
        <w:t xml:space="preserve"> que tous les cas de décès de personnes privées de liberté fassent rapidement l</w:t>
      </w:r>
      <w:r w:rsidR="002354FF">
        <w:rPr>
          <w:b/>
          <w:lang w:val="fr-FR"/>
        </w:rPr>
        <w:t>’</w:t>
      </w:r>
      <w:r w:rsidRPr="00C076DB">
        <w:rPr>
          <w:b/>
          <w:lang w:val="fr-FR"/>
        </w:rPr>
        <w:t>objet d</w:t>
      </w:r>
      <w:r w:rsidR="002354FF">
        <w:rPr>
          <w:b/>
          <w:lang w:val="fr-FR"/>
        </w:rPr>
        <w:t>’</w:t>
      </w:r>
      <w:r w:rsidRPr="00C076DB">
        <w:rPr>
          <w:b/>
          <w:lang w:val="fr-FR"/>
        </w:rPr>
        <w:t>une enquête impartiale menée par un organisme indépendant en tenant dûment compte du Protocole du Minnesota relatif aux enquêtes sur les décès résultant potentiellement d</w:t>
      </w:r>
      <w:r w:rsidR="002354FF">
        <w:rPr>
          <w:b/>
          <w:lang w:val="fr-FR"/>
        </w:rPr>
        <w:t>’</w:t>
      </w:r>
      <w:r w:rsidRPr="00C076DB">
        <w:rPr>
          <w:b/>
          <w:lang w:val="fr-FR"/>
        </w:rPr>
        <w:t>actes illégaux, et, s</w:t>
      </w:r>
      <w:r w:rsidR="002354FF">
        <w:rPr>
          <w:b/>
          <w:lang w:val="fr-FR"/>
        </w:rPr>
        <w:t>’</w:t>
      </w:r>
      <w:r w:rsidRPr="00C076DB">
        <w:rPr>
          <w:b/>
          <w:lang w:val="fr-FR"/>
        </w:rPr>
        <w:t xml:space="preserve">il y a lieu, punir </w:t>
      </w:r>
      <w:r>
        <w:rPr>
          <w:b/>
          <w:lang w:val="fr-FR"/>
        </w:rPr>
        <w:t>comme il se doit</w:t>
      </w:r>
      <w:r w:rsidRPr="00C076DB">
        <w:rPr>
          <w:b/>
          <w:lang w:val="fr-FR"/>
        </w:rPr>
        <w:t xml:space="preserve"> les responsables, et accorder une indemnisation juste et adéquate aux proches</w:t>
      </w:r>
      <w:r w:rsidR="00DC079B">
        <w:rPr>
          <w:b/>
          <w:lang w:val="fr-FR"/>
        </w:rPr>
        <w:t> </w:t>
      </w:r>
      <w:r>
        <w:rPr>
          <w:b/>
          <w:lang w:val="fr-FR"/>
        </w:rPr>
        <w:t>; revoir la question de l</w:t>
      </w:r>
      <w:r w:rsidR="002354FF">
        <w:rPr>
          <w:b/>
          <w:lang w:val="fr-FR"/>
        </w:rPr>
        <w:t>’</w:t>
      </w:r>
      <w:r w:rsidRPr="00C076DB">
        <w:rPr>
          <w:b/>
          <w:lang w:val="fr-FR"/>
        </w:rPr>
        <w:t>efficacité des stratégies et des programmes de prévention du suicide</w:t>
      </w:r>
      <w:r w:rsidRPr="00016D93">
        <w:rPr>
          <w:b/>
          <w:bCs/>
          <w:lang w:val="fr-FR"/>
        </w:rPr>
        <w:t xml:space="preserve"> et de la violence dans les centres pénitentiaires</w:t>
      </w:r>
      <w:r w:rsidR="00554DD7">
        <w:rPr>
          <w:b/>
          <w:bCs/>
          <w:lang w:val="fr-FR"/>
        </w:rPr>
        <w:t> </w:t>
      </w:r>
      <w:r>
        <w:rPr>
          <w:b/>
          <w:lang w:val="fr-FR"/>
        </w:rPr>
        <w:t xml:space="preserve">; </w:t>
      </w:r>
      <w:r w:rsidRPr="00C076DB">
        <w:rPr>
          <w:b/>
          <w:lang w:val="fr-FR"/>
        </w:rPr>
        <w:t>communiquer au Comité des données détaillées sur les décès en détention et sur leurs causes</w:t>
      </w:r>
      <w:r w:rsidR="00F949EA">
        <w:rPr>
          <w:b/>
          <w:bCs/>
          <w:lang w:val="fr-FR"/>
        </w:rPr>
        <w:t> ;</w:t>
      </w:r>
    </w:p>
    <w:p w14:paraId="7F40F6DA" w14:textId="4170AAE8" w:rsidR="009D335A" w:rsidRPr="00C076DB" w:rsidRDefault="009D335A" w:rsidP="00F949EA">
      <w:pPr>
        <w:pStyle w:val="SingleTxtG"/>
        <w:ind w:firstLine="567"/>
        <w:rPr>
          <w:b/>
          <w:lang w:val="fr-FR"/>
        </w:rPr>
      </w:pPr>
      <w:r w:rsidRPr="00DF4550">
        <w:rPr>
          <w:bCs/>
          <w:lang w:val="fr-FR"/>
        </w:rPr>
        <w:t>d)</w:t>
      </w:r>
      <w:r w:rsidRPr="00DF4550">
        <w:rPr>
          <w:bCs/>
          <w:lang w:val="fr-FR"/>
        </w:rPr>
        <w:tab/>
      </w:r>
      <w:r w:rsidRPr="00C076DB">
        <w:rPr>
          <w:b/>
          <w:lang w:val="fr-FR"/>
        </w:rPr>
        <w:t>Permettre que les centres de détention fassent l</w:t>
      </w:r>
      <w:r w:rsidR="002354FF">
        <w:rPr>
          <w:b/>
          <w:lang w:val="fr-FR"/>
        </w:rPr>
        <w:t>’</w:t>
      </w:r>
      <w:r w:rsidRPr="00C076DB">
        <w:rPr>
          <w:b/>
          <w:lang w:val="fr-FR"/>
        </w:rPr>
        <w:t>objet d</w:t>
      </w:r>
      <w:r w:rsidR="002354FF">
        <w:rPr>
          <w:b/>
          <w:lang w:val="fr-FR"/>
        </w:rPr>
        <w:t>’</w:t>
      </w:r>
      <w:r w:rsidRPr="00C076DB">
        <w:rPr>
          <w:b/>
          <w:lang w:val="fr-FR"/>
        </w:rPr>
        <w:t>inspections indépendantes et inopinées par des organismes nationaux et des organisations internationales, sans entrave et sans préavis</w:t>
      </w:r>
      <w:r w:rsidR="00DC079B">
        <w:rPr>
          <w:b/>
          <w:lang w:val="fr-FR"/>
        </w:rPr>
        <w:t> </w:t>
      </w:r>
      <w:r>
        <w:rPr>
          <w:b/>
          <w:lang w:val="fr-FR"/>
        </w:rPr>
        <w:t>; a</w:t>
      </w:r>
      <w:r w:rsidRPr="00C076DB">
        <w:rPr>
          <w:b/>
          <w:lang w:val="fr-FR"/>
        </w:rPr>
        <w:t>utoriser les organisations non gouvernementales humanitaires et de défense des droits de l</w:t>
      </w:r>
      <w:r w:rsidR="002354FF">
        <w:rPr>
          <w:b/>
          <w:lang w:val="fr-FR"/>
        </w:rPr>
        <w:t>’</w:t>
      </w:r>
      <w:r w:rsidRPr="00C076DB">
        <w:rPr>
          <w:b/>
          <w:lang w:val="fr-FR"/>
        </w:rPr>
        <w:t>homme à mener des activités de surveillance dans tous les lieux de détention</w:t>
      </w:r>
      <w:r w:rsidR="00F949EA">
        <w:rPr>
          <w:b/>
          <w:bCs/>
          <w:lang w:val="fr-FR"/>
        </w:rPr>
        <w:t> ;</w:t>
      </w:r>
    </w:p>
    <w:p w14:paraId="7A4B0739" w14:textId="27AA839C" w:rsidR="009D335A" w:rsidRPr="00C076DB" w:rsidRDefault="009D335A" w:rsidP="00F949EA">
      <w:pPr>
        <w:pStyle w:val="SingleTxtG"/>
        <w:ind w:firstLine="567"/>
        <w:rPr>
          <w:b/>
          <w:lang w:val="fr-FR"/>
        </w:rPr>
      </w:pPr>
      <w:r w:rsidRPr="00DF4550">
        <w:rPr>
          <w:bCs/>
          <w:lang w:val="fr-FR"/>
        </w:rPr>
        <w:t>e)</w:t>
      </w:r>
      <w:r w:rsidRPr="00DF4550">
        <w:rPr>
          <w:bCs/>
          <w:lang w:val="fr-FR"/>
        </w:rPr>
        <w:tab/>
      </w:r>
      <w:r w:rsidRPr="00016D93">
        <w:rPr>
          <w:b/>
          <w:bCs/>
          <w:lang w:val="fr-FR"/>
        </w:rPr>
        <w:t>Recueillir</w:t>
      </w:r>
      <w:r w:rsidRPr="00C076DB">
        <w:rPr>
          <w:b/>
          <w:lang w:val="fr-FR"/>
        </w:rPr>
        <w:t xml:space="preserve"> et publier des données sur la capacité maximale et le taux d</w:t>
      </w:r>
      <w:r w:rsidR="002354FF">
        <w:rPr>
          <w:b/>
          <w:lang w:val="fr-FR"/>
        </w:rPr>
        <w:t>’</w:t>
      </w:r>
      <w:r w:rsidRPr="00C076DB">
        <w:rPr>
          <w:b/>
          <w:lang w:val="fr-FR"/>
        </w:rPr>
        <w:t>occupation</w:t>
      </w:r>
      <w:r>
        <w:rPr>
          <w:b/>
          <w:lang w:val="fr-FR"/>
        </w:rPr>
        <w:t xml:space="preserve"> de tous les lieux de détention du pays</w:t>
      </w:r>
      <w:r w:rsidRPr="00C076DB">
        <w:rPr>
          <w:b/>
          <w:lang w:val="fr-FR"/>
        </w:rPr>
        <w:t xml:space="preserve">, ainsi que sur le nombre de condamnés et de </w:t>
      </w:r>
      <w:r>
        <w:rPr>
          <w:b/>
          <w:lang w:val="fr-FR"/>
        </w:rPr>
        <w:t>détenus provisoires qui s</w:t>
      </w:r>
      <w:r w:rsidR="002354FF">
        <w:rPr>
          <w:b/>
          <w:lang w:val="fr-FR"/>
        </w:rPr>
        <w:t>’</w:t>
      </w:r>
      <w:r>
        <w:rPr>
          <w:b/>
          <w:lang w:val="fr-FR"/>
        </w:rPr>
        <w:t>y trouvent</w:t>
      </w:r>
      <w:r w:rsidRPr="00C076DB">
        <w:rPr>
          <w:b/>
          <w:lang w:val="fr-FR"/>
        </w:rPr>
        <w:t>.</w:t>
      </w:r>
    </w:p>
    <w:p w14:paraId="2B6103A1" w14:textId="171F5E15" w:rsidR="009D335A" w:rsidRPr="00C076DB" w:rsidRDefault="009D335A" w:rsidP="00DC079B">
      <w:pPr>
        <w:pStyle w:val="H23G"/>
        <w:rPr>
          <w:lang w:val="fr-FR"/>
        </w:rPr>
      </w:pPr>
      <w:r w:rsidRPr="00C076DB">
        <w:rPr>
          <w:lang w:val="fr-FR"/>
        </w:rPr>
        <w:tab/>
      </w:r>
      <w:r w:rsidRPr="00C076DB">
        <w:rPr>
          <w:lang w:val="fr-FR"/>
        </w:rPr>
        <w:tab/>
      </w:r>
      <w:r w:rsidRPr="00016D93">
        <w:rPr>
          <w:bCs/>
          <w:lang w:val="fr-FR"/>
        </w:rPr>
        <w:t>Mise à l</w:t>
      </w:r>
      <w:r w:rsidR="002354FF">
        <w:rPr>
          <w:bCs/>
          <w:lang w:val="fr-FR"/>
        </w:rPr>
        <w:t>’</w:t>
      </w:r>
      <w:r w:rsidRPr="00016D93">
        <w:rPr>
          <w:bCs/>
          <w:lang w:val="fr-FR"/>
        </w:rPr>
        <w:t>isolement</w:t>
      </w:r>
      <w:r w:rsidRPr="00C076DB">
        <w:rPr>
          <w:lang w:val="fr-FR"/>
        </w:rPr>
        <w:t>, sanctions disciplinaires et punitions</w:t>
      </w:r>
      <w:r w:rsidRPr="00016D93">
        <w:rPr>
          <w:lang w:val="fr-FR"/>
        </w:rPr>
        <w:t xml:space="preserve"> </w:t>
      </w:r>
    </w:p>
    <w:p w14:paraId="43D4FCF2" w14:textId="54FB1CC2" w:rsidR="009D335A" w:rsidRPr="00C076DB" w:rsidRDefault="009D335A" w:rsidP="009D335A">
      <w:pPr>
        <w:pStyle w:val="SingleTxtG"/>
        <w:rPr>
          <w:shd w:val="clear" w:color="auto" w:fill="FFFFFF"/>
          <w:lang w:val="fr-FR"/>
        </w:rPr>
      </w:pPr>
      <w:r w:rsidRPr="00C076DB">
        <w:rPr>
          <w:lang w:val="fr-FR"/>
        </w:rPr>
        <w:t>15.</w:t>
      </w:r>
      <w:r w:rsidRPr="00C076DB">
        <w:rPr>
          <w:lang w:val="fr-FR"/>
        </w:rPr>
        <w:tab/>
        <w:t>Le Comité prend note de l</w:t>
      </w:r>
      <w:r w:rsidR="002354FF">
        <w:rPr>
          <w:lang w:val="fr-FR"/>
        </w:rPr>
        <w:t>’</w:t>
      </w:r>
      <w:r w:rsidRPr="00C076DB">
        <w:rPr>
          <w:lang w:val="fr-FR"/>
        </w:rPr>
        <w:t>adoption de la loi n</w:t>
      </w:r>
      <w:r w:rsidRPr="00C076DB">
        <w:rPr>
          <w:vertAlign w:val="superscript"/>
          <w:lang w:val="fr-FR"/>
        </w:rPr>
        <w:t>o</w:t>
      </w:r>
      <w:r w:rsidR="00DC079B">
        <w:rPr>
          <w:lang w:val="fr-FR"/>
        </w:rPr>
        <w:t> </w:t>
      </w:r>
      <w:r w:rsidRPr="00C076DB">
        <w:rPr>
          <w:lang w:val="fr-FR"/>
        </w:rPr>
        <w:t>745 sur l</w:t>
      </w:r>
      <w:r w:rsidR="002354FF">
        <w:rPr>
          <w:lang w:val="fr-FR"/>
        </w:rPr>
        <w:t>’</w:t>
      </w:r>
      <w:r w:rsidRPr="00C076DB">
        <w:rPr>
          <w:lang w:val="fr-FR"/>
        </w:rPr>
        <w:t>application, l</w:t>
      </w:r>
      <w:r w:rsidR="002354FF">
        <w:rPr>
          <w:lang w:val="fr-FR"/>
        </w:rPr>
        <w:t>’</w:t>
      </w:r>
      <w:r w:rsidRPr="00C076DB">
        <w:rPr>
          <w:lang w:val="fr-FR"/>
        </w:rPr>
        <w:t>aménagement et le contrôle juridictionnel des peines (2010), qui vise à réglementer le contrôle des peines par les juges, notamment les mesures d</w:t>
      </w:r>
      <w:r w:rsidR="002354FF">
        <w:rPr>
          <w:lang w:val="fr-FR"/>
        </w:rPr>
        <w:t>’</w:t>
      </w:r>
      <w:r w:rsidRPr="00C076DB">
        <w:rPr>
          <w:lang w:val="fr-FR"/>
        </w:rPr>
        <w:t>isolement d</w:t>
      </w:r>
      <w:r w:rsidR="002354FF">
        <w:rPr>
          <w:lang w:val="fr-FR"/>
        </w:rPr>
        <w:t>’</w:t>
      </w:r>
      <w:r w:rsidRPr="00C076DB">
        <w:rPr>
          <w:lang w:val="fr-FR"/>
        </w:rPr>
        <w:t>une durée supérieure à quarante-huit heures (</w:t>
      </w:r>
      <w:r w:rsidR="00F949EA">
        <w:rPr>
          <w:lang w:val="fr-FR"/>
        </w:rPr>
        <w:t>art. </w:t>
      </w:r>
      <w:r w:rsidRPr="00C076DB">
        <w:rPr>
          <w:lang w:val="fr-FR"/>
        </w:rPr>
        <w:t>26) et la surveillance des prisons en général (</w:t>
      </w:r>
      <w:r w:rsidR="00F949EA">
        <w:rPr>
          <w:lang w:val="fr-FR"/>
        </w:rPr>
        <w:t>art. </w:t>
      </w:r>
      <w:r w:rsidRPr="00C076DB">
        <w:rPr>
          <w:lang w:val="fr-FR"/>
        </w:rPr>
        <w:t>23). Le Comité regrette l</w:t>
      </w:r>
      <w:r w:rsidR="002354FF">
        <w:rPr>
          <w:lang w:val="fr-FR"/>
        </w:rPr>
        <w:t>’</w:t>
      </w:r>
      <w:r w:rsidRPr="00C076DB">
        <w:rPr>
          <w:lang w:val="fr-FR"/>
        </w:rPr>
        <w:t>absence d</w:t>
      </w:r>
      <w:r w:rsidR="002354FF">
        <w:rPr>
          <w:lang w:val="fr-FR"/>
        </w:rPr>
        <w:t>’</w:t>
      </w:r>
      <w:r w:rsidRPr="00C076DB">
        <w:rPr>
          <w:lang w:val="fr-FR"/>
        </w:rPr>
        <w:t>informations concernant les visites effectuées par les juges d</w:t>
      </w:r>
      <w:r w:rsidR="002354FF">
        <w:rPr>
          <w:lang w:val="fr-FR"/>
        </w:rPr>
        <w:t>’</w:t>
      </w:r>
      <w:r w:rsidRPr="00C076DB">
        <w:rPr>
          <w:lang w:val="fr-FR"/>
        </w:rPr>
        <w:t xml:space="preserve">application des peines au cours de la période considérée et les effets des mesures correctives mises en </w:t>
      </w:r>
      <w:r w:rsidRPr="00016D93">
        <w:rPr>
          <w:lang w:val="fr-FR"/>
        </w:rPr>
        <w:t>place.</w:t>
      </w:r>
      <w:r w:rsidRPr="00C076DB">
        <w:rPr>
          <w:lang w:val="fr-FR"/>
        </w:rPr>
        <w:t xml:space="preserve"> Il est préoccupé par les informations indiquant que des personnes sont </w:t>
      </w:r>
      <w:r w:rsidRPr="00016D93">
        <w:rPr>
          <w:lang w:val="fr-FR"/>
        </w:rPr>
        <w:t>placées</w:t>
      </w:r>
      <w:r w:rsidRPr="00C076DB">
        <w:rPr>
          <w:lang w:val="fr-FR"/>
        </w:rPr>
        <w:t xml:space="preserve"> à l</w:t>
      </w:r>
      <w:r w:rsidR="002354FF">
        <w:rPr>
          <w:lang w:val="fr-FR"/>
        </w:rPr>
        <w:t>’</w:t>
      </w:r>
      <w:r w:rsidRPr="00C076DB">
        <w:rPr>
          <w:lang w:val="fr-FR"/>
        </w:rPr>
        <w:t>isolement pour des périodes excédant quinze jours à titre de sanction disciplinaire</w:t>
      </w:r>
      <w:r w:rsidRPr="002354FF">
        <w:rPr>
          <w:rStyle w:val="Appelnotedebasdep"/>
        </w:rPr>
        <w:footnoteReference w:id="36"/>
      </w:r>
      <w:r w:rsidRPr="00C076DB">
        <w:rPr>
          <w:lang w:val="fr-FR"/>
        </w:rPr>
        <w:t xml:space="preserve">. Il est également </w:t>
      </w:r>
      <w:r w:rsidRPr="00C076DB">
        <w:rPr>
          <w:lang w:val="fr-FR"/>
        </w:rPr>
        <w:lastRenderedPageBreak/>
        <w:t xml:space="preserve">préoccupé par les cas </w:t>
      </w:r>
      <w:r>
        <w:rPr>
          <w:lang w:val="fr-FR"/>
        </w:rPr>
        <w:t>attestés</w:t>
      </w:r>
      <w:r w:rsidRPr="00C076DB">
        <w:rPr>
          <w:lang w:val="fr-FR"/>
        </w:rPr>
        <w:t xml:space="preserve"> de châtiments collectifs infligés à des détenus</w:t>
      </w:r>
      <w:r w:rsidRPr="002354FF">
        <w:rPr>
          <w:rStyle w:val="Appelnotedebasdep"/>
        </w:rPr>
        <w:footnoteReference w:id="37"/>
      </w:r>
      <w:r w:rsidRPr="00C076DB">
        <w:rPr>
          <w:lang w:val="fr-FR"/>
        </w:rPr>
        <w:t>, ainsi que par les informations reçues dans lesquelles il est fait état de restrictions injustifiées telles que la suspension des contacts familiaux, en particulier avec les mineurs, et l</w:t>
      </w:r>
      <w:r w:rsidR="002354FF">
        <w:rPr>
          <w:lang w:val="fr-FR"/>
        </w:rPr>
        <w:t>’</w:t>
      </w:r>
      <w:r w:rsidRPr="00C076DB">
        <w:rPr>
          <w:lang w:val="fr-FR"/>
        </w:rPr>
        <w:t xml:space="preserve">interdiction de toute forme de correspondance ou de lecture. Les informations </w:t>
      </w:r>
      <w:r w:rsidRPr="00016D93">
        <w:rPr>
          <w:lang w:val="fr-FR"/>
        </w:rPr>
        <w:t>selon lesquelles</w:t>
      </w:r>
      <w:r w:rsidRPr="00C076DB">
        <w:rPr>
          <w:lang w:val="fr-FR"/>
        </w:rPr>
        <w:t xml:space="preserve"> des fouilles corporelles invasives et des pressions injustifiées </w:t>
      </w:r>
      <w:r w:rsidRPr="00016D93">
        <w:rPr>
          <w:lang w:val="fr-FR"/>
        </w:rPr>
        <w:t>s</w:t>
      </w:r>
      <w:r>
        <w:rPr>
          <w:lang w:val="fr-FR"/>
        </w:rPr>
        <w:t>ont</w:t>
      </w:r>
      <w:r w:rsidRPr="00016D93">
        <w:rPr>
          <w:lang w:val="fr-FR"/>
        </w:rPr>
        <w:t xml:space="preserve"> </w:t>
      </w:r>
      <w:r w:rsidRPr="00C076DB">
        <w:rPr>
          <w:lang w:val="fr-FR"/>
        </w:rPr>
        <w:t>subies par les proches des détenus lors des visites sont également préoccupantes</w:t>
      </w:r>
      <w:r w:rsidRPr="002354FF">
        <w:rPr>
          <w:rStyle w:val="Appelnotedebasdep"/>
        </w:rPr>
        <w:footnoteReference w:id="38"/>
      </w:r>
      <w:r w:rsidRPr="00C076DB">
        <w:rPr>
          <w:lang w:val="fr-FR"/>
        </w:rPr>
        <w:t xml:space="preserve"> (</w:t>
      </w:r>
      <w:r w:rsidR="00F949EA">
        <w:rPr>
          <w:lang w:val="fr-FR"/>
        </w:rPr>
        <w:t>art. </w:t>
      </w:r>
      <w:r w:rsidRPr="00C076DB">
        <w:rPr>
          <w:lang w:val="fr-FR"/>
        </w:rPr>
        <w:t>11 et 16</w:t>
      </w:r>
      <w:r w:rsidRPr="00016D93">
        <w:rPr>
          <w:lang w:val="fr-FR"/>
        </w:rPr>
        <w:t>).</w:t>
      </w:r>
    </w:p>
    <w:p w14:paraId="5CF8B85D" w14:textId="01793205" w:rsidR="009D335A" w:rsidRPr="00C076DB" w:rsidRDefault="009D335A" w:rsidP="009D335A">
      <w:pPr>
        <w:pStyle w:val="SingleTxtG"/>
        <w:rPr>
          <w:b/>
          <w:lang w:val="fr-FR"/>
        </w:rPr>
      </w:pPr>
      <w:r w:rsidRPr="00C076DB">
        <w:rPr>
          <w:lang w:val="fr-FR"/>
        </w:rPr>
        <w:t>16.</w:t>
      </w:r>
      <w:r w:rsidRPr="00C076DB">
        <w:rPr>
          <w:lang w:val="fr-FR"/>
        </w:rPr>
        <w:tab/>
      </w:r>
      <w:r w:rsidRPr="00C076DB">
        <w:rPr>
          <w:b/>
          <w:lang w:val="fr-FR"/>
        </w:rPr>
        <w:t>L</w:t>
      </w:r>
      <w:r w:rsidR="002354FF">
        <w:rPr>
          <w:b/>
          <w:lang w:val="fr-FR"/>
        </w:rPr>
        <w:t>’</w:t>
      </w:r>
      <w:r w:rsidRPr="00C076DB">
        <w:rPr>
          <w:b/>
          <w:lang w:val="fr-FR"/>
        </w:rPr>
        <w:t xml:space="preserve">État partie devrait veiller à ce que </w:t>
      </w:r>
      <w:r w:rsidRPr="00016D93">
        <w:rPr>
          <w:b/>
          <w:bCs/>
          <w:lang w:val="fr-FR"/>
        </w:rPr>
        <w:t>l</w:t>
      </w:r>
      <w:r w:rsidR="002354FF">
        <w:rPr>
          <w:b/>
          <w:bCs/>
          <w:lang w:val="fr-FR"/>
        </w:rPr>
        <w:t>’</w:t>
      </w:r>
      <w:r w:rsidRPr="00016D93">
        <w:rPr>
          <w:b/>
          <w:bCs/>
          <w:lang w:val="fr-FR"/>
        </w:rPr>
        <w:t>isolement</w:t>
      </w:r>
      <w:r w:rsidRPr="00C076DB">
        <w:rPr>
          <w:b/>
          <w:lang w:val="fr-FR"/>
        </w:rPr>
        <w:t xml:space="preserve"> cellulaire ne soit utilisé qu</w:t>
      </w:r>
      <w:r w:rsidR="002354FF">
        <w:rPr>
          <w:b/>
          <w:lang w:val="fr-FR"/>
        </w:rPr>
        <w:t>’</w:t>
      </w:r>
      <w:r w:rsidRPr="00C076DB">
        <w:rPr>
          <w:b/>
          <w:lang w:val="fr-FR"/>
        </w:rPr>
        <w:t>en dernier ressort</w:t>
      </w:r>
      <w:r>
        <w:rPr>
          <w:b/>
          <w:lang w:val="fr-FR"/>
        </w:rPr>
        <w:t>,</w:t>
      </w:r>
      <w:r w:rsidRPr="00C076DB">
        <w:rPr>
          <w:b/>
          <w:lang w:val="fr-FR"/>
        </w:rPr>
        <w:t xml:space="preserve"> dans des cas exceptionnels, pour une durée aussi brève que possible (quinze jours au maximum), sous contrôle indépendant et uniquement avec l</w:t>
      </w:r>
      <w:r w:rsidR="002354FF">
        <w:rPr>
          <w:b/>
          <w:lang w:val="fr-FR"/>
        </w:rPr>
        <w:t>’</w:t>
      </w:r>
      <w:r w:rsidRPr="00C076DB">
        <w:rPr>
          <w:b/>
          <w:lang w:val="fr-FR"/>
        </w:rPr>
        <w:t>autorisation d</w:t>
      </w:r>
      <w:r w:rsidR="002354FF">
        <w:rPr>
          <w:b/>
          <w:lang w:val="fr-FR"/>
        </w:rPr>
        <w:t>’</w:t>
      </w:r>
      <w:r w:rsidRPr="00C076DB">
        <w:rPr>
          <w:b/>
          <w:lang w:val="fr-FR"/>
        </w:rPr>
        <w:t>une autorité compétente, conformément aux règles</w:t>
      </w:r>
      <w:r w:rsidR="003E0EA3">
        <w:rPr>
          <w:b/>
          <w:lang w:val="fr-FR"/>
        </w:rPr>
        <w:t> </w:t>
      </w:r>
      <w:r w:rsidRPr="00C076DB">
        <w:rPr>
          <w:b/>
          <w:lang w:val="fr-FR"/>
        </w:rPr>
        <w:t>43 à 46 des Règles Nelson Mandela.</w:t>
      </w:r>
      <w:r w:rsidRPr="00016D93">
        <w:rPr>
          <w:lang w:val="fr-FR"/>
        </w:rPr>
        <w:t xml:space="preserve"> </w:t>
      </w:r>
      <w:r w:rsidRPr="00016D93">
        <w:rPr>
          <w:b/>
          <w:bCs/>
          <w:lang w:val="fr-FR"/>
        </w:rPr>
        <w:t>En outre, l</w:t>
      </w:r>
      <w:r w:rsidR="002354FF">
        <w:rPr>
          <w:b/>
          <w:bCs/>
          <w:lang w:val="fr-FR"/>
        </w:rPr>
        <w:t>’</w:t>
      </w:r>
      <w:r w:rsidRPr="00016D93">
        <w:rPr>
          <w:b/>
          <w:bCs/>
          <w:lang w:val="fr-FR"/>
        </w:rPr>
        <w:t>État partie devrait respecter l</w:t>
      </w:r>
      <w:r w:rsidR="002354FF">
        <w:rPr>
          <w:b/>
          <w:bCs/>
          <w:lang w:val="fr-FR"/>
        </w:rPr>
        <w:t>’</w:t>
      </w:r>
      <w:r w:rsidRPr="00016D93">
        <w:rPr>
          <w:b/>
          <w:bCs/>
          <w:lang w:val="fr-FR"/>
        </w:rPr>
        <w:t>interdiction de soumettre les mineurs à l</w:t>
      </w:r>
      <w:r w:rsidR="002354FF">
        <w:rPr>
          <w:b/>
          <w:bCs/>
          <w:lang w:val="fr-FR"/>
        </w:rPr>
        <w:t>’</w:t>
      </w:r>
      <w:r w:rsidRPr="00016D93">
        <w:rPr>
          <w:b/>
          <w:bCs/>
          <w:lang w:val="fr-FR"/>
        </w:rPr>
        <w:t>isolement ou à des mesures similaires (voir également la règle</w:t>
      </w:r>
      <w:r w:rsidR="003E0EA3">
        <w:rPr>
          <w:b/>
          <w:bCs/>
          <w:lang w:val="fr-FR"/>
        </w:rPr>
        <w:t> </w:t>
      </w:r>
      <w:r w:rsidRPr="00016D93">
        <w:rPr>
          <w:b/>
          <w:bCs/>
          <w:lang w:val="fr-FR"/>
        </w:rPr>
        <w:t>67 des Règles des Nations Unies pour la protection des mineurs privés de liberté).</w:t>
      </w:r>
      <w:r w:rsidRPr="00016D93">
        <w:rPr>
          <w:lang w:val="fr-FR"/>
        </w:rPr>
        <w:t xml:space="preserve"> </w:t>
      </w:r>
      <w:r>
        <w:rPr>
          <w:b/>
          <w:bCs/>
          <w:lang w:val="fr-FR"/>
        </w:rPr>
        <w:t>En outre</w:t>
      </w:r>
      <w:r w:rsidRPr="00016D93">
        <w:rPr>
          <w:b/>
          <w:bCs/>
          <w:lang w:val="fr-FR"/>
        </w:rPr>
        <w:t>, le paragraphe</w:t>
      </w:r>
      <w:r w:rsidR="003E0EA3">
        <w:rPr>
          <w:b/>
          <w:bCs/>
          <w:lang w:val="fr-FR"/>
        </w:rPr>
        <w:t> </w:t>
      </w:r>
      <w:r w:rsidRPr="00016D93">
        <w:rPr>
          <w:b/>
          <w:bCs/>
          <w:lang w:val="fr-FR"/>
        </w:rPr>
        <w:t>3 de l</w:t>
      </w:r>
      <w:r w:rsidR="002354FF">
        <w:rPr>
          <w:b/>
          <w:bCs/>
          <w:lang w:val="fr-FR"/>
        </w:rPr>
        <w:t>’</w:t>
      </w:r>
      <w:r w:rsidR="00F949EA">
        <w:rPr>
          <w:b/>
          <w:bCs/>
          <w:lang w:val="fr-FR"/>
        </w:rPr>
        <w:t>article </w:t>
      </w:r>
      <w:r w:rsidRPr="00016D93">
        <w:rPr>
          <w:b/>
          <w:bCs/>
          <w:lang w:val="fr-FR"/>
        </w:rPr>
        <w:t>43 des Règles Nelson Mandela</w:t>
      </w:r>
      <w:r w:rsidRPr="00C076DB">
        <w:rPr>
          <w:b/>
          <w:lang w:val="fr-FR"/>
        </w:rPr>
        <w:t xml:space="preserve"> dispose que les sanctions disciplinaires ou mesures de restriction ne doivent pas consister en une interdiction de contacts avec la famille et que les c</w:t>
      </w:r>
      <w:r>
        <w:rPr>
          <w:b/>
          <w:lang w:val="fr-FR"/>
        </w:rPr>
        <w:t>eux-ci</w:t>
      </w:r>
      <w:r w:rsidRPr="00C076DB">
        <w:rPr>
          <w:b/>
          <w:lang w:val="fr-FR"/>
        </w:rPr>
        <w:t xml:space="preserve"> ne peuvent être restreints que pour une période limitée, lorsque cela est strictement nécessaire pour assurer le maintien de l</w:t>
      </w:r>
      <w:r w:rsidR="002354FF">
        <w:rPr>
          <w:b/>
          <w:lang w:val="fr-FR"/>
        </w:rPr>
        <w:t>’</w:t>
      </w:r>
      <w:r w:rsidRPr="00C076DB">
        <w:rPr>
          <w:b/>
          <w:lang w:val="fr-FR"/>
        </w:rPr>
        <w:t xml:space="preserve">ordre et de la sécurité, et jamais à titre de </w:t>
      </w:r>
      <w:r w:rsidRPr="00016D93">
        <w:rPr>
          <w:b/>
          <w:bCs/>
          <w:lang w:val="fr-FR"/>
        </w:rPr>
        <w:t>mesure disciplinaire.</w:t>
      </w:r>
      <w:r w:rsidRPr="00C076DB">
        <w:rPr>
          <w:lang w:val="fr-FR"/>
        </w:rPr>
        <w:t xml:space="preserve"> </w:t>
      </w:r>
      <w:r w:rsidRPr="00C076DB">
        <w:rPr>
          <w:b/>
          <w:lang w:val="fr-FR"/>
        </w:rPr>
        <w:t>Enfin, une distinction claire devrait être faite entre l</w:t>
      </w:r>
      <w:r w:rsidR="002354FF">
        <w:rPr>
          <w:b/>
          <w:lang w:val="fr-FR"/>
        </w:rPr>
        <w:t>’</w:t>
      </w:r>
      <w:r w:rsidRPr="00C076DB">
        <w:rPr>
          <w:b/>
          <w:lang w:val="fr-FR"/>
        </w:rPr>
        <w:t xml:space="preserve">isolement </w:t>
      </w:r>
      <w:r w:rsidRPr="00016D93">
        <w:rPr>
          <w:b/>
          <w:bCs/>
          <w:lang w:val="fr-FR"/>
        </w:rPr>
        <w:t>d</w:t>
      </w:r>
      <w:r w:rsidR="002354FF">
        <w:rPr>
          <w:b/>
          <w:bCs/>
          <w:lang w:val="fr-FR"/>
        </w:rPr>
        <w:t>’</w:t>
      </w:r>
      <w:r w:rsidRPr="00016D93">
        <w:rPr>
          <w:b/>
          <w:bCs/>
          <w:lang w:val="fr-FR"/>
        </w:rPr>
        <w:t>ordre</w:t>
      </w:r>
      <w:r w:rsidRPr="00C076DB">
        <w:rPr>
          <w:b/>
          <w:lang w:val="fr-FR"/>
        </w:rPr>
        <w:t xml:space="preserve"> administratif et l</w:t>
      </w:r>
      <w:r w:rsidR="002354FF">
        <w:rPr>
          <w:b/>
          <w:lang w:val="fr-FR"/>
        </w:rPr>
        <w:t>’</w:t>
      </w:r>
      <w:r w:rsidRPr="00C076DB">
        <w:rPr>
          <w:b/>
          <w:lang w:val="fr-FR"/>
        </w:rPr>
        <w:t>isolement pour raisons disciplinaires.</w:t>
      </w:r>
      <w:r w:rsidRPr="00C076DB">
        <w:rPr>
          <w:lang w:val="fr-FR"/>
        </w:rPr>
        <w:t xml:space="preserve"> </w:t>
      </w:r>
      <w:r w:rsidRPr="00C076DB">
        <w:rPr>
          <w:b/>
          <w:lang w:val="fr-FR"/>
        </w:rPr>
        <w:t>L</w:t>
      </w:r>
      <w:r w:rsidR="002354FF">
        <w:rPr>
          <w:b/>
          <w:lang w:val="fr-FR"/>
        </w:rPr>
        <w:t>’</w:t>
      </w:r>
      <w:r w:rsidRPr="00C076DB">
        <w:rPr>
          <w:b/>
          <w:lang w:val="fr-FR"/>
        </w:rPr>
        <w:t>État partie devrait enquêter sur les restrictions arbitraires ou injustifiées des droits des détenus.</w:t>
      </w:r>
      <w:r w:rsidRPr="00C076DB">
        <w:rPr>
          <w:lang w:val="fr-FR"/>
        </w:rPr>
        <w:t xml:space="preserve"> </w:t>
      </w:r>
      <w:r w:rsidRPr="00C076DB">
        <w:rPr>
          <w:b/>
          <w:lang w:val="fr-FR"/>
        </w:rPr>
        <w:t>Il devrait également veiller à ce que les fouilles à nu ne soient pratiquées que dans des cas exceptionnels, de la manière la moins invasive possible, par du personnel compétent du même sexe que la personne soumise à la fouille et dans le plein respect de la dignité de celle-ci.</w:t>
      </w:r>
    </w:p>
    <w:p w14:paraId="4CC5A991" w14:textId="5B59C01E" w:rsidR="009D335A" w:rsidRPr="00C076DB" w:rsidRDefault="009D335A" w:rsidP="003E0EA3">
      <w:pPr>
        <w:pStyle w:val="H23G"/>
        <w:rPr>
          <w:lang w:val="fr-FR"/>
        </w:rPr>
      </w:pPr>
      <w:r w:rsidRPr="00C076DB">
        <w:rPr>
          <w:lang w:val="fr-FR"/>
        </w:rPr>
        <w:tab/>
      </w:r>
      <w:r w:rsidRPr="00C076DB">
        <w:rPr>
          <w:lang w:val="fr-FR"/>
        </w:rPr>
        <w:tab/>
        <w:t>Bureau du Procureur chargé de la défense des droits de l</w:t>
      </w:r>
      <w:r w:rsidR="002354FF">
        <w:rPr>
          <w:lang w:val="fr-FR"/>
        </w:rPr>
        <w:t>’</w:t>
      </w:r>
      <w:r w:rsidRPr="00C076DB">
        <w:rPr>
          <w:lang w:val="fr-FR"/>
        </w:rPr>
        <w:t>homme</w:t>
      </w:r>
    </w:p>
    <w:p w14:paraId="5606FB16" w14:textId="0FAEDD55" w:rsidR="009D335A" w:rsidRPr="00C076DB" w:rsidRDefault="009D335A" w:rsidP="009D335A">
      <w:pPr>
        <w:pStyle w:val="SingleTxtG"/>
        <w:rPr>
          <w:lang w:val="fr-FR"/>
        </w:rPr>
      </w:pPr>
      <w:r w:rsidRPr="00C076DB">
        <w:rPr>
          <w:lang w:val="fr-FR"/>
        </w:rPr>
        <w:t>17.</w:t>
      </w:r>
      <w:r w:rsidRPr="00C076DB">
        <w:rPr>
          <w:lang w:val="fr-FR"/>
        </w:rPr>
        <w:tab/>
        <w:t>Le Comité est préoccupé par le fait que le Bureau du Procureur ne s</w:t>
      </w:r>
      <w:r w:rsidR="002354FF">
        <w:rPr>
          <w:lang w:val="fr-FR"/>
        </w:rPr>
        <w:t>’</w:t>
      </w:r>
      <w:r w:rsidRPr="00C076DB">
        <w:rPr>
          <w:lang w:val="fr-FR"/>
        </w:rPr>
        <w:t xml:space="preserve">acquitte pas </w:t>
      </w:r>
      <w:r w:rsidRPr="00016D93">
        <w:rPr>
          <w:lang w:val="fr-FR"/>
        </w:rPr>
        <w:t>efficacement</w:t>
      </w:r>
      <w:r w:rsidRPr="00C076DB">
        <w:rPr>
          <w:lang w:val="fr-FR"/>
        </w:rPr>
        <w:t xml:space="preserve"> de sa tâche en tant que mécanisme national de prévention de la torture et des mauvais traitements en visitant régulièrement les lieux de privation de liberté, et s</w:t>
      </w:r>
      <w:r w:rsidR="002354FF">
        <w:rPr>
          <w:lang w:val="fr-FR"/>
        </w:rPr>
        <w:t>’</w:t>
      </w:r>
      <w:r w:rsidRPr="00C076DB">
        <w:rPr>
          <w:lang w:val="fr-FR"/>
        </w:rPr>
        <w:t>inquiète du manque d</w:t>
      </w:r>
      <w:r w:rsidR="002354FF">
        <w:rPr>
          <w:lang w:val="fr-FR"/>
        </w:rPr>
        <w:t>’</w:t>
      </w:r>
      <w:r w:rsidRPr="00C076DB">
        <w:rPr>
          <w:lang w:val="fr-FR"/>
        </w:rPr>
        <w:t>informations sur le suivi des recommandations émises par cette institution</w:t>
      </w:r>
      <w:r w:rsidRPr="002354FF">
        <w:rPr>
          <w:rStyle w:val="Appelnotedebasdep"/>
        </w:rPr>
        <w:footnoteReference w:id="39"/>
      </w:r>
      <w:r w:rsidRPr="00C076DB">
        <w:rPr>
          <w:lang w:val="fr-FR"/>
        </w:rPr>
        <w:t>. Le Comité est également préoccupé par le manque d</w:t>
      </w:r>
      <w:r w:rsidR="002354FF">
        <w:rPr>
          <w:lang w:val="fr-FR"/>
        </w:rPr>
        <w:t>’</w:t>
      </w:r>
      <w:r w:rsidRPr="00C076DB">
        <w:rPr>
          <w:lang w:val="fr-FR"/>
        </w:rPr>
        <w:t>indépendance du Bureau du Procureur en tant qu</w:t>
      </w:r>
      <w:r w:rsidR="002354FF">
        <w:rPr>
          <w:lang w:val="fr-FR"/>
        </w:rPr>
        <w:t>’</w:t>
      </w:r>
      <w:r w:rsidRPr="00C076DB">
        <w:rPr>
          <w:lang w:val="fr-FR"/>
        </w:rPr>
        <w:t>institution nationale des droits de l</w:t>
      </w:r>
      <w:r w:rsidR="002354FF">
        <w:rPr>
          <w:lang w:val="fr-FR"/>
        </w:rPr>
        <w:t>’</w:t>
      </w:r>
      <w:r w:rsidRPr="00C076DB">
        <w:rPr>
          <w:lang w:val="fr-FR"/>
        </w:rPr>
        <w:t>homme et par l</w:t>
      </w:r>
      <w:r w:rsidR="002354FF">
        <w:rPr>
          <w:lang w:val="fr-FR"/>
        </w:rPr>
        <w:t>’</w:t>
      </w:r>
      <w:r w:rsidRPr="00C076DB">
        <w:rPr>
          <w:lang w:val="fr-FR"/>
        </w:rPr>
        <w:t>absence de suites données aux plaintes pour violations présumées des droits de l</w:t>
      </w:r>
      <w:r w:rsidR="002354FF">
        <w:rPr>
          <w:lang w:val="fr-FR"/>
        </w:rPr>
        <w:t>’</w:t>
      </w:r>
      <w:r w:rsidRPr="00C076DB">
        <w:rPr>
          <w:lang w:val="fr-FR"/>
        </w:rPr>
        <w:t>homme qui lui sont soumises</w:t>
      </w:r>
      <w:r w:rsidRPr="002354FF">
        <w:rPr>
          <w:rStyle w:val="Appelnotedebasdep"/>
        </w:rPr>
        <w:footnoteReference w:id="40"/>
      </w:r>
      <w:r w:rsidRPr="00C076DB">
        <w:rPr>
          <w:lang w:val="fr-FR"/>
        </w:rPr>
        <w:t xml:space="preserve"> (</w:t>
      </w:r>
      <w:r w:rsidR="00F949EA">
        <w:rPr>
          <w:lang w:val="fr-FR"/>
        </w:rPr>
        <w:t>art. </w:t>
      </w:r>
      <w:r w:rsidRPr="00C076DB">
        <w:rPr>
          <w:lang w:val="fr-FR"/>
        </w:rPr>
        <w:t>2).</w:t>
      </w:r>
    </w:p>
    <w:p w14:paraId="64DB6BE8" w14:textId="2DBFA79D" w:rsidR="009D335A" w:rsidRPr="00C076DB" w:rsidRDefault="009D335A" w:rsidP="009D335A">
      <w:pPr>
        <w:pStyle w:val="SingleTxtG"/>
        <w:rPr>
          <w:b/>
          <w:lang w:val="fr-FR"/>
        </w:rPr>
      </w:pPr>
      <w:r w:rsidRPr="00C076DB">
        <w:rPr>
          <w:lang w:val="fr-FR"/>
        </w:rPr>
        <w:t>18.</w:t>
      </w:r>
      <w:r w:rsidRPr="00C076DB">
        <w:rPr>
          <w:lang w:val="fr-FR"/>
        </w:rPr>
        <w:tab/>
      </w:r>
      <w:r w:rsidRPr="00C076DB">
        <w:rPr>
          <w:b/>
          <w:lang w:val="fr-FR"/>
        </w:rPr>
        <w:t>L</w:t>
      </w:r>
      <w:r w:rsidR="002354FF">
        <w:rPr>
          <w:b/>
          <w:lang w:val="fr-FR"/>
        </w:rPr>
        <w:t>’</w:t>
      </w:r>
      <w:r w:rsidRPr="00C076DB">
        <w:rPr>
          <w:b/>
          <w:lang w:val="fr-FR"/>
        </w:rPr>
        <w:t>État partie devrait garantir l</w:t>
      </w:r>
      <w:r w:rsidR="002354FF">
        <w:rPr>
          <w:b/>
          <w:lang w:val="fr-FR"/>
        </w:rPr>
        <w:t>’</w:t>
      </w:r>
      <w:r w:rsidRPr="00C076DB">
        <w:rPr>
          <w:b/>
          <w:lang w:val="fr-FR"/>
        </w:rPr>
        <w:t xml:space="preserve">indépendance fonctionnelle du Bureau du Procureur </w:t>
      </w:r>
      <w:r>
        <w:rPr>
          <w:b/>
          <w:bCs/>
          <w:lang w:val="fr-FR"/>
        </w:rPr>
        <w:t xml:space="preserve">chargé de </w:t>
      </w:r>
      <w:r w:rsidRPr="00016D93">
        <w:rPr>
          <w:b/>
          <w:bCs/>
          <w:lang w:val="fr-FR"/>
        </w:rPr>
        <w:t>la défense des droits de l</w:t>
      </w:r>
      <w:r w:rsidR="002354FF">
        <w:rPr>
          <w:b/>
          <w:bCs/>
          <w:lang w:val="fr-FR"/>
        </w:rPr>
        <w:t>’</w:t>
      </w:r>
      <w:r w:rsidRPr="00016D93">
        <w:rPr>
          <w:b/>
          <w:bCs/>
          <w:lang w:val="fr-FR"/>
        </w:rPr>
        <w:t>homme afin qu</w:t>
      </w:r>
      <w:r w:rsidR="002354FF">
        <w:rPr>
          <w:b/>
          <w:bCs/>
          <w:lang w:val="fr-FR"/>
        </w:rPr>
        <w:t>’</w:t>
      </w:r>
      <w:r w:rsidRPr="00016D93">
        <w:rPr>
          <w:b/>
          <w:bCs/>
          <w:lang w:val="fr-FR"/>
        </w:rPr>
        <w:t>il</w:t>
      </w:r>
      <w:r w:rsidRPr="00C076DB">
        <w:rPr>
          <w:b/>
          <w:lang w:val="fr-FR"/>
        </w:rPr>
        <w:t xml:space="preserve"> puisse s</w:t>
      </w:r>
      <w:r w:rsidR="002354FF">
        <w:rPr>
          <w:b/>
          <w:lang w:val="fr-FR"/>
        </w:rPr>
        <w:t>’</w:t>
      </w:r>
      <w:r w:rsidRPr="00C076DB">
        <w:rPr>
          <w:b/>
          <w:lang w:val="fr-FR"/>
        </w:rPr>
        <w:t>acquitter efficacement de son mandat, conformément aux Principes concernant le statut des institutions nationales pour la promotion et la protection des droits de l</w:t>
      </w:r>
      <w:r w:rsidR="002354FF">
        <w:rPr>
          <w:b/>
          <w:lang w:val="fr-FR"/>
        </w:rPr>
        <w:t>’</w:t>
      </w:r>
      <w:r w:rsidRPr="00C076DB">
        <w:rPr>
          <w:b/>
          <w:lang w:val="fr-FR"/>
        </w:rPr>
        <w:t>homme (Principes de Paris) et aux directives du Sous-Comité pour la prévention de la torture et des autres peines ou traitements cruels, inhumains ou dégradants concernant les mécanismes nationaux de prévention</w:t>
      </w:r>
      <w:r w:rsidRPr="002354FF">
        <w:rPr>
          <w:rStyle w:val="Appelnotedebasdep"/>
        </w:rPr>
        <w:footnoteReference w:id="41"/>
      </w:r>
      <w:r w:rsidRPr="00C076DB">
        <w:rPr>
          <w:b/>
          <w:lang w:val="fr-FR"/>
        </w:rPr>
        <w:t>.</w:t>
      </w:r>
      <w:r w:rsidRPr="00C076DB">
        <w:rPr>
          <w:lang w:val="fr-FR"/>
        </w:rPr>
        <w:t xml:space="preserve"> </w:t>
      </w:r>
      <w:r w:rsidRPr="00C076DB">
        <w:rPr>
          <w:b/>
          <w:lang w:val="fr-FR"/>
        </w:rPr>
        <w:t>L</w:t>
      </w:r>
      <w:r w:rsidR="002354FF">
        <w:rPr>
          <w:b/>
          <w:lang w:val="fr-FR"/>
        </w:rPr>
        <w:t>’</w:t>
      </w:r>
      <w:r w:rsidRPr="00C076DB">
        <w:rPr>
          <w:b/>
          <w:lang w:val="fr-FR"/>
        </w:rPr>
        <w:t>État partie devrait également adopter des mesures visant à rendre plus efficace le travail de surveillance du mécanisme national de prévention et permettre à celui-ci d</w:t>
      </w:r>
      <w:r w:rsidR="002354FF">
        <w:rPr>
          <w:b/>
          <w:lang w:val="fr-FR"/>
        </w:rPr>
        <w:t>’</w:t>
      </w:r>
      <w:r w:rsidRPr="00C076DB">
        <w:rPr>
          <w:b/>
          <w:lang w:val="fr-FR"/>
        </w:rPr>
        <w:t>effectuer des visites régulières et inopinées dans tous les lieux où des personnes sont privées de liberté, en rendant publiques ses conclusions et les recommandations faites aux autorités.</w:t>
      </w:r>
      <w:r w:rsidRPr="00016D93">
        <w:rPr>
          <w:lang w:val="fr-FR"/>
        </w:rPr>
        <w:t xml:space="preserve"> </w:t>
      </w:r>
      <w:r w:rsidRPr="00016D93">
        <w:rPr>
          <w:b/>
          <w:bCs/>
          <w:lang w:val="fr-FR"/>
        </w:rPr>
        <w:t>Il</w:t>
      </w:r>
      <w:r w:rsidRPr="00C076DB">
        <w:rPr>
          <w:b/>
          <w:lang w:val="fr-FR"/>
        </w:rPr>
        <w:t xml:space="preserve"> devrait envisager d</w:t>
      </w:r>
      <w:r w:rsidR="002354FF">
        <w:rPr>
          <w:b/>
          <w:lang w:val="fr-FR"/>
        </w:rPr>
        <w:t>’</w:t>
      </w:r>
      <w:r w:rsidRPr="00C076DB">
        <w:rPr>
          <w:b/>
          <w:lang w:val="fr-FR"/>
        </w:rPr>
        <w:t>autoriser la publication par le Sous</w:t>
      </w:r>
      <w:r w:rsidRPr="00016D93">
        <w:rPr>
          <w:b/>
          <w:bCs/>
          <w:lang w:val="fr-FR"/>
        </w:rPr>
        <w:t>-</w:t>
      </w:r>
      <w:r w:rsidRPr="00C076DB">
        <w:rPr>
          <w:b/>
          <w:lang w:val="fr-FR"/>
        </w:rPr>
        <w:t xml:space="preserve">Comité pour la prévention de la torture et autres peines ou traitements cruels, inhumains ou dégradants du rapport </w:t>
      </w:r>
      <w:r w:rsidRPr="00016D93">
        <w:rPr>
          <w:b/>
          <w:bCs/>
          <w:lang w:val="fr-FR"/>
        </w:rPr>
        <w:t>que celui-ci</w:t>
      </w:r>
      <w:r w:rsidRPr="00C076DB">
        <w:rPr>
          <w:b/>
          <w:lang w:val="fr-FR"/>
        </w:rPr>
        <w:t xml:space="preserve"> a établi sur sa visite de 2014, et solliciter le soutien du Fonds spécial créé par le Protocole facultatif </w:t>
      </w:r>
      <w:r w:rsidRPr="00C076DB">
        <w:rPr>
          <w:b/>
          <w:lang w:val="fr-FR"/>
        </w:rPr>
        <w:lastRenderedPageBreak/>
        <w:t>pour mettre en application les recommandations du Sous-Comité et coopérer pleinement avec celui-ci lors de sa prochaine visite, annoncée pour 2023</w:t>
      </w:r>
      <w:r w:rsidRPr="002354FF">
        <w:rPr>
          <w:rStyle w:val="Appelnotedebasdep"/>
        </w:rPr>
        <w:footnoteReference w:id="42"/>
      </w:r>
      <w:r w:rsidRPr="00C076DB">
        <w:rPr>
          <w:b/>
          <w:lang w:val="fr-FR"/>
        </w:rPr>
        <w:t>.</w:t>
      </w:r>
    </w:p>
    <w:p w14:paraId="50C79938" w14:textId="752BE32D" w:rsidR="009D335A" w:rsidRPr="00C076DB" w:rsidRDefault="009D335A" w:rsidP="003E0EA3">
      <w:pPr>
        <w:pStyle w:val="H23G"/>
        <w:rPr>
          <w:lang w:val="fr-FR"/>
        </w:rPr>
      </w:pPr>
      <w:r w:rsidRPr="00C076DB">
        <w:rPr>
          <w:lang w:val="fr-FR"/>
        </w:rPr>
        <w:tab/>
      </w:r>
      <w:r w:rsidRPr="00C076DB">
        <w:rPr>
          <w:lang w:val="fr-FR"/>
        </w:rPr>
        <w:tab/>
      </w:r>
      <w:r w:rsidRPr="00016D93">
        <w:rPr>
          <w:lang w:val="fr-FR"/>
        </w:rPr>
        <w:tab/>
      </w:r>
      <w:r w:rsidRPr="00C076DB">
        <w:rPr>
          <w:lang w:val="fr-FR"/>
        </w:rPr>
        <w:t>Impunité</w:t>
      </w:r>
      <w:r w:rsidR="003E0EA3">
        <w:rPr>
          <w:bCs/>
          <w:lang w:val="fr-FR"/>
        </w:rPr>
        <w:t> </w:t>
      </w:r>
      <w:r w:rsidRPr="00C076DB">
        <w:rPr>
          <w:lang w:val="fr-FR"/>
        </w:rPr>
        <w:t>: mécanismes de plainte, enquêtes et amnisties</w:t>
      </w:r>
    </w:p>
    <w:p w14:paraId="144DCF70" w14:textId="2FB72A50" w:rsidR="009D335A" w:rsidRPr="00C076DB" w:rsidRDefault="009D335A" w:rsidP="003E0EA3">
      <w:pPr>
        <w:pStyle w:val="SingleTxtG"/>
        <w:keepNext/>
        <w:rPr>
          <w:lang w:val="fr-FR"/>
        </w:rPr>
      </w:pPr>
      <w:r w:rsidRPr="00C076DB">
        <w:rPr>
          <w:lang w:val="fr-FR"/>
        </w:rPr>
        <w:t>19.</w:t>
      </w:r>
      <w:r w:rsidRPr="00C076DB">
        <w:rPr>
          <w:lang w:val="fr-FR"/>
        </w:rPr>
        <w:tab/>
        <w:t>Le Comité est vivement préoccupé par :</w:t>
      </w:r>
    </w:p>
    <w:p w14:paraId="081BCA37" w14:textId="272A85DB" w:rsidR="009D335A" w:rsidRPr="00C076DB" w:rsidRDefault="009D335A" w:rsidP="00F949EA">
      <w:pPr>
        <w:pStyle w:val="SingleTxtG"/>
        <w:ind w:firstLine="567"/>
        <w:rPr>
          <w:lang w:val="fr-FR"/>
        </w:rPr>
      </w:pPr>
      <w:r w:rsidRPr="00C076DB">
        <w:rPr>
          <w:lang w:val="fr-FR"/>
        </w:rPr>
        <w:t>a)</w:t>
      </w:r>
      <w:r w:rsidRPr="00C076DB">
        <w:rPr>
          <w:lang w:val="fr-FR"/>
        </w:rPr>
        <w:tab/>
        <w:t xml:space="preserve">Les nombreux cas de torture et de mauvais traitements </w:t>
      </w:r>
      <w:r w:rsidRPr="00016D93">
        <w:rPr>
          <w:lang w:val="fr-FR"/>
        </w:rPr>
        <w:t xml:space="preserve">recensés </w:t>
      </w:r>
      <w:r w:rsidRPr="00C076DB">
        <w:rPr>
          <w:lang w:val="fr-FR"/>
        </w:rPr>
        <w:t xml:space="preserve">dans les </w:t>
      </w:r>
      <w:r w:rsidRPr="00F949EA">
        <w:rPr>
          <w:lang w:val="fr-FR"/>
        </w:rPr>
        <w:t>centres pénitentiaires et les commissariats de police par divers mécanismes internationaux et organisations non gouvernementales</w:t>
      </w:r>
      <w:r w:rsidRPr="00C076DB">
        <w:rPr>
          <w:lang w:val="fr-FR"/>
        </w:rPr>
        <w:t xml:space="preserve"> pendant la période considérée</w:t>
      </w:r>
      <w:r w:rsidRPr="002354FF">
        <w:rPr>
          <w:rStyle w:val="Appelnotedebasdep"/>
        </w:rPr>
        <w:footnoteReference w:id="43"/>
      </w:r>
      <w:r w:rsidRPr="00C076DB">
        <w:rPr>
          <w:lang w:val="fr-FR"/>
        </w:rPr>
        <w:t>, ainsi que le manque d</w:t>
      </w:r>
      <w:r w:rsidR="002354FF">
        <w:rPr>
          <w:lang w:val="fr-FR"/>
        </w:rPr>
        <w:t>’</w:t>
      </w:r>
      <w:r w:rsidRPr="00C076DB">
        <w:rPr>
          <w:lang w:val="fr-FR"/>
        </w:rPr>
        <w:t>informations sur les suites données à ces plaintes par les autorités, qui fait s</w:t>
      </w:r>
      <w:r w:rsidR="002354FF">
        <w:rPr>
          <w:lang w:val="fr-FR"/>
        </w:rPr>
        <w:t>’</w:t>
      </w:r>
      <w:r w:rsidRPr="00C076DB">
        <w:rPr>
          <w:lang w:val="fr-FR"/>
        </w:rPr>
        <w:t>interroger sur l</w:t>
      </w:r>
      <w:r w:rsidR="002354FF">
        <w:rPr>
          <w:lang w:val="fr-FR"/>
        </w:rPr>
        <w:t>’</w:t>
      </w:r>
      <w:r w:rsidRPr="00C076DB">
        <w:rPr>
          <w:lang w:val="fr-FR"/>
        </w:rPr>
        <w:t>affirmation, faite par l</w:t>
      </w:r>
      <w:r w:rsidR="002354FF">
        <w:rPr>
          <w:lang w:val="fr-FR"/>
        </w:rPr>
        <w:t>’</w:t>
      </w:r>
      <w:r w:rsidRPr="00C076DB">
        <w:rPr>
          <w:lang w:val="fr-FR"/>
        </w:rPr>
        <w:t>État partie dans ses observations du 29</w:t>
      </w:r>
      <w:r w:rsidR="003E0EA3">
        <w:rPr>
          <w:lang w:val="fr-FR"/>
        </w:rPr>
        <w:t> </w:t>
      </w:r>
      <w:r w:rsidRPr="00C076DB">
        <w:rPr>
          <w:lang w:val="fr-FR"/>
        </w:rPr>
        <w:t>juin 2022, selon laquelle la torture n</w:t>
      </w:r>
      <w:r w:rsidR="002354FF">
        <w:rPr>
          <w:lang w:val="fr-FR"/>
        </w:rPr>
        <w:t>’</w:t>
      </w:r>
      <w:r w:rsidRPr="00C076DB">
        <w:rPr>
          <w:lang w:val="fr-FR"/>
        </w:rPr>
        <w:t>est pas pratiquée dans le pays</w:t>
      </w:r>
      <w:r w:rsidR="00F949EA">
        <w:rPr>
          <w:lang w:val="fr-FR"/>
        </w:rPr>
        <w:t> ;</w:t>
      </w:r>
    </w:p>
    <w:p w14:paraId="2D29613F" w14:textId="08B87EC2" w:rsidR="009D335A" w:rsidRPr="00C076DB" w:rsidRDefault="009D335A" w:rsidP="00F949EA">
      <w:pPr>
        <w:pStyle w:val="SingleTxtG"/>
        <w:ind w:firstLine="567"/>
        <w:rPr>
          <w:lang w:val="fr-FR"/>
        </w:rPr>
      </w:pPr>
      <w:r w:rsidRPr="00C076DB">
        <w:rPr>
          <w:lang w:val="fr-FR"/>
        </w:rPr>
        <w:t>b)</w:t>
      </w:r>
      <w:r w:rsidRPr="00C076DB">
        <w:rPr>
          <w:lang w:val="fr-FR"/>
        </w:rPr>
        <w:tab/>
        <w:t>Les 12</w:t>
      </w:r>
      <w:r w:rsidR="003E0EA3">
        <w:rPr>
          <w:lang w:val="fr-FR"/>
        </w:rPr>
        <w:t> </w:t>
      </w:r>
      <w:r w:rsidRPr="00C076DB">
        <w:rPr>
          <w:lang w:val="fr-FR"/>
        </w:rPr>
        <w:t>284</w:t>
      </w:r>
      <w:r w:rsidR="003E0EA3">
        <w:rPr>
          <w:lang w:val="fr-FR"/>
        </w:rPr>
        <w:t> </w:t>
      </w:r>
      <w:r w:rsidRPr="00C076DB">
        <w:rPr>
          <w:lang w:val="fr-FR"/>
        </w:rPr>
        <w:t>plaintes mettant en cause des policiers et des agents pénitentiaires enregistrées par le Bureau du Procureur chargé de la défense des droits de l</w:t>
      </w:r>
      <w:r w:rsidR="002354FF">
        <w:rPr>
          <w:lang w:val="fr-FR"/>
        </w:rPr>
        <w:t>’</w:t>
      </w:r>
      <w:r w:rsidRPr="00C076DB">
        <w:rPr>
          <w:lang w:val="fr-FR"/>
        </w:rPr>
        <w:t>homme entre 2005 et 2018</w:t>
      </w:r>
      <w:r w:rsidRPr="002354FF">
        <w:rPr>
          <w:rStyle w:val="Appelnotedebasdep"/>
        </w:rPr>
        <w:footnoteReference w:id="44"/>
      </w:r>
      <w:r w:rsidRPr="00C076DB">
        <w:rPr>
          <w:lang w:val="fr-FR"/>
        </w:rPr>
        <w:t xml:space="preserve"> et le manque d</w:t>
      </w:r>
      <w:r w:rsidR="002354FF">
        <w:rPr>
          <w:lang w:val="fr-FR"/>
        </w:rPr>
        <w:t>’</w:t>
      </w:r>
      <w:r w:rsidRPr="00C076DB">
        <w:rPr>
          <w:lang w:val="fr-FR"/>
        </w:rPr>
        <w:t>informations sur les suites données à ces plaintes par les autorités compétentes, ainsi que l</w:t>
      </w:r>
      <w:r w:rsidR="002354FF">
        <w:rPr>
          <w:lang w:val="fr-FR"/>
        </w:rPr>
        <w:t>’</w:t>
      </w:r>
      <w:r w:rsidRPr="00C076DB">
        <w:rPr>
          <w:lang w:val="fr-FR"/>
        </w:rPr>
        <w:t>absence de données sur les plaintes reçues et instruites depuis lors</w:t>
      </w:r>
      <w:r w:rsidR="00F949EA">
        <w:rPr>
          <w:lang w:val="fr-FR"/>
        </w:rPr>
        <w:t> ;</w:t>
      </w:r>
    </w:p>
    <w:p w14:paraId="27846962" w14:textId="6CB59042" w:rsidR="009D335A" w:rsidRPr="00C076DB" w:rsidRDefault="009D335A" w:rsidP="00F949EA">
      <w:pPr>
        <w:pStyle w:val="SingleTxtG"/>
        <w:ind w:firstLine="567"/>
        <w:rPr>
          <w:lang w:val="fr-FR"/>
        </w:rPr>
      </w:pPr>
      <w:r w:rsidRPr="00C076DB">
        <w:rPr>
          <w:lang w:val="fr-FR"/>
        </w:rPr>
        <w:t>c)</w:t>
      </w:r>
      <w:r w:rsidRPr="00C076DB">
        <w:rPr>
          <w:lang w:val="fr-FR"/>
        </w:rPr>
        <w:tab/>
        <w:t>Le peu d</w:t>
      </w:r>
      <w:r w:rsidR="002354FF">
        <w:rPr>
          <w:lang w:val="fr-FR"/>
        </w:rPr>
        <w:t>’</w:t>
      </w:r>
      <w:r w:rsidRPr="00C076DB">
        <w:rPr>
          <w:lang w:val="fr-FR"/>
        </w:rPr>
        <w:t>informations fournies par l</w:t>
      </w:r>
      <w:r w:rsidR="002354FF">
        <w:rPr>
          <w:lang w:val="fr-FR"/>
        </w:rPr>
        <w:t>’</w:t>
      </w:r>
      <w:r w:rsidRPr="00C076DB">
        <w:rPr>
          <w:lang w:val="fr-FR"/>
        </w:rPr>
        <w:t>État partie</w:t>
      </w:r>
      <w:r w:rsidRPr="002354FF">
        <w:rPr>
          <w:rStyle w:val="Appelnotedebasdep"/>
        </w:rPr>
        <w:footnoteReference w:id="45"/>
      </w:r>
      <w:r w:rsidRPr="00C076DB">
        <w:rPr>
          <w:lang w:val="fr-FR"/>
        </w:rPr>
        <w:t xml:space="preserve"> sur les plaintes reçues au cours de la période 2008-2018 par la Police nationale, le ministère public et le Ministère de l</w:t>
      </w:r>
      <w:r w:rsidR="002354FF">
        <w:rPr>
          <w:lang w:val="fr-FR"/>
        </w:rPr>
        <w:t>’</w:t>
      </w:r>
      <w:r w:rsidRPr="00C076DB">
        <w:rPr>
          <w:lang w:val="fr-FR"/>
        </w:rPr>
        <w:t>intérieur concernant des violations des droits de l</w:t>
      </w:r>
      <w:r w:rsidR="002354FF">
        <w:rPr>
          <w:lang w:val="fr-FR"/>
        </w:rPr>
        <w:t>’</w:t>
      </w:r>
      <w:r w:rsidRPr="00C076DB">
        <w:rPr>
          <w:lang w:val="fr-FR"/>
        </w:rPr>
        <w:t>homme et des mauvais traitements présumés</w:t>
      </w:r>
      <w:r w:rsidR="00F949EA">
        <w:rPr>
          <w:lang w:val="fr-FR"/>
        </w:rPr>
        <w:t> ;</w:t>
      </w:r>
      <w:r w:rsidRPr="00C076DB">
        <w:rPr>
          <w:lang w:val="fr-FR"/>
        </w:rPr>
        <w:t xml:space="preserve"> l</w:t>
      </w:r>
      <w:r w:rsidR="002354FF">
        <w:rPr>
          <w:lang w:val="fr-FR"/>
        </w:rPr>
        <w:t>’</w:t>
      </w:r>
      <w:r w:rsidRPr="00C076DB">
        <w:rPr>
          <w:lang w:val="fr-FR"/>
        </w:rPr>
        <w:t>absence d</w:t>
      </w:r>
      <w:r w:rsidR="002354FF">
        <w:rPr>
          <w:lang w:val="fr-FR"/>
        </w:rPr>
        <w:t>’</w:t>
      </w:r>
      <w:r w:rsidRPr="00C076DB">
        <w:rPr>
          <w:lang w:val="fr-FR"/>
        </w:rPr>
        <w:t>informations actualisées sur les plaintes reçues depuis lors, le faible nombre de poursuites pour des actes de torture et des mauvais traitements ainsi que l</w:t>
      </w:r>
      <w:r w:rsidR="002354FF">
        <w:rPr>
          <w:lang w:val="fr-FR"/>
        </w:rPr>
        <w:t>’</w:t>
      </w:r>
      <w:r w:rsidRPr="00C076DB">
        <w:rPr>
          <w:lang w:val="fr-FR"/>
        </w:rPr>
        <w:t xml:space="preserve">information selon laquelle les fonctionnaires qui </w:t>
      </w:r>
      <w:r w:rsidRPr="00016D93">
        <w:rPr>
          <w:lang w:val="fr-FR"/>
        </w:rPr>
        <w:t>infligent</w:t>
      </w:r>
      <w:r w:rsidRPr="00C076DB">
        <w:rPr>
          <w:lang w:val="fr-FR"/>
        </w:rPr>
        <w:t xml:space="preserve"> des </w:t>
      </w:r>
      <w:r w:rsidRPr="00016D93">
        <w:rPr>
          <w:lang w:val="fr-FR"/>
        </w:rPr>
        <w:t>actes</w:t>
      </w:r>
      <w:r w:rsidRPr="00C076DB">
        <w:rPr>
          <w:lang w:val="fr-FR"/>
        </w:rPr>
        <w:t xml:space="preserve"> de torture ou des mauvais </w:t>
      </w:r>
      <w:r w:rsidRPr="00016D93">
        <w:rPr>
          <w:lang w:val="fr-FR"/>
        </w:rPr>
        <w:t>traitements sont sanctionnés sur le plan administratif, mais pas sur le plan pénal</w:t>
      </w:r>
      <w:r w:rsidR="00F949EA">
        <w:rPr>
          <w:lang w:val="fr-FR"/>
        </w:rPr>
        <w:t> ;</w:t>
      </w:r>
    </w:p>
    <w:p w14:paraId="1DCB909F" w14:textId="3B187159" w:rsidR="009D335A" w:rsidRPr="00C076DB" w:rsidRDefault="009D335A" w:rsidP="00F949EA">
      <w:pPr>
        <w:pStyle w:val="SingleTxtG"/>
        <w:ind w:firstLine="567"/>
        <w:rPr>
          <w:lang w:val="fr-FR"/>
        </w:rPr>
      </w:pPr>
      <w:r w:rsidRPr="00C076DB">
        <w:rPr>
          <w:lang w:val="fr-FR"/>
        </w:rPr>
        <w:t>d)</w:t>
      </w:r>
      <w:r w:rsidRPr="00C076DB">
        <w:rPr>
          <w:lang w:val="fr-FR"/>
        </w:rPr>
        <w:tab/>
        <w:t>Le fait que l</w:t>
      </w:r>
      <w:r w:rsidR="002354FF">
        <w:rPr>
          <w:lang w:val="fr-FR"/>
        </w:rPr>
        <w:t>’</w:t>
      </w:r>
      <w:r w:rsidRPr="00C076DB">
        <w:rPr>
          <w:lang w:val="fr-FR"/>
        </w:rPr>
        <w:t>État partie n</w:t>
      </w:r>
      <w:r w:rsidR="002354FF">
        <w:rPr>
          <w:lang w:val="fr-FR"/>
        </w:rPr>
        <w:t>’</w:t>
      </w:r>
      <w:r w:rsidRPr="00C076DB">
        <w:rPr>
          <w:lang w:val="fr-FR"/>
        </w:rPr>
        <w:t>a pas adopté de mesures pour réformer la Police nationale à la suite des graves violations des droits de l</w:t>
      </w:r>
      <w:r w:rsidR="002354FF">
        <w:rPr>
          <w:lang w:val="fr-FR"/>
        </w:rPr>
        <w:t>’</w:t>
      </w:r>
      <w:r w:rsidRPr="00C076DB">
        <w:rPr>
          <w:lang w:val="fr-FR"/>
        </w:rPr>
        <w:t>homme qui se sont produites à partir d</w:t>
      </w:r>
      <w:r w:rsidR="002354FF">
        <w:rPr>
          <w:lang w:val="fr-FR"/>
        </w:rPr>
        <w:t>’</w:t>
      </w:r>
      <w:r w:rsidRPr="00C076DB">
        <w:rPr>
          <w:lang w:val="fr-FR"/>
        </w:rPr>
        <w:t>avril 2018</w:t>
      </w:r>
      <w:r w:rsidRPr="00016D93">
        <w:rPr>
          <w:lang w:val="fr-FR"/>
        </w:rPr>
        <w:t>,</w:t>
      </w:r>
      <w:r w:rsidRPr="00C076DB">
        <w:rPr>
          <w:lang w:val="fr-FR"/>
        </w:rPr>
        <w:t xml:space="preserve"> et le </w:t>
      </w:r>
      <w:r>
        <w:rPr>
          <w:lang w:val="fr-FR"/>
        </w:rPr>
        <w:t>placement de celle-ci sous</w:t>
      </w:r>
      <w:r w:rsidRPr="00C076DB">
        <w:rPr>
          <w:lang w:val="fr-FR"/>
        </w:rPr>
        <w:t xml:space="preserve"> </w:t>
      </w:r>
      <w:r>
        <w:rPr>
          <w:lang w:val="fr-FR"/>
        </w:rPr>
        <w:t>l</w:t>
      </w:r>
      <w:r w:rsidRPr="00C076DB">
        <w:rPr>
          <w:lang w:val="fr-FR"/>
        </w:rPr>
        <w:t xml:space="preserve">a direction </w:t>
      </w:r>
      <w:r>
        <w:rPr>
          <w:lang w:val="fr-FR"/>
        </w:rPr>
        <w:t>d</w:t>
      </w:r>
      <w:r w:rsidRPr="00C076DB">
        <w:rPr>
          <w:lang w:val="fr-FR"/>
        </w:rPr>
        <w:t xml:space="preserve">u Président </w:t>
      </w:r>
      <w:r>
        <w:rPr>
          <w:lang w:val="fr-FR"/>
        </w:rPr>
        <w:t>par voie</w:t>
      </w:r>
      <w:r w:rsidRPr="00C076DB">
        <w:rPr>
          <w:lang w:val="fr-FR"/>
        </w:rPr>
        <w:t xml:space="preserve"> de la loi n</w:t>
      </w:r>
      <w:r w:rsidRPr="00C076DB">
        <w:rPr>
          <w:vertAlign w:val="superscript"/>
          <w:lang w:val="fr-FR"/>
        </w:rPr>
        <w:t>o</w:t>
      </w:r>
      <w:r w:rsidR="003E0EA3">
        <w:rPr>
          <w:lang w:val="fr-FR"/>
        </w:rPr>
        <w:t> </w:t>
      </w:r>
      <w:r w:rsidRPr="00C076DB">
        <w:rPr>
          <w:lang w:val="fr-FR"/>
        </w:rPr>
        <w:t>872 sur l</w:t>
      </w:r>
      <w:r w:rsidR="002354FF">
        <w:rPr>
          <w:lang w:val="fr-FR"/>
        </w:rPr>
        <w:t>’</w:t>
      </w:r>
      <w:r w:rsidRPr="00C076DB">
        <w:rPr>
          <w:lang w:val="fr-FR"/>
        </w:rPr>
        <w:t>organisation, les fonctions, la carrière et le régime spécial de sécurité sociale de la Police nationale (2014)</w:t>
      </w:r>
      <w:r w:rsidR="00F949EA">
        <w:rPr>
          <w:lang w:val="fr-FR"/>
        </w:rPr>
        <w:t> ;</w:t>
      </w:r>
    </w:p>
    <w:p w14:paraId="2577EA32" w14:textId="0638EC10" w:rsidR="009D335A" w:rsidRPr="00C076DB" w:rsidRDefault="009D335A" w:rsidP="00F949EA">
      <w:pPr>
        <w:pStyle w:val="SingleTxtG"/>
        <w:ind w:firstLine="567"/>
        <w:rPr>
          <w:shd w:val="clear" w:color="auto" w:fill="FFFFFF"/>
          <w:lang w:val="fr-FR"/>
        </w:rPr>
      </w:pPr>
      <w:r w:rsidRPr="00C076DB">
        <w:rPr>
          <w:lang w:val="fr-FR"/>
        </w:rPr>
        <w:t>e)</w:t>
      </w:r>
      <w:r w:rsidRPr="00C076DB">
        <w:rPr>
          <w:lang w:val="fr-FR"/>
        </w:rPr>
        <w:tab/>
        <w:t>L</w:t>
      </w:r>
      <w:r w:rsidR="002354FF">
        <w:rPr>
          <w:lang w:val="fr-FR"/>
        </w:rPr>
        <w:t>’</w:t>
      </w:r>
      <w:r w:rsidRPr="00C076DB">
        <w:rPr>
          <w:lang w:val="fr-FR"/>
        </w:rPr>
        <w:t>absence d</w:t>
      </w:r>
      <w:r w:rsidR="002354FF">
        <w:rPr>
          <w:lang w:val="fr-FR"/>
        </w:rPr>
        <w:t>’</w:t>
      </w:r>
      <w:r w:rsidRPr="00C076DB">
        <w:rPr>
          <w:lang w:val="fr-FR"/>
        </w:rPr>
        <w:t>informations sur les critères et conditions définis et les procédures mises en place en ce qui concerne la remise en liberté des détenus, y compris les libérations faisant suite à une grâce présidentielle ou à l</w:t>
      </w:r>
      <w:r w:rsidR="002354FF">
        <w:rPr>
          <w:lang w:val="fr-FR"/>
        </w:rPr>
        <w:t>’</w:t>
      </w:r>
      <w:r w:rsidRPr="00C076DB">
        <w:rPr>
          <w:lang w:val="fr-FR"/>
        </w:rPr>
        <w:t>application de la loi d</w:t>
      </w:r>
      <w:r w:rsidR="002354FF">
        <w:rPr>
          <w:lang w:val="fr-FR"/>
        </w:rPr>
        <w:t>’</w:t>
      </w:r>
      <w:r w:rsidRPr="00C076DB">
        <w:rPr>
          <w:lang w:val="fr-FR"/>
        </w:rPr>
        <w:t>amnistie n</w:t>
      </w:r>
      <w:r w:rsidRPr="00C076DB">
        <w:rPr>
          <w:vertAlign w:val="superscript"/>
          <w:lang w:val="fr-FR"/>
        </w:rPr>
        <w:t>o</w:t>
      </w:r>
      <w:r w:rsidR="00F949EA">
        <w:rPr>
          <w:lang w:val="fr-FR"/>
        </w:rPr>
        <w:t> </w:t>
      </w:r>
      <w:r w:rsidRPr="00C076DB">
        <w:rPr>
          <w:lang w:val="fr-FR"/>
        </w:rPr>
        <w:t>996 de 2019. En ce qui concerne cette loi, le Comité s</w:t>
      </w:r>
      <w:r w:rsidR="002354FF">
        <w:rPr>
          <w:lang w:val="fr-FR"/>
        </w:rPr>
        <w:t>’</w:t>
      </w:r>
      <w:r w:rsidRPr="00C076DB">
        <w:rPr>
          <w:lang w:val="fr-FR"/>
        </w:rPr>
        <w:t>inquiète à la fois de l</w:t>
      </w:r>
      <w:r w:rsidR="002354FF">
        <w:rPr>
          <w:lang w:val="fr-FR"/>
        </w:rPr>
        <w:t>’</w:t>
      </w:r>
      <w:r w:rsidRPr="00C076DB">
        <w:rPr>
          <w:lang w:val="fr-FR"/>
        </w:rPr>
        <w:t>ambiguïté des règles qu</w:t>
      </w:r>
      <w:r w:rsidR="002354FF">
        <w:rPr>
          <w:lang w:val="fr-FR"/>
        </w:rPr>
        <w:t>’</w:t>
      </w:r>
      <w:r w:rsidRPr="00C076DB">
        <w:rPr>
          <w:lang w:val="fr-FR"/>
        </w:rPr>
        <w:t>elle contient et des informations signalant qu</w:t>
      </w:r>
      <w:r w:rsidR="002354FF">
        <w:rPr>
          <w:lang w:val="fr-FR"/>
        </w:rPr>
        <w:t>’</w:t>
      </w:r>
      <w:r w:rsidRPr="00C076DB">
        <w:rPr>
          <w:lang w:val="fr-FR"/>
        </w:rPr>
        <w:t xml:space="preserve">elle a été appliquée dans des cas de condamnations pour féminicide et </w:t>
      </w:r>
      <w:r>
        <w:rPr>
          <w:lang w:val="fr-FR"/>
        </w:rPr>
        <w:t>infraction</w:t>
      </w:r>
      <w:r w:rsidRPr="00C076DB">
        <w:rPr>
          <w:lang w:val="fr-FR"/>
        </w:rPr>
        <w:t xml:space="preserve"> sexuel</w:t>
      </w:r>
      <w:r>
        <w:rPr>
          <w:lang w:val="fr-FR"/>
        </w:rPr>
        <w:t>le</w:t>
      </w:r>
      <w:r w:rsidRPr="00C076DB">
        <w:rPr>
          <w:lang w:val="fr-FR"/>
        </w:rPr>
        <w:t>, ainsi que dans des cas de torture et d</w:t>
      </w:r>
      <w:r w:rsidR="002354FF">
        <w:rPr>
          <w:lang w:val="fr-FR"/>
        </w:rPr>
        <w:t>’</w:t>
      </w:r>
      <w:r w:rsidRPr="00C076DB">
        <w:rPr>
          <w:lang w:val="fr-FR"/>
        </w:rPr>
        <w:t xml:space="preserve">usage excessif et létal de la force survenus lors des manifestations qui ont </w:t>
      </w:r>
      <w:r>
        <w:rPr>
          <w:lang w:val="fr-FR"/>
        </w:rPr>
        <w:t>commencé</w:t>
      </w:r>
      <w:r w:rsidRPr="00C076DB">
        <w:rPr>
          <w:lang w:val="fr-FR"/>
        </w:rPr>
        <w:t xml:space="preserve"> en avril 2018</w:t>
      </w:r>
      <w:r w:rsidR="00F949EA">
        <w:rPr>
          <w:lang w:val="fr-FR"/>
        </w:rPr>
        <w:t> ;</w:t>
      </w:r>
      <w:r w:rsidRPr="00016D93">
        <w:rPr>
          <w:lang w:val="fr-FR"/>
        </w:rPr>
        <w:t xml:space="preserve"> </w:t>
      </w:r>
    </w:p>
    <w:p w14:paraId="0460501E" w14:textId="0194B096" w:rsidR="009D335A" w:rsidRPr="00C076DB" w:rsidRDefault="009D335A" w:rsidP="00F949EA">
      <w:pPr>
        <w:pStyle w:val="SingleTxtG"/>
        <w:ind w:firstLine="567"/>
        <w:rPr>
          <w:lang w:val="fr-FR"/>
        </w:rPr>
      </w:pPr>
      <w:r w:rsidRPr="00C076DB">
        <w:rPr>
          <w:lang w:val="fr-FR"/>
        </w:rPr>
        <w:t>f)</w:t>
      </w:r>
      <w:r w:rsidRPr="00C076DB">
        <w:rPr>
          <w:lang w:val="fr-FR"/>
        </w:rPr>
        <w:tab/>
        <w:t>Le manque d</w:t>
      </w:r>
      <w:r w:rsidR="002354FF">
        <w:rPr>
          <w:lang w:val="fr-FR"/>
        </w:rPr>
        <w:t>’</w:t>
      </w:r>
      <w:r w:rsidRPr="00C076DB">
        <w:rPr>
          <w:lang w:val="fr-FR"/>
        </w:rPr>
        <w:t>informations détaillées concernant les enquêtes ouvertes sur les violations graves des droits de l</w:t>
      </w:r>
      <w:r w:rsidR="002354FF">
        <w:rPr>
          <w:lang w:val="fr-FR"/>
        </w:rPr>
        <w:t>’</w:t>
      </w:r>
      <w:r w:rsidRPr="00C076DB">
        <w:rPr>
          <w:lang w:val="fr-FR"/>
        </w:rPr>
        <w:t>homme, y compris la torture, les procédures pénales menées, les sanctions imposées et la réparation intégrale accordée aux victimes, qui crée un climat général d</w:t>
      </w:r>
      <w:r w:rsidR="002354FF">
        <w:rPr>
          <w:lang w:val="fr-FR"/>
        </w:rPr>
        <w:t>’</w:t>
      </w:r>
      <w:r w:rsidRPr="00C076DB">
        <w:rPr>
          <w:lang w:val="fr-FR"/>
        </w:rPr>
        <w:t>impunité (</w:t>
      </w:r>
      <w:r w:rsidR="00F949EA">
        <w:rPr>
          <w:lang w:val="fr-FR"/>
        </w:rPr>
        <w:t>art. </w:t>
      </w:r>
      <w:r w:rsidRPr="00C076DB">
        <w:rPr>
          <w:lang w:val="fr-FR"/>
        </w:rPr>
        <w:t>1, 2, 4, 12 à 14 et 16).</w:t>
      </w:r>
    </w:p>
    <w:p w14:paraId="7DEE3B1A" w14:textId="30577FDE" w:rsidR="009D335A" w:rsidRPr="00C076DB" w:rsidRDefault="009D335A" w:rsidP="00781F32">
      <w:pPr>
        <w:pStyle w:val="SingleTxtG"/>
        <w:keepNext/>
        <w:rPr>
          <w:b/>
          <w:lang w:val="fr-FR"/>
        </w:rPr>
      </w:pPr>
      <w:r w:rsidRPr="00C076DB">
        <w:rPr>
          <w:lang w:val="fr-FR"/>
        </w:rPr>
        <w:t>20.</w:t>
      </w:r>
      <w:r w:rsidRPr="00C076DB">
        <w:rPr>
          <w:lang w:val="fr-FR"/>
        </w:rPr>
        <w:tab/>
      </w:r>
      <w:r w:rsidRPr="00C076DB">
        <w:rPr>
          <w:b/>
          <w:lang w:val="fr-FR"/>
        </w:rPr>
        <w:t xml:space="preserve">Le Comité </w:t>
      </w:r>
      <w:r>
        <w:rPr>
          <w:b/>
          <w:lang w:val="fr-FR"/>
        </w:rPr>
        <w:t>engage instamment</w:t>
      </w:r>
      <w:r w:rsidRPr="00C076DB">
        <w:rPr>
          <w:b/>
          <w:lang w:val="fr-FR"/>
        </w:rPr>
        <w:t xml:space="preserve"> l</w:t>
      </w:r>
      <w:r w:rsidR="002354FF">
        <w:rPr>
          <w:b/>
          <w:lang w:val="fr-FR"/>
        </w:rPr>
        <w:t>’</w:t>
      </w:r>
      <w:r w:rsidRPr="00C076DB">
        <w:rPr>
          <w:b/>
          <w:lang w:val="fr-FR"/>
        </w:rPr>
        <w:t>État partie à</w:t>
      </w:r>
      <w:r w:rsidR="00781F32">
        <w:rPr>
          <w:b/>
          <w:bCs/>
          <w:lang w:val="fr-FR"/>
        </w:rPr>
        <w:t> </w:t>
      </w:r>
      <w:r w:rsidRPr="00C076DB">
        <w:rPr>
          <w:b/>
          <w:lang w:val="fr-FR"/>
        </w:rPr>
        <w:t>:</w:t>
      </w:r>
    </w:p>
    <w:p w14:paraId="375E5B18" w14:textId="39B36DF2" w:rsidR="009D335A" w:rsidRPr="00C076DB" w:rsidRDefault="009D335A" w:rsidP="00F949EA">
      <w:pPr>
        <w:pStyle w:val="SingleTxtG"/>
        <w:ind w:firstLine="567"/>
        <w:rPr>
          <w:b/>
          <w:lang w:val="fr-FR"/>
        </w:rPr>
      </w:pPr>
      <w:r w:rsidRPr="00781F32">
        <w:rPr>
          <w:bCs/>
          <w:lang w:val="fr-FR"/>
        </w:rPr>
        <w:t>a)</w:t>
      </w:r>
      <w:r w:rsidRPr="00781F32">
        <w:rPr>
          <w:bCs/>
          <w:lang w:val="fr-FR"/>
        </w:rPr>
        <w:tab/>
      </w:r>
      <w:r w:rsidRPr="00C076DB">
        <w:rPr>
          <w:b/>
          <w:lang w:val="fr-FR"/>
        </w:rPr>
        <w:t>Veiller à ce que les autorités ouvrent une enquête chaque fois qu</w:t>
      </w:r>
      <w:r w:rsidR="002354FF">
        <w:rPr>
          <w:b/>
          <w:lang w:val="fr-FR"/>
        </w:rPr>
        <w:t>’</w:t>
      </w:r>
      <w:r w:rsidRPr="00C076DB">
        <w:rPr>
          <w:b/>
          <w:lang w:val="fr-FR"/>
        </w:rPr>
        <w:t>il existe des motifs raisonnables de croire qu</w:t>
      </w:r>
      <w:r w:rsidR="002354FF">
        <w:rPr>
          <w:b/>
          <w:lang w:val="fr-FR"/>
        </w:rPr>
        <w:t>’</w:t>
      </w:r>
      <w:r w:rsidRPr="00C076DB">
        <w:rPr>
          <w:b/>
          <w:lang w:val="fr-FR"/>
        </w:rPr>
        <w:t xml:space="preserve">un acte de torture a été commis ou que des mauvais traitements ont été infligés, et veiller à ce que les personnes privées de liberté aient à </w:t>
      </w:r>
      <w:r w:rsidRPr="00C076DB">
        <w:rPr>
          <w:b/>
          <w:lang w:val="fr-FR"/>
        </w:rPr>
        <w:lastRenderedPageBreak/>
        <w:t>leur disposition un mécanisme de plainte efficace, indépendant et accessible et qu</w:t>
      </w:r>
      <w:r w:rsidR="002354FF">
        <w:rPr>
          <w:b/>
          <w:lang w:val="fr-FR"/>
        </w:rPr>
        <w:t>’</w:t>
      </w:r>
      <w:r w:rsidRPr="00C076DB">
        <w:rPr>
          <w:b/>
          <w:lang w:val="fr-FR"/>
        </w:rPr>
        <w:t>elles ne subissent pas de représailles pour avoir porté plainte</w:t>
      </w:r>
      <w:r w:rsidR="00F949EA">
        <w:rPr>
          <w:b/>
          <w:bCs/>
          <w:lang w:val="fr-FR"/>
        </w:rPr>
        <w:t> ;</w:t>
      </w:r>
    </w:p>
    <w:p w14:paraId="39D96AEE" w14:textId="5D9AA7F1" w:rsidR="009D335A" w:rsidRPr="00C076DB" w:rsidRDefault="009D335A" w:rsidP="00F949EA">
      <w:pPr>
        <w:pStyle w:val="SingleTxtG"/>
        <w:ind w:firstLine="567"/>
        <w:rPr>
          <w:b/>
          <w:lang w:val="fr-FR"/>
        </w:rPr>
      </w:pPr>
      <w:r w:rsidRPr="00781F32">
        <w:rPr>
          <w:bCs/>
          <w:lang w:val="fr-FR"/>
        </w:rPr>
        <w:t>b)</w:t>
      </w:r>
      <w:r w:rsidRPr="00781F32">
        <w:rPr>
          <w:bCs/>
          <w:lang w:val="fr-FR"/>
        </w:rPr>
        <w:tab/>
      </w:r>
      <w:r w:rsidRPr="00C076DB">
        <w:rPr>
          <w:b/>
          <w:lang w:val="fr-FR"/>
        </w:rPr>
        <w:t xml:space="preserve">Réunir et publier des données statistiques complètes et détaillées concernant </w:t>
      </w:r>
      <w:r w:rsidRPr="00016D93">
        <w:rPr>
          <w:b/>
          <w:bCs/>
          <w:lang w:val="fr-FR"/>
        </w:rPr>
        <w:t>l</w:t>
      </w:r>
      <w:r w:rsidR="002354FF">
        <w:rPr>
          <w:b/>
          <w:bCs/>
          <w:lang w:val="fr-FR"/>
        </w:rPr>
        <w:t>’</w:t>
      </w:r>
      <w:r w:rsidRPr="00016D93">
        <w:rPr>
          <w:b/>
          <w:bCs/>
          <w:lang w:val="fr-FR"/>
        </w:rPr>
        <w:t xml:space="preserve">ensemble des </w:t>
      </w:r>
      <w:r w:rsidRPr="00C076DB">
        <w:rPr>
          <w:b/>
          <w:lang w:val="fr-FR"/>
        </w:rPr>
        <w:t xml:space="preserve">signalements </w:t>
      </w:r>
      <w:r w:rsidRPr="00016D93">
        <w:rPr>
          <w:b/>
          <w:bCs/>
          <w:lang w:val="fr-FR"/>
        </w:rPr>
        <w:t>et des</w:t>
      </w:r>
      <w:r w:rsidRPr="00C076DB">
        <w:rPr>
          <w:b/>
          <w:lang w:val="fr-FR"/>
        </w:rPr>
        <w:t xml:space="preserve"> plaintes relatifs à des actes de torture ou à des mauvais traitements, </w:t>
      </w:r>
      <w:r w:rsidRPr="00016D93">
        <w:rPr>
          <w:b/>
          <w:bCs/>
          <w:lang w:val="fr-FR"/>
        </w:rPr>
        <w:t>e</w:t>
      </w:r>
      <w:r>
        <w:rPr>
          <w:b/>
          <w:bCs/>
          <w:lang w:val="fr-FR"/>
        </w:rPr>
        <w:t>t</w:t>
      </w:r>
      <w:r w:rsidRPr="00016D93">
        <w:rPr>
          <w:b/>
          <w:bCs/>
          <w:lang w:val="fr-FR"/>
        </w:rPr>
        <w:t xml:space="preserve"> précis</w:t>
      </w:r>
      <w:r>
        <w:rPr>
          <w:b/>
          <w:bCs/>
          <w:lang w:val="fr-FR"/>
        </w:rPr>
        <w:t>er</w:t>
      </w:r>
      <w:r w:rsidRPr="00C076DB">
        <w:rPr>
          <w:b/>
          <w:lang w:val="fr-FR"/>
        </w:rPr>
        <w:t xml:space="preserve"> si ces plaintes ont donné lieu à une enquête et, le cas échéant, par quelle autorité celle-ci a été menée, si l</w:t>
      </w:r>
      <w:r w:rsidR="002354FF">
        <w:rPr>
          <w:b/>
          <w:lang w:val="fr-FR"/>
        </w:rPr>
        <w:t>’</w:t>
      </w:r>
      <w:r w:rsidRPr="00C076DB">
        <w:rPr>
          <w:b/>
          <w:lang w:val="fr-FR"/>
        </w:rPr>
        <w:t xml:space="preserve">enquête a débouché sur des mesures disciplinaires ou </w:t>
      </w:r>
      <w:r w:rsidRPr="00016D93">
        <w:rPr>
          <w:b/>
          <w:bCs/>
          <w:lang w:val="fr-FR"/>
        </w:rPr>
        <w:t>conduit</w:t>
      </w:r>
      <w:r w:rsidRPr="00C076DB">
        <w:rPr>
          <w:b/>
          <w:lang w:val="fr-FR"/>
        </w:rPr>
        <w:t xml:space="preserve"> à l</w:t>
      </w:r>
      <w:r w:rsidR="002354FF">
        <w:rPr>
          <w:b/>
          <w:lang w:val="fr-FR"/>
        </w:rPr>
        <w:t>’</w:t>
      </w:r>
      <w:r w:rsidRPr="00C076DB">
        <w:rPr>
          <w:b/>
          <w:lang w:val="fr-FR"/>
        </w:rPr>
        <w:t>ouverture de poursuites et le type de peine imposée, et si les victimes ont obtenu réparation, de sorte que l</w:t>
      </w:r>
      <w:r w:rsidR="002354FF">
        <w:rPr>
          <w:b/>
          <w:lang w:val="fr-FR"/>
        </w:rPr>
        <w:t>’</w:t>
      </w:r>
      <w:r w:rsidRPr="00C076DB">
        <w:rPr>
          <w:b/>
          <w:lang w:val="fr-FR"/>
        </w:rPr>
        <w:t xml:space="preserve">État partie puisse </w:t>
      </w:r>
      <w:r w:rsidRPr="00016D93">
        <w:rPr>
          <w:b/>
          <w:bCs/>
          <w:lang w:val="fr-FR"/>
        </w:rPr>
        <w:t>à l</w:t>
      </w:r>
      <w:r w:rsidR="002354FF">
        <w:rPr>
          <w:b/>
          <w:bCs/>
          <w:lang w:val="fr-FR"/>
        </w:rPr>
        <w:t>’</w:t>
      </w:r>
      <w:r w:rsidRPr="00016D93">
        <w:rPr>
          <w:b/>
          <w:bCs/>
          <w:lang w:val="fr-FR"/>
        </w:rPr>
        <w:t xml:space="preserve">avenir </w:t>
      </w:r>
      <w:r w:rsidRPr="00C076DB">
        <w:rPr>
          <w:b/>
          <w:lang w:val="fr-FR"/>
        </w:rPr>
        <w:t>communiquer ces informations au Comité et à d</w:t>
      </w:r>
      <w:r w:rsidR="002354FF">
        <w:rPr>
          <w:b/>
          <w:lang w:val="fr-FR"/>
        </w:rPr>
        <w:t>’</w:t>
      </w:r>
      <w:r w:rsidRPr="00C076DB">
        <w:rPr>
          <w:b/>
          <w:lang w:val="fr-FR"/>
        </w:rPr>
        <w:t>autres organes de contrôle</w:t>
      </w:r>
      <w:r w:rsidR="00F949EA">
        <w:rPr>
          <w:b/>
          <w:lang w:val="fr-FR"/>
        </w:rPr>
        <w:t> ;</w:t>
      </w:r>
    </w:p>
    <w:p w14:paraId="64E803AD" w14:textId="7A555EA4" w:rsidR="009D335A" w:rsidRPr="00C076DB" w:rsidRDefault="009D335A" w:rsidP="00F949EA">
      <w:pPr>
        <w:pStyle w:val="SingleTxtG"/>
        <w:ind w:firstLine="567"/>
        <w:rPr>
          <w:b/>
          <w:lang w:val="fr-FR"/>
        </w:rPr>
      </w:pPr>
      <w:r w:rsidRPr="00781F32">
        <w:rPr>
          <w:bCs/>
          <w:lang w:val="fr-FR"/>
        </w:rPr>
        <w:t>c)</w:t>
      </w:r>
      <w:r w:rsidRPr="00781F32">
        <w:rPr>
          <w:bCs/>
          <w:lang w:val="fr-FR"/>
        </w:rPr>
        <w:tab/>
      </w:r>
      <w:r w:rsidRPr="00C076DB">
        <w:rPr>
          <w:b/>
          <w:lang w:val="fr-FR"/>
        </w:rPr>
        <w:t>Prendre les mesures législatives et autres nécessaires pour réformer la Police nationale, renforcer l</w:t>
      </w:r>
      <w:r w:rsidR="002354FF">
        <w:rPr>
          <w:b/>
          <w:lang w:val="fr-FR"/>
        </w:rPr>
        <w:t>’</w:t>
      </w:r>
      <w:r w:rsidRPr="00C076DB">
        <w:rPr>
          <w:b/>
          <w:lang w:val="fr-FR"/>
        </w:rPr>
        <w:t>indépendance du ministère public et envisager la création en son sein d</w:t>
      </w:r>
      <w:r w:rsidR="002354FF">
        <w:rPr>
          <w:b/>
          <w:lang w:val="fr-FR"/>
        </w:rPr>
        <w:t>’</w:t>
      </w:r>
      <w:r w:rsidRPr="00C076DB">
        <w:rPr>
          <w:b/>
          <w:lang w:val="fr-FR"/>
        </w:rPr>
        <w:t>une unité spéciale chargée d</w:t>
      </w:r>
      <w:r w:rsidR="002354FF">
        <w:rPr>
          <w:b/>
          <w:lang w:val="fr-FR"/>
        </w:rPr>
        <w:t>’</w:t>
      </w:r>
      <w:r w:rsidRPr="00C076DB">
        <w:rPr>
          <w:b/>
          <w:lang w:val="fr-FR"/>
        </w:rPr>
        <w:t xml:space="preserve">enquêter sur les </w:t>
      </w:r>
      <w:r w:rsidRPr="00016D93">
        <w:rPr>
          <w:b/>
          <w:bCs/>
          <w:lang w:val="fr-FR"/>
        </w:rPr>
        <w:t>plaintes pour</w:t>
      </w:r>
      <w:r w:rsidRPr="00C076DB">
        <w:rPr>
          <w:b/>
          <w:lang w:val="fr-FR"/>
        </w:rPr>
        <w:t xml:space="preserve"> torture et mauvais traitements enregistrées depuis le 18</w:t>
      </w:r>
      <w:r w:rsidR="00781F32">
        <w:rPr>
          <w:b/>
          <w:bCs/>
          <w:lang w:val="fr-FR"/>
        </w:rPr>
        <w:t> </w:t>
      </w:r>
      <w:r w:rsidRPr="00C076DB">
        <w:rPr>
          <w:b/>
          <w:lang w:val="fr-FR"/>
        </w:rPr>
        <w:t>avril 2018, qui ait autorité pour ouvrir des enquêtes d</w:t>
      </w:r>
      <w:r w:rsidR="002354FF">
        <w:rPr>
          <w:b/>
          <w:lang w:val="fr-FR"/>
        </w:rPr>
        <w:t>’</w:t>
      </w:r>
      <w:r w:rsidRPr="00C076DB">
        <w:rPr>
          <w:b/>
          <w:lang w:val="fr-FR"/>
        </w:rPr>
        <w:t>office, comme l</w:t>
      </w:r>
      <w:r w:rsidR="002354FF">
        <w:rPr>
          <w:b/>
          <w:lang w:val="fr-FR"/>
        </w:rPr>
        <w:t>’</w:t>
      </w:r>
      <w:r w:rsidRPr="00C076DB">
        <w:rPr>
          <w:b/>
          <w:lang w:val="fr-FR"/>
        </w:rPr>
        <w:t>a recommandé le HCDH dans le rapport qu</w:t>
      </w:r>
      <w:r w:rsidR="002354FF">
        <w:rPr>
          <w:b/>
          <w:lang w:val="fr-FR"/>
        </w:rPr>
        <w:t>’</w:t>
      </w:r>
      <w:r w:rsidRPr="00C076DB">
        <w:rPr>
          <w:b/>
          <w:lang w:val="fr-FR"/>
        </w:rPr>
        <w:t xml:space="preserve">il a soumis en application de la résolution </w:t>
      </w:r>
      <w:r w:rsidRPr="00016D93">
        <w:rPr>
          <w:b/>
          <w:bCs/>
          <w:lang w:val="fr-FR"/>
        </w:rPr>
        <w:t>40/2</w:t>
      </w:r>
      <w:r w:rsidRPr="00C076DB">
        <w:rPr>
          <w:b/>
          <w:lang w:val="fr-FR"/>
        </w:rPr>
        <w:t xml:space="preserve"> du Conseil des droits de l</w:t>
      </w:r>
      <w:r w:rsidR="002354FF">
        <w:rPr>
          <w:b/>
          <w:lang w:val="fr-FR"/>
        </w:rPr>
        <w:t>’</w:t>
      </w:r>
      <w:r w:rsidRPr="00C076DB">
        <w:rPr>
          <w:b/>
          <w:lang w:val="fr-FR"/>
        </w:rPr>
        <w:t>homme</w:t>
      </w:r>
      <w:r w:rsidRPr="002354FF">
        <w:rPr>
          <w:rStyle w:val="Appelnotedebasdep"/>
        </w:rPr>
        <w:footnoteReference w:id="46"/>
      </w:r>
      <w:r w:rsidR="00F949EA">
        <w:rPr>
          <w:b/>
          <w:lang w:val="fr-FR"/>
        </w:rPr>
        <w:t> ;</w:t>
      </w:r>
    </w:p>
    <w:p w14:paraId="33E1EE2C" w14:textId="4C655079" w:rsidR="009D335A" w:rsidRPr="00C076DB" w:rsidRDefault="009D335A" w:rsidP="00F949EA">
      <w:pPr>
        <w:pStyle w:val="SingleTxtG"/>
        <w:ind w:firstLine="567"/>
        <w:rPr>
          <w:b/>
          <w:lang w:val="fr-FR"/>
        </w:rPr>
      </w:pPr>
      <w:r w:rsidRPr="00781F32">
        <w:rPr>
          <w:bCs/>
          <w:lang w:val="fr-FR"/>
        </w:rPr>
        <w:t>d)</w:t>
      </w:r>
      <w:r w:rsidRPr="00781F32">
        <w:rPr>
          <w:bCs/>
          <w:lang w:val="fr-FR"/>
        </w:rPr>
        <w:tab/>
      </w:r>
      <w:r>
        <w:rPr>
          <w:b/>
          <w:bCs/>
          <w:lang w:val="fr-FR"/>
        </w:rPr>
        <w:t>Garantir que les auteurs présumés d</w:t>
      </w:r>
      <w:r w:rsidR="002354FF">
        <w:rPr>
          <w:b/>
          <w:bCs/>
          <w:lang w:val="fr-FR"/>
        </w:rPr>
        <w:t>’</w:t>
      </w:r>
      <w:r w:rsidRPr="00016D93">
        <w:rPr>
          <w:b/>
          <w:bCs/>
          <w:lang w:val="fr-FR"/>
        </w:rPr>
        <w:t>actes</w:t>
      </w:r>
      <w:r w:rsidRPr="00C076DB">
        <w:rPr>
          <w:b/>
          <w:lang w:val="fr-FR"/>
        </w:rPr>
        <w:t xml:space="preserve"> de torture ou de mauvais traitements, y compris de violences sexuelles, soient suspendus de leurs fonctions immédiatement et pendant toute la durée de l</w:t>
      </w:r>
      <w:r w:rsidR="002354FF">
        <w:rPr>
          <w:b/>
          <w:lang w:val="fr-FR"/>
        </w:rPr>
        <w:t>’</w:t>
      </w:r>
      <w:r w:rsidRPr="00C076DB">
        <w:rPr>
          <w:b/>
          <w:lang w:val="fr-FR"/>
        </w:rPr>
        <w:t>enquête, en particulier s</w:t>
      </w:r>
      <w:r w:rsidR="002354FF">
        <w:rPr>
          <w:b/>
          <w:lang w:val="fr-FR"/>
        </w:rPr>
        <w:t>’</w:t>
      </w:r>
      <w:r w:rsidRPr="00C076DB">
        <w:rPr>
          <w:b/>
          <w:lang w:val="fr-FR"/>
        </w:rPr>
        <w:t>il existe un risque qu</w:t>
      </w:r>
      <w:r w:rsidR="002354FF">
        <w:rPr>
          <w:b/>
          <w:lang w:val="fr-FR"/>
        </w:rPr>
        <w:t>’</w:t>
      </w:r>
      <w:r w:rsidRPr="00C076DB">
        <w:rPr>
          <w:b/>
          <w:lang w:val="fr-FR"/>
        </w:rPr>
        <w:t>ils puissent commettre à nouveau les actes qui leur sont imputés, exercer des représailles ou entraver le bon déroulement de l</w:t>
      </w:r>
      <w:r w:rsidR="002354FF">
        <w:rPr>
          <w:b/>
          <w:lang w:val="fr-FR"/>
        </w:rPr>
        <w:t>’</w:t>
      </w:r>
      <w:r w:rsidRPr="00C076DB">
        <w:rPr>
          <w:b/>
          <w:lang w:val="fr-FR"/>
        </w:rPr>
        <w:t>enquête.</w:t>
      </w:r>
      <w:r w:rsidRPr="00016D93">
        <w:rPr>
          <w:lang w:val="fr-FR"/>
        </w:rPr>
        <w:t xml:space="preserve"> </w:t>
      </w:r>
      <w:r w:rsidRPr="00016D93">
        <w:rPr>
          <w:b/>
          <w:bCs/>
          <w:lang w:val="fr-FR"/>
        </w:rPr>
        <w:t>L</w:t>
      </w:r>
      <w:r w:rsidR="002354FF">
        <w:rPr>
          <w:b/>
          <w:bCs/>
          <w:lang w:val="fr-FR"/>
        </w:rPr>
        <w:t>’</w:t>
      </w:r>
      <w:r w:rsidRPr="00016D93">
        <w:rPr>
          <w:b/>
          <w:bCs/>
          <w:lang w:val="fr-FR"/>
        </w:rPr>
        <w:t>assistance</w:t>
      </w:r>
      <w:r w:rsidRPr="00C076DB">
        <w:rPr>
          <w:b/>
          <w:lang w:val="fr-FR"/>
        </w:rPr>
        <w:t xml:space="preserve"> aux victimes et aux témoins </w:t>
      </w:r>
      <w:r w:rsidRPr="00016D93">
        <w:rPr>
          <w:b/>
          <w:bCs/>
          <w:lang w:val="fr-FR"/>
        </w:rPr>
        <w:t>ainsi que leur protection devraient</w:t>
      </w:r>
      <w:r w:rsidRPr="00C076DB">
        <w:rPr>
          <w:b/>
          <w:lang w:val="fr-FR"/>
        </w:rPr>
        <w:t xml:space="preserve"> également être assurées</w:t>
      </w:r>
      <w:r w:rsidR="00F949EA">
        <w:rPr>
          <w:b/>
          <w:bCs/>
          <w:lang w:val="fr-FR"/>
        </w:rPr>
        <w:t> ;</w:t>
      </w:r>
    </w:p>
    <w:p w14:paraId="7D7ADE27" w14:textId="09B43B78" w:rsidR="009D335A" w:rsidRPr="00C076DB" w:rsidRDefault="009D335A" w:rsidP="00F949EA">
      <w:pPr>
        <w:pStyle w:val="SingleTxtG"/>
        <w:ind w:firstLine="567"/>
        <w:rPr>
          <w:b/>
          <w:lang w:val="fr-FR"/>
        </w:rPr>
      </w:pPr>
      <w:r w:rsidRPr="00781F32">
        <w:rPr>
          <w:bCs/>
          <w:lang w:val="fr-FR"/>
        </w:rPr>
        <w:t>e)</w:t>
      </w:r>
      <w:r w:rsidRPr="00781F32">
        <w:rPr>
          <w:bCs/>
          <w:lang w:val="fr-FR"/>
        </w:rPr>
        <w:tab/>
      </w:r>
      <w:r w:rsidRPr="00C076DB">
        <w:rPr>
          <w:b/>
          <w:lang w:val="fr-FR"/>
        </w:rPr>
        <w:t>S</w:t>
      </w:r>
      <w:r w:rsidR="002354FF">
        <w:rPr>
          <w:b/>
          <w:lang w:val="fr-FR"/>
        </w:rPr>
        <w:t>’</w:t>
      </w:r>
      <w:r w:rsidRPr="00C076DB">
        <w:rPr>
          <w:b/>
          <w:lang w:val="fr-FR"/>
        </w:rPr>
        <w:t>abstenir d</w:t>
      </w:r>
      <w:r w:rsidR="002354FF">
        <w:rPr>
          <w:b/>
          <w:lang w:val="fr-FR"/>
        </w:rPr>
        <w:t>’</w:t>
      </w:r>
      <w:r w:rsidRPr="00C076DB">
        <w:rPr>
          <w:b/>
          <w:lang w:val="fr-FR"/>
        </w:rPr>
        <w:t>accorder l</w:t>
      </w:r>
      <w:r w:rsidR="002354FF">
        <w:rPr>
          <w:b/>
          <w:lang w:val="fr-FR"/>
        </w:rPr>
        <w:t>’</w:t>
      </w:r>
      <w:r w:rsidRPr="00C076DB">
        <w:rPr>
          <w:b/>
          <w:lang w:val="fr-FR"/>
        </w:rPr>
        <w:t>amnistie ou la grâce à des personnes condamnées pour des actes de torture, car ces mesures ne sont pas compatibles avec les obligations des États parties concernant le caractère absolu et indérogeable de l</w:t>
      </w:r>
      <w:r w:rsidR="002354FF">
        <w:rPr>
          <w:b/>
          <w:lang w:val="fr-FR"/>
        </w:rPr>
        <w:t>’</w:t>
      </w:r>
      <w:r w:rsidRPr="00C076DB">
        <w:rPr>
          <w:b/>
          <w:lang w:val="fr-FR"/>
        </w:rPr>
        <w:t>interdiction de la</w:t>
      </w:r>
      <w:r w:rsidRPr="00CB41FE">
        <w:rPr>
          <w:b/>
          <w:bCs/>
          <w:lang w:val="fr-FR"/>
        </w:rPr>
        <w:t xml:space="preserve"> </w:t>
      </w:r>
      <w:r w:rsidRPr="00C076DB">
        <w:rPr>
          <w:b/>
          <w:lang w:val="fr-FR"/>
        </w:rPr>
        <w:t>torture</w:t>
      </w:r>
      <w:r w:rsidR="00F949EA">
        <w:rPr>
          <w:b/>
          <w:bCs/>
          <w:lang w:val="fr-FR"/>
        </w:rPr>
        <w:t> ;</w:t>
      </w:r>
    </w:p>
    <w:p w14:paraId="6DA98C01" w14:textId="7AFF0346" w:rsidR="009D335A" w:rsidRPr="00C076DB" w:rsidRDefault="009D335A" w:rsidP="00F949EA">
      <w:pPr>
        <w:pStyle w:val="SingleTxtG"/>
        <w:ind w:firstLine="567"/>
        <w:rPr>
          <w:b/>
          <w:lang w:val="fr-FR"/>
        </w:rPr>
      </w:pPr>
      <w:r w:rsidRPr="00781F32">
        <w:rPr>
          <w:bCs/>
          <w:lang w:val="fr-FR"/>
        </w:rPr>
        <w:t>f)</w:t>
      </w:r>
      <w:r w:rsidRPr="00781F32">
        <w:rPr>
          <w:bCs/>
          <w:lang w:val="fr-FR"/>
        </w:rPr>
        <w:tab/>
      </w:r>
      <w:r w:rsidRPr="00C076DB">
        <w:rPr>
          <w:b/>
          <w:lang w:val="fr-FR"/>
        </w:rPr>
        <w:t>Élaborer des programmes de formation initiale et continue obligatoire afin que tous les agents de l</w:t>
      </w:r>
      <w:r w:rsidR="002354FF">
        <w:rPr>
          <w:b/>
          <w:lang w:val="fr-FR"/>
        </w:rPr>
        <w:t>’</w:t>
      </w:r>
      <w:r w:rsidRPr="00C076DB">
        <w:rPr>
          <w:b/>
          <w:lang w:val="fr-FR"/>
        </w:rPr>
        <w:t xml:space="preserve">État, en particulier les membres des services de sécurité, les </w:t>
      </w:r>
      <w:r w:rsidRPr="00016D93">
        <w:rPr>
          <w:b/>
          <w:bCs/>
          <w:lang w:val="fr-FR"/>
        </w:rPr>
        <w:t>agents</w:t>
      </w:r>
      <w:r w:rsidRPr="00C076DB">
        <w:rPr>
          <w:b/>
          <w:lang w:val="fr-FR"/>
        </w:rPr>
        <w:t xml:space="preserve"> pénitentiaires et </w:t>
      </w:r>
      <w:r w:rsidRPr="00016D93">
        <w:rPr>
          <w:b/>
          <w:bCs/>
          <w:lang w:val="fr-FR"/>
        </w:rPr>
        <w:t>le</w:t>
      </w:r>
      <w:r>
        <w:rPr>
          <w:b/>
          <w:bCs/>
          <w:lang w:val="fr-FR"/>
        </w:rPr>
        <w:t>s</w:t>
      </w:r>
      <w:r w:rsidRPr="00016D93">
        <w:rPr>
          <w:b/>
          <w:bCs/>
          <w:lang w:val="fr-FR"/>
        </w:rPr>
        <w:t xml:space="preserve"> p</w:t>
      </w:r>
      <w:r>
        <w:rPr>
          <w:b/>
          <w:bCs/>
          <w:lang w:val="fr-FR"/>
        </w:rPr>
        <w:t>rofessionnels</w:t>
      </w:r>
      <w:r w:rsidRPr="00016D93">
        <w:rPr>
          <w:b/>
          <w:bCs/>
          <w:lang w:val="fr-FR"/>
        </w:rPr>
        <w:t xml:space="preserve"> de la justice</w:t>
      </w:r>
      <w:r w:rsidRPr="00C076DB">
        <w:rPr>
          <w:b/>
          <w:lang w:val="fr-FR"/>
        </w:rPr>
        <w:t>, aient une bonne connaissance des dispositions de la Convention, en particulier de l</w:t>
      </w:r>
      <w:r w:rsidR="002354FF">
        <w:rPr>
          <w:b/>
          <w:lang w:val="fr-FR"/>
        </w:rPr>
        <w:t>’</w:t>
      </w:r>
      <w:r w:rsidRPr="00C076DB">
        <w:rPr>
          <w:b/>
          <w:lang w:val="fr-FR"/>
        </w:rPr>
        <w:t>interdiction absolue de la torture, et soient pleinement conscients qu</w:t>
      </w:r>
      <w:r w:rsidR="002354FF">
        <w:rPr>
          <w:b/>
          <w:lang w:val="fr-FR"/>
        </w:rPr>
        <w:t>’</w:t>
      </w:r>
      <w:r w:rsidRPr="00C076DB">
        <w:rPr>
          <w:b/>
          <w:lang w:val="fr-FR"/>
        </w:rPr>
        <w:t>aucun manquement ne sera toléré, que toute violation donnera lieu à une enquête et que les responsables seront poursuivis et, s</w:t>
      </w:r>
      <w:r w:rsidR="002354FF">
        <w:rPr>
          <w:b/>
          <w:lang w:val="fr-FR"/>
        </w:rPr>
        <w:t>’</w:t>
      </w:r>
      <w:r w:rsidRPr="00C076DB">
        <w:rPr>
          <w:b/>
          <w:lang w:val="fr-FR"/>
        </w:rPr>
        <w:t>ils sont reconnus coupables, dûment sanctionnés.</w:t>
      </w:r>
      <w:r w:rsidRPr="00016D93">
        <w:rPr>
          <w:lang w:val="fr-FR"/>
        </w:rPr>
        <w:t xml:space="preserve"> </w:t>
      </w:r>
      <w:r w:rsidRPr="00016D93">
        <w:rPr>
          <w:b/>
          <w:bCs/>
          <w:lang w:val="fr-FR"/>
        </w:rPr>
        <w:t>L</w:t>
      </w:r>
      <w:r w:rsidR="002354FF">
        <w:rPr>
          <w:b/>
          <w:bCs/>
          <w:lang w:val="fr-FR"/>
        </w:rPr>
        <w:t>’</w:t>
      </w:r>
      <w:r w:rsidRPr="00016D93">
        <w:rPr>
          <w:b/>
          <w:bCs/>
          <w:lang w:val="fr-FR"/>
        </w:rPr>
        <w:t>État partie devrait, en outre, faire en sorte que l</w:t>
      </w:r>
      <w:r w:rsidR="002354FF">
        <w:rPr>
          <w:b/>
          <w:bCs/>
          <w:lang w:val="fr-FR"/>
        </w:rPr>
        <w:t>’</w:t>
      </w:r>
      <w:r w:rsidRPr="00016D93">
        <w:rPr>
          <w:b/>
          <w:bCs/>
          <w:lang w:val="fr-FR"/>
        </w:rPr>
        <w:t>ensemble du personnel concerné, y compris le personnel médical, reçoive une formation particulière qui lui permette de détecter les cas de torture et de mauvais traitements, conformément au Manuel pour enquêter efficacement sur la torture et autres peines ou traitements cruels, inhumains ou dégradants (Protocole d</w:t>
      </w:r>
      <w:r w:rsidR="002354FF">
        <w:rPr>
          <w:b/>
          <w:bCs/>
          <w:lang w:val="fr-FR"/>
        </w:rPr>
        <w:t>’</w:t>
      </w:r>
      <w:r w:rsidRPr="00016D93">
        <w:rPr>
          <w:b/>
          <w:bCs/>
          <w:lang w:val="fr-FR"/>
        </w:rPr>
        <w:t>Istanbul).</w:t>
      </w:r>
    </w:p>
    <w:p w14:paraId="1C6CFCB9" w14:textId="77777777" w:rsidR="009D335A" w:rsidRPr="00016D93" w:rsidRDefault="009D335A" w:rsidP="00781F32">
      <w:pPr>
        <w:pStyle w:val="H23G"/>
        <w:rPr>
          <w:lang w:val="fr-FR"/>
        </w:rPr>
      </w:pPr>
      <w:r w:rsidRPr="00016D93">
        <w:rPr>
          <w:lang w:val="fr-FR"/>
        </w:rPr>
        <w:tab/>
      </w:r>
      <w:r w:rsidRPr="00016D93">
        <w:rPr>
          <w:lang w:val="fr-FR"/>
        </w:rPr>
        <w:tab/>
        <w:t>Aveux obtenus par la contrainte</w:t>
      </w:r>
    </w:p>
    <w:p w14:paraId="1C281083" w14:textId="6E82084D" w:rsidR="009D335A" w:rsidRPr="00016D93" w:rsidRDefault="009D335A" w:rsidP="009D335A">
      <w:pPr>
        <w:pStyle w:val="SingleTxtG"/>
        <w:rPr>
          <w:lang w:val="fr-FR"/>
        </w:rPr>
      </w:pPr>
      <w:r w:rsidRPr="00016D93">
        <w:rPr>
          <w:lang w:val="fr-FR"/>
        </w:rPr>
        <w:t>21.</w:t>
      </w:r>
      <w:r w:rsidRPr="00016D93">
        <w:rPr>
          <w:lang w:val="fr-FR"/>
        </w:rPr>
        <w:tab/>
        <w:t>Le Comité prend note des garanties énoncées à l</w:t>
      </w:r>
      <w:r w:rsidR="002354FF">
        <w:rPr>
          <w:lang w:val="fr-FR"/>
        </w:rPr>
        <w:t>’</w:t>
      </w:r>
      <w:r w:rsidR="00F949EA">
        <w:rPr>
          <w:lang w:val="fr-FR"/>
        </w:rPr>
        <w:t>article </w:t>
      </w:r>
      <w:r w:rsidRPr="00016D93">
        <w:rPr>
          <w:lang w:val="fr-FR"/>
        </w:rPr>
        <w:t>16 du Code de procédure pénale concernant l</w:t>
      </w:r>
      <w:r w:rsidR="002354FF">
        <w:rPr>
          <w:lang w:val="fr-FR"/>
        </w:rPr>
        <w:t>’</w:t>
      </w:r>
      <w:r w:rsidRPr="00016D93">
        <w:rPr>
          <w:lang w:val="fr-FR"/>
        </w:rPr>
        <w:t>irrecevabilité des preuves obtenues par des moyens illicites, mais regrette que l</w:t>
      </w:r>
      <w:r w:rsidR="002354FF">
        <w:rPr>
          <w:lang w:val="fr-FR"/>
        </w:rPr>
        <w:t>’</w:t>
      </w:r>
      <w:r w:rsidRPr="00016D93">
        <w:rPr>
          <w:lang w:val="fr-FR"/>
        </w:rPr>
        <w:t>État partie n</w:t>
      </w:r>
      <w:r w:rsidR="002354FF">
        <w:rPr>
          <w:lang w:val="fr-FR"/>
        </w:rPr>
        <w:t>’</w:t>
      </w:r>
      <w:r w:rsidRPr="00016D93">
        <w:rPr>
          <w:lang w:val="fr-FR"/>
        </w:rPr>
        <w:t>ait pas donné d</w:t>
      </w:r>
      <w:r w:rsidR="002354FF">
        <w:rPr>
          <w:lang w:val="fr-FR"/>
        </w:rPr>
        <w:t>’</w:t>
      </w:r>
      <w:r w:rsidRPr="00016D93">
        <w:rPr>
          <w:lang w:val="fr-FR"/>
        </w:rPr>
        <w:t>exemples d</w:t>
      </w:r>
      <w:r w:rsidR="002354FF">
        <w:rPr>
          <w:lang w:val="fr-FR"/>
        </w:rPr>
        <w:t>’</w:t>
      </w:r>
      <w:r w:rsidRPr="00016D93">
        <w:rPr>
          <w:lang w:val="fr-FR"/>
        </w:rPr>
        <w:t>affaires dans lesquelles des preuves ou des témoignages ont été rejetés par les tribunaux parce qu</w:t>
      </w:r>
      <w:r w:rsidR="002354FF">
        <w:rPr>
          <w:lang w:val="fr-FR"/>
        </w:rPr>
        <w:t>’</w:t>
      </w:r>
      <w:r w:rsidRPr="00016D93">
        <w:rPr>
          <w:lang w:val="fr-FR"/>
        </w:rPr>
        <w:t>ils avaient été obtenus par la torture ou par des mauvais traitements. Le Comité est préoccupé par les informations concordantes qu</w:t>
      </w:r>
      <w:r w:rsidR="002354FF">
        <w:rPr>
          <w:lang w:val="fr-FR"/>
        </w:rPr>
        <w:t>’</w:t>
      </w:r>
      <w:r w:rsidRPr="00016D93">
        <w:rPr>
          <w:lang w:val="fr-FR"/>
        </w:rPr>
        <w:t>il a reçues sur le recours à des méthodes d</w:t>
      </w:r>
      <w:r w:rsidR="002354FF">
        <w:rPr>
          <w:lang w:val="fr-FR"/>
        </w:rPr>
        <w:t>’</w:t>
      </w:r>
      <w:r w:rsidRPr="00016D93">
        <w:rPr>
          <w:lang w:val="fr-FR"/>
        </w:rPr>
        <w:t>interrogatoire coercitives</w:t>
      </w:r>
      <w:r w:rsidRPr="002354FF">
        <w:rPr>
          <w:rStyle w:val="Appelnotedebasdep"/>
        </w:rPr>
        <w:footnoteReference w:id="47"/>
      </w:r>
      <w:r w:rsidRPr="00016D93">
        <w:rPr>
          <w:lang w:val="fr-FR"/>
        </w:rPr>
        <w:t>, notamment l</w:t>
      </w:r>
      <w:r>
        <w:rPr>
          <w:lang w:val="fr-FR"/>
        </w:rPr>
        <w:t>a</w:t>
      </w:r>
      <w:r w:rsidRPr="00016D93">
        <w:rPr>
          <w:lang w:val="fr-FR"/>
        </w:rPr>
        <w:t xml:space="preserve"> menace, les </w:t>
      </w:r>
      <w:r>
        <w:rPr>
          <w:lang w:val="fr-FR"/>
        </w:rPr>
        <w:t>coups</w:t>
      </w:r>
      <w:r w:rsidRPr="00016D93">
        <w:rPr>
          <w:lang w:val="fr-FR"/>
        </w:rPr>
        <w:t xml:space="preserve"> et l</w:t>
      </w:r>
      <w:r w:rsidR="002354FF">
        <w:rPr>
          <w:lang w:val="fr-FR"/>
        </w:rPr>
        <w:t>’</w:t>
      </w:r>
      <w:r w:rsidRPr="00016D93">
        <w:rPr>
          <w:lang w:val="fr-FR"/>
        </w:rPr>
        <w:t>étouffement (art</w:t>
      </w:r>
      <w:r w:rsidR="00781F32">
        <w:rPr>
          <w:lang w:val="fr-FR"/>
        </w:rPr>
        <w:t>. </w:t>
      </w:r>
      <w:r w:rsidRPr="00016D93">
        <w:rPr>
          <w:lang w:val="fr-FR"/>
        </w:rPr>
        <w:t>2, 11, 15 et 16).</w:t>
      </w:r>
    </w:p>
    <w:p w14:paraId="480E3A1F" w14:textId="03F3F7EB" w:rsidR="009D335A" w:rsidRPr="00016D93" w:rsidRDefault="009D335A" w:rsidP="009D335A">
      <w:pPr>
        <w:pStyle w:val="SingleTxtG"/>
        <w:rPr>
          <w:rFonts w:eastAsia="Cambria"/>
          <w:b/>
          <w:bCs/>
          <w:lang w:val="fr-FR"/>
        </w:rPr>
      </w:pPr>
      <w:r w:rsidRPr="00016D93">
        <w:rPr>
          <w:lang w:val="fr-FR"/>
        </w:rPr>
        <w:t>22.</w:t>
      </w:r>
      <w:r w:rsidRPr="00016D93">
        <w:rPr>
          <w:lang w:val="fr-FR"/>
        </w:rPr>
        <w:tab/>
      </w:r>
      <w:r w:rsidRPr="00016D93">
        <w:rPr>
          <w:b/>
          <w:bCs/>
          <w:lang w:val="fr-FR"/>
        </w:rPr>
        <w:t>L</w:t>
      </w:r>
      <w:r w:rsidR="002354FF">
        <w:rPr>
          <w:b/>
          <w:bCs/>
          <w:lang w:val="fr-FR"/>
        </w:rPr>
        <w:t>’</w:t>
      </w:r>
      <w:r w:rsidRPr="00016D93">
        <w:rPr>
          <w:b/>
          <w:bCs/>
          <w:lang w:val="fr-FR"/>
        </w:rPr>
        <w:t>État partie devrait prendre sans délai des mesures pour mettre fin au</w:t>
      </w:r>
      <w:r>
        <w:rPr>
          <w:b/>
          <w:bCs/>
          <w:lang w:val="fr-FR"/>
        </w:rPr>
        <w:t xml:space="preserve"> recours à des</w:t>
      </w:r>
      <w:r w:rsidRPr="00016D93">
        <w:rPr>
          <w:b/>
          <w:bCs/>
          <w:lang w:val="fr-FR"/>
        </w:rPr>
        <w:t xml:space="preserve"> pratiques </w:t>
      </w:r>
      <w:r>
        <w:rPr>
          <w:b/>
          <w:bCs/>
          <w:lang w:val="fr-FR"/>
        </w:rPr>
        <w:t>d</w:t>
      </w:r>
      <w:r w:rsidR="002354FF">
        <w:rPr>
          <w:b/>
          <w:bCs/>
          <w:lang w:val="fr-FR"/>
        </w:rPr>
        <w:t>’</w:t>
      </w:r>
      <w:r>
        <w:rPr>
          <w:b/>
          <w:bCs/>
          <w:lang w:val="fr-FR"/>
        </w:rPr>
        <w:t xml:space="preserve">interrogatoires </w:t>
      </w:r>
      <w:r w:rsidRPr="00016D93">
        <w:rPr>
          <w:b/>
          <w:bCs/>
          <w:lang w:val="fr-FR"/>
        </w:rPr>
        <w:t>coercitives et garantir, dans la pratique, l</w:t>
      </w:r>
      <w:r w:rsidR="002354FF">
        <w:rPr>
          <w:b/>
          <w:bCs/>
          <w:lang w:val="fr-FR"/>
        </w:rPr>
        <w:t>’</w:t>
      </w:r>
      <w:r w:rsidRPr="00016D93">
        <w:rPr>
          <w:b/>
          <w:bCs/>
          <w:lang w:val="fr-FR"/>
        </w:rPr>
        <w:t xml:space="preserve">irrecevabilité de toute déclaration obtenue par la torture, </w:t>
      </w:r>
      <w:r>
        <w:rPr>
          <w:b/>
          <w:bCs/>
          <w:lang w:val="fr-FR"/>
        </w:rPr>
        <w:t xml:space="preserve">sauf </w:t>
      </w:r>
      <w:r w:rsidRPr="00016D93">
        <w:rPr>
          <w:b/>
          <w:bCs/>
          <w:lang w:val="fr-FR"/>
        </w:rPr>
        <w:t xml:space="preserve">si </w:t>
      </w:r>
      <w:r>
        <w:rPr>
          <w:b/>
          <w:bCs/>
          <w:lang w:val="fr-FR"/>
        </w:rPr>
        <w:t xml:space="preserve">elle est invoquée </w:t>
      </w:r>
      <w:r w:rsidRPr="00016D93">
        <w:rPr>
          <w:b/>
          <w:bCs/>
          <w:lang w:val="fr-FR"/>
        </w:rPr>
        <w:t>contre la personne accusée de torture pour établir qu</w:t>
      </w:r>
      <w:r w:rsidR="002354FF">
        <w:rPr>
          <w:b/>
          <w:bCs/>
          <w:lang w:val="fr-FR"/>
        </w:rPr>
        <w:t>’</w:t>
      </w:r>
      <w:r w:rsidRPr="00016D93">
        <w:rPr>
          <w:b/>
          <w:bCs/>
          <w:lang w:val="fr-FR"/>
        </w:rPr>
        <w:t>une déclaration a été faite.</w:t>
      </w:r>
    </w:p>
    <w:p w14:paraId="64D88A81" w14:textId="77777777" w:rsidR="009D335A" w:rsidRPr="00016D93" w:rsidRDefault="009D335A" w:rsidP="00781F32">
      <w:pPr>
        <w:pStyle w:val="H23G"/>
        <w:rPr>
          <w:rFonts w:eastAsia="Calibri"/>
          <w:lang w:val="fr-FR"/>
        </w:rPr>
      </w:pPr>
      <w:r w:rsidRPr="00016D93">
        <w:rPr>
          <w:lang w:val="fr-FR"/>
        </w:rPr>
        <w:lastRenderedPageBreak/>
        <w:tab/>
      </w:r>
      <w:r w:rsidRPr="00016D93">
        <w:rPr>
          <w:lang w:val="fr-FR"/>
        </w:rPr>
        <w:tab/>
      </w:r>
      <w:r w:rsidRPr="00781F32">
        <w:t>Incrimination</w:t>
      </w:r>
      <w:r w:rsidRPr="00016D93">
        <w:rPr>
          <w:lang w:val="fr-FR"/>
        </w:rPr>
        <w:t xml:space="preserve"> des manifestations et actes de répression </w:t>
      </w:r>
    </w:p>
    <w:p w14:paraId="62466F7F" w14:textId="77777777" w:rsidR="009D335A" w:rsidRPr="00016D93" w:rsidRDefault="009D335A" w:rsidP="00781F32">
      <w:pPr>
        <w:pStyle w:val="SingleTxtG"/>
        <w:keepNext/>
        <w:rPr>
          <w:rFonts w:eastAsia="Calibri"/>
          <w:u w:color="000000"/>
          <w:bdr w:val="nil"/>
          <w:lang w:val="fr-FR"/>
        </w:rPr>
      </w:pPr>
      <w:r w:rsidRPr="00016D93">
        <w:rPr>
          <w:lang w:val="fr-FR"/>
        </w:rPr>
        <w:t>23.</w:t>
      </w:r>
      <w:r w:rsidRPr="00016D93">
        <w:rPr>
          <w:lang w:val="fr-FR"/>
        </w:rPr>
        <w:tab/>
        <w:t>Le Comité est préoccupé par :</w:t>
      </w:r>
    </w:p>
    <w:p w14:paraId="433045E9" w14:textId="0DA3F888" w:rsidR="009D335A" w:rsidRPr="00016D93" w:rsidRDefault="009D335A" w:rsidP="00F949EA">
      <w:pPr>
        <w:pStyle w:val="SingleTxtG"/>
        <w:ind w:firstLine="567"/>
        <w:rPr>
          <w:lang w:val="fr-FR"/>
        </w:rPr>
      </w:pPr>
      <w:r w:rsidRPr="00016D93">
        <w:rPr>
          <w:lang w:val="fr-FR"/>
        </w:rPr>
        <w:t>a)</w:t>
      </w:r>
      <w:r w:rsidRPr="00016D93">
        <w:rPr>
          <w:lang w:val="fr-FR"/>
        </w:rPr>
        <w:tab/>
        <w:t>Les informations transmises par l</w:t>
      </w:r>
      <w:r w:rsidR="002354FF">
        <w:rPr>
          <w:lang w:val="fr-FR"/>
        </w:rPr>
        <w:t>’</w:t>
      </w:r>
      <w:r w:rsidRPr="00016D93">
        <w:rPr>
          <w:lang w:val="fr-FR"/>
        </w:rPr>
        <w:t>ONU et d</w:t>
      </w:r>
      <w:r w:rsidR="002354FF">
        <w:rPr>
          <w:lang w:val="fr-FR"/>
        </w:rPr>
        <w:t>’</w:t>
      </w:r>
      <w:r w:rsidRPr="00016D93">
        <w:rPr>
          <w:lang w:val="fr-FR"/>
        </w:rPr>
        <w:t>autres sources fiables selon lesquelles la force létale a été utilisée contre des manifestants pacifiques</w:t>
      </w:r>
      <w:r w:rsidRPr="002354FF">
        <w:rPr>
          <w:rStyle w:val="Appelnotedebasdep"/>
        </w:rPr>
        <w:footnoteReference w:id="48"/>
      </w:r>
      <w:r w:rsidRPr="00016D93">
        <w:rPr>
          <w:lang w:val="fr-FR"/>
        </w:rPr>
        <w:t>, y compris des mineurs, et que des mauvais traitements ont été infligés lors d</w:t>
      </w:r>
      <w:r w:rsidR="002354FF">
        <w:rPr>
          <w:lang w:val="fr-FR"/>
        </w:rPr>
        <w:t>’</w:t>
      </w:r>
      <w:r w:rsidRPr="00016D93">
        <w:rPr>
          <w:lang w:val="fr-FR"/>
        </w:rPr>
        <w:t xml:space="preserve">arrestations effectuées dans le cadre des manifestations </w:t>
      </w:r>
      <w:r>
        <w:rPr>
          <w:lang w:val="fr-FR"/>
        </w:rPr>
        <w:t>qui ont commencé</w:t>
      </w:r>
      <w:r w:rsidRPr="00016D93">
        <w:rPr>
          <w:lang w:val="fr-FR"/>
        </w:rPr>
        <w:t xml:space="preserve"> en avril 2018 et </w:t>
      </w:r>
      <w:r>
        <w:rPr>
          <w:lang w:val="fr-FR"/>
        </w:rPr>
        <w:t xml:space="preserve">celles tenues </w:t>
      </w:r>
      <w:r w:rsidRPr="00016D93">
        <w:rPr>
          <w:lang w:val="fr-FR"/>
        </w:rPr>
        <w:t xml:space="preserve">pendant la période électorale de 2021. </w:t>
      </w:r>
      <w:r>
        <w:rPr>
          <w:lang w:val="fr-FR"/>
        </w:rPr>
        <w:t>C</w:t>
      </w:r>
      <w:r w:rsidRPr="00016D93">
        <w:rPr>
          <w:lang w:val="fr-FR"/>
        </w:rPr>
        <w:t>es informations</w:t>
      </w:r>
      <w:r>
        <w:rPr>
          <w:lang w:val="fr-FR"/>
        </w:rPr>
        <w:t xml:space="preserve"> signalent également la détention arbitraire de</w:t>
      </w:r>
      <w:r w:rsidRPr="00016D93">
        <w:rPr>
          <w:lang w:val="fr-FR"/>
        </w:rPr>
        <w:t xml:space="preserve"> 170 </w:t>
      </w:r>
      <w:r>
        <w:rPr>
          <w:lang w:val="fr-FR"/>
        </w:rPr>
        <w:t>à</w:t>
      </w:r>
      <w:r w:rsidRPr="00016D93">
        <w:rPr>
          <w:lang w:val="fr-FR"/>
        </w:rPr>
        <w:t xml:space="preserve"> 190</w:t>
      </w:r>
      <w:r w:rsidR="000B6802">
        <w:rPr>
          <w:lang w:val="fr-FR"/>
        </w:rPr>
        <w:t> </w:t>
      </w:r>
      <w:r w:rsidRPr="00016D93">
        <w:rPr>
          <w:lang w:val="fr-FR"/>
        </w:rPr>
        <w:t xml:space="preserve">personnes pour des raisons politiques et </w:t>
      </w:r>
      <w:r>
        <w:rPr>
          <w:lang w:val="fr-FR"/>
        </w:rPr>
        <w:t xml:space="preserve">le </w:t>
      </w:r>
      <w:r w:rsidRPr="00016D93">
        <w:rPr>
          <w:lang w:val="fr-FR"/>
        </w:rPr>
        <w:t xml:space="preserve">recours à des actes de torture physique et psychologique, des mauvais traitements, des disparitions forcées, des menaces et des représailles </w:t>
      </w:r>
      <w:r>
        <w:rPr>
          <w:lang w:val="fr-FR"/>
        </w:rPr>
        <w:t xml:space="preserve">par </w:t>
      </w:r>
      <w:r w:rsidRPr="00016D93">
        <w:rPr>
          <w:lang w:val="fr-FR"/>
        </w:rPr>
        <w:t xml:space="preserve">des agents de la Police nationale, de la Direction des opérations spéciales, des </w:t>
      </w:r>
      <w:r>
        <w:rPr>
          <w:lang w:val="fr-FR"/>
        </w:rPr>
        <w:t>agents</w:t>
      </w:r>
      <w:r w:rsidRPr="00016D93">
        <w:rPr>
          <w:lang w:val="fr-FR"/>
        </w:rPr>
        <w:t xml:space="preserve"> en civil et, dans certains cas, des acteurs paraétatiques</w:t>
      </w:r>
      <w:r w:rsidRPr="002354FF">
        <w:rPr>
          <w:rStyle w:val="Appelnotedebasdep"/>
        </w:rPr>
        <w:footnoteReference w:id="49"/>
      </w:r>
      <w:r w:rsidR="00F949EA">
        <w:rPr>
          <w:lang w:val="fr-FR"/>
        </w:rPr>
        <w:t> ;</w:t>
      </w:r>
    </w:p>
    <w:p w14:paraId="2DF6CF44" w14:textId="0616037A" w:rsidR="009D335A" w:rsidRPr="00016D93" w:rsidRDefault="009D335A" w:rsidP="00F949EA">
      <w:pPr>
        <w:pStyle w:val="SingleTxtG"/>
        <w:ind w:firstLine="567"/>
        <w:rPr>
          <w:rFonts w:eastAsia="Calibri"/>
          <w:u w:color="000000"/>
          <w:bdr w:val="nil"/>
          <w:lang w:val="fr-FR"/>
        </w:rPr>
      </w:pPr>
      <w:r w:rsidRPr="00016D93">
        <w:rPr>
          <w:lang w:val="fr-FR"/>
        </w:rPr>
        <w:t>b)</w:t>
      </w:r>
      <w:r w:rsidRPr="00016D93">
        <w:rPr>
          <w:lang w:val="fr-FR"/>
        </w:rPr>
        <w:tab/>
        <w:t>Les informations selon lesquelles des défenseurs et défenseuses des droits de l</w:t>
      </w:r>
      <w:r w:rsidR="002354FF">
        <w:rPr>
          <w:lang w:val="fr-FR"/>
        </w:rPr>
        <w:t>’</w:t>
      </w:r>
      <w:r w:rsidRPr="00016D93">
        <w:rPr>
          <w:lang w:val="fr-FR"/>
        </w:rPr>
        <w:t>homme</w:t>
      </w:r>
      <w:r w:rsidRPr="002354FF">
        <w:rPr>
          <w:rStyle w:val="Appelnotedebasdep"/>
        </w:rPr>
        <w:footnoteReference w:id="50"/>
      </w:r>
      <w:r w:rsidRPr="00016D93">
        <w:rPr>
          <w:lang w:val="fr-FR"/>
        </w:rPr>
        <w:t>, des journalistes</w:t>
      </w:r>
      <w:r w:rsidRPr="002354FF">
        <w:rPr>
          <w:rStyle w:val="Appelnotedebasdep"/>
        </w:rPr>
        <w:footnoteReference w:id="51"/>
      </w:r>
      <w:r w:rsidRPr="00016D93">
        <w:rPr>
          <w:lang w:val="fr-FR"/>
        </w:rPr>
        <w:t>, des dirigeants et dirigeantes de mouvements sociaux, des représentants de confessions religieuses et des membres de l</w:t>
      </w:r>
      <w:r w:rsidR="002354FF">
        <w:rPr>
          <w:lang w:val="fr-FR"/>
        </w:rPr>
        <w:t>’</w:t>
      </w:r>
      <w:r w:rsidRPr="00016D93">
        <w:rPr>
          <w:lang w:val="fr-FR"/>
        </w:rPr>
        <w:t>opposition</w:t>
      </w:r>
      <w:r w:rsidRPr="002354FF">
        <w:rPr>
          <w:rStyle w:val="Appelnotedebasdep"/>
        </w:rPr>
        <w:footnoteReference w:id="52"/>
      </w:r>
      <w:r w:rsidRPr="00016D93">
        <w:rPr>
          <w:lang w:val="fr-FR"/>
        </w:rPr>
        <w:t xml:space="preserve"> s</w:t>
      </w:r>
      <w:r>
        <w:rPr>
          <w:lang w:val="fr-FR"/>
        </w:rPr>
        <w:t>o</w:t>
      </w:r>
      <w:r w:rsidRPr="00016D93">
        <w:rPr>
          <w:lang w:val="fr-FR"/>
        </w:rPr>
        <w:t>nt victimes d</w:t>
      </w:r>
      <w:r w:rsidR="002354FF">
        <w:rPr>
          <w:lang w:val="fr-FR"/>
        </w:rPr>
        <w:t>’</w:t>
      </w:r>
      <w:r w:rsidRPr="00016D93">
        <w:rPr>
          <w:lang w:val="fr-FR"/>
        </w:rPr>
        <w:t>agressions</w:t>
      </w:r>
      <w:r w:rsidR="00554DD7">
        <w:rPr>
          <w:lang w:val="fr-FR"/>
        </w:rPr>
        <w:t> </w:t>
      </w:r>
      <w:r>
        <w:rPr>
          <w:lang w:val="fr-FR"/>
        </w:rPr>
        <w:t xml:space="preserve">; </w:t>
      </w:r>
      <w:r w:rsidRPr="00016D93">
        <w:rPr>
          <w:lang w:val="fr-FR"/>
        </w:rPr>
        <w:t>des organisations de la société civile et des universités</w:t>
      </w:r>
      <w:r w:rsidRPr="002354FF">
        <w:rPr>
          <w:rStyle w:val="Appelnotedebasdep"/>
        </w:rPr>
        <w:footnoteReference w:id="53"/>
      </w:r>
      <w:r w:rsidRPr="00016D93">
        <w:rPr>
          <w:lang w:val="fr-FR"/>
        </w:rPr>
        <w:t>, notamment celles qui viennent en aide aux victimes de la torture et de la violence sexuelle, s</w:t>
      </w:r>
      <w:r>
        <w:rPr>
          <w:lang w:val="fr-FR"/>
        </w:rPr>
        <w:t>o</w:t>
      </w:r>
      <w:r w:rsidRPr="00016D93">
        <w:rPr>
          <w:lang w:val="fr-FR"/>
        </w:rPr>
        <w:t>nt arbitrairement privées de leur personnalité juridique</w:t>
      </w:r>
      <w:r w:rsidR="00554DD7">
        <w:rPr>
          <w:lang w:val="fr-FR"/>
        </w:rPr>
        <w:t> </w:t>
      </w:r>
      <w:r>
        <w:rPr>
          <w:lang w:val="fr-FR"/>
        </w:rPr>
        <w:t xml:space="preserve">; </w:t>
      </w:r>
      <w:r w:rsidRPr="00016D93">
        <w:rPr>
          <w:lang w:val="fr-FR"/>
        </w:rPr>
        <w:t>plus de 150</w:t>
      </w:r>
      <w:r w:rsidR="000B6802">
        <w:rPr>
          <w:lang w:val="fr-FR"/>
        </w:rPr>
        <w:t> </w:t>
      </w:r>
      <w:r w:rsidRPr="00016D93">
        <w:rPr>
          <w:lang w:val="fr-FR"/>
        </w:rPr>
        <w:t>000</w:t>
      </w:r>
      <w:r w:rsidR="000B6802">
        <w:rPr>
          <w:lang w:val="fr-FR"/>
        </w:rPr>
        <w:t> </w:t>
      </w:r>
      <w:r w:rsidRPr="00016D93">
        <w:rPr>
          <w:lang w:val="fr-FR"/>
        </w:rPr>
        <w:t>Nicaraguayens</w:t>
      </w:r>
      <w:r>
        <w:rPr>
          <w:lang w:val="fr-FR"/>
        </w:rPr>
        <w:t xml:space="preserve"> ont fui, en quête d</w:t>
      </w:r>
      <w:r w:rsidR="002354FF">
        <w:rPr>
          <w:lang w:val="fr-FR"/>
        </w:rPr>
        <w:t>’’</w:t>
      </w:r>
      <w:r w:rsidRPr="00016D93">
        <w:rPr>
          <w:lang w:val="fr-FR"/>
        </w:rPr>
        <w:t xml:space="preserve">asile au Costa Rica, et, du fait de </w:t>
      </w:r>
      <w:r>
        <w:rPr>
          <w:lang w:val="fr-FR"/>
        </w:rPr>
        <w:t xml:space="preserve">la </w:t>
      </w:r>
      <w:r w:rsidRPr="00016D93">
        <w:rPr>
          <w:lang w:val="fr-FR"/>
        </w:rPr>
        <w:t>répression</w:t>
      </w:r>
      <w:r>
        <w:rPr>
          <w:lang w:val="fr-FR"/>
        </w:rPr>
        <w:t xml:space="preserve"> exercée</w:t>
      </w:r>
      <w:r w:rsidRPr="00016D93">
        <w:rPr>
          <w:lang w:val="fr-FR"/>
        </w:rPr>
        <w:t>,</w:t>
      </w:r>
      <w:r>
        <w:rPr>
          <w:lang w:val="fr-FR"/>
        </w:rPr>
        <w:t xml:space="preserve"> le </w:t>
      </w:r>
      <w:r w:rsidRPr="00016D93">
        <w:rPr>
          <w:lang w:val="fr-FR"/>
        </w:rPr>
        <w:t>nombre de Nicaraguayens interceptés à la frontière des États-Unis</w:t>
      </w:r>
      <w:r>
        <w:rPr>
          <w:lang w:val="fr-FR"/>
        </w:rPr>
        <w:t xml:space="preserve"> a augmenté dans des proportions sans précédent</w:t>
      </w:r>
      <w:r w:rsidRPr="002354FF">
        <w:rPr>
          <w:rStyle w:val="Appelnotedebasdep"/>
        </w:rPr>
        <w:footnoteReference w:id="54"/>
      </w:r>
      <w:r w:rsidR="00F949EA">
        <w:rPr>
          <w:lang w:val="fr-FR"/>
        </w:rPr>
        <w:t> ;</w:t>
      </w:r>
    </w:p>
    <w:p w14:paraId="707A3273" w14:textId="1BD2A3E7" w:rsidR="009D335A" w:rsidRPr="00016D93" w:rsidRDefault="009D335A" w:rsidP="00F949EA">
      <w:pPr>
        <w:pStyle w:val="SingleTxtG"/>
        <w:ind w:firstLine="567"/>
        <w:rPr>
          <w:lang w:val="fr-FR"/>
        </w:rPr>
      </w:pPr>
      <w:r w:rsidRPr="00016D93">
        <w:rPr>
          <w:lang w:val="fr-FR"/>
        </w:rPr>
        <w:t>c)</w:t>
      </w:r>
      <w:r w:rsidRPr="00016D93">
        <w:rPr>
          <w:lang w:val="fr-FR"/>
        </w:rPr>
        <w:tab/>
        <w:t xml:space="preserve">Les informations indiquant que les personnes arrêtées dans le cadre des manifestations qui ont </w:t>
      </w:r>
      <w:r>
        <w:rPr>
          <w:lang w:val="fr-FR"/>
        </w:rPr>
        <w:t>commencé</w:t>
      </w:r>
      <w:r w:rsidRPr="00016D93">
        <w:rPr>
          <w:lang w:val="fr-FR"/>
        </w:rPr>
        <w:t xml:space="preserve"> en avril 2018 ou pour s</w:t>
      </w:r>
      <w:r w:rsidR="002354FF">
        <w:rPr>
          <w:lang w:val="fr-FR"/>
        </w:rPr>
        <w:t>’</w:t>
      </w:r>
      <w:r w:rsidRPr="00016D93">
        <w:rPr>
          <w:lang w:val="fr-FR"/>
        </w:rPr>
        <w:t>être présentées aux élections de 2021 s</w:t>
      </w:r>
      <w:r>
        <w:rPr>
          <w:lang w:val="fr-FR"/>
        </w:rPr>
        <w:t>o</w:t>
      </w:r>
      <w:r w:rsidRPr="00016D93">
        <w:rPr>
          <w:lang w:val="fr-FR"/>
        </w:rPr>
        <w:t xml:space="preserve">nt accusées de terrorisme et de </w:t>
      </w:r>
      <w:r>
        <w:rPr>
          <w:lang w:val="fr-FR"/>
        </w:rPr>
        <w:t xml:space="preserve">faits de </w:t>
      </w:r>
      <w:r w:rsidRPr="00016D93">
        <w:rPr>
          <w:lang w:val="fr-FR"/>
        </w:rPr>
        <w:t>crim</w:t>
      </w:r>
      <w:r>
        <w:rPr>
          <w:lang w:val="fr-FR"/>
        </w:rPr>
        <w:t>inalité</w:t>
      </w:r>
      <w:r w:rsidRPr="00016D93">
        <w:rPr>
          <w:lang w:val="fr-FR"/>
        </w:rPr>
        <w:t xml:space="preserve"> organisé</w:t>
      </w:r>
      <w:r>
        <w:rPr>
          <w:lang w:val="fr-FR"/>
        </w:rPr>
        <w:t>e</w:t>
      </w:r>
      <w:r w:rsidRPr="00016D93">
        <w:rPr>
          <w:lang w:val="fr-FR"/>
        </w:rPr>
        <w:t xml:space="preserve"> et poursuivies sans que les garanties d</w:t>
      </w:r>
      <w:r w:rsidR="002354FF">
        <w:rPr>
          <w:lang w:val="fr-FR"/>
        </w:rPr>
        <w:t>’</w:t>
      </w:r>
      <w:r w:rsidRPr="00016D93">
        <w:rPr>
          <w:lang w:val="fr-FR"/>
        </w:rPr>
        <w:t>une procédure régulière soient respectées</w:t>
      </w:r>
      <w:r w:rsidRPr="002354FF">
        <w:rPr>
          <w:rStyle w:val="Appelnotedebasdep"/>
        </w:rPr>
        <w:footnoteReference w:id="55"/>
      </w:r>
      <w:r w:rsidRPr="00016D93">
        <w:rPr>
          <w:lang w:val="fr-FR"/>
        </w:rPr>
        <w:t xml:space="preserve">. À cet égard, le Comité </w:t>
      </w:r>
      <w:r>
        <w:rPr>
          <w:lang w:val="fr-FR"/>
        </w:rPr>
        <w:t>note</w:t>
      </w:r>
      <w:r w:rsidRPr="00016D93">
        <w:rPr>
          <w:lang w:val="fr-FR"/>
        </w:rPr>
        <w:t xml:space="preserve"> avec</w:t>
      </w:r>
      <w:r>
        <w:rPr>
          <w:lang w:val="fr-FR"/>
        </w:rPr>
        <w:t xml:space="preserve"> préoccupation</w:t>
      </w:r>
      <w:r w:rsidRPr="00016D93">
        <w:rPr>
          <w:lang w:val="fr-FR"/>
        </w:rPr>
        <w:t xml:space="preserve"> </w:t>
      </w:r>
      <w:r>
        <w:rPr>
          <w:lang w:val="fr-FR"/>
        </w:rPr>
        <w:t>le caractère vague</w:t>
      </w:r>
      <w:r w:rsidR="00B73952">
        <w:rPr>
          <w:lang w:val="fr-FR"/>
        </w:rPr>
        <w:t xml:space="preserve"> </w:t>
      </w:r>
      <w:r w:rsidRPr="00016D93">
        <w:rPr>
          <w:lang w:val="fr-FR"/>
        </w:rPr>
        <w:t xml:space="preserve">des </w:t>
      </w:r>
      <w:r>
        <w:rPr>
          <w:lang w:val="fr-FR"/>
        </w:rPr>
        <w:t xml:space="preserve">définitions des </w:t>
      </w:r>
      <w:r w:rsidRPr="00016D93">
        <w:rPr>
          <w:lang w:val="fr-FR"/>
        </w:rPr>
        <w:t>infractions de terrorisme énoncées dans la loi n</w:t>
      </w:r>
      <w:r w:rsidRPr="00016D93">
        <w:rPr>
          <w:vertAlign w:val="superscript"/>
          <w:lang w:val="fr-FR"/>
        </w:rPr>
        <w:t>o</w:t>
      </w:r>
      <w:r w:rsidR="000B6802">
        <w:rPr>
          <w:lang w:val="fr-FR"/>
        </w:rPr>
        <w:t> </w:t>
      </w:r>
      <w:r w:rsidRPr="00016D93">
        <w:rPr>
          <w:lang w:val="fr-FR"/>
        </w:rPr>
        <w:t>977 de 2018 relative au blanchiment de capitaux, au financement du terrorisme et au financement et à la prolifération d</w:t>
      </w:r>
      <w:r w:rsidR="002354FF">
        <w:rPr>
          <w:lang w:val="fr-FR"/>
        </w:rPr>
        <w:t>’</w:t>
      </w:r>
      <w:r w:rsidRPr="00016D93">
        <w:rPr>
          <w:lang w:val="fr-FR"/>
        </w:rPr>
        <w:t>armes de destruction massive</w:t>
      </w:r>
      <w:r w:rsidRPr="002354FF">
        <w:rPr>
          <w:rStyle w:val="Appelnotedebasdep"/>
        </w:rPr>
        <w:footnoteReference w:id="56"/>
      </w:r>
      <w:r w:rsidRPr="00016D93">
        <w:rPr>
          <w:lang w:val="fr-FR"/>
        </w:rPr>
        <w:t>, et que la loi n</w:t>
      </w:r>
      <w:r w:rsidRPr="00016D93">
        <w:rPr>
          <w:vertAlign w:val="superscript"/>
          <w:lang w:val="fr-FR"/>
        </w:rPr>
        <w:t>o</w:t>
      </w:r>
      <w:r w:rsidR="000B6802">
        <w:rPr>
          <w:lang w:val="fr-FR"/>
        </w:rPr>
        <w:t> </w:t>
      </w:r>
      <w:r w:rsidRPr="00016D93">
        <w:rPr>
          <w:lang w:val="fr-FR"/>
        </w:rPr>
        <w:t xml:space="preserve">1055 </w:t>
      </w:r>
      <w:r>
        <w:rPr>
          <w:lang w:val="fr-FR"/>
        </w:rPr>
        <w:t xml:space="preserve">de 2020 </w:t>
      </w:r>
      <w:r w:rsidRPr="00016D93">
        <w:rPr>
          <w:lang w:val="fr-FR"/>
        </w:rPr>
        <w:t>sur la défense des droits des peuples à l</w:t>
      </w:r>
      <w:r w:rsidR="002354FF">
        <w:rPr>
          <w:lang w:val="fr-FR"/>
        </w:rPr>
        <w:t>’</w:t>
      </w:r>
      <w:r w:rsidRPr="00016D93">
        <w:rPr>
          <w:lang w:val="fr-FR"/>
        </w:rPr>
        <w:t xml:space="preserve">indépendance, à la souveraineté et à </w:t>
      </w:r>
      <w:r w:rsidRPr="00016D93">
        <w:rPr>
          <w:lang w:val="fr-FR"/>
        </w:rPr>
        <w:lastRenderedPageBreak/>
        <w:t>l</w:t>
      </w:r>
      <w:r w:rsidR="002354FF">
        <w:rPr>
          <w:lang w:val="fr-FR"/>
        </w:rPr>
        <w:t>’</w:t>
      </w:r>
      <w:r w:rsidRPr="00016D93">
        <w:rPr>
          <w:lang w:val="fr-FR"/>
        </w:rPr>
        <w:t>autodétermination pour la paix, ainsi que de la loi spéciale n</w:t>
      </w:r>
      <w:r w:rsidRPr="00016D93">
        <w:rPr>
          <w:vertAlign w:val="superscript"/>
          <w:lang w:val="fr-FR"/>
        </w:rPr>
        <w:t>o</w:t>
      </w:r>
      <w:r w:rsidR="00D230E8">
        <w:rPr>
          <w:lang w:val="fr-FR"/>
        </w:rPr>
        <w:t> </w:t>
      </w:r>
      <w:r w:rsidRPr="00016D93">
        <w:rPr>
          <w:lang w:val="fr-FR"/>
        </w:rPr>
        <w:t>1042 de 2020 sur la cybercriminalité, la loi n</w:t>
      </w:r>
      <w:r w:rsidRPr="00016D93">
        <w:rPr>
          <w:vertAlign w:val="superscript"/>
          <w:lang w:val="fr-FR"/>
        </w:rPr>
        <w:t>o</w:t>
      </w:r>
      <w:r w:rsidR="00D230E8">
        <w:rPr>
          <w:lang w:val="fr-FR"/>
        </w:rPr>
        <w:t> </w:t>
      </w:r>
      <w:r w:rsidRPr="00016D93">
        <w:rPr>
          <w:lang w:val="fr-FR"/>
        </w:rPr>
        <w:t>1040 de 2020 sur la réglementation applicable aux agents étrangers</w:t>
      </w:r>
      <w:r w:rsidRPr="002354FF">
        <w:rPr>
          <w:rStyle w:val="Appelnotedebasdep"/>
        </w:rPr>
        <w:footnoteReference w:id="57"/>
      </w:r>
      <w:r w:rsidRPr="00016D93">
        <w:rPr>
          <w:lang w:val="fr-FR"/>
        </w:rPr>
        <w:t xml:space="preserve"> et les articles</w:t>
      </w:r>
      <w:r w:rsidR="00D230E8">
        <w:rPr>
          <w:lang w:val="fr-FR"/>
        </w:rPr>
        <w:t> </w:t>
      </w:r>
      <w:r w:rsidRPr="00016D93">
        <w:rPr>
          <w:lang w:val="fr-FR"/>
        </w:rPr>
        <w:t>410 et 412 du Code pénal réprimant le</w:t>
      </w:r>
      <w:r>
        <w:rPr>
          <w:lang w:val="fr-FR"/>
        </w:rPr>
        <w:t xml:space="preserve"> complot</w:t>
      </w:r>
      <w:r w:rsidRPr="00016D93">
        <w:rPr>
          <w:lang w:val="fr-FR"/>
        </w:rPr>
        <w:t xml:space="preserve"> </w:t>
      </w:r>
      <w:r>
        <w:rPr>
          <w:lang w:val="fr-FR"/>
        </w:rPr>
        <w:t xml:space="preserve">ayant pour </w:t>
      </w:r>
      <w:r w:rsidRPr="00016D93">
        <w:rPr>
          <w:lang w:val="fr-FR"/>
        </w:rPr>
        <w:t>objectif de porter atteinte à l</w:t>
      </w:r>
      <w:r w:rsidR="002354FF">
        <w:rPr>
          <w:lang w:val="fr-FR"/>
        </w:rPr>
        <w:t>’</w:t>
      </w:r>
      <w:r w:rsidRPr="00016D93">
        <w:rPr>
          <w:lang w:val="fr-FR"/>
        </w:rPr>
        <w:t>intégrité nationale, qui visent à dissuade</w:t>
      </w:r>
      <w:r>
        <w:rPr>
          <w:lang w:val="fr-FR"/>
        </w:rPr>
        <w:t>r de manifester</w:t>
      </w:r>
      <w:r w:rsidRPr="00016D93">
        <w:rPr>
          <w:lang w:val="fr-FR"/>
        </w:rPr>
        <w:t xml:space="preserve"> ou</w:t>
      </w:r>
      <w:r>
        <w:rPr>
          <w:lang w:val="fr-FR"/>
        </w:rPr>
        <w:t xml:space="preserve"> de se livrer à une quelconque</w:t>
      </w:r>
      <w:r w:rsidRPr="00016D93">
        <w:rPr>
          <w:lang w:val="fr-FR"/>
        </w:rPr>
        <w:t xml:space="preserve"> forme d</w:t>
      </w:r>
      <w:r w:rsidR="002354FF">
        <w:rPr>
          <w:lang w:val="fr-FR"/>
        </w:rPr>
        <w:t>’</w:t>
      </w:r>
      <w:r w:rsidRPr="00016D93">
        <w:rPr>
          <w:lang w:val="fr-FR"/>
        </w:rPr>
        <w:t>opposition,</w:t>
      </w:r>
      <w:r>
        <w:rPr>
          <w:lang w:val="fr-FR"/>
        </w:rPr>
        <w:t xml:space="preserve"> sont d</w:t>
      </w:r>
      <w:r w:rsidR="002354FF">
        <w:rPr>
          <w:lang w:val="fr-FR"/>
        </w:rPr>
        <w:t>’</w:t>
      </w:r>
      <w:r>
        <w:rPr>
          <w:lang w:val="fr-FR"/>
        </w:rPr>
        <w:t xml:space="preserve">application large et </w:t>
      </w:r>
      <w:r w:rsidRPr="00016D93">
        <w:rPr>
          <w:lang w:val="fr-FR"/>
        </w:rPr>
        <w:t>sont utilisés de manière arbitraire</w:t>
      </w:r>
      <w:r w:rsidR="00F949EA">
        <w:rPr>
          <w:lang w:val="fr-FR"/>
        </w:rPr>
        <w:t> ;</w:t>
      </w:r>
    </w:p>
    <w:p w14:paraId="1AEE6250" w14:textId="02589027" w:rsidR="009D335A" w:rsidRPr="00016D93" w:rsidRDefault="009D335A" w:rsidP="00F949EA">
      <w:pPr>
        <w:pStyle w:val="SingleTxtG"/>
        <w:ind w:firstLine="567"/>
        <w:rPr>
          <w:bCs/>
          <w:lang w:val="fr-FR"/>
        </w:rPr>
      </w:pPr>
      <w:r w:rsidRPr="00016D93">
        <w:rPr>
          <w:lang w:val="fr-FR"/>
        </w:rPr>
        <w:t>d)</w:t>
      </w:r>
      <w:r w:rsidRPr="00016D93">
        <w:rPr>
          <w:lang w:val="fr-FR"/>
        </w:rPr>
        <w:tab/>
        <w:t>Les informations reçues selon lesquelles toutes les personnes identifiées comme des prisonniers politiques, y compris celles qui ont de graves problèmes de santé, n</w:t>
      </w:r>
      <w:r w:rsidR="002354FF">
        <w:rPr>
          <w:lang w:val="fr-FR"/>
        </w:rPr>
        <w:t>’</w:t>
      </w:r>
      <w:r w:rsidRPr="00016D93">
        <w:rPr>
          <w:lang w:val="fr-FR"/>
        </w:rPr>
        <w:t>ont pas bénéficié d</w:t>
      </w:r>
      <w:r w:rsidR="002354FF">
        <w:rPr>
          <w:lang w:val="fr-FR"/>
        </w:rPr>
        <w:t>’</w:t>
      </w:r>
      <w:r w:rsidRPr="00016D93">
        <w:rPr>
          <w:lang w:val="fr-FR"/>
        </w:rPr>
        <w:t>une remise en liberté en application de la loi d</w:t>
      </w:r>
      <w:r w:rsidR="002354FF">
        <w:rPr>
          <w:lang w:val="fr-FR"/>
        </w:rPr>
        <w:t>’</w:t>
      </w:r>
      <w:r w:rsidRPr="00016D93">
        <w:rPr>
          <w:lang w:val="fr-FR"/>
        </w:rPr>
        <w:t xml:space="preserve">amnistie et celles qui ont été libérées </w:t>
      </w:r>
      <w:r>
        <w:rPr>
          <w:lang w:val="fr-FR"/>
        </w:rPr>
        <w:t>font l</w:t>
      </w:r>
      <w:r w:rsidR="002354FF">
        <w:rPr>
          <w:lang w:val="fr-FR"/>
        </w:rPr>
        <w:t>’</w:t>
      </w:r>
      <w:r>
        <w:rPr>
          <w:lang w:val="fr-FR"/>
        </w:rPr>
        <w:t xml:space="preserve">objet de pressions, de </w:t>
      </w:r>
      <w:r w:rsidRPr="00016D93">
        <w:rPr>
          <w:lang w:val="fr-FR"/>
        </w:rPr>
        <w:t>menaces et de nouvelles arrestations arbitraires, et n</w:t>
      </w:r>
      <w:r w:rsidR="002354FF">
        <w:rPr>
          <w:lang w:val="fr-FR"/>
        </w:rPr>
        <w:t>’</w:t>
      </w:r>
      <w:r>
        <w:rPr>
          <w:lang w:val="fr-FR"/>
        </w:rPr>
        <w:t>o</w:t>
      </w:r>
      <w:r w:rsidRPr="00016D93">
        <w:rPr>
          <w:lang w:val="fr-FR"/>
        </w:rPr>
        <w:t>nt pas vu leur casier judiciaire expurgé (</w:t>
      </w:r>
      <w:r w:rsidR="00F949EA">
        <w:rPr>
          <w:lang w:val="fr-FR"/>
        </w:rPr>
        <w:t>art. </w:t>
      </w:r>
      <w:r w:rsidRPr="00016D93">
        <w:rPr>
          <w:lang w:val="fr-FR"/>
        </w:rPr>
        <w:t>2, 12 à 14 et 16)</w:t>
      </w:r>
      <w:r w:rsidRPr="002354FF">
        <w:rPr>
          <w:rStyle w:val="Appelnotedebasdep"/>
        </w:rPr>
        <w:footnoteReference w:id="58"/>
      </w:r>
      <w:r w:rsidRPr="00016D93">
        <w:rPr>
          <w:lang w:val="fr-FR"/>
        </w:rPr>
        <w:t>.</w:t>
      </w:r>
    </w:p>
    <w:p w14:paraId="463E4658" w14:textId="23E0148E" w:rsidR="009D335A" w:rsidRPr="00016D93" w:rsidRDefault="009D335A" w:rsidP="00802716">
      <w:pPr>
        <w:pStyle w:val="SingleTxtG"/>
        <w:keepNext/>
        <w:rPr>
          <w:rFonts w:eastAsia="Cambria"/>
          <w:b/>
          <w:bCs/>
          <w:lang w:val="fr-FR"/>
        </w:rPr>
      </w:pPr>
      <w:r w:rsidRPr="00016D93">
        <w:rPr>
          <w:lang w:val="fr-FR"/>
        </w:rPr>
        <w:t>24.</w:t>
      </w:r>
      <w:r w:rsidRPr="00016D93">
        <w:rPr>
          <w:lang w:val="fr-FR"/>
        </w:rPr>
        <w:tab/>
      </w:r>
      <w:r w:rsidRPr="00016D93">
        <w:rPr>
          <w:b/>
          <w:bCs/>
          <w:lang w:val="fr-FR"/>
        </w:rPr>
        <w:t>Le Comité e</w:t>
      </w:r>
      <w:r>
        <w:rPr>
          <w:b/>
          <w:bCs/>
          <w:lang w:val="fr-FR"/>
        </w:rPr>
        <w:t>ngage</w:t>
      </w:r>
      <w:r w:rsidRPr="00016D93">
        <w:rPr>
          <w:b/>
          <w:bCs/>
          <w:lang w:val="fr-FR"/>
        </w:rPr>
        <w:t xml:space="preserve"> l</w:t>
      </w:r>
      <w:r w:rsidR="002354FF">
        <w:rPr>
          <w:b/>
          <w:bCs/>
          <w:lang w:val="fr-FR"/>
        </w:rPr>
        <w:t>’</w:t>
      </w:r>
      <w:r w:rsidRPr="00016D93">
        <w:rPr>
          <w:b/>
          <w:bCs/>
          <w:lang w:val="fr-FR"/>
        </w:rPr>
        <w:t>État partie à</w:t>
      </w:r>
      <w:r w:rsidR="00802716">
        <w:rPr>
          <w:b/>
          <w:bCs/>
          <w:lang w:val="fr-FR"/>
        </w:rPr>
        <w:t> </w:t>
      </w:r>
      <w:r w:rsidRPr="00016D93">
        <w:rPr>
          <w:b/>
          <w:bCs/>
          <w:lang w:val="fr-FR"/>
        </w:rPr>
        <w:t>:</w:t>
      </w:r>
    </w:p>
    <w:p w14:paraId="5E1D690C" w14:textId="5483FE64" w:rsidR="009D335A" w:rsidRPr="00016D93" w:rsidRDefault="009D335A" w:rsidP="00F949EA">
      <w:pPr>
        <w:pStyle w:val="SingleTxtG"/>
        <w:ind w:firstLine="567"/>
        <w:rPr>
          <w:rFonts w:eastAsia="Arial"/>
          <w:b/>
          <w:bCs/>
          <w:lang w:val="fr-FR"/>
        </w:rPr>
      </w:pPr>
      <w:r w:rsidRPr="00802716">
        <w:rPr>
          <w:lang w:val="fr-FR"/>
        </w:rPr>
        <w:t>a)</w:t>
      </w:r>
      <w:r w:rsidRPr="00802716">
        <w:rPr>
          <w:lang w:val="fr-FR"/>
        </w:rPr>
        <w:tab/>
      </w:r>
      <w:r w:rsidRPr="00016D93">
        <w:rPr>
          <w:b/>
          <w:bCs/>
          <w:lang w:val="fr-FR"/>
        </w:rPr>
        <w:t>Adopter les mesures nécessaires pour prévenir et faire cesser les détentions arbitraires, les actes de répression et de violence à l</w:t>
      </w:r>
      <w:r w:rsidR="002354FF">
        <w:rPr>
          <w:b/>
          <w:bCs/>
          <w:lang w:val="fr-FR"/>
        </w:rPr>
        <w:t>’</w:t>
      </w:r>
      <w:r w:rsidRPr="00016D93">
        <w:rPr>
          <w:b/>
          <w:bCs/>
          <w:lang w:val="fr-FR"/>
        </w:rPr>
        <w:t>égard de</w:t>
      </w:r>
      <w:r>
        <w:rPr>
          <w:b/>
          <w:bCs/>
          <w:lang w:val="fr-FR"/>
        </w:rPr>
        <w:t xml:space="preserve"> </w:t>
      </w:r>
      <w:r w:rsidRPr="00016D93">
        <w:rPr>
          <w:b/>
          <w:bCs/>
          <w:lang w:val="fr-FR"/>
        </w:rPr>
        <w:t>défenseurs et défenseuses des droits de l</w:t>
      </w:r>
      <w:r w:rsidR="002354FF">
        <w:rPr>
          <w:b/>
          <w:bCs/>
          <w:lang w:val="fr-FR"/>
        </w:rPr>
        <w:t>’</w:t>
      </w:r>
      <w:r w:rsidRPr="00016D93">
        <w:rPr>
          <w:b/>
          <w:bCs/>
          <w:lang w:val="fr-FR"/>
        </w:rPr>
        <w:t>homme, de journalistes, de dirigeants et dirigeantes de mouvements sociaux, de représentants de confessions religieuses</w:t>
      </w:r>
      <w:r>
        <w:rPr>
          <w:b/>
          <w:bCs/>
          <w:lang w:val="fr-FR"/>
        </w:rPr>
        <w:t xml:space="preserve"> et</w:t>
      </w:r>
      <w:r w:rsidRPr="00016D93">
        <w:rPr>
          <w:b/>
          <w:bCs/>
          <w:lang w:val="fr-FR"/>
        </w:rPr>
        <w:t xml:space="preserve"> d</w:t>
      </w:r>
      <w:r w:rsidR="002354FF">
        <w:rPr>
          <w:b/>
          <w:bCs/>
          <w:lang w:val="fr-FR"/>
        </w:rPr>
        <w:t>’</w:t>
      </w:r>
      <w:r w:rsidRPr="00016D93">
        <w:rPr>
          <w:b/>
          <w:bCs/>
          <w:lang w:val="fr-FR"/>
        </w:rPr>
        <w:t>hommes et femmes politiques de l</w:t>
      </w:r>
      <w:r w:rsidR="002354FF">
        <w:rPr>
          <w:b/>
          <w:bCs/>
          <w:lang w:val="fr-FR"/>
        </w:rPr>
        <w:t>’</w:t>
      </w:r>
      <w:r w:rsidRPr="00016D93">
        <w:rPr>
          <w:b/>
          <w:bCs/>
          <w:lang w:val="fr-FR"/>
        </w:rPr>
        <w:t>opposition et de leur famille, libérer les personnes détenues arbitrairement et rétablir la personnalité juridique des organisations de la société civile</w:t>
      </w:r>
      <w:r w:rsidR="00F949EA">
        <w:rPr>
          <w:b/>
          <w:bCs/>
          <w:lang w:val="fr-FR"/>
        </w:rPr>
        <w:t> ;</w:t>
      </w:r>
    </w:p>
    <w:p w14:paraId="2953CB5A" w14:textId="66D653CD" w:rsidR="009D335A" w:rsidRPr="00016D93" w:rsidRDefault="009D335A" w:rsidP="00F949EA">
      <w:pPr>
        <w:pStyle w:val="SingleTxtG"/>
        <w:ind w:firstLine="567"/>
        <w:rPr>
          <w:b/>
          <w:bCs/>
          <w:lang w:val="fr-FR"/>
        </w:rPr>
      </w:pPr>
      <w:r w:rsidRPr="00802716">
        <w:rPr>
          <w:lang w:val="fr-FR"/>
        </w:rPr>
        <w:t>b)</w:t>
      </w:r>
      <w:r w:rsidRPr="00802716">
        <w:rPr>
          <w:lang w:val="fr-FR"/>
        </w:rPr>
        <w:tab/>
      </w:r>
      <w:r>
        <w:rPr>
          <w:b/>
          <w:bCs/>
          <w:lang w:val="fr-FR"/>
        </w:rPr>
        <w:t xml:space="preserve">Diligenter sans </w:t>
      </w:r>
      <w:r w:rsidRPr="00016D93">
        <w:rPr>
          <w:b/>
          <w:bCs/>
          <w:lang w:val="fr-FR"/>
        </w:rPr>
        <w:t xml:space="preserve">délai </w:t>
      </w:r>
      <w:r>
        <w:rPr>
          <w:b/>
          <w:bCs/>
          <w:lang w:val="fr-FR"/>
        </w:rPr>
        <w:t xml:space="preserve">des </w:t>
      </w:r>
      <w:r w:rsidRPr="00016D93">
        <w:rPr>
          <w:b/>
          <w:bCs/>
          <w:lang w:val="fr-FR"/>
        </w:rPr>
        <w:t>enquête</w:t>
      </w:r>
      <w:r>
        <w:rPr>
          <w:b/>
          <w:bCs/>
          <w:lang w:val="fr-FR"/>
        </w:rPr>
        <w:t>s</w:t>
      </w:r>
      <w:r w:rsidRPr="00016D93">
        <w:rPr>
          <w:b/>
          <w:bCs/>
          <w:lang w:val="fr-FR"/>
        </w:rPr>
        <w:t xml:space="preserve"> indépendante</w:t>
      </w:r>
      <w:r>
        <w:rPr>
          <w:b/>
          <w:bCs/>
          <w:lang w:val="fr-FR"/>
        </w:rPr>
        <w:t>s</w:t>
      </w:r>
      <w:r w:rsidRPr="00016D93">
        <w:rPr>
          <w:b/>
          <w:bCs/>
          <w:lang w:val="fr-FR"/>
        </w:rPr>
        <w:t xml:space="preserve"> et approfondie</w:t>
      </w:r>
      <w:r>
        <w:rPr>
          <w:b/>
          <w:bCs/>
          <w:lang w:val="fr-FR"/>
        </w:rPr>
        <w:t>s</w:t>
      </w:r>
      <w:r w:rsidRPr="00016D93">
        <w:rPr>
          <w:b/>
          <w:bCs/>
          <w:lang w:val="fr-FR"/>
        </w:rPr>
        <w:t xml:space="preserve"> sur les cas d</w:t>
      </w:r>
      <w:r w:rsidR="002354FF">
        <w:rPr>
          <w:b/>
          <w:bCs/>
          <w:lang w:val="fr-FR"/>
        </w:rPr>
        <w:t>’</w:t>
      </w:r>
      <w:r w:rsidRPr="00016D93">
        <w:rPr>
          <w:b/>
          <w:bCs/>
          <w:lang w:val="fr-FR"/>
        </w:rPr>
        <w:t xml:space="preserve">usage excessif de la force, les actes de torture et les mauvais traitements infligés dans le cadre des manifestations qui ont </w:t>
      </w:r>
      <w:r>
        <w:rPr>
          <w:b/>
          <w:bCs/>
          <w:lang w:val="fr-FR"/>
        </w:rPr>
        <w:t>commencé</w:t>
      </w:r>
      <w:r w:rsidRPr="00016D93">
        <w:rPr>
          <w:b/>
          <w:bCs/>
          <w:lang w:val="fr-FR"/>
        </w:rPr>
        <w:t xml:space="preserve"> en avril 2018, et, ultérieurement, poursuivre et punir les responsables, en veillant à ce que les victimes reçoivent une réparation intégrale et appropriée, et condamner publiquement ces violations</w:t>
      </w:r>
      <w:r w:rsidR="00F949EA">
        <w:rPr>
          <w:b/>
          <w:bCs/>
          <w:lang w:val="fr-FR"/>
        </w:rPr>
        <w:t> ;</w:t>
      </w:r>
    </w:p>
    <w:p w14:paraId="0EACF4F2" w14:textId="5C2375D2" w:rsidR="009D335A" w:rsidRPr="00016D93" w:rsidRDefault="009D335A" w:rsidP="00F949EA">
      <w:pPr>
        <w:pStyle w:val="SingleTxtG"/>
        <w:ind w:firstLine="567"/>
        <w:rPr>
          <w:b/>
          <w:bCs/>
          <w:lang w:val="fr-FR"/>
        </w:rPr>
      </w:pPr>
      <w:r w:rsidRPr="00802716">
        <w:rPr>
          <w:lang w:val="fr-FR"/>
        </w:rPr>
        <w:t>c)</w:t>
      </w:r>
      <w:r w:rsidRPr="00802716">
        <w:rPr>
          <w:lang w:val="fr-FR"/>
        </w:rPr>
        <w:tab/>
      </w:r>
      <w:r w:rsidRPr="00016D93">
        <w:rPr>
          <w:b/>
          <w:bCs/>
          <w:lang w:val="fr-FR"/>
        </w:rPr>
        <w:t>Faire en sorte que toutes les personnes soient protégées contre les actes d</w:t>
      </w:r>
      <w:r w:rsidR="002354FF">
        <w:rPr>
          <w:b/>
          <w:bCs/>
          <w:lang w:val="fr-FR"/>
        </w:rPr>
        <w:t>’</w:t>
      </w:r>
      <w:r w:rsidRPr="00016D93">
        <w:rPr>
          <w:b/>
          <w:bCs/>
          <w:lang w:val="fr-FR"/>
        </w:rPr>
        <w:t>intimidation, de représailles et de violence auxquels elles pourraient être exposées du fait de leurs activités de défense des droits de l</w:t>
      </w:r>
      <w:r w:rsidR="002354FF">
        <w:rPr>
          <w:b/>
          <w:bCs/>
          <w:lang w:val="fr-FR"/>
        </w:rPr>
        <w:t>’</w:t>
      </w:r>
      <w:r w:rsidRPr="00016D93">
        <w:rPr>
          <w:b/>
          <w:bCs/>
          <w:lang w:val="fr-FR"/>
        </w:rPr>
        <w:t>homme, du libre exercice de leur liberté d</w:t>
      </w:r>
      <w:r w:rsidR="002354FF">
        <w:rPr>
          <w:b/>
          <w:bCs/>
          <w:lang w:val="fr-FR"/>
        </w:rPr>
        <w:t>’</w:t>
      </w:r>
      <w:r w:rsidRPr="00016D93">
        <w:rPr>
          <w:b/>
          <w:bCs/>
          <w:lang w:val="fr-FR"/>
        </w:rPr>
        <w:t>expression et d</w:t>
      </w:r>
      <w:r w:rsidR="002354FF">
        <w:rPr>
          <w:b/>
          <w:bCs/>
          <w:lang w:val="fr-FR"/>
        </w:rPr>
        <w:t>’</w:t>
      </w:r>
      <w:r w:rsidRPr="00016D93">
        <w:rPr>
          <w:b/>
          <w:bCs/>
          <w:lang w:val="fr-FR"/>
        </w:rPr>
        <w:t>opinion, ainsi que de l</w:t>
      </w:r>
      <w:r w:rsidR="002354FF">
        <w:rPr>
          <w:b/>
          <w:bCs/>
          <w:lang w:val="fr-FR"/>
        </w:rPr>
        <w:t>’</w:t>
      </w:r>
      <w:r w:rsidRPr="00016D93">
        <w:rPr>
          <w:b/>
          <w:bCs/>
          <w:lang w:val="fr-FR"/>
        </w:rPr>
        <w:t>exercice de leur droit à la liberté d</w:t>
      </w:r>
      <w:r w:rsidR="002354FF">
        <w:rPr>
          <w:b/>
          <w:bCs/>
          <w:lang w:val="fr-FR"/>
        </w:rPr>
        <w:t>’</w:t>
      </w:r>
      <w:r w:rsidRPr="00016D93">
        <w:rPr>
          <w:b/>
          <w:bCs/>
          <w:lang w:val="fr-FR"/>
        </w:rPr>
        <w:t>association et de réunion pacifique, et mettre en place un mécanisme national indépendant de protection à cet égard</w:t>
      </w:r>
      <w:r w:rsidR="00F949EA">
        <w:rPr>
          <w:b/>
          <w:bCs/>
          <w:lang w:val="fr-FR"/>
        </w:rPr>
        <w:t> ;</w:t>
      </w:r>
    </w:p>
    <w:p w14:paraId="1C3D92B3" w14:textId="63779225" w:rsidR="009D335A" w:rsidRPr="00016D93" w:rsidRDefault="009D335A" w:rsidP="00F949EA">
      <w:pPr>
        <w:pStyle w:val="SingleTxtG"/>
        <w:ind w:firstLine="567"/>
        <w:rPr>
          <w:rFonts w:eastAsia="Arial"/>
          <w:b/>
          <w:bCs/>
          <w:lang w:val="fr-FR"/>
        </w:rPr>
      </w:pPr>
      <w:r w:rsidRPr="00802716">
        <w:rPr>
          <w:lang w:val="fr-FR"/>
        </w:rPr>
        <w:t>d)</w:t>
      </w:r>
      <w:r w:rsidRPr="00802716">
        <w:rPr>
          <w:lang w:val="fr-FR"/>
        </w:rPr>
        <w:tab/>
      </w:r>
      <w:r w:rsidRPr="00016D93">
        <w:rPr>
          <w:b/>
          <w:bCs/>
          <w:lang w:val="fr-FR"/>
        </w:rPr>
        <w:t>Établir des protocoles régissant les interventions des forces de sécurité qui ont joué un rôle prépondérant dans les actes de violence et d</w:t>
      </w:r>
      <w:r w:rsidR="002354FF">
        <w:rPr>
          <w:b/>
          <w:bCs/>
          <w:lang w:val="fr-FR"/>
        </w:rPr>
        <w:t>’</w:t>
      </w:r>
      <w:r w:rsidRPr="00016D93">
        <w:rPr>
          <w:b/>
          <w:bCs/>
          <w:lang w:val="fr-FR"/>
        </w:rPr>
        <w:t>intimidation commis lors des manifestations, conformément aux normes internationales de protection des droits de l</w:t>
      </w:r>
      <w:r w:rsidR="002354FF">
        <w:rPr>
          <w:b/>
          <w:bCs/>
          <w:lang w:val="fr-FR"/>
        </w:rPr>
        <w:t>’</w:t>
      </w:r>
      <w:r w:rsidRPr="00016D93">
        <w:rPr>
          <w:b/>
          <w:bCs/>
          <w:lang w:val="fr-FR"/>
        </w:rPr>
        <w:t>homme</w:t>
      </w:r>
      <w:r w:rsidR="00F949EA">
        <w:rPr>
          <w:b/>
          <w:bCs/>
          <w:lang w:val="fr-FR"/>
        </w:rPr>
        <w:t> ;</w:t>
      </w:r>
    </w:p>
    <w:p w14:paraId="0131AC02" w14:textId="79B20BDA" w:rsidR="009D335A" w:rsidRPr="00016D93" w:rsidRDefault="009D335A" w:rsidP="00F949EA">
      <w:pPr>
        <w:pStyle w:val="SingleTxtG"/>
        <w:ind w:firstLine="567"/>
        <w:rPr>
          <w:b/>
          <w:bCs/>
          <w:lang w:val="fr-FR"/>
        </w:rPr>
      </w:pPr>
      <w:r w:rsidRPr="00802716">
        <w:rPr>
          <w:lang w:val="fr-FR"/>
        </w:rPr>
        <w:t>e)</w:t>
      </w:r>
      <w:r w:rsidRPr="00802716">
        <w:rPr>
          <w:lang w:val="fr-FR"/>
        </w:rPr>
        <w:tab/>
      </w:r>
      <w:r w:rsidRPr="00016D93">
        <w:rPr>
          <w:b/>
          <w:bCs/>
          <w:lang w:val="fr-FR"/>
        </w:rPr>
        <w:t>Démanteler et désarmer sans délai les groupes armés progouvernementaux</w:t>
      </w:r>
      <w:r w:rsidR="00F949EA">
        <w:rPr>
          <w:b/>
          <w:bCs/>
          <w:lang w:val="fr-FR"/>
        </w:rPr>
        <w:t> ;</w:t>
      </w:r>
    </w:p>
    <w:p w14:paraId="69A06712" w14:textId="385B215E" w:rsidR="009D335A" w:rsidRPr="00016D93" w:rsidRDefault="009D335A" w:rsidP="00F949EA">
      <w:pPr>
        <w:pStyle w:val="SingleTxtG"/>
        <w:ind w:firstLine="567"/>
        <w:rPr>
          <w:rFonts w:eastAsia="Arial"/>
          <w:b/>
          <w:bCs/>
          <w:lang w:val="fr-FR"/>
        </w:rPr>
      </w:pPr>
      <w:r w:rsidRPr="00802716">
        <w:rPr>
          <w:lang w:val="fr-FR"/>
        </w:rPr>
        <w:t>f)</w:t>
      </w:r>
      <w:r w:rsidRPr="00802716">
        <w:rPr>
          <w:lang w:val="fr-FR"/>
        </w:rPr>
        <w:tab/>
      </w:r>
      <w:r w:rsidRPr="00016D93">
        <w:rPr>
          <w:b/>
          <w:bCs/>
          <w:lang w:val="fr-FR"/>
        </w:rPr>
        <w:t>Abroger ou modifier les lois visées au paragraphe</w:t>
      </w:r>
      <w:r w:rsidR="00802716">
        <w:rPr>
          <w:b/>
          <w:bCs/>
          <w:lang w:val="fr-FR"/>
        </w:rPr>
        <w:t> </w:t>
      </w:r>
      <w:r w:rsidRPr="00016D93">
        <w:rPr>
          <w:b/>
          <w:bCs/>
          <w:lang w:val="fr-FR"/>
        </w:rPr>
        <w:t>23 (al.</w:t>
      </w:r>
      <w:r w:rsidR="00802716">
        <w:rPr>
          <w:b/>
          <w:bCs/>
          <w:lang w:val="fr-FR"/>
        </w:rPr>
        <w:t> </w:t>
      </w:r>
      <w:r w:rsidRPr="00016D93">
        <w:rPr>
          <w:b/>
          <w:bCs/>
          <w:lang w:val="fr-FR"/>
        </w:rPr>
        <w:t>c)), de sorte que les infractions qui y sont énoncées soient définies de façon précise, claire et stricte, et s</w:t>
      </w:r>
      <w:r w:rsidR="002354FF">
        <w:rPr>
          <w:b/>
          <w:bCs/>
          <w:lang w:val="fr-FR"/>
        </w:rPr>
        <w:t>’</w:t>
      </w:r>
      <w:r w:rsidRPr="00016D93">
        <w:rPr>
          <w:b/>
          <w:bCs/>
          <w:lang w:val="fr-FR"/>
        </w:rPr>
        <w:t>abstenir de se servir de ces dispositions pour persécuter les personnes qui ont participé à des mouvements de contestation sociale ou ont soutenu de tels mouvements, ont cherché à se présenter aux élections ou ont exprimé des opinions dissidentes.</w:t>
      </w:r>
    </w:p>
    <w:p w14:paraId="499F0D09" w14:textId="77777777" w:rsidR="009D335A" w:rsidRPr="00016D93" w:rsidRDefault="009D335A" w:rsidP="00802716">
      <w:pPr>
        <w:pStyle w:val="H23G"/>
        <w:rPr>
          <w:rFonts w:eastAsia="Calibri"/>
          <w:lang w:val="fr-FR"/>
        </w:rPr>
      </w:pPr>
      <w:r w:rsidRPr="00016D93">
        <w:rPr>
          <w:lang w:val="fr-FR"/>
        </w:rPr>
        <w:tab/>
      </w:r>
      <w:r w:rsidRPr="00016D93">
        <w:rPr>
          <w:lang w:val="fr-FR"/>
        </w:rPr>
        <w:tab/>
      </w:r>
      <w:r w:rsidRPr="00016D93">
        <w:rPr>
          <w:lang w:val="fr-FR"/>
        </w:rPr>
        <w:tab/>
        <w:t>Violence fondée sur le genre</w:t>
      </w:r>
    </w:p>
    <w:p w14:paraId="75C3DBFF" w14:textId="418821BC" w:rsidR="009D335A" w:rsidRPr="00016D93" w:rsidRDefault="009D335A" w:rsidP="009D335A">
      <w:pPr>
        <w:pStyle w:val="SingleTxtG"/>
        <w:tabs>
          <w:tab w:val="clear" w:pos="1701"/>
          <w:tab w:val="clear" w:pos="2268"/>
          <w:tab w:val="clear" w:pos="2835"/>
        </w:tabs>
        <w:rPr>
          <w:lang w:val="fr-FR"/>
        </w:rPr>
      </w:pPr>
      <w:r w:rsidRPr="00016D93">
        <w:rPr>
          <w:lang w:val="fr-FR"/>
        </w:rPr>
        <w:t>25.</w:t>
      </w:r>
      <w:r w:rsidRPr="00016D93">
        <w:rPr>
          <w:lang w:val="fr-FR"/>
        </w:rPr>
        <w:tab/>
        <w:t>Selon les informations communiquées par l</w:t>
      </w:r>
      <w:r w:rsidR="002354FF">
        <w:rPr>
          <w:lang w:val="fr-FR"/>
        </w:rPr>
        <w:t>’</w:t>
      </w:r>
      <w:r w:rsidRPr="00016D93">
        <w:rPr>
          <w:lang w:val="fr-FR"/>
        </w:rPr>
        <w:t>État partie</w:t>
      </w:r>
      <w:r w:rsidRPr="002354FF">
        <w:rPr>
          <w:rStyle w:val="Appelnotedebasdep"/>
        </w:rPr>
        <w:footnoteReference w:id="59"/>
      </w:r>
      <w:r w:rsidRPr="00016D93">
        <w:rPr>
          <w:lang w:val="fr-FR"/>
        </w:rPr>
        <w:t>, des organes juridictionnels spécialisés dans la violence et le droit de la famille ont été créés et plusieurs programmes de formation sur la violence fondée sur le genre ont été mis en place. Néanmoins, le Comité note avec préoccupation que les fémi</w:t>
      </w:r>
      <w:r>
        <w:rPr>
          <w:lang w:val="fr-FR"/>
        </w:rPr>
        <w:t>ni</w:t>
      </w:r>
      <w:r w:rsidRPr="00016D93">
        <w:rPr>
          <w:lang w:val="fr-FR"/>
        </w:rPr>
        <w:t>cides, y compris de filles, ont augmenté entre 2020 et 2021 et regrette que l</w:t>
      </w:r>
      <w:r w:rsidR="002354FF">
        <w:rPr>
          <w:lang w:val="fr-FR"/>
        </w:rPr>
        <w:t>’</w:t>
      </w:r>
      <w:r w:rsidR="00F949EA">
        <w:rPr>
          <w:lang w:val="fr-FR"/>
        </w:rPr>
        <w:t>article </w:t>
      </w:r>
      <w:r w:rsidRPr="00016D93">
        <w:rPr>
          <w:lang w:val="fr-FR"/>
        </w:rPr>
        <w:t>9 de la loi générale n</w:t>
      </w:r>
      <w:r w:rsidRPr="00016D93">
        <w:rPr>
          <w:vertAlign w:val="superscript"/>
          <w:lang w:val="fr-FR"/>
        </w:rPr>
        <w:t>o</w:t>
      </w:r>
      <w:r w:rsidR="00802716">
        <w:rPr>
          <w:lang w:val="fr-FR"/>
        </w:rPr>
        <w:t> </w:t>
      </w:r>
      <w:r w:rsidRPr="00016D93">
        <w:rPr>
          <w:lang w:val="fr-FR"/>
        </w:rPr>
        <w:t>779 de 2012 relative à la lutte contre la violence à l</w:t>
      </w:r>
      <w:r w:rsidR="002354FF">
        <w:rPr>
          <w:lang w:val="fr-FR"/>
        </w:rPr>
        <w:t>’</w:t>
      </w:r>
      <w:r w:rsidRPr="00016D93">
        <w:rPr>
          <w:lang w:val="fr-FR"/>
        </w:rPr>
        <w:t>égard des femmes portant réforme de la loi n</w:t>
      </w:r>
      <w:r w:rsidRPr="00016D93">
        <w:rPr>
          <w:vertAlign w:val="superscript"/>
          <w:lang w:val="fr-FR"/>
        </w:rPr>
        <w:t>o</w:t>
      </w:r>
      <w:r w:rsidR="00802716">
        <w:rPr>
          <w:lang w:val="fr-FR"/>
        </w:rPr>
        <w:t> </w:t>
      </w:r>
      <w:r w:rsidRPr="00016D93">
        <w:rPr>
          <w:lang w:val="fr-FR"/>
        </w:rPr>
        <w:t>641 sur le Code pénal, aux termes duquel seul le meurtre d</w:t>
      </w:r>
      <w:r w:rsidR="002354FF">
        <w:rPr>
          <w:lang w:val="fr-FR"/>
        </w:rPr>
        <w:t>’</w:t>
      </w:r>
      <w:r w:rsidRPr="00016D93">
        <w:rPr>
          <w:lang w:val="fr-FR"/>
        </w:rPr>
        <w:t xml:space="preserve">une femme au sein du couple est considéré comme un féminicide, </w:t>
      </w:r>
      <w:r w:rsidRPr="00016D93">
        <w:rPr>
          <w:lang w:val="fr-FR"/>
        </w:rPr>
        <w:lastRenderedPageBreak/>
        <w:t>n</w:t>
      </w:r>
      <w:r w:rsidR="002354FF">
        <w:rPr>
          <w:lang w:val="fr-FR"/>
        </w:rPr>
        <w:t>’</w:t>
      </w:r>
      <w:r w:rsidRPr="00016D93">
        <w:rPr>
          <w:lang w:val="fr-FR"/>
        </w:rPr>
        <w:t>ait pas été abrogé. Il regrette également l</w:t>
      </w:r>
      <w:r w:rsidR="002354FF">
        <w:rPr>
          <w:lang w:val="fr-FR"/>
        </w:rPr>
        <w:t>’</w:t>
      </w:r>
      <w:r w:rsidRPr="00016D93">
        <w:rPr>
          <w:lang w:val="fr-FR"/>
        </w:rPr>
        <w:t>introduction de la médiation entre la victime et son agresseur, ce qui accroît le risque d</w:t>
      </w:r>
      <w:r w:rsidR="002354FF">
        <w:rPr>
          <w:lang w:val="fr-FR"/>
        </w:rPr>
        <w:t>’</w:t>
      </w:r>
      <w:r w:rsidRPr="00016D93">
        <w:rPr>
          <w:lang w:val="fr-FR"/>
        </w:rPr>
        <w:t>impunité et expose les victimes à de nouvelles violences et à des représailles</w:t>
      </w:r>
      <w:r w:rsidRPr="002354FF">
        <w:rPr>
          <w:rStyle w:val="Appelnotedebasdep"/>
        </w:rPr>
        <w:footnoteReference w:id="60"/>
      </w:r>
      <w:r w:rsidRPr="00016D93">
        <w:rPr>
          <w:lang w:val="fr-FR"/>
        </w:rPr>
        <w:t>. Le Comité prend également note des informations fournies par l</w:t>
      </w:r>
      <w:r w:rsidR="002354FF">
        <w:rPr>
          <w:lang w:val="fr-FR"/>
        </w:rPr>
        <w:t>’</w:t>
      </w:r>
      <w:r w:rsidRPr="00016D93">
        <w:rPr>
          <w:lang w:val="fr-FR"/>
        </w:rPr>
        <w:t>État partie selon lesquelles 62</w:t>
      </w:r>
      <w:r w:rsidR="00802716">
        <w:rPr>
          <w:lang w:val="fr-FR"/>
        </w:rPr>
        <w:t> </w:t>
      </w:r>
      <w:r w:rsidRPr="00016D93">
        <w:rPr>
          <w:lang w:val="fr-FR"/>
        </w:rPr>
        <w:t>% des 69</w:t>
      </w:r>
      <w:r w:rsidR="00802716">
        <w:rPr>
          <w:lang w:val="fr-FR"/>
        </w:rPr>
        <w:t> </w:t>
      </w:r>
      <w:r w:rsidRPr="00016D93">
        <w:rPr>
          <w:lang w:val="fr-FR"/>
        </w:rPr>
        <w:t>605</w:t>
      </w:r>
      <w:r w:rsidR="00802716">
        <w:rPr>
          <w:lang w:val="fr-FR"/>
        </w:rPr>
        <w:t> </w:t>
      </w:r>
      <w:r w:rsidRPr="00016D93">
        <w:rPr>
          <w:lang w:val="fr-FR"/>
        </w:rPr>
        <w:t>affaires pénales de violence à l</w:t>
      </w:r>
      <w:r w:rsidR="002354FF">
        <w:rPr>
          <w:lang w:val="fr-FR"/>
        </w:rPr>
        <w:t>’</w:t>
      </w:r>
      <w:r w:rsidRPr="00016D93">
        <w:rPr>
          <w:lang w:val="fr-FR"/>
        </w:rPr>
        <w:t>égard des femmes recensées entre 2014 et 2018 ont abouti. Au cours de cette période, 65</w:t>
      </w:r>
      <w:r w:rsidR="00802716">
        <w:rPr>
          <w:lang w:val="fr-FR"/>
        </w:rPr>
        <w:t> </w:t>
      </w:r>
      <w:r w:rsidRPr="00016D93">
        <w:rPr>
          <w:lang w:val="fr-FR"/>
        </w:rPr>
        <w:t>jugements ont été prononcés dans des affaires de féminicide</w:t>
      </w:r>
      <w:r w:rsidRPr="002354FF">
        <w:rPr>
          <w:rStyle w:val="Appelnotedebasdep"/>
        </w:rPr>
        <w:footnoteReference w:id="61"/>
      </w:r>
      <w:r w:rsidRPr="00016D93">
        <w:rPr>
          <w:lang w:val="fr-FR"/>
        </w:rPr>
        <w:t>, mais le Comité regrette de ne pas disposer d</w:t>
      </w:r>
      <w:r w:rsidR="002354FF">
        <w:rPr>
          <w:lang w:val="fr-FR"/>
        </w:rPr>
        <w:t>’</w:t>
      </w:r>
      <w:r w:rsidRPr="00016D93">
        <w:rPr>
          <w:lang w:val="fr-FR"/>
        </w:rPr>
        <w:t>informations complètes sur l</w:t>
      </w:r>
      <w:r w:rsidR="002354FF">
        <w:rPr>
          <w:lang w:val="fr-FR"/>
        </w:rPr>
        <w:t>’</w:t>
      </w:r>
      <w:r w:rsidRPr="00016D93">
        <w:rPr>
          <w:lang w:val="fr-FR"/>
        </w:rPr>
        <w:t xml:space="preserve">issue de ces affaires pénales, de données statistiques ventilées actualisées sur toutes les formes de violence de genre et de renseignements sur les décisions rendues, y compris les poursuites engagées, les </w:t>
      </w:r>
      <w:r>
        <w:rPr>
          <w:lang w:val="fr-FR"/>
        </w:rPr>
        <w:t>déclarations de culpabilité</w:t>
      </w:r>
      <w:r w:rsidRPr="00016D93">
        <w:rPr>
          <w:lang w:val="fr-FR"/>
        </w:rPr>
        <w:t xml:space="preserve"> et les peines prononcées, et les mesures de réparation accordées aux victimes (</w:t>
      </w:r>
      <w:r w:rsidR="00F949EA">
        <w:rPr>
          <w:lang w:val="fr-FR"/>
        </w:rPr>
        <w:t>art. </w:t>
      </w:r>
      <w:r w:rsidRPr="00016D93">
        <w:rPr>
          <w:lang w:val="fr-FR"/>
        </w:rPr>
        <w:t xml:space="preserve">2, 14 et 16). </w:t>
      </w:r>
    </w:p>
    <w:p w14:paraId="75DBBBA5" w14:textId="5B5ABE69" w:rsidR="009D335A" w:rsidRPr="00802716" w:rsidRDefault="009D335A" w:rsidP="00802716">
      <w:pPr>
        <w:pStyle w:val="SingleTxtG"/>
        <w:keepNext/>
        <w:rPr>
          <w:b/>
          <w:bCs/>
          <w:lang w:val="fr-FR"/>
        </w:rPr>
      </w:pPr>
      <w:r w:rsidRPr="00016D93">
        <w:rPr>
          <w:lang w:val="fr-FR"/>
        </w:rPr>
        <w:t>26.</w:t>
      </w:r>
      <w:r w:rsidRPr="00016D93">
        <w:rPr>
          <w:lang w:val="fr-FR"/>
        </w:rPr>
        <w:tab/>
      </w:r>
      <w:r w:rsidRPr="00802716">
        <w:rPr>
          <w:b/>
          <w:bCs/>
          <w:lang w:val="fr-FR"/>
        </w:rPr>
        <w:t>L</w:t>
      </w:r>
      <w:r w:rsidR="002354FF" w:rsidRPr="00802716">
        <w:rPr>
          <w:b/>
          <w:bCs/>
          <w:lang w:val="fr-FR"/>
        </w:rPr>
        <w:t>’</w:t>
      </w:r>
      <w:r w:rsidRPr="00802716">
        <w:rPr>
          <w:b/>
          <w:bCs/>
          <w:lang w:val="fr-FR"/>
        </w:rPr>
        <w:t>État partie devrait</w:t>
      </w:r>
      <w:r w:rsidR="00802716">
        <w:rPr>
          <w:b/>
          <w:bCs/>
          <w:lang w:val="fr-FR"/>
        </w:rPr>
        <w:t> </w:t>
      </w:r>
      <w:r w:rsidRPr="00802716">
        <w:rPr>
          <w:b/>
          <w:bCs/>
          <w:lang w:val="fr-FR"/>
        </w:rPr>
        <w:t>:</w:t>
      </w:r>
    </w:p>
    <w:p w14:paraId="09BAAC72" w14:textId="733BBC9D" w:rsidR="009D335A" w:rsidRPr="00016D93" w:rsidRDefault="009D335A" w:rsidP="00802716">
      <w:pPr>
        <w:pStyle w:val="SingleTxtG"/>
        <w:ind w:firstLine="567"/>
        <w:rPr>
          <w:b/>
          <w:bCs/>
          <w:lang w:val="fr-FR"/>
        </w:rPr>
      </w:pPr>
      <w:r w:rsidRPr="00802716">
        <w:rPr>
          <w:lang w:val="fr-FR"/>
        </w:rPr>
        <w:t>a)</w:t>
      </w:r>
      <w:r w:rsidRPr="00802716">
        <w:rPr>
          <w:lang w:val="fr-FR"/>
        </w:rPr>
        <w:tab/>
      </w:r>
      <w:r w:rsidRPr="00016D93">
        <w:rPr>
          <w:b/>
          <w:bCs/>
          <w:lang w:val="fr-FR"/>
        </w:rPr>
        <w:t>Faire en sorte que tous les cas de violence fondée sur le genre, en particulier lorsqu</w:t>
      </w:r>
      <w:r w:rsidR="002354FF">
        <w:rPr>
          <w:b/>
          <w:bCs/>
          <w:lang w:val="fr-FR"/>
        </w:rPr>
        <w:t>’</w:t>
      </w:r>
      <w:r w:rsidRPr="00016D93">
        <w:rPr>
          <w:b/>
          <w:bCs/>
          <w:lang w:val="fr-FR"/>
        </w:rPr>
        <w:t>ils font apparaître des actes ou des omissions de la part des pouvoirs publics qui engagent la responsabilité internationale de l</w:t>
      </w:r>
      <w:r w:rsidR="002354FF">
        <w:rPr>
          <w:b/>
          <w:bCs/>
          <w:lang w:val="fr-FR"/>
        </w:rPr>
        <w:t>’</w:t>
      </w:r>
      <w:r w:rsidRPr="00016D93">
        <w:rPr>
          <w:b/>
          <w:bCs/>
          <w:lang w:val="fr-FR"/>
        </w:rPr>
        <w:t xml:space="preserve">État partie au regard de la Convention, donnent lieu à une enquête approfondie, que les auteurs présumés </w:t>
      </w:r>
      <w:r>
        <w:rPr>
          <w:b/>
          <w:bCs/>
          <w:lang w:val="fr-FR"/>
        </w:rPr>
        <w:t xml:space="preserve">des faits </w:t>
      </w:r>
      <w:r w:rsidRPr="00016D93">
        <w:rPr>
          <w:b/>
          <w:bCs/>
          <w:lang w:val="fr-FR"/>
        </w:rPr>
        <w:t>soient poursuivis et, s</w:t>
      </w:r>
      <w:r w:rsidR="002354FF">
        <w:rPr>
          <w:b/>
          <w:bCs/>
          <w:lang w:val="fr-FR"/>
        </w:rPr>
        <w:t>’</w:t>
      </w:r>
      <w:r w:rsidRPr="00016D93">
        <w:rPr>
          <w:b/>
          <w:bCs/>
          <w:lang w:val="fr-FR"/>
        </w:rPr>
        <w:t>ils sont reconnus coupables, condamnés à des peines appropriées, et que les victimes obtiennent une réparation intégrale</w:t>
      </w:r>
      <w:r w:rsidR="00F949EA">
        <w:rPr>
          <w:b/>
          <w:bCs/>
          <w:lang w:val="fr-FR"/>
        </w:rPr>
        <w:t> ;</w:t>
      </w:r>
    </w:p>
    <w:p w14:paraId="59763C7F" w14:textId="38C4979A" w:rsidR="009D335A" w:rsidRPr="00016D93" w:rsidRDefault="009D335A" w:rsidP="00F949EA">
      <w:pPr>
        <w:pStyle w:val="SingleTxtG"/>
        <w:ind w:firstLine="567"/>
        <w:rPr>
          <w:b/>
          <w:bCs/>
          <w:lang w:val="fr-FR"/>
        </w:rPr>
      </w:pPr>
      <w:r w:rsidRPr="00F14C11">
        <w:rPr>
          <w:lang w:val="fr-FR"/>
        </w:rPr>
        <w:t>b)</w:t>
      </w:r>
      <w:r w:rsidRPr="00F14C11">
        <w:rPr>
          <w:lang w:val="fr-FR"/>
        </w:rPr>
        <w:tab/>
      </w:r>
      <w:r w:rsidRPr="00016D93">
        <w:rPr>
          <w:b/>
          <w:bCs/>
          <w:lang w:val="fr-FR"/>
        </w:rPr>
        <w:t>Fournir aux femmes victimes de violence des services de protection et d</w:t>
      </w:r>
      <w:r w:rsidR="002354FF">
        <w:rPr>
          <w:b/>
          <w:bCs/>
          <w:lang w:val="fr-FR"/>
        </w:rPr>
        <w:t>’</w:t>
      </w:r>
      <w:r w:rsidRPr="00016D93">
        <w:rPr>
          <w:b/>
          <w:bCs/>
          <w:lang w:val="fr-FR"/>
        </w:rPr>
        <w:t>assistance, en veillant à ce qu</w:t>
      </w:r>
      <w:r>
        <w:rPr>
          <w:b/>
          <w:bCs/>
          <w:lang w:val="fr-FR"/>
        </w:rPr>
        <w:t>e les prestataires de ces services</w:t>
      </w:r>
      <w:r w:rsidRPr="00016D93">
        <w:rPr>
          <w:b/>
          <w:bCs/>
          <w:lang w:val="fr-FR"/>
        </w:rPr>
        <w:t xml:space="preserve"> soient dotés de l</w:t>
      </w:r>
      <w:r w:rsidR="002354FF">
        <w:rPr>
          <w:b/>
          <w:bCs/>
          <w:lang w:val="fr-FR"/>
        </w:rPr>
        <w:t>’</w:t>
      </w:r>
      <w:r w:rsidRPr="00016D93">
        <w:rPr>
          <w:b/>
          <w:bCs/>
          <w:lang w:val="fr-FR"/>
        </w:rPr>
        <w:t>infrastructure, des équipements, du personnel spécialisé et du budget nécessaires à cette fin</w:t>
      </w:r>
      <w:r w:rsidR="00F949EA">
        <w:rPr>
          <w:b/>
          <w:bCs/>
          <w:lang w:val="fr-FR"/>
        </w:rPr>
        <w:t> ;</w:t>
      </w:r>
    </w:p>
    <w:p w14:paraId="27FBBEFC" w14:textId="2C8629D2" w:rsidR="009D335A" w:rsidRPr="00016D93" w:rsidRDefault="009D335A" w:rsidP="00F949EA">
      <w:pPr>
        <w:pStyle w:val="SingleTxtG"/>
        <w:ind w:firstLine="567"/>
        <w:rPr>
          <w:b/>
          <w:bCs/>
          <w:lang w:val="fr-FR"/>
        </w:rPr>
      </w:pPr>
      <w:r w:rsidRPr="00F14C11">
        <w:rPr>
          <w:lang w:val="fr-FR"/>
        </w:rPr>
        <w:t>c)</w:t>
      </w:r>
      <w:r w:rsidRPr="00F14C11">
        <w:rPr>
          <w:lang w:val="fr-FR"/>
        </w:rPr>
        <w:tab/>
      </w:r>
      <w:r w:rsidRPr="00016D93">
        <w:rPr>
          <w:b/>
          <w:bCs/>
          <w:lang w:val="fr-FR"/>
        </w:rPr>
        <w:t xml:space="preserve">Renforcer la formation obligatoire sur la violence de genre dispensée aux policiers, aux procureurs et aux autorités judiciaires, les campagnes de sensibilisation menées auprès du grand public et </w:t>
      </w:r>
      <w:r>
        <w:rPr>
          <w:b/>
          <w:bCs/>
          <w:lang w:val="fr-FR"/>
        </w:rPr>
        <w:t xml:space="preserve">les </w:t>
      </w:r>
      <w:r w:rsidRPr="00016D93">
        <w:rPr>
          <w:b/>
          <w:bCs/>
          <w:lang w:val="fr-FR"/>
        </w:rPr>
        <w:t xml:space="preserve">autres mesures de prévention </w:t>
      </w:r>
      <w:r>
        <w:rPr>
          <w:b/>
          <w:bCs/>
          <w:lang w:val="fr-FR"/>
        </w:rPr>
        <w:t>ainsi que</w:t>
      </w:r>
      <w:r w:rsidRPr="00016D93">
        <w:rPr>
          <w:b/>
          <w:bCs/>
          <w:lang w:val="fr-FR"/>
        </w:rPr>
        <w:t xml:space="preserve"> leur évaluation</w:t>
      </w:r>
      <w:r w:rsidR="00F949EA">
        <w:rPr>
          <w:b/>
          <w:bCs/>
          <w:lang w:val="fr-FR"/>
        </w:rPr>
        <w:t> ;</w:t>
      </w:r>
    </w:p>
    <w:p w14:paraId="7FDAA422" w14:textId="53CA2082" w:rsidR="009D335A" w:rsidRPr="00016D93" w:rsidRDefault="009D335A" w:rsidP="00F949EA">
      <w:pPr>
        <w:pStyle w:val="SingleTxtG"/>
        <w:ind w:firstLine="567"/>
        <w:rPr>
          <w:b/>
          <w:bCs/>
          <w:lang w:val="fr-FR"/>
        </w:rPr>
      </w:pPr>
      <w:r w:rsidRPr="00F14C11">
        <w:rPr>
          <w:lang w:val="fr-FR"/>
        </w:rPr>
        <w:t>d)</w:t>
      </w:r>
      <w:r w:rsidRPr="00F14C11">
        <w:rPr>
          <w:lang w:val="fr-FR"/>
        </w:rPr>
        <w:tab/>
      </w:r>
      <w:r w:rsidRPr="00016D93">
        <w:rPr>
          <w:b/>
          <w:bCs/>
          <w:lang w:val="fr-FR"/>
        </w:rPr>
        <w:t>Tenir à jour des données statistiques ventilées par âge, origine ethnique ou nationalité des victimes, concernant les plaintes, enquêtes, poursuites, déclarations de culpabilité et peines auxquelles ont donné lieu des actes de violence fondée sur le genre</w:t>
      </w:r>
      <w:r w:rsidR="00F14C11">
        <w:rPr>
          <w:b/>
          <w:bCs/>
          <w:lang w:val="fr-FR"/>
        </w:rPr>
        <w:t>.</w:t>
      </w:r>
    </w:p>
    <w:p w14:paraId="01D79D59" w14:textId="77777777" w:rsidR="009D335A" w:rsidRPr="00016D93" w:rsidRDefault="009D335A" w:rsidP="00F14C11">
      <w:pPr>
        <w:pStyle w:val="H23G"/>
        <w:rPr>
          <w:lang w:val="fr-FR"/>
        </w:rPr>
      </w:pPr>
      <w:r w:rsidRPr="00016D93">
        <w:rPr>
          <w:lang w:val="fr-FR"/>
        </w:rPr>
        <w:tab/>
      </w:r>
      <w:r w:rsidRPr="00016D93">
        <w:rPr>
          <w:lang w:val="fr-FR"/>
        </w:rPr>
        <w:tab/>
        <w:t>Interruption volontaire de grossesse</w:t>
      </w:r>
    </w:p>
    <w:p w14:paraId="47BC0F83" w14:textId="08AC3B28" w:rsidR="009D335A" w:rsidRPr="00016D93" w:rsidRDefault="009D335A" w:rsidP="009D335A">
      <w:pPr>
        <w:pStyle w:val="SingleTxtG"/>
        <w:rPr>
          <w:lang w:val="fr-FR"/>
        </w:rPr>
      </w:pPr>
      <w:r w:rsidRPr="00016D93">
        <w:rPr>
          <w:lang w:val="fr-FR"/>
        </w:rPr>
        <w:t>27.</w:t>
      </w:r>
      <w:r w:rsidRPr="00016D93">
        <w:rPr>
          <w:lang w:val="fr-FR"/>
        </w:rPr>
        <w:tab/>
        <w:t>Le Comité constate avec préoccupation que l</w:t>
      </w:r>
      <w:r w:rsidR="002354FF">
        <w:rPr>
          <w:lang w:val="fr-FR"/>
        </w:rPr>
        <w:t>’</w:t>
      </w:r>
      <w:r w:rsidRPr="00016D93">
        <w:rPr>
          <w:lang w:val="fr-FR"/>
        </w:rPr>
        <w:t>accès à l</w:t>
      </w:r>
      <w:r w:rsidR="002354FF">
        <w:rPr>
          <w:lang w:val="fr-FR"/>
        </w:rPr>
        <w:t>’</w:t>
      </w:r>
      <w:r w:rsidRPr="00016D93">
        <w:rPr>
          <w:lang w:val="fr-FR"/>
        </w:rPr>
        <w:t>interruption volontaire de grossesse fait l</w:t>
      </w:r>
      <w:r w:rsidR="002354FF">
        <w:rPr>
          <w:lang w:val="fr-FR"/>
        </w:rPr>
        <w:t>’</w:t>
      </w:r>
      <w:r w:rsidRPr="00016D93">
        <w:rPr>
          <w:lang w:val="fr-FR"/>
        </w:rPr>
        <w:t>objet</w:t>
      </w:r>
      <w:r w:rsidRPr="002354FF">
        <w:rPr>
          <w:rStyle w:val="Appelnotedebasdep"/>
        </w:rPr>
        <w:footnoteReference w:id="62"/>
      </w:r>
      <w:r w:rsidRPr="00016D93">
        <w:rPr>
          <w:lang w:val="fr-FR"/>
        </w:rPr>
        <w:t>, en particulier en ce qui concerne les victimes de violences sexuelles, notamment les filles</w:t>
      </w:r>
      <w:r w:rsidRPr="002354FF">
        <w:rPr>
          <w:rStyle w:val="Appelnotedebasdep"/>
        </w:rPr>
        <w:footnoteReference w:id="63"/>
      </w:r>
      <w:r w:rsidRPr="00016D93">
        <w:rPr>
          <w:lang w:val="fr-FR"/>
        </w:rPr>
        <w:t>, de restrictions énoncées dans la législation pénale de l</w:t>
      </w:r>
      <w:r w:rsidR="002354FF">
        <w:rPr>
          <w:lang w:val="fr-FR"/>
        </w:rPr>
        <w:t>’</w:t>
      </w:r>
      <w:r w:rsidRPr="00016D93">
        <w:rPr>
          <w:lang w:val="fr-FR"/>
        </w:rPr>
        <w:t>État partie, qui ne prévoit aucune exception, même pour des raisons thérapeutiques. Il s</w:t>
      </w:r>
      <w:r w:rsidR="002354FF">
        <w:rPr>
          <w:lang w:val="fr-FR"/>
        </w:rPr>
        <w:t>’</w:t>
      </w:r>
      <w:r w:rsidRPr="00016D93">
        <w:rPr>
          <w:lang w:val="fr-FR"/>
        </w:rPr>
        <w:t xml:space="preserve">inquiète de ce que ces restrictions non seulement poussent les femmes à recourir à des avortements clandestins </w:t>
      </w:r>
      <w:r>
        <w:rPr>
          <w:lang w:val="fr-FR"/>
        </w:rPr>
        <w:t xml:space="preserve">qui </w:t>
      </w:r>
      <w:r w:rsidRPr="00016D93">
        <w:rPr>
          <w:lang w:val="fr-FR"/>
        </w:rPr>
        <w:t>mett</w:t>
      </w:r>
      <w:r>
        <w:rPr>
          <w:lang w:val="fr-FR"/>
        </w:rPr>
        <w:t>e</w:t>
      </w:r>
      <w:r w:rsidRPr="00016D93">
        <w:rPr>
          <w:lang w:val="fr-FR"/>
        </w:rPr>
        <w:t>nt leur vie et leur santé en danger, mais exposent également celles-ci et leurs médecins à des sanctions pénales (</w:t>
      </w:r>
      <w:r w:rsidR="00F949EA">
        <w:rPr>
          <w:lang w:val="fr-FR"/>
        </w:rPr>
        <w:t>art. </w:t>
      </w:r>
      <w:r w:rsidRPr="00016D93">
        <w:rPr>
          <w:lang w:val="fr-FR"/>
        </w:rPr>
        <w:t>2 et 16)</w:t>
      </w:r>
      <w:r w:rsidRPr="002354FF">
        <w:rPr>
          <w:rStyle w:val="Appelnotedebasdep"/>
        </w:rPr>
        <w:footnoteReference w:id="64"/>
      </w:r>
      <w:r w:rsidRPr="00016D93">
        <w:rPr>
          <w:lang w:val="fr-FR"/>
        </w:rPr>
        <w:t>.</w:t>
      </w:r>
    </w:p>
    <w:p w14:paraId="14ABE691" w14:textId="3B94AEAB" w:rsidR="009D335A" w:rsidRPr="00016D93" w:rsidRDefault="009D335A" w:rsidP="009D335A">
      <w:pPr>
        <w:pStyle w:val="SingleTxtG"/>
        <w:rPr>
          <w:b/>
          <w:lang w:val="fr-FR"/>
        </w:rPr>
      </w:pPr>
      <w:r w:rsidRPr="00016D93">
        <w:rPr>
          <w:lang w:val="fr-FR"/>
        </w:rPr>
        <w:t>28.</w:t>
      </w:r>
      <w:r w:rsidRPr="00016D93">
        <w:rPr>
          <w:lang w:val="fr-FR"/>
        </w:rPr>
        <w:tab/>
      </w:r>
      <w:r w:rsidRPr="00016D93">
        <w:rPr>
          <w:b/>
          <w:bCs/>
          <w:lang w:val="fr-FR"/>
        </w:rPr>
        <w:t>L</w:t>
      </w:r>
      <w:r w:rsidR="002354FF">
        <w:rPr>
          <w:b/>
          <w:bCs/>
          <w:lang w:val="fr-FR"/>
        </w:rPr>
        <w:t>’</w:t>
      </w:r>
      <w:r w:rsidRPr="00016D93">
        <w:rPr>
          <w:b/>
          <w:bCs/>
          <w:lang w:val="fr-FR"/>
        </w:rPr>
        <w:t xml:space="preserve">État partie devrait réviser </w:t>
      </w:r>
      <w:r>
        <w:rPr>
          <w:b/>
          <w:bCs/>
          <w:lang w:val="fr-FR"/>
        </w:rPr>
        <w:t>son</w:t>
      </w:r>
      <w:r w:rsidRPr="00016D93">
        <w:rPr>
          <w:b/>
          <w:bCs/>
          <w:lang w:val="fr-FR"/>
        </w:rPr>
        <w:t xml:space="preserve"> Code pénal afin de dépénaliser l</w:t>
      </w:r>
      <w:r w:rsidR="002354FF">
        <w:rPr>
          <w:b/>
          <w:bCs/>
          <w:lang w:val="fr-FR"/>
        </w:rPr>
        <w:t>’</w:t>
      </w:r>
      <w:r w:rsidRPr="00016D93">
        <w:rPr>
          <w:b/>
          <w:bCs/>
          <w:lang w:val="fr-FR"/>
        </w:rPr>
        <w:t>interruption volontaire de grossesse lorsque le fait de mener une grossesse à terme serait une source de souffrance considérable pour la femme, ou lorsque la grossesse résulte d</w:t>
      </w:r>
      <w:r w:rsidR="002354FF">
        <w:rPr>
          <w:b/>
          <w:bCs/>
          <w:lang w:val="fr-FR"/>
        </w:rPr>
        <w:t>’</w:t>
      </w:r>
      <w:r w:rsidRPr="00016D93">
        <w:rPr>
          <w:b/>
          <w:bCs/>
          <w:lang w:val="fr-FR"/>
        </w:rPr>
        <w:t>un viol ou d</w:t>
      </w:r>
      <w:r w:rsidR="002354FF">
        <w:rPr>
          <w:b/>
          <w:bCs/>
          <w:lang w:val="fr-FR"/>
        </w:rPr>
        <w:t>’</w:t>
      </w:r>
      <w:r w:rsidRPr="00016D93">
        <w:rPr>
          <w:b/>
          <w:bCs/>
          <w:lang w:val="fr-FR"/>
        </w:rPr>
        <w:t>un inceste, ou lorsque le fœtus n</w:t>
      </w:r>
      <w:r w:rsidR="002354FF">
        <w:rPr>
          <w:b/>
          <w:bCs/>
          <w:lang w:val="fr-FR"/>
        </w:rPr>
        <w:t>’</w:t>
      </w:r>
      <w:r w:rsidRPr="00016D93">
        <w:rPr>
          <w:b/>
          <w:bCs/>
          <w:lang w:val="fr-FR"/>
        </w:rPr>
        <w:t>est pas viable.</w:t>
      </w:r>
      <w:r w:rsidRPr="00016D93">
        <w:rPr>
          <w:lang w:val="fr-FR"/>
        </w:rPr>
        <w:t xml:space="preserve"> </w:t>
      </w:r>
      <w:r w:rsidRPr="00016D93">
        <w:rPr>
          <w:b/>
          <w:bCs/>
          <w:lang w:val="fr-FR"/>
        </w:rPr>
        <w:t>L</w:t>
      </w:r>
      <w:r w:rsidR="002354FF">
        <w:rPr>
          <w:b/>
          <w:bCs/>
          <w:lang w:val="fr-FR"/>
        </w:rPr>
        <w:t>’</w:t>
      </w:r>
      <w:r w:rsidRPr="00016D93">
        <w:rPr>
          <w:b/>
          <w:bCs/>
          <w:lang w:val="fr-FR"/>
        </w:rPr>
        <w:t>État partie devrait également veiller à ce que ni les patientes qui recourent à l</w:t>
      </w:r>
      <w:r w:rsidR="002354FF">
        <w:rPr>
          <w:b/>
          <w:bCs/>
          <w:lang w:val="fr-FR"/>
        </w:rPr>
        <w:t>’</w:t>
      </w:r>
      <w:r w:rsidRPr="00016D93">
        <w:rPr>
          <w:b/>
          <w:bCs/>
          <w:lang w:val="fr-FR"/>
        </w:rPr>
        <w:t>avortement ni leurs médecins ne s</w:t>
      </w:r>
      <w:r w:rsidR="002354FF">
        <w:rPr>
          <w:b/>
          <w:bCs/>
          <w:lang w:val="fr-FR"/>
        </w:rPr>
        <w:t>’</w:t>
      </w:r>
      <w:r w:rsidRPr="00016D93">
        <w:rPr>
          <w:b/>
          <w:bCs/>
          <w:lang w:val="fr-FR"/>
        </w:rPr>
        <w:t>exposent à des sanctions pénales, et garantir aux femmes l</w:t>
      </w:r>
      <w:r w:rsidR="002354FF">
        <w:rPr>
          <w:b/>
          <w:bCs/>
          <w:lang w:val="fr-FR"/>
        </w:rPr>
        <w:t>’</w:t>
      </w:r>
      <w:r w:rsidRPr="00016D93">
        <w:rPr>
          <w:b/>
          <w:bCs/>
          <w:lang w:val="fr-FR"/>
        </w:rPr>
        <w:t>accès à des soins postavortement, que l</w:t>
      </w:r>
      <w:r w:rsidR="002354FF">
        <w:rPr>
          <w:b/>
          <w:bCs/>
          <w:lang w:val="fr-FR"/>
        </w:rPr>
        <w:t>’</w:t>
      </w:r>
      <w:r w:rsidRPr="00016D93">
        <w:rPr>
          <w:b/>
          <w:bCs/>
          <w:lang w:val="fr-FR"/>
        </w:rPr>
        <w:t>avortement pratiqué ait été légal ou illégal.</w:t>
      </w:r>
    </w:p>
    <w:p w14:paraId="21B90838" w14:textId="11D73450" w:rsidR="009D335A" w:rsidRPr="00016D93" w:rsidRDefault="009D335A" w:rsidP="00F14C11">
      <w:pPr>
        <w:pStyle w:val="H23G"/>
        <w:rPr>
          <w:lang w:val="fr-FR"/>
        </w:rPr>
      </w:pPr>
      <w:r w:rsidRPr="00016D93">
        <w:rPr>
          <w:lang w:val="fr-FR"/>
        </w:rPr>
        <w:lastRenderedPageBreak/>
        <w:tab/>
      </w:r>
      <w:r w:rsidRPr="00016D93">
        <w:rPr>
          <w:lang w:val="fr-FR"/>
        </w:rPr>
        <w:tab/>
        <w:t>Violence à l</w:t>
      </w:r>
      <w:r w:rsidR="002354FF">
        <w:rPr>
          <w:lang w:val="fr-FR"/>
        </w:rPr>
        <w:t>’</w:t>
      </w:r>
      <w:r w:rsidRPr="00016D93">
        <w:rPr>
          <w:lang w:val="fr-FR"/>
        </w:rPr>
        <w:t xml:space="preserve">égard des peuples autochtones et des personnes </w:t>
      </w:r>
      <w:r w:rsidR="00F14C11">
        <w:rPr>
          <w:lang w:val="fr-FR"/>
        </w:rPr>
        <w:br/>
      </w:r>
      <w:r w:rsidRPr="00016D93">
        <w:rPr>
          <w:lang w:val="fr-FR"/>
        </w:rPr>
        <w:t>d</w:t>
      </w:r>
      <w:r w:rsidR="002354FF">
        <w:rPr>
          <w:lang w:val="fr-FR"/>
        </w:rPr>
        <w:t>’</w:t>
      </w:r>
      <w:r w:rsidRPr="00016D93">
        <w:rPr>
          <w:lang w:val="fr-FR"/>
        </w:rPr>
        <w:t>ascendance africaine</w:t>
      </w:r>
    </w:p>
    <w:p w14:paraId="527D0104" w14:textId="22882E91" w:rsidR="009D335A" w:rsidRPr="00016D93" w:rsidRDefault="009D335A" w:rsidP="009D335A">
      <w:pPr>
        <w:pStyle w:val="SingleTxtG"/>
        <w:rPr>
          <w:lang w:val="fr-FR"/>
        </w:rPr>
      </w:pPr>
      <w:r w:rsidRPr="00016D93">
        <w:rPr>
          <w:lang w:val="fr-FR"/>
        </w:rPr>
        <w:t>29.</w:t>
      </w:r>
      <w:r w:rsidRPr="00016D93">
        <w:rPr>
          <w:lang w:val="fr-FR"/>
        </w:rPr>
        <w:tab/>
        <w:t>Le Comité est préoccupé par les informations selon lesquelles des membres de peuples autochtones et des personnes d</w:t>
      </w:r>
      <w:r w:rsidR="002354FF">
        <w:rPr>
          <w:lang w:val="fr-FR"/>
        </w:rPr>
        <w:t>’</w:t>
      </w:r>
      <w:r w:rsidRPr="00016D93">
        <w:rPr>
          <w:lang w:val="fr-FR"/>
        </w:rPr>
        <w:t>ascendance africaine s</w:t>
      </w:r>
      <w:r>
        <w:rPr>
          <w:lang w:val="fr-FR"/>
        </w:rPr>
        <w:t>o</w:t>
      </w:r>
      <w:r w:rsidRPr="00016D93">
        <w:rPr>
          <w:lang w:val="fr-FR"/>
        </w:rPr>
        <w:t>nt victimes d</w:t>
      </w:r>
      <w:r w:rsidR="002354FF">
        <w:rPr>
          <w:lang w:val="fr-FR"/>
        </w:rPr>
        <w:t>’</w:t>
      </w:r>
      <w:r w:rsidRPr="00016D93">
        <w:rPr>
          <w:lang w:val="fr-FR"/>
        </w:rPr>
        <w:t>agressions ayant, dans certains cas, entraîné la mort, et par la réticence des autorités à enquêter sur ces faits. Il est tout aussi préoccupé par les informations concernant les tentatives menées pour incriminer ces groupes et par la stigmatisation des organisations de défense qui s</w:t>
      </w:r>
      <w:r w:rsidR="002354FF">
        <w:rPr>
          <w:lang w:val="fr-FR"/>
        </w:rPr>
        <w:t>’</w:t>
      </w:r>
      <w:r w:rsidRPr="00016D93">
        <w:rPr>
          <w:lang w:val="fr-FR"/>
        </w:rPr>
        <w:t>emploient à protéger leurs droits</w:t>
      </w:r>
      <w:r w:rsidRPr="002354FF">
        <w:rPr>
          <w:rStyle w:val="Appelnotedebasdep"/>
        </w:rPr>
        <w:footnoteReference w:id="65"/>
      </w:r>
      <w:r w:rsidRPr="00016D93">
        <w:rPr>
          <w:lang w:val="fr-FR"/>
        </w:rPr>
        <w:t>, ainsi que par l</w:t>
      </w:r>
      <w:r w:rsidR="002354FF">
        <w:rPr>
          <w:lang w:val="fr-FR"/>
        </w:rPr>
        <w:t>’</w:t>
      </w:r>
      <w:r w:rsidRPr="00016D93">
        <w:rPr>
          <w:lang w:val="fr-FR"/>
        </w:rPr>
        <w:t>absence d</w:t>
      </w:r>
      <w:r w:rsidR="002354FF">
        <w:rPr>
          <w:lang w:val="fr-FR"/>
        </w:rPr>
        <w:t>’</w:t>
      </w:r>
      <w:r w:rsidRPr="00016D93">
        <w:rPr>
          <w:lang w:val="fr-FR"/>
        </w:rPr>
        <w:t>informations sur l</w:t>
      </w:r>
      <w:r w:rsidR="002354FF">
        <w:rPr>
          <w:lang w:val="fr-FR"/>
        </w:rPr>
        <w:t>’</w:t>
      </w:r>
      <w:r w:rsidRPr="00016D93">
        <w:rPr>
          <w:lang w:val="fr-FR"/>
        </w:rPr>
        <w:t>avancement des enquêtes relatives aux plaintes déposées auprès de la police (art</w:t>
      </w:r>
      <w:r w:rsidR="00F14C11">
        <w:rPr>
          <w:lang w:val="fr-FR"/>
        </w:rPr>
        <w:t>. </w:t>
      </w:r>
      <w:r w:rsidRPr="00016D93">
        <w:rPr>
          <w:lang w:val="fr-FR"/>
        </w:rPr>
        <w:t>2, 12 à 14 et 16).</w:t>
      </w:r>
    </w:p>
    <w:p w14:paraId="209CEAE5" w14:textId="7BC2C8A7" w:rsidR="009D335A" w:rsidRPr="00016D93" w:rsidRDefault="009D335A" w:rsidP="009D335A">
      <w:pPr>
        <w:pStyle w:val="SingleTxtG"/>
        <w:rPr>
          <w:b/>
          <w:bCs/>
          <w:lang w:val="fr-FR"/>
        </w:rPr>
      </w:pPr>
      <w:r w:rsidRPr="00016D93">
        <w:rPr>
          <w:lang w:val="fr-FR"/>
        </w:rPr>
        <w:t>30.</w:t>
      </w:r>
      <w:r w:rsidRPr="00016D93">
        <w:rPr>
          <w:lang w:val="fr-FR"/>
        </w:rPr>
        <w:tab/>
      </w:r>
      <w:r w:rsidRPr="00016D93">
        <w:rPr>
          <w:b/>
          <w:bCs/>
          <w:lang w:val="fr-FR"/>
        </w:rPr>
        <w:t>L</w:t>
      </w:r>
      <w:r w:rsidR="002354FF">
        <w:rPr>
          <w:b/>
          <w:bCs/>
          <w:lang w:val="fr-FR"/>
        </w:rPr>
        <w:t>’</w:t>
      </w:r>
      <w:r w:rsidRPr="00016D93">
        <w:rPr>
          <w:b/>
          <w:bCs/>
          <w:lang w:val="fr-FR"/>
        </w:rPr>
        <w:t>État partie devrait veiller à ce que les plaintes pour agression violente de membres de peuples autochtones ou de personnes d</w:t>
      </w:r>
      <w:r w:rsidR="002354FF">
        <w:rPr>
          <w:b/>
          <w:bCs/>
          <w:lang w:val="fr-FR"/>
        </w:rPr>
        <w:t>’</w:t>
      </w:r>
      <w:r w:rsidRPr="00016D93">
        <w:rPr>
          <w:b/>
          <w:bCs/>
          <w:lang w:val="fr-FR"/>
        </w:rPr>
        <w:t>ascendance africaine fassent l</w:t>
      </w:r>
      <w:r w:rsidR="002354FF">
        <w:rPr>
          <w:b/>
          <w:bCs/>
          <w:lang w:val="fr-FR"/>
        </w:rPr>
        <w:t>’</w:t>
      </w:r>
      <w:r w:rsidRPr="00016D93">
        <w:rPr>
          <w:b/>
          <w:bCs/>
          <w:lang w:val="fr-FR"/>
        </w:rPr>
        <w:t>objet d</w:t>
      </w:r>
      <w:r w:rsidR="002354FF">
        <w:rPr>
          <w:b/>
          <w:bCs/>
          <w:lang w:val="fr-FR"/>
        </w:rPr>
        <w:t>’</w:t>
      </w:r>
      <w:r w:rsidRPr="00016D93">
        <w:rPr>
          <w:b/>
          <w:bCs/>
          <w:lang w:val="fr-FR"/>
        </w:rPr>
        <w:t>une enquête.</w:t>
      </w:r>
      <w:r w:rsidRPr="00016D93">
        <w:rPr>
          <w:lang w:val="fr-FR"/>
        </w:rPr>
        <w:t xml:space="preserve"> </w:t>
      </w:r>
      <w:r w:rsidRPr="00016D93">
        <w:rPr>
          <w:b/>
          <w:bCs/>
          <w:lang w:val="fr-FR"/>
        </w:rPr>
        <w:t xml:space="preserve">Il convient également de protéger leur intégrité physique et </w:t>
      </w:r>
      <w:r>
        <w:rPr>
          <w:b/>
          <w:bCs/>
          <w:lang w:val="fr-FR"/>
        </w:rPr>
        <w:t xml:space="preserve">de </w:t>
      </w:r>
      <w:r w:rsidRPr="00016D93">
        <w:rPr>
          <w:b/>
          <w:bCs/>
          <w:lang w:val="fr-FR"/>
        </w:rPr>
        <w:t xml:space="preserve">faire en sorte que les </w:t>
      </w:r>
      <w:r>
        <w:rPr>
          <w:b/>
          <w:bCs/>
          <w:lang w:val="fr-FR"/>
        </w:rPr>
        <w:t>peuples</w:t>
      </w:r>
      <w:r w:rsidRPr="00016D93">
        <w:rPr>
          <w:b/>
          <w:bCs/>
          <w:lang w:val="fr-FR"/>
        </w:rPr>
        <w:t xml:space="preserve"> autochtones, les personnes d</w:t>
      </w:r>
      <w:r w:rsidR="002354FF">
        <w:rPr>
          <w:b/>
          <w:bCs/>
          <w:lang w:val="fr-FR"/>
        </w:rPr>
        <w:t>’</w:t>
      </w:r>
      <w:r w:rsidRPr="00016D93">
        <w:rPr>
          <w:b/>
          <w:bCs/>
          <w:lang w:val="fr-FR"/>
        </w:rPr>
        <w:t>ascendance africaine et les organisations qui défendent leurs droits soient protégé</w:t>
      </w:r>
      <w:r>
        <w:rPr>
          <w:b/>
          <w:bCs/>
          <w:lang w:val="fr-FR"/>
        </w:rPr>
        <w:t>e</w:t>
      </w:r>
      <w:r w:rsidRPr="00016D93">
        <w:rPr>
          <w:b/>
          <w:bCs/>
          <w:lang w:val="fr-FR"/>
        </w:rPr>
        <w:t>s contre les menaces et les actes d</w:t>
      </w:r>
      <w:r w:rsidR="002354FF">
        <w:rPr>
          <w:b/>
          <w:bCs/>
          <w:lang w:val="fr-FR"/>
        </w:rPr>
        <w:t>’</w:t>
      </w:r>
      <w:r w:rsidRPr="00016D93">
        <w:rPr>
          <w:b/>
          <w:bCs/>
          <w:lang w:val="fr-FR"/>
        </w:rPr>
        <w:t>intimidation et qu</w:t>
      </w:r>
      <w:r w:rsidR="002354FF">
        <w:rPr>
          <w:b/>
          <w:bCs/>
          <w:lang w:val="fr-FR"/>
        </w:rPr>
        <w:t>’</w:t>
      </w:r>
      <w:r w:rsidRPr="00016D93">
        <w:rPr>
          <w:b/>
          <w:bCs/>
          <w:lang w:val="fr-FR"/>
        </w:rPr>
        <w:t>ils puissent jouir de la liberté nécessaire pour mener à bien leurs activités.</w:t>
      </w:r>
      <w:r w:rsidRPr="00016D93">
        <w:rPr>
          <w:lang w:val="fr-FR"/>
        </w:rPr>
        <w:t xml:space="preserve"> </w:t>
      </w:r>
      <w:r w:rsidRPr="00016D93">
        <w:rPr>
          <w:b/>
          <w:bCs/>
          <w:lang w:val="fr-FR"/>
        </w:rPr>
        <w:t>L</w:t>
      </w:r>
      <w:r w:rsidR="002354FF">
        <w:rPr>
          <w:b/>
          <w:bCs/>
          <w:lang w:val="fr-FR"/>
        </w:rPr>
        <w:t>’</w:t>
      </w:r>
      <w:r w:rsidRPr="00016D93">
        <w:rPr>
          <w:b/>
          <w:bCs/>
          <w:lang w:val="fr-FR"/>
        </w:rPr>
        <w:t>État partie devrait également accorder aux victimes des mesures de réparation, notamment des mesures d</w:t>
      </w:r>
      <w:r w:rsidR="002354FF">
        <w:rPr>
          <w:b/>
          <w:bCs/>
          <w:lang w:val="fr-FR"/>
        </w:rPr>
        <w:t>’</w:t>
      </w:r>
      <w:r w:rsidRPr="00016D93">
        <w:rPr>
          <w:b/>
          <w:bCs/>
          <w:lang w:val="fr-FR"/>
        </w:rPr>
        <w:t>indemnisation et de réadaptation.</w:t>
      </w:r>
    </w:p>
    <w:p w14:paraId="3EEC1102" w14:textId="2CADDB80" w:rsidR="009D335A" w:rsidRPr="00016D93" w:rsidRDefault="009D335A" w:rsidP="00F14C11">
      <w:pPr>
        <w:pStyle w:val="H23G"/>
        <w:rPr>
          <w:lang w:val="fr-FR"/>
        </w:rPr>
      </w:pPr>
      <w:r w:rsidRPr="00016D93">
        <w:rPr>
          <w:lang w:val="fr-FR"/>
        </w:rPr>
        <w:tab/>
      </w:r>
      <w:r w:rsidRPr="00016D93">
        <w:rPr>
          <w:lang w:val="fr-FR"/>
        </w:rPr>
        <w:tab/>
        <w:t>Réparation, notamment sous forme d</w:t>
      </w:r>
      <w:r w:rsidR="002354FF">
        <w:rPr>
          <w:lang w:val="fr-FR"/>
        </w:rPr>
        <w:t>’</w:t>
      </w:r>
      <w:r w:rsidRPr="00016D93">
        <w:rPr>
          <w:lang w:val="fr-FR"/>
        </w:rPr>
        <w:t xml:space="preserve">une indemnisation </w:t>
      </w:r>
      <w:r w:rsidR="00F14C11">
        <w:rPr>
          <w:lang w:val="fr-FR"/>
        </w:rPr>
        <w:br/>
      </w:r>
      <w:r w:rsidRPr="00016D93">
        <w:rPr>
          <w:lang w:val="fr-FR"/>
        </w:rPr>
        <w:t>et de moyens de réadaptation</w:t>
      </w:r>
    </w:p>
    <w:p w14:paraId="01554DF3" w14:textId="674A41B6" w:rsidR="009D335A" w:rsidRPr="00016D93" w:rsidRDefault="009D335A" w:rsidP="009D335A">
      <w:pPr>
        <w:pStyle w:val="SingleTxtG"/>
        <w:rPr>
          <w:lang w:val="fr-FR"/>
        </w:rPr>
      </w:pPr>
      <w:r w:rsidRPr="00016D93">
        <w:rPr>
          <w:lang w:val="fr-FR"/>
        </w:rPr>
        <w:t>31.</w:t>
      </w:r>
      <w:r w:rsidRPr="00016D93">
        <w:rPr>
          <w:lang w:val="fr-FR"/>
        </w:rPr>
        <w:tab/>
        <w:t>S</w:t>
      </w:r>
      <w:r w:rsidR="002354FF">
        <w:rPr>
          <w:lang w:val="fr-FR"/>
        </w:rPr>
        <w:t>’</w:t>
      </w:r>
      <w:r w:rsidRPr="00016D93">
        <w:rPr>
          <w:lang w:val="fr-FR"/>
        </w:rPr>
        <w:t>il prend note de l</w:t>
      </w:r>
      <w:r w:rsidR="002354FF">
        <w:rPr>
          <w:lang w:val="fr-FR"/>
        </w:rPr>
        <w:t>’</w:t>
      </w:r>
      <w:r w:rsidRPr="00016D93">
        <w:rPr>
          <w:lang w:val="fr-FR"/>
        </w:rPr>
        <w:t>adoption de la loi n</w:t>
      </w:r>
      <w:r w:rsidRPr="00016D93">
        <w:rPr>
          <w:vertAlign w:val="superscript"/>
          <w:lang w:val="fr-FR"/>
        </w:rPr>
        <w:t>o</w:t>
      </w:r>
      <w:r w:rsidR="00F14C11">
        <w:rPr>
          <w:lang w:val="fr-FR"/>
        </w:rPr>
        <w:t> </w:t>
      </w:r>
      <w:r w:rsidRPr="00016D93">
        <w:rPr>
          <w:lang w:val="fr-FR"/>
        </w:rPr>
        <w:t>994 de 2019, qui</w:t>
      </w:r>
      <w:r>
        <w:rPr>
          <w:lang w:val="fr-FR"/>
        </w:rPr>
        <w:t xml:space="preserve"> porte mise</w:t>
      </w:r>
      <w:r w:rsidRPr="00016D93">
        <w:rPr>
          <w:lang w:val="fr-FR"/>
        </w:rPr>
        <w:t xml:space="preserve"> en œuvre </w:t>
      </w:r>
      <w:r>
        <w:rPr>
          <w:lang w:val="fr-FR"/>
        </w:rPr>
        <w:t>du</w:t>
      </w:r>
      <w:r w:rsidRPr="00016D93">
        <w:rPr>
          <w:lang w:val="fr-FR"/>
        </w:rPr>
        <w:t xml:space="preserve"> Plan de prise en charge intégrale des victimes, le Comité constate avec préoccupation que cette loi ne garantit pas le droit à une réparation intégrale conformément à l</w:t>
      </w:r>
      <w:r w:rsidR="002354FF">
        <w:rPr>
          <w:lang w:val="fr-FR"/>
        </w:rPr>
        <w:t>’</w:t>
      </w:r>
      <w:r w:rsidR="00F949EA">
        <w:rPr>
          <w:lang w:val="fr-FR"/>
        </w:rPr>
        <w:t>article </w:t>
      </w:r>
      <w:r w:rsidRPr="00016D93">
        <w:rPr>
          <w:lang w:val="fr-FR"/>
        </w:rPr>
        <w:t>14 de la Convention, et ne prévoit aucune mesure garantissant le droit des victimes et de leur famille d</w:t>
      </w:r>
      <w:r w:rsidR="002354FF">
        <w:rPr>
          <w:lang w:val="fr-FR"/>
        </w:rPr>
        <w:t>’</w:t>
      </w:r>
      <w:r w:rsidRPr="00016D93">
        <w:rPr>
          <w:lang w:val="fr-FR"/>
        </w:rPr>
        <w:t>accéder à la justice</w:t>
      </w:r>
      <w:r w:rsidRPr="002354FF">
        <w:rPr>
          <w:rStyle w:val="Appelnotedebasdep"/>
        </w:rPr>
        <w:footnoteReference w:id="66"/>
      </w:r>
      <w:r w:rsidRPr="00016D93">
        <w:rPr>
          <w:lang w:val="fr-FR"/>
        </w:rPr>
        <w:t xml:space="preserve">. </w:t>
      </w:r>
      <w:r>
        <w:rPr>
          <w:lang w:val="fr-FR"/>
        </w:rPr>
        <w:t>Vu</w:t>
      </w:r>
      <w:r w:rsidRPr="00016D93">
        <w:rPr>
          <w:lang w:val="fr-FR"/>
        </w:rPr>
        <w:t xml:space="preserve"> l</w:t>
      </w:r>
      <w:r w:rsidR="002354FF">
        <w:rPr>
          <w:lang w:val="fr-FR"/>
        </w:rPr>
        <w:t>’</w:t>
      </w:r>
      <w:r w:rsidR="00F949EA">
        <w:rPr>
          <w:lang w:val="fr-FR"/>
        </w:rPr>
        <w:t>article </w:t>
      </w:r>
      <w:r w:rsidRPr="00016D93">
        <w:rPr>
          <w:lang w:val="fr-FR"/>
        </w:rPr>
        <w:t>81 du Code de procédure pénale, qui subordonne l</w:t>
      </w:r>
      <w:r w:rsidR="002354FF">
        <w:rPr>
          <w:lang w:val="fr-FR"/>
        </w:rPr>
        <w:t>’</w:t>
      </w:r>
      <w:r w:rsidRPr="00016D93">
        <w:rPr>
          <w:lang w:val="fr-FR"/>
        </w:rPr>
        <w:t>ouverture d</w:t>
      </w:r>
      <w:r w:rsidR="002354FF">
        <w:rPr>
          <w:lang w:val="fr-FR"/>
        </w:rPr>
        <w:t>’</w:t>
      </w:r>
      <w:r w:rsidRPr="00016D93">
        <w:rPr>
          <w:lang w:val="fr-FR"/>
        </w:rPr>
        <w:t>une procédure civile pour actes de torture à l</w:t>
      </w:r>
      <w:r w:rsidR="002354FF">
        <w:rPr>
          <w:lang w:val="fr-FR"/>
        </w:rPr>
        <w:t>’</w:t>
      </w:r>
      <w:r w:rsidRPr="00016D93">
        <w:rPr>
          <w:lang w:val="fr-FR"/>
        </w:rPr>
        <w:t>existence d</w:t>
      </w:r>
      <w:r w:rsidR="002354FF">
        <w:rPr>
          <w:lang w:val="fr-FR"/>
        </w:rPr>
        <w:t>’</w:t>
      </w:r>
      <w:r w:rsidRPr="00016D93">
        <w:rPr>
          <w:lang w:val="fr-FR"/>
        </w:rPr>
        <w:t>un jugement de condamnation définitif, le Comité regrette que l</w:t>
      </w:r>
      <w:r w:rsidR="002354FF">
        <w:rPr>
          <w:lang w:val="fr-FR"/>
        </w:rPr>
        <w:t>’</w:t>
      </w:r>
      <w:r w:rsidRPr="00016D93">
        <w:rPr>
          <w:lang w:val="fr-FR"/>
        </w:rPr>
        <w:t>État partie n</w:t>
      </w:r>
      <w:r w:rsidR="002354FF">
        <w:rPr>
          <w:lang w:val="fr-FR"/>
        </w:rPr>
        <w:t>’</w:t>
      </w:r>
      <w:r w:rsidRPr="00016D93">
        <w:rPr>
          <w:lang w:val="fr-FR"/>
        </w:rPr>
        <w:t>ait pas modifié sa législation afin de permettre aux victimes de torture de demander réparation au civil sans qu</w:t>
      </w:r>
      <w:r w:rsidR="002354FF">
        <w:rPr>
          <w:lang w:val="fr-FR"/>
        </w:rPr>
        <w:t>’</w:t>
      </w:r>
      <w:r w:rsidRPr="00016D93">
        <w:rPr>
          <w:lang w:val="fr-FR"/>
        </w:rPr>
        <w:t>il ne doive y avoir une condamnation pénale définitive (</w:t>
      </w:r>
      <w:r w:rsidR="00F949EA">
        <w:rPr>
          <w:lang w:val="fr-FR"/>
        </w:rPr>
        <w:t>art. </w:t>
      </w:r>
      <w:r w:rsidRPr="00016D93">
        <w:rPr>
          <w:lang w:val="fr-FR"/>
        </w:rPr>
        <w:t>14)</w:t>
      </w:r>
      <w:r w:rsidRPr="002354FF">
        <w:rPr>
          <w:rStyle w:val="Appelnotedebasdep"/>
        </w:rPr>
        <w:footnoteReference w:id="67"/>
      </w:r>
      <w:r w:rsidRPr="00016D93">
        <w:rPr>
          <w:lang w:val="fr-FR"/>
        </w:rPr>
        <w:t>.</w:t>
      </w:r>
    </w:p>
    <w:p w14:paraId="409C1D0C" w14:textId="13806023" w:rsidR="009D335A" w:rsidRPr="00016D93" w:rsidRDefault="009D335A" w:rsidP="009D335A">
      <w:pPr>
        <w:pStyle w:val="SingleTxtG"/>
        <w:rPr>
          <w:b/>
          <w:bCs/>
          <w:lang w:val="fr-FR"/>
        </w:rPr>
      </w:pPr>
      <w:r w:rsidRPr="00016D93">
        <w:rPr>
          <w:lang w:val="fr-FR"/>
        </w:rPr>
        <w:t>32.</w:t>
      </w:r>
      <w:r w:rsidRPr="00016D93">
        <w:rPr>
          <w:lang w:val="fr-FR"/>
        </w:rPr>
        <w:tab/>
      </w:r>
      <w:r w:rsidRPr="00016D93">
        <w:rPr>
          <w:b/>
          <w:bCs/>
          <w:lang w:val="fr-FR"/>
        </w:rPr>
        <w:t>L</w:t>
      </w:r>
      <w:r w:rsidR="002354FF">
        <w:rPr>
          <w:b/>
          <w:bCs/>
          <w:lang w:val="fr-FR"/>
        </w:rPr>
        <w:t>’</w:t>
      </w:r>
      <w:r w:rsidRPr="00016D93">
        <w:rPr>
          <w:b/>
          <w:bCs/>
          <w:lang w:val="fr-FR"/>
        </w:rPr>
        <w:t>État partie devrait prendre les mesures législatives et administratives nécessaires pour que les victimes de torture et de mauvais traitements disposent de recours utiles leur permettant d</w:t>
      </w:r>
      <w:r w:rsidR="002354FF">
        <w:rPr>
          <w:b/>
          <w:bCs/>
          <w:lang w:val="fr-FR"/>
        </w:rPr>
        <w:t>’</w:t>
      </w:r>
      <w:r w:rsidRPr="00016D93">
        <w:rPr>
          <w:b/>
          <w:bCs/>
          <w:lang w:val="fr-FR"/>
        </w:rPr>
        <w:t>accéder à la justice et d</w:t>
      </w:r>
      <w:r w:rsidR="002354FF">
        <w:rPr>
          <w:b/>
          <w:bCs/>
          <w:lang w:val="fr-FR"/>
        </w:rPr>
        <w:t>’</w:t>
      </w:r>
      <w:r w:rsidRPr="00016D93">
        <w:rPr>
          <w:b/>
          <w:bCs/>
          <w:lang w:val="fr-FR"/>
        </w:rPr>
        <w:t>obtenir réparation, y compris lorsque l</w:t>
      </w:r>
      <w:r w:rsidR="002354FF">
        <w:rPr>
          <w:b/>
          <w:bCs/>
          <w:lang w:val="fr-FR"/>
        </w:rPr>
        <w:t>’</w:t>
      </w:r>
      <w:r w:rsidRPr="00016D93">
        <w:rPr>
          <w:b/>
          <w:bCs/>
          <w:lang w:val="fr-FR"/>
        </w:rPr>
        <w:t>auteur de l</w:t>
      </w:r>
      <w:r w:rsidR="002354FF">
        <w:rPr>
          <w:b/>
          <w:bCs/>
          <w:lang w:val="fr-FR"/>
        </w:rPr>
        <w:t>’</w:t>
      </w:r>
      <w:r w:rsidRPr="00016D93">
        <w:rPr>
          <w:b/>
          <w:bCs/>
          <w:lang w:val="fr-FR"/>
        </w:rPr>
        <w:t>infraction n</w:t>
      </w:r>
      <w:r w:rsidR="002354FF">
        <w:rPr>
          <w:b/>
          <w:bCs/>
          <w:lang w:val="fr-FR"/>
        </w:rPr>
        <w:t>’</w:t>
      </w:r>
      <w:r w:rsidRPr="00016D93">
        <w:rPr>
          <w:b/>
          <w:bCs/>
          <w:lang w:val="fr-FR"/>
        </w:rPr>
        <w:t>a pas été identifié, conformément à l</w:t>
      </w:r>
      <w:r w:rsidR="002354FF">
        <w:rPr>
          <w:b/>
          <w:bCs/>
          <w:lang w:val="fr-FR"/>
        </w:rPr>
        <w:t>’</w:t>
      </w:r>
      <w:r w:rsidR="00F949EA">
        <w:rPr>
          <w:b/>
          <w:bCs/>
          <w:lang w:val="fr-FR"/>
        </w:rPr>
        <w:t>article </w:t>
      </w:r>
      <w:r w:rsidRPr="00016D93">
        <w:rPr>
          <w:b/>
          <w:bCs/>
          <w:lang w:val="fr-FR"/>
        </w:rPr>
        <w:t>14 de la Convention et compte tenu de l</w:t>
      </w:r>
      <w:r w:rsidR="002354FF">
        <w:rPr>
          <w:b/>
          <w:bCs/>
          <w:lang w:val="fr-FR"/>
        </w:rPr>
        <w:t>’</w:t>
      </w:r>
      <w:r w:rsidRPr="00016D93">
        <w:rPr>
          <w:b/>
          <w:bCs/>
          <w:lang w:val="fr-FR"/>
        </w:rPr>
        <w:t>observation générale n</w:t>
      </w:r>
      <w:r w:rsidRPr="00016D93">
        <w:rPr>
          <w:b/>
          <w:bCs/>
          <w:vertAlign w:val="superscript"/>
          <w:lang w:val="fr-FR"/>
        </w:rPr>
        <w:t>o</w:t>
      </w:r>
      <w:r w:rsidR="00F14C11">
        <w:rPr>
          <w:b/>
          <w:bCs/>
          <w:lang w:val="fr-FR"/>
        </w:rPr>
        <w:t> </w:t>
      </w:r>
      <w:r w:rsidRPr="00016D93">
        <w:rPr>
          <w:b/>
          <w:bCs/>
          <w:lang w:val="fr-FR"/>
        </w:rPr>
        <w:t>3 (2012) du Comité.</w:t>
      </w:r>
    </w:p>
    <w:p w14:paraId="401330EC" w14:textId="77777777" w:rsidR="009D335A" w:rsidRPr="00016D93" w:rsidRDefault="009D335A" w:rsidP="00F14C11">
      <w:pPr>
        <w:pStyle w:val="H23G"/>
        <w:rPr>
          <w:lang w:val="fr-FR"/>
        </w:rPr>
      </w:pPr>
      <w:r w:rsidRPr="00016D93">
        <w:rPr>
          <w:lang w:val="fr-FR"/>
        </w:rPr>
        <w:tab/>
      </w:r>
      <w:r w:rsidRPr="00016D93">
        <w:rPr>
          <w:lang w:val="fr-FR"/>
        </w:rPr>
        <w:tab/>
        <w:t xml:space="preserve">Procédure de </w:t>
      </w:r>
      <w:r w:rsidRPr="00F14C11">
        <w:t>suivi</w:t>
      </w:r>
    </w:p>
    <w:p w14:paraId="3B48B1B0" w14:textId="791F7B74" w:rsidR="009D335A" w:rsidRPr="00016D93" w:rsidRDefault="009D335A" w:rsidP="009D335A">
      <w:pPr>
        <w:pStyle w:val="SingleTxtG"/>
        <w:rPr>
          <w:lang w:val="fr-FR"/>
        </w:rPr>
      </w:pPr>
      <w:r w:rsidRPr="00016D93">
        <w:rPr>
          <w:lang w:val="fr-FR"/>
        </w:rPr>
        <w:t>33.</w:t>
      </w:r>
      <w:r w:rsidRPr="00016D93">
        <w:rPr>
          <w:lang w:val="fr-FR"/>
        </w:rPr>
        <w:tab/>
      </w:r>
      <w:r w:rsidRPr="00016D93">
        <w:rPr>
          <w:b/>
          <w:bCs/>
          <w:lang w:val="fr-FR"/>
        </w:rPr>
        <w:t>Le Comité demande à l</w:t>
      </w:r>
      <w:r w:rsidR="002354FF">
        <w:rPr>
          <w:b/>
          <w:bCs/>
          <w:lang w:val="fr-FR"/>
        </w:rPr>
        <w:t>’</w:t>
      </w:r>
      <w:r w:rsidRPr="00016D93">
        <w:rPr>
          <w:b/>
          <w:bCs/>
          <w:lang w:val="fr-FR"/>
        </w:rPr>
        <w:t>État partie de lui faire parvenir le 29 juillet 2023 au plus tard des renseignements sur la suite qu</w:t>
      </w:r>
      <w:r w:rsidR="002354FF">
        <w:rPr>
          <w:b/>
          <w:bCs/>
          <w:lang w:val="fr-FR"/>
        </w:rPr>
        <w:t>’</w:t>
      </w:r>
      <w:r w:rsidRPr="00016D93">
        <w:rPr>
          <w:b/>
          <w:bCs/>
          <w:lang w:val="fr-FR"/>
        </w:rPr>
        <w:t>il aura donnée à ses recommandations concernant les garanties juridiques fondamentales, les conditions de détention</w:t>
      </w:r>
      <w:r>
        <w:rPr>
          <w:b/>
          <w:bCs/>
          <w:lang w:val="fr-FR"/>
        </w:rPr>
        <w:t>,</w:t>
      </w:r>
      <w:r w:rsidR="00B73952">
        <w:rPr>
          <w:b/>
          <w:bCs/>
          <w:lang w:val="fr-FR"/>
        </w:rPr>
        <w:t xml:space="preserve"> </w:t>
      </w:r>
      <w:r w:rsidRPr="00016D93">
        <w:rPr>
          <w:b/>
          <w:bCs/>
          <w:lang w:val="fr-FR"/>
        </w:rPr>
        <w:t>l</w:t>
      </w:r>
      <w:r w:rsidR="002354FF">
        <w:rPr>
          <w:b/>
          <w:bCs/>
          <w:lang w:val="fr-FR"/>
        </w:rPr>
        <w:t>’</w:t>
      </w:r>
      <w:r>
        <w:rPr>
          <w:b/>
          <w:bCs/>
          <w:lang w:val="fr-FR"/>
        </w:rPr>
        <w:t>incrimination des manifestations</w:t>
      </w:r>
      <w:r w:rsidRPr="00016D93">
        <w:rPr>
          <w:b/>
          <w:bCs/>
          <w:lang w:val="fr-FR"/>
        </w:rPr>
        <w:t xml:space="preserve"> et les actes de répression (voir </w:t>
      </w:r>
      <w:r w:rsidR="00F949EA">
        <w:rPr>
          <w:b/>
          <w:bCs/>
          <w:lang w:val="fr-FR"/>
        </w:rPr>
        <w:t>par. </w:t>
      </w:r>
      <w:r w:rsidRPr="00016D93">
        <w:rPr>
          <w:b/>
          <w:bCs/>
          <w:lang w:val="fr-FR"/>
        </w:rPr>
        <w:t>10</w:t>
      </w:r>
      <w:r w:rsidR="00F14C11">
        <w:rPr>
          <w:b/>
          <w:bCs/>
          <w:lang w:val="fr-FR"/>
        </w:rPr>
        <w:t> </w:t>
      </w:r>
      <w:r w:rsidRPr="00016D93">
        <w:rPr>
          <w:b/>
          <w:bCs/>
          <w:lang w:val="fr-FR"/>
        </w:rPr>
        <w:t>a) et c), 14</w:t>
      </w:r>
      <w:r w:rsidR="00F14C11">
        <w:rPr>
          <w:b/>
          <w:bCs/>
          <w:lang w:val="fr-FR"/>
        </w:rPr>
        <w:t> </w:t>
      </w:r>
      <w:r w:rsidRPr="00016D93">
        <w:rPr>
          <w:b/>
          <w:bCs/>
          <w:lang w:val="fr-FR"/>
        </w:rPr>
        <w:t>a) et 24</w:t>
      </w:r>
      <w:r w:rsidR="00F14C11">
        <w:rPr>
          <w:b/>
          <w:bCs/>
          <w:lang w:val="fr-FR"/>
        </w:rPr>
        <w:t> </w:t>
      </w:r>
      <w:r w:rsidRPr="00016D93">
        <w:rPr>
          <w:b/>
          <w:bCs/>
          <w:lang w:val="fr-FR"/>
        </w:rPr>
        <w:t>a)).</w:t>
      </w:r>
      <w:r w:rsidRPr="00016D93">
        <w:rPr>
          <w:lang w:val="fr-FR"/>
        </w:rPr>
        <w:t xml:space="preserve"> </w:t>
      </w:r>
      <w:r w:rsidRPr="00016D93">
        <w:rPr>
          <w:b/>
          <w:bCs/>
          <w:lang w:val="fr-FR"/>
        </w:rPr>
        <w:t>L</w:t>
      </w:r>
      <w:r w:rsidR="002354FF">
        <w:rPr>
          <w:b/>
          <w:bCs/>
          <w:lang w:val="fr-FR"/>
        </w:rPr>
        <w:t>’</w:t>
      </w:r>
      <w:r w:rsidRPr="00016D93">
        <w:rPr>
          <w:b/>
          <w:bCs/>
          <w:lang w:val="fr-FR"/>
        </w:rPr>
        <w:t>État partie est aussi invité à informer le Comité des mesures qu</w:t>
      </w:r>
      <w:r w:rsidR="002354FF">
        <w:rPr>
          <w:b/>
          <w:bCs/>
          <w:lang w:val="fr-FR"/>
        </w:rPr>
        <w:t>’</w:t>
      </w:r>
      <w:r w:rsidRPr="00016D93">
        <w:rPr>
          <w:b/>
          <w:bCs/>
          <w:lang w:val="fr-FR"/>
        </w:rPr>
        <w:t>il prévoit de prendre, d</w:t>
      </w:r>
      <w:r w:rsidR="002354FF">
        <w:rPr>
          <w:b/>
          <w:bCs/>
          <w:lang w:val="fr-FR"/>
        </w:rPr>
        <w:t>’</w:t>
      </w:r>
      <w:r w:rsidRPr="00016D93">
        <w:rPr>
          <w:b/>
          <w:bCs/>
          <w:lang w:val="fr-FR"/>
        </w:rPr>
        <w:t>ici la soumission de son prochain rapport, pour appliquer tout ou partie des autres recommandations figurant dans les présentes observations finales.</w:t>
      </w:r>
    </w:p>
    <w:p w14:paraId="6ED5929D" w14:textId="77777777" w:rsidR="009D335A" w:rsidRPr="00016D93" w:rsidRDefault="009D335A" w:rsidP="00B73952">
      <w:pPr>
        <w:pStyle w:val="H23G"/>
        <w:rPr>
          <w:lang w:val="fr-FR"/>
        </w:rPr>
      </w:pPr>
      <w:r w:rsidRPr="00016D93">
        <w:rPr>
          <w:lang w:val="fr-FR"/>
        </w:rPr>
        <w:lastRenderedPageBreak/>
        <w:tab/>
      </w:r>
      <w:r w:rsidRPr="00016D93">
        <w:rPr>
          <w:lang w:val="fr-FR"/>
        </w:rPr>
        <w:tab/>
        <w:t>Autres questions</w:t>
      </w:r>
    </w:p>
    <w:p w14:paraId="12667D89" w14:textId="10B64DF7" w:rsidR="009D335A" w:rsidRPr="00016D93" w:rsidRDefault="009D335A" w:rsidP="00B73952">
      <w:pPr>
        <w:pStyle w:val="SingleTxtG"/>
        <w:keepNext/>
        <w:keepLines/>
        <w:rPr>
          <w:b/>
          <w:bCs/>
          <w:lang w:val="fr-FR"/>
        </w:rPr>
      </w:pPr>
      <w:r w:rsidRPr="00016D93">
        <w:rPr>
          <w:lang w:val="fr-FR"/>
        </w:rPr>
        <w:t>34.</w:t>
      </w:r>
      <w:r w:rsidRPr="00016D93">
        <w:rPr>
          <w:lang w:val="fr-FR"/>
        </w:rPr>
        <w:tab/>
      </w:r>
      <w:r w:rsidRPr="00016D93">
        <w:rPr>
          <w:b/>
          <w:bCs/>
          <w:lang w:val="fr-FR"/>
        </w:rPr>
        <w:t>Le Comité encourage l</w:t>
      </w:r>
      <w:r w:rsidR="002354FF">
        <w:rPr>
          <w:b/>
          <w:bCs/>
          <w:lang w:val="fr-FR"/>
        </w:rPr>
        <w:t>’</w:t>
      </w:r>
      <w:r w:rsidRPr="00016D93">
        <w:rPr>
          <w:b/>
          <w:bCs/>
          <w:lang w:val="fr-FR"/>
        </w:rPr>
        <w:t>État partie à étudier la possibilité de faire la déclaration prévue à l</w:t>
      </w:r>
      <w:r w:rsidR="002354FF">
        <w:rPr>
          <w:b/>
          <w:bCs/>
          <w:lang w:val="fr-FR"/>
        </w:rPr>
        <w:t>’</w:t>
      </w:r>
      <w:r w:rsidR="00F949EA">
        <w:rPr>
          <w:b/>
          <w:bCs/>
          <w:lang w:val="fr-FR"/>
        </w:rPr>
        <w:t>article </w:t>
      </w:r>
      <w:r w:rsidRPr="00016D93">
        <w:rPr>
          <w:b/>
          <w:bCs/>
          <w:lang w:val="fr-FR"/>
        </w:rPr>
        <w:t>22 de la Convention par laquelle il reconnaîtrait la compétence du Comité pour recevoir et examiner des communications émanant de particuliers relevant de sa juridiction.</w:t>
      </w:r>
    </w:p>
    <w:p w14:paraId="00EAA4D9" w14:textId="584621D7" w:rsidR="009D335A" w:rsidRPr="00016D93" w:rsidRDefault="009D335A" w:rsidP="009D335A">
      <w:pPr>
        <w:pStyle w:val="SingleTxtG"/>
        <w:rPr>
          <w:b/>
          <w:bCs/>
          <w:lang w:val="fr-FR"/>
        </w:rPr>
      </w:pPr>
      <w:r w:rsidRPr="00016D93">
        <w:rPr>
          <w:lang w:val="fr-FR"/>
        </w:rPr>
        <w:t>35.</w:t>
      </w:r>
      <w:r w:rsidRPr="00016D93">
        <w:rPr>
          <w:lang w:val="fr-FR"/>
        </w:rPr>
        <w:tab/>
      </w:r>
      <w:r w:rsidRPr="00016D93">
        <w:rPr>
          <w:b/>
          <w:bCs/>
          <w:lang w:val="fr-FR"/>
        </w:rPr>
        <w:t>Le Comité invite l</w:t>
      </w:r>
      <w:r w:rsidR="002354FF">
        <w:rPr>
          <w:b/>
          <w:bCs/>
          <w:lang w:val="fr-FR"/>
        </w:rPr>
        <w:t>’</w:t>
      </w:r>
      <w:r w:rsidRPr="00016D93">
        <w:rPr>
          <w:b/>
          <w:bCs/>
          <w:lang w:val="fr-FR"/>
        </w:rPr>
        <w:t>État partie à accorder l</w:t>
      </w:r>
      <w:r w:rsidR="002354FF">
        <w:rPr>
          <w:b/>
          <w:bCs/>
          <w:lang w:val="fr-FR"/>
        </w:rPr>
        <w:t>’</w:t>
      </w:r>
      <w:r w:rsidRPr="00016D93">
        <w:rPr>
          <w:b/>
          <w:bCs/>
          <w:lang w:val="fr-FR"/>
        </w:rPr>
        <w:t>accès à son territoire au HCDH, à d</w:t>
      </w:r>
      <w:r w:rsidR="002354FF">
        <w:rPr>
          <w:b/>
          <w:bCs/>
          <w:lang w:val="fr-FR"/>
        </w:rPr>
        <w:t>’</w:t>
      </w:r>
      <w:r w:rsidRPr="00016D93">
        <w:rPr>
          <w:b/>
          <w:bCs/>
          <w:lang w:val="fr-FR"/>
        </w:rPr>
        <w:t xml:space="preserve">autres organisations internationales et aux </w:t>
      </w:r>
      <w:r>
        <w:rPr>
          <w:b/>
          <w:bCs/>
          <w:lang w:val="fr-FR"/>
        </w:rPr>
        <w:t xml:space="preserve">titulaires de mandat au titre des </w:t>
      </w:r>
      <w:r w:rsidRPr="00016D93">
        <w:rPr>
          <w:b/>
          <w:bCs/>
          <w:lang w:val="fr-FR"/>
        </w:rPr>
        <w:t>procédures spéciales du Conseil des droits de l</w:t>
      </w:r>
      <w:r w:rsidR="002354FF">
        <w:rPr>
          <w:b/>
          <w:bCs/>
          <w:lang w:val="fr-FR"/>
        </w:rPr>
        <w:t>’</w:t>
      </w:r>
      <w:r w:rsidRPr="00016D93">
        <w:rPr>
          <w:b/>
          <w:bCs/>
          <w:lang w:val="fr-FR"/>
        </w:rPr>
        <w:t>homme, en particulier à la Rapporteuse spéciale sur la torture et autres peines ou traitements cruels, inhumains ou dégradants, qui ont demandé à effectuer une visite officielle.</w:t>
      </w:r>
    </w:p>
    <w:p w14:paraId="44C2D586" w14:textId="2DF84633" w:rsidR="009D335A" w:rsidRPr="00016D93" w:rsidRDefault="009D335A" w:rsidP="009D335A">
      <w:pPr>
        <w:pStyle w:val="SingleTxtG"/>
        <w:rPr>
          <w:b/>
          <w:bCs/>
          <w:lang w:val="fr-FR"/>
        </w:rPr>
      </w:pPr>
      <w:r w:rsidRPr="00016D93">
        <w:rPr>
          <w:lang w:val="fr-FR"/>
        </w:rPr>
        <w:t>36.</w:t>
      </w:r>
      <w:r w:rsidRPr="00016D93">
        <w:rPr>
          <w:lang w:val="fr-FR"/>
        </w:rPr>
        <w:tab/>
      </w:r>
      <w:r w:rsidRPr="00016D93">
        <w:rPr>
          <w:b/>
          <w:bCs/>
          <w:lang w:val="fr-FR"/>
        </w:rPr>
        <w:t>L</w:t>
      </w:r>
      <w:r w:rsidR="002354FF">
        <w:rPr>
          <w:b/>
          <w:bCs/>
          <w:lang w:val="fr-FR"/>
        </w:rPr>
        <w:t>’</w:t>
      </w:r>
      <w:r w:rsidRPr="00016D93">
        <w:rPr>
          <w:b/>
          <w:bCs/>
          <w:lang w:val="fr-FR"/>
        </w:rPr>
        <w:t>État partie est invité à diffuser largement le rapport soumis au Comité ainsi que les présentes observations finales, dans les langues voulues, au moyen des sites Web officiels et par l</w:t>
      </w:r>
      <w:r w:rsidR="002354FF">
        <w:rPr>
          <w:b/>
          <w:bCs/>
          <w:lang w:val="fr-FR"/>
        </w:rPr>
        <w:t>’</w:t>
      </w:r>
      <w:r w:rsidRPr="00016D93">
        <w:rPr>
          <w:b/>
          <w:bCs/>
          <w:lang w:val="fr-FR"/>
        </w:rPr>
        <w:t>intermédiaire des médias et des organisations non gouvernementales, et à informer le Comité de ses activités de diffusion.</w:t>
      </w:r>
      <w:bookmarkStart w:id="0" w:name="_Hlk90374576"/>
      <w:bookmarkEnd w:id="0"/>
    </w:p>
    <w:p w14:paraId="01865478" w14:textId="072044C5" w:rsidR="009D335A" w:rsidRDefault="009D335A" w:rsidP="009D335A">
      <w:pPr>
        <w:pStyle w:val="SingleTxtG"/>
        <w:rPr>
          <w:b/>
          <w:bCs/>
          <w:lang w:val="fr-FR"/>
        </w:rPr>
      </w:pPr>
      <w:r w:rsidRPr="00016D93">
        <w:rPr>
          <w:lang w:val="fr-FR"/>
        </w:rPr>
        <w:t>37.</w:t>
      </w:r>
      <w:r w:rsidRPr="00016D93">
        <w:rPr>
          <w:lang w:val="fr-FR"/>
        </w:rPr>
        <w:tab/>
      </w:r>
      <w:r w:rsidRPr="00016D93">
        <w:rPr>
          <w:b/>
          <w:bCs/>
          <w:lang w:val="fr-FR"/>
        </w:rPr>
        <w:t xml:space="preserve">Le Comité </w:t>
      </w:r>
      <w:r>
        <w:rPr>
          <w:b/>
          <w:bCs/>
          <w:lang w:val="fr-FR"/>
        </w:rPr>
        <w:t>prie</w:t>
      </w:r>
      <w:r w:rsidRPr="00016D93">
        <w:rPr>
          <w:b/>
          <w:bCs/>
          <w:lang w:val="fr-FR"/>
        </w:rPr>
        <w:t xml:space="preserve"> l</w:t>
      </w:r>
      <w:r w:rsidR="002354FF">
        <w:rPr>
          <w:b/>
          <w:bCs/>
          <w:lang w:val="fr-FR"/>
        </w:rPr>
        <w:t>’</w:t>
      </w:r>
      <w:r w:rsidRPr="00016D93">
        <w:rPr>
          <w:b/>
          <w:bCs/>
          <w:lang w:val="fr-FR"/>
        </w:rPr>
        <w:t>État partie de soumettre son prochain rapport périodique, qui sera le troisième, le 29</w:t>
      </w:r>
      <w:r w:rsidR="00F14C11">
        <w:rPr>
          <w:b/>
          <w:bCs/>
          <w:lang w:val="fr-FR"/>
        </w:rPr>
        <w:t> </w:t>
      </w:r>
      <w:r w:rsidRPr="00016D93">
        <w:rPr>
          <w:b/>
          <w:bCs/>
          <w:lang w:val="fr-FR"/>
        </w:rPr>
        <w:t>juillet 2026 au plus tard.</w:t>
      </w:r>
      <w:r w:rsidRPr="00016D93">
        <w:rPr>
          <w:lang w:val="fr-FR"/>
        </w:rPr>
        <w:t xml:space="preserve"> </w:t>
      </w:r>
      <w:r w:rsidRPr="00016D93">
        <w:rPr>
          <w:b/>
          <w:bCs/>
          <w:lang w:val="fr-FR"/>
        </w:rPr>
        <w:t>À cette fin, il invite l</w:t>
      </w:r>
      <w:r w:rsidR="002354FF">
        <w:rPr>
          <w:b/>
          <w:bCs/>
          <w:lang w:val="fr-FR"/>
        </w:rPr>
        <w:t>’</w:t>
      </w:r>
      <w:r w:rsidRPr="00016D93">
        <w:rPr>
          <w:b/>
          <w:bCs/>
          <w:lang w:val="fr-FR"/>
        </w:rPr>
        <w:t>État partie à accepter d</w:t>
      </w:r>
      <w:r w:rsidR="002354FF">
        <w:rPr>
          <w:b/>
          <w:bCs/>
          <w:lang w:val="fr-FR"/>
        </w:rPr>
        <w:t>’</w:t>
      </w:r>
      <w:r w:rsidRPr="00016D93">
        <w:rPr>
          <w:b/>
          <w:bCs/>
          <w:lang w:val="fr-FR"/>
        </w:rPr>
        <w:t>ici au 29</w:t>
      </w:r>
      <w:r w:rsidR="00F14C11">
        <w:rPr>
          <w:b/>
          <w:bCs/>
          <w:lang w:val="fr-FR"/>
        </w:rPr>
        <w:t> </w:t>
      </w:r>
      <w:r w:rsidRPr="00016D93">
        <w:rPr>
          <w:b/>
          <w:bCs/>
          <w:lang w:val="fr-FR"/>
        </w:rPr>
        <w:t>juillet 2024 la procédure simplifiée d</w:t>
      </w:r>
      <w:r w:rsidR="002354FF">
        <w:rPr>
          <w:b/>
          <w:bCs/>
          <w:lang w:val="fr-FR"/>
        </w:rPr>
        <w:t>’</w:t>
      </w:r>
      <w:r w:rsidRPr="00016D93">
        <w:rPr>
          <w:b/>
          <w:bCs/>
          <w:lang w:val="fr-FR"/>
        </w:rPr>
        <w:t>établissement des rapports, dans le cadre de laquelle le Comité communique à l</w:t>
      </w:r>
      <w:r w:rsidR="002354FF">
        <w:rPr>
          <w:b/>
          <w:bCs/>
          <w:lang w:val="fr-FR"/>
        </w:rPr>
        <w:t>’</w:t>
      </w:r>
      <w:r w:rsidRPr="00016D93">
        <w:rPr>
          <w:b/>
          <w:bCs/>
          <w:lang w:val="fr-FR"/>
        </w:rPr>
        <w:t>État partie une liste de points avant que celui-ci ne soumette le rapport attendu.</w:t>
      </w:r>
      <w:r w:rsidRPr="00016D93">
        <w:rPr>
          <w:lang w:val="fr-FR"/>
        </w:rPr>
        <w:t xml:space="preserve"> </w:t>
      </w:r>
      <w:r w:rsidRPr="00016D93">
        <w:rPr>
          <w:b/>
          <w:bCs/>
          <w:lang w:val="fr-FR"/>
        </w:rPr>
        <w:t>Les réponses de l</w:t>
      </w:r>
      <w:r w:rsidR="002354FF">
        <w:rPr>
          <w:b/>
          <w:bCs/>
          <w:lang w:val="fr-FR"/>
        </w:rPr>
        <w:t>’</w:t>
      </w:r>
      <w:r w:rsidRPr="00016D93">
        <w:rPr>
          <w:b/>
          <w:bCs/>
          <w:lang w:val="fr-FR"/>
        </w:rPr>
        <w:t>État partie à cette liste constitueront le troisième rapport périodique qu</w:t>
      </w:r>
      <w:r w:rsidR="002354FF">
        <w:rPr>
          <w:b/>
          <w:bCs/>
          <w:lang w:val="fr-FR"/>
        </w:rPr>
        <w:t>’</w:t>
      </w:r>
      <w:r w:rsidRPr="00016D93">
        <w:rPr>
          <w:b/>
          <w:bCs/>
          <w:lang w:val="fr-FR"/>
        </w:rPr>
        <w:t>il soumettra en application de l</w:t>
      </w:r>
      <w:r w:rsidR="002354FF">
        <w:rPr>
          <w:b/>
          <w:bCs/>
          <w:lang w:val="fr-FR"/>
        </w:rPr>
        <w:t>’</w:t>
      </w:r>
      <w:r w:rsidR="00F949EA">
        <w:rPr>
          <w:b/>
          <w:bCs/>
          <w:lang w:val="fr-FR"/>
        </w:rPr>
        <w:t>article </w:t>
      </w:r>
      <w:r w:rsidRPr="00016D93">
        <w:rPr>
          <w:b/>
          <w:bCs/>
          <w:lang w:val="fr-FR"/>
        </w:rPr>
        <w:t>19 de la Convention.</w:t>
      </w:r>
    </w:p>
    <w:p w14:paraId="7BFADEBA" w14:textId="3A20D37C" w:rsidR="00F14C11" w:rsidRPr="00F14C11" w:rsidRDefault="00F14C11" w:rsidP="00F14C11">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F14C11" w:rsidRPr="00F14C11" w:rsidSect="009D335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ED833" w14:textId="77777777" w:rsidR="00116E5A" w:rsidRPr="009C4D45" w:rsidRDefault="00116E5A" w:rsidP="009C4D45">
      <w:pPr>
        <w:pStyle w:val="Pieddepage"/>
      </w:pPr>
    </w:p>
  </w:endnote>
  <w:endnote w:type="continuationSeparator" w:id="0">
    <w:p w14:paraId="00D89491" w14:textId="77777777" w:rsidR="00116E5A" w:rsidRPr="009C4D45" w:rsidRDefault="00116E5A" w:rsidP="009C4D45">
      <w:pPr>
        <w:pStyle w:val="Pieddepage"/>
      </w:pPr>
    </w:p>
  </w:endnote>
  <w:endnote w:type="continuationNotice" w:id="1">
    <w:p w14:paraId="0F91C453" w14:textId="77777777" w:rsidR="00116E5A" w:rsidRDefault="00116E5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Condensed">
    <w:panose1 w:val="00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C1A87" w14:textId="58C893B9" w:rsidR="009D335A" w:rsidRPr="009D335A" w:rsidRDefault="009D335A" w:rsidP="009D335A">
    <w:pPr>
      <w:pStyle w:val="Pieddepage"/>
      <w:tabs>
        <w:tab w:val="right" w:pos="9638"/>
      </w:tabs>
    </w:pPr>
    <w:r w:rsidRPr="009D335A">
      <w:rPr>
        <w:b/>
        <w:sz w:val="18"/>
      </w:rPr>
      <w:fldChar w:fldCharType="begin"/>
    </w:r>
    <w:r w:rsidRPr="009D335A">
      <w:rPr>
        <w:b/>
        <w:sz w:val="18"/>
      </w:rPr>
      <w:instrText xml:space="preserve"> PAGE  \* MERGEFORMAT </w:instrText>
    </w:r>
    <w:r w:rsidRPr="009D335A">
      <w:rPr>
        <w:b/>
        <w:sz w:val="18"/>
      </w:rPr>
      <w:fldChar w:fldCharType="separate"/>
    </w:r>
    <w:r w:rsidRPr="009D335A">
      <w:rPr>
        <w:b/>
        <w:noProof/>
        <w:sz w:val="18"/>
      </w:rPr>
      <w:t>2</w:t>
    </w:r>
    <w:r w:rsidRPr="009D335A">
      <w:rPr>
        <w:b/>
        <w:sz w:val="18"/>
      </w:rPr>
      <w:fldChar w:fldCharType="end"/>
    </w:r>
    <w:r>
      <w:rPr>
        <w:b/>
        <w:sz w:val="18"/>
      </w:rPr>
      <w:tab/>
    </w:r>
    <w:r>
      <w:t>GE.22-13656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065C8" w14:textId="145D5A92" w:rsidR="009D335A" w:rsidRPr="009D335A" w:rsidRDefault="009D335A" w:rsidP="009D335A">
    <w:pPr>
      <w:pStyle w:val="Pieddepage"/>
      <w:tabs>
        <w:tab w:val="right" w:pos="9638"/>
      </w:tabs>
      <w:rPr>
        <w:b/>
        <w:sz w:val="18"/>
      </w:rPr>
    </w:pPr>
    <w:r>
      <w:t>GE.22-13656</w:t>
    </w:r>
    <w:r>
      <w:tab/>
    </w:r>
    <w:r w:rsidRPr="009D335A">
      <w:rPr>
        <w:b/>
        <w:sz w:val="18"/>
      </w:rPr>
      <w:fldChar w:fldCharType="begin"/>
    </w:r>
    <w:r w:rsidRPr="009D335A">
      <w:rPr>
        <w:b/>
        <w:sz w:val="18"/>
      </w:rPr>
      <w:instrText xml:space="preserve"> PAGE  \* MERGEFORMAT </w:instrText>
    </w:r>
    <w:r w:rsidRPr="009D335A">
      <w:rPr>
        <w:b/>
        <w:sz w:val="18"/>
      </w:rPr>
      <w:fldChar w:fldCharType="separate"/>
    </w:r>
    <w:r w:rsidRPr="009D335A">
      <w:rPr>
        <w:b/>
        <w:noProof/>
        <w:sz w:val="18"/>
      </w:rPr>
      <w:t>3</w:t>
    </w:r>
    <w:r w:rsidRPr="009D335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82D8" w14:textId="1254E312" w:rsidR="00621144" w:rsidRPr="009D335A" w:rsidRDefault="009D335A" w:rsidP="009D335A">
    <w:pPr>
      <w:pStyle w:val="Pieddepage"/>
      <w:spacing w:before="120"/>
      <w:rPr>
        <w:sz w:val="20"/>
      </w:rPr>
    </w:pPr>
    <w:r>
      <w:rPr>
        <w:sz w:val="20"/>
      </w:rPr>
      <w:t>GE.</w:t>
    </w:r>
    <w:r w:rsidR="00621144">
      <w:rPr>
        <w:noProof/>
        <w:lang w:eastAsia="fr-CH"/>
      </w:rPr>
      <w:drawing>
        <wp:anchor distT="0" distB="0" distL="114300" distR="114300" simplePos="0" relativeHeight="251659264" behindDoc="0" locked="0" layoutInCell="1" allowOverlap="0" wp14:anchorId="756A9EC8" wp14:editId="62137A94">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22-13656</w:t>
    </w:r>
    <w:r w:rsidR="00B73952">
      <w:rPr>
        <w:sz w:val="20"/>
      </w:rPr>
      <w:t xml:space="preserve">  </w:t>
    </w:r>
    <w:r>
      <w:rPr>
        <w:sz w:val="20"/>
      </w:rPr>
      <w:t>(F)</w:t>
    </w:r>
    <w:r>
      <w:rPr>
        <w:noProof/>
        <w:sz w:val="20"/>
      </w:rPr>
      <w:drawing>
        <wp:anchor distT="0" distB="0" distL="114300" distR="114300" simplePos="0" relativeHeight="251660288" behindDoc="0" locked="0" layoutInCell="1" allowOverlap="1" wp14:anchorId="23EA2502" wp14:editId="080A293C">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73952">
      <w:rPr>
        <w:sz w:val="20"/>
      </w:rPr>
      <w:t xml:space="preserve">    </w:t>
    </w:r>
    <w:r>
      <w:rPr>
        <w:sz w:val="20"/>
      </w:rPr>
      <w:t>120123</w:t>
    </w:r>
    <w:r w:rsidR="00B73952">
      <w:rPr>
        <w:sz w:val="20"/>
      </w:rPr>
      <w:t xml:space="preserve">    </w:t>
    </w:r>
    <w:r>
      <w:rPr>
        <w:sz w:val="20"/>
      </w:rPr>
      <w:t>120123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ACC4E" w14:textId="77777777" w:rsidR="00116E5A" w:rsidRPr="009C4D45" w:rsidRDefault="00116E5A" w:rsidP="009C4D45">
      <w:pPr>
        <w:pStyle w:val="Pieddepage"/>
        <w:tabs>
          <w:tab w:val="right" w:pos="2155"/>
        </w:tabs>
        <w:spacing w:after="80" w:line="240" w:lineRule="atLeast"/>
        <w:ind w:left="680"/>
        <w:rPr>
          <w:u w:val="single"/>
        </w:rPr>
      </w:pPr>
      <w:r>
        <w:rPr>
          <w:u w:val="single"/>
        </w:rPr>
        <w:tab/>
      </w:r>
    </w:p>
  </w:footnote>
  <w:footnote w:type="continuationSeparator" w:id="0">
    <w:p w14:paraId="6719C742" w14:textId="77777777" w:rsidR="00116E5A" w:rsidRPr="00035AE4" w:rsidRDefault="00116E5A" w:rsidP="00035AE4">
      <w:pPr>
        <w:pStyle w:val="Pieddepage"/>
        <w:tabs>
          <w:tab w:val="right" w:pos="2155"/>
        </w:tabs>
        <w:spacing w:after="80" w:line="240" w:lineRule="atLeast"/>
        <w:ind w:left="680"/>
        <w:rPr>
          <w:u w:val="single"/>
        </w:rPr>
      </w:pPr>
      <w:r>
        <w:rPr>
          <w:u w:val="single"/>
        </w:rPr>
        <w:tab/>
      </w:r>
    </w:p>
  </w:footnote>
  <w:footnote w:type="continuationNotice" w:id="1">
    <w:p w14:paraId="471DC62A" w14:textId="77777777" w:rsidR="00116E5A" w:rsidRPr="00035AE4" w:rsidRDefault="00116E5A">
      <w:pPr>
        <w:spacing w:line="240" w:lineRule="auto"/>
        <w:rPr>
          <w:sz w:val="2"/>
          <w:szCs w:val="2"/>
        </w:rPr>
      </w:pPr>
    </w:p>
  </w:footnote>
  <w:footnote w:id="2">
    <w:p w14:paraId="0E18464D" w14:textId="2A5E3CEC" w:rsidR="009D335A" w:rsidRPr="00B26227" w:rsidRDefault="009D335A" w:rsidP="009D335A">
      <w:pPr>
        <w:pStyle w:val="Notedebasdepage"/>
        <w:rPr>
          <w:lang w:val="fr-FR"/>
        </w:rPr>
      </w:pPr>
      <w:r>
        <w:rPr>
          <w:lang w:val="fr-FR"/>
        </w:rPr>
        <w:tab/>
        <w:t>*</w:t>
      </w:r>
      <w:r>
        <w:rPr>
          <w:lang w:val="fr-FR"/>
        </w:rPr>
        <w:tab/>
        <w:t>Conformément à l</w:t>
      </w:r>
      <w:r w:rsidR="002354FF">
        <w:rPr>
          <w:lang w:val="fr-FR"/>
        </w:rPr>
        <w:t>’</w:t>
      </w:r>
      <w:r w:rsidR="00F949EA">
        <w:rPr>
          <w:lang w:val="fr-FR"/>
        </w:rPr>
        <w:t>article </w:t>
      </w:r>
      <w:r>
        <w:rPr>
          <w:lang w:val="fr-FR"/>
        </w:rPr>
        <w:t>68 (</w:t>
      </w:r>
      <w:r w:rsidR="00F949EA">
        <w:rPr>
          <w:lang w:val="fr-FR"/>
        </w:rPr>
        <w:t>par. </w:t>
      </w:r>
      <w:r>
        <w:rPr>
          <w:lang w:val="fr-FR"/>
        </w:rPr>
        <w:t>2</w:t>
      </w:r>
      <w:r w:rsidR="002354FF">
        <w:rPr>
          <w:lang w:val="fr-FR"/>
        </w:rPr>
        <w:t> </w:t>
      </w:r>
      <w:r>
        <w:rPr>
          <w:lang w:val="fr-FR"/>
        </w:rPr>
        <w:t>b)), du Règlement intérieur du Comité (</w:t>
      </w:r>
      <w:hyperlink r:id="rId1" w:history="1">
        <w:r w:rsidR="00781F32">
          <w:rPr>
            <w:rStyle w:val="Lienhypertexte"/>
            <w:lang w:val="fr-FR"/>
          </w:rPr>
          <w:t>CAT/C/3/Rev.6</w:t>
        </w:r>
      </w:hyperlink>
      <w:r>
        <w:rPr>
          <w:lang w:val="fr-FR"/>
        </w:rPr>
        <w:t>), l</w:t>
      </w:r>
      <w:r w:rsidR="002354FF">
        <w:rPr>
          <w:lang w:val="fr-FR"/>
        </w:rPr>
        <w:t>’</w:t>
      </w:r>
      <w:r>
        <w:rPr>
          <w:lang w:val="fr-FR"/>
        </w:rPr>
        <w:t>État partie peut commenter par écrit les présentes observations avant que le Comité ne les adopte définitivement à sa prochaine suivante.</w:t>
      </w:r>
    </w:p>
  </w:footnote>
  <w:footnote w:id="3">
    <w:p w14:paraId="544DB35A" w14:textId="5ED1239D" w:rsidR="009D335A" w:rsidRPr="00B26227" w:rsidRDefault="009D335A" w:rsidP="009D335A">
      <w:pPr>
        <w:pStyle w:val="Notedebasdepage"/>
        <w:rPr>
          <w:szCs w:val="18"/>
          <w:lang w:val="en-US"/>
        </w:rPr>
      </w:pPr>
      <w:r w:rsidRPr="000A47F7">
        <w:rPr>
          <w:szCs w:val="18"/>
          <w:lang w:val="fr-FR"/>
        </w:rPr>
        <w:tab/>
      </w:r>
      <w:r w:rsidRPr="002354FF">
        <w:rPr>
          <w:rStyle w:val="Appelnotedebasdep"/>
        </w:rPr>
        <w:footnoteRef/>
      </w:r>
      <w:r w:rsidRPr="00B26227">
        <w:rPr>
          <w:lang w:val="en-US"/>
        </w:rPr>
        <w:tab/>
      </w:r>
      <w:hyperlink r:id="rId2" w:history="1">
        <w:r w:rsidR="00781F32">
          <w:rPr>
            <w:rStyle w:val="Lienhypertexte"/>
            <w:lang w:val="en-US"/>
          </w:rPr>
          <w:t>CAT/C/NIC/2</w:t>
        </w:r>
      </w:hyperlink>
      <w:r w:rsidRPr="00B26227">
        <w:rPr>
          <w:lang w:val="en-US"/>
        </w:rPr>
        <w:t>.</w:t>
      </w:r>
    </w:p>
  </w:footnote>
  <w:footnote w:id="4">
    <w:p w14:paraId="43E66ECE" w14:textId="604425FE" w:rsidR="009D335A" w:rsidRPr="00B26227" w:rsidRDefault="009D335A" w:rsidP="009D335A">
      <w:pPr>
        <w:pStyle w:val="Notedebasdepage"/>
        <w:rPr>
          <w:szCs w:val="18"/>
          <w:lang w:val="en-US"/>
        </w:rPr>
      </w:pPr>
      <w:r w:rsidRPr="00B26227">
        <w:rPr>
          <w:szCs w:val="18"/>
          <w:lang w:val="en-US"/>
        </w:rPr>
        <w:tab/>
      </w:r>
      <w:r w:rsidRPr="002354FF">
        <w:rPr>
          <w:rStyle w:val="Appelnotedebasdep"/>
        </w:rPr>
        <w:footnoteRef/>
      </w:r>
      <w:r w:rsidRPr="00B26227">
        <w:rPr>
          <w:lang w:val="en-US"/>
        </w:rPr>
        <w:tab/>
      </w:r>
      <w:hyperlink r:id="rId3" w:history="1">
        <w:r w:rsidR="00781F32" w:rsidRPr="00C94999">
          <w:rPr>
            <w:rStyle w:val="Lienhypertexte"/>
            <w:lang w:val="en-US"/>
          </w:rPr>
          <w:t>CAT/C/SR.1916</w:t>
        </w:r>
      </w:hyperlink>
      <w:r w:rsidRPr="00B26227">
        <w:rPr>
          <w:lang w:val="en-US"/>
        </w:rPr>
        <w:t>.</w:t>
      </w:r>
    </w:p>
  </w:footnote>
  <w:footnote w:id="5">
    <w:p w14:paraId="7A35B497" w14:textId="4EA047DB" w:rsidR="009D335A" w:rsidRPr="00C076DB" w:rsidRDefault="009D335A" w:rsidP="009D335A">
      <w:pPr>
        <w:pStyle w:val="Notedebasdepage"/>
        <w:rPr>
          <w:szCs w:val="18"/>
        </w:rPr>
      </w:pPr>
      <w:r w:rsidRPr="00B26227">
        <w:rPr>
          <w:szCs w:val="18"/>
          <w:lang w:val="en-US"/>
        </w:rPr>
        <w:tab/>
      </w:r>
      <w:r w:rsidRPr="002354FF">
        <w:rPr>
          <w:rStyle w:val="Appelnotedebasdep"/>
        </w:rPr>
        <w:footnoteRef/>
      </w:r>
      <w:r w:rsidRPr="00C076DB">
        <w:tab/>
      </w:r>
      <w:hyperlink r:id="rId4" w:history="1">
        <w:r w:rsidR="00781F32">
          <w:rPr>
            <w:rStyle w:val="Lienhypertexte"/>
          </w:rPr>
          <w:t>CAT/C/NIC/Q/2</w:t>
        </w:r>
      </w:hyperlink>
      <w:r w:rsidRPr="00C076DB">
        <w:t>.</w:t>
      </w:r>
    </w:p>
  </w:footnote>
  <w:footnote w:id="6">
    <w:p w14:paraId="795E0A4D" w14:textId="0039D0DC" w:rsidR="009D335A" w:rsidRPr="00B26227" w:rsidRDefault="009D335A" w:rsidP="009D335A">
      <w:pPr>
        <w:pStyle w:val="Notedebasdepage"/>
        <w:rPr>
          <w:szCs w:val="18"/>
          <w:lang w:val="fr-FR"/>
        </w:rPr>
      </w:pPr>
      <w:r w:rsidRPr="00C076DB">
        <w:rPr>
          <w:szCs w:val="18"/>
        </w:rPr>
        <w:tab/>
      </w:r>
      <w:r w:rsidRPr="002354FF">
        <w:rPr>
          <w:rStyle w:val="Appelnotedebasdep"/>
        </w:rPr>
        <w:footnoteRef/>
      </w:r>
      <w:r>
        <w:rPr>
          <w:lang w:val="fr-FR"/>
        </w:rPr>
        <w:tab/>
      </w:r>
      <w:r>
        <w:rPr>
          <w:lang w:val="fr-FR"/>
        </w:rPr>
        <w:tab/>
      </w:r>
      <w:hyperlink r:id="rId5" w:history="1">
        <w:r w:rsidR="00781F32">
          <w:rPr>
            <w:rStyle w:val="Lienhypertexte"/>
            <w:lang w:val="fr-FR"/>
          </w:rPr>
          <w:t>CAT/C/NIC/2</w:t>
        </w:r>
      </w:hyperlink>
      <w:r>
        <w:rPr>
          <w:lang w:val="fr-FR"/>
        </w:rPr>
        <w:t xml:space="preserve">, </w:t>
      </w:r>
      <w:r w:rsidR="00F949EA">
        <w:rPr>
          <w:lang w:val="fr-FR"/>
        </w:rPr>
        <w:t>par. </w:t>
      </w:r>
      <w:r>
        <w:rPr>
          <w:lang w:val="fr-FR"/>
        </w:rPr>
        <w:t>182, 183, 192 et 197.</w:t>
      </w:r>
    </w:p>
  </w:footnote>
  <w:footnote w:id="7">
    <w:p w14:paraId="27BE1925" w14:textId="0A8D3C1E" w:rsidR="009D335A" w:rsidRPr="00B26227" w:rsidRDefault="009D335A" w:rsidP="009D335A">
      <w:pPr>
        <w:pStyle w:val="Notedebasdepage"/>
        <w:rPr>
          <w:szCs w:val="18"/>
          <w:lang w:val="en-US"/>
        </w:rPr>
      </w:pPr>
      <w:r w:rsidRPr="00972C11">
        <w:rPr>
          <w:szCs w:val="18"/>
          <w:lang w:val="fr-FR"/>
        </w:rPr>
        <w:tab/>
      </w:r>
      <w:r w:rsidRPr="002354FF">
        <w:rPr>
          <w:rStyle w:val="Appelnotedebasdep"/>
        </w:rPr>
        <w:footnoteRef/>
      </w:r>
      <w:r w:rsidRPr="00B26227">
        <w:rPr>
          <w:lang w:val="en-US"/>
        </w:rPr>
        <w:tab/>
      </w:r>
      <w:hyperlink r:id="rId6" w:history="1">
        <w:r w:rsidR="00781F32">
          <w:rPr>
            <w:rStyle w:val="Lienhypertexte"/>
            <w:lang w:val="en-US"/>
          </w:rPr>
          <w:t>CAT/C/NIC/CO/1</w:t>
        </w:r>
      </w:hyperlink>
      <w:r w:rsidRPr="00B26227">
        <w:rPr>
          <w:lang w:val="en-US"/>
        </w:rPr>
        <w:t xml:space="preserve">, </w:t>
      </w:r>
      <w:r w:rsidR="00F949EA">
        <w:rPr>
          <w:lang w:val="en-US"/>
        </w:rPr>
        <w:t>par. </w:t>
      </w:r>
      <w:r w:rsidRPr="00B26227">
        <w:rPr>
          <w:lang w:val="en-US"/>
        </w:rPr>
        <w:t>30.</w:t>
      </w:r>
    </w:p>
  </w:footnote>
  <w:footnote w:id="8">
    <w:p w14:paraId="42D76CF1" w14:textId="289D174A" w:rsidR="009D335A" w:rsidRPr="00E54489" w:rsidRDefault="009D335A" w:rsidP="009D335A">
      <w:pPr>
        <w:pStyle w:val="Notedebasdepage"/>
        <w:rPr>
          <w:szCs w:val="18"/>
          <w:lang w:val="fr-FR"/>
        </w:rPr>
      </w:pPr>
      <w:r w:rsidRPr="00B26227">
        <w:rPr>
          <w:szCs w:val="18"/>
          <w:lang w:val="en-US"/>
        </w:rPr>
        <w:tab/>
      </w:r>
      <w:r w:rsidRPr="002354FF">
        <w:rPr>
          <w:rStyle w:val="Appelnotedebasdep"/>
        </w:rPr>
        <w:footnoteRef/>
      </w:r>
      <w:r w:rsidRPr="00E54489">
        <w:rPr>
          <w:lang w:val="fr-FR"/>
        </w:rPr>
        <w:tab/>
        <w:t xml:space="preserve">Ibid., </w:t>
      </w:r>
      <w:r w:rsidR="00F949EA">
        <w:rPr>
          <w:lang w:val="fr-FR"/>
        </w:rPr>
        <w:t>par. </w:t>
      </w:r>
      <w:r w:rsidRPr="00E54489">
        <w:rPr>
          <w:lang w:val="fr-FR"/>
        </w:rPr>
        <w:t>10.</w:t>
      </w:r>
    </w:p>
  </w:footnote>
  <w:footnote w:id="9">
    <w:p w14:paraId="5D7B44D9" w14:textId="033AB302" w:rsidR="009D335A" w:rsidRPr="00E54489" w:rsidRDefault="009D335A" w:rsidP="009D335A">
      <w:pPr>
        <w:pStyle w:val="Notedebasdepage"/>
        <w:rPr>
          <w:szCs w:val="18"/>
          <w:lang w:val="fr-FR"/>
        </w:rPr>
      </w:pPr>
      <w:r w:rsidRPr="00E54489">
        <w:rPr>
          <w:szCs w:val="18"/>
          <w:lang w:val="fr-FR"/>
        </w:rPr>
        <w:tab/>
      </w:r>
      <w:r w:rsidRPr="002354FF">
        <w:rPr>
          <w:rStyle w:val="Appelnotedebasdep"/>
        </w:rPr>
        <w:footnoteRef/>
      </w:r>
      <w:r w:rsidRPr="00E54489">
        <w:rPr>
          <w:lang w:val="fr-FR"/>
        </w:rPr>
        <w:tab/>
        <w:t xml:space="preserve">Ibid., </w:t>
      </w:r>
      <w:r w:rsidR="00F949EA">
        <w:rPr>
          <w:lang w:val="fr-FR"/>
        </w:rPr>
        <w:t>par. </w:t>
      </w:r>
      <w:r w:rsidRPr="00E54489">
        <w:rPr>
          <w:lang w:val="fr-FR"/>
        </w:rPr>
        <w:t>11.</w:t>
      </w:r>
    </w:p>
  </w:footnote>
  <w:footnote w:id="10">
    <w:p w14:paraId="5D0D16DE" w14:textId="49E59DBC" w:rsidR="009D335A" w:rsidRPr="00E54489" w:rsidRDefault="009D335A" w:rsidP="009D335A">
      <w:pPr>
        <w:pStyle w:val="Notedebasdepage"/>
        <w:rPr>
          <w:szCs w:val="18"/>
          <w:lang w:val="fr-FR"/>
        </w:rPr>
      </w:pPr>
      <w:r w:rsidRPr="00E54489">
        <w:rPr>
          <w:szCs w:val="18"/>
          <w:lang w:val="fr-FR"/>
        </w:rPr>
        <w:tab/>
      </w:r>
      <w:r w:rsidRPr="002354FF">
        <w:rPr>
          <w:rStyle w:val="Appelnotedebasdep"/>
        </w:rPr>
        <w:footnoteRef/>
      </w:r>
      <w:r w:rsidRPr="00E54489">
        <w:rPr>
          <w:lang w:val="fr-FR"/>
        </w:rPr>
        <w:tab/>
        <w:t xml:space="preserve">Ibid., </w:t>
      </w:r>
      <w:r w:rsidR="00F949EA">
        <w:rPr>
          <w:lang w:val="fr-FR"/>
        </w:rPr>
        <w:t>par. </w:t>
      </w:r>
      <w:r w:rsidRPr="00E54489">
        <w:rPr>
          <w:lang w:val="fr-FR"/>
        </w:rPr>
        <w:t>14.</w:t>
      </w:r>
    </w:p>
  </w:footnote>
  <w:footnote w:id="11">
    <w:p w14:paraId="5A331AEA" w14:textId="3F812732" w:rsidR="009D335A" w:rsidRPr="00E54489" w:rsidRDefault="009D335A" w:rsidP="009D335A">
      <w:pPr>
        <w:pStyle w:val="Notedebasdepage"/>
        <w:rPr>
          <w:szCs w:val="18"/>
          <w:lang w:val="fr-FR"/>
        </w:rPr>
      </w:pPr>
      <w:r w:rsidRPr="00E54489">
        <w:rPr>
          <w:szCs w:val="18"/>
          <w:lang w:val="fr-FR"/>
        </w:rPr>
        <w:tab/>
      </w:r>
      <w:r w:rsidRPr="002354FF">
        <w:rPr>
          <w:rStyle w:val="Appelnotedebasdep"/>
        </w:rPr>
        <w:footnoteRef/>
      </w:r>
      <w:r w:rsidRPr="00E54489">
        <w:rPr>
          <w:lang w:val="fr-FR"/>
        </w:rPr>
        <w:tab/>
        <w:t xml:space="preserve">Ibid., </w:t>
      </w:r>
      <w:r w:rsidR="00F949EA">
        <w:rPr>
          <w:lang w:val="fr-FR"/>
        </w:rPr>
        <w:t>par. </w:t>
      </w:r>
      <w:r w:rsidRPr="00E54489">
        <w:rPr>
          <w:lang w:val="fr-FR"/>
        </w:rPr>
        <w:t>15.</w:t>
      </w:r>
    </w:p>
  </w:footnote>
  <w:footnote w:id="12">
    <w:p w14:paraId="759C5BCB" w14:textId="433B2B7D" w:rsidR="009D335A" w:rsidRPr="00E54489" w:rsidRDefault="009D335A" w:rsidP="009D335A">
      <w:pPr>
        <w:pStyle w:val="Notedebasdepage"/>
        <w:rPr>
          <w:szCs w:val="18"/>
          <w:lang w:val="fr-FR"/>
        </w:rPr>
      </w:pPr>
      <w:r w:rsidRPr="00E54489">
        <w:rPr>
          <w:szCs w:val="18"/>
          <w:lang w:val="fr-FR"/>
        </w:rPr>
        <w:tab/>
      </w:r>
      <w:r w:rsidRPr="002354FF">
        <w:rPr>
          <w:rStyle w:val="Appelnotedebasdep"/>
        </w:rPr>
        <w:footnoteRef/>
      </w:r>
      <w:r w:rsidRPr="00E54489">
        <w:rPr>
          <w:lang w:val="fr-FR"/>
        </w:rPr>
        <w:tab/>
      </w:r>
      <w:r w:rsidRPr="00E54489">
        <w:rPr>
          <w:lang w:val="fr-FR"/>
        </w:rPr>
        <w:tab/>
        <w:t xml:space="preserve">Ibid., </w:t>
      </w:r>
      <w:r w:rsidR="00F949EA">
        <w:rPr>
          <w:lang w:val="fr-FR"/>
        </w:rPr>
        <w:t>par. </w:t>
      </w:r>
      <w:r w:rsidRPr="00E54489">
        <w:rPr>
          <w:lang w:val="fr-FR"/>
        </w:rPr>
        <w:t>17.</w:t>
      </w:r>
    </w:p>
  </w:footnote>
  <w:footnote w:id="13">
    <w:p w14:paraId="0A7A8451" w14:textId="533E45D5" w:rsidR="009D335A" w:rsidRPr="00781F32" w:rsidRDefault="009D335A" w:rsidP="009D335A">
      <w:pPr>
        <w:pStyle w:val="Notedebasdepage"/>
        <w:rPr>
          <w:szCs w:val="18"/>
          <w:lang w:val="en-US"/>
        </w:rPr>
      </w:pPr>
      <w:r w:rsidRPr="00E321B9">
        <w:rPr>
          <w:szCs w:val="18"/>
          <w:lang w:val="fr-FR"/>
        </w:rPr>
        <w:tab/>
      </w:r>
      <w:r w:rsidRPr="002354FF">
        <w:rPr>
          <w:rStyle w:val="Appelnotedebasdep"/>
        </w:rPr>
        <w:footnoteRef/>
      </w:r>
      <w:r w:rsidRPr="00781F32">
        <w:rPr>
          <w:lang w:val="en-US"/>
        </w:rPr>
        <w:tab/>
      </w:r>
      <w:r w:rsidRPr="00781F32">
        <w:rPr>
          <w:lang w:val="en-US"/>
        </w:rPr>
        <w:tab/>
      </w:r>
      <w:hyperlink r:id="rId7" w:history="1">
        <w:r w:rsidR="00781F32" w:rsidRPr="00781F32">
          <w:rPr>
            <w:rStyle w:val="Lienhypertexte"/>
            <w:lang w:val="en-US"/>
          </w:rPr>
          <w:t>CAT/C/NIC/CO/1</w:t>
        </w:r>
      </w:hyperlink>
      <w:r w:rsidRPr="00781F32">
        <w:rPr>
          <w:lang w:val="en-US"/>
        </w:rPr>
        <w:t xml:space="preserve">, </w:t>
      </w:r>
      <w:r w:rsidR="00F949EA" w:rsidRPr="00781F32">
        <w:rPr>
          <w:lang w:val="en-US"/>
        </w:rPr>
        <w:t>par. </w:t>
      </w:r>
      <w:r w:rsidRPr="00781F32">
        <w:rPr>
          <w:lang w:val="en-US"/>
        </w:rPr>
        <w:t>10.</w:t>
      </w:r>
    </w:p>
  </w:footnote>
  <w:footnote w:id="14">
    <w:p w14:paraId="1932DDC9" w14:textId="687C17A9" w:rsidR="009D335A" w:rsidRPr="00B26227" w:rsidRDefault="009D335A" w:rsidP="009D335A">
      <w:pPr>
        <w:pStyle w:val="Notedebasdepage"/>
        <w:rPr>
          <w:lang w:val="fr-FR"/>
        </w:rPr>
      </w:pPr>
      <w:r w:rsidRPr="00781F32">
        <w:rPr>
          <w:lang w:val="en-US"/>
        </w:rPr>
        <w:tab/>
      </w:r>
      <w:r w:rsidRPr="002354FF">
        <w:rPr>
          <w:rStyle w:val="Appelnotedebasdep"/>
        </w:rPr>
        <w:footnoteRef/>
      </w:r>
      <w:r>
        <w:rPr>
          <w:lang w:val="fr-FR"/>
        </w:rPr>
        <w:tab/>
      </w:r>
      <w:r>
        <w:rPr>
          <w:lang w:val="fr-FR"/>
        </w:rPr>
        <w:tab/>
        <w:t>HCDH, «</w:t>
      </w:r>
      <w:r w:rsidR="00F949EA">
        <w:rPr>
          <w:lang w:val="fr-FR"/>
        </w:rPr>
        <w:t> </w:t>
      </w:r>
      <w:r>
        <w:rPr>
          <w:lang w:val="fr-FR"/>
        </w:rPr>
        <w:t>Violaciones de Derechos Humanos y abusos en el contexto de las protestas en Nicaragua</w:t>
      </w:r>
      <w:r w:rsidR="00F949EA">
        <w:rPr>
          <w:lang w:val="fr-FR"/>
        </w:rPr>
        <w:t> </w:t>
      </w:r>
      <w:r>
        <w:rPr>
          <w:lang w:val="fr-FR"/>
        </w:rPr>
        <w:t>» (violations des droits de l</w:t>
      </w:r>
      <w:r w:rsidR="002354FF">
        <w:rPr>
          <w:lang w:val="fr-FR"/>
        </w:rPr>
        <w:t>’</w:t>
      </w:r>
      <w:r>
        <w:rPr>
          <w:lang w:val="fr-FR"/>
        </w:rPr>
        <w:t xml:space="preserve">homme et atteintes à ces droits commises lors des manifestations au Nicaragua), 18 avril-18 août 2018, </w:t>
      </w:r>
      <w:r w:rsidR="00F949EA">
        <w:rPr>
          <w:lang w:val="fr-FR"/>
        </w:rPr>
        <w:t>par. </w:t>
      </w:r>
      <w:r>
        <w:rPr>
          <w:lang w:val="fr-FR"/>
        </w:rPr>
        <w:t>69 à 78.</w:t>
      </w:r>
    </w:p>
  </w:footnote>
  <w:footnote w:id="15">
    <w:p w14:paraId="4F733100" w14:textId="5FA79559" w:rsidR="009D335A" w:rsidRPr="00C076DB" w:rsidRDefault="009D335A" w:rsidP="009D335A">
      <w:pPr>
        <w:pStyle w:val="Notedebasdepage"/>
        <w:rPr>
          <w:lang w:val="fr-FR"/>
        </w:rPr>
      </w:pPr>
      <w:r w:rsidRPr="00F83FBE">
        <w:rPr>
          <w:szCs w:val="18"/>
          <w:lang w:val="fr-FR"/>
        </w:rPr>
        <w:tab/>
      </w:r>
      <w:r w:rsidRPr="002354FF">
        <w:rPr>
          <w:rStyle w:val="Appelnotedebasdep"/>
        </w:rPr>
        <w:footnoteRef/>
      </w:r>
      <w:r>
        <w:rPr>
          <w:lang w:val="fr-FR"/>
        </w:rPr>
        <w:tab/>
      </w:r>
      <w:r>
        <w:rPr>
          <w:lang w:val="fr-FR"/>
        </w:rPr>
        <w:tab/>
      </w:r>
      <w:hyperlink r:id="rId8" w:history="1">
        <w:r w:rsidR="00781F32">
          <w:rPr>
            <w:rStyle w:val="Lienhypertexte"/>
            <w:lang w:val="fr-FR"/>
          </w:rPr>
          <w:t>A/HRC/49/23</w:t>
        </w:r>
      </w:hyperlink>
      <w:r>
        <w:rPr>
          <w:lang w:val="fr-FR"/>
        </w:rPr>
        <w:t xml:space="preserve">, </w:t>
      </w:r>
      <w:r w:rsidR="00F949EA">
        <w:rPr>
          <w:lang w:val="fr-FR"/>
        </w:rPr>
        <w:t>par. </w:t>
      </w:r>
      <w:r>
        <w:rPr>
          <w:lang w:val="fr-FR"/>
        </w:rPr>
        <w:t xml:space="preserve">30, et </w:t>
      </w:r>
      <w:hyperlink r:id="rId9" w:history="1">
        <w:r w:rsidR="00781F32">
          <w:rPr>
            <w:rStyle w:val="Lienhypertexte"/>
            <w:lang w:val="fr-FR"/>
          </w:rPr>
          <w:t>A/HRC/46/21</w:t>
        </w:r>
      </w:hyperlink>
      <w:r>
        <w:rPr>
          <w:lang w:val="fr-FR"/>
        </w:rPr>
        <w:t xml:space="preserve">, </w:t>
      </w:r>
      <w:r w:rsidR="00F949EA">
        <w:rPr>
          <w:lang w:val="fr-FR"/>
        </w:rPr>
        <w:t>par. </w:t>
      </w:r>
      <w:r>
        <w:rPr>
          <w:lang w:val="fr-FR"/>
        </w:rPr>
        <w:t>38 à 42.</w:t>
      </w:r>
    </w:p>
  </w:footnote>
  <w:footnote w:id="16">
    <w:p w14:paraId="112BA3B2" w14:textId="1ACEC256" w:rsidR="009D335A" w:rsidRPr="00C076DB" w:rsidRDefault="009D335A" w:rsidP="009D335A">
      <w:pPr>
        <w:pStyle w:val="Notedebasdepage"/>
        <w:rPr>
          <w:lang w:val="fr-FR"/>
        </w:rPr>
      </w:pPr>
      <w:r w:rsidRPr="009E34AF">
        <w:rPr>
          <w:szCs w:val="18"/>
          <w:lang w:val="fr-FR"/>
        </w:rPr>
        <w:tab/>
      </w:r>
      <w:r w:rsidRPr="002354FF">
        <w:rPr>
          <w:rStyle w:val="Appelnotedebasdep"/>
        </w:rPr>
        <w:footnoteRef/>
      </w:r>
      <w:r>
        <w:rPr>
          <w:lang w:val="fr-FR"/>
        </w:rPr>
        <w:tab/>
        <w:t>Voir, notamment, les avis n</w:t>
      </w:r>
      <w:r w:rsidRPr="00E54489">
        <w:rPr>
          <w:vertAlign w:val="superscript"/>
          <w:lang w:val="fr-FR"/>
        </w:rPr>
        <w:t>o</w:t>
      </w:r>
      <w:r w:rsidR="00F949EA">
        <w:rPr>
          <w:lang w:val="fr-FR"/>
        </w:rPr>
        <w:t> </w:t>
      </w:r>
      <w:r>
        <w:rPr>
          <w:lang w:val="fr-FR"/>
        </w:rPr>
        <w:t>39/2020, n</w:t>
      </w:r>
      <w:r w:rsidRPr="00E54489">
        <w:rPr>
          <w:vertAlign w:val="superscript"/>
          <w:lang w:val="fr-FR"/>
        </w:rPr>
        <w:t>o</w:t>
      </w:r>
      <w:r w:rsidR="00F949EA">
        <w:rPr>
          <w:lang w:val="fr-FR"/>
        </w:rPr>
        <w:t> </w:t>
      </w:r>
      <w:r>
        <w:rPr>
          <w:lang w:val="fr-FR"/>
        </w:rPr>
        <w:t>21/2020, n</w:t>
      </w:r>
      <w:r w:rsidRPr="00E54489">
        <w:rPr>
          <w:vertAlign w:val="superscript"/>
          <w:lang w:val="fr-FR"/>
        </w:rPr>
        <w:t>o</w:t>
      </w:r>
      <w:r w:rsidR="00F949EA">
        <w:rPr>
          <w:lang w:val="fr-FR"/>
        </w:rPr>
        <w:t> </w:t>
      </w:r>
      <w:r>
        <w:rPr>
          <w:lang w:val="fr-FR"/>
        </w:rPr>
        <w:t>43/2019, n</w:t>
      </w:r>
      <w:r w:rsidRPr="00E54489">
        <w:rPr>
          <w:vertAlign w:val="superscript"/>
          <w:lang w:val="fr-FR"/>
        </w:rPr>
        <w:t>o</w:t>
      </w:r>
      <w:r w:rsidR="00F949EA">
        <w:rPr>
          <w:lang w:val="fr-FR"/>
        </w:rPr>
        <w:t> </w:t>
      </w:r>
      <w:r>
        <w:rPr>
          <w:lang w:val="fr-FR"/>
        </w:rPr>
        <w:t>19/2019 et n</w:t>
      </w:r>
      <w:r w:rsidRPr="00E54489">
        <w:rPr>
          <w:vertAlign w:val="superscript"/>
          <w:lang w:val="fr-FR"/>
        </w:rPr>
        <w:t>o</w:t>
      </w:r>
      <w:r w:rsidR="00F949EA">
        <w:rPr>
          <w:lang w:val="fr-FR"/>
        </w:rPr>
        <w:t> </w:t>
      </w:r>
      <w:r>
        <w:rPr>
          <w:lang w:val="fr-FR"/>
        </w:rPr>
        <w:t>16/2019.</w:t>
      </w:r>
    </w:p>
  </w:footnote>
  <w:footnote w:id="17">
    <w:p w14:paraId="52339D35" w14:textId="308A6CF9" w:rsidR="009D335A" w:rsidRPr="00781F32" w:rsidRDefault="009D335A" w:rsidP="009D335A">
      <w:pPr>
        <w:pStyle w:val="Notedebasdepage"/>
        <w:rPr>
          <w:lang w:val="en-US"/>
        </w:rPr>
      </w:pPr>
      <w:r w:rsidRPr="009E34AF">
        <w:rPr>
          <w:szCs w:val="18"/>
          <w:lang w:val="fr-FR"/>
        </w:rPr>
        <w:tab/>
      </w:r>
      <w:r w:rsidRPr="002354FF">
        <w:rPr>
          <w:rStyle w:val="Appelnotedebasdep"/>
        </w:rPr>
        <w:footnoteRef/>
      </w:r>
      <w:r w:rsidRPr="00781F32">
        <w:rPr>
          <w:lang w:val="en-US"/>
        </w:rPr>
        <w:tab/>
      </w:r>
      <w:r w:rsidRPr="00781F32">
        <w:rPr>
          <w:lang w:val="en-US"/>
        </w:rPr>
        <w:tab/>
      </w:r>
      <w:hyperlink r:id="rId10" w:history="1">
        <w:r w:rsidR="00781F32" w:rsidRPr="00781F32">
          <w:rPr>
            <w:rStyle w:val="Lienhypertexte"/>
            <w:lang w:val="en-US"/>
          </w:rPr>
          <w:t>A/HRC/WG.6/33/NIC/2</w:t>
        </w:r>
      </w:hyperlink>
      <w:r w:rsidRPr="00781F32">
        <w:rPr>
          <w:lang w:val="en-US"/>
        </w:rPr>
        <w:t xml:space="preserve">, </w:t>
      </w:r>
      <w:r w:rsidR="00F949EA" w:rsidRPr="00781F32">
        <w:rPr>
          <w:lang w:val="en-US"/>
        </w:rPr>
        <w:t>par. </w:t>
      </w:r>
      <w:r w:rsidRPr="00781F32">
        <w:rPr>
          <w:lang w:val="en-US"/>
        </w:rPr>
        <w:t>24.</w:t>
      </w:r>
    </w:p>
  </w:footnote>
  <w:footnote w:id="18">
    <w:p w14:paraId="2122E747" w14:textId="6BD93702" w:rsidR="009D335A" w:rsidRPr="00C076DB" w:rsidRDefault="009D335A" w:rsidP="009D335A">
      <w:pPr>
        <w:pStyle w:val="Notedebasdepage"/>
        <w:rPr>
          <w:lang w:val="fr-FR"/>
        </w:rPr>
      </w:pPr>
      <w:r w:rsidRPr="00781F32">
        <w:rPr>
          <w:szCs w:val="18"/>
          <w:lang w:val="en-US"/>
        </w:rPr>
        <w:tab/>
      </w:r>
      <w:r w:rsidRPr="002354FF">
        <w:rPr>
          <w:rStyle w:val="Appelnotedebasdep"/>
        </w:rPr>
        <w:footnoteRef/>
      </w:r>
      <w:r>
        <w:rPr>
          <w:lang w:val="fr-FR"/>
        </w:rPr>
        <w:tab/>
      </w:r>
      <w:r>
        <w:rPr>
          <w:lang w:val="fr-FR"/>
        </w:rPr>
        <w:tab/>
      </w:r>
      <w:hyperlink r:id="rId11" w:history="1">
        <w:r w:rsidR="00781F32">
          <w:rPr>
            <w:rStyle w:val="Lienhypertexte"/>
            <w:lang w:val="fr-FR"/>
          </w:rPr>
          <w:t>A/HRC/49/23</w:t>
        </w:r>
      </w:hyperlink>
      <w:r>
        <w:rPr>
          <w:lang w:val="fr-FR"/>
        </w:rPr>
        <w:t xml:space="preserve">, </w:t>
      </w:r>
      <w:r w:rsidR="00F949EA">
        <w:rPr>
          <w:lang w:val="fr-FR"/>
        </w:rPr>
        <w:t>par. </w:t>
      </w:r>
      <w:r>
        <w:rPr>
          <w:lang w:val="fr-FR"/>
        </w:rPr>
        <w:t>24.</w:t>
      </w:r>
    </w:p>
  </w:footnote>
  <w:footnote w:id="19">
    <w:p w14:paraId="530F4D48" w14:textId="19856368" w:rsidR="009D335A" w:rsidRPr="00C076DB" w:rsidRDefault="009D335A" w:rsidP="009D335A">
      <w:pPr>
        <w:pStyle w:val="Notedebasdepage"/>
        <w:rPr>
          <w:lang w:val="fr-FR"/>
        </w:rPr>
      </w:pPr>
      <w:r w:rsidRPr="0045380A">
        <w:rPr>
          <w:szCs w:val="18"/>
          <w:lang w:val="fr-FR"/>
        </w:rPr>
        <w:tab/>
      </w:r>
      <w:r w:rsidRPr="002354FF">
        <w:rPr>
          <w:rStyle w:val="Appelnotedebasdep"/>
        </w:rPr>
        <w:footnoteRef/>
      </w:r>
      <w:r>
        <w:rPr>
          <w:lang w:val="fr-FR"/>
        </w:rPr>
        <w:tab/>
      </w:r>
      <w:hyperlink r:id="rId12" w:history="1">
        <w:r w:rsidR="00781F32">
          <w:rPr>
            <w:rStyle w:val="Lienhypertexte"/>
            <w:lang w:val="fr-FR"/>
          </w:rPr>
          <w:tab/>
          <w:t>A/HRC/42/18</w:t>
        </w:r>
      </w:hyperlink>
      <w:r>
        <w:rPr>
          <w:lang w:val="fr-FR"/>
        </w:rPr>
        <w:t xml:space="preserve">, </w:t>
      </w:r>
      <w:r w:rsidR="00F949EA">
        <w:rPr>
          <w:lang w:val="fr-FR"/>
        </w:rPr>
        <w:t>par. </w:t>
      </w:r>
      <w:r>
        <w:rPr>
          <w:lang w:val="fr-FR"/>
        </w:rPr>
        <w:t>31.</w:t>
      </w:r>
    </w:p>
  </w:footnote>
  <w:footnote w:id="20">
    <w:p w14:paraId="0D14AFBB" w14:textId="502327C3" w:rsidR="009D335A" w:rsidRPr="00C076DB" w:rsidRDefault="009D335A" w:rsidP="009D335A">
      <w:pPr>
        <w:pStyle w:val="Notedebasdepage"/>
        <w:rPr>
          <w:lang w:val="fr-FR"/>
        </w:rPr>
      </w:pPr>
      <w:r w:rsidRPr="0045380A">
        <w:rPr>
          <w:szCs w:val="18"/>
          <w:lang w:val="fr-FR"/>
        </w:rPr>
        <w:tab/>
      </w:r>
      <w:r w:rsidRPr="002354FF">
        <w:rPr>
          <w:rStyle w:val="Appelnotedebasdep"/>
        </w:rPr>
        <w:footnoteRef/>
      </w:r>
      <w:r>
        <w:rPr>
          <w:lang w:val="fr-FR"/>
        </w:rPr>
        <w:tab/>
      </w:r>
      <w:r>
        <w:rPr>
          <w:lang w:val="fr-FR"/>
        </w:rPr>
        <w:tab/>
      </w:r>
      <w:hyperlink r:id="rId13" w:history="1">
        <w:r w:rsidR="00781F32">
          <w:rPr>
            <w:rStyle w:val="Lienhypertexte"/>
            <w:lang w:val="fr-FR"/>
          </w:rPr>
          <w:t>A/HRC/49/23</w:t>
        </w:r>
      </w:hyperlink>
      <w:r>
        <w:rPr>
          <w:lang w:val="fr-FR"/>
        </w:rPr>
        <w:t xml:space="preserve">, </w:t>
      </w:r>
      <w:r w:rsidR="00F949EA">
        <w:rPr>
          <w:lang w:val="fr-FR"/>
        </w:rPr>
        <w:t>par. </w:t>
      </w:r>
      <w:r>
        <w:rPr>
          <w:lang w:val="fr-FR"/>
        </w:rPr>
        <w:t xml:space="preserve">23, et </w:t>
      </w:r>
      <w:hyperlink r:id="rId14" w:history="1">
        <w:r w:rsidR="00781F32">
          <w:rPr>
            <w:rStyle w:val="Lienhypertexte"/>
            <w:lang w:val="fr-FR"/>
          </w:rPr>
          <w:t>A/HRC/42/18</w:t>
        </w:r>
      </w:hyperlink>
      <w:r>
        <w:rPr>
          <w:lang w:val="fr-FR"/>
        </w:rPr>
        <w:t xml:space="preserve">, </w:t>
      </w:r>
      <w:r w:rsidR="00F949EA">
        <w:rPr>
          <w:lang w:val="fr-FR"/>
        </w:rPr>
        <w:t>par. </w:t>
      </w:r>
      <w:r>
        <w:rPr>
          <w:lang w:val="fr-FR"/>
        </w:rPr>
        <w:t>26.</w:t>
      </w:r>
    </w:p>
  </w:footnote>
  <w:footnote w:id="21">
    <w:p w14:paraId="6DA653FA" w14:textId="15151810" w:rsidR="009D335A" w:rsidRPr="00C076DB" w:rsidRDefault="009D335A" w:rsidP="009D335A">
      <w:pPr>
        <w:pStyle w:val="Notedebasdepage"/>
        <w:rPr>
          <w:lang w:val="fr-FR"/>
        </w:rPr>
      </w:pPr>
      <w:r w:rsidRPr="0045380A">
        <w:rPr>
          <w:lang w:val="fr-FR"/>
        </w:rPr>
        <w:tab/>
      </w:r>
      <w:r w:rsidRPr="002354FF">
        <w:rPr>
          <w:rStyle w:val="Appelnotedebasdep"/>
        </w:rPr>
        <w:footnoteRef/>
      </w:r>
      <w:r>
        <w:rPr>
          <w:lang w:val="fr-FR"/>
        </w:rPr>
        <w:tab/>
      </w:r>
      <w:r>
        <w:rPr>
          <w:lang w:val="fr-FR"/>
        </w:rPr>
        <w:tab/>
      </w:r>
      <w:hyperlink r:id="rId15" w:history="1">
        <w:r w:rsidR="00781F32">
          <w:rPr>
            <w:rStyle w:val="Lienhypertexte"/>
            <w:lang w:val="fr-FR"/>
          </w:rPr>
          <w:t>A/HRC/49/23</w:t>
        </w:r>
      </w:hyperlink>
      <w:r>
        <w:rPr>
          <w:lang w:val="fr-FR"/>
        </w:rPr>
        <w:t xml:space="preserve">, </w:t>
      </w:r>
      <w:r w:rsidR="00F949EA">
        <w:rPr>
          <w:lang w:val="fr-FR"/>
        </w:rPr>
        <w:t>par. </w:t>
      </w:r>
      <w:r>
        <w:rPr>
          <w:lang w:val="fr-FR"/>
        </w:rPr>
        <w:t>23. Voir également le compte rendu oral sur la situation des droits de l</w:t>
      </w:r>
      <w:r w:rsidR="002354FF">
        <w:rPr>
          <w:lang w:val="fr-FR"/>
        </w:rPr>
        <w:t>’</w:t>
      </w:r>
      <w:r>
        <w:rPr>
          <w:lang w:val="fr-FR"/>
        </w:rPr>
        <w:t>homme au Nicaragua fait par Michelle Bachelet, Haute-Commissaire des Nations Unies aux droits de l</w:t>
      </w:r>
      <w:r w:rsidR="002354FF">
        <w:rPr>
          <w:lang w:val="fr-FR"/>
        </w:rPr>
        <w:t>’</w:t>
      </w:r>
      <w:r>
        <w:rPr>
          <w:lang w:val="fr-FR"/>
        </w:rPr>
        <w:t>homme, 47</w:t>
      </w:r>
      <w:r w:rsidRPr="00F949EA">
        <w:rPr>
          <w:vertAlign w:val="superscript"/>
          <w:lang w:val="fr-FR"/>
        </w:rPr>
        <w:t>e</w:t>
      </w:r>
      <w:r w:rsidR="00F949EA">
        <w:rPr>
          <w:lang w:val="fr-FR"/>
        </w:rPr>
        <w:t> </w:t>
      </w:r>
      <w:r>
        <w:rPr>
          <w:lang w:val="fr-FR"/>
        </w:rPr>
        <w:t>session du Conseil des droits de l</w:t>
      </w:r>
      <w:r w:rsidR="002354FF">
        <w:rPr>
          <w:lang w:val="fr-FR"/>
        </w:rPr>
        <w:t>’</w:t>
      </w:r>
      <w:r>
        <w:rPr>
          <w:lang w:val="fr-FR"/>
        </w:rPr>
        <w:t>homme, Genève, 22 juin 2021.</w:t>
      </w:r>
    </w:p>
  </w:footnote>
  <w:footnote w:id="22">
    <w:p w14:paraId="20F07CC2" w14:textId="01A3CA2F" w:rsidR="009D335A" w:rsidRPr="00B26227" w:rsidRDefault="009D335A" w:rsidP="009D335A">
      <w:pPr>
        <w:pStyle w:val="Notedebasdepage"/>
        <w:rPr>
          <w:szCs w:val="18"/>
          <w:lang w:val="fr-FR"/>
        </w:rPr>
      </w:pPr>
      <w:r w:rsidRPr="0045380A">
        <w:rPr>
          <w:szCs w:val="18"/>
          <w:lang w:val="fr-FR"/>
        </w:rPr>
        <w:tab/>
      </w:r>
      <w:r w:rsidRPr="002354FF">
        <w:rPr>
          <w:rStyle w:val="Appelnotedebasdep"/>
        </w:rPr>
        <w:footnoteRef/>
      </w:r>
      <w:r>
        <w:rPr>
          <w:lang w:val="fr-FR"/>
        </w:rPr>
        <w:tab/>
      </w:r>
      <w:r>
        <w:rPr>
          <w:lang w:val="fr-FR"/>
        </w:rPr>
        <w:tab/>
      </w:r>
      <w:hyperlink r:id="rId16" w:history="1">
        <w:r w:rsidR="00781F32">
          <w:rPr>
            <w:rStyle w:val="Lienhypertexte"/>
            <w:lang w:val="fr-FR"/>
          </w:rPr>
          <w:t>A/HRC/42/18</w:t>
        </w:r>
      </w:hyperlink>
      <w:r>
        <w:rPr>
          <w:lang w:val="fr-FR"/>
        </w:rPr>
        <w:t xml:space="preserve">, </w:t>
      </w:r>
      <w:r w:rsidR="00F949EA">
        <w:rPr>
          <w:lang w:val="fr-FR"/>
        </w:rPr>
        <w:t>par. </w:t>
      </w:r>
      <w:r>
        <w:rPr>
          <w:lang w:val="fr-FR"/>
        </w:rPr>
        <w:t xml:space="preserve">25, et </w:t>
      </w:r>
      <w:hyperlink r:id="rId17" w:history="1">
        <w:r w:rsidR="00781F32">
          <w:rPr>
            <w:rStyle w:val="Lienhypertexte"/>
            <w:lang w:val="fr-FR"/>
          </w:rPr>
          <w:t>A/HRC/49/23</w:t>
        </w:r>
      </w:hyperlink>
      <w:r>
        <w:rPr>
          <w:lang w:val="fr-FR"/>
        </w:rPr>
        <w:t xml:space="preserve">, </w:t>
      </w:r>
      <w:r w:rsidR="00F949EA">
        <w:rPr>
          <w:lang w:val="fr-FR"/>
        </w:rPr>
        <w:t>par. </w:t>
      </w:r>
      <w:r>
        <w:rPr>
          <w:lang w:val="fr-FR"/>
        </w:rPr>
        <w:t>18.</w:t>
      </w:r>
    </w:p>
  </w:footnote>
  <w:footnote w:id="23">
    <w:p w14:paraId="44EED759" w14:textId="167E977D" w:rsidR="009D335A" w:rsidRPr="00B26227" w:rsidRDefault="009D335A" w:rsidP="009D335A">
      <w:pPr>
        <w:pStyle w:val="Notedebasdepage"/>
        <w:rPr>
          <w:szCs w:val="18"/>
          <w:lang w:val="fr-FR"/>
        </w:rPr>
      </w:pPr>
      <w:r w:rsidRPr="009C6D32">
        <w:rPr>
          <w:szCs w:val="18"/>
          <w:lang w:val="fr-FR"/>
        </w:rPr>
        <w:tab/>
      </w:r>
      <w:r w:rsidRPr="002354FF">
        <w:rPr>
          <w:rStyle w:val="Appelnotedebasdep"/>
        </w:rPr>
        <w:footnoteRef/>
      </w:r>
      <w:r>
        <w:rPr>
          <w:lang w:val="fr-FR"/>
        </w:rPr>
        <w:tab/>
      </w:r>
      <w:r>
        <w:rPr>
          <w:lang w:val="fr-FR"/>
        </w:rPr>
        <w:tab/>
      </w:r>
      <w:hyperlink r:id="rId18" w:history="1">
        <w:r w:rsidR="00781F32">
          <w:rPr>
            <w:rStyle w:val="Lienhypertexte"/>
            <w:lang w:val="fr-FR"/>
          </w:rPr>
          <w:t>A/HRC/46/21</w:t>
        </w:r>
      </w:hyperlink>
      <w:r>
        <w:rPr>
          <w:lang w:val="fr-FR"/>
        </w:rPr>
        <w:t xml:space="preserve">, </w:t>
      </w:r>
      <w:r w:rsidR="00F949EA">
        <w:rPr>
          <w:lang w:val="fr-FR"/>
        </w:rPr>
        <w:t>par. </w:t>
      </w:r>
      <w:r>
        <w:rPr>
          <w:lang w:val="fr-FR"/>
        </w:rPr>
        <w:t>38.</w:t>
      </w:r>
    </w:p>
  </w:footnote>
  <w:footnote w:id="24">
    <w:p w14:paraId="19C84601" w14:textId="264B8C84" w:rsidR="009D335A" w:rsidRPr="00C076DB" w:rsidRDefault="009D335A" w:rsidP="009D335A">
      <w:pPr>
        <w:pStyle w:val="Notedebasdepage"/>
        <w:rPr>
          <w:lang w:val="fr-FR"/>
        </w:rPr>
      </w:pPr>
      <w:r w:rsidRPr="000A47F7">
        <w:rPr>
          <w:szCs w:val="18"/>
          <w:lang w:val="fr-FR"/>
        </w:rPr>
        <w:tab/>
      </w:r>
      <w:r w:rsidRPr="002354FF">
        <w:rPr>
          <w:rStyle w:val="Appelnotedebasdep"/>
        </w:rPr>
        <w:footnoteRef/>
      </w:r>
      <w:r>
        <w:rPr>
          <w:lang w:val="fr-FR"/>
        </w:rPr>
        <w:tab/>
      </w:r>
      <w:r>
        <w:rPr>
          <w:lang w:val="fr-FR"/>
        </w:rPr>
        <w:tab/>
      </w:r>
      <w:hyperlink r:id="rId19" w:history="1">
        <w:r w:rsidR="00781F32">
          <w:rPr>
            <w:rStyle w:val="Lienhypertexte"/>
            <w:lang w:val="fr-FR"/>
          </w:rPr>
          <w:t>CAT/C/NIC/2</w:t>
        </w:r>
      </w:hyperlink>
      <w:r>
        <w:rPr>
          <w:lang w:val="fr-FR"/>
        </w:rPr>
        <w:t xml:space="preserve">, </w:t>
      </w:r>
      <w:r w:rsidR="00F949EA">
        <w:rPr>
          <w:lang w:val="fr-FR"/>
        </w:rPr>
        <w:t>par. </w:t>
      </w:r>
      <w:r>
        <w:rPr>
          <w:lang w:val="fr-FR"/>
        </w:rPr>
        <w:t>72 à 79.</w:t>
      </w:r>
    </w:p>
  </w:footnote>
  <w:footnote w:id="25">
    <w:p w14:paraId="33325195" w14:textId="38125722" w:rsidR="009D335A" w:rsidRPr="00B26227" w:rsidRDefault="009D335A" w:rsidP="009D335A">
      <w:pPr>
        <w:pStyle w:val="Notedebasdepage"/>
        <w:rPr>
          <w:lang w:val="fr-FR"/>
        </w:rPr>
      </w:pPr>
      <w:r>
        <w:rPr>
          <w:lang w:val="fr-FR"/>
        </w:rPr>
        <w:tab/>
      </w:r>
      <w:r w:rsidRPr="002354FF">
        <w:rPr>
          <w:rStyle w:val="Appelnotedebasdep"/>
        </w:rPr>
        <w:footnoteRef/>
      </w:r>
      <w:r>
        <w:rPr>
          <w:lang w:val="fr-FR"/>
        </w:rPr>
        <w:tab/>
      </w:r>
      <w:r>
        <w:rPr>
          <w:lang w:val="fr-FR"/>
        </w:rPr>
        <w:tab/>
      </w:r>
      <w:hyperlink r:id="rId20" w:history="1">
        <w:r w:rsidR="00781F32">
          <w:rPr>
            <w:rStyle w:val="Lienhypertexte"/>
            <w:lang w:val="fr-FR"/>
          </w:rPr>
          <w:t>A/HRC/WG.6/33/NIC/3</w:t>
        </w:r>
      </w:hyperlink>
      <w:r>
        <w:rPr>
          <w:lang w:val="fr-FR"/>
        </w:rPr>
        <w:t xml:space="preserve">, </w:t>
      </w:r>
      <w:r w:rsidR="00F949EA">
        <w:rPr>
          <w:lang w:val="fr-FR"/>
        </w:rPr>
        <w:t>par. </w:t>
      </w:r>
      <w:r>
        <w:rPr>
          <w:lang w:val="fr-FR"/>
        </w:rPr>
        <w:t>28 à 30 et 33</w:t>
      </w:r>
      <w:r w:rsidR="00F949EA">
        <w:rPr>
          <w:lang w:val="fr-FR"/>
        </w:rPr>
        <w:t> ;</w:t>
      </w:r>
      <w:r>
        <w:rPr>
          <w:lang w:val="fr-FR"/>
        </w:rPr>
        <w:t xml:space="preserve"> </w:t>
      </w:r>
      <w:hyperlink r:id="rId21" w:history="1">
        <w:r w:rsidR="00781F32">
          <w:rPr>
            <w:rStyle w:val="Lienhypertexte"/>
            <w:lang w:val="fr-FR"/>
          </w:rPr>
          <w:t>A/HRC/WG.6/33/NIC/2</w:t>
        </w:r>
      </w:hyperlink>
      <w:r>
        <w:rPr>
          <w:lang w:val="fr-FR"/>
        </w:rPr>
        <w:t xml:space="preserve">, </w:t>
      </w:r>
      <w:r w:rsidR="00F949EA">
        <w:rPr>
          <w:lang w:val="fr-FR"/>
        </w:rPr>
        <w:t>par. </w:t>
      </w:r>
      <w:r>
        <w:rPr>
          <w:lang w:val="fr-FR"/>
        </w:rPr>
        <w:t>30 à 36</w:t>
      </w:r>
      <w:r w:rsidR="00F949EA">
        <w:rPr>
          <w:lang w:val="fr-FR"/>
        </w:rPr>
        <w:t> ;</w:t>
      </w:r>
      <w:r>
        <w:rPr>
          <w:lang w:val="fr-FR"/>
        </w:rPr>
        <w:t xml:space="preserve"> </w:t>
      </w:r>
      <w:hyperlink r:id="rId22" w:history="1">
        <w:r w:rsidR="00781F32">
          <w:rPr>
            <w:rStyle w:val="Lienhypertexte"/>
            <w:lang w:val="fr-FR"/>
          </w:rPr>
          <w:t>A/HRC/42/16</w:t>
        </w:r>
      </w:hyperlink>
      <w:r>
        <w:rPr>
          <w:lang w:val="fr-FR"/>
        </w:rPr>
        <w:t xml:space="preserve">, </w:t>
      </w:r>
      <w:r w:rsidR="00F949EA">
        <w:rPr>
          <w:lang w:val="fr-FR"/>
        </w:rPr>
        <w:t>par. </w:t>
      </w:r>
      <w:r>
        <w:rPr>
          <w:lang w:val="fr-FR"/>
        </w:rPr>
        <w:t xml:space="preserve">125.39, 125.95 et 125.105, et </w:t>
      </w:r>
      <w:hyperlink r:id="rId23" w:history="1">
        <w:r w:rsidR="00781F32">
          <w:rPr>
            <w:rStyle w:val="Lienhypertexte"/>
            <w:lang w:val="fr-FR"/>
          </w:rPr>
          <w:t>A/HRC/42/16/Add.1</w:t>
        </w:r>
      </w:hyperlink>
      <w:r>
        <w:rPr>
          <w:lang w:val="fr-FR"/>
        </w:rPr>
        <w:t>.</w:t>
      </w:r>
    </w:p>
  </w:footnote>
  <w:footnote w:id="26">
    <w:p w14:paraId="2C7083F7" w14:textId="27F40DB5" w:rsidR="009D335A" w:rsidRPr="00C076DB" w:rsidRDefault="009D335A" w:rsidP="009D335A">
      <w:pPr>
        <w:pStyle w:val="Notedebasdepage"/>
        <w:rPr>
          <w:lang w:val="fr-FR"/>
        </w:rPr>
      </w:pPr>
      <w:r w:rsidRPr="00502F54">
        <w:rPr>
          <w:szCs w:val="18"/>
          <w:lang w:val="fr-FR"/>
        </w:rPr>
        <w:tab/>
      </w:r>
      <w:r w:rsidRPr="002354FF">
        <w:rPr>
          <w:rStyle w:val="Appelnotedebasdep"/>
        </w:rPr>
        <w:footnoteRef/>
      </w:r>
      <w:r>
        <w:rPr>
          <w:lang w:val="fr-FR"/>
        </w:rPr>
        <w:tab/>
      </w:r>
      <w:r>
        <w:rPr>
          <w:lang w:val="fr-FR"/>
        </w:rPr>
        <w:tab/>
      </w:r>
      <w:hyperlink r:id="rId24" w:history="1">
        <w:r w:rsidR="00781F32">
          <w:rPr>
            <w:rStyle w:val="Lienhypertexte"/>
            <w:lang w:val="fr-FR"/>
          </w:rPr>
          <w:t>A/HRC/42/18</w:t>
        </w:r>
      </w:hyperlink>
      <w:r>
        <w:rPr>
          <w:lang w:val="fr-FR"/>
        </w:rPr>
        <w:t xml:space="preserve">, </w:t>
      </w:r>
      <w:r w:rsidR="00F949EA">
        <w:rPr>
          <w:lang w:val="fr-FR"/>
        </w:rPr>
        <w:t>par. </w:t>
      </w:r>
      <w:r>
        <w:rPr>
          <w:lang w:val="fr-FR"/>
        </w:rPr>
        <w:t>64. Voir également HCDH, «</w:t>
      </w:r>
      <w:r w:rsidR="00DC079B">
        <w:rPr>
          <w:lang w:val="fr-FR"/>
        </w:rPr>
        <w:t> </w:t>
      </w:r>
      <w:r>
        <w:rPr>
          <w:lang w:val="fr-FR"/>
        </w:rPr>
        <w:t>Violaciones de Derechos Humanos y abusos en el contexto de las protestas en Nicaragua</w:t>
      </w:r>
      <w:r w:rsidR="00DC079B">
        <w:rPr>
          <w:lang w:val="fr-FR"/>
        </w:rPr>
        <w:t> </w:t>
      </w:r>
      <w:r>
        <w:rPr>
          <w:lang w:val="fr-FR"/>
        </w:rPr>
        <w:t>» (Violations des droits de l</w:t>
      </w:r>
      <w:r w:rsidR="002354FF">
        <w:rPr>
          <w:lang w:val="fr-FR"/>
        </w:rPr>
        <w:t>’</w:t>
      </w:r>
      <w:r>
        <w:rPr>
          <w:lang w:val="fr-FR"/>
        </w:rPr>
        <w:t>homme et atteintes à ces droits commises lors des manifestations au Nicaragua), 18 avril-18 août 2018, p.</w:t>
      </w:r>
      <w:r w:rsidR="00DC079B">
        <w:rPr>
          <w:lang w:val="fr-FR"/>
        </w:rPr>
        <w:t> </w:t>
      </w:r>
      <w:r>
        <w:rPr>
          <w:lang w:val="fr-FR"/>
        </w:rPr>
        <w:t>8.</w:t>
      </w:r>
    </w:p>
  </w:footnote>
  <w:footnote w:id="27">
    <w:p w14:paraId="73837577" w14:textId="5BCB3F15" w:rsidR="009D335A" w:rsidRPr="00B26227" w:rsidRDefault="009D335A" w:rsidP="009D335A">
      <w:pPr>
        <w:pStyle w:val="Notedebasdepage"/>
        <w:rPr>
          <w:szCs w:val="18"/>
          <w:lang w:val="fr-FR"/>
        </w:rPr>
      </w:pPr>
      <w:r w:rsidRPr="0045380A">
        <w:rPr>
          <w:szCs w:val="18"/>
          <w:lang w:val="fr-FR"/>
        </w:rPr>
        <w:tab/>
      </w:r>
      <w:r w:rsidRPr="002354FF">
        <w:rPr>
          <w:rStyle w:val="Appelnotedebasdep"/>
        </w:rPr>
        <w:footnoteRef/>
      </w:r>
      <w:r>
        <w:rPr>
          <w:lang w:val="fr-FR"/>
        </w:rPr>
        <w:tab/>
      </w:r>
      <w:hyperlink r:id="rId25" w:history="1">
        <w:r w:rsidR="00781F32">
          <w:rPr>
            <w:rStyle w:val="Lienhypertexte"/>
            <w:lang w:val="fr-FR"/>
          </w:rPr>
          <w:tab/>
          <w:t>CAT/C/NIC/2</w:t>
        </w:r>
      </w:hyperlink>
      <w:r>
        <w:rPr>
          <w:lang w:val="fr-FR"/>
        </w:rPr>
        <w:t xml:space="preserve">, </w:t>
      </w:r>
      <w:r w:rsidR="00F949EA">
        <w:rPr>
          <w:lang w:val="fr-FR"/>
        </w:rPr>
        <w:t>par. </w:t>
      </w:r>
      <w:r>
        <w:rPr>
          <w:lang w:val="fr-FR"/>
        </w:rPr>
        <w:t>198.</w:t>
      </w:r>
    </w:p>
  </w:footnote>
  <w:footnote w:id="28">
    <w:p w14:paraId="153E5529" w14:textId="0CF44860" w:rsidR="009D335A" w:rsidRPr="00C076DB" w:rsidRDefault="009D335A" w:rsidP="009D335A">
      <w:pPr>
        <w:pStyle w:val="Notedebasdepage"/>
        <w:rPr>
          <w:lang w:val="fr-FR"/>
        </w:rPr>
      </w:pPr>
      <w:r w:rsidRPr="000A47F7">
        <w:rPr>
          <w:szCs w:val="18"/>
          <w:lang w:val="fr-FR"/>
        </w:rPr>
        <w:tab/>
      </w:r>
      <w:r w:rsidRPr="002354FF">
        <w:rPr>
          <w:rStyle w:val="Appelnotedebasdep"/>
        </w:rPr>
        <w:footnoteRef/>
      </w:r>
      <w:r>
        <w:rPr>
          <w:lang w:val="fr-FR"/>
        </w:rPr>
        <w:tab/>
      </w:r>
      <w:r>
        <w:rPr>
          <w:lang w:val="fr-FR"/>
        </w:rPr>
        <w:tab/>
        <w:t xml:space="preserve">Ibid., </w:t>
      </w:r>
      <w:r w:rsidR="00F949EA">
        <w:rPr>
          <w:lang w:val="fr-FR"/>
        </w:rPr>
        <w:t>par. </w:t>
      </w:r>
      <w:r>
        <w:rPr>
          <w:lang w:val="fr-FR"/>
        </w:rPr>
        <w:t>196.</w:t>
      </w:r>
    </w:p>
  </w:footnote>
  <w:footnote w:id="29">
    <w:p w14:paraId="1355D459" w14:textId="3937B131" w:rsidR="009D335A" w:rsidRPr="00C076DB" w:rsidRDefault="009D335A" w:rsidP="009D335A">
      <w:pPr>
        <w:pStyle w:val="Notedebasdepage"/>
        <w:rPr>
          <w:lang w:val="fr-FR"/>
        </w:rPr>
      </w:pPr>
      <w:r w:rsidRPr="0045380A">
        <w:rPr>
          <w:szCs w:val="18"/>
          <w:lang w:val="fr-FR"/>
        </w:rPr>
        <w:tab/>
      </w:r>
      <w:r w:rsidRPr="002354FF">
        <w:rPr>
          <w:rStyle w:val="Appelnotedebasdep"/>
        </w:rPr>
        <w:footnoteRef/>
      </w:r>
      <w:r>
        <w:rPr>
          <w:lang w:val="fr-FR"/>
        </w:rPr>
        <w:tab/>
      </w:r>
      <w:r>
        <w:rPr>
          <w:lang w:val="fr-FR"/>
        </w:rPr>
        <w:tab/>
        <w:t xml:space="preserve">Ibid., </w:t>
      </w:r>
      <w:r w:rsidR="00F949EA">
        <w:rPr>
          <w:lang w:val="fr-FR"/>
        </w:rPr>
        <w:t>par. </w:t>
      </w:r>
      <w:r>
        <w:rPr>
          <w:lang w:val="fr-FR"/>
        </w:rPr>
        <w:t>201.</w:t>
      </w:r>
    </w:p>
  </w:footnote>
  <w:footnote w:id="30">
    <w:p w14:paraId="5EC014A0" w14:textId="280619ED" w:rsidR="009D335A" w:rsidRPr="00C076DB" w:rsidRDefault="009D335A" w:rsidP="009D335A">
      <w:pPr>
        <w:pStyle w:val="Notedebasdepage"/>
        <w:rPr>
          <w:lang w:val="fr-FR"/>
        </w:rPr>
      </w:pPr>
      <w:r w:rsidRPr="0045380A">
        <w:rPr>
          <w:szCs w:val="18"/>
          <w:lang w:val="fr-FR"/>
        </w:rPr>
        <w:tab/>
      </w:r>
      <w:r w:rsidRPr="002354FF">
        <w:rPr>
          <w:rStyle w:val="Appelnotedebasdep"/>
        </w:rPr>
        <w:footnoteRef/>
      </w:r>
      <w:r>
        <w:rPr>
          <w:lang w:val="fr-FR"/>
        </w:rPr>
        <w:tab/>
      </w:r>
      <w:r>
        <w:rPr>
          <w:lang w:val="fr-FR"/>
        </w:rPr>
        <w:tab/>
      </w:r>
      <w:hyperlink r:id="rId26" w:history="1">
        <w:r w:rsidR="00781F32">
          <w:rPr>
            <w:rStyle w:val="Lienhypertexte"/>
            <w:lang w:val="fr-FR"/>
          </w:rPr>
          <w:t>A/HRC/49/23</w:t>
        </w:r>
      </w:hyperlink>
      <w:r>
        <w:rPr>
          <w:lang w:val="fr-FR"/>
        </w:rPr>
        <w:t xml:space="preserve">, </w:t>
      </w:r>
      <w:r w:rsidR="00F949EA">
        <w:rPr>
          <w:lang w:val="fr-FR"/>
        </w:rPr>
        <w:t>par. </w:t>
      </w:r>
      <w:r>
        <w:rPr>
          <w:lang w:val="fr-FR"/>
        </w:rPr>
        <w:t>25 et 26.</w:t>
      </w:r>
    </w:p>
  </w:footnote>
  <w:footnote w:id="31">
    <w:p w14:paraId="09E4241B" w14:textId="7807DCE0" w:rsidR="009D335A" w:rsidRPr="00C076DB" w:rsidRDefault="009D335A" w:rsidP="009D335A">
      <w:pPr>
        <w:pStyle w:val="Notedebasdepage"/>
        <w:rPr>
          <w:lang w:val="fr-FR"/>
        </w:rPr>
      </w:pPr>
      <w:r w:rsidRPr="00502F54">
        <w:rPr>
          <w:szCs w:val="18"/>
          <w:lang w:val="fr-FR"/>
        </w:rPr>
        <w:tab/>
      </w:r>
      <w:r w:rsidRPr="002354FF">
        <w:rPr>
          <w:rStyle w:val="Appelnotedebasdep"/>
        </w:rPr>
        <w:footnoteRef/>
      </w:r>
      <w:r>
        <w:rPr>
          <w:lang w:val="fr-FR"/>
        </w:rPr>
        <w:tab/>
        <w:t xml:space="preserve">Ibid., </w:t>
      </w:r>
      <w:r w:rsidR="00F949EA">
        <w:rPr>
          <w:lang w:val="fr-FR"/>
        </w:rPr>
        <w:t>par. </w:t>
      </w:r>
      <w:r>
        <w:rPr>
          <w:lang w:val="fr-FR"/>
        </w:rPr>
        <w:t>25.</w:t>
      </w:r>
    </w:p>
  </w:footnote>
  <w:footnote w:id="32">
    <w:p w14:paraId="1049DB74" w14:textId="76F7ECB8" w:rsidR="009D335A" w:rsidRPr="00C076DB" w:rsidRDefault="009D335A" w:rsidP="009D335A">
      <w:pPr>
        <w:pStyle w:val="Notedebasdepage"/>
        <w:rPr>
          <w:lang w:val="fr-FR"/>
        </w:rPr>
      </w:pPr>
      <w:r w:rsidRPr="00502F54">
        <w:rPr>
          <w:szCs w:val="18"/>
          <w:lang w:val="fr-FR"/>
        </w:rPr>
        <w:tab/>
      </w:r>
      <w:r w:rsidRPr="002354FF">
        <w:rPr>
          <w:rStyle w:val="Appelnotedebasdep"/>
        </w:rPr>
        <w:footnoteRef/>
      </w:r>
      <w:r>
        <w:rPr>
          <w:lang w:val="fr-FR"/>
        </w:rPr>
        <w:tab/>
      </w:r>
      <w:r>
        <w:rPr>
          <w:lang w:val="fr-FR"/>
        </w:rPr>
        <w:tab/>
        <w:t xml:space="preserve">Ibid., et </w:t>
      </w:r>
      <w:hyperlink r:id="rId27" w:history="1">
        <w:r w:rsidR="00781F32">
          <w:rPr>
            <w:rStyle w:val="Lienhypertexte"/>
            <w:lang w:val="fr-FR"/>
          </w:rPr>
          <w:t>A/HRC/42/18</w:t>
        </w:r>
      </w:hyperlink>
      <w:r>
        <w:rPr>
          <w:lang w:val="fr-FR"/>
        </w:rPr>
        <w:t xml:space="preserve">, </w:t>
      </w:r>
      <w:r w:rsidR="00F949EA">
        <w:rPr>
          <w:lang w:val="fr-FR"/>
        </w:rPr>
        <w:t>par. </w:t>
      </w:r>
      <w:r>
        <w:rPr>
          <w:lang w:val="fr-FR"/>
        </w:rPr>
        <w:t>37.</w:t>
      </w:r>
    </w:p>
  </w:footnote>
  <w:footnote w:id="33">
    <w:p w14:paraId="7C74BB17" w14:textId="2F3EBEA8" w:rsidR="009D335A" w:rsidRPr="00B26227" w:rsidRDefault="009D335A" w:rsidP="009D335A">
      <w:pPr>
        <w:pStyle w:val="Notedebasdepage"/>
        <w:rPr>
          <w:lang w:val="fr-FR"/>
        </w:rPr>
      </w:pPr>
      <w:r>
        <w:rPr>
          <w:lang w:val="fr-FR"/>
        </w:rPr>
        <w:tab/>
      </w:r>
      <w:r w:rsidRPr="002354FF">
        <w:rPr>
          <w:rStyle w:val="Appelnotedebasdep"/>
        </w:rPr>
        <w:footnoteRef/>
      </w:r>
      <w:r>
        <w:rPr>
          <w:lang w:val="fr-FR"/>
        </w:rPr>
        <w:tab/>
      </w:r>
      <w:r>
        <w:rPr>
          <w:lang w:val="fr-FR"/>
        </w:rPr>
        <w:tab/>
        <w:t>Voir HCDH, « Nicaragua debe poner fin a la represión de los derechos humanos – Expertos de la ONU » (Le Nicaragua doit mettre fin à la répression des droits de l</w:t>
      </w:r>
      <w:r w:rsidR="002354FF">
        <w:rPr>
          <w:lang w:val="fr-FR"/>
        </w:rPr>
        <w:t>’</w:t>
      </w:r>
      <w:r>
        <w:rPr>
          <w:lang w:val="fr-FR"/>
        </w:rPr>
        <w:t xml:space="preserve">homme </w:t>
      </w:r>
      <w:r w:rsidR="00DC079B">
        <w:rPr>
          <w:lang w:val="fr-FR"/>
        </w:rPr>
        <w:t>−</w:t>
      </w:r>
      <w:r>
        <w:rPr>
          <w:lang w:val="fr-FR"/>
        </w:rPr>
        <w:t xml:space="preserve"> experts de l</w:t>
      </w:r>
      <w:r w:rsidR="002354FF">
        <w:rPr>
          <w:lang w:val="fr-FR"/>
        </w:rPr>
        <w:t>’</w:t>
      </w:r>
      <w:r>
        <w:rPr>
          <w:lang w:val="fr-FR"/>
        </w:rPr>
        <w:t>ONU), communiqué de presse, 22</w:t>
      </w:r>
      <w:r w:rsidR="00DC079B">
        <w:rPr>
          <w:lang w:val="fr-FR"/>
        </w:rPr>
        <w:t> </w:t>
      </w:r>
      <w:r>
        <w:rPr>
          <w:lang w:val="fr-FR"/>
        </w:rPr>
        <w:t>novembre 2018, et « Violaciones de derechos humanos y abusos en el contexto de las protestas en Nicaragua</w:t>
      </w:r>
      <w:r w:rsidR="00DC079B">
        <w:rPr>
          <w:lang w:val="fr-FR"/>
        </w:rPr>
        <w:t> </w:t>
      </w:r>
      <w:r>
        <w:rPr>
          <w:lang w:val="fr-FR"/>
        </w:rPr>
        <w:t>» (Violations des droits de l</w:t>
      </w:r>
      <w:r w:rsidR="002354FF">
        <w:rPr>
          <w:lang w:val="fr-FR"/>
        </w:rPr>
        <w:t>’</w:t>
      </w:r>
      <w:r>
        <w:rPr>
          <w:lang w:val="fr-FR"/>
        </w:rPr>
        <w:t>homme et atteintes à ces droits commises lors des manifestations au Nicaragua), 18 avril</w:t>
      </w:r>
      <w:r w:rsidR="00DC079B">
        <w:rPr>
          <w:lang w:val="fr-FR"/>
        </w:rPr>
        <w:noBreakHyphen/>
      </w:r>
      <w:r>
        <w:rPr>
          <w:lang w:val="fr-FR"/>
        </w:rPr>
        <w:t xml:space="preserve">18 août 2018, </w:t>
      </w:r>
      <w:r w:rsidR="00F949EA">
        <w:rPr>
          <w:lang w:val="fr-FR"/>
        </w:rPr>
        <w:t>par. </w:t>
      </w:r>
      <w:r>
        <w:rPr>
          <w:lang w:val="fr-FR"/>
        </w:rPr>
        <w:t>80.</w:t>
      </w:r>
    </w:p>
  </w:footnote>
  <w:footnote w:id="34">
    <w:p w14:paraId="253A6C46" w14:textId="1F583979" w:rsidR="009D335A" w:rsidRPr="00C076DB" w:rsidRDefault="009D335A" w:rsidP="009D335A">
      <w:pPr>
        <w:pStyle w:val="Notedebasdepage"/>
        <w:rPr>
          <w:lang w:val="fr-FR"/>
        </w:rPr>
      </w:pPr>
      <w:r w:rsidRPr="0045380A">
        <w:rPr>
          <w:szCs w:val="18"/>
          <w:lang w:val="fr-FR"/>
        </w:rPr>
        <w:tab/>
      </w:r>
      <w:r w:rsidRPr="002354FF">
        <w:rPr>
          <w:rStyle w:val="Appelnotedebasdep"/>
        </w:rPr>
        <w:footnoteRef/>
      </w:r>
      <w:r>
        <w:rPr>
          <w:lang w:val="fr-FR"/>
        </w:rPr>
        <w:tab/>
      </w:r>
      <w:hyperlink r:id="rId28" w:history="1">
        <w:r w:rsidR="00781F32">
          <w:rPr>
            <w:rStyle w:val="Lienhypertexte"/>
            <w:lang w:val="fr-FR"/>
          </w:rPr>
          <w:tab/>
          <w:t>A/HRC/46/21</w:t>
        </w:r>
      </w:hyperlink>
      <w:r>
        <w:rPr>
          <w:lang w:val="fr-FR"/>
        </w:rPr>
        <w:t xml:space="preserve">, </w:t>
      </w:r>
      <w:r w:rsidR="00F949EA">
        <w:rPr>
          <w:lang w:val="fr-FR"/>
        </w:rPr>
        <w:t>par. </w:t>
      </w:r>
      <w:r>
        <w:rPr>
          <w:lang w:val="fr-FR"/>
        </w:rPr>
        <w:t>42.</w:t>
      </w:r>
    </w:p>
  </w:footnote>
  <w:footnote w:id="35">
    <w:p w14:paraId="4D588A47" w14:textId="701F8189" w:rsidR="009D335A" w:rsidRPr="00C076DB" w:rsidRDefault="009D335A" w:rsidP="009D335A">
      <w:pPr>
        <w:pStyle w:val="Notedebasdepage"/>
        <w:rPr>
          <w:lang w:val="fr-FR"/>
        </w:rPr>
      </w:pPr>
      <w:r w:rsidRPr="0045380A">
        <w:rPr>
          <w:szCs w:val="18"/>
          <w:lang w:val="fr-FR"/>
        </w:rPr>
        <w:tab/>
      </w:r>
      <w:r w:rsidRPr="002354FF">
        <w:rPr>
          <w:rStyle w:val="Appelnotedebasdep"/>
        </w:rPr>
        <w:footnoteRef/>
      </w:r>
      <w:r>
        <w:rPr>
          <w:lang w:val="fr-FR"/>
        </w:rPr>
        <w:tab/>
      </w:r>
      <w:hyperlink r:id="rId29" w:history="1">
        <w:r w:rsidR="00781F32">
          <w:rPr>
            <w:rStyle w:val="Lienhypertexte"/>
            <w:lang w:val="fr-FR"/>
          </w:rPr>
          <w:tab/>
          <w:t>A/HRC/42/18</w:t>
        </w:r>
      </w:hyperlink>
      <w:r>
        <w:rPr>
          <w:lang w:val="fr-FR"/>
        </w:rPr>
        <w:t xml:space="preserve">, </w:t>
      </w:r>
      <w:r w:rsidR="00F949EA">
        <w:rPr>
          <w:lang w:val="fr-FR"/>
        </w:rPr>
        <w:t>par. </w:t>
      </w:r>
      <w:r>
        <w:rPr>
          <w:lang w:val="fr-FR"/>
        </w:rPr>
        <w:t>32.</w:t>
      </w:r>
    </w:p>
  </w:footnote>
  <w:footnote w:id="36">
    <w:p w14:paraId="58BD9F42" w14:textId="3AB8395B" w:rsidR="009D335A" w:rsidRPr="00C076DB" w:rsidRDefault="009D335A" w:rsidP="009D335A">
      <w:pPr>
        <w:pStyle w:val="Notedebasdepage"/>
        <w:rPr>
          <w:lang w:val="fr-FR"/>
        </w:rPr>
      </w:pPr>
      <w:r>
        <w:rPr>
          <w:szCs w:val="18"/>
          <w:lang w:val="fr-FR"/>
        </w:rPr>
        <w:tab/>
      </w:r>
      <w:r w:rsidRPr="002354FF">
        <w:rPr>
          <w:rStyle w:val="Appelnotedebasdep"/>
        </w:rPr>
        <w:footnoteRef/>
      </w:r>
      <w:r>
        <w:rPr>
          <w:lang w:val="fr-FR"/>
        </w:rPr>
        <w:tab/>
      </w:r>
      <w:hyperlink r:id="rId30" w:history="1">
        <w:r w:rsidR="00781F32">
          <w:rPr>
            <w:rStyle w:val="Lienhypertexte"/>
            <w:lang w:val="fr-FR"/>
          </w:rPr>
          <w:t>A/HRC/42/18</w:t>
        </w:r>
      </w:hyperlink>
      <w:r>
        <w:rPr>
          <w:lang w:val="fr-FR"/>
        </w:rPr>
        <w:t xml:space="preserve">, </w:t>
      </w:r>
      <w:r w:rsidR="00F949EA">
        <w:rPr>
          <w:lang w:val="fr-FR"/>
        </w:rPr>
        <w:t>par. </w:t>
      </w:r>
      <w:r>
        <w:rPr>
          <w:lang w:val="fr-FR"/>
        </w:rPr>
        <w:t>36</w:t>
      </w:r>
      <w:r w:rsidR="00F949EA">
        <w:rPr>
          <w:lang w:val="fr-FR"/>
        </w:rPr>
        <w:t> ;</w:t>
      </w:r>
      <w:r>
        <w:rPr>
          <w:lang w:val="fr-FR"/>
        </w:rPr>
        <w:t xml:space="preserve"> </w:t>
      </w:r>
      <w:hyperlink r:id="rId31" w:history="1">
        <w:r w:rsidR="00781F32">
          <w:rPr>
            <w:rStyle w:val="Lienhypertexte"/>
            <w:lang w:val="fr-FR"/>
          </w:rPr>
          <w:t>A/HRC/49/23</w:t>
        </w:r>
      </w:hyperlink>
      <w:r>
        <w:rPr>
          <w:lang w:val="fr-FR"/>
        </w:rPr>
        <w:t xml:space="preserve">, </w:t>
      </w:r>
      <w:r w:rsidR="00F949EA">
        <w:rPr>
          <w:lang w:val="fr-FR"/>
        </w:rPr>
        <w:t>par. </w:t>
      </w:r>
      <w:r>
        <w:rPr>
          <w:lang w:val="fr-FR"/>
        </w:rPr>
        <w:t>26.</w:t>
      </w:r>
    </w:p>
  </w:footnote>
  <w:footnote w:id="37">
    <w:p w14:paraId="7D937C2B" w14:textId="1463C3B1" w:rsidR="009D335A" w:rsidRPr="00C076DB" w:rsidRDefault="009D335A" w:rsidP="009D335A">
      <w:pPr>
        <w:pStyle w:val="Notedebasdepage"/>
        <w:rPr>
          <w:lang w:val="fr-FR"/>
        </w:rPr>
      </w:pPr>
      <w:r w:rsidRPr="0045380A">
        <w:rPr>
          <w:szCs w:val="18"/>
          <w:lang w:val="fr-FR"/>
        </w:rPr>
        <w:tab/>
      </w:r>
      <w:r w:rsidRPr="002354FF">
        <w:rPr>
          <w:rStyle w:val="Appelnotedebasdep"/>
        </w:rPr>
        <w:footnoteRef/>
      </w:r>
      <w:r>
        <w:rPr>
          <w:lang w:val="fr-FR"/>
        </w:rPr>
        <w:tab/>
      </w:r>
      <w:hyperlink r:id="rId32" w:history="1">
        <w:r w:rsidR="00781F32">
          <w:rPr>
            <w:rStyle w:val="Lienhypertexte"/>
            <w:lang w:val="fr-FR"/>
          </w:rPr>
          <w:tab/>
          <w:t>A/HRC/42/18</w:t>
        </w:r>
      </w:hyperlink>
      <w:r>
        <w:rPr>
          <w:lang w:val="fr-FR"/>
        </w:rPr>
        <w:t xml:space="preserve">, </w:t>
      </w:r>
      <w:r w:rsidR="00F949EA">
        <w:rPr>
          <w:lang w:val="fr-FR"/>
        </w:rPr>
        <w:t>par. </w:t>
      </w:r>
      <w:r>
        <w:rPr>
          <w:lang w:val="fr-FR"/>
        </w:rPr>
        <w:t>32.</w:t>
      </w:r>
    </w:p>
  </w:footnote>
  <w:footnote w:id="38">
    <w:p w14:paraId="1E0F6B9E" w14:textId="41EEF606" w:rsidR="009D335A" w:rsidRPr="00C076DB" w:rsidRDefault="009D335A" w:rsidP="009D335A">
      <w:pPr>
        <w:pStyle w:val="Notedebasdepage"/>
        <w:rPr>
          <w:lang w:val="fr-FR"/>
        </w:rPr>
      </w:pPr>
      <w:r w:rsidRPr="009C6D32">
        <w:rPr>
          <w:szCs w:val="18"/>
          <w:lang w:val="fr-FR"/>
        </w:rPr>
        <w:tab/>
      </w:r>
      <w:r w:rsidRPr="002354FF">
        <w:rPr>
          <w:rStyle w:val="Appelnotedebasdep"/>
        </w:rPr>
        <w:footnoteRef/>
      </w:r>
      <w:r>
        <w:rPr>
          <w:lang w:val="fr-FR"/>
        </w:rPr>
        <w:tab/>
      </w:r>
      <w:r>
        <w:rPr>
          <w:lang w:val="fr-FR"/>
        </w:rPr>
        <w:tab/>
      </w:r>
      <w:hyperlink r:id="rId33" w:history="1">
        <w:r w:rsidR="00781F32">
          <w:rPr>
            <w:rStyle w:val="Lienhypertexte"/>
            <w:lang w:val="fr-FR"/>
          </w:rPr>
          <w:t>A/HRC/46/21</w:t>
        </w:r>
      </w:hyperlink>
      <w:r>
        <w:rPr>
          <w:lang w:val="fr-FR"/>
        </w:rPr>
        <w:t xml:space="preserve">, </w:t>
      </w:r>
      <w:r w:rsidR="00F949EA">
        <w:rPr>
          <w:lang w:val="fr-FR"/>
        </w:rPr>
        <w:t>par. </w:t>
      </w:r>
      <w:r>
        <w:rPr>
          <w:lang w:val="fr-FR"/>
        </w:rPr>
        <w:t>43.</w:t>
      </w:r>
    </w:p>
  </w:footnote>
  <w:footnote w:id="39">
    <w:p w14:paraId="50A058C0" w14:textId="314C2658" w:rsidR="009D335A" w:rsidRPr="00C076DB" w:rsidRDefault="009D335A" w:rsidP="009D335A">
      <w:pPr>
        <w:pStyle w:val="Notedebasdepage"/>
        <w:rPr>
          <w:lang w:val="fr-FR"/>
        </w:rPr>
      </w:pPr>
      <w:r w:rsidRPr="009C6D32">
        <w:rPr>
          <w:szCs w:val="18"/>
          <w:lang w:val="fr-FR"/>
        </w:rPr>
        <w:tab/>
      </w:r>
      <w:r w:rsidRPr="002354FF">
        <w:rPr>
          <w:rStyle w:val="Appelnotedebasdep"/>
        </w:rPr>
        <w:footnoteRef/>
      </w:r>
      <w:r>
        <w:rPr>
          <w:lang w:val="fr-FR"/>
        </w:rPr>
        <w:tab/>
      </w:r>
      <w:r>
        <w:rPr>
          <w:lang w:val="fr-FR"/>
        </w:rPr>
        <w:tab/>
      </w:r>
      <w:hyperlink r:id="rId34" w:history="1">
        <w:r w:rsidR="00781F32">
          <w:rPr>
            <w:rStyle w:val="Lienhypertexte"/>
            <w:lang w:val="fr-FR"/>
          </w:rPr>
          <w:t>CAT/C/NIC/2</w:t>
        </w:r>
      </w:hyperlink>
      <w:r>
        <w:rPr>
          <w:lang w:val="fr-FR"/>
        </w:rPr>
        <w:t xml:space="preserve">, </w:t>
      </w:r>
      <w:r w:rsidR="00F949EA">
        <w:rPr>
          <w:lang w:val="fr-FR"/>
        </w:rPr>
        <w:t>par. </w:t>
      </w:r>
      <w:r>
        <w:rPr>
          <w:lang w:val="fr-FR"/>
        </w:rPr>
        <w:t>54.</w:t>
      </w:r>
    </w:p>
  </w:footnote>
  <w:footnote w:id="40">
    <w:p w14:paraId="32799B1D" w14:textId="7A1690F4" w:rsidR="009D335A" w:rsidRPr="00C076DB" w:rsidRDefault="009D335A" w:rsidP="009D335A">
      <w:pPr>
        <w:pStyle w:val="Notedebasdepage"/>
        <w:rPr>
          <w:lang w:val="fr-FR"/>
        </w:rPr>
      </w:pPr>
      <w:r w:rsidRPr="00E321B9">
        <w:rPr>
          <w:lang w:val="fr-FR"/>
        </w:rPr>
        <w:tab/>
      </w:r>
      <w:r w:rsidRPr="002354FF">
        <w:rPr>
          <w:rStyle w:val="Appelnotedebasdep"/>
        </w:rPr>
        <w:footnoteRef/>
      </w:r>
      <w:r>
        <w:rPr>
          <w:lang w:val="fr-FR"/>
        </w:rPr>
        <w:tab/>
      </w:r>
      <w:r>
        <w:rPr>
          <w:lang w:val="fr-FR"/>
        </w:rPr>
        <w:tab/>
      </w:r>
      <w:hyperlink r:id="rId35" w:history="1">
        <w:r w:rsidR="00781F32">
          <w:rPr>
            <w:rStyle w:val="Lienhypertexte"/>
            <w:lang w:val="fr-FR"/>
          </w:rPr>
          <w:t>A/HRC/W</w:t>
        </w:r>
        <w:r w:rsidR="00781F32">
          <w:rPr>
            <w:rStyle w:val="Lienhypertexte"/>
            <w:lang w:val="fr-FR"/>
          </w:rPr>
          <w:t>G</w:t>
        </w:r>
        <w:r w:rsidR="00781F32">
          <w:rPr>
            <w:rStyle w:val="Lienhypertexte"/>
            <w:lang w:val="fr-FR"/>
          </w:rPr>
          <w:t>.6/33/NIC/3</w:t>
        </w:r>
      </w:hyperlink>
      <w:r>
        <w:rPr>
          <w:lang w:val="fr-FR"/>
        </w:rPr>
        <w:t xml:space="preserve">, </w:t>
      </w:r>
      <w:r w:rsidR="00F949EA">
        <w:rPr>
          <w:lang w:val="fr-FR"/>
        </w:rPr>
        <w:t>par. </w:t>
      </w:r>
      <w:r>
        <w:rPr>
          <w:lang w:val="fr-FR"/>
        </w:rPr>
        <w:t>9 et 10</w:t>
      </w:r>
      <w:r w:rsidR="00F949EA">
        <w:rPr>
          <w:lang w:val="fr-FR"/>
        </w:rPr>
        <w:t> ;</w:t>
      </w:r>
      <w:r>
        <w:rPr>
          <w:lang w:val="fr-FR"/>
        </w:rPr>
        <w:t xml:space="preserve"> </w:t>
      </w:r>
      <w:hyperlink r:id="rId36" w:history="1">
        <w:r w:rsidR="00781F32">
          <w:rPr>
            <w:rStyle w:val="Lienhypertexte"/>
            <w:lang w:val="fr-FR"/>
          </w:rPr>
          <w:t>A/HRC/42/16</w:t>
        </w:r>
      </w:hyperlink>
      <w:r>
        <w:rPr>
          <w:lang w:val="fr-FR"/>
        </w:rPr>
        <w:t xml:space="preserve">, </w:t>
      </w:r>
      <w:r w:rsidR="00F949EA">
        <w:rPr>
          <w:lang w:val="fr-FR"/>
        </w:rPr>
        <w:t>par. </w:t>
      </w:r>
      <w:r>
        <w:rPr>
          <w:lang w:val="fr-FR"/>
        </w:rPr>
        <w:t>125.37, 125.38, 125.40, 125.41, 125.43 et 125.45</w:t>
      </w:r>
      <w:r w:rsidR="00F949EA">
        <w:rPr>
          <w:lang w:val="fr-FR"/>
        </w:rPr>
        <w:t> ;</w:t>
      </w:r>
      <w:r>
        <w:rPr>
          <w:lang w:val="fr-FR"/>
        </w:rPr>
        <w:t xml:space="preserve"> </w:t>
      </w:r>
      <w:hyperlink r:id="rId37" w:history="1">
        <w:r w:rsidR="00781F32" w:rsidRPr="00781F32">
          <w:rPr>
            <w:rStyle w:val="Lienhypertexte"/>
            <w:lang w:val="fr-FR"/>
          </w:rPr>
          <w:t>A/HRC/42/16/Add.1</w:t>
        </w:r>
        <w:r w:rsidR="00781F32" w:rsidRPr="00781F32">
          <w:rPr>
            <w:rStyle w:val="Lienhypertexte"/>
            <w:color w:val="auto"/>
            <w:lang w:val="fr-FR"/>
          </w:rPr>
          <w:t> </w:t>
        </w:r>
      </w:hyperlink>
      <w:r w:rsidR="00F949EA">
        <w:rPr>
          <w:lang w:val="fr-FR"/>
        </w:rPr>
        <w:t>;</w:t>
      </w:r>
      <w:r>
        <w:rPr>
          <w:lang w:val="fr-FR"/>
        </w:rPr>
        <w:t xml:space="preserve"> </w:t>
      </w:r>
      <w:hyperlink r:id="rId38" w:history="1">
        <w:r w:rsidR="00781F32">
          <w:rPr>
            <w:rStyle w:val="Lienhypertexte"/>
            <w:lang w:val="fr-FR"/>
          </w:rPr>
          <w:t>E/C.12/NIC/CO/5</w:t>
        </w:r>
      </w:hyperlink>
      <w:r>
        <w:rPr>
          <w:lang w:val="fr-FR"/>
        </w:rPr>
        <w:t xml:space="preserve">, </w:t>
      </w:r>
      <w:r w:rsidR="00F949EA">
        <w:rPr>
          <w:lang w:val="fr-FR"/>
        </w:rPr>
        <w:t>par. </w:t>
      </w:r>
      <w:r>
        <w:rPr>
          <w:lang w:val="fr-FR"/>
        </w:rPr>
        <w:t>7 et 8</w:t>
      </w:r>
      <w:r w:rsidR="00F949EA">
        <w:rPr>
          <w:lang w:val="fr-FR"/>
        </w:rPr>
        <w:t> ;</w:t>
      </w:r>
      <w:r>
        <w:rPr>
          <w:lang w:val="fr-FR"/>
        </w:rPr>
        <w:t xml:space="preserve"> </w:t>
      </w:r>
      <w:hyperlink r:id="rId39" w:history="1">
        <w:r w:rsidR="00781F32">
          <w:rPr>
            <w:rStyle w:val="Lienhypertexte"/>
            <w:lang w:val="fr-FR"/>
          </w:rPr>
          <w:t>CMW/C/NIC/CO/1</w:t>
        </w:r>
      </w:hyperlink>
      <w:r>
        <w:rPr>
          <w:lang w:val="fr-FR"/>
        </w:rPr>
        <w:t xml:space="preserve">, </w:t>
      </w:r>
      <w:r w:rsidR="00F949EA">
        <w:rPr>
          <w:lang w:val="fr-FR"/>
        </w:rPr>
        <w:t>par. </w:t>
      </w:r>
      <w:r>
        <w:rPr>
          <w:lang w:val="fr-FR"/>
        </w:rPr>
        <w:t>27 et 28.</w:t>
      </w:r>
    </w:p>
  </w:footnote>
  <w:footnote w:id="41">
    <w:p w14:paraId="7E406772" w14:textId="24F5F581" w:rsidR="009D335A" w:rsidRPr="00B26227" w:rsidRDefault="009D335A" w:rsidP="009D335A">
      <w:pPr>
        <w:pStyle w:val="Notedebasdepage"/>
        <w:rPr>
          <w:lang w:val="fr-FR"/>
        </w:rPr>
      </w:pPr>
      <w:r>
        <w:rPr>
          <w:lang w:val="fr-FR"/>
        </w:rPr>
        <w:tab/>
      </w:r>
      <w:r w:rsidRPr="002354FF">
        <w:rPr>
          <w:rStyle w:val="Appelnotedebasdep"/>
        </w:rPr>
        <w:footnoteRef/>
      </w:r>
      <w:r>
        <w:rPr>
          <w:lang w:val="fr-FR"/>
        </w:rPr>
        <w:tab/>
      </w:r>
      <w:hyperlink r:id="rId40" w:history="1">
        <w:r w:rsidR="00781F32">
          <w:rPr>
            <w:rStyle w:val="Lienhypertexte"/>
            <w:lang w:val="fr-FR"/>
          </w:rPr>
          <w:t>CAT/OP/12/5</w:t>
        </w:r>
      </w:hyperlink>
      <w:r>
        <w:rPr>
          <w:lang w:val="fr-FR"/>
        </w:rPr>
        <w:t>.</w:t>
      </w:r>
    </w:p>
  </w:footnote>
  <w:footnote w:id="42">
    <w:p w14:paraId="07CD7E4C" w14:textId="1A0B4496" w:rsidR="009D335A" w:rsidRPr="00B26227" w:rsidRDefault="009D335A" w:rsidP="009D335A">
      <w:pPr>
        <w:pStyle w:val="Notedebasdepage"/>
        <w:rPr>
          <w:lang w:val="fr-FR"/>
        </w:rPr>
      </w:pPr>
      <w:r w:rsidRPr="0045380A">
        <w:rPr>
          <w:lang w:val="fr-FR"/>
        </w:rPr>
        <w:tab/>
      </w:r>
      <w:r w:rsidRPr="002354FF">
        <w:rPr>
          <w:rStyle w:val="Appelnotedebasdep"/>
        </w:rPr>
        <w:footnoteRef/>
      </w:r>
      <w:r>
        <w:rPr>
          <w:lang w:val="fr-FR"/>
        </w:rPr>
        <w:tab/>
      </w:r>
      <w:r>
        <w:rPr>
          <w:lang w:val="fr-FR"/>
        </w:rPr>
        <w:tab/>
        <w:t>Voir Nations Unies, « UN torture prevention body announces visits for 2023</w:t>
      </w:r>
      <w:r w:rsidR="00781F32">
        <w:rPr>
          <w:lang w:val="fr-FR"/>
        </w:rPr>
        <w:t> </w:t>
      </w:r>
      <w:r>
        <w:rPr>
          <w:lang w:val="fr-FR"/>
        </w:rPr>
        <w:t>» (l</w:t>
      </w:r>
      <w:r w:rsidR="002354FF">
        <w:rPr>
          <w:lang w:val="fr-FR"/>
        </w:rPr>
        <w:t>’</w:t>
      </w:r>
      <w:r>
        <w:rPr>
          <w:lang w:val="fr-FR"/>
        </w:rPr>
        <w:t>organe de prévention de la torture de l</w:t>
      </w:r>
      <w:r w:rsidR="002354FF">
        <w:rPr>
          <w:lang w:val="fr-FR"/>
        </w:rPr>
        <w:t>’</w:t>
      </w:r>
      <w:r>
        <w:rPr>
          <w:lang w:val="fr-FR"/>
        </w:rPr>
        <w:t>ONU annonce son programme de visites pour 2023), communiqué de presse, 30</w:t>
      </w:r>
      <w:r w:rsidR="00781F32">
        <w:rPr>
          <w:lang w:val="fr-FR"/>
        </w:rPr>
        <w:t> </w:t>
      </w:r>
      <w:r>
        <w:rPr>
          <w:lang w:val="fr-FR"/>
        </w:rPr>
        <w:t>juin 2022, consultable (en anglais seulement) à l</w:t>
      </w:r>
      <w:r w:rsidR="002354FF">
        <w:rPr>
          <w:lang w:val="fr-FR"/>
        </w:rPr>
        <w:t>’</w:t>
      </w:r>
      <w:r>
        <w:rPr>
          <w:lang w:val="fr-FR"/>
        </w:rPr>
        <w:t>adresse suivante</w:t>
      </w:r>
      <w:r w:rsidR="00781F32">
        <w:rPr>
          <w:lang w:val="fr-FR"/>
        </w:rPr>
        <w:t> </w:t>
      </w:r>
      <w:r>
        <w:rPr>
          <w:lang w:val="fr-FR"/>
        </w:rPr>
        <w:t xml:space="preserve">: </w:t>
      </w:r>
      <w:hyperlink r:id="rId41" w:history="1">
        <w:r w:rsidR="00C94999" w:rsidRPr="00203522">
          <w:rPr>
            <w:rStyle w:val="Lienhypertexte"/>
            <w:lang w:val="fr-FR"/>
          </w:rPr>
          <w:t>www.ohchr.org/en/press-releases/2022/06/un-torture-prevention-body-announces-visits-2023</w:t>
        </w:r>
      </w:hyperlink>
      <w:r>
        <w:rPr>
          <w:lang w:val="fr-FR"/>
        </w:rPr>
        <w:t>.</w:t>
      </w:r>
    </w:p>
  </w:footnote>
  <w:footnote w:id="43">
    <w:p w14:paraId="7172E314" w14:textId="7C7FE054" w:rsidR="009D335A" w:rsidRPr="00C076DB" w:rsidRDefault="009D335A" w:rsidP="009D335A">
      <w:pPr>
        <w:pStyle w:val="Notedebasdepage"/>
        <w:rPr>
          <w:lang w:val="fr-FR"/>
        </w:rPr>
      </w:pPr>
      <w:r w:rsidRPr="0045380A">
        <w:rPr>
          <w:szCs w:val="18"/>
          <w:lang w:val="fr-FR"/>
        </w:rPr>
        <w:tab/>
      </w:r>
      <w:r w:rsidRPr="002354FF">
        <w:rPr>
          <w:rStyle w:val="Appelnotedebasdep"/>
        </w:rPr>
        <w:footnoteRef/>
      </w:r>
      <w:r>
        <w:rPr>
          <w:lang w:val="fr-FR"/>
        </w:rPr>
        <w:tab/>
      </w:r>
      <w:hyperlink r:id="rId42" w:history="1">
        <w:r w:rsidRPr="00781F32">
          <w:rPr>
            <w:rStyle w:val="Lienhypertexte"/>
            <w:lang w:val="fr-FR"/>
          </w:rPr>
          <w:tab/>
          <w:t>A/HRC/42/18</w:t>
        </w:r>
      </w:hyperlink>
      <w:r>
        <w:rPr>
          <w:lang w:val="fr-FR"/>
        </w:rPr>
        <w:t xml:space="preserve">, </w:t>
      </w:r>
      <w:r w:rsidR="00F949EA">
        <w:rPr>
          <w:lang w:val="fr-FR"/>
        </w:rPr>
        <w:t>par. </w:t>
      </w:r>
      <w:r>
        <w:rPr>
          <w:lang w:val="fr-FR"/>
        </w:rPr>
        <w:t>30 à 32</w:t>
      </w:r>
      <w:r w:rsidR="00F949EA">
        <w:rPr>
          <w:lang w:val="fr-FR"/>
        </w:rPr>
        <w:t> ;</w:t>
      </w:r>
      <w:r>
        <w:rPr>
          <w:lang w:val="fr-FR"/>
        </w:rPr>
        <w:t xml:space="preserve"> </w:t>
      </w:r>
      <w:hyperlink r:id="rId43" w:history="1">
        <w:r w:rsidRPr="00781F32">
          <w:rPr>
            <w:rStyle w:val="Lienhypertexte"/>
            <w:lang w:val="fr-FR"/>
          </w:rPr>
          <w:t>A/HRC/WG.6/33/NIC/3</w:t>
        </w:r>
      </w:hyperlink>
      <w:r>
        <w:rPr>
          <w:lang w:val="fr-FR"/>
        </w:rPr>
        <w:t xml:space="preserve">, </w:t>
      </w:r>
      <w:r w:rsidR="00F949EA">
        <w:rPr>
          <w:lang w:val="fr-FR"/>
        </w:rPr>
        <w:t>par. </w:t>
      </w:r>
      <w:r>
        <w:rPr>
          <w:lang w:val="fr-FR"/>
        </w:rPr>
        <w:t>31 et 32</w:t>
      </w:r>
      <w:r w:rsidR="00F949EA">
        <w:rPr>
          <w:lang w:val="fr-FR"/>
        </w:rPr>
        <w:t> ;</w:t>
      </w:r>
      <w:r>
        <w:rPr>
          <w:lang w:val="fr-FR"/>
        </w:rPr>
        <w:t xml:space="preserve"> HCDH, «</w:t>
      </w:r>
      <w:r w:rsidR="00781F32">
        <w:rPr>
          <w:lang w:val="fr-FR"/>
        </w:rPr>
        <w:t> </w:t>
      </w:r>
      <w:r>
        <w:rPr>
          <w:lang w:val="fr-FR"/>
        </w:rPr>
        <w:t>Violaciones de Derechos Humanos y abusos en el contexto de las protestas en Nicaragua</w:t>
      </w:r>
      <w:r w:rsidR="00781F32">
        <w:rPr>
          <w:lang w:val="fr-FR"/>
        </w:rPr>
        <w:t> </w:t>
      </w:r>
      <w:r>
        <w:rPr>
          <w:lang w:val="fr-FR"/>
        </w:rPr>
        <w:t>» (violations des droits de l</w:t>
      </w:r>
      <w:r w:rsidR="002354FF">
        <w:rPr>
          <w:lang w:val="fr-FR"/>
        </w:rPr>
        <w:t>’</w:t>
      </w:r>
      <w:r>
        <w:rPr>
          <w:lang w:val="fr-FR"/>
        </w:rPr>
        <w:t>homme et atteintes à ces droits commises lors des manifestations au Nicaragua), 18</w:t>
      </w:r>
      <w:r w:rsidR="00781F32">
        <w:rPr>
          <w:lang w:val="fr-FR"/>
        </w:rPr>
        <w:t> </w:t>
      </w:r>
      <w:r>
        <w:rPr>
          <w:lang w:val="fr-FR"/>
        </w:rPr>
        <w:t>avril</w:t>
      </w:r>
      <w:r w:rsidR="00781F32">
        <w:rPr>
          <w:lang w:val="fr-FR"/>
        </w:rPr>
        <w:noBreakHyphen/>
      </w:r>
      <w:r>
        <w:rPr>
          <w:lang w:val="fr-FR"/>
        </w:rPr>
        <w:t>18</w:t>
      </w:r>
      <w:r w:rsidR="00781F32">
        <w:rPr>
          <w:lang w:val="fr-FR"/>
        </w:rPr>
        <w:t> </w:t>
      </w:r>
      <w:r>
        <w:rPr>
          <w:lang w:val="fr-FR"/>
        </w:rPr>
        <w:t>août</w:t>
      </w:r>
      <w:r w:rsidR="00781F32">
        <w:rPr>
          <w:lang w:val="fr-FR"/>
        </w:rPr>
        <w:t> </w:t>
      </w:r>
      <w:r>
        <w:rPr>
          <w:lang w:val="fr-FR"/>
        </w:rPr>
        <w:t>2018, p.</w:t>
      </w:r>
      <w:r w:rsidR="00781F32">
        <w:rPr>
          <w:lang w:val="fr-FR"/>
        </w:rPr>
        <w:t> </w:t>
      </w:r>
      <w:r>
        <w:rPr>
          <w:lang w:val="fr-FR"/>
        </w:rPr>
        <w:t>7.</w:t>
      </w:r>
    </w:p>
  </w:footnote>
  <w:footnote w:id="44">
    <w:p w14:paraId="5F7E5C51" w14:textId="3E461030" w:rsidR="009D335A" w:rsidRPr="00C076DB" w:rsidRDefault="009D335A" w:rsidP="009D335A">
      <w:pPr>
        <w:pStyle w:val="Notedebasdepage"/>
        <w:rPr>
          <w:lang w:val="fr-FR"/>
        </w:rPr>
      </w:pPr>
      <w:r w:rsidRPr="0045380A">
        <w:rPr>
          <w:lang w:val="fr-FR"/>
        </w:rPr>
        <w:tab/>
      </w:r>
      <w:r w:rsidRPr="002354FF">
        <w:rPr>
          <w:rStyle w:val="Appelnotedebasdep"/>
        </w:rPr>
        <w:footnoteRef/>
      </w:r>
      <w:r>
        <w:rPr>
          <w:lang w:val="fr-FR"/>
        </w:rPr>
        <w:tab/>
      </w:r>
      <w:r>
        <w:rPr>
          <w:lang w:val="fr-FR"/>
        </w:rPr>
        <w:tab/>
      </w:r>
      <w:hyperlink r:id="rId44" w:history="1">
        <w:r w:rsidRPr="00781F32">
          <w:rPr>
            <w:rStyle w:val="Lienhypertexte"/>
            <w:lang w:val="fr-FR"/>
          </w:rPr>
          <w:t>CAT/C/NIC/2</w:t>
        </w:r>
      </w:hyperlink>
      <w:r>
        <w:rPr>
          <w:lang w:val="fr-FR"/>
        </w:rPr>
        <w:t xml:space="preserve">, </w:t>
      </w:r>
      <w:r w:rsidR="00F949EA">
        <w:rPr>
          <w:lang w:val="fr-FR"/>
        </w:rPr>
        <w:t>par. </w:t>
      </w:r>
      <w:r>
        <w:rPr>
          <w:lang w:val="fr-FR"/>
        </w:rPr>
        <w:t>45.</w:t>
      </w:r>
    </w:p>
  </w:footnote>
  <w:footnote w:id="45">
    <w:p w14:paraId="0DA8788E" w14:textId="0E0CE060" w:rsidR="009D335A" w:rsidRPr="00B26227" w:rsidRDefault="009D335A" w:rsidP="009D335A">
      <w:pPr>
        <w:pStyle w:val="Notedebasdepage"/>
        <w:rPr>
          <w:szCs w:val="18"/>
          <w:lang w:val="fr-FR"/>
        </w:rPr>
      </w:pPr>
      <w:r w:rsidRPr="009C6D32">
        <w:rPr>
          <w:szCs w:val="18"/>
          <w:lang w:val="fr-FR"/>
        </w:rPr>
        <w:tab/>
      </w:r>
      <w:r w:rsidRPr="002354FF">
        <w:rPr>
          <w:rStyle w:val="Appelnotedebasdep"/>
        </w:rPr>
        <w:footnoteRef/>
      </w:r>
      <w:r>
        <w:rPr>
          <w:lang w:val="fr-FR"/>
        </w:rPr>
        <w:tab/>
      </w:r>
      <w:r>
        <w:rPr>
          <w:lang w:val="fr-FR"/>
        </w:rPr>
        <w:tab/>
        <w:t xml:space="preserve">Ibid., </w:t>
      </w:r>
      <w:r w:rsidR="00F949EA">
        <w:rPr>
          <w:lang w:val="fr-FR"/>
        </w:rPr>
        <w:t>par. </w:t>
      </w:r>
      <w:r>
        <w:rPr>
          <w:lang w:val="fr-FR"/>
        </w:rPr>
        <w:t xml:space="preserve">31 à 46. </w:t>
      </w:r>
    </w:p>
  </w:footnote>
  <w:footnote w:id="46">
    <w:p w14:paraId="13258CFF" w14:textId="2A514222" w:rsidR="009D335A" w:rsidRPr="00C076DB" w:rsidRDefault="009D335A" w:rsidP="009D335A">
      <w:pPr>
        <w:pStyle w:val="Notedebasdepage"/>
        <w:rPr>
          <w:lang w:val="fr-FR"/>
        </w:rPr>
      </w:pPr>
      <w:r w:rsidRPr="0045380A">
        <w:rPr>
          <w:lang w:val="fr-FR"/>
        </w:rPr>
        <w:tab/>
      </w:r>
      <w:r w:rsidRPr="002354FF">
        <w:rPr>
          <w:rStyle w:val="Appelnotedebasdep"/>
        </w:rPr>
        <w:footnoteRef/>
      </w:r>
      <w:r w:rsidRPr="00211FB1">
        <w:rPr>
          <w:lang w:val="fr-FR"/>
        </w:rPr>
        <w:tab/>
      </w:r>
      <w:r w:rsidRPr="00211FB1">
        <w:rPr>
          <w:lang w:val="fr-FR"/>
        </w:rPr>
        <w:tab/>
      </w:r>
      <w:hyperlink r:id="rId45" w:history="1">
        <w:r w:rsidRPr="00781F32">
          <w:rPr>
            <w:rStyle w:val="Lienhypertexte"/>
            <w:lang w:val="fr-FR"/>
          </w:rPr>
          <w:t>A/HRC/42/18</w:t>
        </w:r>
      </w:hyperlink>
      <w:r w:rsidRPr="00211FB1">
        <w:rPr>
          <w:lang w:val="fr-FR"/>
        </w:rPr>
        <w:t xml:space="preserve">, </w:t>
      </w:r>
      <w:r w:rsidR="00F949EA">
        <w:rPr>
          <w:lang w:val="fr-FR"/>
        </w:rPr>
        <w:t>par. </w:t>
      </w:r>
      <w:r w:rsidRPr="00211FB1">
        <w:rPr>
          <w:lang w:val="fr-FR"/>
        </w:rPr>
        <w:t>65</w:t>
      </w:r>
      <w:r w:rsidR="00781F32">
        <w:rPr>
          <w:lang w:val="fr-FR"/>
        </w:rPr>
        <w:t> </w:t>
      </w:r>
      <w:r w:rsidRPr="00211FB1">
        <w:rPr>
          <w:lang w:val="fr-FR"/>
        </w:rPr>
        <w:t>d)</w:t>
      </w:r>
      <w:r w:rsidR="00781F32">
        <w:rPr>
          <w:lang w:val="fr-FR"/>
        </w:rPr>
        <w:t> </w:t>
      </w:r>
      <w:r w:rsidRPr="00211FB1">
        <w:rPr>
          <w:lang w:val="fr-FR"/>
        </w:rPr>
        <w:t>i).</w:t>
      </w:r>
    </w:p>
  </w:footnote>
  <w:footnote w:id="47">
    <w:p w14:paraId="229EC8F6" w14:textId="010D21F7" w:rsidR="009D335A" w:rsidRPr="00B26227" w:rsidRDefault="009D335A" w:rsidP="009D335A">
      <w:pPr>
        <w:pStyle w:val="Notedebasdepage"/>
        <w:rPr>
          <w:szCs w:val="18"/>
          <w:lang w:val="fr-FR"/>
        </w:rPr>
      </w:pPr>
      <w:r w:rsidRPr="00211FB1">
        <w:rPr>
          <w:szCs w:val="18"/>
          <w:lang w:val="fr-FR"/>
        </w:rPr>
        <w:tab/>
      </w:r>
      <w:r w:rsidRPr="002354FF">
        <w:rPr>
          <w:rStyle w:val="Appelnotedebasdep"/>
        </w:rPr>
        <w:footnoteRef/>
      </w:r>
      <w:r w:rsidRPr="00211FB1">
        <w:rPr>
          <w:lang w:val="fr-FR"/>
        </w:rPr>
        <w:tab/>
      </w:r>
      <w:r w:rsidRPr="00211FB1">
        <w:rPr>
          <w:lang w:val="fr-FR"/>
        </w:rPr>
        <w:tab/>
      </w:r>
      <w:hyperlink r:id="rId46" w:history="1">
        <w:r w:rsidRPr="00781F32">
          <w:rPr>
            <w:rStyle w:val="Lienhypertexte"/>
            <w:lang w:val="fr-FR"/>
          </w:rPr>
          <w:t>A/HRC/46/21</w:t>
        </w:r>
      </w:hyperlink>
      <w:r w:rsidRPr="00211FB1">
        <w:rPr>
          <w:lang w:val="fr-FR"/>
        </w:rPr>
        <w:t xml:space="preserve">, </w:t>
      </w:r>
      <w:r w:rsidR="00F949EA">
        <w:rPr>
          <w:lang w:val="fr-FR"/>
        </w:rPr>
        <w:t>par. </w:t>
      </w:r>
      <w:r>
        <w:rPr>
          <w:lang w:val="fr-FR"/>
        </w:rPr>
        <w:t xml:space="preserve">40. </w:t>
      </w:r>
    </w:p>
  </w:footnote>
  <w:footnote w:id="48">
    <w:p w14:paraId="4090534B" w14:textId="078F41CF" w:rsidR="009D335A" w:rsidRPr="00B26227" w:rsidRDefault="009D335A" w:rsidP="009D335A">
      <w:pPr>
        <w:pStyle w:val="Notedebasdepage"/>
        <w:rPr>
          <w:lang w:val="fr-FR"/>
        </w:rPr>
      </w:pPr>
      <w:r w:rsidRPr="009E34AF">
        <w:rPr>
          <w:lang w:val="fr-FR"/>
        </w:rPr>
        <w:tab/>
      </w:r>
      <w:r w:rsidRPr="002354FF">
        <w:rPr>
          <w:rStyle w:val="Appelnotedebasdep"/>
        </w:rPr>
        <w:footnoteRef/>
      </w:r>
      <w:r>
        <w:rPr>
          <w:lang w:val="fr-FR"/>
        </w:rPr>
        <w:tab/>
      </w:r>
      <w:r>
        <w:rPr>
          <w:lang w:val="fr-FR"/>
        </w:rPr>
        <w:tab/>
      </w:r>
      <w:hyperlink r:id="rId47" w:history="1">
        <w:r w:rsidRPr="000B6802">
          <w:rPr>
            <w:rStyle w:val="Lienhypertexte"/>
            <w:lang w:val="fr-FR"/>
          </w:rPr>
          <w:t>A/HRC/WG.6/33/NIC/2</w:t>
        </w:r>
      </w:hyperlink>
      <w:r>
        <w:rPr>
          <w:lang w:val="fr-FR"/>
        </w:rPr>
        <w:t xml:space="preserve">, </w:t>
      </w:r>
      <w:r w:rsidR="00F949EA">
        <w:rPr>
          <w:lang w:val="fr-FR"/>
        </w:rPr>
        <w:t>par. </w:t>
      </w:r>
      <w:r>
        <w:rPr>
          <w:lang w:val="fr-FR"/>
        </w:rPr>
        <w:t>19 à 23. Voir également les communications NIC 3/2018 et NIC</w:t>
      </w:r>
      <w:r w:rsidR="00C94999">
        <w:rPr>
          <w:lang w:val="fr-FR"/>
        </w:rPr>
        <w:t> </w:t>
      </w:r>
      <w:r>
        <w:rPr>
          <w:lang w:val="fr-FR"/>
        </w:rPr>
        <w:t>1/2018. Toutes les communications mentionnées dans le présent document peuvent être consultées à l</w:t>
      </w:r>
      <w:r w:rsidR="002354FF">
        <w:rPr>
          <w:lang w:val="fr-FR"/>
        </w:rPr>
        <w:t>’</w:t>
      </w:r>
      <w:r>
        <w:rPr>
          <w:lang w:val="fr-FR"/>
        </w:rPr>
        <w:t>adresse suivante</w:t>
      </w:r>
      <w:r w:rsidR="000B6802">
        <w:rPr>
          <w:lang w:val="fr-FR"/>
        </w:rPr>
        <w:t> </w:t>
      </w:r>
      <w:r>
        <w:rPr>
          <w:lang w:val="fr-FR"/>
        </w:rPr>
        <w:t xml:space="preserve">: </w:t>
      </w:r>
      <w:hyperlink r:id="rId48" w:history="1">
        <w:r w:rsidRPr="000B6802">
          <w:rPr>
            <w:rStyle w:val="Lienhypertexte"/>
            <w:lang w:val="fr-FR"/>
          </w:rPr>
          <w:t>https://spcommreports.ohchr.org/Tmsearch/TMDocuments</w:t>
        </w:r>
      </w:hyperlink>
      <w:r>
        <w:rPr>
          <w:lang w:val="fr-FR"/>
        </w:rPr>
        <w:t>.</w:t>
      </w:r>
    </w:p>
  </w:footnote>
  <w:footnote w:id="49">
    <w:p w14:paraId="7BD83A7C" w14:textId="1594DEF1" w:rsidR="009D335A" w:rsidRPr="00B26227" w:rsidRDefault="009D335A" w:rsidP="009D335A">
      <w:pPr>
        <w:pStyle w:val="Notedebasdepage"/>
        <w:rPr>
          <w:szCs w:val="18"/>
          <w:lang w:val="fr-FR"/>
        </w:rPr>
      </w:pPr>
      <w:r w:rsidRPr="000A47F7">
        <w:rPr>
          <w:szCs w:val="18"/>
          <w:lang w:val="fr-FR"/>
        </w:rPr>
        <w:tab/>
      </w:r>
      <w:r w:rsidRPr="002354FF">
        <w:rPr>
          <w:rStyle w:val="Appelnotedebasdep"/>
        </w:rPr>
        <w:footnoteRef/>
      </w:r>
      <w:r>
        <w:rPr>
          <w:lang w:val="fr-FR"/>
        </w:rPr>
        <w:tab/>
      </w:r>
      <w:r>
        <w:rPr>
          <w:lang w:val="fr-FR"/>
        </w:rPr>
        <w:tab/>
        <w:t>Voir HCDH, «</w:t>
      </w:r>
      <w:r w:rsidR="000B6802">
        <w:rPr>
          <w:lang w:val="fr-FR"/>
        </w:rPr>
        <w:t> </w:t>
      </w:r>
      <w:r>
        <w:rPr>
          <w:lang w:val="fr-FR"/>
        </w:rPr>
        <w:t>Violaciones de Derechos Humanos y abusos en el contexto de las protestas en Nicaragua</w:t>
      </w:r>
      <w:r w:rsidR="000B6802">
        <w:rPr>
          <w:lang w:val="fr-FR"/>
        </w:rPr>
        <w:t> </w:t>
      </w:r>
      <w:r>
        <w:rPr>
          <w:lang w:val="fr-FR"/>
        </w:rPr>
        <w:t>» (violations des droits de l</w:t>
      </w:r>
      <w:r w:rsidR="002354FF">
        <w:rPr>
          <w:lang w:val="fr-FR"/>
        </w:rPr>
        <w:t>’</w:t>
      </w:r>
      <w:r>
        <w:rPr>
          <w:lang w:val="fr-FR"/>
        </w:rPr>
        <w:t>homme et atteintes à ces droits commises lors des manifestations au Nicaragua), 18 avril-18 août 2018</w:t>
      </w:r>
      <w:r w:rsidR="00F949EA">
        <w:rPr>
          <w:lang w:val="fr-FR"/>
        </w:rPr>
        <w:t> ;</w:t>
      </w:r>
      <w:r>
        <w:rPr>
          <w:lang w:val="fr-FR"/>
        </w:rPr>
        <w:t xml:space="preserve"> </w:t>
      </w:r>
      <w:hyperlink r:id="rId49" w:history="1">
        <w:r w:rsidRPr="000B6802">
          <w:rPr>
            <w:rStyle w:val="Lienhypertexte"/>
            <w:lang w:val="fr-FR"/>
          </w:rPr>
          <w:t>A/HRC/40/L.8</w:t>
        </w:r>
      </w:hyperlink>
      <w:r w:rsidR="00F949EA">
        <w:rPr>
          <w:lang w:val="fr-FR"/>
        </w:rPr>
        <w:t> ;</w:t>
      </w:r>
      <w:r>
        <w:rPr>
          <w:lang w:val="fr-FR"/>
        </w:rPr>
        <w:t xml:space="preserve"> HCDH, « Nicaragua </w:t>
      </w:r>
      <w:proofErr w:type="spellStart"/>
      <w:r>
        <w:rPr>
          <w:lang w:val="fr-FR"/>
        </w:rPr>
        <w:t>debe</w:t>
      </w:r>
      <w:proofErr w:type="spellEnd"/>
      <w:r>
        <w:rPr>
          <w:lang w:val="fr-FR"/>
        </w:rPr>
        <w:t xml:space="preserve"> poner fin a la represión de los derechos humanos – Expertos de la ONU » (le Nicaragua doit mettre fin à la répression des droits de l</w:t>
      </w:r>
      <w:r w:rsidR="002354FF">
        <w:rPr>
          <w:lang w:val="fr-FR"/>
        </w:rPr>
        <w:t>’</w:t>
      </w:r>
      <w:r>
        <w:rPr>
          <w:lang w:val="fr-FR"/>
        </w:rPr>
        <w:t>homme</w:t>
      </w:r>
      <w:r w:rsidR="00B73952">
        <w:rPr>
          <w:lang w:val="fr-FR"/>
        </w:rPr>
        <w:t xml:space="preserve"> </w:t>
      </w:r>
      <w:r>
        <w:rPr>
          <w:lang w:val="fr-FR"/>
        </w:rPr>
        <w:t>– Experts de l</w:t>
      </w:r>
      <w:r w:rsidR="002354FF">
        <w:rPr>
          <w:lang w:val="fr-FR"/>
        </w:rPr>
        <w:t>’</w:t>
      </w:r>
      <w:r>
        <w:rPr>
          <w:lang w:val="fr-FR"/>
        </w:rPr>
        <w:t>ONU), communiqué de presse, 22</w:t>
      </w:r>
      <w:r w:rsidR="000B6802">
        <w:rPr>
          <w:lang w:val="fr-FR"/>
        </w:rPr>
        <w:t> </w:t>
      </w:r>
      <w:r>
        <w:rPr>
          <w:lang w:val="fr-FR"/>
        </w:rPr>
        <w:t>novembre 2018</w:t>
      </w:r>
      <w:r w:rsidR="00F949EA">
        <w:rPr>
          <w:lang w:val="fr-FR"/>
        </w:rPr>
        <w:t> ;</w:t>
      </w:r>
      <w:r>
        <w:rPr>
          <w:lang w:val="fr-FR"/>
        </w:rPr>
        <w:t xml:space="preserve"> Nada Al-Nashif, Haute-Commissaire adjointe des Nations Unies aux droits de l</w:t>
      </w:r>
      <w:r w:rsidR="002354FF">
        <w:rPr>
          <w:lang w:val="fr-FR"/>
        </w:rPr>
        <w:t>’</w:t>
      </w:r>
      <w:r>
        <w:rPr>
          <w:lang w:val="fr-FR"/>
        </w:rPr>
        <w:t>homme, « Diálogo interactivo sobre la actualización oral provisional de la Alta Comisionada sobre la situación de los derechos humanos en Nicaragua</w:t>
      </w:r>
      <w:r w:rsidR="000B6802">
        <w:rPr>
          <w:lang w:val="fr-FR"/>
        </w:rPr>
        <w:t> </w:t>
      </w:r>
      <w:r>
        <w:rPr>
          <w:lang w:val="fr-FR"/>
        </w:rPr>
        <w:t>» (dialogue sur le compte rendu oral provisoire de la Haute</w:t>
      </w:r>
      <w:r w:rsidR="000B6802">
        <w:rPr>
          <w:lang w:val="fr-FR"/>
        </w:rPr>
        <w:noBreakHyphen/>
      </w:r>
      <w:r>
        <w:rPr>
          <w:lang w:val="fr-FR"/>
        </w:rPr>
        <w:t>Commissaire sur la situation des droits de l</w:t>
      </w:r>
      <w:r w:rsidR="002354FF">
        <w:rPr>
          <w:lang w:val="fr-FR"/>
        </w:rPr>
        <w:t>’</w:t>
      </w:r>
      <w:r>
        <w:rPr>
          <w:lang w:val="fr-FR"/>
        </w:rPr>
        <w:t>homme au Nicaragua), 14</w:t>
      </w:r>
      <w:r w:rsidR="000B6802">
        <w:rPr>
          <w:lang w:val="fr-FR"/>
        </w:rPr>
        <w:t> </w:t>
      </w:r>
      <w:r>
        <w:rPr>
          <w:lang w:val="fr-FR"/>
        </w:rPr>
        <w:t>décembre 2021</w:t>
      </w:r>
      <w:r w:rsidR="00F949EA">
        <w:rPr>
          <w:lang w:val="fr-FR"/>
        </w:rPr>
        <w:t> ;</w:t>
      </w:r>
      <w:r>
        <w:rPr>
          <w:lang w:val="fr-FR"/>
        </w:rPr>
        <w:t xml:space="preserve"> </w:t>
      </w:r>
      <w:hyperlink r:id="rId50" w:history="1">
        <w:r w:rsidRPr="000B6802">
          <w:rPr>
            <w:rStyle w:val="Lienhypertexte"/>
            <w:lang w:val="fr-FR"/>
          </w:rPr>
          <w:t>A/HRC/WG.6/33/NIC/3</w:t>
        </w:r>
      </w:hyperlink>
      <w:r>
        <w:rPr>
          <w:lang w:val="fr-FR"/>
        </w:rPr>
        <w:t xml:space="preserve">, </w:t>
      </w:r>
      <w:r w:rsidR="00F949EA">
        <w:rPr>
          <w:lang w:val="fr-FR"/>
        </w:rPr>
        <w:t>par. </w:t>
      </w:r>
      <w:r>
        <w:rPr>
          <w:lang w:val="fr-FR"/>
        </w:rPr>
        <w:t>20 à 26.</w:t>
      </w:r>
    </w:p>
  </w:footnote>
  <w:footnote w:id="50">
    <w:p w14:paraId="3148A9DF" w14:textId="6F7D3B47" w:rsidR="009D335A" w:rsidRPr="00B26227" w:rsidRDefault="009D335A" w:rsidP="009D335A">
      <w:pPr>
        <w:pStyle w:val="Notedebasdepage"/>
        <w:ind w:hanging="567"/>
        <w:rPr>
          <w:szCs w:val="18"/>
          <w:lang w:val="fr-FR"/>
        </w:rPr>
      </w:pPr>
      <w:r w:rsidRPr="00BE5E31">
        <w:rPr>
          <w:szCs w:val="18"/>
          <w:lang w:val="fr-FR"/>
        </w:rPr>
        <w:tab/>
      </w:r>
      <w:r w:rsidRPr="002354FF">
        <w:rPr>
          <w:rStyle w:val="Appelnotedebasdep"/>
        </w:rPr>
        <w:footnoteRef/>
      </w:r>
      <w:r>
        <w:rPr>
          <w:lang w:val="fr-FR"/>
        </w:rPr>
        <w:tab/>
      </w:r>
      <w:r>
        <w:rPr>
          <w:lang w:val="fr-FR"/>
        </w:rPr>
        <w:tab/>
      </w:r>
      <w:hyperlink r:id="rId51" w:history="1">
        <w:r w:rsidRPr="000B6802">
          <w:rPr>
            <w:rStyle w:val="Lienhypertexte"/>
            <w:lang w:val="fr-FR"/>
          </w:rPr>
          <w:t>E/C.12/NIC/CO/5</w:t>
        </w:r>
      </w:hyperlink>
      <w:r>
        <w:rPr>
          <w:lang w:val="fr-FR"/>
        </w:rPr>
        <w:t xml:space="preserve">, </w:t>
      </w:r>
      <w:r w:rsidR="00F949EA">
        <w:rPr>
          <w:lang w:val="fr-FR"/>
        </w:rPr>
        <w:t>par. </w:t>
      </w:r>
      <w:r>
        <w:rPr>
          <w:lang w:val="fr-FR"/>
        </w:rPr>
        <w:t>9 et 10. Voir les communications NIC 6/2021, NIC 4/2021, NIC 3/2021</w:t>
      </w:r>
      <w:r w:rsidR="00F949EA">
        <w:rPr>
          <w:lang w:val="fr-FR"/>
        </w:rPr>
        <w:t> ;</w:t>
      </w:r>
      <w:r>
        <w:rPr>
          <w:lang w:val="fr-FR"/>
        </w:rPr>
        <w:t xml:space="preserve"> NIC 1/2020, NIC 5/2018 et NIC 4/2018.</w:t>
      </w:r>
    </w:p>
  </w:footnote>
  <w:footnote w:id="51">
    <w:p w14:paraId="4BA9AF8B" w14:textId="63894ECB" w:rsidR="009D335A" w:rsidRPr="00B26227" w:rsidRDefault="009D335A" w:rsidP="009D335A">
      <w:pPr>
        <w:pStyle w:val="Notedebasdepage"/>
        <w:rPr>
          <w:szCs w:val="18"/>
          <w:lang w:val="fr-FR"/>
        </w:rPr>
      </w:pPr>
      <w:r w:rsidRPr="000A47F7">
        <w:rPr>
          <w:szCs w:val="18"/>
          <w:lang w:val="fr-FR"/>
        </w:rPr>
        <w:tab/>
      </w:r>
      <w:r w:rsidRPr="002354FF">
        <w:rPr>
          <w:rStyle w:val="Appelnotedebasdep"/>
        </w:rPr>
        <w:footnoteRef/>
      </w:r>
      <w:r>
        <w:rPr>
          <w:lang w:val="fr-FR"/>
        </w:rPr>
        <w:tab/>
      </w:r>
      <w:hyperlink r:id="rId52" w:history="1">
        <w:r w:rsidRPr="000B6802">
          <w:rPr>
            <w:rStyle w:val="Lienhypertexte"/>
            <w:lang w:val="fr-FR"/>
          </w:rPr>
          <w:t>A/HRC/49/23</w:t>
        </w:r>
      </w:hyperlink>
      <w:r>
        <w:rPr>
          <w:lang w:val="fr-FR"/>
        </w:rPr>
        <w:t xml:space="preserve">, </w:t>
      </w:r>
      <w:r w:rsidR="00F949EA">
        <w:rPr>
          <w:lang w:val="fr-FR"/>
        </w:rPr>
        <w:t>par. </w:t>
      </w:r>
      <w:r>
        <w:rPr>
          <w:lang w:val="fr-FR"/>
        </w:rPr>
        <w:t>40 à 44</w:t>
      </w:r>
      <w:r w:rsidR="00F949EA">
        <w:rPr>
          <w:lang w:val="fr-FR"/>
        </w:rPr>
        <w:t> ;</w:t>
      </w:r>
      <w:r>
        <w:rPr>
          <w:lang w:val="fr-FR"/>
        </w:rPr>
        <w:t xml:space="preserve"> communication NIC 2/2020</w:t>
      </w:r>
      <w:r w:rsidR="00F949EA">
        <w:rPr>
          <w:lang w:val="fr-FR"/>
        </w:rPr>
        <w:t> ;</w:t>
      </w:r>
      <w:r>
        <w:rPr>
          <w:lang w:val="fr-FR"/>
        </w:rPr>
        <w:t xml:space="preserve"> </w:t>
      </w:r>
      <w:hyperlink r:id="rId53" w:history="1">
        <w:r w:rsidRPr="000B6802">
          <w:rPr>
            <w:rStyle w:val="Lienhypertexte"/>
            <w:lang w:val="fr-FR"/>
          </w:rPr>
          <w:t>A/HRC/WG.6/33/NIC/2</w:t>
        </w:r>
      </w:hyperlink>
      <w:r>
        <w:rPr>
          <w:lang w:val="fr-FR"/>
        </w:rPr>
        <w:t xml:space="preserve">, </w:t>
      </w:r>
      <w:r w:rsidR="00F949EA">
        <w:rPr>
          <w:lang w:val="fr-FR"/>
        </w:rPr>
        <w:t>par. </w:t>
      </w:r>
      <w:r>
        <w:rPr>
          <w:lang w:val="fr-FR"/>
        </w:rPr>
        <w:t>49 et 50</w:t>
      </w:r>
      <w:r w:rsidR="00F949EA">
        <w:rPr>
          <w:lang w:val="fr-FR"/>
        </w:rPr>
        <w:t> ;</w:t>
      </w:r>
      <w:r>
        <w:rPr>
          <w:lang w:val="fr-FR"/>
        </w:rPr>
        <w:t xml:space="preserve"> </w:t>
      </w:r>
      <w:hyperlink r:id="rId54" w:history="1">
        <w:r w:rsidRPr="000B6802">
          <w:rPr>
            <w:rStyle w:val="Lienhypertexte"/>
            <w:lang w:val="fr-FR"/>
          </w:rPr>
          <w:t>A/HRC/42/16</w:t>
        </w:r>
      </w:hyperlink>
      <w:r>
        <w:rPr>
          <w:lang w:val="fr-FR"/>
        </w:rPr>
        <w:t xml:space="preserve">, </w:t>
      </w:r>
      <w:r w:rsidR="00F949EA">
        <w:rPr>
          <w:lang w:val="fr-FR"/>
        </w:rPr>
        <w:t>par. </w:t>
      </w:r>
      <w:r>
        <w:rPr>
          <w:lang w:val="fr-FR"/>
        </w:rPr>
        <w:t xml:space="preserve">125.85 et 125.121, et </w:t>
      </w:r>
      <w:hyperlink r:id="rId55" w:history="1">
        <w:r w:rsidRPr="000B6802">
          <w:rPr>
            <w:rStyle w:val="Lienhypertexte"/>
            <w:lang w:val="fr-FR"/>
          </w:rPr>
          <w:t>A/HRC/42/16/Add.1</w:t>
        </w:r>
      </w:hyperlink>
      <w:r>
        <w:rPr>
          <w:lang w:val="fr-FR"/>
        </w:rPr>
        <w:t>.</w:t>
      </w:r>
    </w:p>
  </w:footnote>
  <w:footnote w:id="52">
    <w:p w14:paraId="47C0580A" w14:textId="5844AD20" w:rsidR="009D335A" w:rsidRPr="00B26227" w:rsidRDefault="009D335A" w:rsidP="009D335A">
      <w:pPr>
        <w:pStyle w:val="Notedebasdepage"/>
        <w:rPr>
          <w:szCs w:val="18"/>
          <w:lang w:val="fr-FR"/>
        </w:rPr>
      </w:pPr>
      <w:r w:rsidRPr="00F814E5">
        <w:rPr>
          <w:szCs w:val="18"/>
          <w:lang w:val="fr-FR"/>
        </w:rPr>
        <w:tab/>
      </w:r>
      <w:r w:rsidRPr="002354FF">
        <w:rPr>
          <w:rStyle w:val="Appelnotedebasdep"/>
        </w:rPr>
        <w:footnoteRef/>
      </w:r>
      <w:r>
        <w:rPr>
          <w:lang w:val="fr-FR"/>
        </w:rPr>
        <w:tab/>
        <w:t>Voir HCDH, « Bachelet preocupada por la criminalización de la disidencia en Nicaragua</w:t>
      </w:r>
      <w:r w:rsidR="000B6802">
        <w:rPr>
          <w:lang w:val="fr-FR"/>
        </w:rPr>
        <w:t> </w:t>
      </w:r>
      <w:r>
        <w:rPr>
          <w:lang w:val="fr-FR"/>
        </w:rPr>
        <w:t>» (Bachelet préoccupée par l</w:t>
      </w:r>
      <w:r w:rsidR="002354FF">
        <w:rPr>
          <w:lang w:val="fr-FR"/>
        </w:rPr>
        <w:t>’</w:t>
      </w:r>
      <w:r>
        <w:rPr>
          <w:lang w:val="fr-FR"/>
        </w:rPr>
        <w:t>incrimination de la dissidence au Nicaragua), communiqué de presse, 22</w:t>
      </w:r>
      <w:r w:rsidR="00D230E8">
        <w:rPr>
          <w:lang w:val="fr-FR"/>
        </w:rPr>
        <w:t> </w:t>
      </w:r>
      <w:r>
        <w:rPr>
          <w:lang w:val="fr-FR"/>
        </w:rPr>
        <w:t>février 2019</w:t>
      </w:r>
      <w:r w:rsidR="00F949EA">
        <w:rPr>
          <w:lang w:val="fr-FR"/>
        </w:rPr>
        <w:t> ;</w:t>
      </w:r>
      <w:r>
        <w:rPr>
          <w:lang w:val="fr-FR"/>
        </w:rPr>
        <w:t xml:space="preserve"> communication NIC 5/2021</w:t>
      </w:r>
      <w:r w:rsidR="00F949EA">
        <w:rPr>
          <w:lang w:val="fr-FR"/>
        </w:rPr>
        <w:t> ;</w:t>
      </w:r>
      <w:r>
        <w:rPr>
          <w:lang w:val="fr-FR"/>
        </w:rPr>
        <w:t xml:space="preserve"> </w:t>
      </w:r>
      <w:hyperlink r:id="rId56" w:history="1">
        <w:r w:rsidRPr="00D230E8">
          <w:rPr>
            <w:rStyle w:val="Lienhypertexte"/>
            <w:lang w:val="fr-FR"/>
          </w:rPr>
          <w:t>A/HRC/42/16</w:t>
        </w:r>
      </w:hyperlink>
      <w:r>
        <w:rPr>
          <w:lang w:val="fr-FR"/>
        </w:rPr>
        <w:t xml:space="preserve">, </w:t>
      </w:r>
      <w:r w:rsidR="00F949EA">
        <w:rPr>
          <w:lang w:val="fr-FR"/>
        </w:rPr>
        <w:t>par. </w:t>
      </w:r>
      <w:r>
        <w:rPr>
          <w:lang w:val="fr-FR"/>
        </w:rPr>
        <w:t xml:space="preserve">125.145, 125.164, 125.166 et 125.167, et </w:t>
      </w:r>
      <w:hyperlink r:id="rId57" w:history="1">
        <w:r w:rsidRPr="00D230E8">
          <w:rPr>
            <w:rStyle w:val="Lienhypertexte"/>
            <w:lang w:val="fr-FR"/>
          </w:rPr>
          <w:t>A/HRC/42/16/Add.1</w:t>
        </w:r>
      </w:hyperlink>
      <w:r>
        <w:rPr>
          <w:lang w:val="fr-FR"/>
        </w:rPr>
        <w:t>.</w:t>
      </w:r>
    </w:p>
  </w:footnote>
  <w:footnote w:id="53">
    <w:p w14:paraId="38FE4ABB" w14:textId="011DBD35" w:rsidR="009D335A" w:rsidRPr="00B26227" w:rsidRDefault="009D335A" w:rsidP="009D335A">
      <w:pPr>
        <w:pStyle w:val="Notedebasdepage"/>
        <w:rPr>
          <w:szCs w:val="18"/>
          <w:lang w:val="fr-FR"/>
        </w:rPr>
      </w:pPr>
      <w:r w:rsidRPr="0045380A">
        <w:rPr>
          <w:szCs w:val="18"/>
          <w:lang w:val="fr-FR"/>
        </w:rPr>
        <w:tab/>
      </w:r>
      <w:r w:rsidRPr="002354FF">
        <w:rPr>
          <w:rStyle w:val="Appelnotedebasdep"/>
        </w:rPr>
        <w:footnoteRef/>
      </w:r>
      <w:r>
        <w:rPr>
          <w:lang w:val="fr-FR"/>
        </w:rPr>
        <w:tab/>
      </w:r>
      <w:r>
        <w:rPr>
          <w:lang w:val="fr-FR"/>
        </w:rPr>
        <w:tab/>
      </w:r>
      <w:hyperlink r:id="rId58" w:history="1">
        <w:r w:rsidRPr="00D230E8">
          <w:rPr>
            <w:rStyle w:val="Lienhypertexte"/>
            <w:lang w:val="fr-FR"/>
          </w:rPr>
          <w:t>CMW/C/NIC/CO/1</w:t>
        </w:r>
      </w:hyperlink>
      <w:r>
        <w:rPr>
          <w:lang w:val="fr-FR"/>
        </w:rPr>
        <w:t xml:space="preserve">, </w:t>
      </w:r>
      <w:r w:rsidR="00F949EA">
        <w:rPr>
          <w:lang w:val="fr-FR"/>
        </w:rPr>
        <w:t>par. </w:t>
      </w:r>
      <w:r>
        <w:rPr>
          <w:lang w:val="fr-FR"/>
        </w:rPr>
        <w:t>32</w:t>
      </w:r>
      <w:r w:rsidR="00F949EA">
        <w:rPr>
          <w:lang w:val="fr-FR"/>
        </w:rPr>
        <w:t> ;</w:t>
      </w:r>
      <w:r>
        <w:rPr>
          <w:lang w:val="fr-FR"/>
        </w:rPr>
        <w:t xml:space="preserve"> </w:t>
      </w:r>
      <w:hyperlink r:id="rId59" w:history="1">
        <w:r w:rsidRPr="00D230E8">
          <w:rPr>
            <w:rStyle w:val="Lienhypertexte"/>
            <w:lang w:val="fr-FR"/>
          </w:rPr>
          <w:t>A/HRC/49/23</w:t>
        </w:r>
      </w:hyperlink>
      <w:r>
        <w:rPr>
          <w:lang w:val="fr-FR"/>
        </w:rPr>
        <w:t xml:space="preserve">, </w:t>
      </w:r>
      <w:r w:rsidR="00F949EA">
        <w:rPr>
          <w:lang w:val="fr-FR"/>
        </w:rPr>
        <w:t>par. </w:t>
      </w:r>
      <w:r>
        <w:rPr>
          <w:lang w:val="fr-FR"/>
        </w:rPr>
        <w:t>45 à 52</w:t>
      </w:r>
      <w:r w:rsidR="00F949EA">
        <w:rPr>
          <w:lang w:val="fr-FR"/>
        </w:rPr>
        <w:t> ;</w:t>
      </w:r>
      <w:r>
        <w:rPr>
          <w:lang w:val="fr-FR"/>
        </w:rPr>
        <w:t xml:space="preserve"> communication NIC 1/2022</w:t>
      </w:r>
      <w:r w:rsidR="00F949EA">
        <w:rPr>
          <w:lang w:val="fr-FR"/>
        </w:rPr>
        <w:t> ;</w:t>
      </w:r>
      <w:r>
        <w:rPr>
          <w:lang w:val="fr-FR"/>
        </w:rPr>
        <w:t xml:space="preserve"> </w:t>
      </w:r>
      <w:hyperlink r:id="rId60" w:history="1">
        <w:r w:rsidRPr="00D230E8">
          <w:rPr>
            <w:rStyle w:val="Lienhypertexte"/>
            <w:lang w:val="fr-FR"/>
          </w:rPr>
          <w:t>A/HRC/WG.6/33/NIC/3</w:t>
        </w:r>
      </w:hyperlink>
      <w:r>
        <w:rPr>
          <w:lang w:val="fr-FR"/>
        </w:rPr>
        <w:t xml:space="preserve">, </w:t>
      </w:r>
      <w:r w:rsidR="00F949EA">
        <w:rPr>
          <w:lang w:val="fr-FR"/>
        </w:rPr>
        <w:t>par. </w:t>
      </w:r>
      <w:r>
        <w:rPr>
          <w:lang w:val="fr-FR"/>
        </w:rPr>
        <w:t>34 à 50</w:t>
      </w:r>
      <w:r w:rsidR="00F949EA">
        <w:rPr>
          <w:lang w:val="fr-FR"/>
        </w:rPr>
        <w:t> ;</w:t>
      </w:r>
      <w:r>
        <w:rPr>
          <w:lang w:val="fr-FR"/>
        </w:rPr>
        <w:t xml:space="preserve"> </w:t>
      </w:r>
      <w:hyperlink r:id="rId61" w:history="1">
        <w:r w:rsidRPr="00D230E8">
          <w:rPr>
            <w:rStyle w:val="Lienhypertexte"/>
            <w:lang w:val="fr-FR"/>
          </w:rPr>
          <w:t>A/HRC/42/16</w:t>
        </w:r>
      </w:hyperlink>
      <w:r>
        <w:rPr>
          <w:lang w:val="fr-FR"/>
        </w:rPr>
        <w:t xml:space="preserve">, </w:t>
      </w:r>
      <w:r w:rsidR="00F949EA">
        <w:rPr>
          <w:lang w:val="fr-FR"/>
        </w:rPr>
        <w:t>par. </w:t>
      </w:r>
      <w:r>
        <w:rPr>
          <w:lang w:val="fr-FR"/>
        </w:rPr>
        <w:t xml:space="preserve">125.110 à 125.113, 125.118, 125.124 et 125 à 151, et </w:t>
      </w:r>
      <w:hyperlink r:id="rId62" w:history="1">
        <w:r w:rsidRPr="00D230E8">
          <w:rPr>
            <w:rStyle w:val="Lienhypertexte"/>
            <w:lang w:val="fr-FR"/>
          </w:rPr>
          <w:t>A/HRC/42/16/Add.1</w:t>
        </w:r>
      </w:hyperlink>
      <w:r>
        <w:rPr>
          <w:lang w:val="fr-FR"/>
        </w:rPr>
        <w:t>.</w:t>
      </w:r>
    </w:p>
  </w:footnote>
  <w:footnote w:id="54">
    <w:p w14:paraId="0E85AC46" w14:textId="5CEB3946" w:rsidR="009D335A" w:rsidRPr="00B26227" w:rsidRDefault="009D335A" w:rsidP="009D335A">
      <w:pPr>
        <w:pStyle w:val="Notedebasdepage"/>
        <w:rPr>
          <w:szCs w:val="18"/>
          <w:lang w:val="fr-FR"/>
        </w:rPr>
      </w:pPr>
      <w:r w:rsidRPr="0045380A">
        <w:rPr>
          <w:szCs w:val="18"/>
          <w:lang w:val="fr-FR"/>
        </w:rPr>
        <w:tab/>
      </w:r>
      <w:r w:rsidRPr="002354FF">
        <w:rPr>
          <w:rStyle w:val="Appelnotedebasdep"/>
        </w:rPr>
        <w:footnoteRef/>
      </w:r>
      <w:r>
        <w:rPr>
          <w:lang w:val="fr-FR"/>
        </w:rPr>
        <w:tab/>
        <w:t>Voir le compte rendu oral sur la situation des droits de l</w:t>
      </w:r>
      <w:r w:rsidR="002354FF">
        <w:rPr>
          <w:lang w:val="fr-FR"/>
        </w:rPr>
        <w:t>’</w:t>
      </w:r>
      <w:r>
        <w:rPr>
          <w:lang w:val="fr-FR"/>
        </w:rPr>
        <w:t>homme au Nicaragua fait par Michelle Bachelet, Haute-Commissaire des Nations Unies aux droits de l</w:t>
      </w:r>
      <w:r w:rsidR="002354FF">
        <w:rPr>
          <w:lang w:val="fr-FR"/>
        </w:rPr>
        <w:t>’</w:t>
      </w:r>
      <w:r>
        <w:rPr>
          <w:lang w:val="fr-FR"/>
        </w:rPr>
        <w:t>homme, 47</w:t>
      </w:r>
      <w:r w:rsidRPr="00E54489">
        <w:rPr>
          <w:vertAlign w:val="superscript"/>
          <w:lang w:val="fr-FR"/>
        </w:rPr>
        <w:t>e</w:t>
      </w:r>
      <w:r w:rsidR="00D230E8">
        <w:rPr>
          <w:lang w:val="fr-FR"/>
        </w:rPr>
        <w:t> </w:t>
      </w:r>
      <w:r>
        <w:rPr>
          <w:lang w:val="fr-FR"/>
        </w:rPr>
        <w:t>session du Conseil des droits de l</w:t>
      </w:r>
      <w:r w:rsidR="002354FF">
        <w:rPr>
          <w:lang w:val="fr-FR"/>
        </w:rPr>
        <w:t>’</w:t>
      </w:r>
      <w:r>
        <w:rPr>
          <w:lang w:val="fr-FR"/>
        </w:rPr>
        <w:t>homme, Genève, 22</w:t>
      </w:r>
      <w:r w:rsidR="00D230E8">
        <w:rPr>
          <w:lang w:val="fr-FR"/>
        </w:rPr>
        <w:t> </w:t>
      </w:r>
      <w:r>
        <w:rPr>
          <w:lang w:val="fr-FR"/>
        </w:rPr>
        <w:t>juin 2021.</w:t>
      </w:r>
    </w:p>
  </w:footnote>
  <w:footnote w:id="55">
    <w:p w14:paraId="392E9FB8" w14:textId="6C95A852" w:rsidR="009D335A" w:rsidRPr="00B26227" w:rsidRDefault="009D335A" w:rsidP="009D335A">
      <w:pPr>
        <w:pStyle w:val="Notedebasdepage"/>
        <w:rPr>
          <w:szCs w:val="18"/>
          <w:lang w:val="fr-FR"/>
        </w:rPr>
      </w:pPr>
      <w:r w:rsidRPr="0045380A">
        <w:rPr>
          <w:szCs w:val="18"/>
          <w:lang w:val="fr-FR"/>
        </w:rPr>
        <w:tab/>
      </w:r>
      <w:r w:rsidRPr="002354FF">
        <w:rPr>
          <w:rStyle w:val="Appelnotedebasdep"/>
        </w:rPr>
        <w:footnoteRef/>
      </w:r>
      <w:r>
        <w:rPr>
          <w:lang w:val="fr-FR"/>
        </w:rPr>
        <w:tab/>
      </w:r>
      <w:r>
        <w:rPr>
          <w:lang w:val="fr-FR"/>
        </w:rPr>
        <w:tab/>
        <w:t>Voir HCDH, «</w:t>
      </w:r>
      <w:r w:rsidR="00D230E8">
        <w:rPr>
          <w:lang w:val="fr-FR"/>
        </w:rPr>
        <w:t> </w:t>
      </w:r>
      <w:r>
        <w:rPr>
          <w:lang w:val="fr-FR"/>
        </w:rPr>
        <w:t>Violaciones de Derechos Humanos y abusos en el contexto de las protestas en Nicaragua</w:t>
      </w:r>
      <w:r w:rsidR="00D230E8">
        <w:rPr>
          <w:lang w:val="fr-FR"/>
        </w:rPr>
        <w:t> </w:t>
      </w:r>
      <w:r>
        <w:rPr>
          <w:lang w:val="fr-FR"/>
        </w:rPr>
        <w:t>» (violations des droits de l</w:t>
      </w:r>
      <w:r w:rsidR="002354FF">
        <w:rPr>
          <w:lang w:val="fr-FR"/>
        </w:rPr>
        <w:t>’</w:t>
      </w:r>
      <w:r>
        <w:rPr>
          <w:lang w:val="fr-FR"/>
        </w:rPr>
        <w:t>homme et atteintes à ces droits commises lors des manifestations au Nicaragua), 18 avril-18 août 2018.</w:t>
      </w:r>
    </w:p>
  </w:footnote>
  <w:footnote w:id="56">
    <w:p w14:paraId="4CB228B7" w14:textId="18B6D45B" w:rsidR="009D335A" w:rsidRPr="00B26227" w:rsidRDefault="009D335A" w:rsidP="009D335A">
      <w:pPr>
        <w:pStyle w:val="Notedebasdepage"/>
        <w:rPr>
          <w:spacing w:val="4"/>
          <w:szCs w:val="18"/>
          <w:lang w:val="fr-FR"/>
        </w:rPr>
      </w:pPr>
      <w:r w:rsidRPr="000A47F7">
        <w:rPr>
          <w:szCs w:val="18"/>
          <w:lang w:val="fr-FR"/>
        </w:rPr>
        <w:tab/>
      </w:r>
      <w:r w:rsidRPr="002354FF">
        <w:rPr>
          <w:rStyle w:val="Appelnotedebasdep"/>
        </w:rPr>
        <w:footnoteRef/>
      </w:r>
      <w:r>
        <w:rPr>
          <w:lang w:val="fr-FR"/>
        </w:rPr>
        <w:tab/>
      </w:r>
      <w:r w:rsidR="00D230E8">
        <w:rPr>
          <w:lang w:val="fr-FR"/>
        </w:rPr>
        <w:t>Communication</w:t>
      </w:r>
      <w:r>
        <w:rPr>
          <w:lang w:val="fr-FR"/>
        </w:rPr>
        <w:t xml:space="preserve"> NIC 4/2020 et </w:t>
      </w:r>
      <w:hyperlink r:id="rId63" w:history="1">
        <w:r w:rsidRPr="00D230E8">
          <w:rPr>
            <w:rStyle w:val="Lienhypertexte"/>
            <w:lang w:val="fr-FR"/>
          </w:rPr>
          <w:t>A/HRC/WG.6/33/NIC/3</w:t>
        </w:r>
      </w:hyperlink>
      <w:r>
        <w:rPr>
          <w:lang w:val="fr-FR"/>
        </w:rPr>
        <w:t xml:space="preserve">, </w:t>
      </w:r>
      <w:r w:rsidR="00F949EA">
        <w:rPr>
          <w:lang w:val="fr-FR"/>
        </w:rPr>
        <w:t>par. </w:t>
      </w:r>
      <w:r>
        <w:rPr>
          <w:lang w:val="fr-FR"/>
        </w:rPr>
        <w:t>17 et 19.</w:t>
      </w:r>
    </w:p>
  </w:footnote>
  <w:footnote w:id="57">
    <w:p w14:paraId="69D0CA45" w14:textId="77777777" w:rsidR="009D335A" w:rsidRPr="00B26227" w:rsidRDefault="009D335A" w:rsidP="009D335A">
      <w:pPr>
        <w:pStyle w:val="Notedebasdepage"/>
        <w:rPr>
          <w:szCs w:val="18"/>
          <w:lang w:val="fr-FR"/>
        </w:rPr>
      </w:pPr>
      <w:r w:rsidRPr="0045380A">
        <w:rPr>
          <w:szCs w:val="18"/>
          <w:lang w:val="fr-FR"/>
        </w:rPr>
        <w:tab/>
      </w:r>
      <w:r w:rsidRPr="002354FF">
        <w:rPr>
          <w:rStyle w:val="Appelnotedebasdep"/>
        </w:rPr>
        <w:footnoteRef/>
      </w:r>
      <w:r>
        <w:rPr>
          <w:lang w:val="fr-FR"/>
        </w:rPr>
        <w:tab/>
      </w:r>
      <w:r>
        <w:rPr>
          <w:lang w:val="fr-FR"/>
        </w:rPr>
        <w:tab/>
        <w:t>Voir communication NIC 3/2020.</w:t>
      </w:r>
    </w:p>
  </w:footnote>
  <w:footnote w:id="58">
    <w:p w14:paraId="09ECB873" w14:textId="4D688989" w:rsidR="009D335A" w:rsidRPr="00B26227" w:rsidRDefault="009D335A" w:rsidP="009D335A">
      <w:pPr>
        <w:pStyle w:val="Notedebasdepage"/>
        <w:rPr>
          <w:szCs w:val="18"/>
          <w:lang w:val="fr-FR"/>
        </w:rPr>
      </w:pPr>
      <w:r w:rsidRPr="0045380A">
        <w:rPr>
          <w:szCs w:val="18"/>
          <w:lang w:val="fr-FR"/>
        </w:rPr>
        <w:tab/>
      </w:r>
      <w:r w:rsidRPr="002354FF">
        <w:rPr>
          <w:rStyle w:val="Appelnotedebasdep"/>
        </w:rPr>
        <w:footnoteRef/>
      </w:r>
      <w:r>
        <w:rPr>
          <w:lang w:val="fr-FR"/>
        </w:rPr>
        <w:tab/>
      </w:r>
      <w:r>
        <w:rPr>
          <w:lang w:val="fr-FR"/>
        </w:rPr>
        <w:tab/>
      </w:r>
      <w:hyperlink r:id="rId64" w:history="1">
        <w:r w:rsidRPr="00802716">
          <w:rPr>
            <w:rStyle w:val="Lienhypertexte"/>
            <w:lang w:val="fr-FR"/>
          </w:rPr>
          <w:t>A/HRC/48/55</w:t>
        </w:r>
      </w:hyperlink>
      <w:r>
        <w:rPr>
          <w:lang w:val="fr-FR"/>
        </w:rPr>
        <w:t>, p.</w:t>
      </w:r>
      <w:r w:rsidR="00802716">
        <w:rPr>
          <w:lang w:val="fr-FR"/>
        </w:rPr>
        <w:t> </w:t>
      </w:r>
      <w:r>
        <w:rPr>
          <w:lang w:val="fr-FR"/>
        </w:rPr>
        <w:t>7.</w:t>
      </w:r>
    </w:p>
  </w:footnote>
  <w:footnote w:id="59">
    <w:p w14:paraId="596CBF29" w14:textId="2FC43C34" w:rsidR="009D335A" w:rsidRPr="00B26227" w:rsidRDefault="009D335A" w:rsidP="009D335A">
      <w:pPr>
        <w:pStyle w:val="Notedebasdepage"/>
        <w:rPr>
          <w:szCs w:val="18"/>
          <w:lang w:val="fr-FR"/>
        </w:rPr>
      </w:pPr>
      <w:r w:rsidRPr="0045380A">
        <w:rPr>
          <w:szCs w:val="18"/>
          <w:lang w:val="fr-FR"/>
        </w:rPr>
        <w:tab/>
      </w:r>
      <w:r w:rsidRPr="002354FF">
        <w:rPr>
          <w:rStyle w:val="Appelnotedebasdep"/>
        </w:rPr>
        <w:footnoteRef/>
      </w:r>
      <w:r>
        <w:rPr>
          <w:lang w:val="fr-FR"/>
        </w:rPr>
        <w:tab/>
      </w:r>
      <w:hyperlink r:id="rId65" w:history="1">
        <w:r w:rsidRPr="00802716">
          <w:rPr>
            <w:rStyle w:val="Lienhypertexte"/>
            <w:lang w:val="fr-FR"/>
          </w:rPr>
          <w:tab/>
          <w:t>CAT/C/NIC/2</w:t>
        </w:r>
      </w:hyperlink>
      <w:r>
        <w:rPr>
          <w:lang w:val="fr-FR"/>
        </w:rPr>
        <w:t xml:space="preserve">, </w:t>
      </w:r>
      <w:r w:rsidR="00F949EA">
        <w:rPr>
          <w:lang w:val="fr-FR"/>
        </w:rPr>
        <w:t>par. </w:t>
      </w:r>
      <w:r>
        <w:rPr>
          <w:lang w:val="fr-FR"/>
        </w:rPr>
        <w:t>9 et 10, 16 à 20, 25 à 28, 84 à 110 et 119.</w:t>
      </w:r>
    </w:p>
  </w:footnote>
  <w:footnote w:id="60">
    <w:p w14:paraId="3BEE6841" w14:textId="77A5B101" w:rsidR="009D335A" w:rsidRPr="00B26227" w:rsidRDefault="009D335A" w:rsidP="009D335A">
      <w:pPr>
        <w:pStyle w:val="Notedebasdepage"/>
        <w:rPr>
          <w:szCs w:val="18"/>
          <w:lang w:val="fr-FR"/>
        </w:rPr>
      </w:pPr>
      <w:r w:rsidRPr="005026E8">
        <w:rPr>
          <w:szCs w:val="18"/>
          <w:lang w:val="fr-FR"/>
        </w:rPr>
        <w:tab/>
      </w:r>
      <w:r w:rsidRPr="002354FF">
        <w:rPr>
          <w:rStyle w:val="Appelnotedebasdep"/>
        </w:rPr>
        <w:footnoteRef/>
      </w:r>
      <w:r>
        <w:rPr>
          <w:lang w:val="fr-FR"/>
        </w:rPr>
        <w:tab/>
      </w:r>
      <w:r>
        <w:rPr>
          <w:lang w:val="fr-FR"/>
        </w:rPr>
        <w:tab/>
      </w:r>
      <w:hyperlink r:id="rId66" w:history="1">
        <w:r w:rsidRPr="00F14C11">
          <w:rPr>
            <w:rStyle w:val="Lienhypertexte"/>
            <w:lang w:val="fr-FR"/>
          </w:rPr>
          <w:t>A/HRC/46/21</w:t>
        </w:r>
      </w:hyperlink>
      <w:r>
        <w:rPr>
          <w:lang w:val="fr-FR"/>
        </w:rPr>
        <w:t xml:space="preserve">, </w:t>
      </w:r>
      <w:r w:rsidR="00F949EA">
        <w:rPr>
          <w:lang w:val="fr-FR"/>
        </w:rPr>
        <w:t>par. </w:t>
      </w:r>
      <w:r>
        <w:rPr>
          <w:lang w:val="fr-FR"/>
        </w:rPr>
        <w:t>3 à 36</w:t>
      </w:r>
      <w:r w:rsidR="00F949EA">
        <w:rPr>
          <w:lang w:val="fr-FR"/>
        </w:rPr>
        <w:t> ;</w:t>
      </w:r>
      <w:r>
        <w:rPr>
          <w:lang w:val="fr-FR"/>
        </w:rPr>
        <w:t xml:space="preserve"> </w:t>
      </w:r>
      <w:hyperlink r:id="rId67" w:history="1">
        <w:r w:rsidRPr="00F14C11">
          <w:rPr>
            <w:rStyle w:val="Lienhypertexte"/>
            <w:lang w:val="fr-FR"/>
          </w:rPr>
          <w:t>A/HRC/49/23</w:t>
        </w:r>
      </w:hyperlink>
      <w:r>
        <w:rPr>
          <w:lang w:val="fr-FR"/>
        </w:rPr>
        <w:t xml:space="preserve">, </w:t>
      </w:r>
      <w:r w:rsidR="00F949EA">
        <w:rPr>
          <w:lang w:val="fr-FR"/>
        </w:rPr>
        <w:t>par. </w:t>
      </w:r>
      <w:r>
        <w:rPr>
          <w:lang w:val="fr-FR"/>
        </w:rPr>
        <w:t>37 et 38</w:t>
      </w:r>
      <w:r w:rsidR="00F949EA">
        <w:rPr>
          <w:lang w:val="fr-FR"/>
        </w:rPr>
        <w:t> ;</w:t>
      </w:r>
      <w:r>
        <w:rPr>
          <w:lang w:val="fr-FR"/>
        </w:rPr>
        <w:t xml:space="preserve"> </w:t>
      </w:r>
      <w:hyperlink r:id="rId68" w:history="1">
        <w:r w:rsidRPr="00F14C11">
          <w:rPr>
            <w:rStyle w:val="Lienhypertexte"/>
            <w:lang w:val="fr-FR"/>
          </w:rPr>
          <w:t>A/HRC/WG.6/33/NIC/3</w:t>
        </w:r>
      </w:hyperlink>
      <w:r>
        <w:rPr>
          <w:lang w:val="fr-FR"/>
        </w:rPr>
        <w:t xml:space="preserve">, </w:t>
      </w:r>
      <w:r w:rsidR="00F949EA">
        <w:rPr>
          <w:lang w:val="fr-FR"/>
        </w:rPr>
        <w:t>par. </w:t>
      </w:r>
      <w:r>
        <w:rPr>
          <w:lang w:val="fr-FR"/>
        </w:rPr>
        <w:t>75 et 76</w:t>
      </w:r>
      <w:r w:rsidR="00F949EA">
        <w:rPr>
          <w:lang w:val="fr-FR"/>
        </w:rPr>
        <w:t> ;</w:t>
      </w:r>
      <w:r>
        <w:rPr>
          <w:lang w:val="fr-FR"/>
        </w:rPr>
        <w:t xml:space="preserve"> </w:t>
      </w:r>
      <w:hyperlink r:id="rId69" w:history="1">
        <w:r w:rsidRPr="00F14C11">
          <w:rPr>
            <w:rStyle w:val="Lienhypertexte"/>
            <w:lang w:val="fr-FR"/>
          </w:rPr>
          <w:t>A/HRC/WG.6/33/NIC/2</w:t>
        </w:r>
      </w:hyperlink>
      <w:r>
        <w:rPr>
          <w:lang w:val="fr-FR"/>
        </w:rPr>
        <w:t xml:space="preserve">, </w:t>
      </w:r>
      <w:r w:rsidR="00F949EA">
        <w:rPr>
          <w:lang w:val="fr-FR"/>
        </w:rPr>
        <w:t>par. </w:t>
      </w:r>
      <w:r>
        <w:rPr>
          <w:lang w:val="fr-FR"/>
        </w:rPr>
        <w:t xml:space="preserve">71. </w:t>
      </w:r>
    </w:p>
  </w:footnote>
  <w:footnote w:id="61">
    <w:p w14:paraId="44224FB8" w14:textId="612D3C2C" w:rsidR="009D335A" w:rsidRPr="00B26227" w:rsidRDefault="009D335A" w:rsidP="009D335A">
      <w:pPr>
        <w:pStyle w:val="Notedebasdepage"/>
        <w:rPr>
          <w:szCs w:val="18"/>
          <w:lang w:val="fr-FR"/>
        </w:rPr>
      </w:pPr>
      <w:r w:rsidRPr="000A47F7">
        <w:rPr>
          <w:szCs w:val="18"/>
          <w:lang w:val="fr-FR"/>
        </w:rPr>
        <w:tab/>
      </w:r>
      <w:r w:rsidRPr="002354FF">
        <w:rPr>
          <w:rStyle w:val="Appelnotedebasdep"/>
        </w:rPr>
        <w:footnoteRef/>
      </w:r>
      <w:r>
        <w:rPr>
          <w:lang w:val="fr-FR"/>
        </w:rPr>
        <w:tab/>
      </w:r>
      <w:r>
        <w:rPr>
          <w:lang w:val="fr-FR"/>
        </w:rPr>
        <w:tab/>
      </w:r>
      <w:hyperlink r:id="rId70" w:history="1">
        <w:r w:rsidRPr="00F14C11">
          <w:rPr>
            <w:rStyle w:val="Lienhypertexte"/>
            <w:lang w:val="fr-FR"/>
          </w:rPr>
          <w:t>CAT/C/NIC/2</w:t>
        </w:r>
      </w:hyperlink>
      <w:r>
        <w:rPr>
          <w:lang w:val="fr-FR"/>
        </w:rPr>
        <w:t xml:space="preserve">, </w:t>
      </w:r>
      <w:r w:rsidR="00F949EA">
        <w:rPr>
          <w:lang w:val="fr-FR"/>
        </w:rPr>
        <w:t>par. </w:t>
      </w:r>
      <w:r>
        <w:rPr>
          <w:lang w:val="fr-FR"/>
        </w:rPr>
        <w:t>111.</w:t>
      </w:r>
    </w:p>
  </w:footnote>
  <w:footnote w:id="62">
    <w:p w14:paraId="735911F8" w14:textId="25AF87CE" w:rsidR="009D335A" w:rsidRPr="00B26227" w:rsidRDefault="009D335A" w:rsidP="009D335A">
      <w:pPr>
        <w:pStyle w:val="Notedebasdepage"/>
        <w:rPr>
          <w:szCs w:val="18"/>
          <w:lang w:val="fr-FR"/>
        </w:rPr>
      </w:pPr>
      <w:r w:rsidRPr="000A47F7">
        <w:rPr>
          <w:szCs w:val="18"/>
          <w:lang w:val="fr-FR"/>
        </w:rPr>
        <w:tab/>
      </w:r>
      <w:r w:rsidRPr="002354FF">
        <w:rPr>
          <w:rStyle w:val="Appelnotedebasdep"/>
        </w:rPr>
        <w:footnoteRef/>
      </w:r>
      <w:r>
        <w:rPr>
          <w:lang w:val="fr-FR"/>
        </w:rPr>
        <w:tab/>
      </w:r>
      <w:hyperlink r:id="rId71" w:history="1">
        <w:r w:rsidRPr="00F14C11">
          <w:rPr>
            <w:rStyle w:val="Lienhypertexte"/>
            <w:lang w:val="fr-FR"/>
          </w:rPr>
          <w:tab/>
          <w:t>CAT/C/NIC/2</w:t>
        </w:r>
      </w:hyperlink>
      <w:r>
        <w:rPr>
          <w:lang w:val="fr-FR"/>
        </w:rPr>
        <w:t xml:space="preserve">, </w:t>
      </w:r>
      <w:r w:rsidR="00F949EA">
        <w:rPr>
          <w:lang w:val="fr-FR"/>
        </w:rPr>
        <w:t>par. </w:t>
      </w:r>
      <w:r>
        <w:rPr>
          <w:lang w:val="fr-FR"/>
        </w:rPr>
        <w:t>113 à 116</w:t>
      </w:r>
      <w:r w:rsidR="00F949EA">
        <w:rPr>
          <w:lang w:val="fr-FR"/>
        </w:rPr>
        <w:t> ;</w:t>
      </w:r>
      <w:r>
        <w:rPr>
          <w:lang w:val="fr-FR"/>
        </w:rPr>
        <w:t xml:space="preserve"> </w:t>
      </w:r>
      <w:hyperlink r:id="rId72" w:history="1">
        <w:r w:rsidRPr="00F14C11">
          <w:rPr>
            <w:rStyle w:val="Lienhypertexte"/>
            <w:lang w:val="fr-FR"/>
          </w:rPr>
          <w:t>A/HRC/42/16</w:t>
        </w:r>
      </w:hyperlink>
      <w:r>
        <w:rPr>
          <w:lang w:val="fr-FR"/>
        </w:rPr>
        <w:t xml:space="preserve">, </w:t>
      </w:r>
      <w:r w:rsidR="00F949EA">
        <w:rPr>
          <w:lang w:val="fr-FR"/>
        </w:rPr>
        <w:t>par. </w:t>
      </w:r>
      <w:r>
        <w:rPr>
          <w:lang w:val="fr-FR"/>
        </w:rPr>
        <w:t xml:space="preserve">125.220 et </w:t>
      </w:r>
      <w:hyperlink r:id="rId73" w:history="1">
        <w:r w:rsidRPr="00F14C11">
          <w:rPr>
            <w:rStyle w:val="Lienhypertexte"/>
            <w:lang w:val="fr-FR"/>
          </w:rPr>
          <w:t>A/HRC/42/16/Add.1</w:t>
        </w:r>
      </w:hyperlink>
      <w:r>
        <w:rPr>
          <w:lang w:val="fr-FR"/>
        </w:rPr>
        <w:t>.</w:t>
      </w:r>
    </w:p>
  </w:footnote>
  <w:footnote w:id="63">
    <w:p w14:paraId="3B1345EA" w14:textId="1A6E7949" w:rsidR="009D335A" w:rsidRPr="00B26227" w:rsidRDefault="009D335A" w:rsidP="009D335A">
      <w:pPr>
        <w:pStyle w:val="Notedebasdepage"/>
        <w:rPr>
          <w:szCs w:val="18"/>
          <w:lang w:val="fr-FR"/>
        </w:rPr>
      </w:pPr>
      <w:r w:rsidRPr="0045380A">
        <w:rPr>
          <w:szCs w:val="18"/>
          <w:lang w:val="fr-FR"/>
        </w:rPr>
        <w:tab/>
      </w:r>
      <w:r w:rsidRPr="002354FF">
        <w:rPr>
          <w:rStyle w:val="Appelnotedebasdep"/>
        </w:rPr>
        <w:footnoteRef/>
      </w:r>
      <w:r>
        <w:rPr>
          <w:lang w:val="fr-FR"/>
        </w:rPr>
        <w:tab/>
      </w:r>
      <w:r>
        <w:rPr>
          <w:lang w:val="fr-FR"/>
        </w:rPr>
        <w:tab/>
      </w:r>
      <w:hyperlink r:id="rId74" w:history="1">
        <w:r w:rsidRPr="00F14C11">
          <w:rPr>
            <w:rStyle w:val="Lienhypertexte"/>
            <w:lang w:val="fr-FR"/>
          </w:rPr>
          <w:t>A/HRC/WG.6/33/NIC/3</w:t>
        </w:r>
      </w:hyperlink>
      <w:r>
        <w:rPr>
          <w:lang w:val="fr-FR"/>
        </w:rPr>
        <w:t xml:space="preserve">, </w:t>
      </w:r>
      <w:r w:rsidR="00F949EA">
        <w:rPr>
          <w:lang w:val="fr-FR"/>
        </w:rPr>
        <w:t>par. </w:t>
      </w:r>
      <w:r>
        <w:rPr>
          <w:lang w:val="fr-FR"/>
        </w:rPr>
        <w:t>78 à 80.</w:t>
      </w:r>
    </w:p>
  </w:footnote>
  <w:footnote w:id="64">
    <w:p w14:paraId="6D6DEE5B" w14:textId="3E7BD72B" w:rsidR="009D335A" w:rsidRPr="00B26227" w:rsidRDefault="009D335A" w:rsidP="009D335A">
      <w:pPr>
        <w:pStyle w:val="Notedebasdepage"/>
        <w:rPr>
          <w:szCs w:val="18"/>
          <w:lang w:val="fr-FR"/>
        </w:rPr>
      </w:pPr>
      <w:r w:rsidRPr="0045380A">
        <w:rPr>
          <w:szCs w:val="18"/>
          <w:lang w:val="fr-FR"/>
        </w:rPr>
        <w:tab/>
      </w:r>
      <w:r w:rsidRPr="002354FF">
        <w:rPr>
          <w:rStyle w:val="Appelnotedebasdep"/>
        </w:rPr>
        <w:footnoteRef/>
      </w:r>
      <w:r>
        <w:rPr>
          <w:lang w:val="fr-FR"/>
        </w:rPr>
        <w:tab/>
      </w:r>
      <w:hyperlink r:id="rId75" w:history="1">
        <w:r w:rsidRPr="00F14C11">
          <w:rPr>
            <w:rStyle w:val="Lienhypertexte"/>
            <w:lang w:val="fr-FR"/>
          </w:rPr>
          <w:tab/>
          <w:t>E/C.12/NIC/CO/5</w:t>
        </w:r>
      </w:hyperlink>
      <w:r>
        <w:rPr>
          <w:lang w:val="fr-FR"/>
        </w:rPr>
        <w:t xml:space="preserve">, </w:t>
      </w:r>
      <w:r w:rsidR="00F949EA">
        <w:rPr>
          <w:lang w:val="fr-FR"/>
        </w:rPr>
        <w:t>par. </w:t>
      </w:r>
      <w:r>
        <w:rPr>
          <w:lang w:val="fr-FR"/>
        </w:rPr>
        <w:t>44 et 45</w:t>
      </w:r>
      <w:r w:rsidR="00F949EA">
        <w:rPr>
          <w:lang w:val="fr-FR"/>
        </w:rPr>
        <w:t> ;</w:t>
      </w:r>
      <w:r>
        <w:rPr>
          <w:lang w:val="fr-FR"/>
        </w:rPr>
        <w:t xml:space="preserve"> </w:t>
      </w:r>
      <w:hyperlink r:id="rId76" w:history="1">
        <w:r w:rsidRPr="00F14C11">
          <w:rPr>
            <w:rStyle w:val="Lienhypertexte"/>
            <w:lang w:val="fr-FR"/>
          </w:rPr>
          <w:t>A/HRC/WG.6/33/NIC/3</w:t>
        </w:r>
      </w:hyperlink>
      <w:r>
        <w:rPr>
          <w:lang w:val="fr-FR"/>
        </w:rPr>
        <w:t xml:space="preserve">, </w:t>
      </w:r>
      <w:r w:rsidR="00F949EA">
        <w:rPr>
          <w:lang w:val="fr-FR"/>
        </w:rPr>
        <w:t>par. </w:t>
      </w:r>
      <w:r>
        <w:rPr>
          <w:lang w:val="fr-FR"/>
        </w:rPr>
        <w:t>64.</w:t>
      </w:r>
    </w:p>
  </w:footnote>
  <w:footnote w:id="65">
    <w:p w14:paraId="2D5E1CC9" w14:textId="11EFDB8D" w:rsidR="009D335A" w:rsidRPr="00B26227" w:rsidRDefault="009D335A" w:rsidP="009D335A">
      <w:pPr>
        <w:pStyle w:val="Notedebasdepage"/>
        <w:rPr>
          <w:lang w:val="fr-FR"/>
        </w:rPr>
      </w:pPr>
      <w:r w:rsidRPr="009E34AF">
        <w:rPr>
          <w:lang w:val="fr-FR"/>
        </w:rPr>
        <w:tab/>
      </w:r>
      <w:r w:rsidRPr="002354FF">
        <w:rPr>
          <w:rStyle w:val="Appelnotedebasdep"/>
        </w:rPr>
        <w:footnoteRef/>
      </w:r>
      <w:r>
        <w:rPr>
          <w:lang w:val="fr-FR"/>
        </w:rPr>
        <w:tab/>
      </w:r>
      <w:r>
        <w:rPr>
          <w:lang w:val="fr-FR"/>
        </w:rPr>
        <w:tab/>
      </w:r>
      <w:hyperlink r:id="rId77" w:history="1">
        <w:r w:rsidRPr="00F14C11">
          <w:rPr>
            <w:rStyle w:val="Lienhypertexte"/>
            <w:lang w:val="fr-FR"/>
          </w:rPr>
          <w:t>A/HRC/46/21</w:t>
        </w:r>
      </w:hyperlink>
      <w:r>
        <w:rPr>
          <w:lang w:val="fr-FR"/>
        </w:rPr>
        <w:t xml:space="preserve">, </w:t>
      </w:r>
      <w:r w:rsidR="00F949EA">
        <w:rPr>
          <w:lang w:val="fr-FR"/>
        </w:rPr>
        <w:t>par. </w:t>
      </w:r>
      <w:r>
        <w:rPr>
          <w:lang w:val="fr-FR"/>
        </w:rPr>
        <w:t>49 à 53</w:t>
      </w:r>
      <w:r w:rsidR="00F949EA">
        <w:rPr>
          <w:lang w:val="fr-FR"/>
        </w:rPr>
        <w:t> ;</w:t>
      </w:r>
      <w:r>
        <w:rPr>
          <w:lang w:val="fr-FR"/>
        </w:rPr>
        <w:t xml:space="preserve"> </w:t>
      </w:r>
      <w:hyperlink r:id="rId78" w:history="1">
        <w:r w:rsidRPr="00F14C11">
          <w:rPr>
            <w:rStyle w:val="Lienhypertexte"/>
            <w:lang w:val="fr-FR"/>
          </w:rPr>
          <w:t>A/HRC/49/23</w:t>
        </w:r>
      </w:hyperlink>
      <w:r>
        <w:rPr>
          <w:lang w:val="fr-FR"/>
        </w:rPr>
        <w:t xml:space="preserve">, </w:t>
      </w:r>
      <w:r w:rsidR="00F949EA">
        <w:rPr>
          <w:lang w:val="fr-FR"/>
        </w:rPr>
        <w:t>par. </w:t>
      </w:r>
      <w:r>
        <w:rPr>
          <w:lang w:val="fr-FR"/>
        </w:rPr>
        <w:t>32 à 34</w:t>
      </w:r>
      <w:r w:rsidR="00F949EA">
        <w:rPr>
          <w:lang w:val="fr-FR"/>
        </w:rPr>
        <w:t> ;</w:t>
      </w:r>
      <w:r>
        <w:rPr>
          <w:lang w:val="fr-FR"/>
        </w:rPr>
        <w:t xml:space="preserve"> communication NIC 1/2021</w:t>
      </w:r>
      <w:r w:rsidR="00F949EA">
        <w:rPr>
          <w:lang w:val="fr-FR"/>
        </w:rPr>
        <w:t> ;</w:t>
      </w:r>
      <w:r>
        <w:rPr>
          <w:lang w:val="fr-FR"/>
        </w:rPr>
        <w:t xml:space="preserve"> </w:t>
      </w:r>
      <w:hyperlink r:id="rId79" w:history="1">
        <w:r w:rsidRPr="00F14C11">
          <w:rPr>
            <w:rStyle w:val="Lienhypertexte"/>
            <w:lang w:val="fr-FR"/>
          </w:rPr>
          <w:t>E/C.12/NIC/CO/5</w:t>
        </w:r>
      </w:hyperlink>
      <w:r>
        <w:rPr>
          <w:lang w:val="fr-FR"/>
        </w:rPr>
        <w:t xml:space="preserve">, </w:t>
      </w:r>
      <w:r w:rsidR="00F949EA">
        <w:rPr>
          <w:lang w:val="fr-FR"/>
        </w:rPr>
        <w:t>par. </w:t>
      </w:r>
      <w:r>
        <w:rPr>
          <w:lang w:val="fr-FR"/>
        </w:rPr>
        <w:t>11 et 12</w:t>
      </w:r>
      <w:r w:rsidR="00F949EA">
        <w:rPr>
          <w:lang w:val="fr-FR"/>
        </w:rPr>
        <w:t> ;</w:t>
      </w:r>
      <w:r>
        <w:rPr>
          <w:lang w:val="fr-FR"/>
        </w:rPr>
        <w:t xml:space="preserve"> </w:t>
      </w:r>
      <w:hyperlink r:id="rId80" w:history="1">
        <w:r w:rsidRPr="00F14C11">
          <w:rPr>
            <w:rStyle w:val="Lienhypertexte"/>
            <w:lang w:val="fr-FR"/>
          </w:rPr>
          <w:t>A/HRC/WG.6/33/NIC/3</w:t>
        </w:r>
      </w:hyperlink>
      <w:r>
        <w:rPr>
          <w:lang w:val="fr-FR"/>
        </w:rPr>
        <w:t xml:space="preserve">, </w:t>
      </w:r>
      <w:r w:rsidR="00F949EA">
        <w:rPr>
          <w:lang w:val="fr-FR"/>
        </w:rPr>
        <w:t>par. </w:t>
      </w:r>
      <w:r>
        <w:rPr>
          <w:lang w:val="fr-FR"/>
        </w:rPr>
        <w:t>41.</w:t>
      </w:r>
    </w:p>
  </w:footnote>
  <w:footnote w:id="66">
    <w:p w14:paraId="0E830B16" w14:textId="48B0B9F8" w:rsidR="009D335A" w:rsidRPr="00B26227" w:rsidRDefault="009D335A" w:rsidP="009D335A">
      <w:pPr>
        <w:pStyle w:val="Notedebasdepage"/>
        <w:rPr>
          <w:szCs w:val="18"/>
          <w:lang w:val="fr-FR"/>
        </w:rPr>
      </w:pPr>
      <w:r w:rsidRPr="00C27EA1">
        <w:rPr>
          <w:szCs w:val="18"/>
          <w:lang w:val="fr-FR"/>
        </w:rPr>
        <w:tab/>
      </w:r>
      <w:r w:rsidRPr="002354FF">
        <w:rPr>
          <w:rStyle w:val="Appelnotedebasdep"/>
        </w:rPr>
        <w:footnoteRef/>
      </w:r>
      <w:r>
        <w:rPr>
          <w:lang w:val="fr-FR"/>
        </w:rPr>
        <w:tab/>
      </w:r>
      <w:r>
        <w:rPr>
          <w:lang w:val="fr-FR"/>
        </w:rPr>
        <w:tab/>
        <w:t>Voir Commission interaméricaine des droits de l</w:t>
      </w:r>
      <w:r w:rsidR="002354FF">
        <w:rPr>
          <w:lang w:val="fr-FR"/>
        </w:rPr>
        <w:t>’</w:t>
      </w:r>
      <w:r>
        <w:rPr>
          <w:lang w:val="fr-FR"/>
        </w:rPr>
        <w:t>homme, « CIDH y OACNUDH expresan su preocupación por la aprobación de la Ley de Atención Integral a Víctimas en Nicaragua</w:t>
      </w:r>
      <w:r w:rsidR="00F14C11">
        <w:rPr>
          <w:lang w:val="fr-FR"/>
        </w:rPr>
        <w:t> </w:t>
      </w:r>
      <w:r>
        <w:rPr>
          <w:lang w:val="fr-FR"/>
        </w:rPr>
        <w:t>» (Le CIDH et le HCDH s</w:t>
      </w:r>
      <w:r w:rsidR="002354FF">
        <w:rPr>
          <w:lang w:val="fr-FR"/>
        </w:rPr>
        <w:t>’</w:t>
      </w:r>
      <w:r>
        <w:rPr>
          <w:lang w:val="fr-FR"/>
        </w:rPr>
        <w:t>inquiètent de l</w:t>
      </w:r>
      <w:r w:rsidR="002354FF">
        <w:rPr>
          <w:lang w:val="fr-FR"/>
        </w:rPr>
        <w:t>’</w:t>
      </w:r>
      <w:r>
        <w:rPr>
          <w:lang w:val="fr-FR"/>
        </w:rPr>
        <w:t>adoption de la loi sur la prise en charge intégrale des victimes au Nicaragua), communiqué de presse, 3</w:t>
      </w:r>
      <w:r w:rsidR="00F14C11">
        <w:rPr>
          <w:lang w:val="fr-FR"/>
        </w:rPr>
        <w:t> </w:t>
      </w:r>
      <w:r>
        <w:rPr>
          <w:lang w:val="fr-FR"/>
        </w:rPr>
        <w:t>juin 2019.</w:t>
      </w:r>
    </w:p>
  </w:footnote>
  <w:footnote w:id="67">
    <w:p w14:paraId="544D0A15" w14:textId="01DBCC69" w:rsidR="009D335A" w:rsidRPr="00B26227" w:rsidRDefault="009D335A" w:rsidP="009D335A">
      <w:pPr>
        <w:pStyle w:val="Notedebasdepage"/>
        <w:rPr>
          <w:lang w:val="fr-FR"/>
        </w:rPr>
      </w:pPr>
      <w:r>
        <w:rPr>
          <w:lang w:val="fr-FR"/>
        </w:rPr>
        <w:tab/>
      </w:r>
      <w:r w:rsidRPr="002354FF">
        <w:rPr>
          <w:rStyle w:val="Appelnotedebasdep"/>
        </w:rPr>
        <w:footnoteRef/>
      </w:r>
      <w:r>
        <w:rPr>
          <w:lang w:val="fr-FR"/>
        </w:rPr>
        <w:tab/>
      </w:r>
      <w:r>
        <w:rPr>
          <w:lang w:val="fr-FR"/>
        </w:rPr>
        <w:tab/>
      </w:r>
      <w:hyperlink r:id="rId81" w:history="1">
        <w:r w:rsidRPr="00F14C11">
          <w:rPr>
            <w:rStyle w:val="Lienhypertexte"/>
            <w:lang w:val="fr-FR"/>
          </w:rPr>
          <w:t>A/HRC/42/16</w:t>
        </w:r>
      </w:hyperlink>
      <w:r>
        <w:rPr>
          <w:lang w:val="fr-FR"/>
        </w:rPr>
        <w:t xml:space="preserve">, </w:t>
      </w:r>
      <w:r w:rsidR="00F949EA">
        <w:rPr>
          <w:lang w:val="fr-FR"/>
        </w:rPr>
        <w:t>par. </w:t>
      </w:r>
      <w:r>
        <w:rPr>
          <w:lang w:val="fr-FR"/>
        </w:rPr>
        <w:t xml:space="preserve">125.90 et 125.103, et </w:t>
      </w:r>
      <w:hyperlink r:id="rId82" w:history="1">
        <w:r w:rsidRPr="00F14C11">
          <w:rPr>
            <w:rStyle w:val="Lienhypertexte"/>
            <w:lang w:val="fr-FR"/>
          </w:rPr>
          <w:t>A/HRC/42/16/Add.1</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9B4F1" w14:textId="4255C37D" w:rsidR="009D335A" w:rsidRPr="009D335A" w:rsidRDefault="009D335A">
    <w:pPr>
      <w:pStyle w:val="En-tte"/>
    </w:pPr>
    <w:fldSimple w:instr=" TITLE  \* MERGEFORMAT ">
      <w:r w:rsidR="00ED49DC">
        <w:t>CAT/C/NIC/PCO/2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8E329" w14:textId="0A92D290" w:rsidR="009D335A" w:rsidRPr="009D335A" w:rsidRDefault="009D335A" w:rsidP="009D335A">
    <w:pPr>
      <w:pStyle w:val="En-tte"/>
      <w:jc w:val="right"/>
    </w:pPr>
    <w:fldSimple w:instr=" TITLE  \* MERGEFORMAT ">
      <w:r w:rsidR="00ED49DC">
        <w:t>CAT/C/NIC/PCO/2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7D3A56"/>
    <w:multiLevelType w:val="hybridMultilevel"/>
    <w:tmpl w:val="A48ADBFE"/>
    <w:lvl w:ilvl="0" w:tplc="49C21B1A">
      <w:start w:val="1"/>
      <w:numFmt w:val="lowerLetter"/>
      <w:lvlText w:val="%1)"/>
      <w:lvlJc w:val="left"/>
      <w:pPr>
        <w:ind w:left="1854" w:hanging="360"/>
      </w:pPr>
      <w:rPr>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D826FBD"/>
    <w:multiLevelType w:val="hybridMultilevel"/>
    <w:tmpl w:val="0AEA2C54"/>
    <w:lvl w:ilvl="0" w:tplc="F780A382">
      <w:start w:val="1"/>
      <w:numFmt w:val="lowerLetter"/>
      <w:lvlText w:val="%1)"/>
      <w:lvlJc w:val="left"/>
      <w:pPr>
        <w:ind w:left="1854" w:hanging="360"/>
      </w:pPr>
      <w:rPr>
        <w:rFonts w:ascii="Times New Roman" w:hAnsi="Times New Roman" w:cs="Times New Roman" w:hint="default"/>
        <w:b/>
        <w:bCs/>
        <w:color w:val="auto"/>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93D650C"/>
    <w:multiLevelType w:val="hybridMultilevel"/>
    <w:tmpl w:val="0AEA2C54"/>
    <w:lvl w:ilvl="0" w:tplc="F780A382">
      <w:start w:val="1"/>
      <w:numFmt w:val="lowerLetter"/>
      <w:lvlText w:val="%1)"/>
      <w:lvlJc w:val="left"/>
      <w:pPr>
        <w:ind w:left="1854" w:hanging="360"/>
      </w:pPr>
      <w:rPr>
        <w:rFonts w:ascii="Times New Roman" w:hAnsi="Times New Roman" w:cs="Times New Roman" w:hint="default"/>
        <w:b/>
        <w:bCs/>
        <w:color w:val="auto"/>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209403CE"/>
    <w:multiLevelType w:val="multilevel"/>
    <w:tmpl w:val="376A41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BA45EC0"/>
    <w:multiLevelType w:val="hybridMultilevel"/>
    <w:tmpl w:val="0AEA2C54"/>
    <w:lvl w:ilvl="0" w:tplc="F780A382">
      <w:start w:val="1"/>
      <w:numFmt w:val="lowerLetter"/>
      <w:lvlText w:val="%1)"/>
      <w:lvlJc w:val="left"/>
      <w:pPr>
        <w:ind w:left="1854" w:hanging="360"/>
      </w:pPr>
      <w:rPr>
        <w:rFonts w:ascii="Times New Roman" w:hAnsi="Times New Roman" w:cs="Times New Roman" w:hint="default"/>
        <w:b/>
        <w:bCs/>
        <w:color w:val="auto"/>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36A7743B"/>
    <w:multiLevelType w:val="hybridMultilevel"/>
    <w:tmpl w:val="165289D8"/>
    <w:lvl w:ilvl="0" w:tplc="ADD68AFC">
      <w:start w:val="1"/>
      <w:numFmt w:val="bullet"/>
      <w:lvlText w:val="•"/>
      <w:lvlJc w:val="left"/>
      <w:pPr>
        <w:tabs>
          <w:tab w:val="num" w:pos="2268"/>
        </w:tabs>
        <w:ind w:left="2268" w:hanging="170"/>
      </w:pPr>
      <w:rPr>
        <w:rFonts w:ascii="Times New Roman" w:hAnsi="Times New Roman" w:cs="Times New Roman" w:hint="default"/>
      </w:rPr>
    </w:lvl>
    <w:lvl w:ilvl="1" w:tplc="500A20CA" w:tentative="1">
      <w:start w:val="1"/>
      <w:numFmt w:val="bullet"/>
      <w:lvlText w:val="o"/>
      <w:lvlJc w:val="left"/>
      <w:pPr>
        <w:tabs>
          <w:tab w:val="num" w:pos="1440"/>
        </w:tabs>
        <w:ind w:left="1440" w:hanging="360"/>
      </w:pPr>
      <w:rPr>
        <w:rFonts w:ascii="Courier New" w:hAnsi="Courier New" w:hint="default"/>
      </w:rPr>
    </w:lvl>
    <w:lvl w:ilvl="2" w:tplc="31BA09F4" w:tentative="1">
      <w:start w:val="1"/>
      <w:numFmt w:val="bullet"/>
      <w:lvlText w:val=""/>
      <w:lvlJc w:val="left"/>
      <w:pPr>
        <w:tabs>
          <w:tab w:val="num" w:pos="2160"/>
        </w:tabs>
        <w:ind w:left="2160" w:hanging="360"/>
      </w:pPr>
      <w:rPr>
        <w:rFonts w:ascii="Wingdings" w:hAnsi="Wingdings" w:hint="default"/>
      </w:rPr>
    </w:lvl>
    <w:lvl w:ilvl="3" w:tplc="4AB09FBA" w:tentative="1">
      <w:start w:val="1"/>
      <w:numFmt w:val="bullet"/>
      <w:lvlText w:val=""/>
      <w:lvlJc w:val="left"/>
      <w:pPr>
        <w:tabs>
          <w:tab w:val="num" w:pos="2880"/>
        </w:tabs>
        <w:ind w:left="2880" w:hanging="360"/>
      </w:pPr>
      <w:rPr>
        <w:rFonts w:ascii="Symbol" w:hAnsi="Symbol" w:hint="default"/>
      </w:rPr>
    </w:lvl>
    <w:lvl w:ilvl="4" w:tplc="2F08C7DE" w:tentative="1">
      <w:start w:val="1"/>
      <w:numFmt w:val="bullet"/>
      <w:lvlText w:val="o"/>
      <w:lvlJc w:val="left"/>
      <w:pPr>
        <w:tabs>
          <w:tab w:val="num" w:pos="3600"/>
        </w:tabs>
        <w:ind w:left="3600" w:hanging="360"/>
      </w:pPr>
      <w:rPr>
        <w:rFonts w:ascii="Courier New" w:hAnsi="Courier New" w:hint="default"/>
      </w:rPr>
    </w:lvl>
    <w:lvl w:ilvl="5" w:tplc="25F690AA" w:tentative="1">
      <w:start w:val="1"/>
      <w:numFmt w:val="bullet"/>
      <w:lvlText w:val=""/>
      <w:lvlJc w:val="left"/>
      <w:pPr>
        <w:tabs>
          <w:tab w:val="num" w:pos="4320"/>
        </w:tabs>
        <w:ind w:left="4320" w:hanging="360"/>
      </w:pPr>
      <w:rPr>
        <w:rFonts w:ascii="Wingdings" w:hAnsi="Wingdings" w:hint="default"/>
      </w:rPr>
    </w:lvl>
    <w:lvl w:ilvl="6" w:tplc="4936FD9A" w:tentative="1">
      <w:start w:val="1"/>
      <w:numFmt w:val="bullet"/>
      <w:lvlText w:val=""/>
      <w:lvlJc w:val="left"/>
      <w:pPr>
        <w:tabs>
          <w:tab w:val="num" w:pos="5040"/>
        </w:tabs>
        <w:ind w:left="5040" w:hanging="360"/>
      </w:pPr>
      <w:rPr>
        <w:rFonts w:ascii="Symbol" w:hAnsi="Symbol" w:hint="default"/>
      </w:rPr>
    </w:lvl>
    <w:lvl w:ilvl="7" w:tplc="95183FE8" w:tentative="1">
      <w:start w:val="1"/>
      <w:numFmt w:val="bullet"/>
      <w:lvlText w:val="o"/>
      <w:lvlJc w:val="left"/>
      <w:pPr>
        <w:tabs>
          <w:tab w:val="num" w:pos="5760"/>
        </w:tabs>
        <w:ind w:left="5760" w:hanging="360"/>
      </w:pPr>
      <w:rPr>
        <w:rFonts w:ascii="Courier New" w:hAnsi="Courier New" w:hint="default"/>
      </w:rPr>
    </w:lvl>
    <w:lvl w:ilvl="8" w:tplc="F5F41E9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3D1D3768"/>
    <w:multiLevelType w:val="hybridMultilevel"/>
    <w:tmpl w:val="81AAEB8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43596ED1"/>
    <w:multiLevelType w:val="hybridMultilevel"/>
    <w:tmpl w:val="0AEA2C54"/>
    <w:lvl w:ilvl="0" w:tplc="F780A382">
      <w:start w:val="1"/>
      <w:numFmt w:val="lowerLetter"/>
      <w:lvlText w:val="%1)"/>
      <w:lvlJc w:val="left"/>
      <w:pPr>
        <w:ind w:left="1854" w:hanging="360"/>
      </w:pPr>
      <w:rPr>
        <w:rFonts w:ascii="Times New Roman" w:hAnsi="Times New Roman" w:cs="Times New Roman" w:hint="default"/>
        <w:b/>
        <w:bCs/>
        <w:color w:val="auto"/>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4BB6455B"/>
    <w:multiLevelType w:val="hybridMultilevel"/>
    <w:tmpl w:val="13F2929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51C3015"/>
    <w:multiLevelType w:val="hybridMultilevel"/>
    <w:tmpl w:val="81AAEB8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6AFD3DE4"/>
    <w:multiLevelType w:val="hybridMultilevel"/>
    <w:tmpl w:val="569E52D4"/>
    <w:lvl w:ilvl="0" w:tplc="B91AA8F6">
      <w:start w:val="1"/>
      <w:numFmt w:val="bullet"/>
      <w:lvlText w:val="•"/>
      <w:lvlJc w:val="left"/>
      <w:pPr>
        <w:tabs>
          <w:tab w:val="num" w:pos="1701"/>
        </w:tabs>
        <w:ind w:left="1701" w:hanging="170"/>
      </w:pPr>
      <w:rPr>
        <w:rFonts w:ascii="Times New Roman" w:hAnsi="Times New Roman" w:cs="Times New Roman" w:hint="default"/>
      </w:rPr>
    </w:lvl>
    <w:lvl w:ilvl="1" w:tplc="81FE50D4" w:tentative="1">
      <w:start w:val="1"/>
      <w:numFmt w:val="bullet"/>
      <w:lvlText w:val="o"/>
      <w:lvlJc w:val="left"/>
      <w:pPr>
        <w:tabs>
          <w:tab w:val="num" w:pos="1440"/>
        </w:tabs>
        <w:ind w:left="1440" w:hanging="360"/>
      </w:pPr>
      <w:rPr>
        <w:rFonts w:ascii="Courier New" w:hAnsi="Courier New" w:hint="default"/>
      </w:rPr>
    </w:lvl>
    <w:lvl w:ilvl="2" w:tplc="4C9E9FFE" w:tentative="1">
      <w:start w:val="1"/>
      <w:numFmt w:val="bullet"/>
      <w:lvlText w:val=""/>
      <w:lvlJc w:val="left"/>
      <w:pPr>
        <w:tabs>
          <w:tab w:val="num" w:pos="2160"/>
        </w:tabs>
        <w:ind w:left="2160" w:hanging="360"/>
      </w:pPr>
      <w:rPr>
        <w:rFonts w:ascii="Wingdings" w:hAnsi="Wingdings" w:hint="default"/>
      </w:rPr>
    </w:lvl>
    <w:lvl w:ilvl="3" w:tplc="73CA769C" w:tentative="1">
      <w:start w:val="1"/>
      <w:numFmt w:val="bullet"/>
      <w:lvlText w:val=""/>
      <w:lvlJc w:val="left"/>
      <w:pPr>
        <w:tabs>
          <w:tab w:val="num" w:pos="2880"/>
        </w:tabs>
        <w:ind w:left="2880" w:hanging="360"/>
      </w:pPr>
      <w:rPr>
        <w:rFonts w:ascii="Symbol" w:hAnsi="Symbol" w:hint="default"/>
      </w:rPr>
    </w:lvl>
    <w:lvl w:ilvl="4" w:tplc="A740D920" w:tentative="1">
      <w:start w:val="1"/>
      <w:numFmt w:val="bullet"/>
      <w:lvlText w:val="o"/>
      <w:lvlJc w:val="left"/>
      <w:pPr>
        <w:tabs>
          <w:tab w:val="num" w:pos="3600"/>
        </w:tabs>
        <w:ind w:left="3600" w:hanging="360"/>
      </w:pPr>
      <w:rPr>
        <w:rFonts w:ascii="Courier New" w:hAnsi="Courier New" w:hint="default"/>
      </w:rPr>
    </w:lvl>
    <w:lvl w:ilvl="5" w:tplc="4C1C2648" w:tentative="1">
      <w:start w:val="1"/>
      <w:numFmt w:val="bullet"/>
      <w:lvlText w:val=""/>
      <w:lvlJc w:val="left"/>
      <w:pPr>
        <w:tabs>
          <w:tab w:val="num" w:pos="4320"/>
        </w:tabs>
        <w:ind w:left="4320" w:hanging="360"/>
      </w:pPr>
      <w:rPr>
        <w:rFonts w:ascii="Wingdings" w:hAnsi="Wingdings" w:hint="default"/>
      </w:rPr>
    </w:lvl>
    <w:lvl w:ilvl="6" w:tplc="E2DA3FB8" w:tentative="1">
      <w:start w:val="1"/>
      <w:numFmt w:val="bullet"/>
      <w:lvlText w:val=""/>
      <w:lvlJc w:val="left"/>
      <w:pPr>
        <w:tabs>
          <w:tab w:val="num" w:pos="5040"/>
        </w:tabs>
        <w:ind w:left="5040" w:hanging="360"/>
      </w:pPr>
      <w:rPr>
        <w:rFonts w:ascii="Symbol" w:hAnsi="Symbol" w:hint="default"/>
      </w:rPr>
    </w:lvl>
    <w:lvl w:ilvl="7" w:tplc="F6BC2CDA" w:tentative="1">
      <w:start w:val="1"/>
      <w:numFmt w:val="bullet"/>
      <w:lvlText w:val="o"/>
      <w:lvlJc w:val="left"/>
      <w:pPr>
        <w:tabs>
          <w:tab w:val="num" w:pos="5760"/>
        </w:tabs>
        <w:ind w:left="5760" w:hanging="360"/>
      </w:pPr>
      <w:rPr>
        <w:rFonts w:ascii="Courier New" w:hAnsi="Courier New" w:hint="default"/>
      </w:rPr>
    </w:lvl>
    <w:lvl w:ilvl="8" w:tplc="015A2F3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BC407C"/>
    <w:multiLevelType w:val="hybridMultilevel"/>
    <w:tmpl w:val="A782CCC8"/>
    <w:lvl w:ilvl="0" w:tplc="9928F964">
      <w:start w:val="1"/>
      <w:numFmt w:val="lowerLetter"/>
      <w:lvlText w:val="%1)"/>
      <w:lvlJc w:val="left"/>
      <w:pPr>
        <w:ind w:left="1854" w:hanging="360"/>
      </w:pPr>
      <w:rPr>
        <w:b/>
        <w:bCs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889993874">
    <w:abstractNumId w:val="23"/>
  </w:num>
  <w:num w:numId="2" w16cid:durableId="1600411571">
    <w:abstractNumId w:val="17"/>
  </w:num>
  <w:num w:numId="3" w16cid:durableId="2031686793">
    <w:abstractNumId w:val="12"/>
  </w:num>
  <w:num w:numId="4" w16cid:durableId="142549498">
    <w:abstractNumId w:val="8"/>
  </w:num>
  <w:num w:numId="5" w16cid:durableId="1765880443">
    <w:abstractNumId w:val="3"/>
  </w:num>
  <w:num w:numId="6" w16cid:durableId="306320258">
    <w:abstractNumId w:val="2"/>
  </w:num>
  <w:num w:numId="7" w16cid:durableId="1019241618">
    <w:abstractNumId w:val="1"/>
  </w:num>
  <w:num w:numId="8" w16cid:durableId="1016269335">
    <w:abstractNumId w:val="0"/>
  </w:num>
  <w:num w:numId="9" w16cid:durableId="957447164">
    <w:abstractNumId w:val="9"/>
  </w:num>
  <w:num w:numId="10" w16cid:durableId="2079016295">
    <w:abstractNumId w:val="7"/>
  </w:num>
  <w:num w:numId="11" w16cid:durableId="275912296">
    <w:abstractNumId w:val="6"/>
  </w:num>
  <w:num w:numId="12" w16cid:durableId="1943108070">
    <w:abstractNumId w:val="5"/>
  </w:num>
  <w:num w:numId="13" w16cid:durableId="728236612">
    <w:abstractNumId w:val="4"/>
  </w:num>
  <w:num w:numId="14" w16cid:durableId="1156262323">
    <w:abstractNumId w:val="23"/>
  </w:num>
  <w:num w:numId="15" w16cid:durableId="1994408668">
    <w:abstractNumId w:val="17"/>
  </w:num>
  <w:num w:numId="16" w16cid:durableId="1231311811">
    <w:abstractNumId w:val="12"/>
  </w:num>
  <w:num w:numId="17" w16cid:durableId="2068217130">
    <w:abstractNumId w:val="23"/>
  </w:num>
  <w:num w:numId="18" w16cid:durableId="1847091861">
    <w:abstractNumId w:val="17"/>
  </w:num>
  <w:num w:numId="19" w16cid:durableId="299575843">
    <w:abstractNumId w:val="12"/>
  </w:num>
  <w:num w:numId="20" w16cid:durableId="361829946">
    <w:abstractNumId w:val="24"/>
  </w:num>
  <w:num w:numId="21" w16cid:durableId="1970545677">
    <w:abstractNumId w:val="16"/>
  </w:num>
  <w:num w:numId="22" w16cid:durableId="1093285696">
    <w:abstractNumId w:val="27"/>
  </w:num>
  <w:num w:numId="23" w16cid:durableId="1517773163">
    <w:abstractNumId w:val="26"/>
  </w:num>
  <w:num w:numId="24" w16cid:durableId="485323391">
    <w:abstractNumId w:val="21"/>
  </w:num>
  <w:num w:numId="25" w16cid:durableId="1076132212">
    <w:abstractNumId w:val="25"/>
  </w:num>
  <w:num w:numId="26" w16cid:durableId="669989846">
    <w:abstractNumId w:val="11"/>
  </w:num>
  <w:num w:numId="27" w16cid:durableId="1162159318">
    <w:abstractNumId w:val="18"/>
  </w:num>
  <w:num w:numId="28" w16cid:durableId="1474788232">
    <w:abstractNumId w:val="10"/>
  </w:num>
  <w:num w:numId="29" w16cid:durableId="1835611109">
    <w:abstractNumId w:val="20"/>
  </w:num>
  <w:num w:numId="30" w16cid:durableId="99833886">
    <w:abstractNumId w:val="22"/>
  </w:num>
  <w:num w:numId="31" w16cid:durableId="777867836">
    <w:abstractNumId w:val="15"/>
  </w:num>
  <w:num w:numId="32" w16cid:durableId="2102482441">
    <w:abstractNumId w:val="13"/>
  </w:num>
  <w:num w:numId="33" w16cid:durableId="1277835634">
    <w:abstractNumId w:val="19"/>
  </w:num>
  <w:num w:numId="34" w16cid:durableId="16439527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5A"/>
    <w:rsid w:val="00023842"/>
    <w:rsid w:val="00035AE4"/>
    <w:rsid w:val="00037DF1"/>
    <w:rsid w:val="0007796D"/>
    <w:rsid w:val="000B6802"/>
    <w:rsid w:val="00101756"/>
    <w:rsid w:val="00111F2F"/>
    <w:rsid w:val="00116E5A"/>
    <w:rsid w:val="0014365E"/>
    <w:rsid w:val="00176178"/>
    <w:rsid w:val="001D14FC"/>
    <w:rsid w:val="001F525A"/>
    <w:rsid w:val="002354FF"/>
    <w:rsid w:val="00287416"/>
    <w:rsid w:val="002C1DA5"/>
    <w:rsid w:val="003E0EA3"/>
    <w:rsid w:val="00446FE5"/>
    <w:rsid w:val="004C6DF7"/>
    <w:rsid w:val="004D6539"/>
    <w:rsid w:val="004F046A"/>
    <w:rsid w:val="00553A1F"/>
    <w:rsid w:val="00554DD7"/>
    <w:rsid w:val="00573BE5"/>
    <w:rsid w:val="00586ED3"/>
    <w:rsid w:val="00587A52"/>
    <w:rsid w:val="005970D5"/>
    <w:rsid w:val="005A51D3"/>
    <w:rsid w:val="005B4E23"/>
    <w:rsid w:val="005B7E22"/>
    <w:rsid w:val="00616CB0"/>
    <w:rsid w:val="00621144"/>
    <w:rsid w:val="0071601D"/>
    <w:rsid w:val="007432FB"/>
    <w:rsid w:val="00781F32"/>
    <w:rsid w:val="00802716"/>
    <w:rsid w:val="0080684C"/>
    <w:rsid w:val="00807D21"/>
    <w:rsid w:val="00840C6C"/>
    <w:rsid w:val="00853AFA"/>
    <w:rsid w:val="00871C75"/>
    <w:rsid w:val="008776DC"/>
    <w:rsid w:val="00945222"/>
    <w:rsid w:val="009705C8"/>
    <w:rsid w:val="0097418E"/>
    <w:rsid w:val="009C4D45"/>
    <w:rsid w:val="009D335A"/>
    <w:rsid w:val="009F531E"/>
    <w:rsid w:val="00A05770"/>
    <w:rsid w:val="00A37C92"/>
    <w:rsid w:val="00A40848"/>
    <w:rsid w:val="00A704A8"/>
    <w:rsid w:val="00AA0CD3"/>
    <w:rsid w:val="00AB1B55"/>
    <w:rsid w:val="00AE323C"/>
    <w:rsid w:val="00B73952"/>
    <w:rsid w:val="00BA13A6"/>
    <w:rsid w:val="00BA41F4"/>
    <w:rsid w:val="00C02897"/>
    <w:rsid w:val="00C26921"/>
    <w:rsid w:val="00C94999"/>
    <w:rsid w:val="00CA5CE1"/>
    <w:rsid w:val="00CD326D"/>
    <w:rsid w:val="00D21E12"/>
    <w:rsid w:val="00D230E8"/>
    <w:rsid w:val="00DB1831"/>
    <w:rsid w:val="00DC079B"/>
    <w:rsid w:val="00DD3BFD"/>
    <w:rsid w:val="00DF4550"/>
    <w:rsid w:val="00DF7D38"/>
    <w:rsid w:val="00E554A4"/>
    <w:rsid w:val="00EA0D23"/>
    <w:rsid w:val="00EA3F83"/>
    <w:rsid w:val="00ED49DC"/>
    <w:rsid w:val="00EE6EA3"/>
    <w:rsid w:val="00F14C11"/>
    <w:rsid w:val="00F660DF"/>
    <w:rsid w:val="00F92FCB"/>
    <w:rsid w:val="00F949EA"/>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0C0E2"/>
  <w15:docId w15:val="{244D06C1-4B82-49BC-88D5-CF6032565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Cuadro_G"/>
    <w:basedOn w:val="SingleTxtG"/>
    <w:next w:val="SingleTxtG"/>
    <w:link w:val="Titre1Car"/>
    <w:qFormat/>
    <w:rsid w:val="004D6539"/>
    <w:pPr>
      <w:keepNext/>
      <w:keepLines/>
      <w:numPr>
        <w:numId w:val="22"/>
      </w:numPr>
      <w:spacing w:after="0" w:line="240" w:lineRule="auto"/>
      <w:ind w:right="0"/>
      <w:jc w:val="left"/>
      <w:outlineLvl w:val="0"/>
    </w:pPr>
  </w:style>
  <w:style w:type="paragraph" w:styleId="Titre2">
    <w:name w:val="heading 2"/>
    <w:basedOn w:val="Normal"/>
    <w:next w:val="Normal"/>
    <w:link w:val="Titre2Car"/>
    <w:semiHidden/>
    <w:qFormat/>
    <w:rsid w:val="007432FB"/>
    <w:pPr>
      <w:numPr>
        <w:ilvl w:val="1"/>
        <w:numId w:val="22"/>
      </w:numPr>
      <w:outlineLvl w:val="1"/>
    </w:pPr>
  </w:style>
  <w:style w:type="paragraph" w:styleId="Titre3">
    <w:name w:val="heading 3"/>
    <w:basedOn w:val="Normal"/>
    <w:next w:val="Normal"/>
    <w:link w:val="Titre3Car"/>
    <w:semiHidden/>
    <w:qFormat/>
    <w:rsid w:val="007432FB"/>
    <w:pPr>
      <w:numPr>
        <w:ilvl w:val="2"/>
        <w:numId w:val="22"/>
      </w:numPr>
      <w:outlineLvl w:val="2"/>
    </w:pPr>
  </w:style>
  <w:style w:type="paragraph" w:styleId="Titre4">
    <w:name w:val="heading 4"/>
    <w:basedOn w:val="Normal"/>
    <w:next w:val="Normal"/>
    <w:link w:val="Titre4Car"/>
    <w:semiHidden/>
    <w:qFormat/>
    <w:rsid w:val="007432FB"/>
    <w:pPr>
      <w:numPr>
        <w:ilvl w:val="3"/>
        <w:numId w:val="22"/>
      </w:numPr>
      <w:outlineLvl w:val="3"/>
    </w:pPr>
  </w:style>
  <w:style w:type="paragraph" w:styleId="Titre5">
    <w:name w:val="heading 5"/>
    <w:basedOn w:val="Normal"/>
    <w:next w:val="Normal"/>
    <w:link w:val="Titre5Car"/>
    <w:semiHidden/>
    <w:qFormat/>
    <w:rsid w:val="007432FB"/>
    <w:pPr>
      <w:numPr>
        <w:ilvl w:val="4"/>
        <w:numId w:val="22"/>
      </w:numPr>
      <w:outlineLvl w:val="4"/>
    </w:pPr>
  </w:style>
  <w:style w:type="paragraph" w:styleId="Titre6">
    <w:name w:val="heading 6"/>
    <w:basedOn w:val="Normal"/>
    <w:next w:val="Normal"/>
    <w:link w:val="Titre6Car"/>
    <w:semiHidden/>
    <w:qFormat/>
    <w:rsid w:val="007432FB"/>
    <w:pPr>
      <w:numPr>
        <w:ilvl w:val="5"/>
        <w:numId w:val="22"/>
      </w:numPr>
      <w:outlineLvl w:val="5"/>
    </w:pPr>
  </w:style>
  <w:style w:type="paragraph" w:styleId="Titre7">
    <w:name w:val="heading 7"/>
    <w:basedOn w:val="Normal"/>
    <w:next w:val="Normal"/>
    <w:link w:val="Titre7Car"/>
    <w:semiHidden/>
    <w:qFormat/>
    <w:rsid w:val="007432FB"/>
    <w:pPr>
      <w:numPr>
        <w:ilvl w:val="6"/>
        <w:numId w:val="22"/>
      </w:numPr>
      <w:outlineLvl w:val="6"/>
    </w:pPr>
  </w:style>
  <w:style w:type="paragraph" w:styleId="Titre8">
    <w:name w:val="heading 8"/>
    <w:basedOn w:val="Normal"/>
    <w:next w:val="Normal"/>
    <w:link w:val="Titre8Car"/>
    <w:semiHidden/>
    <w:qFormat/>
    <w:rsid w:val="007432FB"/>
    <w:pPr>
      <w:numPr>
        <w:ilvl w:val="7"/>
        <w:numId w:val="22"/>
      </w:numPr>
      <w:outlineLvl w:val="7"/>
    </w:pPr>
  </w:style>
  <w:style w:type="paragraph" w:styleId="Titre9">
    <w:name w:val="heading 9"/>
    <w:basedOn w:val="Normal"/>
    <w:next w:val="Normal"/>
    <w:link w:val="Titre9Car"/>
    <w:semiHidden/>
    <w:qFormat/>
    <w:rsid w:val="007432FB"/>
    <w:pPr>
      <w:numPr>
        <w:ilvl w:val="8"/>
        <w:numId w:val="22"/>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link w:val="HMGChar"/>
    <w:qFormat/>
    <w:rsid w:val="004D653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D6539"/>
    <w:pPr>
      <w:tabs>
        <w:tab w:val="left" w:pos="1701"/>
        <w:tab w:val="left" w:pos="2268"/>
        <w:tab w:val="left" w:pos="2835"/>
      </w:tabs>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left" w:pos="1701"/>
        <w:tab w:val="left" w:pos="2268"/>
        <w:tab w:val="left" w:pos="2835"/>
      </w:tabs>
      <w:spacing w:after="120"/>
      <w:ind w:right="1134"/>
      <w:jc w:val="both"/>
    </w:pPr>
  </w:style>
  <w:style w:type="character" w:styleId="Appelnotedebasdep">
    <w:name w:val="footnote reference"/>
    <w:aliases w:val="4_G,16 Point,BVI fnr,Footnote,Footnote Refernece,Footnote symbol,Fußnotenzeichen_Raxen,Superscript 6 Point,Texto de nota al pie,ftref,fusnot Char,nota pié di pagina,Footnote reference number,Times 10 Point,Exposant 3 Point"/>
    <w:basedOn w:val="Policepardfaut"/>
    <w:link w:val="BVIfnrChar"/>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Char,F1,FOOTNOTES,Footnote Text Char Char,Footnote Text Char Char Char,Fußnote,Geneva,fn,fn Cha,footnote text Char,ft,ft Char,ft Char Char,ft Char Char Char,single space,single space Char,single space Char Char Char,Reference,A,f"/>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Char Car,F1 Car,FOOTNOTES Car,Footnote Text Char Char Car,Footnote Text Char Char Char Car,Fußnote Car,Geneva Car,fn Car,fn Cha Car,footnote text Char Car,ft Car,ft Char Car,ft Char Char Car,ft Char Char Char Car,A Car"/>
    <w:basedOn w:val="Policepardfaut"/>
    <w:link w:val="Notedebasdepage"/>
    <w:qFormat/>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Cuadro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customStyle="1" w:styleId="HMGChar">
    <w:name w:val="_ H __M_G Char"/>
    <w:link w:val="HMG"/>
    <w:rsid w:val="009D335A"/>
    <w:rPr>
      <w:rFonts w:ascii="Times New Roman" w:eastAsiaTheme="minorHAnsi" w:hAnsi="Times New Roman" w:cs="Times New Roman"/>
      <w:b/>
      <w:sz w:val="34"/>
      <w:szCs w:val="20"/>
      <w:lang w:eastAsia="en-US"/>
    </w:rPr>
  </w:style>
  <w:style w:type="numbering" w:styleId="111111">
    <w:name w:val="Outline List 2"/>
    <w:basedOn w:val="Aucuneliste"/>
    <w:semiHidden/>
    <w:rsid w:val="009D335A"/>
    <w:pPr>
      <w:numPr>
        <w:numId w:val="22"/>
      </w:numPr>
    </w:pPr>
  </w:style>
  <w:style w:type="numbering" w:styleId="1ai">
    <w:name w:val="Outline List 1"/>
    <w:basedOn w:val="Aucuneliste"/>
    <w:semiHidden/>
    <w:rsid w:val="009D335A"/>
    <w:pPr>
      <w:numPr>
        <w:numId w:val="23"/>
      </w:numPr>
    </w:pPr>
  </w:style>
  <w:style w:type="character" w:styleId="AcronymeHTML">
    <w:name w:val="HTML Acronym"/>
    <w:basedOn w:val="Policepardfaut"/>
    <w:semiHidden/>
    <w:rsid w:val="009D335A"/>
  </w:style>
  <w:style w:type="numbering" w:styleId="ArticleSection">
    <w:name w:val="Outline List 3"/>
    <w:basedOn w:val="Aucuneliste"/>
    <w:semiHidden/>
    <w:rsid w:val="009D335A"/>
    <w:pPr>
      <w:numPr>
        <w:numId w:val="24"/>
      </w:numPr>
    </w:pPr>
  </w:style>
  <w:style w:type="paragraph" w:styleId="Formuledepolitesse">
    <w:name w:val="Closing"/>
    <w:basedOn w:val="Normal"/>
    <w:link w:val="FormuledepolitesseCar"/>
    <w:semiHidden/>
    <w:rsid w:val="009D335A"/>
    <w:pPr>
      <w:suppressAutoHyphens w:val="0"/>
      <w:kinsoku/>
      <w:overflowPunct/>
      <w:autoSpaceDE/>
      <w:autoSpaceDN/>
      <w:adjustRightInd/>
      <w:snapToGrid/>
      <w:ind w:left="4252"/>
    </w:pPr>
    <w:rPr>
      <w:rFonts w:eastAsia="Times New Roman"/>
      <w:lang w:val="es-ES" w:eastAsia="es-ES"/>
    </w:rPr>
  </w:style>
  <w:style w:type="character" w:customStyle="1" w:styleId="FormuledepolitesseCar">
    <w:name w:val="Formule de politesse Car"/>
    <w:basedOn w:val="Policepardfaut"/>
    <w:link w:val="Formuledepolitesse"/>
    <w:semiHidden/>
    <w:rsid w:val="009D335A"/>
    <w:rPr>
      <w:rFonts w:ascii="Times New Roman" w:eastAsia="Times New Roman" w:hAnsi="Times New Roman" w:cs="Times New Roman"/>
      <w:sz w:val="20"/>
      <w:szCs w:val="20"/>
      <w:lang w:val="es-ES" w:eastAsia="es-ES"/>
    </w:rPr>
  </w:style>
  <w:style w:type="character" w:styleId="CitationHTML">
    <w:name w:val="HTML Cite"/>
    <w:semiHidden/>
    <w:rsid w:val="009D335A"/>
    <w:rPr>
      <w:i/>
      <w:iCs/>
    </w:rPr>
  </w:style>
  <w:style w:type="character" w:styleId="CodeHTML">
    <w:name w:val="HTML Code"/>
    <w:semiHidden/>
    <w:rsid w:val="009D335A"/>
    <w:rPr>
      <w:rFonts w:ascii="Courier New" w:hAnsi="Courier New" w:cs="Courier New"/>
      <w:sz w:val="20"/>
      <w:szCs w:val="20"/>
    </w:rPr>
  </w:style>
  <w:style w:type="paragraph" w:styleId="Listecontinue">
    <w:name w:val="List Continue"/>
    <w:basedOn w:val="Normal"/>
    <w:semiHidden/>
    <w:rsid w:val="009D335A"/>
    <w:pPr>
      <w:suppressAutoHyphens w:val="0"/>
      <w:kinsoku/>
      <w:overflowPunct/>
      <w:autoSpaceDE/>
      <w:autoSpaceDN/>
      <w:adjustRightInd/>
      <w:snapToGrid/>
      <w:spacing w:after="120"/>
      <w:ind w:left="283"/>
    </w:pPr>
    <w:rPr>
      <w:rFonts w:eastAsia="Times New Roman"/>
      <w:lang w:val="es-ES" w:eastAsia="es-ES"/>
    </w:rPr>
  </w:style>
  <w:style w:type="paragraph" w:styleId="Listecontinue2">
    <w:name w:val="List Continue 2"/>
    <w:basedOn w:val="Normal"/>
    <w:semiHidden/>
    <w:rsid w:val="009D335A"/>
    <w:pPr>
      <w:suppressAutoHyphens w:val="0"/>
      <w:kinsoku/>
      <w:overflowPunct/>
      <w:autoSpaceDE/>
      <w:autoSpaceDN/>
      <w:adjustRightInd/>
      <w:snapToGrid/>
      <w:spacing w:after="120"/>
      <w:ind w:left="566"/>
    </w:pPr>
    <w:rPr>
      <w:rFonts w:eastAsia="Times New Roman"/>
      <w:lang w:val="es-ES" w:eastAsia="es-ES"/>
    </w:rPr>
  </w:style>
  <w:style w:type="paragraph" w:styleId="Listecontinue3">
    <w:name w:val="List Continue 3"/>
    <w:basedOn w:val="Normal"/>
    <w:semiHidden/>
    <w:rsid w:val="009D335A"/>
    <w:pPr>
      <w:suppressAutoHyphens w:val="0"/>
      <w:kinsoku/>
      <w:overflowPunct/>
      <w:autoSpaceDE/>
      <w:autoSpaceDN/>
      <w:adjustRightInd/>
      <w:snapToGrid/>
      <w:spacing w:after="120"/>
      <w:ind w:left="849"/>
    </w:pPr>
    <w:rPr>
      <w:rFonts w:eastAsia="Times New Roman"/>
      <w:lang w:val="es-ES" w:eastAsia="es-ES"/>
    </w:rPr>
  </w:style>
  <w:style w:type="paragraph" w:styleId="Listecontinue4">
    <w:name w:val="List Continue 4"/>
    <w:basedOn w:val="Normal"/>
    <w:semiHidden/>
    <w:rsid w:val="009D335A"/>
    <w:pPr>
      <w:suppressAutoHyphens w:val="0"/>
      <w:kinsoku/>
      <w:overflowPunct/>
      <w:autoSpaceDE/>
      <w:autoSpaceDN/>
      <w:adjustRightInd/>
      <w:snapToGrid/>
      <w:spacing w:after="120"/>
      <w:ind w:left="1132"/>
    </w:pPr>
    <w:rPr>
      <w:rFonts w:eastAsia="Times New Roman"/>
      <w:lang w:val="es-ES" w:eastAsia="es-ES"/>
    </w:rPr>
  </w:style>
  <w:style w:type="paragraph" w:styleId="Listecontinue5">
    <w:name w:val="List Continue 5"/>
    <w:basedOn w:val="Normal"/>
    <w:semiHidden/>
    <w:rsid w:val="009D335A"/>
    <w:pPr>
      <w:suppressAutoHyphens w:val="0"/>
      <w:kinsoku/>
      <w:overflowPunct/>
      <w:autoSpaceDE/>
      <w:autoSpaceDN/>
      <w:adjustRightInd/>
      <w:snapToGrid/>
      <w:spacing w:after="120"/>
      <w:ind w:left="1415"/>
    </w:pPr>
    <w:rPr>
      <w:rFonts w:eastAsia="Times New Roman"/>
      <w:lang w:val="es-ES" w:eastAsia="es-ES"/>
    </w:rPr>
  </w:style>
  <w:style w:type="character" w:styleId="DfinitionHTML">
    <w:name w:val="HTML Definition"/>
    <w:semiHidden/>
    <w:rsid w:val="009D335A"/>
    <w:rPr>
      <w:i/>
      <w:iCs/>
    </w:rPr>
  </w:style>
  <w:style w:type="paragraph" w:styleId="AdresseHTML">
    <w:name w:val="HTML Address"/>
    <w:basedOn w:val="Normal"/>
    <w:link w:val="AdresseHTMLCar"/>
    <w:semiHidden/>
    <w:rsid w:val="009D335A"/>
    <w:pPr>
      <w:suppressAutoHyphens w:val="0"/>
      <w:kinsoku/>
      <w:overflowPunct/>
      <w:autoSpaceDE/>
      <w:autoSpaceDN/>
      <w:adjustRightInd/>
      <w:snapToGrid/>
    </w:pPr>
    <w:rPr>
      <w:rFonts w:eastAsia="Times New Roman"/>
      <w:i/>
      <w:iCs/>
      <w:lang w:val="es-ES" w:eastAsia="es-ES"/>
    </w:rPr>
  </w:style>
  <w:style w:type="character" w:customStyle="1" w:styleId="AdresseHTMLCar">
    <w:name w:val="Adresse HTML Car"/>
    <w:basedOn w:val="Policepardfaut"/>
    <w:link w:val="AdresseHTML"/>
    <w:semiHidden/>
    <w:rsid w:val="009D335A"/>
    <w:rPr>
      <w:rFonts w:ascii="Times New Roman" w:eastAsia="Times New Roman" w:hAnsi="Times New Roman" w:cs="Times New Roman"/>
      <w:i/>
      <w:iCs/>
      <w:sz w:val="20"/>
      <w:szCs w:val="20"/>
      <w:lang w:val="es-ES" w:eastAsia="es-ES"/>
    </w:rPr>
  </w:style>
  <w:style w:type="paragraph" w:styleId="Adressedestinataire">
    <w:name w:val="envelope address"/>
    <w:basedOn w:val="Normal"/>
    <w:semiHidden/>
    <w:rsid w:val="009D335A"/>
    <w:pPr>
      <w:framePr w:w="7920" w:h="1980" w:hRule="exact" w:hSpace="141" w:wrap="auto" w:hAnchor="page" w:xAlign="center" w:yAlign="bottom"/>
      <w:suppressAutoHyphens w:val="0"/>
      <w:kinsoku/>
      <w:overflowPunct/>
      <w:autoSpaceDE/>
      <w:autoSpaceDN/>
      <w:adjustRightInd/>
      <w:snapToGrid/>
      <w:ind w:left="2880"/>
    </w:pPr>
    <w:rPr>
      <w:rFonts w:ascii="Arial" w:eastAsia="Times New Roman" w:hAnsi="Arial" w:cs="Arial"/>
      <w:sz w:val="24"/>
      <w:szCs w:val="24"/>
      <w:lang w:val="es-ES" w:eastAsia="es-ES"/>
    </w:rPr>
  </w:style>
  <w:style w:type="character" w:styleId="ExempleHTML">
    <w:name w:val="HTML Sample"/>
    <w:semiHidden/>
    <w:rsid w:val="009D335A"/>
    <w:rPr>
      <w:rFonts w:ascii="Courier New" w:hAnsi="Courier New" w:cs="Courier New"/>
    </w:rPr>
  </w:style>
  <w:style w:type="paragraph" w:styleId="En-ttedemessage">
    <w:name w:val="Message Header"/>
    <w:basedOn w:val="Normal"/>
    <w:link w:val="En-ttedemessageCar"/>
    <w:semiHidden/>
    <w:rsid w:val="009D335A"/>
    <w:pPr>
      <w:pBdr>
        <w:top w:val="single" w:sz="6" w:space="1" w:color="auto"/>
        <w:left w:val="single" w:sz="6" w:space="1" w:color="auto"/>
        <w:bottom w:val="single" w:sz="6" w:space="1" w:color="auto"/>
        <w:right w:val="single" w:sz="6" w:space="1" w:color="auto"/>
      </w:pBdr>
      <w:shd w:val="pct20" w:color="auto" w:fill="auto"/>
      <w:suppressAutoHyphens w:val="0"/>
      <w:kinsoku/>
      <w:overflowPunct/>
      <w:autoSpaceDE/>
      <w:autoSpaceDN/>
      <w:adjustRightInd/>
      <w:snapToGrid/>
      <w:ind w:left="1134" w:hanging="1134"/>
    </w:pPr>
    <w:rPr>
      <w:rFonts w:ascii="Arial" w:eastAsia="Times New Roman" w:hAnsi="Arial" w:cs="Arial"/>
      <w:sz w:val="24"/>
      <w:szCs w:val="24"/>
      <w:lang w:val="es-ES" w:eastAsia="es-ES"/>
    </w:rPr>
  </w:style>
  <w:style w:type="character" w:customStyle="1" w:styleId="En-ttedemessageCar">
    <w:name w:val="En-tête de message Car"/>
    <w:basedOn w:val="Policepardfaut"/>
    <w:link w:val="En-ttedemessage"/>
    <w:semiHidden/>
    <w:rsid w:val="009D335A"/>
    <w:rPr>
      <w:rFonts w:ascii="Arial" w:eastAsia="Times New Roman" w:hAnsi="Arial" w:cs="Arial"/>
      <w:sz w:val="24"/>
      <w:szCs w:val="24"/>
      <w:shd w:val="pct20" w:color="auto" w:fill="auto"/>
      <w:lang w:val="es-ES" w:eastAsia="es-ES"/>
    </w:rPr>
  </w:style>
  <w:style w:type="paragraph" w:styleId="Titredenote">
    <w:name w:val="Note Heading"/>
    <w:basedOn w:val="Normal"/>
    <w:next w:val="Normal"/>
    <w:link w:val="TitredenoteCar"/>
    <w:semiHidden/>
    <w:rsid w:val="009D335A"/>
    <w:pPr>
      <w:suppressAutoHyphens w:val="0"/>
      <w:kinsoku/>
      <w:overflowPunct/>
      <w:autoSpaceDE/>
      <w:autoSpaceDN/>
      <w:adjustRightInd/>
      <w:snapToGrid/>
    </w:pPr>
    <w:rPr>
      <w:rFonts w:eastAsia="Times New Roman"/>
      <w:lang w:val="es-ES" w:eastAsia="es-ES"/>
    </w:rPr>
  </w:style>
  <w:style w:type="character" w:customStyle="1" w:styleId="TitredenoteCar">
    <w:name w:val="Titre de note Car"/>
    <w:basedOn w:val="Policepardfaut"/>
    <w:link w:val="Titredenote"/>
    <w:semiHidden/>
    <w:rsid w:val="009D335A"/>
    <w:rPr>
      <w:rFonts w:ascii="Times New Roman" w:eastAsia="Times New Roman" w:hAnsi="Times New Roman" w:cs="Times New Roman"/>
      <w:sz w:val="20"/>
      <w:szCs w:val="20"/>
      <w:lang w:val="es-ES" w:eastAsia="es-ES"/>
    </w:rPr>
  </w:style>
  <w:style w:type="character" w:styleId="Accentuation">
    <w:name w:val="Emphasis"/>
    <w:uiPriority w:val="20"/>
    <w:qFormat/>
    <w:rsid w:val="009D335A"/>
    <w:rPr>
      <w:i/>
      <w:iCs/>
    </w:rPr>
  </w:style>
  <w:style w:type="paragraph" w:styleId="Date">
    <w:name w:val="Date"/>
    <w:basedOn w:val="Normal"/>
    <w:next w:val="Normal"/>
    <w:link w:val="DateCar"/>
    <w:semiHidden/>
    <w:rsid w:val="009D335A"/>
    <w:pPr>
      <w:suppressAutoHyphens w:val="0"/>
      <w:kinsoku/>
      <w:overflowPunct/>
      <w:autoSpaceDE/>
      <w:autoSpaceDN/>
      <w:adjustRightInd/>
      <w:snapToGrid/>
    </w:pPr>
    <w:rPr>
      <w:rFonts w:eastAsia="Times New Roman"/>
      <w:lang w:val="es-ES" w:eastAsia="es-ES"/>
    </w:rPr>
  </w:style>
  <w:style w:type="character" w:customStyle="1" w:styleId="DateCar">
    <w:name w:val="Date Car"/>
    <w:basedOn w:val="Policepardfaut"/>
    <w:link w:val="Date"/>
    <w:semiHidden/>
    <w:rsid w:val="009D335A"/>
    <w:rPr>
      <w:rFonts w:ascii="Times New Roman" w:eastAsia="Times New Roman" w:hAnsi="Times New Roman" w:cs="Times New Roman"/>
      <w:sz w:val="20"/>
      <w:szCs w:val="20"/>
      <w:lang w:val="es-ES" w:eastAsia="es-ES"/>
    </w:rPr>
  </w:style>
  <w:style w:type="paragraph" w:styleId="Signature">
    <w:name w:val="Signature"/>
    <w:basedOn w:val="Normal"/>
    <w:link w:val="SignatureCar"/>
    <w:semiHidden/>
    <w:rsid w:val="009D335A"/>
    <w:pPr>
      <w:suppressAutoHyphens w:val="0"/>
      <w:kinsoku/>
      <w:overflowPunct/>
      <w:autoSpaceDE/>
      <w:autoSpaceDN/>
      <w:adjustRightInd/>
      <w:snapToGrid/>
      <w:ind w:left="4252"/>
    </w:pPr>
    <w:rPr>
      <w:rFonts w:eastAsia="Times New Roman"/>
      <w:lang w:val="es-ES" w:eastAsia="es-ES"/>
    </w:rPr>
  </w:style>
  <w:style w:type="character" w:customStyle="1" w:styleId="SignatureCar">
    <w:name w:val="Signature Car"/>
    <w:basedOn w:val="Policepardfaut"/>
    <w:link w:val="Signature"/>
    <w:semiHidden/>
    <w:rsid w:val="009D335A"/>
    <w:rPr>
      <w:rFonts w:ascii="Times New Roman" w:eastAsia="Times New Roman" w:hAnsi="Times New Roman" w:cs="Times New Roman"/>
      <w:sz w:val="20"/>
      <w:szCs w:val="20"/>
      <w:lang w:val="es-ES" w:eastAsia="es-ES"/>
    </w:rPr>
  </w:style>
  <w:style w:type="paragraph" w:styleId="Signaturelectronique">
    <w:name w:val="E-mail Signature"/>
    <w:basedOn w:val="Normal"/>
    <w:link w:val="SignaturelectroniqueCar"/>
    <w:semiHidden/>
    <w:rsid w:val="009D335A"/>
    <w:pPr>
      <w:suppressAutoHyphens w:val="0"/>
      <w:kinsoku/>
      <w:overflowPunct/>
      <w:autoSpaceDE/>
      <w:autoSpaceDN/>
      <w:adjustRightInd/>
      <w:snapToGrid/>
    </w:pPr>
    <w:rPr>
      <w:rFonts w:eastAsia="Times New Roman"/>
      <w:lang w:val="es-ES" w:eastAsia="es-ES"/>
    </w:rPr>
  </w:style>
  <w:style w:type="character" w:customStyle="1" w:styleId="SignaturelectroniqueCar">
    <w:name w:val="Signature électronique Car"/>
    <w:basedOn w:val="Policepardfaut"/>
    <w:link w:val="Signaturelectronique"/>
    <w:semiHidden/>
    <w:rsid w:val="009D335A"/>
    <w:rPr>
      <w:rFonts w:ascii="Times New Roman" w:eastAsia="Times New Roman" w:hAnsi="Times New Roman" w:cs="Times New Roman"/>
      <w:sz w:val="20"/>
      <w:szCs w:val="20"/>
      <w:lang w:val="es-ES" w:eastAsia="es-ES"/>
    </w:rPr>
  </w:style>
  <w:style w:type="paragraph" w:styleId="PrformatHTML">
    <w:name w:val="HTML Preformatted"/>
    <w:basedOn w:val="Normal"/>
    <w:link w:val="PrformatHTMLCar"/>
    <w:semiHidden/>
    <w:rsid w:val="009D335A"/>
    <w:pPr>
      <w:suppressAutoHyphens w:val="0"/>
      <w:kinsoku/>
      <w:overflowPunct/>
      <w:autoSpaceDE/>
      <w:autoSpaceDN/>
      <w:adjustRightInd/>
      <w:snapToGrid/>
    </w:pPr>
    <w:rPr>
      <w:rFonts w:ascii="Courier New" w:eastAsia="Times New Roman" w:hAnsi="Courier New" w:cs="Courier New"/>
      <w:lang w:val="es-ES" w:eastAsia="es-ES"/>
    </w:rPr>
  </w:style>
  <w:style w:type="character" w:customStyle="1" w:styleId="PrformatHTMLCar">
    <w:name w:val="Préformaté HTML Car"/>
    <w:basedOn w:val="Policepardfaut"/>
    <w:link w:val="PrformatHTML"/>
    <w:semiHidden/>
    <w:rsid w:val="009D335A"/>
    <w:rPr>
      <w:rFonts w:ascii="Courier New" w:eastAsia="Times New Roman" w:hAnsi="Courier New" w:cs="Courier New"/>
      <w:sz w:val="20"/>
      <w:szCs w:val="20"/>
      <w:lang w:val="es-ES" w:eastAsia="es-ES"/>
    </w:rPr>
  </w:style>
  <w:style w:type="paragraph" w:styleId="Liste">
    <w:name w:val="List"/>
    <w:basedOn w:val="Normal"/>
    <w:semiHidden/>
    <w:rsid w:val="009D335A"/>
    <w:pPr>
      <w:suppressAutoHyphens w:val="0"/>
      <w:kinsoku/>
      <w:overflowPunct/>
      <w:autoSpaceDE/>
      <w:autoSpaceDN/>
      <w:adjustRightInd/>
      <w:snapToGrid/>
      <w:ind w:left="283" w:hanging="283"/>
    </w:pPr>
    <w:rPr>
      <w:rFonts w:eastAsia="Times New Roman"/>
      <w:lang w:val="es-ES" w:eastAsia="es-ES"/>
    </w:rPr>
  </w:style>
  <w:style w:type="paragraph" w:styleId="Liste2">
    <w:name w:val="List 2"/>
    <w:basedOn w:val="Normal"/>
    <w:semiHidden/>
    <w:rsid w:val="009D335A"/>
    <w:pPr>
      <w:suppressAutoHyphens w:val="0"/>
      <w:kinsoku/>
      <w:overflowPunct/>
      <w:autoSpaceDE/>
      <w:autoSpaceDN/>
      <w:adjustRightInd/>
      <w:snapToGrid/>
      <w:ind w:left="566" w:hanging="283"/>
    </w:pPr>
    <w:rPr>
      <w:rFonts w:eastAsia="Times New Roman"/>
      <w:lang w:val="es-ES" w:eastAsia="es-ES"/>
    </w:rPr>
  </w:style>
  <w:style w:type="paragraph" w:styleId="Liste3">
    <w:name w:val="List 3"/>
    <w:basedOn w:val="Normal"/>
    <w:semiHidden/>
    <w:rsid w:val="009D335A"/>
    <w:pPr>
      <w:suppressAutoHyphens w:val="0"/>
      <w:kinsoku/>
      <w:overflowPunct/>
      <w:autoSpaceDE/>
      <w:autoSpaceDN/>
      <w:adjustRightInd/>
      <w:snapToGrid/>
      <w:ind w:left="849" w:hanging="283"/>
    </w:pPr>
    <w:rPr>
      <w:rFonts w:eastAsia="Times New Roman"/>
      <w:lang w:val="es-ES" w:eastAsia="es-ES"/>
    </w:rPr>
  </w:style>
  <w:style w:type="paragraph" w:styleId="Liste4">
    <w:name w:val="List 4"/>
    <w:basedOn w:val="Normal"/>
    <w:semiHidden/>
    <w:rsid w:val="009D335A"/>
    <w:pPr>
      <w:suppressAutoHyphens w:val="0"/>
      <w:kinsoku/>
      <w:overflowPunct/>
      <w:autoSpaceDE/>
      <w:autoSpaceDN/>
      <w:adjustRightInd/>
      <w:snapToGrid/>
      <w:ind w:left="1132" w:hanging="283"/>
    </w:pPr>
    <w:rPr>
      <w:rFonts w:eastAsia="Times New Roman"/>
      <w:lang w:val="es-ES" w:eastAsia="es-ES"/>
    </w:rPr>
  </w:style>
  <w:style w:type="paragraph" w:styleId="Liste5">
    <w:name w:val="List 5"/>
    <w:basedOn w:val="Normal"/>
    <w:semiHidden/>
    <w:rsid w:val="009D335A"/>
    <w:pPr>
      <w:suppressAutoHyphens w:val="0"/>
      <w:kinsoku/>
      <w:overflowPunct/>
      <w:autoSpaceDE/>
      <w:autoSpaceDN/>
      <w:adjustRightInd/>
      <w:snapToGrid/>
      <w:ind w:left="1415" w:hanging="283"/>
    </w:pPr>
    <w:rPr>
      <w:rFonts w:eastAsia="Times New Roman"/>
      <w:lang w:val="es-ES" w:eastAsia="es-ES"/>
    </w:rPr>
  </w:style>
  <w:style w:type="paragraph" w:styleId="Listenumros">
    <w:name w:val="List Number"/>
    <w:basedOn w:val="Normal"/>
    <w:semiHidden/>
    <w:rsid w:val="009D335A"/>
    <w:pPr>
      <w:tabs>
        <w:tab w:val="num" w:pos="360"/>
      </w:tabs>
      <w:suppressAutoHyphens w:val="0"/>
      <w:kinsoku/>
      <w:overflowPunct/>
      <w:autoSpaceDE/>
      <w:autoSpaceDN/>
      <w:adjustRightInd/>
      <w:snapToGrid/>
      <w:ind w:left="360" w:hanging="360"/>
    </w:pPr>
    <w:rPr>
      <w:rFonts w:eastAsia="Times New Roman"/>
      <w:lang w:val="es-ES" w:eastAsia="es-ES"/>
    </w:rPr>
  </w:style>
  <w:style w:type="paragraph" w:styleId="Listenumros2">
    <w:name w:val="List Number 2"/>
    <w:basedOn w:val="Normal"/>
    <w:semiHidden/>
    <w:rsid w:val="009D335A"/>
    <w:pPr>
      <w:tabs>
        <w:tab w:val="num" w:pos="643"/>
      </w:tabs>
      <w:suppressAutoHyphens w:val="0"/>
      <w:kinsoku/>
      <w:overflowPunct/>
      <w:autoSpaceDE/>
      <w:autoSpaceDN/>
      <w:adjustRightInd/>
      <w:snapToGrid/>
      <w:ind w:left="643" w:hanging="360"/>
    </w:pPr>
    <w:rPr>
      <w:rFonts w:eastAsia="Times New Roman"/>
      <w:lang w:val="es-ES" w:eastAsia="es-ES"/>
    </w:rPr>
  </w:style>
  <w:style w:type="paragraph" w:styleId="Listenumros3">
    <w:name w:val="List Number 3"/>
    <w:basedOn w:val="Normal"/>
    <w:semiHidden/>
    <w:rsid w:val="009D335A"/>
    <w:pPr>
      <w:tabs>
        <w:tab w:val="num" w:pos="926"/>
      </w:tabs>
      <w:suppressAutoHyphens w:val="0"/>
      <w:kinsoku/>
      <w:overflowPunct/>
      <w:autoSpaceDE/>
      <w:autoSpaceDN/>
      <w:adjustRightInd/>
      <w:snapToGrid/>
      <w:ind w:left="926" w:hanging="360"/>
    </w:pPr>
    <w:rPr>
      <w:rFonts w:eastAsia="Times New Roman"/>
      <w:lang w:val="es-ES" w:eastAsia="es-ES"/>
    </w:rPr>
  </w:style>
  <w:style w:type="paragraph" w:styleId="Listenumros4">
    <w:name w:val="List Number 4"/>
    <w:basedOn w:val="Normal"/>
    <w:semiHidden/>
    <w:rsid w:val="009D335A"/>
    <w:pPr>
      <w:tabs>
        <w:tab w:val="num" w:pos="1209"/>
      </w:tabs>
      <w:suppressAutoHyphens w:val="0"/>
      <w:kinsoku/>
      <w:overflowPunct/>
      <w:autoSpaceDE/>
      <w:autoSpaceDN/>
      <w:adjustRightInd/>
      <w:snapToGrid/>
      <w:ind w:left="1209" w:hanging="360"/>
    </w:pPr>
    <w:rPr>
      <w:rFonts w:eastAsia="Times New Roman"/>
      <w:lang w:val="es-ES" w:eastAsia="es-ES"/>
    </w:rPr>
  </w:style>
  <w:style w:type="paragraph" w:styleId="Listenumros5">
    <w:name w:val="List Number 5"/>
    <w:basedOn w:val="Normal"/>
    <w:semiHidden/>
    <w:rsid w:val="009D335A"/>
    <w:pPr>
      <w:tabs>
        <w:tab w:val="num" w:pos="1492"/>
      </w:tabs>
      <w:suppressAutoHyphens w:val="0"/>
      <w:kinsoku/>
      <w:overflowPunct/>
      <w:autoSpaceDE/>
      <w:autoSpaceDN/>
      <w:adjustRightInd/>
      <w:snapToGrid/>
      <w:ind w:left="1492" w:hanging="360"/>
    </w:pPr>
    <w:rPr>
      <w:rFonts w:eastAsia="Times New Roman"/>
      <w:lang w:val="es-ES" w:eastAsia="es-ES"/>
    </w:rPr>
  </w:style>
  <w:style w:type="paragraph" w:styleId="Listepuces">
    <w:name w:val="List Bullet"/>
    <w:basedOn w:val="Normal"/>
    <w:semiHidden/>
    <w:rsid w:val="009D335A"/>
    <w:pPr>
      <w:tabs>
        <w:tab w:val="num" w:pos="360"/>
      </w:tabs>
      <w:suppressAutoHyphens w:val="0"/>
      <w:kinsoku/>
      <w:overflowPunct/>
      <w:autoSpaceDE/>
      <w:autoSpaceDN/>
      <w:adjustRightInd/>
      <w:snapToGrid/>
      <w:ind w:left="360" w:hanging="360"/>
    </w:pPr>
    <w:rPr>
      <w:rFonts w:eastAsia="Times New Roman"/>
      <w:lang w:val="es-ES" w:eastAsia="es-ES"/>
    </w:rPr>
  </w:style>
  <w:style w:type="paragraph" w:styleId="Listepuces2">
    <w:name w:val="List Bullet 2"/>
    <w:basedOn w:val="Normal"/>
    <w:semiHidden/>
    <w:rsid w:val="009D335A"/>
    <w:pPr>
      <w:tabs>
        <w:tab w:val="num" w:pos="643"/>
      </w:tabs>
      <w:suppressAutoHyphens w:val="0"/>
      <w:kinsoku/>
      <w:overflowPunct/>
      <w:autoSpaceDE/>
      <w:autoSpaceDN/>
      <w:adjustRightInd/>
      <w:snapToGrid/>
      <w:ind w:left="643" w:hanging="360"/>
    </w:pPr>
    <w:rPr>
      <w:rFonts w:eastAsia="Times New Roman"/>
      <w:lang w:val="es-ES" w:eastAsia="es-ES"/>
    </w:rPr>
  </w:style>
  <w:style w:type="paragraph" w:styleId="Listepuces3">
    <w:name w:val="List Bullet 3"/>
    <w:basedOn w:val="Normal"/>
    <w:semiHidden/>
    <w:rsid w:val="009D335A"/>
    <w:pPr>
      <w:tabs>
        <w:tab w:val="num" w:pos="926"/>
      </w:tabs>
      <w:suppressAutoHyphens w:val="0"/>
      <w:kinsoku/>
      <w:overflowPunct/>
      <w:autoSpaceDE/>
      <w:autoSpaceDN/>
      <w:adjustRightInd/>
      <w:snapToGrid/>
      <w:ind w:left="926" w:hanging="360"/>
    </w:pPr>
    <w:rPr>
      <w:rFonts w:eastAsia="Times New Roman"/>
      <w:lang w:val="es-ES" w:eastAsia="es-ES"/>
    </w:rPr>
  </w:style>
  <w:style w:type="paragraph" w:styleId="Listepuces4">
    <w:name w:val="List Bullet 4"/>
    <w:basedOn w:val="Normal"/>
    <w:semiHidden/>
    <w:rsid w:val="009D335A"/>
    <w:pPr>
      <w:tabs>
        <w:tab w:val="num" w:pos="1209"/>
      </w:tabs>
      <w:suppressAutoHyphens w:val="0"/>
      <w:kinsoku/>
      <w:overflowPunct/>
      <w:autoSpaceDE/>
      <w:autoSpaceDN/>
      <w:adjustRightInd/>
      <w:snapToGrid/>
      <w:ind w:left="1209" w:hanging="360"/>
    </w:pPr>
    <w:rPr>
      <w:rFonts w:eastAsia="Times New Roman"/>
      <w:lang w:val="es-ES" w:eastAsia="es-ES"/>
    </w:rPr>
  </w:style>
  <w:style w:type="paragraph" w:styleId="Listepuces5">
    <w:name w:val="List Bullet 5"/>
    <w:basedOn w:val="Normal"/>
    <w:semiHidden/>
    <w:rsid w:val="009D335A"/>
    <w:pPr>
      <w:tabs>
        <w:tab w:val="num" w:pos="1492"/>
      </w:tabs>
      <w:suppressAutoHyphens w:val="0"/>
      <w:kinsoku/>
      <w:overflowPunct/>
      <w:autoSpaceDE/>
      <w:autoSpaceDN/>
      <w:adjustRightInd/>
      <w:snapToGrid/>
      <w:ind w:left="1492" w:hanging="360"/>
    </w:pPr>
    <w:rPr>
      <w:rFonts w:eastAsia="Times New Roman"/>
      <w:lang w:val="es-ES" w:eastAsia="es-ES"/>
    </w:rPr>
  </w:style>
  <w:style w:type="character" w:styleId="MachinecrireHTML">
    <w:name w:val="HTML Typewriter"/>
    <w:semiHidden/>
    <w:rsid w:val="009D335A"/>
    <w:rPr>
      <w:rFonts w:ascii="Courier New" w:hAnsi="Courier New" w:cs="Courier New"/>
      <w:sz w:val="20"/>
      <w:szCs w:val="20"/>
    </w:rPr>
  </w:style>
  <w:style w:type="paragraph" w:styleId="NormalWeb">
    <w:name w:val="Normal (Web)"/>
    <w:basedOn w:val="Normal"/>
    <w:uiPriority w:val="99"/>
    <w:semiHidden/>
    <w:rsid w:val="009D335A"/>
    <w:pPr>
      <w:suppressAutoHyphens w:val="0"/>
      <w:kinsoku/>
      <w:overflowPunct/>
      <w:autoSpaceDE/>
      <w:autoSpaceDN/>
      <w:adjustRightInd/>
      <w:snapToGrid/>
    </w:pPr>
    <w:rPr>
      <w:rFonts w:eastAsia="Times New Roman"/>
      <w:sz w:val="24"/>
      <w:szCs w:val="24"/>
      <w:lang w:val="es-ES" w:eastAsia="es-ES"/>
    </w:rPr>
  </w:style>
  <w:style w:type="character" w:styleId="Numrodeligne">
    <w:name w:val="line number"/>
    <w:basedOn w:val="Policepardfaut"/>
    <w:semiHidden/>
    <w:rsid w:val="009D335A"/>
  </w:style>
  <w:style w:type="paragraph" w:styleId="Adresseexpditeur">
    <w:name w:val="envelope return"/>
    <w:basedOn w:val="Normal"/>
    <w:semiHidden/>
    <w:rsid w:val="009D335A"/>
    <w:pPr>
      <w:suppressAutoHyphens w:val="0"/>
      <w:kinsoku/>
      <w:overflowPunct/>
      <w:autoSpaceDE/>
      <w:autoSpaceDN/>
      <w:adjustRightInd/>
      <w:snapToGrid/>
    </w:pPr>
    <w:rPr>
      <w:rFonts w:ascii="Arial" w:eastAsia="Times New Roman" w:hAnsi="Arial" w:cs="Arial"/>
      <w:lang w:val="es-ES" w:eastAsia="es-ES"/>
    </w:rPr>
  </w:style>
  <w:style w:type="paragraph" w:styleId="Salutations">
    <w:name w:val="Salutation"/>
    <w:basedOn w:val="Normal"/>
    <w:next w:val="Normal"/>
    <w:link w:val="SalutationsCar"/>
    <w:semiHidden/>
    <w:rsid w:val="009D335A"/>
    <w:pPr>
      <w:suppressAutoHyphens w:val="0"/>
      <w:kinsoku/>
      <w:overflowPunct/>
      <w:autoSpaceDE/>
      <w:autoSpaceDN/>
      <w:adjustRightInd/>
      <w:snapToGrid/>
    </w:pPr>
    <w:rPr>
      <w:rFonts w:eastAsia="Times New Roman"/>
      <w:lang w:val="es-ES" w:eastAsia="es-ES"/>
    </w:rPr>
  </w:style>
  <w:style w:type="character" w:customStyle="1" w:styleId="SalutationsCar">
    <w:name w:val="Salutations Car"/>
    <w:basedOn w:val="Policepardfaut"/>
    <w:link w:val="Salutations"/>
    <w:semiHidden/>
    <w:rsid w:val="009D335A"/>
    <w:rPr>
      <w:rFonts w:ascii="Times New Roman" w:eastAsia="Times New Roman" w:hAnsi="Times New Roman" w:cs="Times New Roman"/>
      <w:sz w:val="20"/>
      <w:szCs w:val="20"/>
      <w:lang w:val="es-ES" w:eastAsia="es-ES"/>
    </w:rPr>
  </w:style>
  <w:style w:type="paragraph" w:styleId="Retraitcorpsdetexte2">
    <w:name w:val="Body Text Indent 2"/>
    <w:basedOn w:val="Normal"/>
    <w:link w:val="Retraitcorpsdetexte2Car"/>
    <w:semiHidden/>
    <w:rsid w:val="009D335A"/>
    <w:pPr>
      <w:suppressAutoHyphens w:val="0"/>
      <w:kinsoku/>
      <w:overflowPunct/>
      <w:autoSpaceDE/>
      <w:autoSpaceDN/>
      <w:adjustRightInd/>
      <w:snapToGrid/>
      <w:spacing w:after="120" w:line="480" w:lineRule="auto"/>
      <w:ind w:left="283"/>
    </w:pPr>
    <w:rPr>
      <w:rFonts w:eastAsia="Times New Roman"/>
      <w:lang w:val="es-ES" w:eastAsia="es-ES"/>
    </w:rPr>
  </w:style>
  <w:style w:type="character" w:customStyle="1" w:styleId="Retraitcorpsdetexte2Car">
    <w:name w:val="Retrait corps de texte 2 Car"/>
    <w:basedOn w:val="Policepardfaut"/>
    <w:link w:val="Retraitcorpsdetexte2"/>
    <w:semiHidden/>
    <w:rsid w:val="009D335A"/>
    <w:rPr>
      <w:rFonts w:ascii="Times New Roman" w:eastAsia="Times New Roman" w:hAnsi="Times New Roman" w:cs="Times New Roman"/>
      <w:sz w:val="20"/>
      <w:szCs w:val="20"/>
      <w:lang w:val="es-ES" w:eastAsia="es-ES"/>
    </w:rPr>
  </w:style>
  <w:style w:type="paragraph" w:styleId="Retraitcorpsdetexte3">
    <w:name w:val="Body Text Indent 3"/>
    <w:basedOn w:val="Normal"/>
    <w:link w:val="Retraitcorpsdetexte3Car"/>
    <w:semiHidden/>
    <w:rsid w:val="009D335A"/>
    <w:pPr>
      <w:suppressAutoHyphens w:val="0"/>
      <w:kinsoku/>
      <w:overflowPunct/>
      <w:autoSpaceDE/>
      <w:autoSpaceDN/>
      <w:adjustRightInd/>
      <w:snapToGrid/>
      <w:spacing w:after="120"/>
      <w:ind w:left="283"/>
    </w:pPr>
    <w:rPr>
      <w:rFonts w:eastAsia="Times New Roman"/>
      <w:sz w:val="16"/>
      <w:szCs w:val="16"/>
      <w:lang w:val="es-ES" w:eastAsia="es-ES"/>
    </w:rPr>
  </w:style>
  <w:style w:type="character" w:customStyle="1" w:styleId="Retraitcorpsdetexte3Car">
    <w:name w:val="Retrait corps de texte 3 Car"/>
    <w:basedOn w:val="Policepardfaut"/>
    <w:link w:val="Retraitcorpsdetexte3"/>
    <w:semiHidden/>
    <w:rsid w:val="009D335A"/>
    <w:rPr>
      <w:rFonts w:ascii="Times New Roman" w:eastAsia="Times New Roman" w:hAnsi="Times New Roman" w:cs="Times New Roman"/>
      <w:sz w:val="16"/>
      <w:szCs w:val="16"/>
      <w:lang w:val="es-ES" w:eastAsia="es-ES"/>
    </w:rPr>
  </w:style>
  <w:style w:type="paragraph" w:styleId="Retraitcorpsdetexte">
    <w:name w:val="Body Text Indent"/>
    <w:basedOn w:val="Normal"/>
    <w:link w:val="RetraitcorpsdetexteCar"/>
    <w:semiHidden/>
    <w:rsid w:val="009D335A"/>
    <w:pPr>
      <w:suppressAutoHyphens w:val="0"/>
      <w:kinsoku/>
      <w:overflowPunct/>
      <w:autoSpaceDE/>
      <w:autoSpaceDN/>
      <w:adjustRightInd/>
      <w:snapToGrid/>
      <w:spacing w:after="120"/>
      <w:ind w:left="283"/>
    </w:pPr>
    <w:rPr>
      <w:rFonts w:eastAsia="Times New Roman"/>
      <w:lang w:val="es-ES" w:eastAsia="es-ES"/>
    </w:rPr>
  </w:style>
  <w:style w:type="character" w:customStyle="1" w:styleId="RetraitcorpsdetexteCar">
    <w:name w:val="Retrait corps de texte Car"/>
    <w:basedOn w:val="Policepardfaut"/>
    <w:link w:val="Retraitcorpsdetexte"/>
    <w:semiHidden/>
    <w:rsid w:val="009D335A"/>
    <w:rPr>
      <w:rFonts w:ascii="Times New Roman" w:eastAsia="Times New Roman" w:hAnsi="Times New Roman" w:cs="Times New Roman"/>
      <w:sz w:val="20"/>
      <w:szCs w:val="20"/>
      <w:lang w:val="es-ES" w:eastAsia="es-ES"/>
    </w:rPr>
  </w:style>
  <w:style w:type="paragraph" w:styleId="Retraitnormal">
    <w:name w:val="Normal Indent"/>
    <w:basedOn w:val="Normal"/>
    <w:semiHidden/>
    <w:rsid w:val="009D335A"/>
    <w:pPr>
      <w:suppressAutoHyphens w:val="0"/>
      <w:kinsoku/>
      <w:overflowPunct/>
      <w:autoSpaceDE/>
      <w:autoSpaceDN/>
      <w:adjustRightInd/>
      <w:snapToGrid/>
      <w:ind w:left="567"/>
    </w:pPr>
    <w:rPr>
      <w:rFonts w:eastAsia="Times New Roman"/>
      <w:lang w:val="es-ES" w:eastAsia="es-ES"/>
    </w:rPr>
  </w:style>
  <w:style w:type="paragraph" w:styleId="Sous-titre">
    <w:name w:val="Subtitle"/>
    <w:basedOn w:val="Normal"/>
    <w:link w:val="Sous-titreCar"/>
    <w:rsid w:val="009D335A"/>
    <w:pPr>
      <w:suppressAutoHyphens w:val="0"/>
      <w:kinsoku/>
      <w:overflowPunct/>
      <w:autoSpaceDE/>
      <w:autoSpaceDN/>
      <w:adjustRightInd/>
      <w:snapToGrid/>
      <w:spacing w:after="60"/>
      <w:jc w:val="center"/>
      <w:outlineLvl w:val="1"/>
    </w:pPr>
    <w:rPr>
      <w:rFonts w:ascii="Arial" w:eastAsia="Times New Roman" w:hAnsi="Arial" w:cs="Arial"/>
      <w:sz w:val="24"/>
      <w:szCs w:val="24"/>
      <w:lang w:val="es-ES" w:eastAsia="es-ES"/>
    </w:rPr>
  </w:style>
  <w:style w:type="character" w:customStyle="1" w:styleId="Sous-titreCar">
    <w:name w:val="Sous-titre Car"/>
    <w:basedOn w:val="Policepardfaut"/>
    <w:link w:val="Sous-titre"/>
    <w:rsid w:val="009D335A"/>
    <w:rPr>
      <w:rFonts w:ascii="Arial" w:eastAsia="Times New Roman" w:hAnsi="Arial" w:cs="Arial"/>
      <w:sz w:val="24"/>
      <w:szCs w:val="24"/>
      <w:lang w:val="es-ES" w:eastAsia="es-ES"/>
    </w:rPr>
  </w:style>
  <w:style w:type="table" w:styleId="Tableausimple1">
    <w:name w:val="Table Simple 1"/>
    <w:basedOn w:val="TableauNormal"/>
    <w:semiHidden/>
    <w:rsid w:val="009D335A"/>
    <w:pPr>
      <w:spacing w:after="0" w:line="240" w:lineRule="atLeast"/>
    </w:pPr>
    <w:rPr>
      <w:rFonts w:ascii="Times New Roman" w:eastAsia="Times New Roma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9D335A"/>
    <w:pPr>
      <w:spacing w:after="0" w:line="240" w:lineRule="atLeast"/>
    </w:pPr>
    <w:rPr>
      <w:rFonts w:ascii="Times New Roman" w:eastAsia="Times New Roma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9D335A"/>
    <w:pPr>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classique1">
    <w:name w:val="Table Classic 1"/>
    <w:basedOn w:val="TableauNormal"/>
    <w:semiHidden/>
    <w:rsid w:val="009D335A"/>
    <w:pPr>
      <w:spacing w:after="0" w:line="240" w:lineRule="atLeast"/>
    </w:pPr>
    <w:rPr>
      <w:rFonts w:ascii="Times New Roman" w:eastAsia="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9D335A"/>
    <w:pPr>
      <w:spacing w:after="0" w:line="240" w:lineRule="atLeast"/>
    </w:pPr>
    <w:rPr>
      <w:rFonts w:ascii="Times New Roman" w:eastAsia="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9D335A"/>
    <w:pPr>
      <w:spacing w:after="0" w:line="240" w:lineRule="atLeast"/>
    </w:pPr>
    <w:rPr>
      <w:rFonts w:ascii="Times New Roman" w:eastAsia="Times New Roma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9D335A"/>
    <w:pPr>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nnesdetableau1">
    <w:name w:val="Table Columns 1"/>
    <w:basedOn w:val="TableauNormal"/>
    <w:semiHidden/>
    <w:rsid w:val="009D335A"/>
    <w:pPr>
      <w:spacing w:after="0" w:line="240" w:lineRule="atLeast"/>
    </w:pPr>
    <w:rPr>
      <w:rFonts w:ascii="Times New Roman" w:eastAsia="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9D335A"/>
    <w:pPr>
      <w:spacing w:after="0" w:line="240" w:lineRule="atLeast"/>
    </w:pPr>
    <w:rPr>
      <w:rFonts w:ascii="Times New Roman" w:eastAsia="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9D335A"/>
    <w:pPr>
      <w:spacing w:after="0" w:line="240" w:lineRule="atLeast"/>
    </w:pPr>
    <w:rPr>
      <w:rFonts w:ascii="Times New Roman" w:eastAsia="Times New Roma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9D335A"/>
    <w:pPr>
      <w:spacing w:after="0" w:line="240" w:lineRule="atLeast"/>
    </w:pPr>
    <w:rPr>
      <w:rFonts w:ascii="Times New Roman" w:eastAsia="Times New Roma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9D335A"/>
    <w:pPr>
      <w:spacing w:after="0" w:line="240" w:lineRule="atLeast"/>
    </w:pPr>
    <w:rPr>
      <w:rFonts w:ascii="Times New Roman" w:eastAsia="Times New Roma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Grilledetableau1">
    <w:name w:val="Table Grid 1"/>
    <w:basedOn w:val="TableauNormal"/>
    <w:semiHidden/>
    <w:rsid w:val="009D335A"/>
    <w:pPr>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9D335A"/>
    <w:pPr>
      <w:spacing w:after="0" w:line="240" w:lineRule="atLeast"/>
    </w:pPr>
    <w:rPr>
      <w:rFonts w:ascii="Times New Roman" w:eastAsia="Times New Roma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9D335A"/>
    <w:pPr>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9D335A"/>
    <w:pPr>
      <w:spacing w:after="0" w:line="240" w:lineRule="atLeast"/>
    </w:pPr>
    <w:rPr>
      <w:rFonts w:ascii="Times New Roman" w:eastAsia="Times New Roma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9D335A"/>
    <w:pPr>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9D335A"/>
    <w:pPr>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9D335A"/>
    <w:pPr>
      <w:spacing w:after="0" w:line="240" w:lineRule="atLeast"/>
    </w:pPr>
    <w:rPr>
      <w:rFonts w:ascii="Times New Roman" w:eastAsia="Times New Roma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9D335A"/>
    <w:pPr>
      <w:spacing w:after="0" w:line="240" w:lineRule="atLeast"/>
    </w:pPr>
    <w:rPr>
      <w:rFonts w:ascii="Times New Roman" w:eastAsia="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ffetsdetableau3D1">
    <w:name w:val="Table 3D effects 1"/>
    <w:basedOn w:val="TableauNormal"/>
    <w:semiHidden/>
    <w:rsid w:val="009D335A"/>
    <w:pPr>
      <w:spacing w:after="0" w:line="240" w:lineRule="atLeast"/>
    </w:pPr>
    <w:rPr>
      <w:rFonts w:ascii="Times New Roman" w:eastAsia="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9D335A"/>
    <w:pPr>
      <w:spacing w:after="0" w:line="240" w:lineRule="atLeast"/>
    </w:pPr>
    <w:rPr>
      <w:rFonts w:ascii="Times New Roman" w:eastAsia="Times New Roma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9D335A"/>
    <w:pPr>
      <w:spacing w:after="0" w:line="240" w:lineRule="atLeast"/>
    </w:pPr>
    <w:rPr>
      <w:rFonts w:ascii="Times New Roman" w:eastAsia="Times New Roma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1">
    <w:name w:val="Table List 1"/>
    <w:basedOn w:val="TableauNormal"/>
    <w:semiHidden/>
    <w:rsid w:val="009D335A"/>
    <w:pPr>
      <w:spacing w:after="0" w:line="240" w:lineRule="atLeast"/>
    </w:pPr>
    <w:rPr>
      <w:rFonts w:ascii="Times New Roman" w:eastAsia="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9D335A"/>
    <w:pPr>
      <w:spacing w:after="0" w:line="240" w:lineRule="atLeast"/>
    </w:pPr>
    <w:rPr>
      <w:rFonts w:ascii="Times New Roman" w:eastAsia="Times New Roma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9D335A"/>
    <w:pPr>
      <w:spacing w:after="0" w:line="240" w:lineRule="atLeast"/>
    </w:pPr>
    <w:rPr>
      <w:rFonts w:ascii="Times New Roman" w:eastAsia="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9D335A"/>
    <w:pPr>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9D335A"/>
    <w:pPr>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9D335A"/>
    <w:pPr>
      <w:spacing w:after="0" w:line="240" w:lineRule="atLeast"/>
    </w:pPr>
    <w:rPr>
      <w:rFonts w:ascii="Times New Roman" w:eastAsia="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9D335A"/>
    <w:pPr>
      <w:spacing w:after="0" w:line="240" w:lineRule="atLeast"/>
    </w:pPr>
    <w:rPr>
      <w:rFonts w:ascii="Times New Roman" w:eastAsia="Times New Roma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9D335A"/>
    <w:pPr>
      <w:spacing w:after="0" w:line="240" w:lineRule="atLeast"/>
    </w:pPr>
    <w:rPr>
      <w:rFonts w:ascii="Times New Roman" w:eastAsia="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hmedutableau">
    <w:name w:val="Table Theme"/>
    <w:basedOn w:val="TableauNormal"/>
    <w:semiHidden/>
    <w:rsid w:val="009D335A"/>
    <w:pPr>
      <w:spacing w:after="0" w:line="240" w:lineRule="atLeas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gant">
    <w:name w:val="Table Elegant"/>
    <w:basedOn w:val="TableauNormal"/>
    <w:semiHidden/>
    <w:rsid w:val="009D335A"/>
    <w:pPr>
      <w:spacing w:after="0" w:line="240" w:lineRule="atLeast"/>
    </w:pPr>
    <w:rPr>
      <w:rFonts w:ascii="Times New Roman" w:eastAsia="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contemporain">
    <w:name w:val="Table Contemporary"/>
    <w:basedOn w:val="TableauNormal"/>
    <w:semiHidden/>
    <w:rsid w:val="009D335A"/>
    <w:pPr>
      <w:spacing w:after="0" w:line="240" w:lineRule="atLeast"/>
    </w:pPr>
    <w:rPr>
      <w:rFonts w:ascii="Times New Roman" w:eastAsia="Times New Roma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professionnel">
    <w:name w:val="Table Professional"/>
    <w:basedOn w:val="TableauNormal"/>
    <w:semiHidden/>
    <w:rsid w:val="009D335A"/>
    <w:pPr>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9D335A"/>
    <w:pPr>
      <w:spacing w:after="0" w:line="240" w:lineRule="atLeast"/>
    </w:pPr>
    <w:rPr>
      <w:rFonts w:ascii="Times New Roman" w:eastAsia="Times New Roma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9D335A"/>
    <w:pPr>
      <w:spacing w:after="0" w:line="240" w:lineRule="atLeast"/>
    </w:pPr>
    <w:rPr>
      <w:rFonts w:ascii="Times New Roman" w:eastAsia="Times New Roma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semiHidden/>
    <w:rsid w:val="009D335A"/>
    <w:pPr>
      <w:spacing w:after="0" w:line="240" w:lineRule="atLeast"/>
    </w:pPr>
    <w:rPr>
      <w:rFonts w:ascii="Times New Roman" w:eastAsia="Times New Roma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9D335A"/>
    <w:pPr>
      <w:spacing w:after="0" w:line="240" w:lineRule="atLeast"/>
    </w:pPr>
    <w:rPr>
      <w:rFonts w:ascii="Times New Roman" w:eastAsia="Times New Roma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9D335A"/>
    <w:pPr>
      <w:spacing w:after="0" w:line="240" w:lineRule="atLeast"/>
    </w:pPr>
    <w:rPr>
      <w:rFonts w:ascii="Times New Roman" w:eastAsia="Times New Roma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semiHidden/>
    <w:rsid w:val="009D335A"/>
    <w:pPr>
      <w:spacing w:after="0" w:line="240" w:lineRule="atLeast"/>
    </w:pPr>
    <w:rPr>
      <w:rFonts w:ascii="Times New Roman" w:eastAsia="Times New Roma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9D335A"/>
    <w:pPr>
      <w:spacing w:after="0" w:line="240" w:lineRule="atLeast"/>
    </w:pPr>
    <w:rPr>
      <w:rFonts w:ascii="Times New Roman" w:eastAsia="Times New Roma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9D335A"/>
    <w:pPr>
      <w:spacing w:after="0" w:line="240" w:lineRule="atLeast"/>
    </w:pPr>
    <w:rPr>
      <w:rFonts w:ascii="Times New Roman" w:eastAsia="Times New Roma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lavierHTML">
    <w:name w:val="HTML Keyboard"/>
    <w:semiHidden/>
    <w:rsid w:val="009D335A"/>
    <w:rPr>
      <w:rFonts w:ascii="Courier New" w:hAnsi="Courier New" w:cs="Courier New"/>
      <w:sz w:val="20"/>
      <w:szCs w:val="20"/>
    </w:rPr>
  </w:style>
  <w:style w:type="paragraph" w:styleId="Normalcentr">
    <w:name w:val="Block Text"/>
    <w:basedOn w:val="Normal"/>
    <w:semiHidden/>
    <w:rsid w:val="009D335A"/>
    <w:pPr>
      <w:suppressAutoHyphens w:val="0"/>
      <w:kinsoku/>
      <w:overflowPunct/>
      <w:autoSpaceDE/>
      <w:autoSpaceDN/>
      <w:adjustRightInd/>
      <w:snapToGrid/>
      <w:spacing w:after="120"/>
      <w:ind w:left="1440" w:right="1440"/>
    </w:pPr>
    <w:rPr>
      <w:rFonts w:eastAsia="Times New Roman"/>
      <w:lang w:val="es-ES" w:eastAsia="es-ES"/>
    </w:rPr>
  </w:style>
  <w:style w:type="character" w:styleId="lev">
    <w:name w:val="Strong"/>
    <w:uiPriority w:val="22"/>
    <w:qFormat/>
    <w:rsid w:val="009D335A"/>
    <w:rPr>
      <w:b/>
      <w:bCs/>
    </w:rPr>
  </w:style>
  <w:style w:type="paragraph" w:styleId="Corpsdetexte">
    <w:name w:val="Body Text"/>
    <w:basedOn w:val="Normal"/>
    <w:link w:val="CorpsdetexteCar"/>
    <w:semiHidden/>
    <w:rsid w:val="009D335A"/>
    <w:pPr>
      <w:suppressAutoHyphens w:val="0"/>
      <w:kinsoku/>
      <w:overflowPunct/>
      <w:autoSpaceDE/>
      <w:autoSpaceDN/>
      <w:adjustRightInd/>
      <w:snapToGrid/>
      <w:spacing w:after="120"/>
    </w:pPr>
    <w:rPr>
      <w:rFonts w:eastAsia="Times New Roman"/>
      <w:lang w:val="es-ES" w:eastAsia="es-ES"/>
    </w:rPr>
  </w:style>
  <w:style w:type="character" w:customStyle="1" w:styleId="CorpsdetexteCar">
    <w:name w:val="Corps de texte Car"/>
    <w:basedOn w:val="Policepardfaut"/>
    <w:link w:val="Corpsdetexte"/>
    <w:semiHidden/>
    <w:rsid w:val="009D335A"/>
    <w:rPr>
      <w:rFonts w:ascii="Times New Roman" w:eastAsia="Times New Roman" w:hAnsi="Times New Roman" w:cs="Times New Roman"/>
      <w:sz w:val="20"/>
      <w:szCs w:val="20"/>
      <w:lang w:val="es-ES" w:eastAsia="es-ES"/>
    </w:rPr>
  </w:style>
  <w:style w:type="paragraph" w:styleId="Corpsdetexte2">
    <w:name w:val="Body Text 2"/>
    <w:basedOn w:val="Normal"/>
    <w:link w:val="Corpsdetexte2Car"/>
    <w:semiHidden/>
    <w:rsid w:val="009D335A"/>
    <w:pPr>
      <w:suppressAutoHyphens w:val="0"/>
      <w:kinsoku/>
      <w:overflowPunct/>
      <w:autoSpaceDE/>
      <w:autoSpaceDN/>
      <w:adjustRightInd/>
      <w:snapToGrid/>
      <w:spacing w:after="120" w:line="480" w:lineRule="auto"/>
    </w:pPr>
    <w:rPr>
      <w:rFonts w:eastAsia="Times New Roman"/>
      <w:lang w:val="es-ES" w:eastAsia="es-ES"/>
    </w:rPr>
  </w:style>
  <w:style w:type="character" w:customStyle="1" w:styleId="Corpsdetexte2Car">
    <w:name w:val="Corps de texte 2 Car"/>
    <w:basedOn w:val="Policepardfaut"/>
    <w:link w:val="Corpsdetexte2"/>
    <w:semiHidden/>
    <w:rsid w:val="009D335A"/>
    <w:rPr>
      <w:rFonts w:ascii="Times New Roman" w:eastAsia="Times New Roman" w:hAnsi="Times New Roman" w:cs="Times New Roman"/>
      <w:sz w:val="20"/>
      <w:szCs w:val="20"/>
      <w:lang w:val="es-ES" w:eastAsia="es-ES"/>
    </w:rPr>
  </w:style>
  <w:style w:type="paragraph" w:styleId="Corpsdetexte3">
    <w:name w:val="Body Text 3"/>
    <w:basedOn w:val="Normal"/>
    <w:link w:val="Corpsdetexte3Car"/>
    <w:semiHidden/>
    <w:rsid w:val="009D335A"/>
    <w:pPr>
      <w:suppressAutoHyphens w:val="0"/>
      <w:kinsoku/>
      <w:overflowPunct/>
      <w:autoSpaceDE/>
      <w:autoSpaceDN/>
      <w:adjustRightInd/>
      <w:snapToGrid/>
      <w:spacing w:after="120"/>
    </w:pPr>
    <w:rPr>
      <w:rFonts w:eastAsia="Times New Roman"/>
      <w:sz w:val="16"/>
      <w:szCs w:val="16"/>
      <w:lang w:val="es-ES" w:eastAsia="es-ES"/>
    </w:rPr>
  </w:style>
  <w:style w:type="character" w:customStyle="1" w:styleId="Corpsdetexte3Car">
    <w:name w:val="Corps de texte 3 Car"/>
    <w:basedOn w:val="Policepardfaut"/>
    <w:link w:val="Corpsdetexte3"/>
    <w:semiHidden/>
    <w:rsid w:val="009D335A"/>
    <w:rPr>
      <w:rFonts w:ascii="Times New Roman" w:eastAsia="Times New Roman" w:hAnsi="Times New Roman" w:cs="Times New Roman"/>
      <w:sz w:val="16"/>
      <w:szCs w:val="16"/>
      <w:lang w:val="es-ES" w:eastAsia="es-ES"/>
    </w:rPr>
  </w:style>
  <w:style w:type="paragraph" w:styleId="Retrait1religne">
    <w:name w:val="Body Text First Indent"/>
    <w:basedOn w:val="Corpsdetexte"/>
    <w:link w:val="Retrait1religneCar"/>
    <w:semiHidden/>
    <w:rsid w:val="009D335A"/>
    <w:pPr>
      <w:ind w:firstLine="210"/>
    </w:pPr>
  </w:style>
  <w:style w:type="character" w:customStyle="1" w:styleId="Retrait1religneCar">
    <w:name w:val="Retrait 1re ligne Car"/>
    <w:basedOn w:val="CorpsdetexteCar"/>
    <w:link w:val="Retrait1religne"/>
    <w:semiHidden/>
    <w:rsid w:val="009D335A"/>
    <w:rPr>
      <w:rFonts w:ascii="Times New Roman" w:eastAsia="Times New Roman" w:hAnsi="Times New Roman" w:cs="Times New Roman"/>
      <w:sz w:val="20"/>
      <w:szCs w:val="20"/>
      <w:lang w:val="es-ES" w:eastAsia="es-ES"/>
    </w:rPr>
  </w:style>
  <w:style w:type="paragraph" w:styleId="Retraitcorpset1relig">
    <w:name w:val="Body Text First Indent 2"/>
    <w:basedOn w:val="Retraitcorpsdetexte"/>
    <w:link w:val="Retraitcorpset1religCar"/>
    <w:semiHidden/>
    <w:rsid w:val="009D335A"/>
    <w:pPr>
      <w:ind w:firstLine="210"/>
    </w:pPr>
  </w:style>
  <w:style w:type="character" w:customStyle="1" w:styleId="Retraitcorpset1religCar">
    <w:name w:val="Retrait corps et 1re lig. Car"/>
    <w:basedOn w:val="RetraitcorpsdetexteCar"/>
    <w:link w:val="Retraitcorpset1relig"/>
    <w:semiHidden/>
    <w:rsid w:val="009D335A"/>
    <w:rPr>
      <w:rFonts w:ascii="Times New Roman" w:eastAsia="Times New Roman" w:hAnsi="Times New Roman" w:cs="Times New Roman"/>
      <w:sz w:val="20"/>
      <w:szCs w:val="20"/>
      <w:lang w:val="es-ES" w:eastAsia="es-ES"/>
    </w:rPr>
  </w:style>
  <w:style w:type="paragraph" w:styleId="Textebrut">
    <w:name w:val="Plain Text"/>
    <w:basedOn w:val="Normal"/>
    <w:link w:val="TextebrutCar"/>
    <w:semiHidden/>
    <w:rsid w:val="009D335A"/>
    <w:pPr>
      <w:suppressAutoHyphens w:val="0"/>
      <w:kinsoku/>
      <w:overflowPunct/>
      <w:autoSpaceDE/>
      <w:autoSpaceDN/>
      <w:adjustRightInd/>
      <w:snapToGrid/>
    </w:pPr>
    <w:rPr>
      <w:rFonts w:ascii="Courier New" w:eastAsia="Times New Roman" w:hAnsi="Courier New" w:cs="Courier New"/>
      <w:lang w:val="es-ES" w:eastAsia="es-ES"/>
    </w:rPr>
  </w:style>
  <w:style w:type="character" w:customStyle="1" w:styleId="TextebrutCar">
    <w:name w:val="Texte brut Car"/>
    <w:basedOn w:val="Policepardfaut"/>
    <w:link w:val="Textebrut"/>
    <w:semiHidden/>
    <w:rsid w:val="009D335A"/>
    <w:rPr>
      <w:rFonts w:ascii="Courier New" w:eastAsia="Times New Roman" w:hAnsi="Courier New" w:cs="Courier New"/>
      <w:sz w:val="20"/>
      <w:szCs w:val="20"/>
      <w:lang w:val="es-ES" w:eastAsia="es-ES"/>
    </w:rPr>
  </w:style>
  <w:style w:type="paragraph" w:styleId="Titre">
    <w:name w:val="Title"/>
    <w:basedOn w:val="Normal"/>
    <w:link w:val="TitreCar"/>
    <w:rsid w:val="009D335A"/>
    <w:pPr>
      <w:suppressAutoHyphens w:val="0"/>
      <w:kinsoku/>
      <w:overflowPunct/>
      <w:autoSpaceDE/>
      <w:autoSpaceDN/>
      <w:adjustRightInd/>
      <w:snapToGrid/>
      <w:spacing w:before="240" w:after="60"/>
      <w:jc w:val="center"/>
      <w:outlineLvl w:val="0"/>
    </w:pPr>
    <w:rPr>
      <w:rFonts w:ascii="Arial" w:eastAsia="Times New Roman" w:hAnsi="Arial" w:cs="Arial"/>
      <w:b/>
      <w:bCs/>
      <w:kern w:val="28"/>
      <w:sz w:val="32"/>
      <w:szCs w:val="32"/>
      <w:lang w:val="es-ES" w:eastAsia="es-ES"/>
    </w:rPr>
  </w:style>
  <w:style w:type="character" w:customStyle="1" w:styleId="TitreCar">
    <w:name w:val="Titre Car"/>
    <w:basedOn w:val="Policepardfaut"/>
    <w:link w:val="Titre"/>
    <w:rsid w:val="009D335A"/>
    <w:rPr>
      <w:rFonts w:ascii="Arial" w:eastAsia="Times New Roman" w:hAnsi="Arial" w:cs="Arial"/>
      <w:b/>
      <w:bCs/>
      <w:kern w:val="28"/>
      <w:sz w:val="32"/>
      <w:szCs w:val="32"/>
      <w:lang w:val="es-ES" w:eastAsia="es-ES"/>
    </w:rPr>
  </w:style>
  <w:style w:type="character" w:styleId="VariableHTML">
    <w:name w:val="HTML Variable"/>
    <w:semiHidden/>
    <w:rsid w:val="009D335A"/>
    <w:rPr>
      <w:i/>
      <w:iCs/>
    </w:rPr>
  </w:style>
  <w:style w:type="paragraph" w:styleId="Citationintense">
    <w:name w:val="Intense Quote"/>
    <w:basedOn w:val="Normal"/>
    <w:next w:val="Normal"/>
    <w:link w:val="CitationintenseCar"/>
    <w:uiPriority w:val="30"/>
    <w:rsid w:val="009D335A"/>
    <w:pPr>
      <w:pBdr>
        <w:bottom w:val="single" w:sz="4" w:space="4" w:color="4F81BD"/>
      </w:pBdr>
      <w:suppressAutoHyphens w:val="0"/>
      <w:kinsoku/>
      <w:overflowPunct/>
      <w:autoSpaceDE/>
      <w:autoSpaceDN/>
      <w:adjustRightInd/>
      <w:snapToGrid/>
      <w:spacing w:before="200" w:after="280"/>
      <w:ind w:left="936" w:right="936"/>
    </w:pPr>
    <w:rPr>
      <w:rFonts w:eastAsia="Times New Roman"/>
      <w:b/>
      <w:bCs/>
      <w:i/>
      <w:iCs/>
      <w:color w:val="4F81BD"/>
      <w:lang w:val="es-ES" w:eastAsia="es-ES"/>
    </w:rPr>
  </w:style>
  <w:style w:type="character" w:customStyle="1" w:styleId="CitationintenseCar">
    <w:name w:val="Citation intense Car"/>
    <w:basedOn w:val="Policepardfaut"/>
    <w:link w:val="Citationintense"/>
    <w:uiPriority w:val="30"/>
    <w:rsid w:val="009D335A"/>
    <w:rPr>
      <w:rFonts w:ascii="Times New Roman" w:eastAsia="Times New Roman" w:hAnsi="Times New Roman" w:cs="Times New Roman"/>
      <w:b/>
      <w:bCs/>
      <w:i/>
      <w:iCs/>
      <w:color w:val="4F81BD"/>
      <w:sz w:val="20"/>
      <w:szCs w:val="20"/>
      <w:lang w:val="es-ES" w:eastAsia="es-ES"/>
    </w:rPr>
  </w:style>
  <w:style w:type="character" w:styleId="Accentuationintense">
    <w:name w:val="Intense Emphasis"/>
    <w:uiPriority w:val="21"/>
    <w:rsid w:val="009D335A"/>
    <w:rPr>
      <w:b/>
      <w:bCs/>
      <w:i/>
      <w:iCs/>
      <w:color w:val="4F81BD"/>
    </w:rPr>
  </w:style>
  <w:style w:type="table" w:customStyle="1" w:styleId="Tablaconcuadrcula1">
    <w:name w:val="Tabla con cuadrícula1"/>
    <w:basedOn w:val="TableauNormal"/>
    <w:rsid w:val="009D335A"/>
    <w:pPr>
      <w:suppressAutoHyphens/>
      <w:spacing w:after="0" w:line="240" w:lineRule="atLeast"/>
    </w:pPr>
    <w:rPr>
      <w:rFonts w:ascii="Times New Roman" w:eastAsiaTheme="minorHAnsi"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1111111">
    <w:name w:val="1 / 1.1 / 1.1.11"/>
    <w:basedOn w:val="Aucuneliste"/>
    <w:next w:val="111111"/>
    <w:semiHidden/>
    <w:rsid w:val="009D335A"/>
  </w:style>
  <w:style w:type="numbering" w:customStyle="1" w:styleId="1ai1">
    <w:name w:val="1 / a / i1"/>
    <w:basedOn w:val="Aucuneliste"/>
    <w:next w:val="1ai"/>
    <w:semiHidden/>
    <w:rsid w:val="009D335A"/>
  </w:style>
  <w:style w:type="numbering" w:customStyle="1" w:styleId="ArticleSection1">
    <w:name w:val="Article / Section1"/>
    <w:basedOn w:val="Aucuneliste"/>
    <w:next w:val="ArticleSection"/>
    <w:semiHidden/>
    <w:rsid w:val="009D335A"/>
  </w:style>
  <w:style w:type="table" w:customStyle="1" w:styleId="TableGrid1">
    <w:name w:val="Table Grid1"/>
    <w:basedOn w:val="TableauNormal"/>
    <w:next w:val="Grilledutableau"/>
    <w:rsid w:val="009D335A"/>
    <w:pPr>
      <w:spacing w:after="0" w:line="240" w:lineRule="atLeas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ftref Char,16 Point Char,Superscript 6 Point Char,Footnotes refss Char,Footnote Reference Number Char,nota pié di pagina Char,Times 10 Point Char, Exposant 3 Point Char,Footnote symbol Char,Footnote reference number Char"/>
    <w:basedOn w:val="Normal"/>
    <w:link w:val="Appelnotedebasdep"/>
    <w:rsid w:val="009D335A"/>
    <w:pPr>
      <w:suppressAutoHyphens w:val="0"/>
      <w:kinsoku/>
      <w:overflowPunct/>
      <w:autoSpaceDE/>
      <w:autoSpaceDN/>
      <w:adjustRightInd/>
      <w:snapToGrid/>
      <w:spacing w:after="160" w:line="240" w:lineRule="exact"/>
    </w:pPr>
    <w:rPr>
      <w:rFonts w:eastAsiaTheme="minorEastAsia" w:cstheme="minorBidi"/>
      <w:sz w:val="18"/>
      <w:szCs w:val="22"/>
      <w:vertAlign w:val="superscript"/>
      <w:lang w:eastAsia="zh-CN"/>
    </w:rPr>
  </w:style>
  <w:style w:type="paragraph" w:customStyle="1" w:styleId="Cuerpo">
    <w:name w:val="Cuerpo"/>
    <w:rsid w:val="009D335A"/>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s-ES_tradnl" w:eastAsia="en-GB"/>
    </w:rPr>
  </w:style>
  <w:style w:type="paragraph" w:customStyle="1" w:styleId="Default">
    <w:name w:val="Default"/>
    <w:rsid w:val="009D335A"/>
    <w:pPr>
      <w:autoSpaceDE w:val="0"/>
      <w:autoSpaceDN w:val="0"/>
      <w:adjustRightInd w:val="0"/>
      <w:spacing w:after="0" w:line="240" w:lineRule="auto"/>
    </w:pPr>
    <w:rPr>
      <w:rFonts w:ascii="Calibri" w:eastAsia="Calibri" w:hAnsi="Calibri" w:cs="Calibri"/>
      <w:color w:val="000000"/>
      <w:sz w:val="24"/>
      <w:szCs w:val="24"/>
      <w:lang w:val="en-GB" w:eastAsia="en-US"/>
    </w:rPr>
  </w:style>
  <w:style w:type="character" w:customStyle="1" w:styleId="Ninguno">
    <w:name w:val="Ninguno"/>
    <w:rsid w:val="009D335A"/>
    <w:rPr>
      <w:lang w:val="es-ES_tradnl"/>
    </w:rPr>
  </w:style>
  <w:style w:type="paragraph" w:styleId="Paragraphedeliste">
    <w:name w:val="List Paragraph"/>
    <w:basedOn w:val="Normal"/>
    <w:uiPriority w:val="34"/>
    <w:qFormat/>
    <w:rsid w:val="009D335A"/>
    <w:pPr>
      <w:suppressAutoHyphens w:val="0"/>
      <w:kinsoku/>
      <w:overflowPunct/>
      <w:autoSpaceDE/>
      <w:autoSpaceDN/>
      <w:adjustRightInd/>
      <w:snapToGrid/>
      <w:ind w:left="720"/>
      <w:contextualSpacing/>
    </w:pPr>
    <w:rPr>
      <w:rFonts w:eastAsia="Times New Roman"/>
      <w:lang w:val="es-ES" w:eastAsia="es-ES"/>
    </w:rPr>
  </w:style>
  <w:style w:type="paragraph" w:customStyle="1" w:styleId="ftrefCharCharChar">
    <w:name w:val="ftref Char Char Char"/>
    <w:aliases w:val="Heading 2 Char1 Char Char Char Char,Heading 2 Char2 Char Char Char Char Char,Heading 2 Char Char Char Char Char1 Char Char"/>
    <w:basedOn w:val="Normal"/>
    <w:uiPriority w:val="99"/>
    <w:rsid w:val="009D335A"/>
    <w:pPr>
      <w:suppressAutoHyphens w:val="0"/>
      <w:kinsoku/>
      <w:overflowPunct/>
      <w:autoSpaceDE/>
      <w:autoSpaceDN/>
      <w:adjustRightInd/>
      <w:snapToGrid/>
      <w:spacing w:after="160" w:line="240" w:lineRule="exact"/>
    </w:pPr>
    <w:rPr>
      <w:rFonts w:eastAsia="Calibri"/>
      <w:sz w:val="18"/>
      <w:szCs w:val="22"/>
      <w:vertAlign w:val="superscript"/>
      <w:lang w:val="en-GB"/>
    </w:rPr>
  </w:style>
  <w:style w:type="paragraph" w:styleId="Commentaire">
    <w:name w:val="annotation text"/>
    <w:basedOn w:val="Normal"/>
    <w:link w:val="CommentaireCar"/>
    <w:uiPriority w:val="99"/>
    <w:unhideWhenUsed/>
    <w:rsid w:val="009D335A"/>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rsid w:val="009D335A"/>
    <w:rPr>
      <w:rFonts w:ascii="Times New Roman" w:eastAsia="Times New Roman" w:hAnsi="Times New Roman" w:cs="Times New Roman"/>
      <w:sz w:val="20"/>
      <w:szCs w:val="20"/>
      <w:lang w:val="en-GB" w:eastAsia="en-US"/>
    </w:rPr>
  </w:style>
  <w:style w:type="character" w:styleId="Marquedecommentaire">
    <w:name w:val="annotation reference"/>
    <w:basedOn w:val="Policepardfaut"/>
    <w:uiPriority w:val="99"/>
    <w:semiHidden/>
    <w:unhideWhenUsed/>
    <w:rsid w:val="009D335A"/>
    <w:rPr>
      <w:sz w:val="16"/>
      <w:szCs w:val="16"/>
    </w:rPr>
  </w:style>
  <w:style w:type="paragraph" w:styleId="Objetducommentaire">
    <w:name w:val="annotation subject"/>
    <w:basedOn w:val="Commentaire"/>
    <w:next w:val="Commentaire"/>
    <w:link w:val="ObjetducommentaireCar"/>
    <w:uiPriority w:val="99"/>
    <w:semiHidden/>
    <w:unhideWhenUsed/>
    <w:rsid w:val="009D335A"/>
    <w:pPr>
      <w:suppressAutoHyphens w:val="0"/>
    </w:pPr>
    <w:rPr>
      <w:b/>
      <w:bCs/>
      <w:lang w:val="es-ES" w:eastAsia="es-ES"/>
    </w:rPr>
  </w:style>
  <w:style w:type="character" w:customStyle="1" w:styleId="ObjetducommentaireCar">
    <w:name w:val="Objet du commentaire Car"/>
    <w:basedOn w:val="CommentaireCar"/>
    <w:link w:val="Objetducommentaire"/>
    <w:uiPriority w:val="99"/>
    <w:semiHidden/>
    <w:rsid w:val="009D335A"/>
    <w:rPr>
      <w:rFonts w:ascii="Times New Roman" w:eastAsia="Times New Roman" w:hAnsi="Times New Roman" w:cs="Times New Roman"/>
      <w:b/>
      <w:bCs/>
      <w:sz w:val="20"/>
      <w:szCs w:val="20"/>
      <w:lang w:val="es-ES" w:eastAsia="es-ES"/>
    </w:rPr>
  </w:style>
  <w:style w:type="paragraph" w:styleId="Rvision">
    <w:name w:val="Revision"/>
    <w:hidden/>
    <w:uiPriority w:val="99"/>
    <w:semiHidden/>
    <w:rsid w:val="009D335A"/>
    <w:pPr>
      <w:spacing w:after="0" w:line="240" w:lineRule="auto"/>
    </w:pPr>
    <w:rPr>
      <w:rFonts w:ascii="Times New Roman" w:eastAsia="Times New Roman" w:hAnsi="Times New Roman" w:cs="Times New Roman"/>
      <w:sz w:val="20"/>
      <w:szCs w:val="20"/>
      <w:lang w:val="es-ES" w:eastAsia="es-ES"/>
    </w:rPr>
  </w:style>
  <w:style w:type="character" w:customStyle="1" w:styleId="UnresolvedMention1">
    <w:name w:val="Unresolved Mention1"/>
    <w:basedOn w:val="Policepardfaut"/>
    <w:uiPriority w:val="99"/>
    <w:semiHidden/>
    <w:unhideWhenUsed/>
    <w:rsid w:val="009D335A"/>
    <w:rPr>
      <w:color w:val="605E5C"/>
      <w:shd w:val="clear" w:color="auto" w:fill="E1DFDD"/>
    </w:rPr>
  </w:style>
  <w:style w:type="character" w:customStyle="1" w:styleId="UnresolvedMention2">
    <w:name w:val="Unresolved Mention2"/>
    <w:basedOn w:val="Policepardfaut"/>
    <w:uiPriority w:val="99"/>
    <w:semiHidden/>
    <w:unhideWhenUsed/>
    <w:rsid w:val="009D335A"/>
    <w:rPr>
      <w:color w:val="605E5C"/>
      <w:shd w:val="clear" w:color="auto" w:fill="E1DFDD"/>
    </w:rPr>
  </w:style>
  <w:style w:type="character" w:customStyle="1" w:styleId="UnresolvedMention3">
    <w:name w:val="Unresolved Mention3"/>
    <w:basedOn w:val="Policepardfaut"/>
    <w:uiPriority w:val="99"/>
    <w:semiHidden/>
    <w:unhideWhenUsed/>
    <w:rsid w:val="009D335A"/>
    <w:rPr>
      <w:color w:val="605E5C"/>
      <w:shd w:val="clear" w:color="auto" w:fill="E1DFDD"/>
    </w:rPr>
  </w:style>
  <w:style w:type="paragraph" w:customStyle="1" w:styleId="merged-reco">
    <w:name w:val="merged-reco"/>
    <w:basedOn w:val="Normal"/>
    <w:rsid w:val="009D335A"/>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GB" w:eastAsia="en-GB"/>
    </w:rPr>
  </w:style>
  <w:style w:type="character" w:customStyle="1" w:styleId="A9">
    <w:name w:val="A9"/>
    <w:uiPriority w:val="99"/>
    <w:rsid w:val="009D335A"/>
    <w:rPr>
      <w:rFonts w:cs="Roboto Condensed"/>
      <w:b/>
      <w:bCs/>
      <w:color w:val="000000"/>
      <w:sz w:val="14"/>
      <w:szCs w:val="14"/>
    </w:rPr>
  </w:style>
  <w:style w:type="paragraph" w:customStyle="1" w:styleId="Pa9">
    <w:name w:val="Pa9"/>
    <w:basedOn w:val="Default"/>
    <w:next w:val="Default"/>
    <w:uiPriority w:val="99"/>
    <w:rsid w:val="009D335A"/>
    <w:pPr>
      <w:spacing w:line="241" w:lineRule="atLeast"/>
    </w:pPr>
    <w:rPr>
      <w:rFonts w:ascii="Roboto Condensed" w:eastAsiaTheme="minorHAnsi" w:hAnsi="Roboto Condensed" w:cstheme="minorBidi"/>
      <w:color w:val="auto"/>
    </w:rPr>
  </w:style>
  <w:style w:type="paragraph" w:customStyle="1" w:styleId="Pa14">
    <w:name w:val="Pa14"/>
    <w:basedOn w:val="Default"/>
    <w:next w:val="Default"/>
    <w:uiPriority w:val="99"/>
    <w:rsid w:val="009D335A"/>
    <w:pPr>
      <w:spacing w:line="241" w:lineRule="atLeast"/>
    </w:pPr>
    <w:rPr>
      <w:rFonts w:ascii="Roboto Condensed" w:eastAsia="Times New Roman" w:hAnsi="Roboto Condensed" w:cs="Times New Roman"/>
      <w:color w:val="auto"/>
      <w:lang w:eastAsia="fr-FR"/>
    </w:rPr>
  </w:style>
  <w:style w:type="paragraph" w:customStyle="1" w:styleId="SingleTxt">
    <w:name w:val="__Single Txt"/>
    <w:basedOn w:val="Normal"/>
    <w:rsid w:val="009D335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rFonts w:eastAsia="Times New Roman"/>
      <w:spacing w:val="4"/>
      <w:w w:val="103"/>
      <w:kern w:val="14"/>
      <w:lang w:val="es-ES"/>
    </w:rPr>
  </w:style>
  <w:style w:type="character" w:customStyle="1" w:styleId="UnresolvedMention4">
    <w:name w:val="Unresolved Mention4"/>
    <w:basedOn w:val="Policepardfaut"/>
    <w:uiPriority w:val="99"/>
    <w:semiHidden/>
    <w:unhideWhenUsed/>
    <w:rsid w:val="009D335A"/>
    <w:rPr>
      <w:color w:val="605E5C"/>
      <w:shd w:val="clear" w:color="auto" w:fill="E1DFDD"/>
    </w:rPr>
  </w:style>
  <w:style w:type="character" w:customStyle="1" w:styleId="UnresolvedMention5">
    <w:name w:val="Unresolved Mention5"/>
    <w:basedOn w:val="Policepardfaut"/>
    <w:uiPriority w:val="99"/>
    <w:semiHidden/>
    <w:unhideWhenUsed/>
    <w:rsid w:val="009D335A"/>
    <w:rPr>
      <w:color w:val="605E5C"/>
      <w:shd w:val="clear" w:color="auto" w:fill="E1DFDD"/>
    </w:rPr>
  </w:style>
  <w:style w:type="character" w:styleId="Mentionnonrsolue">
    <w:name w:val="Unresolved Mention"/>
    <w:basedOn w:val="Policepardfaut"/>
    <w:uiPriority w:val="99"/>
    <w:semiHidden/>
    <w:unhideWhenUsed/>
    <w:rsid w:val="009D335A"/>
    <w:rPr>
      <w:color w:val="605E5C"/>
      <w:shd w:val="clear" w:color="auto" w:fill="E1DFDD"/>
    </w:rPr>
  </w:style>
  <w:style w:type="character" w:customStyle="1" w:styleId="commented">
    <w:name w:val="commented"/>
    <w:basedOn w:val="Policepardfaut"/>
    <w:rsid w:val="009D335A"/>
  </w:style>
  <w:style w:type="character" w:customStyle="1" w:styleId="label">
    <w:name w:val="label"/>
    <w:basedOn w:val="Policepardfaut"/>
    <w:rsid w:val="009D3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s://undocs.org/fr/A/HRC/49/23" TargetMode="External"/><Relationship Id="rId18" Type="http://schemas.openxmlformats.org/officeDocument/2006/relationships/hyperlink" Target="https://undocs.org/fr/A/HRC/46/21" TargetMode="External"/><Relationship Id="rId26" Type="http://schemas.openxmlformats.org/officeDocument/2006/relationships/hyperlink" Target="https://undocs.org/fr/A/HRC/49/23" TargetMode="External"/><Relationship Id="rId39" Type="http://schemas.openxmlformats.org/officeDocument/2006/relationships/hyperlink" Target="https://undocs.org/fr/CMW/C/NIC/CO/1" TargetMode="External"/><Relationship Id="rId21" Type="http://schemas.openxmlformats.org/officeDocument/2006/relationships/hyperlink" Target="https://undocs.org/fr/A/HRC/WG.6/33/NIC/2" TargetMode="External"/><Relationship Id="rId34" Type="http://schemas.openxmlformats.org/officeDocument/2006/relationships/hyperlink" Target="https://undocs.org/fr/CAT/C/NIC/2" TargetMode="External"/><Relationship Id="rId42" Type="http://schemas.openxmlformats.org/officeDocument/2006/relationships/hyperlink" Target="https://undocs.org/fr/%09A/HRC/42/18" TargetMode="External"/><Relationship Id="rId47" Type="http://schemas.openxmlformats.org/officeDocument/2006/relationships/hyperlink" Target="https://undocs.org/fr/A/HRC/WG.6/33/NIC/2" TargetMode="External"/><Relationship Id="rId50" Type="http://schemas.openxmlformats.org/officeDocument/2006/relationships/hyperlink" Target="https://undocs.org/fr/A/HRC/WG.6/33/NIC/3" TargetMode="External"/><Relationship Id="rId55" Type="http://schemas.openxmlformats.org/officeDocument/2006/relationships/hyperlink" Target="https://undocs.org/fr/A/HRC/42/16/Add.1" TargetMode="External"/><Relationship Id="rId63" Type="http://schemas.openxmlformats.org/officeDocument/2006/relationships/hyperlink" Target="https://undocs.org/fr/A/HRC/WG.6/33/NIC/3" TargetMode="External"/><Relationship Id="rId68" Type="http://schemas.openxmlformats.org/officeDocument/2006/relationships/hyperlink" Target="https://undocs.org/fr/A/HRC/WG.6/33/NIC/3" TargetMode="External"/><Relationship Id="rId76" Type="http://schemas.openxmlformats.org/officeDocument/2006/relationships/hyperlink" Target="https://undocs.org/fr/A/HRC/WG.6/33/NIC/3" TargetMode="External"/><Relationship Id="rId7" Type="http://schemas.openxmlformats.org/officeDocument/2006/relationships/hyperlink" Target="https://undocs.org/fr/CAT/C/NIC/CO/1" TargetMode="External"/><Relationship Id="rId71" Type="http://schemas.openxmlformats.org/officeDocument/2006/relationships/hyperlink" Target="https://undocs.org/fr/%09CAT/C/NIC/2" TargetMode="External"/><Relationship Id="rId2" Type="http://schemas.openxmlformats.org/officeDocument/2006/relationships/hyperlink" Target="https://undocs.org/fr/CAT/C/NIC/2" TargetMode="External"/><Relationship Id="rId16" Type="http://schemas.openxmlformats.org/officeDocument/2006/relationships/hyperlink" Target="https://undocs.org/fr/A/HRC/42/18" TargetMode="External"/><Relationship Id="rId29" Type="http://schemas.openxmlformats.org/officeDocument/2006/relationships/hyperlink" Target="https://undocs.org/fr/A/HRC/42/18" TargetMode="External"/><Relationship Id="rId11" Type="http://schemas.openxmlformats.org/officeDocument/2006/relationships/hyperlink" Target="https://undocs.org/fr/A/HRC/49/23" TargetMode="External"/><Relationship Id="rId24" Type="http://schemas.openxmlformats.org/officeDocument/2006/relationships/hyperlink" Target="https://undocs.org/fr/A/HRC/42/18" TargetMode="External"/><Relationship Id="rId32" Type="http://schemas.openxmlformats.org/officeDocument/2006/relationships/hyperlink" Target="https://undocs.org/fr/A/HRC/42/18" TargetMode="External"/><Relationship Id="rId37" Type="http://schemas.openxmlformats.org/officeDocument/2006/relationships/hyperlink" Target="https://undocs.org/fr/A/HRC/42/16/Add.1&#160;" TargetMode="External"/><Relationship Id="rId40" Type="http://schemas.openxmlformats.org/officeDocument/2006/relationships/hyperlink" Target="https://undocs.org/fr/CAT/OP/12/5" TargetMode="External"/><Relationship Id="rId45" Type="http://schemas.openxmlformats.org/officeDocument/2006/relationships/hyperlink" Target="https://undocs.org/fr/A/HRC/42/18" TargetMode="External"/><Relationship Id="rId53" Type="http://schemas.openxmlformats.org/officeDocument/2006/relationships/hyperlink" Target="https://undocs.org/fr/A/HRC/WG.6/33/NIC/2" TargetMode="External"/><Relationship Id="rId58" Type="http://schemas.openxmlformats.org/officeDocument/2006/relationships/hyperlink" Target="https://undocs.org/fr/CMW/C/NIC/CO/1" TargetMode="External"/><Relationship Id="rId66" Type="http://schemas.openxmlformats.org/officeDocument/2006/relationships/hyperlink" Target="https://undocs.org/fr/A/HRC/46/21" TargetMode="External"/><Relationship Id="rId74" Type="http://schemas.openxmlformats.org/officeDocument/2006/relationships/hyperlink" Target="https://undocs.org/fr/A/HRC/WG.6/33/NIC/3" TargetMode="External"/><Relationship Id="rId79" Type="http://schemas.openxmlformats.org/officeDocument/2006/relationships/hyperlink" Target="https://undocs.org/fr/E/C.12/NIC/CO/5" TargetMode="External"/><Relationship Id="rId5" Type="http://schemas.openxmlformats.org/officeDocument/2006/relationships/hyperlink" Target="https://undocs.org/fr/CAT/C/NIC/2" TargetMode="External"/><Relationship Id="rId61" Type="http://schemas.openxmlformats.org/officeDocument/2006/relationships/hyperlink" Target="https://undocs.org/fr/A/HRC/42/16" TargetMode="External"/><Relationship Id="rId82" Type="http://schemas.openxmlformats.org/officeDocument/2006/relationships/hyperlink" Target="https://undocs.org/fr/A/HRC/42/16/Add.1" TargetMode="External"/><Relationship Id="rId10" Type="http://schemas.openxmlformats.org/officeDocument/2006/relationships/hyperlink" Target="https://undocs.org/fr/A/HRC/WG.6/33/NIC/2" TargetMode="External"/><Relationship Id="rId19" Type="http://schemas.openxmlformats.org/officeDocument/2006/relationships/hyperlink" Target="https://undocs.org/fr/CAT/C/NIC/2" TargetMode="External"/><Relationship Id="rId31" Type="http://schemas.openxmlformats.org/officeDocument/2006/relationships/hyperlink" Target="https://undocs.org/fr/A/HRC/49/23" TargetMode="External"/><Relationship Id="rId44" Type="http://schemas.openxmlformats.org/officeDocument/2006/relationships/hyperlink" Target="https://undocs.org/fr/CAT/C/NIC/2" TargetMode="External"/><Relationship Id="rId52" Type="http://schemas.openxmlformats.org/officeDocument/2006/relationships/hyperlink" Target="https://undocs.org/fr/A/HRC/49/23" TargetMode="External"/><Relationship Id="rId60" Type="http://schemas.openxmlformats.org/officeDocument/2006/relationships/hyperlink" Target="https://undocs.org/fr/A/HRC/WG.6/33/NIC/3" TargetMode="External"/><Relationship Id="rId65" Type="http://schemas.openxmlformats.org/officeDocument/2006/relationships/hyperlink" Target="https://undocs.org/fr/%09CAT/C/NIC/2" TargetMode="External"/><Relationship Id="rId73" Type="http://schemas.openxmlformats.org/officeDocument/2006/relationships/hyperlink" Target="https://undocs.org/fr/A/HRC/42/16/Add.1" TargetMode="External"/><Relationship Id="rId78" Type="http://schemas.openxmlformats.org/officeDocument/2006/relationships/hyperlink" Target="https://undocs.org/fr/A/HRC/49/23" TargetMode="External"/><Relationship Id="rId81" Type="http://schemas.openxmlformats.org/officeDocument/2006/relationships/hyperlink" Target="https://undocs.org/fr/A/HRC/42/16" TargetMode="External"/><Relationship Id="rId4" Type="http://schemas.openxmlformats.org/officeDocument/2006/relationships/hyperlink" Target="https://undocs.org/fr/CAT/C/NIC/Q/2" TargetMode="External"/><Relationship Id="rId9" Type="http://schemas.openxmlformats.org/officeDocument/2006/relationships/hyperlink" Target="https://undocs.org/fr/A/HRC/46/21" TargetMode="External"/><Relationship Id="rId14" Type="http://schemas.openxmlformats.org/officeDocument/2006/relationships/hyperlink" Target="https://undocs.org/fr/A/HRC/42/18" TargetMode="External"/><Relationship Id="rId22" Type="http://schemas.openxmlformats.org/officeDocument/2006/relationships/hyperlink" Target="https://undocs.org/fr/A/HRC/42/16" TargetMode="External"/><Relationship Id="rId27" Type="http://schemas.openxmlformats.org/officeDocument/2006/relationships/hyperlink" Target="https://undocs.org/fr/A/HRC/42/18" TargetMode="External"/><Relationship Id="rId30" Type="http://schemas.openxmlformats.org/officeDocument/2006/relationships/hyperlink" Target="https://undocs.org/fr/A/HRC/42/18" TargetMode="External"/><Relationship Id="rId35" Type="http://schemas.openxmlformats.org/officeDocument/2006/relationships/hyperlink" Target="https://undocs.org/fr/A/HRC/WG.6/33/NIC/3" TargetMode="External"/><Relationship Id="rId43" Type="http://schemas.openxmlformats.org/officeDocument/2006/relationships/hyperlink" Target="https://undocs.org/fr/A/HRC/WG.6/33/NIC/3" TargetMode="External"/><Relationship Id="rId48" Type="http://schemas.openxmlformats.org/officeDocument/2006/relationships/hyperlink" Target="https://spcommreports.ohchr.org/Tmsearch/TMDocuments" TargetMode="External"/><Relationship Id="rId56" Type="http://schemas.openxmlformats.org/officeDocument/2006/relationships/hyperlink" Target="https://undocs.org/fr/A/HRC/42/16" TargetMode="External"/><Relationship Id="rId64" Type="http://schemas.openxmlformats.org/officeDocument/2006/relationships/hyperlink" Target="https://undocs.org/fr/A/HRC/48/55" TargetMode="External"/><Relationship Id="rId69" Type="http://schemas.openxmlformats.org/officeDocument/2006/relationships/hyperlink" Target="https://undocs.org/fr/A/HRC/WG.6/33/NIC/2" TargetMode="External"/><Relationship Id="rId77" Type="http://schemas.openxmlformats.org/officeDocument/2006/relationships/hyperlink" Target="https://undocs.org/fr/A/HRC/46/21" TargetMode="External"/><Relationship Id="rId8" Type="http://schemas.openxmlformats.org/officeDocument/2006/relationships/hyperlink" Target="https://undocs.org/fr/A/HRC/49/23" TargetMode="External"/><Relationship Id="rId51" Type="http://schemas.openxmlformats.org/officeDocument/2006/relationships/hyperlink" Target="https://undocs.org/fr/E/C.12/NIC/CO/5" TargetMode="External"/><Relationship Id="rId72" Type="http://schemas.openxmlformats.org/officeDocument/2006/relationships/hyperlink" Target="https://undocs.org/fr/A/HRC/42/16" TargetMode="External"/><Relationship Id="rId80" Type="http://schemas.openxmlformats.org/officeDocument/2006/relationships/hyperlink" Target="https://undocs.org/fr/A/HRC/WG.6/33/NIC/3" TargetMode="External"/><Relationship Id="rId3" Type="http://schemas.openxmlformats.org/officeDocument/2006/relationships/hyperlink" Target="https://undocs.org/fr/CAT/C/SR.1916" TargetMode="External"/><Relationship Id="rId12" Type="http://schemas.openxmlformats.org/officeDocument/2006/relationships/hyperlink" Target="https://undocs.org/fr/A/HRC/42/18" TargetMode="External"/><Relationship Id="rId17" Type="http://schemas.openxmlformats.org/officeDocument/2006/relationships/hyperlink" Target="https://undocs.org/fr/A/HRC/49/23" TargetMode="External"/><Relationship Id="rId25" Type="http://schemas.openxmlformats.org/officeDocument/2006/relationships/hyperlink" Target="https://undocs.org/fr/CAT/C/NIC/2" TargetMode="External"/><Relationship Id="rId33" Type="http://schemas.openxmlformats.org/officeDocument/2006/relationships/hyperlink" Target="https://undocs.org/fr/A/HRC/46/21" TargetMode="External"/><Relationship Id="rId38" Type="http://schemas.openxmlformats.org/officeDocument/2006/relationships/hyperlink" Target="https://undocs.org/fr/E/C.12/NIC/CO/5" TargetMode="External"/><Relationship Id="rId46" Type="http://schemas.openxmlformats.org/officeDocument/2006/relationships/hyperlink" Target="https://undocs.org/fr/A/HRC/46/21" TargetMode="External"/><Relationship Id="rId59" Type="http://schemas.openxmlformats.org/officeDocument/2006/relationships/hyperlink" Target="https://undocs.org/fr/A/HRC/49/23" TargetMode="External"/><Relationship Id="rId67" Type="http://schemas.openxmlformats.org/officeDocument/2006/relationships/hyperlink" Target="https://undocs.org/fr/A/HRC/49/23" TargetMode="External"/><Relationship Id="rId20" Type="http://schemas.openxmlformats.org/officeDocument/2006/relationships/hyperlink" Target="https://undocs.org/fr/A/HRC/WG.6/33/NIC/3" TargetMode="External"/><Relationship Id="rId41" Type="http://schemas.openxmlformats.org/officeDocument/2006/relationships/hyperlink" Target="http://www.ohchr.org/en/press-releases/2022/06/un-torture-prevention-body-announces-visits-2023" TargetMode="External"/><Relationship Id="rId54" Type="http://schemas.openxmlformats.org/officeDocument/2006/relationships/hyperlink" Target="https://undocs.org/fr/A/HRC/42/16" TargetMode="External"/><Relationship Id="rId62" Type="http://schemas.openxmlformats.org/officeDocument/2006/relationships/hyperlink" Target="https://undocs.org/fr/A/HRC/42/16/Add.1" TargetMode="External"/><Relationship Id="rId70" Type="http://schemas.openxmlformats.org/officeDocument/2006/relationships/hyperlink" Target="https://undocs.org/fr/CAT/C/NIC/2" TargetMode="External"/><Relationship Id="rId75" Type="http://schemas.openxmlformats.org/officeDocument/2006/relationships/hyperlink" Target="https://undocs.org/fr/%09E/C.12/NIC/CO/5" TargetMode="External"/><Relationship Id="rId1" Type="http://schemas.openxmlformats.org/officeDocument/2006/relationships/hyperlink" Target="https://undocs.org/fr/CAT/C/3/Rev.6" TargetMode="External"/><Relationship Id="rId6" Type="http://schemas.openxmlformats.org/officeDocument/2006/relationships/hyperlink" Target="https://undocs.org/fr/CAT/C/NIC/CO/1" TargetMode="External"/><Relationship Id="rId15" Type="http://schemas.openxmlformats.org/officeDocument/2006/relationships/hyperlink" Target="https://undocs.org/fr/A/HRC/49/23" TargetMode="External"/><Relationship Id="rId23" Type="http://schemas.openxmlformats.org/officeDocument/2006/relationships/hyperlink" Target="https://undocs.org/fr/A/HRC/42/16/Add.1" TargetMode="External"/><Relationship Id="rId28" Type="http://schemas.openxmlformats.org/officeDocument/2006/relationships/hyperlink" Target="https://undocs.org/fr/A/HRC/46/21" TargetMode="External"/><Relationship Id="rId36" Type="http://schemas.openxmlformats.org/officeDocument/2006/relationships/hyperlink" Target="https://undocs.org/fr/A/HRC/42/16" TargetMode="External"/><Relationship Id="rId49" Type="http://schemas.openxmlformats.org/officeDocument/2006/relationships/hyperlink" Target="https://undocs.org/fr/A/HRC/40/L.8" TargetMode="External"/><Relationship Id="rId57" Type="http://schemas.openxmlformats.org/officeDocument/2006/relationships/hyperlink" Target="https://undocs.org/fr/A/HRC/42/16/Ad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14</Pages>
  <Words>6950</Words>
  <Characters>37455</Characters>
  <Application>Microsoft Office Word</Application>
  <DocSecurity>0</DocSecurity>
  <Lines>571</Lines>
  <Paragraphs>122</Paragraphs>
  <ScaleCrop>false</ScaleCrop>
  <HeadingPairs>
    <vt:vector size="2" baseType="variant">
      <vt:variant>
        <vt:lpstr>Titre</vt:lpstr>
      </vt:variant>
      <vt:variant>
        <vt:i4>1</vt:i4>
      </vt:variant>
    </vt:vector>
  </HeadingPairs>
  <TitlesOfParts>
    <vt:vector size="1" baseType="lpstr">
      <vt:lpstr>CAT/C/NIC/PCO/2</vt:lpstr>
    </vt:vector>
  </TitlesOfParts>
  <Company>DCM</Company>
  <LinksUpToDate>false</LinksUpToDate>
  <CharactersWithSpaces>44291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CAT/C/NIC/PCO/2</dc:title>
  <dc:subject/>
  <dc:creator>Christine CHAUTAGNAT</dc:creator>
  <cp:keywords/>
  <cp:lastModifiedBy>Christine Chautagnat</cp:lastModifiedBy>
  <cp:revision>3</cp:revision>
  <cp:lastPrinted>2023-01-12T13:28:00Z</cp:lastPrinted>
  <dcterms:created xsi:type="dcterms:W3CDTF">2023-01-12T13:28:00Z</dcterms:created>
  <dcterms:modified xsi:type="dcterms:W3CDTF">2023-01-12T13:29:00Z</dcterms:modified>
</cp:coreProperties>
</file>