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2E0D40" w:rsidRPr="00DB58B5" w:rsidTr="005E01B1">
        <w:trPr>
          <w:trHeight w:hRule="exact" w:val="851"/>
        </w:trPr>
        <w:tc>
          <w:tcPr>
            <w:tcW w:w="1276" w:type="dxa"/>
            <w:tcBorders>
              <w:bottom w:val="single" w:sz="4" w:space="0" w:color="auto"/>
            </w:tcBorders>
          </w:tcPr>
          <w:p w:rsidR="002E0D40" w:rsidRPr="00DB58B5" w:rsidRDefault="002E0D40" w:rsidP="00593658"/>
        </w:tc>
        <w:tc>
          <w:tcPr>
            <w:tcW w:w="2268" w:type="dxa"/>
            <w:tcBorders>
              <w:bottom w:val="single" w:sz="4" w:space="0" w:color="auto"/>
            </w:tcBorders>
            <w:vAlign w:val="bottom"/>
          </w:tcPr>
          <w:p w:rsidR="002E0D40" w:rsidRPr="00DB58B5" w:rsidRDefault="002E0D40" w:rsidP="0059365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E0D40" w:rsidRPr="00DB58B5" w:rsidRDefault="006B51FF" w:rsidP="006B51FF">
            <w:pPr>
              <w:jc w:val="right"/>
            </w:pPr>
            <w:r w:rsidRPr="006B51FF">
              <w:rPr>
                <w:sz w:val="40"/>
              </w:rPr>
              <w:t>CERD</w:t>
            </w:r>
            <w:r>
              <w:t>/C/SR.2211</w:t>
            </w:r>
          </w:p>
        </w:tc>
      </w:tr>
      <w:tr w:rsidR="002E0D40" w:rsidRPr="00DB58B5" w:rsidTr="00593658">
        <w:trPr>
          <w:trHeight w:hRule="exact" w:val="2835"/>
        </w:trPr>
        <w:tc>
          <w:tcPr>
            <w:tcW w:w="1276" w:type="dxa"/>
            <w:tcBorders>
              <w:top w:val="single" w:sz="4" w:space="0" w:color="auto"/>
              <w:bottom w:val="single" w:sz="12" w:space="0" w:color="auto"/>
            </w:tcBorders>
          </w:tcPr>
          <w:p w:rsidR="002E0D40" w:rsidRPr="00DB58B5" w:rsidRDefault="002E0D40" w:rsidP="0059365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E0D40" w:rsidRPr="00740562" w:rsidRDefault="002E0D40" w:rsidP="00593658">
            <w:pPr>
              <w:spacing w:before="120" w:line="380" w:lineRule="exact"/>
              <w:rPr>
                <w:b/>
                <w:sz w:val="40"/>
                <w:szCs w:val="40"/>
              </w:rPr>
            </w:pPr>
            <w:r>
              <w:rPr>
                <w:b/>
                <w:sz w:val="34"/>
                <w:szCs w:val="34"/>
              </w:rPr>
              <w:t>Convention internationale sur</w:t>
            </w:r>
            <w:r>
              <w:rPr>
                <w:b/>
                <w:sz w:val="34"/>
                <w:szCs w:val="34"/>
              </w:rPr>
              <w:br/>
              <w:t>l</w:t>
            </w:r>
            <w:r w:rsidR="0044208E">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6B51FF" w:rsidRDefault="00AE68B5" w:rsidP="00593658">
            <w:pPr>
              <w:spacing w:before="240"/>
            </w:pPr>
            <w:r>
              <w:t xml:space="preserve">Distr. </w:t>
            </w:r>
            <w:r w:rsidR="009D4069">
              <w:t>g</w:t>
            </w:r>
            <w:r>
              <w:t>énérale</w:t>
            </w:r>
          </w:p>
          <w:p w:rsidR="006B51FF" w:rsidRDefault="00DA6DD0" w:rsidP="006B51FF">
            <w:pPr>
              <w:spacing w:line="240" w:lineRule="exact"/>
            </w:pPr>
            <w:r>
              <w:t xml:space="preserve">13 </w:t>
            </w:r>
            <w:r w:rsidR="006B51FF">
              <w:t>mai 2013</w:t>
            </w:r>
          </w:p>
          <w:p w:rsidR="006B51FF" w:rsidRDefault="006B51FF" w:rsidP="006B51FF">
            <w:pPr>
              <w:spacing w:line="240" w:lineRule="exact"/>
            </w:pPr>
            <w:r>
              <w:t>Français</w:t>
            </w:r>
          </w:p>
          <w:p w:rsidR="002E0D40" w:rsidRPr="00DB58B5" w:rsidRDefault="006B51FF" w:rsidP="006B51FF">
            <w:pPr>
              <w:spacing w:line="240" w:lineRule="exact"/>
            </w:pPr>
            <w:r>
              <w:t>Original: anglais</w:t>
            </w:r>
          </w:p>
        </w:tc>
      </w:tr>
    </w:tbl>
    <w:p w:rsidR="005E01B1" w:rsidRPr="005E01B1" w:rsidRDefault="005E01B1" w:rsidP="005E01B1">
      <w:pPr>
        <w:spacing w:before="120"/>
        <w:rPr>
          <w:b/>
          <w:sz w:val="24"/>
          <w:szCs w:val="24"/>
        </w:rPr>
      </w:pPr>
      <w:r w:rsidRPr="005E01B1">
        <w:rPr>
          <w:b/>
          <w:sz w:val="24"/>
          <w:szCs w:val="24"/>
        </w:rPr>
        <w:t>Comité pour l</w:t>
      </w:r>
      <w:r w:rsidR="0044208E">
        <w:rPr>
          <w:b/>
          <w:sz w:val="24"/>
          <w:szCs w:val="24"/>
        </w:rPr>
        <w:t>’</w:t>
      </w:r>
      <w:r w:rsidRPr="005E01B1">
        <w:rPr>
          <w:b/>
          <w:sz w:val="24"/>
          <w:szCs w:val="24"/>
        </w:rPr>
        <w:t>élimination de la discrimination raciale</w:t>
      </w:r>
    </w:p>
    <w:p w:rsidR="005E01B1" w:rsidRPr="005E01B1" w:rsidRDefault="00CE4082" w:rsidP="005E01B1">
      <w:pPr>
        <w:spacing w:after="120"/>
        <w:rPr>
          <w:b/>
        </w:rPr>
      </w:pPr>
      <w:r>
        <w:rPr>
          <w:b/>
        </w:rPr>
        <w:t>Quatre-vingt</w:t>
      </w:r>
      <w:r w:rsidR="00236791">
        <w:rPr>
          <w:b/>
        </w:rPr>
        <w:t>-</w:t>
      </w:r>
      <w:r w:rsidR="0098067F">
        <w:rPr>
          <w:b/>
        </w:rPr>
        <w:t>deux</w:t>
      </w:r>
      <w:r>
        <w:rPr>
          <w:b/>
        </w:rPr>
        <w:t xml:space="preserve">ième </w:t>
      </w:r>
      <w:r w:rsidRPr="005E01B1">
        <w:rPr>
          <w:b/>
        </w:rPr>
        <w:t>session</w:t>
      </w:r>
    </w:p>
    <w:p w:rsidR="005E01B1" w:rsidRPr="005E01B1" w:rsidRDefault="005E01B1" w:rsidP="005E01B1">
      <w:pPr>
        <w:rPr>
          <w:b/>
        </w:rPr>
      </w:pPr>
      <w:r w:rsidRPr="005E01B1">
        <w:rPr>
          <w:b/>
        </w:rPr>
        <w:t xml:space="preserve">Compte rendu analytique de la </w:t>
      </w:r>
      <w:r w:rsidR="006B51FF">
        <w:rPr>
          <w:b/>
        </w:rPr>
        <w:t>2211</w:t>
      </w:r>
      <w:r w:rsidRPr="005E01B1">
        <w:rPr>
          <w:b/>
          <w:vertAlign w:val="superscript"/>
        </w:rPr>
        <w:t>e</w:t>
      </w:r>
      <w:r w:rsidRPr="005E01B1">
        <w:rPr>
          <w:b/>
        </w:rPr>
        <w:t xml:space="preserve"> séance</w:t>
      </w:r>
    </w:p>
    <w:p w:rsidR="005E01B1" w:rsidRDefault="005E01B1" w:rsidP="009967BD">
      <w:r>
        <w:t xml:space="preserve">Tenue au Palais Wilson, à Genève, le </w:t>
      </w:r>
      <w:r w:rsidR="006B51FF">
        <w:t>jeudi 14 février</w:t>
      </w:r>
      <w:r>
        <w:t xml:space="preserve"> 20</w:t>
      </w:r>
      <w:r w:rsidR="00D77945">
        <w:t>1</w:t>
      </w:r>
      <w:r w:rsidR="0098067F">
        <w:t>3</w:t>
      </w:r>
      <w:r>
        <w:t xml:space="preserve">, à </w:t>
      </w:r>
      <w:r w:rsidR="006B51FF">
        <w:t>15 heures</w:t>
      </w:r>
    </w:p>
    <w:p w:rsidR="005E01B1" w:rsidRDefault="005E01B1" w:rsidP="009967BD">
      <w:pPr>
        <w:tabs>
          <w:tab w:val="right" w:pos="851"/>
          <w:tab w:val="left" w:pos="1134"/>
          <w:tab w:val="right" w:leader="dot" w:pos="8505"/>
        </w:tabs>
        <w:spacing w:before="120"/>
      </w:pPr>
      <w:r>
        <w:rPr>
          <w:i/>
        </w:rPr>
        <w:tab/>
      </w:r>
      <w:r w:rsidRPr="00C17CFF">
        <w:rPr>
          <w:i/>
        </w:rPr>
        <w:t>Président</w:t>
      </w:r>
      <w:r>
        <w:t xml:space="preserve">: </w:t>
      </w:r>
      <w:r>
        <w:tab/>
      </w:r>
      <w:r w:rsidR="006B51FF" w:rsidRPr="0032004F">
        <w:t>M.</w:t>
      </w:r>
      <w:r w:rsidR="006B51FF">
        <w:t> Amir (Vice-Président)</w:t>
      </w:r>
    </w:p>
    <w:p w:rsidR="005E01B1" w:rsidRPr="00C17CFF" w:rsidRDefault="005E01B1" w:rsidP="005E01B1">
      <w:pPr>
        <w:spacing w:before="360" w:after="240"/>
        <w:rPr>
          <w:sz w:val="28"/>
          <w:szCs w:val="28"/>
        </w:rPr>
      </w:pPr>
      <w:r w:rsidRPr="00C17CFF">
        <w:rPr>
          <w:sz w:val="28"/>
          <w:szCs w:val="28"/>
        </w:rPr>
        <w:t>Sommaire</w:t>
      </w:r>
    </w:p>
    <w:p w:rsidR="006B51FF" w:rsidRPr="0032004F" w:rsidRDefault="006B51FF" w:rsidP="0044208E">
      <w:pPr>
        <w:pStyle w:val="SingleTxtG"/>
        <w:jc w:val="left"/>
      </w:pPr>
      <w:r w:rsidRPr="0032004F">
        <w:t xml:space="preserve">Examen des rapports, observations et renseignements </w:t>
      </w:r>
      <w:r>
        <w:t>soumis</w:t>
      </w:r>
      <w:r w:rsidRPr="0032004F">
        <w:t xml:space="preserve"> par les États parties conformément à l</w:t>
      </w:r>
      <w:r w:rsidR="0044208E">
        <w:t>’article </w:t>
      </w:r>
      <w:r w:rsidRPr="0032004F">
        <w:t>9 de la Convention</w:t>
      </w:r>
      <w:r>
        <w:t xml:space="preserve"> (</w:t>
      </w:r>
      <w:r w:rsidRPr="002C726E">
        <w:rPr>
          <w:i/>
        </w:rPr>
        <w:t>suite</w:t>
      </w:r>
      <w:r>
        <w:t>)</w:t>
      </w:r>
    </w:p>
    <w:p w:rsidR="006B51FF" w:rsidRDefault="006B51FF" w:rsidP="006B51FF">
      <w:pPr>
        <w:pStyle w:val="SingleTxtG"/>
        <w:ind w:left="1701"/>
        <w:jc w:val="left"/>
        <w:rPr>
          <w:i/>
        </w:rPr>
      </w:pPr>
      <w:r w:rsidRPr="0032004F">
        <w:rPr>
          <w:i/>
        </w:rPr>
        <w:t>Vingtième à vingt-deuxième rapports périodiques de la Fédération de Russie</w:t>
      </w:r>
    </w:p>
    <w:p w:rsidR="006B51FF" w:rsidRPr="006B51FF" w:rsidRDefault="006B51FF" w:rsidP="006B51FF">
      <w:pPr>
        <w:pStyle w:val="SingleTxtG"/>
        <w:rPr>
          <w:i/>
        </w:rPr>
      </w:pPr>
      <w:r>
        <w:br w:type="page"/>
      </w:r>
      <w:r w:rsidRPr="006B51FF">
        <w:rPr>
          <w:i/>
        </w:rPr>
        <w:t>En l</w:t>
      </w:r>
      <w:r w:rsidR="0044208E">
        <w:rPr>
          <w:i/>
        </w:rPr>
        <w:t>’</w:t>
      </w:r>
      <w:r w:rsidRPr="006B51FF">
        <w:rPr>
          <w:i/>
        </w:rPr>
        <w:t>absence de M. Avtonomov (Président), M. Amir (Vice-Président) prend la présidence.</w:t>
      </w:r>
    </w:p>
    <w:p w:rsidR="006B51FF" w:rsidRPr="006B51FF" w:rsidRDefault="006B51FF" w:rsidP="006B51FF">
      <w:pPr>
        <w:pStyle w:val="SingleTxtG"/>
        <w:rPr>
          <w:i/>
        </w:rPr>
      </w:pPr>
      <w:r w:rsidRPr="006B51FF">
        <w:rPr>
          <w:i/>
        </w:rPr>
        <w:t>La séance est ouverte à 15 h 5.</w:t>
      </w:r>
    </w:p>
    <w:p w:rsidR="006B51FF" w:rsidRPr="006B51FF" w:rsidRDefault="006B51FF" w:rsidP="006B51FF">
      <w:pPr>
        <w:pStyle w:val="H23G"/>
      </w:pPr>
      <w:r w:rsidRPr="006B51FF">
        <w:tab/>
      </w:r>
      <w:r w:rsidRPr="006B51FF">
        <w:tab/>
        <w:t>Examen des rapports, observations et renseignements soumis par les États parties conformément à l</w:t>
      </w:r>
      <w:r w:rsidR="0044208E">
        <w:t>’article </w:t>
      </w:r>
      <w:r w:rsidRPr="006B51FF">
        <w:t xml:space="preserve">9 de la Convention </w:t>
      </w:r>
      <w:r w:rsidRPr="0068301C">
        <w:rPr>
          <w:b w:val="0"/>
        </w:rPr>
        <w:t>(</w:t>
      </w:r>
      <w:r w:rsidRPr="0068301C">
        <w:rPr>
          <w:b w:val="0"/>
          <w:i/>
        </w:rPr>
        <w:t>suite</w:t>
      </w:r>
      <w:r w:rsidRPr="0068301C">
        <w:rPr>
          <w:b w:val="0"/>
        </w:rPr>
        <w:t>)</w:t>
      </w:r>
    </w:p>
    <w:p w:rsidR="006B51FF" w:rsidRDefault="006B51FF" w:rsidP="0068301C">
      <w:pPr>
        <w:pStyle w:val="SingleTxtG"/>
        <w:jc w:val="left"/>
      </w:pPr>
      <w:r w:rsidRPr="0032004F">
        <w:rPr>
          <w:i/>
        </w:rPr>
        <w:t>Vingtième à vingt-deuxième rapports périodiques de la Fédération de Russie</w:t>
      </w:r>
      <w:r>
        <w:rPr>
          <w:i/>
        </w:rPr>
        <w:t xml:space="preserve"> </w:t>
      </w:r>
      <w:r>
        <w:t>(CERD/C/RUS/20-22 et annexe; CERD/C/RUS/Q/20-22; HRI/CORE/1/Add.52/Rev.1)</w:t>
      </w:r>
    </w:p>
    <w:p w:rsidR="006B51FF" w:rsidRPr="0068301C" w:rsidRDefault="006B51FF" w:rsidP="0068301C">
      <w:pPr>
        <w:pStyle w:val="SingleTxtG"/>
        <w:rPr>
          <w:noProof/>
          <w:lang w:val="fr-FR" w:eastAsia="fr-FR"/>
        </w:rPr>
      </w:pPr>
      <w:r w:rsidRPr="0068301C">
        <w:rPr>
          <w:noProof/>
          <w:lang w:val="fr-FR" w:eastAsia="fr-FR"/>
        </w:rPr>
        <w:t>1.</w:t>
      </w:r>
      <w:r w:rsidRPr="0068301C">
        <w:rPr>
          <w:noProof/>
          <w:lang w:val="fr-FR" w:eastAsia="fr-FR"/>
        </w:rPr>
        <w:tab/>
      </w:r>
      <w:r w:rsidRPr="0068301C">
        <w:rPr>
          <w:i/>
          <w:noProof/>
          <w:lang w:val="fr-FR" w:eastAsia="fr-FR"/>
        </w:rPr>
        <w:t>Sur l</w:t>
      </w:r>
      <w:r w:rsidR="0044208E">
        <w:rPr>
          <w:i/>
          <w:noProof/>
          <w:lang w:val="fr-FR" w:eastAsia="fr-FR"/>
        </w:rPr>
        <w:t>’</w:t>
      </w:r>
      <w:r w:rsidRPr="0068301C">
        <w:rPr>
          <w:i/>
          <w:noProof/>
          <w:lang w:val="fr-FR" w:eastAsia="fr-FR"/>
        </w:rPr>
        <w:t>invitation du Président, la délégation russe prend place à la table du Comité</w:t>
      </w:r>
      <w:r w:rsidRPr="0068301C">
        <w:rPr>
          <w:noProof/>
          <w:lang w:val="fr-FR" w:eastAsia="fr-FR"/>
        </w:rPr>
        <w:t>.</w:t>
      </w:r>
    </w:p>
    <w:p w:rsidR="006B51FF" w:rsidRDefault="006B51FF" w:rsidP="0068301C">
      <w:pPr>
        <w:pStyle w:val="SingleTxtG"/>
      </w:pPr>
      <w:r>
        <w:t>2.</w:t>
      </w:r>
      <w:r>
        <w:tab/>
      </w:r>
      <w:r w:rsidRPr="00041DE6">
        <w:rPr>
          <w:b/>
        </w:rPr>
        <w:t>M. Osintsev</w:t>
      </w:r>
      <w:r>
        <w:t xml:space="preserve"> (Fédération de Russie) dit que le Gouvernement russe a signé ou ratifié un certain nombre d</w:t>
      </w:r>
      <w:r w:rsidR="0044208E">
        <w:t>’</w:t>
      </w:r>
      <w:r>
        <w:t>instruments internationaux relatifs aux droits de l</w:t>
      </w:r>
      <w:r w:rsidR="0044208E">
        <w:t>’</w:t>
      </w:r>
      <w:r>
        <w:t xml:space="preserve">homme au cours des dernières années, y compris la </w:t>
      </w:r>
      <w:r w:rsidRPr="002555C7">
        <w:t>Charte sociale européenne</w:t>
      </w:r>
      <w:r>
        <w:t xml:space="preserve">, le </w:t>
      </w:r>
      <w:r w:rsidRPr="002555C7">
        <w:t xml:space="preserve">Protocole </w:t>
      </w:r>
      <w:r w:rsidR="0044208E" w:rsidRPr="00C14D2A">
        <w:t>n</w:t>
      </w:r>
      <w:r w:rsidR="0044208E" w:rsidRPr="00C14D2A">
        <w:rPr>
          <w:vertAlign w:val="superscript"/>
        </w:rPr>
        <w:t>o</w:t>
      </w:r>
      <w:r w:rsidR="0044208E">
        <w:t> </w:t>
      </w:r>
      <w:r w:rsidRPr="002555C7">
        <w:t>14 à la Convention de sauvegarde des droits de l</w:t>
      </w:r>
      <w:r w:rsidR="0044208E">
        <w:t>’</w:t>
      </w:r>
      <w:r w:rsidRPr="002555C7">
        <w:t>homme et des libertés fondamentales, amendant le système de contrôle de la Convention</w:t>
      </w:r>
      <w:r>
        <w:t xml:space="preserve">, la Convention relative aux droits des personnes handicapées, le </w:t>
      </w:r>
      <w:r w:rsidRPr="000D52CB">
        <w:t>Protocole facultatif à la Convention relative aux droits de l</w:t>
      </w:r>
      <w:r w:rsidR="0044208E">
        <w:t>’</w:t>
      </w:r>
      <w:r w:rsidRPr="000D52CB">
        <w:t>enfant, concernant la vente d</w:t>
      </w:r>
      <w:r w:rsidR="0044208E">
        <w:t>’</w:t>
      </w:r>
      <w:r w:rsidRPr="000D52CB">
        <w:t>enfants, la prostitution des enfants et la pornographie mettant en scène des enfants</w:t>
      </w:r>
      <w:r>
        <w:t xml:space="preserve"> et la </w:t>
      </w:r>
      <w:r w:rsidRPr="002555C7">
        <w:t>Convention du 19</w:t>
      </w:r>
      <w:r w:rsidR="0044208E">
        <w:t> </w:t>
      </w:r>
      <w:r w:rsidRPr="002555C7">
        <w:t>octobre 1996 concernant la compétence, la loi applicable, la reconnaissance, l</w:t>
      </w:r>
      <w:r w:rsidR="0044208E">
        <w:t>’</w:t>
      </w:r>
      <w:r w:rsidRPr="002555C7">
        <w:t>exécution et la coopération en matière de responsabilité parentale et de mesures de protection des enfants</w:t>
      </w:r>
      <w:r>
        <w:t>.</w:t>
      </w:r>
    </w:p>
    <w:p w:rsidR="006B51FF" w:rsidRDefault="006B51FF" w:rsidP="0068301C">
      <w:pPr>
        <w:pStyle w:val="SingleTxtG"/>
      </w:pPr>
      <w:r>
        <w:t>3.</w:t>
      </w:r>
      <w:r>
        <w:tab/>
        <w:t>La délégation russe appuie chaque année une résolution de l</w:t>
      </w:r>
      <w:r w:rsidR="0044208E">
        <w:t>’</w:t>
      </w:r>
      <w:r>
        <w:t xml:space="preserve">Assemblée générale des Nations Unies sur le </w:t>
      </w:r>
      <w:r w:rsidR="0068301C">
        <w:t>«</w:t>
      </w:r>
      <w:r w:rsidR="00314310" w:rsidRPr="002555C7">
        <w:t xml:space="preserve">caractère </w:t>
      </w:r>
      <w:r w:rsidRPr="002555C7">
        <w:t>inacceptable de certaines pratiques qui contribuent à alimenter les formes contemporaines de racisme, de discrimination raciale, de xénophobie et de l</w:t>
      </w:r>
      <w:r w:rsidR="0044208E">
        <w:t>’</w:t>
      </w:r>
      <w:r w:rsidRPr="002555C7">
        <w:t>intolérance qui y est associée</w:t>
      </w:r>
      <w:r w:rsidR="0068301C">
        <w:t>»</w:t>
      </w:r>
      <w:r>
        <w:t>. Le Gouvernement russe verse également une contribution d</w:t>
      </w:r>
      <w:r w:rsidR="0044208E">
        <w:t>’</w:t>
      </w:r>
      <w:r>
        <w:t>environ 2 millions de dollars des États-Unis d</w:t>
      </w:r>
      <w:r w:rsidR="0044208E">
        <w:t>’</w:t>
      </w:r>
      <w:r>
        <w:t>Amérique au budget annuel du Haut-Commissariat des Nations Unies aux droits de l</w:t>
      </w:r>
      <w:r w:rsidR="0044208E">
        <w:t>’</w:t>
      </w:r>
      <w:r>
        <w:t>homme.</w:t>
      </w:r>
    </w:p>
    <w:p w:rsidR="006B51FF" w:rsidRDefault="006B51FF" w:rsidP="0068301C">
      <w:pPr>
        <w:pStyle w:val="SingleTxtG"/>
      </w:pPr>
      <w:r>
        <w:t>4.</w:t>
      </w:r>
      <w:r>
        <w:tab/>
        <w:t xml:space="preserve">Parallèlement au poste de </w:t>
      </w:r>
      <w:r w:rsidR="00314310" w:rsidRPr="002555C7">
        <w:t xml:space="preserve">commissaire </w:t>
      </w:r>
      <w:r w:rsidRPr="002555C7">
        <w:t>fédéral aux droits de l</w:t>
      </w:r>
      <w:r w:rsidR="0044208E">
        <w:t>’</w:t>
      </w:r>
      <w:r w:rsidRPr="002555C7">
        <w:t>homme</w:t>
      </w:r>
      <w:r>
        <w:t xml:space="preserve">, </w:t>
      </w:r>
      <w:r w:rsidRPr="002555C7">
        <w:t xml:space="preserve">des postes de </w:t>
      </w:r>
      <w:r w:rsidR="00314310" w:rsidRPr="002555C7">
        <w:t xml:space="preserve">commissaire </w:t>
      </w:r>
      <w:r w:rsidRPr="002555C7">
        <w:t>aux droits de l</w:t>
      </w:r>
      <w:r w:rsidR="0044208E">
        <w:t>’</w:t>
      </w:r>
      <w:r w:rsidRPr="002555C7">
        <w:t xml:space="preserve">enfant et de </w:t>
      </w:r>
      <w:r w:rsidR="00314310" w:rsidRPr="002555C7">
        <w:t xml:space="preserve">commissaire </w:t>
      </w:r>
      <w:r w:rsidRPr="002555C7">
        <w:t>aux droits des entrepreneurs</w:t>
      </w:r>
      <w:r w:rsidR="00E36436">
        <w:t xml:space="preserve"> </w:t>
      </w:r>
      <w:r w:rsidRPr="002555C7">
        <w:t>ont été institués près le Président de la Fédération de Russie, respectivement en 2006 et 2009</w:t>
      </w:r>
      <w:r>
        <w:t xml:space="preserve">. </w:t>
      </w:r>
      <w:r w:rsidR="00E36436">
        <w:t>U</w:t>
      </w:r>
      <w:r>
        <w:t>n commissaire aux droits de l</w:t>
      </w:r>
      <w:r w:rsidR="0044208E">
        <w:t>’</w:t>
      </w:r>
      <w:r>
        <w:t>enfant</w:t>
      </w:r>
      <w:r w:rsidR="00E36436">
        <w:t xml:space="preserve"> exerce ses fonctions dans chacune des 83 entités régionales de la Fédération de Russie</w:t>
      </w:r>
      <w:r>
        <w:t xml:space="preserve"> et un commissaire aux droits de l</w:t>
      </w:r>
      <w:r w:rsidR="0044208E">
        <w:t>’</w:t>
      </w:r>
      <w:r>
        <w:t>homme</w:t>
      </w:r>
      <w:r w:rsidR="00E36436">
        <w:t xml:space="preserve"> dans 67</w:t>
      </w:r>
      <w:r w:rsidR="002C79BB">
        <w:t> </w:t>
      </w:r>
      <w:r w:rsidR="00E36436">
        <w:t>d</w:t>
      </w:r>
      <w:r w:rsidR="0044208E">
        <w:t>’</w:t>
      </w:r>
      <w:r w:rsidR="00E36436">
        <w:t>entre elles</w:t>
      </w:r>
      <w:r>
        <w:t xml:space="preserve">. Un système de </w:t>
      </w:r>
      <w:r w:rsidR="0068301C">
        <w:t>«</w:t>
      </w:r>
      <w:r w:rsidRPr="002555C7">
        <w:t>gouvernement ouvert</w:t>
      </w:r>
      <w:r w:rsidR="0068301C">
        <w:t>»</w:t>
      </w:r>
      <w:r>
        <w:t xml:space="preserve"> a été mis en place en 2012 pour faciliter la coopération entre les autorités et la société civile. Quatre conseils présidentiels s</w:t>
      </w:r>
      <w:r w:rsidR="0044208E">
        <w:t>’</w:t>
      </w:r>
      <w:r>
        <w:t>occupent des organisations de défense des droits de l</w:t>
      </w:r>
      <w:r w:rsidR="0044208E">
        <w:t>’</w:t>
      </w:r>
      <w:r>
        <w:t>homme et de la société civile, des affaires concernant les communautés cosaques et des relations avec et entre les groupes religieux et ethniques. Des représentants d</w:t>
      </w:r>
      <w:r w:rsidR="0044208E">
        <w:t>’</w:t>
      </w:r>
      <w:r>
        <w:t>organisations religieuses, d</w:t>
      </w:r>
      <w:r w:rsidR="0044208E">
        <w:t>’</w:t>
      </w:r>
      <w:r>
        <w:t xml:space="preserve">associations ethniques et culturelles et de minorités autochtones </w:t>
      </w:r>
      <w:r w:rsidR="00E36436">
        <w:t>siègent dans</w:t>
      </w:r>
      <w:r>
        <w:t xml:space="preserve"> des conseils similaires à</w:t>
      </w:r>
      <w:r w:rsidR="002C79BB">
        <w:t> </w:t>
      </w:r>
      <w:r>
        <w:t>l</w:t>
      </w:r>
      <w:r w:rsidR="0044208E">
        <w:t>’</w:t>
      </w:r>
      <w:r>
        <w:t>échelle régionale.</w:t>
      </w:r>
    </w:p>
    <w:p w:rsidR="006B51FF" w:rsidRDefault="006B51FF" w:rsidP="0068301C">
      <w:pPr>
        <w:pStyle w:val="SingleTxtG"/>
      </w:pPr>
      <w:r>
        <w:t>5.</w:t>
      </w:r>
      <w:r>
        <w:tab/>
        <w:t xml:space="preserve">Une stratégie à long terme pour </w:t>
      </w:r>
      <w:r w:rsidR="00E36436">
        <w:t>l</w:t>
      </w:r>
      <w:r w:rsidR="0044208E">
        <w:t>’</w:t>
      </w:r>
      <w:r w:rsidR="00E36436">
        <w:t xml:space="preserve">orientation des </w:t>
      </w:r>
      <w:r>
        <w:t xml:space="preserve">politiques relatives aux groupes ethniques </w:t>
      </w:r>
      <w:r w:rsidR="00E36436">
        <w:t>jusqu</w:t>
      </w:r>
      <w:r w:rsidR="0044208E">
        <w:t>’</w:t>
      </w:r>
      <w:r w:rsidR="00E36436">
        <w:t xml:space="preserve">en 2025 </w:t>
      </w:r>
      <w:r>
        <w:t>a été adoptée à l</w:t>
      </w:r>
      <w:r w:rsidR="0044208E">
        <w:t>’</w:t>
      </w:r>
      <w:r>
        <w:t>issue d</w:t>
      </w:r>
      <w:r w:rsidR="0044208E">
        <w:t>’</w:t>
      </w:r>
      <w:r>
        <w:t>une vaste procédure de consultation</w:t>
      </w:r>
      <w:r w:rsidR="00E36436">
        <w:t>,</w:t>
      </w:r>
      <w:r>
        <w:t xml:space="preserve"> en décembre 2012. Elle vise notamment à mieux sensibiliser le grand public au caract</w:t>
      </w:r>
      <w:r w:rsidR="00E36436">
        <w:t>ère</w:t>
      </w:r>
      <w:r>
        <w:t xml:space="preserve"> multiethnique de la Fédération de Russie; à consolider et à développer la diversité ethnique et culturelle; à harmoniser les relations entre différents groupes ethniques; à </w:t>
      </w:r>
      <w:r w:rsidR="00E36436">
        <w:t>défendre</w:t>
      </w:r>
      <w:r>
        <w:t xml:space="preserve"> les </w:t>
      </w:r>
      <w:r w:rsidRPr="002555C7">
        <w:t>droits et libertés de l</w:t>
      </w:r>
      <w:r w:rsidR="0044208E">
        <w:t>’</w:t>
      </w:r>
      <w:r w:rsidRPr="002555C7">
        <w:t>homme et du citoyen</w:t>
      </w:r>
      <w:r>
        <w:t>, quels que soient la race, l</w:t>
      </w:r>
      <w:r w:rsidR="0044208E">
        <w:t>’</w:t>
      </w:r>
      <w:r>
        <w:t>origine ethnique, le sexe, la langue ou les croyances religieuses; et à accélérer l</w:t>
      </w:r>
      <w:r w:rsidR="0044208E">
        <w:t>’</w:t>
      </w:r>
      <w:r>
        <w:t xml:space="preserve">intégration sociale et culturelle des immigrés. Un programme de mesures visant </w:t>
      </w:r>
      <w:r w:rsidR="00E36436">
        <w:t xml:space="preserve">à mettre </w:t>
      </w:r>
      <w:r>
        <w:t xml:space="preserve">en œuvre cette stratégie, examiné au préalable par des membres du Gouvernement, des spécialistes et des </w:t>
      </w:r>
      <w:r w:rsidR="00E36436">
        <w:t>dirigeants</w:t>
      </w:r>
      <w:r>
        <w:t xml:space="preserve"> de</w:t>
      </w:r>
      <w:r w:rsidR="002C79BB">
        <w:t> </w:t>
      </w:r>
      <w:r>
        <w:t xml:space="preserve">différentes communautés religieuses et ethniques, devrait être approuvé </w:t>
      </w:r>
      <w:r w:rsidR="00E36436">
        <w:t xml:space="preserve">en </w:t>
      </w:r>
      <w:r>
        <w:t>avril 2013.</w:t>
      </w:r>
    </w:p>
    <w:p w:rsidR="006B51FF" w:rsidRDefault="006B51FF" w:rsidP="002C79BB">
      <w:pPr>
        <w:pStyle w:val="SingleTxtG"/>
        <w:spacing w:after="100"/>
      </w:pPr>
      <w:r>
        <w:t>6.</w:t>
      </w:r>
      <w:r>
        <w:tab/>
        <w:t>Les infractions commises pour des motifs politiques, idéologiques, raciaux ou ethniques ou fondées sur la haine religieuse ou l</w:t>
      </w:r>
      <w:r w:rsidR="0044208E">
        <w:t>’</w:t>
      </w:r>
      <w:r>
        <w:t>hostilité à l</w:t>
      </w:r>
      <w:r w:rsidR="0044208E">
        <w:t>’</w:t>
      </w:r>
      <w:r>
        <w:t xml:space="preserve">égard de groupes sociaux particuliers sont punies sévèrement </w:t>
      </w:r>
      <w:r w:rsidR="00E36436">
        <w:t>par le</w:t>
      </w:r>
      <w:r>
        <w:t xml:space="preserve"> Code pénal. Une commission interministérielle a</w:t>
      </w:r>
      <w:r w:rsidR="002C79BB">
        <w:t> </w:t>
      </w:r>
      <w:r>
        <w:t>été créée pour lutter contre l</w:t>
      </w:r>
      <w:r w:rsidR="0044208E">
        <w:t>’</w:t>
      </w:r>
      <w:r>
        <w:t xml:space="preserve">extrémisme. La participation des organisations de la société civile à ces efforts est encouragée. De même, des activités sont menées par des groupes de travail au niveau régional et des efforts sont déployés pour </w:t>
      </w:r>
      <w:r w:rsidR="00E36436">
        <w:t>couper</w:t>
      </w:r>
      <w:r w:rsidR="00901D83">
        <w:t xml:space="preserve"> l</w:t>
      </w:r>
      <w:r>
        <w:t>es groupes extrémistes, terroristes et xénophobes</w:t>
      </w:r>
      <w:r w:rsidR="00901D83">
        <w:t xml:space="preserve"> de leurs sources de financement</w:t>
      </w:r>
      <w:r>
        <w:t>.</w:t>
      </w:r>
    </w:p>
    <w:p w:rsidR="006B51FF" w:rsidRPr="002C79BB" w:rsidRDefault="006B51FF" w:rsidP="002C79BB">
      <w:pPr>
        <w:pStyle w:val="SingleTxtG"/>
        <w:spacing w:after="100"/>
        <w:rPr>
          <w:spacing w:val="-2"/>
        </w:rPr>
      </w:pPr>
      <w:r w:rsidRPr="002C79BB">
        <w:rPr>
          <w:spacing w:val="-2"/>
        </w:rPr>
        <w:t>7.</w:t>
      </w:r>
      <w:r w:rsidRPr="002C79BB">
        <w:rPr>
          <w:spacing w:val="-2"/>
        </w:rPr>
        <w:tab/>
      </w:r>
      <w:r w:rsidR="00901D83" w:rsidRPr="002C79BB">
        <w:rPr>
          <w:spacing w:val="-2"/>
        </w:rPr>
        <w:t>Le radicalisme</w:t>
      </w:r>
      <w:r w:rsidRPr="002C79BB">
        <w:rPr>
          <w:spacing w:val="-2"/>
        </w:rPr>
        <w:t xml:space="preserve"> politique, religieux, ethnique et nationaliste </w:t>
      </w:r>
      <w:r w:rsidR="00901D83" w:rsidRPr="002C79BB">
        <w:rPr>
          <w:spacing w:val="-2"/>
        </w:rPr>
        <w:t xml:space="preserve">sévit principalement parmi </w:t>
      </w:r>
      <w:r w:rsidRPr="002C79BB">
        <w:rPr>
          <w:spacing w:val="-2"/>
        </w:rPr>
        <w:t>les personnes de 25</w:t>
      </w:r>
      <w:r w:rsidR="00516517">
        <w:rPr>
          <w:spacing w:val="-2"/>
        </w:rPr>
        <w:t> </w:t>
      </w:r>
      <w:r w:rsidRPr="002C79BB">
        <w:rPr>
          <w:spacing w:val="-2"/>
        </w:rPr>
        <w:t>ans et moins, qu</w:t>
      </w:r>
      <w:r w:rsidR="0044208E" w:rsidRPr="002C79BB">
        <w:rPr>
          <w:spacing w:val="-2"/>
        </w:rPr>
        <w:t>’</w:t>
      </w:r>
      <w:r w:rsidRPr="002C79BB">
        <w:rPr>
          <w:spacing w:val="-2"/>
        </w:rPr>
        <w:t xml:space="preserve">elles soient nationalistes ou gauchistes. La </w:t>
      </w:r>
      <w:r w:rsidR="00901D83" w:rsidRPr="002C79BB">
        <w:rPr>
          <w:spacing w:val="-2"/>
        </w:rPr>
        <w:t>ré</w:t>
      </w:r>
      <w:r w:rsidRPr="002C79BB">
        <w:rPr>
          <w:spacing w:val="-2"/>
        </w:rPr>
        <w:t>pression des groupes radicaux est une priorité pour les forces de l</w:t>
      </w:r>
      <w:r w:rsidR="0044208E" w:rsidRPr="002C79BB">
        <w:rPr>
          <w:spacing w:val="-2"/>
        </w:rPr>
        <w:t>’</w:t>
      </w:r>
      <w:r w:rsidRPr="002C79BB">
        <w:rPr>
          <w:spacing w:val="-2"/>
        </w:rPr>
        <w:t xml:space="preserve">ordre, dont la conduite est surveillée par le Bureau du Procureur général. Les médias sont </w:t>
      </w:r>
      <w:r w:rsidR="00901D83" w:rsidRPr="002C79BB">
        <w:rPr>
          <w:spacing w:val="-2"/>
        </w:rPr>
        <w:t xml:space="preserve">surveillés par un service </w:t>
      </w:r>
      <w:r w:rsidRPr="002C79BB">
        <w:rPr>
          <w:spacing w:val="-2"/>
        </w:rPr>
        <w:t>fédéral</w:t>
      </w:r>
      <w:r w:rsidR="00901D83" w:rsidRPr="002C79BB">
        <w:rPr>
          <w:spacing w:val="-2"/>
        </w:rPr>
        <w:t xml:space="preserve"> de contrôle </w:t>
      </w:r>
      <w:r w:rsidRPr="002C79BB">
        <w:rPr>
          <w:spacing w:val="-2"/>
        </w:rPr>
        <w:t xml:space="preserve">des communications chargé de repérer la diffusion </w:t>
      </w:r>
      <w:r w:rsidR="00901D83" w:rsidRPr="002C79BB">
        <w:rPr>
          <w:spacing w:val="-2"/>
        </w:rPr>
        <w:t xml:space="preserve">de matériels </w:t>
      </w:r>
      <w:r w:rsidRPr="002C79BB">
        <w:rPr>
          <w:spacing w:val="-2"/>
        </w:rPr>
        <w:t xml:space="preserve">destinés à </w:t>
      </w:r>
      <w:r w:rsidR="00901D83" w:rsidRPr="002C79BB">
        <w:rPr>
          <w:spacing w:val="-2"/>
        </w:rPr>
        <w:t>accentuer</w:t>
      </w:r>
      <w:r w:rsidRPr="002C79BB">
        <w:rPr>
          <w:spacing w:val="-2"/>
        </w:rPr>
        <w:t xml:space="preserve"> les tensions ethniques et religieuses et à encourager ou justifier le terrorisme. En 2012, 17 avertissements ont été adressés à des organes d</w:t>
      </w:r>
      <w:r w:rsidR="0044208E" w:rsidRPr="002C79BB">
        <w:rPr>
          <w:spacing w:val="-2"/>
        </w:rPr>
        <w:t>’</w:t>
      </w:r>
      <w:r w:rsidRPr="002C79BB">
        <w:rPr>
          <w:spacing w:val="-2"/>
        </w:rPr>
        <w:t xml:space="preserve">information </w:t>
      </w:r>
      <w:r w:rsidR="00901D83" w:rsidRPr="002C79BB">
        <w:rPr>
          <w:spacing w:val="-2"/>
        </w:rPr>
        <w:t xml:space="preserve">pour </w:t>
      </w:r>
      <w:r w:rsidRPr="002C79BB">
        <w:rPr>
          <w:spacing w:val="-2"/>
        </w:rPr>
        <w:t>des activités de ce type.</w:t>
      </w:r>
    </w:p>
    <w:p w:rsidR="006B51FF" w:rsidRDefault="006B51FF" w:rsidP="002C79BB">
      <w:pPr>
        <w:pStyle w:val="SingleTxtG"/>
        <w:spacing w:after="100"/>
      </w:pPr>
      <w:r>
        <w:t>8.</w:t>
      </w:r>
      <w:r>
        <w:tab/>
        <w:t>L</w:t>
      </w:r>
      <w:r w:rsidR="0044208E">
        <w:t>’</w:t>
      </w:r>
      <w:r w:rsidRPr="002555C7">
        <w:t xml:space="preserve">Agence fédérale de la presse et des médias </w:t>
      </w:r>
      <w:r>
        <w:t>appuie des projets médiatiques qui ont pour objet d</w:t>
      </w:r>
      <w:r w:rsidR="0044208E">
        <w:t>’</w:t>
      </w:r>
      <w:r>
        <w:t>encourager la diversité culturelle, de lutter contre la xénophobie, de promouvoir la culture des communautés autochtones et de combattre le terrorisme, l</w:t>
      </w:r>
      <w:r w:rsidR="0044208E">
        <w:t>’</w:t>
      </w:r>
      <w:r>
        <w:t>extrémisme, le nationalisme et l</w:t>
      </w:r>
      <w:r w:rsidR="0044208E">
        <w:t>’</w:t>
      </w:r>
      <w:r>
        <w:t xml:space="preserve">intolérance raciale et religieuse. Des fonds publics </w:t>
      </w:r>
      <w:r w:rsidR="00901D83">
        <w:t>d</w:t>
      </w:r>
      <w:r w:rsidR="0044208E">
        <w:t>’</w:t>
      </w:r>
      <w:r w:rsidR="00901D83">
        <w:t>un montant d</w:t>
      </w:r>
      <w:r w:rsidR="0044208E">
        <w:t>’</w:t>
      </w:r>
      <w:r w:rsidR="00901D83">
        <w:t xml:space="preserve">environ </w:t>
      </w:r>
      <w:r>
        <w:t>61 millions de roubles (plus de 2 millions de dollars É.-U.) ont été alloués à de tels projets en 2012. L</w:t>
      </w:r>
      <w:r w:rsidR="0044208E">
        <w:t>’</w:t>
      </w:r>
      <w:r>
        <w:t>Agence a également organisé un concours de téléfilms qui a attiré plus de 200</w:t>
      </w:r>
      <w:r w:rsidR="00516517">
        <w:t> </w:t>
      </w:r>
      <w:r>
        <w:t>films de plus de 30</w:t>
      </w:r>
      <w:r w:rsidR="00516517">
        <w:t> </w:t>
      </w:r>
      <w:r>
        <w:t>différentes entités régionales.</w:t>
      </w:r>
    </w:p>
    <w:p w:rsidR="006B51FF" w:rsidRDefault="006B51FF" w:rsidP="002C79BB">
      <w:pPr>
        <w:pStyle w:val="SingleTxtG"/>
        <w:spacing w:after="100"/>
      </w:pPr>
      <w:r>
        <w:t>9.</w:t>
      </w:r>
      <w:r>
        <w:tab/>
        <w:t xml:space="preserve">Un cadre </w:t>
      </w:r>
      <w:r w:rsidR="00901D83">
        <w:t>directeur</w:t>
      </w:r>
      <w:r>
        <w:t xml:space="preserve"> fédéral </w:t>
      </w:r>
      <w:r w:rsidR="00901D83">
        <w:t xml:space="preserve">pour les </w:t>
      </w:r>
      <w:r>
        <w:t>migrations</w:t>
      </w:r>
      <w:r w:rsidR="00314310">
        <w:t>,</w:t>
      </w:r>
      <w:r>
        <w:t xml:space="preserve"> allant jusqu</w:t>
      </w:r>
      <w:r w:rsidR="0044208E">
        <w:t>’</w:t>
      </w:r>
      <w:r>
        <w:t>en 2025</w:t>
      </w:r>
      <w:r w:rsidR="00314310">
        <w:t>,</w:t>
      </w:r>
      <w:r>
        <w:t xml:space="preserve"> a été mis en place en 2012</w:t>
      </w:r>
      <w:r w:rsidR="00901D83">
        <w:t xml:space="preserve"> en vue d</w:t>
      </w:r>
      <w:r w:rsidR="0044208E">
        <w:t>’</w:t>
      </w:r>
      <w:r>
        <w:t>encourager l</w:t>
      </w:r>
      <w:r w:rsidR="0044208E">
        <w:t>’</w:t>
      </w:r>
      <w:r>
        <w:t>intégration des immigrés dans la société russe. Une loi a été adoptée pendant la même année afin de faciliter l</w:t>
      </w:r>
      <w:r w:rsidR="0044208E">
        <w:t>’</w:t>
      </w:r>
      <w:r>
        <w:t>acquisition de la nationalité russe par les citoyens de l</w:t>
      </w:r>
      <w:r w:rsidR="0044208E">
        <w:t>’</w:t>
      </w:r>
      <w:r>
        <w:t xml:space="preserve">ex-URSS </w:t>
      </w:r>
      <w:r w:rsidR="00901D83">
        <w:t xml:space="preserve">qui résident de longue date </w:t>
      </w:r>
      <w:r>
        <w:t>sur le territoire national. Cette loi s</w:t>
      </w:r>
      <w:r w:rsidR="0044208E">
        <w:t>’</w:t>
      </w:r>
      <w:r>
        <w:t xml:space="preserve">applique également aux enfants de ces </w:t>
      </w:r>
      <w:r w:rsidR="00901D83">
        <w:t>personnes</w:t>
      </w:r>
      <w:r>
        <w:t xml:space="preserve">. Le programme public </w:t>
      </w:r>
      <w:r w:rsidR="00901D83">
        <w:t>d</w:t>
      </w:r>
      <w:r w:rsidR="0044208E">
        <w:t>’</w:t>
      </w:r>
      <w:r w:rsidR="00901D83">
        <w:t xml:space="preserve">aide à la </w:t>
      </w:r>
      <w:r>
        <w:t xml:space="preserve">réinstallation volontaire en Fédération de Russie des personnes </w:t>
      </w:r>
      <w:r w:rsidR="00901D83">
        <w:t xml:space="preserve">de souche </w:t>
      </w:r>
      <w:r>
        <w:t>russe vivant à l</w:t>
      </w:r>
      <w:r w:rsidR="0044208E">
        <w:t>’</w:t>
      </w:r>
      <w:r>
        <w:t xml:space="preserve">étranger a été </w:t>
      </w:r>
      <w:r w:rsidR="00901D83">
        <w:t xml:space="preserve">prorogé </w:t>
      </w:r>
      <w:r>
        <w:t>et simplifié en 2012. Sur les 126 000 personnes qui ont bénéficié de ce programme depuis qu</w:t>
      </w:r>
      <w:r w:rsidR="0044208E">
        <w:t>’</w:t>
      </w:r>
      <w:r>
        <w:t>il a été lancé en 2006, 63 000 sont arrivées en Fédération de Russie en 2012 seulement. Les délais de réinstallation ont été supprimés et les candidats peuvent choisir librement le lieu où ils souhaitent s</w:t>
      </w:r>
      <w:r w:rsidR="0044208E">
        <w:t>’</w:t>
      </w:r>
      <w:r>
        <w:t xml:space="preserve">installer </w:t>
      </w:r>
      <w:r w:rsidR="00452C2D">
        <w:t>sur le territoire de l</w:t>
      </w:r>
      <w:r w:rsidR="0044208E">
        <w:t>’</w:t>
      </w:r>
      <w:r w:rsidR="00452C2D">
        <w:t>État partie</w:t>
      </w:r>
      <w:r>
        <w:t xml:space="preserve">. Ce programme </w:t>
      </w:r>
      <w:r w:rsidR="00452C2D">
        <w:t xml:space="preserve">a été étendu aux </w:t>
      </w:r>
      <w:r>
        <w:t>demandeurs d</w:t>
      </w:r>
      <w:r w:rsidR="0044208E">
        <w:t>’</w:t>
      </w:r>
      <w:r>
        <w:t xml:space="preserve">emploi, </w:t>
      </w:r>
      <w:r w:rsidR="00452C2D">
        <w:t>aux</w:t>
      </w:r>
      <w:r>
        <w:t xml:space="preserve"> indépendants et </w:t>
      </w:r>
      <w:r w:rsidR="00452C2D">
        <w:t>aux</w:t>
      </w:r>
      <w:r>
        <w:t xml:space="preserve"> étudiants.</w:t>
      </w:r>
    </w:p>
    <w:p w:rsidR="006B51FF" w:rsidRDefault="006B51FF" w:rsidP="002C79BB">
      <w:pPr>
        <w:pStyle w:val="SingleTxtG"/>
        <w:spacing w:after="100"/>
      </w:pPr>
      <w:r>
        <w:t>10.</w:t>
      </w:r>
      <w:r>
        <w:tab/>
        <w:t xml:space="preserve">Pour ce qui est de la région du Caucase, M. Osintsev dit que 120 milliards de roubles ont été </w:t>
      </w:r>
      <w:r w:rsidR="00452C2D">
        <w:t xml:space="preserve">investis dans </w:t>
      </w:r>
      <w:r>
        <w:t>des programmes de développement social et économique en Tchétchénie</w:t>
      </w:r>
      <w:r w:rsidR="00452C2D">
        <w:t>,</w:t>
      </w:r>
      <w:r>
        <w:t xml:space="preserve"> entre 2008 et 2011. Environ 235 milliards de roubles seraient </w:t>
      </w:r>
      <w:r w:rsidR="00452C2D">
        <w:t>investis</w:t>
      </w:r>
      <w:r>
        <w:t xml:space="preserve"> entre 2013 et 2020 pour </w:t>
      </w:r>
      <w:r w:rsidR="00452C2D">
        <w:t>assure</w:t>
      </w:r>
      <w:r w:rsidR="00314310">
        <w:t>r</w:t>
      </w:r>
      <w:r>
        <w:t xml:space="preserve"> le développement économique et améliorer le niveau de vie dans l</w:t>
      </w:r>
      <w:r w:rsidR="0044208E">
        <w:t>’</w:t>
      </w:r>
      <w:r>
        <w:t>ensemble de la région du nord du Caucase.</w:t>
      </w:r>
    </w:p>
    <w:p w:rsidR="006B51FF" w:rsidRDefault="006B51FF" w:rsidP="002C79BB">
      <w:pPr>
        <w:pStyle w:val="SingleTxtG"/>
        <w:spacing w:after="100"/>
      </w:pPr>
      <w:r>
        <w:t>11.</w:t>
      </w:r>
      <w:r>
        <w:tab/>
        <w:t>Un plan global biennal en faveur du développement social, économique et culturel des Roms a été lancé en janvier 2013. Des entités régionales devraient suivre l</w:t>
      </w:r>
      <w:r w:rsidR="0044208E">
        <w:t>’</w:t>
      </w:r>
      <w:r>
        <w:t xml:space="preserve">exemple </w:t>
      </w:r>
      <w:r w:rsidR="00452C2D">
        <w:t>moyennant</w:t>
      </w:r>
      <w:r>
        <w:t xml:space="preserve"> des programmes similaires. La Fédération de Russie participe également au</w:t>
      </w:r>
      <w:r w:rsidR="002C79BB">
        <w:t> </w:t>
      </w:r>
      <w:r w:rsidRPr="002555C7">
        <w:t>programme de médiation européenne pour les Roms</w:t>
      </w:r>
      <w:r>
        <w:t>.</w:t>
      </w:r>
    </w:p>
    <w:p w:rsidR="006B51FF" w:rsidRDefault="006B51FF" w:rsidP="002C79BB">
      <w:pPr>
        <w:pStyle w:val="SingleTxtG"/>
        <w:spacing w:after="100"/>
      </w:pPr>
      <w:r>
        <w:t>12.</w:t>
      </w:r>
      <w:r>
        <w:tab/>
        <w:t>Des efforts considérables continuent d</w:t>
      </w:r>
      <w:r w:rsidR="0044208E">
        <w:t>’</w:t>
      </w:r>
      <w:r>
        <w:t xml:space="preserve">être </w:t>
      </w:r>
      <w:r w:rsidR="00452C2D">
        <w:t>faits</w:t>
      </w:r>
      <w:r>
        <w:t xml:space="preserve"> pour mieux sensibiliser les agents des forces de l</w:t>
      </w:r>
      <w:r w:rsidR="0044208E">
        <w:t>’</w:t>
      </w:r>
      <w:r>
        <w:t>ordre aux droits de l</w:t>
      </w:r>
      <w:r w:rsidR="0044208E">
        <w:t>’</w:t>
      </w:r>
      <w:r>
        <w:t>homme et améliorer leur</w:t>
      </w:r>
      <w:r w:rsidR="00452C2D">
        <w:t>s</w:t>
      </w:r>
      <w:r>
        <w:t xml:space="preserve"> interaction</w:t>
      </w:r>
      <w:r w:rsidR="00452C2D">
        <w:t>s</w:t>
      </w:r>
      <w:r>
        <w:t xml:space="preserve"> avec les membres de groupes de la société civile, les migrants et les représentants de</w:t>
      </w:r>
      <w:r w:rsidR="00452C2D">
        <w:t>s</w:t>
      </w:r>
      <w:r>
        <w:t xml:space="preserve"> groupes ethniques. Les cas d</w:t>
      </w:r>
      <w:r w:rsidR="0044208E">
        <w:t>’</w:t>
      </w:r>
      <w:r>
        <w:t xml:space="preserve">usage de la force par </w:t>
      </w:r>
      <w:r w:rsidR="00452C2D">
        <w:t>ces agents</w:t>
      </w:r>
      <w:r>
        <w:t>, notamment contre des autochtones et</w:t>
      </w:r>
      <w:r w:rsidR="002C79BB">
        <w:t> </w:t>
      </w:r>
      <w:r>
        <w:t>des migrants, font l</w:t>
      </w:r>
      <w:r w:rsidR="0044208E">
        <w:t>’</w:t>
      </w:r>
      <w:r>
        <w:t>objet d</w:t>
      </w:r>
      <w:r w:rsidR="0044208E">
        <w:t>’</w:t>
      </w:r>
      <w:r>
        <w:t>enquêtes sérieuses.</w:t>
      </w:r>
    </w:p>
    <w:p w:rsidR="006B51FF" w:rsidRDefault="006B51FF" w:rsidP="002C79BB">
      <w:pPr>
        <w:pStyle w:val="SingleTxtG"/>
        <w:spacing w:after="100"/>
      </w:pPr>
      <w:r>
        <w:t>13.</w:t>
      </w:r>
      <w:r>
        <w:tab/>
        <w:t>Sur les 277</w:t>
      </w:r>
      <w:r w:rsidR="00452C2D">
        <w:t> </w:t>
      </w:r>
      <w:r>
        <w:t>langues et dialectes parlés dans le pays, 30</w:t>
      </w:r>
      <w:r w:rsidR="00452C2D">
        <w:t> </w:t>
      </w:r>
      <w:r>
        <w:t>servent de moyen de communication dans les écoles et 59</w:t>
      </w:r>
      <w:r w:rsidR="00452C2D">
        <w:t> </w:t>
      </w:r>
      <w:r>
        <w:t>autres sont enseignés.</w:t>
      </w:r>
    </w:p>
    <w:p w:rsidR="006B51FF" w:rsidRDefault="006B51FF" w:rsidP="002C79BB">
      <w:pPr>
        <w:pStyle w:val="SingleTxtG"/>
        <w:spacing w:after="100"/>
      </w:pPr>
      <w:r>
        <w:t>14.</w:t>
      </w:r>
      <w:r>
        <w:tab/>
        <w:t>Le principe de non-discrimination est consacré par la Constitution et la législation de l</w:t>
      </w:r>
      <w:r w:rsidR="0044208E">
        <w:t>’</w:t>
      </w:r>
      <w:r>
        <w:t>État</w:t>
      </w:r>
      <w:r w:rsidR="00452C2D">
        <w:t xml:space="preserve"> partie</w:t>
      </w:r>
      <w:r>
        <w:t>, et les normes du droit international sont directement applicables. Les organisations de la société civile se sont multipliées ces dernières années; plus de 60 000 associations et 400 000 organisations à but non lucratif sont réparti</w:t>
      </w:r>
      <w:r w:rsidR="00452C2D">
        <w:t>e</w:t>
      </w:r>
      <w:r>
        <w:t>s sur l</w:t>
      </w:r>
      <w:r w:rsidR="0044208E">
        <w:t>’</w:t>
      </w:r>
      <w:r>
        <w:t>ensemble du pays.</w:t>
      </w:r>
    </w:p>
    <w:p w:rsidR="006B51FF" w:rsidRDefault="006B51FF" w:rsidP="0068301C">
      <w:pPr>
        <w:pStyle w:val="SingleTxtG"/>
      </w:pPr>
      <w:r>
        <w:t>15.</w:t>
      </w:r>
      <w:r>
        <w:tab/>
        <w:t>L</w:t>
      </w:r>
      <w:r w:rsidR="0044208E">
        <w:t>’</w:t>
      </w:r>
      <w:r>
        <w:t xml:space="preserve">État partie </w:t>
      </w:r>
      <w:r w:rsidR="00452C2D">
        <w:t>s</w:t>
      </w:r>
      <w:r w:rsidR="0044208E">
        <w:t>’</w:t>
      </w:r>
      <w:r w:rsidR="00452C2D">
        <w:t xml:space="preserve">attache </w:t>
      </w:r>
      <w:r>
        <w:t xml:space="preserve">à promouvoir le développement durable et la protection des droits des petits groupes autochtones (de 50 000 membres ou moins). La première phase du </w:t>
      </w:r>
      <w:r w:rsidR="00314310" w:rsidRPr="002555C7">
        <w:t>Plan</w:t>
      </w:r>
      <w:r w:rsidRPr="002555C7">
        <w:t>-directeur pour le développement stable des petits peuples autochtones du Nord, de Sibérie et d</w:t>
      </w:r>
      <w:r w:rsidR="0044208E">
        <w:t>’</w:t>
      </w:r>
      <w:r w:rsidRPr="002555C7">
        <w:t xml:space="preserve">Extrême-Orient de la Fédération de Russie </w:t>
      </w:r>
      <w:r>
        <w:t xml:space="preserve">a été exécutée entre 2009 et 2011. On </w:t>
      </w:r>
      <w:r w:rsidR="00452C2D">
        <w:t>espère</w:t>
      </w:r>
      <w:r>
        <w:t xml:space="preserve"> que </w:t>
      </w:r>
      <w:r w:rsidR="00452C2D">
        <w:t>l</w:t>
      </w:r>
      <w:r w:rsidR="0044208E">
        <w:t>’</w:t>
      </w:r>
      <w:r w:rsidR="00452C2D">
        <w:t xml:space="preserve">effectif des </w:t>
      </w:r>
      <w:r>
        <w:t xml:space="preserve">populations autochtones </w:t>
      </w:r>
      <w:r w:rsidR="00452C2D">
        <w:t xml:space="preserve">aura augmenté </w:t>
      </w:r>
      <w:r>
        <w:t xml:space="preserve">de 30 % </w:t>
      </w:r>
      <w:r w:rsidR="00452C2D">
        <w:t>dès</w:t>
      </w:r>
      <w:r>
        <w:t xml:space="preserve"> 2020 et que leur niveau de vie </w:t>
      </w:r>
      <w:r w:rsidR="00452C2D">
        <w:t>rattrapera la moyenne nationale</w:t>
      </w:r>
      <w:r>
        <w:t>. Des subventions sont accordées aux niveaux fédéral et régional pour le logement, l</w:t>
      </w:r>
      <w:r w:rsidR="0044208E">
        <w:t>’</w:t>
      </w:r>
      <w:r>
        <w:t>enseignement, l</w:t>
      </w:r>
      <w:r w:rsidR="0044208E">
        <w:t>’</w:t>
      </w:r>
      <w:r>
        <w:t>infrastructure et l</w:t>
      </w:r>
      <w:r w:rsidR="0044208E">
        <w:t>’</w:t>
      </w:r>
      <w:r>
        <w:t xml:space="preserve">achat </w:t>
      </w:r>
      <w:r w:rsidR="00452C2D">
        <w:t xml:space="preserve">de matériel </w:t>
      </w:r>
      <w:r>
        <w:t xml:space="preserve">de transformation du poisson et de la viande. Tous les enfants autochtones </w:t>
      </w:r>
      <w:r w:rsidR="00452C2D">
        <w:t xml:space="preserve">bénéficient gratuitement de </w:t>
      </w:r>
      <w:r>
        <w:t>l</w:t>
      </w:r>
      <w:r w:rsidR="0044208E">
        <w:t>’</w:t>
      </w:r>
      <w:r>
        <w:t xml:space="preserve">enseignement secondaire et, dans certaines régions, </w:t>
      </w:r>
      <w:r w:rsidR="00452C2D">
        <w:t>l</w:t>
      </w:r>
      <w:r w:rsidR="0044208E">
        <w:t>’</w:t>
      </w:r>
      <w:r w:rsidR="00452C2D">
        <w:t xml:space="preserve">enseignement </w:t>
      </w:r>
      <w:r>
        <w:t xml:space="preserve">supérieur est également gratuit. En règle générale, les entités régionales </w:t>
      </w:r>
      <w:r w:rsidR="00452C2D">
        <w:t xml:space="preserve">allouent </w:t>
      </w:r>
      <w:r>
        <w:t xml:space="preserve">aux peuples autochtones </w:t>
      </w:r>
      <w:r w:rsidR="00452C2D">
        <w:t xml:space="preserve">des subventions plus importantes </w:t>
      </w:r>
      <w:r>
        <w:t>que le Gouvernement fédéral</w:t>
      </w:r>
      <w:r w:rsidR="00452C2D">
        <w:t xml:space="preserve">, notamment des subventions mensuelles qui les aident </w:t>
      </w:r>
      <w:r>
        <w:t xml:space="preserve">à conserver leur mode de vie traditionnel. </w:t>
      </w:r>
      <w:r w:rsidR="00A80AA7">
        <w:t xml:space="preserve">Ceux </w:t>
      </w:r>
      <w:r>
        <w:t xml:space="preserve">dont les terres ont été </w:t>
      </w:r>
      <w:r w:rsidR="00A80AA7">
        <w:t xml:space="preserve">affectées à des activités industrielles ont été </w:t>
      </w:r>
      <w:r>
        <w:t>indemnisés. Dans l</w:t>
      </w:r>
      <w:r w:rsidR="0044208E">
        <w:t>’</w:t>
      </w:r>
      <w:r>
        <w:t xml:space="preserve">ensemble, les communautés autochtones ont </w:t>
      </w:r>
      <w:r w:rsidR="00A80AA7">
        <w:t>reçu</w:t>
      </w:r>
      <w:r>
        <w:t xml:space="preserve"> 12 milliards de roubles sous forme d</w:t>
      </w:r>
      <w:r w:rsidR="0044208E">
        <w:t>’</w:t>
      </w:r>
      <w:r>
        <w:t xml:space="preserve">aides publiques entre 2009 et 2011. Des représentants de ces communautés siègent dans différents organismes, y compris au sein du </w:t>
      </w:r>
      <w:r w:rsidRPr="002555C7">
        <w:t>Conseil chargé des relations interethniques relevant du Président</w:t>
      </w:r>
      <w:r>
        <w:t xml:space="preserve">. Des commissaires pour les autochtones </w:t>
      </w:r>
      <w:r w:rsidR="00A80AA7">
        <w:t xml:space="preserve">exercent leurs </w:t>
      </w:r>
      <w:r>
        <w:t>fonction</w:t>
      </w:r>
      <w:r w:rsidR="00A80AA7">
        <w:t>s</w:t>
      </w:r>
      <w:r>
        <w:t xml:space="preserve"> dans plusieurs entités régionales.</w:t>
      </w:r>
    </w:p>
    <w:p w:rsidR="006B51FF" w:rsidRPr="002555C7" w:rsidRDefault="006B51FF" w:rsidP="0068301C">
      <w:pPr>
        <w:pStyle w:val="SingleTxtG"/>
      </w:pPr>
      <w:r>
        <w:t>16.</w:t>
      </w:r>
      <w:r>
        <w:tab/>
        <w:t>La Fédération de Russie est un État laïc qui appuie les initiatives sociales des organisations religieuses et encourage le dialogue interconfessionnel. Un nouveau cours sur les religions en Russie et dans le monde a été intégré dans le programme scolaire obligatoire</w:t>
      </w:r>
      <w:r w:rsidRPr="0041551B">
        <w:t xml:space="preserve"> </w:t>
      </w:r>
      <w:r>
        <w:t>en 2012. Le Gouvernement prend systématiquement des mesures pour lutter contre l</w:t>
      </w:r>
      <w:r w:rsidR="0044208E">
        <w:t>’</w:t>
      </w:r>
      <w:r>
        <w:t>antisémitisme, l</w:t>
      </w:r>
      <w:r w:rsidR="0044208E">
        <w:t>’</w:t>
      </w:r>
      <w:r>
        <w:t xml:space="preserve">islamophobie et la christianophobie. </w:t>
      </w:r>
      <w:r w:rsidR="00A80AA7">
        <w:t xml:space="preserve">Outre les </w:t>
      </w:r>
      <w:r>
        <w:t>mesures de répression, un groupe d</w:t>
      </w:r>
      <w:r w:rsidR="0044208E">
        <w:t>’</w:t>
      </w:r>
      <w:r>
        <w:t xml:space="preserve">écoles </w:t>
      </w:r>
      <w:r w:rsidR="00A80AA7">
        <w:t>d</w:t>
      </w:r>
      <w:r w:rsidR="0044208E">
        <w:t>’</w:t>
      </w:r>
      <w:r w:rsidR="00A80AA7">
        <w:t xml:space="preserve">élite de </w:t>
      </w:r>
      <w:r>
        <w:t xml:space="preserve">sept grandes villes du pays, dont Moscou, ont participé à des projets visant à promouvoir et à </w:t>
      </w:r>
      <w:r w:rsidR="00A80AA7">
        <w:t>approfondir l</w:t>
      </w:r>
      <w:r w:rsidR="0044208E">
        <w:t>’</w:t>
      </w:r>
      <w:r w:rsidR="00A80AA7">
        <w:t xml:space="preserve">enseignement de </w:t>
      </w:r>
      <w:r>
        <w:t>la religion islamique. Plus de 400</w:t>
      </w:r>
      <w:r w:rsidR="00A80AA7">
        <w:t> </w:t>
      </w:r>
      <w:r>
        <w:t>étudiants ont été sélectionnés avec l</w:t>
      </w:r>
      <w:r w:rsidR="0044208E">
        <w:t>’</w:t>
      </w:r>
      <w:r>
        <w:t>aide de la communauté musulmane afin de bénéficier d</w:t>
      </w:r>
      <w:r w:rsidR="0044208E">
        <w:t>’</w:t>
      </w:r>
      <w:r>
        <w:t>une aide de l</w:t>
      </w:r>
      <w:r w:rsidR="0044208E">
        <w:t>’</w:t>
      </w:r>
      <w:r>
        <w:t>État pour suivre différents cours à l</w:t>
      </w:r>
      <w:r w:rsidR="0044208E">
        <w:t>’</w:t>
      </w:r>
      <w:r>
        <w:t xml:space="preserve">université, y compris </w:t>
      </w:r>
      <w:r w:rsidR="00A80AA7">
        <w:t xml:space="preserve">des cours de </w:t>
      </w:r>
      <w:r>
        <w:t>théologie. Des aides publiques ont également été accordées pour élaborer plus de 3</w:t>
      </w:r>
      <w:r w:rsidRPr="002555C7">
        <w:t xml:space="preserve"> 500 manuels et </w:t>
      </w:r>
      <w:r w:rsidR="00A80AA7">
        <w:t>d</w:t>
      </w:r>
      <w:r w:rsidR="0044208E">
        <w:t>’</w:t>
      </w:r>
      <w:r w:rsidR="00A80AA7">
        <w:t>autres types d</w:t>
      </w:r>
      <w:r w:rsidR="0044208E">
        <w:t>’</w:t>
      </w:r>
      <w:r w:rsidR="00A80AA7">
        <w:t xml:space="preserve">ouvrages </w:t>
      </w:r>
      <w:r w:rsidRPr="002555C7">
        <w:t>didactique</w:t>
      </w:r>
      <w:r w:rsidR="00A80AA7">
        <w:t>s</w:t>
      </w:r>
      <w:r w:rsidRPr="002555C7">
        <w:t xml:space="preserve"> religieux. Le Gouvernement </w:t>
      </w:r>
      <w:r w:rsidR="00A80AA7">
        <w:t>aide</w:t>
      </w:r>
      <w:r w:rsidRPr="002555C7">
        <w:t xml:space="preserve"> les institutions religieuses traditionnelles qui </w:t>
      </w:r>
      <w:r w:rsidR="0044208E">
        <w:t>œuvrent</w:t>
      </w:r>
      <w:r w:rsidR="00A80AA7">
        <w:t xml:space="preserve"> pour </w:t>
      </w:r>
      <w:r w:rsidRPr="002555C7">
        <w:t>l</w:t>
      </w:r>
      <w:r w:rsidR="0044208E">
        <w:t>’</w:t>
      </w:r>
      <w:r w:rsidRPr="002555C7">
        <w:t>amélioration des relations interethniques et interconfessionnelles.</w:t>
      </w:r>
    </w:p>
    <w:p w:rsidR="006B51FF" w:rsidRPr="002555C7" w:rsidRDefault="006B51FF" w:rsidP="0068301C">
      <w:pPr>
        <w:pStyle w:val="SingleTxtG"/>
      </w:pPr>
      <w:r w:rsidRPr="002555C7">
        <w:t>17.</w:t>
      </w:r>
      <w:r w:rsidRPr="002555C7">
        <w:tab/>
      </w:r>
      <w:r w:rsidR="0068301C" w:rsidRPr="0068301C">
        <w:rPr>
          <w:b/>
        </w:rPr>
        <w:t>M</w:t>
      </w:r>
      <w:r w:rsidR="0068301C" w:rsidRPr="0068301C">
        <w:rPr>
          <w:b/>
          <w:vertAlign w:val="superscript"/>
        </w:rPr>
        <w:t>me</w:t>
      </w:r>
      <w:r w:rsidR="0068301C" w:rsidRPr="0068301C">
        <w:rPr>
          <w:b/>
        </w:rPr>
        <w:t> </w:t>
      </w:r>
      <w:r w:rsidRPr="002555C7">
        <w:rPr>
          <w:b/>
        </w:rPr>
        <w:t>Crickley</w:t>
      </w:r>
      <w:r w:rsidRPr="002555C7">
        <w:t xml:space="preserve"> (Rapporteuse pour la Fédération de Russie) dit qu</w:t>
      </w:r>
      <w:r w:rsidR="0044208E">
        <w:t>’</w:t>
      </w:r>
      <w:r w:rsidRPr="002555C7">
        <w:t xml:space="preserve">un certain nombre de changements positifs, y compris la simplification des procédures </w:t>
      </w:r>
      <w:r w:rsidR="00A80AA7">
        <w:t>relatives à l</w:t>
      </w:r>
      <w:r w:rsidR="0044208E">
        <w:t>’</w:t>
      </w:r>
      <w:r w:rsidR="00A80AA7">
        <w:t xml:space="preserve">acquisition </w:t>
      </w:r>
      <w:r w:rsidRPr="002555C7">
        <w:t>de la nationalité russe, sont survenus dans l</w:t>
      </w:r>
      <w:r w:rsidR="0044208E">
        <w:t>’</w:t>
      </w:r>
      <w:r w:rsidRPr="002555C7">
        <w:t>État partie depuis qu</w:t>
      </w:r>
      <w:r w:rsidR="0044208E">
        <w:t>’</w:t>
      </w:r>
      <w:r w:rsidRPr="002555C7">
        <w:t>il a soumis son précédent rapport périodique. Le Comité note également avec satisfaction que les travaux de construction du barrage d</w:t>
      </w:r>
      <w:r w:rsidR="0044208E">
        <w:t>’</w:t>
      </w:r>
      <w:r w:rsidRPr="002555C7">
        <w:t>Evenki</w:t>
      </w:r>
      <w:r w:rsidR="0044208E">
        <w:t xml:space="preserve"> </w:t>
      </w:r>
      <w:r w:rsidRPr="002555C7">
        <w:t>ont été interrompus.</w:t>
      </w:r>
    </w:p>
    <w:p w:rsidR="006B51FF" w:rsidRPr="002555C7" w:rsidRDefault="006B51FF" w:rsidP="0068301C">
      <w:pPr>
        <w:pStyle w:val="SingleTxtG"/>
      </w:pPr>
      <w:r w:rsidRPr="002555C7">
        <w:t>18.</w:t>
      </w:r>
      <w:r w:rsidRPr="002555C7">
        <w:tab/>
        <w:t xml:space="preserve">Tout en notant que </w:t>
      </w:r>
      <w:r w:rsidR="00A80AA7">
        <w:t>la</w:t>
      </w:r>
      <w:r w:rsidRPr="002555C7">
        <w:t xml:space="preserve"> lutte contre les crimes de haine </w:t>
      </w:r>
      <w:r w:rsidR="00A80AA7">
        <w:t>s</w:t>
      </w:r>
      <w:r w:rsidR="0044208E">
        <w:t>’</w:t>
      </w:r>
      <w:r w:rsidR="00A80AA7">
        <w:t xml:space="preserve">est </w:t>
      </w:r>
      <w:r w:rsidRPr="002555C7">
        <w:t>intensifié</w:t>
      </w:r>
      <w:r w:rsidR="00A80AA7">
        <w:t>e</w:t>
      </w:r>
      <w:r w:rsidRPr="002555C7">
        <w:t xml:space="preserve"> au cours des dernières années</w:t>
      </w:r>
      <w:r w:rsidR="00A80AA7">
        <w:t xml:space="preserve"> écoulées</w:t>
      </w:r>
      <w:r w:rsidRPr="002555C7">
        <w:t xml:space="preserve">, elle </w:t>
      </w:r>
      <w:r w:rsidR="00A80AA7">
        <w:t xml:space="preserve">se </w:t>
      </w:r>
      <w:r w:rsidRPr="002555C7">
        <w:t xml:space="preserve">demande si les propos haineux </w:t>
      </w:r>
      <w:r w:rsidR="00A80AA7">
        <w:t>sont devenus plus rares</w:t>
      </w:r>
      <w:r w:rsidRPr="002555C7">
        <w:t>. Les informations selon lesquelles des responsables du club de football Zénith Saint</w:t>
      </w:r>
      <w:r w:rsidR="00314310">
        <w:noBreakHyphen/>
      </w:r>
      <w:r w:rsidRPr="002555C7">
        <w:t>Pétersbourg auraient déclaré que le club ne recruterait que des joueurs blancs sont préoccupantes. La rapporteuse demande dans quelle mesure la loi interdisant que des actes de discrimination soient commis par des agents des forces de l</w:t>
      </w:r>
      <w:r w:rsidR="0044208E">
        <w:t>’</w:t>
      </w:r>
      <w:r w:rsidRPr="002555C7">
        <w:t>ordre a été appliquée.</w:t>
      </w:r>
    </w:p>
    <w:p w:rsidR="006B51FF" w:rsidRPr="002555C7" w:rsidRDefault="006B51FF" w:rsidP="0068301C">
      <w:pPr>
        <w:pStyle w:val="SingleTxtG"/>
      </w:pPr>
      <w:r w:rsidRPr="002555C7">
        <w:t>19.</w:t>
      </w:r>
      <w:r w:rsidRPr="002555C7">
        <w:tab/>
        <w:t>L</w:t>
      </w:r>
      <w:r w:rsidR="0044208E">
        <w:t>’</w:t>
      </w:r>
      <w:r w:rsidRPr="002555C7">
        <w:t>absence de législation fédérale globale interdisant toutes les formes directe</w:t>
      </w:r>
      <w:r w:rsidR="00A80AA7">
        <w:t>s</w:t>
      </w:r>
      <w:r w:rsidRPr="002555C7">
        <w:t xml:space="preserve"> et indirecte</w:t>
      </w:r>
      <w:r w:rsidR="00A80AA7">
        <w:t>s</w:t>
      </w:r>
      <w:r w:rsidR="00387DF1">
        <w:t xml:space="preserve"> de discrimination raciale</w:t>
      </w:r>
      <w:r w:rsidRPr="002555C7">
        <w:t xml:space="preserve">, </w:t>
      </w:r>
      <w:r w:rsidR="00387DF1">
        <w:t>constatée</w:t>
      </w:r>
      <w:r w:rsidRPr="002555C7">
        <w:t xml:space="preserve"> au paragraphe 9 des précédentes observations finales du Comité</w:t>
      </w:r>
      <w:r w:rsidR="00314310">
        <w:t>,</w:t>
      </w:r>
      <w:r w:rsidRPr="002555C7">
        <w:t xml:space="preserve"> reste préoccupa</w:t>
      </w:r>
      <w:r w:rsidR="00387DF1">
        <w:t>nte</w:t>
      </w:r>
      <w:r w:rsidRPr="002555C7">
        <w:t xml:space="preserve">. Le fait que les affaires de discrimination concernant des femmes, des minorités nationales, des migrants et des apatrides ne </w:t>
      </w:r>
      <w:r w:rsidR="00387DF1">
        <w:t xml:space="preserve">sont pas examinées par la justice révèle que les normes en vigueur, </w:t>
      </w:r>
      <w:r w:rsidRPr="002555C7">
        <w:t xml:space="preserve">principalement déclaratives, </w:t>
      </w:r>
      <w:r w:rsidR="00387DF1">
        <w:t xml:space="preserve">interdisant </w:t>
      </w:r>
      <w:r w:rsidRPr="002555C7">
        <w:t>la discrimination</w:t>
      </w:r>
      <w:r w:rsidR="00387DF1">
        <w:t>, ne sont pas applicables dans les tribunaux</w:t>
      </w:r>
      <w:r w:rsidRPr="002555C7">
        <w:t>. L</w:t>
      </w:r>
      <w:r w:rsidR="0044208E">
        <w:t>’</w:t>
      </w:r>
      <w:r w:rsidRPr="002555C7">
        <w:t>absence de définition claire de la discrimination raciale dans la législation nationale et le manque de procédures civiles et administratives permettant de prévenir et de combattre la discrimination directe et indirecte reste</w:t>
      </w:r>
      <w:r w:rsidR="00314310">
        <w:t>nt</w:t>
      </w:r>
      <w:r w:rsidRPr="002555C7">
        <w:t xml:space="preserve"> </w:t>
      </w:r>
      <w:r w:rsidR="00387DF1">
        <w:t>un problème majeur</w:t>
      </w:r>
      <w:r w:rsidRPr="002555C7">
        <w:t>.</w:t>
      </w:r>
    </w:p>
    <w:p w:rsidR="006B51FF" w:rsidRPr="002555C7" w:rsidRDefault="006B51FF" w:rsidP="0068301C">
      <w:pPr>
        <w:pStyle w:val="SingleTxtG"/>
      </w:pPr>
      <w:r w:rsidRPr="002555C7">
        <w:t>20.</w:t>
      </w:r>
      <w:r w:rsidRPr="002555C7">
        <w:tab/>
        <w:t>Il serait utile que la délégation fournisse des informations sur les mesures prises pour créer un mécanisme systématique de collecte de données en vue d</w:t>
      </w:r>
      <w:r w:rsidR="0044208E">
        <w:t>’</w:t>
      </w:r>
      <w:r w:rsidRPr="002555C7">
        <w:t>évaluer la situation socioéconomique de différents groupes ethniques de l</w:t>
      </w:r>
      <w:r w:rsidR="0044208E">
        <w:t>’</w:t>
      </w:r>
      <w:r w:rsidRPr="002555C7">
        <w:t>État partie, comme le préconisent les</w:t>
      </w:r>
      <w:r w:rsidR="00D87E73">
        <w:t> </w:t>
      </w:r>
      <w:r w:rsidRPr="002555C7">
        <w:t>précédentes observations finales.</w:t>
      </w:r>
    </w:p>
    <w:p w:rsidR="006B51FF" w:rsidRPr="002555C7" w:rsidRDefault="006B51FF" w:rsidP="0068301C">
      <w:pPr>
        <w:pStyle w:val="SingleTxtG"/>
      </w:pPr>
      <w:r w:rsidRPr="002555C7">
        <w:t>21.</w:t>
      </w:r>
      <w:r w:rsidRPr="002555C7">
        <w:tab/>
        <w:t xml:space="preserve">En outre, </w:t>
      </w:r>
      <w:r w:rsidR="0068301C">
        <w:t>M</w:t>
      </w:r>
      <w:r w:rsidR="0068301C" w:rsidRPr="00D91DA2">
        <w:rPr>
          <w:vertAlign w:val="superscript"/>
        </w:rPr>
        <w:t>me</w:t>
      </w:r>
      <w:r w:rsidR="0068301C">
        <w:t> </w:t>
      </w:r>
      <w:r w:rsidRPr="002555C7">
        <w:t>Crickley demande des renseignements sur les plaintes pour discrimination raciale évoquées et examinées par le Bureau du Défenseur des droits de l</w:t>
      </w:r>
      <w:r w:rsidR="0044208E">
        <w:t>’</w:t>
      </w:r>
      <w:r w:rsidRPr="002555C7">
        <w:t>homme, et sur la suite qui leur a été donnée. Elle demande des précisions sur la relation qui existe entre le Commissaire national aux droits de l</w:t>
      </w:r>
      <w:r w:rsidR="0044208E">
        <w:t>’</w:t>
      </w:r>
      <w:r w:rsidRPr="002555C7">
        <w:t>homme et les médiateurs locaux, et souhaite savoir comment la législation nationale et fédérale à cet égard a été directement mise en œuvre aux niveaux local et régional.</w:t>
      </w:r>
    </w:p>
    <w:p w:rsidR="006B51FF" w:rsidRPr="002555C7" w:rsidRDefault="006B51FF" w:rsidP="0068301C">
      <w:pPr>
        <w:pStyle w:val="SingleTxtG"/>
      </w:pPr>
      <w:r w:rsidRPr="002555C7">
        <w:t>22.</w:t>
      </w:r>
      <w:r w:rsidRPr="002555C7">
        <w:tab/>
        <w:t>Des inquiétudes ont été exprimées au sujet de la portée générale de la législation sur la lutte contre les activités extrémistes et sur le fait qu</w:t>
      </w:r>
      <w:r w:rsidR="0044208E">
        <w:t>’</w:t>
      </w:r>
      <w:r w:rsidRPr="002555C7">
        <w:t>elle n</w:t>
      </w:r>
      <w:r w:rsidR="0044208E">
        <w:t>’</w:t>
      </w:r>
      <w:r w:rsidRPr="002555C7">
        <w:t>avait pas été appliquée aux groupes ultranationalistes. Le Comité souhaiterait recevoir des informations sur l</w:t>
      </w:r>
      <w:r w:rsidR="0044208E">
        <w:t>’</w:t>
      </w:r>
      <w:r w:rsidRPr="002555C7">
        <w:t>application de cette loi et sur les mesures de prévention visant les jeunes.</w:t>
      </w:r>
    </w:p>
    <w:p w:rsidR="006B51FF" w:rsidRPr="002555C7" w:rsidRDefault="006B51FF" w:rsidP="0068301C">
      <w:pPr>
        <w:pStyle w:val="SingleTxtG"/>
      </w:pPr>
      <w:r w:rsidRPr="002555C7">
        <w:t>23.</w:t>
      </w:r>
      <w:r w:rsidRPr="002555C7">
        <w:tab/>
        <w:t>Bien que le rapport fasse état de l</w:t>
      </w:r>
      <w:r w:rsidR="0044208E">
        <w:t>’</w:t>
      </w:r>
      <w:r w:rsidRPr="002555C7">
        <w:t>intégration des Tchétchènes, aucune information n</w:t>
      </w:r>
      <w:r w:rsidR="0044208E">
        <w:t>’</w:t>
      </w:r>
      <w:r w:rsidR="00387DF1">
        <w:t xml:space="preserve">y </w:t>
      </w:r>
      <w:r w:rsidRPr="002555C7">
        <w:t>est donnée sur l</w:t>
      </w:r>
      <w:r w:rsidR="0044208E">
        <w:t>’</w:t>
      </w:r>
      <w:r w:rsidRPr="002555C7">
        <w:t>exercice direct des droits garantis par la Convention, y compris celui de ne pas faire l</w:t>
      </w:r>
      <w:r w:rsidR="0044208E">
        <w:t>’</w:t>
      </w:r>
      <w:r w:rsidRPr="002555C7">
        <w:t>objet d</w:t>
      </w:r>
      <w:r w:rsidR="0044208E">
        <w:t>’</w:t>
      </w:r>
      <w:r w:rsidRPr="002555C7">
        <w:t>une discrimination, par les minorités ethniques, notamment les personnes venant de Tchétchénie, du Caucase et d</w:t>
      </w:r>
      <w:r w:rsidR="0044208E">
        <w:t>’</w:t>
      </w:r>
      <w:r w:rsidRPr="002555C7">
        <w:t xml:space="preserve">Afrique. </w:t>
      </w:r>
      <w:r w:rsidR="00387DF1">
        <w:t xml:space="preserve">La situation des </w:t>
      </w:r>
      <w:r w:rsidRPr="002555C7">
        <w:t xml:space="preserve">Africains </w:t>
      </w:r>
      <w:r w:rsidR="00387DF1">
        <w:t xml:space="preserve">a été évoquée dans des informations sur des </w:t>
      </w:r>
      <w:r w:rsidRPr="002555C7">
        <w:t>cas de racisme dans le sport.</w:t>
      </w:r>
    </w:p>
    <w:p w:rsidR="006B51FF" w:rsidRPr="002555C7" w:rsidRDefault="006B51FF" w:rsidP="0068301C">
      <w:pPr>
        <w:pStyle w:val="SingleTxtG"/>
      </w:pPr>
      <w:r w:rsidRPr="002555C7">
        <w:t>24.</w:t>
      </w:r>
      <w:r w:rsidRPr="002555C7">
        <w:tab/>
        <w:t>La rapporteuse demande des informations supplémentaires sur les mesures examinées pour faire en sorte que le processus accéléré d</w:t>
      </w:r>
      <w:r w:rsidR="0044208E">
        <w:t>’</w:t>
      </w:r>
      <w:r w:rsidRPr="002555C7">
        <w:t>enregistrement du lieu de résidence soit appliqué aux minorités, y compris aux personnes venant de Tchétchénie, du</w:t>
      </w:r>
      <w:r w:rsidR="00AB498D">
        <w:t> </w:t>
      </w:r>
      <w:r w:rsidRPr="002555C7">
        <w:t xml:space="preserve">Caucase et </w:t>
      </w:r>
      <w:r w:rsidR="00387DF1">
        <w:t>aux</w:t>
      </w:r>
      <w:r w:rsidRPr="002555C7">
        <w:t xml:space="preserve"> citoyens des anciennes républiques soviétiques.</w:t>
      </w:r>
    </w:p>
    <w:p w:rsidR="006B51FF" w:rsidRPr="002555C7" w:rsidRDefault="006B51FF" w:rsidP="0068301C">
      <w:pPr>
        <w:pStyle w:val="SingleTxtG"/>
      </w:pPr>
      <w:r w:rsidRPr="002555C7">
        <w:t>25.</w:t>
      </w:r>
      <w:r w:rsidRPr="002555C7">
        <w:tab/>
      </w:r>
      <w:r w:rsidR="00387DF1">
        <w:t>Vu</w:t>
      </w:r>
      <w:r w:rsidRPr="002555C7">
        <w:t xml:space="preserve"> les informations selon lesquelles des actes de discrimination auraient été commis contre des minorités ethniques par des agents des forces de l</w:t>
      </w:r>
      <w:r w:rsidR="0044208E">
        <w:t>’</w:t>
      </w:r>
      <w:r w:rsidRPr="002555C7">
        <w:t xml:space="preserve">ordre, </w:t>
      </w:r>
      <w:r w:rsidR="0068301C">
        <w:t>M</w:t>
      </w:r>
      <w:r w:rsidR="0068301C" w:rsidRPr="00D91DA2">
        <w:rPr>
          <w:vertAlign w:val="superscript"/>
        </w:rPr>
        <w:t>me</w:t>
      </w:r>
      <w:r w:rsidR="0068301C">
        <w:t> </w:t>
      </w:r>
      <w:r w:rsidRPr="002555C7">
        <w:t xml:space="preserve">Crickley demande des renseignements sur les enquêtes menées, les poursuites engagées et les sanctions appliquées et sur les mesures </w:t>
      </w:r>
      <w:r w:rsidR="00387DF1">
        <w:t xml:space="preserve">qui ont été </w:t>
      </w:r>
      <w:r w:rsidRPr="002555C7">
        <w:t xml:space="preserve">prises pour </w:t>
      </w:r>
      <w:r w:rsidR="00387DF1">
        <w:t>empêcher de tels actes</w:t>
      </w:r>
      <w:r w:rsidRPr="002555C7">
        <w:t>. Des ressortissants tchétchènes continuent de faire fréquemment l</w:t>
      </w:r>
      <w:r w:rsidR="0044208E">
        <w:t>’</w:t>
      </w:r>
      <w:r w:rsidRPr="002555C7">
        <w:t>objet d</w:t>
      </w:r>
      <w:r w:rsidR="0044208E">
        <w:t>’</w:t>
      </w:r>
      <w:r w:rsidRPr="002555C7">
        <w:t>arrestations; ils seraient soumis à de mauvais traitements par le personnel pénitentiaire et seraient privés de soins médicaux. On empêche parfois les musulmans d</w:t>
      </w:r>
      <w:r w:rsidR="0044208E">
        <w:t>’</w:t>
      </w:r>
      <w:r w:rsidRPr="002555C7">
        <w:t>accomplir leurs devoirs religieux. Comment l</w:t>
      </w:r>
      <w:r w:rsidR="0044208E">
        <w:t>’</w:t>
      </w:r>
      <w:r w:rsidRPr="002555C7">
        <w:t xml:space="preserve">État partie </w:t>
      </w:r>
      <w:r w:rsidR="00387DF1">
        <w:t>traite-t-il</w:t>
      </w:r>
      <w:r w:rsidRPr="002555C7">
        <w:t xml:space="preserve"> de tels problèmes?</w:t>
      </w:r>
    </w:p>
    <w:p w:rsidR="006B51FF" w:rsidRPr="002555C7" w:rsidRDefault="006B51FF" w:rsidP="0068301C">
      <w:pPr>
        <w:pStyle w:val="SingleTxtG"/>
      </w:pPr>
      <w:r w:rsidRPr="002555C7">
        <w:t>26.</w:t>
      </w:r>
      <w:r w:rsidRPr="002555C7">
        <w:tab/>
        <w:t xml:space="preserve">La </w:t>
      </w:r>
      <w:r w:rsidR="00D615DB" w:rsidRPr="002555C7">
        <w:t xml:space="preserve">rapporteuse </w:t>
      </w:r>
      <w:r w:rsidRPr="002555C7">
        <w:t>demande des informations sur les procédures et les critères permettant d</w:t>
      </w:r>
      <w:r w:rsidR="0044208E">
        <w:t>’</w:t>
      </w:r>
      <w:r w:rsidRPr="002555C7">
        <w:t xml:space="preserve">obtenir un appui direct pour préserver les cultures des minorités, et sur la participation effective des représentants de minorités à </w:t>
      </w:r>
      <w:r w:rsidR="00D615DB">
        <w:t>l</w:t>
      </w:r>
      <w:r w:rsidR="0044208E">
        <w:t>’</w:t>
      </w:r>
      <w:r w:rsidR="00D615DB">
        <w:t xml:space="preserve">adoption des </w:t>
      </w:r>
      <w:r w:rsidRPr="002555C7">
        <w:t xml:space="preserve">décisions </w:t>
      </w:r>
      <w:r w:rsidR="00D615DB">
        <w:t xml:space="preserve">concernant ces questions et </w:t>
      </w:r>
      <w:r w:rsidRPr="002555C7">
        <w:t>d</w:t>
      </w:r>
      <w:r w:rsidR="0044208E">
        <w:t>’</w:t>
      </w:r>
      <w:r w:rsidRPr="002555C7">
        <w:t>autres</w:t>
      </w:r>
      <w:r w:rsidR="00D615DB">
        <w:t xml:space="preserve"> encore</w:t>
      </w:r>
      <w:r w:rsidRPr="002555C7">
        <w:t>. Il serait en outre utile d</w:t>
      </w:r>
      <w:r w:rsidR="0044208E">
        <w:t>’</w:t>
      </w:r>
      <w:r w:rsidRPr="002555C7">
        <w:t>obtenir davantage d</w:t>
      </w:r>
      <w:r w:rsidR="0044208E">
        <w:t>’</w:t>
      </w:r>
      <w:r w:rsidRPr="002555C7">
        <w:t>informations sur l</w:t>
      </w:r>
      <w:r w:rsidR="0044208E">
        <w:t>’</w:t>
      </w:r>
      <w:r w:rsidRPr="002555C7">
        <w:t>accès à l</w:t>
      </w:r>
      <w:r w:rsidR="0044208E">
        <w:t>’</w:t>
      </w:r>
      <w:r w:rsidRPr="002555C7">
        <w:t>enseignement secondaire assuré dans les langues des minorités et sur le droit d</w:t>
      </w:r>
      <w:r w:rsidR="0044208E">
        <w:t>’</w:t>
      </w:r>
      <w:r w:rsidRPr="002555C7">
        <w:t xml:space="preserve">étudier et de </w:t>
      </w:r>
      <w:r w:rsidR="00D615DB">
        <w:t xml:space="preserve">subir les examens nationaux </w:t>
      </w:r>
      <w:r w:rsidRPr="002555C7">
        <w:t>dans ces langues.</w:t>
      </w:r>
    </w:p>
    <w:p w:rsidR="006B51FF" w:rsidRPr="002555C7" w:rsidRDefault="006B51FF" w:rsidP="0068301C">
      <w:pPr>
        <w:pStyle w:val="SingleTxtG"/>
      </w:pPr>
      <w:r w:rsidRPr="002555C7">
        <w:t>27.</w:t>
      </w:r>
      <w:r w:rsidRPr="002555C7">
        <w:tab/>
        <w:t>Le Comité souhaiterait recevoir des renseignements sur les mesures spéciales envisagées dans le prochain plan national visant à promouvoir l</w:t>
      </w:r>
      <w:r w:rsidR="0044208E">
        <w:t>’</w:t>
      </w:r>
      <w:r w:rsidRPr="002555C7">
        <w:t>accès des Roms à l</w:t>
      </w:r>
      <w:r w:rsidR="0044208E">
        <w:t>’</w:t>
      </w:r>
      <w:r w:rsidRPr="002555C7">
        <w:t>emploi, à un logement convenable avec la garantie de ne pouvoir être expulsés et à d</w:t>
      </w:r>
      <w:r w:rsidR="0044208E">
        <w:t>’</w:t>
      </w:r>
      <w:r w:rsidRPr="002555C7">
        <w:t>autres droits économiques, sociaux et culturels, et leur permettre d</w:t>
      </w:r>
      <w:r w:rsidR="0044208E">
        <w:t>’</w:t>
      </w:r>
      <w:r w:rsidRPr="002555C7">
        <w:t>obtenir des papiers d</w:t>
      </w:r>
      <w:r w:rsidR="0044208E">
        <w:t>’</w:t>
      </w:r>
      <w:r w:rsidRPr="002555C7">
        <w:t>identité et d</w:t>
      </w:r>
      <w:r w:rsidR="0044208E">
        <w:t>’</w:t>
      </w:r>
      <w:r w:rsidRPr="002555C7">
        <w:t>enregistrer leur lieu de résidence. Bien que le Comité ait abordé ces questions dans ses observations finales de 2008, aucune mesure directe ne semble avoir été prise. Ce plan portera-t-il sur le comportement des Roms à l</w:t>
      </w:r>
      <w:r w:rsidR="0044208E">
        <w:t>’</w:t>
      </w:r>
      <w:r w:rsidRPr="002555C7">
        <w:t xml:space="preserve">égard du reste de la population ou </w:t>
      </w:r>
      <w:r w:rsidR="00D615DB">
        <w:t xml:space="preserve">sur celui </w:t>
      </w:r>
      <w:r w:rsidRPr="002555C7">
        <w:t>de la population en général à l</w:t>
      </w:r>
      <w:r w:rsidR="0044208E">
        <w:t>’</w:t>
      </w:r>
      <w:r w:rsidRPr="002555C7">
        <w:t>égard des Roms?</w:t>
      </w:r>
    </w:p>
    <w:p w:rsidR="006B51FF" w:rsidRPr="002555C7" w:rsidRDefault="006B51FF" w:rsidP="0068301C">
      <w:pPr>
        <w:pStyle w:val="SingleTxtG"/>
      </w:pPr>
      <w:r w:rsidRPr="002555C7">
        <w:t>28.</w:t>
      </w:r>
      <w:r w:rsidRPr="002555C7">
        <w:tab/>
        <w:t>La participation au programme de formation des médiateurs du Conseil de l</w:t>
      </w:r>
      <w:r w:rsidR="0044208E">
        <w:t>’</w:t>
      </w:r>
      <w:r w:rsidRPr="002555C7">
        <w:t>Europe est utile, mais il convient de veiller à ce que les médiateurs n</w:t>
      </w:r>
      <w:r w:rsidR="0044208E">
        <w:t>’</w:t>
      </w:r>
      <w:r w:rsidRPr="002555C7">
        <w:t>agissent pas au nom de l</w:t>
      </w:r>
      <w:r w:rsidR="0044208E">
        <w:t>’</w:t>
      </w:r>
      <w:r w:rsidRPr="002555C7">
        <w:t xml:space="preserve">État. Comment les médiateurs </w:t>
      </w:r>
      <w:r w:rsidR="00D615DB">
        <w:t xml:space="preserve">maintiendront-ils </w:t>
      </w:r>
      <w:r w:rsidRPr="002555C7">
        <w:t xml:space="preserve">leur indépendance </w:t>
      </w:r>
      <w:r w:rsidR="00D615DB">
        <w:t xml:space="preserve">pour être en mesure de </w:t>
      </w:r>
      <w:r w:rsidRPr="002555C7">
        <w:t>s</w:t>
      </w:r>
      <w:r w:rsidR="0044208E">
        <w:t>’</w:t>
      </w:r>
      <w:r w:rsidRPr="002555C7">
        <w:t xml:space="preserve">acquitter de leurs tâches efficacement et </w:t>
      </w:r>
      <w:r w:rsidR="00D615DB">
        <w:t>d</w:t>
      </w:r>
      <w:r w:rsidR="0044208E">
        <w:t>’</w:t>
      </w:r>
      <w:r w:rsidR="00D615DB">
        <w:t xml:space="preserve">être utiles aux </w:t>
      </w:r>
      <w:r w:rsidRPr="002555C7">
        <w:t>Roms? Quels nouveaux processus seront mis en place dans le cadre du plan national pour permettre aux Roms d</w:t>
      </w:r>
      <w:r w:rsidR="0044208E">
        <w:t>’</w:t>
      </w:r>
      <w:r w:rsidRPr="002555C7">
        <w:t>engager des procédures d</w:t>
      </w:r>
      <w:r w:rsidR="0044208E">
        <w:t>’</w:t>
      </w:r>
      <w:r w:rsidRPr="002555C7">
        <w:t xml:space="preserve">enregistrement ou pour obtenir des résultats </w:t>
      </w:r>
      <w:r w:rsidR="00D615DB">
        <w:t xml:space="preserve">tels que la liberté de circuler et de choisir son lieu </w:t>
      </w:r>
      <w:r w:rsidRPr="002555C7">
        <w:t>de résidence et le droit à l</w:t>
      </w:r>
      <w:r w:rsidR="0044208E">
        <w:t>’</w:t>
      </w:r>
      <w:r w:rsidRPr="002555C7">
        <w:t xml:space="preserve">assistance sociale? </w:t>
      </w:r>
      <w:r w:rsidR="00D615DB">
        <w:t xml:space="preserve">Priver les Roms de ces droits pour le motif </w:t>
      </w:r>
      <w:r w:rsidRPr="002555C7">
        <w:t>qu</w:t>
      </w:r>
      <w:r w:rsidR="0044208E">
        <w:t>’</w:t>
      </w:r>
      <w:r w:rsidRPr="002555C7">
        <w:t>ils n</w:t>
      </w:r>
      <w:r w:rsidR="0044208E">
        <w:t>’</w:t>
      </w:r>
      <w:r w:rsidRPr="002555C7">
        <w:t xml:space="preserve">ont pas de papiers </w:t>
      </w:r>
      <w:r w:rsidR="00D615DB">
        <w:t xml:space="preserve">constitue une </w:t>
      </w:r>
      <w:r w:rsidRPr="002555C7">
        <w:t xml:space="preserve">entrave </w:t>
      </w:r>
      <w:r w:rsidR="00D615DB">
        <w:t>majeure à</w:t>
      </w:r>
      <w:r w:rsidR="00AB498D">
        <w:t> </w:t>
      </w:r>
      <w:r w:rsidRPr="002555C7">
        <w:t>la mise en œuvre de la Convention.</w:t>
      </w:r>
    </w:p>
    <w:p w:rsidR="006B51FF" w:rsidRPr="002555C7" w:rsidRDefault="006B51FF" w:rsidP="0068301C">
      <w:pPr>
        <w:pStyle w:val="SingleTxtG"/>
      </w:pPr>
      <w:r w:rsidRPr="002555C7">
        <w:t>29.</w:t>
      </w:r>
      <w:r w:rsidRPr="002555C7">
        <w:tab/>
        <w:t>Un certain nombre d</w:t>
      </w:r>
      <w:r w:rsidR="0044208E">
        <w:t>’</w:t>
      </w:r>
      <w:r w:rsidRPr="002555C7">
        <w:t>incohérences juridiques qui affectent les droits des peuples autochtones ont été portées à l</w:t>
      </w:r>
      <w:r w:rsidR="0044208E">
        <w:t>’</w:t>
      </w:r>
      <w:r w:rsidRPr="002555C7">
        <w:t>attention du Comité. Il serait utile de savoir quels moyens sont mis en œuvre pour rendre la législation plus cohérente</w:t>
      </w:r>
      <w:r w:rsidR="00314310">
        <w:t>.</w:t>
      </w:r>
      <w:r w:rsidRPr="002555C7">
        <w:t xml:space="preserve"> </w:t>
      </w:r>
      <w:r w:rsidR="00D615DB">
        <w:t xml:space="preserve">Étant donné les </w:t>
      </w:r>
      <w:r w:rsidRPr="002555C7">
        <w:t>modifications apportées en 2008 et 2010 à la loi sur l</w:t>
      </w:r>
      <w:r w:rsidR="0044208E">
        <w:t>’</w:t>
      </w:r>
      <w:r w:rsidRPr="002555C7">
        <w:t>utilisation des animaux et des ressources aquatiques, le Comité souhaite savoir s</w:t>
      </w:r>
      <w:r w:rsidR="0044208E">
        <w:t>’</w:t>
      </w:r>
      <w:r w:rsidRPr="002555C7">
        <w:t xml:space="preserve">il est strictement interdit aux populations autochtones </w:t>
      </w:r>
      <w:r w:rsidR="00D615DB">
        <w:t>d</w:t>
      </w:r>
      <w:r w:rsidR="0044208E">
        <w:t>’</w:t>
      </w:r>
      <w:r w:rsidR="00D615DB">
        <w:t xml:space="preserve">avoir </w:t>
      </w:r>
      <w:r w:rsidRPr="002555C7">
        <w:t>des activités économiques non traditionnelles qui</w:t>
      </w:r>
      <w:r w:rsidR="009D0868">
        <w:t>, normalement, devraient pouvoir</w:t>
      </w:r>
      <w:r w:rsidRPr="002555C7">
        <w:t xml:space="preserve"> contribue</w:t>
      </w:r>
      <w:r w:rsidR="009D0868">
        <w:t xml:space="preserve">r </w:t>
      </w:r>
      <w:r w:rsidRPr="002555C7">
        <w:t xml:space="preserve">à la création de communautés </w:t>
      </w:r>
      <w:r w:rsidR="009D0868">
        <w:t>viables</w:t>
      </w:r>
      <w:r w:rsidRPr="002555C7">
        <w:t>. Comment la loi fédérale sur les territoires d</w:t>
      </w:r>
      <w:r w:rsidR="0044208E">
        <w:t>’</w:t>
      </w:r>
      <w:r w:rsidRPr="002555C7">
        <w:t>utilisation traditionnelle des ressources, adoptée en 20</w:t>
      </w:r>
      <w:r w:rsidR="00314310">
        <w:t>0</w:t>
      </w:r>
      <w:r w:rsidRPr="002555C7">
        <w:t xml:space="preserve">1, a-t-elle été appliquée? Quels sont les </w:t>
      </w:r>
      <w:r w:rsidR="009D0868">
        <w:t xml:space="preserve">obstacles qui </w:t>
      </w:r>
      <w:r w:rsidRPr="002555C7">
        <w:t xml:space="preserve">continuent </w:t>
      </w:r>
      <w:r w:rsidR="009D0868">
        <w:t>d</w:t>
      </w:r>
      <w:r w:rsidR="0044208E">
        <w:t>’</w:t>
      </w:r>
      <w:r w:rsidR="009D0868">
        <w:t xml:space="preserve">en empêcher la </w:t>
      </w:r>
      <w:r w:rsidRPr="002555C7">
        <w:t xml:space="preserve">mise en œuvre et quels sont les délais prévus pour </w:t>
      </w:r>
      <w:r w:rsidR="009D0868">
        <w:t xml:space="preserve">les </w:t>
      </w:r>
      <w:r w:rsidRPr="002555C7">
        <w:t>éliminer?</w:t>
      </w:r>
    </w:p>
    <w:p w:rsidR="006B51FF" w:rsidRPr="002555C7" w:rsidRDefault="006B51FF" w:rsidP="0068301C">
      <w:pPr>
        <w:pStyle w:val="SingleTxtG"/>
      </w:pPr>
      <w:r w:rsidRPr="002555C7">
        <w:t>30.</w:t>
      </w:r>
      <w:r w:rsidRPr="002555C7">
        <w:tab/>
        <w:t xml:space="preserve">La rapporteuse demande </w:t>
      </w:r>
      <w:r w:rsidR="009D0868">
        <w:t>s</w:t>
      </w:r>
      <w:r w:rsidR="0044208E">
        <w:t>’</w:t>
      </w:r>
      <w:r w:rsidR="009D0868">
        <w:t xml:space="preserve">il existe </w:t>
      </w:r>
      <w:r w:rsidRPr="002555C7">
        <w:t xml:space="preserve">des mécanismes </w:t>
      </w:r>
      <w:r w:rsidR="009D0868">
        <w:t xml:space="preserve">permettant de veiller à ce </w:t>
      </w:r>
      <w:r w:rsidRPr="002555C7">
        <w:t xml:space="preserve">que les subventions </w:t>
      </w:r>
      <w:r w:rsidR="009D0868">
        <w:t xml:space="preserve">spéciales destinées à améliorer la situation </w:t>
      </w:r>
      <w:r w:rsidRPr="002555C7">
        <w:t>socioéconomique des autochtones soient utilisées</w:t>
      </w:r>
      <w:r w:rsidR="009D0868">
        <w:t xml:space="preserve">, comme prévu, </w:t>
      </w:r>
      <w:r w:rsidRPr="002555C7">
        <w:t>de manière transparente et responsable. Elle demande en outre des informations supplémentaires sur l</w:t>
      </w:r>
      <w:r w:rsidR="0044208E">
        <w:t>’</w:t>
      </w:r>
      <w:r w:rsidRPr="002555C7">
        <w:t xml:space="preserve">octroi de permis à des entreprises privées </w:t>
      </w:r>
      <w:r w:rsidR="009D0868">
        <w:t>pour l</w:t>
      </w:r>
      <w:r w:rsidR="0044208E">
        <w:t>’</w:t>
      </w:r>
      <w:r w:rsidRPr="002555C7">
        <w:t xml:space="preserve">extraction de ressources naturelles et </w:t>
      </w:r>
      <w:r w:rsidR="009D0868">
        <w:t>l</w:t>
      </w:r>
      <w:r w:rsidR="0044208E">
        <w:t>’</w:t>
      </w:r>
      <w:r w:rsidRPr="002555C7">
        <w:t xml:space="preserve">installation de </w:t>
      </w:r>
      <w:r w:rsidR="009D0868">
        <w:t>pipelines</w:t>
      </w:r>
      <w:r w:rsidRPr="002555C7">
        <w:t>, sur l</w:t>
      </w:r>
      <w:r w:rsidR="0044208E">
        <w:t>’</w:t>
      </w:r>
      <w:r w:rsidRPr="002555C7">
        <w:t>incidence écologique de ces activités et sur leur évaluation, ainsi que des précisions sur les</w:t>
      </w:r>
      <w:r w:rsidR="00AB498D">
        <w:t> </w:t>
      </w:r>
      <w:r w:rsidRPr="002555C7">
        <w:t>réparations offertes aux communautés touchées.</w:t>
      </w:r>
    </w:p>
    <w:p w:rsidR="006B51FF" w:rsidRDefault="006B51FF" w:rsidP="0068301C">
      <w:pPr>
        <w:pStyle w:val="SingleTxtG"/>
      </w:pPr>
      <w:r w:rsidRPr="002555C7">
        <w:t>31.</w:t>
      </w:r>
      <w:r w:rsidRPr="002555C7">
        <w:tab/>
        <w:t>S</w:t>
      </w:r>
      <w:r w:rsidR="0044208E">
        <w:t>’</w:t>
      </w:r>
      <w:r w:rsidRPr="002555C7">
        <w:t xml:space="preserve">agissant du </w:t>
      </w:r>
      <w:r w:rsidR="002C4953">
        <w:t xml:space="preserve">futur </w:t>
      </w:r>
      <w:r w:rsidRPr="002555C7">
        <w:t>plan d</w:t>
      </w:r>
      <w:r w:rsidR="0044208E">
        <w:t>’</w:t>
      </w:r>
      <w:r w:rsidRPr="002555C7">
        <w:t>action pour l</w:t>
      </w:r>
      <w:r w:rsidR="0044208E">
        <w:t>’</w:t>
      </w:r>
      <w:r w:rsidRPr="002555C7">
        <w:t>intégration</w:t>
      </w:r>
      <w:r w:rsidR="002C4953">
        <w:t xml:space="preserve">, qui concerne </w:t>
      </w:r>
      <w:r w:rsidRPr="002555C7">
        <w:t xml:space="preserve">les étrangers, </w:t>
      </w:r>
      <w:r w:rsidR="002C4953">
        <w:t>notamment</w:t>
      </w:r>
      <w:r w:rsidRPr="002555C7">
        <w:t xml:space="preserve"> les migrants, les réfugiés, les demandeurs d</w:t>
      </w:r>
      <w:r w:rsidR="0044208E">
        <w:t>’</w:t>
      </w:r>
      <w:r w:rsidRPr="002555C7">
        <w:t>asile, les personnes déplacées à l</w:t>
      </w:r>
      <w:r w:rsidR="0044208E">
        <w:t>’</w:t>
      </w:r>
      <w:r w:rsidRPr="002555C7">
        <w:t xml:space="preserve">intérieur du pays et les apatrides, </w:t>
      </w:r>
      <w:r w:rsidR="0068301C">
        <w:t>M</w:t>
      </w:r>
      <w:r w:rsidR="0068301C" w:rsidRPr="00D91DA2">
        <w:rPr>
          <w:vertAlign w:val="superscript"/>
        </w:rPr>
        <w:t>me</w:t>
      </w:r>
      <w:r w:rsidR="0068301C">
        <w:t> </w:t>
      </w:r>
      <w:r w:rsidRPr="002555C7">
        <w:t>Crickley demande à la délégation de donner des indications claires sur le plan et les objectifs annuels de sa mise en œuvre. Elle lui demande également de préciser ce qu</w:t>
      </w:r>
      <w:r w:rsidR="0044208E">
        <w:t>’</w:t>
      </w:r>
      <w:r w:rsidRPr="002555C7">
        <w:t xml:space="preserve">elle entend par </w:t>
      </w:r>
      <w:r w:rsidR="0068301C">
        <w:t>«</w:t>
      </w:r>
      <w:r w:rsidRPr="002555C7">
        <w:t>adaptation culturelle</w:t>
      </w:r>
      <w:r w:rsidR="0068301C">
        <w:t>»</w:t>
      </w:r>
      <w:r w:rsidRPr="002555C7">
        <w:t xml:space="preserve"> et </w:t>
      </w:r>
      <w:r w:rsidR="0068301C">
        <w:t>«</w:t>
      </w:r>
      <w:r w:rsidRPr="002555C7">
        <w:t>intégration des migrants</w:t>
      </w:r>
      <w:r w:rsidR="0068301C">
        <w:t>»</w:t>
      </w:r>
      <w:r w:rsidRPr="002555C7">
        <w:t xml:space="preserve">. La politique et la stratégie employées viseront-elles à </w:t>
      </w:r>
      <w:r w:rsidR="002C4953">
        <w:t xml:space="preserve">faire en sorte que </w:t>
      </w:r>
      <w:r w:rsidRPr="002555C7">
        <w:t xml:space="preserve">les catégories de personnes susmentionnées </w:t>
      </w:r>
      <w:r w:rsidR="002C4953">
        <w:t>comprennent</w:t>
      </w:r>
      <w:r w:rsidR="00BC7A7F">
        <w:t xml:space="preserve"> mieux </w:t>
      </w:r>
      <w:r w:rsidRPr="002555C7">
        <w:t>leurs droits ou auront-elles pour objet d</w:t>
      </w:r>
      <w:r w:rsidR="0044208E">
        <w:t>’</w:t>
      </w:r>
      <w:r w:rsidRPr="002555C7">
        <w:t xml:space="preserve">assimiler leurs cultures? </w:t>
      </w:r>
      <w:r w:rsidR="00BC7A7F">
        <w:t>En outre</w:t>
      </w:r>
      <w:r w:rsidRPr="002555C7">
        <w:t xml:space="preserve">, le Comité souhaiterait obtenir des informations sur la situation des personnes déplacées, en particulier </w:t>
      </w:r>
      <w:r w:rsidR="00BC7A7F">
        <w:t>dans le</w:t>
      </w:r>
      <w:r w:rsidRPr="002555C7">
        <w:t xml:space="preserve"> </w:t>
      </w:r>
      <w:r>
        <w:t>nord du Caucase, et sur l</w:t>
      </w:r>
      <w:r w:rsidR="0044208E">
        <w:t>’</w:t>
      </w:r>
      <w:r>
        <w:t xml:space="preserve">aide publique offerte aux personnes qui ont fui la Tchétchénie et </w:t>
      </w:r>
      <w:r w:rsidR="00BC7A7F">
        <w:t>vivent</w:t>
      </w:r>
      <w:r>
        <w:t xml:space="preserve"> dans d</w:t>
      </w:r>
      <w:r w:rsidR="0044208E">
        <w:t>’</w:t>
      </w:r>
      <w:r>
        <w:t>autres régions.</w:t>
      </w:r>
    </w:p>
    <w:p w:rsidR="006B51FF" w:rsidRDefault="006B51FF" w:rsidP="0068301C">
      <w:pPr>
        <w:pStyle w:val="SingleTxtG"/>
      </w:pPr>
      <w:r>
        <w:t>32.</w:t>
      </w:r>
      <w:r>
        <w:tab/>
        <w:t xml:space="preserve">Le Comité </w:t>
      </w:r>
      <w:r w:rsidR="00BC7A7F">
        <w:t xml:space="preserve">craint que </w:t>
      </w:r>
      <w:r>
        <w:t xml:space="preserve">les modifications apportées au Code du travail de 2006 </w:t>
      </w:r>
      <w:r w:rsidR="00BC7A7F">
        <w:t xml:space="preserve">ne suppriment </w:t>
      </w:r>
      <w:r>
        <w:t xml:space="preserve">le droit de porter plainte pour discrimination raciale. Il demande des renseignements sur les décisions </w:t>
      </w:r>
      <w:r w:rsidR="00BC7A7F">
        <w:t xml:space="preserve">issues des </w:t>
      </w:r>
      <w:r>
        <w:t xml:space="preserve">procédures judiciaires et sur les mesures </w:t>
      </w:r>
      <w:r w:rsidR="00BC7A7F">
        <w:t xml:space="preserve">qui ont été prises </w:t>
      </w:r>
      <w:r>
        <w:t xml:space="preserve">pour </w:t>
      </w:r>
      <w:r w:rsidR="00BC7A7F">
        <w:t>les répertorier</w:t>
      </w:r>
      <w:r>
        <w:t>.</w:t>
      </w:r>
    </w:p>
    <w:p w:rsidR="006B51FF" w:rsidRDefault="006B51FF" w:rsidP="0068301C">
      <w:pPr>
        <w:pStyle w:val="SingleTxtG"/>
      </w:pPr>
      <w:r w:rsidRPr="007B2395">
        <w:t>33.</w:t>
      </w:r>
      <w:r w:rsidRPr="007B2395">
        <w:tab/>
        <w:t>Le Comité souhaiterait également avoir des informations sur les mesures prises pour mieux faire connaître la Convention dans l</w:t>
      </w:r>
      <w:r w:rsidR="0044208E">
        <w:t>’</w:t>
      </w:r>
      <w:r w:rsidRPr="007B2395">
        <w:t>ensemble</w:t>
      </w:r>
      <w:r>
        <w:t xml:space="preserve"> de la Fédération de Russie et sur les voies de recours disponibles en cas de discrimination directe et indirecte. Il </w:t>
      </w:r>
      <w:r w:rsidR="0044208E">
        <w:t>souhaiterait</w:t>
      </w:r>
      <w:r w:rsidR="00BC7A7F">
        <w:t xml:space="preserve"> en outre en savoir davantage </w:t>
      </w:r>
      <w:r>
        <w:t>sur les incidences des modifications apportées à la loi sur les organisations à but non lucratif, les défenseurs des droits de l</w:t>
      </w:r>
      <w:r w:rsidR="0044208E">
        <w:t>’</w:t>
      </w:r>
      <w:r>
        <w:t xml:space="preserve">homme, les ONG et les petits groupes religieux. Enfin, il souhaiterait recevoir des informations sur toute mesure directe prise pour lutter contre la discrimination raciale </w:t>
      </w:r>
      <w:r w:rsidR="00BC7A7F">
        <w:t xml:space="preserve">que subissent </w:t>
      </w:r>
      <w:r>
        <w:t>les femmes appartenant à</w:t>
      </w:r>
      <w:r w:rsidR="00AB498D">
        <w:t> </w:t>
      </w:r>
      <w:r>
        <w:t>des</w:t>
      </w:r>
      <w:r w:rsidR="00AB498D">
        <w:t> </w:t>
      </w:r>
      <w:r>
        <w:t>groupes minoritaires.</w:t>
      </w:r>
    </w:p>
    <w:p w:rsidR="006B51FF" w:rsidRDefault="006B51FF" w:rsidP="0068301C">
      <w:pPr>
        <w:pStyle w:val="SingleTxtG"/>
      </w:pPr>
      <w:r>
        <w:t>34.</w:t>
      </w:r>
      <w:r>
        <w:tab/>
      </w:r>
      <w:r w:rsidRPr="00812859">
        <w:rPr>
          <w:b/>
        </w:rPr>
        <w:t>M. Murillo Martínez</w:t>
      </w:r>
      <w:r>
        <w:t xml:space="preserve"> </w:t>
      </w:r>
      <w:r w:rsidR="00BC7A7F">
        <w:t xml:space="preserve">dit que des mesures louables ont certes </w:t>
      </w:r>
      <w:r>
        <w:t>été prises pour lutter contre l</w:t>
      </w:r>
      <w:r w:rsidR="0044208E">
        <w:t>’</w:t>
      </w:r>
      <w:r>
        <w:t xml:space="preserve">extrémisme et veiller à ce que les médias </w:t>
      </w:r>
      <w:r w:rsidR="00BC7A7F">
        <w:t xml:space="preserve">ne tiennent pas </w:t>
      </w:r>
      <w:r>
        <w:t>des propos haineux et n</w:t>
      </w:r>
      <w:r w:rsidR="0044208E">
        <w:t>’</w:t>
      </w:r>
      <w:r>
        <w:t>encouragent pas l</w:t>
      </w:r>
      <w:r w:rsidR="0044208E">
        <w:t>’</w:t>
      </w:r>
      <w:r>
        <w:t>hostilité</w:t>
      </w:r>
      <w:r w:rsidR="00BC7A7F">
        <w:t xml:space="preserve"> raciale, comme il est indiqué </w:t>
      </w:r>
      <w:r>
        <w:t xml:space="preserve">au paragraphe 17 du rapport, mais </w:t>
      </w:r>
      <w:r w:rsidR="00BC7A7F">
        <w:t xml:space="preserve">que lesdites mesures </w:t>
      </w:r>
      <w:r>
        <w:t xml:space="preserve">semblent </w:t>
      </w:r>
      <w:r w:rsidR="00BC7A7F">
        <w:t xml:space="preserve">néanmoins </w:t>
      </w:r>
      <w:r>
        <w:t xml:space="preserve">insuffisantes; tous les jours, les médias </w:t>
      </w:r>
      <w:r w:rsidR="00BC7A7F">
        <w:t xml:space="preserve">rapportent des </w:t>
      </w:r>
      <w:r>
        <w:t>incidents témoignant de la réapparition préoccupante en Fédération de</w:t>
      </w:r>
      <w:r w:rsidR="00E2798F">
        <w:t> </w:t>
      </w:r>
      <w:r>
        <w:t>Russie du racisme, de la xénophobie et de l</w:t>
      </w:r>
      <w:r w:rsidR="0044208E">
        <w:t>’</w:t>
      </w:r>
      <w:r>
        <w:t xml:space="preserve">ultranationalisme. Les réactions des autorités dans certains cas sont également </w:t>
      </w:r>
      <w:r w:rsidR="00BC7A7F">
        <w:t>préoccupantes</w:t>
      </w:r>
      <w:r>
        <w:t>. Dans ce contexte, M. </w:t>
      </w:r>
      <w:r w:rsidRPr="00235385">
        <w:t>Murillo Martínez</w:t>
      </w:r>
      <w:r>
        <w:t xml:space="preserve"> demande à la délégation de fournir des statistiques officielles sur les </w:t>
      </w:r>
      <w:r w:rsidR="00BC7A7F">
        <w:t>meurtres</w:t>
      </w:r>
      <w:r>
        <w:t xml:space="preserve"> d</w:t>
      </w:r>
      <w:r w:rsidR="0044208E">
        <w:t>’</w:t>
      </w:r>
      <w:r>
        <w:t>étrangers, notamment d</w:t>
      </w:r>
      <w:r w:rsidR="0044208E">
        <w:t>’</w:t>
      </w:r>
      <w:r>
        <w:t>étudiants étrangers, commis par des groupes extrémistes. Quels ont été les résultats des enquêtes</w:t>
      </w:r>
      <w:r w:rsidR="00BC7A7F">
        <w:t>?</w:t>
      </w:r>
      <w:r>
        <w:t xml:space="preserve"> </w:t>
      </w:r>
      <w:r w:rsidR="00BC7A7F">
        <w:t>Quelles</w:t>
      </w:r>
      <w:r>
        <w:t xml:space="preserve"> décisions judiciaires et </w:t>
      </w:r>
      <w:r w:rsidR="00BC7A7F">
        <w:t xml:space="preserve">quelles </w:t>
      </w:r>
      <w:r>
        <w:t xml:space="preserve">peines </w:t>
      </w:r>
      <w:r w:rsidR="00BC7A7F">
        <w:t xml:space="preserve">ont été </w:t>
      </w:r>
      <w:r>
        <w:t xml:space="preserve">prononcées? </w:t>
      </w:r>
      <w:r w:rsidR="00BC7A7F">
        <w:t>En outre</w:t>
      </w:r>
      <w:r>
        <w:t xml:space="preserve">, il serait utile de comprendre </w:t>
      </w:r>
      <w:r w:rsidR="00BC7A7F">
        <w:t xml:space="preserve">selon quels principes </w:t>
      </w:r>
      <w:r>
        <w:t xml:space="preserve">de tels cas </w:t>
      </w:r>
      <w:r w:rsidR="00BC7A7F">
        <w:t xml:space="preserve">ont été analysés </w:t>
      </w:r>
      <w:r>
        <w:t>et</w:t>
      </w:r>
      <w:r w:rsidR="00AB498D">
        <w:t> </w:t>
      </w:r>
      <w:r>
        <w:t>les raisons de la réapparition de l</w:t>
      </w:r>
      <w:r w:rsidR="0044208E">
        <w:t>’</w:t>
      </w:r>
      <w:r>
        <w:t>extrémisme.</w:t>
      </w:r>
    </w:p>
    <w:p w:rsidR="006B51FF" w:rsidRDefault="006B51FF" w:rsidP="0068301C">
      <w:pPr>
        <w:pStyle w:val="SingleTxtG"/>
      </w:pPr>
      <w:r>
        <w:t>35.</w:t>
      </w:r>
      <w:r>
        <w:tab/>
        <w:t>Quelque 50 000 personnes en Fédération de Russie sont membres d</w:t>
      </w:r>
      <w:r w:rsidR="0044208E">
        <w:t>’</w:t>
      </w:r>
      <w:r>
        <w:t xml:space="preserve">organisations nazies et néonazies, qui organisent des manifestations relativement bien suivies dans différentes régions. </w:t>
      </w:r>
      <w:r w:rsidR="00BC7A7F">
        <w:t xml:space="preserve">Dispose-t-on de </w:t>
      </w:r>
      <w:r>
        <w:t xml:space="preserve">chiffres officiels </w:t>
      </w:r>
      <w:r w:rsidR="00BC7A7F">
        <w:t xml:space="preserve">sur les effectifs de ces </w:t>
      </w:r>
      <w:r>
        <w:t xml:space="preserve">organisations? Il serait également utile de savoir comment celles-ci sont perçues par le </w:t>
      </w:r>
      <w:r w:rsidR="00CA44CB">
        <w:t xml:space="preserve">grand </w:t>
      </w:r>
      <w:r>
        <w:t>public.</w:t>
      </w:r>
    </w:p>
    <w:p w:rsidR="006B51FF" w:rsidRDefault="006B51FF" w:rsidP="0068301C">
      <w:pPr>
        <w:pStyle w:val="SingleTxtG"/>
      </w:pPr>
      <w:r>
        <w:t>36.</w:t>
      </w:r>
      <w:r>
        <w:tab/>
        <w:t>Enfin, M. </w:t>
      </w:r>
      <w:r w:rsidRPr="00235385">
        <w:t>Murillo Martínez</w:t>
      </w:r>
      <w:r>
        <w:t xml:space="preserve"> demande si la délégation </w:t>
      </w:r>
      <w:r w:rsidR="00CA44CB">
        <w:t xml:space="preserve">russe pense </w:t>
      </w:r>
      <w:r>
        <w:t xml:space="preserve">que la </w:t>
      </w:r>
      <w:r w:rsidRPr="002555C7">
        <w:t>Convention (</w:t>
      </w:r>
      <w:r w:rsidR="00CA44CB" w:rsidRPr="00C14D2A">
        <w:t>n</w:t>
      </w:r>
      <w:r w:rsidR="00CA44CB" w:rsidRPr="00C14D2A">
        <w:rPr>
          <w:vertAlign w:val="superscript"/>
        </w:rPr>
        <w:t>o</w:t>
      </w:r>
      <w:r w:rsidR="00CA44CB">
        <w:t> </w:t>
      </w:r>
      <w:r w:rsidRPr="002555C7">
        <w:t>169) de l</w:t>
      </w:r>
      <w:r w:rsidR="0044208E">
        <w:t>’</w:t>
      </w:r>
      <w:r w:rsidRPr="002555C7">
        <w:t>Organisation internationale du travail relative aux peuples indigènes et tribaux, 1989</w:t>
      </w:r>
      <w:r w:rsidR="00314310">
        <w:t>,</w:t>
      </w:r>
      <w:r w:rsidR="0044208E">
        <w:t xml:space="preserve"> </w:t>
      </w:r>
      <w:r>
        <w:t xml:space="preserve">et son éventuelle mise en œuvre </w:t>
      </w:r>
      <w:r w:rsidR="00CA44CB">
        <w:t xml:space="preserve">pourraient être </w:t>
      </w:r>
      <w:r>
        <w:t xml:space="preserve">utiles </w:t>
      </w:r>
      <w:r w:rsidR="00CA44CB">
        <w:t>à</w:t>
      </w:r>
      <w:r>
        <w:t xml:space="preserve"> la Fédération de</w:t>
      </w:r>
      <w:r w:rsidR="00AB498D">
        <w:t> </w:t>
      </w:r>
      <w:r>
        <w:t xml:space="preserve">Russie, compte tenu de </w:t>
      </w:r>
      <w:r w:rsidR="00CA44CB">
        <w:t>s</w:t>
      </w:r>
      <w:r>
        <w:t>a diversité ethnique.</w:t>
      </w:r>
    </w:p>
    <w:p w:rsidR="006B51FF" w:rsidRDefault="006B51FF" w:rsidP="0068301C">
      <w:pPr>
        <w:pStyle w:val="SingleTxtG"/>
      </w:pPr>
      <w:r>
        <w:t>37.</w:t>
      </w:r>
      <w:r>
        <w:tab/>
      </w:r>
      <w:r w:rsidRPr="00FE3ACE">
        <w:rPr>
          <w:b/>
        </w:rPr>
        <w:t>M. Kut</w:t>
      </w:r>
      <w:r>
        <w:t xml:space="preserve"> dit qu</w:t>
      </w:r>
      <w:r w:rsidR="0044208E">
        <w:t>’</w:t>
      </w:r>
      <w:r>
        <w:t>il est important de garder à l</w:t>
      </w:r>
      <w:r w:rsidR="0044208E">
        <w:t>’</w:t>
      </w:r>
      <w:r>
        <w:t>esprit que la Fédération de Russie est une entité vaste et complexe. Si certain</w:t>
      </w:r>
      <w:r w:rsidR="00CA44CB">
        <w:t>s</w:t>
      </w:r>
      <w:r>
        <w:t xml:space="preserve"> problèmes semble</w:t>
      </w:r>
      <w:r w:rsidR="00CA44CB">
        <w:t>nt</w:t>
      </w:r>
      <w:r>
        <w:t xml:space="preserve"> manifeste</w:t>
      </w:r>
      <w:r w:rsidR="00CA44CB">
        <w:t>s</w:t>
      </w:r>
      <w:r>
        <w:t xml:space="preserve"> du point de vue du</w:t>
      </w:r>
      <w:r w:rsidR="00AB498D">
        <w:t> </w:t>
      </w:r>
      <w:r>
        <w:t>Comité, des efforts considérables sont déployés pour y remédier.</w:t>
      </w:r>
    </w:p>
    <w:p w:rsidR="006B51FF" w:rsidRDefault="006B51FF" w:rsidP="0068301C">
      <w:pPr>
        <w:pStyle w:val="SingleTxtG"/>
      </w:pPr>
      <w:r>
        <w:t>38.</w:t>
      </w:r>
      <w:r>
        <w:tab/>
        <w:t>Le problème de l</w:t>
      </w:r>
      <w:r w:rsidR="0044208E">
        <w:t>’</w:t>
      </w:r>
      <w:r>
        <w:t xml:space="preserve">enregistrement du lieu de résidence </w:t>
      </w:r>
      <w:r w:rsidR="00CA44CB">
        <w:t>est grave même s</w:t>
      </w:r>
      <w:r w:rsidR="0044208E">
        <w:t>’</w:t>
      </w:r>
      <w:r w:rsidR="00CA44CB">
        <w:t xml:space="preserve">il ne </w:t>
      </w:r>
      <w:r>
        <w:t xml:space="preserve">touche </w:t>
      </w:r>
      <w:r w:rsidR="00CA44CB">
        <w:t>que</w:t>
      </w:r>
      <w:r>
        <w:t xml:space="preserve"> quelques milliers de personnes, </w:t>
      </w:r>
      <w:r w:rsidR="00CA44CB">
        <w:t xml:space="preserve">car il influe profondément sur </w:t>
      </w:r>
      <w:r>
        <w:t xml:space="preserve">la vie de ces dernières. </w:t>
      </w:r>
      <w:r w:rsidR="00CA44CB">
        <w:t>S</w:t>
      </w:r>
      <w:r>
        <w:t xml:space="preserve">ont principalement </w:t>
      </w:r>
      <w:r w:rsidR="00CA44CB">
        <w:t xml:space="preserve">touchés </w:t>
      </w:r>
      <w:r>
        <w:t xml:space="preserve">les Roms, mais également certains ressortissants russes, étrangers et apatrides. M. Kut demande pourquoi, étant donné le nombre relativement </w:t>
      </w:r>
      <w:r w:rsidR="00CA44CB">
        <w:t>faible</w:t>
      </w:r>
      <w:r>
        <w:t xml:space="preserve"> de ces personnes, il est si difficile de résoudre ce problème de façon définitive et durable en</w:t>
      </w:r>
      <w:r w:rsidR="00AB498D">
        <w:t> </w:t>
      </w:r>
      <w:r>
        <w:t>leur accordant un permis de séjour.</w:t>
      </w:r>
    </w:p>
    <w:p w:rsidR="006B51FF" w:rsidRDefault="006B51FF" w:rsidP="0068301C">
      <w:pPr>
        <w:pStyle w:val="SingleTxtG"/>
      </w:pPr>
      <w:r>
        <w:t>39.</w:t>
      </w:r>
      <w:r>
        <w:tab/>
        <w:t>S</w:t>
      </w:r>
      <w:r w:rsidR="0044208E">
        <w:t>’</w:t>
      </w:r>
      <w:r>
        <w:t>agissant du droit pénal et des mesures de lutte contre l</w:t>
      </w:r>
      <w:r w:rsidR="0044208E">
        <w:t>’</w:t>
      </w:r>
      <w:r>
        <w:t>extrémisme, il souhaite savoir si les autorités ont élaboré ou non une politique et une stratégie pour rendre l</w:t>
      </w:r>
      <w:r w:rsidR="0044208E">
        <w:t>’</w:t>
      </w:r>
      <w:r>
        <w:t>application du Code de procédure pénale plus efficace et en évaluer la mise en œuvre. Par ailleurs, compte tenu de l</w:t>
      </w:r>
      <w:r w:rsidR="0044208E">
        <w:t>’</w:t>
      </w:r>
      <w:r>
        <w:t>absence de législation civile sur la discrimination, existe-t-il une stratégie en faveur de l</w:t>
      </w:r>
      <w:r w:rsidR="0044208E">
        <w:t>’</w:t>
      </w:r>
      <w:r>
        <w:t>adoption d</w:t>
      </w:r>
      <w:r w:rsidR="0044208E">
        <w:t>’</w:t>
      </w:r>
      <w:r>
        <w:t>une législation administrative civile réellement complète qui serait clairement et exclusivement axée sur la lutte contre le racisme?</w:t>
      </w:r>
    </w:p>
    <w:p w:rsidR="006B51FF" w:rsidRDefault="006B51FF" w:rsidP="0068301C">
      <w:pPr>
        <w:pStyle w:val="SingleTxtG"/>
      </w:pPr>
      <w:r>
        <w:t>40.</w:t>
      </w:r>
      <w:r>
        <w:tab/>
        <w:t xml:space="preserve">Les </w:t>
      </w:r>
      <w:r w:rsidR="00CA44CB">
        <w:t xml:space="preserve">chiffres de la </w:t>
      </w:r>
      <w:r>
        <w:t xml:space="preserve">violence raciste fournis en avril 2012 par les autorités russes indiquent que le nombre de morts et de blessés dû à ce type de violence a fortement chuté en 2010 par rapport à 2007, ce qui constitue </w:t>
      </w:r>
      <w:r w:rsidR="00CA44CB">
        <w:t>une évolution positive</w:t>
      </w:r>
      <w:r>
        <w:t>. Les raisons de cette baisse ont-elles été analysées</w:t>
      </w:r>
      <w:r w:rsidR="00CA44CB">
        <w:t xml:space="preserve"> et dispose-t-on de chiffres </w:t>
      </w:r>
      <w:r>
        <w:t>pour 2011 et 2012?</w:t>
      </w:r>
    </w:p>
    <w:p w:rsidR="006B51FF" w:rsidRDefault="006B51FF" w:rsidP="0068301C">
      <w:pPr>
        <w:pStyle w:val="SingleTxtG"/>
      </w:pPr>
      <w:r>
        <w:t>41.</w:t>
      </w:r>
      <w:r>
        <w:tab/>
        <w:t xml:space="preserve">Les propos </w:t>
      </w:r>
      <w:r w:rsidR="00CA44CB">
        <w:t xml:space="preserve">politiques </w:t>
      </w:r>
      <w:r>
        <w:t xml:space="preserve">racistes </w:t>
      </w:r>
      <w:r w:rsidR="00CA44CB">
        <w:t>se multiplient</w:t>
      </w:r>
      <w:r>
        <w:t xml:space="preserve"> partout en Europe et ailleurs. On sait qu</w:t>
      </w:r>
      <w:r w:rsidR="0044208E">
        <w:t>’</w:t>
      </w:r>
      <w:r>
        <w:t xml:space="preserve">en Russie, certains partis et responsables politiques font des déclarations racistes pour obtenir un appui politique, stratégie qui porte parfois ses fruits. Que font les autorités pour combattre </w:t>
      </w:r>
      <w:r w:rsidR="00CA44CB">
        <w:t xml:space="preserve">ce type de </w:t>
      </w:r>
      <w:r>
        <w:t>propos racistes?</w:t>
      </w:r>
    </w:p>
    <w:p w:rsidR="006B51FF" w:rsidRDefault="006B51FF" w:rsidP="0068301C">
      <w:pPr>
        <w:pStyle w:val="SingleTxtG"/>
      </w:pPr>
      <w:r>
        <w:t>42.</w:t>
      </w:r>
      <w:r>
        <w:tab/>
        <w:t>Des informations détaillées ont été données sur les groupes vulnérables, tels que les Roms. Cependant, il serait utile de savoir</w:t>
      </w:r>
      <w:r w:rsidR="00CA44CB">
        <w:t xml:space="preserve"> </w:t>
      </w:r>
      <w:r>
        <w:t>quelles</w:t>
      </w:r>
      <w:r w:rsidR="0044208E">
        <w:t xml:space="preserve"> </w:t>
      </w:r>
      <w:r>
        <w:t>institutions</w:t>
      </w:r>
      <w:r w:rsidR="00CA44CB">
        <w:t>, s</w:t>
      </w:r>
      <w:r w:rsidR="0044208E">
        <w:t>’</w:t>
      </w:r>
      <w:r w:rsidR="00CA44CB">
        <w:t xml:space="preserve">il y en a, </w:t>
      </w:r>
      <w:r>
        <w:t xml:space="preserve">recensent les groupes les plus vulnérables de la société, et si le Gouvernement </w:t>
      </w:r>
      <w:r w:rsidR="00CA44CB">
        <w:t xml:space="preserve">mène une action </w:t>
      </w:r>
      <w:r>
        <w:t>particulière pour faire face aux problèmes de ces groupes.</w:t>
      </w:r>
    </w:p>
    <w:p w:rsidR="006B51FF" w:rsidRDefault="006B51FF" w:rsidP="0068301C">
      <w:pPr>
        <w:pStyle w:val="SingleTxtG"/>
      </w:pPr>
      <w:r>
        <w:t>43.</w:t>
      </w:r>
      <w:r>
        <w:tab/>
        <w:t xml:space="preserve">Enfin, le caractère fédéral de la Russie pose certaines difficultés </w:t>
      </w:r>
      <w:r w:rsidR="00CA44CB">
        <w:t>de</w:t>
      </w:r>
      <w:r>
        <w:t xml:space="preserve"> droit constitutionnel. Comment une politique ou stratégie fédérale peut-elle s</w:t>
      </w:r>
      <w:r w:rsidR="0044208E">
        <w:t>’</w:t>
      </w:r>
      <w:r>
        <w:t xml:space="preserve">appliquer, ou être appliquée, à des </w:t>
      </w:r>
      <w:r w:rsidR="00CA44CB">
        <w:t>questions fédérales</w:t>
      </w:r>
      <w:r>
        <w:t>, de la même manière et de façon à aboutir aux mêmes résultats? Quels sont les mécanismes disponibles pour y veiller? Comment l</w:t>
      </w:r>
      <w:r w:rsidR="0044208E">
        <w:t>’</w:t>
      </w:r>
      <w:r>
        <w:t>application de bonnes pratiques local</w:t>
      </w:r>
      <w:r w:rsidR="00CA44CB">
        <w:t>es</w:t>
      </w:r>
      <w:r>
        <w:t xml:space="preserve"> peut-elle être élargie à l</w:t>
      </w:r>
      <w:r w:rsidR="0044208E">
        <w:t>’</w:t>
      </w:r>
      <w:r>
        <w:t>entité fédérale en vue d</w:t>
      </w:r>
      <w:r w:rsidR="0044208E">
        <w:t>’</w:t>
      </w:r>
      <w:r>
        <w:t>atteindre le</w:t>
      </w:r>
      <w:r w:rsidR="00AB498D">
        <w:t> </w:t>
      </w:r>
      <w:r>
        <w:t>résultat souhaité dans le domaine de la lutte contre le racisme?</w:t>
      </w:r>
    </w:p>
    <w:p w:rsidR="006B51FF" w:rsidRDefault="006B51FF" w:rsidP="0068301C">
      <w:pPr>
        <w:pStyle w:val="SingleTxtG"/>
      </w:pPr>
      <w:r>
        <w:t>44.</w:t>
      </w:r>
      <w:r>
        <w:tab/>
      </w:r>
      <w:r w:rsidRPr="00D53E22">
        <w:rPr>
          <w:b/>
        </w:rPr>
        <w:t>M. Diaconu</w:t>
      </w:r>
      <w:r>
        <w:t xml:space="preserve"> dit qu</w:t>
      </w:r>
      <w:r w:rsidR="0044208E">
        <w:t>’</w:t>
      </w:r>
      <w:r>
        <w:t xml:space="preserve">il ressort clairement du rapport que la Fédération de Russie dispose </w:t>
      </w:r>
      <w:r w:rsidR="00CA44CB">
        <w:t>d</w:t>
      </w:r>
      <w:r w:rsidR="0044208E">
        <w:t>’</w:t>
      </w:r>
      <w:r w:rsidR="00CA44CB">
        <w:t xml:space="preserve">une multitude de </w:t>
      </w:r>
      <w:r>
        <w:t xml:space="preserve">lois sectorielles dans </w:t>
      </w:r>
      <w:r w:rsidR="00CA44CB">
        <w:t xml:space="preserve">de nombreux </w:t>
      </w:r>
      <w:r>
        <w:t xml:space="preserve">domaines. Le rapport indique que </w:t>
      </w:r>
      <w:r w:rsidR="00CA44CB">
        <w:t xml:space="preserve">des </w:t>
      </w:r>
      <w:r>
        <w:t>activités visant à éliminer la discrimination raciale, en plus d</w:t>
      </w:r>
      <w:r w:rsidR="0044208E">
        <w:t>’</w:t>
      </w:r>
      <w:r>
        <w:t>un certain nombre d</w:t>
      </w:r>
      <w:r w:rsidR="0044208E">
        <w:t>’</w:t>
      </w:r>
      <w:r>
        <w:t xml:space="preserve">activités culturelles, </w:t>
      </w:r>
      <w:r w:rsidR="00CA44CB">
        <w:t xml:space="preserve">visent les </w:t>
      </w:r>
      <w:r>
        <w:t xml:space="preserve">jeunes. Bien que la législation russe évolue rapidement, ce qui </w:t>
      </w:r>
      <w:r w:rsidR="00CA44CB">
        <w:t>comporte un risque de discontinuité</w:t>
      </w:r>
      <w:r>
        <w:t>, elle ne définit pas la discrimination raciale et n</w:t>
      </w:r>
      <w:r w:rsidR="0044208E">
        <w:t>’</w:t>
      </w:r>
      <w:r>
        <w:t xml:space="preserve">est donc pas conforme à la Convention. Premièrement, la législation russe ne </w:t>
      </w:r>
      <w:r w:rsidR="00CA44CB">
        <w:t xml:space="preserve">prévoit que la discrimination liée à une restriction, contrairement à </w:t>
      </w:r>
      <w:r>
        <w:t xml:space="preserve">la Convention </w:t>
      </w:r>
      <w:r w:rsidR="00CA44CB">
        <w:t>qui prévoit</w:t>
      </w:r>
      <w:r>
        <w:t xml:space="preserve"> également la </w:t>
      </w:r>
      <w:r w:rsidR="00CA44CB">
        <w:t>discrimination qu</w:t>
      </w:r>
      <w:r w:rsidR="0044208E">
        <w:t>’</w:t>
      </w:r>
      <w:r w:rsidR="00CA44CB">
        <w:t>entraîne</w:t>
      </w:r>
      <w:r w:rsidR="00314310">
        <w:t>nt</w:t>
      </w:r>
      <w:r w:rsidR="00CA44CB">
        <w:t xml:space="preserve"> une </w:t>
      </w:r>
      <w:r>
        <w:t xml:space="preserve">distinction, </w:t>
      </w:r>
      <w:r w:rsidR="00CA44CB">
        <w:t xml:space="preserve">une </w:t>
      </w:r>
      <w:r>
        <w:t xml:space="preserve">exclusion et </w:t>
      </w:r>
      <w:r w:rsidR="00CA44CB">
        <w:t>une</w:t>
      </w:r>
      <w:r>
        <w:t xml:space="preserve"> préférence. Deuxièmement, la Convention </w:t>
      </w:r>
      <w:r w:rsidR="00CD1F52">
        <w:t xml:space="preserve">mentionne les </w:t>
      </w:r>
      <w:r>
        <w:t>motifs et effets directs et indirects de la discrimination, qui ne semblent pas être pris en considération dans le droit russe.</w:t>
      </w:r>
    </w:p>
    <w:p w:rsidR="006B51FF" w:rsidRDefault="006B51FF" w:rsidP="0068301C">
      <w:pPr>
        <w:pStyle w:val="SingleTxtG"/>
      </w:pPr>
      <w:r>
        <w:t>45.</w:t>
      </w:r>
      <w:r>
        <w:tab/>
        <w:t>M. Diaconu s</w:t>
      </w:r>
      <w:r w:rsidR="0044208E">
        <w:t>’</w:t>
      </w:r>
      <w:r>
        <w:t xml:space="preserve">enquiert des éléments qui ont abouti à la décision selon laquelle </w:t>
      </w:r>
      <w:r w:rsidR="00CD1F52">
        <w:t xml:space="preserve">un </w:t>
      </w:r>
      <w:r>
        <w:t>peuple autochtone</w:t>
      </w:r>
      <w:r w:rsidR="00CD1F52">
        <w:t xml:space="preserve"> se définit </w:t>
      </w:r>
      <w:r>
        <w:t xml:space="preserve">comme étant </w:t>
      </w:r>
      <w:r w:rsidR="00CD1F52">
        <w:t xml:space="preserve">un groupe de </w:t>
      </w:r>
      <w:r>
        <w:t xml:space="preserve">population </w:t>
      </w:r>
      <w:r w:rsidR="00CD1F52">
        <w:t>comptant</w:t>
      </w:r>
      <w:r>
        <w:t xml:space="preserve"> moins de 50 000 personnes. N</w:t>
      </w:r>
      <w:r w:rsidR="0044208E">
        <w:t>’</w:t>
      </w:r>
      <w:r>
        <w:t xml:space="preserve">existe-t-il aucun </w:t>
      </w:r>
      <w:r w:rsidR="00CD1F52">
        <w:t>groupe</w:t>
      </w:r>
      <w:r>
        <w:t xml:space="preserve"> autochtone </w:t>
      </w:r>
      <w:r w:rsidR="00CD1F52">
        <w:t>comptant</w:t>
      </w:r>
      <w:r>
        <w:t xml:space="preserve"> plus de 50 000 </w:t>
      </w:r>
      <w:r w:rsidR="00CD1F52">
        <w:t>personnes</w:t>
      </w:r>
      <w:r>
        <w:t xml:space="preserve"> et</w:t>
      </w:r>
      <w:r w:rsidR="00314310">
        <w:t>,</w:t>
      </w:r>
      <w:r>
        <w:t xml:space="preserve"> dans l</w:t>
      </w:r>
      <w:r w:rsidR="0044208E">
        <w:t>’</w:t>
      </w:r>
      <w:r>
        <w:t>affirmative, ne devrait-il pas bénéficier aussi d</w:t>
      </w:r>
      <w:r w:rsidR="0044208E">
        <w:t>’</w:t>
      </w:r>
      <w:r>
        <w:t>une protection en tant que peuple autochtone?</w:t>
      </w:r>
    </w:p>
    <w:p w:rsidR="00FF1DBD" w:rsidRDefault="006B51FF" w:rsidP="0068301C">
      <w:pPr>
        <w:pStyle w:val="SingleTxtG"/>
      </w:pPr>
      <w:r>
        <w:t>46.</w:t>
      </w:r>
      <w:r>
        <w:tab/>
        <w:t>Certains organismes s</w:t>
      </w:r>
      <w:r w:rsidR="0044208E">
        <w:t>’</w:t>
      </w:r>
      <w:r>
        <w:t>occupant des affaires des populations autochtones ont été dissous. Les activités de l</w:t>
      </w:r>
      <w:r w:rsidR="0044208E">
        <w:t>’</w:t>
      </w:r>
      <w:r w:rsidRPr="002555C7">
        <w:t xml:space="preserve">Association russe des peuples autochtones du Nord </w:t>
      </w:r>
      <w:r>
        <w:t xml:space="preserve">ont été suspendues pour des questions de procédure. Des départements centraux et régionaux </w:t>
      </w:r>
      <w:r w:rsidR="00CD1F52">
        <w:t xml:space="preserve">chargés </w:t>
      </w:r>
      <w:r>
        <w:t>des peuples autochtones ont été fermés. Qui a pris la relève de ces départements et</w:t>
      </w:r>
      <w:r w:rsidR="00AB498D">
        <w:t> </w:t>
      </w:r>
      <w:r>
        <w:t>pourquoi ont-ils été dissous?</w:t>
      </w:r>
    </w:p>
    <w:p w:rsidR="00DA6DD0" w:rsidRPr="008C6611" w:rsidRDefault="00DA6DD0" w:rsidP="00DA6DD0">
      <w:pPr>
        <w:pStyle w:val="SingleTxtG"/>
      </w:pPr>
      <w:r w:rsidRPr="008C6611">
        <w:t>47.</w:t>
      </w:r>
      <w:r w:rsidRPr="008C6611">
        <w:tab/>
        <w:t xml:space="preserve">Différents rapports </w:t>
      </w:r>
      <w:r>
        <w:t>des</w:t>
      </w:r>
      <w:r w:rsidRPr="008C6611">
        <w:t xml:space="preserve"> organes conventionnels de l</w:t>
      </w:r>
      <w:r>
        <w:t>’</w:t>
      </w:r>
      <w:r w:rsidRPr="008C6611">
        <w:t xml:space="preserve">ONU ont relevé les problèmes des peuples autochtones, y compris la précarité des communautés autochtones </w:t>
      </w:r>
      <w:r>
        <w:t>qu’entraînent les</w:t>
      </w:r>
      <w:r w:rsidRPr="008C6611">
        <w:t xml:space="preserve"> codes foncier et forestier </w:t>
      </w:r>
      <w:r>
        <w:t>en vigueur</w:t>
      </w:r>
      <w:r w:rsidRPr="008C6611">
        <w:t xml:space="preserve"> qui les privent de leurs droits </w:t>
      </w:r>
      <w:r>
        <w:t>fonciers</w:t>
      </w:r>
      <w:r w:rsidRPr="008C6611">
        <w:t xml:space="preserve"> </w:t>
      </w:r>
      <w:r>
        <w:t>traditionnels</w:t>
      </w:r>
      <w:r w:rsidRPr="008C6611">
        <w:t xml:space="preserve"> et autorisent des entreprises à exploiter leurs ressources. Les multiples lois relatives à </w:t>
      </w:r>
      <w:r>
        <w:t>divers</w:t>
      </w:r>
      <w:r w:rsidRPr="008C6611">
        <w:t xml:space="preserve"> problèmes dont souffrent les peuples autochtones devraient reconnaître et respecter les droits de ces peuples, être cohérentes et faciles à interpréter et à appliquer. Comme l</w:t>
      </w:r>
      <w:r>
        <w:t>’</w:t>
      </w:r>
      <w:r w:rsidRPr="008C6611">
        <w:t>a indiqué la délégation, il faudrait, en priorité, reconnaître et respecter l</w:t>
      </w:r>
      <w:r>
        <w:t>’</w:t>
      </w:r>
      <w:r w:rsidRPr="008C6611">
        <w:t xml:space="preserve">accès prioritaire des peuples autochtones aux ressources naturelles </w:t>
      </w:r>
      <w:r>
        <w:t>de leur région</w:t>
      </w:r>
      <w:r w:rsidRPr="008C6611">
        <w:t>.</w:t>
      </w:r>
    </w:p>
    <w:p w:rsidR="00DA6DD0" w:rsidRPr="008C6611" w:rsidRDefault="00DA6DD0" w:rsidP="00DA6DD0">
      <w:pPr>
        <w:pStyle w:val="SingleTxtG"/>
      </w:pPr>
      <w:r w:rsidRPr="008C6611">
        <w:t>48.</w:t>
      </w:r>
      <w:r w:rsidRPr="008C6611">
        <w:tab/>
        <w:t xml:space="preserve">Dans ce contexte, il est difficile de comprendre pourquoi les communautés ne peuvent pas obtenir de droits fonciers communaux. Partout ailleurs dans le monde, les peuples autochtones </w:t>
      </w:r>
      <w:r>
        <w:t xml:space="preserve">gèrent </w:t>
      </w:r>
      <w:r w:rsidRPr="008C6611">
        <w:t>et utilisent les terres collectivement parce qu</w:t>
      </w:r>
      <w:r>
        <w:t>’</w:t>
      </w:r>
      <w:r w:rsidR="00AF4D8D">
        <w:t>ils vivent en </w:t>
      </w:r>
      <w:r w:rsidRPr="008C6611">
        <w:t>communauté. La protection de ces peuples et de leurs droits devrait être assurée, et ils ne devraient pas être empêchés d</w:t>
      </w:r>
      <w:r>
        <w:t>’</w:t>
      </w:r>
      <w:r w:rsidRPr="008C6611">
        <w:t>exercer leurs droits collectivement.</w:t>
      </w:r>
    </w:p>
    <w:p w:rsidR="00DA6DD0" w:rsidRPr="008C6611" w:rsidRDefault="00DA6DD0" w:rsidP="00DA6DD0">
      <w:pPr>
        <w:pStyle w:val="SingleTxtG"/>
      </w:pPr>
      <w:r w:rsidRPr="008C6611">
        <w:t>49.</w:t>
      </w:r>
      <w:r w:rsidRPr="008C6611">
        <w:tab/>
        <w:t xml:space="preserve">Des mesures spécifiques et énergiques sont requises pour </w:t>
      </w:r>
      <w:r>
        <w:t>normaliser</w:t>
      </w:r>
      <w:r w:rsidRPr="008C6611">
        <w:t xml:space="preserve"> la situation des droits de l</w:t>
      </w:r>
      <w:r>
        <w:t>’</w:t>
      </w:r>
      <w:r w:rsidRPr="008C6611">
        <w:t>homme au nord du Caucase. Aucune enquête n</w:t>
      </w:r>
      <w:r>
        <w:t>’</w:t>
      </w:r>
      <w:r w:rsidRPr="008C6611">
        <w:t xml:space="preserve">a été menée en ce qui concerne les cas de torture, de traitements inhumains et de disparitions forcées signalés par le Comité contre la torture </w:t>
      </w:r>
      <w:r>
        <w:t>dans le</w:t>
      </w:r>
      <w:r w:rsidRPr="008C6611">
        <w:t xml:space="preserve"> nord du Caucase</w:t>
      </w:r>
      <w:r>
        <w:t>,</w:t>
      </w:r>
      <w:r w:rsidRPr="008C6611">
        <w:t xml:space="preserve"> en décembre 2012. Les enfants de</w:t>
      </w:r>
      <w:r>
        <w:t xml:space="preserve"> cette région ne fréquentent pas les établissements scolaires publics et les femmes sont doublement pénalisées par la discrimination, étant donné les niveaux de violence qu’elles subissent.</w:t>
      </w:r>
    </w:p>
    <w:p w:rsidR="00DA6DD0" w:rsidRPr="008C6611" w:rsidRDefault="00DA6DD0" w:rsidP="00DA6DD0">
      <w:pPr>
        <w:pStyle w:val="SingleTxtG"/>
      </w:pPr>
      <w:r w:rsidRPr="008C6611">
        <w:t>50.</w:t>
      </w:r>
      <w:r w:rsidRPr="008C6611">
        <w:tab/>
        <w:t>Comme l</w:t>
      </w:r>
      <w:r>
        <w:t>’</w:t>
      </w:r>
      <w:r w:rsidRPr="008C6611">
        <w:t>a indiqué M. Kut, le Comité a recommandé à l</w:t>
      </w:r>
      <w:r>
        <w:t>’</w:t>
      </w:r>
      <w:r w:rsidRPr="008C6611">
        <w:t>État partie, dans ses précédentes observations finales, de prendre des mesures afin de résoudre le problème</w:t>
      </w:r>
      <w:r>
        <w:t xml:space="preserve"> des documents personnels</w:t>
      </w:r>
      <w:r w:rsidRPr="008C6611">
        <w:t xml:space="preserve"> et d</w:t>
      </w:r>
      <w:r>
        <w:t>e l’</w:t>
      </w:r>
      <w:r w:rsidRPr="008C6611">
        <w:t xml:space="preserve">enregistrement du lieu de résidence </w:t>
      </w:r>
      <w:r>
        <w:t>des</w:t>
      </w:r>
      <w:r w:rsidRPr="008C6611">
        <w:t xml:space="preserve"> Roms. Cependant, ce problème persist</w:t>
      </w:r>
      <w:r>
        <w:t>ant</w:t>
      </w:r>
      <w:r w:rsidRPr="008C6611">
        <w:t xml:space="preserve"> </w:t>
      </w:r>
      <w:r>
        <w:t>a</w:t>
      </w:r>
      <w:r w:rsidRPr="008C6611">
        <w:t xml:space="preserve"> </w:t>
      </w:r>
      <w:r>
        <w:t>des</w:t>
      </w:r>
      <w:r w:rsidRPr="008C6611">
        <w:t xml:space="preserve"> conséquences graves </w:t>
      </w:r>
      <w:r>
        <w:t xml:space="preserve">sur </w:t>
      </w:r>
      <w:r w:rsidRPr="008C6611">
        <w:t xml:space="preserve">un grand nombre de personnes. </w:t>
      </w:r>
      <w:r>
        <w:t>Étant donné la réticence</w:t>
      </w:r>
      <w:r w:rsidRPr="008C6611">
        <w:t xml:space="preserve"> </w:t>
      </w:r>
      <w:r>
        <w:t>des Roms</w:t>
      </w:r>
      <w:r w:rsidRPr="008C6611">
        <w:t xml:space="preserve"> à s</w:t>
      </w:r>
      <w:r>
        <w:t>’</w:t>
      </w:r>
      <w:r w:rsidRPr="008C6611">
        <w:t xml:space="preserve">adresser aux autorités, la Fédération de Russie pourrait </w:t>
      </w:r>
      <w:r>
        <w:t>prendre en considération</w:t>
      </w:r>
      <w:r w:rsidRPr="008C6611">
        <w:t xml:space="preserve"> l</w:t>
      </w:r>
      <w:r>
        <w:t>’</w:t>
      </w:r>
      <w:r w:rsidRPr="008C6611">
        <w:t xml:space="preserve">approche pragmatique adoptée par le pays de M. Diaconu, la Roumanie, </w:t>
      </w:r>
      <w:r>
        <w:t>où</w:t>
      </w:r>
      <w:r w:rsidRPr="008C6611">
        <w:t xml:space="preserve"> les autorités </w:t>
      </w:r>
      <w:r>
        <w:t>entrent</w:t>
      </w:r>
      <w:r w:rsidRPr="008C6611">
        <w:t xml:space="preserve"> directement </w:t>
      </w:r>
      <w:r>
        <w:t>en contact avec les</w:t>
      </w:r>
      <w:r w:rsidRPr="008C6611">
        <w:t xml:space="preserve"> minorités: des équipes </w:t>
      </w:r>
      <w:r>
        <w:t>de responsables</w:t>
      </w:r>
      <w:r w:rsidRPr="008C6611">
        <w:t xml:space="preserve"> du Ministère de l</w:t>
      </w:r>
      <w:r>
        <w:t>’</w:t>
      </w:r>
      <w:r w:rsidRPr="008C6611">
        <w:t>intérieur et du service de l</w:t>
      </w:r>
      <w:r>
        <w:t>’</w:t>
      </w:r>
      <w:r w:rsidRPr="008C6611">
        <w:t xml:space="preserve">état civil se sont rendues dans des zones habitées par des Roms pour déterminer si ces derniers possédaient ou non les </w:t>
      </w:r>
      <w:r>
        <w:t>documents requis</w:t>
      </w:r>
      <w:r w:rsidRPr="008C6611">
        <w:t xml:space="preserve"> et, </w:t>
      </w:r>
      <w:r>
        <w:t>quand ce</w:t>
      </w:r>
      <w:r w:rsidRPr="008C6611">
        <w:t xml:space="preserve"> n</w:t>
      </w:r>
      <w:r>
        <w:t>’</w:t>
      </w:r>
      <w:r w:rsidRPr="008C6611">
        <w:t xml:space="preserve">était pas le cas, </w:t>
      </w:r>
      <w:r>
        <w:t>elles leur en ont délivrés</w:t>
      </w:r>
      <w:r w:rsidRPr="008C6611">
        <w:t>.</w:t>
      </w:r>
    </w:p>
    <w:p w:rsidR="00DA6DD0" w:rsidRPr="008C6611" w:rsidRDefault="00DA6DD0" w:rsidP="00DA6DD0">
      <w:pPr>
        <w:pStyle w:val="SingleTxtG"/>
      </w:pPr>
      <w:r w:rsidRPr="008C6611">
        <w:t>51.</w:t>
      </w:r>
      <w:r w:rsidRPr="008C6611">
        <w:tab/>
        <w:t>Le Comité reste préoccupé par le nombre de crimes haineux, d</w:t>
      </w:r>
      <w:r>
        <w:t>’</w:t>
      </w:r>
      <w:r w:rsidRPr="008C6611">
        <w:t xml:space="preserve">agressions racistes et </w:t>
      </w:r>
      <w:r>
        <w:t xml:space="preserve">d’actes </w:t>
      </w:r>
      <w:r w:rsidRPr="008C6611">
        <w:t>de profilage racial et de harcèlement qui seraient commis par des forces de police au sein de l</w:t>
      </w:r>
      <w:r>
        <w:t>’</w:t>
      </w:r>
      <w:r w:rsidRPr="008C6611">
        <w:t>État partie. Tout aussi inquiétant est le fait que les autorités policières et judiciaires s</w:t>
      </w:r>
      <w:r>
        <w:t>’</w:t>
      </w:r>
      <w:r w:rsidRPr="008C6611">
        <w:t>abstiennent d</w:t>
      </w:r>
      <w:r>
        <w:t>’</w:t>
      </w:r>
      <w:r w:rsidRPr="008C6611">
        <w:t>enquêter, de poursuivre et de punir dans les affaires de crimes haineux et d</w:t>
      </w:r>
      <w:r>
        <w:t>’</w:t>
      </w:r>
      <w:r w:rsidRPr="008C6611">
        <w:t xml:space="preserve">agressions racistes contre des minorités ethniques et religieuses. M. Diaconu demande </w:t>
      </w:r>
      <w:r>
        <w:t>quelle est la cause de</w:t>
      </w:r>
      <w:r w:rsidRPr="008C6611">
        <w:t xml:space="preserve"> l</w:t>
      </w:r>
      <w:r>
        <w:t>’</w:t>
      </w:r>
      <w:r w:rsidRPr="008C6611">
        <w:t>augmentation notable de ces phénomènes et prie instamment l</w:t>
      </w:r>
      <w:r>
        <w:t>’</w:t>
      </w:r>
      <w:r w:rsidRPr="008C6611">
        <w:t xml:space="preserve">État partie de redoubler </w:t>
      </w:r>
      <w:r>
        <w:t>d’efforts pour fournir à la police une formation efficace qui la mette en mesure de respecter les droits de l’homme</w:t>
      </w:r>
      <w:r w:rsidRPr="008C6611">
        <w:t>.</w:t>
      </w:r>
    </w:p>
    <w:p w:rsidR="00DA6DD0" w:rsidRPr="008C6611" w:rsidRDefault="00DA6DD0" w:rsidP="00DA6DD0">
      <w:pPr>
        <w:pStyle w:val="SingleTxtG"/>
      </w:pPr>
      <w:r w:rsidRPr="008C6611">
        <w:t>52.</w:t>
      </w:r>
      <w:r w:rsidRPr="008C6611">
        <w:tab/>
        <w:t>La multiplication des propos haineux dans les discours politiques est également alarmant</w:t>
      </w:r>
      <w:r>
        <w:t>e</w:t>
      </w:r>
      <w:r w:rsidRPr="008C6611">
        <w:t xml:space="preserve">, comme le montre la déclaration faite en 2009 par le maire de Sochi, M. Pakhomov, selon lequel tous les Roms et les personnes sans abri auraient </w:t>
      </w:r>
      <w:r>
        <w:t>dû</w:t>
      </w:r>
      <w:r w:rsidRPr="008C6611">
        <w:t xml:space="preserve"> être expulsés de la ville et forcés à participer à la construction </w:t>
      </w:r>
      <w:r>
        <w:t>des installations des Jeux</w:t>
      </w:r>
      <w:r w:rsidRPr="008C6611">
        <w:t xml:space="preserve"> olympiques d</w:t>
      </w:r>
      <w:r>
        <w:t>’</w:t>
      </w:r>
      <w:r w:rsidRPr="008C6611">
        <w:t xml:space="preserve">hiver de 2014. M. Diaconu invite la délégation à formuler des observations sur le fait que les tribunaux </w:t>
      </w:r>
      <w:r>
        <w:t>o</w:t>
      </w:r>
      <w:r w:rsidRPr="008C6611">
        <w:t xml:space="preserve">nt jugé M. Pakhomov non coupable </w:t>
      </w:r>
      <w:r>
        <w:t>à l’issue de l’examen d’une plainte déposée par un membre de la communauté rom.</w:t>
      </w:r>
      <w:r w:rsidRPr="008C6611">
        <w:t xml:space="preserve"> </w:t>
      </w:r>
      <w:r>
        <w:t>Ayant à l’esprit</w:t>
      </w:r>
      <w:r w:rsidRPr="008C6611">
        <w:t xml:space="preserve"> les articles de journaux mettant les citoyens en garde contre les membres de la communauté rom, et allant jusqu</w:t>
      </w:r>
      <w:r>
        <w:t>’</w:t>
      </w:r>
      <w:r w:rsidRPr="008C6611">
        <w:t>à</w:t>
      </w:r>
      <w:r>
        <w:t xml:space="preserve"> qualifier</w:t>
      </w:r>
      <w:r w:rsidRPr="008C6611">
        <w:t xml:space="preserve"> ces derniers de dangereux criminels, il </w:t>
      </w:r>
      <w:r>
        <w:t>engage</w:t>
      </w:r>
      <w:r w:rsidRPr="008C6611">
        <w:t xml:space="preserve"> l</w:t>
      </w:r>
      <w:r>
        <w:t>’</w:t>
      </w:r>
      <w:r w:rsidRPr="008C6611">
        <w:t xml:space="preserve">État partie </w:t>
      </w:r>
      <w:r>
        <w:t>à adopter</w:t>
      </w:r>
      <w:r w:rsidRPr="008C6611">
        <w:t xml:space="preserve"> un code de déontologie des journalistes qui interdirait la publication de telles déclarations.</w:t>
      </w:r>
    </w:p>
    <w:p w:rsidR="00DA6DD0" w:rsidRPr="008C6611" w:rsidRDefault="00DA6DD0" w:rsidP="00DA6DD0">
      <w:pPr>
        <w:pStyle w:val="SingleTxtG"/>
      </w:pPr>
      <w:r w:rsidRPr="008C6611">
        <w:t>53.</w:t>
      </w:r>
      <w:r w:rsidRPr="008C6611">
        <w:tab/>
        <w:t>M. Diaconu demande pourquoi l</w:t>
      </w:r>
      <w:r>
        <w:t>a</w:t>
      </w:r>
      <w:r w:rsidRPr="008C6611">
        <w:t xml:space="preserve"> mesure spéciale encourageant la représentation politique des groupes minoritaires dans les organes </w:t>
      </w:r>
      <w:r>
        <w:t>électifs locaux a</w:t>
      </w:r>
      <w:r w:rsidRPr="008C6611">
        <w:t xml:space="preserve"> été annulée. De même, il souhaite savoir quelles mesures ont été prises pour donner suite à l</w:t>
      </w:r>
      <w:r>
        <w:t>’</w:t>
      </w:r>
      <w:r w:rsidRPr="008C6611">
        <w:t>appel lancé par le Président en 2011 pour que soient instituées certaines préférences ethniques pour les nominations à des postes de l</w:t>
      </w:r>
      <w:r>
        <w:t>’</w:t>
      </w:r>
      <w:r w:rsidRPr="008C6611">
        <w:t xml:space="preserve">administration publique </w:t>
      </w:r>
      <w:r>
        <w:t xml:space="preserve">ou </w:t>
      </w:r>
      <w:r w:rsidRPr="008C6611">
        <w:t>municipale</w:t>
      </w:r>
      <w:r>
        <w:t>.</w:t>
      </w:r>
    </w:p>
    <w:p w:rsidR="00DA6DD0" w:rsidRPr="008C6611" w:rsidRDefault="00DA6DD0" w:rsidP="00DA6DD0">
      <w:pPr>
        <w:pStyle w:val="SingleTxtG"/>
      </w:pPr>
      <w:r w:rsidRPr="008C6611">
        <w:t>54.</w:t>
      </w:r>
      <w:r w:rsidRPr="008C6611">
        <w:tab/>
        <w:t xml:space="preserve">Conformément </w:t>
      </w:r>
      <w:r>
        <w:t>à la pratique</w:t>
      </w:r>
      <w:r w:rsidRPr="008C6611">
        <w:t xml:space="preserve"> d</w:t>
      </w:r>
      <w:r>
        <w:t>e l’Organisation des</w:t>
      </w:r>
      <w:r w:rsidRPr="008C6611">
        <w:t xml:space="preserve"> Nations Unies, les personnes qui ont été forcées à émigrer à l</w:t>
      </w:r>
      <w:r>
        <w:t>’</w:t>
      </w:r>
      <w:r w:rsidRPr="008C6611">
        <w:t>intérieur d</w:t>
      </w:r>
      <w:r>
        <w:t>’</w:t>
      </w:r>
      <w:r w:rsidRPr="008C6611">
        <w:t>un État sont classées dans la catégorie des personnes déplacées à l</w:t>
      </w:r>
      <w:r>
        <w:t>’</w:t>
      </w:r>
      <w:r w:rsidRPr="008C6611">
        <w:t>intérieur du pays et ont le droit d</w:t>
      </w:r>
      <w:r>
        <w:t>’</w:t>
      </w:r>
      <w:r w:rsidRPr="008C6611">
        <w:t xml:space="preserve">être protégées, en tant que telles, au titre des Principes directeurs </w:t>
      </w:r>
      <w:r>
        <w:t>de l’ONU</w:t>
      </w:r>
      <w:r w:rsidRPr="008C6611">
        <w:t>. Le fait que de nombreuses personnes déplacées à l</w:t>
      </w:r>
      <w:r>
        <w:t>’</w:t>
      </w:r>
      <w:r w:rsidRPr="008C6611">
        <w:t xml:space="preserve">intérieur du pays </w:t>
      </w:r>
      <w:r>
        <w:t>ont été</w:t>
      </w:r>
      <w:r w:rsidRPr="008C6611">
        <w:t xml:space="preserve"> classées dans la catégorie des migrants les a empêché</w:t>
      </w:r>
      <w:r>
        <w:t>e</w:t>
      </w:r>
      <w:r w:rsidRPr="008C6611">
        <w:t>s d</w:t>
      </w:r>
      <w:r>
        <w:t>’</w:t>
      </w:r>
      <w:r w:rsidRPr="008C6611">
        <w:t>exercer leur droit d</w:t>
      </w:r>
      <w:r>
        <w:t>’</w:t>
      </w:r>
      <w:r w:rsidRPr="008C6611">
        <w:t>être enregistré</w:t>
      </w:r>
      <w:r>
        <w:t>e</w:t>
      </w:r>
      <w:r w:rsidRPr="008C6611">
        <w:t xml:space="preserve">s en tant que résidents et de retourner dans leurs foyers. M. Diaconu </w:t>
      </w:r>
      <w:r>
        <w:t>demande aux</w:t>
      </w:r>
      <w:r w:rsidRPr="008C6611">
        <w:t xml:space="preserve"> autorités de prendre des mesures pour remédier à cette anomalie, en tenant notamment compte du fait que plus de </w:t>
      </w:r>
      <w:r>
        <w:t xml:space="preserve">dix </w:t>
      </w:r>
      <w:r w:rsidRPr="008C6611">
        <w:t>années se sont écoulées depuis le conflit qui a conduit au déplacement de ces populations. Il est également urgent de mettre un terme à la multiplication des actions menées par la police contre les personnes d</w:t>
      </w:r>
      <w:r>
        <w:t>’</w:t>
      </w:r>
      <w:r w:rsidRPr="008C6611">
        <w:t>ascendance géorgienne et tadjike; les citoyens ordinaires ne devraient pas être punis en raison d</w:t>
      </w:r>
      <w:r>
        <w:t>’</w:t>
      </w:r>
      <w:r w:rsidRPr="008C6611">
        <w:t xml:space="preserve">une dégradation des relations entre </w:t>
      </w:r>
      <w:r>
        <w:t>É</w:t>
      </w:r>
      <w:r w:rsidRPr="008C6611">
        <w:t>tats.</w:t>
      </w:r>
    </w:p>
    <w:p w:rsidR="00DA6DD0" w:rsidRPr="008C6611" w:rsidRDefault="00DA6DD0" w:rsidP="00DA6DD0">
      <w:pPr>
        <w:pStyle w:val="SingleTxtG"/>
      </w:pPr>
      <w:r w:rsidRPr="008C6611">
        <w:t>55.</w:t>
      </w:r>
      <w:r w:rsidRPr="008C6611">
        <w:tab/>
      </w:r>
      <w:r w:rsidRPr="008C6611">
        <w:rPr>
          <w:b/>
        </w:rPr>
        <w:t>M. de Gouttes</w:t>
      </w:r>
      <w:r w:rsidRPr="008C6611">
        <w:t xml:space="preserve"> félicite l</w:t>
      </w:r>
      <w:r>
        <w:t>’</w:t>
      </w:r>
      <w:r w:rsidRPr="008C6611">
        <w:t xml:space="preserve">État partie de soumettre régulièrement </w:t>
      </w:r>
      <w:r>
        <w:t>s</w:t>
      </w:r>
      <w:r w:rsidRPr="008C6611">
        <w:t>es rapports périodiques au Comité. Il demande quelles sont les entités autonomes culturelles nationales, les organisations de défense des droits de l</w:t>
      </w:r>
      <w:r>
        <w:t>’</w:t>
      </w:r>
      <w:r w:rsidRPr="008C6611">
        <w:t>homme et les organisations religieuses qui ont participé à l</w:t>
      </w:r>
      <w:r>
        <w:t>’</w:t>
      </w:r>
      <w:r w:rsidRPr="008C6611">
        <w:t>élaboration du rapport périodique. Il demande des précisions sur l</w:t>
      </w:r>
      <w:r>
        <w:t>’</w:t>
      </w:r>
      <w:r w:rsidRPr="008C6611">
        <w:t>affirmation figurant au paragraphe 72 du rapport selon laquelle l</w:t>
      </w:r>
      <w:r>
        <w:t>’</w:t>
      </w:r>
      <w:r w:rsidRPr="008C6611">
        <w:t>adoption d</w:t>
      </w:r>
      <w:r>
        <w:t>’</w:t>
      </w:r>
      <w:r w:rsidRPr="008C6611">
        <w:t>un instrument juridique antidiscriminatoire spécifique ne correspond ni à la logique ni au caractère sectoriel du droit russe, et n</w:t>
      </w:r>
      <w:r>
        <w:t>’</w:t>
      </w:r>
      <w:r w:rsidRPr="008C6611">
        <w:t>est pas non plus conforme à la pratique suivie pour sa mise en œuvre.</w:t>
      </w:r>
      <w:r>
        <w:t xml:space="preserve"> Cette affirmation semble incompatible avec les obligations découlant des articles 1 et 4</w:t>
      </w:r>
      <w:r>
        <w:rPr>
          <w:vertAlign w:val="superscript"/>
        </w:rPr>
        <w:t xml:space="preserve"> </w:t>
      </w:r>
      <w:r>
        <w:t>de la Convention.</w:t>
      </w:r>
    </w:p>
    <w:p w:rsidR="00DA6DD0" w:rsidRPr="008C6611" w:rsidRDefault="00DA6DD0" w:rsidP="00DA6DD0">
      <w:pPr>
        <w:pStyle w:val="SingleTxtG"/>
      </w:pPr>
      <w:r w:rsidRPr="008C6611">
        <w:t>56.</w:t>
      </w:r>
      <w:r w:rsidRPr="008C6611">
        <w:tab/>
        <w:t xml:space="preserve">Il est clair que les </w:t>
      </w:r>
      <w:r>
        <w:t>dirigeants</w:t>
      </w:r>
      <w:r w:rsidRPr="008C6611">
        <w:t xml:space="preserve"> politiques </w:t>
      </w:r>
      <w:r>
        <w:t>approuvent</w:t>
      </w:r>
      <w:r w:rsidRPr="008C6611">
        <w:t xml:space="preserve"> de plus en plus </w:t>
      </w:r>
      <w:r>
        <w:t xml:space="preserve">les </w:t>
      </w:r>
      <w:r w:rsidRPr="008C6611">
        <w:t>idées des groupes extrémistes car elles leur rapportent des voix. Cependant, M. de Gouttes souhaiterait connaître les commentaires de la délégation sur les raisons de l</w:t>
      </w:r>
      <w:r>
        <w:t>’</w:t>
      </w:r>
      <w:r w:rsidRPr="008C6611">
        <w:t>augmentation des propos haineux parmi le grand public, en particulier les jeunes, contre de nombreuses minorités ethniques, les Roms, les personnes d</w:t>
      </w:r>
      <w:r>
        <w:t>’</w:t>
      </w:r>
      <w:r w:rsidRPr="008C6611">
        <w:t>ascendance africaine, les musulmans et les juifs, une tendance qui semble plus</w:t>
      </w:r>
      <w:r>
        <w:t xml:space="preserve"> forte</w:t>
      </w:r>
      <w:r w:rsidRPr="008C6611">
        <w:t xml:space="preserve"> en Fédération de Russie que </w:t>
      </w:r>
      <w:r>
        <w:t>dans d’autres pays</w:t>
      </w:r>
      <w:r w:rsidRPr="008C6611">
        <w:t>.</w:t>
      </w:r>
    </w:p>
    <w:p w:rsidR="00DA6DD0" w:rsidRPr="008C6611" w:rsidRDefault="00DA6DD0" w:rsidP="00DA6DD0">
      <w:pPr>
        <w:pStyle w:val="SingleTxtG"/>
      </w:pPr>
      <w:r w:rsidRPr="008C6611">
        <w:t>57.</w:t>
      </w:r>
      <w:r w:rsidRPr="008C6611">
        <w:tab/>
        <w:t>Il serait utile de savoir si des données sont disponibles sur le nombre de Roms vivant dans l</w:t>
      </w:r>
      <w:r>
        <w:t>’</w:t>
      </w:r>
      <w:r w:rsidRPr="008C6611">
        <w:t xml:space="preserve">État partie. Des mesures ont-elles été prises pour </w:t>
      </w:r>
      <w:r>
        <w:t>accroître</w:t>
      </w:r>
      <w:r w:rsidRPr="008C6611">
        <w:t xml:space="preserve"> l</w:t>
      </w:r>
      <w:r>
        <w:t>’</w:t>
      </w:r>
      <w:r w:rsidRPr="008C6611">
        <w:t>accès des Roms à l</w:t>
      </w:r>
      <w:r>
        <w:t>’</w:t>
      </w:r>
      <w:r w:rsidRPr="008C6611">
        <w:t xml:space="preserve">emploi, </w:t>
      </w:r>
      <w:r>
        <w:t xml:space="preserve">à des documents personnels et à l’enregistrement de leur lieu de résidence, à un logement convenable garanti par un contrat légal, à l’éducation et à d’autres droits économiques, sociaux et culturels? </w:t>
      </w:r>
    </w:p>
    <w:p w:rsidR="00DA6DD0" w:rsidRPr="008C6611" w:rsidRDefault="00DA6DD0" w:rsidP="00DA6DD0">
      <w:pPr>
        <w:pStyle w:val="SingleTxtG"/>
      </w:pPr>
      <w:r w:rsidRPr="008C6611">
        <w:t>58.</w:t>
      </w:r>
      <w:r w:rsidRPr="008C6611">
        <w:tab/>
        <w:t>Compte tenu du grand nombre d</w:t>
      </w:r>
      <w:r>
        <w:t xml:space="preserve">’allégations </w:t>
      </w:r>
      <w:r w:rsidRPr="008C6611">
        <w:t>selon lesquelles des membres de minorités ethniques feraient fréquemment l</w:t>
      </w:r>
      <w:r>
        <w:t>’</w:t>
      </w:r>
      <w:r w:rsidRPr="008C6611">
        <w:t>objet de contrôles d</w:t>
      </w:r>
      <w:r>
        <w:t>’</w:t>
      </w:r>
      <w:r w:rsidRPr="008C6611">
        <w:t>identité, d</w:t>
      </w:r>
      <w:r>
        <w:t>’</w:t>
      </w:r>
      <w:r w:rsidRPr="008C6611">
        <w:t xml:space="preserve">arrestations, de </w:t>
      </w:r>
      <w:r>
        <w:t xml:space="preserve">mesures de </w:t>
      </w:r>
      <w:r w:rsidRPr="008C6611">
        <w:t xml:space="preserve">placement en détention et </w:t>
      </w:r>
      <w:r>
        <w:t xml:space="preserve">d’actes </w:t>
      </w:r>
      <w:r w:rsidRPr="008C6611">
        <w:t xml:space="preserve">de harcèlements </w:t>
      </w:r>
      <w:r>
        <w:t>imputables à</w:t>
      </w:r>
      <w:r w:rsidRPr="008C6611">
        <w:t xml:space="preserve"> la police et </w:t>
      </w:r>
      <w:r>
        <w:t>à d’autres agents de l’État</w:t>
      </w:r>
      <w:r w:rsidRPr="008C6611">
        <w:t xml:space="preserve">, M. de Gouttes demande davantage de précisions sur la loi fédérale sur la police, entrée en vigueur en mars 2011. Il serait également utile de savoir quelles mesures sont prises pour former la police et autres </w:t>
      </w:r>
      <w:r>
        <w:t>fonctionnaires de l’État</w:t>
      </w:r>
      <w:r w:rsidRPr="008C6611">
        <w:t xml:space="preserve"> à respecter la diversité ethnique.</w:t>
      </w:r>
    </w:p>
    <w:p w:rsidR="00DA6DD0" w:rsidRPr="008C6611" w:rsidRDefault="00DA6DD0" w:rsidP="00DA6DD0">
      <w:pPr>
        <w:pStyle w:val="SingleTxtG"/>
      </w:pPr>
      <w:r w:rsidRPr="008C6611">
        <w:t>59.</w:t>
      </w:r>
      <w:r w:rsidRPr="008C6611">
        <w:tab/>
        <w:t>M. de Gouttes reste convaincu que les dispositions du Code pénal et d</w:t>
      </w:r>
      <w:r>
        <w:t>’</w:t>
      </w:r>
      <w:r w:rsidRPr="008C6611">
        <w:t xml:space="preserve">autres lois nationales interdisant les actes de discrimination raciale sont pleinement </w:t>
      </w:r>
      <w:r>
        <w:t>compatibles avec les</w:t>
      </w:r>
      <w:r w:rsidRPr="008C6611">
        <w:t xml:space="preserve"> articles 1</w:t>
      </w:r>
      <w:r>
        <w:rPr>
          <w:vertAlign w:val="superscript"/>
        </w:rPr>
        <w:t xml:space="preserve"> </w:t>
      </w:r>
      <w:r>
        <w:t>et</w:t>
      </w:r>
      <w:r w:rsidRPr="008C6611">
        <w:t xml:space="preserve"> 4 de la Convention. À cet égard, il demande si le projet de loi fédérale portant modification de plusieurs dispositions législatives, mentionné au paragraphe 113 du rapport périodique, a été adopté.</w:t>
      </w:r>
    </w:p>
    <w:p w:rsidR="00DA6DD0" w:rsidRPr="008C6611" w:rsidRDefault="00DA6DD0" w:rsidP="00DA6DD0">
      <w:pPr>
        <w:pStyle w:val="SingleTxtG"/>
      </w:pPr>
      <w:r w:rsidRPr="008C6611">
        <w:t>60.</w:t>
      </w:r>
      <w:r w:rsidRPr="008C6611">
        <w:tab/>
        <w:t xml:space="preserve">Le Comité souhaiterait recevoir des données sur le nombre de plaintes pour discrimination raciale que le </w:t>
      </w:r>
      <w:r>
        <w:t xml:space="preserve">Médiateur </w:t>
      </w:r>
      <w:r w:rsidRPr="008C6611">
        <w:t>des droits de l</w:t>
      </w:r>
      <w:r>
        <w:t>’</w:t>
      </w:r>
      <w:r w:rsidRPr="008C6611">
        <w:t>homme a reçu</w:t>
      </w:r>
      <w:r>
        <w:t>es</w:t>
      </w:r>
      <w:r w:rsidRPr="008C6611">
        <w:t xml:space="preserve"> et qui ont fait l</w:t>
      </w:r>
      <w:r>
        <w:t>’</w:t>
      </w:r>
      <w:r w:rsidRPr="008C6611">
        <w:t>objet d</w:t>
      </w:r>
      <w:r>
        <w:t>’</w:t>
      </w:r>
      <w:r w:rsidRPr="008C6611">
        <w:t xml:space="preserve">enquêtes. M. de Gouttes demande également des informations sur les affaires de discrimination raciale soumises aux tribunaux civils et administratifs. </w:t>
      </w:r>
      <w:r>
        <w:t xml:space="preserve">Il </w:t>
      </w:r>
      <w:r w:rsidRPr="00E541CF">
        <w:t>voudrait</w:t>
      </w:r>
      <w:r w:rsidRPr="008C6611">
        <w:t xml:space="preserve"> savoir si l</w:t>
      </w:r>
      <w:r>
        <w:t>’</w:t>
      </w:r>
      <w:r w:rsidRPr="008C6611">
        <w:t>État partie a eu recours à la jurisprudence de la Cour européenne des droits de l</w:t>
      </w:r>
      <w:r>
        <w:t>’</w:t>
      </w:r>
      <w:r w:rsidRPr="008C6611">
        <w:t>homme, source d</w:t>
      </w:r>
      <w:r>
        <w:t>’</w:t>
      </w:r>
      <w:r w:rsidRPr="008C6611">
        <w:t xml:space="preserve">information extrêmement utile </w:t>
      </w:r>
      <w:r>
        <w:t>en matière de</w:t>
      </w:r>
      <w:r w:rsidRPr="008C6611">
        <w:t xml:space="preserve"> discrimination.</w:t>
      </w:r>
    </w:p>
    <w:p w:rsidR="00DA6DD0" w:rsidRPr="008C6611" w:rsidRDefault="00DA6DD0" w:rsidP="00DA6DD0">
      <w:pPr>
        <w:pStyle w:val="SingleTxtG"/>
      </w:pPr>
      <w:r w:rsidRPr="008C6611">
        <w:t>61.</w:t>
      </w:r>
      <w:r w:rsidRPr="008C6611">
        <w:tab/>
      </w:r>
      <w:r w:rsidRPr="008C6611">
        <w:rPr>
          <w:b/>
        </w:rPr>
        <w:t>M. Calí Tzay</w:t>
      </w:r>
      <w:r w:rsidRPr="008C6611">
        <w:t xml:space="preserve"> demande si certains membres de la communauté rom résident illégalement au sein de l</w:t>
      </w:r>
      <w:r>
        <w:t>’</w:t>
      </w:r>
      <w:r w:rsidRPr="008C6611">
        <w:t>État partie alors que d</w:t>
      </w:r>
      <w:r>
        <w:t>’</w:t>
      </w:r>
      <w:r w:rsidRPr="008C6611">
        <w:t>autres y vivent légalement et</w:t>
      </w:r>
      <w:r>
        <w:t>,</w:t>
      </w:r>
      <w:r w:rsidRPr="008C6611">
        <w:t xml:space="preserve"> dans l</w:t>
      </w:r>
      <w:r>
        <w:t>’</w:t>
      </w:r>
      <w:r w:rsidRPr="008C6611">
        <w:t>affirmative, pour quelle</w:t>
      </w:r>
      <w:r>
        <w:t>s</w:t>
      </w:r>
      <w:r w:rsidRPr="008C6611">
        <w:t xml:space="preserve"> raison</w:t>
      </w:r>
      <w:r>
        <w:t>s</w:t>
      </w:r>
      <w:r w:rsidRPr="008C6611">
        <w:t xml:space="preserve">. Il voudrait savoir si les logements publics mis à disposition des membres de la population rom sont culturellement </w:t>
      </w:r>
      <w:r>
        <w:t>adaptés.</w:t>
      </w:r>
    </w:p>
    <w:p w:rsidR="00DA6DD0" w:rsidRPr="008C6611" w:rsidRDefault="00DA6DD0" w:rsidP="00DA6DD0">
      <w:pPr>
        <w:pStyle w:val="SingleTxtG"/>
      </w:pPr>
      <w:r w:rsidRPr="008C6611">
        <w:t>62.</w:t>
      </w:r>
      <w:r w:rsidRPr="008C6611">
        <w:tab/>
        <w:t>Étant donné que le droit à la protection des terres ancestrales et des modes de vie traditionnels des petites communautés autochtones est garanti par la Constitution de l</w:t>
      </w:r>
      <w:r>
        <w:t>’</w:t>
      </w:r>
      <w:r w:rsidRPr="008C6611">
        <w:t>État partie, M. Calí Tzay demande quel est l</w:t>
      </w:r>
      <w:r>
        <w:t>’</w:t>
      </w:r>
      <w:r w:rsidRPr="008C6611">
        <w:t>organisme chargé de définir leurs modes de vie traditionnels. Il invite la délégation à formuler des observations sur la conformité de la loi fédérale sur les territoires d</w:t>
      </w:r>
      <w:r>
        <w:t>’</w:t>
      </w:r>
      <w:r w:rsidRPr="008C6611">
        <w:t xml:space="preserve">utilisation traditionnelle des ressources avec cette disposition de la Constitution, sachant que la loi fédérale aurait donné lieu à des restrictions des droits </w:t>
      </w:r>
      <w:r>
        <w:t xml:space="preserve">de pêche </w:t>
      </w:r>
      <w:r w:rsidRPr="008C6611">
        <w:t>traditionn</w:t>
      </w:r>
      <w:r>
        <w:t>els des communautés autochtones</w:t>
      </w:r>
      <w:r w:rsidRPr="008C6611">
        <w:t xml:space="preserve">. Il demande davantage de précisions sur la version actualisée de ladite loi, qui est </w:t>
      </w:r>
      <w:r>
        <w:t>apparemment appliquée</w:t>
      </w:r>
      <w:r w:rsidRPr="008C6611">
        <w:t xml:space="preserve"> bien qu</w:t>
      </w:r>
      <w:r>
        <w:t>’</w:t>
      </w:r>
      <w:r w:rsidRPr="008C6611">
        <w:t>elle n</w:t>
      </w:r>
      <w:r>
        <w:t>’</w:t>
      </w:r>
      <w:r w:rsidRPr="008C6611">
        <w:t>ait pas encore été soumise à la Douma.</w:t>
      </w:r>
    </w:p>
    <w:p w:rsidR="00DA6DD0" w:rsidRPr="008C6611" w:rsidRDefault="00DA6DD0" w:rsidP="00DA6DD0">
      <w:pPr>
        <w:pStyle w:val="SingleTxtG"/>
      </w:pPr>
      <w:r w:rsidRPr="008C6611">
        <w:t>63.</w:t>
      </w:r>
      <w:r w:rsidRPr="008C6611">
        <w:tab/>
        <w:t xml:space="preserve">Le Comité souhaiterait recevoir des informations supplémentaires sur la définition du terme </w:t>
      </w:r>
      <w:r>
        <w:t>«</w:t>
      </w:r>
      <w:r w:rsidRPr="008C6611">
        <w:t>nationalités</w:t>
      </w:r>
      <w:r>
        <w:t>»</w:t>
      </w:r>
      <w:r w:rsidRPr="008C6611">
        <w:t>, et voudrait savoir si cette définition a été modifiée. Quant à la définition des petits peuples autochtones, M. Calí Tzay partage les préoccupations exprimées par M. Diaconu.</w:t>
      </w:r>
    </w:p>
    <w:p w:rsidR="00DA6DD0" w:rsidRPr="008C6611" w:rsidRDefault="00DA6DD0" w:rsidP="00DA6DD0">
      <w:pPr>
        <w:pStyle w:val="SingleTxtG"/>
      </w:pPr>
      <w:r w:rsidRPr="008C6611">
        <w:t>64.</w:t>
      </w:r>
      <w:r w:rsidRPr="008C6611">
        <w:tab/>
        <w:t>Compte tenu des informations selon lesquelles la loi sur la lutte contre l</w:t>
      </w:r>
      <w:r>
        <w:t>’</w:t>
      </w:r>
      <w:r w:rsidRPr="008C6611">
        <w:t xml:space="preserve">extrémisme </w:t>
      </w:r>
      <w:r>
        <w:t xml:space="preserve">serait instrumentalisée pour </w:t>
      </w:r>
      <w:r w:rsidRPr="008C6611">
        <w:t xml:space="preserve">réduire </w:t>
      </w:r>
      <w:r>
        <w:t>l</w:t>
      </w:r>
      <w:r w:rsidRPr="008C6611">
        <w:t>es défenseurs des droits de l</w:t>
      </w:r>
      <w:r>
        <w:t>’</w:t>
      </w:r>
      <w:r w:rsidRPr="008C6611">
        <w:t xml:space="preserve">homme au silence, M. Calí Tzay demande si cette loi a été utilisée pour </w:t>
      </w:r>
      <w:r>
        <w:t>museler</w:t>
      </w:r>
      <w:r w:rsidRPr="008C6611">
        <w:t xml:space="preserve"> les critiques contre la politique de l</w:t>
      </w:r>
      <w:r>
        <w:t>’</w:t>
      </w:r>
      <w:r w:rsidRPr="008C6611">
        <w:t>État.</w:t>
      </w:r>
    </w:p>
    <w:p w:rsidR="00DA6DD0" w:rsidRPr="008C6611" w:rsidRDefault="00DA6DD0" w:rsidP="00DA6DD0">
      <w:pPr>
        <w:pStyle w:val="SingleTxtG"/>
      </w:pPr>
      <w:r w:rsidRPr="008C6611">
        <w:t>65.</w:t>
      </w:r>
      <w:r w:rsidRPr="008C6611">
        <w:tab/>
        <w:t>Il serait utile de savoir si l</w:t>
      </w:r>
      <w:r>
        <w:t>’</w:t>
      </w:r>
      <w:r w:rsidRPr="008C6611">
        <w:t>État partie a l</w:t>
      </w:r>
      <w:r>
        <w:t>’</w:t>
      </w:r>
      <w:r w:rsidRPr="008C6611">
        <w:t>intention de recueillir des données statistiques qui serviraient à évaluer le développement économique et social.</w:t>
      </w:r>
    </w:p>
    <w:p w:rsidR="00DA6DD0" w:rsidRPr="008C6611" w:rsidRDefault="00DA6DD0" w:rsidP="00DA6DD0">
      <w:pPr>
        <w:pStyle w:val="SingleTxtG"/>
        <w:keepNext/>
        <w:keepLines/>
      </w:pPr>
      <w:r w:rsidRPr="008C6611">
        <w:t>66.</w:t>
      </w:r>
      <w:r w:rsidRPr="008C6611">
        <w:tab/>
      </w:r>
      <w:r w:rsidRPr="008C6611">
        <w:rPr>
          <w:b/>
        </w:rPr>
        <w:t>M. Kemal</w:t>
      </w:r>
      <w:r w:rsidRPr="008C6611">
        <w:t xml:space="preserve"> demande quelles formes de coopération internationale ont été encouragées dans le cadre de la deuxième Décennie internationale des populations autochtones. Il propose que des initiatives relatives à l</w:t>
      </w:r>
      <w:r>
        <w:t>’</w:t>
      </w:r>
      <w:r w:rsidRPr="008C6611">
        <w:t>écotourisme soient prises en vue d</w:t>
      </w:r>
      <w:r>
        <w:t>’</w:t>
      </w:r>
      <w:r w:rsidRPr="008C6611">
        <w:t>améliorer les conditions de vie des petits peuples autochtones du Nord, de Sibérie et d</w:t>
      </w:r>
      <w:r>
        <w:t xml:space="preserve">’Extrême-Orient russe </w:t>
      </w:r>
      <w:r w:rsidRPr="008C6611">
        <w:t>tout en respectant leurs modes de vie traditionnel</w:t>
      </w:r>
      <w:r>
        <w:t>s</w:t>
      </w:r>
      <w:r w:rsidRPr="008C6611">
        <w:t>. Il s</w:t>
      </w:r>
      <w:r>
        <w:t>’</w:t>
      </w:r>
      <w:r w:rsidRPr="008C6611">
        <w:t>enquiert des mesures prises pour veiller à ce qu</w:t>
      </w:r>
      <w:r>
        <w:t>’</w:t>
      </w:r>
      <w:r w:rsidRPr="008C6611">
        <w:t>une partie des bénéfices tirés de l</w:t>
      </w:r>
      <w:r>
        <w:t>’</w:t>
      </w:r>
      <w:r w:rsidRPr="008C6611">
        <w:t>exploitation pétrolière et d</w:t>
      </w:r>
      <w:r>
        <w:t>’</w:t>
      </w:r>
      <w:r w:rsidRPr="008C6611">
        <w:t>autres industries extractives profitent aux petits peuples autochtones et contribuent à la préservation de la biodiversité de l</w:t>
      </w:r>
      <w:r>
        <w:t>’</w:t>
      </w:r>
      <w:r w:rsidRPr="008C6611">
        <w:t>État partie pour les futures générations.</w:t>
      </w:r>
    </w:p>
    <w:p w:rsidR="00DA6DD0" w:rsidRPr="008C6611" w:rsidRDefault="00DA6DD0" w:rsidP="00DA6DD0">
      <w:pPr>
        <w:pStyle w:val="SingleTxtG"/>
      </w:pPr>
      <w:r w:rsidRPr="008C6611">
        <w:t>67.</w:t>
      </w:r>
      <w:r w:rsidRPr="008C6611">
        <w:tab/>
        <w:t xml:space="preserve">Il serait utile de savoir si le Gouvernement prend des mesures </w:t>
      </w:r>
      <w:r>
        <w:t>pour</w:t>
      </w:r>
      <w:r w:rsidRPr="008C6611">
        <w:t xml:space="preserve"> conser</w:t>
      </w:r>
      <w:r>
        <w:t>ver et rénover des</w:t>
      </w:r>
      <w:r w:rsidRPr="008C6611">
        <w:t xml:space="preserve"> lieux de culte historiques, </w:t>
      </w:r>
      <w:r>
        <w:t>notamment des églises</w:t>
      </w:r>
      <w:r w:rsidRPr="008C6611">
        <w:t xml:space="preserve">, </w:t>
      </w:r>
      <w:r>
        <w:t>des</w:t>
      </w:r>
      <w:r w:rsidRPr="008C6611">
        <w:t xml:space="preserve"> mosquées,</w:t>
      </w:r>
      <w:r>
        <w:t xml:space="preserve"> des</w:t>
      </w:r>
      <w:r w:rsidRPr="008C6611">
        <w:t xml:space="preserve"> synagogues et de</w:t>
      </w:r>
      <w:r>
        <w:t>s</w:t>
      </w:r>
      <w:r w:rsidRPr="008C6611">
        <w:t xml:space="preserve"> temples bouddhistes qui appartiennent souvent à des groupes minoritaires.</w:t>
      </w:r>
    </w:p>
    <w:p w:rsidR="00DA6DD0" w:rsidRPr="008C6611" w:rsidRDefault="00DA6DD0" w:rsidP="00DA6DD0">
      <w:pPr>
        <w:pStyle w:val="SingleTxtG"/>
      </w:pPr>
      <w:r w:rsidRPr="008C6611">
        <w:t>68.</w:t>
      </w:r>
      <w:r w:rsidRPr="008C6611">
        <w:tab/>
      </w:r>
      <w:r w:rsidRPr="008C6611">
        <w:rPr>
          <w:b/>
        </w:rPr>
        <w:t>M. Vázquez</w:t>
      </w:r>
      <w:r w:rsidRPr="008C6611">
        <w:t xml:space="preserve"> félicite l</w:t>
      </w:r>
      <w:r>
        <w:t>’</w:t>
      </w:r>
      <w:r w:rsidRPr="008C6611">
        <w:t>État partie de s</w:t>
      </w:r>
      <w:r>
        <w:t>’</w:t>
      </w:r>
      <w:r w:rsidRPr="008C6611">
        <w:t>être engagé, à l</w:t>
      </w:r>
      <w:r>
        <w:t>’</w:t>
      </w:r>
      <w:r w:rsidRPr="008C6611">
        <w:t>occasion de l</w:t>
      </w:r>
      <w:r>
        <w:t>’</w:t>
      </w:r>
      <w:r w:rsidRPr="008C6611">
        <w:t>Examen périodique universel (EPU), à respecter les principes cités dans la Déclaration des Nations Unies sur les droits des peuples autochtones. Il demande des renseignements à jour sur les progrès accomplis à cet égard, sachant notamment que le Comité a reçu des informations selon lesquelles les droits des peuples autochtones n</w:t>
      </w:r>
      <w:r>
        <w:t>’</w:t>
      </w:r>
      <w:r w:rsidRPr="008C6611">
        <w:t>ont pas encore été incorporés dans la législation nationale. Il s</w:t>
      </w:r>
      <w:r>
        <w:t>’</w:t>
      </w:r>
      <w:r w:rsidRPr="008C6611">
        <w:t xml:space="preserve">enquiert en outre des mesures qui sont prises pour mettre en œuvre le </w:t>
      </w:r>
      <w:r>
        <w:t>«P</w:t>
      </w:r>
      <w:r w:rsidRPr="008C6611">
        <w:t>lan-directeur pour le développement stable des petits peuples autochtones du Nord, de Sibérie et d</w:t>
      </w:r>
      <w:r>
        <w:t>’</w:t>
      </w:r>
      <w:r w:rsidRPr="008C6611">
        <w:t>Extrême-Orient de la Fédération de Russie</w:t>
      </w:r>
      <w:r>
        <w:t>»</w:t>
      </w:r>
      <w:r w:rsidRPr="008C6611">
        <w:t>, et demande des informations supplémentaires sur la teneur de la nouvelle version de la loi fédérale sur les territoires d</w:t>
      </w:r>
      <w:r>
        <w:t>’</w:t>
      </w:r>
      <w:r w:rsidRPr="008C6611">
        <w:t>utilisation traditionnelle des ressources et sur l</w:t>
      </w:r>
      <w:r>
        <w:t>’</w:t>
      </w:r>
      <w:r w:rsidRPr="008C6611">
        <w:t>état d</w:t>
      </w:r>
      <w:r>
        <w:t>’avancement</w:t>
      </w:r>
      <w:r w:rsidRPr="008C6611">
        <w:t xml:space="preserve"> de cette version.</w:t>
      </w:r>
    </w:p>
    <w:p w:rsidR="00DA6DD0" w:rsidRPr="008C6611" w:rsidRDefault="00DA6DD0" w:rsidP="00DA6DD0">
      <w:pPr>
        <w:pStyle w:val="SingleTxtG"/>
      </w:pPr>
      <w:r w:rsidRPr="008C6611">
        <w:t>69.</w:t>
      </w:r>
      <w:r w:rsidRPr="008C6611">
        <w:tab/>
      </w:r>
      <w:r w:rsidRPr="00E541CF">
        <w:t>M. Vázquez</w:t>
      </w:r>
      <w:r w:rsidRPr="008C6611">
        <w:t xml:space="preserve"> voudrait savoir si l</w:t>
      </w:r>
      <w:r>
        <w:t>’</w:t>
      </w:r>
      <w:r w:rsidRPr="008C6611">
        <w:t>État partie a accepté les recommandations faites dans le cadre de l</w:t>
      </w:r>
      <w:r>
        <w:t>’</w:t>
      </w:r>
      <w:r w:rsidRPr="008C6611">
        <w:t>EPU</w:t>
      </w:r>
      <w:r>
        <w:t>, consistant à</w:t>
      </w:r>
      <w:r w:rsidRPr="008C6611">
        <w:t xml:space="preserve"> réexaminer les lois se rapportant à l</w:t>
      </w:r>
      <w:r>
        <w:t>’</w:t>
      </w:r>
      <w:r w:rsidRPr="008C6611">
        <w:t>extrémisme et aux ONG pour s</w:t>
      </w:r>
      <w:r>
        <w:t>’</w:t>
      </w:r>
      <w:r w:rsidRPr="008C6611">
        <w:t>assurer qu</w:t>
      </w:r>
      <w:r>
        <w:t>’elles so</w:t>
      </w:r>
      <w:r w:rsidRPr="008C6611">
        <w:t>nt co</w:t>
      </w:r>
      <w:r>
        <w:t xml:space="preserve">mpatibles avec les </w:t>
      </w:r>
      <w:r w:rsidRPr="008C6611">
        <w:t xml:space="preserve">obligations et normes internationales </w:t>
      </w:r>
      <w:r>
        <w:t>relatives aux</w:t>
      </w:r>
      <w:r w:rsidRPr="008C6611">
        <w:t xml:space="preserve"> droits de l</w:t>
      </w:r>
      <w:r>
        <w:t>’</w:t>
      </w:r>
      <w:r w:rsidRPr="008C6611">
        <w:t xml:space="preserve">homme; </w:t>
      </w:r>
      <w:r>
        <w:t xml:space="preserve">à réviser </w:t>
      </w:r>
      <w:r w:rsidRPr="008C6611">
        <w:t>la loi relative à l</w:t>
      </w:r>
      <w:r>
        <w:t>’</w:t>
      </w:r>
      <w:r w:rsidRPr="008C6611">
        <w:t xml:space="preserve">extrémisme de façon à </w:t>
      </w:r>
      <w:r>
        <w:t>y insérer</w:t>
      </w:r>
      <w:r w:rsidRPr="008C6611">
        <w:t xml:space="preserve"> une définition claire de </w:t>
      </w:r>
      <w:r>
        <w:t>ce phénomène</w:t>
      </w:r>
      <w:r w:rsidRPr="008C6611">
        <w:t xml:space="preserve">; et </w:t>
      </w:r>
      <w:r>
        <w:t xml:space="preserve">à </w:t>
      </w:r>
      <w:r w:rsidRPr="008C6611">
        <w:t>envisager un réexamen de la loi sur les ONG. Dans l</w:t>
      </w:r>
      <w:r>
        <w:t>’</w:t>
      </w:r>
      <w:r w:rsidRPr="008C6611">
        <w:t xml:space="preserve">affirmative, M. Vázquez souhaiterait savoir quelles mesures </w:t>
      </w:r>
      <w:r>
        <w:t xml:space="preserve">ont été </w:t>
      </w:r>
      <w:r w:rsidRPr="008C6611">
        <w:t>prises pour donner suite à ces recommandations.</w:t>
      </w:r>
    </w:p>
    <w:p w:rsidR="00DA6DD0" w:rsidRPr="008C6611" w:rsidRDefault="00DA6DD0" w:rsidP="00DA6DD0">
      <w:pPr>
        <w:pStyle w:val="SingleTxtG"/>
      </w:pPr>
      <w:r w:rsidRPr="008C6611">
        <w:t>70.</w:t>
      </w:r>
      <w:r w:rsidRPr="008C6611">
        <w:tab/>
      </w:r>
      <w:r w:rsidRPr="00E541CF">
        <w:t>M. Vázquez</w:t>
      </w:r>
      <w:r w:rsidRPr="008C6611">
        <w:t xml:space="preserve"> demande si des données sont disponibles sur le nombre de réfugiés ayant obtenu la nationalité de l</w:t>
      </w:r>
      <w:r>
        <w:t>’</w:t>
      </w:r>
      <w:r w:rsidRPr="008C6611">
        <w:t>État partie.</w:t>
      </w:r>
    </w:p>
    <w:p w:rsidR="00DA6DD0" w:rsidRPr="008C6611" w:rsidRDefault="00DA6DD0" w:rsidP="00DA6DD0">
      <w:pPr>
        <w:pStyle w:val="SingleTxtG"/>
      </w:pPr>
      <w:r w:rsidRPr="008C6611">
        <w:t>71.</w:t>
      </w:r>
      <w:r w:rsidRPr="008C6611">
        <w:tab/>
      </w:r>
      <w:r w:rsidRPr="008C6611">
        <w:rPr>
          <w:b/>
        </w:rPr>
        <w:t>M. Lindgren Alves</w:t>
      </w:r>
      <w:r w:rsidRPr="008C6611">
        <w:t xml:space="preserve"> demande si les résultats du recensement de 2010 </w:t>
      </w:r>
      <w:r>
        <w:t>ont</w:t>
      </w:r>
      <w:r w:rsidRPr="008C6611">
        <w:t xml:space="preserve"> été publié</w:t>
      </w:r>
      <w:r>
        <w:t>s</w:t>
      </w:r>
      <w:r w:rsidRPr="008C6611">
        <w:t xml:space="preserve"> et, dans l</w:t>
      </w:r>
      <w:r>
        <w:t>’</w:t>
      </w:r>
      <w:r w:rsidRPr="008C6611">
        <w:t xml:space="preserve">affirmative, </w:t>
      </w:r>
      <w:r>
        <w:t>souhaiterait</w:t>
      </w:r>
      <w:r w:rsidRPr="008C6611">
        <w:t xml:space="preserve"> qu</w:t>
      </w:r>
      <w:r>
        <w:t>’ils soient envoyés au Comité</w:t>
      </w:r>
      <w:r w:rsidRPr="008C6611">
        <w:t xml:space="preserve"> </w:t>
      </w:r>
      <w:r>
        <w:t>car</w:t>
      </w:r>
      <w:r w:rsidRPr="008C6611">
        <w:t xml:space="preserve"> ils </w:t>
      </w:r>
      <w:r>
        <w:t xml:space="preserve">lui </w:t>
      </w:r>
      <w:r w:rsidRPr="008C6611">
        <w:t xml:space="preserve">fourniraient des informations utiles sur la situation des différents groupes ethniques </w:t>
      </w:r>
      <w:r>
        <w:t>dans</w:t>
      </w:r>
      <w:r w:rsidRPr="008C6611">
        <w:t xml:space="preserve"> l</w:t>
      </w:r>
      <w:r>
        <w:t>’État partie. Il </w:t>
      </w:r>
      <w:r w:rsidRPr="008C6611">
        <w:t>félicite l</w:t>
      </w:r>
      <w:r>
        <w:t>’</w:t>
      </w:r>
      <w:r w:rsidRPr="008C6611">
        <w:t>État partie de ce que son rapport périodique et ses efforts sur le terrain soient axés sur l</w:t>
      </w:r>
      <w:r>
        <w:t>’</w:t>
      </w:r>
      <w:r w:rsidRPr="008C6611">
        <w:t>interdiction des groupes extrémistes et la préve</w:t>
      </w:r>
      <w:r>
        <w:t>ntion des actes extrémistes, en </w:t>
      </w:r>
      <w:r w:rsidRPr="008C6611">
        <w:t>particulier des actes de violence.</w:t>
      </w:r>
    </w:p>
    <w:p w:rsidR="00DA6DD0" w:rsidRPr="008C6611" w:rsidRDefault="00DA6DD0" w:rsidP="00DA6DD0">
      <w:pPr>
        <w:pStyle w:val="SingleTxtG"/>
      </w:pPr>
      <w:r w:rsidRPr="008C6611">
        <w:t>72.</w:t>
      </w:r>
      <w:r w:rsidRPr="008C6611">
        <w:tab/>
      </w:r>
      <w:r w:rsidRPr="006D05E6">
        <w:rPr>
          <w:b/>
        </w:rPr>
        <w:t>M</w:t>
      </w:r>
      <w:r w:rsidRPr="006D05E6">
        <w:rPr>
          <w:b/>
          <w:vertAlign w:val="superscript"/>
        </w:rPr>
        <w:t>me</w:t>
      </w:r>
      <w:r w:rsidRPr="006D05E6">
        <w:rPr>
          <w:b/>
        </w:rPr>
        <w:t> </w:t>
      </w:r>
      <w:r w:rsidRPr="008C6611">
        <w:rPr>
          <w:b/>
        </w:rPr>
        <w:t>Dah</w:t>
      </w:r>
      <w:r w:rsidRPr="008C6611">
        <w:t xml:space="preserve"> félicite le Gouvernement pour son rapport périodique, conforme aux directives du Comité relatives à l</w:t>
      </w:r>
      <w:r>
        <w:t>’</w:t>
      </w:r>
      <w:r w:rsidRPr="008C6611">
        <w:t xml:space="preserve">établissement des rapports. Cependant, elle le prie instamment de soumettre </w:t>
      </w:r>
      <w:r>
        <w:t xml:space="preserve">au Comité </w:t>
      </w:r>
      <w:r w:rsidRPr="008C6611">
        <w:t xml:space="preserve">un document de base à jour, sachant que </w:t>
      </w:r>
      <w:r>
        <w:t xml:space="preserve">celui dont il dispose </w:t>
      </w:r>
      <w:r w:rsidRPr="008C6611">
        <w:t>date de 1996.</w:t>
      </w:r>
    </w:p>
    <w:p w:rsidR="00DA6DD0" w:rsidRPr="008C6611" w:rsidRDefault="00DA6DD0" w:rsidP="00DA6DD0">
      <w:pPr>
        <w:pStyle w:val="SingleTxtG"/>
      </w:pPr>
      <w:r w:rsidRPr="008C6611">
        <w:t>73.</w:t>
      </w:r>
      <w:r w:rsidRPr="008C6611">
        <w:tab/>
      </w:r>
      <w:r>
        <w:t>M</w:t>
      </w:r>
      <w:r w:rsidRPr="00D91DA2">
        <w:rPr>
          <w:vertAlign w:val="superscript"/>
        </w:rPr>
        <w:t>me</w:t>
      </w:r>
      <w:r>
        <w:t> </w:t>
      </w:r>
      <w:r w:rsidRPr="006D05E6">
        <w:t>Dah</w:t>
      </w:r>
      <w:r w:rsidRPr="008C6611">
        <w:t xml:space="preserve"> s</w:t>
      </w:r>
      <w:r>
        <w:t>’</w:t>
      </w:r>
      <w:r w:rsidRPr="008C6611">
        <w:t>enquiert des mesures que l</w:t>
      </w:r>
      <w:r>
        <w:t>’</w:t>
      </w:r>
      <w:r w:rsidRPr="008C6611">
        <w:t>État partie prend pour veiller à ce que toutes les formes d</w:t>
      </w:r>
      <w:r>
        <w:t>’</w:t>
      </w:r>
      <w:r w:rsidRPr="008C6611">
        <w:t xml:space="preserve">éducation </w:t>
      </w:r>
      <w:r>
        <w:t>− </w:t>
      </w:r>
      <w:r w:rsidRPr="008C6611">
        <w:t>au sein de la famille, à l</w:t>
      </w:r>
      <w:r>
        <w:t>’</w:t>
      </w:r>
      <w:r w:rsidRPr="008C6611">
        <w:t>école, à l</w:t>
      </w:r>
      <w:r>
        <w:t>’</w:t>
      </w:r>
      <w:r w:rsidRPr="008C6611">
        <w:t xml:space="preserve">université et par le biais des médias </w:t>
      </w:r>
      <w:r>
        <w:t>− </w:t>
      </w:r>
      <w:r w:rsidRPr="008C6611">
        <w:t xml:space="preserve">contribuent aux efforts visant à </w:t>
      </w:r>
      <w:r>
        <w:t>inverser</w:t>
      </w:r>
      <w:r w:rsidRPr="008C6611">
        <w:t xml:space="preserve"> la tendance à l</w:t>
      </w:r>
      <w:r>
        <w:t>’</w:t>
      </w:r>
      <w:r w:rsidRPr="008C6611">
        <w:t>extrémisme qui semble actuellement avoir une influence importante sur de nombreux jeunes.</w:t>
      </w:r>
    </w:p>
    <w:p w:rsidR="00DA6DD0" w:rsidRPr="008C6611" w:rsidRDefault="00DA6DD0" w:rsidP="00DA6DD0">
      <w:pPr>
        <w:pStyle w:val="SingleTxtG"/>
        <w:rPr>
          <w:i/>
        </w:rPr>
      </w:pPr>
      <w:r w:rsidRPr="008C6611">
        <w:rPr>
          <w:i/>
        </w:rPr>
        <w:t>La séance est levée à 18 heures.</w:t>
      </w:r>
    </w:p>
    <w:sectPr w:rsidR="00DA6DD0" w:rsidRPr="008C6611" w:rsidSect="006B51F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76" w:rsidRDefault="00491E76"/>
  </w:endnote>
  <w:endnote w:type="continuationSeparator" w:id="0">
    <w:p w:rsidR="00491E76" w:rsidRDefault="00491E76"/>
  </w:endnote>
  <w:endnote w:type="continuationNotice" w:id="1">
    <w:p w:rsidR="00491E76" w:rsidRPr="008918E4" w:rsidRDefault="00491E76" w:rsidP="008918E4">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8E" w:rsidRPr="006B51FF" w:rsidRDefault="0044208E" w:rsidP="006B51FF">
    <w:pPr>
      <w:pStyle w:val="Footer"/>
      <w:tabs>
        <w:tab w:val="right" w:pos="9638"/>
      </w:tabs>
    </w:pPr>
    <w:r w:rsidRPr="006B51FF">
      <w:rPr>
        <w:b/>
        <w:sz w:val="18"/>
      </w:rPr>
      <w:fldChar w:fldCharType="begin"/>
    </w:r>
    <w:r w:rsidRPr="006B51FF">
      <w:rPr>
        <w:b/>
        <w:sz w:val="18"/>
      </w:rPr>
      <w:instrText xml:space="preserve"> PAGE  \* MERGEFORMAT </w:instrText>
    </w:r>
    <w:r w:rsidRPr="006B51FF">
      <w:rPr>
        <w:b/>
        <w:sz w:val="18"/>
      </w:rPr>
      <w:fldChar w:fldCharType="separate"/>
    </w:r>
    <w:r w:rsidR="00E2798F">
      <w:rPr>
        <w:b/>
        <w:noProof/>
        <w:sz w:val="18"/>
      </w:rPr>
      <w:t>6</w:t>
    </w:r>
    <w:r w:rsidRPr="006B51FF">
      <w:rPr>
        <w:b/>
        <w:sz w:val="18"/>
      </w:rPr>
      <w:fldChar w:fldCharType="end"/>
    </w:r>
    <w:r>
      <w:rPr>
        <w:b/>
        <w:sz w:val="18"/>
      </w:rPr>
      <w:tab/>
    </w:r>
    <w:r>
      <w:t>GE.13-41106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8E" w:rsidRPr="006B51FF" w:rsidRDefault="0044208E" w:rsidP="006B51FF">
    <w:pPr>
      <w:pStyle w:val="Footer"/>
      <w:tabs>
        <w:tab w:val="right" w:pos="9638"/>
      </w:tabs>
      <w:rPr>
        <w:b/>
        <w:sz w:val="18"/>
      </w:rPr>
    </w:pPr>
    <w:r>
      <w:t>GE.13-41106</w:t>
    </w:r>
    <w:r>
      <w:tab/>
    </w:r>
    <w:r w:rsidRPr="006B51FF">
      <w:rPr>
        <w:b/>
        <w:sz w:val="18"/>
      </w:rPr>
      <w:fldChar w:fldCharType="begin"/>
    </w:r>
    <w:r w:rsidRPr="006B51FF">
      <w:rPr>
        <w:b/>
        <w:sz w:val="18"/>
      </w:rPr>
      <w:instrText xml:space="preserve"> PAGE  \* MERGEFORMAT </w:instrText>
    </w:r>
    <w:r w:rsidRPr="006B51FF">
      <w:rPr>
        <w:b/>
        <w:sz w:val="18"/>
      </w:rPr>
      <w:fldChar w:fldCharType="separate"/>
    </w:r>
    <w:r w:rsidR="007E71BB">
      <w:rPr>
        <w:b/>
        <w:noProof/>
        <w:sz w:val="18"/>
      </w:rPr>
      <w:t>5</w:t>
    </w:r>
    <w:r w:rsidRPr="006B51F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8E" w:rsidRDefault="0044208E" w:rsidP="005E01B1">
    <w:pPr>
      <w:pBdr>
        <w:bottom w:val="single" w:sz="4" w:space="1" w:color="auto"/>
      </w:pBdr>
      <w:spacing w:line="240" w:lineRule="auto"/>
    </w:pPr>
  </w:p>
  <w:p w:rsidR="0044208E" w:rsidRDefault="0044208E" w:rsidP="0037280E">
    <w:pPr>
      <w:pStyle w:val="FootnoteText"/>
      <w:tabs>
        <w:tab w:val="clear" w:pos="1021"/>
      </w:tabs>
      <w:spacing w:after="120"/>
      <w:ind w:firstLine="0"/>
    </w:pPr>
    <w:r>
      <w:t>Le présent compte rendu est sujet à rectifications.</w:t>
    </w:r>
  </w:p>
  <w:p w:rsidR="0044208E" w:rsidRDefault="0044208E" w:rsidP="0037280E">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37280E">
      <w:rPr>
        <w:i/>
      </w:rPr>
      <w:t>une semaine au pl</w:t>
    </w:r>
    <w:r>
      <w:rPr>
        <w:i/>
      </w:rPr>
      <w:t xml:space="preserve">us tard à compter de la date du </w:t>
    </w:r>
    <w:r w:rsidRPr="0037280E">
      <w:rPr>
        <w:i/>
      </w:rPr>
      <w:t>présent document</w:t>
    </w:r>
    <w:r>
      <w:t>, au Groupe d’édition, bureau E.4108, Palais des Nations, Genève.</w:t>
    </w:r>
  </w:p>
  <w:p w:rsidR="0044208E" w:rsidRDefault="0044208E" w:rsidP="0037280E">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44208E" w:rsidRPr="006B51FF" w:rsidRDefault="0044208E" w:rsidP="009F6A8C">
    <w:pPr>
      <w:spacing w:line="240" w:lineRule="auto"/>
    </w:pPr>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 xml:space="preserve">13-41106  (F)    130513    </w:t>
    </w:r>
    <w:r w:rsidR="00DA6DD0">
      <w:t>130513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76" w:rsidRPr="00D27D5E" w:rsidRDefault="00491E76" w:rsidP="00D27D5E">
      <w:pPr>
        <w:tabs>
          <w:tab w:val="right" w:pos="2155"/>
        </w:tabs>
        <w:spacing w:after="80"/>
        <w:ind w:left="680"/>
        <w:rPr>
          <w:u w:val="single"/>
        </w:rPr>
      </w:pPr>
      <w:r>
        <w:rPr>
          <w:u w:val="single"/>
        </w:rPr>
        <w:tab/>
      </w:r>
    </w:p>
  </w:footnote>
  <w:footnote w:type="continuationSeparator" w:id="0">
    <w:p w:rsidR="00491E76" w:rsidRDefault="00491E76">
      <w:r>
        <w:rPr>
          <w:u w:val="single"/>
        </w:rPr>
        <w:tab/>
      </w:r>
      <w:r>
        <w:rPr>
          <w:u w:val="single"/>
        </w:rPr>
        <w:tab/>
      </w:r>
      <w:r>
        <w:rPr>
          <w:u w:val="single"/>
        </w:rPr>
        <w:tab/>
      </w:r>
      <w:r>
        <w:rPr>
          <w:u w:val="single"/>
        </w:rPr>
        <w:tab/>
      </w:r>
    </w:p>
  </w:footnote>
  <w:footnote w:type="continuationNotice" w:id="1">
    <w:p w:rsidR="00491E76" w:rsidRPr="008918E4" w:rsidRDefault="00491E76" w:rsidP="008918E4">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8E" w:rsidRPr="006B51FF" w:rsidRDefault="0044208E">
    <w:pPr>
      <w:pStyle w:val="Header"/>
    </w:pPr>
    <w:r>
      <w:t>CERD/C/SR.2211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8E" w:rsidRPr="006B51FF" w:rsidRDefault="0044208E" w:rsidP="006B51FF">
    <w:pPr>
      <w:pStyle w:val="Header"/>
      <w:jc w:val="right"/>
    </w:pPr>
    <w:r>
      <w:t>CERD/C/SR.2211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5">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40221049"/>
    <w:multiLevelType w:val="singleLevel"/>
    <w:tmpl w:val="04D4B0C4"/>
    <w:lvl w:ilvl="0">
      <w:start w:val="1"/>
      <w:numFmt w:val="decimal"/>
      <w:lvlText w:val="%1."/>
      <w:lvlJc w:val="left"/>
      <w:pPr>
        <w:tabs>
          <w:tab w:val="num" w:pos="360"/>
        </w:tabs>
        <w:ind w:left="360" w:hanging="360"/>
      </w:pPr>
    </w:lvl>
  </w:abstractNum>
  <w:abstractNum w:abstractNumId="27">
    <w:nsid w:val="452D144C"/>
    <w:multiLevelType w:val="singleLevel"/>
    <w:tmpl w:val="7C4C0A7C"/>
    <w:lvl w:ilvl="0">
      <w:start w:val="1"/>
      <w:numFmt w:val="decimal"/>
      <w:lvlText w:val="(%1)"/>
      <w:lvlJc w:val="left"/>
      <w:pPr>
        <w:tabs>
          <w:tab w:val="num" w:pos="720"/>
        </w:tabs>
        <w:ind w:left="720" w:hanging="720"/>
      </w:pPr>
    </w:lvl>
  </w:abstractNum>
  <w:abstractNum w:abstractNumId="28">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6">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ACA643D"/>
    <w:multiLevelType w:val="singleLevel"/>
    <w:tmpl w:val="0409000F"/>
    <w:lvl w:ilvl="0">
      <w:start w:val="1"/>
      <w:numFmt w:val="decimal"/>
      <w:lvlText w:val="%1."/>
      <w:lvlJc w:val="left"/>
      <w:pPr>
        <w:tabs>
          <w:tab w:val="num" w:pos="360"/>
        </w:tabs>
        <w:ind w:left="360" w:hanging="360"/>
      </w:pPr>
    </w:lvl>
  </w:abstractNum>
  <w:abstractNum w:abstractNumId="41">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4">
    <w:nsid w:val="7DBF6B58"/>
    <w:multiLevelType w:val="singleLevel"/>
    <w:tmpl w:val="0409000F"/>
    <w:lvl w:ilvl="0">
      <w:start w:val="1"/>
      <w:numFmt w:val="decimal"/>
      <w:lvlText w:val="%1."/>
      <w:lvlJc w:val="left"/>
      <w:pPr>
        <w:tabs>
          <w:tab w:val="num" w:pos="360"/>
        </w:tabs>
        <w:ind w:left="360" w:hanging="360"/>
      </w:pPr>
    </w:lvl>
  </w:abstractNum>
  <w:num w:numId="1">
    <w:abstractNumId w:val="38"/>
  </w:num>
  <w:num w:numId="2">
    <w:abstractNumId w:val="23"/>
  </w:num>
  <w:num w:numId="3">
    <w:abstractNumId w:val="33"/>
  </w:num>
  <w:num w:numId="4">
    <w:abstractNumId w:val="20"/>
  </w:num>
  <w:num w:numId="5">
    <w:abstractNumId w:val="16"/>
  </w:num>
  <w:num w:numId="6">
    <w:abstractNumId w:val="41"/>
  </w:num>
  <w:num w:numId="7">
    <w:abstractNumId w:val="43"/>
  </w:num>
  <w:num w:numId="8">
    <w:abstractNumId w:val="18"/>
  </w:num>
  <w:num w:numId="9">
    <w:abstractNumId w:val="11"/>
  </w:num>
  <w:num w:numId="10">
    <w:abstractNumId w:val="21"/>
  </w:num>
  <w:num w:numId="11">
    <w:abstractNumId w:val="26"/>
  </w:num>
  <w:num w:numId="12">
    <w:abstractNumId w:val="40"/>
  </w:num>
  <w:num w:numId="13">
    <w:abstractNumId w:val="32"/>
  </w:num>
  <w:num w:numId="14">
    <w:abstractNumId w:val="44"/>
  </w:num>
  <w:num w:numId="15">
    <w:abstractNumId w:val="30"/>
  </w:num>
  <w:num w:numId="16">
    <w:abstractNumId w:val="37"/>
  </w:num>
  <w:num w:numId="17">
    <w:abstractNumId w:val="24"/>
  </w:num>
  <w:num w:numId="18">
    <w:abstractNumId w:val="1"/>
  </w:num>
  <w:num w:numId="19">
    <w:abstractNumId w:val="0"/>
  </w:num>
  <w:num w:numId="20">
    <w:abstractNumId w:val="19"/>
  </w:num>
  <w:num w:numId="21">
    <w:abstractNumId w:val="10"/>
  </w:num>
  <w:num w:numId="22">
    <w:abstractNumId w:val="14"/>
  </w:num>
  <w:num w:numId="23">
    <w:abstractNumId w:val="12"/>
  </w:num>
  <w:num w:numId="24">
    <w:abstractNumId w:val="27"/>
  </w:num>
  <w:num w:numId="25">
    <w:abstractNumId w:val="35"/>
  </w:num>
  <w:num w:numId="26">
    <w:abstractNumId w:val="2"/>
  </w:num>
  <w:num w:numId="27">
    <w:abstractNumId w:val="3"/>
  </w:num>
  <w:num w:numId="28">
    <w:abstractNumId w:val="8"/>
  </w:num>
  <w:num w:numId="29">
    <w:abstractNumId w:val="9"/>
  </w:num>
  <w:num w:numId="30">
    <w:abstractNumId w:val="7"/>
  </w:num>
  <w:num w:numId="31">
    <w:abstractNumId w:val="6"/>
  </w:num>
  <w:num w:numId="32">
    <w:abstractNumId w:val="5"/>
  </w:num>
  <w:num w:numId="33">
    <w:abstractNumId w:val="4"/>
  </w:num>
  <w:num w:numId="34">
    <w:abstractNumId w:val="13"/>
  </w:num>
  <w:num w:numId="35">
    <w:abstractNumId w:val="42"/>
  </w:num>
  <w:num w:numId="36">
    <w:abstractNumId w:val="29"/>
  </w:num>
  <w:num w:numId="37">
    <w:abstractNumId w:val="39"/>
  </w:num>
  <w:num w:numId="38">
    <w:abstractNumId w:val="15"/>
  </w:num>
  <w:num w:numId="39">
    <w:abstractNumId w:val="25"/>
  </w:num>
  <w:num w:numId="40">
    <w:abstractNumId w:val="34"/>
  </w:num>
  <w:num w:numId="41">
    <w:abstractNumId w:val="22"/>
  </w:num>
  <w:num w:numId="42">
    <w:abstractNumId w:val="36"/>
  </w:num>
  <w:num w:numId="43">
    <w:abstractNumId w:val="31"/>
  </w:num>
  <w:num w:numId="44">
    <w:abstractNumId w:val="28"/>
  </w:num>
  <w:num w:numId="45">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proofState w:spelling="clean"/>
  <w:attachedTemplate r:id="rId1"/>
  <w:stylePaneFormatFilter w:val="1F08"/>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66C"/>
    <w:rsid w:val="00016AC5"/>
    <w:rsid w:val="00054609"/>
    <w:rsid w:val="00096678"/>
    <w:rsid w:val="000E4D24"/>
    <w:rsid w:val="000F1C24"/>
    <w:rsid w:val="000F41F2"/>
    <w:rsid w:val="001231AD"/>
    <w:rsid w:val="001261AA"/>
    <w:rsid w:val="00160540"/>
    <w:rsid w:val="00192EEB"/>
    <w:rsid w:val="00196C2C"/>
    <w:rsid w:val="001A20FB"/>
    <w:rsid w:val="001C1642"/>
    <w:rsid w:val="001D7F8A"/>
    <w:rsid w:val="001E3FEB"/>
    <w:rsid w:val="001E4A02"/>
    <w:rsid w:val="0021030C"/>
    <w:rsid w:val="00225A8C"/>
    <w:rsid w:val="00236791"/>
    <w:rsid w:val="00253C54"/>
    <w:rsid w:val="002659F1"/>
    <w:rsid w:val="00287E79"/>
    <w:rsid w:val="002928F9"/>
    <w:rsid w:val="002A5D07"/>
    <w:rsid w:val="002C4953"/>
    <w:rsid w:val="002C79BB"/>
    <w:rsid w:val="002D3F03"/>
    <w:rsid w:val="002E0D40"/>
    <w:rsid w:val="002E5B0C"/>
    <w:rsid w:val="003016B7"/>
    <w:rsid w:val="00314310"/>
    <w:rsid w:val="00331CFF"/>
    <w:rsid w:val="003515AA"/>
    <w:rsid w:val="0037280E"/>
    <w:rsid w:val="00374106"/>
    <w:rsid w:val="00387DF1"/>
    <w:rsid w:val="003976D5"/>
    <w:rsid w:val="003B5A8F"/>
    <w:rsid w:val="003B768D"/>
    <w:rsid w:val="003D6C68"/>
    <w:rsid w:val="004159D0"/>
    <w:rsid w:val="00431257"/>
    <w:rsid w:val="0044208E"/>
    <w:rsid w:val="00452C2D"/>
    <w:rsid w:val="00490F0E"/>
    <w:rsid w:val="00491E76"/>
    <w:rsid w:val="004F6C27"/>
    <w:rsid w:val="00516517"/>
    <w:rsid w:val="005247B1"/>
    <w:rsid w:val="00543587"/>
    <w:rsid w:val="00543D5E"/>
    <w:rsid w:val="00556D66"/>
    <w:rsid w:val="00571F41"/>
    <w:rsid w:val="00593658"/>
    <w:rsid w:val="005B22D7"/>
    <w:rsid w:val="005E01B1"/>
    <w:rsid w:val="005E5D1F"/>
    <w:rsid w:val="00611D43"/>
    <w:rsid w:val="00612D48"/>
    <w:rsid w:val="00616B45"/>
    <w:rsid w:val="00630D9B"/>
    <w:rsid w:val="00631953"/>
    <w:rsid w:val="006439EC"/>
    <w:rsid w:val="00663F1D"/>
    <w:rsid w:val="00681161"/>
    <w:rsid w:val="0068301C"/>
    <w:rsid w:val="006B0A41"/>
    <w:rsid w:val="006B4590"/>
    <w:rsid w:val="006B51FF"/>
    <w:rsid w:val="006C340C"/>
    <w:rsid w:val="006D7B0B"/>
    <w:rsid w:val="0070347C"/>
    <w:rsid w:val="007155C5"/>
    <w:rsid w:val="007176C1"/>
    <w:rsid w:val="007B4E8B"/>
    <w:rsid w:val="007E1E6E"/>
    <w:rsid w:val="007E71BB"/>
    <w:rsid w:val="007F55CB"/>
    <w:rsid w:val="00824724"/>
    <w:rsid w:val="00836FC3"/>
    <w:rsid w:val="00844750"/>
    <w:rsid w:val="008918E4"/>
    <w:rsid w:val="008B44C4"/>
    <w:rsid w:val="008D2259"/>
    <w:rsid w:val="008E7FAE"/>
    <w:rsid w:val="00901D83"/>
    <w:rsid w:val="00911BF7"/>
    <w:rsid w:val="00913294"/>
    <w:rsid w:val="00930A8B"/>
    <w:rsid w:val="00977EC8"/>
    <w:rsid w:val="0098067F"/>
    <w:rsid w:val="009967BD"/>
    <w:rsid w:val="009C17F5"/>
    <w:rsid w:val="009D0868"/>
    <w:rsid w:val="009D3A8C"/>
    <w:rsid w:val="009D4069"/>
    <w:rsid w:val="009E7956"/>
    <w:rsid w:val="009F2A3B"/>
    <w:rsid w:val="009F6A8C"/>
    <w:rsid w:val="00A22227"/>
    <w:rsid w:val="00A2492E"/>
    <w:rsid w:val="00A80AA7"/>
    <w:rsid w:val="00A84603"/>
    <w:rsid w:val="00AA7769"/>
    <w:rsid w:val="00AB3173"/>
    <w:rsid w:val="00AB498D"/>
    <w:rsid w:val="00AC67A1"/>
    <w:rsid w:val="00AC6C52"/>
    <w:rsid w:val="00AC7977"/>
    <w:rsid w:val="00AE352C"/>
    <w:rsid w:val="00AE68B5"/>
    <w:rsid w:val="00AF4D8D"/>
    <w:rsid w:val="00B32E2D"/>
    <w:rsid w:val="00B61990"/>
    <w:rsid w:val="00B76AA7"/>
    <w:rsid w:val="00B9009C"/>
    <w:rsid w:val="00BC7A7F"/>
    <w:rsid w:val="00BF0556"/>
    <w:rsid w:val="00BF2C06"/>
    <w:rsid w:val="00C17D34"/>
    <w:rsid w:val="00C261F8"/>
    <w:rsid w:val="00C33100"/>
    <w:rsid w:val="00C75B95"/>
    <w:rsid w:val="00C80288"/>
    <w:rsid w:val="00CA44CB"/>
    <w:rsid w:val="00CA68D2"/>
    <w:rsid w:val="00CB566C"/>
    <w:rsid w:val="00CD1A71"/>
    <w:rsid w:val="00CD1F52"/>
    <w:rsid w:val="00CD1FBB"/>
    <w:rsid w:val="00CE4082"/>
    <w:rsid w:val="00D016B5"/>
    <w:rsid w:val="00D034F1"/>
    <w:rsid w:val="00D223D6"/>
    <w:rsid w:val="00D27D5E"/>
    <w:rsid w:val="00D615DB"/>
    <w:rsid w:val="00D77945"/>
    <w:rsid w:val="00D87E73"/>
    <w:rsid w:val="00DA2D82"/>
    <w:rsid w:val="00DA6DD0"/>
    <w:rsid w:val="00DC156C"/>
    <w:rsid w:val="00DC5D25"/>
    <w:rsid w:val="00DE6D90"/>
    <w:rsid w:val="00DF002F"/>
    <w:rsid w:val="00E0244D"/>
    <w:rsid w:val="00E11A7F"/>
    <w:rsid w:val="00E2798F"/>
    <w:rsid w:val="00E36436"/>
    <w:rsid w:val="00E36B3F"/>
    <w:rsid w:val="00E42D5E"/>
    <w:rsid w:val="00E81E94"/>
    <w:rsid w:val="00E82607"/>
    <w:rsid w:val="00E94CC2"/>
    <w:rsid w:val="00E96E79"/>
    <w:rsid w:val="00EA4517"/>
    <w:rsid w:val="00EB379F"/>
    <w:rsid w:val="00ED267C"/>
    <w:rsid w:val="00EE09CE"/>
    <w:rsid w:val="00F04E91"/>
    <w:rsid w:val="00F45342"/>
    <w:rsid w:val="00F750E8"/>
    <w:rsid w:val="00F76A46"/>
    <w:rsid w:val="00FA5A79"/>
    <w:rsid w:val="00FB0BFE"/>
    <w:rsid w:val="00FB4C51"/>
    <w:rsid w:val="00FB56CA"/>
    <w:rsid w:val="00FF1DBD"/>
    <w:rsid w:val="00FF35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E4"/>
    <w:pPr>
      <w:suppressAutoHyphens/>
      <w:spacing w:line="240" w:lineRule="atLeast"/>
    </w:pPr>
    <w:rPr>
      <w:lang w:val="fr-CH"/>
    </w:rPr>
  </w:style>
  <w:style w:type="paragraph" w:styleId="Heading1">
    <w:name w:val="heading 1"/>
    <w:aliases w:val="Table_G"/>
    <w:basedOn w:val="SingleTxtG"/>
    <w:next w:val="SingleTxtG"/>
    <w:qFormat/>
    <w:rsid w:val="008918E4"/>
    <w:pPr>
      <w:keepNext/>
      <w:keepLines/>
      <w:spacing w:after="0" w:line="240" w:lineRule="auto"/>
      <w:ind w:right="0"/>
      <w:jc w:val="left"/>
      <w:outlineLvl w:val="0"/>
    </w:pPr>
  </w:style>
  <w:style w:type="paragraph" w:styleId="Heading2">
    <w:name w:val="heading 2"/>
    <w:basedOn w:val="Normal"/>
    <w:next w:val="Normal"/>
    <w:qFormat/>
    <w:rsid w:val="008918E4"/>
    <w:pPr>
      <w:outlineLvl w:val="1"/>
    </w:pPr>
  </w:style>
  <w:style w:type="paragraph" w:styleId="Heading3">
    <w:name w:val="heading 3"/>
    <w:basedOn w:val="Normal"/>
    <w:next w:val="Normal"/>
    <w:qFormat/>
    <w:rsid w:val="008918E4"/>
    <w:pPr>
      <w:outlineLvl w:val="2"/>
    </w:pPr>
  </w:style>
  <w:style w:type="paragraph" w:styleId="Heading4">
    <w:name w:val="heading 4"/>
    <w:basedOn w:val="Normal"/>
    <w:next w:val="Normal"/>
    <w:qFormat/>
    <w:rsid w:val="008918E4"/>
    <w:pPr>
      <w:outlineLvl w:val="3"/>
    </w:pPr>
  </w:style>
  <w:style w:type="paragraph" w:styleId="Heading5">
    <w:name w:val="heading 5"/>
    <w:basedOn w:val="Normal"/>
    <w:next w:val="Normal"/>
    <w:qFormat/>
    <w:rsid w:val="008918E4"/>
    <w:pPr>
      <w:outlineLvl w:val="4"/>
    </w:pPr>
  </w:style>
  <w:style w:type="paragraph" w:styleId="Heading6">
    <w:name w:val="heading 6"/>
    <w:basedOn w:val="Normal"/>
    <w:next w:val="Normal"/>
    <w:qFormat/>
    <w:rsid w:val="008918E4"/>
    <w:pPr>
      <w:outlineLvl w:val="5"/>
    </w:pPr>
  </w:style>
  <w:style w:type="paragraph" w:styleId="Heading7">
    <w:name w:val="heading 7"/>
    <w:basedOn w:val="Normal"/>
    <w:next w:val="Normal"/>
    <w:qFormat/>
    <w:rsid w:val="008918E4"/>
    <w:pPr>
      <w:outlineLvl w:val="6"/>
    </w:pPr>
  </w:style>
  <w:style w:type="paragraph" w:styleId="Heading8">
    <w:name w:val="heading 8"/>
    <w:basedOn w:val="Normal"/>
    <w:next w:val="Normal"/>
    <w:qFormat/>
    <w:rsid w:val="008918E4"/>
    <w:pPr>
      <w:outlineLvl w:val="7"/>
    </w:pPr>
  </w:style>
  <w:style w:type="paragraph" w:styleId="Heading9">
    <w:name w:val="heading 9"/>
    <w:basedOn w:val="Normal"/>
    <w:next w:val="Normal"/>
    <w:qFormat/>
    <w:rsid w:val="008918E4"/>
    <w:pPr>
      <w:outlineLvl w:val="8"/>
    </w:pPr>
  </w:style>
  <w:style w:type="character" w:default="1" w:styleId="DefaultParagraphFont">
    <w:name w:val="Default Paragraph Font"/>
    <w:semiHidden/>
    <w:rsid w:val="008918E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18E4"/>
  </w:style>
  <w:style w:type="paragraph" w:customStyle="1" w:styleId="HMG">
    <w:name w:val="_ H __M_G"/>
    <w:basedOn w:val="Normal"/>
    <w:next w:val="Normal"/>
    <w:rsid w:val="008918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918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918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918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918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918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918E4"/>
    <w:pPr>
      <w:spacing w:after="120"/>
      <w:ind w:left="1134" w:right="1134"/>
      <w:jc w:val="both"/>
    </w:pPr>
  </w:style>
  <w:style w:type="paragraph" w:customStyle="1" w:styleId="SLG">
    <w:name w:val="__S_L_G"/>
    <w:basedOn w:val="Normal"/>
    <w:next w:val="Normal"/>
    <w:rsid w:val="008918E4"/>
    <w:pPr>
      <w:keepNext/>
      <w:keepLines/>
      <w:spacing w:before="240" w:after="240" w:line="580" w:lineRule="exact"/>
      <w:ind w:left="1134" w:right="1134"/>
    </w:pPr>
    <w:rPr>
      <w:b/>
      <w:sz w:val="56"/>
    </w:rPr>
  </w:style>
  <w:style w:type="paragraph" w:customStyle="1" w:styleId="SMG">
    <w:name w:val="__S_M_G"/>
    <w:basedOn w:val="Normal"/>
    <w:next w:val="Normal"/>
    <w:rsid w:val="008918E4"/>
    <w:pPr>
      <w:keepNext/>
      <w:keepLines/>
      <w:spacing w:before="240" w:after="240" w:line="420" w:lineRule="exact"/>
      <w:ind w:left="1134" w:right="1134"/>
    </w:pPr>
    <w:rPr>
      <w:b/>
      <w:sz w:val="40"/>
    </w:rPr>
  </w:style>
  <w:style w:type="paragraph" w:customStyle="1" w:styleId="SSG">
    <w:name w:val="__S_S_G"/>
    <w:basedOn w:val="Normal"/>
    <w:next w:val="Normal"/>
    <w:rsid w:val="008918E4"/>
    <w:pPr>
      <w:keepNext/>
      <w:keepLines/>
      <w:spacing w:before="240" w:after="240" w:line="300" w:lineRule="exact"/>
      <w:ind w:left="1134" w:right="1134"/>
    </w:pPr>
    <w:rPr>
      <w:b/>
      <w:sz w:val="28"/>
    </w:rPr>
  </w:style>
  <w:style w:type="paragraph" w:customStyle="1" w:styleId="XLargeG">
    <w:name w:val="__XLarge_G"/>
    <w:basedOn w:val="Normal"/>
    <w:next w:val="Normal"/>
    <w:rsid w:val="008918E4"/>
    <w:pPr>
      <w:keepNext/>
      <w:keepLines/>
      <w:spacing w:before="240" w:after="240" w:line="420" w:lineRule="exact"/>
      <w:ind w:left="1134" w:right="1134"/>
    </w:pPr>
    <w:rPr>
      <w:b/>
      <w:sz w:val="40"/>
    </w:rPr>
  </w:style>
  <w:style w:type="paragraph" w:customStyle="1" w:styleId="Bullet1G">
    <w:name w:val="_Bullet 1_G"/>
    <w:basedOn w:val="Normal"/>
    <w:rsid w:val="008918E4"/>
    <w:pPr>
      <w:numPr>
        <w:numId w:val="1"/>
      </w:numPr>
      <w:spacing w:after="120"/>
      <w:ind w:right="1134"/>
      <w:jc w:val="both"/>
    </w:pPr>
  </w:style>
  <w:style w:type="paragraph" w:customStyle="1" w:styleId="Bullet2G">
    <w:name w:val="_Bullet 2_G"/>
    <w:basedOn w:val="Normal"/>
    <w:rsid w:val="008918E4"/>
    <w:pPr>
      <w:numPr>
        <w:numId w:val="2"/>
      </w:numPr>
      <w:spacing w:after="120"/>
      <w:ind w:right="1134"/>
      <w:jc w:val="both"/>
    </w:pPr>
  </w:style>
  <w:style w:type="character" w:styleId="FootnoteReference">
    <w:name w:val="footnote reference"/>
    <w:aliases w:val="4_G"/>
    <w:basedOn w:val="DefaultParagraphFont"/>
    <w:rsid w:val="008918E4"/>
    <w:rPr>
      <w:rFonts w:ascii="Times New Roman" w:hAnsi="Times New Roman"/>
      <w:sz w:val="18"/>
      <w:vertAlign w:val="superscript"/>
      <w:lang w:val="fr-CH"/>
    </w:rPr>
  </w:style>
  <w:style w:type="character" w:styleId="EndnoteReference">
    <w:name w:val="endnote reference"/>
    <w:aliases w:val="1_G"/>
    <w:basedOn w:val="FootnoteReference"/>
    <w:rsid w:val="008918E4"/>
  </w:style>
  <w:style w:type="paragraph" w:styleId="Header">
    <w:name w:val="header"/>
    <w:aliases w:val="6_G"/>
    <w:basedOn w:val="Normal"/>
    <w:next w:val="Normal"/>
    <w:rsid w:val="008918E4"/>
    <w:pPr>
      <w:pBdr>
        <w:bottom w:val="single" w:sz="4" w:space="4" w:color="auto"/>
      </w:pBdr>
      <w:spacing w:line="240" w:lineRule="auto"/>
    </w:pPr>
    <w:rPr>
      <w:b/>
      <w:sz w:val="18"/>
    </w:rPr>
  </w:style>
  <w:style w:type="paragraph" w:styleId="FootnoteText">
    <w:name w:val="footnote text"/>
    <w:aliases w:val="5_G"/>
    <w:basedOn w:val="Normal"/>
    <w:rsid w:val="008918E4"/>
    <w:pPr>
      <w:tabs>
        <w:tab w:val="right" w:pos="1021"/>
      </w:tabs>
      <w:spacing w:line="220" w:lineRule="exact"/>
      <w:ind w:left="1134" w:right="1134" w:hanging="1134"/>
    </w:pPr>
    <w:rPr>
      <w:sz w:val="18"/>
    </w:rPr>
  </w:style>
  <w:style w:type="paragraph" w:styleId="EndnoteText">
    <w:name w:val="endnote text"/>
    <w:aliases w:val="2_G"/>
    <w:basedOn w:val="FootnoteText"/>
    <w:rsid w:val="008918E4"/>
  </w:style>
  <w:style w:type="character" w:styleId="PageNumber">
    <w:name w:val="page number"/>
    <w:aliases w:val="7_G"/>
    <w:basedOn w:val="DefaultParagraphFont"/>
    <w:rsid w:val="008918E4"/>
    <w:rPr>
      <w:rFonts w:ascii="Times New Roman" w:hAnsi="Times New Roman"/>
      <w:b/>
      <w:sz w:val="18"/>
      <w:lang w:val="fr-CH"/>
    </w:rPr>
  </w:style>
  <w:style w:type="paragraph" w:styleId="Footer">
    <w:name w:val="footer"/>
    <w:aliases w:val="3_G"/>
    <w:basedOn w:val="Normal"/>
    <w:next w:val="Normal"/>
    <w:rsid w:val="008918E4"/>
    <w:pPr>
      <w:spacing w:line="240" w:lineRule="auto"/>
    </w:pPr>
    <w:rPr>
      <w:sz w:val="16"/>
    </w:rPr>
  </w:style>
  <w:style w:type="character" w:styleId="Hyperlink">
    <w:name w:val="Hyperlink"/>
    <w:basedOn w:val="DefaultParagraphFont"/>
    <w:semiHidden/>
    <w:rsid w:val="008918E4"/>
    <w:rPr>
      <w:color w:val="auto"/>
      <w:u w:val="none"/>
    </w:rPr>
  </w:style>
  <w:style w:type="character" w:styleId="FollowedHyperlink">
    <w:name w:val="FollowedHyperlink"/>
    <w:basedOn w:val="DefaultParagraphFont"/>
    <w:semiHidden/>
    <w:rsid w:val="008918E4"/>
    <w:rPr>
      <w:color w:val="auto"/>
      <w:u w:val="none"/>
    </w:rPr>
  </w:style>
  <w:style w:type="table" w:styleId="TableGrid">
    <w:name w:val="Table Grid"/>
    <w:basedOn w:val="TableNormal"/>
    <w:semiHidden/>
    <w:rsid w:val="008918E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Q1.dot</Template>
  <TotalTime>0</TotalTime>
  <Pages>11</Pages>
  <Words>6252</Words>
  <Characters>34887</Characters>
  <Application>Microsoft Office Outlook</Application>
  <DocSecurity>4</DocSecurity>
  <Lines>513</Lines>
  <Paragraphs>109</Paragraphs>
  <ScaleCrop>false</ScaleCrop>
  <HeadingPairs>
    <vt:vector size="2" baseType="variant">
      <vt:variant>
        <vt:lpstr>Titre</vt:lpstr>
      </vt:variant>
      <vt:variant>
        <vt:i4>1</vt:i4>
      </vt:variant>
    </vt:vector>
  </HeadingPairs>
  <TitlesOfParts>
    <vt:vector size="1" baseType="lpstr">
      <vt:lpstr>CERD/C/SR.2211</vt:lpstr>
    </vt:vector>
  </TitlesOfParts>
  <Company>Corinne</Company>
  <LinksUpToDate>false</LinksUpToDate>
  <CharactersWithSpaces>41030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CERD/C/SR.2211</dc:title>
  <dc:subject>Final</dc:subject>
  <dc:creator>Beysard</dc:creator>
  <cp:keywords/>
  <dc:description/>
  <cp:lastModifiedBy>BEAUNEE</cp:lastModifiedBy>
  <cp:revision>2</cp:revision>
  <cp:lastPrinted>2013-05-13T12:04:00Z</cp:lastPrinted>
  <dcterms:created xsi:type="dcterms:W3CDTF">2013-05-13T14:47:00Z</dcterms:created>
  <dcterms:modified xsi:type="dcterms:W3CDTF">2013-05-13T14:47:00Z</dcterms:modified>
</cp:coreProperties>
</file>