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930BF" w14:paraId="068D9A40" w14:textId="77777777" w:rsidTr="005C06D4">
        <w:trPr>
          <w:cantSplit/>
          <w:trHeight w:hRule="exact" w:val="851"/>
        </w:trPr>
        <w:tc>
          <w:tcPr>
            <w:tcW w:w="1276" w:type="dxa"/>
            <w:tcBorders>
              <w:bottom w:val="single" w:sz="4" w:space="0" w:color="auto"/>
            </w:tcBorders>
            <w:vAlign w:val="bottom"/>
          </w:tcPr>
          <w:p w14:paraId="240A7E4B" w14:textId="77777777" w:rsidR="001E498C" w:rsidRPr="009C41E2" w:rsidRDefault="001E498C" w:rsidP="005C06D4">
            <w:pPr>
              <w:spacing w:after="80"/>
            </w:pPr>
          </w:p>
        </w:tc>
        <w:tc>
          <w:tcPr>
            <w:tcW w:w="2268" w:type="dxa"/>
            <w:tcBorders>
              <w:bottom w:val="single" w:sz="4" w:space="0" w:color="auto"/>
            </w:tcBorders>
            <w:vAlign w:val="bottom"/>
          </w:tcPr>
          <w:p w14:paraId="419BC509" w14:textId="77777777" w:rsidR="001E498C" w:rsidRPr="009C41E2" w:rsidRDefault="00380EE2"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FE2B02E" w14:textId="77777777" w:rsidR="001E498C" w:rsidRPr="009C41E2" w:rsidRDefault="00380EE2" w:rsidP="0053631F">
            <w:pPr>
              <w:suppressAutoHyphens w:val="0"/>
              <w:spacing w:after="20"/>
              <w:jc w:val="right"/>
            </w:pPr>
            <w:r w:rsidRPr="00100320">
              <w:rPr>
                <w:sz w:val="40"/>
              </w:rPr>
              <w:t>CERD</w:t>
            </w:r>
            <w:r>
              <w:t>/</w:t>
            </w:r>
            <w:r w:rsidR="00257838" w:rsidRPr="009C41E2">
              <w:t>C/SR.2955</w:t>
            </w:r>
          </w:p>
        </w:tc>
      </w:tr>
      <w:tr w:rsidR="00E930BF" w14:paraId="063AF759" w14:textId="77777777" w:rsidTr="005C06D4">
        <w:trPr>
          <w:cantSplit/>
          <w:trHeight w:hRule="exact" w:val="2835"/>
        </w:trPr>
        <w:tc>
          <w:tcPr>
            <w:tcW w:w="1276" w:type="dxa"/>
            <w:tcBorders>
              <w:top w:val="single" w:sz="4" w:space="0" w:color="auto"/>
              <w:bottom w:val="single" w:sz="12" w:space="0" w:color="auto"/>
            </w:tcBorders>
          </w:tcPr>
          <w:p w14:paraId="01632BF2" w14:textId="77777777" w:rsidR="001E498C" w:rsidRPr="009C41E2" w:rsidRDefault="00380EE2" w:rsidP="005C06D4">
            <w:pPr>
              <w:spacing w:before="120"/>
              <w:jc w:val="center"/>
            </w:pPr>
            <w:r w:rsidRPr="009C41E2">
              <w:rPr>
                <w:noProof/>
                <w:lang w:val="fr-CH" w:eastAsia="fr-CH"/>
              </w:rPr>
              <w:drawing>
                <wp:inline distT="0" distB="0" distL="0" distR="0" wp14:anchorId="1813A656" wp14:editId="44E0FAF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999A36" w14:textId="77777777" w:rsidR="004020CB" w:rsidRPr="000B4EF7" w:rsidRDefault="00380EE2" w:rsidP="004020CB">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3BDE568"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47169947" w14:textId="77777777" w:rsidR="001E498C" w:rsidRPr="00827087" w:rsidRDefault="00380EE2" w:rsidP="005C06D4">
            <w:pPr>
              <w:suppressAutoHyphens w:val="0"/>
              <w:spacing w:before="240" w:line="240" w:lineRule="exact"/>
              <w:rPr>
                <w:lang w:val="en-US"/>
              </w:rPr>
            </w:pPr>
            <w:r w:rsidRPr="00827087">
              <w:rPr>
                <w:lang w:val="en-US"/>
              </w:rPr>
              <w:t>Distr.</w:t>
            </w:r>
            <w:r w:rsidR="0046257D" w:rsidRPr="00827087">
              <w:rPr>
                <w:lang w:val="en-US"/>
              </w:rPr>
              <w:t>:</w:t>
            </w:r>
            <w:r w:rsidRPr="00827087">
              <w:rPr>
                <w:lang w:val="en-US"/>
              </w:rPr>
              <w:t xml:space="preserve"> </w:t>
            </w:r>
            <w:r w:rsidR="00257838" w:rsidRPr="00827087">
              <w:rPr>
                <w:lang w:val="en-US"/>
              </w:rPr>
              <w:t>General</w:t>
            </w:r>
          </w:p>
          <w:p w14:paraId="4903121B" w14:textId="1B199BE2" w:rsidR="001E498C" w:rsidRPr="00827087" w:rsidRDefault="00F43750" w:rsidP="005C06D4">
            <w:pPr>
              <w:suppressAutoHyphens w:val="0"/>
              <w:rPr>
                <w:lang w:val="en-US"/>
              </w:rPr>
            </w:pPr>
            <w:r>
              <w:rPr>
                <w:lang w:val="en-US"/>
              </w:rPr>
              <w:t>8</w:t>
            </w:r>
            <w:r w:rsidR="00827087">
              <w:rPr>
                <w:lang w:val="en-US"/>
              </w:rPr>
              <w:t xml:space="preserve"> December 2022</w:t>
            </w:r>
          </w:p>
          <w:p w14:paraId="15DA836E" w14:textId="77777777" w:rsidR="003B0B0F" w:rsidRPr="00827087" w:rsidRDefault="003B0B0F" w:rsidP="005C06D4">
            <w:pPr>
              <w:suppressAutoHyphens w:val="0"/>
              <w:rPr>
                <w:lang w:val="en-US"/>
              </w:rPr>
            </w:pPr>
          </w:p>
          <w:p w14:paraId="7AF0E2D5" w14:textId="77777777" w:rsidR="006056E0" w:rsidRPr="00827087" w:rsidRDefault="00380EE2" w:rsidP="005C06D4">
            <w:pPr>
              <w:suppressAutoHyphens w:val="0"/>
              <w:rPr>
                <w:lang w:val="en-US"/>
              </w:rPr>
            </w:pPr>
            <w:r w:rsidRPr="00827087">
              <w:rPr>
                <w:lang w:val="en-US"/>
              </w:rPr>
              <w:t>Original: English</w:t>
            </w:r>
          </w:p>
        </w:tc>
      </w:tr>
    </w:tbl>
    <w:p w14:paraId="1F2FCF73" w14:textId="77777777" w:rsidR="00CB43B4" w:rsidRDefault="00380EE2" w:rsidP="00CB43B4">
      <w:pPr>
        <w:spacing w:before="120"/>
        <w:rPr>
          <w:b/>
          <w:bCs/>
          <w:sz w:val="24"/>
          <w:szCs w:val="24"/>
        </w:rPr>
      </w:pPr>
      <w:r>
        <w:rPr>
          <w:b/>
          <w:sz w:val="24"/>
        </w:rPr>
        <w:t>Committee on the Elimination of Racial Discrimination</w:t>
      </w:r>
    </w:p>
    <w:p w14:paraId="08363883" w14:textId="77777777" w:rsidR="003B0B0F" w:rsidRPr="009C41E2" w:rsidRDefault="00257838" w:rsidP="00CB43B4">
      <w:pPr>
        <w:spacing w:after="120"/>
        <w:rPr>
          <w:b/>
          <w:bCs/>
        </w:rPr>
      </w:pPr>
      <w:r w:rsidRPr="009C41E2">
        <w:rPr>
          <w:b/>
          <w:bCs/>
        </w:rPr>
        <w:t>108th</w:t>
      </w:r>
      <w:r w:rsidR="00380EE2" w:rsidRPr="009C41E2">
        <w:rPr>
          <w:b/>
          <w:bCs/>
        </w:rPr>
        <w:t xml:space="preserve"> session</w:t>
      </w:r>
    </w:p>
    <w:p w14:paraId="2322A2E1" w14:textId="77777777" w:rsidR="003B0B0F" w:rsidRPr="00F24D6D" w:rsidRDefault="00380EE2" w:rsidP="002E53FB">
      <w:pPr>
        <w:rPr>
          <w:b/>
          <w:bCs/>
        </w:rPr>
      </w:pPr>
      <w:r w:rsidRPr="00F24D6D">
        <w:rPr>
          <w:b/>
          <w:bCs/>
        </w:rPr>
        <w:t xml:space="preserve">Summary </w:t>
      </w:r>
      <w:r w:rsidR="00F30ED9">
        <w:rPr>
          <w:b/>
          <w:bCs/>
        </w:rPr>
        <w:t xml:space="preserve">record </w:t>
      </w:r>
      <w:r w:rsidR="00527295">
        <w:rPr>
          <w:b/>
          <w:bCs/>
        </w:rPr>
        <w:t>(</w:t>
      </w:r>
      <w:r w:rsidR="00D726D4">
        <w:rPr>
          <w:b/>
          <w:bCs/>
        </w:rPr>
        <w:t>p</w:t>
      </w:r>
      <w:r w:rsidR="00803DAD">
        <w:rPr>
          <w:b/>
          <w:bCs/>
        </w:rPr>
        <w:t>artial</w:t>
      </w:r>
      <w:r w:rsidR="00527295">
        <w:rPr>
          <w:b/>
          <w:bCs/>
        </w:rPr>
        <w:t>)</w:t>
      </w:r>
      <w:r w:rsidR="00B174DC">
        <w:t>*</w:t>
      </w:r>
      <w:r w:rsidR="00527295">
        <w:rPr>
          <w:b/>
          <w:bCs/>
        </w:rPr>
        <w:t xml:space="preserve"> of the </w:t>
      </w:r>
      <w:r w:rsidR="002E6AF8" w:rsidRPr="00F24D6D">
        <w:rPr>
          <w:b/>
          <w:bCs/>
        </w:rPr>
        <w:t xml:space="preserve">2955th </w:t>
      </w:r>
      <w:r w:rsidRPr="00F24D6D">
        <w:rPr>
          <w:b/>
          <w:bCs/>
        </w:rPr>
        <w:t>meeting</w:t>
      </w:r>
      <w:r w:rsidR="00D51D46">
        <w:t>**</w:t>
      </w:r>
    </w:p>
    <w:p w14:paraId="02CF4871" w14:textId="41F7ACAC" w:rsidR="003B0B0F" w:rsidRPr="009C41E2" w:rsidRDefault="00380EE2" w:rsidP="00F24D6D">
      <w:pPr>
        <w:spacing w:after="120"/>
      </w:pPr>
      <w:r w:rsidRPr="009C41E2">
        <w:t xml:space="preserve">Held at the </w:t>
      </w:r>
      <w:r w:rsidR="00AE7729" w:rsidRPr="009C41E2">
        <w:t>Palais Wilson, Geneva</w:t>
      </w:r>
      <w:r w:rsidRPr="009C41E2">
        <w:t xml:space="preserve">, on </w:t>
      </w:r>
      <w:r w:rsidR="00AE7729" w:rsidRPr="009C41E2">
        <w:t xml:space="preserve">Friday, 2 December 2022, at </w:t>
      </w:r>
      <w:r w:rsidR="00A16B94">
        <w:t>4</w:t>
      </w:r>
      <w:r w:rsidR="00AE7729" w:rsidRPr="009C41E2">
        <w:t xml:space="preserve"> p.m.</w:t>
      </w:r>
      <w:r w:rsidRPr="009C41E2">
        <w:rPr>
          <w:color w:val="FF0000"/>
        </w:rPr>
        <w:t xml:space="preserve"> </w:t>
      </w:r>
    </w:p>
    <w:p w14:paraId="651ABB17" w14:textId="77777777" w:rsidR="003B0B0F" w:rsidRDefault="00380EE2" w:rsidP="00AE7729">
      <w:pPr>
        <w:tabs>
          <w:tab w:val="left" w:pos="1134"/>
          <w:tab w:val="right" w:leader="dot" w:pos="8504"/>
        </w:tabs>
        <w:spacing w:after="120"/>
      </w:pPr>
      <w:r w:rsidRPr="009C41E2">
        <w:rPr>
          <w:i/>
        </w:rPr>
        <w:t>Chair</w:t>
      </w:r>
      <w:r w:rsidRPr="009C41E2">
        <w:t>:</w:t>
      </w:r>
      <w:r w:rsidRPr="009C41E2">
        <w:tab/>
      </w:r>
      <w:r w:rsidR="00AE7729" w:rsidRPr="009C41E2">
        <w:t>Ms. Shepherd</w:t>
      </w:r>
    </w:p>
    <w:p w14:paraId="4D88495C" w14:textId="77777777" w:rsidR="003B0B0F" w:rsidRPr="009C41E2" w:rsidRDefault="00380EE2" w:rsidP="003B0B0F">
      <w:pPr>
        <w:tabs>
          <w:tab w:val="right" w:pos="992"/>
          <w:tab w:val="left" w:pos="1276"/>
          <w:tab w:val="right" w:leader="dot" w:pos="8504"/>
        </w:tabs>
        <w:spacing w:before="360" w:after="240"/>
        <w:rPr>
          <w:sz w:val="28"/>
        </w:rPr>
      </w:pPr>
      <w:r w:rsidRPr="009C41E2">
        <w:rPr>
          <w:sz w:val="28"/>
        </w:rPr>
        <w:t>Contents</w:t>
      </w:r>
    </w:p>
    <w:p w14:paraId="075E1B6C" w14:textId="779EEEFE" w:rsidR="00953424" w:rsidRDefault="00455F51" w:rsidP="00455F51">
      <w:pPr>
        <w:pStyle w:val="SingleTxtG"/>
        <w:jc w:val="left"/>
      </w:pPr>
      <w:r w:rsidRPr="00364A42">
        <w:t>Closure of the session</w:t>
      </w:r>
    </w:p>
    <w:p w14:paraId="27437804" w14:textId="77777777" w:rsidR="00953424" w:rsidRDefault="00953424" w:rsidP="00827087">
      <w:pPr>
        <w:pStyle w:val="SingleTxtG"/>
      </w:pPr>
      <w:r>
        <w:br w:type="page"/>
      </w:r>
    </w:p>
    <w:p w14:paraId="65DE70F3" w14:textId="77777777" w:rsidR="00827087" w:rsidRPr="00827087" w:rsidRDefault="00827087" w:rsidP="00827087">
      <w:pPr>
        <w:pStyle w:val="ParaNoG"/>
        <w:numPr>
          <w:ilvl w:val="0"/>
          <w:numId w:val="0"/>
        </w:numPr>
        <w:ind w:left="1134"/>
        <w:rPr>
          <w:i/>
          <w:iCs/>
          <w:shd w:val="clear" w:color="000000" w:fill="FFFFFF"/>
        </w:rPr>
      </w:pPr>
      <w:r w:rsidRPr="00827087">
        <w:rPr>
          <w:i/>
          <w:iCs/>
          <w:shd w:val="clear" w:color="000000" w:fill="FFFFFF"/>
        </w:rPr>
        <w:lastRenderedPageBreak/>
        <w:t>The discussion covered in the summary record began at 4.40 p.m.</w:t>
      </w:r>
    </w:p>
    <w:p w14:paraId="21A00FC4" w14:textId="78CA28E6" w:rsidR="00827087" w:rsidRPr="00F118E9" w:rsidRDefault="00827087" w:rsidP="00827087">
      <w:pPr>
        <w:pStyle w:val="H23G"/>
        <w:rPr>
          <w:shd w:val="clear" w:color="000000" w:fill="FFFFFF"/>
        </w:rPr>
      </w:pPr>
      <w:r>
        <w:rPr>
          <w:shd w:val="clear" w:color="000000" w:fill="FFFFFF"/>
        </w:rPr>
        <w:tab/>
      </w:r>
      <w:r>
        <w:rPr>
          <w:shd w:val="clear" w:color="000000" w:fill="FFFFFF"/>
        </w:rPr>
        <w:tab/>
      </w:r>
      <w:r w:rsidRPr="00F118E9">
        <w:rPr>
          <w:shd w:val="clear" w:color="000000" w:fill="FFFFFF"/>
        </w:rPr>
        <w:t xml:space="preserve">Closure of the session </w:t>
      </w:r>
    </w:p>
    <w:p w14:paraId="1489A4DA" w14:textId="066986DB" w:rsidR="00827087" w:rsidRPr="00F118E9" w:rsidRDefault="00827087" w:rsidP="00827087">
      <w:pPr>
        <w:pStyle w:val="ParaNoG"/>
        <w:rPr>
          <w:shd w:val="clear" w:color="000000" w:fill="FFFFFF"/>
        </w:rPr>
      </w:pPr>
      <w:r w:rsidRPr="00827087">
        <w:rPr>
          <w:b/>
          <w:bCs/>
          <w:shd w:val="clear" w:color="000000" w:fill="FFFFFF"/>
        </w:rPr>
        <w:t>Mr. Guissé</w:t>
      </w:r>
      <w:r w:rsidRPr="00F118E9">
        <w:rPr>
          <w:shd w:val="clear" w:color="000000" w:fill="FFFFFF"/>
        </w:rPr>
        <w:t xml:space="preserve"> (Rapporteur) said that the Committee’s 108th session had been attended in person by all but two of its members. At the public opening, a statement had been delivered by Mr. Mahamane Cissé-Gouro, Director of the Human Rights Council and Treaty Mechanisms Division of the Office of the United Nations High Commissioner for Human Rights (OHCHR). During the session, the Committee had conducted reviews and adopted concluding observations on the reports of six States parties – Bahrain, Botswana, Brazil, France, </w:t>
      </w:r>
      <w:proofErr w:type="gramStart"/>
      <w:r w:rsidRPr="00F118E9">
        <w:rPr>
          <w:shd w:val="clear" w:color="000000" w:fill="FFFFFF"/>
        </w:rPr>
        <w:t>Georgia</w:t>
      </w:r>
      <w:proofErr w:type="gramEnd"/>
      <w:r w:rsidRPr="00F118E9">
        <w:rPr>
          <w:shd w:val="clear" w:color="000000" w:fill="FFFFFF"/>
        </w:rPr>
        <w:t xml:space="preserve"> and Jamaica. The Committee appreciated the essential information provided by the national human rights institutions of Bahrain, </w:t>
      </w:r>
      <w:proofErr w:type="gramStart"/>
      <w:r w:rsidRPr="00F118E9">
        <w:rPr>
          <w:shd w:val="clear" w:color="000000" w:fill="FFFFFF"/>
        </w:rPr>
        <w:t>France</w:t>
      </w:r>
      <w:proofErr w:type="gramEnd"/>
      <w:r w:rsidRPr="00F118E9">
        <w:rPr>
          <w:shd w:val="clear" w:color="000000" w:fill="FFFFFF"/>
        </w:rPr>
        <w:t xml:space="preserve"> and Georgia and by non-governmental organizations from all six States parties. </w:t>
      </w:r>
    </w:p>
    <w:p w14:paraId="7F860014" w14:textId="1967368F" w:rsidR="00827087" w:rsidRPr="00F118E9" w:rsidRDefault="00827087" w:rsidP="00827087">
      <w:pPr>
        <w:pStyle w:val="ParaNoG"/>
        <w:rPr>
          <w:shd w:val="clear" w:color="000000" w:fill="FFFFFF"/>
        </w:rPr>
      </w:pPr>
      <w:r w:rsidRPr="00F118E9">
        <w:rPr>
          <w:shd w:val="clear" w:color="000000" w:fill="FFFFFF"/>
        </w:rPr>
        <w:t>The Committee had adopted an Opinion on the admissibility and merits of communication No. 62/2018 (</w:t>
      </w:r>
      <w:r w:rsidRPr="00827087">
        <w:rPr>
          <w:i/>
          <w:iCs/>
          <w:shd w:val="clear" w:color="000000" w:fill="FFFFFF"/>
        </w:rPr>
        <w:t>Jallow v. Denmark</w:t>
      </w:r>
      <w:r w:rsidRPr="00F118E9">
        <w:rPr>
          <w:shd w:val="clear" w:color="000000" w:fill="FFFFFF"/>
        </w:rPr>
        <w:t xml:space="preserve">). The petitioner, a Swedish national, claimed to be a victim of a violation by the State party of articles 4 (a) and (c) and 6 of the Convention because of the State party’s failure to effectively investigate a hate crime. The petitioner alleged that, in the context of an art exhibition held at the Danish Parliament building and in a private art gallery, pictures had been displayed which portrayed black people, including the petitioner, and members of the Roma community in a manner which he believed constituted incitement to racial discrimination and hatred. </w:t>
      </w:r>
    </w:p>
    <w:p w14:paraId="52BE0B02" w14:textId="27A4CBDD" w:rsidR="00827087" w:rsidRPr="00F118E9" w:rsidRDefault="00827087" w:rsidP="00827087">
      <w:pPr>
        <w:pStyle w:val="ParaNoG"/>
        <w:rPr>
          <w:shd w:val="clear" w:color="000000" w:fill="FFFFFF"/>
        </w:rPr>
      </w:pPr>
      <w:r w:rsidRPr="00F118E9">
        <w:rPr>
          <w:shd w:val="clear" w:color="000000" w:fill="FFFFFF"/>
        </w:rPr>
        <w:t xml:space="preserve">The State party argued that its authorities had assessed whether the pictures violated the relevant article of the Criminal Code, read in conjunction with article 10 of the European Convention of Human Rights, on freedom of expression, and had concluded that they did not. It therefore considered that the petitioner’s case had been thoroughly reviewed under relevant national legislation and that he had had access to a legal remedy. </w:t>
      </w:r>
    </w:p>
    <w:p w14:paraId="5FB91C6C" w14:textId="782DB4CC" w:rsidR="00827087" w:rsidRPr="00F118E9" w:rsidRDefault="00827087" w:rsidP="00827087">
      <w:pPr>
        <w:pStyle w:val="ParaNoG"/>
        <w:rPr>
          <w:shd w:val="clear" w:color="000000" w:fill="FFFFFF"/>
        </w:rPr>
      </w:pPr>
      <w:r w:rsidRPr="00F118E9">
        <w:rPr>
          <w:shd w:val="clear" w:color="000000" w:fill="FFFFFF"/>
        </w:rPr>
        <w:t xml:space="preserve">The Committee had decided that the petitioner’s claims of a violation of article 4 (a), in conjunction with article 6, were admissible. Accordingly, the Committee had considered whether the State party had fulfilled its positive obligation to take effective action against reported incidents of racial discrimination. It noted that the pictures in question contained derogatory language and negative depictions of black people and Roma and concluded that they must be understood as incitement to hatred and discrimination on the grounds of race, </w:t>
      </w:r>
      <w:proofErr w:type="gramStart"/>
      <w:r w:rsidRPr="00F118E9">
        <w:rPr>
          <w:shd w:val="clear" w:color="000000" w:fill="FFFFFF"/>
        </w:rPr>
        <w:t>colour</w:t>
      </w:r>
      <w:proofErr w:type="gramEnd"/>
      <w:r w:rsidRPr="00F118E9">
        <w:rPr>
          <w:shd w:val="clear" w:color="000000" w:fill="FFFFFF"/>
        </w:rPr>
        <w:t xml:space="preserve"> and ethnic origin. Recalling that the right to freedom of expression was not unlimited and must be balanced against the obligation not to disseminate racist ideas, the Committee pointed out that, when an act fell within the scope of article 4 (a) of the Convention, the State party was obliged to react and to take effective measures, and that merely </w:t>
      </w:r>
      <w:proofErr w:type="gramStart"/>
      <w:r w:rsidRPr="00F118E9">
        <w:rPr>
          <w:shd w:val="clear" w:color="000000" w:fill="FFFFFF"/>
        </w:rPr>
        <w:t>conducting an investigation</w:t>
      </w:r>
      <w:proofErr w:type="gramEnd"/>
      <w:r w:rsidRPr="00F118E9">
        <w:rPr>
          <w:shd w:val="clear" w:color="000000" w:fill="FFFFFF"/>
        </w:rPr>
        <w:t xml:space="preserve"> was not sufficient. The Committee had therefore found a violation of article 4 (a) in conjunction with article 6. The Committee recommended that the State party should issue an apology to the petitioner and grant him full </w:t>
      </w:r>
      <w:proofErr w:type="gramStart"/>
      <w:r w:rsidRPr="00F118E9">
        <w:rPr>
          <w:shd w:val="clear" w:color="000000" w:fill="FFFFFF"/>
        </w:rPr>
        <w:t>reparation, and</w:t>
      </w:r>
      <w:proofErr w:type="gramEnd"/>
      <w:r w:rsidRPr="00F118E9">
        <w:rPr>
          <w:shd w:val="clear" w:color="000000" w:fill="FFFFFF"/>
        </w:rPr>
        <w:t xml:space="preserve"> should develop guidelines on racist hate speech and establish training programmes for police officers, prosecutors and judges on the prevention of racial hatred and discrimination. </w:t>
      </w:r>
    </w:p>
    <w:p w14:paraId="5B844D20" w14:textId="0C7DFC4F" w:rsidR="00827087" w:rsidRPr="00F118E9" w:rsidRDefault="00827087" w:rsidP="00827087">
      <w:pPr>
        <w:pStyle w:val="ParaNoG"/>
        <w:rPr>
          <w:shd w:val="clear" w:color="000000" w:fill="FFFFFF"/>
        </w:rPr>
      </w:pPr>
      <w:r w:rsidRPr="00F118E9">
        <w:rPr>
          <w:shd w:val="clear" w:color="000000" w:fill="FFFFFF"/>
        </w:rPr>
        <w:t xml:space="preserve">During the session, the Committee had also considered follow-up reports received from the Netherlands and Slovakia. Under its early warning and urgent action procedure, the Committee had adopted a decision on the human rights situation in the Xinjiang Uighur Autonomous Region of China, in which it called on the State party to immediately investigate all allegations of human rights violations and to immediately release all individuals arbitrarily deprived of their liberty. The decision and an accompanying press release had been published on the Committee’s web page. </w:t>
      </w:r>
    </w:p>
    <w:p w14:paraId="7D8FA20F" w14:textId="58452276" w:rsidR="00827087" w:rsidRPr="00F118E9" w:rsidRDefault="00827087" w:rsidP="00827087">
      <w:pPr>
        <w:pStyle w:val="ParaNoG"/>
        <w:rPr>
          <w:shd w:val="clear" w:color="000000" w:fill="FFFFFF"/>
        </w:rPr>
      </w:pPr>
      <w:r w:rsidRPr="00F118E9">
        <w:rPr>
          <w:shd w:val="clear" w:color="000000" w:fill="FFFFFF"/>
        </w:rPr>
        <w:t>The Committee had continued to develop its draft general recommendation on racial discrimination and the right to health and had adopted an outline of the text. The next step would be to adopt the first draft at the Committee’s 109th session. The Committee had also begun to consider proposals to revise its rules of procedure and would pursue that work at its next session.</w:t>
      </w:r>
    </w:p>
    <w:p w14:paraId="0A4906B3" w14:textId="6F47F8CF" w:rsidR="00827087" w:rsidRPr="00F118E9" w:rsidRDefault="00827087" w:rsidP="00827087">
      <w:pPr>
        <w:pStyle w:val="ParaNoG"/>
        <w:rPr>
          <w:shd w:val="clear" w:color="000000" w:fill="FFFFFF"/>
        </w:rPr>
      </w:pPr>
      <w:r w:rsidRPr="00F118E9">
        <w:rPr>
          <w:shd w:val="clear" w:color="000000" w:fill="FFFFFF"/>
        </w:rPr>
        <w:t xml:space="preserve">Furthermore, the Committee had held a meeting with members of the Permanent Forum on People of African Descent to discuss areas of mutual interest, future work priorities and possibilities for collaboration. It had also met with the newly appointed Special Rapporteur on contemporary forms of racism, racial discrimination, </w:t>
      </w:r>
      <w:proofErr w:type="gramStart"/>
      <w:r w:rsidRPr="00F118E9">
        <w:rPr>
          <w:shd w:val="clear" w:color="000000" w:fill="FFFFFF"/>
        </w:rPr>
        <w:t>xenophobia</w:t>
      </w:r>
      <w:proofErr w:type="gramEnd"/>
      <w:r w:rsidRPr="00F118E9">
        <w:rPr>
          <w:shd w:val="clear" w:color="000000" w:fill="FFFFFF"/>
        </w:rPr>
        <w:t xml:space="preserve"> and related </w:t>
      </w:r>
      <w:r w:rsidRPr="00F118E9">
        <w:rPr>
          <w:shd w:val="clear" w:color="000000" w:fill="FFFFFF"/>
        </w:rPr>
        <w:lastRenderedPageBreak/>
        <w:t>intolerance, who had presented her mandate and plans for the future and shared her thoughts on a number of issues, including caste-based discrimination.</w:t>
      </w:r>
    </w:p>
    <w:p w14:paraId="2E92AE36" w14:textId="37210547" w:rsidR="00827087" w:rsidRPr="00F118E9" w:rsidRDefault="00827087" w:rsidP="00827087">
      <w:pPr>
        <w:pStyle w:val="ParaNoG"/>
        <w:rPr>
          <w:shd w:val="clear" w:color="000000" w:fill="FFFFFF"/>
        </w:rPr>
      </w:pPr>
      <w:r w:rsidRPr="00F118E9">
        <w:rPr>
          <w:shd w:val="clear" w:color="000000" w:fill="FFFFFF"/>
        </w:rPr>
        <w:t xml:space="preserve">At its subsequent session, scheduled to take place from 11 to 28 April 2023, the Committee would consider the reports of Argentina, the Niger, the Philippines, Portugal, the Russian Federation and Tajikistan. </w:t>
      </w:r>
    </w:p>
    <w:p w14:paraId="4C321566" w14:textId="60DA9B1E" w:rsidR="00827087" w:rsidRPr="00F118E9" w:rsidRDefault="00827087" w:rsidP="00827087">
      <w:pPr>
        <w:pStyle w:val="ParaNoG"/>
        <w:rPr>
          <w:shd w:val="clear" w:color="000000" w:fill="FFFFFF"/>
        </w:rPr>
      </w:pPr>
      <w:r w:rsidRPr="00F118E9">
        <w:rPr>
          <w:shd w:val="clear" w:color="000000" w:fill="FFFFFF"/>
        </w:rPr>
        <w:t xml:space="preserve">After the customary exchange of courtesies, </w:t>
      </w:r>
      <w:r w:rsidRPr="00827087">
        <w:rPr>
          <w:b/>
          <w:bCs/>
          <w:shd w:val="clear" w:color="000000" w:fill="FFFFFF"/>
        </w:rPr>
        <w:t>the Chair</w:t>
      </w:r>
      <w:r w:rsidRPr="00F118E9">
        <w:rPr>
          <w:shd w:val="clear" w:color="000000" w:fill="FFFFFF"/>
        </w:rPr>
        <w:t xml:space="preserve"> declared the 108th session of the Committee on the Elimination of Racial Discrimination closed.</w:t>
      </w:r>
    </w:p>
    <w:p w14:paraId="386BC458" w14:textId="77777777" w:rsidR="00827087" w:rsidRPr="00827087" w:rsidRDefault="00827087" w:rsidP="00827087">
      <w:pPr>
        <w:pStyle w:val="ParaNoG"/>
        <w:numPr>
          <w:ilvl w:val="0"/>
          <w:numId w:val="0"/>
        </w:numPr>
        <w:ind w:left="1134"/>
        <w:rPr>
          <w:i/>
          <w:iCs/>
          <w:shd w:val="clear" w:color="000000" w:fill="FFFFFF"/>
        </w:rPr>
      </w:pPr>
      <w:r w:rsidRPr="00827087">
        <w:rPr>
          <w:i/>
          <w:iCs/>
          <w:shd w:val="clear" w:color="000000" w:fill="FFFFFF"/>
        </w:rPr>
        <w:t>The meeting rose at 5 p.m.</w:t>
      </w:r>
    </w:p>
    <w:sectPr w:rsidR="00827087" w:rsidRPr="00827087"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6C9D" w14:textId="77777777" w:rsidR="00853E84" w:rsidRDefault="00853E84" w:rsidP="00F95C08">
      <w:pPr>
        <w:spacing w:line="240" w:lineRule="auto"/>
      </w:pPr>
    </w:p>
  </w:endnote>
  <w:endnote w:type="continuationSeparator" w:id="0">
    <w:p w14:paraId="15C0D50E" w14:textId="77777777" w:rsidR="00853E84" w:rsidRPr="00AC3823" w:rsidRDefault="00853E84" w:rsidP="00AC3823">
      <w:pPr>
        <w:pStyle w:val="Footer"/>
      </w:pPr>
    </w:p>
  </w:endnote>
  <w:endnote w:type="continuationNotice" w:id="1">
    <w:p w14:paraId="00BD249B" w14:textId="77777777" w:rsidR="00853E84" w:rsidRDefault="00853E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80B7" w14:textId="5F801173" w:rsidR="006056E0" w:rsidRPr="00953424" w:rsidRDefault="00953424" w:rsidP="00953424">
    <w:pPr>
      <w:pStyle w:val="Footer"/>
      <w:tabs>
        <w:tab w:val="right" w:pos="9638"/>
      </w:tabs>
    </w:pPr>
    <w:r w:rsidRPr="00953424">
      <w:rPr>
        <w:b/>
        <w:bCs/>
        <w:sz w:val="18"/>
      </w:rPr>
      <w:fldChar w:fldCharType="begin"/>
    </w:r>
    <w:r w:rsidRPr="00953424">
      <w:rPr>
        <w:b/>
        <w:bCs/>
        <w:sz w:val="18"/>
      </w:rPr>
      <w:instrText xml:space="preserve"> PAGE  \* MERGEFORMAT </w:instrText>
    </w:r>
    <w:r w:rsidRPr="00953424">
      <w:rPr>
        <w:b/>
        <w:bCs/>
        <w:sz w:val="18"/>
      </w:rPr>
      <w:fldChar w:fldCharType="separate"/>
    </w:r>
    <w:r w:rsidRPr="00953424">
      <w:rPr>
        <w:b/>
        <w:bCs/>
        <w:noProof/>
        <w:sz w:val="18"/>
      </w:rPr>
      <w:t>2</w:t>
    </w:r>
    <w:r w:rsidRPr="00953424">
      <w:rPr>
        <w:b/>
        <w:bCs/>
        <w:sz w:val="18"/>
      </w:rPr>
      <w:fldChar w:fldCharType="end"/>
    </w:r>
    <w:r>
      <w:tab/>
      <w:t>GE.22-27402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9A7E" w14:textId="309CA707" w:rsidR="001E498C" w:rsidRPr="00953424" w:rsidRDefault="00953424" w:rsidP="00953424">
    <w:pPr>
      <w:pStyle w:val="Footer"/>
      <w:tabs>
        <w:tab w:val="right" w:pos="9638"/>
      </w:tabs>
    </w:pPr>
    <w:r>
      <w:t>GE.22-27402</w:t>
    </w:r>
    <w:r>
      <w:tab/>
    </w:r>
    <w:r w:rsidRPr="00953424">
      <w:rPr>
        <w:b/>
        <w:bCs/>
        <w:sz w:val="18"/>
      </w:rPr>
      <w:fldChar w:fldCharType="begin"/>
    </w:r>
    <w:r w:rsidRPr="00953424">
      <w:rPr>
        <w:b/>
        <w:bCs/>
        <w:sz w:val="18"/>
      </w:rPr>
      <w:instrText xml:space="preserve"> PAGE  \* MERGEFORMAT </w:instrText>
    </w:r>
    <w:r w:rsidRPr="00953424">
      <w:rPr>
        <w:b/>
        <w:bCs/>
        <w:sz w:val="18"/>
      </w:rPr>
      <w:fldChar w:fldCharType="separate"/>
    </w:r>
    <w:r w:rsidRPr="00953424">
      <w:rPr>
        <w:b/>
        <w:bCs/>
        <w:noProof/>
        <w:sz w:val="18"/>
      </w:rPr>
      <w:t>3</w:t>
    </w:r>
    <w:r w:rsidRPr="0095342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B43E" w14:textId="77777777" w:rsidR="002D0F56" w:rsidRDefault="00380EE2" w:rsidP="002D0F56">
    <w:pPr>
      <w:pStyle w:val="FootnoteText"/>
      <w:tabs>
        <w:tab w:val="clear" w:pos="1021"/>
        <w:tab w:val="right" w:pos="2154"/>
      </w:tabs>
      <w:spacing w:after="80"/>
      <w:ind w:left="680" w:firstLine="0"/>
      <w:rPr>
        <w:u w:val="single"/>
      </w:rPr>
    </w:pPr>
    <w:r>
      <w:rPr>
        <w:u w:val="single"/>
      </w:rPr>
      <w:tab/>
    </w:r>
  </w:p>
  <w:p w14:paraId="69FA5556" w14:textId="77777777" w:rsidR="00DD298F" w:rsidRPr="008B151E" w:rsidRDefault="00380EE2" w:rsidP="00DD298F">
    <w:pPr>
      <w:pStyle w:val="FootnoteText"/>
      <w:rPr>
        <w:lang w:val="en-US"/>
      </w:rPr>
    </w:pPr>
    <w:r>
      <w:tab/>
    </w:r>
    <w:r w:rsidR="00841DEF" w:rsidRPr="00841DEF">
      <w:rPr>
        <w:sz w:val="20"/>
      </w:rPr>
      <w:t>*</w:t>
    </w:r>
    <w:r>
      <w:tab/>
    </w:r>
    <w:r w:rsidR="008B151E">
      <w:rPr>
        <w:lang w:val="en-US"/>
      </w:rPr>
      <w:t>No summary record was prepared for the rest of the meeting.</w:t>
    </w:r>
  </w:p>
  <w:p w14:paraId="43A8A187" w14:textId="4B49CB73" w:rsidR="00D51D46" w:rsidRPr="00841DEF" w:rsidRDefault="00380EE2" w:rsidP="000B1A37">
    <w:pPr>
      <w:pStyle w:val="FootnoteText"/>
      <w:rPr>
        <w:szCs w:val="18"/>
      </w:rPr>
    </w:pPr>
    <w:r>
      <w:tab/>
    </w:r>
    <w:r w:rsidR="00544E78">
      <w:rPr>
        <w:sz w:val="20"/>
      </w:rPr>
      <w:t>*</w:t>
    </w:r>
    <w:r w:rsidRPr="00841DEF">
      <w:rPr>
        <w:sz w:val="20"/>
      </w:rPr>
      <w:t>*</w:t>
    </w:r>
    <w:r>
      <w:rPr>
        <w:szCs w:val="18"/>
      </w:rPr>
      <w:tab/>
    </w:r>
    <w:r>
      <w:t xml:space="preserve">No summary records were issued for the </w:t>
    </w:r>
    <w:r w:rsidR="00FC3048">
      <w:t>2953rd</w:t>
    </w:r>
    <w:r>
      <w:t xml:space="preserve"> and </w:t>
    </w:r>
    <w:r w:rsidR="00FC3048">
      <w:t>2954th</w:t>
    </w:r>
    <w:r>
      <w:t xml:space="preserve"> meeting</w:t>
    </w:r>
    <w:r>
      <w:rPr>
        <w:szCs w:val="18"/>
      </w:rPr>
      <w:t>s</w:t>
    </w:r>
    <w:r>
      <w:rPr>
        <w:sz w:val="20"/>
      </w:rPr>
      <w:t>.</w:t>
    </w:r>
  </w:p>
  <w:p w14:paraId="3749975A" w14:textId="77777777" w:rsidR="003B0B0F" w:rsidRDefault="003B0B0F" w:rsidP="003B0B0F">
    <w:pPr>
      <w:pStyle w:val="FootnoteText"/>
      <w:pBdr>
        <w:bottom w:val="single" w:sz="4" w:space="1" w:color="auto"/>
      </w:pBdr>
      <w:tabs>
        <w:tab w:val="clear" w:pos="1021"/>
      </w:tabs>
      <w:ind w:left="0" w:right="0" w:firstLine="0"/>
    </w:pPr>
  </w:p>
  <w:p w14:paraId="1D403356" w14:textId="77777777" w:rsidR="00C206A6" w:rsidRDefault="00380EE2" w:rsidP="00C206A6">
    <w:pPr>
      <w:pStyle w:val="FootnoteText"/>
      <w:spacing w:after="120"/>
      <w:ind w:firstLine="0"/>
    </w:pPr>
    <w:r>
      <w:t xml:space="preserve">This record is subject to correction. Corrections should be set forth in a memorandum </w:t>
    </w:r>
    <w:proofErr w:type="gramStart"/>
    <w:r>
      <w:t>and also</w:t>
    </w:r>
    <w:proofErr w:type="gramEnd"/>
    <w:r>
      <w:t xml:space="preserve"> incorporated in a copy of the record. They should be sent within one week of the date of the present record to the Documents Management Section (DMS-DCM@un.org).</w:t>
    </w:r>
  </w:p>
  <w:p w14:paraId="42FE2356" w14:textId="77777777" w:rsidR="009A247E" w:rsidRPr="003B0B0F" w:rsidRDefault="00380EE2" w:rsidP="00C206A6">
    <w:pPr>
      <w:pStyle w:val="FootnoteText"/>
      <w:kinsoku/>
      <w:overflowPunct/>
      <w:autoSpaceDE/>
      <w:autoSpaceDN/>
      <w:adjustRightInd/>
      <w:snapToGrid/>
      <w:spacing w:after="240"/>
      <w:ind w:firstLine="0"/>
      <w:rPr>
        <w:rFonts w:eastAsia="SimSun"/>
        <w:szCs w:val="18"/>
        <w:lang w:eastAsia="zh-CN"/>
      </w:rPr>
    </w:pPr>
    <w:r>
      <w:rPr>
        <w:rFonts w:eastAsia="SimSun"/>
        <w:szCs w:val="18"/>
        <w:lang w:eastAsia="zh-CN"/>
      </w:rPr>
      <w:t>Any corrected records of the public meetings of the Committee at this session will be reissued for technical reasons after the end of the session.</w:t>
    </w:r>
  </w:p>
  <w:p w14:paraId="21763255" w14:textId="3FFBB9E6" w:rsidR="006056E0" w:rsidRDefault="00953424" w:rsidP="007B4EC1">
    <w:pPr>
      <w:pStyle w:val="Footer"/>
      <w:rPr>
        <w:sz w:val="20"/>
      </w:rPr>
    </w:pPr>
    <w:r>
      <w:rPr>
        <w:noProof/>
        <w:lang w:val="en-US" w:eastAsia="zh-CN"/>
      </w:rPr>
      <w:drawing>
        <wp:anchor distT="0" distB="0" distL="114300" distR="114300" simplePos="0" relativeHeight="251659264" behindDoc="1" locked="1" layoutInCell="1" allowOverlap="1" wp14:anchorId="3693E544" wp14:editId="62CF264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177310" w14:textId="751FE327" w:rsidR="00953424" w:rsidRPr="00953424" w:rsidRDefault="00953424" w:rsidP="00953424">
    <w:pPr>
      <w:pStyle w:val="Footer"/>
      <w:rPr>
        <w:sz w:val="20"/>
      </w:rPr>
    </w:pPr>
    <w:r>
      <w:rPr>
        <w:sz w:val="20"/>
      </w:rPr>
      <w:t>GE.22-</w:t>
    </w:r>
    <w:proofErr w:type="gramStart"/>
    <w:r>
      <w:rPr>
        <w:sz w:val="20"/>
      </w:rPr>
      <w:t>27402  (</w:t>
    </w:r>
    <w:proofErr w:type="gramEnd"/>
    <w:r>
      <w:rPr>
        <w:sz w:val="20"/>
      </w:rPr>
      <w:t>E)</w:t>
    </w:r>
    <w:r>
      <w:rPr>
        <w:noProof/>
        <w:sz w:val="20"/>
      </w:rPr>
      <w:drawing>
        <wp:anchor distT="0" distB="0" distL="114300" distR="114300" simplePos="0" relativeHeight="251660288" behindDoc="0" locked="0" layoutInCell="1" allowOverlap="1" wp14:anchorId="6DE37021" wp14:editId="38645775">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087">
      <w:rPr>
        <w:sz w:val="20"/>
      </w:rPr>
      <w:t xml:space="preserve">    081222    </w:t>
    </w:r>
    <w:r w:rsidR="00F43750">
      <w:rPr>
        <w:sz w:val="20"/>
      </w:rPr>
      <w:t>08</w:t>
    </w:r>
    <w:r w:rsidR="00827087">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E584" w14:textId="77777777" w:rsidR="00853E84" w:rsidRPr="00AC3823" w:rsidRDefault="00853E84" w:rsidP="00AC3823">
      <w:pPr>
        <w:pStyle w:val="Footer"/>
        <w:tabs>
          <w:tab w:val="right" w:pos="2155"/>
        </w:tabs>
        <w:spacing w:after="80" w:line="240" w:lineRule="atLeast"/>
        <w:ind w:left="680"/>
        <w:rPr>
          <w:u w:val="single"/>
        </w:rPr>
      </w:pPr>
      <w:r>
        <w:rPr>
          <w:u w:val="single"/>
        </w:rPr>
        <w:tab/>
      </w:r>
    </w:p>
  </w:footnote>
  <w:footnote w:type="continuationSeparator" w:id="0">
    <w:p w14:paraId="281B4400" w14:textId="77777777" w:rsidR="00853E84" w:rsidRPr="00AC3823" w:rsidRDefault="00853E84" w:rsidP="00AC3823">
      <w:pPr>
        <w:pStyle w:val="Footer"/>
        <w:tabs>
          <w:tab w:val="right" w:pos="2155"/>
        </w:tabs>
        <w:spacing w:after="80" w:line="240" w:lineRule="atLeast"/>
        <w:ind w:left="680"/>
        <w:rPr>
          <w:u w:val="single"/>
        </w:rPr>
      </w:pPr>
      <w:r>
        <w:rPr>
          <w:u w:val="single"/>
        </w:rPr>
        <w:tab/>
      </w:r>
    </w:p>
  </w:footnote>
  <w:footnote w:type="continuationNotice" w:id="1">
    <w:p w14:paraId="301AB4C1" w14:textId="77777777" w:rsidR="00853E84" w:rsidRPr="00AC3823" w:rsidRDefault="00853E8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912A" w14:textId="77777777" w:rsidR="006056E0" w:rsidRDefault="00257838">
    <w:pPr>
      <w:pStyle w:val="Header"/>
    </w:pPr>
    <w:r>
      <w:t>CERD/C/SR.2955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8B0D" w14:textId="77777777" w:rsidR="005B6BC9" w:rsidRDefault="00257838" w:rsidP="005B6BC9">
    <w:pPr>
      <w:pStyle w:val="Header"/>
      <w:jc w:val="right"/>
    </w:pPr>
    <w:r>
      <w:t>CERD/C/SR.2955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02027C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7C2FB9A" w:tentative="1">
      <w:start w:val="1"/>
      <w:numFmt w:val="lowerLetter"/>
      <w:lvlText w:val="%2."/>
      <w:lvlJc w:val="left"/>
      <w:pPr>
        <w:tabs>
          <w:tab w:val="num" w:pos="1440"/>
        </w:tabs>
        <w:ind w:left="1440" w:hanging="360"/>
      </w:pPr>
    </w:lvl>
    <w:lvl w:ilvl="2" w:tplc="E9CCBDF2" w:tentative="1">
      <w:start w:val="1"/>
      <w:numFmt w:val="lowerRoman"/>
      <w:lvlText w:val="%3."/>
      <w:lvlJc w:val="right"/>
      <w:pPr>
        <w:tabs>
          <w:tab w:val="num" w:pos="2160"/>
        </w:tabs>
        <w:ind w:left="2160" w:hanging="180"/>
      </w:pPr>
    </w:lvl>
    <w:lvl w:ilvl="3" w:tplc="77F462EC" w:tentative="1">
      <w:start w:val="1"/>
      <w:numFmt w:val="decimal"/>
      <w:lvlText w:val="%4."/>
      <w:lvlJc w:val="left"/>
      <w:pPr>
        <w:tabs>
          <w:tab w:val="num" w:pos="2880"/>
        </w:tabs>
        <w:ind w:left="2880" w:hanging="360"/>
      </w:pPr>
    </w:lvl>
    <w:lvl w:ilvl="4" w:tplc="735021FE" w:tentative="1">
      <w:start w:val="1"/>
      <w:numFmt w:val="lowerLetter"/>
      <w:lvlText w:val="%5."/>
      <w:lvlJc w:val="left"/>
      <w:pPr>
        <w:tabs>
          <w:tab w:val="num" w:pos="3600"/>
        </w:tabs>
        <w:ind w:left="3600" w:hanging="360"/>
      </w:pPr>
    </w:lvl>
    <w:lvl w:ilvl="5" w:tplc="785857FC" w:tentative="1">
      <w:start w:val="1"/>
      <w:numFmt w:val="lowerRoman"/>
      <w:lvlText w:val="%6."/>
      <w:lvlJc w:val="right"/>
      <w:pPr>
        <w:tabs>
          <w:tab w:val="num" w:pos="4320"/>
        </w:tabs>
        <w:ind w:left="4320" w:hanging="180"/>
      </w:pPr>
    </w:lvl>
    <w:lvl w:ilvl="6" w:tplc="FB964E38" w:tentative="1">
      <w:start w:val="1"/>
      <w:numFmt w:val="decimal"/>
      <w:lvlText w:val="%7."/>
      <w:lvlJc w:val="left"/>
      <w:pPr>
        <w:tabs>
          <w:tab w:val="num" w:pos="5040"/>
        </w:tabs>
        <w:ind w:left="5040" w:hanging="360"/>
      </w:pPr>
    </w:lvl>
    <w:lvl w:ilvl="7" w:tplc="496E7B86" w:tentative="1">
      <w:start w:val="1"/>
      <w:numFmt w:val="lowerLetter"/>
      <w:lvlText w:val="%8."/>
      <w:lvlJc w:val="left"/>
      <w:pPr>
        <w:tabs>
          <w:tab w:val="num" w:pos="5760"/>
        </w:tabs>
        <w:ind w:left="5760" w:hanging="360"/>
      </w:pPr>
    </w:lvl>
    <w:lvl w:ilvl="8" w:tplc="1F12788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89564F82">
      <w:start w:val="1"/>
      <w:numFmt w:val="decimal"/>
      <w:lvlText w:val="%1."/>
      <w:lvlJc w:val="left"/>
      <w:pPr>
        <w:tabs>
          <w:tab w:val="num" w:pos="1701"/>
        </w:tabs>
        <w:ind w:left="1134" w:firstLine="0"/>
      </w:pPr>
      <w:rPr>
        <w:rFonts w:ascii="Times New Roman" w:hAnsi="Times New Roman" w:hint="default"/>
        <w:b w:val="0"/>
        <w:i w:val="0"/>
        <w:sz w:val="20"/>
      </w:rPr>
    </w:lvl>
    <w:lvl w:ilvl="1" w:tplc="91CA65B4" w:tentative="1">
      <w:start w:val="1"/>
      <w:numFmt w:val="lowerLetter"/>
      <w:lvlText w:val="%2."/>
      <w:lvlJc w:val="left"/>
      <w:pPr>
        <w:tabs>
          <w:tab w:val="num" w:pos="1440"/>
        </w:tabs>
        <w:ind w:left="1440" w:hanging="360"/>
      </w:pPr>
    </w:lvl>
    <w:lvl w:ilvl="2" w:tplc="0A3877E2" w:tentative="1">
      <w:start w:val="1"/>
      <w:numFmt w:val="lowerRoman"/>
      <w:lvlText w:val="%3."/>
      <w:lvlJc w:val="right"/>
      <w:pPr>
        <w:tabs>
          <w:tab w:val="num" w:pos="2160"/>
        </w:tabs>
        <w:ind w:left="2160" w:hanging="180"/>
      </w:pPr>
    </w:lvl>
    <w:lvl w:ilvl="3" w:tplc="B782AA72" w:tentative="1">
      <w:start w:val="1"/>
      <w:numFmt w:val="decimal"/>
      <w:lvlText w:val="%4."/>
      <w:lvlJc w:val="left"/>
      <w:pPr>
        <w:tabs>
          <w:tab w:val="num" w:pos="2880"/>
        </w:tabs>
        <w:ind w:left="2880" w:hanging="360"/>
      </w:pPr>
    </w:lvl>
    <w:lvl w:ilvl="4" w:tplc="77F0B330" w:tentative="1">
      <w:start w:val="1"/>
      <w:numFmt w:val="lowerLetter"/>
      <w:lvlText w:val="%5."/>
      <w:lvlJc w:val="left"/>
      <w:pPr>
        <w:tabs>
          <w:tab w:val="num" w:pos="3600"/>
        </w:tabs>
        <w:ind w:left="3600" w:hanging="360"/>
      </w:pPr>
    </w:lvl>
    <w:lvl w:ilvl="5" w:tplc="E50A3996" w:tentative="1">
      <w:start w:val="1"/>
      <w:numFmt w:val="lowerRoman"/>
      <w:lvlText w:val="%6."/>
      <w:lvlJc w:val="right"/>
      <w:pPr>
        <w:tabs>
          <w:tab w:val="num" w:pos="4320"/>
        </w:tabs>
        <w:ind w:left="4320" w:hanging="180"/>
      </w:pPr>
    </w:lvl>
    <w:lvl w:ilvl="6" w:tplc="9D5EAFA0" w:tentative="1">
      <w:start w:val="1"/>
      <w:numFmt w:val="decimal"/>
      <w:lvlText w:val="%7."/>
      <w:lvlJc w:val="left"/>
      <w:pPr>
        <w:tabs>
          <w:tab w:val="num" w:pos="5040"/>
        </w:tabs>
        <w:ind w:left="5040" w:hanging="360"/>
      </w:pPr>
    </w:lvl>
    <w:lvl w:ilvl="7" w:tplc="1F3A455C" w:tentative="1">
      <w:start w:val="1"/>
      <w:numFmt w:val="lowerLetter"/>
      <w:lvlText w:val="%8."/>
      <w:lvlJc w:val="left"/>
      <w:pPr>
        <w:tabs>
          <w:tab w:val="num" w:pos="5760"/>
        </w:tabs>
        <w:ind w:left="5760" w:hanging="360"/>
      </w:pPr>
    </w:lvl>
    <w:lvl w:ilvl="8" w:tplc="57E668C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7644703E">
      <w:start w:val="1"/>
      <w:numFmt w:val="bullet"/>
      <w:pStyle w:val="Bullet2G"/>
      <w:lvlText w:val="•"/>
      <w:lvlJc w:val="left"/>
      <w:pPr>
        <w:tabs>
          <w:tab w:val="num" w:pos="2268"/>
        </w:tabs>
        <w:ind w:left="2268" w:hanging="170"/>
      </w:pPr>
      <w:rPr>
        <w:rFonts w:ascii="Times New Roman" w:hAnsi="Times New Roman" w:cs="Times New Roman" w:hint="default"/>
      </w:rPr>
    </w:lvl>
    <w:lvl w:ilvl="1" w:tplc="617A1030" w:tentative="1">
      <w:start w:val="1"/>
      <w:numFmt w:val="bullet"/>
      <w:lvlText w:val="o"/>
      <w:lvlJc w:val="left"/>
      <w:pPr>
        <w:tabs>
          <w:tab w:val="num" w:pos="3708"/>
        </w:tabs>
        <w:ind w:left="3708" w:hanging="360"/>
      </w:pPr>
      <w:rPr>
        <w:rFonts w:ascii="Courier New" w:hAnsi="Courier New" w:hint="default"/>
      </w:rPr>
    </w:lvl>
    <w:lvl w:ilvl="2" w:tplc="4F1C60F6" w:tentative="1">
      <w:start w:val="1"/>
      <w:numFmt w:val="bullet"/>
      <w:lvlText w:val=""/>
      <w:lvlJc w:val="left"/>
      <w:pPr>
        <w:tabs>
          <w:tab w:val="num" w:pos="4428"/>
        </w:tabs>
        <w:ind w:left="4428" w:hanging="360"/>
      </w:pPr>
      <w:rPr>
        <w:rFonts w:ascii="Wingdings" w:hAnsi="Wingdings" w:hint="default"/>
      </w:rPr>
    </w:lvl>
    <w:lvl w:ilvl="3" w:tplc="2A7EAFEE" w:tentative="1">
      <w:start w:val="1"/>
      <w:numFmt w:val="bullet"/>
      <w:lvlText w:val=""/>
      <w:lvlJc w:val="left"/>
      <w:pPr>
        <w:tabs>
          <w:tab w:val="num" w:pos="5148"/>
        </w:tabs>
        <w:ind w:left="5148" w:hanging="360"/>
      </w:pPr>
      <w:rPr>
        <w:rFonts w:ascii="Symbol" w:hAnsi="Symbol" w:hint="default"/>
      </w:rPr>
    </w:lvl>
    <w:lvl w:ilvl="4" w:tplc="D2D6DF06" w:tentative="1">
      <w:start w:val="1"/>
      <w:numFmt w:val="bullet"/>
      <w:lvlText w:val="o"/>
      <w:lvlJc w:val="left"/>
      <w:pPr>
        <w:tabs>
          <w:tab w:val="num" w:pos="5868"/>
        </w:tabs>
        <w:ind w:left="5868" w:hanging="360"/>
      </w:pPr>
      <w:rPr>
        <w:rFonts w:ascii="Courier New" w:hAnsi="Courier New" w:hint="default"/>
      </w:rPr>
    </w:lvl>
    <w:lvl w:ilvl="5" w:tplc="AE406FD2" w:tentative="1">
      <w:start w:val="1"/>
      <w:numFmt w:val="bullet"/>
      <w:lvlText w:val=""/>
      <w:lvlJc w:val="left"/>
      <w:pPr>
        <w:tabs>
          <w:tab w:val="num" w:pos="6588"/>
        </w:tabs>
        <w:ind w:left="6588" w:hanging="360"/>
      </w:pPr>
      <w:rPr>
        <w:rFonts w:ascii="Wingdings" w:hAnsi="Wingdings" w:hint="default"/>
      </w:rPr>
    </w:lvl>
    <w:lvl w:ilvl="6" w:tplc="37C4B092" w:tentative="1">
      <w:start w:val="1"/>
      <w:numFmt w:val="bullet"/>
      <w:lvlText w:val=""/>
      <w:lvlJc w:val="left"/>
      <w:pPr>
        <w:tabs>
          <w:tab w:val="num" w:pos="7308"/>
        </w:tabs>
        <w:ind w:left="7308" w:hanging="360"/>
      </w:pPr>
      <w:rPr>
        <w:rFonts w:ascii="Symbol" w:hAnsi="Symbol" w:hint="default"/>
      </w:rPr>
    </w:lvl>
    <w:lvl w:ilvl="7" w:tplc="6D86063A" w:tentative="1">
      <w:start w:val="1"/>
      <w:numFmt w:val="bullet"/>
      <w:lvlText w:val="o"/>
      <w:lvlJc w:val="left"/>
      <w:pPr>
        <w:tabs>
          <w:tab w:val="num" w:pos="8028"/>
        </w:tabs>
        <w:ind w:left="8028" w:hanging="360"/>
      </w:pPr>
      <w:rPr>
        <w:rFonts w:ascii="Courier New" w:hAnsi="Courier New" w:hint="default"/>
      </w:rPr>
    </w:lvl>
    <w:lvl w:ilvl="8" w:tplc="521C5EA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18A6D5CE">
      <w:start w:val="1"/>
      <w:numFmt w:val="bullet"/>
      <w:pStyle w:val="Bullet1G"/>
      <w:lvlText w:val="•"/>
      <w:lvlJc w:val="left"/>
      <w:pPr>
        <w:tabs>
          <w:tab w:val="num" w:pos="1701"/>
        </w:tabs>
        <w:ind w:left="1701" w:hanging="170"/>
      </w:pPr>
      <w:rPr>
        <w:rFonts w:ascii="Times New Roman" w:hAnsi="Times New Roman" w:cs="Times New Roman" w:hint="default"/>
      </w:rPr>
    </w:lvl>
    <w:lvl w:ilvl="1" w:tplc="DBBA1268" w:tentative="1">
      <w:start w:val="1"/>
      <w:numFmt w:val="bullet"/>
      <w:lvlText w:val="o"/>
      <w:lvlJc w:val="left"/>
      <w:pPr>
        <w:tabs>
          <w:tab w:val="num" w:pos="3141"/>
        </w:tabs>
        <w:ind w:left="3141" w:hanging="360"/>
      </w:pPr>
      <w:rPr>
        <w:rFonts w:ascii="Courier New" w:hAnsi="Courier New" w:hint="default"/>
      </w:rPr>
    </w:lvl>
    <w:lvl w:ilvl="2" w:tplc="9B0C9C68" w:tentative="1">
      <w:start w:val="1"/>
      <w:numFmt w:val="bullet"/>
      <w:lvlText w:val=""/>
      <w:lvlJc w:val="left"/>
      <w:pPr>
        <w:tabs>
          <w:tab w:val="num" w:pos="3861"/>
        </w:tabs>
        <w:ind w:left="3861" w:hanging="360"/>
      </w:pPr>
      <w:rPr>
        <w:rFonts w:ascii="Wingdings" w:hAnsi="Wingdings" w:hint="default"/>
      </w:rPr>
    </w:lvl>
    <w:lvl w:ilvl="3" w:tplc="E66075EE" w:tentative="1">
      <w:start w:val="1"/>
      <w:numFmt w:val="bullet"/>
      <w:lvlText w:val=""/>
      <w:lvlJc w:val="left"/>
      <w:pPr>
        <w:tabs>
          <w:tab w:val="num" w:pos="4581"/>
        </w:tabs>
        <w:ind w:left="4581" w:hanging="360"/>
      </w:pPr>
      <w:rPr>
        <w:rFonts w:ascii="Symbol" w:hAnsi="Symbol" w:hint="default"/>
      </w:rPr>
    </w:lvl>
    <w:lvl w:ilvl="4" w:tplc="8E70D3B6" w:tentative="1">
      <w:start w:val="1"/>
      <w:numFmt w:val="bullet"/>
      <w:lvlText w:val="o"/>
      <w:lvlJc w:val="left"/>
      <w:pPr>
        <w:tabs>
          <w:tab w:val="num" w:pos="5301"/>
        </w:tabs>
        <w:ind w:left="5301" w:hanging="360"/>
      </w:pPr>
      <w:rPr>
        <w:rFonts w:ascii="Courier New" w:hAnsi="Courier New" w:hint="default"/>
      </w:rPr>
    </w:lvl>
    <w:lvl w:ilvl="5" w:tplc="7616BCB6" w:tentative="1">
      <w:start w:val="1"/>
      <w:numFmt w:val="bullet"/>
      <w:lvlText w:val=""/>
      <w:lvlJc w:val="left"/>
      <w:pPr>
        <w:tabs>
          <w:tab w:val="num" w:pos="6021"/>
        </w:tabs>
        <w:ind w:left="6021" w:hanging="360"/>
      </w:pPr>
      <w:rPr>
        <w:rFonts w:ascii="Wingdings" w:hAnsi="Wingdings" w:hint="default"/>
      </w:rPr>
    </w:lvl>
    <w:lvl w:ilvl="6" w:tplc="4692A946" w:tentative="1">
      <w:start w:val="1"/>
      <w:numFmt w:val="bullet"/>
      <w:lvlText w:val=""/>
      <w:lvlJc w:val="left"/>
      <w:pPr>
        <w:tabs>
          <w:tab w:val="num" w:pos="6741"/>
        </w:tabs>
        <w:ind w:left="6741" w:hanging="360"/>
      </w:pPr>
      <w:rPr>
        <w:rFonts w:ascii="Symbol" w:hAnsi="Symbol" w:hint="default"/>
      </w:rPr>
    </w:lvl>
    <w:lvl w:ilvl="7" w:tplc="54326B74" w:tentative="1">
      <w:start w:val="1"/>
      <w:numFmt w:val="bullet"/>
      <w:lvlText w:val="o"/>
      <w:lvlJc w:val="left"/>
      <w:pPr>
        <w:tabs>
          <w:tab w:val="num" w:pos="7461"/>
        </w:tabs>
        <w:ind w:left="7461" w:hanging="360"/>
      </w:pPr>
      <w:rPr>
        <w:rFonts w:ascii="Courier New" w:hAnsi="Courier New" w:hint="default"/>
      </w:rPr>
    </w:lvl>
    <w:lvl w:ilvl="8" w:tplc="D9D2FA36"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1MTYxNDE1tzA2NDVU0lEKTi0uzszPAykwrAUAuJicaywAAAA="/>
  </w:docVars>
  <w:rsids>
    <w:rsidRoot w:val="00FE4E9D"/>
    <w:rsid w:val="000047B1"/>
    <w:rsid w:val="00017F94"/>
    <w:rsid w:val="00023842"/>
    <w:rsid w:val="000334F9"/>
    <w:rsid w:val="0003670A"/>
    <w:rsid w:val="00036F5D"/>
    <w:rsid w:val="00066196"/>
    <w:rsid w:val="0007796D"/>
    <w:rsid w:val="000A2588"/>
    <w:rsid w:val="000B1A37"/>
    <w:rsid w:val="000B4EF7"/>
    <w:rsid w:val="000B7790"/>
    <w:rsid w:val="000C2BDC"/>
    <w:rsid w:val="000C390E"/>
    <w:rsid w:val="000C4A15"/>
    <w:rsid w:val="00100320"/>
    <w:rsid w:val="001009C2"/>
    <w:rsid w:val="00111F2F"/>
    <w:rsid w:val="0014365E"/>
    <w:rsid w:val="00150724"/>
    <w:rsid w:val="00150DB2"/>
    <w:rsid w:val="00176178"/>
    <w:rsid w:val="001908C0"/>
    <w:rsid w:val="001E1F30"/>
    <w:rsid w:val="001E498C"/>
    <w:rsid w:val="001F525A"/>
    <w:rsid w:val="00223272"/>
    <w:rsid w:val="00223BC0"/>
    <w:rsid w:val="0024779E"/>
    <w:rsid w:val="00257838"/>
    <w:rsid w:val="00291F1D"/>
    <w:rsid w:val="002D0F56"/>
    <w:rsid w:val="002E53FB"/>
    <w:rsid w:val="002E6AF8"/>
    <w:rsid w:val="002F1C80"/>
    <w:rsid w:val="003539CE"/>
    <w:rsid w:val="00353ED5"/>
    <w:rsid w:val="00380EE2"/>
    <w:rsid w:val="00385F21"/>
    <w:rsid w:val="0039005B"/>
    <w:rsid w:val="003B0B0F"/>
    <w:rsid w:val="003C05F3"/>
    <w:rsid w:val="003D1AD0"/>
    <w:rsid w:val="003D3938"/>
    <w:rsid w:val="004020CB"/>
    <w:rsid w:val="0041383A"/>
    <w:rsid w:val="0041551F"/>
    <w:rsid w:val="00423B4E"/>
    <w:rsid w:val="00446FE5"/>
    <w:rsid w:val="00452396"/>
    <w:rsid w:val="00455F51"/>
    <w:rsid w:val="00457CD7"/>
    <w:rsid w:val="0046257D"/>
    <w:rsid w:val="00482156"/>
    <w:rsid w:val="004D0848"/>
    <w:rsid w:val="00527295"/>
    <w:rsid w:val="0053631F"/>
    <w:rsid w:val="00544E78"/>
    <w:rsid w:val="005505B7"/>
    <w:rsid w:val="00573BE5"/>
    <w:rsid w:val="00586ED3"/>
    <w:rsid w:val="00596AA9"/>
    <w:rsid w:val="005A14CB"/>
    <w:rsid w:val="005A49B2"/>
    <w:rsid w:val="005B43E7"/>
    <w:rsid w:val="005B6BC9"/>
    <w:rsid w:val="005B75E3"/>
    <w:rsid w:val="005C06D4"/>
    <w:rsid w:val="005C6AC7"/>
    <w:rsid w:val="005D385F"/>
    <w:rsid w:val="006056E0"/>
    <w:rsid w:val="006239EA"/>
    <w:rsid w:val="00670DFB"/>
    <w:rsid w:val="006748CF"/>
    <w:rsid w:val="006813D2"/>
    <w:rsid w:val="006861E6"/>
    <w:rsid w:val="006A2080"/>
    <w:rsid w:val="006B627B"/>
    <w:rsid w:val="006E3F0A"/>
    <w:rsid w:val="00706E82"/>
    <w:rsid w:val="0071601D"/>
    <w:rsid w:val="0072392D"/>
    <w:rsid w:val="00755319"/>
    <w:rsid w:val="00766CEC"/>
    <w:rsid w:val="00790D1C"/>
    <w:rsid w:val="00791BDE"/>
    <w:rsid w:val="007A26B7"/>
    <w:rsid w:val="007A62E6"/>
    <w:rsid w:val="007B4EC1"/>
    <w:rsid w:val="007D1EA0"/>
    <w:rsid w:val="007F7574"/>
    <w:rsid w:val="008031DB"/>
    <w:rsid w:val="00803DAD"/>
    <w:rsid w:val="0080684C"/>
    <w:rsid w:val="00815502"/>
    <w:rsid w:val="0082326A"/>
    <w:rsid w:val="00827087"/>
    <w:rsid w:val="00831242"/>
    <w:rsid w:val="00841DEF"/>
    <w:rsid w:val="0084256E"/>
    <w:rsid w:val="00853E84"/>
    <w:rsid w:val="00861053"/>
    <w:rsid w:val="00863F97"/>
    <w:rsid w:val="00871C75"/>
    <w:rsid w:val="008776DC"/>
    <w:rsid w:val="00880106"/>
    <w:rsid w:val="008A0E26"/>
    <w:rsid w:val="008B151E"/>
    <w:rsid w:val="008C7952"/>
    <w:rsid w:val="008E2BD2"/>
    <w:rsid w:val="008F69EF"/>
    <w:rsid w:val="009243DC"/>
    <w:rsid w:val="00953424"/>
    <w:rsid w:val="00957790"/>
    <w:rsid w:val="009705C8"/>
    <w:rsid w:val="009A247E"/>
    <w:rsid w:val="009B3F6B"/>
    <w:rsid w:val="009C41E2"/>
    <w:rsid w:val="00A073B4"/>
    <w:rsid w:val="00A16B94"/>
    <w:rsid w:val="00A319E9"/>
    <w:rsid w:val="00A75EB9"/>
    <w:rsid w:val="00A815AF"/>
    <w:rsid w:val="00A855C0"/>
    <w:rsid w:val="00A93376"/>
    <w:rsid w:val="00AB7E73"/>
    <w:rsid w:val="00AC08DA"/>
    <w:rsid w:val="00AC2CCD"/>
    <w:rsid w:val="00AC3823"/>
    <w:rsid w:val="00AE323C"/>
    <w:rsid w:val="00AE7729"/>
    <w:rsid w:val="00B00181"/>
    <w:rsid w:val="00B15A8E"/>
    <w:rsid w:val="00B174DC"/>
    <w:rsid w:val="00B34BE7"/>
    <w:rsid w:val="00B41FDC"/>
    <w:rsid w:val="00B43C66"/>
    <w:rsid w:val="00B765F7"/>
    <w:rsid w:val="00B772DD"/>
    <w:rsid w:val="00B9024D"/>
    <w:rsid w:val="00B95EEB"/>
    <w:rsid w:val="00BA07AB"/>
    <w:rsid w:val="00BA0CA9"/>
    <w:rsid w:val="00BB6C7E"/>
    <w:rsid w:val="00BE245C"/>
    <w:rsid w:val="00BE4745"/>
    <w:rsid w:val="00BF30B9"/>
    <w:rsid w:val="00BF3C2C"/>
    <w:rsid w:val="00C02897"/>
    <w:rsid w:val="00C03C3F"/>
    <w:rsid w:val="00C206A6"/>
    <w:rsid w:val="00C265B5"/>
    <w:rsid w:val="00C67C2B"/>
    <w:rsid w:val="00C943DA"/>
    <w:rsid w:val="00CA2D3F"/>
    <w:rsid w:val="00CB43B4"/>
    <w:rsid w:val="00CB56FC"/>
    <w:rsid w:val="00CC2887"/>
    <w:rsid w:val="00CD4422"/>
    <w:rsid w:val="00D05D5E"/>
    <w:rsid w:val="00D3439C"/>
    <w:rsid w:val="00D51D46"/>
    <w:rsid w:val="00D56CD6"/>
    <w:rsid w:val="00D726D4"/>
    <w:rsid w:val="00DA22F4"/>
    <w:rsid w:val="00DA40FE"/>
    <w:rsid w:val="00DB1831"/>
    <w:rsid w:val="00DC0AE6"/>
    <w:rsid w:val="00DC37E3"/>
    <w:rsid w:val="00DD298F"/>
    <w:rsid w:val="00DD3BFD"/>
    <w:rsid w:val="00DF6678"/>
    <w:rsid w:val="00E22CF2"/>
    <w:rsid w:val="00E40D0F"/>
    <w:rsid w:val="00E5024E"/>
    <w:rsid w:val="00E52D9F"/>
    <w:rsid w:val="00E56B4F"/>
    <w:rsid w:val="00E930BF"/>
    <w:rsid w:val="00EA4A36"/>
    <w:rsid w:val="00F01808"/>
    <w:rsid w:val="00F164B0"/>
    <w:rsid w:val="00F24D6D"/>
    <w:rsid w:val="00F30ED9"/>
    <w:rsid w:val="00F43750"/>
    <w:rsid w:val="00F660DF"/>
    <w:rsid w:val="00F80094"/>
    <w:rsid w:val="00F95C08"/>
    <w:rsid w:val="00FB4404"/>
    <w:rsid w:val="00FC304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B6793"/>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1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41551F"/>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4694</Characters>
  <Application>Microsoft Office Word</Application>
  <DocSecurity>0</DocSecurity>
  <Lines>83</Lines>
  <Paragraphs>25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CERD/C/SR.2955</vt:lpstr>
      <vt:lpstr/>
      <vt:lpstr/>
    </vt:vector>
  </TitlesOfParts>
  <Company>DCM</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CERD/C/SR.2955</dc:title>
  <dc:subject>2227402</dc:subject>
  <dc:creator>dm</dc:creator>
  <cp:keywords/>
  <dc:description/>
  <cp:lastModifiedBy>Don Canete Martin</cp:lastModifiedBy>
  <cp:revision>2</cp:revision>
  <cp:lastPrinted>2017-10-13T08:20:00Z</cp:lastPrinted>
  <dcterms:created xsi:type="dcterms:W3CDTF">2022-12-08T14:00:00Z</dcterms:created>
  <dcterms:modified xsi:type="dcterms:W3CDTF">2022-12-08T14:00:00Z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02/12/2022 16:03:33</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Partial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2 December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2955th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108th</vt:lpwstr>
  </property>
  <property fmtid="{D5CDD505-2E9C-101B-9397-08002B2CF9AE}" pid="26" name="stitle">
    <vt:lpwstr>stitle</vt:lpwstr>
  </property>
  <property fmtid="{D5CDD505-2E9C-101B-9397-08002B2CF9AE}" pid="27" name="sym1">
    <vt:lpwstr>C/SR.2955</vt:lpwstr>
  </property>
  <property fmtid="{D5CDD505-2E9C-101B-9397-08002B2CF9AE}" pid="28" name="symh">
    <vt:lpwstr>CERD/C/SR.2955</vt:lpwstr>
  </property>
  <property fmtid="{D5CDD505-2E9C-101B-9397-08002B2CF9AE}" pid="29" name="tlang">
    <vt:lpwstr>tlang</vt:lpwstr>
  </property>
  <property fmtid="{D5CDD505-2E9C-101B-9397-08002B2CF9AE}" pid="30" name="virs">
    <vt:lpwstr>virs</vt:lpwstr>
  </property>
</Properties>
</file>