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9847AE" w:rsidTr="005E01B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9847AE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9847AE" w:rsidRDefault="002E0D40" w:rsidP="00593658">
            <w:pPr>
              <w:spacing w:after="80" w:line="300" w:lineRule="exact"/>
              <w:rPr>
                <w:sz w:val="28"/>
              </w:rPr>
            </w:pPr>
            <w:r w:rsidRPr="009847A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9847AE" w:rsidRDefault="00EF521C" w:rsidP="00EF521C">
            <w:pPr>
              <w:jc w:val="right"/>
            </w:pPr>
            <w:r w:rsidRPr="009847AE">
              <w:rPr>
                <w:sz w:val="40"/>
              </w:rPr>
              <w:t>CERD</w:t>
            </w:r>
            <w:r w:rsidRPr="009847AE">
              <w:t>/C/SR.2137</w:t>
            </w:r>
          </w:p>
        </w:tc>
      </w:tr>
      <w:tr w:rsidR="002E0D40" w:rsidRPr="009847AE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9847AE" w:rsidRDefault="002E0D40" w:rsidP="00593658">
            <w:pPr>
              <w:spacing w:before="120"/>
              <w:jc w:val="center"/>
            </w:pPr>
            <w:r w:rsidRPr="009847A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9847AE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9847AE">
              <w:rPr>
                <w:b/>
                <w:sz w:val="34"/>
                <w:szCs w:val="34"/>
              </w:rPr>
              <w:t>Convention internationale sur</w:t>
            </w:r>
            <w:r w:rsidRPr="009847AE">
              <w:rPr>
                <w:b/>
                <w:sz w:val="34"/>
                <w:szCs w:val="34"/>
              </w:rPr>
              <w:br/>
              <w:t>l</w:t>
            </w:r>
            <w:r w:rsidR="00354181">
              <w:rPr>
                <w:b/>
                <w:sz w:val="34"/>
                <w:szCs w:val="34"/>
              </w:rPr>
              <w:t>’</w:t>
            </w:r>
            <w:r w:rsidRPr="009847AE">
              <w:rPr>
                <w:b/>
                <w:sz w:val="34"/>
                <w:szCs w:val="34"/>
              </w:rPr>
              <w:t>élimination de toutes les formes</w:t>
            </w:r>
            <w:r w:rsidRPr="009847AE"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F521C" w:rsidRPr="009847AE" w:rsidRDefault="00AE68B5" w:rsidP="00593658">
            <w:pPr>
              <w:spacing w:before="240"/>
            </w:pPr>
            <w:r w:rsidRPr="009847AE">
              <w:t xml:space="preserve">Distr. </w:t>
            </w:r>
            <w:r w:rsidR="009D4069" w:rsidRPr="009847AE">
              <w:t>g</w:t>
            </w:r>
            <w:r w:rsidRPr="009847AE">
              <w:t>énérale</w:t>
            </w:r>
          </w:p>
          <w:p w:rsidR="00354181" w:rsidRDefault="00354181" w:rsidP="00EF521C">
            <w:pPr>
              <w:spacing w:line="240" w:lineRule="exact"/>
            </w:pPr>
            <w:r>
              <w:t>29</w:t>
            </w:r>
            <w:r w:rsidR="00586053">
              <w:t xml:space="preserve"> février 2012</w:t>
            </w:r>
          </w:p>
          <w:p w:rsidR="00134F9F" w:rsidRDefault="00134F9F" w:rsidP="00EF521C">
            <w:pPr>
              <w:spacing w:line="240" w:lineRule="exact"/>
            </w:pPr>
          </w:p>
          <w:p w:rsidR="002E0D40" w:rsidRPr="009847AE" w:rsidRDefault="00EF521C" w:rsidP="00EF521C">
            <w:pPr>
              <w:spacing w:line="240" w:lineRule="exact"/>
            </w:pPr>
            <w:r w:rsidRPr="009847AE">
              <w:t>Original: français</w:t>
            </w:r>
          </w:p>
        </w:tc>
      </w:tr>
    </w:tbl>
    <w:p w:rsidR="005E01B1" w:rsidRPr="009847AE" w:rsidRDefault="005E01B1" w:rsidP="005E01B1">
      <w:pPr>
        <w:spacing w:before="120"/>
        <w:rPr>
          <w:b/>
          <w:sz w:val="24"/>
          <w:szCs w:val="24"/>
        </w:rPr>
      </w:pPr>
      <w:r w:rsidRPr="009847AE">
        <w:rPr>
          <w:b/>
          <w:sz w:val="24"/>
          <w:szCs w:val="24"/>
        </w:rPr>
        <w:t>Comité pour l</w:t>
      </w:r>
      <w:r w:rsidR="00354181">
        <w:rPr>
          <w:b/>
          <w:sz w:val="24"/>
          <w:szCs w:val="24"/>
        </w:rPr>
        <w:t>’</w:t>
      </w:r>
      <w:r w:rsidRPr="009847AE">
        <w:rPr>
          <w:b/>
          <w:sz w:val="24"/>
          <w:szCs w:val="24"/>
        </w:rPr>
        <w:t>élimination de la discrimination raciale</w:t>
      </w:r>
    </w:p>
    <w:p w:rsidR="005E01B1" w:rsidRPr="009847AE" w:rsidRDefault="00CE4082" w:rsidP="005E01B1">
      <w:pPr>
        <w:spacing w:after="120"/>
        <w:rPr>
          <w:b/>
        </w:rPr>
      </w:pPr>
      <w:r w:rsidRPr="009847AE">
        <w:rPr>
          <w:b/>
        </w:rPr>
        <w:t>Quatre-vingtième session</w:t>
      </w:r>
    </w:p>
    <w:p w:rsidR="005E01B1" w:rsidRPr="009847AE" w:rsidRDefault="005E01B1" w:rsidP="005E01B1">
      <w:pPr>
        <w:rPr>
          <w:b/>
        </w:rPr>
      </w:pPr>
      <w:r w:rsidRPr="009847AE">
        <w:rPr>
          <w:b/>
        </w:rPr>
        <w:t xml:space="preserve">Compte rendu analytique de la </w:t>
      </w:r>
      <w:r w:rsidR="00EF521C" w:rsidRPr="009847AE">
        <w:rPr>
          <w:b/>
        </w:rPr>
        <w:t>2137</w:t>
      </w:r>
      <w:r w:rsidRPr="009847AE">
        <w:rPr>
          <w:b/>
          <w:vertAlign w:val="superscript"/>
        </w:rPr>
        <w:t>e</w:t>
      </w:r>
      <w:r w:rsidRPr="009847AE">
        <w:rPr>
          <w:b/>
        </w:rPr>
        <w:t xml:space="preserve"> séance</w:t>
      </w:r>
    </w:p>
    <w:p w:rsidR="005E01B1" w:rsidRPr="009847AE" w:rsidRDefault="005E01B1" w:rsidP="009967BD">
      <w:r w:rsidRPr="009847AE">
        <w:t xml:space="preserve">Tenue au Palais Wilson, à Genève, le </w:t>
      </w:r>
      <w:r w:rsidR="00EF521C" w:rsidRPr="009847AE">
        <w:t xml:space="preserve">lundi 20 février </w:t>
      </w:r>
      <w:r w:rsidRPr="009847AE">
        <w:t>20</w:t>
      </w:r>
      <w:r w:rsidR="00D77945" w:rsidRPr="009847AE">
        <w:t>1</w:t>
      </w:r>
      <w:r w:rsidR="00CE4082" w:rsidRPr="009847AE">
        <w:t>2</w:t>
      </w:r>
      <w:r w:rsidRPr="009847AE">
        <w:t xml:space="preserve">, à </w:t>
      </w:r>
      <w:r w:rsidR="00EF521C" w:rsidRPr="009847AE">
        <w:t>15 heures</w:t>
      </w:r>
    </w:p>
    <w:p w:rsidR="005E01B1" w:rsidRPr="009847AE" w:rsidRDefault="005E01B1" w:rsidP="009967BD">
      <w:pPr>
        <w:tabs>
          <w:tab w:val="right" w:pos="851"/>
          <w:tab w:val="left" w:pos="1134"/>
          <w:tab w:val="right" w:leader="dot" w:pos="8505"/>
        </w:tabs>
        <w:spacing w:before="120"/>
      </w:pPr>
      <w:r w:rsidRPr="009847AE">
        <w:rPr>
          <w:i/>
        </w:rPr>
        <w:tab/>
        <w:t>Président</w:t>
      </w:r>
      <w:r w:rsidRPr="009847AE">
        <w:t xml:space="preserve">: </w:t>
      </w:r>
      <w:r w:rsidRPr="009847AE">
        <w:tab/>
      </w:r>
      <w:r w:rsidR="00EF521C" w:rsidRPr="009847AE">
        <w:t>M. Avtonomov</w:t>
      </w:r>
    </w:p>
    <w:p w:rsidR="005E01B1" w:rsidRPr="009847AE" w:rsidRDefault="005E01B1" w:rsidP="005E01B1">
      <w:pPr>
        <w:spacing w:before="360" w:after="240"/>
        <w:rPr>
          <w:sz w:val="28"/>
          <w:szCs w:val="28"/>
        </w:rPr>
      </w:pPr>
      <w:r w:rsidRPr="009847AE">
        <w:rPr>
          <w:sz w:val="28"/>
          <w:szCs w:val="28"/>
        </w:rPr>
        <w:t>Sommaire</w:t>
      </w:r>
    </w:p>
    <w:p w:rsidR="00FF1DBD" w:rsidRPr="009847AE" w:rsidRDefault="00EF521C" w:rsidP="00EF521C">
      <w:pPr>
        <w:pStyle w:val="SingleTxtG"/>
      </w:pPr>
      <w:r w:rsidRPr="009847AE">
        <w:t>Examen des rapports, observations et renseignements présentés par les États parties conformément à l</w:t>
      </w:r>
      <w:r w:rsidR="00354181">
        <w:t>’</w:t>
      </w:r>
      <w:r w:rsidRPr="009847AE">
        <w:t>article 9 de la Convention (</w:t>
      </w:r>
      <w:r w:rsidRPr="009847AE">
        <w:rPr>
          <w:i/>
        </w:rPr>
        <w:t>suite</w:t>
      </w:r>
      <w:r w:rsidRPr="009847AE">
        <w:t>)</w:t>
      </w:r>
    </w:p>
    <w:p w:rsidR="00EF521C" w:rsidRPr="009847AE" w:rsidRDefault="00EF521C" w:rsidP="00EF521C">
      <w:pPr>
        <w:pStyle w:val="SingleTxtG"/>
        <w:ind w:firstLine="567"/>
        <w:rPr>
          <w:i/>
          <w:iCs/>
        </w:rPr>
      </w:pPr>
      <w:r w:rsidRPr="009847AE">
        <w:rPr>
          <w:i/>
          <w:iCs/>
        </w:rPr>
        <w:t>Douzième à quatorzième rapports périodiques du Portugal</w:t>
      </w:r>
    </w:p>
    <w:p w:rsidR="00EF521C" w:rsidRPr="009847AE" w:rsidRDefault="00EF521C" w:rsidP="00B16795">
      <w:pPr>
        <w:pStyle w:val="SingleTxtG"/>
        <w:rPr>
          <w:i/>
        </w:rPr>
      </w:pPr>
      <w:r w:rsidRPr="009847AE">
        <w:rPr>
          <w:iCs/>
        </w:rPr>
        <w:br w:type="page"/>
      </w:r>
      <w:r w:rsidRPr="009847AE">
        <w:rPr>
          <w:i/>
        </w:rPr>
        <w:t>La séance est ouverte à 15 h 10.</w:t>
      </w:r>
    </w:p>
    <w:p w:rsidR="00EF521C" w:rsidRPr="00354181" w:rsidRDefault="00D647B8" w:rsidP="00D647B8">
      <w:pPr>
        <w:pStyle w:val="H23G"/>
        <w:rPr>
          <w:b w:val="0"/>
          <w:i/>
          <w:lang w:eastAsia="fr-FR"/>
        </w:rPr>
      </w:pPr>
      <w:r w:rsidRPr="009847AE">
        <w:rPr>
          <w:lang w:eastAsia="fr-FR"/>
        </w:rPr>
        <w:tab/>
      </w:r>
      <w:r w:rsidRPr="009847AE">
        <w:rPr>
          <w:lang w:eastAsia="fr-FR"/>
        </w:rPr>
        <w:tab/>
      </w:r>
      <w:r w:rsidR="00EF521C" w:rsidRPr="009847AE">
        <w:rPr>
          <w:lang w:eastAsia="fr-FR"/>
        </w:rPr>
        <w:t>Examen des rapports, observations et renseignements présentés par les États parties conformément à l</w:t>
      </w:r>
      <w:r w:rsidR="00354181">
        <w:rPr>
          <w:lang w:eastAsia="fr-FR"/>
        </w:rPr>
        <w:t>’</w:t>
      </w:r>
      <w:r w:rsidR="00EF521C" w:rsidRPr="009847AE">
        <w:rPr>
          <w:lang w:eastAsia="fr-FR"/>
        </w:rPr>
        <w:t xml:space="preserve">article 9 de la Convention </w:t>
      </w:r>
      <w:r w:rsidR="00EF521C" w:rsidRPr="00354181">
        <w:rPr>
          <w:b w:val="0"/>
          <w:lang w:eastAsia="fr-FR"/>
        </w:rPr>
        <w:t>(</w:t>
      </w:r>
      <w:r w:rsidR="00EF521C" w:rsidRPr="00354181">
        <w:rPr>
          <w:b w:val="0"/>
          <w:i/>
          <w:lang w:eastAsia="fr-FR"/>
        </w:rPr>
        <w:t>suite</w:t>
      </w:r>
      <w:r w:rsidR="00EF521C" w:rsidRPr="00354181">
        <w:rPr>
          <w:b w:val="0"/>
          <w:lang w:eastAsia="fr-FR"/>
        </w:rPr>
        <w:t>)</w:t>
      </w:r>
    </w:p>
    <w:p w:rsidR="00EF521C" w:rsidRPr="009847AE" w:rsidRDefault="00EF521C" w:rsidP="00D647B8">
      <w:pPr>
        <w:pStyle w:val="SingleTxtG"/>
        <w:rPr>
          <w:iCs/>
        </w:rPr>
      </w:pPr>
      <w:r w:rsidRPr="009847AE">
        <w:rPr>
          <w:i/>
          <w:iCs/>
          <w:lang w:eastAsia="fr-FR"/>
        </w:rPr>
        <w:t xml:space="preserve">Douzième à quatorzième rapports </w:t>
      </w:r>
      <w:r w:rsidRPr="000F41C3">
        <w:rPr>
          <w:i/>
          <w:iCs/>
          <w:lang w:eastAsia="fr-FR"/>
        </w:rPr>
        <w:t>périodiques du Portugal</w:t>
      </w:r>
      <w:r w:rsidRPr="009847AE">
        <w:rPr>
          <w:iCs/>
          <w:lang w:eastAsia="fr-FR"/>
        </w:rPr>
        <w:t xml:space="preserve"> (</w:t>
      </w:r>
      <w:r w:rsidRPr="009847AE">
        <w:rPr>
          <w:iCs/>
        </w:rPr>
        <w:t>CERD/C/PRT/12-14; CERD/C/PRT/Q/12-14)</w:t>
      </w:r>
    </w:p>
    <w:p w:rsidR="00EF521C" w:rsidRPr="009847AE" w:rsidRDefault="00EF521C" w:rsidP="00D647B8">
      <w:pPr>
        <w:pStyle w:val="SingleTxtG"/>
        <w:rPr>
          <w:lang w:eastAsia="fr-FR"/>
        </w:rPr>
      </w:pPr>
      <w:r w:rsidRPr="009847AE">
        <w:rPr>
          <w:lang w:eastAsia="fr-FR"/>
        </w:rPr>
        <w:t>1.</w:t>
      </w:r>
      <w:r w:rsidRPr="009847AE">
        <w:rPr>
          <w:lang w:eastAsia="fr-FR"/>
        </w:rPr>
        <w:tab/>
      </w:r>
      <w:r w:rsidRPr="009847AE">
        <w:rPr>
          <w:i/>
          <w:lang w:eastAsia="fr-FR"/>
        </w:rPr>
        <w:t>Sur l</w:t>
      </w:r>
      <w:r w:rsidR="00354181">
        <w:rPr>
          <w:i/>
          <w:lang w:eastAsia="fr-FR"/>
        </w:rPr>
        <w:t>’</w:t>
      </w:r>
      <w:r w:rsidRPr="009847AE">
        <w:rPr>
          <w:i/>
          <w:lang w:eastAsia="fr-FR"/>
        </w:rPr>
        <w:t xml:space="preserve">invitation du </w:t>
      </w:r>
      <w:r w:rsidRPr="009847AE">
        <w:rPr>
          <w:i/>
        </w:rPr>
        <w:t>Président</w:t>
      </w:r>
      <w:r w:rsidRPr="009847AE">
        <w:rPr>
          <w:i/>
          <w:lang w:eastAsia="fr-FR"/>
        </w:rPr>
        <w:t>, la délégation portugaise prend place à la table du Comité</w:t>
      </w:r>
      <w:r w:rsidRPr="009847AE">
        <w:rPr>
          <w:lang w:eastAsia="fr-FR"/>
        </w:rPr>
        <w:t>.</w:t>
      </w:r>
    </w:p>
    <w:p w:rsidR="00EF521C" w:rsidRPr="009847AE" w:rsidRDefault="00D647B8" w:rsidP="00354181">
      <w:pPr>
        <w:pStyle w:val="SingleTxtG"/>
      </w:pPr>
      <w:r w:rsidRPr="009847AE">
        <w:rPr>
          <w:iCs/>
          <w:szCs w:val="24"/>
          <w:lang w:eastAsia="fr-FR"/>
        </w:rPr>
        <w:t>2.</w:t>
      </w:r>
      <w:r w:rsidRPr="009847AE">
        <w:rPr>
          <w:iCs/>
          <w:szCs w:val="24"/>
          <w:lang w:eastAsia="fr-FR"/>
        </w:rPr>
        <w:tab/>
      </w:r>
      <w:r w:rsidR="00EF521C" w:rsidRPr="009847AE">
        <w:rPr>
          <w:b/>
          <w:iCs/>
          <w:szCs w:val="24"/>
          <w:lang w:eastAsia="fr-FR"/>
        </w:rPr>
        <w:t>M</w:t>
      </w:r>
      <w:r w:rsidR="00EF521C" w:rsidRPr="009847AE">
        <w:rPr>
          <w:b/>
          <w:iCs/>
          <w:szCs w:val="24"/>
          <w:vertAlign w:val="superscript"/>
          <w:lang w:eastAsia="fr-FR"/>
        </w:rPr>
        <w:t>me</w:t>
      </w:r>
      <w:r w:rsidR="00EF521C" w:rsidRPr="009847AE">
        <w:rPr>
          <w:b/>
          <w:iCs/>
          <w:szCs w:val="24"/>
          <w:lang w:eastAsia="fr-FR"/>
        </w:rPr>
        <w:t xml:space="preserve"> Farmhouse</w:t>
      </w:r>
      <w:r w:rsidR="00EF521C" w:rsidRPr="009847AE">
        <w:rPr>
          <w:iCs/>
          <w:szCs w:val="24"/>
          <w:lang w:eastAsia="fr-FR"/>
        </w:rPr>
        <w:t xml:space="preserve"> (Portugal) explique qu</w:t>
      </w:r>
      <w:r w:rsidR="00354181">
        <w:rPr>
          <w:iCs/>
          <w:szCs w:val="24"/>
          <w:lang w:eastAsia="fr-FR"/>
        </w:rPr>
        <w:t>’</w:t>
      </w:r>
      <w:r w:rsidR="00EF521C" w:rsidRPr="009847AE">
        <w:rPr>
          <w:iCs/>
          <w:szCs w:val="24"/>
          <w:lang w:eastAsia="fr-FR"/>
        </w:rPr>
        <w:t>en mars 2010, son pays a créé une Commission nationale des droits de l</w:t>
      </w:r>
      <w:r w:rsidR="00354181">
        <w:rPr>
          <w:iCs/>
          <w:szCs w:val="24"/>
          <w:lang w:eastAsia="fr-FR"/>
        </w:rPr>
        <w:t>’</w:t>
      </w:r>
      <w:r w:rsidR="00EF521C" w:rsidRPr="009847AE">
        <w:rPr>
          <w:iCs/>
          <w:szCs w:val="24"/>
          <w:lang w:eastAsia="fr-FR"/>
        </w:rPr>
        <w:t>homme afin d</w:t>
      </w:r>
      <w:r w:rsidR="00354181">
        <w:rPr>
          <w:iCs/>
          <w:szCs w:val="24"/>
          <w:lang w:eastAsia="fr-FR"/>
        </w:rPr>
        <w:t>’</w:t>
      </w:r>
      <w:r w:rsidR="00EF521C" w:rsidRPr="009847AE">
        <w:rPr>
          <w:iCs/>
          <w:szCs w:val="24"/>
          <w:lang w:eastAsia="fr-FR"/>
        </w:rPr>
        <w:t>assurer la coordination entre les organismes publics chargés des droits de l</w:t>
      </w:r>
      <w:r w:rsidR="00354181">
        <w:rPr>
          <w:iCs/>
          <w:szCs w:val="24"/>
          <w:lang w:eastAsia="fr-FR"/>
        </w:rPr>
        <w:t>’</w:t>
      </w:r>
      <w:r w:rsidR="00EF521C" w:rsidRPr="009847AE">
        <w:rPr>
          <w:iCs/>
          <w:szCs w:val="24"/>
          <w:lang w:eastAsia="fr-FR"/>
        </w:rPr>
        <w:t>homme</w:t>
      </w:r>
      <w:r w:rsidR="00B16795" w:rsidRPr="009847AE">
        <w:rPr>
          <w:iCs/>
          <w:szCs w:val="24"/>
          <w:lang w:eastAsia="fr-FR"/>
        </w:rPr>
        <w:t xml:space="preserve"> et</w:t>
      </w:r>
      <w:r w:rsidR="00EF521C" w:rsidRPr="009847AE">
        <w:rPr>
          <w:iCs/>
          <w:szCs w:val="24"/>
          <w:lang w:eastAsia="fr-FR"/>
        </w:rPr>
        <w:t>, notamment</w:t>
      </w:r>
      <w:r w:rsidR="00B16795" w:rsidRPr="009847AE">
        <w:rPr>
          <w:iCs/>
          <w:szCs w:val="24"/>
          <w:lang w:eastAsia="fr-FR"/>
        </w:rPr>
        <w:t>,</w:t>
      </w:r>
      <w:r w:rsidR="00EF521C" w:rsidRPr="009847AE">
        <w:rPr>
          <w:iCs/>
          <w:szCs w:val="24"/>
          <w:lang w:eastAsia="fr-FR"/>
        </w:rPr>
        <w:t xml:space="preserve"> d</w:t>
      </w:r>
      <w:r w:rsidR="00354181">
        <w:rPr>
          <w:iCs/>
          <w:szCs w:val="24"/>
          <w:lang w:eastAsia="fr-FR"/>
        </w:rPr>
        <w:t>’</w:t>
      </w:r>
      <w:r w:rsidR="00EF521C" w:rsidRPr="009847AE">
        <w:rPr>
          <w:iCs/>
          <w:szCs w:val="24"/>
          <w:lang w:eastAsia="fr-FR"/>
        </w:rPr>
        <w:t xml:space="preserve">éviter les retards </w:t>
      </w:r>
      <w:r w:rsidR="00B16795" w:rsidRPr="009847AE">
        <w:rPr>
          <w:iCs/>
          <w:szCs w:val="24"/>
          <w:lang w:eastAsia="fr-FR"/>
        </w:rPr>
        <w:t xml:space="preserve">excessifs </w:t>
      </w:r>
      <w:r w:rsidR="00EF521C" w:rsidRPr="009847AE">
        <w:rPr>
          <w:iCs/>
          <w:szCs w:val="24"/>
          <w:lang w:eastAsia="fr-FR"/>
        </w:rPr>
        <w:t>dans la présentation des rapports au</w:t>
      </w:r>
      <w:r w:rsidR="00B16795" w:rsidRPr="009847AE">
        <w:rPr>
          <w:iCs/>
          <w:szCs w:val="24"/>
          <w:lang w:eastAsia="fr-FR"/>
        </w:rPr>
        <w:t>x</w:t>
      </w:r>
      <w:r w:rsidR="00EF521C" w:rsidRPr="009847AE">
        <w:rPr>
          <w:iCs/>
          <w:szCs w:val="24"/>
          <w:lang w:eastAsia="fr-FR"/>
        </w:rPr>
        <w:t xml:space="preserve"> organes conventionnels. Le </w:t>
      </w:r>
      <w:r w:rsidR="00EF521C" w:rsidRPr="009847AE">
        <w:t xml:space="preserve">Portugal est </w:t>
      </w:r>
      <w:r w:rsidR="00B16795" w:rsidRPr="009847AE">
        <w:t xml:space="preserve">un </w:t>
      </w:r>
      <w:r w:rsidR="00EF521C" w:rsidRPr="009847AE">
        <w:t xml:space="preserve">pays multiculturel </w:t>
      </w:r>
      <w:r w:rsidR="00B16795" w:rsidRPr="009847AE">
        <w:t xml:space="preserve">et </w:t>
      </w:r>
      <w:r w:rsidR="00EF521C" w:rsidRPr="009847AE">
        <w:t xml:space="preserve">globalement très </w:t>
      </w:r>
      <w:r w:rsidR="00B16795" w:rsidRPr="009847AE">
        <w:t>tolérant</w:t>
      </w:r>
      <w:r w:rsidR="00EF521C" w:rsidRPr="009847AE">
        <w:t xml:space="preserve"> à l</w:t>
      </w:r>
      <w:r w:rsidR="00354181">
        <w:t>’</w:t>
      </w:r>
      <w:r w:rsidR="00EF521C" w:rsidRPr="009847AE">
        <w:t>égard des immigrés, comme l</w:t>
      </w:r>
      <w:r w:rsidR="00354181">
        <w:t>’</w:t>
      </w:r>
      <w:r w:rsidR="00EF521C" w:rsidRPr="009847AE">
        <w:t>a montré un sondage de 2011 mené à l</w:t>
      </w:r>
      <w:r w:rsidR="00354181">
        <w:t>’</w:t>
      </w:r>
      <w:r w:rsidR="00EF521C" w:rsidRPr="009847AE">
        <w:t xml:space="preserve">échelle de </w:t>
      </w:r>
      <w:r w:rsidR="00B16795" w:rsidRPr="009847AE">
        <w:t>l</w:t>
      </w:r>
      <w:r w:rsidR="00354181">
        <w:t>’</w:t>
      </w:r>
      <w:r w:rsidR="00B16795" w:rsidRPr="009847AE">
        <w:t xml:space="preserve">Union </w:t>
      </w:r>
      <w:r w:rsidR="00EF521C" w:rsidRPr="009847AE">
        <w:t>européenne (Sondage Eurobaromètre), dont il est ressorti que les Portugais ne considéraient pas l</w:t>
      </w:r>
      <w:r w:rsidR="00354181">
        <w:t>’</w:t>
      </w:r>
      <w:r w:rsidR="00EF521C" w:rsidRPr="009847AE">
        <w:t>immigration comme un problème</w:t>
      </w:r>
      <w:r w:rsidR="00B16795" w:rsidRPr="009847AE">
        <w:t>.</w:t>
      </w:r>
      <w:r w:rsidR="00EF521C" w:rsidRPr="009847AE">
        <w:t xml:space="preserve"> </w:t>
      </w:r>
      <w:r w:rsidR="00B16795" w:rsidRPr="009847AE">
        <w:t>L</w:t>
      </w:r>
      <w:r w:rsidR="00EF521C" w:rsidRPr="009847AE">
        <w:t>e pays mène une politique active de lutte contre la discrimination raciale, qui passe par l</w:t>
      </w:r>
      <w:r w:rsidR="00354181">
        <w:t>’</w:t>
      </w:r>
      <w:r w:rsidR="00EF521C" w:rsidRPr="009847AE">
        <w:t>intégration et le respect de tous les droits fondamentaux des immigrés. Ces efforts ont été reconnus par la communauté internationale, le Portugal s</w:t>
      </w:r>
      <w:r w:rsidR="00354181">
        <w:t>’</w:t>
      </w:r>
      <w:r w:rsidR="00EF521C" w:rsidRPr="009847AE">
        <w:t>étant placé, en 2011, au deuxième rang du classement de l</w:t>
      </w:r>
      <w:r w:rsidR="00354181">
        <w:t>’</w:t>
      </w:r>
      <w:r w:rsidR="00EF521C" w:rsidRPr="009847AE">
        <w:t>Index</w:t>
      </w:r>
      <w:r w:rsidR="00B16795" w:rsidRPr="009847AE">
        <w:t xml:space="preserve"> européen</w:t>
      </w:r>
      <w:r w:rsidR="00EF521C" w:rsidRPr="009847AE">
        <w:t xml:space="preserve"> des politiques d</w:t>
      </w:r>
      <w:r w:rsidR="00354181">
        <w:t>’</w:t>
      </w:r>
      <w:r w:rsidR="00EF521C" w:rsidRPr="009847AE">
        <w:t xml:space="preserve">intégration des migrants (MIPEX), ce qui </w:t>
      </w:r>
      <w:r w:rsidR="00B16795" w:rsidRPr="009847AE">
        <w:t>montre l</w:t>
      </w:r>
      <w:r w:rsidR="00354181">
        <w:t>’</w:t>
      </w:r>
      <w:r w:rsidR="00B16795" w:rsidRPr="009847AE">
        <w:t xml:space="preserve">efficacité de </w:t>
      </w:r>
      <w:r w:rsidR="00EF521C" w:rsidRPr="009847AE">
        <w:t>sa politique transversale de promotion des droits de l</w:t>
      </w:r>
      <w:r w:rsidR="00354181">
        <w:t>’</w:t>
      </w:r>
      <w:r w:rsidR="00EF521C" w:rsidRPr="009847AE">
        <w:t>homme pour tous</w:t>
      </w:r>
      <w:r w:rsidR="00B16795" w:rsidRPr="009847AE">
        <w:t xml:space="preserve">, mise en œuvre par le </w:t>
      </w:r>
      <w:r w:rsidR="00EF521C" w:rsidRPr="009847AE">
        <w:t>Haut-Commissariat pour l</w:t>
      </w:r>
      <w:r w:rsidR="00354181">
        <w:t>’</w:t>
      </w:r>
      <w:r w:rsidR="00EF521C" w:rsidRPr="009847AE">
        <w:t>immigration et le dialogue interculturel (</w:t>
      </w:r>
      <w:r w:rsidR="00EF521C" w:rsidRPr="00865702">
        <w:t>ACIDI)</w:t>
      </w:r>
      <w:r w:rsidR="00B16795" w:rsidRPr="00865702">
        <w:t xml:space="preserve">. </w:t>
      </w:r>
      <w:r w:rsidRPr="00865702">
        <w:rPr>
          <w:iCs/>
          <w:w w:val="80"/>
          <w:szCs w:val="24"/>
          <w:lang w:eastAsia="fr-FR"/>
        </w:rPr>
        <w:t>L</w:t>
      </w:r>
      <w:r w:rsidR="00354181">
        <w:t>’</w:t>
      </w:r>
      <w:r w:rsidR="00EF521C" w:rsidRPr="00865702">
        <w:t>adoption</w:t>
      </w:r>
      <w:r w:rsidR="00EF521C" w:rsidRPr="009847AE">
        <w:t xml:space="preserve"> de la loi sur la nationalité de 2006, qui renforce le principe du droit du sol au profit des immigrés de deuxième et troisième génération</w:t>
      </w:r>
      <w:r w:rsidR="00B16795" w:rsidRPr="009847AE">
        <w:t>,</w:t>
      </w:r>
      <w:r w:rsidR="00EF521C" w:rsidRPr="009847AE">
        <w:t xml:space="preserve"> et l</w:t>
      </w:r>
      <w:r w:rsidR="00354181">
        <w:t>’</w:t>
      </w:r>
      <w:r w:rsidR="00EF521C" w:rsidRPr="009847AE">
        <w:t>adoption de la loi de 2007 sur l</w:t>
      </w:r>
      <w:r w:rsidR="00354181">
        <w:t>’</w:t>
      </w:r>
      <w:r w:rsidR="00EF521C" w:rsidRPr="009847AE">
        <w:t>immigration</w:t>
      </w:r>
      <w:r w:rsidR="00B16795" w:rsidRPr="009847AE">
        <w:t xml:space="preserve"> sont aussi à citer</w:t>
      </w:r>
      <w:r w:rsidR="00EF521C" w:rsidRPr="009847AE">
        <w:t>. Les deux plans d</w:t>
      </w:r>
      <w:r w:rsidR="00354181">
        <w:t>’</w:t>
      </w:r>
      <w:r w:rsidR="00EF521C" w:rsidRPr="009847AE">
        <w:t xml:space="preserve">action nationaux </w:t>
      </w:r>
      <w:r w:rsidR="00B16795" w:rsidRPr="009847AE">
        <w:t xml:space="preserve">en faveur de </w:t>
      </w:r>
      <w:r w:rsidR="00EF521C" w:rsidRPr="009847AE">
        <w:t>l</w:t>
      </w:r>
      <w:r w:rsidR="00354181">
        <w:t>’</w:t>
      </w:r>
      <w:r w:rsidR="00EF521C" w:rsidRPr="009847AE">
        <w:t xml:space="preserve">intégration des immigrés, mis en œuvre depuis 2007, sont axés sur différents </w:t>
      </w:r>
      <w:r w:rsidR="00B16795" w:rsidRPr="009847AE">
        <w:t>domaines</w:t>
      </w:r>
      <w:r w:rsidR="00EF521C" w:rsidRPr="009847AE">
        <w:t>, notamment l</w:t>
      </w:r>
      <w:r w:rsidR="00354181">
        <w:t>’</w:t>
      </w:r>
      <w:r w:rsidR="00EF521C" w:rsidRPr="009847AE">
        <w:t>emploi, la santé, et l</w:t>
      </w:r>
      <w:r w:rsidR="00354181">
        <w:t>’</w:t>
      </w:r>
      <w:r w:rsidR="00EF521C" w:rsidRPr="009847AE">
        <w:t>éducation, la promotion de la diversité</w:t>
      </w:r>
      <w:r w:rsidR="00B16795" w:rsidRPr="009847AE">
        <w:t>,</w:t>
      </w:r>
      <w:r w:rsidR="00EF521C" w:rsidRPr="009847AE">
        <w:t xml:space="preserve"> et font intervenir une dizaine de ministères. </w:t>
      </w:r>
    </w:p>
    <w:p w:rsidR="00D647B8" w:rsidRPr="009847AE" w:rsidRDefault="00D647B8" w:rsidP="00EF521C">
      <w:pPr>
        <w:pStyle w:val="SingleTxtG"/>
      </w:pPr>
      <w:r w:rsidRPr="009847AE">
        <w:t>3.</w:t>
      </w:r>
      <w:r w:rsidRPr="009847AE">
        <w:tab/>
      </w:r>
      <w:r w:rsidR="00EF521C" w:rsidRPr="009847AE">
        <w:t>En 2007, l</w:t>
      </w:r>
      <w:r w:rsidR="00354181">
        <w:t>’</w:t>
      </w:r>
      <w:r w:rsidR="00B16795" w:rsidRPr="009847AE">
        <w:t>É</w:t>
      </w:r>
      <w:r w:rsidR="00EF521C" w:rsidRPr="009847AE">
        <w:t>tat a renforcé les pouvoirs et les attributions du Haut-Commissariat pour l</w:t>
      </w:r>
      <w:r w:rsidR="00354181">
        <w:t>’</w:t>
      </w:r>
      <w:r w:rsidR="00EF521C" w:rsidRPr="009847AE">
        <w:t xml:space="preserve">immigration et le dialogue interculturel (ACIDI), qui est devenu un organisme public. La politique </w:t>
      </w:r>
      <w:r w:rsidR="00B16795" w:rsidRPr="009847AE">
        <w:t xml:space="preserve">nationale </w:t>
      </w:r>
      <w:r w:rsidR="00EF521C" w:rsidRPr="009847AE">
        <w:t>d</w:t>
      </w:r>
      <w:r w:rsidR="00354181">
        <w:t>’</w:t>
      </w:r>
      <w:r w:rsidR="00EF521C" w:rsidRPr="009847AE">
        <w:t>intégration repose sur le respect des droits de l</w:t>
      </w:r>
      <w:r w:rsidR="00354181">
        <w:t>’</w:t>
      </w:r>
      <w:r w:rsidR="00EF521C" w:rsidRPr="009847AE">
        <w:t xml:space="preserve">homme </w:t>
      </w:r>
      <w:r w:rsidR="00B16795" w:rsidRPr="009847AE">
        <w:t>plutôt que</w:t>
      </w:r>
      <w:r w:rsidR="00865702">
        <w:t xml:space="preserve"> sur</w:t>
      </w:r>
      <w:r w:rsidR="00B16795" w:rsidRPr="009847AE">
        <w:t xml:space="preserve"> l</w:t>
      </w:r>
      <w:r w:rsidR="00354181">
        <w:t>’</w:t>
      </w:r>
      <w:r w:rsidR="00EF521C" w:rsidRPr="009847AE">
        <w:t>assimilation. Cette approche a donné lieu à la création de divers</w:t>
      </w:r>
      <w:r w:rsidR="00F844D0" w:rsidRPr="009847AE">
        <w:t>es entités</w:t>
      </w:r>
      <w:r w:rsidR="00EF521C" w:rsidRPr="009847AE">
        <w:t>, comme l</w:t>
      </w:r>
      <w:r w:rsidR="00354181">
        <w:t>’</w:t>
      </w:r>
      <w:r w:rsidR="00EF521C" w:rsidRPr="009847AE">
        <w:t>Observatoire de l</w:t>
      </w:r>
      <w:r w:rsidR="00354181">
        <w:t>’</w:t>
      </w:r>
      <w:r w:rsidR="00EF521C" w:rsidRPr="009847AE">
        <w:t xml:space="preserve">immigration ou les </w:t>
      </w:r>
      <w:r w:rsidR="00F844D0" w:rsidRPr="009847AE">
        <w:t>c</w:t>
      </w:r>
      <w:r w:rsidR="00EF521C" w:rsidRPr="009847AE">
        <w:t xml:space="preserve">entres nationaux </w:t>
      </w:r>
      <w:r w:rsidR="00F844D0" w:rsidRPr="009847AE">
        <w:t xml:space="preserve">et locaux </w:t>
      </w:r>
      <w:r w:rsidR="00EF521C" w:rsidRPr="009847AE">
        <w:t>d</w:t>
      </w:r>
      <w:r w:rsidR="00354181">
        <w:t>’</w:t>
      </w:r>
      <w:r w:rsidR="00EF521C" w:rsidRPr="009847AE">
        <w:t>aide aux immigrés</w:t>
      </w:r>
      <w:r w:rsidR="00F844D0" w:rsidRPr="009847AE">
        <w:t>,</w:t>
      </w:r>
      <w:r w:rsidR="00EF521C" w:rsidRPr="009847AE">
        <w:t xml:space="preserve"> qui fournissent des services d</w:t>
      </w:r>
      <w:r w:rsidR="00354181">
        <w:t>’</w:t>
      </w:r>
      <w:r w:rsidR="00EF521C" w:rsidRPr="009847AE">
        <w:t xml:space="preserve">appui gratuits à tous les immigrés. </w:t>
      </w:r>
      <w:r w:rsidR="00F844D0" w:rsidRPr="009847AE">
        <w:t>L</w:t>
      </w:r>
      <w:r w:rsidR="00EF521C" w:rsidRPr="009847AE">
        <w:t xml:space="preserve">e programme </w:t>
      </w:r>
      <w:r w:rsidR="00865702">
        <w:t>«</w:t>
      </w:r>
      <w:r w:rsidR="00EF521C" w:rsidRPr="009847AE">
        <w:t>Choix</w:t>
      </w:r>
      <w:r w:rsidR="00865702">
        <w:t>»</w:t>
      </w:r>
      <w:r w:rsidR="00EF521C" w:rsidRPr="009847AE">
        <w:t xml:space="preserve"> a permis de rescolariser 4 000 enfants </w:t>
      </w:r>
      <w:r w:rsidR="00F844D0" w:rsidRPr="009847AE">
        <w:t>défavorisés issus de l</w:t>
      </w:r>
      <w:r w:rsidR="00354181">
        <w:t>’</w:t>
      </w:r>
      <w:r w:rsidR="00F844D0" w:rsidRPr="009847AE">
        <w:t xml:space="preserve">immigration </w:t>
      </w:r>
      <w:r w:rsidR="00EF521C" w:rsidRPr="009847AE">
        <w:t xml:space="preserve">entre janvier 2010 et décembre 2011, </w:t>
      </w:r>
      <w:r w:rsidR="00F844D0" w:rsidRPr="009847AE">
        <w:t xml:space="preserve">avec </w:t>
      </w:r>
      <w:r w:rsidR="00EF521C" w:rsidRPr="009847AE">
        <w:t xml:space="preserve">la participation des autorités locales et des organisations de la société civile. Dans le cadre du projet pilote </w:t>
      </w:r>
      <w:r w:rsidR="00F844D0" w:rsidRPr="009847AE">
        <w:t xml:space="preserve">de </w:t>
      </w:r>
      <w:r w:rsidR="00EF521C" w:rsidRPr="009847AE">
        <w:t>médiation interculturelle dans les services publics, coordonné par l</w:t>
      </w:r>
      <w:r w:rsidR="00354181">
        <w:t>’</w:t>
      </w:r>
      <w:r w:rsidR="00EF521C" w:rsidRPr="009847AE">
        <w:t>ACIDI et soutenu par le Fonds européen d</w:t>
      </w:r>
      <w:r w:rsidR="00354181">
        <w:t>’</w:t>
      </w:r>
      <w:r w:rsidR="00EF521C" w:rsidRPr="009847AE">
        <w:t>intégration des ressortissants de pays tiers, 28 médiateurs ont été mis en place dans les services publics, notamment les services de santé, de police et d</w:t>
      </w:r>
      <w:r w:rsidR="00354181">
        <w:t>’</w:t>
      </w:r>
      <w:r w:rsidR="00EF521C" w:rsidRPr="009847AE">
        <w:t>éducation, afin de sensibiliser l</w:t>
      </w:r>
      <w:r w:rsidR="00354181">
        <w:t>’</w:t>
      </w:r>
      <w:r w:rsidR="00EF521C" w:rsidRPr="009847AE">
        <w:t>opinion publique à la diversité et au dialogue interculturel. Ce programme va être reconduit en mars 2012, grâce au concours d</w:t>
      </w:r>
      <w:r w:rsidR="00354181">
        <w:t>’</w:t>
      </w:r>
      <w:r w:rsidR="00EF521C" w:rsidRPr="009847AE">
        <w:t xml:space="preserve">une vingtaine de médiateurs. </w:t>
      </w:r>
    </w:p>
    <w:p w:rsidR="00EF521C" w:rsidRPr="009847AE" w:rsidRDefault="00D647B8" w:rsidP="00EF521C">
      <w:pPr>
        <w:pStyle w:val="SingleTxtG"/>
      </w:pPr>
      <w:r w:rsidRPr="009847AE">
        <w:t>4.</w:t>
      </w:r>
      <w:r w:rsidRPr="009847AE">
        <w:tab/>
      </w:r>
      <w:r w:rsidR="00F844D0" w:rsidRPr="009847AE">
        <w:t>Nombre d</w:t>
      </w:r>
      <w:r w:rsidR="00354181">
        <w:t>’</w:t>
      </w:r>
      <w:r w:rsidR="00EF521C" w:rsidRPr="009847AE">
        <w:t>initiatives de sensibilisation et de formation des enseignants, des fonctionnaires et des travailleurs sociaux sont prises pour faciliter l</w:t>
      </w:r>
      <w:r w:rsidR="00354181">
        <w:t>’</w:t>
      </w:r>
      <w:r w:rsidR="00EF521C" w:rsidRPr="009847AE">
        <w:t xml:space="preserve">intégration des immigrés dans le système scolaire et la société en général. </w:t>
      </w:r>
      <w:r w:rsidR="00F844D0" w:rsidRPr="009847AE">
        <w:t>L</w:t>
      </w:r>
      <w:r w:rsidR="00EF521C" w:rsidRPr="009847AE">
        <w:t xml:space="preserve">es immigrés bénéficient de divers services </w:t>
      </w:r>
      <w:r w:rsidR="00F844D0" w:rsidRPr="009847AE">
        <w:t>(ligne</w:t>
      </w:r>
      <w:r w:rsidR="00EF521C" w:rsidRPr="009847AE">
        <w:t xml:space="preserve"> téléphonique d</w:t>
      </w:r>
      <w:r w:rsidR="00354181">
        <w:t>’</w:t>
      </w:r>
      <w:r w:rsidR="00EF521C" w:rsidRPr="009847AE">
        <w:t>information, services d</w:t>
      </w:r>
      <w:r w:rsidR="00354181">
        <w:t>’</w:t>
      </w:r>
      <w:r w:rsidR="00EF521C" w:rsidRPr="009847AE">
        <w:t>interprétation, informations sur leurs droits et devoirs</w:t>
      </w:r>
      <w:r w:rsidR="00F844D0" w:rsidRPr="009847AE">
        <w:t>)</w:t>
      </w:r>
      <w:r w:rsidR="00EF521C" w:rsidRPr="009847AE">
        <w:t xml:space="preserve"> et d</w:t>
      </w:r>
      <w:r w:rsidR="00354181">
        <w:t>’</w:t>
      </w:r>
      <w:r w:rsidR="00EF521C" w:rsidRPr="009847AE">
        <w:t>une bonne visibilité médiatique, grâce à des émissions télévisées et radiophoniques. Sous la direction de l</w:t>
      </w:r>
      <w:r w:rsidR="00354181">
        <w:t>’</w:t>
      </w:r>
      <w:r w:rsidR="00EF521C" w:rsidRPr="009847AE">
        <w:t>ACIDI et de la Commission portugaise pour l</w:t>
      </w:r>
      <w:r w:rsidR="00354181">
        <w:t>’</w:t>
      </w:r>
      <w:r w:rsidR="00EF521C" w:rsidRPr="009847AE">
        <w:t xml:space="preserve">égalité et la lutte contre la discrimination raciale (CICDR), des efforts sont faits </w:t>
      </w:r>
      <w:r w:rsidR="00F844D0" w:rsidRPr="009847AE">
        <w:t xml:space="preserve">pour </w:t>
      </w:r>
      <w:r w:rsidR="00EF521C" w:rsidRPr="009847AE">
        <w:t>sensibiliser les médias au</w:t>
      </w:r>
      <w:r w:rsidR="00F844D0" w:rsidRPr="009847AE">
        <w:t>x</w:t>
      </w:r>
      <w:r w:rsidR="00EF521C" w:rsidRPr="009847AE">
        <w:t xml:space="preserve"> droits de l</w:t>
      </w:r>
      <w:r w:rsidR="00354181">
        <w:t>’</w:t>
      </w:r>
      <w:r w:rsidR="00EF521C" w:rsidRPr="009847AE">
        <w:t>homme, à la promotion du dialogue interculturel et à la lutte contre le racisme et la xénophobie. Ainsi, une centaine de journalistes ont participé à des ateliers de sensibilisation aux questions de migration, et l</w:t>
      </w:r>
      <w:r w:rsidR="00354181">
        <w:t>’</w:t>
      </w:r>
      <w:r w:rsidR="00EF521C" w:rsidRPr="009847AE">
        <w:t>organisme portugais de télévision publique a élaboré un code de déontologie, qui s</w:t>
      </w:r>
      <w:r w:rsidR="00354181">
        <w:t>’</w:t>
      </w:r>
      <w:r w:rsidR="00EF521C" w:rsidRPr="009847AE">
        <w:t>inspire d</w:t>
      </w:r>
      <w:r w:rsidR="00354181">
        <w:t>’</w:t>
      </w:r>
      <w:r w:rsidR="00EF521C" w:rsidRPr="009847AE">
        <w:t>un guide sur la diversité publié par l</w:t>
      </w:r>
      <w:r w:rsidR="00354181">
        <w:t>’</w:t>
      </w:r>
      <w:r w:rsidR="00EF521C" w:rsidRPr="009847AE">
        <w:t>Agence des droits fondamentaux de l</w:t>
      </w:r>
      <w:r w:rsidR="00354181">
        <w:t>’</w:t>
      </w:r>
      <w:r w:rsidR="00EF521C" w:rsidRPr="009847AE">
        <w:t xml:space="preserve">Union européenne. </w:t>
      </w:r>
      <w:r w:rsidRPr="009847AE">
        <w:t>O</w:t>
      </w:r>
      <w:r w:rsidR="00EF521C" w:rsidRPr="009847AE">
        <w:t xml:space="preserve">n peut </w:t>
      </w:r>
      <w:r w:rsidR="00F844D0" w:rsidRPr="009847AE">
        <w:t>aussi</w:t>
      </w:r>
      <w:r w:rsidR="00EF521C" w:rsidRPr="009847AE">
        <w:t xml:space="preserve"> mentionner un concours de photo et vidéo contre la discrimination raciale, organisé</w:t>
      </w:r>
      <w:r w:rsidR="00A66166">
        <w:t> </w:t>
      </w:r>
      <w:r w:rsidR="00EF521C" w:rsidRPr="009847AE">
        <w:t xml:space="preserve"> 2010 par la Commission pour l</w:t>
      </w:r>
      <w:r w:rsidR="00354181">
        <w:t>’</w:t>
      </w:r>
      <w:r w:rsidR="00EF521C" w:rsidRPr="009847AE">
        <w:t xml:space="preserve">égalité et la lutte contre la discrimination raciale, et des actions de sensibilisation à la discrimination raciale </w:t>
      </w:r>
      <w:r w:rsidR="00F844D0" w:rsidRPr="009847AE">
        <w:t>dans le milieu</w:t>
      </w:r>
      <w:r w:rsidR="00EF521C" w:rsidRPr="009847AE">
        <w:t xml:space="preserve"> du sport</w:t>
      </w:r>
      <w:r w:rsidR="00F844D0" w:rsidRPr="009847AE">
        <w:t>.</w:t>
      </w:r>
    </w:p>
    <w:p w:rsidR="00EF521C" w:rsidRPr="009847AE" w:rsidRDefault="00D647B8" w:rsidP="00EF521C">
      <w:pPr>
        <w:pStyle w:val="SingleTxtG"/>
      </w:pPr>
      <w:r w:rsidRPr="009847AE">
        <w:t>5.</w:t>
      </w:r>
      <w:r w:rsidRPr="009847AE">
        <w:tab/>
      </w:r>
      <w:r w:rsidR="00EF521C" w:rsidRPr="009847AE">
        <w:t>Le Portugal s</w:t>
      </w:r>
      <w:r w:rsidR="00354181">
        <w:t>’</w:t>
      </w:r>
      <w:r w:rsidR="00EF521C" w:rsidRPr="009847AE">
        <w:t>est doté d</w:t>
      </w:r>
      <w:r w:rsidR="00354181">
        <w:t>’</w:t>
      </w:r>
      <w:r w:rsidR="00EF521C" w:rsidRPr="009847AE">
        <w:t>un cadre législatif complet</w:t>
      </w:r>
      <w:r w:rsidR="00F844D0" w:rsidRPr="009847AE">
        <w:t xml:space="preserve"> </w:t>
      </w:r>
      <w:r w:rsidR="00EF521C" w:rsidRPr="009847AE">
        <w:t>visant à prévenir et sanctionner toute</w:t>
      </w:r>
      <w:r w:rsidR="00F844D0" w:rsidRPr="009847AE">
        <w:t>s</w:t>
      </w:r>
      <w:r w:rsidR="00EF521C" w:rsidRPr="009847AE">
        <w:t xml:space="preserve"> forme</w:t>
      </w:r>
      <w:r w:rsidR="00F844D0" w:rsidRPr="009847AE">
        <w:t>s</w:t>
      </w:r>
      <w:r w:rsidR="00EF521C" w:rsidRPr="009847AE">
        <w:t xml:space="preserve"> de discrimination, ainsi que tout</w:t>
      </w:r>
      <w:r w:rsidR="00F844D0" w:rsidRPr="009847AE">
        <w:t>es</w:t>
      </w:r>
      <w:r w:rsidR="00EF521C" w:rsidRPr="009847AE">
        <w:t xml:space="preserve"> activité</w:t>
      </w:r>
      <w:r w:rsidR="00F844D0" w:rsidRPr="009847AE">
        <w:t>s</w:t>
      </w:r>
      <w:r w:rsidR="00EF521C" w:rsidRPr="009847AE">
        <w:t xml:space="preserve"> d</w:t>
      </w:r>
      <w:r w:rsidR="00354181">
        <w:t>’</w:t>
      </w:r>
      <w:r w:rsidR="00EF521C" w:rsidRPr="009847AE">
        <w:t xml:space="preserve">incitation à la haine raciale ou </w:t>
      </w:r>
      <w:r w:rsidR="00F844D0" w:rsidRPr="009847AE">
        <w:t xml:space="preserve">à la </w:t>
      </w:r>
      <w:r w:rsidR="00EF521C" w:rsidRPr="009847AE">
        <w:t>violence fondée sur la race. L</w:t>
      </w:r>
      <w:r w:rsidR="00F844D0" w:rsidRPr="009847AE">
        <w:t>a motivation raciale d</w:t>
      </w:r>
      <w:r w:rsidR="00354181">
        <w:t>’</w:t>
      </w:r>
      <w:r w:rsidR="00F844D0" w:rsidRPr="009847AE">
        <w:t>une infraction (a</w:t>
      </w:r>
      <w:r w:rsidR="00EF521C" w:rsidRPr="009847AE">
        <w:t>tteinte à l</w:t>
      </w:r>
      <w:r w:rsidR="00354181">
        <w:t>’</w:t>
      </w:r>
      <w:r w:rsidR="00EF521C" w:rsidRPr="009847AE">
        <w:t>intégrité physique ou homicide</w:t>
      </w:r>
      <w:r w:rsidR="00F844D0" w:rsidRPr="009847AE">
        <w:t>)</w:t>
      </w:r>
      <w:r w:rsidR="00EF521C" w:rsidRPr="009847AE">
        <w:t xml:space="preserve"> est considérée comme une circonstance aggravante. La discrimination directe et indirecte est interdite dans l</w:t>
      </w:r>
      <w:r w:rsidR="00354181">
        <w:t>’</w:t>
      </w:r>
      <w:r w:rsidR="00EF521C" w:rsidRPr="009847AE">
        <w:t>emploi, qu</w:t>
      </w:r>
      <w:r w:rsidR="00354181">
        <w:t>’</w:t>
      </w:r>
      <w:r w:rsidR="00EF521C" w:rsidRPr="009847AE">
        <w:t>elle soit fondée sur la race ou l</w:t>
      </w:r>
      <w:r w:rsidR="00354181">
        <w:t>’</w:t>
      </w:r>
      <w:r w:rsidR="00EF521C" w:rsidRPr="009847AE">
        <w:t>appartenance ethnique, l</w:t>
      </w:r>
      <w:r w:rsidR="00354181">
        <w:t>’</w:t>
      </w:r>
      <w:r w:rsidR="00EF521C" w:rsidRPr="009847AE">
        <w:t>ascendance, la nationalité ou le lieu d</w:t>
      </w:r>
      <w:r w:rsidR="00354181">
        <w:t>’</w:t>
      </w:r>
      <w:r w:rsidR="00EF521C" w:rsidRPr="009847AE">
        <w:t>origine, et c</w:t>
      </w:r>
      <w:r w:rsidR="00354181">
        <w:t>’</w:t>
      </w:r>
      <w:r w:rsidR="00EF521C" w:rsidRPr="009847AE">
        <w:t>est à l</w:t>
      </w:r>
      <w:r w:rsidR="00354181">
        <w:t>’</w:t>
      </w:r>
      <w:r w:rsidR="00EF521C" w:rsidRPr="009847AE">
        <w:t>employeur qu</w:t>
      </w:r>
      <w:r w:rsidR="00354181">
        <w:t>’</w:t>
      </w:r>
      <w:r w:rsidR="00EF521C" w:rsidRPr="009847AE">
        <w:t>incombe la charge de la preuve lorsqu</w:t>
      </w:r>
      <w:r w:rsidR="00354181">
        <w:t>’</w:t>
      </w:r>
      <w:r w:rsidR="00EF521C" w:rsidRPr="009847AE">
        <w:t>il s</w:t>
      </w:r>
      <w:r w:rsidR="00354181">
        <w:t>’</w:t>
      </w:r>
      <w:r w:rsidR="00EF521C" w:rsidRPr="009847AE">
        <w:t>agit de prouver qu</w:t>
      </w:r>
      <w:r w:rsidR="00354181">
        <w:t>’</w:t>
      </w:r>
      <w:r w:rsidR="00EF521C" w:rsidRPr="009847AE">
        <w:t>il n</w:t>
      </w:r>
      <w:r w:rsidR="00354181">
        <w:t>’</w:t>
      </w:r>
      <w:r w:rsidR="00EF521C" w:rsidRPr="009847AE">
        <w:t>y a pas eu discrimination. Les victimes de discrimination ont droit à diverses formes de réparation. L</w:t>
      </w:r>
      <w:r w:rsidR="00354181">
        <w:t>’</w:t>
      </w:r>
      <w:r w:rsidR="00EF521C" w:rsidRPr="009847AE">
        <w:t>autorité chargée de veiller au respect des conditions de travail et d</w:t>
      </w:r>
      <w:r w:rsidR="00354181">
        <w:t>’</w:t>
      </w:r>
      <w:r w:rsidR="00EF521C" w:rsidRPr="009847AE">
        <w:t xml:space="preserve">examiner </w:t>
      </w:r>
      <w:r w:rsidR="009847AE" w:rsidRPr="009847AE">
        <w:t>les allégations</w:t>
      </w:r>
      <w:r w:rsidR="00EF521C" w:rsidRPr="009847AE">
        <w:t xml:space="preserve"> de discrimination dans l</w:t>
      </w:r>
      <w:r w:rsidR="00354181">
        <w:t>’</w:t>
      </w:r>
      <w:r w:rsidR="00EF521C" w:rsidRPr="009847AE">
        <w:t>emploi a reçu 14</w:t>
      </w:r>
      <w:r w:rsidR="00A66166">
        <w:t> plaintes en 2009, 5 en 2010 et </w:t>
      </w:r>
      <w:r w:rsidR="00EF521C" w:rsidRPr="009847AE">
        <w:t>26 en 2011.</w:t>
      </w:r>
    </w:p>
    <w:p w:rsidR="00EF521C" w:rsidRPr="009847AE" w:rsidRDefault="00D647B8" w:rsidP="00EF521C">
      <w:pPr>
        <w:pStyle w:val="SingleTxtG"/>
      </w:pPr>
      <w:r w:rsidRPr="009847AE">
        <w:t>6.</w:t>
      </w:r>
      <w:r w:rsidRPr="009847AE">
        <w:tab/>
        <w:t>Quiconque</w:t>
      </w:r>
      <w:r w:rsidR="00EF521C" w:rsidRPr="009847AE">
        <w:t xml:space="preserve"> peut saisir la Commission pour l</w:t>
      </w:r>
      <w:r w:rsidR="00354181">
        <w:t>’</w:t>
      </w:r>
      <w:r w:rsidR="00EF521C" w:rsidRPr="009847AE">
        <w:t>égalité et la lutte contre la discrimination raciale pour faire valoir ses droits face à tout organisme ou service public s</w:t>
      </w:r>
      <w:r w:rsidR="00354181">
        <w:t>’</w:t>
      </w:r>
      <w:r w:rsidR="00EF521C" w:rsidRPr="009847AE">
        <w:t>il s</w:t>
      </w:r>
      <w:r w:rsidR="00354181">
        <w:t>’</w:t>
      </w:r>
      <w:r w:rsidR="00EF521C" w:rsidRPr="009847AE">
        <w:t xml:space="preserve">estime victime de discrimination raciale. En 2011, </w:t>
      </w:r>
      <w:r w:rsidR="00F844D0" w:rsidRPr="009847AE">
        <w:t>la</w:t>
      </w:r>
      <w:r w:rsidR="00A66166">
        <w:t xml:space="preserve"> Commission a reçu 111 </w:t>
      </w:r>
      <w:r w:rsidR="00EF521C" w:rsidRPr="009847AE">
        <w:t xml:space="preserve">plaintes pour discrimination raciale </w:t>
      </w:r>
      <w:r w:rsidR="00F844D0" w:rsidRPr="009847AE">
        <w:t>(émanant principalement de</w:t>
      </w:r>
      <w:r w:rsidR="00EF521C" w:rsidRPr="009847AE">
        <w:t xml:space="preserve"> Brésiliens</w:t>
      </w:r>
      <w:r w:rsidR="00F844D0" w:rsidRPr="009847AE">
        <w:t>)</w:t>
      </w:r>
      <w:r w:rsidR="00EF521C" w:rsidRPr="009847AE">
        <w:t xml:space="preserve"> contre</w:t>
      </w:r>
      <w:r w:rsidR="00A66166">
        <w:t xml:space="preserve"> 89 </w:t>
      </w:r>
      <w:r w:rsidR="00EF521C" w:rsidRPr="009847AE">
        <w:t>en 2010. Les victimes de discrimination peuvent aussi se tourner vers le Médiateur, qui fait office d</w:t>
      </w:r>
      <w:r w:rsidR="00354181">
        <w:t>’</w:t>
      </w:r>
      <w:r w:rsidR="00EF521C" w:rsidRPr="009847AE">
        <w:t>institution nationale des droits de l</w:t>
      </w:r>
      <w:r w:rsidR="00354181">
        <w:t>’</w:t>
      </w:r>
      <w:r w:rsidR="00EF521C" w:rsidRPr="009847AE">
        <w:t>homme. Le Portugal a mis en place plusieurs mécanismes et services d</w:t>
      </w:r>
      <w:r w:rsidR="00354181">
        <w:t>’</w:t>
      </w:r>
      <w:r w:rsidR="00EF521C" w:rsidRPr="009847AE">
        <w:t>aide juridique et sociale aux victimes de discrimination raciale, dont le Bureau d</w:t>
      </w:r>
      <w:r w:rsidR="00354181">
        <w:t>’</w:t>
      </w:r>
      <w:r w:rsidR="00EF521C" w:rsidRPr="009847AE">
        <w:t xml:space="preserve">aide juridique aux immigrés </w:t>
      </w:r>
      <w:r w:rsidR="006F6A68" w:rsidRPr="009847AE">
        <w:t>(</w:t>
      </w:r>
      <w:r w:rsidR="00EF521C" w:rsidRPr="009847AE">
        <w:t>chargé de fournir des services consultatifs et de médiation gratuits aux migrants dans divers domaines comme l</w:t>
      </w:r>
      <w:r w:rsidR="00354181">
        <w:t>’</w:t>
      </w:r>
      <w:r w:rsidR="00EF521C" w:rsidRPr="009847AE">
        <w:t>emploi ou la sécurité sociale</w:t>
      </w:r>
      <w:r w:rsidR="006F6A68" w:rsidRPr="009847AE">
        <w:t>)</w:t>
      </w:r>
      <w:r w:rsidR="00EF521C" w:rsidRPr="009847AE">
        <w:t xml:space="preserve"> et l</w:t>
      </w:r>
      <w:r w:rsidR="00354181">
        <w:t>’</w:t>
      </w:r>
      <w:r w:rsidR="00EF521C" w:rsidRPr="009847AE">
        <w:rPr>
          <w:noProof/>
        </w:rPr>
        <w:t>Unité d</w:t>
      </w:r>
      <w:r w:rsidR="00354181">
        <w:rPr>
          <w:noProof/>
        </w:rPr>
        <w:t>’</w:t>
      </w:r>
      <w:r w:rsidR="00EF521C" w:rsidRPr="009847AE">
        <w:rPr>
          <w:noProof/>
        </w:rPr>
        <w:t xml:space="preserve">aide aux victimes immigrées et aux victimes de discrimination raciale ou ethnique </w:t>
      </w:r>
      <w:r w:rsidR="006F6A68" w:rsidRPr="009847AE">
        <w:rPr>
          <w:noProof/>
        </w:rPr>
        <w:t>(</w:t>
      </w:r>
      <w:r w:rsidR="00EF521C" w:rsidRPr="009847AE">
        <w:rPr>
          <w:noProof/>
        </w:rPr>
        <w:t>chargé</w:t>
      </w:r>
      <w:r w:rsidR="006F6A68" w:rsidRPr="009847AE">
        <w:rPr>
          <w:noProof/>
        </w:rPr>
        <w:t>e</w:t>
      </w:r>
      <w:r w:rsidR="00EF521C" w:rsidRPr="009847AE">
        <w:rPr>
          <w:noProof/>
        </w:rPr>
        <w:t xml:space="preserve"> de fournir un appui psychosocial et juridique gratuit et confidentiel aux immigrés </w:t>
      </w:r>
      <w:r w:rsidR="00EF521C" w:rsidRPr="009847AE">
        <w:t>victimes de discrimination raciale</w:t>
      </w:r>
      <w:r w:rsidR="006F6A68" w:rsidRPr="009847AE">
        <w:t xml:space="preserve">). En 2011, </w:t>
      </w:r>
      <w:r w:rsidR="00A66166">
        <w:t>61 </w:t>
      </w:r>
      <w:r w:rsidR="00EF521C" w:rsidRPr="009847AE">
        <w:t xml:space="preserve">personnes ont </w:t>
      </w:r>
      <w:r w:rsidR="006F6A68" w:rsidRPr="009847AE">
        <w:t>reçu l</w:t>
      </w:r>
      <w:r w:rsidR="00354181">
        <w:t>’</w:t>
      </w:r>
      <w:r w:rsidR="006F6A68" w:rsidRPr="009847AE">
        <w:t>aide de l</w:t>
      </w:r>
      <w:r w:rsidR="00354181">
        <w:t>’</w:t>
      </w:r>
      <w:r w:rsidR="006F6A68" w:rsidRPr="009847AE">
        <w:t>Unité</w:t>
      </w:r>
      <w:r w:rsidR="00EF521C" w:rsidRPr="009847AE">
        <w:t xml:space="preserve">. </w:t>
      </w:r>
    </w:p>
    <w:p w:rsidR="00EF521C" w:rsidRPr="009847AE" w:rsidRDefault="00D647B8" w:rsidP="00EF521C">
      <w:pPr>
        <w:pStyle w:val="SingleTxtG"/>
      </w:pPr>
      <w:r w:rsidRPr="009847AE">
        <w:t>7.</w:t>
      </w:r>
      <w:r w:rsidRPr="009847AE">
        <w:tab/>
      </w:r>
      <w:r w:rsidR="00EF521C" w:rsidRPr="009847AE">
        <w:t>Le Portugal a élaboré trois programmes à l</w:t>
      </w:r>
      <w:r w:rsidR="00354181">
        <w:t>’</w:t>
      </w:r>
      <w:r w:rsidR="00EF521C" w:rsidRPr="009847AE">
        <w:t xml:space="preserve">intention de la communauté rom, qui est particulièrement exposée à la discrimination: un projet pilote </w:t>
      </w:r>
      <w:r w:rsidR="006F6A68" w:rsidRPr="009847AE">
        <w:t xml:space="preserve">de désignation </w:t>
      </w:r>
      <w:r w:rsidR="00EF521C" w:rsidRPr="009847AE">
        <w:t xml:space="preserve">de médiateurs </w:t>
      </w:r>
      <w:r w:rsidR="006F6A68" w:rsidRPr="009847AE">
        <w:t xml:space="preserve">roms, dans les </w:t>
      </w:r>
      <w:r w:rsidR="00EF521C" w:rsidRPr="009847AE">
        <w:t>municipa</w:t>
      </w:r>
      <w:r w:rsidR="006F6A68" w:rsidRPr="009847AE">
        <w:t>lités</w:t>
      </w:r>
      <w:r w:rsidR="00EF521C" w:rsidRPr="009847AE">
        <w:t>, des projets d</w:t>
      </w:r>
      <w:r w:rsidR="00354181">
        <w:t>’</w:t>
      </w:r>
      <w:r w:rsidR="00EF521C" w:rsidRPr="009847AE">
        <w:t xml:space="preserve">aide aux enfants roms dans le cadre du </w:t>
      </w:r>
      <w:r w:rsidR="006F6A68" w:rsidRPr="009847AE">
        <w:t>p</w:t>
      </w:r>
      <w:r w:rsidR="00EF521C" w:rsidRPr="009847AE">
        <w:t xml:space="preserve">rogramme </w:t>
      </w:r>
      <w:r w:rsidR="006F6A68" w:rsidRPr="009847AE">
        <w:t>«</w:t>
      </w:r>
      <w:r w:rsidR="00EF521C" w:rsidRPr="009847AE">
        <w:t>Choix</w:t>
      </w:r>
      <w:r w:rsidR="006F6A68" w:rsidRPr="009847AE">
        <w:t>»</w:t>
      </w:r>
      <w:r w:rsidR="00EF521C" w:rsidRPr="009847AE">
        <w:t xml:space="preserve"> ainsi qu</w:t>
      </w:r>
      <w:r w:rsidR="00354181">
        <w:t>’</w:t>
      </w:r>
      <w:r w:rsidR="00EF521C" w:rsidRPr="009847AE">
        <w:t>une stratégie pour l</w:t>
      </w:r>
      <w:r w:rsidR="00354181">
        <w:t>’</w:t>
      </w:r>
      <w:r w:rsidR="00EF521C" w:rsidRPr="009847AE">
        <w:t>intégration des communautés rom</w:t>
      </w:r>
      <w:r w:rsidR="006F6A68" w:rsidRPr="009847AE">
        <w:t>s</w:t>
      </w:r>
      <w:r w:rsidR="00EF521C" w:rsidRPr="009847AE">
        <w:t>, qui est en cours d</w:t>
      </w:r>
      <w:r w:rsidR="00354181">
        <w:t>’</w:t>
      </w:r>
      <w:r w:rsidR="00EF521C" w:rsidRPr="009847AE">
        <w:t>examen.</w:t>
      </w:r>
      <w:r w:rsidRPr="009847AE">
        <w:t xml:space="preserve"> </w:t>
      </w:r>
      <w:r w:rsidR="00EF521C" w:rsidRPr="009847AE">
        <w:t xml:space="preserve">La lutte contre la discrimination est un combat permanent au </w:t>
      </w:r>
      <w:r w:rsidR="006F6A68" w:rsidRPr="009847AE">
        <w:t xml:space="preserve">Portugal même si beaucoup </w:t>
      </w:r>
      <w:r w:rsidR="00EF521C" w:rsidRPr="009847AE">
        <w:t xml:space="preserve">reste à accomplir dans ce domaine. </w:t>
      </w:r>
      <w:r w:rsidR="006F6A68" w:rsidRPr="009847AE">
        <w:t>L</w:t>
      </w:r>
      <w:r w:rsidR="00354181">
        <w:t>’</w:t>
      </w:r>
      <w:r w:rsidR="006F6A68" w:rsidRPr="009847AE">
        <w:t>État veut réviser</w:t>
      </w:r>
      <w:r w:rsidR="00EF521C" w:rsidRPr="009847AE">
        <w:t xml:space="preserve"> la loi transposant en droit interne la Directive de l</w:t>
      </w:r>
      <w:r w:rsidR="00354181">
        <w:t>’</w:t>
      </w:r>
      <w:r w:rsidR="00EF521C" w:rsidRPr="009847AE">
        <w:t>Union européenne sur la discrimination raciale, qui s</w:t>
      </w:r>
      <w:r w:rsidR="00354181">
        <w:t>’</w:t>
      </w:r>
      <w:r w:rsidR="00EF521C" w:rsidRPr="009847AE">
        <w:t xml:space="preserve">est avérée peu efficace en matière de prévention et de </w:t>
      </w:r>
      <w:r w:rsidR="006F6A68" w:rsidRPr="009847AE">
        <w:t>répression de la discrimination raciale</w:t>
      </w:r>
      <w:r w:rsidR="00EF521C" w:rsidRPr="009847AE">
        <w:t xml:space="preserve">. Par ailleurs, au vu </w:t>
      </w:r>
      <w:r w:rsidR="006F6A68" w:rsidRPr="009847AE">
        <w:t>du</w:t>
      </w:r>
      <w:r w:rsidR="00EF521C" w:rsidRPr="009847AE">
        <w:t xml:space="preserve"> très faible </w:t>
      </w:r>
      <w:r w:rsidR="006F6A68" w:rsidRPr="009847AE">
        <w:t xml:space="preserve">nombre de plaintes pour </w:t>
      </w:r>
      <w:r w:rsidR="00EF521C" w:rsidRPr="009847AE">
        <w:t>discrimination</w:t>
      </w:r>
      <w:r w:rsidR="006F6A68" w:rsidRPr="009847AE">
        <w:t>,</w:t>
      </w:r>
      <w:r w:rsidR="00EF521C" w:rsidRPr="009847AE">
        <w:t xml:space="preserve"> un travail de sensibilisation doit être mené auprès des communautés et des groupes susceptibles d</w:t>
      </w:r>
      <w:r w:rsidR="00354181">
        <w:t>’</w:t>
      </w:r>
      <w:r w:rsidR="00EF521C" w:rsidRPr="009847AE">
        <w:t>être victimes de discrimination, à savoir les immigrés et les Roms, afin qu</w:t>
      </w:r>
      <w:r w:rsidR="00354181">
        <w:t>’</w:t>
      </w:r>
      <w:r w:rsidR="00EF521C" w:rsidRPr="009847AE">
        <w:t>ils sachent à quelles institutions s</w:t>
      </w:r>
      <w:r w:rsidR="00354181">
        <w:t>’</w:t>
      </w:r>
      <w:r w:rsidR="00EF521C" w:rsidRPr="009847AE">
        <w:t>adresser. Enfin, des mesures coordonnées sont nécessaires à tous les niveaux afin de garantir aux communautés roms l</w:t>
      </w:r>
      <w:r w:rsidR="00354181">
        <w:t>’</w:t>
      </w:r>
      <w:r w:rsidR="00EF521C" w:rsidRPr="009847AE">
        <w:t>exercice de leurs droits de l</w:t>
      </w:r>
      <w:r w:rsidR="00354181">
        <w:t>’</w:t>
      </w:r>
      <w:r w:rsidR="00EF521C" w:rsidRPr="009847AE">
        <w:t>homme, notamment en matière d</w:t>
      </w:r>
      <w:r w:rsidR="00354181">
        <w:t>’</w:t>
      </w:r>
      <w:r w:rsidR="00EF521C" w:rsidRPr="009847AE">
        <w:t>accès à un logement convenable, à l</w:t>
      </w:r>
      <w:r w:rsidR="00354181">
        <w:t>’</w:t>
      </w:r>
      <w:r w:rsidR="00EF521C" w:rsidRPr="009847AE">
        <w:t>eau et à l</w:t>
      </w:r>
      <w:r w:rsidR="00354181">
        <w:t>’</w:t>
      </w:r>
      <w:r w:rsidR="00EF521C" w:rsidRPr="009847AE">
        <w:t xml:space="preserve">assainissement. </w:t>
      </w:r>
    </w:p>
    <w:p w:rsidR="00EF521C" w:rsidRPr="009847AE" w:rsidRDefault="00D647B8" w:rsidP="00EF521C">
      <w:pPr>
        <w:pStyle w:val="SingleTxtG"/>
      </w:pPr>
      <w:r w:rsidRPr="009847AE">
        <w:t>8.</w:t>
      </w:r>
      <w:r w:rsidRPr="009847AE">
        <w:tab/>
      </w:r>
      <w:r w:rsidR="00EF521C" w:rsidRPr="009847AE">
        <w:t>Le Portugal est déterminé à respecter ses engagements en matière de droits de l</w:t>
      </w:r>
      <w:r w:rsidR="00354181">
        <w:t>’</w:t>
      </w:r>
      <w:r w:rsidR="00EF521C" w:rsidRPr="009847AE">
        <w:t>homme</w:t>
      </w:r>
      <w:r w:rsidR="006F6A68" w:rsidRPr="009847AE">
        <w:t xml:space="preserve"> aux niveaux national </w:t>
      </w:r>
      <w:r w:rsidR="00EF521C" w:rsidRPr="009847AE">
        <w:t xml:space="preserve">et international. La lutte contre la discrimination est au </w:t>
      </w:r>
      <w:r w:rsidR="006F6A68" w:rsidRPr="009847AE">
        <w:t xml:space="preserve">cœur </w:t>
      </w:r>
      <w:r w:rsidR="00EF521C" w:rsidRPr="009847AE">
        <w:t>de sa politique des droits de l</w:t>
      </w:r>
      <w:r w:rsidR="00354181">
        <w:t>’</w:t>
      </w:r>
      <w:r w:rsidR="00EF521C" w:rsidRPr="009847AE">
        <w:t>homme. Il participe à ce titre à la mise en œuvre de la Déclaration et du Programme d</w:t>
      </w:r>
      <w:r w:rsidR="00354181">
        <w:t>’</w:t>
      </w:r>
      <w:r w:rsidR="00EF521C" w:rsidRPr="009847AE">
        <w:t xml:space="preserve">action de Durban et a souscrit à la Déclaration politique adoptée lors du dixième anniversaire de la Conférence de Durban. Il est fermement convaincu que les organes </w:t>
      </w:r>
      <w:r w:rsidR="006F6A68" w:rsidRPr="009847AE">
        <w:t xml:space="preserve">conventionnels </w:t>
      </w:r>
      <w:r w:rsidR="00EF521C" w:rsidRPr="009847AE">
        <w:t>et les procédures spéciales du Conseil des droits de l</w:t>
      </w:r>
      <w:r w:rsidR="00354181">
        <w:t>’</w:t>
      </w:r>
      <w:r w:rsidR="00EF521C" w:rsidRPr="009847AE">
        <w:t>homme jouent un rôle fondamental dans la lutte contre les violations des droits de l</w:t>
      </w:r>
      <w:r w:rsidR="00354181">
        <w:t>’</w:t>
      </w:r>
      <w:r w:rsidR="00EF521C" w:rsidRPr="009847AE">
        <w:t>homme et la promotion des droits de l</w:t>
      </w:r>
      <w:r w:rsidR="00354181">
        <w:t>’</w:t>
      </w:r>
      <w:r w:rsidR="00EF521C" w:rsidRPr="009847AE">
        <w:t>homme pour tous.</w:t>
      </w:r>
    </w:p>
    <w:p w:rsidR="00EF521C" w:rsidRPr="009847AE" w:rsidRDefault="00D647B8" w:rsidP="00EF521C">
      <w:pPr>
        <w:pStyle w:val="SingleTxtG"/>
      </w:pPr>
      <w:r w:rsidRPr="009847AE">
        <w:t>9.</w:t>
      </w:r>
      <w:r w:rsidRPr="009847AE">
        <w:tab/>
      </w:r>
      <w:r w:rsidRPr="009847AE">
        <w:rPr>
          <w:b/>
        </w:rPr>
        <w:t>M</w:t>
      </w:r>
      <w:r w:rsidRPr="009847AE">
        <w:rPr>
          <w:b/>
          <w:vertAlign w:val="superscript"/>
        </w:rPr>
        <w:t>me</w:t>
      </w:r>
      <w:r w:rsidRPr="009847AE">
        <w:rPr>
          <w:b/>
        </w:rPr>
        <w:t> </w:t>
      </w:r>
      <w:r w:rsidR="00EF521C" w:rsidRPr="009847AE">
        <w:rPr>
          <w:b/>
        </w:rPr>
        <w:t>Crickley</w:t>
      </w:r>
      <w:r w:rsidR="00EF521C" w:rsidRPr="009847AE">
        <w:t xml:space="preserve"> (Rapporteuse pour le Portugal) demande </w:t>
      </w:r>
      <w:r w:rsidRPr="009847AE">
        <w:t xml:space="preserve">des </w:t>
      </w:r>
      <w:r w:rsidR="00EF521C" w:rsidRPr="009847AE">
        <w:t>informations sur les mesures prises pour lutter contre la discrimination raciale dans les régions autonomes du Portugal (les Açores et Madère), dont le rapport ne parle pas.</w:t>
      </w:r>
      <w:r w:rsidRPr="009847AE">
        <w:t xml:space="preserve"> </w:t>
      </w:r>
      <w:r w:rsidR="00EF521C" w:rsidRPr="009847AE">
        <w:t xml:space="preserve">Elle est préoccupée par le fait que ni le rapport, ni la délégation dans </w:t>
      </w:r>
      <w:r w:rsidR="00535D01" w:rsidRPr="009847AE">
        <w:t xml:space="preserve">son exposé oral </w:t>
      </w:r>
      <w:r w:rsidR="00EF521C" w:rsidRPr="009847AE">
        <w:t>n</w:t>
      </w:r>
      <w:r w:rsidR="00354181">
        <w:t>’</w:t>
      </w:r>
      <w:r w:rsidR="00EF521C" w:rsidRPr="009847AE">
        <w:t xml:space="preserve">ont évoqué la société civile. </w:t>
      </w:r>
      <w:r w:rsidR="00535D01" w:rsidRPr="009847AE">
        <w:t xml:space="preserve">Elle demande quels sont les problèmes rencontrés par </w:t>
      </w:r>
      <w:r w:rsidR="00EF521C" w:rsidRPr="009847AE">
        <w:t>le Conseil consultatif pour l</w:t>
      </w:r>
      <w:r w:rsidR="00354181">
        <w:t>’</w:t>
      </w:r>
      <w:r w:rsidR="00EF521C" w:rsidRPr="009847AE">
        <w:t>immigration et la Commission pour l</w:t>
      </w:r>
      <w:r w:rsidR="00354181">
        <w:t>’</w:t>
      </w:r>
      <w:r w:rsidR="00EF521C" w:rsidRPr="009847AE">
        <w:t xml:space="preserve">égalité et contre la discrimination raciale </w:t>
      </w:r>
      <w:r w:rsidR="00535D01" w:rsidRPr="009847AE">
        <w:t xml:space="preserve">qui </w:t>
      </w:r>
      <w:r w:rsidR="00EF521C" w:rsidRPr="009847AE">
        <w:t xml:space="preserve">sont </w:t>
      </w:r>
      <w:r w:rsidR="00535D01" w:rsidRPr="009847AE">
        <w:t xml:space="preserve">notamment </w:t>
      </w:r>
      <w:r w:rsidR="00EF521C" w:rsidRPr="009847AE">
        <w:t>chargés de transposer en droit interne les directives de l</w:t>
      </w:r>
      <w:r w:rsidR="00354181">
        <w:t>’</w:t>
      </w:r>
      <w:r w:rsidR="00EF521C" w:rsidRPr="009847AE">
        <w:t>Union européenne</w:t>
      </w:r>
      <w:r w:rsidR="00535D01" w:rsidRPr="009847AE">
        <w:t xml:space="preserve"> relatives à la </w:t>
      </w:r>
      <w:r w:rsidR="00EF521C" w:rsidRPr="009847AE">
        <w:t xml:space="preserve">lutte contre la discrimination raciale. </w:t>
      </w:r>
    </w:p>
    <w:p w:rsidR="00EF521C" w:rsidRPr="009847AE" w:rsidRDefault="00D647B8" w:rsidP="00EF521C">
      <w:pPr>
        <w:pStyle w:val="SingleTxtG"/>
      </w:pPr>
      <w:r w:rsidRPr="009847AE">
        <w:t>10.</w:t>
      </w:r>
      <w:r w:rsidRPr="009847AE">
        <w:tab/>
        <w:t xml:space="preserve">La Rapporteuse </w:t>
      </w:r>
      <w:r w:rsidR="00EF521C" w:rsidRPr="009847AE">
        <w:t>se félicite du deuxième plan d</w:t>
      </w:r>
      <w:r w:rsidR="00354181">
        <w:t>’</w:t>
      </w:r>
      <w:r w:rsidR="00EF521C" w:rsidRPr="009847AE">
        <w:t xml:space="preserve">intégration des immigrés ainsi que de la suite positive donnée par le Portugal aux recommandations </w:t>
      </w:r>
      <w:r w:rsidR="00535D01" w:rsidRPr="009847AE">
        <w:t xml:space="preserve">issues </w:t>
      </w:r>
      <w:r w:rsidR="00EF521C" w:rsidRPr="009847AE">
        <w:t>de l</w:t>
      </w:r>
      <w:r w:rsidR="00354181">
        <w:t>’</w:t>
      </w:r>
      <w:r w:rsidR="00EF521C" w:rsidRPr="009847AE">
        <w:t xml:space="preserve">Examen périodique universel, mais </w:t>
      </w:r>
      <w:r w:rsidR="00535D01" w:rsidRPr="009847AE">
        <w:t>regrette l</w:t>
      </w:r>
      <w:r w:rsidR="00354181">
        <w:t>’</w:t>
      </w:r>
      <w:r w:rsidR="00535D01" w:rsidRPr="009847AE">
        <w:t>absence d</w:t>
      </w:r>
      <w:r w:rsidR="00354181">
        <w:t>’</w:t>
      </w:r>
      <w:r w:rsidR="00535D01" w:rsidRPr="009847AE">
        <w:t xml:space="preserve">un </w:t>
      </w:r>
      <w:r w:rsidR="00EF521C" w:rsidRPr="009847AE">
        <w:t xml:space="preserve">système cohérent et exhaustif de collecte de données </w:t>
      </w:r>
      <w:r w:rsidR="00535D01" w:rsidRPr="009847AE">
        <w:t xml:space="preserve">qui </w:t>
      </w:r>
      <w:r w:rsidR="00EF521C" w:rsidRPr="009847AE">
        <w:t>permettrait d</w:t>
      </w:r>
      <w:r w:rsidR="00354181">
        <w:t>’</w:t>
      </w:r>
      <w:r w:rsidR="00EF521C" w:rsidRPr="009847AE">
        <w:t>évaluer précisément la situation des groupes minoritaires. Même si la loi sur la protection des données interdit expressément le traitement de données personnelles relatives à l</w:t>
      </w:r>
      <w:r w:rsidR="00354181">
        <w:t>’</w:t>
      </w:r>
      <w:r w:rsidR="00EF521C" w:rsidRPr="009847AE">
        <w:t xml:space="preserve">origine raciale et ethnique, </w:t>
      </w:r>
      <w:r w:rsidR="00535D01" w:rsidRPr="009847AE">
        <w:t>M</w:t>
      </w:r>
      <w:r w:rsidR="00535D01" w:rsidRPr="009847AE">
        <w:rPr>
          <w:vertAlign w:val="superscript"/>
        </w:rPr>
        <w:t>me</w:t>
      </w:r>
      <w:r w:rsidR="00EF521C" w:rsidRPr="009847AE">
        <w:t xml:space="preserve"> Crickley aimerait savoir si des progrès ont été faits dans le suivi de la compos</w:t>
      </w:r>
      <w:r w:rsidRPr="009847AE">
        <w:t>ition ethnique de la population</w:t>
      </w:r>
      <w:r w:rsidR="00EF521C" w:rsidRPr="009847AE">
        <w:t>. Selon la Commission européenne contre le racisme et l</w:t>
      </w:r>
      <w:r w:rsidR="00354181">
        <w:t>’</w:t>
      </w:r>
      <w:r w:rsidR="00EF521C" w:rsidRPr="009847AE">
        <w:t xml:space="preserve">intolérance </w:t>
      </w:r>
      <w:r w:rsidR="00535D01" w:rsidRPr="009847AE">
        <w:t xml:space="preserve">(ECRI), le Portugal compte </w:t>
      </w:r>
      <w:r w:rsidR="00EF521C" w:rsidRPr="009847AE">
        <w:t>environ 2</w:t>
      </w:r>
      <w:r w:rsidR="00535D01" w:rsidRPr="009847AE">
        <w:t xml:space="preserve"> </w:t>
      </w:r>
      <w:r w:rsidR="00EF521C" w:rsidRPr="009847AE">
        <w:t>000 migrants sans papiers</w:t>
      </w:r>
      <w:r w:rsidR="00535D01" w:rsidRPr="009847AE">
        <w:t xml:space="preserve">, qui ne relèvent </w:t>
      </w:r>
      <w:r w:rsidR="00865702">
        <w:t xml:space="preserve">pas </w:t>
      </w:r>
      <w:r w:rsidR="00EF521C" w:rsidRPr="009847AE">
        <w:t>de la politique d</w:t>
      </w:r>
      <w:r w:rsidR="00354181">
        <w:t>’</w:t>
      </w:r>
      <w:r w:rsidR="00EF521C" w:rsidRPr="009847AE">
        <w:t xml:space="preserve">intégration et </w:t>
      </w:r>
      <w:r w:rsidR="006C3636" w:rsidRPr="009847AE">
        <w:t xml:space="preserve">dont le </w:t>
      </w:r>
      <w:r w:rsidR="00EF521C" w:rsidRPr="009847AE">
        <w:t xml:space="preserve">sort dépend de la bonne volonté de leur employeur. Par ailleurs, les statistiques du Ministère du travail pour 2008 indiquent que les travailleurs migrants perçoivent un salaire inférieur à celui des </w:t>
      </w:r>
      <w:r w:rsidR="006C3636" w:rsidRPr="009847AE">
        <w:t>P</w:t>
      </w:r>
      <w:r w:rsidR="00EF521C" w:rsidRPr="009847AE">
        <w:t xml:space="preserve">ortugais pour un même travail, et que les femmes </w:t>
      </w:r>
      <w:r w:rsidR="006C3636" w:rsidRPr="009847AE">
        <w:t xml:space="preserve">gagnent moins que les </w:t>
      </w:r>
      <w:r w:rsidR="00EF521C" w:rsidRPr="009847AE">
        <w:t xml:space="preserve">hommes. </w:t>
      </w:r>
      <w:r w:rsidR="006C3636" w:rsidRPr="009847AE">
        <w:t>L</w:t>
      </w:r>
      <w:r w:rsidR="00EF521C" w:rsidRPr="009847AE">
        <w:t>es femmes migrantes</w:t>
      </w:r>
      <w:r w:rsidR="006C3636" w:rsidRPr="009847AE">
        <w:t xml:space="preserve"> seraient donc victimes de discrimination multiple</w:t>
      </w:r>
      <w:r w:rsidR="00EF521C" w:rsidRPr="009847AE">
        <w:t>.</w:t>
      </w:r>
      <w:r w:rsidR="006C3636" w:rsidRPr="009847AE">
        <w:t xml:space="preserve"> La</w:t>
      </w:r>
      <w:r w:rsidR="00A66166">
        <w:t> </w:t>
      </w:r>
      <w:r w:rsidR="006C3636" w:rsidRPr="009847AE">
        <w:t>délégation est invitée à revenir sur cette question.</w:t>
      </w:r>
    </w:p>
    <w:p w:rsidR="00EF521C" w:rsidRPr="009847AE" w:rsidRDefault="00D647B8" w:rsidP="00EF521C">
      <w:pPr>
        <w:pStyle w:val="SingleTxtG"/>
      </w:pPr>
      <w:r w:rsidRPr="009847AE">
        <w:t>11.</w:t>
      </w:r>
      <w:r w:rsidRPr="009847AE">
        <w:tab/>
      </w:r>
      <w:r w:rsidR="00EF521C" w:rsidRPr="009847AE">
        <w:t xml:space="preserve">En ce qui concerne les Roms, </w:t>
      </w:r>
      <w:r w:rsidR="006C3636" w:rsidRPr="009847AE">
        <w:t>M</w:t>
      </w:r>
      <w:r w:rsidR="006C3636" w:rsidRPr="009847AE">
        <w:rPr>
          <w:vertAlign w:val="superscript"/>
        </w:rPr>
        <w:t>me</w:t>
      </w:r>
      <w:r w:rsidR="00EF521C" w:rsidRPr="009847AE">
        <w:t xml:space="preserve"> Crickley se dit déçue par les informations figurant dans le rapport, qui prouvent que cette population n</w:t>
      </w:r>
      <w:r w:rsidR="00354181">
        <w:t>’</w:t>
      </w:r>
      <w:r w:rsidR="00EF521C" w:rsidRPr="009847AE">
        <w:t>a pas fait l</w:t>
      </w:r>
      <w:r w:rsidR="00354181">
        <w:t>’</w:t>
      </w:r>
      <w:r w:rsidR="00EF521C" w:rsidRPr="009847AE">
        <w:t>objet d</w:t>
      </w:r>
      <w:r w:rsidR="00354181">
        <w:t>’</w:t>
      </w:r>
      <w:r w:rsidR="00EF521C" w:rsidRPr="009847AE">
        <w:t>une attention prioritaire. Les Roms se heurtent à des difficultés dans l</w:t>
      </w:r>
      <w:r w:rsidR="00354181">
        <w:t>’</w:t>
      </w:r>
      <w:r w:rsidR="00EF521C" w:rsidRPr="009847AE">
        <w:t>accès aux services publics</w:t>
      </w:r>
      <w:r w:rsidR="006C3636" w:rsidRPr="009847AE">
        <w:t xml:space="preserve"> ainsi que dans les domaines du logement et de l</w:t>
      </w:r>
      <w:r w:rsidR="00354181">
        <w:t>’</w:t>
      </w:r>
      <w:r w:rsidR="006C3636" w:rsidRPr="009847AE">
        <w:t>éducation</w:t>
      </w:r>
      <w:r w:rsidR="00EF521C" w:rsidRPr="009847AE">
        <w:t xml:space="preserve">. Ils sont la cible de déclarations racistes de </w:t>
      </w:r>
      <w:r w:rsidR="006C3636" w:rsidRPr="009847AE">
        <w:t xml:space="preserve">personnalités politiques </w:t>
      </w:r>
      <w:r w:rsidR="00EF521C" w:rsidRPr="009847AE">
        <w:t xml:space="preserve">et de médias. </w:t>
      </w:r>
      <w:r w:rsidR="006C3636" w:rsidRPr="009847AE">
        <w:t xml:space="preserve">La Rapporteuse </w:t>
      </w:r>
      <w:r w:rsidR="00EF521C" w:rsidRPr="009847AE">
        <w:t xml:space="preserve">aimerait savoir ce </w:t>
      </w:r>
      <w:r w:rsidR="006C3636" w:rsidRPr="009847AE">
        <w:t xml:space="preserve">que </w:t>
      </w:r>
      <w:r w:rsidR="00EF521C" w:rsidRPr="009847AE">
        <w:t>la stratégie d</w:t>
      </w:r>
      <w:r w:rsidR="00354181">
        <w:t>’</w:t>
      </w:r>
      <w:r w:rsidR="00EF521C" w:rsidRPr="009847AE">
        <w:t>intégration des Roms</w:t>
      </w:r>
      <w:r w:rsidR="006C3636" w:rsidRPr="009847AE">
        <w:t xml:space="preserve"> prévoit concrètement</w:t>
      </w:r>
      <w:r w:rsidR="00EF521C" w:rsidRPr="009847AE">
        <w:t xml:space="preserve"> pour lutter contre la discrimination raciale et les autres formes d</w:t>
      </w:r>
      <w:r w:rsidR="00354181">
        <w:t>’</w:t>
      </w:r>
      <w:r w:rsidR="00EF521C" w:rsidRPr="009847AE">
        <w:t xml:space="preserve">oppression dont les Roms sont victimes et garantir </w:t>
      </w:r>
      <w:r w:rsidR="006C3636" w:rsidRPr="009847AE">
        <w:t xml:space="preserve">leur </w:t>
      </w:r>
      <w:r w:rsidR="00EF521C" w:rsidRPr="009847AE">
        <w:t>participation à la</w:t>
      </w:r>
      <w:r w:rsidR="006C3636" w:rsidRPr="009847AE">
        <w:t xml:space="preserve"> mise en œuvre de la stratégie.</w:t>
      </w:r>
    </w:p>
    <w:p w:rsidR="00EF521C" w:rsidRPr="009847AE" w:rsidRDefault="00D647B8" w:rsidP="00EF521C">
      <w:pPr>
        <w:pStyle w:val="SingleTxtG"/>
      </w:pPr>
      <w:r w:rsidRPr="009847AE">
        <w:t>12.</w:t>
      </w:r>
      <w:r w:rsidRPr="009847AE">
        <w:tab/>
        <w:t>M</w:t>
      </w:r>
      <w:r w:rsidRPr="009847AE">
        <w:rPr>
          <w:vertAlign w:val="superscript"/>
        </w:rPr>
        <w:t>me</w:t>
      </w:r>
      <w:r w:rsidRPr="009847AE">
        <w:t> </w:t>
      </w:r>
      <w:r w:rsidR="00EF521C" w:rsidRPr="009847AE">
        <w:t xml:space="preserve">Crickley </w:t>
      </w:r>
      <w:r w:rsidRPr="009847AE">
        <w:t xml:space="preserve">demande si </w:t>
      </w:r>
      <w:r w:rsidR="00EF521C" w:rsidRPr="009847AE">
        <w:t xml:space="preserve">les programmes de sensibilisation </w:t>
      </w:r>
      <w:r w:rsidR="006C3636" w:rsidRPr="009847AE">
        <w:t xml:space="preserve">mentionnés par la délégation </w:t>
      </w:r>
      <w:r w:rsidR="00EF521C" w:rsidRPr="009847AE">
        <w:t xml:space="preserve">ont été touchés par </w:t>
      </w:r>
      <w:r w:rsidR="006C3636" w:rsidRPr="009847AE">
        <w:t>la crise économique</w:t>
      </w:r>
      <w:r w:rsidR="00EF521C" w:rsidRPr="009847AE">
        <w:t xml:space="preserve">. </w:t>
      </w:r>
      <w:r w:rsidR="006C3636" w:rsidRPr="009847AE">
        <w:t>Enfin, elle</w:t>
      </w:r>
      <w:r w:rsidR="00EF521C" w:rsidRPr="009847AE">
        <w:t xml:space="preserve"> demande des informations supplémentaires sur la stratégie </w:t>
      </w:r>
      <w:r w:rsidR="006C3636" w:rsidRPr="009847AE">
        <w:t xml:space="preserve">de sensibilisation au racisme </w:t>
      </w:r>
      <w:r w:rsidR="00EF521C" w:rsidRPr="009847AE">
        <w:t xml:space="preserve">mise en place avec les médias et aimerait connaître </w:t>
      </w:r>
      <w:r w:rsidR="006C3636" w:rsidRPr="009847AE">
        <w:t xml:space="preserve">les </w:t>
      </w:r>
      <w:r w:rsidR="00EF521C" w:rsidRPr="009847AE">
        <w:t>effet</w:t>
      </w:r>
      <w:r w:rsidR="006C3636" w:rsidRPr="009847AE">
        <w:t>s</w:t>
      </w:r>
      <w:r w:rsidR="00EF521C" w:rsidRPr="009847AE">
        <w:t xml:space="preserve"> </w:t>
      </w:r>
      <w:r w:rsidR="006C3636" w:rsidRPr="009847AE">
        <w:t>du programme «</w:t>
      </w:r>
      <w:r w:rsidR="00EF521C" w:rsidRPr="009847AE">
        <w:t>Choix</w:t>
      </w:r>
      <w:r w:rsidR="006C3636" w:rsidRPr="009847AE">
        <w:t>»</w:t>
      </w:r>
      <w:r w:rsidR="00EF521C" w:rsidRPr="009847AE">
        <w:t>.</w:t>
      </w:r>
    </w:p>
    <w:p w:rsidR="00EF521C" w:rsidRPr="009847AE" w:rsidRDefault="00D647B8" w:rsidP="00EF521C">
      <w:pPr>
        <w:pStyle w:val="SingleTxtG"/>
      </w:pPr>
      <w:r w:rsidRPr="009847AE">
        <w:t>13.</w:t>
      </w:r>
      <w:r w:rsidRPr="009847AE">
        <w:tab/>
      </w:r>
      <w:r w:rsidR="00EF521C" w:rsidRPr="009847AE">
        <w:rPr>
          <w:b/>
        </w:rPr>
        <w:t>M. Diaconu</w:t>
      </w:r>
      <w:r w:rsidR="00EF521C" w:rsidRPr="009847AE">
        <w:t xml:space="preserve"> </w:t>
      </w:r>
      <w:r w:rsidR="006C3636" w:rsidRPr="009847AE">
        <w:t xml:space="preserve">juge exemplaires </w:t>
      </w:r>
      <w:r w:rsidR="00EF521C" w:rsidRPr="009847AE">
        <w:t xml:space="preserve">les efforts faits par le Portugal pour </w:t>
      </w:r>
      <w:r w:rsidR="006C3636" w:rsidRPr="009847AE">
        <w:t>protéger et intégrer l</w:t>
      </w:r>
      <w:r w:rsidR="00EF521C" w:rsidRPr="009847AE">
        <w:t xml:space="preserve">es migrants </w:t>
      </w:r>
      <w:r w:rsidR="006C3636" w:rsidRPr="009847AE">
        <w:t xml:space="preserve">et se félicite </w:t>
      </w:r>
      <w:r w:rsidR="00EF521C" w:rsidRPr="009847AE">
        <w:t>que l</w:t>
      </w:r>
      <w:r w:rsidR="00354181">
        <w:t>’</w:t>
      </w:r>
      <w:r w:rsidR="00EF521C" w:rsidRPr="009847AE">
        <w:t>enseignement soit dispensé aux enfants migrants dans leur langue maternelle, le portugais étant étudié comme deuxième langue</w:t>
      </w:r>
      <w:r w:rsidR="006C3636" w:rsidRPr="009847AE">
        <w:t xml:space="preserve">. Il </w:t>
      </w:r>
      <w:r w:rsidR="00EF521C" w:rsidRPr="009847AE">
        <w:t xml:space="preserve">estime que la Constitution portugaise ne contient pas de disposition claire établissant la primauté de la Convention </w:t>
      </w:r>
      <w:r w:rsidR="00B37A26" w:rsidRPr="009847AE">
        <w:t>et d</w:t>
      </w:r>
      <w:r w:rsidR="00354181">
        <w:t>’</w:t>
      </w:r>
      <w:r w:rsidR="00B37A26" w:rsidRPr="009847AE">
        <w:t>autres traités internationaux relatifs aux droits de l</w:t>
      </w:r>
      <w:r w:rsidR="00354181">
        <w:t>’</w:t>
      </w:r>
      <w:r w:rsidR="00B37A26" w:rsidRPr="009847AE">
        <w:t xml:space="preserve">homme </w:t>
      </w:r>
      <w:r w:rsidR="00EF521C" w:rsidRPr="009847AE">
        <w:t>sur le droit interne</w:t>
      </w:r>
      <w:r w:rsidR="00B37A26" w:rsidRPr="009847AE">
        <w:t>,</w:t>
      </w:r>
      <w:r w:rsidR="00EF521C" w:rsidRPr="009847AE">
        <w:t xml:space="preserve"> à l</w:t>
      </w:r>
      <w:r w:rsidR="00354181">
        <w:t>’</w:t>
      </w:r>
      <w:r w:rsidR="00EF521C" w:rsidRPr="009847AE">
        <w:t>in</w:t>
      </w:r>
      <w:r w:rsidR="00B37A26" w:rsidRPr="009847AE">
        <w:t>star des instruments européens, et recommande à l</w:t>
      </w:r>
      <w:r w:rsidR="00354181">
        <w:t>’</w:t>
      </w:r>
      <w:r w:rsidR="00B37A26" w:rsidRPr="009847AE">
        <w:t>État partie de combler cette lacune.</w:t>
      </w:r>
    </w:p>
    <w:p w:rsidR="00EF521C" w:rsidRDefault="00D647B8" w:rsidP="00EF521C">
      <w:pPr>
        <w:pStyle w:val="SingleTxtG"/>
      </w:pPr>
      <w:r w:rsidRPr="009847AE">
        <w:t>14.</w:t>
      </w:r>
      <w:r w:rsidRPr="009847AE">
        <w:tab/>
      </w:r>
      <w:r w:rsidR="00EF521C" w:rsidRPr="009847AE">
        <w:t>S</w:t>
      </w:r>
      <w:r w:rsidR="00354181">
        <w:t>’</w:t>
      </w:r>
      <w:r w:rsidR="00EF521C" w:rsidRPr="009847AE">
        <w:t>agissant de l</w:t>
      </w:r>
      <w:r w:rsidR="00354181">
        <w:t>’</w:t>
      </w:r>
      <w:r w:rsidR="00EF521C" w:rsidRPr="009847AE">
        <w:t xml:space="preserve">aggravation de la peine </w:t>
      </w:r>
      <w:r w:rsidR="00B37A26" w:rsidRPr="009847AE">
        <w:t xml:space="preserve">en cas de motivation </w:t>
      </w:r>
      <w:r w:rsidR="00EF521C" w:rsidRPr="009847AE">
        <w:t xml:space="preserve">raciale, le Code pénal se réfère au sentiment </w:t>
      </w:r>
      <w:r w:rsidR="00B37A26" w:rsidRPr="009847AE">
        <w:t>exprimé par l</w:t>
      </w:r>
      <w:r w:rsidR="00354181">
        <w:t>’</w:t>
      </w:r>
      <w:r w:rsidR="00B37A26" w:rsidRPr="009847AE">
        <w:t>auteur de l</w:t>
      </w:r>
      <w:r w:rsidR="00354181">
        <w:t>’</w:t>
      </w:r>
      <w:r w:rsidR="00EF521C" w:rsidRPr="009847AE">
        <w:t>infraction mais il s</w:t>
      </w:r>
      <w:r w:rsidR="00354181">
        <w:t>’</w:t>
      </w:r>
      <w:r w:rsidR="00EF521C" w:rsidRPr="009847AE">
        <w:t>agit d</w:t>
      </w:r>
      <w:r w:rsidR="00354181">
        <w:t>’</w:t>
      </w:r>
      <w:r w:rsidR="00EF521C" w:rsidRPr="009847AE">
        <w:t xml:space="preserve">une notion subjective, qui est difficile à </w:t>
      </w:r>
      <w:r w:rsidR="00B37A26" w:rsidRPr="009847AE">
        <w:t>apprécier pour un tribunal</w:t>
      </w:r>
      <w:r w:rsidR="00EF521C" w:rsidRPr="009847AE">
        <w:t>. La loi devrait être plus précise sur ce point.</w:t>
      </w:r>
      <w:r w:rsidRPr="009847AE">
        <w:t xml:space="preserve"> </w:t>
      </w:r>
      <w:r w:rsidR="00EF521C" w:rsidRPr="009847AE">
        <w:t xml:space="preserve">M. Diaconu </w:t>
      </w:r>
      <w:r w:rsidR="00B37A26" w:rsidRPr="009847AE">
        <w:t xml:space="preserve">regrette </w:t>
      </w:r>
      <w:r w:rsidR="00EF521C" w:rsidRPr="009847AE">
        <w:t>que le rapport ne décri</w:t>
      </w:r>
      <w:r w:rsidR="00B37A26" w:rsidRPr="009847AE">
        <w:t>ve</w:t>
      </w:r>
      <w:r w:rsidR="00EF521C" w:rsidRPr="009847AE">
        <w:t xml:space="preserve"> pas les minorités ethniques qui se trouvent au </w:t>
      </w:r>
      <w:r w:rsidR="00B37A26" w:rsidRPr="009847AE">
        <w:t xml:space="preserve">Portugal et dans les </w:t>
      </w:r>
      <w:r w:rsidR="00EF521C" w:rsidRPr="009847AE">
        <w:t xml:space="preserve">régions autonomes. </w:t>
      </w:r>
      <w:r w:rsidR="00B37A26" w:rsidRPr="009847AE">
        <w:t xml:space="preserve">Il </w:t>
      </w:r>
      <w:r w:rsidR="00EF521C" w:rsidRPr="009847AE">
        <w:t xml:space="preserve">demande </w:t>
      </w:r>
      <w:r w:rsidR="00B37A26" w:rsidRPr="009847AE">
        <w:t xml:space="preserve">en particulier </w:t>
      </w:r>
      <w:r w:rsidR="00EF521C" w:rsidRPr="009847AE">
        <w:t xml:space="preserve">des précisions sur la communauté de Miranda do Douro dont la langue, le mirandais, est une langue officielle du Portugal. Il aimerait </w:t>
      </w:r>
      <w:r w:rsidR="00B37A26" w:rsidRPr="009847AE">
        <w:t xml:space="preserve">en savoir plus sur </w:t>
      </w:r>
      <w:r w:rsidR="00EF521C" w:rsidRPr="009847AE">
        <w:t xml:space="preserve">la situation économique, sociale et </w:t>
      </w:r>
      <w:r w:rsidR="00B37A26" w:rsidRPr="009847AE">
        <w:t xml:space="preserve">scolaire </w:t>
      </w:r>
      <w:r w:rsidR="00EF521C" w:rsidRPr="009847AE">
        <w:t>des Rom</w:t>
      </w:r>
      <w:r w:rsidR="00865702">
        <w:t>s</w:t>
      </w:r>
      <w:r w:rsidR="00EF521C" w:rsidRPr="009847AE">
        <w:t xml:space="preserve"> ains</w:t>
      </w:r>
      <w:r w:rsidR="00B37A26" w:rsidRPr="009847AE">
        <w:t>i</w:t>
      </w:r>
      <w:r w:rsidR="00EF521C" w:rsidRPr="009847AE">
        <w:t xml:space="preserve"> que </w:t>
      </w:r>
      <w:r w:rsidR="00B37A26" w:rsidRPr="009847AE">
        <w:t xml:space="preserve">sur </w:t>
      </w:r>
      <w:r w:rsidR="00EF521C" w:rsidRPr="009847AE">
        <w:t>leur participation à la vie publique.</w:t>
      </w:r>
      <w:r w:rsidR="00B37A26" w:rsidRPr="009847AE">
        <w:t xml:space="preserve"> Enfin, il recommande</w:t>
      </w:r>
      <w:r w:rsidR="00EF521C" w:rsidRPr="009847AE">
        <w:t xml:space="preserve"> au </w:t>
      </w:r>
      <w:r w:rsidR="00B37A26" w:rsidRPr="009847AE">
        <w:t xml:space="preserve">Portugal de ratifier </w:t>
      </w:r>
      <w:r w:rsidR="00EF521C" w:rsidRPr="009847AE">
        <w:t xml:space="preserve">la Convention internationale sur </w:t>
      </w:r>
      <w:r w:rsidR="00B37A26" w:rsidRPr="009847AE">
        <w:t xml:space="preserve">la protection des </w:t>
      </w:r>
      <w:r w:rsidR="00EF521C" w:rsidRPr="009847AE">
        <w:t>droits de tous les travailleurs migrants et des membres de leur famille.</w:t>
      </w:r>
    </w:p>
    <w:p w:rsidR="00214980" w:rsidRPr="007E1639" w:rsidRDefault="00214980" w:rsidP="00214980">
      <w:pPr>
        <w:pStyle w:val="SingleTxtG"/>
      </w:pPr>
      <w:r w:rsidRPr="00892D04">
        <w:rPr>
          <w:bCs/>
        </w:rPr>
        <w:t>15.</w:t>
      </w:r>
      <w:r w:rsidRPr="007E1639">
        <w:rPr>
          <w:b/>
          <w:bCs/>
        </w:rPr>
        <w:tab/>
        <w:t>M.</w:t>
      </w:r>
      <w:r>
        <w:rPr>
          <w:b/>
          <w:bCs/>
        </w:rPr>
        <w:t> </w:t>
      </w:r>
      <w:r w:rsidRPr="007E1639">
        <w:rPr>
          <w:b/>
          <w:bCs/>
        </w:rPr>
        <w:t>Murillo Martínez</w:t>
      </w:r>
      <w:r w:rsidRPr="007E1639">
        <w:t xml:space="preserve"> se félicite de la franchise avec laquelle la délégation portugaise a décrit la situation dans le pays en matière de xénophobie, de racisme et de discrimination raciale. </w:t>
      </w:r>
      <w:r>
        <w:t xml:space="preserve">Il salue </w:t>
      </w:r>
      <w:r w:rsidRPr="007E1639">
        <w:t>les initiatives novatrices qu</w:t>
      </w:r>
      <w:r>
        <w:t>e le Portugal</w:t>
      </w:r>
      <w:r w:rsidRPr="007E1639">
        <w:t xml:space="preserve"> a prises en faveur des migrants, en particulier l</w:t>
      </w:r>
      <w:r>
        <w:t>’</w:t>
      </w:r>
      <w:r w:rsidRPr="007E1639">
        <w:t xml:space="preserve">établissement de </w:t>
      </w:r>
      <w:r w:rsidRPr="007E1639">
        <w:rPr>
          <w:lang w:val="fr-FR" w:eastAsia="fr-FR"/>
        </w:rPr>
        <w:t xml:space="preserve">la ligne téléphonique </w:t>
      </w:r>
      <w:r w:rsidRPr="007E1639">
        <w:rPr>
          <w:i/>
          <w:iCs/>
          <w:lang w:val="fr-FR" w:eastAsia="fr-FR"/>
        </w:rPr>
        <w:t xml:space="preserve">SOS Imigrante </w:t>
      </w:r>
      <w:r w:rsidRPr="007E1639">
        <w:rPr>
          <w:iCs/>
          <w:lang w:val="fr-FR" w:eastAsia="fr-FR"/>
        </w:rPr>
        <w:t>et d</w:t>
      </w:r>
      <w:r>
        <w:rPr>
          <w:iCs/>
          <w:lang w:val="fr-FR" w:eastAsia="fr-FR"/>
        </w:rPr>
        <w:t>’</w:t>
      </w:r>
      <w:r w:rsidRPr="007E1639">
        <w:rPr>
          <w:iCs/>
          <w:lang w:val="fr-FR" w:eastAsia="fr-FR"/>
        </w:rPr>
        <w:t>un</w:t>
      </w:r>
      <w:r w:rsidRPr="007E1639">
        <w:rPr>
          <w:i/>
          <w:iCs/>
          <w:lang w:val="fr-FR" w:eastAsia="fr-FR"/>
        </w:rPr>
        <w:t xml:space="preserve"> </w:t>
      </w:r>
      <w:r w:rsidRPr="007E1639">
        <w:rPr>
          <w:lang w:val="fr-FR" w:eastAsia="fr-FR"/>
        </w:rPr>
        <w:t>service d</w:t>
      </w:r>
      <w:r>
        <w:rPr>
          <w:lang w:val="fr-FR" w:eastAsia="fr-FR"/>
        </w:rPr>
        <w:t>’</w:t>
      </w:r>
      <w:r w:rsidRPr="007E1639">
        <w:rPr>
          <w:lang w:val="fr-FR" w:eastAsia="fr-FR"/>
        </w:rPr>
        <w:t xml:space="preserve">interprétation par téléphone à </w:t>
      </w:r>
      <w:r>
        <w:rPr>
          <w:lang w:val="fr-FR" w:eastAsia="fr-FR"/>
        </w:rPr>
        <w:t xml:space="preserve">la disposition </w:t>
      </w:r>
      <w:r w:rsidRPr="007E1639">
        <w:rPr>
          <w:lang w:val="fr-FR" w:eastAsia="fr-FR"/>
        </w:rPr>
        <w:t xml:space="preserve">des immigrés. </w:t>
      </w:r>
      <w:r>
        <w:rPr>
          <w:lang w:val="fr-FR" w:eastAsia="fr-FR"/>
        </w:rPr>
        <w:t>Cependant, d</w:t>
      </w:r>
      <w:r w:rsidRPr="007E1639">
        <w:rPr>
          <w:lang w:val="fr-FR" w:eastAsia="fr-FR"/>
        </w:rPr>
        <w:t xml:space="preserve">es </w:t>
      </w:r>
      <w:r>
        <w:t>préoccupations demeurent</w:t>
      </w:r>
      <w:r w:rsidRPr="007E1639">
        <w:t xml:space="preserve">. Le Portugal a accueilli nombre de nouveaux immigrés qui, selon les informations disponibles, </w:t>
      </w:r>
      <w:r>
        <w:t xml:space="preserve">ont beaucoup de mal à s’insérer dans la société. </w:t>
      </w:r>
      <w:r w:rsidRPr="007E1639">
        <w:t xml:space="preserve">Quelles </w:t>
      </w:r>
      <w:r>
        <w:t xml:space="preserve">mesures </w:t>
      </w:r>
      <w:r w:rsidRPr="007E1639">
        <w:t>les autorités portugaises envisagent-elles de prendre pour remédier à cette situation?</w:t>
      </w:r>
    </w:p>
    <w:p w:rsidR="00214980" w:rsidRPr="007E1639" w:rsidRDefault="00214980" w:rsidP="00214980">
      <w:pPr>
        <w:pStyle w:val="SingleTxtG"/>
        <w:rPr>
          <w:szCs w:val="28"/>
        </w:rPr>
      </w:pPr>
      <w:r>
        <w:rPr>
          <w:bCs/>
          <w:szCs w:val="28"/>
        </w:rPr>
        <w:t>16.</w:t>
      </w:r>
      <w:r w:rsidRPr="007E1639">
        <w:rPr>
          <w:bCs/>
          <w:szCs w:val="28"/>
        </w:rPr>
        <w:tab/>
        <w:t>M. Murillo Martínez</w:t>
      </w:r>
      <w:r w:rsidRPr="007E1639">
        <w:rPr>
          <w:szCs w:val="28"/>
          <w:lang w:val="fr-FR" w:eastAsia="fr-FR"/>
        </w:rPr>
        <w:t xml:space="preserve"> souhaite recevoir des informations sur la suite donnée à la plainte contre X déposée pour discrimination raciale dans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affaire des fausses rumeurs répandues par courriel sur les prétendus enlèvements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enfants dans des magasins chinois à des fins de trafic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organes</w:t>
      </w:r>
      <w:r>
        <w:rPr>
          <w:szCs w:val="28"/>
          <w:lang w:val="fr-FR" w:eastAsia="fr-FR"/>
        </w:rPr>
        <w:t>,</w:t>
      </w:r>
      <w:r w:rsidRPr="007E1639">
        <w:rPr>
          <w:szCs w:val="28"/>
          <w:lang w:val="fr-FR" w:eastAsia="fr-FR"/>
        </w:rPr>
        <w:t xml:space="preserve"> </w:t>
      </w:r>
      <w:r>
        <w:rPr>
          <w:szCs w:val="28"/>
          <w:lang w:val="fr-FR" w:eastAsia="fr-FR"/>
        </w:rPr>
        <w:t xml:space="preserve">rumeurs </w:t>
      </w:r>
      <w:r w:rsidRPr="007E1639">
        <w:rPr>
          <w:szCs w:val="28"/>
          <w:lang w:val="fr-FR" w:eastAsia="fr-FR"/>
        </w:rPr>
        <w:t>qui visaient à dissuader le public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aller dans ces boutiques. Il invite également la délégation à fournir des précis</w:t>
      </w:r>
      <w:r>
        <w:rPr>
          <w:szCs w:val="28"/>
          <w:lang w:val="fr-FR" w:eastAsia="fr-FR"/>
        </w:rPr>
        <w:t>ions</w:t>
      </w:r>
      <w:r w:rsidRPr="007E1639">
        <w:rPr>
          <w:szCs w:val="28"/>
          <w:lang w:val="fr-FR" w:eastAsia="fr-FR"/>
        </w:rPr>
        <w:t xml:space="preserve"> sur le mandat et les compétences du médiateur socioculturel</w:t>
      </w:r>
      <w:r w:rsidRPr="007E1639">
        <w:rPr>
          <w:szCs w:val="28"/>
        </w:rPr>
        <w:t xml:space="preserve">. </w:t>
      </w:r>
    </w:p>
    <w:p w:rsidR="00214980" w:rsidRPr="007E1639" w:rsidRDefault="00214980" w:rsidP="00214980">
      <w:pPr>
        <w:pStyle w:val="SingleTxtG"/>
        <w:rPr>
          <w:szCs w:val="28"/>
        </w:rPr>
      </w:pPr>
      <w:r w:rsidRPr="00A66111">
        <w:rPr>
          <w:bCs/>
          <w:szCs w:val="28"/>
        </w:rPr>
        <w:t>17.</w:t>
      </w:r>
      <w:r>
        <w:rPr>
          <w:b/>
          <w:bCs/>
          <w:szCs w:val="28"/>
        </w:rPr>
        <w:tab/>
        <w:t>M. </w:t>
      </w:r>
      <w:r w:rsidRPr="007E1639">
        <w:rPr>
          <w:b/>
          <w:bCs/>
          <w:szCs w:val="28"/>
        </w:rPr>
        <w:t>Lindgren Alves</w:t>
      </w:r>
      <w:r w:rsidRPr="007E1639">
        <w:rPr>
          <w:szCs w:val="28"/>
        </w:rPr>
        <w:t xml:space="preserve"> dit n</w:t>
      </w:r>
      <w:r>
        <w:rPr>
          <w:szCs w:val="28"/>
        </w:rPr>
        <w:t>’</w:t>
      </w:r>
      <w:r w:rsidRPr="007E1639">
        <w:rPr>
          <w:szCs w:val="28"/>
        </w:rPr>
        <w:t>avoir jamais lu</w:t>
      </w:r>
      <w:r>
        <w:rPr>
          <w:szCs w:val="28"/>
        </w:rPr>
        <w:t xml:space="preserve"> depuis qu’il est membre du Comité </w:t>
      </w:r>
      <w:r w:rsidRPr="007E1639">
        <w:rPr>
          <w:szCs w:val="28"/>
        </w:rPr>
        <w:t xml:space="preserve">un rapport périodique aussi exceptionnel, tant du point de vue de </w:t>
      </w:r>
      <w:r>
        <w:rPr>
          <w:szCs w:val="28"/>
        </w:rPr>
        <w:t>l</w:t>
      </w:r>
      <w:r w:rsidRPr="007E1639">
        <w:rPr>
          <w:szCs w:val="28"/>
        </w:rPr>
        <w:t xml:space="preserve">a franchise </w:t>
      </w:r>
      <w:r>
        <w:rPr>
          <w:szCs w:val="28"/>
        </w:rPr>
        <w:t xml:space="preserve">de l’État partie </w:t>
      </w:r>
      <w:r w:rsidRPr="007E1639">
        <w:rPr>
          <w:szCs w:val="28"/>
        </w:rPr>
        <w:t>que de la somme d</w:t>
      </w:r>
      <w:r>
        <w:rPr>
          <w:szCs w:val="28"/>
        </w:rPr>
        <w:t>’</w:t>
      </w:r>
      <w:r w:rsidRPr="007E1639">
        <w:rPr>
          <w:szCs w:val="28"/>
        </w:rPr>
        <w:t xml:space="preserve">informations relatives </w:t>
      </w:r>
      <w:r>
        <w:rPr>
          <w:szCs w:val="28"/>
        </w:rPr>
        <w:t xml:space="preserve">à l’action menée </w:t>
      </w:r>
      <w:r w:rsidRPr="007E1639">
        <w:rPr>
          <w:szCs w:val="28"/>
        </w:rPr>
        <w:t>pour lutter contre tout</w:t>
      </w:r>
      <w:r>
        <w:rPr>
          <w:szCs w:val="28"/>
        </w:rPr>
        <w:t>es les formes de discrimination</w:t>
      </w:r>
      <w:r w:rsidRPr="007E1639">
        <w:rPr>
          <w:szCs w:val="28"/>
        </w:rPr>
        <w:t>, en particulier à l</w:t>
      </w:r>
      <w:r>
        <w:rPr>
          <w:szCs w:val="28"/>
        </w:rPr>
        <w:t>’</w:t>
      </w:r>
      <w:r w:rsidRPr="007E1639">
        <w:rPr>
          <w:szCs w:val="28"/>
        </w:rPr>
        <w:t>égard des étra</w:t>
      </w:r>
      <w:r>
        <w:rPr>
          <w:szCs w:val="28"/>
        </w:rPr>
        <w:t>ngers et des nouveaux immigrés</w:t>
      </w:r>
      <w:r w:rsidRPr="007E1639">
        <w:rPr>
          <w:szCs w:val="28"/>
        </w:rPr>
        <w:t>. Le Portugal affirme, à raison, que l</w:t>
      </w:r>
      <w:r>
        <w:rPr>
          <w:szCs w:val="28"/>
        </w:rPr>
        <w:t>’</w:t>
      </w:r>
      <w:r w:rsidRPr="007E1639">
        <w:rPr>
          <w:szCs w:val="28"/>
        </w:rPr>
        <w:t>intégration est le seul moyen de lutter contre le racisme et n</w:t>
      </w:r>
      <w:r>
        <w:rPr>
          <w:szCs w:val="28"/>
        </w:rPr>
        <w:t>’</w:t>
      </w:r>
      <w:r w:rsidRPr="007E1639">
        <w:rPr>
          <w:szCs w:val="28"/>
        </w:rPr>
        <w:t>hésite pas, dans le même temps, à reconnaître tous les problèmes qu</w:t>
      </w:r>
      <w:r>
        <w:rPr>
          <w:szCs w:val="28"/>
        </w:rPr>
        <w:t>’</w:t>
      </w:r>
      <w:r w:rsidRPr="007E1639">
        <w:rPr>
          <w:szCs w:val="28"/>
        </w:rPr>
        <w:t>il rencontre pour y</w:t>
      </w:r>
      <w:r w:rsidR="00CA1A71">
        <w:rPr>
          <w:szCs w:val="28"/>
        </w:rPr>
        <w:t> </w:t>
      </w:r>
      <w:r w:rsidRPr="007E1639">
        <w:rPr>
          <w:szCs w:val="28"/>
        </w:rPr>
        <w:t xml:space="preserve">parvenir. Des initiatives </w:t>
      </w:r>
      <w:r>
        <w:rPr>
          <w:szCs w:val="28"/>
        </w:rPr>
        <w:t xml:space="preserve">novatrices </w:t>
      </w:r>
      <w:r w:rsidRPr="007E1639">
        <w:rPr>
          <w:szCs w:val="28"/>
        </w:rPr>
        <w:t>telles que la création d</w:t>
      </w:r>
      <w:r>
        <w:rPr>
          <w:szCs w:val="28"/>
        </w:rPr>
        <w:t>’</w:t>
      </w:r>
      <w:r w:rsidRPr="007E1639">
        <w:rPr>
          <w:szCs w:val="28"/>
        </w:rPr>
        <w:t xml:space="preserve">équipes de médiateurs culturels qui </w:t>
      </w:r>
      <w:r>
        <w:rPr>
          <w:szCs w:val="28"/>
          <w:lang w:val="fr-FR" w:eastAsia="fr-FR"/>
        </w:rPr>
        <w:t xml:space="preserve">sont chargées de mieux informer les </w:t>
      </w:r>
      <w:r w:rsidRPr="007E1639">
        <w:rPr>
          <w:szCs w:val="28"/>
          <w:lang w:val="fr-FR" w:eastAsia="fr-FR"/>
        </w:rPr>
        <w:t>communautés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immigrés </w:t>
      </w:r>
      <w:r>
        <w:rPr>
          <w:szCs w:val="28"/>
          <w:lang w:val="fr-FR" w:eastAsia="fr-FR"/>
        </w:rPr>
        <w:t xml:space="preserve">sur </w:t>
      </w:r>
      <w:r w:rsidRPr="007E1639">
        <w:rPr>
          <w:szCs w:val="28"/>
          <w:lang w:val="fr-FR" w:eastAsia="fr-FR"/>
        </w:rPr>
        <w:t>leurs droits et devoirs dans la société portugaise</w:t>
      </w:r>
      <w:r>
        <w:rPr>
          <w:szCs w:val="28"/>
          <w:lang w:val="fr-FR" w:eastAsia="fr-FR"/>
        </w:rPr>
        <w:t xml:space="preserve"> ainsi que </w:t>
      </w:r>
      <w:r w:rsidRPr="007E1639">
        <w:rPr>
          <w:szCs w:val="28"/>
          <w:lang w:val="fr-FR" w:eastAsia="fr-FR"/>
        </w:rPr>
        <w:t>sur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offre de services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intégration, et la mise en place </w:t>
      </w:r>
      <w:r w:rsidRPr="007E1639">
        <w:rPr>
          <w:iCs/>
          <w:szCs w:val="28"/>
          <w:lang w:val="fr-FR" w:eastAsia="fr-FR"/>
        </w:rPr>
        <w:t>d</w:t>
      </w:r>
      <w:r>
        <w:rPr>
          <w:iCs/>
          <w:szCs w:val="28"/>
          <w:lang w:val="fr-FR" w:eastAsia="fr-FR"/>
        </w:rPr>
        <w:t>’</w:t>
      </w:r>
      <w:r w:rsidRPr="007E1639">
        <w:rPr>
          <w:iCs/>
          <w:szCs w:val="28"/>
          <w:lang w:val="fr-FR" w:eastAsia="fr-FR"/>
        </w:rPr>
        <w:t>un</w:t>
      </w:r>
      <w:r w:rsidRPr="007E1639">
        <w:rPr>
          <w:i/>
          <w:iCs/>
          <w:szCs w:val="28"/>
          <w:lang w:val="fr-FR" w:eastAsia="fr-FR"/>
        </w:rPr>
        <w:t xml:space="preserve"> </w:t>
      </w:r>
      <w:r w:rsidRPr="007E1639">
        <w:rPr>
          <w:szCs w:val="28"/>
          <w:lang w:val="fr-FR" w:eastAsia="fr-FR"/>
        </w:rPr>
        <w:t>service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interprétation par téléphone </w:t>
      </w:r>
      <w:r>
        <w:rPr>
          <w:szCs w:val="28"/>
          <w:lang w:val="fr-FR" w:eastAsia="fr-FR"/>
        </w:rPr>
        <w:t xml:space="preserve">à la disposition des immigrés </w:t>
      </w:r>
      <w:r w:rsidRPr="007E1639">
        <w:rPr>
          <w:szCs w:val="28"/>
          <w:lang w:val="fr-FR" w:eastAsia="fr-FR"/>
        </w:rPr>
        <w:t>méritent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être saluées et devraient être suivies par tous les autres pays européens</w:t>
      </w:r>
      <w:r w:rsidRPr="007E1639">
        <w:rPr>
          <w:szCs w:val="28"/>
        </w:rPr>
        <w:t xml:space="preserve">. </w:t>
      </w:r>
    </w:p>
    <w:p w:rsidR="00214980" w:rsidRPr="007E1639" w:rsidRDefault="00214980" w:rsidP="00214980">
      <w:pPr>
        <w:pStyle w:val="SingleTxtG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>M. </w:t>
      </w:r>
      <w:r w:rsidRPr="007E1639">
        <w:rPr>
          <w:szCs w:val="28"/>
        </w:rPr>
        <w:t xml:space="preserve">Lindgren Alves demande des informations complémentaires sur les compétences du </w:t>
      </w:r>
      <w:r w:rsidRPr="007E1639">
        <w:rPr>
          <w:szCs w:val="28"/>
          <w:lang w:val="fr-FR" w:eastAsia="fr-FR"/>
        </w:rPr>
        <w:t>Haut-Commissariat pour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immigration et le dialogue interculturel (ACIDI), et plus particulièrement sur les moyens qu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il utilise pour promouvoir une approche multiculturelle par le dialogue interculturel et interreligieux et valoriser la diversité c</w:t>
      </w:r>
      <w:r>
        <w:rPr>
          <w:szCs w:val="28"/>
          <w:lang w:val="fr-FR" w:eastAsia="fr-FR"/>
        </w:rPr>
        <w:t>ulturelle par le respect mutuel</w:t>
      </w:r>
      <w:r w:rsidRPr="007E1639">
        <w:rPr>
          <w:szCs w:val="28"/>
          <w:lang w:val="fr-FR" w:eastAsia="fr-FR"/>
        </w:rPr>
        <w:t xml:space="preserve">. </w:t>
      </w:r>
      <w:r w:rsidRPr="007E1639">
        <w:rPr>
          <w:szCs w:val="28"/>
        </w:rPr>
        <w:t>L</w:t>
      </w:r>
      <w:r>
        <w:rPr>
          <w:szCs w:val="28"/>
        </w:rPr>
        <w:t>’</w:t>
      </w:r>
      <w:r w:rsidRPr="007E1639">
        <w:rPr>
          <w:szCs w:val="28"/>
        </w:rPr>
        <w:t xml:space="preserve">expert souhaite connaître la suite donnée à la recommandation publiée en 2006 par la </w:t>
      </w:r>
      <w:r w:rsidRPr="007E1639">
        <w:rPr>
          <w:iCs/>
          <w:szCs w:val="28"/>
          <w:lang w:val="fr-FR" w:eastAsia="fr-FR"/>
        </w:rPr>
        <w:t>Commission pour l</w:t>
      </w:r>
      <w:r>
        <w:rPr>
          <w:iCs/>
          <w:szCs w:val="28"/>
          <w:lang w:val="fr-FR" w:eastAsia="fr-FR"/>
        </w:rPr>
        <w:t>’</w:t>
      </w:r>
      <w:r w:rsidRPr="007E1639">
        <w:rPr>
          <w:iCs/>
          <w:szCs w:val="28"/>
          <w:lang w:val="fr-FR" w:eastAsia="fr-FR"/>
        </w:rPr>
        <w:t xml:space="preserve">égalité et contre la discrimination raciale </w:t>
      </w:r>
      <w:r w:rsidRPr="007E1639">
        <w:rPr>
          <w:szCs w:val="28"/>
          <w:lang w:val="fr-FR" w:eastAsia="fr-FR"/>
        </w:rPr>
        <w:t>(CICDR) proposant aux pouvoirs publics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éviter de </w:t>
      </w:r>
      <w:r>
        <w:rPr>
          <w:szCs w:val="28"/>
          <w:lang w:val="fr-FR" w:eastAsia="fr-FR"/>
        </w:rPr>
        <w:t>rendre publiques</w:t>
      </w:r>
      <w:r w:rsidRPr="007E1639">
        <w:rPr>
          <w:szCs w:val="28"/>
          <w:lang w:val="fr-FR" w:eastAsia="fr-FR"/>
        </w:rPr>
        <w:t xml:space="preserve"> des données relatives à la nationalité, à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origine ethnique, à la religion ou au statut </w:t>
      </w:r>
      <w:r>
        <w:rPr>
          <w:szCs w:val="28"/>
          <w:lang w:val="fr-FR" w:eastAsia="fr-FR"/>
        </w:rPr>
        <w:t xml:space="preserve">migratoire </w:t>
      </w:r>
      <w:r w:rsidRPr="007E1639">
        <w:rPr>
          <w:szCs w:val="28"/>
          <w:lang w:val="fr-FR" w:eastAsia="fr-FR"/>
        </w:rPr>
        <w:t>lorsqu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il est question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auteurs présumés </w:t>
      </w:r>
      <w:r>
        <w:rPr>
          <w:szCs w:val="28"/>
          <w:lang w:val="fr-FR" w:eastAsia="fr-FR"/>
        </w:rPr>
        <w:t xml:space="preserve">d’infractions, </w:t>
      </w:r>
      <w:r w:rsidRPr="007E1639">
        <w:rPr>
          <w:szCs w:val="28"/>
          <w:lang w:val="fr-FR" w:eastAsia="fr-FR"/>
        </w:rPr>
        <w:t xml:space="preserve">dès lors que </w:t>
      </w:r>
      <w:r>
        <w:rPr>
          <w:szCs w:val="28"/>
          <w:lang w:val="fr-FR" w:eastAsia="fr-FR"/>
        </w:rPr>
        <w:t>cela ne revêt pas une importance cruciale.</w:t>
      </w:r>
    </w:p>
    <w:p w:rsidR="00214980" w:rsidRDefault="00214980" w:rsidP="00214980">
      <w:pPr>
        <w:pStyle w:val="SingleTxtG"/>
        <w:rPr>
          <w:szCs w:val="28"/>
        </w:rPr>
      </w:pPr>
      <w:r>
        <w:rPr>
          <w:bCs/>
          <w:szCs w:val="28"/>
        </w:rPr>
        <w:t>19.</w:t>
      </w:r>
      <w:r>
        <w:rPr>
          <w:b/>
          <w:bCs/>
          <w:szCs w:val="28"/>
        </w:rPr>
        <w:tab/>
        <w:t>M. </w:t>
      </w:r>
      <w:r w:rsidRPr="007E1639">
        <w:rPr>
          <w:b/>
          <w:bCs/>
          <w:szCs w:val="28"/>
        </w:rPr>
        <w:t>de Gouttes</w:t>
      </w:r>
      <w:r>
        <w:rPr>
          <w:szCs w:val="28"/>
        </w:rPr>
        <w:t xml:space="preserve"> demande un complément d’information </w:t>
      </w:r>
      <w:r w:rsidRPr="007E1639">
        <w:rPr>
          <w:szCs w:val="28"/>
        </w:rPr>
        <w:t>sur les associations d</w:t>
      </w:r>
      <w:r>
        <w:rPr>
          <w:szCs w:val="28"/>
        </w:rPr>
        <w:t>’</w:t>
      </w:r>
      <w:r w:rsidRPr="007E1639">
        <w:rPr>
          <w:szCs w:val="28"/>
        </w:rPr>
        <w:t xml:space="preserve">immigrés qui peuvent </w:t>
      </w:r>
      <w:r>
        <w:rPr>
          <w:szCs w:val="28"/>
        </w:rPr>
        <w:t xml:space="preserve">ester en justice pour le compte de victimes d’actes racistes, </w:t>
      </w:r>
      <w:r w:rsidRPr="007E1639">
        <w:rPr>
          <w:szCs w:val="28"/>
        </w:rPr>
        <w:t xml:space="preserve">sur le statut de médiateur socioculturel et </w:t>
      </w:r>
      <w:r>
        <w:rPr>
          <w:szCs w:val="28"/>
        </w:rPr>
        <w:t xml:space="preserve">sur </w:t>
      </w:r>
      <w:r w:rsidRPr="007E1639">
        <w:rPr>
          <w:szCs w:val="28"/>
        </w:rPr>
        <w:t>les centres nationaux et locaux d</w:t>
      </w:r>
      <w:r>
        <w:rPr>
          <w:szCs w:val="28"/>
        </w:rPr>
        <w:t>’</w:t>
      </w:r>
      <w:r w:rsidRPr="007E1639">
        <w:rPr>
          <w:szCs w:val="28"/>
        </w:rPr>
        <w:t>aide aux immigrés. Relevant qu</w:t>
      </w:r>
      <w:r>
        <w:rPr>
          <w:szCs w:val="28"/>
        </w:rPr>
        <w:t>’</w:t>
      </w:r>
      <w:r w:rsidRPr="007E1639">
        <w:rPr>
          <w:szCs w:val="28"/>
        </w:rPr>
        <w:t>en droit pénal portugais, l</w:t>
      </w:r>
      <w:r w:rsidRPr="007E1639">
        <w:rPr>
          <w:szCs w:val="28"/>
          <w:lang w:val="fr-FR" w:eastAsia="fr-FR"/>
        </w:rPr>
        <w:t>a motivation raciale n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est considérée comme une circonstance aggravante que dans certains cas, à savoir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homicide et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atteinte à l</w:t>
      </w:r>
      <w:r>
        <w:rPr>
          <w:szCs w:val="28"/>
          <w:lang w:val="fr-FR" w:eastAsia="fr-FR"/>
        </w:rPr>
        <w:t>’intégrité physique, M. </w:t>
      </w:r>
      <w:r w:rsidRPr="007E1639">
        <w:rPr>
          <w:szCs w:val="28"/>
          <w:lang w:val="fr-FR" w:eastAsia="fr-FR"/>
        </w:rPr>
        <w:t>de Gouttes souhaite connaître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état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avancement du projet de l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>ACIDI visant à présenter un texte au Parlement ou au Gouvernement en vue d</w:t>
      </w:r>
      <w:r>
        <w:rPr>
          <w:szCs w:val="28"/>
          <w:lang w:val="fr-FR" w:eastAsia="fr-FR"/>
        </w:rPr>
        <w:t>’</w:t>
      </w:r>
      <w:r w:rsidRPr="007E1639">
        <w:rPr>
          <w:szCs w:val="28"/>
          <w:lang w:val="fr-FR" w:eastAsia="fr-FR"/>
        </w:rPr>
        <w:t xml:space="preserve">introduire une circonstance aggravante applicable à toutes les infractions pénales. Il demande à la délégation de préciser </w:t>
      </w:r>
      <w:r w:rsidRPr="007E1639">
        <w:rPr>
          <w:szCs w:val="28"/>
        </w:rPr>
        <w:t xml:space="preserve">comment le </w:t>
      </w:r>
      <w:r w:rsidRPr="007E1639">
        <w:rPr>
          <w:szCs w:val="28"/>
          <w:lang w:val="fr-FR" w:eastAsia="fr-FR"/>
        </w:rPr>
        <w:t xml:space="preserve">régime de la charge de la preuve est appliqué </w:t>
      </w:r>
      <w:r>
        <w:rPr>
          <w:szCs w:val="28"/>
        </w:rPr>
        <w:t>au civil</w:t>
      </w:r>
      <w:r w:rsidRPr="007E1639">
        <w:rPr>
          <w:szCs w:val="28"/>
        </w:rPr>
        <w:t xml:space="preserve"> dans les affaires de racisme. </w:t>
      </w:r>
    </w:p>
    <w:p w:rsidR="00214980" w:rsidRDefault="00214980" w:rsidP="00214980">
      <w:pPr>
        <w:pStyle w:val="SingleTxtG"/>
        <w:rPr>
          <w:lang w:val="fr-FR" w:eastAsia="fr-FR"/>
        </w:rPr>
      </w:pPr>
      <w:r>
        <w:t>20.</w:t>
      </w:r>
      <w:r>
        <w:tab/>
      </w:r>
      <w:r w:rsidRPr="007E1639">
        <w:t>L</w:t>
      </w:r>
      <w:r>
        <w:t>’</w:t>
      </w:r>
      <w:r w:rsidRPr="007E1639">
        <w:t>expert relève</w:t>
      </w:r>
      <w:r>
        <w:t xml:space="preserve"> </w:t>
      </w:r>
      <w:r w:rsidRPr="007E1639">
        <w:t>que le rapport périodique à l</w:t>
      </w:r>
      <w:r>
        <w:t>’</w:t>
      </w:r>
      <w:r w:rsidRPr="007E1639">
        <w:t>examen donne quelques exemples d</w:t>
      </w:r>
      <w:r>
        <w:t>’</w:t>
      </w:r>
      <w:r w:rsidRPr="007E1639">
        <w:t xml:space="preserve">affaires liées à des actes de racisme, notamment </w:t>
      </w:r>
      <w:r>
        <w:t>aux paragraphes </w:t>
      </w:r>
      <w:r w:rsidRPr="007E1639">
        <w:t>203 à 206, mais regrette l</w:t>
      </w:r>
      <w:r>
        <w:t>’</w:t>
      </w:r>
      <w:r w:rsidRPr="007E1639">
        <w:t xml:space="preserve">absence de statistiques complètes, en particulier sur les jugements rendus </w:t>
      </w:r>
      <w:r>
        <w:t>au pénal</w:t>
      </w:r>
      <w:r w:rsidRPr="007E1639">
        <w:t>. Il demande par conséquent à la délégation portugaise d</w:t>
      </w:r>
      <w:r>
        <w:t>’</w:t>
      </w:r>
      <w:r w:rsidRPr="007E1639">
        <w:t xml:space="preserve">indiquer le nombre de poursuites engagées pour mauvais traitements, actes de violence ou </w:t>
      </w:r>
      <w:r>
        <w:t xml:space="preserve">usage </w:t>
      </w:r>
      <w:r w:rsidRPr="007E1639">
        <w:t xml:space="preserve">excessif de la force par des fonctionnaires de police ou </w:t>
      </w:r>
      <w:r>
        <w:t xml:space="preserve">des </w:t>
      </w:r>
      <w:r w:rsidRPr="007E1639">
        <w:t>agents de la force publique et rappelle que le Comité avait déjà demandé de tels renseignements d</w:t>
      </w:r>
      <w:r w:rsidR="00CA1A71">
        <w:t>ans ses observations finales de </w:t>
      </w:r>
      <w:r w:rsidRPr="007E1639">
        <w:t>2004 (CERD/C/65/CO/6). Des exemples de condamnations pour discrimination en matière d</w:t>
      </w:r>
      <w:r>
        <w:t>’</w:t>
      </w:r>
      <w:r w:rsidRPr="007E1639">
        <w:t xml:space="preserve">emploi seraient également bienvenus. </w:t>
      </w:r>
      <w:r>
        <w:t xml:space="preserve">L’expert voudrait aussi </w:t>
      </w:r>
      <w:r w:rsidRPr="007E1639">
        <w:t>savoir si le Médiateur est intervenu dans d</w:t>
      </w:r>
      <w:r>
        <w:t>’</w:t>
      </w:r>
      <w:r w:rsidRPr="007E1639">
        <w:t xml:space="preserve">autres affaires </w:t>
      </w:r>
      <w:r>
        <w:t>que celle évoquée au paragraphe </w:t>
      </w:r>
      <w:r w:rsidRPr="007E1639">
        <w:t xml:space="preserve">208 du rapport et si </w:t>
      </w:r>
      <w:r>
        <w:t>d</w:t>
      </w:r>
      <w:r w:rsidRPr="007E1639">
        <w:t xml:space="preserve">es organisations non gouvernementales sont effectivement </w:t>
      </w:r>
      <w:r w:rsidRPr="007E1639">
        <w:rPr>
          <w:lang w:val="fr-FR" w:eastAsia="fr-FR"/>
        </w:rPr>
        <w:t xml:space="preserve">intervenues </w:t>
      </w:r>
      <w:r>
        <w:rPr>
          <w:lang w:val="fr-FR" w:eastAsia="fr-FR"/>
        </w:rPr>
        <w:t>pour le compte de</w:t>
      </w:r>
      <w:r w:rsidRPr="007E1639">
        <w:rPr>
          <w:lang w:val="fr-FR" w:eastAsia="fr-FR"/>
        </w:rPr>
        <w:t xml:space="preserve"> victimes dans </w:t>
      </w:r>
      <w:r>
        <w:rPr>
          <w:lang w:val="fr-FR" w:eastAsia="fr-FR"/>
        </w:rPr>
        <w:t>d</w:t>
      </w:r>
      <w:r w:rsidRPr="007E1639">
        <w:rPr>
          <w:lang w:val="fr-FR" w:eastAsia="fr-FR"/>
        </w:rPr>
        <w:t>es poursuites pénales pour infraction à caractère xénophobe ou raciste (</w:t>
      </w:r>
      <w:r w:rsidRPr="007E1639">
        <w:rPr>
          <w:i/>
          <w:iCs/>
          <w:lang w:val="fr-FR" w:eastAsia="fr-FR"/>
        </w:rPr>
        <w:t>actio popularis</w:t>
      </w:r>
      <w:r>
        <w:rPr>
          <w:lang w:val="fr-FR" w:eastAsia="fr-FR"/>
        </w:rPr>
        <w:t>)</w:t>
      </w:r>
      <w:r w:rsidRPr="007E1639">
        <w:rPr>
          <w:lang w:val="fr-FR" w:eastAsia="fr-FR"/>
        </w:rPr>
        <w:t xml:space="preserve"> conformément à la</w:t>
      </w:r>
      <w:r>
        <w:rPr>
          <w:lang w:val="fr-FR" w:eastAsia="fr-FR"/>
        </w:rPr>
        <w:t xml:space="preserve"> loi </w:t>
      </w:r>
      <w:r w:rsidRPr="00385C02">
        <w:rPr>
          <w:lang w:val="fr-FR" w:eastAsia="fr-FR"/>
        </w:rPr>
        <w:t>n</w:t>
      </w:r>
      <w:r w:rsidRPr="00385C02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20/96 du 6 </w:t>
      </w:r>
      <w:r w:rsidRPr="007E1639">
        <w:rPr>
          <w:lang w:val="fr-FR" w:eastAsia="fr-FR"/>
        </w:rPr>
        <w:t xml:space="preserve">juillet 1996. </w:t>
      </w:r>
    </w:p>
    <w:p w:rsidR="00214980" w:rsidRPr="00A66111" w:rsidRDefault="00214980" w:rsidP="00214980">
      <w:pPr>
        <w:pStyle w:val="SingleTxtG"/>
        <w:rPr>
          <w:szCs w:val="28"/>
        </w:rPr>
      </w:pPr>
      <w:r>
        <w:rPr>
          <w:lang w:val="fr-FR" w:eastAsia="fr-FR"/>
        </w:rPr>
        <w:t>21.</w:t>
      </w:r>
      <w:r>
        <w:rPr>
          <w:lang w:val="fr-FR" w:eastAsia="fr-FR"/>
        </w:rPr>
        <w:tab/>
        <w:t xml:space="preserve">Notant </w:t>
      </w:r>
      <w:r w:rsidRPr="007E1639">
        <w:rPr>
          <w:lang w:val="fr-FR" w:eastAsia="fr-FR"/>
        </w:rPr>
        <w:t>que la délégation portugaise a évoqué l</w:t>
      </w:r>
      <w:r>
        <w:rPr>
          <w:lang w:val="fr-FR" w:eastAsia="fr-FR"/>
        </w:rPr>
        <w:t>’</w:t>
      </w:r>
      <w:r w:rsidRPr="007E1639">
        <w:rPr>
          <w:lang w:val="fr-FR" w:eastAsia="fr-FR"/>
        </w:rPr>
        <w:t xml:space="preserve">absence </w:t>
      </w:r>
      <w:r>
        <w:rPr>
          <w:lang w:val="fr-FR" w:eastAsia="fr-FR"/>
        </w:rPr>
        <w:t xml:space="preserve">de plaintes pour actes racistes dans sa déclaration liminaire, </w:t>
      </w:r>
      <w:r>
        <w:t>M. </w:t>
      </w:r>
      <w:r w:rsidRPr="007E1639">
        <w:t>de Gouttes attire l</w:t>
      </w:r>
      <w:r>
        <w:t>’</w:t>
      </w:r>
      <w:r w:rsidRPr="007E1639">
        <w:t>attention de l</w:t>
      </w:r>
      <w:r>
        <w:t>’É</w:t>
      </w:r>
      <w:r w:rsidRPr="007E1639">
        <w:t>tat partie su</w:t>
      </w:r>
      <w:r>
        <w:t xml:space="preserve">r la Recommandation générale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Pr="007E1639">
        <w:t xml:space="preserve">31 du Comité </w:t>
      </w:r>
      <w:r>
        <w:rPr>
          <w:bCs/>
        </w:rPr>
        <w:t xml:space="preserve">sur </w:t>
      </w:r>
      <w:r w:rsidRPr="007E1639">
        <w:rPr>
          <w:bCs/>
        </w:rPr>
        <w:t>la discrimination raciale dans l</w:t>
      </w:r>
      <w:r>
        <w:rPr>
          <w:bCs/>
        </w:rPr>
        <w:t>’</w:t>
      </w:r>
      <w:r w:rsidRPr="007E1639">
        <w:rPr>
          <w:bCs/>
        </w:rPr>
        <w:t xml:space="preserve">administration et le fonctionnement du système de justice pénale disposant </w:t>
      </w:r>
      <w:r w:rsidRPr="007E1639">
        <w:t>que l</w:t>
      </w:r>
      <w:r>
        <w:t>’</w:t>
      </w:r>
      <w:r w:rsidRPr="007E1639">
        <w:t xml:space="preserve">absence ou la rareté des plaintes, des poursuites </w:t>
      </w:r>
      <w:r>
        <w:t xml:space="preserve">et des jugements concernant des </w:t>
      </w:r>
      <w:r w:rsidRPr="007E1639">
        <w:t>actes de discrimination raciale ne devrait pas être regardée comme n</w:t>
      </w:r>
      <w:r>
        <w:t xml:space="preserve">écessairement positive car elle </w:t>
      </w:r>
      <w:r w:rsidRPr="007E1639">
        <w:t>peut aussi révéler une information insuffisante des victimes sur leurs droits, la peur d</w:t>
      </w:r>
      <w:r>
        <w:t>’</w:t>
      </w:r>
      <w:r w:rsidRPr="007E1639">
        <w:t>une réprobation sociale ou de représailles, la crainte du coût et de la complexité des procédures judiciaires de la part de victimes, un manque de confiance à l</w:t>
      </w:r>
      <w:r>
        <w:t>’</w:t>
      </w:r>
      <w:r w:rsidRPr="007E1639">
        <w:t>égard des autorités de police et de justice, o</w:t>
      </w:r>
      <w:r>
        <w:t xml:space="preserve">u une insuffisante attention ou </w:t>
      </w:r>
      <w:r w:rsidRPr="007E1639">
        <w:t>sensibilisation de ces autorités à l</w:t>
      </w:r>
      <w:r>
        <w:t>’</w:t>
      </w:r>
      <w:r w:rsidRPr="007E1639">
        <w:t>égard des infractions de racisme.</w:t>
      </w:r>
    </w:p>
    <w:p w:rsidR="00214980" w:rsidRPr="007E1639" w:rsidRDefault="00214980" w:rsidP="00214980">
      <w:pPr>
        <w:pStyle w:val="SingleTxtG"/>
        <w:rPr>
          <w:szCs w:val="28"/>
        </w:rPr>
      </w:pPr>
      <w:r>
        <w:rPr>
          <w:szCs w:val="28"/>
        </w:rPr>
        <w:t>22.</w:t>
      </w:r>
      <w:r w:rsidRPr="007E1639">
        <w:rPr>
          <w:b/>
          <w:szCs w:val="28"/>
        </w:rPr>
        <w:tab/>
        <w:t>M. Ewomsan</w:t>
      </w:r>
      <w:r w:rsidRPr="007E1639">
        <w:rPr>
          <w:szCs w:val="28"/>
        </w:rPr>
        <w:t xml:space="preserve"> </w:t>
      </w:r>
      <w:r>
        <w:rPr>
          <w:szCs w:val="28"/>
        </w:rPr>
        <w:t>est préoccupé</w:t>
      </w:r>
      <w:r w:rsidRPr="007E1639">
        <w:rPr>
          <w:szCs w:val="28"/>
        </w:rPr>
        <w:t xml:space="preserve"> </w:t>
      </w:r>
      <w:r>
        <w:rPr>
          <w:szCs w:val="28"/>
        </w:rPr>
        <w:t xml:space="preserve">par </w:t>
      </w:r>
      <w:r w:rsidRPr="007E1639">
        <w:rPr>
          <w:szCs w:val="28"/>
        </w:rPr>
        <w:t xml:space="preserve">la persistance du racisme fondé sur des stéréotypes et des préjugés et </w:t>
      </w:r>
      <w:r>
        <w:rPr>
          <w:szCs w:val="28"/>
        </w:rPr>
        <w:t xml:space="preserve">par </w:t>
      </w:r>
      <w:r w:rsidRPr="007E1639">
        <w:rPr>
          <w:szCs w:val="28"/>
        </w:rPr>
        <w:t xml:space="preserve">la prolifération de mouvements racistes qui </w:t>
      </w:r>
      <w:r>
        <w:rPr>
          <w:szCs w:val="28"/>
        </w:rPr>
        <w:t>se livrent à une propagande xénophobe</w:t>
      </w:r>
      <w:r w:rsidRPr="007E1639">
        <w:rPr>
          <w:szCs w:val="28"/>
        </w:rPr>
        <w:t xml:space="preserve"> sur Internet. Quelles mesures l</w:t>
      </w:r>
      <w:r>
        <w:rPr>
          <w:szCs w:val="28"/>
        </w:rPr>
        <w:t>’É</w:t>
      </w:r>
      <w:r w:rsidRPr="007E1639">
        <w:rPr>
          <w:szCs w:val="28"/>
        </w:rPr>
        <w:t xml:space="preserve">tat partie envisage-t-il de prendre pour </w:t>
      </w:r>
      <w:r>
        <w:rPr>
          <w:szCs w:val="28"/>
        </w:rPr>
        <w:t xml:space="preserve">remédier à cette </w:t>
      </w:r>
      <w:r w:rsidRPr="007E1639">
        <w:rPr>
          <w:szCs w:val="28"/>
        </w:rPr>
        <w:t>situation?</w:t>
      </w:r>
      <w:r>
        <w:rPr>
          <w:szCs w:val="28"/>
        </w:rPr>
        <w:t xml:space="preserve"> </w:t>
      </w:r>
      <w:r w:rsidRPr="007E1639">
        <w:rPr>
          <w:szCs w:val="28"/>
        </w:rPr>
        <w:t xml:space="preserve">Parallèlement, malgré les mesures prises par le Portugal pour améliorer </w:t>
      </w:r>
      <w:r>
        <w:rPr>
          <w:szCs w:val="28"/>
        </w:rPr>
        <w:t xml:space="preserve">leur </w:t>
      </w:r>
      <w:r w:rsidRPr="007E1639">
        <w:rPr>
          <w:szCs w:val="28"/>
        </w:rPr>
        <w:t>situation</w:t>
      </w:r>
      <w:r>
        <w:rPr>
          <w:szCs w:val="28"/>
        </w:rPr>
        <w:t>,</w:t>
      </w:r>
      <w:r w:rsidRPr="007E1639">
        <w:rPr>
          <w:szCs w:val="28"/>
        </w:rPr>
        <w:t xml:space="preserve"> </w:t>
      </w:r>
      <w:r>
        <w:rPr>
          <w:szCs w:val="28"/>
        </w:rPr>
        <w:t>l</w:t>
      </w:r>
      <w:r w:rsidRPr="007E1639">
        <w:rPr>
          <w:szCs w:val="28"/>
        </w:rPr>
        <w:t>es Roms</w:t>
      </w:r>
      <w:r>
        <w:rPr>
          <w:szCs w:val="28"/>
        </w:rPr>
        <w:t xml:space="preserve"> </w:t>
      </w:r>
      <w:r w:rsidRPr="007E1639">
        <w:rPr>
          <w:szCs w:val="28"/>
        </w:rPr>
        <w:t>sont toujours victimes de marginalisation et d</w:t>
      </w:r>
      <w:r>
        <w:rPr>
          <w:szCs w:val="28"/>
        </w:rPr>
        <w:t>’</w:t>
      </w:r>
      <w:r w:rsidRPr="007E1639">
        <w:rPr>
          <w:szCs w:val="28"/>
        </w:rPr>
        <w:t xml:space="preserve">exclusion </w:t>
      </w:r>
      <w:r>
        <w:rPr>
          <w:szCs w:val="28"/>
        </w:rPr>
        <w:t>dans les domaines de l’éducation, du</w:t>
      </w:r>
      <w:r w:rsidRPr="007E1639">
        <w:rPr>
          <w:szCs w:val="28"/>
        </w:rPr>
        <w:t xml:space="preserve"> logement, d</w:t>
      </w:r>
      <w:r>
        <w:rPr>
          <w:szCs w:val="28"/>
        </w:rPr>
        <w:t>e l’</w:t>
      </w:r>
      <w:r w:rsidRPr="007E1639">
        <w:rPr>
          <w:szCs w:val="28"/>
        </w:rPr>
        <w:t xml:space="preserve">emploi et de </w:t>
      </w:r>
      <w:r>
        <w:rPr>
          <w:szCs w:val="28"/>
        </w:rPr>
        <w:t xml:space="preserve">la </w:t>
      </w:r>
      <w:r w:rsidRPr="007E1639">
        <w:rPr>
          <w:szCs w:val="28"/>
        </w:rPr>
        <w:t>santé. La</w:t>
      </w:r>
      <w:r w:rsidR="00CA1A71">
        <w:rPr>
          <w:szCs w:val="28"/>
        </w:rPr>
        <w:t> </w:t>
      </w:r>
      <w:r w:rsidRPr="007E1639">
        <w:rPr>
          <w:szCs w:val="28"/>
        </w:rPr>
        <w:t xml:space="preserve">délégation est invitée à fournir des informations sur les mesures complémentaires envisagées </w:t>
      </w:r>
      <w:r>
        <w:rPr>
          <w:szCs w:val="28"/>
        </w:rPr>
        <w:t>pour améliorer encore les choses</w:t>
      </w:r>
      <w:r w:rsidRPr="007E1639">
        <w:rPr>
          <w:szCs w:val="28"/>
        </w:rPr>
        <w:t>.</w:t>
      </w:r>
      <w:r>
        <w:rPr>
          <w:szCs w:val="28"/>
        </w:rPr>
        <w:t xml:space="preserve"> </w:t>
      </w:r>
      <w:r w:rsidRPr="007E1639">
        <w:rPr>
          <w:szCs w:val="28"/>
        </w:rPr>
        <w:t xml:space="preserve">M. Ewomsan souhaite </w:t>
      </w:r>
      <w:r>
        <w:rPr>
          <w:szCs w:val="28"/>
        </w:rPr>
        <w:t xml:space="preserve">enfin </w:t>
      </w:r>
      <w:r w:rsidRPr="007E1639">
        <w:rPr>
          <w:szCs w:val="28"/>
        </w:rPr>
        <w:t xml:space="preserve">savoir quelles mesures ont été adoptées ou </w:t>
      </w:r>
      <w:r>
        <w:rPr>
          <w:szCs w:val="28"/>
        </w:rPr>
        <w:t xml:space="preserve">prévues </w:t>
      </w:r>
      <w:r w:rsidRPr="007E1639">
        <w:rPr>
          <w:szCs w:val="28"/>
        </w:rPr>
        <w:t>pour mieux prendre en compte les problèmes de racisme auxquels les personnes d</w:t>
      </w:r>
      <w:r>
        <w:rPr>
          <w:szCs w:val="28"/>
        </w:rPr>
        <w:t>’</w:t>
      </w:r>
      <w:r w:rsidRPr="007E1639">
        <w:rPr>
          <w:szCs w:val="28"/>
        </w:rPr>
        <w:t xml:space="preserve">ascendance africaine </w:t>
      </w:r>
      <w:r>
        <w:rPr>
          <w:szCs w:val="28"/>
        </w:rPr>
        <w:t>se heurtent</w:t>
      </w:r>
      <w:r w:rsidRPr="007E1639">
        <w:rPr>
          <w:szCs w:val="28"/>
        </w:rPr>
        <w:t xml:space="preserve">. </w:t>
      </w:r>
    </w:p>
    <w:p w:rsidR="00214980" w:rsidRPr="007E1639" w:rsidRDefault="00214980" w:rsidP="00214980">
      <w:pPr>
        <w:pStyle w:val="SingleTxtG"/>
        <w:rPr>
          <w:szCs w:val="28"/>
        </w:rPr>
      </w:pPr>
      <w:r>
        <w:rPr>
          <w:szCs w:val="28"/>
        </w:rPr>
        <w:t>23.</w:t>
      </w:r>
      <w:r w:rsidRPr="007E1639">
        <w:rPr>
          <w:b/>
          <w:szCs w:val="28"/>
        </w:rPr>
        <w:tab/>
        <w:t>M. Lahiri</w:t>
      </w:r>
      <w:r w:rsidRPr="007E1639">
        <w:rPr>
          <w:szCs w:val="28"/>
        </w:rPr>
        <w:t xml:space="preserve"> demande à la délégation de fournir au Comité des statistiques détaillées sur la composition ethnique de la population et souhaite, en particulier, recevoir davantage d</w:t>
      </w:r>
      <w:r>
        <w:rPr>
          <w:szCs w:val="28"/>
        </w:rPr>
        <w:t>’informations sur les 50 000 nouveaux immigré</w:t>
      </w:r>
      <w:r w:rsidRPr="007E1639">
        <w:rPr>
          <w:szCs w:val="28"/>
        </w:rPr>
        <w:t xml:space="preserve">s dans le pays, sur les régions où ils </w:t>
      </w:r>
      <w:r>
        <w:rPr>
          <w:szCs w:val="28"/>
        </w:rPr>
        <w:t xml:space="preserve">se </w:t>
      </w:r>
      <w:r w:rsidRPr="007E1639">
        <w:rPr>
          <w:szCs w:val="28"/>
        </w:rPr>
        <w:t xml:space="preserve">sont majoritairement </w:t>
      </w:r>
      <w:r>
        <w:rPr>
          <w:szCs w:val="28"/>
        </w:rPr>
        <w:t xml:space="preserve">installés </w:t>
      </w:r>
      <w:r w:rsidRPr="007E1639">
        <w:rPr>
          <w:szCs w:val="28"/>
        </w:rPr>
        <w:t xml:space="preserve">et </w:t>
      </w:r>
      <w:r>
        <w:rPr>
          <w:szCs w:val="28"/>
        </w:rPr>
        <w:t xml:space="preserve">sur </w:t>
      </w:r>
      <w:r w:rsidRPr="007E1639">
        <w:rPr>
          <w:szCs w:val="28"/>
        </w:rPr>
        <w:t>les types d</w:t>
      </w:r>
      <w:r>
        <w:rPr>
          <w:szCs w:val="28"/>
        </w:rPr>
        <w:t>’</w:t>
      </w:r>
      <w:r w:rsidRPr="007E1639">
        <w:rPr>
          <w:szCs w:val="28"/>
        </w:rPr>
        <w:t>établissements dans lesquels les enfants d</w:t>
      </w:r>
      <w:r>
        <w:rPr>
          <w:szCs w:val="28"/>
        </w:rPr>
        <w:t>’</w:t>
      </w:r>
      <w:r w:rsidRPr="007E1639">
        <w:rPr>
          <w:szCs w:val="28"/>
        </w:rPr>
        <w:t xml:space="preserve">immigrés sont scolarisés. </w:t>
      </w:r>
    </w:p>
    <w:p w:rsidR="00214980" w:rsidRPr="00A9150B" w:rsidRDefault="00214980" w:rsidP="00214980">
      <w:pPr>
        <w:pStyle w:val="SingleTxtG"/>
        <w:rPr>
          <w:lang w:val="fr-FR"/>
        </w:rPr>
      </w:pPr>
      <w:r>
        <w:rPr>
          <w:lang w:val="fr-FR"/>
        </w:rPr>
        <w:t>24.</w:t>
      </w:r>
      <w:r>
        <w:rPr>
          <w:lang w:val="fr-FR"/>
        </w:rPr>
        <w:tab/>
      </w:r>
      <w:r>
        <w:rPr>
          <w:b/>
          <w:lang w:val="fr-FR"/>
        </w:rPr>
        <w:t>M. Vá</w:t>
      </w:r>
      <w:r w:rsidRPr="00A9150B">
        <w:rPr>
          <w:b/>
          <w:lang w:val="fr-FR"/>
        </w:rPr>
        <w:t>zquez</w:t>
      </w:r>
      <w:r w:rsidRPr="00A9150B">
        <w:rPr>
          <w:lang w:val="fr-FR"/>
        </w:rPr>
        <w:t xml:space="preserve"> s</w:t>
      </w:r>
      <w:r>
        <w:rPr>
          <w:lang w:val="fr-FR"/>
        </w:rPr>
        <w:t>’</w:t>
      </w:r>
      <w:r w:rsidRPr="00A9150B">
        <w:rPr>
          <w:lang w:val="fr-FR"/>
        </w:rPr>
        <w:t>étonne que la communauté rom soit la seule minorité ethnique reconnue au Portugal et demande si la non-reconnaissance d</w:t>
      </w:r>
      <w:r>
        <w:rPr>
          <w:lang w:val="fr-FR"/>
        </w:rPr>
        <w:t>’</w:t>
      </w:r>
      <w:r w:rsidRPr="00A9150B">
        <w:rPr>
          <w:lang w:val="fr-FR"/>
        </w:rPr>
        <w:t>autres minorités ethniques, par exemple des communautés d</w:t>
      </w:r>
      <w:r>
        <w:rPr>
          <w:lang w:val="fr-FR"/>
        </w:rPr>
        <w:t>’</w:t>
      </w:r>
      <w:r w:rsidRPr="00A9150B">
        <w:rPr>
          <w:lang w:val="fr-FR"/>
        </w:rPr>
        <w:t>ascendance africaine ou asiatique, a des conséquences pour le</w:t>
      </w:r>
      <w:r>
        <w:rPr>
          <w:lang w:val="fr-FR"/>
        </w:rPr>
        <w:t>ur</w:t>
      </w:r>
      <w:r w:rsidRPr="00A9150B">
        <w:rPr>
          <w:lang w:val="fr-FR"/>
        </w:rPr>
        <w:t>s membres</w:t>
      </w:r>
      <w:r>
        <w:rPr>
          <w:lang w:val="fr-FR"/>
        </w:rPr>
        <w:t xml:space="preserve">, </w:t>
      </w:r>
      <w:r w:rsidRPr="00A9150B">
        <w:rPr>
          <w:lang w:val="fr-FR"/>
        </w:rPr>
        <w:t>notamment sur le plan juridique. Constatant que la Constitution et les lois n</w:t>
      </w:r>
      <w:r>
        <w:rPr>
          <w:lang w:val="fr-FR"/>
        </w:rPr>
        <w:t>’</w:t>
      </w:r>
      <w:r w:rsidRPr="00A9150B">
        <w:rPr>
          <w:lang w:val="fr-FR"/>
        </w:rPr>
        <w:t xml:space="preserve">autorisent aucune forme </w:t>
      </w:r>
      <w:r>
        <w:rPr>
          <w:lang w:val="fr-FR"/>
        </w:rPr>
        <w:t xml:space="preserve">d’action </w:t>
      </w:r>
      <w:r w:rsidRPr="00A9150B">
        <w:rPr>
          <w:lang w:val="fr-FR"/>
        </w:rPr>
        <w:t>positive visant à faciliter l</w:t>
      </w:r>
      <w:r>
        <w:rPr>
          <w:lang w:val="fr-FR"/>
        </w:rPr>
        <w:t>’</w:t>
      </w:r>
      <w:r w:rsidRPr="00A9150B">
        <w:rPr>
          <w:lang w:val="fr-FR"/>
        </w:rPr>
        <w:t>intégration de membres de groupes protégés par la Convention dans les forces de sécurité et les organes chargés de l</w:t>
      </w:r>
      <w:r>
        <w:rPr>
          <w:lang w:val="fr-FR"/>
        </w:rPr>
        <w:t>’</w:t>
      </w:r>
      <w:r w:rsidRPr="00A9150B">
        <w:rPr>
          <w:lang w:val="fr-FR"/>
        </w:rPr>
        <w:t>application des lois dans l</w:t>
      </w:r>
      <w:r>
        <w:rPr>
          <w:lang w:val="fr-FR"/>
        </w:rPr>
        <w:t>’</w:t>
      </w:r>
      <w:r w:rsidRPr="00A9150B">
        <w:rPr>
          <w:lang w:val="fr-FR"/>
        </w:rPr>
        <w:t xml:space="preserve">État partie, il demande si cela signifie que le Gouvernement ne peut pas prendre de mesures spéciales visant à </w:t>
      </w:r>
      <w:r>
        <w:rPr>
          <w:lang w:val="fr-FR"/>
        </w:rPr>
        <w:t xml:space="preserve">accroître le nombre de </w:t>
      </w:r>
      <w:r w:rsidRPr="00A9150B">
        <w:rPr>
          <w:lang w:val="fr-FR"/>
        </w:rPr>
        <w:t xml:space="preserve">membres des minorités ethniques </w:t>
      </w:r>
      <w:r>
        <w:rPr>
          <w:lang w:val="fr-FR"/>
        </w:rPr>
        <w:t xml:space="preserve">dans </w:t>
      </w:r>
      <w:r w:rsidRPr="00A9150B">
        <w:rPr>
          <w:lang w:val="fr-FR"/>
        </w:rPr>
        <w:t>ces forces. Il souhaite en outre savoir si cette disposition s</w:t>
      </w:r>
      <w:r>
        <w:rPr>
          <w:lang w:val="fr-FR"/>
        </w:rPr>
        <w:t>’</w:t>
      </w:r>
      <w:r w:rsidRPr="00A9150B">
        <w:rPr>
          <w:lang w:val="fr-FR"/>
        </w:rPr>
        <w:t xml:space="preserve">applique uniquement aux forces de sécurité ou si la Constitution interdit les mesures spéciales en général. Il demande si les instruments internationaux tels que la Convention sont automatiquement </w:t>
      </w:r>
      <w:r>
        <w:rPr>
          <w:lang w:val="fr-FR"/>
        </w:rPr>
        <w:t xml:space="preserve">incorporés en </w:t>
      </w:r>
      <w:r w:rsidRPr="00A9150B">
        <w:rPr>
          <w:lang w:val="fr-FR"/>
        </w:rPr>
        <w:t>droit interne et sont directemen</w:t>
      </w:r>
      <w:r>
        <w:rPr>
          <w:lang w:val="fr-FR"/>
        </w:rPr>
        <w:t>t applicables par les tribunaux</w:t>
      </w:r>
      <w:r w:rsidRPr="00A9150B">
        <w:rPr>
          <w:lang w:val="fr-FR"/>
        </w:rPr>
        <w:t>.</w:t>
      </w:r>
    </w:p>
    <w:p w:rsidR="00214980" w:rsidRDefault="00214980" w:rsidP="00214980">
      <w:pPr>
        <w:pStyle w:val="SingleTxtG"/>
        <w:rPr>
          <w:lang w:val="fr-FR"/>
        </w:rPr>
      </w:pPr>
      <w:r>
        <w:rPr>
          <w:lang w:val="fr-FR"/>
        </w:rPr>
        <w:t>25.</w:t>
      </w:r>
      <w:r>
        <w:rPr>
          <w:lang w:val="fr-FR"/>
        </w:rPr>
        <w:tab/>
      </w:r>
      <w:r w:rsidRPr="00A9150B">
        <w:rPr>
          <w:b/>
          <w:lang w:val="fr-FR"/>
        </w:rPr>
        <w:t>M</w:t>
      </w:r>
      <w:r w:rsidRPr="00A9150B">
        <w:rPr>
          <w:b/>
          <w:vertAlign w:val="superscript"/>
          <w:lang w:val="fr-FR"/>
        </w:rPr>
        <w:t>me</w:t>
      </w:r>
      <w:r>
        <w:rPr>
          <w:b/>
          <w:lang w:val="fr-FR"/>
        </w:rPr>
        <w:t> </w:t>
      </w:r>
      <w:r w:rsidRPr="00A9150B">
        <w:rPr>
          <w:b/>
          <w:lang w:val="fr-FR"/>
        </w:rPr>
        <w:t>Dah</w:t>
      </w:r>
      <w:r w:rsidRPr="00A9150B">
        <w:rPr>
          <w:lang w:val="fr-FR"/>
        </w:rPr>
        <w:t xml:space="preserve"> demande si le Portugal adhère à la définition de la discrimination raciale figurant à l</w:t>
      </w:r>
      <w:r>
        <w:rPr>
          <w:lang w:val="fr-FR"/>
        </w:rPr>
        <w:t>’</w:t>
      </w:r>
      <w:r w:rsidRPr="00A9150B">
        <w:rPr>
          <w:lang w:val="fr-FR"/>
        </w:rPr>
        <w:t>article premier de la Convention. Notant que la Constitution portugaise n</w:t>
      </w:r>
      <w:r>
        <w:rPr>
          <w:lang w:val="fr-FR"/>
        </w:rPr>
        <w:t>’</w:t>
      </w:r>
      <w:r w:rsidRPr="00A9150B">
        <w:rPr>
          <w:lang w:val="fr-FR"/>
        </w:rPr>
        <w:t xml:space="preserve">autorise pas la collecte </w:t>
      </w:r>
      <w:r>
        <w:rPr>
          <w:lang w:val="fr-FR"/>
        </w:rPr>
        <w:t>ni</w:t>
      </w:r>
      <w:r w:rsidRPr="00A9150B">
        <w:rPr>
          <w:lang w:val="fr-FR"/>
        </w:rPr>
        <w:t xml:space="preserve"> la diffusion de données statistiques ventilées par origine ethnique ou groupe minoritaire, elle souhaite savoir comment, en l</w:t>
      </w:r>
      <w:r>
        <w:rPr>
          <w:lang w:val="fr-FR"/>
        </w:rPr>
        <w:t>’</w:t>
      </w:r>
      <w:r w:rsidRPr="00A9150B">
        <w:rPr>
          <w:lang w:val="fr-FR"/>
        </w:rPr>
        <w:t xml:space="preserve">absence de ces données, les autorités mesurent </w:t>
      </w:r>
      <w:r>
        <w:rPr>
          <w:lang w:val="fr-FR"/>
        </w:rPr>
        <w:t>l’efficacité</w:t>
      </w:r>
      <w:r w:rsidRPr="00A9150B">
        <w:rPr>
          <w:lang w:val="fr-FR"/>
        </w:rPr>
        <w:t xml:space="preserve"> des mesures </w:t>
      </w:r>
      <w:r>
        <w:rPr>
          <w:lang w:val="fr-FR"/>
        </w:rPr>
        <w:t xml:space="preserve">prises pour </w:t>
      </w:r>
      <w:r w:rsidRPr="00A9150B">
        <w:rPr>
          <w:lang w:val="fr-FR"/>
        </w:rPr>
        <w:t>lutter contre la discrimination. Elle demande à la délégation d</w:t>
      </w:r>
      <w:r>
        <w:rPr>
          <w:lang w:val="fr-FR"/>
        </w:rPr>
        <w:t>’</w:t>
      </w:r>
      <w:r w:rsidRPr="00A9150B">
        <w:rPr>
          <w:lang w:val="fr-FR"/>
        </w:rPr>
        <w:t xml:space="preserve">expliquer </w:t>
      </w:r>
      <w:r>
        <w:rPr>
          <w:lang w:val="fr-FR"/>
        </w:rPr>
        <w:t xml:space="preserve">pourquoi l’État partie s’oppose aux </w:t>
      </w:r>
      <w:r w:rsidRPr="00A9150B">
        <w:rPr>
          <w:lang w:val="fr-FR"/>
        </w:rPr>
        <w:t>mesures spéciales et souhaite connaître sa position sur la notion d</w:t>
      </w:r>
      <w:r>
        <w:rPr>
          <w:lang w:val="fr-FR"/>
        </w:rPr>
        <w:t>’</w:t>
      </w:r>
      <w:r w:rsidRPr="00A9150B">
        <w:rPr>
          <w:lang w:val="fr-FR"/>
        </w:rPr>
        <w:t>auto-identification des minorités ethniques</w:t>
      </w:r>
      <w:r>
        <w:rPr>
          <w:lang w:val="fr-FR"/>
        </w:rPr>
        <w:t>.</w:t>
      </w:r>
    </w:p>
    <w:p w:rsidR="00214980" w:rsidRPr="00A9150B" w:rsidRDefault="00214980" w:rsidP="00214980">
      <w:pPr>
        <w:pStyle w:val="SingleTxtG"/>
        <w:rPr>
          <w:lang w:val="fr-FR"/>
        </w:rPr>
      </w:pPr>
      <w:r>
        <w:rPr>
          <w:lang w:val="fr-FR"/>
        </w:rPr>
        <w:t>26.</w:t>
      </w:r>
      <w:r>
        <w:rPr>
          <w:lang w:val="fr-FR"/>
        </w:rPr>
        <w:tab/>
      </w:r>
      <w:r w:rsidRPr="00A9150B">
        <w:rPr>
          <w:b/>
          <w:lang w:val="fr-FR"/>
        </w:rPr>
        <w:t>M. Thornberry</w:t>
      </w:r>
      <w:r w:rsidRPr="00A9150B">
        <w:rPr>
          <w:lang w:val="fr-FR"/>
        </w:rPr>
        <w:t>, notant que le Portugal s</w:t>
      </w:r>
      <w:r>
        <w:rPr>
          <w:lang w:val="fr-FR"/>
        </w:rPr>
        <w:t>’</w:t>
      </w:r>
      <w:r w:rsidRPr="00A9150B">
        <w:rPr>
          <w:lang w:val="fr-FR"/>
        </w:rPr>
        <w:t>efforce de promouvoir l</w:t>
      </w:r>
      <w:r>
        <w:rPr>
          <w:lang w:val="fr-FR"/>
        </w:rPr>
        <w:t>’</w:t>
      </w:r>
      <w:r w:rsidRPr="00A9150B">
        <w:rPr>
          <w:lang w:val="fr-FR"/>
        </w:rPr>
        <w:t xml:space="preserve">apprentissage du portugais </w:t>
      </w:r>
      <w:r>
        <w:rPr>
          <w:lang w:val="fr-FR"/>
        </w:rPr>
        <w:t xml:space="preserve">comme </w:t>
      </w:r>
      <w:r w:rsidRPr="00A9150B">
        <w:rPr>
          <w:lang w:val="fr-FR"/>
        </w:rPr>
        <w:t>deuxième langue parmi les migrants,</w:t>
      </w:r>
      <w:r>
        <w:rPr>
          <w:lang w:val="fr-FR"/>
        </w:rPr>
        <w:t xml:space="preserve"> </w:t>
      </w:r>
      <w:r w:rsidRPr="00A9150B">
        <w:rPr>
          <w:lang w:val="fr-FR"/>
        </w:rPr>
        <w:t>demande quelle place occupent les premières langues des migrants</w:t>
      </w:r>
      <w:r>
        <w:rPr>
          <w:lang w:val="fr-FR"/>
        </w:rPr>
        <w:t xml:space="preserve"> </w:t>
      </w:r>
      <w:r w:rsidRPr="00A9150B">
        <w:rPr>
          <w:lang w:val="fr-FR"/>
        </w:rPr>
        <w:t>dans cette politique d</w:t>
      </w:r>
      <w:r>
        <w:rPr>
          <w:lang w:val="fr-FR"/>
        </w:rPr>
        <w:t>’intégration</w:t>
      </w:r>
      <w:r w:rsidRPr="00A9150B">
        <w:rPr>
          <w:lang w:val="fr-FR"/>
        </w:rPr>
        <w:t>, comment elles sont prises en compte dans les écoles ou dans la formation des adultes, et s</w:t>
      </w:r>
      <w:r>
        <w:rPr>
          <w:lang w:val="fr-FR"/>
        </w:rPr>
        <w:t>’</w:t>
      </w:r>
      <w:r w:rsidRPr="00A9150B">
        <w:rPr>
          <w:lang w:val="fr-FR"/>
        </w:rPr>
        <w:t>il existe un programme d</w:t>
      </w:r>
      <w:r>
        <w:rPr>
          <w:lang w:val="fr-FR"/>
        </w:rPr>
        <w:t>’appui à leur apprentissage.</w:t>
      </w:r>
      <w:r w:rsidRPr="00A9150B">
        <w:rPr>
          <w:lang w:val="fr-FR"/>
        </w:rPr>
        <w:t xml:space="preserve"> Par ailleurs, il s</w:t>
      </w:r>
      <w:r>
        <w:rPr>
          <w:lang w:val="fr-FR"/>
        </w:rPr>
        <w:t>’</w:t>
      </w:r>
      <w:r w:rsidRPr="00A9150B">
        <w:rPr>
          <w:lang w:val="fr-FR"/>
        </w:rPr>
        <w:t>enquiert de la manière dont l</w:t>
      </w:r>
      <w:r>
        <w:rPr>
          <w:lang w:val="fr-FR"/>
        </w:rPr>
        <w:t>’</w:t>
      </w:r>
      <w:r w:rsidRPr="00A9150B">
        <w:rPr>
          <w:lang w:val="fr-FR"/>
        </w:rPr>
        <w:t xml:space="preserve">histoire du </w:t>
      </w:r>
      <w:r>
        <w:rPr>
          <w:lang w:val="fr-FR"/>
        </w:rPr>
        <w:t>Portugal, notamment le colonialisme,</w:t>
      </w:r>
      <w:r w:rsidRPr="00A9150B">
        <w:rPr>
          <w:lang w:val="fr-FR"/>
        </w:rPr>
        <w:t xml:space="preserve"> est traitée dans les manuels scolaires</w:t>
      </w:r>
      <w:r>
        <w:rPr>
          <w:lang w:val="fr-FR"/>
        </w:rPr>
        <w:t xml:space="preserve">. Il évoque </w:t>
      </w:r>
      <w:r w:rsidRPr="00A9150B">
        <w:rPr>
          <w:lang w:val="fr-FR"/>
        </w:rPr>
        <w:t>l</w:t>
      </w:r>
      <w:r>
        <w:rPr>
          <w:lang w:val="fr-FR"/>
        </w:rPr>
        <w:t>’</w:t>
      </w:r>
      <w:r w:rsidRPr="00A9150B">
        <w:rPr>
          <w:lang w:val="fr-FR"/>
        </w:rPr>
        <w:t>incident ayant récemment opposé des joueurs de l</w:t>
      </w:r>
      <w:r>
        <w:rPr>
          <w:lang w:val="fr-FR"/>
        </w:rPr>
        <w:t>’</w:t>
      </w:r>
      <w:r w:rsidRPr="00A9150B">
        <w:rPr>
          <w:lang w:val="fr-FR"/>
        </w:rPr>
        <w:t>équipe de football de Manchester à deux joueurs d</w:t>
      </w:r>
      <w:r>
        <w:rPr>
          <w:lang w:val="fr-FR"/>
        </w:rPr>
        <w:t>’</w:t>
      </w:r>
      <w:r w:rsidRPr="00A9150B">
        <w:rPr>
          <w:lang w:val="fr-FR"/>
        </w:rPr>
        <w:t>origine africaine de l</w:t>
      </w:r>
      <w:r>
        <w:rPr>
          <w:lang w:val="fr-FR"/>
        </w:rPr>
        <w:t>’</w:t>
      </w:r>
      <w:r w:rsidRPr="00A9150B">
        <w:rPr>
          <w:lang w:val="fr-FR"/>
        </w:rPr>
        <w:t>équipe de Porto</w:t>
      </w:r>
      <w:r>
        <w:rPr>
          <w:lang w:val="fr-FR"/>
        </w:rPr>
        <w:t xml:space="preserve"> et demande </w:t>
      </w:r>
      <w:r w:rsidRPr="00A9150B">
        <w:rPr>
          <w:lang w:val="fr-FR"/>
        </w:rPr>
        <w:t xml:space="preserve">quelle suite </w:t>
      </w:r>
      <w:r>
        <w:rPr>
          <w:lang w:val="fr-FR"/>
        </w:rPr>
        <w:t xml:space="preserve">y </w:t>
      </w:r>
      <w:r w:rsidRPr="00A9150B">
        <w:rPr>
          <w:lang w:val="fr-FR"/>
        </w:rPr>
        <w:t>a été donnée et quel cadre juridique le Portugal a adopté pour traiter de ce genre d</w:t>
      </w:r>
      <w:r>
        <w:rPr>
          <w:lang w:val="fr-FR"/>
        </w:rPr>
        <w:t>’</w:t>
      </w:r>
      <w:r w:rsidRPr="00A9150B">
        <w:rPr>
          <w:lang w:val="fr-FR"/>
        </w:rPr>
        <w:t>affaires</w:t>
      </w:r>
      <w:r>
        <w:rPr>
          <w:lang w:val="fr-FR"/>
        </w:rPr>
        <w:t xml:space="preserve"> à caractère raciste</w:t>
      </w:r>
      <w:r w:rsidRPr="00A9150B">
        <w:rPr>
          <w:lang w:val="fr-FR"/>
        </w:rPr>
        <w:t>.</w:t>
      </w:r>
    </w:p>
    <w:p w:rsidR="00214980" w:rsidRPr="00A9150B" w:rsidRDefault="00214980" w:rsidP="00214980">
      <w:pPr>
        <w:pStyle w:val="SingleTxtG"/>
        <w:rPr>
          <w:lang w:val="fr-FR"/>
        </w:rPr>
      </w:pPr>
      <w:r>
        <w:rPr>
          <w:lang w:val="fr-FR"/>
        </w:rPr>
        <w:t>27.</w:t>
      </w:r>
      <w:r>
        <w:rPr>
          <w:lang w:val="fr-FR"/>
        </w:rPr>
        <w:tab/>
      </w:r>
      <w:r>
        <w:rPr>
          <w:b/>
          <w:lang w:val="fr-FR"/>
        </w:rPr>
        <w:t>M. Calí</w:t>
      </w:r>
      <w:r w:rsidRPr="00A9150B">
        <w:rPr>
          <w:b/>
          <w:lang w:val="fr-FR"/>
        </w:rPr>
        <w:t xml:space="preserve"> Tzay</w:t>
      </w:r>
      <w:r w:rsidRPr="00A9150B">
        <w:rPr>
          <w:lang w:val="fr-FR"/>
        </w:rPr>
        <w:t xml:space="preserve"> </w:t>
      </w:r>
      <w:r>
        <w:rPr>
          <w:lang w:val="fr-FR"/>
        </w:rPr>
        <w:t xml:space="preserve">voudrait savoir ce que fait </w:t>
      </w:r>
      <w:r w:rsidRPr="00A9150B">
        <w:rPr>
          <w:lang w:val="fr-FR"/>
        </w:rPr>
        <w:t xml:space="preserve">le Portugal </w:t>
      </w:r>
      <w:r>
        <w:rPr>
          <w:lang w:val="fr-FR"/>
        </w:rPr>
        <w:t xml:space="preserve">pour contrer </w:t>
      </w:r>
      <w:r w:rsidRPr="00A9150B">
        <w:rPr>
          <w:lang w:val="fr-FR"/>
        </w:rPr>
        <w:t>l</w:t>
      </w:r>
      <w:r>
        <w:rPr>
          <w:lang w:val="fr-FR"/>
        </w:rPr>
        <w:t>’</w:t>
      </w:r>
      <w:r w:rsidRPr="00A9150B">
        <w:rPr>
          <w:lang w:val="fr-FR"/>
        </w:rPr>
        <w:t>augmentation du nombre de plaintes racistes</w:t>
      </w:r>
      <w:r>
        <w:rPr>
          <w:lang w:val="fr-FR"/>
        </w:rPr>
        <w:t>,</w:t>
      </w:r>
      <w:r w:rsidRPr="00A9150B">
        <w:rPr>
          <w:lang w:val="fr-FR"/>
        </w:rPr>
        <w:t xml:space="preserve"> en particulier à l</w:t>
      </w:r>
      <w:r>
        <w:rPr>
          <w:lang w:val="fr-FR"/>
        </w:rPr>
        <w:t>’</w:t>
      </w:r>
      <w:r w:rsidRPr="00A9150B">
        <w:rPr>
          <w:lang w:val="fr-FR"/>
        </w:rPr>
        <w:t xml:space="preserve">égard de la population rom. </w:t>
      </w:r>
      <w:r>
        <w:rPr>
          <w:lang w:val="fr-FR"/>
        </w:rPr>
        <w:t>Il se félicite</w:t>
      </w:r>
      <w:r w:rsidRPr="00A9150B">
        <w:rPr>
          <w:lang w:val="fr-FR"/>
        </w:rPr>
        <w:t xml:space="preserve"> que les actes antisémites soient moins nombreux au Portugal que dans d</w:t>
      </w:r>
      <w:r>
        <w:rPr>
          <w:lang w:val="fr-FR"/>
        </w:rPr>
        <w:t>’</w:t>
      </w:r>
      <w:r w:rsidRPr="00A9150B">
        <w:rPr>
          <w:lang w:val="fr-FR"/>
        </w:rPr>
        <w:t xml:space="preserve">autres pays européens, </w:t>
      </w:r>
      <w:r>
        <w:rPr>
          <w:lang w:val="fr-FR"/>
        </w:rPr>
        <w:t xml:space="preserve">mais </w:t>
      </w:r>
      <w:r w:rsidRPr="00A9150B">
        <w:rPr>
          <w:lang w:val="fr-FR"/>
        </w:rPr>
        <w:t>déplore les informations selon lesquelles l</w:t>
      </w:r>
      <w:r>
        <w:rPr>
          <w:lang w:val="fr-FR"/>
        </w:rPr>
        <w:t>’e</w:t>
      </w:r>
      <w:r w:rsidRPr="00A9150B">
        <w:rPr>
          <w:lang w:val="fr-FR"/>
        </w:rPr>
        <w:t xml:space="preserve">xtrême droite et des groupes racistes </w:t>
      </w:r>
      <w:r>
        <w:rPr>
          <w:lang w:val="fr-FR"/>
        </w:rPr>
        <w:t xml:space="preserve">seraient plus actifs dans </w:t>
      </w:r>
      <w:r w:rsidRPr="00A9150B">
        <w:rPr>
          <w:lang w:val="fr-FR"/>
        </w:rPr>
        <w:t>l</w:t>
      </w:r>
      <w:r>
        <w:rPr>
          <w:lang w:val="fr-FR"/>
        </w:rPr>
        <w:t>’</w:t>
      </w:r>
      <w:r w:rsidRPr="00A9150B">
        <w:rPr>
          <w:lang w:val="fr-FR"/>
        </w:rPr>
        <w:t>État partie</w:t>
      </w:r>
      <w:r>
        <w:rPr>
          <w:lang w:val="fr-FR"/>
        </w:rPr>
        <w:t xml:space="preserve"> qu’auparavant.</w:t>
      </w:r>
      <w:r w:rsidRPr="00A9150B">
        <w:rPr>
          <w:lang w:val="fr-FR"/>
        </w:rPr>
        <w:t xml:space="preserve"> </w:t>
      </w:r>
      <w:r>
        <w:rPr>
          <w:lang w:val="fr-FR"/>
        </w:rPr>
        <w:t>I</w:t>
      </w:r>
      <w:r w:rsidRPr="00A9150B">
        <w:rPr>
          <w:lang w:val="fr-FR"/>
        </w:rPr>
        <w:t xml:space="preserve">l souhaite de plus amples informations </w:t>
      </w:r>
      <w:r>
        <w:rPr>
          <w:lang w:val="fr-FR"/>
        </w:rPr>
        <w:t xml:space="preserve">sur </w:t>
      </w:r>
      <w:r w:rsidRPr="00A9150B">
        <w:rPr>
          <w:lang w:val="fr-FR"/>
        </w:rPr>
        <w:t xml:space="preserve">ce problème, notamment dans le domaine du sport et du football en particulier. </w:t>
      </w:r>
      <w:r>
        <w:rPr>
          <w:lang w:val="fr-FR"/>
        </w:rPr>
        <w:t>Enfin, i</w:t>
      </w:r>
      <w:r w:rsidRPr="00A9150B">
        <w:rPr>
          <w:lang w:val="fr-FR"/>
        </w:rPr>
        <w:t xml:space="preserve">l demande si les mesures juridiques adoptées au Portugal </w:t>
      </w:r>
      <w:r>
        <w:rPr>
          <w:lang w:val="fr-FR"/>
        </w:rPr>
        <w:t xml:space="preserve">s’appliquent aussi </w:t>
      </w:r>
      <w:r w:rsidRPr="00A9150B">
        <w:rPr>
          <w:lang w:val="fr-FR"/>
        </w:rPr>
        <w:t xml:space="preserve">aux </w:t>
      </w:r>
      <w:bookmarkStart w:id="0" w:name="hit1"/>
      <w:bookmarkEnd w:id="0"/>
      <w:r w:rsidRPr="00A9150B">
        <w:rPr>
          <w:lang w:val="fr-FR"/>
        </w:rPr>
        <w:t xml:space="preserve">Açores. </w:t>
      </w:r>
    </w:p>
    <w:p w:rsidR="00214980" w:rsidRPr="00A9150B" w:rsidRDefault="00214980" w:rsidP="00214980">
      <w:pPr>
        <w:pStyle w:val="SingleTxtG"/>
        <w:rPr>
          <w:lang w:val="fr-FR"/>
        </w:rPr>
      </w:pPr>
      <w:r>
        <w:rPr>
          <w:lang w:val="fr-FR"/>
        </w:rPr>
        <w:t>28.</w:t>
      </w:r>
      <w:r>
        <w:rPr>
          <w:lang w:val="fr-FR"/>
        </w:rPr>
        <w:tab/>
      </w:r>
      <w:r w:rsidRPr="00A9150B">
        <w:rPr>
          <w:b/>
          <w:lang w:val="fr-FR"/>
        </w:rPr>
        <w:t>M. Amir</w:t>
      </w:r>
      <w:r w:rsidRPr="00A9150B">
        <w:rPr>
          <w:lang w:val="fr-FR"/>
        </w:rPr>
        <w:t xml:space="preserve"> demande si le Portugal se considère comme une société multiculturelle </w:t>
      </w:r>
      <w:r>
        <w:rPr>
          <w:lang w:val="fr-FR"/>
        </w:rPr>
        <w:t xml:space="preserve">et </w:t>
      </w:r>
      <w:r w:rsidRPr="00A9150B">
        <w:rPr>
          <w:lang w:val="fr-FR"/>
        </w:rPr>
        <w:t xml:space="preserve">si des </w:t>
      </w:r>
      <w:r>
        <w:rPr>
          <w:lang w:val="fr-FR"/>
        </w:rPr>
        <w:t>programmes sur le racisme sont diffusé</w:t>
      </w:r>
      <w:r w:rsidRPr="00A9150B">
        <w:rPr>
          <w:lang w:val="fr-FR"/>
        </w:rPr>
        <w:t>s à la télévision</w:t>
      </w:r>
      <w:r>
        <w:rPr>
          <w:lang w:val="fr-FR"/>
        </w:rPr>
        <w:t>.</w:t>
      </w:r>
      <w:r w:rsidRPr="00A9150B">
        <w:rPr>
          <w:lang w:val="fr-FR"/>
        </w:rPr>
        <w:t xml:space="preserve"> </w:t>
      </w:r>
      <w:r>
        <w:rPr>
          <w:lang w:val="fr-FR"/>
        </w:rPr>
        <w:t xml:space="preserve">Il voudrait savoir si le Portugal prévoit </w:t>
      </w:r>
      <w:r w:rsidRPr="00A9150B">
        <w:rPr>
          <w:lang w:val="fr-FR"/>
        </w:rPr>
        <w:t>de condamner publiquement la politique expansionniste et esclavagiste qui a été la sienne dans le passé.</w:t>
      </w:r>
    </w:p>
    <w:p w:rsidR="00214980" w:rsidRPr="00A9150B" w:rsidRDefault="00214980" w:rsidP="00214980">
      <w:pPr>
        <w:pStyle w:val="SingleTxtG"/>
        <w:rPr>
          <w:lang w:val="fr-FR"/>
        </w:rPr>
      </w:pPr>
      <w:r>
        <w:rPr>
          <w:lang w:val="fr-FR"/>
        </w:rPr>
        <w:t>29.</w:t>
      </w:r>
      <w:r>
        <w:rPr>
          <w:lang w:val="fr-FR"/>
        </w:rPr>
        <w:tab/>
      </w:r>
      <w:r w:rsidRPr="00A9150B">
        <w:rPr>
          <w:b/>
          <w:lang w:val="fr-FR"/>
        </w:rPr>
        <w:t>M. Saidou</w:t>
      </w:r>
      <w:r>
        <w:rPr>
          <w:lang w:val="fr-FR"/>
        </w:rPr>
        <w:t xml:space="preserve"> demande si </w:t>
      </w:r>
      <w:r w:rsidRPr="00A9150B">
        <w:rPr>
          <w:lang w:val="fr-FR"/>
        </w:rPr>
        <w:t xml:space="preserve">le </w:t>
      </w:r>
      <w:r>
        <w:rPr>
          <w:lang w:val="fr-FR"/>
        </w:rPr>
        <w:t>b</w:t>
      </w:r>
      <w:r w:rsidRPr="00A9150B">
        <w:rPr>
          <w:lang w:val="fr-FR"/>
        </w:rPr>
        <w:t xml:space="preserve">ureau du Médiateur </w:t>
      </w:r>
      <w:r>
        <w:rPr>
          <w:lang w:val="fr-FR"/>
        </w:rPr>
        <w:t xml:space="preserve">et </w:t>
      </w:r>
      <w:r w:rsidRPr="00A9150B">
        <w:rPr>
          <w:lang w:val="fr-FR"/>
        </w:rPr>
        <w:t>le Haut-Commissariat pour l</w:t>
      </w:r>
      <w:r>
        <w:rPr>
          <w:lang w:val="fr-FR"/>
        </w:rPr>
        <w:t>’</w:t>
      </w:r>
      <w:r w:rsidRPr="00A9150B">
        <w:rPr>
          <w:lang w:val="fr-FR"/>
        </w:rPr>
        <w:t>immigration et le</w:t>
      </w:r>
      <w:r>
        <w:rPr>
          <w:lang w:val="fr-FR"/>
        </w:rPr>
        <w:t xml:space="preserve"> dialogue interculturel (ACIDI)</w:t>
      </w:r>
      <w:r w:rsidRPr="00A9150B">
        <w:rPr>
          <w:lang w:val="fr-FR"/>
        </w:rPr>
        <w:t xml:space="preserve"> </w:t>
      </w:r>
      <w:r>
        <w:rPr>
          <w:lang w:val="fr-FR"/>
        </w:rPr>
        <w:t xml:space="preserve">ne font pas double emploi, et voudrait savoir quelle </w:t>
      </w:r>
      <w:r w:rsidRPr="00A9150B">
        <w:rPr>
          <w:lang w:val="fr-FR"/>
        </w:rPr>
        <w:t xml:space="preserve">suite </w:t>
      </w:r>
      <w:r>
        <w:rPr>
          <w:lang w:val="fr-FR"/>
        </w:rPr>
        <w:t xml:space="preserve">est </w:t>
      </w:r>
      <w:r w:rsidRPr="00A9150B">
        <w:rPr>
          <w:lang w:val="fr-FR"/>
        </w:rPr>
        <w:t xml:space="preserve">donnée aux recommandations </w:t>
      </w:r>
      <w:r>
        <w:rPr>
          <w:lang w:val="fr-FR"/>
        </w:rPr>
        <w:t xml:space="preserve">émanant du </w:t>
      </w:r>
      <w:r w:rsidRPr="00A9150B">
        <w:rPr>
          <w:lang w:val="fr-FR"/>
        </w:rPr>
        <w:t xml:space="preserve">Médiateur et </w:t>
      </w:r>
      <w:r>
        <w:rPr>
          <w:lang w:val="fr-FR"/>
        </w:rPr>
        <w:t xml:space="preserve">quelle est </w:t>
      </w:r>
      <w:r w:rsidRPr="00A9150B">
        <w:rPr>
          <w:lang w:val="fr-FR"/>
        </w:rPr>
        <w:t xml:space="preserve">la nature juridique de </w:t>
      </w:r>
      <w:r>
        <w:rPr>
          <w:lang w:val="fr-FR"/>
        </w:rPr>
        <w:t>s</w:t>
      </w:r>
      <w:r w:rsidRPr="00A9150B">
        <w:rPr>
          <w:lang w:val="fr-FR"/>
        </w:rPr>
        <w:t>es recommandations.</w:t>
      </w:r>
    </w:p>
    <w:p w:rsidR="00882D43" w:rsidRPr="009847AE" w:rsidRDefault="00214980" w:rsidP="00214980">
      <w:pPr>
        <w:pStyle w:val="SingleTxtG"/>
        <w:rPr>
          <w:iCs/>
        </w:rPr>
      </w:pPr>
      <w:r w:rsidRPr="00A9150B">
        <w:rPr>
          <w:i/>
          <w:lang w:val="fr-FR"/>
        </w:rPr>
        <w:t>La séance est levée à 18 heures.</w:t>
      </w:r>
    </w:p>
    <w:sectPr w:rsidR="00882D43" w:rsidRPr="009847AE" w:rsidSect="00EF52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AE" w:rsidRDefault="00BE32AE"/>
  </w:endnote>
  <w:endnote w:type="continuationSeparator" w:id="0">
    <w:p w:rsidR="00BE32AE" w:rsidRDefault="00BE32AE"/>
  </w:endnote>
  <w:endnote w:type="continuationNotice" w:id="1">
    <w:p w:rsidR="00BE32AE" w:rsidRPr="008918E4" w:rsidRDefault="00BE32AE" w:rsidP="008918E4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C" w:rsidRPr="00EF521C" w:rsidRDefault="00EF521C" w:rsidP="00EF521C">
    <w:pPr>
      <w:pStyle w:val="Footer"/>
      <w:tabs>
        <w:tab w:val="right" w:pos="9638"/>
      </w:tabs>
    </w:pPr>
    <w:r w:rsidRPr="00EF521C">
      <w:rPr>
        <w:b/>
        <w:sz w:val="18"/>
      </w:rPr>
      <w:fldChar w:fldCharType="begin"/>
    </w:r>
    <w:r w:rsidRPr="00EF521C">
      <w:rPr>
        <w:b/>
        <w:sz w:val="18"/>
      </w:rPr>
      <w:instrText xml:space="preserve"> PAGE  \* MERGEFORMAT </w:instrText>
    </w:r>
    <w:r w:rsidRPr="00EF521C">
      <w:rPr>
        <w:b/>
        <w:sz w:val="18"/>
      </w:rPr>
      <w:fldChar w:fldCharType="separate"/>
    </w:r>
    <w:r w:rsidR="00A66166">
      <w:rPr>
        <w:b/>
        <w:noProof/>
        <w:sz w:val="18"/>
      </w:rPr>
      <w:t>4</w:t>
    </w:r>
    <w:r w:rsidRPr="00EF521C">
      <w:rPr>
        <w:b/>
        <w:sz w:val="18"/>
      </w:rPr>
      <w:fldChar w:fldCharType="end"/>
    </w:r>
    <w:r>
      <w:rPr>
        <w:b/>
        <w:sz w:val="18"/>
      </w:rPr>
      <w:tab/>
    </w:r>
    <w:r>
      <w:t>GE.12-40802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C" w:rsidRPr="00EF521C" w:rsidRDefault="00EF521C" w:rsidP="00EF521C">
    <w:pPr>
      <w:pStyle w:val="Footer"/>
      <w:tabs>
        <w:tab w:val="right" w:pos="9638"/>
      </w:tabs>
      <w:rPr>
        <w:b/>
        <w:sz w:val="18"/>
      </w:rPr>
    </w:pPr>
    <w:r>
      <w:t>GE.12-40802</w:t>
    </w:r>
    <w:r>
      <w:tab/>
    </w:r>
    <w:r w:rsidRPr="00EF521C">
      <w:rPr>
        <w:b/>
        <w:sz w:val="18"/>
      </w:rPr>
      <w:fldChar w:fldCharType="begin"/>
    </w:r>
    <w:r w:rsidRPr="00EF521C">
      <w:rPr>
        <w:b/>
        <w:sz w:val="18"/>
      </w:rPr>
      <w:instrText xml:space="preserve"> PAGE  \* MERGEFORMAT </w:instrText>
    </w:r>
    <w:r w:rsidRPr="00EF521C">
      <w:rPr>
        <w:b/>
        <w:sz w:val="18"/>
      </w:rPr>
      <w:fldChar w:fldCharType="separate"/>
    </w:r>
    <w:r w:rsidR="00A66166">
      <w:rPr>
        <w:b/>
        <w:noProof/>
        <w:sz w:val="18"/>
      </w:rPr>
      <w:t>5</w:t>
    </w:r>
    <w:r w:rsidRPr="00EF52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C6" w:rsidRDefault="00C165C6" w:rsidP="005E01B1">
    <w:pPr>
      <w:pBdr>
        <w:bottom w:val="single" w:sz="4" w:space="1" w:color="auto"/>
      </w:pBdr>
      <w:spacing w:line="240" w:lineRule="auto"/>
    </w:pPr>
  </w:p>
  <w:p w:rsidR="00C165C6" w:rsidRDefault="00C165C6" w:rsidP="0037280E">
    <w:pPr>
      <w:pStyle w:val="FootnoteText"/>
      <w:tabs>
        <w:tab w:val="clear" w:pos="1021"/>
      </w:tabs>
      <w:spacing w:after="120"/>
      <w:ind w:firstLine="0"/>
    </w:pPr>
    <w:r>
      <w:t>Le présent compte rendu est sujet à rectifications.</w:t>
    </w:r>
  </w:p>
  <w:p w:rsidR="00C165C6" w:rsidRDefault="00C165C6" w:rsidP="0037280E">
    <w:pPr>
      <w:pStyle w:val="FootnoteText"/>
      <w:tabs>
        <w:tab w:val="clear" w:pos="1021"/>
      </w:tabs>
      <w:spacing w:after="120"/>
      <w:ind w:firstLine="0"/>
    </w:pPr>
    <w:r>
      <w:t>Les rectifications doivent être rédigées dans l’une des langues de travail. Elles doivent être présentées dans un mémorandum et être également incorporées à un exemplaire du compte rendu. Il convient de</w:t>
    </w:r>
    <w:r w:rsidR="00EF521C">
      <w:t xml:space="preserve"> </w:t>
    </w:r>
    <w:r>
      <w:t xml:space="preserve">les adresser, </w:t>
    </w:r>
    <w:r w:rsidRPr="0037280E">
      <w:rPr>
        <w:i/>
      </w:rPr>
      <w:t>une semaine au pl</w:t>
    </w:r>
    <w:r>
      <w:rPr>
        <w:i/>
      </w:rPr>
      <w:t xml:space="preserve">us tard à compter de la date du </w:t>
    </w:r>
    <w:r w:rsidRPr="0037280E">
      <w:rPr>
        <w:i/>
      </w:rPr>
      <w:t>présent document</w:t>
    </w:r>
    <w:r>
      <w:t>, au Groupe d’édition, bureau E.4108, Palais des Nations, Genève.</w:t>
    </w:r>
  </w:p>
  <w:p w:rsidR="00C165C6" w:rsidRDefault="00C165C6" w:rsidP="0037280E">
    <w:pPr>
      <w:pStyle w:val="FootnoteText"/>
      <w:tabs>
        <w:tab w:val="clear" w:pos="1021"/>
      </w:tabs>
      <w:spacing w:after="240"/>
      <w:ind w:firstLine="0"/>
    </w:pPr>
    <w:r>
      <w:t>Les rectifications aux comptes rendus des séances publiques du Comité seront groupées dans un</w:t>
    </w:r>
    <w:r w:rsidR="00EF521C">
      <w:t xml:space="preserve"> </w:t>
    </w:r>
    <w:r>
      <w:t>rectificatif unique qui sera publié peu après la session.</w:t>
    </w:r>
  </w:p>
  <w:p w:rsidR="00C165C6" w:rsidRPr="00EF521C" w:rsidRDefault="00EF521C" w:rsidP="009F6A8C">
    <w:pPr>
      <w:spacing w:line="240" w:lineRule="auto"/>
    </w:pPr>
    <w:r>
      <w:t>GE.</w:t>
    </w:r>
    <w:r w:rsidR="00C165C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t xml:space="preserve">12-40802 (F)  </w:t>
    </w:r>
    <w:r w:rsidR="00354181">
      <w:t xml:space="preserve">  230212    290212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AE" w:rsidRPr="00D27D5E" w:rsidRDefault="00BE32A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32AE" w:rsidRDefault="00BE32A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E32AE" w:rsidRPr="008918E4" w:rsidRDefault="00BE32AE" w:rsidP="008918E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C" w:rsidRPr="00EF521C" w:rsidRDefault="00EF521C">
    <w:pPr>
      <w:pStyle w:val="Header"/>
    </w:pPr>
    <w:r>
      <w:t>CERD/C/SR.2137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C" w:rsidRPr="00EF521C" w:rsidRDefault="00EF521C" w:rsidP="00EF521C">
    <w:pPr>
      <w:pStyle w:val="Header"/>
      <w:jc w:val="right"/>
    </w:pPr>
    <w:r>
      <w:t>CERD/C/SR.2137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5C6"/>
    <w:rsid w:val="00016AC5"/>
    <w:rsid w:val="00054609"/>
    <w:rsid w:val="00096678"/>
    <w:rsid w:val="000E4D24"/>
    <w:rsid w:val="000F1C24"/>
    <w:rsid w:val="000F41C3"/>
    <w:rsid w:val="000F41F2"/>
    <w:rsid w:val="001231AD"/>
    <w:rsid w:val="001261AA"/>
    <w:rsid w:val="00134F9F"/>
    <w:rsid w:val="00143FBD"/>
    <w:rsid w:val="00160540"/>
    <w:rsid w:val="00191AD6"/>
    <w:rsid w:val="00192EEB"/>
    <w:rsid w:val="001A20FB"/>
    <w:rsid w:val="001C1642"/>
    <w:rsid w:val="001D7F8A"/>
    <w:rsid w:val="001E3FEB"/>
    <w:rsid w:val="001E4A02"/>
    <w:rsid w:val="0021030C"/>
    <w:rsid w:val="00214980"/>
    <w:rsid w:val="00225A8C"/>
    <w:rsid w:val="00245CAC"/>
    <w:rsid w:val="00253C54"/>
    <w:rsid w:val="002659F1"/>
    <w:rsid w:val="00287E79"/>
    <w:rsid w:val="002928F9"/>
    <w:rsid w:val="002A5D07"/>
    <w:rsid w:val="002D096A"/>
    <w:rsid w:val="002D3F03"/>
    <w:rsid w:val="002E0D40"/>
    <w:rsid w:val="002E5B0C"/>
    <w:rsid w:val="003016B7"/>
    <w:rsid w:val="00331CFF"/>
    <w:rsid w:val="003515AA"/>
    <w:rsid w:val="00354181"/>
    <w:rsid w:val="0037280E"/>
    <w:rsid w:val="00374106"/>
    <w:rsid w:val="003976D5"/>
    <w:rsid w:val="003B5A8F"/>
    <w:rsid w:val="003D6C68"/>
    <w:rsid w:val="004159D0"/>
    <w:rsid w:val="00431257"/>
    <w:rsid w:val="00490F0E"/>
    <w:rsid w:val="004F6C27"/>
    <w:rsid w:val="005247B1"/>
    <w:rsid w:val="00535D01"/>
    <w:rsid w:val="00543587"/>
    <w:rsid w:val="00543D5E"/>
    <w:rsid w:val="00556D66"/>
    <w:rsid w:val="00571F41"/>
    <w:rsid w:val="00586053"/>
    <w:rsid w:val="00593658"/>
    <w:rsid w:val="005E01B1"/>
    <w:rsid w:val="005E5D1F"/>
    <w:rsid w:val="00611D43"/>
    <w:rsid w:val="00612D48"/>
    <w:rsid w:val="00616B45"/>
    <w:rsid w:val="00630D9B"/>
    <w:rsid w:val="00631953"/>
    <w:rsid w:val="006439EC"/>
    <w:rsid w:val="00663F1D"/>
    <w:rsid w:val="006B4590"/>
    <w:rsid w:val="006C340C"/>
    <w:rsid w:val="006C3636"/>
    <w:rsid w:val="006D7B0B"/>
    <w:rsid w:val="006F6A68"/>
    <w:rsid w:val="0070347C"/>
    <w:rsid w:val="007176C1"/>
    <w:rsid w:val="00747A23"/>
    <w:rsid w:val="00754D58"/>
    <w:rsid w:val="007E1E6E"/>
    <w:rsid w:val="007F55CB"/>
    <w:rsid w:val="00824724"/>
    <w:rsid w:val="00836FC3"/>
    <w:rsid w:val="00844750"/>
    <w:rsid w:val="00865702"/>
    <w:rsid w:val="00882D43"/>
    <w:rsid w:val="0088799D"/>
    <w:rsid w:val="008918E4"/>
    <w:rsid w:val="00895338"/>
    <w:rsid w:val="008B44C4"/>
    <w:rsid w:val="008D2259"/>
    <w:rsid w:val="008E7FAE"/>
    <w:rsid w:val="00911BF7"/>
    <w:rsid w:val="00913294"/>
    <w:rsid w:val="00930A8B"/>
    <w:rsid w:val="00977EC8"/>
    <w:rsid w:val="009847AE"/>
    <w:rsid w:val="009967BD"/>
    <w:rsid w:val="009C17F5"/>
    <w:rsid w:val="009D3A8C"/>
    <w:rsid w:val="009D4069"/>
    <w:rsid w:val="009E7956"/>
    <w:rsid w:val="009F2A3B"/>
    <w:rsid w:val="009F6A8C"/>
    <w:rsid w:val="00A22227"/>
    <w:rsid w:val="00A2492E"/>
    <w:rsid w:val="00A66166"/>
    <w:rsid w:val="00A84603"/>
    <w:rsid w:val="00AA7769"/>
    <w:rsid w:val="00AB3173"/>
    <w:rsid w:val="00AC67A1"/>
    <w:rsid w:val="00AC6C52"/>
    <w:rsid w:val="00AC7977"/>
    <w:rsid w:val="00AE352C"/>
    <w:rsid w:val="00AE68B5"/>
    <w:rsid w:val="00B16795"/>
    <w:rsid w:val="00B32E2D"/>
    <w:rsid w:val="00B37A26"/>
    <w:rsid w:val="00B61990"/>
    <w:rsid w:val="00B76AA7"/>
    <w:rsid w:val="00B9009C"/>
    <w:rsid w:val="00BE32AE"/>
    <w:rsid w:val="00BF0556"/>
    <w:rsid w:val="00C165C6"/>
    <w:rsid w:val="00C261F8"/>
    <w:rsid w:val="00C33100"/>
    <w:rsid w:val="00C75B95"/>
    <w:rsid w:val="00C80288"/>
    <w:rsid w:val="00CA1A71"/>
    <w:rsid w:val="00CA68D2"/>
    <w:rsid w:val="00CD1A71"/>
    <w:rsid w:val="00CD1FBB"/>
    <w:rsid w:val="00CE4082"/>
    <w:rsid w:val="00D016B5"/>
    <w:rsid w:val="00D034F1"/>
    <w:rsid w:val="00D223D6"/>
    <w:rsid w:val="00D27D5E"/>
    <w:rsid w:val="00D647B8"/>
    <w:rsid w:val="00D77945"/>
    <w:rsid w:val="00DA2D82"/>
    <w:rsid w:val="00DC156C"/>
    <w:rsid w:val="00DC5D25"/>
    <w:rsid w:val="00DE6D90"/>
    <w:rsid w:val="00DF002F"/>
    <w:rsid w:val="00E0244D"/>
    <w:rsid w:val="00E11A7F"/>
    <w:rsid w:val="00E36B3F"/>
    <w:rsid w:val="00E42D5E"/>
    <w:rsid w:val="00E81E94"/>
    <w:rsid w:val="00E82607"/>
    <w:rsid w:val="00E94CC2"/>
    <w:rsid w:val="00EA4517"/>
    <w:rsid w:val="00EB379F"/>
    <w:rsid w:val="00EB7C47"/>
    <w:rsid w:val="00ED267C"/>
    <w:rsid w:val="00EE09CE"/>
    <w:rsid w:val="00EE398D"/>
    <w:rsid w:val="00EF521C"/>
    <w:rsid w:val="00F45342"/>
    <w:rsid w:val="00F750E8"/>
    <w:rsid w:val="00F76A46"/>
    <w:rsid w:val="00F844D0"/>
    <w:rsid w:val="00FA5A79"/>
    <w:rsid w:val="00FB0BFE"/>
    <w:rsid w:val="00FB4C51"/>
    <w:rsid w:val="00FB56CA"/>
    <w:rsid w:val="00FF1DB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8918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918E4"/>
    <w:pPr>
      <w:outlineLvl w:val="1"/>
    </w:pPr>
  </w:style>
  <w:style w:type="paragraph" w:styleId="Heading3">
    <w:name w:val="heading 3"/>
    <w:basedOn w:val="Normal"/>
    <w:next w:val="Normal"/>
    <w:qFormat/>
    <w:rsid w:val="008918E4"/>
    <w:pPr>
      <w:outlineLvl w:val="2"/>
    </w:pPr>
  </w:style>
  <w:style w:type="paragraph" w:styleId="Heading4">
    <w:name w:val="heading 4"/>
    <w:basedOn w:val="Normal"/>
    <w:next w:val="Normal"/>
    <w:qFormat/>
    <w:rsid w:val="008918E4"/>
    <w:pPr>
      <w:outlineLvl w:val="3"/>
    </w:pPr>
  </w:style>
  <w:style w:type="paragraph" w:styleId="Heading5">
    <w:name w:val="heading 5"/>
    <w:basedOn w:val="Normal"/>
    <w:next w:val="Normal"/>
    <w:qFormat/>
    <w:rsid w:val="008918E4"/>
    <w:pPr>
      <w:outlineLvl w:val="4"/>
    </w:pPr>
  </w:style>
  <w:style w:type="paragraph" w:styleId="Heading6">
    <w:name w:val="heading 6"/>
    <w:basedOn w:val="Normal"/>
    <w:next w:val="Normal"/>
    <w:qFormat/>
    <w:rsid w:val="008918E4"/>
    <w:pPr>
      <w:outlineLvl w:val="5"/>
    </w:pPr>
  </w:style>
  <w:style w:type="paragraph" w:styleId="Heading7">
    <w:name w:val="heading 7"/>
    <w:basedOn w:val="Normal"/>
    <w:next w:val="Normal"/>
    <w:qFormat/>
    <w:rsid w:val="008918E4"/>
    <w:pPr>
      <w:outlineLvl w:val="6"/>
    </w:pPr>
  </w:style>
  <w:style w:type="paragraph" w:styleId="Heading8">
    <w:name w:val="heading 8"/>
    <w:basedOn w:val="Normal"/>
    <w:next w:val="Normal"/>
    <w:qFormat/>
    <w:rsid w:val="008918E4"/>
    <w:pPr>
      <w:outlineLvl w:val="7"/>
    </w:pPr>
  </w:style>
  <w:style w:type="paragraph" w:styleId="Heading9">
    <w:name w:val="heading 9"/>
    <w:basedOn w:val="Normal"/>
    <w:next w:val="Normal"/>
    <w:qFormat/>
    <w:rsid w:val="008918E4"/>
    <w:pPr>
      <w:outlineLvl w:val="8"/>
    </w:pPr>
  </w:style>
  <w:style w:type="character" w:default="1" w:styleId="DefaultParagraphFont">
    <w:name w:val="Default Paragraph Font"/>
    <w:semiHidden/>
    <w:rsid w:val="008918E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18E4"/>
  </w:style>
  <w:style w:type="paragraph" w:customStyle="1" w:styleId="HMG">
    <w:name w:val="_ H __M_G"/>
    <w:basedOn w:val="Normal"/>
    <w:next w:val="Normal"/>
    <w:rsid w:val="008918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918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918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918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918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918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918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918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918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918E4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918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918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918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918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918E4"/>
  </w:style>
  <w:style w:type="character" w:styleId="PageNumber">
    <w:name w:val="page number"/>
    <w:aliases w:val="7_G"/>
    <w:rsid w:val="008918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918E4"/>
    <w:pPr>
      <w:spacing w:line="240" w:lineRule="auto"/>
    </w:pPr>
    <w:rPr>
      <w:sz w:val="16"/>
    </w:rPr>
  </w:style>
  <w:style w:type="character" w:styleId="Hyperlink">
    <w:name w:val="Hyperlink"/>
    <w:semiHidden/>
    <w:rsid w:val="008918E4"/>
    <w:rPr>
      <w:color w:val="auto"/>
      <w:u w:val="none"/>
    </w:rPr>
  </w:style>
  <w:style w:type="character" w:styleId="FollowedHyperlink">
    <w:name w:val="FollowedHyperlink"/>
    <w:semiHidden/>
    <w:rsid w:val="008918E4"/>
    <w:rPr>
      <w:color w:val="auto"/>
      <w:u w:val="none"/>
    </w:rPr>
  </w:style>
  <w:style w:type="table" w:styleId="TableGrid">
    <w:name w:val="Table Grid"/>
    <w:basedOn w:val="TableNormal"/>
    <w:semiHidden/>
    <w:rsid w:val="008918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Q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Q1</Template>
  <TotalTime>0</TotalTime>
  <Pages>7</Pages>
  <Words>3678</Words>
  <Characters>20489</Characters>
  <Application>Microsoft Office Word</Application>
  <DocSecurity>4</DocSecurity>
  <Lines>315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CERD/C/SR.2137</vt:lpstr>
    </vt:vector>
  </TitlesOfParts>
  <Company>Corinne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CERD/C/SR.2137</dc:title>
  <dc:subject>SEMIFINAL1-20</dc:subject>
  <dc:creator>Morin</dc:creator>
  <cp:keywords/>
  <dc:description/>
  <cp:lastModifiedBy>e.b.</cp:lastModifiedBy>
  <cp:revision>2</cp:revision>
  <cp:lastPrinted>2012-02-28T15:44:00Z</cp:lastPrinted>
  <dcterms:created xsi:type="dcterms:W3CDTF">2012-02-29T11:50:00Z</dcterms:created>
  <dcterms:modified xsi:type="dcterms:W3CDTF">2012-02-29T11:50:00Z</dcterms:modified>
</cp:coreProperties>
</file>