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3349E4">
        <w:trPr>
          <w:trHeight w:hRule="exact" w:val="851"/>
        </w:trPr>
        <w:tc>
          <w:tcPr>
            <w:tcW w:w="142" w:type="dxa"/>
            <w:tcBorders>
              <w:bottom w:val="single" w:sz="4" w:space="0" w:color="auto"/>
            </w:tcBorders>
          </w:tcPr>
          <w:p w:rsidR="002D5AAC" w:rsidRDefault="002D5AAC" w:rsidP="0035659B">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35659B" w:rsidP="0035659B">
            <w:pPr>
              <w:jc w:val="right"/>
            </w:pPr>
            <w:r w:rsidRPr="0035659B">
              <w:rPr>
                <w:sz w:val="40"/>
              </w:rPr>
              <w:t>CRPD</w:t>
            </w:r>
            <w:r>
              <w:t>/C/EST/RQ/1</w:t>
            </w:r>
          </w:p>
        </w:tc>
      </w:tr>
      <w:tr w:rsidR="002D5AAC" w:rsidRPr="0035659B"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eastAsia="ru-RU"/>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rsidR="002D5AAC" w:rsidRDefault="0035659B" w:rsidP="003349E4">
            <w:pPr>
              <w:spacing w:before="240"/>
              <w:rPr>
                <w:lang w:val="en-US"/>
              </w:rPr>
            </w:pPr>
            <w:r>
              <w:rPr>
                <w:lang w:val="en-US"/>
              </w:rPr>
              <w:t>Distr.: General</w:t>
            </w:r>
          </w:p>
          <w:p w:rsidR="0035659B" w:rsidRDefault="0035659B" w:rsidP="0035659B">
            <w:pPr>
              <w:spacing w:line="240" w:lineRule="exact"/>
              <w:rPr>
                <w:lang w:val="en-US"/>
              </w:rPr>
            </w:pPr>
            <w:r>
              <w:rPr>
                <w:lang w:val="en-US"/>
              </w:rPr>
              <w:t>16 December 2019</w:t>
            </w:r>
          </w:p>
          <w:p w:rsidR="0035659B" w:rsidRDefault="0035659B" w:rsidP="0035659B">
            <w:pPr>
              <w:spacing w:line="240" w:lineRule="exact"/>
              <w:rPr>
                <w:lang w:val="en-US"/>
              </w:rPr>
            </w:pPr>
            <w:r>
              <w:rPr>
                <w:lang w:val="en-US"/>
              </w:rPr>
              <w:t>Russian</w:t>
            </w:r>
          </w:p>
          <w:p w:rsidR="0035659B" w:rsidRPr="008934D2" w:rsidRDefault="0035659B" w:rsidP="0035659B">
            <w:pPr>
              <w:spacing w:line="240" w:lineRule="exact"/>
              <w:rPr>
                <w:lang w:val="en-US"/>
              </w:rPr>
            </w:pPr>
            <w:r>
              <w:rPr>
                <w:lang w:val="en-US"/>
              </w:rPr>
              <w:t xml:space="preserve">Original: English </w:t>
            </w:r>
            <w:r>
              <w:rPr>
                <w:lang w:val="en-US"/>
              </w:rPr>
              <w:br/>
              <w:t>English, Russian and Spanish only</w:t>
            </w:r>
          </w:p>
        </w:tc>
      </w:tr>
    </w:tbl>
    <w:p w:rsidR="0035659B" w:rsidRPr="00307165" w:rsidRDefault="0035659B" w:rsidP="0035659B">
      <w:pPr>
        <w:spacing w:before="120"/>
        <w:rPr>
          <w:b/>
          <w:bCs/>
          <w:sz w:val="24"/>
          <w:szCs w:val="24"/>
        </w:rPr>
      </w:pPr>
      <w:r w:rsidRPr="00307165">
        <w:rPr>
          <w:b/>
          <w:bCs/>
          <w:sz w:val="24"/>
          <w:szCs w:val="24"/>
        </w:rPr>
        <w:t>Комитет по правам инвалидов</w:t>
      </w:r>
    </w:p>
    <w:p w:rsidR="0035659B" w:rsidRPr="00FA72FB" w:rsidRDefault="0035659B" w:rsidP="0035659B">
      <w:pPr>
        <w:rPr>
          <w:b/>
          <w:bCs/>
        </w:rPr>
      </w:pPr>
      <w:r>
        <w:rPr>
          <w:b/>
          <w:bCs/>
        </w:rPr>
        <w:t>Двадцать третья сессия</w:t>
      </w:r>
    </w:p>
    <w:p w:rsidR="0035659B" w:rsidRPr="00FA72FB" w:rsidRDefault="0035659B" w:rsidP="0035659B">
      <w:r>
        <w:t>9</w:t>
      </w:r>
      <w:r w:rsidRPr="00AA18A0">
        <w:t>–</w:t>
      </w:r>
      <w:r>
        <w:t>27 марта 2020 года</w:t>
      </w:r>
    </w:p>
    <w:p w:rsidR="0035659B" w:rsidRPr="00FA72FB" w:rsidRDefault="0035659B" w:rsidP="0035659B">
      <w:r>
        <w:t>Пункт 5 предварительной повестки дня</w:t>
      </w:r>
    </w:p>
    <w:p w:rsidR="0035659B" w:rsidRPr="0035659B" w:rsidRDefault="0035659B" w:rsidP="0035659B">
      <w:r>
        <w:rPr>
          <w:b/>
          <w:bCs/>
        </w:rPr>
        <w:t xml:space="preserve">Рассмотрение докладов, представленных </w:t>
      </w:r>
      <w:r>
        <w:rPr>
          <w:b/>
          <w:bCs/>
        </w:rPr>
        <w:br/>
        <w:t xml:space="preserve">государствами </w:t>
      </w:r>
      <w:r w:rsidRPr="0035659B">
        <w:rPr>
          <w:b/>
          <w:bCs/>
        </w:rPr>
        <w:t>–</w:t>
      </w:r>
      <w:r w:rsidRPr="00C2161C">
        <w:rPr>
          <w:b/>
          <w:bCs/>
        </w:rPr>
        <w:t xml:space="preserve"> </w:t>
      </w:r>
      <w:r>
        <w:rPr>
          <w:b/>
          <w:bCs/>
        </w:rPr>
        <w:t xml:space="preserve">участниками Конвенции </w:t>
      </w:r>
      <w:r>
        <w:rPr>
          <w:b/>
          <w:bCs/>
        </w:rPr>
        <w:br/>
        <w:t>в</w:t>
      </w:r>
      <w:r>
        <w:rPr>
          <w:b/>
          <w:bCs/>
          <w:lang w:val="en-US"/>
        </w:rPr>
        <w:t> </w:t>
      </w:r>
      <w:r>
        <w:rPr>
          <w:b/>
          <w:bCs/>
        </w:rPr>
        <w:t>соответствии со статьей 35</w:t>
      </w:r>
    </w:p>
    <w:p w:rsidR="0035659B" w:rsidRPr="00C2161C" w:rsidRDefault="0035659B" w:rsidP="0035659B">
      <w:pPr>
        <w:pStyle w:val="HChG"/>
      </w:pPr>
      <w:r>
        <w:tab/>
      </w:r>
      <w:r>
        <w:tab/>
      </w:r>
      <w:r w:rsidRPr="00C2161C">
        <w:t>Ответы Эстонии на перечень вопросов в связи с</w:t>
      </w:r>
      <w:r>
        <w:t> </w:t>
      </w:r>
      <w:r w:rsidRPr="00C2161C">
        <w:t>ее</w:t>
      </w:r>
      <w:r>
        <w:t> </w:t>
      </w:r>
      <w:r w:rsidRPr="00C2161C">
        <w:t>первоначальным докладом</w:t>
      </w:r>
      <w:r w:rsidRPr="0035659B">
        <w:rPr>
          <w:rStyle w:val="aa"/>
          <w:b w:val="0"/>
          <w:sz w:val="20"/>
          <w:vertAlign w:val="baseline"/>
        </w:rPr>
        <w:footnoteReference w:customMarkFollows="1" w:id="1"/>
        <w:t>*</w:t>
      </w:r>
    </w:p>
    <w:p w:rsidR="00381C24" w:rsidRDefault="0035659B" w:rsidP="0035659B">
      <w:pPr>
        <w:pStyle w:val="SingleTxtG"/>
        <w:jc w:val="right"/>
      </w:pPr>
      <w:r>
        <w:t>[Дата получения: 10 декабря 2019 года]</w:t>
      </w:r>
    </w:p>
    <w:p w:rsidR="0035659B" w:rsidRDefault="0035659B">
      <w:pPr>
        <w:suppressAutoHyphens w:val="0"/>
        <w:spacing w:line="240" w:lineRule="auto"/>
        <w:rPr>
          <w:rFonts w:eastAsia="Times New Roman" w:cs="Times New Roman"/>
          <w:szCs w:val="20"/>
        </w:rPr>
      </w:pPr>
      <w:r>
        <w:br w:type="page"/>
      </w:r>
    </w:p>
    <w:p w:rsidR="0035659B" w:rsidRPr="0068092F" w:rsidRDefault="0035659B" w:rsidP="0035659B">
      <w:pPr>
        <w:pStyle w:val="HChG"/>
      </w:pPr>
      <w:r>
        <w:rPr>
          <w:lang w:val="en-US"/>
        </w:rPr>
        <w:lastRenderedPageBreak/>
        <w:tab/>
        <w:t>A</w:t>
      </w:r>
      <w:r w:rsidRPr="0068092F">
        <w:t>.</w:t>
      </w:r>
      <w:r w:rsidRPr="0068092F">
        <w:tab/>
        <w:t>Цель и общие обязательства (статьи 1</w:t>
      </w:r>
      <w:r>
        <w:t>–</w:t>
      </w:r>
      <w:r w:rsidRPr="0068092F">
        <w:t xml:space="preserve">4) </w:t>
      </w:r>
    </w:p>
    <w:p w:rsidR="0035659B" w:rsidRPr="0068092F" w:rsidRDefault="0035659B" w:rsidP="0035659B">
      <w:pPr>
        <w:pStyle w:val="H23G"/>
      </w:pPr>
      <w:r w:rsidRPr="0068092F">
        <w:tab/>
      </w:r>
      <w:r w:rsidRPr="0068092F">
        <w:tab/>
        <w:t xml:space="preserve">Ответ на пункт </w:t>
      </w:r>
      <w:proofErr w:type="gramStart"/>
      <w:r w:rsidRPr="0068092F">
        <w:t>1</w:t>
      </w:r>
      <w:proofErr w:type="gramEnd"/>
      <w:r w:rsidRPr="0068092F">
        <w:t xml:space="preserve"> а) и b) перечня вопросов CRPD/C/EST/Q/1 </w:t>
      </w:r>
    </w:p>
    <w:p w:rsidR="0035659B" w:rsidRPr="00FA72FB" w:rsidRDefault="0035659B" w:rsidP="0035659B">
      <w:pPr>
        <w:pStyle w:val="SingleTxtG"/>
      </w:pPr>
      <w:r>
        <w:t>1.</w:t>
      </w:r>
      <w:r>
        <w:tab/>
        <w:t>Осуществление прав инвалидов в соответствии с принципами Конвенции предусмотрено в нескольких планах и стратегиях развития, наиболее значимым из которых является План повышения уровня благосостояния на 2016</w:t>
      </w:r>
      <w:r w:rsidRPr="0068092F">
        <w:t>–</w:t>
      </w:r>
      <w:r>
        <w:t>2023</w:t>
      </w:r>
      <w:r>
        <w:rPr>
          <w:lang w:val="en-US"/>
        </w:rPr>
        <w:t> </w:t>
      </w:r>
      <w:r>
        <w:t>годы.</w:t>
      </w:r>
    </w:p>
    <w:p w:rsidR="0035659B" w:rsidRPr="00FA72FB" w:rsidRDefault="0035659B" w:rsidP="0035659B">
      <w:pPr>
        <w:pStyle w:val="SingleTxtG"/>
      </w:pPr>
      <w:r>
        <w:t>2.</w:t>
      </w:r>
      <w:r>
        <w:tab/>
        <w:t xml:space="preserve">Проблемы, с которыми сталкивается целевая группа, и соответствующие инструменты политики более или менее подробно описаны во всех четырех промежуточных задачах. При этом промежуточная задача 3 имеет более непосредственное отношение к расширению доступности и повышению качества социальной помощи, развитию служб, занимающихся вопросами интеграции людей в </w:t>
      </w:r>
      <w:r w:rsidRPr="00F23A79">
        <w:t>общество</w:t>
      </w:r>
      <w:r>
        <w:t>, и защите основных прав и свобод.</w:t>
      </w:r>
    </w:p>
    <w:p w:rsidR="0035659B" w:rsidRPr="00FA72FB" w:rsidRDefault="0035659B" w:rsidP="0035659B">
      <w:pPr>
        <w:pStyle w:val="H23G"/>
      </w:pPr>
      <w:r>
        <w:tab/>
      </w:r>
      <w:r>
        <w:tab/>
      </w:r>
      <w:r>
        <w:rPr>
          <w:bCs/>
        </w:rPr>
        <w:t>Ответ на пункт 1 с) перечня вопросов</w:t>
      </w:r>
      <w:r>
        <w:t xml:space="preserve"> </w:t>
      </w:r>
    </w:p>
    <w:p w:rsidR="0035659B" w:rsidRPr="00FA72FB" w:rsidRDefault="0035659B" w:rsidP="0035659B">
      <w:pPr>
        <w:pStyle w:val="SingleTxtG"/>
      </w:pPr>
      <w:r>
        <w:t>3.</w:t>
      </w:r>
      <w:r>
        <w:tab/>
        <w:t>В 2016 году была создана новая система поддержки трудоспособности, которая предусматривает новые способы оценки трудоспособности, а также обновление механизма предоставления субсидий и расширение услуг, предоставляемых из средств эстонского Фонда страхования на случай безработицы. Эта система основана на индивидуальном подходе и ведении индивидуальной социальной работы с каждым инвалидом. В процессе консультирования и оказания помощи в трудоустройстве учитываются также проблемы психического здоровья.</w:t>
      </w:r>
    </w:p>
    <w:p w:rsidR="0035659B" w:rsidRPr="00FA72FB" w:rsidRDefault="0035659B" w:rsidP="0035659B">
      <w:pPr>
        <w:pStyle w:val="SingleTxtG"/>
      </w:pPr>
      <w:r>
        <w:t>4.</w:t>
      </w:r>
      <w:r>
        <w:tab/>
        <w:t xml:space="preserve">Новая система оценки трудоспособности оказала значительное положительное влияние на трудоустройство инвалидов. Первоначально, еще в 2017 году, была поставлена цель </w:t>
      </w:r>
      <w:r w:rsidRPr="00F23A79">
        <w:t xml:space="preserve">к 2022 году </w:t>
      </w:r>
      <w:r>
        <w:t>увеличить более чем</w:t>
      </w:r>
      <w:r w:rsidRPr="00F23A79">
        <w:t xml:space="preserve"> </w:t>
      </w:r>
      <w:r>
        <w:t>на 50</w:t>
      </w:r>
      <w:r w:rsidRPr="008F2237">
        <w:t>%</w:t>
      </w:r>
      <w:r>
        <w:t xml:space="preserve"> число занятых лиц с ограниченной трудоспособностью. По оценкам Министерства финансов, к 2022</w:t>
      </w:r>
      <w:r>
        <w:rPr>
          <w:lang w:val="en-US"/>
        </w:rPr>
        <w:t> </w:t>
      </w:r>
      <w:r>
        <w:t>году благодаря реформе, касающейся трудоспособности, число занятых лиц составит на 19 100 человек больше, а активно ищущих работу</w:t>
      </w:r>
      <w:r w:rsidRPr="0035659B">
        <w:t xml:space="preserve"> –</w:t>
      </w:r>
      <w:r>
        <w:t xml:space="preserve"> на 16 400 человек больше по сравнению с показателями, которые были бы достигнуты при старой системе.</w:t>
      </w:r>
    </w:p>
    <w:p w:rsidR="0035659B" w:rsidRPr="00FA72FB" w:rsidRDefault="0035659B" w:rsidP="0035659B">
      <w:pPr>
        <w:pStyle w:val="SingleTxtG"/>
      </w:pPr>
      <w:r>
        <w:t>5.</w:t>
      </w:r>
      <w:r>
        <w:tab/>
        <w:t>Повысился уровень осведомленности о проблеме инвалидности и лицах с особыми потребностями.</w:t>
      </w:r>
    </w:p>
    <w:p w:rsidR="0035659B" w:rsidRPr="00FA72FB" w:rsidRDefault="0035659B" w:rsidP="0035659B">
      <w:pPr>
        <w:pStyle w:val="H23G"/>
      </w:pPr>
      <w:r>
        <w:tab/>
      </w:r>
      <w:r>
        <w:tab/>
      </w:r>
      <w:r>
        <w:rPr>
          <w:bCs/>
        </w:rPr>
        <w:t>Ответ на пункт 1 d) перечня вопросов</w:t>
      </w:r>
      <w:r>
        <w:t xml:space="preserve"> </w:t>
      </w:r>
    </w:p>
    <w:p w:rsidR="0035659B" w:rsidRPr="00D04300" w:rsidRDefault="0035659B" w:rsidP="0035659B">
      <w:pPr>
        <w:pStyle w:val="SingleTxtG"/>
      </w:pPr>
      <w:r>
        <w:t>6.</w:t>
      </w:r>
      <w:r>
        <w:tab/>
        <w:t>В соответствии с Законом о Правительстве Республики правительство приняло постановление, озаглавленное «Правила надлежащей законодательной практики и законотворчества». Согласно подразделу 1 (5) этого постановления заинтересованные группы и общественность должны участвовать в подготовке деклараций о намерениях в отношении разработки законопроектов, концепций политики и проектов парламентских актов. Они должны координироваться в соответствии с передовой практикой взаимодействия, которая требует, чтобы правительственные ведомства привлекали заинтересованные группы и общественность к процессу принятия решений, с тем чтобы обеспечить наилучшее качество и легитимность принимаемых решений.</w:t>
      </w:r>
    </w:p>
    <w:p w:rsidR="0035659B" w:rsidRPr="00FA72FB" w:rsidRDefault="0035659B" w:rsidP="0035659B">
      <w:pPr>
        <w:pStyle w:val="SingleTxtG"/>
      </w:pPr>
      <w:r>
        <w:t>7.</w:t>
      </w:r>
      <w:r>
        <w:tab/>
        <w:t>Передовая практика взаимодействия содержит руководящие принципы, касающиеся равноправного участия всех соответствующих заинтересованных групп, включая инвалидов. Электронная система консультаций обеспечивает общественности доступ к законопроектам и к их обсуждению, а также дает возможность выразить ее мнение. Отклики на разрабатываемые законопроекты можно разместить в Интернете в процессе общественного обсуждения и на этапе координации.</w:t>
      </w:r>
    </w:p>
    <w:p w:rsidR="0035659B" w:rsidRPr="00FA72FB" w:rsidRDefault="0035659B" w:rsidP="0035659B">
      <w:pPr>
        <w:pStyle w:val="SingleTxtG"/>
      </w:pPr>
      <w:r>
        <w:t>8.</w:t>
      </w:r>
      <w:r>
        <w:tab/>
        <w:t xml:space="preserve">Кроме того, парламент Эстонии издал руководящие указания по разработке законодательных актов, которые также требуют активного участия заинтересованных сторон и проведения консультаций с широкой общественностью. </w:t>
      </w:r>
    </w:p>
    <w:p w:rsidR="0035659B" w:rsidRPr="00FA72FB" w:rsidRDefault="0035659B" w:rsidP="0035659B">
      <w:pPr>
        <w:pStyle w:val="H23G"/>
      </w:pPr>
      <w:r>
        <w:lastRenderedPageBreak/>
        <w:tab/>
      </w:r>
      <w:r>
        <w:tab/>
      </w:r>
      <w:r>
        <w:rPr>
          <w:bCs/>
        </w:rPr>
        <w:t>Ответ на пункт 1 е) перечня вопросов</w:t>
      </w:r>
      <w:r>
        <w:t xml:space="preserve"> </w:t>
      </w:r>
    </w:p>
    <w:p w:rsidR="0035659B" w:rsidRPr="00D04300" w:rsidRDefault="0035659B" w:rsidP="0035659B">
      <w:pPr>
        <w:pStyle w:val="SingleTxtG"/>
      </w:pPr>
      <w:r>
        <w:t>9.</w:t>
      </w:r>
      <w:r>
        <w:tab/>
        <w:t xml:space="preserve">В 2014 году Министерство финансов приняло руководящие принципы в области развития. В этом документе изложены пять главных тем для рассмотрения, одна из которых касается обеспечения равных возможностей, включая подраздел по вопросам инвалидности. В этом подразделе описано общее положение инвалидов в Эстонии и предложены несколько показателей, которые следует принять во внимание. В подразделе также рассматривается взаимосвязь между различными формами неравенства. </w:t>
      </w:r>
    </w:p>
    <w:p w:rsidR="0035659B" w:rsidRPr="00D04300" w:rsidRDefault="0035659B" w:rsidP="0035659B">
      <w:pPr>
        <w:pStyle w:val="SingleTxtG"/>
        <w:keepNext/>
        <w:keepLines/>
      </w:pPr>
      <w:r>
        <w:t>10.</w:t>
      </w:r>
      <w:r>
        <w:tab/>
        <w:t>В Программе действий правительства на 2019</w:t>
      </w:r>
      <w:r w:rsidRPr="004B44F5">
        <w:t>–</w:t>
      </w:r>
      <w:r>
        <w:t>2023</w:t>
      </w:r>
      <w:r>
        <w:rPr>
          <w:lang w:val="en-US"/>
        </w:rPr>
        <w:t> </w:t>
      </w:r>
      <w:r>
        <w:t>годы поставлено несколько целей:</w:t>
      </w:r>
    </w:p>
    <w:p w:rsidR="0035659B" w:rsidRPr="00FA72FB" w:rsidRDefault="0035659B" w:rsidP="0035659B">
      <w:pPr>
        <w:pStyle w:val="Bullet1G"/>
      </w:pPr>
      <w:r>
        <w:t>обеспечить профессиональное консультирование преподавателей, включая общие рекомендации в области педагогики, психологии и преподавания для обучения учащихся с особыми образовательными потребностями;</w:t>
      </w:r>
    </w:p>
    <w:p w:rsidR="0035659B" w:rsidRPr="00FA72FB" w:rsidRDefault="0035659B" w:rsidP="0035659B">
      <w:pPr>
        <w:pStyle w:val="Bullet1G"/>
      </w:pPr>
      <w:r>
        <w:t>улучшить взаимодействие в области здравоохранения, социальной поддержки и образования, с тем чтобы обеспечить доступность и надлежащее качество помощи детям независимо от места жительства ребенка и наличия у него особых образовательных потребностей.</w:t>
      </w:r>
    </w:p>
    <w:p w:rsidR="0035659B" w:rsidRPr="00FA72FB" w:rsidRDefault="0035659B" w:rsidP="0035659B">
      <w:pPr>
        <w:pStyle w:val="SingleTxtG"/>
      </w:pPr>
      <w:r>
        <w:t>11.</w:t>
      </w:r>
      <w:r>
        <w:tab/>
        <w:t xml:space="preserve">Кроме того, инклюзивное образование является одним из основных приоритетов программы повышения квалификации преподавателей, педагогических коллективов и руководства школ. </w:t>
      </w:r>
    </w:p>
    <w:p w:rsidR="0035659B" w:rsidRPr="00FA72FB" w:rsidRDefault="0035659B" w:rsidP="0035659B">
      <w:pPr>
        <w:pStyle w:val="SingleTxtG"/>
      </w:pPr>
      <w:r>
        <w:t>12.</w:t>
      </w:r>
      <w:r>
        <w:tab/>
        <w:t xml:space="preserve">Далее, одним из факультативных курсов первоначальной подготовки преподавателей и элементов их профессиональной квалификации является умение поддерживать учащихся с особыми образовательными потребностями. </w:t>
      </w:r>
    </w:p>
    <w:p w:rsidR="0035659B" w:rsidRPr="00FA72FB" w:rsidRDefault="0035659B" w:rsidP="0035659B">
      <w:pPr>
        <w:pStyle w:val="SingleTxtG"/>
      </w:pPr>
      <w:r>
        <w:t>13.</w:t>
      </w:r>
      <w:r>
        <w:tab/>
        <w:t xml:space="preserve">В 2019 году Верховный суд провел учебные курсы для судей в вопросах реформы, касающейся трудоспособности, и проведения слушаний, в которых участвуют люди, страдающие психическими расстройствами. В 2020 году в программу подготовки судей будут включены курсы по судебной психиатрии и судебной медицине, уходу за детьми в закрытых учреждениях и социальной помощи лицам, направляемым в закрытые учреждения. </w:t>
      </w:r>
    </w:p>
    <w:p w:rsidR="0035659B" w:rsidRPr="00FA72FB" w:rsidRDefault="0035659B" w:rsidP="0035659B">
      <w:pPr>
        <w:pStyle w:val="SingleTxtG"/>
      </w:pPr>
      <w:r>
        <w:t>14.</w:t>
      </w:r>
      <w:r>
        <w:tab/>
        <w:t xml:space="preserve">Сотрудникам органов прокуратуры рекомендуется принимать участие в международных семинарах и курсах профессиональной подготовки. </w:t>
      </w:r>
    </w:p>
    <w:p w:rsidR="0035659B" w:rsidRPr="00FA72FB" w:rsidRDefault="0035659B" w:rsidP="0035659B">
      <w:pPr>
        <w:pStyle w:val="H23G"/>
      </w:pPr>
      <w:r>
        <w:tab/>
      </w:r>
      <w:r>
        <w:tab/>
      </w:r>
      <w:r>
        <w:rPr>
          <w:bCs/>
        </w:rPr>
        <w:t xml:space="preserve">Ответ на пункт </w:t>
      </w:r>
      <w:proofErr w:type="gramStart"/>
      <w:r>
        <w:rPr>
          <w:bCs/>
        </w:rPr>
        <w:t>2</w:t>
      </w:r>
      <w:proofErr w:type="gramEnd"/>
      <w:r>
        <w:rPr>
          <w:bCs/>
        </w:rPr>
        <w:t xml:space="preserve"> а) перечня вопросов</w:t>
      </w:r>
      <w:r>
        <w:t xml:space="preserve"> </w:t>
      </w:r>
    </w:p>
    <w:p w:rsidR="0035659B" w:rsidRPr="00FA72FB" w:rsidRDefault="0035659B" w:rsidP="0035659B">
      <w:pPr>
        <w:pStyle w:val="SingleTxtG"/>
      </w:pPr>
      <w:r>
        <w:t>15.</w:t>
      </w:r>
      <w:r>
        <w:tab/>
        <w:t xml:space="preserve">Министерство социальных дел и Министерство юстиции решили в ближайшие годы провести пересмотр внутреннего законодательства на предмет употребления в нем уничижительных терминов в целях их изъятия и замены в соответствии с Конвенцией. </w:t>
      </w:r>
    </w:p>
    <w:p w:rsidR="0035659B" w:rsidRPr="00FA72FB" w:rsidRDefault="0035659B" w:rsidP="0035659B">
      <w:pPr>
        <w:pStyle w:val="H23G"/>
      </w:pPr>
      <w:r>
        <w:tab/>
      </w:r>
      <w:r>
        <w:tab/>
      </w:r>
      <w:r>
        <w:rPr>
          <w:bCs/>
        </w:rPr>
        <w:t>Ответ на пункт 2 b) перечня вопросов</w:t>
      </w:r>
      <w:r>
        <w:t xml:space="preserve"> </w:t>
      </w:r>
    </w:p>
    <w:p w:rsidR="0035659B" w:rsidRPr="00B968CA" w:rsidRDefault="0035659B" w:rsidP="0035659B">
      <w:pPr>
        <w:pStyle w:val="SingleTxtG"/>
      </w:pPr>
      <w:r>
        <w:t>16.</w:t>
      </w:r>
      <w:r>
        <w:tab/>
      </w:r>
      <w:proofErr w:type="gramStart"/>
      <w:r>
        <w:t>В</w:t>
      </w:r>
      <w:proofErr w:type="gramEnd"/>
      <w:r>
        <w:t xml:space="preserve"> эстонском законодательстве определение термина «инвалидность» содержится в пункте 1 статьи 2 Закона о социальных пособиях для инвалидов и в статье 5 Закона о равном обращении. Определение в обоих законах сформулировано несколько уже, чем в Конвенции. Разница заключается в формулировке, которая содержится в пункте 1 статьи 2 Закона о социальных пособиях для инвалидов, где инвалидность определяется как </w:t>
      </w:r>
      <w:r w:rsidRPr="00AA18A0">
        <w:t>«</w:t>
      </w:r>
      <w:r>
        <w:t xml:space="preserve">...утрата или патология анатомической, физиологической или психической </w:t>
      </w:r>
      <w:proofErr w:type="gramStart"/>
      <w:r>
        <w:t>структуры</w:t>
      </w:r>
      <w:proofErr w:type="gramEnd"/>
      <w:r>
        <w:t xml:space="preserve"> или функции у лица, которая в сочетании с различными </w:t>
      </w:r>
      <w:proofErr w:type="spellStart"/>
      <w:r>
        <w:t>отношенческими</w:t>
      </w:r>
      <w:proofErr w:type="spellEnd"/>
      <w:r>
        <w:t xml:space="preserve"> и средовыми барьерами не позволяет им участвовать в жизни общества наравне с другими». В Конвенции употребляется слово </w:t>
      </w:r>
      <w:r w:rsidRPr="00D36260">
        <w:t>«</w:t>
      </w:r>
      <w:r>
        <w:t>мешает».</w:t>
      </w:r>
    </w:p>
    <w:p w:rsidR="0035659B" w:rsidRPr="00F23A79" w:rsidRDefault="0035659B" w:rsidP="0035659B">
      <w:pPr>
        <w:pStyle w:val="SingleTxtG"/>
      </w:pPr>
      <w:r w:rsidRPr="00F23A79">
        <w:t>17.</w:t>
      </w:r>
      <w:r w:rsidRPr="00F23A79">
        <w:tab/>
        <w:t xml:space="preserve">Однако на практике различные альтернативы (хотя и не эквиваленты) термина «инвалидность» используются в различных контекстах для описания аналогичного состояния: «особые потребности», что по смыслу шире; «ограниченная трудоспособность», «нетрудоспособность» и прочее. В проведенных исследованиях </w:t>
      </w:r>
      <w:r w:rsidRPr="00F23A79">
        <w:lastRenderedPageBreak/>
        <w:t xml:space="preserve">употребляются также такие термины, как «ограниченная активность» и «долгосрочное нарушение здоровья» для описания состояния, указанного в Конвенции. </w:t>
      </w:r>
    </w:p>
    <w:p w:rsidR="0035659B" w:rsidRPr="00FA72FB" w:rsidRDefault="0035659B" w:rsidP="0035659B">
      <w:pPr>
        <w:pStyle w:val="SingleTxtG"/>
      </w:pPr>
      <w:r>
        <w:t>18.</w:t>
      </w:r>
      <w:r>
        <w:tab/>
        <w:t xml:space="preserve">В 2019 году был проведен анализ механизма оценки инвалидности. Работа, основанная на результатах этого анализа, и соответствующие изменения в политике будут осуществляться в рамках реформирования системы обеспечения долгосрочного ухода. </w:t>
      </w:r>
    </w:p>
    <w:p w:rsidR="0035659B" w:rsidRPr="00FA72FB" w:rsidRDefault="0035659B" w:rsidP="0035659B">
      <w:pPr>
        <w:pStyle w:val="H23G"/>
      </w:pPr>
      <w:r>
        <w:tab/>
      </w:r>
      <w:r>
        <w:tab/>
      </w:r>
      <w:r>
        <w:rPr>
          <w:bCs/>
        </w:rPr>
        <w:t>Ответ на пункт 2 с) перечня вопросов</w:t>
      </w:r>
      <w:r>
        <w:t xml:space="preserve"> </w:t>
      </w:r>
    </w:p>
    <w:p w:rsidR="0035659B" w:rsidRPr="00FA72FB" w:rsidRDefault="0035659B" w:rsidP="0035659B">
      <w:pPr>
        <w:pStyle w:val="SingleTxtG"/>
      </w:pPr>
      <w:r>
        <w:t>19.</w:t>
      </w:r>
      <w:r>
        <w:tab/>
        <w:t>В 2018 году вступило в силу распоряжение министра по предпринимательству и информационным технологиям, которое содержит подробные требования в отношении зданий в связи с особыми потребностями инвалидов. Распоряжение применяется в первую очередь к зданиям или частям зданий, в которых оказываются государственные услуги, а также к дорогам общего пользования в городских районах и общедоступным частным дорогам.</w:t>
      </w:r>
    </w:p>
    <w:p w:rsidR="0035659B" w:rsidRPr="00FA72FB" w:rsidRDefault="0035659B" w:rsidP="0035659B">
      <w:pPr>
        <w:pStyle w:val="SingleTxtG"/>
      </w:pPr>
      <w:r>
        <w:t>20.</w:t>
      </w:r>
      <w:r>
        <w:tab/>
      </w:r>
      <w:proofErr w:type="gramStart"/>
      <w:r>
        <w:t>С</w:t>
      </w:r>
      <w:proofErr w:type="gramEnd"/>
      <w:r>
        <w:t xml:space="preserve"> января 2019 года контроль за выполнением этого распоряжения возложен на Управление по защите прав потребителей и техническим регламентам. </w:t>
      </w:r>
    </w:p>
    <w:p w:rsidR="0035659B" w:rsidRPr="00FA72FB" w:rsidRDefault="0035659B" w:rsidP="0035659B">
      <w:pPr>
        <w:pStyle w:val="SingleTxtG"/>
      </w:pPr>
      <w:r>
        <w:t>21.</w:t>
      </w:r>
      <w:r>
        <w:tab/>
        <w:t>В 2018 году вступило в силу еще одно распоряжение министра по предпринимательству и информационным технологиям, которое дополнило ранее принятое распоряжение «Требования в отношении жилищных условий»</w:t>
      </w:r>
      <w:r w:rsidRPr="00060D87">
        <w:rPr>
          <w:rStyle w:val="aa"/>
        </w:rPr>
        <w:footnoteReference w:id="2"/>
      </w:r>
      <w:r>
        <w:t>. Цель нового распоряжения состоит в расширении доступности жилых помещений, и оно требует наличия лифта в домах, состоящих из не менее четырех этажей. Это требование применяется в отношении строительных проектов, осуществляемых с 1 августа 2019 года</w:t>
      </w:r>
      <w:r w:rsidR="00D32525">
        <w:t>.</w:t>
      </w:r>
      <w:r>
        <w:t xml:space="preserve"> </w:t>
      </w:r>
    </w:p>
    <w:p w:rsidR="0035659B" w:rsidRPr="002A27BA" w:rsidRDefault="0035659B" w:rsidP="0035659B">
      <w:pPr>
        <w:pStyle w:val="HChG"/>
      </w:pPr>
      <w:r>
        <w:tab/>
      </w:r>
      <w:r w:rsidRPr="002A27BA">
        <w:t>B.</w:t>
      </w:r>
      <w:r w:rsidRPr="002A27BA">
        <w:tab/>
        <w:t>Конкретные права (статьи 5</w:t>
      </w:r>
      <w:r>
        <w:t>–</w:t>
      </w:r>
      <w:r w:rsidRPr="002A27BA">
        <w:t xml:space="preserve">30) </w:t>
      </w:r>
    </w:p>
    <w:p w:rsidR="0035659B" w:rsidRPr="002A27BA" w:rsidRDefault="0035659B" w:rsidP="0035659B">
      <w:pPr>
        <w:pStyle w:val="H1G"/>
      </w:pPr>
      <w:r w:rsidRPr="002A27BA">
        <w:tab/>
      </w:r>
      <w:r w:rsidRPr="002A27BA">
        <w:tab/>
        <w:t xml:space="preserve">Равенство и </w:t>
      </w:r>
      <w:proofErr w:type="spellStart"/>
      <w:r w:rsidRPr="002A27BA">
        <w:t>недискриминация</w:t>
      </w:r>
      <w:proofErr w:type="spellEnd"/>
      <w:r w:rsidRPr="002A27BA">
        <w:t xml:space="preserve"> </w:t>
      </w:r>
      <w:r>
        <w:t>(статья 5)</w:t>
      </w:r>
    </w:p>
    <w:p w:rsidR="0035659B" w:rsidRPr="00FA72FB" w:rsidRDefault="0035659B" w:rsidP="0035659B">
      <w:pPr>
        <w:pStyle w:val="H23G"/>
      </w:pPr>
      <w:r>
        <w:tab/>
      </w:r>
      <w:r>
        <w:tab/>
      </w:r>
      <w:r>
        <w:rPr>
          <w:bCs/>
        </w:rPr>
        <w:t xml:space="preserve">Ответ на пункт </w:t>
      </w:r>
      <w:proofErr w:type="gramStart"/>
      <w:r>
        <w:rPr>
          <w:bCs/>
        </w:rPr>
        <w:t>3</w:t>
      </w:r>
      <w:proofErr w:type="gramEnd"/>
      <w:r>
        <w:rPr>
          <w:bCs/>
        </w:rPr>
        <w:t xml:space="preserve"> а) перечня вопросов</w:t>
      </w:r>
      <w:r>
        <w:t xml:space="preserve"> </w:t>
      </w:r>
    </w:p>
    <w:p w:rsidR="0035659B" w:rsidRPr="00FA72FB" w:rsidRDefault="0035659B" w:rsidP="0035659B">
      <w:pPr>
        <w:pStyle w:val="SingleTxtG"/>
      </w:pPr>
      <w:r>
        <w:t>22.</w:t>
      </w:r>
      <w:r>
        <w:tab/>
      </w:r>
      <w:r w:rsidRPr="00830735">
        <w:t>Цель Закона</w:t>
      </w:r>
      <w:r>
        <w:t xml:space="preserve"> о гендерном равенстве (вступил в силу 1 мая 2004 года) состоит в том, чтобы обеспечить равное обращение с мужчинами и женщинами, как это предусмотрено в Конституции Эстонской Республики, и способствовать равенству мужчин и женщин в качестве одного из основных прав человека и в целях общественного блага во всех областях общественной жизни (статья 1). </w:t>
      </w:r>
    </w:p>
    <w:p w:rsidR="0035659B" w:rsidRPr="00FA72FB" w:rsidRDefault="0035659B" w:rsidP="0035659B">
      <w:pPr>
        <w:pStyle w:val="SingleTxtG"/>
      </w:pPr>
      <w:r>
        <w:t>23.</w:t>
      </w:r>
      <w:r>
        <w:tab/>
        <w:t xml:space="preserve">Закон применяется во всех сферах жизни общества, за исключением вероисповедания и соблюдения религиозных обрядов или работы в качестве церковнослужителя в зарегистрированной религиозной организации; а также в семейных отношениях и частной жизни. Он также определяет и запрещает прямую и косвенную дискриминацию по признаку пола. </w:t>
      </w:r>
    </w:p>
    <w:p w:rsidR="0035659B" w:rsidRPr="00FA72FB" w:rsidRDefault="0035659B" w:rsidP="0035659B">
      <w:pPr>
        <w:pStyle w:val="SingleTxtG"/>
      </w:pPr>
      <w:r>
        <w:t>24.</w:t>
      </w:r>
      <w:r>
        <w:tab/>
        <w:t xml:space="preserve">Цель Закона о равном обращении состоит в том, чтобы обеспечить защиту лиц от дискриминации по признаку национальной принадлежности (этнического происхождения), расы, цвета кожи, религии или других убеждений, возраста, инвалидности или сексуальной ориентации (статья 1). </w:t>
      </w:r>
    </w:p>
    <w:p w:rsidR="0035659B" w:rsidRPr="00FA72FB" w:rsidRDefault="0035659B" w:rsidP="0035659B">
      <w:pPr>
        <w:pStyle w:val="SingleTxtG"/>
      </w:pPr>
      <w:r>
        <w:t>25.</w:t>
      </w:r>
      <w:r>
        <w:tab/>
        <w:t xml:space="preserve">Сфера применения различается в зависимости от оснований для дискриминации, при этом предусмотрена более широкая защита от дискриминации по признаку национальной принадлежности (этнического происхождения), расы или цвета кожи (которая охватывает доступ к услугам социальной защиты, социального обеспечения и медицинского обслуживания, включая социальные пособия, и к услугам в области образования, а также доступ к товарам и услугам, которые обеспечиваются населению, включая жилье, и предоставление таких товаров и услуг). Дискриминация по признаку религии или убеждений, возраста, инвалидности и </w:t>
      </w:r>
      <w:r>
        <w:lastRenderedPageBreak/>
        <w:t xml:space="preserve">сексуальной ориентации запрещена в сфере трудовой деятельности и профессиональной подготовки. </w:t>
      </w:r>
    </w:p>
    <w:p w:rsidR="0035659B" w:rsidRPr="00FA72FB" w:rsidRDefault="0035659B" w:rsidP="0035659B">
      <w:pPr>
        <w:pStyle w:val="SingleTxtG"/>
      </w:pPr>
      <w:r>
        <w:t>26.</w:t>
      </w:r>
      <w:r>
        <w:tab/>
        <w:t xml:space="preserve">В настоящее время готовится проект предложения о внесении поправок в Закон о равном обращении в целях расширения сферы применения этого Закона в отношении дискриминации лиц по признаку религии или убеждений, возраста, инвалидности и сексуальной ориентации. Цель заключается в распространении сферы применения за пределы трудовой деятельности и охвате доступа к услугам социальной защиты, социального обеспечения и медицинского обслуживания, включая социальные пособия, и к услугам в области образования, а также доступа к товарам и услугам, которые обеспечиваются населению, включая жилье, и предоставления таких товаров и услуг. После формирования нового правительства </w:t>
      </w:r>
      <w:r w:rsidRPr="00F23A79">
        <w:t>весной 2019 года проект предложения пока не обсуждался</w:t>
      </w:r>
      <w:r>
        <w:t xml:space="preserve">. </w:t>
      </w:r>
    </w:p>
    <w:p w:rsidR="0035659B" w:rsidRPr="00FA72FB" w:rsidRDefault="0035659B" w:rsidP="0035659B">
      <w:pPr>
        <w:pStyle w:val="H23G"/>
      </w:pPr>
      <w:r>
        <w:tab/>
      </w:r>
      <w:r>
        <w:tab/>
      </w:r>
      <w:r>
        <w:rPr>
          <w:bCs/>
        </w:rPr>
        <w:t>Ответ на пункт 3 b) перечня вопросов</w:t>
      </w:r>
      <w:r>
        <w:t xml:space="preserve"> </w:t>
      </w:r>
    </w:p>
    <w:p w:rsidR="0035659B" w:rsidRPr="00FA72FB" w:rsidRDefault="0035659B" w:rsidP="0035659B">
      <w:pPr>
        <w:pStyle w:val="SingleTxtG"/>
      </w:pPr>
      <w:r>
        <w:t>27.</w:t>
      </w:r>
      <w:r>
        <w:tab/>
      </w:r>
      <w:proofErr w:type="gramStart"/>
      <w:r>
        <w:t>В</w:t>
      </w:r>
      <w:proofErr w:type="gramEnd"/>
      <w:r>
        <w:t xml:space="preserve"> целях предупреждения дискриминации в течение последних лет проводились различные информационно-просветительские кампании (см. также ответы на пункт 6 перечня вопросов по статье 8). </w:t>
      </w:r>
    </w:p>
    <w:p w:rsidR="0035659B" w:rsidRPr="00FA72FB" w:rsidRDefault="0035659B" w:rsidP="0035659B">
      <w:pPr>
        <w:pStyle w:val="SingleTxtG"/>
      </w:pPr>
      <w:r>
        <w:t>28.</w:t>
      </w:r>
      <w:r>
        <w:tab/>
        <w:t>Уполномоченный по вопросам гендерного равенства и равного обращения осуществляет контроль за соблюдением Закона о равном обращении и Закона о гендерном равенстве как в государственном, так и в частном секторе (см. также ответы на пункт 3 </w:t>
      </w:r>
      <w:r>
        <w:rPr>
          <w:lang w:val="en-US"/>
        </w:rPr>
        <w:t>d</w:t>
      </w:r>
      <w:r>
        <w:t>) и е) по статье 5 и пункт 4 </w:t>
      </w:r>
      <w:r>
        <w:rPr>
          <w:lang w:val="en-US"/>
        </w:rPr>
        <w:t>b</w:t>
      </w:r>
      <w:r>
        <w:t>) по статье 6</w:t>
      </w:r>
      <w:r w:rsidRPr="00B319AF">
        <w:t xml:space="preserve"> </w:t>
      </w:r>
      <w:r>
        <w:t>и прочие).</w:t>
      </w:r>
    </w:p>
    <w:p w:rsidR="0035659B" w:rsidRPr="00FA72FB" w:rsidRDefault="0035659B" w:rsidP="0035659B">
      <w:pPr>
        <w:pStyle w:val="SingleTxtG"/>
      </w:pPr>
      <w:r>
        <w:t>29.</w:t>
      </w:r>
      <w:r>
        <w:tab/>
        <w:t>С 1 января 2019 года Канцлер юстиции выполняет функции, указанные в пункте 2 статьи 33 Конвенции о правах инвалидов и касающиеся поощрения, защиты и мониторинга за осуществлением Конвенции (см. также ответы на пункт 22 по статье 29, пункт 24 b) по статье 33 и пункт 3 е) по статье 5).</w:t>
      </w:r>
    </w:p>
    <w:p w:rsidR="0035659B" w:rsidRPr="00FA72FB" w:rsidRDefault="0035659B" w:rsidP="0035659B">
      <w:pPr>
        <w:pStyle w:val="H23G"/>
      </w:pPr>
      <w:r>
        <w:tab/>
      </w:r>
      <w:r>
        <w:tab/>
      </w:r>
      <w:r>
        <w:rPr>
          <w:bCs/>
        </w:rPr>
        <w:t xml:space="preserve">Ответ на пункт 3 с) и </w:t>
      </w:r>
      <w:r>
        <w:rPr>
          <w:bCs/>
          <w:lang w:val="en-US"/>
        </w:rPr>
        <w:t>d</w:t>
      </w:r>
      <w:r w:rsidRPr="0060781E">
        <w:rPr>
          <w:bCs/>
        </w:rPr>
        <w:t>)</w:t>
      </w:r>
      <w:r>
        <w:rPr>
          <w:bCs/>
        </w:rPr>
        <w:t xml:space="preserve"> перечня вопросов</w:t>
      </w:r>
      <w:r>
        <w:t xml:space="preserve"> </w:t>
      </w:r>
    </w:p>
    <w:p w:rsidR="0035659B" w:rsidRPr="00FA72FB" w:rsidRDefault="0035659B" w:rsidP="0035659B">
      <w:pPr>
        <w:pStyle w:val="SingleTxtG"/>
      </w:pPr>
      <w:r>
        <w:t>30.</w:t>
      </w:r>
      <w:r>
        <w:tab/>
      </w:r>
      <w:proofErr w:type="gramStart"/>
      <w:r>
        <w:t>В</w:t>
      </w:r>
      <w:proofErr w:type="gramEnd"/>
      <w:r>
        <w:t xml:space="preserve"> соответствии со статьей 101 эстонского Закона о гигиене и безопасности труда рабочее оборудование и рабочее место инвалида должны быть приспособлены к его физическим и умственным возможностям. Это означает, что здание, рабочее помещение, рабочее место и рабочее оборудование должны быть доступны для работника-инвалида и пригодны для использования. Это требование применяется также в отношении остальных условий, обычно используемых маршрутов передвижения и нерабочих помещений, которыми пользуются работники-инвалиды.</w:t>
      </w:r>
    </w:p>
    <w:p w:rsidR="0035659B" w:rsidRPr="00FA72FB" w:rsidRDefault="0035659B" w:rsidP="0035659B">
      <w:pPr>
        <w:pStyle w:val="SingleTxtG"/>
      </w:pPr>
      <w:r>
        <w:t>31.</w:t>
      </w:r>
      <w:r>
        <w:tab/>
        <w:t xml:space="preserve">Работодатели должны принимать надлежащие меры, когда это необходимо в конкретном случае, для того чтобы обеспечить инвалиду доступ к трудоустройству, рабочее место или продвижение по службе или доступ к профессиональной подготовке, если только такие меры не увеличат нагрузку на работодателя несоразмерным образом. </w:t>
      </w:r>
    </w:p>
    <w:p w:rsidR="0035659B" w:rsidRPr="00FA72FB" w:rsidRDefault="0035659B" w:rsidP="0035659B">
      <w:pPr>
        <w:pStyle w:val="SingleTxtG"/>
      </w:pPr>
      <w:r>
        <w:t>32.</w:t>
      </w:r>
      <w:r>
        <w:tab/>
        <w:t xml:space="preserve">Работник имеет право на отказ от выполнения работы или прекратить выполнение работы, которое создает угрозу для его здоровья или здоровья других лиц или не позволяет выполнить требования экологической безопасности (эстонский Закон о гигиене и безопасности труда, подпункт 4 пункта 5 статьи 14). </w:t>
      </w:r>
    </w:p>
    <w:p w:rsidR="0035659B" w:rsidRPr="00FA72FB" w:rsidRDefault="0035659B" w:rsidP="0035659B">
      <w:pPr>
        <w:pStyle w:val="SingleTxtG"/>
      </w:pPr>
      <w:r>
        <w:t>33.</w:t>
      </w:r>
      <w:r>
        <w:tab/>
        <w:t xml:space="preserve">Несоблюдение статьи 101 эстонского Закона о гигиене и безопасности труда не влечет за собой непосредственного наказания. Вместе с тем оно карается штрафом в размере до 300 штрафных единиц, если работодатель не принимает надлежащие меры, гарантирующие выполнение требований в отношении охраны здоровья и техники безопасности на рабочем месте, тем самым ставя под угрозу здоровье и безопасность работников, в соответствии со статьей 27 Закона о гигиене и безопасности труда. </w:t>
      </w:r>
    </w:p>
    <w:p w:rsidR="0035659B" w:rsidRPr="00FA72FB" w:rsidRDefault="0035659B" w:rsidP="0035659B">
      <w:pPr>
        <w:pStyle w:val="SingleTxtG"/>
      </w:pPr>
      <w:r>
        <w:t>34.</w:t>
      </w:r>
      <w:r>
        <w:tab/>
        <w:t>Уполномоченный по вопросам гендерного равенства и равного обращения осуществляет контроль за соблюдением Закона о равном обращении и выносит заключения относительно предполагаемых случаев дискриминации на основании заявлений, поданных лицами, которые могут быть использованы заявителем в суде или другой предусмотренной законом инстанции.</w:t>
      </w:r>
    </w:p>
    <w:p w:rsidR="0035659B" w:rsidRPr="00FA72FB" w:rsidRDefault="0035659B" w:rsidP="0035659B">
      <w:pPr>
        <w:pStyle w:val="H23G"/>
      </w:pPr>
      <w:r>
        <w:lastRenderedPageBreak/>
        <w:tab/>
      </w:r>
      <w:r>
        <w:tab/>
      </w:r>
      <w:r>
        <w:rPr>
          <w:bCs/>
        </w:rPr>
        <w:t>Ответ на пункт 3 (е) перечня вопросов</w:t>
      </w:r>
      <w:r>
        <w:t xml:space="preserve"> </w:t>
      </w:r>
    </w:p>
    <w:p w:rsidR="0035659B" w:rsidRPr="00FA72FB" w:rsidRDefault="0035659B" w:rsidP="0035659B">
      <w:pPr>
        <w:pStyle w:val="SingleTxtG"/>
      </w:pPr>
      <w:r>
        <w:t>35.</w:t>
      </w:r>
      <w:r>
        <w:tab/>
        <w:t xml:space="preserve">Уполномоченный по вопросам гендерного равенства и равного обращения осуществляет контроль за соблюдением Закона о равном обращении и Закона о гендерном равенстве как в государственном, так и в частном секторе. </w:t>
      </w:r>
    </w:p>
    <w:p w:rsidR="0035659B" w:rsidRPr="00FA72FB" w:rsidRDefault="0035659B" w:rsidP="0035659B">
      <w:pPr>
        <w:pStyle w:val="SingleTxtG"/>
      </w:pPr>
      <w:r>
        <w:t>36.</w:t>
      </w:r>
      <w:r>
        <w:tab/>
        <w:t>По статистическим данным канцелярии Уполномоченного, в 2015–2019 годах Уполномоченному было подано в общей сложности 1</w:t>
      </w:r>
      <w:r>
        <w:rPr>
          <w:lang w:val="en-US"/>
        </w:rPr>
        <w:t> </w:t>
      </w:r>
      <w:r>
        <w:t xml:space="preserve">450 жалоб. Доля жалоб, связанных с инвалидностью, составила 17%. </w:t>
      </w:r>
    </w:p>
    <w:p w:rsidR="0035659B" w:rsidRPr="00FA72FB" w:rsidRDefault="0035659B" w:rsidP="0035659B">
      <w:pPr>
        <w:pStyle w:val="SingleTxtG"/>
      </w:pPr>
      <w:r>
        <w:t>37.</w:t>
      </w:r>
      <w:r>
        <w:tab/>
        <w:t>Среди заявителей, которые жаловались на дискриминацию по признаку инвалидности, доля женщин составила 60% и мужчин</w:t>
      </w:r>
      <w:r w:rsidRPr="0035659B">
        <w:t xml:space="preserve"> –</w:t>
      </w:r>
      <w:r>
        <w:t xml:space="preserve"> 20%, а на долю компаний, третьего сектора и неизвестных лиц, подавших жалобы, приходилось 20%. Данные о возрасте заявителей не собираются. </w:t>
      </w:r>
    </w:p>
    <w:p w:rsidR="0035659B" w:rsidRPr="00FA72FB" w:rsidRDefault="0035659B" w:rsidP="0035659B">
      <w:pPr>
        <w:pStyle w:val="SingleTxtG"/>
      </w:pPr>
      <w:r>
        <w:t>38.</w:t>
      </w:r>
      <w:r>
        <w:tab/>
      </w:r>
      <w:r w:rsidRPr="004F6FF7">
        <w:t>Среди</w:t>
      </w:r>
      <w:r>
        <w:t xml:space="preserve"> заявителей жалоб 58% составляли неизвестные лица, 26% жалоб поступили от государственного сектора, 13%</w:t>
      </w:r>
      <w:r w:rsidRPr="0035659B">
        <w:t xml:space="preserve"> –</w:t>
      </w:r>
      <w:r>
        <w:t xml:space="preserve"> от частного сектора и 3%</w:t>
      </w:r>
      <w:r w:rsidRPr="0035659B">
        <w:t xml:space="preserve"> –</w:t>
      </w:r>
      <w:r>
        <w:t xml:space="preserve"> от третьего сектора. Препятствия, выявленные в 2017–2019 годах, были связаны с трудоустройством (26%), образованием (13%), доступом к товарам и услугам (10%), социальной помощью, социальными услугами и медицинским обслуживанием (5%), другими областями, выходящими за рамки компетенции Уполномоченного (46%). В 2016 году 27% относились к товарам и услугам, 24%</w:t>
      </w:r>
      <w:r w:rsidRPr="0035659B">
        <w:t xml:space="preserve"> –</w:t>
      </w:r>
      <w:r>
        <w:t xml:space="preserve"> к трудоустройству, </w:t>
      </w:r>
      <w:r>
        <w:br/>
        <w:t>18%</w:t>
      </w:r>
      <w:r w:rsidRPr="0035659B">
        <w:t xml:space="preserve"> –</w:t>
      </w:r>
      <w:r>
        <w:t xml:space="preserve"> к социальной помощи, социальным услугам и медицинскому обслуживанию, 16%</w:t>
      </w:r>
      <w:r w:rsidRPr="0035659B">
        <w:t xml:space="preserve"> –</w:t>
      </w:r>
      <w:r>
        <w:t xml:space="preserve"> к образованию и 16%</w:t>
      </w:r>
      <w:r w:rsidRPr="0035659B">
        <w:t xml:space="preserve"> –</w:t>
      </w:r>
      <w:r>
        <w:t xml:space="preserve"> к другим областям, выходящим за рамки компетенции Уполномоченного.</w:t>
      </w:r>
    </w:p>
    <w:p w:rsidR="0035659B" w:rsidRPr="00FA72FB" w:rsidRDefault="0035659B" w:rsidP="0035659B">
      <w:pPr>
        <w:pStyle w:val="SingleTxtG"/>
      </w:pPr>
      <w:r>
        <w:t>39.</w:t>
      </w:r>
      <w:r>
        <w:tab/>
        <w:t xml:space="preserve">Уполномоченный выносит заключения, но не имеет права налагать санкции. </w:t>
      </w:r>
    </w:p>
    <w:p w:rsidR="0035659B" w:rsidRPr="00FA72FB" w:rsidRDefault="0035659B" w:rsidP="0035659B">
      <w:pPr>
        <w:pStyle w:val="SingleTxtG"/>
      </w:pPr>
      <w:r>
        <w:t>40.</w:t>
      </w:r>
      <w:r>
        <w:tab/>
        <w:t>Статистические данные канцелярии Канцлера юстиции показывают, что число жалоб увеличилось (с 1</w:t>
      </w:r>
      <w:r>
        <w:rPr>
          <w:lang w:val="en-US"/>
        </w:rPr>
        <w:t> </w:t>
      </w:r>
      <w:r>
        <w:t>484 в 2016 году до 1</w:t>
      </w:r>
      <w:r>
        <w:rPr>
          <w:lang w:val="en-US"/>
        </w:rPr>
        <w:t> </w:t>
      </w:r>
      <w:r>
        <w:t>652 в 2018 году). Однако, поскольку лицо не всегда заявляет о своей инвалидности, невозможно определить точное число заявителей среди инвалидов. Тем не менее число жалоб, касающихся прав инвалидов, каждый год неуклонно росло</w:t>
      </w:r>
      <w:r w:rsidRPr="0035659B">
        <w:t xml:space="preserve"> –</w:t>
      </w:r>
      <w:r>
        <w:t xml:space="preserve"> с 37 в 2016 году до 88 в 2019 году (по состоянию на сентябрь 2019 года). </w:t>
      </w:r>
    </w:p>
    <w:p w:rsidR="0035659B" w:rsidRPr="00FA72FB" w:rsidRDefault="0035659B" w:rsidP="0035659B">
      <w:pPr>
        <w:pStyle w:val="SingleTxtG"/>
      </w:pPr>
      <w:r>
        <w:t>41.</w:t>
      </w:r>
      <w:r>
        <w:tab/>
        <w:t xml:space="preserve">Не было вынесено ни одного решения высокого суда, которое ссылалось бы </w:t>
      </w:r>
      <w:r w:rsidR="00D32525">
        <w:t xml:space="preserve">на </w:t>
      </w:r>
      <w:r>
        <w:t xml:space="preserve">Конвенцию о правах инвалидов. </w:t>
      </w:r>
    </w:p>
    <w:p w:rsidR="0035659B" w:rsidRPr="004E3E69" w:rsidRDefault="0035659B" w:rsidP="0035659B">
      <w:pPr>
        <w:pStyle w:val="HChG"/>
      </w:pPr>
      <w:r w:rsidRPr="004E3E69">
        <w:tab/>
      </w:r>
      <w:r w:rsidRPr="004E3E69">
        <w:tab/>
        <w:t xml:space="preserve">Женщины-инвалиды (статья 6) </w:t>
      </w:r>
    </w:p>
    <w:p w:rsidR="0035659B" w:rsidRPr="00FA72FB" w:rsidRDefault="0035659B" w:rsidP="0035659B">
      <w:pPr>
        <w:pStyle w:val="H23G"/>
      </w:pPr>
      <w:r>
        <w:tab/>
      </w:r>
      <w:r>
        <w:tab/>
      </w:r>
      <w:r>
        <w:rPr>
          <w:bCs/>
        </w:rPr>
        <w:t xml:space="preserve">Ответ на пункт </w:t>
      </w:r>
      <w:proofErr w:type="gramStart"/>
      <w:r>
        <w:rPr>
          <w:bCs/>
        </w:rPr>
        <w:t>4</w:t>
      </w:r>
      <w:proofErr w:type="gramEnd"/>
      <w:r>
        <w:rPr>
          <w:bCs/>
        </w:rPr>
        <w:t xml:space="preserve"> а) перечня вопросов</w:t>
      </w:r>
      <w:r>
        <w:t xml:space="preserve"> </w:t>
      </w:r>
    </w:p>
    <w:p w:rsidR="0035659B" w:rsidRPr="00FA72FB" w:rsidRDefault="0035659B" w:rsidP="0035659B">
      <w:pPr>
        <w:pStyle w:val="SingleTxtG"/>
      </w:pPr>
      <w:r>
        <w:t>42.</w:t>
      </w:r>
      <w:r>
        <w:tab/>
      </w:r>
      <w:r w:rsidRPr="006C52B6">
        <w:t>Центр поддержки</w:t>
      </w:r>
      <w:r>
        <w:t xml:space="preserve"> женщин предоставляет комплекс услуг в целях оказания помощи всем женщинам, ставшим жертвами насилия, и их детям и восстановления их способности самостоятельно справиться с ситуацией путем их размещения в безопасных условиях и дачи консультаций, а в случае необходимости</w:t>
      </w:r>
      <w:r w:rsidRPr="0035659B">
        <w:t xml:space="preserve"> –</w:t>
      </w:r>
      <w:r>
        <w:t xml:space="preserve"> предоставления временного жилья для женщины и сопровождающих ее детей. Эти услуги должны быть доступны для всех жертв независимо от их возраста, вероисповедания, гражданства, этнической принадлежности, сексуальной ориентации, состояния здоровья и социального статуса. </w:t>
      </w:r>
    </w:p>
    <w:p w:rsidR="0035659B" w:rsidRPr="00FA72FB" w:rsidRDefault="0035659B" w:rsidP="0035659B">
      <w:pPr>
        <w:pStyle w:val="SingleTxtG"/>
      </w:pPr>
      <w:r>
        <w:t>43.</w:t>
      </w:r>
      <w:r>
        <w:tab/>
        <w:t>На практике женщины-инвалиды получают консультации на дому или в общественных местах, либо в сотрудничестве с местными социальными службами подыскиваются доступные помещения для проведения консультаций. Не все помещения центра поддержки женщин, предназначенные для консультаций, являются доступными. Из общего числа потерпевших</w:t>
      </w:r>
      <w:r w:rsidR="00D32525">
        <w:t>, получающих помощь, только 10% </w:t>
      </w:r>
      <w:r>
        <w:t xml:space="preserve">нуждаются в предоставлении приюта. В Эстонии лишь </w:t>
      </w:r>
      <w:r w:rsidR="00D32525">
        <w:t>1</w:t>
      </w:r>
      <w:r>
        <w:t xml:space="preserve"> из 15 приютов построен специально для женщин-инвалидов; остальные частично приспособлены для приема женщин-инвалидов, а некоторые не приспособлены вовсе. Тем не менее все женщины, которые добрались до службы и которые имеют ту или иную степень инвалидности, получают помощь на основе взаимодействия с местными департаментами социального обслуживания. При этом используются также услуги </w:t>
      </w:r>
      <w:proofErr w:type="spellStart"/>
      <w:r>
        <w:t>сурдопереводчиков</w:t>
      </w:r>
      <w:proofErr w:type="spellEnd"/>
      <w:r>
        <w:t>.</w:t>
      </w:r>
    </w:p>
    <w:p w:rsidR="0035659B" w:rsidRPr="00FA72FB" w:rsidRDefault="0035659B" w:rsidP="0035659B">
      <w:pPr>
        <w:pStyle w:val="H23G"/>
      </w:pPr>
      <w:r>
        <w:lastRenderedPageBreak/>
        <w:tab/>
      </w:r>
      <w:r>
        <w:tab/>
      </w:r>
      <w:r>
        <w:rPr>
          <w:bCs/>
        </w:rPr>
        <w:t>Ответ на пункт 4 b) перечня вопросов</w:t>
      </w:r>
      <w:r>
        <w:t xml:space="preserve"> </w:t>
      </w:r>
    </w:p>
    <w:p w:rsidR="0035659B" w:rsidRPr="00FA72FB" w:rsidRDefault="0035659B" w:rsidP="0035659B">
      <w:pPr>
        <w:pStyle w:val="SingleTxtG"/>
      </w:pPr>
      <w:r>
        <w:t>44.</w:t>
      </w:r>
      <w:r>
        <w:tab/>
      </w:r>
      <w:proofErr w:type="gramStart"/>
      <w:r>
        <w:t>В</w:t>
      </w:r>
      <w:proofErr w:type="gramEnd"/>
      <w:r>
        <w:t xml:space="preserve"> целях повышения осведомленности об оказываемых центрами поддержки женщин услугах такой центр в Пярну организовал в 2019 году проведение мини-кампании с использованием </w:t>
      </w:r>
      <w:proofErr w:type="spellStart"/>
      <w:r>
        <w:t>сурдоперевода</w:t>
      </w:r>
      <w:proofErr w:type="spellEnd"/>
      <w:r>
        <w:t xml:space="preserve"> под лозунгом «Есть способ освободиться от насилия»</w:t>
      </w:r>
      <w:r w:rsidRPr="00060D87">
        <w:rPr>
          <w:rStyle w:val="aa"/>
        </w:rPr>
        <w:footnoteReference w:id="3"/>
      </w:r>
      <w:r>
        <w:t xml:space="preserve">, которая предназначалась для женщин, ставших жертвами насилия в интимных отношениях. Кампания получила весьма позитивные отзывы. </w:t>
      </w:r>
    </w:p>
    <w:p w:rsidR="0035659B" w:rsidRPr="00FA72FB" w:rsidRDefault="0035659B" w:rsidP="0035659B">
      <w:pPr>
        <w:pStyle w:val="SingleTxtG"/>
      </w:pPr>
      <w:r>
        <w:t>45.</w:t>
      </w:r>
      <w:r>
        <w:tab/>
        <w:t>Благодаря грантам, полученным от Норвегии, в 2020–2022 годах будет разработан справочник по качеству услуг. В целях повышения качества услуг, оказываемых центрами поддержки для защиты прав женщин-инвалидов, работа над этим справочником будет проводиться в сотрудничестве с Эстонской ассоциацией женщин-инвалидов.</w:t>
      </w:r>
    </w:p>
    <w:p w:rsidR="0035659B" w:rsidRPr="00FA72FB" w:rsidRDefault="0035659B" w:rsidP="0035659B">
      <w:pPr>
        <w:pStyle w:val="SingleTxtG"/>
      </w:pPr>
      <w:r>
        <w:t>46.</w:t>
      </w:r>
      <w:r>
        <w:tab/>
        <w:t xml:space="preserve">В 2013–2016 годах канцелярия Уполномоченного по вопросам гендерного равенства и равного обращения осуществила проект, который финансировался за счет предоставленных Норвегией грантов. В рамках этого проекта были составлены и опубликованы информационные материалы </w:t>
      </w:r>
      <w:r w:rsidR="00F743D0">
        <w:t>о принципе равного обращения, в </w:t>
      </w:r>
      <w:r>
        <w:t xml:space="preserve">которых особое внимание уделялось меньшинствам и уязвимым социальным группам в связи с дискриминацией по признаку этнической принадлежности, инвалидности, возраста и сексуальной ориентации. </w:t>
      </w:r>
    </w:p>
    <w:p w:rsidR="0035659B" w:rsidRPr="00FA72FB" w:rsidRDefault="0035659B" w:rsidP="0035659B">
      <w:pPr>
        <w:pStyle w:val="SingleTxtG"/>
      </w:pPr>
      <w:r>
        <w:t>47.</w:t>
      </w:r>
      <w:r>
        <w:tab/>
      </w:r>
      <w:proofErr w:type="gramStart"/>
      <w:r>
        <w:t>В</w:t>
      </w:r>
      <w:proofErr w:type="gramEnd"/>
      <w:r>
        <w:t xml:space="preserve"> рамках этого проекта был разработан механизм оценки равенства. В 2016 году был опубликован доклад об исследовании в облас</w:t>
      </w:r>
      <w:r w:rsidR="00F743D0">
        <w:t>т</w:t>
      </w:r>
      <w:r>
        <w:t>и оце</w:t>
      </w:r>
      <w:r w:rsidR="00D32525">
        <w:t>нки равенства, в </w:t>
      </w:r>
      <w:r>
        <w:t xml:space="preserve">котором предлагались показатели для выявления неравенства по признаку пола, инвалидности, этнического происхождения, возраста и сексуальной ориентации. Кроме того, был представлен анализ положения лиц, принадлежащих к различным группам населения. </w:t>
      </w:r>
    </w:p>
    <w:p w:rsidR="0035659B" w:rsidRPr="00FA72FB" w:rsidRDefault="0035659B" w:rsidP="0035659B">
      <w:pPr>
        <w:pStyle w:val="SingleTxtG"/>
      </w:pPr>
      <w:r>
        <w:t>48.</w:t>
      </w:r>
      <w:r>
        <w:tab/>
        <w:t xml:space="preserve">При поддержке норвежских грантов в 2013–2016 годах канцелярия Уполномоченного осуществила проект в целях обеспечения гендерного равенства путем расширения прав и возможностей, повышения уровня информированности и привлечения внимания </w:t>
      </w:r>
      <w:proofErr w:type="gramStart"/>
      <w:r>
        <w:t>в гендерным проблемам</w:t>
      </w:r>
      <w:proofErr w:type="gramEnd"/>
      <w:r>
        <w:t xml:space="preserve">. Одним из направлений деятельности в рамках проекта было повышение эффективности правовой защиты от дискриминации по гендерному признаку посредством повышения осведомленности о правах человека и оказания помощи жертвам дискриминации непосредственно путем проведения резонансных судебных процессов и укрепления потенциала должностных лиц, оказывающих помощь жертвам дискриминации. В рамках этого проекта уделялось особое внимание меньшинствам и уязвимым социальным группам, которые чаще становятся жертвами гендерной дискриминации и множественной дискриминации. </w:t>
      </w:r>
    </w:p>
    <w:p w:rsidR="0035659B" w:rsidRPr="00FA72FB" w:rsidRDefault="0035659B" w:rsidP="0035659B">
      <w:pPr>
        <w:pStyle w:val="H23G"/>
      </w:pPr>
      <w:r>
        <w:tab/>
      </w:r>
      <w:r>
        <w:tab/>
      </w:r>
      <w:r>
        <w:rPr>
          <w:bCs/>
        </w:rPr>
        <w:t>Ответ на пункт 4 с) перечня вопросов</w:t>
      </w:r>
      <w:r>
        <w:t xml:space="preserve"> </w:t>
      </w:r>
    </w:p>
    <w:p w:rsidR="0035659B" w:rsidRPr="00FA72FB" w:rsidRDefault="0035659B" w:rsidP="0035659B">
      <w:pPr>
        <w:pStyle w:val="SingleTxtG"/>
      </w:pPr>
      <w:r>
        <w:t>49.</w:t>
      </w:r>
      <w:r>
        <w:tab/>
        <w:t xml:space="preserve">Весной 2019 года Центр политических исследований </w:t>
      </w:r>
      <w:r w:rsidRPr="00E31BBF">
        <w:t>P</w:t>
      </w:r>
      <w:r>
        <w:rPr>
          <w:lang w:val="en-US"/>
        </w:rPr>
        <w:t>RAXIS</w:t>
      </w:r>
      <w:r>
        <w:t xml:space="preserve"> приступил к осуществлению нового, рассчитанного на 22 месяца проекта «Вовлечение женщин во власть», который направлен на расширение доступа женщин к принятию решений на высшем политическом уровне. Финансирование проекта обеспечивается Европейской комиссией и более мелкими спонсорами, включая Министерство социальных дел Эстонии. </w:t>
      </w:r>
    </w:p>
    <w:p w:rsidR="0035659B" w:rsidRPr="00FA72FB" w:rsidRDefault="0035659B" w:rsidP="0035659B">
      <w:pPr>
        <w:pStyle w:val="SingleTxtG"/>
      </w:pPr>
      <w:r>
        <w:t>50.</w:t>
      </w:r>
      <w:r>
        <w:tab/>
        <w:t xml:space="preserve">Этот проект ориентирован не конкретно на женщин-инвалидов, а на достижение более широкой цели углубления знаний, повышение уровня информированности и понимания важности гендерного равенства при выработке государственных решений и в работе средств массовой информации, значения роли политических организаций в расширении прав и возможностей женщин для продвижения на более высокие посты, а также прозрачности и доверия в публичном пространстве. </w:t>
      </w:r>
    </w:p>
    <w:p w:rsidR="0035659B" w:rsidRPr="00FA72FB" w:rsidRDefault="0035659B" w:rsidP="0035659B">
      <w:pPr>
        <w:pStyle w:val="SingleTxtG"/>
      </w:pPr>
      <w:r>
        <w:t>51.</w:t>
      </w:r>
      <w:r>
        <w:tab/>
      </w:r>
      <w:proofErr w:type="gramStart"/>
      <w:r>
        <w:t>В</w:t>
      </w:r>
      <w:proofErr w:type="gramEnd"/>
      <w:r>
        <w:t xml:space="preserve"> рамках этой деятельности разрабатываются и распространяются практичные решения, предложения, примеры передовой практики и методические пособия. </w:t>
      </w:r>
      <w:r>
        <w:lastRenderedPageBreak/>
        <w:t>Стратегии повышения осведомленности и вовлечения женщин основаны на предварительном качественном анализе, проведенном с участием женщин-политиков, включая тех, которые были, являются или стремя</w:t>
      </w:r>
      <w:r w:rsidR="00D32525">
        <w:t>тся стать членами парламента, и </w:t>
      </w:r>
      <w:r>
        <w:t xml:space="preserve">журналистов, освещающих вопросы политики в различных средствах массовой информации. При применении такого подхода предлагаемые решения основаны на личном опыте (и опыте коллег по политической партии и фракции) и, таким образом, учитывают мнения женщин-инвалидов. По возможности в стратегиях развития и мерах по вовлечению женщин изучаются и учитываются мнения, потребности и опыт различных женщин, </w:t>
      </w:r>
      <w:proofErr w:type="gramStart"/>
      <w:r>
        <w:t>например</w:t>
      </w:r>
      <w:proofErr w:type="gramEnd"/>
      <w:r>
        <w:t xml:space="preserve"> с разным этническим происхождением, социально-экономическим статусом, способностями и др. </w:t>
      </w:r>
    </w:p>
    <w:p w:rsidR="0035659B" w:rsidRPr="00621C91" w:rsidRDefault="0035659B" w:rsidP="0035659B">
      <w:pPr>
        <w:pStyle w:val="H1G"/>
      </w:pPr>
      <w:r w:rsidRPr="00621C91">
        <w:tab/>
      </w:r>
      <w:r w:rsidRPr="00621C91">
        <w:tab/>
        <w:t>Дети-инвалиды (статья 7)</w:t>
      </w:r>
    </w:p>
    <w:p w:rsidR="0035659B" w:rsidRPr="00FA72FB" w:rsidRDefault="0035659B" w:rsidP="0035659B">
      <w:pPr>
        <w:pStyle w:val="H23G"/>
      </w:pPr>
      <w:r>
        <w:tab/>
      </w:r>
      <w:r>
        <w:tab/>
      </w:r>
      <w:r>
        <w:rPr>
          <w:bCs/>
        </w:rPr>
        <w:t xml:space="preserve">Ответ на пункт </w:t>
      </w:r>
      <w:proofErr w:type="gramStart"/>
      <w:r>
        <w:rPr>
          <w:bCs/>
        </w:rPr>
        <w:t>5</w:t>
      </w:r>
      <w:proofErr w:type="gramEnd"/>
      <w:r>
        <w:rPr>
          <w:bCs/>
        </w:rPr>
        <w:t xml:space="preserve"> а) перечня вопросов</w:t>
      </w:r>
      <w:r>
        <w:t xml:space="preserve"> </w:t>
      </w:r>
    </w:p>
    <w:p w:rsidR="0035659B" w:rsidRPr="00FA72FB" w:rsidRDefault="0035659B" w:rsidP="0035659B">
      <w:pPr>
        <w:pStyle w:val="SingleTxtG"/>
      </w:pPr>
      <w:r>
        <w:t>52.</w:t>
      </w:r>
      <w:r>
        <w:tab/>
        <w:t>Число и доля детей-инвалидов, содержащихся в специализированных учреждениях, ежегодно сокращается, как показано в таблице ниже.</w:t>
      </w:r>
    </w:p>
    <w:p w:rsidR="0035659B" w:rsidRPr="00F743D0" w:rsidRDefault="00F743D0" w:rsidP="0035659B">
      <w:pPr>
        <w:pStyle w:val="1"/>
        <w:rPr>
          <w:b w:val="0"/>
        </w:rPr>
      </w:pPr>
      <w:r>
        <w:tab/>
      </w:r>
      <w:r>
        <w:tab/>
      </w:r>
      <w:r w:rsidR="0035659B" w:rsidRPr="00F743D0">
        <w:rPr>
          <w:b w:val="0"/>
        </w:rPr>
        <w:t>Таблица 1</w:t>
      </w:r>
    </w:p>
    <w:p w:rsidR="0035659B" w:rsidRPr="00FA72FB" w:rsidRDefault="0035659B" w:rsidP="0035659B">
      <w:pPr>
        <w:pStyle w:val="SingleTxtG"/>
        <w:jc w:val="left"/>
        <w:rPr>
          <w:b/>
          <w:bCs/>
        </w:rPr>
      </w:pPr>
      <w:r>
        <w:rPr>
          <w:b/>
          <w:bCs/>
        </w:rPr>
        <w:t>Число и доля детей-инвалидов в специализированных учреждениях (на конец года)</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10"/>
        <w:gridCol w:w="1340"/>
        <w:gridCol w:w="1340"/>
        <w:gridCol w:w="1340"/>
        <w:gridCol w:w="1340"/>
      </w:tblGrid>
      <w:tr w:rsidR="0035659B" w:rsidRPr="00621C91" w:rsidTr="0035659B">
        <w:trPr>
          <w:tblHeader/>
        </w:trPr>
        <w:tc>
          <w:tcPr>
            <w:tcW w:w="2552" w:type="dxa"/>
            <w:tcBorders>
              <w:top w:val="single" w:sz="4" w:space="0" w:color="auto"/>
              <w:bottom w:val="single" w:sz="12" w:space="0" w:color="auto"/>
            </w:tcBorders>
            <w:shd w:val="clear" w:color="auto" w:fill="auto"/>
            <w:vAlign w:val="bottom"/>
          </w:tcPr>
          <w:p w:rsidR="0035659B" w:rsidRPr="00621C91" w:rsidRDefault="0035659B" w:rsidP="0035659B">
            <w:pPr>
              <w:pStyle w:val="SingleTxtG"/>
              <w:spacing w:before="80" w:after="80" w:line="200" w:lineRule="exact"/>
              <w:ind w:left="0" w:right="113"/>
              <w:jc w:val="left"/>
              <w:rPr>
                <w:i/>
                <w:sz w:val="16"/>
                <w:szCs w:val="16"/>
              </w:rPr>
            </w:pPr>
          </w:p>
        </w:tc>
        <w:tc>
          <w:tcPr>
            <w:tcW w:w="1701" w:type="dxa"/>
            <w:tcBorders>
              <w:top w:val="single" w:sz="4" w:space="0" w:color="auto"/>
              <w:bottom w:val="single" w:sz="12" w:space="0" w:color="auto"/>
            </w:tcBorders>
            <w:shd w:val="clear" w:color="auto" w:fill="auto"/>
            <w:vAlign w:val="bottom"/>
          </w:tcPr>
          <w:p w:rsidR="0035659B" w:rsidRPr="00621C91" w:rsidRDefault="0035659B" w:rsidP="0035659B">
            <w:pPr>
              <w:pStyle w:val="SingleTxtG"/>
              <w:spacing w:before="80" w:after="80" w:line="200" w:lineRule="exact"/>
              <w:ind w:left="0" w:right="113"/>
              <w:jc w:val="right"/>
              <w:rPr>
                <w:i/>
                <w:sz w:val="16"/>
                <w:szCs w:val="16"/>
              </w:rPr>
            </w:pPr>
            <w:r w:rsidRPr="00621C91">
              <w:rPr>
                <w:i/>
                <w:iCs/>
                <w:sz w:val="16"/>
                <w:szCs w:val="16"/>
              </w:rPr>
              <w:t>2015</w:t>
            </w:r>
            <w:r>
              <w:rPr>
                <w:i/>
                <w:iCs/>
                <w:sz w:val="16"/>
                <w:szCs w:val="16"/>
              </w:rPr>
              <w:t xml:space="preserve"> год</w:t>
            </w:r>
          </w:p>
        </w:tc>
        <w:tc>
          <w:tcPr>
            <w:tcW w:w="1701" w:type="dxa"/>
            <w:tcBorders>
              <w:top w:val="single" w:sz="4" w:space="0" w:color="auto"/>
              <w:bottom w:val="single" w:sz="12" w:space="0" w:color="auto"/>
            </w:tcBorders>
            <w:shd w:val="clear" w:color="auto" w:fill="auto"/>
            <w:vAlign w:val="bottom"/>
          </w:tcPr>
          <w:p w:rsidR="0035659B" w:rsidRPr="00621C91" w:rsidRDefault="0035659B" w:rsidP="0035659B">
            <w:pPr>
              <w:pStyle w:val="SingleTxtG"/>
              <w:spacing w:before="80" w:after="80" w:line="200" w:lineRule="exact"/>
              <w:ind w:left="0" w:right="113"/>
              <w:jc w:val="right"/>
              <w:rPr>
                <w:i/>
                <w:sz w:val="16"/>
                <w:szCs w:val="16"/>
              </w:rPr>
            </w:pPr>
            <w:r w:rsidRPr="00621C91">
              <w:rPr>
                <w:i/>
                <w:iCs/>
                <w:sz w:val="16"/>
                <w:szCs w:val="16"/>
              </w:rPr>
              <w:t>2016</w:t>
            </w:r>
            <w:r>
              <w:rPr>
                <w:i/>
                <w:iCs/>
                <w:sz w:val="16"/>
                <w:szCs w:val="16"/>
              </w:rPr>
              <w:t xml:space="preserve"> год</w:t>
            </w:r>
          </w:p>
        </w:tc>
        <w:tc>
          <w:tcPr>
            <w:tcW w:w="1701" w:type="dxa"/>
            <w:tcBorders>
              <w:top w:val="single" w:sz="4" w:space="0" w:color="auto"/>
              <w:bottom w:val="single" w:sz="12" w:space="0" w:color="auto"/>
            </w:tcBorders>
            <w:shd w:val="clear" w:color="auto" w:fill="auto"/>
            <w:vAlign w:val="bottom"/>
          </w:tcPr>
          <w:p w:rsidR="0035659B" w:rsidRPr="00621C91" w:rsidRDefault="0035659B" w:rsidP="0035659B">
            <w:pPr>
              <w:pStyle w:val="SingleTxtG"/>
              <w:spacing w:before="80" w:after="80" w:line="200" w:lineRule="exact"/>
              <w:ind w:left="0" w:right="113"/>
              <w:jc w:val="right"/>
              <w:rPr>
                <w:i/>
                <w:sz w:val="16"/>
                <w:szCs w:val="16"/>
              </w:rPr>
            </w:pPr>
            <w:r w:rsidRPr="00621C91">
              <w:rPr>
                <w:i/>
                <w:iCs/>
                <w:sz w:val="16"/>
                <w:szCs w:val="16"/>
              </w:rPr>
              <w:t>2017</w:t>
            </w:r>
            <w:r>
              <w:rPr>
                <w:i/>
                <w:iCs/>
                <w:sz w:val="16"/>
                <w:szCs w:val="16"/>
              </w:rPr>
              <w:t xml:space="preserve"> год</w:t>
            </w:r>
          </w:p>
        </w:tc>
        <w:tc>
          <w:tcPr>
            <w:tcW w:w="1701" w:type="dxa"/>
            <w:tcBorders>
              <w:top w:val="single" w:sz="4" w:space="0" w:color="auto"/>
              <w:bottom w:val="single" w:sz="12" w:space="0" w:color="auto"/>
            </w:tcBorders>
            <w:shd w:val="clear" w:color="auto" w:fill="auto"/>
            <w:vAlign w:val="bottom"/>
          </w:tcPr>
          <w:p w:rsidR="0035659B" w:rsidRPr="00621C91" w:rsidRDefault="0035659B" w:rsidP="0035659B">
            <w:pPr>
              <w:pStyle w:val="SingleTxtG"/>
              <w:spacing w:before="80" w:after="80" w:line="200" w:lineRule="exact"/>
              <w:ind w:left="0" w:right="113"/>
              <w:jc w:val="right"/>
              <w:rPr>
                <w:i/>
                <w:sz w:val="16"/>
                <w:szCs w:val="16"/>
              </w:rPr>
            </w:pPr>
            <w:r w:rsidRPr="00621C91">
              <w:rPr>
                <w:i/>
                <w:iCs/>
                <w:sz w:val="16"/>
                <w:szCs w:val="16"/>
              </w:rPr>
              <w:t>2018</w:t>
            </w:r>
            <w:r>
              <w:rPr>
                <w:i/>
                <w:iCs/>
                <w:sz w:val="16"/>
                <w:szCs w:val="16"/>
              </w:rPr>
              <w:t xml:space="preserve"> год</w:t>
            </w:r>
          </w:p>
        </w:tc>
      </w:tr>
      <w:tr w:rsidR="0035659B" w:rsidRPr="00621C91" w:rsidTr="0035659B">
        <w:tc>
          <w:tcPr>
            <w:tcW w:w="2552" w:type="dxa"/>
            <w:tcBorders>
              <w:top w:val="single" w:sz="12" w:space="0" w:color="auto"/>
            </w:tcBorders>
            <w:shd w:val="clear" w:color="auto" w:fill="auto"/>
          </w:tcPr>
          <w:p w:rsidR="0035659B" w:rsidRPr="00621C91" w:rsidRDefault="0035659B" w:rsidP="0035659B">
            <w:pPr>
              <w:pStyle w:val="SingleTxtG"/>
              <w:spacing w:before="40" w:after="40" w:line="220" w:lineRule="exact"/>
              <w:ind w:left="0" w:right="113"/>
              <w:jc w:val="left"/>
              <w:rPr>
                <w:sz w:val="18"/>
                <w:szCs w:val="18"/>
              </w:rPr>
            </w:pPr>
            <w:r w:rsidRPr="00621C91">
              <w:rPr>
                <w:sz w:val="18"/>
                <w:szCs w:val="18"/>
              </w:rPr>
              <w:t>Число детей-инвалидов</w:t>
            </w:r>
          </w:p>
        </w:tc>
        <w:tc>
          <w:tcPr>
            <w:tcW w:w="1701" w:type="dxa"/>
            <w:tcBorders>
              <w:top w:val="single" w:sz="12" w:space="0" w:color="auto"/>
            </w:tcBorders>
            <w:shd w:val="clear" w:color="auto" w:fill="auto"/>
            <w:vAlign w:val="bottom"/>
          </w:tcPr>
          <w:p w:rsidR="0035659B" w:rsidRPr="00621C91" w:rsidRDefault="0035659B" w:rsidP="0035659B">
            <w:pPr>
              <w:pStyle w:val="SingleTxtG"/>
              <w:spacing w:before="40" w:after="40" w:line="220" w:lineRule="exact"/>
              <w:ind w:left="0" w:right="113"/>
              <w:jc w:val="right"/>
              <w:rPr>
                <w:sz w:val="18"/>
                <w:szCs w:val="18"/>
              </w:rPr>
            </w:pPr>
            <w:r w:rsidRPr="00621C91">
              <w:rPr>
                <w:sz w:val="18"/>
                <w:szCs w:val="18"/>
              </w:rPr>
              <w:t>12 067</w:t>
            </w:r>
          </w:p>
        </w:tc>
        <w:tc>
          <w:tcPr>
            <w:tcW w:w="1701" w:type="dxa"/>
            <w:tcBorders>
              <w:top w:val="single" w:sz="12" w:space="0" w:color="auto"/>
            </w:tcBorders>
            <w:shd w:val="clear" w:color="auto" w:fill="auto"/>
            <w:vAlign w:val="bottom"/>
          </w:tcPr>
          <w:p w:rsidR="0035659B" w:rsidRPr="00621C91" w:rsidRDefault="0035659B" w:rsidP="0035659B">
            <w:pPr>
              <w:pStyle w:val="SingleTxtG"/>
              <w:spacing w:before="40" w:after="40" w:line="220" w:lineRule="exact"/>
              <w:ind w:left="0" w:right="113"/>
              <w:jc w:val="right"/>
              <w:rPr>
                <w:sz w:val="18"/>
                <w:szCs w:val="18"/>
              </w:rPr>
            </w:pPr>
            <w:r w:rsidRPr="00621C91">
              <w:rPr>
                <w:sz w:val="18"/>
                <w:szCs w:val="18"/>
              </w:rPr>
              <w:t>12 896</w:t>
            </w:r>
          </w:p>
        </w:tc>
        <w:tc>
          <w:tcPr>
            <w:tcW w:w="1701" w:type="dxa"/>
            <w:tcBorders>
              <w:top w:val="single" w:sz="12" w:space="0" w:color="auto"/>
            </w:tcBorders>
            <w:shd w:val="clear" w:color="auto" w:fill="auto"/>
            <w:vAlign w:val="bottom"/>
          </w:tcPr>
          <w:p w:rsidR="0035659B" w:rsidRPr="00621C91" w:rsidRDefault="0035659B" w:rsidP="0035659B">
            <w:pPr>
              <w:pStyle w:val="SingleTxtG"/>
              <w:spacing w:before="40" w:after="40" w:line="220" w:lineRule="exact"/>
              <w:ind w:left="0" w:right="113"/>
              <w:jc w:val="right"/>
              <w:rPr>
                <w:sz w:val="18"/>
                <w:szCs w:val="18"/>
              </w:rPr>
            </w:pPr>
            <w:r w:rsidRPr="00621C91">
              <w:rPr>
                <w:sz w:val="18"/>
                <w:szCs w:val="18"/>
              </w:rPr>
              <w:t>13 928</w:t>
            </w:r>
          </w:p>
        </w:tc>
        <w:tc>
          <w:tcPr>
            <w:tcW w:w="1701" w:type="dxa"/>
            <w:tcBorders>
              <w:top w:val="single" w:sz="12" w:space="0" w:color="auto"/>
            </w:tcBorders>
            <w:shd w:val="clear" w:color="auto" w:fill="auto"/>
            <w:vAlign w:val="bottom"/>
          </w:tcPr>
          <w:p w:rsidR="0035659B" w:rsidRPr="00621C91" w:rsidRDefault="0035659B" w:rsidP="0035659B">
            <w:pPr>
              <w:pStyle w:val="SingleTxtG"/>
              <w:spacing w:before="40" w:after="40" w:line="220" w:lineRule="exact"/>
              <w:ind w:left="0" w:right="113"/>
              <w:jc w:val="right"/>
              <w:rPr>
                <w:sz w:val="18"/>
                <w:szCs w:val="18"/>
              </w:rPr>
            </w:pPr>
            <w:r w:rsidRPr="00621C91">
              <w:rPr>
                <w:sz w:val="18"/>
                <w:szCs w:val="18"/>
              </w:rPr>
              <w:t>12 949</w:t>
            </w:r>
          </w:p>
        </w:tc>
      </w:tr>
      <w:tr w:rsidR="0035659B" w:rsidRPr="00621C91" w:rsidTr="0035659B">
        <w:tc>
          <w:tcPr>
            <w:tcW w:w="2552" w:type="dxa"/>
            <w:shd w:val="clear" w:color="auto" w:fill="auto"/>
          </w:tcPr>
          <w:p w:rsidR="0035659B" w:rsidRPr="00621C91" w:rsidRDefault="0035659B" w:rsidP="0035659B">
            <w:pPr>
              <w:pStyle w:val="SingleTxtG"/>
              <w:spacing w:before="40" w:after="40" w:line="220" w:lineRule="exact"/>
              <w:ind w:left="0" w:right="113"/>
              <w:jc w:val="left"/>
              <w:rPr>
                <w:sz w:val="18"/>
                <w:szCs w:val="18"/>
              </w:rPr>
            </w:pPr>
            <w:r w:rsidRPr="00621C91">
              <w:rPr>
                <w:sz w:val="18"/>
                <w:szCs w:val="18"/>
              </w:rPr>
              <w:t>Число детей-инвалидов в учреждениях альтернативного ухода</w:t>
            </w:r>
          </w:p>
        </w:tc>
        <w:tc>
          <w:tcPr>
            <w:tcW w:w="1701" w:type="dxa"/>
            <w:shd w:val="clear" w:color="auto" w:fill="auto"/>
            <w:vAlign w:val="bottom"/>
          </w:tcPr>
          <w:p w:rsidR="0035659B" w:rsidRPr="00621C91" w:rsidRDefault="0035659B" w:rsidP="0035659B">
            <w:pPr>
              <w:pStyle w:val="SingleTxtG"/>
              <w:spacing w:before="40" w:after="40" w:line="220" w:lineRule="exact"/>
              <w:ind w:left="0" w:right="113"/>
              <w:jc w:val="right"/>
              <w:rPr>
                <w:sz w:val="18"/>
                <w:szCs w:val="18"/>
              </w:rPr>
            </w:pPr>
            <w:r w:rsidRPr="00621C91">
              <w:rPr>
                <w:sz w:val="18"/>
                <w:szCs w:val="18"/>
              </w:rPr>
              <w:t>467</w:t>
            </w:r>
          </w:p>
        </w:tc>
        <w:tc>
          <w:tcPr>
            <w:tcW w:w="1701" w:type="dxa"/>
            <w:shd w:val="clear" w:color="auto" w:fill="auto"/>
            <w:vAlign w:val="bottom"/>
          </w:tcPr>
          <w:p w:rsidR="0035659B" w:rsidRPr="00621C91" w:rsidRDefault="0035659B" w:rsidP="0035659B">
            <w:pPr>
              <w:pStyle w:val="SingleTxtG"/>
              <w:spacing w:before="40" w:after="40" w:line="220" w:lineRule="exact"/>
              <w:ind w:left="0" w:right="113"/>
              <w:jc w:val="right"/>
              <w:rPr>
                <w:sz w:val="18"/>
                <w:szCs w:val="18"/>
              </w:rPr>
            </w:pPr>
            <w:r w:rsidRPr="00621C91">
              <w:rPr>
                <w:sz w:val="18"/>
                <w:szCs w:val="18"/>
              </w:rPr>
              <w:t>475</w:t>
            </w:r>
          </w:p>
        </w:tc>
        <w:tc>
          <w:tcPr>
            <w:tcW w:w="1701" w:type="dxa"/>
            <w:shd w:val="clear" w:color="auto" w:fill="auto"/>
            <w:vAlign w:val="bottom"/>
          </w:tcPr>
          <w:p w:rsidR="0035659B" w:rsidRPr="00621C91" w:rsidRDefault="0035659B" w:rsidP="0035659B">
            <w:pPr>
              <w:pStyle w:val="SingleTxtG"/>
              <w:spacing w:before="40" w:after="40" w:line="220" w:lineRule="exact"/>
              <w:ind w:left="0" w:right="113"/>
              <w:jc w:val="right"/>
              <w:rPr>
                <w:sz w:val="18"/>
                <w:szCs w:val="18"/>
              </w:rPr>
            </w:pPr>
            <w:r w:rsidRPr="00621C91">
              <w:rPr>
                <w:sz w:val="18"/>
                <w:szCs w:val="18"/>
              </w:rPr>
              <w:t>446</w:t>
            </w:r>
          </w:p>
        </w:tc>
        <w:tc>
          <w:tcPr>
            <w:tcW w:w="1701" w:type="dxa"/>
            <w:shd w:val="clear" w:color="auto" w:fill="auto"/>
            <w:vAlign w:val="bottom"/>
          </w:tcPr>
          <w:p w:rsidR="0035659B" w:rsidRPr="00621C91" w:rsidRDefault="0035659B" w:rsidP="0035659B">
            <w:pPr>
              <w:pStyle w:val="SingleTxtG"/>
              <w:spacing w:before="40" w:after="40" w:line="220" w:lineRule="exact"/>
              <w:ind w:left="0" w:right="113"/>
              <w:jc w:val="right"/>
              <w:rPr>
                <w:sz w:val="18"/>
                <w:szCs w:val="18"/>
              </w:rPr>
            </w:pPr>
            <w:r w:rsidRPr="00621C91">
              <w:rPr>
                <w:sz w:val="18"/>
                <w:szCs w:val="18"/>
              </w:rPr>
              <w:t>383</w:t>
            </w:r>
          </w:p>
        </w:tc>
      </w:tr>
      <w:tr w:rsidR="0035659B" w:rsidRPr="00621C91" w:rsidTr="0035659B">
        <w:tc>
          <w:tcPr>
            <w:tcW w:w="2552" w:type="dxa"/>
            <w:shd w:val="clear" w:color="auto" w:fill="auto"/>
          </w:tcPr>
          <w:p w:rsidR="0035659B" w:rsidRPr="00621C91" w:rsidRDefault="0035659B" w:rsidP="0035659B">
            <w:pPr>
              <w:pStyle w:val="SingleTxtG"/>
              <w:spacing w:before="40" w:after="40" w:line="220" w:lineRule="exact"/>
              <w:ind w:left="0" w:right="113"/>
              <w:jc w:val="left"/>
              <w:rPr>
                <w:sz w:val="18"/>
                <w:szCs w:val="18"/>
              </w:rPr>
            </w:pPr>
            <w:r w:rsidRPr="00621C91">
              <w:rPr>
                <w:sz w:val="18"/>
                <w:szCs w:val="18"/>
              </w:rPr>
              <w:t>Доля детей-инвалидов в</w:t>
            </w:r>
            <w:r>
              <w:rPr>
                <w:sz w:val="18"/>
                <w:szCs w:val="18"/>
              </w:rPr>
              <w:t> </w:t>
            </w:r>
            <w:r w:rsidRPr="00621C91">
              <w:rPr>
                <w:sz w:val="18"/>
                <w:szCs w:val="18"/>
              </w:rPr>
              <w:t xml:space="preserve">специализированных учреждениях </w:t>
            </w:r>
            <w:r>
              <w:rPr>
                <w:sz w:val="18"/>
                <w:szCs w:val="18"/>
              </w:rPr>
              <w:t>(</w:t>
            </w:r>
            <w:r w:rsidRPr="00621C91">
              <w:rPr>
                <w:sz w:val="18"/>
                <w:szCs w:val="18"/>
              </w:rPr>
              <w:t>%</w:t>
            </w:r>
            <w:r>
              <w:rPr>
                <w:sz w:val="18"/>
                <w:szCs w:val="18"/>
              </w:rPr>
              <w:t>)</w:t>
            </w:r>
          </w:p>
        </w:tc>
        <w:tc>
          <w:tcPr>
            <w:tcW w:w="1701" w:type="dxa"/>
            <w:shd w:val="clear" w:color="auto" w:fill="auto"/>
            <w:vAlign w:val="bottom"/>
          </w:tcPr>
          <w:p w:rsidR="0035659B" w:rsidRPr="00621C91" w:rsidRDefault="0035659B" w:rsidP="0035659B">
            <w:pPr>
              <w:pStyle w:val="SingleTxtG"/>
              <w:spacing w:before="40" w:after="40" w:line="220" w:lineRule="exact"/>
              <w:ind w:left="0" w:right="113"/>
              <w:jc w:val="right"/>
              <w:rPr>
                <w:sz w:val="18"/>
                <w:szCs w:val="18"/>
              </w:rPr>
            </w:pPr>
            <w:r w:rsidRPr="00621C91">
              <w:rPr>
                <w:sz w:val="18"/>
                <w:szCs w:val="18"/>
              </w:rPr>
              <w:t>3,9</w:t>
            </w:r>
          </w:p>
        </w:tc>
        <w:tc>
          <w:tcPr>
            <w:tcW w:w="1701" w:type="dxa"/>
            <w:shd w:val="clear" w:color="auto" w:fill="auto"/>
            <w:vAlign w:val="bottom"/>
          </w:tcPr>
          <w:p w:rsidR="0035659B" w:rsidRPr="00621C91" w:rsidRDefault="0035659B" w:rsidP="0035659B">
            <w:pPr>
              <w:pStyle w:val="SingleTxtG"/>
              <w:spacing w:before="40" w:after="40" w:line="220" w:lineRule="exact"/>
              <w:ind w:left="0" w:right="113"/>
              <w:jc w:val="right"/>
              <w:rPr>
                <w:sz w:val="18"/>
                <w:szCs w:val="18"/>
              </w:rPr>
            </w:pPr>
            <w:r w:rsidRPr="00621C91">
              <w:rPr>
                <w:sz w:val="18"/>
                <w:szCs w:val="18"/>
              </w:rPr>
              <w:t>3,7</w:t>
            </w:r>
          </w:p>
        </w:tc>
        <w:tc>
          <w:tcPr>
            <w:tcW w:w="1701" w:type="dxa"/>
            <w:shd w:val="clear" w:color="auto" w:fill="auto"/>
            <w:vAlign w:val="bottom"/>
          </w:tcPr>
          <w:p w:rsidR="0035659B" w:rsidRPr="00621C91" w:rsidRDefault="0035659B" w:rsidP="0035659B">
            <w:pPr>
              <w:pStyle w:val="SingleTxtG"/>
              <w:spacing w:before="40" w:after="40" w:line="220" w:lineRule="exact"/>
              <w:ind w:left="0" w:right="113"/>
              <w:jc w:val="right"/>
              <w:rPr>
                <w:sz w:val="18"/>
                <w:szCs w:val="18"/>
              </w:rPr>
            </w:pPr>
            <w:r w:rsidRPr="00621C91">
              <w:rPr>
                <w:sz w:val="18"/>
                <w:szCs w:val="18"/>
              </w:rPr>
              <w:t>3,2</w:t>
            </w:r>
          </w:p>
        </w:tc>
        <w:tc>
          <w:tcPr>
            <w:tcW w:w="1701" w:type="dxa"/>
            <w:shd w:val="clear" w:color="auto" w:fill="auto"/>
            <w:vAlign w:val="bottom"/>
          </w:tcPr>
          <w:p w:rsidR="0035659B" w:rsidRPr="00621C91" w:rsidRDefault="0035659B" w:rsidP="0035659B">
            <w:pPr>
              <w:pStyle w:val="SingleTxtG"/>
              <w:spacing w:before="40" w:after="40" w:line="220" w:lineRule="exact"/>
              <w:ind w:left="0" w:right="113"/>
              <w:jc w:val="right"/>
              <w:rPr>
                <w:sz w:val="18"/>
                <w:szCs w:val="18"/>
              </w:rPr>
            </w:pPr>
            <w:r w:rsidRPr="00621C91">
              <w:rPr>
                <w:sz w:val="18"/>
                <w:szCs w:val="18"/>
              </w:rPr>
              <w:t>3,0</w:t>
            </w:r>
          </w:p>
        </w:tc>
      </w:tr>
    </w:tbl>
    <w:p w:rsidR="0035659B" w:rsidRPr="00621C91" w:rsidRDefault="0035659B" w:rsidP="00F743D0">
      <w:pPr>
        <w:spacing w:before="120" w:after="240" w:line="220" w:lineRule="exact"/>
        <w:ind w:left="1134" w:right="1134" w:firstLine="170"/>
        <w:rPr>
          <w:sz w:val="18"/>
          <w:szCs w:val="18"/>
        </w:rPr>
      </w:pPr>
      <w:r w:rsidRPr="00621C91">
        <w:rPr>
          <w:i/>
          <w:iCs/>
          <w:sz w:val="18"/>
          <w:szCs w:val="18"/>
        </w:rPr>
        <w:t>Источник</w:t>
      </w:r>
      <w:r w:rsidRPr="00621C91">
        <w:rPr>
          <w:sz w:val="18"/>
          <w:szCs w:val="18"/>
        </w:rPr>
        <w:t>: Совет социального страхования.</w:t>
      </w:r>
    </w:p>
    <w:p w:rsidR="0035659B" w:rsidRPr="00FA72FB" w:rsidRDefault="0035659B" w:rsidP="0035659B">
      <w:pPr>
        <w:pStyle w:val="SingleTxtG"/>
      </w:pPr>
      <w:r>
        <w:t>53.</w:t>
      </w:r>
      <w:r>
        <w:tab/>
        <w:t xml:space="preserve">1 января 2018 года вступили в силу поправки к Закону о социальном обеспечении, которые предусматривают реорганизацию услуг по альтернативному уходу, управления ими и их финансирования. Важные цели поправок состояли в повышении доли детей, которым предоставлен семейный уход, и в обеспечении равенства для детей, живущих в условиях альтернативного ухода в различных формах. Поправки ввели обязательство местных органов власти отдавать предпочтение помещению детей в приемные семьи, если они нуждаются в альтернативном уходе. Кроме того, созданная система финансирования на основе коэффициента также побуждает местные органы власти уделять приоритетное внимание альтернативному уходу в семейных условиях. </w:t>
      </w:r>
      <w:bookmarkStart w:id="0" w:name="para45b5lg3"/>
      <w:bookmarkEnd w:id="0"/>
    </w:p>
    <w:p w:rsidR="0035659B" w:rsidRPr="00FA72FB" w:rsidRDefault="0035659B" w:rsidP="0035659B">
      <w:pPr>
        <w:pStyle w:val="SingleTxtG"/>
      </w:pPr>
      <w:r>
        <w:t>54.</w:t>
      </w:r>
      <w:r>
        <w:tab/>
        <w:t>Были приняты и другие важные меры, направленные на обеспечение качественного ухода вне специализированных учреждений. К ним относятся профессиональная подготовка и консультации для сотрудников учреждений, оказывающих услуги по альтернативному уходу, повышение уровня осведомленности общества об альтернативном уходе на базе се</w:t>
      </w:r>
      <w:r w:rsidR="00F743D0">
        <w:t>мьи и поиск приемных семей. Эти </w:t>
      </w:r>
      <w:r>
        <w:t>мероприятия финансировались из средств Ев</w:t>
      </w:r>
      <w:r w:rsidR="00F743D0">
        <w:t>ропейского социального фонда. С </w:t>
      </w:r>
      <w:r>
        <w:t xml:space="preserve">2018 года пособия по инвалидности выплачиваются в равном объеме детям, живущим в семье, и детям, находящимся в условиях альтернативного ухода семейного типа. </w:t>
      </w:r>
    </w:p>
    <w:p w:rsidR="00F743D0" w:rsidRDefault="00F743D0">
      <w:pPr>
        <w:suppressAutoHyphens w:val="0"/>
        <w:spacing w:line="240" w:lineRule="auto"/>
        <w:rPr>
          <w:rFonts w:eastAsia="Times New Roman" w:cs="Times New Roman"/>
          <w:b/>
          <w:szCs w:val="20"/>
          <w:lang w:eastAsia="ru-RU"/>
        </w:rPr>
      </w:pPr>
      <w:r>
        <w:br w:type="page"/>
      </w:r>
    </w:p>
    <w:p w:rsidR="0035659B" w:rsidRPr="00FA72FB" w:rsidRDefault="0035659B" w:rsidP="0035659B">
      <w:pPr>
        <w:pStyle w:val="H23G"/>
      </w:pPr>
      <w:r>
        <w:lastRenderedPageBreak/>
        <w:tab/>
      </w:r>
      <w:r>
        <w:tab/>
      </w:r>
      <w:r w:rsidR="00F743D0">
        <w:rPr>
          <w:bCs/>
        </w:rPr>
        <w:t xml:space="preserve">Ответ на пункт 5 </w:t>
      </w:r>
      <w:r>
        <w:rPr>
          <w:bCs/>
        </w:rPr>
        <w:t>b) перечня вопросов</w:t>
      </w:r>
      <w:r>
        <w:t xml:space="preserve"> </w:t>
      </w:r>
    </w:p>
    <w:p w:rsidR="0035659B" w:rsidRPr="00FA72FB" w:rsidRDefault="0035659B" w:rsidP="0035659B">
      <w:pPr>
        <w:pStyle w:val="SingleTxtG"/>
      </w:pPr>
      <w:r>
        <w:t>55.</w:t>
      </w:r>
      <w:r>
        <w:tab/>
        <w:t>Существует целый ряд социальных услуг, предлагаемых местными органами власти:</w:t>
      </w:r>
    </w:p>
    <w:p w:rsidR="0035659B" w:rsidRPr="00FA72FB" w:rsidRDefault="0035659B" w:rsidP="00F743D0">
      <w:pPr>
        <w:pStyle w:val="Bullet1G"/>
      </w:pPr>
      <w:r>
        <w:t>назначение вспомогательного сотрудника, который должен помогать ребенку вместе с воспитывающим его лицом, включая оказание услуг по уходу за ребенком-инвалидом, если в этом возникнет необходимость;</w:t>
      </w:r>
    </w:p>
    <w:p w:rsidR="0035659B" w:rsidRPr="00FA72FB" w:rsidRDefault="0035659B" w:rsidP="00F743D0">
      <w:pPr>
        <w:pStyle w:val="Bullet1G"/>
      </w:pPr>
      <w:r>
        <w:t>предоставление услуг по уходу за ребенком в целях оказания помощи лицу, воспитывающему ребенка, с тем чтобы оно справлялось со своими обязанностями или могло работать, или для облегчения его нагрузки, связанной с особыми потребностями ребенка;</w:t>
      </w:r>
    </w:p>
    <w:p w:rsidR="0035659B" w:rsidRPr="00E31BBF" w:rsidRDefault="0035659B" w:rsidP="00F743D0">
      <w:pPr>
        <w:pStyle w:val="Bullet1G"/>
      </w:pPr>
      <w:r>
        <w:t>обеспечение бесплатного транспорта.</w:t>
      </w:r>
    </w:p>
    <w:p w:rsidR="0035659B" w:rsidRPr="00FA72FB" w:rsidRDefault="0035659B" w:rsidP="0035659B">
      <w:pPr>
        <w:pStyle w:val="SingleTxtG"/>
      </w:pPr>
      <w:r>
        <w:t>56.</w:t>
      </w:r>
      <w:r>
        <w:tab/>
        <w:t xml:space="preserve">Начиная с 2017 года государство один раз в год предоставляет финансовую поддержку местным органам власти для оказания услуг детям с тяжелой или глубокой инвалидностью. Местные органы власти могут воспользоваться этими средствами для оказания услуг по уходу за ребенком, назначения персонального сотрудника по уходу, бесплатной перевозки и предоставления других социальных услуг детям с тяжелой или глубокой инвалидностью, с тем чтобы уменьшить нагрузку на семьи таких детей или детей с дополнительными потребностями, вызванными инвалидностью. </w:t>
      </w:r>
    </w:p>
    <w:p w:rsidR="0035659B" w:rsidRPr="00F743D0" w:rsidRDefault="00F743D0" w:rsidP="0035659B">
      <w:pPr>
        <w:pStyle w:val="1"/>
        <w:spacing w:before="240"/>
        <w:rPr>
          <w:b w:val="0"/>
        </w:rPr>
      </w:pPr>
      <w:r>
        <w:tab/>
      </w:r>
      <w:r>
        <w:tab/>
      </w:r>
      <w:r w:rsidR="0035659B" w:rsidRPr="00F743D0">
        <w:rPr>
          <w:b w:val="0"/>
        </w:rPr>
        <w:t>Таблица 2</w:t>
      </w:r>
    </w:p>
    <w:p w:rsidR="0035659B" w:rsidRPr="00FA72FB" w:rsidRDefault="0035659B" w:rsidP="0035659B">
      <w:pPr>
        <w:pStyle w:val="SingleTxtG"/>
        <w:rPr>
          <w:b/>
          <w:bCs/>
        </w:rPr>
      </w:pPr>
      <w:r>
        <w:rPr>
          <w:b/>
          <w:bCs/>
        </w:rPr>
        <w:t>Число детей, получивших услуги в 2018 году, и соответствующие расходы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55"/>
        <w:gridCol w:w="1843"/>
        <w:gridCol w:w="1842"/>
        <w:gridCol w:w="1630"/>
      </w:tblGrid>
      <w:tr w:rsidR="0035659B" w:rsidRPr="00781946" w:rsidTr="0035659B">
        <w:trPr>
          <w:tblHeader/>
        </w:trPr>
        <w:tc>
          <w:tcPr>
            <w:tcW w:w="2055" w:type="dxa"/>
            <w:vMerge w:val="restar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35659B" w:rsidRPr="00781946" w:rsidRDefault="0035659B" w:rsidP="0035659B">
            <w:pPr>
              <w:pStyle w:val="SingleTxtG"/>
              <w:spacing w:before="80" w:after="80" w:line="200" w:lineRule="exact"/>
              <w:ind w:left="0" w:right="113"/>
              <w:jc w:val="left"/>
              <w:rPr>
                <w:i/>
                <w:sz w:val="16"/>
                <w:szCs w:val="16"/>
              </w:rPr>
            </w:pPr>
          </w:p>
        </w:tc>
        <w:tc>
          <w:tcPr>
            <w:tcW w:w="3685" w:type="dxa"/>
            <w:gridSpan w:val="2"/>
            <w:tcBorders>
              <w:top w:val="single" w:sz="4" w:space="0" w:color="auto"/>
              <w:bottom w:val="single" w:sz="4" w:space="0" w:color="auto"/>
            </w:tcBorders>
            <w:shd w:val="clear" w:color="auto" w:fill="auto"/>
            <w:tcMar>
              <w:top w:w="0" w:type="dxa"/>
              <w:left w:w="70" w:type="dxa"/>
              <w:bottom w:w="0" w:type="dxa"/>
              <w:right w:w="70" w:type="dxa"/>
            </w:tcMar>
            <w:vAlign w:val="bottom"/>
            <w:hideMark/>
          </w:tcPr>
          <w:p w:rsidR="0035659B" w:rsidRPr="00781946" w:rsidRDefault="0035659B" w:rsidP="0035659B">
            <w:pPr>
              <w:pStyle w:val="SingleTxtG"/>
              <w:spacing w:before="80" w:after="80" w:line="200" w:lineRule="exact"/>
              <w:ind w:left="0" w:right="113"/>
              <w:jc w:val="center"/>
              <w:rPr>
                <w:i/>
                <w:sz w:val="16"/>
                <w:szCs w:val="16"/>
              </w:rPr>
            </w:pPr>
            <w:r w:rsidRPr="00781946">
              <w:rPr>
                <w:i/>
                <w:iCs/>
                <w:sz w:val="16"/>
                <w:szCs w:val="16"/>
              </w:rPr>
              <w:t>Число детей, получивших услуги в 2018 году</w:t>
            </w:r>
          </w:p>
        </w:tc>
        <w:tc>
          <w:tcPr>
            <w:tcW w:w="1630" w:type="dxa"/>
            <w:vMerge w:val="restart"/>
            <w:tcBorders>
              <w:top w:val="single" w:sz="4" w:space="0" w:color="auto"/>
              <w:bottom w:val="single" w:sz="12" w:space="0" w:color="auto"/>
            </w:tcBorders>
            <w:shd w:val="clear" w:color="auto" w:fill="auto"/>
            <w:tcMar>
              <w:top w:w="0" w:type="dxa"/>
              <w:left w:w="70" w:type="dxa"/>
              <w:bottom w:w="0" w:type="dxa"/>
              <w:right w:w="70" w:type="dxa"/>
            </w:tcMar>
            <w:vAlign w:val="bottom"/>
            <w:hideMark/>
          </w:tcPr>
          <w:p w:rsidR="0035659B" w:rsidRPr="00781946" w:rsidRDefault="0035659B" w:rsidP="0035659B">
            <w:pPr>
              <w:pStyle w:val="SingleTxtG"/>
              <w:spacing w:before="80" w:after="80" w:line="200" w:lineRule="exact"/>
              <w:ind w:left="0" w:right="113"/>
              <w:jc w:val="right"/>
              <w:rPr>
                <w:i/>
                <w:sz w:val="16"/>
                <w:szCs w:val="16"/>
              </w:rPr>
            </w:pPr>
            <w:r w:rsidRPr="00781946">
              <w:rPr>
                <w:i/>
                <w:iCs/>
                <w:sz w:val="16"/>
                <w:szCs w:val="16"/>
              </w:rPr>
              <w:t>Расходы в евро</w:t>
            </w:r>
          </w:p>
        </w:tc>
      </w:tr>
      <w:tr w:rsidR="0035659B" w:rsidRPr="00781946" w:rsidTr="0035659B">
        <w:trPr>
          <w:tblHeader/>
        </w:trPr>
        <w:tc>
          <w:tcPr>
            <w:tcW w:w="2055" w:type="dxa"/>
            <w:vMerge/>
            <w:tcBorders>
              <w:top w:val="single" w:sz="12" w:space="0" w:color="auto"/>
              <w:bottom w:val="single" w:sz="12" w:space="0" w:color="auto"/>
            </w:tcBorders>
            <w:shd w:val="clear" w:color="auto" w:fill="auto"/>
            <w:vAlign w:val="bottom"/>
            <w:hideMark/>
          </w:tcPr>
          <w:p w:rsidR="0035659B" w:rsidRPr="00781946" w:rsidRDefault="0035659B" w:rsidP="0035659B">
            <w:pPr>
              <w:pStyle w:val="SingleTxtG"/>
              <w:spacing w:before="40" w:after="40" w:line="220" w:lineRule="exact"/>
              <w:ind w:left="0" w:right="113"/>
              <w:jc w:val="left"/>
              <w:rPr>
                <w:sz w:val="16"/>
                <w:szCs w:val="16"/>
              </w:rPr>
            </w:pPr>
          </w:p>
        </w:tc>
        <w:tc>
          <w:tcPr>
            <w:tcW w:w="1843" w:type="dxa"/>
            <w:tcBorders>
              <w:top w:val="single" w:sz="4" w:space="0" w:color="auto"/>
              <w:bottom w:val="single" w:sz="12" w:space="0" w:color="auto"/>
            </w:tcBorders>
            <w:shd w:val="clear" w:color="auto" w:fill="auto"/>
            <w:tcMar>
              <w:top w:w="0" w:type="dxa"/>
              <w:left w:w="70" w:type="dxa"/>
              <w:bottom w:w="0" w:type="dxa"/>
              <w:right w:w="70" w:type="dxa"/>
            </w:tcMar>
            <w:vAlign w:val="bottom"/>
            <w:hideMark/>
          </w:tcPr>
          <w:p w:rsidR="0035659B" w:rsidRPr="00781946" w:rsidRDefault="0035659B" w:rsidP="0035659B">
            <w:pPr>
              <w:pStyle w:val="SingleTxtG"/>
              <w:spacing w:before="80" w:after="80" w:line="200" w:lineRule="exact"/>
              <w:ind w:left="0" w:right="113"/>
              <w:jc w:val="right"/>
              <w:rPr>
                <w:i/>
                <w:sz w:val="16"/>
                <w:szCs w:val="16"/>
              </w:rPr>
            </w:pPr>
            <w:r w:rsidRPr="00781946">
              <w:rPr>
                <w:i/>
                <w:iCs/>
                <w:sz w:val="16"/>
                <w:szCs w:val="16"/>
              </w:rPr>
              <w:t>Дети с тяжелой инвалидностью</w:t>
            </w:r>
          </w:p>
        </w:tc>
        <w:tc>
          <w:tcPr>
            <w:tcW w:w="1842" w:type="dxa"/>
            <w:tcBorders>
              <w:top w:val="single" w:sz="4" w:space="0" w:color="auto"/>
              <w:bottom w:val="single" w:sz="12" w:space="0" w:color="auto"/>
            </w:tcBorders>
            <w:shd w:val="clear" w:color="auto" w:fill="auto"/>
            <w:tcMar>
              <w:top w:w="0" w:type="dxa"/>
              <w:left w:w="70" w:type="dxa"/>
              <w:bottom w:w="0" w:type="dxa"/>
              <w:right w:w="70" w:type="dxa"/>
            </w:tcMar>
            <w:vAlign w:val="bottom"/>
            <w:hideMark/>
          </w:tcPr>
          <w:p w:rsidR="0035659B" w:rsidRPr="00781946" w:rsidRDefault="0035659B" w:rsidP="0035659B">
            <w:pPr>
              <w:pStyle w:val="SingleTxtG"/>
              <w:spacing w:before="80" w:after="80" w:line="200" w:lineRule="exact"/>
              <w:ind w:left="0" w:right="113"/>
              <w:jc w:val="right"/>
              <w:rPr>
                <w:i/>
                <w:sz w:val="16"/>
                <w:szCs w:val="16"/>
              </w:rPr>
            </w:pPr>
            <w:r w:rsidRPr="00781946">
              <w:rPr>
                <w:i/>
                <w:iCs/>
                <w:sz w:val="16"/>
                <w:szCs w:val="16"/>
              </w:rPr>
              <w:t>Дети с глубокой инвалидностью</w:t>
            </w:r>
          </w:p>
        </w:tc>
        <w:tc>
          <w:tcPr>
            <w:tcW w:w="1630" w:type="dxa"/>
            <w:vMerge/>
            <w:tcBorders>
              <w:top w:val="single" w:sz="12" w:space="0" w:color="auto"/>
              <w:bottom w:val="single" w:sz="12" w:space="0" w:color="auto"/>
            </w:tcBorders>
            <w:shd w:val="clear" w:color="auto" w:fill="auto"/>
            <w:vAlign w:val="bottom"/>
            <w:hideMark/>
          </w:tcPr>
          <w:p w:rsidR="0035659B" w:rsidRPr="00781946" w:rsidRDefault="0035659B" w:rsidP="0035659B">
            <w:pPr>
              <w:pStyle w:val="SingleTxtG"/>
              <w:spacing w:before="40" w:after="40" w:line="220" w:lineRule="exact"/>
              <w:ind w:left="0" w:right="113"/>
              <w:jc w:val="right"/>
              <w:rPr>
                <w:sz w:val="16"/>
                <w:szCs w:val="16"/>
              </w:rPr>
            </w:pPr>
          </w:p>
        </w:tc>
      </w:tr>
      <w:tr w:rsidR="0035659B" w:rsidRPr="00781946" w:rsidTr="0035659B">
        <w:tc>
          <w:tcPr>
            <w:tcW w:w="2055" w:type="dxa"/>
            <w:tcBorders>
              <w:top w:val="single" w:sz="12" w:space="0" w:color="auto"/>
            </w:tcBorders>
            <w:shd w:val="clear" w:color="auto" w:fill="auto"/>
            <w:noWrap/>
            <w:tcMar>
              <w:top w:w="0" w:type="dxa"/>
              <w:left w:w="70" w:type="dxa"/>
              <w:bottom w:w="0" w:type="dxa"/>
              <w:right w:w="70" w:type="dxa"/>
            </w:tcMar>
            <w:hideMark/>
          </w:tcPr>
          <w:p w:rsidR="0035659B" w:rsidRPr="00781946" w:rsidRDefault="0035659B" w:rsidP="0035659B">
            <w:pPr>
              <w:pStyle w:val="SingleTxtG"/>
              <w:spacing w:before="40" w:after="40" w:line="220" w:lineRule="exact"/>
              <w:ind w:left="0" w:right="113"/>
              <w:jc w:val="left"/>
              <w:rPr>
                <w:sz w:val="18"/>
                <w:szCs w:val="18"/>
              </w:rPr>
            </w:pPr>
            <w:r w:rsidRPr="00781946">
              <w:rPr>
                <w:sz w:val="18"/>
                <w:szCs w:val="18"/>
              </w:rPr>
              <w:t>Период 2018 года</w:t>
            </w:r>
          </w:p>
        </w:tc>
        <w:tc>
          <w:tcPr>
            <w:tcW w:w="1843" w:type="dxa"/>
            <w:tcBorders>
              <w:top w:val="single" w:sz="12" w:space="0" w:color="auto"/>
            </w:tcBorders>
            <w:shd w:val="clear" w:color="auto" w:fill="auto"/>
            <w:noWrap/>
            <w:tcMar>
              <w:top w:w="0" w:type="dxa"/>
              <w:left w:w="70" w:type="dxa"/>
              <w:bottom w:w="0" w:type="dxa"/>
              <w:right w:w="70" w:type="dxa"/>
            </w:tcMar>
            <w:vAlign w:val="bottom"/>
            <w:hideMark/>
          </w:tcPr>
          <w:p w:rsidR="0035659B" w:rsidRPr="00781946" w:rsidRDefault="0035659B" w:rsidP="0035659B">
            <w:pPr>
              <w:pStyle w:val="SingleTxtG"/>
              <w:spacing w:before="40" w:after="40" w:line="220" w:lineRule="exact"/>
              <w:ind w:left="0" w:right="113"/>
              <w:jc w:val="right"/>
              <w:rPr>
                <w:sz w:val="18"/>
                <w:szCs w:val="18"/>
              </w:rPr>
            </w:pPr>
            <w:r w:rsidRPr="00781946">
              <w:rPr>
                <w:sz w:val="18"/>
                <w:szCs w:val="18"/>
              </w:rPr>
              <w:t>2 455</w:t>
            </w:r>
          </w:p>
        </w:tc>
        <w:tc>
          <w:tcPr>
            <w:tcW w:w="1842" w:type="dxa"/>
            <w:tcBorders>
              <w:top w:val="single" w:sz="12" w:space="0" w:color="auto"/>
            </w:tcBorders>
            <w:shd w:val="clear" w:color="auto" w:fill="auto"/>
            <w:noWrap/>
            <w:tcMar>
              <w:top w:w="0" w:type="dxa"/>
              <w:left w:w="70" w:type="dxa"/>
              <w:bottom w:w="0" w:type="dxa"/>
              <w:right w:w="70" w:type="dxa"/>
            </w:tcMar>
            <w:vAlign w:val="bottom"/>
            <w:hideMark/>
          </w:tcPr>
          <w:p w:rsidR="0035659B" w:rsidRPr="00781946" w:rsidRDefault="0035659B" w:rsidP="0035659B">
            <w:pPr>
              <w:pStyle w:val="SingleTxtG"/>
              <w:spacing w:before="40" w:after="40" w:line="220" w:lineRule="exact"/>
              <w:ind w:left="0" w:right="113"/>
              <w:jc w:val="right"/>
              <w:rPr>
                <w:sz w:val="18"/>
                <w:szCs w:val="18"/>
              </w:rPr>
            </w:pPr>
            <w:r w:rsidRPr="00781946">
              <w:rPr>
                <w:sz w:val="18"/>
                <w:szCs w:val="18"/>
              </w:rPr>
              <w:t>474</w:t>
            </w:r>
          </w:p>
        </w:tc>
        <w:tc>
          <w:tcPr>
            <w:tcW w:w="1630" w:type="dxa"/>
            <w:tcBorders>
              <w:top w:val="single" w:sz="12" w:space="0" w:color="auto"/>
            </w:tcBorders>
            <w:shd w:val="clear" w:color="auto" w:fill="auto"/>
            <w:noWrap/>
            <w:tcMar>
              <w:top w:w="0" w:type="dxa"/>
              <w:left w:w="70" w:type="dxa"/>
              <w:bottom w:w="0" w:type="dxa"/>
              <w:right w:w="70" w:type="dxa"/>
            </w:tcMar>
            <w:vAlign w:val="bottom"/>
            <w:hideMark/>
          </w:tcPr>
          <w:p w:rsidR="0035659B" w:rsidRPr="00781946" w:rsidRDefault="0035659B" w:rsidP="0035659B">
            <w:pPr>
              <w:pStyle w:val="SingleTxtG"/>
              <w:spacing w:before="40" w:after="40" w:line="220" w:lineRule="exact"/>
              <w:ind w:left="0" w:right="113"/>
              <w:jc w:val="right"/>
              <w:rPr>
                <w:sz w:val="18"/>
                <w:szCs w:val="18"/>
              </w:rPr>
            </w:pPr>
            <w:r w:rsidRPr="00781946">
              <w:rPr>
                <w:sz w:val="18"/>
                <w:szCs w:val="18"/>
              </w:rPr>
              <w:t>3 702 593,51</w:t>
            </w:r>
          </w:p>
        </w:tc>
      </w:tr>
      <w:tr w:rsidR="0035659B" w:rsidRPr="00781946" w:rsidTr="0035659B">
        <w:tc>
          <w:tcPr>
            <w:tcW w:w="2055" w:type="dxa"/>
            <w:tcBorders>
              <w:bottom w:val="nil"/>
            </w:tcBorders>
            <w:shd w:val="clear" w:color="auto" w:fill="auto"/>
            <w:noWrap/>
            <w:tcMar>
              <w:top w:w="0" w:type="dxa"/>
              <w:left w:w="70" w:type="dxa"/>
              <w:bottom w:w="0" w:type="dxa"/>
              <w:right w:w="70" w:type="dxa"/>
            </w:tcMar>
            <w:hideMark/>
          </w:tcPr>
          <w:p w:rsidR="0035659B" w:rsidRPr="00781946" w:rsidRDefault="0035659B" w:rsidP="0035659B">
            <w:pPr>
              <w:pStyle w:val="SingleTxtG"/>
              <w:spacing w:before="40" w:after="40" w:line="220" w:lineRule="exact"/>
              <w:ind w:left="0" w:right="113"/>
              <w:jc w:val="left"/>
              <w:rPr>
                <w:sz w:val="18"/>
                <w:szCs w:val="18"/>
              </w:rPr>
            </w:pPr>
            <w:r w:rsidRPr="00781946">
              <w:rPr>
                <w:sz w:val="18"/>
                <w:szCs w:val="18"/>
              </w:rPr>
              <w:t>Уход за детьми</w:t>
            </w:r>
          </w:p>
        </w:tc>
        <w:tc>
          <w:tcPr>
            <w:tcW w:w="1843" w:type="dxa"/>
            <w:tcBorders>
              <w:bottom w:val="nil"/>
            </w:tcBorders>
            <w:shd w:val="clear" w:color="auto" w:fill="auto"/>
            <w:noWrap/>
            <w:tcMar>
              <w:top w:w="0" w:type="dxa"/>
              <w:left w:w="70" w:type="dxa"/>
              <w:bottom w:w="0" w:type="dxa"/>
              <w:right w:w="70" w:type="dxa"/>
            </w:tcMar>
            <w:vAlign w:val="bottom"/>
            <w:hideMark/>
          </w:tcPr>
          <w:p w:rsidR="0035659B" w:rsidRPr="00781946" w:rsidRDefault="0035659B" w:rsidP="0035659B">
            <w:pPr>
              <w:pStyle w:val="SingleTxtG"/>
              <w:spacing w:before="40" w:after="40" w:line="220" w:lineRule="exact"/>
              <w:ind w:left="0" w:right="113"/>
              <w:jc w:val="right"/>
              <w:rPr>
                <w:sz w:val="18"/>
                <w:szCs w:val="18"/>
              </w:rPr>
            </w:pPr>
            <w:r w:rsidRPr="00781946">
              <w:rPr>
                <w:sz w:val="18"/>
                <w:szCs w:val="18"/>
              </w:rPr>
              <w:t>654</w:t>
            </w:r>
          </w:p>
        </w:tc>
        <w:tc>
          <w:tcPr>
            <w:tcW w:w="1842" w:type="dxa"/>
            <w:tcBorders>
              <w:bottom w:val="nil"/>
            </w:tcBorders>
            <w:shd w:val="clear" w:color="auto" w:fill="auto"/>
            <w:noWrap/>
            <w:tcMar>
              <w:top w:w="0" w:type="dxa"/>
              <w:left w:w="70" w:type="dxa"/>
              <w:bottom w:w="0" w:type="dxa"/>
              <w:right w:w="70" w:type="dxa"/>
            </w:tcMar>
            <w:vAlign w:val="bottom"/>
            <w:hideMark/>
          </w:tcPr>
          <w:p w:rsidR="0035659B" w:rsidRPr="00781946" w:rsidRDefault="0035659B" w:rsidP="0035659B">
            <w:pPr>
              <w:pStyle w:val="SingleTxtG"/>
              <w:spacing w:before="40" w:after="40" w:line="220" w:lineRule="exact"/>
              <w:ind w:left="0" w:right="113"/>
              <w:jc w:val="right"/>
              <w:rPr>
                <w:sz w:val="18"/>
                <w:szCs w:val="18"/>
              </w:rPr>
            </w:pPr>
            <w:r w:rsidRPr="00781946">
              <w:rPr>
                <w:sz w:val="18"/>
                <w:szCs w:val="18"/>
              </w:rPr>
              <w:t>116</w:t>
            </w:r>
          </w:p>
        </w:tc>
        <w:tc>
          <w:tcPr>
            <w:tcW w:w="1630" w:type="dxa"/>
            <w:tcBorders>
              <w:bottom w:val="nil"/>
            </w:tcBorders>
            <w:shd w:val="clear" w:color="auto" w:fill="auto"/>
            <w:noWrap/>
            <w:tcMar>
              <w:top w:w="0" w:type="dxa"/>
              <w:left w:w="70" w:type="dxa"/>
              <w:bottom w:w="0" w:type="dxa"/>
              <w:right w:w="70" w:type="dxa"/>
            </w:tcMar>
            <w:vAlign w:val="bottom"/>
            <w:hideMark/>
          </w:tcPr>
          <w:p w:rsidR="0035659B" w:rsidRPr="00781946" w:rsidRDefault="0035659B" w:rsidP="0035659B">
            <w:pPr>
              <w:pStyle w:val="SingleTxtG"/>
              <w:spacing w:before="40" w:after="40" w:line="220" w:lineRule="exact"/>
              <w:ind w:left="0" w:right="113"/>
              <w:jc w:val="right"/>
              <w:rPr>
                <w:sz w:val="18"/>
                <w:szCs w:val="18"/>
              </w:rPr>
            </w:pPr>
            <w:r w:rsidRPr="00781946">
              <w:rPr>
                <w:sz w:val="18"/>
                <w:szCs w:val="18"/>
              </w:rPr>
              <w:t>684 575,57</w:t>
            </w:r>
          </w:p>
        </w:tc>
      </w:tr>
      <w:tr w:rsidR="0035659B" w:rsidRPr="00781946" w:rsidTr="0035659B">
        <w:tc>
          <w:tcPr>
            <w:tcW w:w="2055" w:type="dxa"/>
            <w:tcBorders>
              <w:top w:val="nil"/>
              <w:bottom w:val="nil"/>
            </w:tcBorders>
            <w:shd w:val="clear" w:color="auto" w:fill="auto"/>
            <w:noWrap/>
            <w:tcMar>
              <w:top w:w="0" w:type="dxa"/>
              <w:left w:w="70" w:type="dxa"/>
              <w:bottom w:w="0" w:type="dxa"/>
              <w:right w:w="70" w:type="dxa"/>
            </w:tcMar>
            <w:hideMark/>
          </w:tcPr>
          <w:p w:rsidR="0035659B" w:rsidRPr="00781946" w:rsidRDefault="0035659B" w:rsidP="0035659B">
            <w:pPr>
              <w:pStyle w:val="SingleTxtG"/>
              <w:spacing w:before="40" w:after="40" w:line="220" w:lineRule="exact"/>
              <w:ind w:left="0" w:right="113"/>
              <w:jc w:val="left"/>
              <w:rPr>
                <w:sz w:val="18"/>
                <w:szCs w:val="18"/>
              </w:rPr>
            </w:pPr>
            <w:r w:rsidRPr="00781946">
              <w:rPr>
                <w:sz w:val="18"/>
                <w:szCs w:val="18"/>
              </w:rPr>
              <w:t xml:space="preserve">Вспомогательный сотрудник </w:t>
            </w:r>
          </w:p>
        </w:tc>
        <w:tc>
          <w:tcPr>
            <w:tcW w:w="1843" w:type="dxa"/>
            <w:tcBorders>
              <w:top w:val="nil"/>
              <w:bottom w:val="nil"/>
            </w:tcBorders>
            <w:shd w:val="clear" w:color="auto" w:fill="auto"/>
            <w:noWrap/>
            <w:tcMar>
              <w:top w:w="0" w:type="dxa"/>
              <w:left w:w="70" w:type="dxa"/>
              <w:bottom w:w="0" w:type="dxa"/>
              <w:right w:w="70" w:type="dxa"/>
            </w:tcMar>
            <w:vAlign w:val="bottom"/>
            <w:hideMark/>
          </w:tcPr>
          <w:p w:rsidR="0035659B" w:rsidRPr="00781946" w:rsidRDefault="0035659B" w:rsidP="0035659B">
            <w:pPr>
              <w:pStyle w:val="SingleTxtG"/>
              <w:spacing w:before="40" w:after="40" w:line="220" w:lineRule="exact"/>
              <w:ind w:left="0" w:right="113"/>
              <w:jc w:val="right"/>
              <w:rPr>
                <w:sz w:val="18"/>
                <w:szCs w:val="18"/>
              </w:rPr>
            </w:pPr>
            <w:r w:rsidRPr="00781946">
              <w:rPr>
                <w:sz w:val="18"/>
                <w:szCs w:val="18"/>
              </w:rPr>
              <w:t>893</w:t>
            </w:r>
          </w:p>
        </w:tc>
        <w:tc>
          <w:tcPr>
            <w:tcW w:w="1842" w:type="dxa"/>
            <w:tcBorders>
              <w:top w:val="nil"/>
              <w:bottom w:val="nil"/>
            </w:tcBorders>
            <w:shd w:val="clear" w:color="auto" w:fill="auto"/>
            <w:noWrap/>
            <w:tcMar>
              <w:top w:w="0" w:type="dxa"/>
              <w:left w:w="70" w:type="dxa"/>
              <w:bottom w:w="0" w:type="dxa"/>
              <w:right w:w="70" w:type="dxa"/>
            </w:tcMar>
            <w:vAlign w:val="bottom"/>
            <w:hideMark/>
          </w:tcPr>
          <w:p w:rsidR="0035659B" w:rsidRPr="00781946" w:rsidRDefault="0035659B" w:rsidP="0035659B">
            <w:pPr>
              <w:pStyle w:val="SingleTxtG"/>
              <w:spacing w:before="40" w:after="40" w:line="220" w:lineRule="exact"/>
              <w:ind w:left="0" w:right="113"/>
              <w:jc w:val="right"/>
              <w:rPr>
                <w:sz w:val="18"/>
                <w:szCs w:val="18"/>
              </w:rPr>
            </w:pPr>
            <w:r w:rsidRPr="00781946">
              <w:rPr>
                <w:sz w:val="18"/>
                <w:szCs w:val="18"/>
              </w:rPr>
              <w:t>148</w:t>
            </w:r>
          </w:p>
        </w:tc>
        <w:tc>
          <w:tcPr>
            <w:tcW w:w="1630" w:type="dxa"/>
            <w:tcBorders>
              <w:top w:val="nil"/>
              <w:bottom w:val="nil"/>
            </w:tcBorders>
            <w:shd w:val="clear" w:color="auto" w:fill="auto"/>
            <w:noWrap/>
            <w:tcMar>
              <w:top w:w="0" w:type="dxa"/>
              <w:left w:w="70" w:type="dxa"/>
              <w:bottom w:w="0" w:type="dxa"/>
              <w:right w:w="70" w:type="dxa"/>
            </w:tcMar>
            <w:vAlign w:val="bottom"/>
            <w:hideMark/>
          </w:tcPr>
          <w:p w:rsidR="0035659B" w:rsidRPr="00781946" w:rsidRDefault="0035659B" w:rsidP="0035659B">
            <w:pPr>
              <w:pStyle w:val="SingleTxtG"/>
              <w:spacing w:before="40" w:after="40" w:line="220" w:lineRule="exact"/>
              <w:ind w:left="0" w:right="113"/>
              <w:jc w:val="right"/>
              <w:rPr>
                <w:sz w:val="18"/>
                <w:szCs w:val="18"/>
              </w:rPr>
            </w:pPr>
            <w:r w:rsidRPr="00781946">
              <w:rPr>
                <w:sz w:val="18"/>
                <w:szCs w:val="18"/>
              </w:rPr>
              <w:t>1 620 504,76</w:t>
            </w:r>
          </w:p>
        </w:tc>
      </w:tr>
      <w:tr w:rsidR="0035659B" w:rsidRPr="00781946" w:rsidTr="0035659B">
        <w:tc>
          <w:tcPr>
            <w:tcW w:w="2055" w:type="dxa"/>
            <w:tcBorders>
              <w:top w:val="nil"/>
            </w:tcBorders>
            <w:shd w:val="clear" w:color="auto" w:fill="auto"/>
            <w:noWrap/>
            <w:tcMar>
              <w:top w:w="0" w:type="dxa"/>
              <w:left w:w="70" w:type="dxa"/>
              <w:bottom w:w="0" w:type="dxa"/>
              <w:right w:w="70" w:type="dxa"/>
            </w:tcMar>
            <w:hideMark/>
          </w:tcPr>
          <w:p w:rsidR="0035659B" w:rsidRPr="00781946" w:rsidRDefault="0035659B" w:rsidP="0035659B">
            <w:pPr>
              <w:pStyle w:val="SingleTxtG"/>
              <w:spacing w:before="40" w:after="40" w:line="220" w:lineRule="exact"/>
              <w:ind w:left="0" w:right="113"/>
              <w:jc w:val="left"/>
              <w:rPr>
                <w:sz w:val="18"/>
                <w:szCs w:val="18"/>
              </w:rPr>
            </w:pPr>
            <w:r w:rsidRPr="00781946">
              <w:rPr>
                <w:sz w:val="18"/>
                <w:szCs w:val="18"/>
              </w:rPr>
              <w:t>Услуги по социальной реабилитации</w:t>
            </w:r>
          </w:p>
        </w:tc>
        <w:tc>
          <w:tcPr>
            <w:tcW w:w="1843" w:type="dxa"/>
            <w:tcBorders>
              <w:top w:val="nil"/>
            </w:tcBorders>
            <w:shd w:val="clear" w:color="auto" w:fill="auto"/>
            <w:noWrap/>
            <w:tcMar>
              <w:top w:w="0" w:type="dxa"/>
              <w:left w:w="70" w:type="dxa"/>
              <w:bottom w:w="0" w:type="dxa"/>
              <w:right w:w="70" w:type="dxa"/>
            </w:tcMar>
            <w:vAlign w:val="bottom"/>
            <w:hideMark/>
          </w:tcPr>
          <w:p w:rsidR="0035659B" w:rsidRPr="00781946" w:rsidRDefault="0035659B" w:rsidP="0035659B">
            <w:pPr>
              <w:pStyle w:val="SingleTxtG"/>
              <w:spacing w:before="40" w:after="40" w:line="220" w:lineRule="exact"/>
              <w:ind w:left="0" w:right="113"/>
              <w:jc w:val="right"/>
              <w:rPr>
                <w:sz w:val="18"/>
                <w:szCs w:val="18"/>
              </w:rPr>
            </w:pPr>
            <w:r w:rsidRPr="00781946">
              <w:rPr>
                <w:sz w:val="18"/>
                <w:szCs w:val="18"/>
              </w:rPr>
              <w:t>176</w:t>
            </w:r>
          </w:p>
        </w:tc>
        <w:tc>
          <w:tcPr>
            <w:tcW w:w="1842" w:type="dxa"/>
            <w:tcBorders>
              <w:top w:val="nil"/>
            </w:tcBorders>
            <w:shd w:val="clear" w:color="auto" w:fill="auto"/>
            <w:noWrap/>
            <w:tcMar>
              <w:top w:w="0" w:type="dxa"/>
              <w:left w:w="70" w:type="dxa"/>
              <w:bottom w:w="0" w:type="dxa"/>
              <w:right w:w="70" w:type="dxa"/>
            </w:tcMar>
            <w:vAlign w:val="bottom"/>
            <w:hideMark/>
          </w:tcPr>
          <w:p w:rsidR="0035659B" w:rsidRPr="00781946" w:rsidRDefault="0035659B" w:rsidP="0035659B">
            <w:pPr>
              <w:pStyle w:val="SingleTxtG"/>
              <w:spacing w:before="40" w:after="40" w:line="220" w:lineRule="exact"/>
              <w:ind w:left="0" w:right="113"/>
              <w:jc w:val="right"/>
              <w:rPr>
                <w:sz w:val="18"/>
                <w:szCs w:val="18"/>
              </w:rPr>
            </w:pPr>
            <w:r w:rsidRPr="00781946">
              <w:rPr>
                <w:sz w:val="18"/>
                <w:szCs w:val="18"/>
              </w:rPr>
              <w:t>27</w:t>
            </w:r>
          </w:p>
        </w:tc>
        <w:tc>
          <w:tcPr>
            <w:tcW w:w="1630" w:type="dxa"/>
            <w:tcBorders>
              <w:top w:val="nil"/>
            </w:tcBorders>
            <w:shd w:val="clear" w:color="auto" w:fill="auto"/>
            <w:noWrap/>
            <w:tcMar>
              <w:top w:w="0" w:type="dxa"/>
              <w:left w:w="70" w:type="dxa"/>
              <w:bottom w:w="0" w:type="dxa"/>
              <w:right w:w="70" w:type="dxa"/>
            </w:tcMar>
            <w:vAlign w:val="bottom"/>
            <w:hideMark/>
          </w:tcPr>
          <w:p w:rsidR="0035659B" w:rsidRPr="00781946" w:rsidRDefault="0035659B" w:rsidP="0035659B">
            <w:pPr>
              <w:pStyle w:val="SingleTxtG"/>
              <w:spacing w:before="40" w:after="40" w:line="220" w:lineRule="exact"/>
              <w:ind w:left="0" w:right="113"/>
              <w:jc w:val="right"/>
              <w:rPr>
                <w:sz w:val="18"/>
                <w:szCs w:val="18"/>
              </w:rPr>
            </w:pPr>
            <w:r w:rsidRPr="00781946">
              <w:rPr>
                <w:sz w:val="18"/>
                <w:szCs w:val="18"/>
              </w:rPr>
              <w:t>102 944,95</w:t>
            </w:r>
          </w:p>
        </w:tc>
      </w:tr>
      <w:tr w:rsidR="0035659B" w:rsidRPr="00781946" w:rsidTr="0035659B">
        <w:tc>
          <w:tcPr>
            <w:tcW w:w="2055" w:type="dxa"/>
            <w:shd w:val="clear" w:color="auto" w:fill="auto"/>
            <w:noWrap/>
            <w:tcMar>
              <w:top w:w="0" w:type="dxa"/>
              <w:left w:w="70" w:type="dxa"/>
              <w:bottom w:w="0" w:type="dxa"/>
              <w:right w:w="70" w:type="dxa"/>
            </w:tcMar>
            <w:hideMark/>
          </w:tcPr>
          <w:p w:rsidR="0035659B" w:rsidRPr="00781946" w:rsidRDefault="0035659B" w:rsidP="0035659B">
            <w:pPr>
              <w:pStyle w:val="SingleTxtG"/>
              <w:spacing w:before="40" w:after="40" w:line="220" w:lineRule="exact"/>
              <w:ind w:left="0" w:right="113"/>
              <w:jc w:val="left"/>
              <w:rPr>
                <w:sz w:val="18"/>
                <w:szCs w:val="18"/>
              </w:rPr>
            </w:pPr>
            <w:r w:rsidRPr="00781946">
              <w:rPr>
                <w:sz w:val="18"/>
                <w:szCs w:val="18"/>
              </w:rPr>
              <w:t>Консультационные услуги</w:t>
            </w:r>
          </w:p>
        </w:tc>
        <w:tc>
          <w:tcPr>
            <w:tcW w:w="1843" w:type="dxa"/>
            <w:shd w:val="clear" w:color="auto" w:fill="auto"/>
            <w:noWrap/>
            <w:tcMar>
              <w:top w:w="0" w:type="dxa"/>
              <w:left w:w="70" w:type="dxa"/>
              <w:bottom w:w="0" w:type="dxa"/>
              <w:right w:w="70" w:type="dxa"/>
            </w:tcMar>
            <w:vAlign w:val="bottom"/>
            <w:hideMark/>
          </w:tcPr>
          <w:p w:rsidR="0035659B" w:rsidRPr="00781946" w:rsidRDefault="0035659B" w:rsidP="0035659B">
            <w:pPr>
              <w:pStyle w:val="SingleTxtG"/>
              <w:spacing w:before="40" w:after="40" w:line="220" w:lineRule="exact"/>
              <w:ind w:left="0" w:right="113"/>
              <w:jc w:val="right"/>
              <w:rPr>
                <w:sz w:val="18"/>
                <w:szCs w:val="18"/>
              </w:rPr>
            </w:pPr>
            <w:r w:rsidRPr="00781946">
              <w:rPr>
                <w:sz w:val="18"/>
                <w:szCs w:val="18"/>
              </w:rPr>
              <w:t>172</w:t>
            </w:r>
          </w:p>
        </w:tc>
        <w:tc>
          <w:tcPr>
            <w:tcW w:w="1842" w:type="dxa"/>
            <w:shd w:val="clear" w:color="auto" w:fill="auto"/>
            <w:noWrap/>
            <w:tcMar>
              <w:top w:w="0" w:type="dxa"/>
              <w:left w:w="70" w:type="dxa"/>
              <w:bottom w:w="0" w:type="dxa"/>
              <w:right w:w="70" w:type="dxa"/>
            </w:tcMar>
            <w:vAlign w:val="bottom"/>
            <w:hideMark/>
          </w:tcPr>
          <w:p w:rsidR="0035659B" w:rsidRPr="00781946" w:rsidRDefault="0035659B" w:rsidP="0035659B">
            <w:pPr>
              <w:pStyle w:val="SingleTxtG"/>
              <w:spacing w:before="40" w:after="40" w:line="220" w:lineRule="exact"/>
              <w:ind w:left="0" w:right="113"/>
              <w:jc w:val="right"/>
              <w:rPr>
                <w:sz w:val="18"/>
                <w:szCs w:val="18"/>
              </w:rPr>
            </w:pPr>
            <w:r w:rsidRPr="00781946">
              <w:rPr>
                <w:sz w:val="18"/>
                <w:szCs w:val="18"/>
              </w:rPr>
              <w:t>8</w:t>
            </w:r>
          </w:p>
        </w:tc>
        <w:tc>
          <w:tcPr>
            <w:tcW w:w="1630" w:type="dxa"/>
            <w:shd w:val="clear" w:color="auto" w:fill="auto"/>
            <w:noWrap/>
            <w:tcMar>
              <w:top w:w="0" w:type="dxa"/>
              <w:left w:w="70" w:type="dxa"/>
              <w:bottom w:w="0" w:type="dxa"/>
              <w:right w:w="70" w:type="dxa"/>
            </w:tcMar>
            <w:vAlign w:val="bottom"/>
            <w:hideMark/>
          </w:tcPr>
          <w:p w:rsidR="0035659B" w:rsidRPr="00781946" w:rsidRDefault="0035659B" w:rsidP="0035659B">
            <w:pPr>
              <w:pStyle w:val="SingleTxtG"/>
              <w:spacing w:before="40" w:after="40" w:line="220" w:lineRule="exact"/>
              <w:ind w:left="0" w:right="113"/>
              <w:jc w:val="right"/>
              <w:rPr>
                <w:sz w:val="18"/>
                <w:szCs w:val="18"/>
              </w:rPr>
            </w:pPr>
            <w:r w:rsidRPr="00781946">
              <w:rPr>
                <w:sz w:val="18"/>
                <w:szCs w:val="18"/>
              </w:rPr>
              <w:t>36 594,57</w:t>
            </w:r>
          </w:p>
        </w:tc>
      </w:tr>
      <w:tr w:rsidR="0035659B" w:rsidRPr="00781946" w:rsidTr="0035659B">
        <w:tc>
          <w:tcPr>
            <w:tcW w:w="2055" w:type="dxa"/>
            <w:tcBorders>
              <w:bottom w:val="nil"/>
            </w:tcBorders>
            <w:shd w:val="clear" w:color="auto" w:fill="auto"/>
            <w:noWrap/>
            <w:tcMar>
              <w:top w:w="0" w:type="dxa"/>
              <w:left w:w="70" w:type="dxa"/>
              <w:bottom w:w="0" w:type="dxa"/>
              <w:right w:w="70" w:type="dxa"/>
            </w:tcMar>
            <w:hideMark/>
          </w:tcPr>
          <w:p w:rsidR="0035659B" w:rsidRPr="00781946" w:rsidRDefault="0035659B" w:rsidP="0035659B">
            <w:pPr>
              <w:pStyle w:val="SingleTxtG"/>
              <w:spacing w:before="40" w:after="40" w:line="220" w:lineRule="exact"/>
              <w:ind w:left="0" w:right="113"/>
              <w:jc w:val="left"/>
              <w:rPr>
                <w:sz w:val="18"/>
                <w:szCs w:val="18"/>
              </w:rPr>
            </w:pPr>
            <w:r w:rsidRPr="00781946">
              <w:rPr>
                <w:sz w:val="18"/>
                <w:szCs w:val="18"/>
              </w:rPr>
              <w:t>Бесплатный транспорт</w:t>
            </w:r>
          </w:p>
        </w:tc>
        <w:tc>
          <w:tcPr>
            <w:tcW w:w="1843" w:type="dxa"/>
            <w:tcBorders>
              <w:bottom w:val="nil"/>
            </w:tcBorders>
            <w:shd w:val="clear" w:color="auto" w:fill="auto"/>
            <w:noWrap/>
            <w:tcMar>
              <w:top w:w="0" w:type="dxa"/>
              <w:left w:w="70" w:type="dxa"/>
              <w:bottom w:w="0" w:type="dxa"/>
              <w:right w:w="70" w:type="dxa"/>
            </w:tcMar>
            <w:vAlign w:val="bottom"/>
            <w:hideMark/>
          </w:tcPr>
          <w:p w:rsidR="0035659B" w:rsidRPr="00781946" w:rsidRDefault="0035659B" w:rsidP="0035659B">
            <w:pPr>
              <w:pStyle w:val="SingleTxtG"/>
              <w:spacing w:before="40" w:after="40" w:line="220" w:lineRule="exact"/>
              <w:ind w:left="0" w:right="113"/>
              <w:jc w:val="right"/>
              <w:rPr>
                <w:sz w:val="18"/>
                <w:szCs w:val="18"/>
              </w:rPr>
            </w:pPr>
            <w:r w:rsidRPr="00781946">
              <w:rPr>
                <w:sz w:val="18"/>
                <w:szCs w:val="18"/>
              </w:rPr>
              <w:t>426</w:t>
            </w:r>
          </w:p>
        </w:tc>
        <w:tc>
          <w:tcPr>
            <w:tcW w:w="1842" w:type="dxa"/>
            <w:tcBorders>
              <w:bottom w:val="nil"/>
            </w:tcBorders>
            <w:shd w:val="clear" w:color="auto" w:fill="auto"/>
            <w:noWrap/>
            <w:tcMar>
              <w:top w:w="0" w:type="dxa"/>
              <w:left w:w="70" w:type="dxa"/>
              <w:bottom w:w="0" w:type="dxa"/>
              <w:right w:w="70" w:type="dxa"/>
            </w:tcMar>
            <w:vAlign w:val="bottom"/>
            <w:hideMark/>
          </w:tcPr>
          <w:p w:rsidR="0035659B" w:rsidRPr="00781946" w:rsidRDefault="0035659B" w:rsidP="0035659B">
            <w:pPr>
              <w:pStyle w:val="SingleTxtG"/>
              <w:spacing w:before="40" w:after="40" w:line="220" w:lineRule="exact"/>
              <w:ind w:left="0" w:right="113"/>
              <w:jc w:val="right"/>
              <w:rPr>
                <w:sz w:val="18"/>
                <w:szCs w:val="18"/>
              </w:rPr>
            </w:pPr>
            <w:r w:rsidRPr="00781946">
              <w:rPr>
                <w:sz w:val="18"/>
                <w:szCs w:val="18"/>
              </w:rPr>
              <w:t>175</w:t>
            </w:r>
          </w:p>
        </w:tc>
        <w:tc>
          <w:tcPr>
            <w:tcW w:w="1630" w:type="dxa"/>
            <w:tcBorders>
              <w:bottom w:val="nil"/>
            </w:tcBorders>
            <w:shd w:val="clear" w:color="auto" w:fill="auto"/>
            <w:noWrap/>
            <w:tcMar>
              <w:top w:w="0" w:type="dxa"/>
              <w:left w:w="70" w:type="dxa"/>
              <w:bottom w:w="0" w:type="dxa"/>
              <w:right w:w="70" w:type="dxa"/>
            </w:tcMar>
            <w:vAlign w:val="bottom"/>
            <w:hideMark/>
          </w:tcPr>
          <w:p w:rsidR="0035659B" w:rsidRPr="00781946" w:rsidRDefault="0035659B" w:rsidP="0035659B">
            <w:pPr>
              <w:pStyle w:val="SingleTxtG"/>
              <w:spacing w:before="40" w:after="40" w:line="220" w:lineRule="exact"/>
              <w:ind w:left="0" w:right="113"/>
              <w:jc w:val="right"/>
              <w:rPr>
                <w:sz w:val="18"/>
                <w:szCs w:val="18"/>
              </w:rPr>
            </w:pPr>
            <w:r w:rsidRPr="00781946">
              <w:rPr>
                <w:sz w:val="18"/>
                <w:szCs w:val="18"/>
              </w:rPr>
              <w:t>654 650,92</w:t>
            </w:r>
          </w:p>
        </w:tc>
      </w:tr>
      <w:tr w:rsidR="0035659B" w:rsidRPr="00781946" w:rsidTr="0035659B">
        <w:tc>
          <w:tcPr>
            <w:tcW w:w="2055" w:type="dxa"/>
            <w:tcBorders>
              <w:top w:val="nil"/>
              <w:bottom w:val="single" w:sz="12" w:space="0" w:color="auto"/>
            </w:tcBorders>
            <w:shd w:val="clear" w:color="auto" w:fill="auto"/>
            <w:noWrap/>
            <w:tcMar>
              <w:top w:w="0" w:type="dxa"/>
              <w:left w:w="70" w:type="dxa"/>
              <w:bottom w:w="0" w:type="dxa"/>
              <w:right w:w="70" w:type="dxa"/>
            </w:tcMar>
            <w:hideMark/>
          </w:tcPr>
          <w:p w:rsidR="0035659B" w:rsidRPr="00781946" w:rsidRDefault="0035659B" w:rsidP="0035659B">
            <w:pPr>
              <w:pStyle w:val="SingleTxtG"/>
              <w:spacing w:before="40" w:after="40" w:line="220" w:lineRule="exact"/>
              <w:ind w:left="0" w:right="113"/>
              <w:jc w:val="left"/>
              <w:rPr>
                <w:sz w:val="18"/>
                <w:szCs w:val="18"/>
              </w:rPr>
            </w:pPr>
            <w:r w:rsidRPr="00781946">
              <w:rPr>
                <w:sz w:val="18"/>
                <w:szCs w:val="18"/>
              </w:rPr>
              <w:t>Прочее</w:t>
            </w:r>
          </w:p>
        </w:tc>
        <w:tc>
          <w:tcPr>
            <w:tcW w:w="1843" w:type="dxa"/>
            <w:tcBorders>
              <w:top w:val="nil"/>
              <w:bottom w:val="single" w:sz="12" w:space="0" w:color="auto"/>
            </w:tcBorders>
            <w:shd w:val="clear" w:color="auto" w:fill="auto"/>
            <w:noWrap/>
            <w:tcMar>
              <w:top w:w="0" w:type="dxa"/>
              <w:left w:w="70" w:type="dxa"/>
              <w:bottom w:w="0" w:type="dxa"/>
              <w:right w:w="70" w:type="dxa"/>
            </w:tcMar>
            <w:vAlign w:val="bottom"/>
            <w:hideMark/>
          </w:tcPr>
          <w:p w:rsidR="0035659B" w:rsidRPr="00781946" w:rsidRDefault="0035659B" w:rsidP="0035659B">
            <w:pPr>
              <w:pStyle w:val="SingleTxtG"/>
              <w:spacing w:before="40" w:after="40" w:line="220" w:lineRule="exact"/>
              <w:ind w:left="0" w:right="113"/>
              <w:jc w:val="right"/>
              <w:rPr>
                <w:sz w:val="18"/>
                <w:szCs w:val="18"/>
              </w:rPr>
            </w:pPr>
            <w:r w:rsidRPr="00781946">
              <w:rPr>
                <w:sz w:val="18"/>
                <w:szCs w:val="18"/>
              </w:rPr>
              <w:t>465</w:t>
            </w:r>
          </w:p>
        </w:tc>
        <w:tc>
          <w:tcPr>
            <w:tcW w:w="1842" w:type="dxa"/>
            <w:tcBorders>
              <w:top w:val="nil"/>
              <w:bottom w:val="single" w:sz="12" w:space="0" w:color="auto"/>
            </w:tcBorders>
            <w:shd w:val="clear" w:color="auto" w:fill="auto"/>
            <w:noWrap/>
            <w:tcMar>
              <w:top w:w="0" w:type="dxa"/>
              <w:left w:w="70" w:type="dxa"/>
              <w:bottom w:w="0" w:type="dxa"/>
              <w:right w:w="70" w:type="dxa"/>
            </w:tcMar>
            <w:vAlign w:val="bottom"/>
            <w:hideMark/>
          </w:tcPr>
          <w:p w:rsidR="0035659B" w:rsidRPr="00781946" w:rsidRDefault="0035659B" w:rsidP="0035659B">
            <w:pPr>
              <w:pStyle w:val="SingleTxtG"/>
              <w:spacing w:before="40" w:after="40" w:line="220" w:lineRule="exact"/>
              <w:ind w:left="0" w:right="113"/>
              <w:jc w:val="right"/>
              <w:rPr>
                <w:sz w:val="18"/>
                <w:szCs w:val="18"/>
              </w:rPr>
            </w:pPr>
            <w:r w:rsidRPr="00781946">
              <w:rPr>
                <w:sz w:val="18"/>
                <w:szCs w:val="18"/>
              </w:rPr>
              <w:t>110</w:t>
            </w:r>
          </w:p>
        </w:tc>
        <w:tc>
          <w:tcPr>
            <w:tcW w:w="1630" w:type="dxa"/>
            <w:tcBorders>
              <w:top w:val="nil"/>
              <w:bottom w:val="single" w:sz="12" w:space="0" w:color="auto"/>
            </w:tcBorders>
            <w:shd w:val="clear" w:color="auto" w:fill="auto"/>
            <w:noWrap/>
            <w:tcMar>
              <w:top w:w="0" w:type="dxa"/>
              <w:left w:w="70" w:type="dxa"/>
              <w:bottom w:w="0" w:type="dxa"/>
              <w:right w:w="70" w:type="dxa"/>
            </w:tcMar>
            <w:vAlign w:val="bottom"/>
            <w:hideMark/>
          </w:tcPr>
          <w:p w:rsidR="0035659B" w:rsidRPr="00781946" w:rsidRDefault="0035659B" w:rsidP="0035659B">
            <w:pPr>
              <w:pStyle w:val="SingleTxtG"/>
              <w:spacing w:before="40" w:after="40" w:line="220" w:lineRule="exact"/>
              <w:ind w:left="0" w:right="113"/>
              <w:jc w:val="right"/>
              <w:rPr>
                <w:sz w:val="18"/>
                <w:szCs w:val="18"/>
              </w:rPr>
            </w:pPr>
            <w:r w:rsidRPr="00781946">
              <w:rPr>
                <w:sz w:val="18"/>
                <w:szCs w:val="18"/>
              </w:rPr>
              <w:t>603 322,74</w:t>
            </w:r>
          </w:p>
        </w:tc>
      </w:tr>
    </w:tbl>
    <w:p w:rsidR="0035659B" w:rsidRPr="007A3101" w:rsidRDefault="0035659B" w:rsidP="00F743D0">
      <w:pPr>
        <w:spacing w:before="120" w:after="240" w:line="220" w:lineRule="exact"/>
        <w:ind w:left="1304" w:right="1134" w:firstLine="170"/>
        <w:rPr>
          <w:sz w:val="18"/>
          <w:szCs w:val="18"/>
        </w:rPr>
      </w:pPr>
      <w:r w:rsidRPr="007A3101">
        <w:rPr>
          <w:i/>
          <w:sz w:val="18"/>
          <w:szCs w:val="18"/>
        </w:rPr>
        <w:t>Источник:</w:t>
      </w:r>
      <w:r w:rsidRPr="007A3101">
        <w:rPr>
          <w:sz w:val="18"/>
          <w:szCs w:val="18"/>
        </w:rPr>
        <w:t xml:space="preserve"> Министерство социальны</w:t>
      </w:r>
      <w:r>
        <w:rPr>
          <w:sz w:val="18"/>
          <w:szCs w:val="18"/>
        </w:rPr>
        <w:t>х</w:t>
      </w:r>
      <w:r w:rsidRPr="007A3101">
        <w:rPr>
          <w:sz w:val="18"/>
          <w:szCs w:val="18"/>
        </w:rPr>
        <w:t xml:space="preserve"> </w:t>
      </w:r>
      <w:r>
        <w:rPr>
          <w:sz w:val="18"/>
          <w:szCs w:val="18"/>
        </w:rPr>
        <w:t>дел</w:t>
      </w:r>
      <w:r w:rsidRPr="007A3101">
        <w:rPr>
          <w:sz w:val="18"/>
          <w:szCs w:val="18"/>
        </w:rPr>
        <w:t>, статистические данные по социальному обеспечению</w:t>
      </w:r>
      <w:r>
        <w:rPr>
          <w:sz w:val="18"/>
          <w:szCs w:val="18"/>
        </w:rPr>
        <w:t>.</w:t>
      </w:r>
    </w:p>
    <w:p w:rsidR="0035659B" w:rsidRPr="00E31BBF" w:rsidRDefault="0035659B" w:rsidP="0035659B">
      <w:pPr>
        <w:pStyle w:val="SingleTxtG"/>
      </w:pPr>
      <w:r>
        <w:t>57.</w:t>
      </w:r>
      <w:r>
        <w:tab/>
        <w:t xml:space="preserve">Помощь, организуемая государством: </w:t>
      </w:r>
    </w:p>
    <w:p w:rsidR="0035659B" w:rsidRPr="00FA72FB" w:rsidRDefault="0035659B" w:rsidP="00F743D0">
      <w:pPr>
        <w:pStyle w:val="Bullet1G"/>
      </w:pPr>
      <w:r>
        <w:t>технические средства (Совет социального страхования покрывает 90% расходов);</w:t>
      </w:r>
    </w:p>
    <w:p w:rsidR="0035659B" w:rsidRPr="00FA72FB" w:rsidRDefault="0035659B" w:rsidP="00F743D0">
      <w:pPr>
        <w:pStyle w:val="Bullet1G"/>
      </w:pPr>
      <w:r>
        <w:t>у</w:t>
      </w:r>
      <w:r w:rsidRPr="00383E4E">
        <w:t>слуги по социальной</w:t>
      </w:r>
      <w:r>
        <w:t xml:space="preserve"> реабилитации. Детям со сложными потребностями предоставляются услуги специалистов: специалиста по трудотерапии, специалиста в области арт-терапии, социального работника, психолога, преподавателя системы специального обучения, логопеда, физиотерапевта, консультанта по восприятию, врача и медсестры. Максимальная сумма, покрываемая Советом социального страхования, составляет 2</w:t>
      </w:r>
      <w:r w:rsidR="00F743D0">
        <w:t> </w:t>
      </w:r>
      <w:r>
        <w:t xml:space="preserve">580 евро (эта сумма увеличивалась почти каждый год); </w:t>
      </w:r>
    </w:p>
    <w:p w:rsidR="0035659B" w:rsidRPr="00FA72FB" w:rsidRDefault="0035659B" w:rsidP="00F743D0">
      <w:pPr>
        <w:pStyle w:val="Bullet1G"/>
      </w:pPr>
      <w:r>
        <w:t xml:space="preserve">пособие на детей-инвалидов. Оно ежемесячно выплачивается ребенку со средней, тяжелой или глубокой инвалидностью в качестве компенсации дополнительных расходов, связанных с инвалидностью, и оплаты мероприятий, предписанных в плане реабилитации. Размер этого пособия остается </w:t>
      </w:r>
      <w:r>
        <w:lastRenderedPageBreak/>
        <w:t xml:space="preserve">неизменным в течение нескольких лет, но в начале этого года парламент решил повысить его со следующего года. </w:t>
      </w:r>
    </w:p>
    <w:p w:rsidR="0035659B" w:rsidRPr="00FA72FB" w:rsidRDefault="0035659B" w:rsidP="0035659B">
      <w:pPr>
        <w:pStyle w:val="SingleTxtG"/>
      </w:pPr>
      <w:r>
        <w:t>58.</w:t>
      </w:r>
      <w:r>
        <w:tab/>
        <w:t>В 2019 году сумма финансовой поддержки для ребенка со средней степенью инвалидности составила 69,04 евро, а для ребенка с тяжелой или глубокой инвалидностью</w:t>
      </w:r>
      <w:r w:rsidR="00F743D0">
        <w:t xml:space="preserve"> –</w:t>
      </w:r>
      <w:r>
        <w:t xml:space="preserve"> 80,55 евро. В 2020 году и последующие годы эта сумма будет увеличена следующим образом: для ребенка со средней степенью инвалидности</w:t>
      </w:r>
      <w:r w:rsidR="00F743D0">
        <w:t xml:space="preserve"> –</w:t>
      </w:r>
      <w:r>
        <w:t xml:space="preserve"> до 138,08 евро, для ребенка с тяжелой формой инвалидности</w:t>
      </w:r>
      <w:r w:rsidR="00F743D0">
        <w:t xml:space="preserve"> –</w:t>
      </w:r>
      <w:r>
        <w:t xml:space="preserve"> до 161,1 евро и для ребенка с глубокой инвалидностью</w:t>
      </w:r>
      <w:r w:rsidR="00F743D0">
        <w:t xml:space="preserve"> –</w:t>
      </w:r>
      <w:r>
        <w:t xml:space="preserve"> до 241,65 евро. </w:t>
      </w:r>
    </w:p>
    <w:p w:rsidR="0035659B" w:rsidRPr="00B7261E" w:rsidRDefault="0035659B" w:rsidP="0035659B">
      <w:pPr>
        <w:pStyle w:val="H1G"/>
      </w:pPr>
      <w:r w:rsidRPr="00B7261E">
        <w:tab/>
      </w:r>
      <w:r w:rsidRPr="00B7261E">
        <w:tab/>
        <w:t>Просветительно-воспитательная работа (статья 8)</w:t>
      </w:r>
    </w:p>
    <w:p w:rsidR="0035659B" w:rsidRPr="00FA72FB" w:rsidRDefault="0035659B" w:rsidP="0035659B">
      <w:pPr>
        <w:pStyle w:val="H23G"/>
      </w:pPr>
      <w:r>
        <w:tab/>
      </w:r>
      <w:r>
        <w:tab/>
      </w:r>
      <w:r w:rsidR="00F743D0">
        <w:rPr>
          <w:bCs/>
        </w:rPr>
        <w:t xml:space="preserve">Ответ на пункт </w:t>
      </w:r>
      <w:proofErr w:type="gramStart"/>
      <w:r w:rsidR="00F743D0">
        <w:rPr>
          <w:bCs/>
        </w:rPr>
        <w:t>6</w:t>
      </w:r>
      <w:proofErr w:type="gramEnd"/>
      <w:r w:rsidR="00F743D0">
        <w:rPr>
          <w:bCs/>
        </w:rPr>
        <w:t xml:space="preserve"> </w:t>
      </w:r>
      <w:r>
        <w:rPr>
          <w:bCs/>
        </w:rPr>
        <w:t>а) перечня вопросов</w:t>
      </w:r>
      <w:r>
        <w:t xml:space="preserve"> </w:t>
      </w:r>
    </w:p>
    <w:p w:rsidR="0035659B" w:rsidRPr="00FA72FB" w:rsidRDefault="0035659B" w:rsidP="0035659B">
      <w:pPr>
        <w:pStyle w:val="SingleTxtG"/>
      </w:pPr>
      <w:r>
        <w:t>59.</w:t>
      </w:r>
      <w:r>
        <w:tab/>
      </w:r>
      <w:proofErr w:type="gramStart"/>
      <w:r>
        <w:t>В</w:t>
      </w:r>
      <w:proofErr w:type="gramEnd"/>
      <w:r>
        <w:t xml:space="preserve"> последние годы регулярно проводятся кампании по повышению уровня осведомленности общественности о проблемах инвалидов.</w:t>
      </w:r>
    </w:p>
    <w:p w:rsidR="0035659B" w:rsidRPr="00FA72FB" w:rsidRDefault="0035659B" w:rsidP="0035659B">
      <w:pPr>
        <w:pStyle w:val="SingleTxtG"/>
        <w:rPr>
          <w:rStyle w:val="aa"/>
        </w:rPr>
      </w:pPr>
      <w:r>
        <w:t>60.</w:t>
      </w:r>
      <w:r>
        <w:tab/>
        <w:t>В 2017 году была организована кампания под лозунгом «Не бойся», в рамках которой инвалиды были представлены как полноправные члены нашего общества, живущие повседневной жизнью и успешно работающие. В 2018 году проводилась кампания под лозунгом «Ничего страшного», посвященная людям с психическими расстройствами, в рамках которой люди могли получить советы относительно того, как общаться с такими инвалидами, а в 2019 году</w:t>
      </w:r>
      <w:r w:rsidR="00F743D0">
        <w:t xml:space="preserve"> –</w:t>
      </w:r>
      <w:r>
        <w:t xml:space="preserve"> кампания «Раскрой свои чувства», посвященная людям с нарушениями зрения и слуха, которые успешно справляются со своей работой, учебой и т.</w:t>
      </w:r>
      <w:r w:rsidR="00F743D0">
        <w:t xml:space="preserve"> </w:t>
      </w:r>
      <w:r>
        <w:t>д.</w:t>
      </w:r>
      <w:r w:rsidRPr="00060D87">
        <w:rPr>
          <w:rStyle w:val="aa"/>
        </w:rPr>
        <w:footnoteReference w:id="4"/>
      </w:r>
      <w:r w:rsidR="00F743D0">
        <w:t>.</w:t>
      </w:r>
    </w:p>
    <w:p w:rsidR="0035659B" w:rsidRPr="00FA72FB" w:rsidRDefault="0035659B" w:rsidP="0035659B">
      <w:pPr>
        <w:pStyle w:val="SingleTxtG"/>
      </w:pPr>
      <w:r>
        <w:t>61.</w:t>
      </w:r>
      <w:r>
        <w:tab/>
        <w:t xml:space="preserve">Цель этих кампаний состояла в принятии обществом инвалидов, предотвращении стигматизации и повышении осведомленности об их вкладе в жизнь общества. Все кампании оказались успешными и были тепло встречены широкой общественностью и средствами массовой информации. </w:t>
      </w:r>
    </w:p>
    <w:p w:rsidR="0035659B" w:rsidRPr="00FA72FB" w:rsidRDefault="0035659B" w:rsidP="0035659B">
      <w:pPr>
        <w:pStyle w:val="SingleTxtG"/>
      </w:pPr>
      <w:r>
        <w:t>62.</w:t>
      </w:r>
      <w:r>
        <w:tab/>
      </w:r>
      <w:r w:rsidRPr="002A388E">
        <w:t>Кроме того,</w:t>
      </w:r>
      <w:r>
        <w:t xml:space="preserve"> в Эстонии отмечается день доступной среды. В 2019 году основное внимание уделялось инвалидам: проводилась выставка универсального дизайна, а в одном из центральных торговых центров Таллина было организовано мероприятие, участники которого могли побыть на месте инвалидов. Это мероприятие включало передвижение с собакой-поводырем, преодоление физических препятствий в инвалидном кресле, попытки поесть в боксерской перчатке (моторные нарушения) и др. Кроме того, было организовано информационно-просветительское мероприятие для высокопоставленных должностных лиц из различных ведомств, посвященное проблемам людей с нарушениями зрения, с которыми они сталкиваются в повседневной жизни. </w:t>
      </w:r>
    </w:p>
    <w:p w:rsidR="0035659B" w:rsidRPr="00FA72FB" w:rsidRDefault="0035659B" w:rsidP="0035659B">
      <w:pPr>
        <w:pStyle w:val="H23G"/>
      </w:pPr>
      <w:r>
        <w:tab/>
      </w:r>
      <w:r>
        <w:tab/>
      </w:r>
      <w:r w:rsidR="00F743D0">
        <w:rPr>
          <w:bCs/>
        </w:rPr>
        <w:t xml:space="preserve">Ответ на пункт 6 b) и </w:t>
      </w:r>
      <w:r>
        <w:rPr>
          <w:bCs/>
        </w:rPr>
        <w:t>c) перечня вопросов</w:t>
      </w:r>
      <w:r>
        <w:t xml:space="preserve"> </w:t>
      </w:r>
    </w:p>
    <w:p w:rsidR="0035659B" w:rsidRPr="00FA72FB" w:rsidRDefault="0035659B" w:rsidP="0035659B">
      <w:pPr>
        <w:pStyle w:val="SingleTxtG"/>
      </w:pPr>
      <w:r>
        <w:t>63.</w:t>
      </w:r>
      <w:r>
        <w:tab/>
        <w:t xml:space="preserve">При организации и проведении информационно-просветительских кампаний прилагались особые усилия для обеспечения доступности, и поэтому люди с нарушениями зрения и слуха смогли участвовать во всех вышеперечисленных мероприятиях. </w:t>
      </w:r>
    </w:p>
    <w:p w:rsidR="0035659B" w:rsidRPr="00FA72FB" w:rsidRDefault="0035659B" w:rsidP="0035659B">
      <w:pPr>
        <w:pStyle w:val="SingleTxtG"/>
      </w:pPr>
      <w:r>
        <w:t>64.</w:t>
      </w:r>
      <w:r>
        <w:tab/>
        <w:t xml:space="preserve">Подготовка всех упомянутых кампаний проводилась в тесном сотрудничестве с представляющими интересы инвалидов организациями, с тем чтобы привлечь инвалидов на этапе подготовки. Кроме того, сами инвалиды приняли активное участие в этих кампаниях. Общение с ними помогло людям лучше понять смысл лозунгов, под которыми проводились кампании, что сделало эти мероприятия еще более успешными. </w:t>
      </w:r>
    </w:p>
    <w:p w:rsidR="0035659B" w:rsidRPr="00FA72FB" w:rsidRDefault="0035659B" w:rsidP="0035659B">
      <w:pPr>
        <w:pStyle w:val="SingleTxtG"/>
      </w:pPr>
      <w:r>
        <w:t>65.</w:t>
      </w:r>
      <w:r>
        <w:tab/>
        <w:t xml:space="preserve">Консультации и сотрудничество с соответствующими представительными организациями также проводились в ходе подготовки и проведения тематического анализа или исследований. </w:t>
      </w:r>
    </w:p>
    <w:p w:rsidR="0035659B" w:rsidRPr="00BF0CDD" w:rsidRDefault="0035659B" w:rsidP="0035659B">
      <w:pPr>
        <w:pStyle w:val="H1G"/>
      </w:pPr>
      <w:r w:rsidRPr="00BF0CDD">
        <w:lastRenderedPageBreak/>
        <w:tab/>
      </w:r>
      <w:r w:rsidRPr="00BF0CDD">
        <w:tab/>
        <w:t>Доступность (статья 9)</w:t>
      </w:r>
    </w:p>
    <w:p w:rsidR="0035659B" w:rsidRPr="00FA72FB" w:rsidRDefault="0035659B" w:rsidP="0035659B">
      <w:pPr>
        <w:pStyle w:val="H23G"/>
      </w:pPr>
      <w:r>
        <w:tab/>
      </w:r>
      <w:r>
        <w:tab/>
      </w:r>
      <w:r w:rsidR="00F743D0">
        <w:rPr>
          <w:bCs/>
        </w:rPr>
        <w:t xml:space="preserve">Ответ на пункт </w:t>
      </w:r>
      <w:proofErr w:type="gramStart"/>
      <w:r w:rsidR="00F743D0">
        <w:rPr>
          <w:bCs/>
        </w:rPr>
        <w:t>7</w:t>
      </w:r>
      <w:proofErr w:type="gramEnd"/>
      <w:r w:rsidR="00F743D0">
        <w:rPr>
          <w:bCs/>
        </w:rPr>
        <w:t xml:space="preserve"> </w:t>
      </w:r>
      <w:r>
        <w:rPr>
          <w:bCs/>
        </w:rPr>
        <w:t>а) перечня вопросов</w:t>
      </w:r>
      <w:r>
        <w:t xml:space="preserve"> </w:t>
      </w:r>
    </w:p>
    <w:p w:rsidR="0035659B" w:rsidRPr="00FA72FB" w:rsidRDefault="0035659B" w:rsidP="0035659B">
      <w:pPr>
        <w:pStyle w:val="SingleTxtG"/>
      </w:pPr>
      <w:r>
        <w:t>66.</w:t>
      </w:r>
      <w:r>
        <w:tab/>
        <w:t>Доступность и универсальный дизайн стали одним из приоритетов для Эстонии. В 2018 году вступило в силу распоряжение</w:t>
      </w:r>
      <w:r w:rsidRPr="00060D87">
        <w:rPr>
          <w:rStyle w:val="aa"/>
        </w:rPr>
        <w:footnoteReference w:id="5"/>
      </w:r>
      <w:r>
        <w:t xml:space="preserve"> министра по предпринимательству и информационным технологиям, которое содержит подробные требования в отношении зданий в связи с особыми потребностями инвалидов. Это постановление применяется в первую очередь к зданиям, в которых оказываются государственные услуги, а также к дорогам общего пользования в городских районах и общедоступным частным дорогам. </w:t>
      </w:r>
    </w:p>
    <w:p w:rsidR="0035659B" w:rsidRPr="00FA72FB" w:rsidRDefault="0035659B" w:rsidP="0035659B">
      <w:pPr>
        <w:pStyle w:val="SingleTxtG"/>
      </w:pPr>
      <w:r>
        <w:t>67.</w:t>
      </w:r>
      <w:r>
        <w:tab/>
      </w:r>
      <w:proofErr w:type="gramStart"/>
      <w:r>
        <w:t>В</w:t>
      </w:r>
      <w:proofErr w:type="gramEnd"/>
      <w:r>
        <w:t xml:space="preserve"> целях обеспечения доступности государственных услуг для людей с интеллектуальными нарушениями был запущен при поддержке норвежских грантов проект на 2014–2021 годы, который осуществляет Фонд активных граждан в Эстонии. Проект призван способствовать употреблению простых формулировок, наприм</w:t>
      </w:r>
      <w:r w:rsidR="00F743D0">
        <w:t>ер, в </w:t>
      </w:r>
      <w:r>
        <w:t>библиотеках, местных органах власти, на спортивных объектах и т.</w:t>
      </w:r>
      <w:r w:rsidR="00F743D0">
        <w:t> </w:t>
      </w:r>
      <w:r>
        <w:t xml:space="preserve">д. </w:t>
      </w:r>
    </w:p>
    <w:p w:rsidR="0035659B" w:rsidRPr="00FA72FB" w:rsidRDefault="0035659B" w:rsidP="0035659B">
      <w:pPr>
        <w:pStyle w:val="SingleTxtG"/>
      </w:pPr>
      <w:r>
        <w:t>68.</w:t>
      </w:r>
      <w:r>
        <w:tab/>
        <w:t xml:space="preserve">Министерство социальных дел непрерывно анализирует доступность остановок общественного транспорта по всей Эстонии. В результате будут определены наиболее важные транспортные узлы и соответствующие остановки общественного транспорта, а в начале 2020 года составлен расчет затрат, связанных с необходимыми корректировками. </w:t>
      </w:r>
    </w:p>
    <w:p w:rsidR="0035659B" w:rsidRPr="00FA72FB" w:rsidRDefault="0035659B" w:rsidP="0035659B">
      <w:pPr>
        <w:pStyle w:val="SingleTxtG"/>
      </w:pPr>
      <w:r>
        <w:t>69.</w:t>
      </w:r>
      <w:r>
        <w:tab/>
        <w:t>Министерство социальных дел осуществляет пилотный проект в области социального транспорта, рассчитанный на период 2018–2022 годов. Цель проекта состоит в опробовании новых моделей транспорта в рамках социального обслуживания и составлении более подробной информации о том, кто пользуется социальным транспортом и какие способы финансирования должны применяться для повышения эффективности в решении этой задачи. Пилотный проект осуществляется в пяти уездах, в которых четыре муниципальные компании общественного транспорта тесно взаимодействуют с муниципалитетами в целях разработки и обеспечения социальных транспортных услуг в своих уездах. Этот пилотный проект финансируется за счет средств Европейского социального фонда и собственных средств партнеров.</w:t>
      </w:r>
    </w:p>
    <w:p w:rsidR="0035659B" w:rsidRPr="00FA72FB" w:rsidRDefault="0035659B" w:rsidP="0035659B">
      <w:pPr>
        <w:pStyle w:val="H23G"/>
      </w:pPr>
      <w:r>
        <w:tab/>
      </w:r>
      <w:r>
        <w:tab/>
      </w:r>
      <w:r w:rsidR="00F743D0">
        <w:rPr>
          <w:bCs/>
        </w:rPr>
        <w:t xml:space="preserve">Ответ на пункт 7 </w:t>
      </w:r>
      <w:r>
        <w:rPr>
          <w:bCs/>
        </w:rPr>
        <w:t>b) перечня вопросов</w:t>
      </w:r>
      <w:r>
        <w:t xml:space="preserve"> </w:t>
      </w:r>
    </w:p>
    <w:p w:rsidR="0035659B" w:rsidRPr="00FA72FB" w:rsidRDefault="0035659B" w:rsidP="0035659B">
      <w:pPr>
        <w:pStyle w:val="SingleTxtG"/>
      </w:pPr>
      <w:r>
        <w:t>70.</w:t>
      </w:r>
      <w:r>
        <w:tab/>
        <w:t xml:space="preserve">Требования в отношении доступности веб-сайтов в государственном секторе изложены в статье 32 Закона о публичной информации (статья вступила в силу 1 декабря 2018 года). </w:t>
      </w:r>
    </w:p>
    <w:p w:rsidR="0035659B" w:rsidRPr="00FA72FB" w:rsidRDefault="0035659B" w:rsidP="0035659B">
      <w:pPr>
        <w:pStyle w:val="SingleTxtG"/>
      </w:pPr>
      <w:r>
        <w:t>71.</w:t>
      </w:r>
      <w:r>
        <w:tab/>
        <w:t>Требования в отношении зданий в связи с особыми потребностями инвалидов предусматривают, что в конструкции зданий, где оказываются какие-либо государственные услуги, должны учитываться потребности инвалидов. Это относится и к зданиям, которые используются, например, для услуг по размещению.</w:t>
      </w:r>
    </w:p>
    <w:p w:rsidR="0035659B" w:rsidRPr="00FA72FB" w:rsidRDefault="0035659B" w:rsidP="0035659B">
      <w:pPr>
        <w:pStyle w:val="SingleTxtG"/>
      </w:pPr>
      <w:r>
        <w:t>72.</w:t>
      </w:r>
      <w:r>
        <w:tab/>
        <w:t xml:space="preserve">Кроме того, проводятся различные мероприятия по повышению осведомленности в отношении доступности в сфере туризма. Это включает организацию семинаров по доступной среде и распространение информационных материалов, которые должны помочь туристским агентствам, работающим с инвалидами, а также проведение проверок в отношении физической и цифровой доступности в различных городах. </w:t>
      </w:r>
    </w:p>
    <w:p w:rsidR="0035659B" w:rsidRPr="00FA72FB" w:rsidRDefault="0035659B" w:rsidP="0035659B">
      <w:pPr>
        <w:pStyle w:val="SingleTxtG"/>
      </w:pPr>
      <w:r>
        <w:t>73.</w:t>
      </w:r>
      <w:r>
        <w:tab/>
        <w:t xml:space="preserve">Далее, 17 апреля 2019 года был принят Европейский закон о доступности. В Законе установлены требования в отношении продуктов и услуг в Европейском союзе. Закон вступит в силу 28 июня 2025 года и, безусловно, ускорит развитие доступной среды для инвалидов. </w:t>
      </w:r>
    </w:p>
    <w:p w:rsidR="0035659B" w:rsidRPr="00FA72FB" w:rsidRDefault="0035659B" w:rsidP="0035659B">
      <w:pPr>
        <w:pStyle w:val="H23G"/>
      </w:pPr>
      <w:r>
        <w:lastRenderedPageBreak/>
        <w:tab/>
      </w:r>
      <w:r>
        <w:tab/>
      </w:r>
      <w:r w:rsidR="00F743D0">
        <w:rPr>
          <w:bCs/>
        </w:rPr>
        <w:t xml:space="preserve">Ответ на пункт 7 </w:t>
      </w:r>
      <w:r>
        <w:rPr>
          <w:bCs/>
        </w:rPr>
        <w:t>с) перечня вопросов</w:t>
      </w:r>
      <w:r>
        <w:t xml:space="preserve"> </w:t>
      </w:r>
    </w:p>
    <w:p w:rsidR="0035659B" w:rsidRPr="00FA72FB" w:rsidRDefault="0035659B" w:rsidP="0035659B">
      <w:pPr>
        <w:pStyle w:val="SingleTxtG"/>
      </w:pPr>
      <w:r>
        <w:t>74.</w:t>
      </w:r>
      <w:r>
        <w:tab/>
        <w:t xml:space="preserve">Положения указанной в перечне вопросов Директивы включены в эстонское законодательство на основании статьи 32 Закона о публичной информации. Была создана рабочая группа для включения положений Директивы во внутреннее законодательство, в состав которой вошли, в частности, представители Эстонского союза слепых и Палаты инвалидов Эстонии. </w:t>
      </w:r>
    </w:p>
    <w:p w:rsidR="0035659B" w:rsidRPr="00FA72FB" w:rsidRDefault="0035659B" w:rsidP="0035659B">
      <w:pPr>
        <w:pStyle w:val="SingleTxtG"/>
      </w:pPr>
      <w:r>
        <w:t>75.</w:t>
      </w:r>
      <w:r>
        <w:tab/>
        <w:t xml:space="preserve">На основании пункта 2 статьи 32 Закона министр по предпринимательству и информационным технологиям издал распоряжение, содержащее требования в отношении доступности веб-сайтов и мобильных приложений, а также правила публикации информации с описанием доступности. </w:t>
      </w:r>
    </w:p>
    <w:p w:rsidR="0035659B" w:rsidRPr="00FA72FB" w:rsidRDefault="0035659B" w:rsidP="0035659B">
      <w:pPr>
        <w:pStyle w:val="HChG"/>
      </w:pPr>
      <w:r w:rsidRPr="00B83F74">
        <w:tab/>
      </w:r>
      <w:r w:rsidRPr="00B83F74">
        <w:tab/>
        <w:t>Статья 11</w:t>
      </w:r>
      <w:r>
        <w:br/>
        <w:t>Ситуации риска и чрезвычайные гуманитарные ситуации</w:t>
      </w:r>
    </w:p>
    <w:p w:rsidR="0035659B" w:rsidRPr="00FA72FB" w:rsidRDefault="0035659B" w:rsidP="0035659B">
      <w:pPr>
        <w:pStyle w:val="SingleTxtG"/>
      </w:pPr>
      <w:r>
        <w:t>76.</w:t>
      </w:r>
      <w:r>
        <w:tab/>
        <w:t xml:space="preserve">Управление рисками бедствий в Эстонии регулируется в стратегии обеспечения внутренней безопасности. В 2018 году была принята концепция гражданской обороны, в которой изложен ориентированный на людей и общины подход к управлению кризисными ситуациями и ликвидации последствий стихийных бедствий. Концепция также уделяет особое внимание уязвимым группам населения, включая инвалидов. </w:t>
      </w:r>
    </w:p>
    <w:p w:rsidR="0035659B" w:rsidRPr="00FA72FB" w:rsidRDefault="0035659B" w:rsidP="0035659B">
      <w:pPr>
        <w:pStyle w:val="SingleTxtG"/>
      </w:pPr>
      <w:r>
        <w:t>77.</w:t>
      </w:r>
      <w:r>
        <w:tab/>
        <w:t>Для повышения доступности помощи для инвалидов Центр реагирования на чрезвычайные ситуации создал службу коротких сообщений SMS-112. Это позволяет людям с нарушениями слуха или речи направлять бесплатное SMS, если они нуждаются в услугах службы спасения, скорой помощи или полиции. Для того чтобы воспользоваться этой службой, необходимо открыть аккаунт пользователя.</w:t>
      </w:r>
    </w:p>
    <w:p w:rsidR="0035659B" w:rsidRPr="00FA72FB" w:rsidRDefault="0035659B" w:rsidP="0035659B">
      <w:pPr>
        <w:pStyle w:val="SingleTxtG"/>
      </w:pPr>
      <w:r>
        <w:t>78.</w:t>
      </w:r>
      <w:r>
        <w:tab/>
      </w:r>
      <w:proofErr w:type="gramStart"/>
      <w:r>
        <w:t>В</w:t>
      </w:r>
      <w:proofErr w:type="gramEnd"/>
      <w:r>
        <w:t xml:space="preserve"> сотрудничестве с представителями НПО была распространена информация о такой возможности среди целевых групп. </w:t>
      </w:r>
    </w:p>
    <w:p w:rsidR="0035659B" w:rsidRPr="00B83F74" w:rsidRDefault="0035659B" w:rsidP="0035659B">
      <w:pPr>
        <w:pStyle w:val="H1G"/>
      </w:pPr>
      <w:r w:rsidRPr="00B83F74">
        <w:tab/>
      </w:r>
      <w:r w:rsidRPr="00B83F74">
        <w:tab/>
        <w:t xml:space="preserve">Равенство перед законом (статья 12) </w:t>
      </w:r>
    </w:p>
    <w:p w:rsidR="0035659B" w:rsidRPr="00FA72FB" w:rsidRDefault="0035659B" w:rsidP="0035659B">
      <w:pPr>
        <w:pStyle w:val="H23G"/>
      </w:pPr>
      <w:r>
        <w:tab/>
      </w:r>
      <w:r>
        <w:tab/>
      </w:r>
      <w:r>
        <w:rPr>
          <w:bCs/>
        </w:rPr>
        <w:t xml:space="preserve">Ответ на пункт </w:t>
      </w:r>
      <w:proofErr w:type="gramStart"/>
      <w:r>
        <w:rPr>
          <w:bCs/>
        </w:rPr>
        <w:t>9</w:t>
      </w:r>
      <w:proofErr w:type="gramEnd"/>
      <w:r w:rsidR="00F743D0">
        <w:rPr>
          <w:bCs/>
        </w:rPr>
        <w:t xml:space="preserve"> </w:t>
      </w:r>
      <w:r>
        <w:rPr>
          <w:bCs/>
        </w:rPr>
        <w:t>а), b) и c) перечня вопросов</w:t>
      </w:r>
      <w:r>
        <w:t xml:space="preserve"> </w:t>
      </w:r>
    </w:p>
    <w:p w:rsidR="0035659B" w:rsidRPr="00FA72FB" w:rsidRDefault="0035659B" w:rsidP="0035659B">
      <w:pPr>
        <w:pStyle w:val="SingleTxtG"/>
      </w:pPr>
      <w:r>
        <w:t>79.</w:t>
      </w:r>
      <w:r>
        <w:tab/>
      </w:r>
      <w:proofErr w:type="gramStart"/>
      <w:r w:rsidRPr="00B91C16">
        <w:t>В</w:t>
      </w:r>
      <w:proofErr w:type="gramEnd"/>
      <w:r w:rsidRPr="00B91C16">
        <w:t xml:space="preserve"> пункте</w:t>
      </w:r>
      <w:r>
        <w:t xml:space="preserve"> 3 статьи 8 Общей части Гражданского кодекса предусмотрено, что если суд назначает опекуна лицу, которое в силу своего психического заболевания, слабоумия или иного психического расстройства окончательно не способно осознавать и контролировать свои действия, то это лицо считается имеющим ограниченную дееспособность в той мере, насколько ему назначен опекун. Важно подчеркнуть, что дееспособность лица не ограничивается, а </w:t>
      </w:r>
      <w:proofErr w:type="spellStart"/>
      <w:r>
        <w:t>презюмируется</w:t>
      </w:r>
      <w:proofErr w:type="spellEnd"/>
      <w:r>
        <w:t xml:space="preserve"> ограниченной, когда ему назначается опекун, и лишь определенная степень психического расстройства дает основание для назначения лицу опекуна. </w:t>
      </w:r>
    </w:p>
    <w:p w:rsidR="0035659B" w:rsidRPr="00FA72FB" w:rsidRDefault="0035659B" w:rsidP="0035659B">
      <w:pPr>
        <w:pStyle w:val="SingleTxtG"/>
      </w:pPr>
      <w:r>
        <w:t>80.</w:t>
      </w:r>
      <w:r>
        <w:tab/>
      </w:r>
      <w:proofErr w:type="gramStart"/>
      <w:r>
        <w:t>В</w:t>
      </w:r>
      <w:proofErr w:type="gramEnd"/>
      <w:r>
        <w:t xml:space="preserve"> соответствии со статьей 203 Закона о семейном праве (ЗСП), если взрослое лицо окончательно не способно осознавать и контролировать свои действия в силу своего психического заболевания, слабоумия или иного психического расстройства, суд назначает ему опекуна на основе заявления этого лица, его родителя, супруга или взрослого ребенка или местного муниципалитета либо по собственной инициативе. Опекун назначается для выполнения только функций, для которых требуется опека. Опека не требуется, если интересы взрослого лица могут быть защищены путем предоставления полномочия и через членов семьи или других помощников. При назначении опеки суд должен оценить способность лица понять юридические последствия брачного договора, признания отцовства и других действий, совершаемых в соответствии с семейных правом. Обязанности опекуна могут включать осуществление прав подопечного в отношении третьих лиц. </w:t>
      </w:r>
    </w:p>
    <w:p w:rsidR="0035659B" w:rsidRPr="00FA72FB" w:rsidRDefault="0035659B" w:rsidP="0035659B">
      <w:pPr>
        <w:pStyle w:val="SingleTxtG"/>
      </w:pPr>
      <w:r>
        <w:t>81.</w:t>
      </w:r>
      <w:r>
        <w:tab/>
        <w:t xml:space="preserve">Суд обязан проверить, не реже одного раза в пять лет, является ли сохранение опеки над подопечным необходимым для защиты интересов подопечного и существуют ли основания для расширения или ограничения обязанностей опекуна, </w:t>
      </w:r>
      <w:r>
        <w:lastRenderedPageBreak/>
        <w:t>и</w:t>
      </w:r>
      <w:r w:rsidR="00D32525">
        <w:t> </w:t>
      </w:r>
      <w:r>
        <w:t xml:space="preserve">вынести соответствующее судебное постановление. Поэтому, согласно ЗСП, опека устанавливается только в тех случаях, когда использование механизмов принятия решений при поддержке со стороны третьего лица будет невозможным по причине тяжести психического расстройства лица, и сфера полномочий опекуна должна в любом случае быть как можно меньшей. </w:t>
      </w:r>
    </w:p>
    <w:p w:rsidR="0035659B" w:rsidRPr="00FA72FB" w:rsidRDefault="0035659B" w:rsidP="0035659B">
      <w:pPr>
        <w:pStyle w:val="SingleTxtG"/>
      </w:pPr>
      <w:r>
        <w:t>82.</w:t>
      </w:r>
      <w:r>
        <w:tab/>
        <w:t>По этой же причине Эстония намерена отозвать свое заявление относительно толкования статьи 12 Конвенции. В 2018 году было зарегистрировано 6</w:t>
      </w:r>
      <w:r w:rsidR="00D32525">
        <w:t> </w:t>
      </w:r>
      <w:r>
        <w:t>070 взрослых лиц</w:t>
      </w:r>
      <w:r w:rsidRPr="00060D87">
        <w:rPr>
          <w:rStyle w:val="aa"/>
        </w:rPr>
        <w:footnoteReference w:id="6"/>
      </w:r>
      <w:r>
        <w:t xml:space="preserve"> (в возрасте 18 лет и старше), которые находились под опекой по крайней мере один день в году. В этом вопросе мы не можем выделить лиц с официально установленной инвалидностью. </w:t>
      </w:r>
    </w:p>
    <w:p w:rsidR="0035659B" w:rsidRPr="00FA72FB" w:rsidRDefault="0035659B" w:rsidP="0035659B">
      <w:pPr>
        <w:pStyle w:val="H1G"/>
      </w:pPr>
      <w:r>
        <w:tab/>
      </w:r>
      <w:r>
        <w:tab/>
      </w:r>
      <w:r>
        <w:rPr>
          <w:bCs/>
        </w:rPr>
        <w:t>Доступ к правосудию (статья 13)</w:t>
      </w:r>
    </w:p>
    <w:p w:rsidR="0035659B" w:rsidRPr="00FA72FB" w:rsidRDefault="0035659B" w:rsidP="0035659B">
      <w:pPr>
        <w:pStyle w:val="H23G"/>
      </w:pPr>
      <w:r>
        <w:tab/>
      </w:r>
      <w:r>
        <w:tab/>
      </w:r>
      <w:r>
        <w:rPr>
          <w:bCs/>
        </w:rPr>
        <w:t>Ответ на пункт 10 перечня вопросов</w:t>
      </w:r>
      <w:r>
        <w:t xml:space="preserve"> </w:t>
      </w:r>
    </w:p>
    <w:p w:rsidR="0035659B" w:rsidRPr="00FA72FB" w:rsidRDefault="0035659B" w:rsidP="0035659B">
      <w:pPr>
        <w:pStyle w:val="SingleTxtG"/>
      </w:pPr>
      <w:r>
        <w:t>83.</w:t>
      </w:r>
      <w:r>
        <w:tab/>
        <w:t xml:space="preserve">В соответствии с пунктом 3 статьи 9 Уголовно-процессуального кодекса (УПК) следственные органы, органы прокуратуры и суды должны обращаться с участниками расследования и </w:t>
      </w:r>
      <w:proofErr w:type="gramStart"/>
      <w:r>
        <w:t>судебного разбирательства без ущемления их чести</w:t>
      </w:r>
      <w:proofErr w:type="gramEnd"/>
      <w:r>
        <w:t xml:space="preserve"> и достоинства. </w:t>
      </w:r>
    </w:p>
    <w:p w:rsidR="0035659B" w:rsidRPr="00D04300" w:rsidRDefault="0035659B" w:rsidP="0035659B">
      <w:pPr>
        <w:pStyle w:val="SingleTxtG"/>
      </w:pPr>
      <w:r>
        <w:t>84.</w:t>
      </w:r>
      <w:r>
        <w:tab/>
        <w:t xml:space="preserve">Предусмотрено обязательное участие адвоката на протяжении всего уголовного производства, если в силу своей психической или физической инвалидности лицо не может защищать себя или если защита осложняется по причине такой инвалидности (подпункт 2 пункта 2 статьи 45). Если орган, проводящий расследование, не получил соответствующей подготовки, в ходе опроса несовершеннолетнего свидетеля обязательно участие должностного лица, защищающего интересы ребенка, социального работника, педагога или психолога, если у этого свидетеля имеются нарушения речи, сенсорные расстройства, нарушения обучаемости или психические расстройства (подпункт 3 пункта 2 статьи 70). </w:t>
      </w:r>
    </w:p>
    <w:p w:rsidR="0035659B" w:rsidRPr="00FA72FB" w:rsidRDefault="0035659B" w:rsidP="0035659B">
      <w:pPr>
        <w:pStyle w:val="SingleTxtG"/>
      </w:pPr>
      <w:r>
        <w:t>85.</w:t>
      </w:r>
      <w:r>
        <w:tab/>
        <w:t xml:space="preserve">В соответствии с пунктами 4 и 5 статьи 152 отчет о следственных и других процессуальных действиях должен быть подписан лицом, проводящим расследование, уполномоченными лицами, лицами, в отношении которых проводились эти действия, и лицами, участвующими в этих действиях. Если лицо не в состоянии подписать этот отчет по причине физической инвалидности, в отчете должен быть отмечен отказ или причины </w:t>
      </w:r>
      <w:proofErr w:type="spellStart"/>
      <w:r>
        <w:t>неподписания</w:t>
      </w:r>
      <w:proofErr w:type="spellEnd"/>
      <w:r>
        <w:t xml:space="preserve">, что подтверждается должностным лицом следственного органа. </w:t>
      </w:r>
    </w:p>
    <w:p w:rsidR="0035659B" w:rsidRPr="00FA72FB" w:rsidRDefault="0035659B" w:rsidP="0035659B">
      <w:pPr>
        <w:pStyle w:val="SingleTxtG"/>
      </w:pPr>
      <w:r>
        <w:t>86.</w:t>
      </w:r>
      <w:r>
        <w:tab/>
        <w:t xml:space="preserve">Суд не может вызывать повесткой несовершеннолетнего по просьбе одной из сторон в судебном разбирательстве и разрешить получение показаний у несовершеннолетнего в досудебном расследовании в качестве доказательств, в случае когда показания представлены в видеозаписи и адвокат имел возможность задать вопросы свидетелю в ходе досудебного расследования относительно фактов, связанных с предметом доказывания, если у свидетеля имеются нарушения речи, сенсорные расстройства, нарушения обучаемости или психические расстройства (подпункт 3 пункта 1 статьи 290-1). </w:t>
      </w:r>
    </w:p>
    <w:p w:rsidR="0035659B" w:rsidRPr="00FA72FB" w:rsidRDefault="0035659B" w:rsidP="0035659B">
      <w:pPr>
        <w:pStyle w:val="H1G"/>
      </w:pPr>
      <w:r>
        <w:tab/>
      </w:r>
      <w:r>
        <w:tab/>
      </w:r>
      <w:r>
        <w:rPr>
          <w:bCs/>
        </w:rPr>
        <w:t>Свобода и личная неприкосновенность (статья 14)</w:t>
      </w:r>
    </w:p>
    <w:p w:rsidR="0035659B" w:rsidRPr="00FA72FB" w:rsidRDefault="0035659B" w:rsidP="0035659B">
      <w:pPr>
        <w:pStyle w:val="H23G"/>
      </w:pPr>
      <w:r>
        <w:tab/>
      </w:r>
      <w:r>
        <w:tab/>
      </w:r>
      <w:r>
        <w:rPr>
          <w:bCs/>
        </w:rPr>
        <w:t xml:space="preserve">Ответ на пункт </w:t>
      </w:r>
      <w:proofErr w:type="gramStart"/>
      <w:r>
        <w:rPr>
          <w:bCs/>
        </w:rPr>
        <w:t>11</w:t>
      </w:r>
      <w:proofErr w:type="gramEnd"/>
      <w:r>
        <w:rPr>
          <w:bCs/>
        </w:rPr>
        <w:t xml:space="preserve"> </w:t>
      </w:r>
      <w:r w:rsidR="00F743D0">
        <w:rPr>
          <w:bCs/>
        </w:rPr>
        <w:t xml:space="preserve">а), b) и </w:t>
      </w:r>
      <w:r>
        <w:rPr>
          <w:bCs/>
        </w:rPr>
        <w:t>c) перечня вопросов</w:t>
      </w:r>
      <w:r>
        <w:t xml:space="preserve"> </w:t>
      </w:r>
    </w:p>
    <w:p w:rsidR="0035659B" w:rsidRPr="00FA72FB" w:rsidRDefault="0035659B" w:rsidP="0035659B">
      <w:pPr>
        <w:pStyle w:val="SingleTxtG"/>
      </w:pPr>
      <w:r>
        <w:t>87.</w:t>
      </w:r>
      <w:r>
        <w:tab/>
        <w:t xml:space="preserve">Суд вправе назначить принудительное психиатрическое лечение, если на момент совершения противоправного деяния лицо было недееспособным или если оно после вынесения судебного решения, но до отбывания полного срока наказания, становится психическим больным или слабоумным или страдает от какого-либо иного серьезного психического расстройства либо если это состояние установлено в ходе предварительного расследования или судебных слушаний по вопросу о наличии у лица одного из вышеуказанных расстройств и поэтому на момент совершения противоправного деяния его психическое состояние не могло быть определено и оно </w:t>
      </w:r>
      <w:r>
        <w:lastRenderedPageBreak/>
        <w:t>представляет опасность для себя и общества в силу совершенного им противоправного деяния и психического состояния и нуждается в лечении (пункт 1 статьи 86 Уголовного кодекса). Принудительное психиатрическое лечение может быть назначено в виде амбулаторного лечения, если это лицо не будет представлять опасность для себя и общества при прохождении принудительного психиатрического лечения и оно, скорее всего, будет соблюдать режим лечения.</w:t>
      </w:r>
    </w:p>
    <w:p w:rsidR="0035659B" w:rsidRPr="00FA72FB" w:rsidRDefault="0035659B" w:rsidP="0035659B">
      <w:pPr>
        <w:pStyle w:val="SingleTxtG"/>
      </w:pPr>
      <w:r>
        <w:t>88.</w:t>
      </w:r>
      <w:r>
        <w:tab/>
      </w:r>
      <w:proofErr w:type="gramStart"/>
      <w:r w:rsidRPr="001A7B44">
        <w:t>В</w:t>
      </w:r>
      <w:proofErr w:type="gramEnd"/>
      <w:r w:rsidRPr="001A7B44">
        <w:t xml:space="preserve"> соответствии</w:t>
      </w:r>
      <w:r>
        <w:t xml:space="preserve"> со статьей 290-1 Уголовного кодекса причинение лицу значительной или постоянной физической или душевной боли должностным лицом без каких-либо законных оснований в целях получения от него или третьих лиц заявлений, наказание, запугивание, принуждение или дискриминация, а также подстрекательство со стороны должностного лица к совершению таких действий или согласие на их совершение наказываются тюремным заключением на срок от одного года до семи лет. Такое же деяние, совершенное в отношении двух или более лиц; или в отношении лица </w:t>
      </w:r>
      <w:r w:rsidR="00D32525">
        <w:t>моложе</w:t>
      </w:r>
      <w:r>
        <w:t xml:space="preserve"> 18 лет; или совершенное группой лиц, наказывается тюремным заключением на срок от двух до десяти лет.</w:t>
      </w:r>
    </w:p>
    <w:p w:rsidR="0035659B" w:rsidRPr="00FA72FB" w:rsidRDefault="0035659B" w:rsidP="0035659B">
      <w:pPr>
        <w:pStyle w:val="SingleTxtG"/>
      </w:pPr>
      <w:r>
        <w:t>89.</w:t>
      </w:r>
      <w:r>
        <w:tab/>
      </w:r>
      <w:proofErr w:type="gramStart"/>
      <w:r>
        <w:t>В</w:t>
      </w:r>
      <w:proofErr w:type="gramEnd"/>
      <w:r>
        <w:t xml:space="preserve"> соответствии со статьей 118 Кодекса причинение вреда здоровью, в результате которого возникает опасность для жизни; расстройство здоровья, которое сохраняется в течение не менее четырех недель или приводит к частичной или полной утрате трудоспособности; тяжелое психическое расстройство; выкидыш; неизгладимое </w:t>
      </w:r>
      <w:proofErr w:type="spellStart"/>
      <w:r>
        <w:t>обезображение</w:t>
      </w:r>
      <w:proofErr w:type="spellEnd"/>
      <w:r>
        <w:t xml:space="preserve"> лица; утрата или прекращение функционирования какого-либо органа; или смерть, наказывается тюремным заключением на срок от </w:t>
      </w:r>
      <w:r w:rsidR="00D32525">
        <w:t>4</w:t>
      </w:r>
      <w:r>
        <w:t xml:space="preserve"> до </w:t>
      </w:r>
      <w:r w:rsidR="00D32525">
        <w:t>12</w:t>
      </w:r>
      <w:r>
        <w:t xml:space="preserve"> лет. Согласно статье 125 Кодекса прерывание беременности против воли беременной женщины наказывается тюремным заключением на срок от </w:t>
      </w:r>
      <w:r w:rsidR="00D32525">
        <w:t>3</w:t>
      </w:r>
      <w:r>
        <w:t xml:space="preserve"> до </w:t>
      </w:r>
      <w:r w:rsidR="00D32525">
        <w:t>12</w:t>
      </w:r>
      <w:r>
        <w:t xml:space="preserve"> лет.</w:t>
      </w:r>
    </w:p>
    <w:p w:rsidR="0035659B" w:rsidRPr="00FA72FB" w:rsidRDefault="0035659B" w:rsidP="0035659B">
      <w:pPr>
        <w:pStyle w:val="SingleTxtG"/>
      </w:pPr>
      <w:r>
        <w:t>90.</w:t>
      </w:r>
      <w:r>
        <w:tab/>
        <w:t>Перечисленное ниже рассматривается как отягчающее обстоятельство согласно пунктам 2–3 статьи 58 Кодекса:</w:t>
      </w:r>
    </w:p>
    <w:p w:rsidR="0035659B" w:rsidRPr="00FA72FB" w:rsidRDefault="0035659B" w:rsidP="00F743D0">
      <w:pPr>
        <w:pStyle w:val="Bullet1G"/>
      </w:pPr>
      <w:r>
        <w:t>совершение преступления с особой жестокостью или унижение жертвы;</w:t>
      </w:r>
    </w:p>
    <w:p w:rsidR="0035659B" w:rsidRPr="00FA72FB" w:rsidRDefault="0035659B" w:rsidP="00F743D0">
      <w:pPr>
        <w:pStyle w:val="Bullet1G"/>
      </w:pPr>
      <w:r>
        <w:t xml:space="preserve">совершение преступления заведомо в отношении лица </w:t>
      </w:r>
      <w:r w:rsidR="00D32525">
        <w:t>моложе</w:t>
      </w:r>
      <w:r>
        <w:t xml:space="preserve"> 18 лет, беременной женщины, лица преклонного возраста, лица, нуждающегося в помощи или страдающего тяжелым психическим расстройством.</w:t>
      </w:r>
    </w:p>
    <w:p w:rsidR="0035659B" w:rsidRPr="00FA72FB" w:rsidRDefault="0035659B" w:rsidP="0035659B">
      <w:pPr>
        <w:pStyle w:val="H1G"/>
      </w:pPr>
      <w:r>
        <w:tab/>
      </w:r>
      <w:r>
        <w:tab/>
      </w:r>
      <w:r>
        <w:rPr>
          <w:bCs/>
        </w:rPr>
        <w:t>Свобода от пыток и жестоких, бесчеловечных или унижающих достоинство видов обращения и наказания (статья 15)</w:t>
      </w:r>
    </w:p>
    <w:p w:rsidR="0035659B" w:rsidRPr="00FA72FB" w:rsidRDefault="0035659B" w:rsidP="0035659B">
      <w:pPr>
        <w:pStyle w:val="H23G"/>
      </w:pPr>
      <w:r>
        <w:tab/>
      </w:r>
      <w:r>
        <w:tab/>
      </w:r>
      <w:r w:rsidR="00F743D0">
        <w:rPr>
          <w:bCs/>
        </w:rPr>
        <w:t xml:space="preserve">Ответ на пункт </w:t>
      </w:r>
      <w:proofErr w:type="gramStart"/>
      <w:r w:rsidR="00F743D0">
        <w:rPr>
          <w:bCs/>
        </w:rPr>
        <w:t>12</w:t>
      </w:r>
      <w:proofErr w:type="gramEnd"/>
      <w:r w:rsidR="00F743D0">
        <w:rPr>
          <w:bCs/>
        </w:rPr>
        <w:t xml:space="preserve"> </w:t>
      </w:r>
      <w:r>
        <w:rPr>
          <w:bCs/>
        </w:rPr>
        <w:t>а) перечня вопросов</w:t>
      </w:r>
      <w:r>
        <w:t xml:space="preserve"> </w:t>
      </w:r>
    </w:p>
    <w:p w:rsidR="0035659B" w:rsidRPr="00FA72FB" w:rsidRDefault="0035659B" w:rsidP="0035659B">
      <w:pPr>
        <w:pStyle w:val="SingleTxtG"/>
      </w:pPr>
      <w:r>
        <w:t>91.</w:t>
      </w:r>
      <w:r>
        <w:tab/>
        <w:t>В соответствии с пунктами 1 и 2 статьи 5 Закона о добровольном прерывании беременности прервать беременность женщины можно только по ее собственной просьбе. Никому не разрешается применять силу или оказывать влияние на женщину в целях прерывания беременности. Согласие на прерывание беременности должно быть дано в письменной форме. В соответствии с пунктом 4 статьи 766 Закона об обязательствах беременность женщины с ограниченной дееспособностью может быть прервана с ее согласия или с согласия ее законного представителя.</w:t>
      </w:r>
    </w:p>
    <w:p w:rsidR="0035659B" w:rsidRPr="00FA72FB" w:rsidRDefault="0035659B" w:rsidP="0035659B">
      <w:pPr>
        <w:pStyle w:val="SingleTxtG"/>
      </w:pPr>
      <w:r>
        <w:t>92.</w:t>
      </w:r>
      <w:r>
        <w:tab/>
        <w:t xml:space="preserve">Стерилизовать лицо можно только по его просьбе. Просьба о стерилизации должна быть оформлена в письменном виде. Решение о стерилизации лица с ограниченной дееспособностью принимается уездным судом в ходе производства по ходатайству опекуна этого лица. Запрещается стерилизация несовершеннолетнего лица (статья 19). </w:t>
      </w:r>
    </w:p>
    <w:p w:rsidR="0035659B" w:rsidRPr="00FA72FB" w:rsidRDefault="0035659B" w:rsidP="0035659B">
      <w:pPr>
        <w:pStyle w:val="SingleTxtG"/>
      </w:pPr>
      <w:r>
        <w:t>93.</w:t>
      </w:r>
      <w:r>
        <w:tab/>
        <w:t>Лицо может быть подвергнуто недобровольному психиатрическому лечению только в том случае, если это лицо имеет тяжелое психическое расстройство, которое ограничивает его способность осознавать и контролировать свое поведение; если без лечения в стационарных условиях лицо создает угрозу для жизни, здоровья или безопасности себя самого или других лиц в силу психического расстройства; если другие виды психиатрической помощи недостаточны (статья 3)</w:t>
      </w:r>
      <w:r w:rsidR="00F743D0">
        <w:t>.</w:t>
      </w:r>
      <w:r>
        <w:t xml:space="preserve"> </w:t>
      </w:r>
    </w:p>
    <w:p w:rsidR="0035659B" w:rsidRPr="00FA72FB" w:rsidRDefault="0035659B" w:rsidP="0035659B">
      <w:pPr>
        <w:pStyle w:val="SingleTxtG"/>
      </w:pPr>
      <w:r>
        <w:t>94.</w:t>
      </w:r>
      <w:r>
        <w:tab/>
        <w:t xml:space="preserve">Закон о социальном обеспечении предусматривает, что специальная помощь не может быть оказана непосредственно руководителем лечебной деятельности, чья </w:t>
      </w:r>
      <w:r>
        <w:lastRenderedPageBreak/>
        <w:t>прошлая судимость за умышленное совершение уголовного преступления может угрожать жизни, здоровью и имуществу лица, имеющего право на получение такой помощи. В законе подробно перечислены обстоятельства оказания специальной помощи в условиях круглосуточной изоляции и ограничения свободы передвижения таких взрослых лиц, получающих специальную помощь.</w:t>
      </w:r>
    </w:p>
    <w:p w:rsidR="0035659B" w:rsidRPr="00FA72FB" w:rsidRDefault="0035659B" w:rsidP="0035659B">
      <w:pPr>
        <w:pStyle w:val="H23G"/>
      </w:pPr>
      <w:r>
        <w:tab/>
      </w:r>
      <w:r>
        <w:tab/>
      </w:r>
      <w:r w:rsidR="00F743D0">
        <w:rPr>
          <w:bCs/>
        </w:rPr>
        <w:t xml:space="preserve">Ответ на пункт 12 </w:t>
      </w:r>
      <w:r>
        <w:rPr>
          <w:bCs/>
        </w:rPr>
        <w:t>b) перечня вопросов</w:t>
      </w:r>
      <w:r>
        <w:t xml:space="preserve"> </w:t>
      </w:r>
    </w:p>
    <w:p w:rsidR="0035659B" w:rsidRPr="00FA72FB" w:rsidRDefault="0035659B" w:rsidP="0035659B">
      <w:pPr>
        <w:pStyle w:val="SingleTxtG"/>
      </w:pPr>
      <w:r>
        <w:t>95.</w:t>
      </w:r>
      <w:r>
        <w:tab/>
      </w:r>
      <w:proofErr w:type="gramStart"/>
      <w:r>
        <w:t>В</w:t>
      </w:r>
      <w:proofErr w:type="gramEnd"/>
      <w:r>
        <w:t xml:space="preserve"> последние несколько лет канцелярия Канцлера юстиции расширила свои полномочия по контролю за учреждениями, в которых можно лишать свободы инвалидов, в частности за специальными приютами и психиатрическими клиниками. Из бюджета были выделены небольшие дополнительные средства, с тем чтобы шире использовать экспертов, в том числе психиатров, в ходе проводимых канцелярией проверок. </w:t>
      </w:r>
    </w:p>
    <w:p w:rsidR="0035659B" w:rsidRPr="00FA72FB" w:rsidRDefault="0035659B" w:rsidP="0035659B">
      <w:pPr>
        <w:pStyle w:val="SingleTxtG"/>
      </w:pPr>
      <w:r>
        <w:t>96.</w:t>
      </w:r>
      <w:r>
        <w:tab/>
        <w:t xml:space="preserve">См. также ответы на пункт 3 </w:t>
      </w:r>
      <w:r w:rsidR="00F743D0">
        <w:t xml:space="preserve">е) по статье 5 и пункт 24 </w:t>
      </w:r>
      <w:r>
        <w:rPr>
          <w:lang w:val="en-US"/>
        </w:rPr>
        <w:t>b</w:t>
      </w:r>
      <w:r w:rsidRPr="00FF679E">
        <w:t>)</w:t>
      </w:r>
      <w:r>
        <w:t xml:space="preserve"> по статье</w:t>
      </w:r>
      <w:r w:rsidR="00F743D0">
        <w:t xml:space="preserve"> </w:t>
      </w:r>
      <w:r>
        <w:t xml:space="preserve">33. </w:t>
      </w:r>
    </w:p>
    <w:p w:rsidR="0035659B" w:rsidRPr="00FA72FB" w:rsidRDefault="0035659B" w:rsidP="0035659B">
      <w:pPr>
        <w:pStyle w:val="H23G"/>
      </w:pPr>
      <w:r>
        <w:tab/>
      </w:r>
      <w:r>
        <w:tab/>
      </w:r>
      <w:r w:rsidR="00F743D0">
        <w:rPr>
          <w:bCs/>
        </w:rPr>
        <w:t xml:space="preserve">Ответ на пункт 12 </w:t>
      </w:r>
      <w:r>
        <w:rPr>
          <w:bCs/>
        </w:rPr>
        <w:t>с) перечня вопросов</w:t>
      </w:r>
      <w:r>
        <w:t xml:space="preserve"> </w:t>
      </w:r>
    </w:p>
    <w:p w:rsidR="0035659B" w:rsidRPr="00FA72FB" w:rsidRDefault="0035659B" w:rsidP="0035659B">
      <w:pPr>
        <w:pStyle w:val="SingleTxtG"/>
      </w:pPr>
      <w:r>
        <w:t>97.</w:t>
      </w:r>
      <w:r>
        <w:tab/>
        <w:t>Были проведены различные кампании по повышению осведомленности при активном вкладе со стороны организаций, предс</w:t>
      </w:r>
      <w:r w:rsidR="00D32525">
        <w:t>тавляющих интересы инвалидов, а </w:t>
      </w:r>
      <w:r>
        <w:t>Министерство социальных дел занималось разработкой мер, направленных на информирование о правах инвалидов. В сфере здравоохранения медицинские работники обязаны пройти курсы повышения квалификации в общей сложности в течение 60 часов в год, а социальные работники</w:t>
      </w:r>
      <w:r w:rsidR="00F743D0">
        <w:t xml:space="preserve"> –</w:t>
      </w:r>
      <w:r>
        <w:t xml:space="preserve"> в течение 40 часов в год. Однако темы профессиональной подготовки еще не определены. См. также ответы на пункт 1</w:t>
      </w:r>
      <w:r w:rsidR="00F743D0">
        <w:t xml:space="preserve"> с) и </w:t>
      </w:r>
      <w:r>
        <w:t>е) по статьям 1–4, а также по статьям</w:t>
      </w:r>
      <w:r w:rsidR="00F743D0">
        <w:t xml:space="preserve"> </w:t>
      </w:r>
      <w:r>
        <w:t>6, 8 и 11.</w:t>
      </w:r>
    </w:p>
    <w:p w:rsidR="0035659B" w:rsidRPr="00FA72FB" w:rsidRDefault="0035659B" w:rsidP="0035659B">
      <w:pPr>
        <w:pStyle w:val="H1G"/>
      </w:pPr>
      <w:r>
        <w:tab/>
      </w:r>
      <w:r>
        <w:tab/>
      </w:r>
      <w:r>
        <w:rPr>
          <w:bCs/>
        </w:rPr>
        <w:t>Свобода от эксплуатации, насилия и надругательства (статья 16)</w:t>
      </w:r>
    </w:p>
    <w:p w:rsidR="0035659B" w:rsidRPr="00FA72FB" w:rsidRDefault="0035659B" w:rsidP="0035659B">
      <w:pPr>
        <w:pStyle w:val="H23G"/>
      </w:pPr>
      <w:r>
        <w:tab/>
      </w:r>
      <w:r>
        <w:tab/>
      </w:r>
      <w:r>
        <w:rPr>
          <w:bCs/>
        </w:rPr>
        <w:t xml:space="preserve">Ответ на пункт </w:t>
      </w:r>
      <w:proofErr w:type="gramStart"/>
      <w:r>
        <w:rPr>
          <w:bCs/>
        </w:rPr>
        <w:t>13</w:t>
      </w:r>
      <w:proofErr w:type="gramEnd"/>
      <w:r>
        <w:rPr>
          <w:bCs/>
        </w:rPr>
        <w:t xml:space="preserve"> а), b) и c) перечня вопросов</w:t>
      </w:r>
      <w:r>
        <w:t xml:space="preserve"> </w:t>
      </w:r>
    </w:p>
    <w:p w:rsidR="0035659B" w:rsidRPr="00FA72FB" w:rsidRDefault="0035659B" w:rsidP="0035659B">
      <w:pPr>
        <w:pStyle w:val="SingleTxtG"/>
      </w:pPr>
      <w:r>
        <w:t>98.</w:t>
      </w:r>
      <w:r>
        <w:tab/>
        <w:t xml:space="preserve">В соответствии с пунктами 1 и 2 статьи 133 Уголовного кодекса создание ситуации, в целях извлечения материальной выгоды или без такой цели, в которой лицо вынуждено вступить в брак, выполнять работы в необычных условиях, заниматься проституцией, попрошайничать, совершить уголовное преступление или выполнять другие неприемлемые для него обязанности, а также удержание его в такой ситуации, если это деяние совершается путем лишения свободы, насилия, обмана, угрозы причинить ущерб, использования зависимого положения другого лица, его беспомощности или уязвимого положения, наказывается тюремным заключением на срок от одного года до семи лет. </w:t>
      </w:r>
    </w:p>
    <w:p w:rsidR="0035659B" w:rsidRPr="00FA72FB" w:rsidRDefault="0035659B" w:rsidP="0035659B">
      <w:pPr>
        <w:pStyle w:val="SingleTxtG"/>
      </w:pPr>
      <w:r>
        <w:t>99.</w:t>
      </w:r>
      <w:r>
        <w:tab/>
        <w:t xml:space="preserve">Такое же деяние, если оно совершено в отношении двух или более лиц; совершено в отношении лица </w:t>
      </w:r>
      <w:r w:rsidR="00D32525">
        <w:t xml:space="preserve">моложе 18 </w:t>
      </w:r>
      <w:r>
        <w:t xml:space="preserve">лет; совершено в отношении лица, находящегося в беспомощном положении; совершено мучительным или жестоким способом; причиняет серьезный вред здоровью; ставит под угрозу жизнь; совершено группой лиц; совершено с использованием служебного положения; вызвало серьезные последствия; совершено лицом, которое ранее совершило уголовное преступление, предусмотренное в этой статье или аналогичных статьях Кодекса, наказывается тюремным заключением на срок от </w:t>
      </w:r>
      <w:r w:rsidR="00D32525">
        <w:t>3</w:t>
      </w:r>
      <w:r>
        <w:t xml:space="preserve"> до </w:t>
      </w:r>
      <w:r w:rsidR="00D32525">
        <w:t>15</w:t>
      </w:r>
      <w:r>
        <w:t xml:space="preserve"> лет. </w:t>
      </w:r>
    </w:p>
    <w:p w:rsidR="0035659B" w:rsidRPr="00D04300" w:rsidRDefault="0035659B" w:rsidP="0035659B">
      <w:pPr>
        <w:pStyle w:val="SingleTxtG"/>
      </w:pPr>
      <w:r>
        <w:t>100.</w:t>
      </w:r>
      <w:r>
        <w:tab/>
        <w:t xml:space="preserve">Совершение любого преступления заведомо в отношении лица </w:t>
      </w:r>
      <w:r w:rsidR="00D32525">
        <w:t>моложе</w:t>
      </w:r>
      <w:r>
        <w:t xml:space="preserve"> 18 лет, беременной женщины, лица преклонного возраста, лица, нуждающегося в помощи или страдающего тяжелым психическим расстройством, рассматривается как отягчающее обстоятельство в соответствии с пунктом 3 стать</w:t>
      </w:r>
      <w:r w:rsidR="00D32525">
        <w:t>и 58 Кодекса. Закон защищает, в </w:t>
      </w:r>
      <w:r>
        <w:t>частности, лиц, которые нуждаются в помощи (на эстонском языке буквально «беспомощное лицо»); сексуальные преступления, совершенные в отношении таких лиц, не способных оказать сопротивление или осознать ситуацию, квалифицируются как более тяжкие.</w:t>
      </w:r>
    </w:p>
    <w:p w:rsidR="0035659B" w:rsidRPr="00FA72FB" w:rsidRDefault="0035659B" w:rsidP="0035659B">
      <w:pPr>
        <w:pStyle w:val="SingleTxtG"/>
      </w:pPr>
      <w:r>
        <w:t>101.</w:t>
      </w:r>
      <w:r>
        <w:tab/>
        <w:t xml:space="preserve">В соответствии со статьей 6 Уголовно-процессуального кодекса следственные органы и органы прокуратуры обязаны осуществлять уголовное расследование по </w:t>
      </w:r>
      <w:r>
        <w:lastRenderedPageBreak/>
        <w:t>обнаружении фактов, указывающих на совершение уголовного преступления, если отсутствуют обстоятельства, предусмотренные в статье</w:t>
      </w:r>
      <w:r w:rsidR="00153D87">
        <w:t xml:space="preserve"> </w:t>
      </w:r>
      <w:r>
        <w:t>199 Кодекса, которые исключают уголовное производство, или если отсутствуют основания для прекращения уголовного производства в соответствии с пунктом</w:t>
      </w:r>
      <w:r w:rsidR="00153D87">
        <w:t xml:space="preserve"> </w:t>
      </w:r>
      <w:r>
        <w:t>2 статьи</w:t>
      </w:r>
      <w:r w:rsidR="00153D87">
        <w:t xml:space="preserve"> </w:t>
      </w:r>
      <w:r>
        <w:t>201, статьями</w:t>
      </w:r>
      <w:r w:rsidR="00153D87">
        <w:t xml:space="preserve"> </w:t>
      </w:r>
      <w:r>
        <w:t>202, 203, 203-1, 204, 205, 205-1, 205-2 или пунктом</w:t>
      </w:r>
      <w:r w:rsidR="00153D87">
        <w:t xml:space="preserve"> </w:t>
      </w:r>
      <w:r>
        <w:t>3 статьи</w:t>
      </w:r>
      <w:r w:rsidR="00153D87">
        <w:t xml:space="preserve"> </w:t>
      </w:r>
      <w:r>
        <w:t xml:space="preserve">435 Кодекса. Прекращение уголовного производства вряд ли будет законным, если речь идет о преступлении первой степени тяжести, </w:t>
      </w:r>
      <w:proofErr w:type="gramStart"/>
      <w:r>
        <w:t>например</w:t>
      </w:r>
      <w:proofErr w:type="gramEnd"/>
      <w:r>
        <w:t xml:space="preserve"> в случае пыток, серьезного вреда здоровью, торговли людьми, изнасилования и других аналогичных преступлений. В соответствии со статьями</w:t>
      </w:r>
      <w:r w:rsidR="00153D87">
        <w:t xml:space="preserve"> </w:t>
      </w:r>
      <w:r>
        <w:t>306 и 307 Уголовного кодекса сокрытие или несообщение о преступлении первой степени тяжести представляет собой преступление, наказуемое лишением свободы на срок до пяти лет. Таким образом, должностные лица и любое лицо, которое знает о таком преступлении, обязаны сообщить об этом правоохранительному органу. Сообщение может быть направлено по любым и всем возможным каналам, в том числе анонимно по горячей линии, с помощью электронных средств связи, в письменной форме и лично.</w:t>
      </w:r>
    </w:p>
    <w:p w:rsidR="0035659B" w:rsidRPr="00D04300" w:rsidRDefault="0035659B" w:rsidP="0035659B">
      <w:pPr>
        <w:pStyle w:val="SingleTxtG"/>
      </w:pPr>
      <w:r>
        <w:t>102.</w:t>
      </w:r>
      <w:r>
        <w:tab/>
        <w:t>См. также ответы на пункт</w:t>
      </w:r>
      <w:r w:rsidR="00153D87">
        <w:t xml:space="preserve"> </w:t>
      </w:r>
      <w:r>
        <w:t>3</w:t>
      </w:r>
      <w:r w:rsidR="00153D87">
        <w:t xml:space="preserve"> a), b) и </w:t>
      </w:r>
      <w:r>
        <w:t>e) по статье 5 и пункт</w:t>
      </w:r>
      <w:r w:rsidR="00153D87">
        <w:t xml:space="preserve"> </w:t>
      </w:r>
      <w:r>
        <w:t>4</w:t>
      </w:r>
      <w:r w:rsidR="00153D87">
        <w:t xml:space="preserve"> </w:t>
      </w:r>
      <w:r>
        <w:t>a) и b) по статье</w:t>
      </w:r>
      <w:r w:rsidR="00153D87">
        <w:t xml:space="preserve"> </w:t>
      </w:r>
      <w:r>
        <w:t xml:space="preserve">6. </w:t>
      </w:r>
    </w:p>
    <w:p w:rsidR="0035659B" w:rsidRPr="00D04300" w:rsidRDefault="0035659B" w:rsidP="0035659B">
      <w:pPr>
        <w:pStyle w:val="H1G"/>
      </w:pPr>
      <w:r>
        <w:tab/>
      </w:r>
      <w:r>
        <w:tab/>
      </w:r>
      <w:r>
        <w:rPr>
          <w:bCs/>
        </w:rPr>
        <w:t>Самостоятельный образ жизни и вовлеченность в местное сообщество (статья 19)</w:t>
      </w:r>
      <w:r>
        <w:t xml:space="preserve"> </w:t>
      </w:r>
    </w:p>
    <w:p w:rsidR="0035659B" w:rsidRPr="00FA72FB" w:rsidRDefault="0035659B" w:rsidP="0035659B">
      <w:pPr>
        <w:pStyle w:val="H23G"/>
      </w:pPr>
      <w:r>
        <w:tab/>
      </w:r>
      <w:r>
        <w:tab/>
      </w:r>
      <w:r>
        <w:rPr>
          <w:bCs/>
        </w:rPr>
        <w:t xml:space="preserve">Ответ на пункт </w:t>
      </w:r>
      <w:proofErr w:type="gramStart"/>
      <w:r>
        <w:rPr>
          <w:bCs/>
        </w:rPr>
        <w:t>14</w:t>
      </w:r>
      <w:proofErr w:type="gramEnd"/>
      <w:r>
        <w:rPr>
          <w:bCs/>
        </w:rPr>
        <w:t xml:space="preserve"> а), </w:t>
      </w:r>
      <w:r w:rsidR="00153D87">
        <w:rPr>
          <w:bCs/>
        </w:rPr>
        <w:t xml:space="preserve">b) и </w:t>
      </w:r>
      <w:r>
        <w:rPr>
          <w:bCs/>
        </w:rPr>
        <w:t>c) перечня вопросов</w:t>
      </w:r>
      <w:r>
        <w:t xml:space="preserve"> </w:t>
      </w:r>
    </w:p>
    <w:p w:rsidR="0035659B" w:rsidRPr="00FA72FB" w:rsidRDefault="0035659B" w:rsidP="0035659B">
      <w:pPr>
        <w:pStyle w:val="SingleTxtG"/>
      </w:pPr>
      <w:r>
        <w:t>103.</w:t>
      </w:r>
      <w:r>
        <w:tab/>
        <w:t>Эстония уделяет приоритетное внимание оказанию помощи по месту жительства (</w:t>
      </w:r>
      <w:proofErr w:type="spellStart"/>
      <w:r>
        <w:t>деинституционализация</w:t>
      </w:r>
      <w:proofErr w:type="spellEnd"/>
      <w:r>
        <w:t>) вместо помещения в специализированные учреждения. Первоначально этот процесс планировался более десяти лет назад, но наибольший прогресс был достигнут недавно с помощью внедрения новых услуг и анализа возможностей вовлечения местных органов власти в предоставление услуг.</w:t>
      </w:r>
    </w:p>
    <w:p w:rsidR="0035659B" w:rsidRPr="00FA72FB" w:rsidRDefault="0035659B" w:rsidP="0035659B">
      <w:pPr>
        <w:pStyle w:val="SingleTxtG"/>
      </w:pPr>
      <w:r>
        <w:t>104.</w:t>
      </w:r>
      <w:r>
        <w:tab/>
        <w:t xml:space="preserve">Этот процесс имеет два аспекта: </w:t>
      </w:r>
    </w:p>
    <w:p w:rsidR="0035659B" w:rsidRPr="00FA72FB" w:rsidRDefault="0035659B" w:rsidP="0035659B">
      <w:pPr>
        <w:pStyle w:val="SingleTxtG"/>
        <w:ind w:firstLine="567"/>
      </w:pPr>
      <w:r>
        <w:t>1)</w:t>
      </w:r>
      <w:r>
        <w:tab/>
        <w:t>разработка и оказание поддерживающ</w:t>
      </w:r>
      <w:r w:rsidR="00D32525">
        <w:t>их услуг по месту жительства, с </w:t>
      </w:r>
      <w:r>
        <w:t xml:space="preserve">тем чтобы устранить необходимость в направлении в специализированные учреждения и позволить людям жить самостоятельно; </w:t>
      </w:r>
    </w:p>
    <w:p w:rsidR="0035659B" w:rsidRPr="00FA72FB" w:rsidRDefault="0035659B" w:rsidP="0035659B">
      <w:pPr>
        <w:pStyle w:val="SingleTxtG"/>
        <w:ind w:firstLine="567"/>
      </w:pPr>
      <w:r>
        <w:t>2)</w:t>
      </w:r>
      <w:r>
        <w:tab/>
        <w:t>предоставление услуг в небольших учреждениях домашнего типа (дома семейного типа).</w:t>
      </w:r>
    </w:p>
    <w:p w:rsidR="0035659B" w:rsidRPr="00FA72FB" w:rsidRDefault="0035659B" w:rsidP="0035659B">
      <w:pPr>
        <w:pStyle w:val="SingleTxtG"/>
      </w:pPr>
      <w:r>
        <w:t>105.</w:t>
      </w:r>
      <w:r>
        <w:tab/>
        <w:t>К 2013 году было построено 55 домов семейного типа на 550 мест. На период 2014–2020 годов запланированы дополнительные инвестиции из средств Европейского фонда регионального развития. На цели переоборудования 1</w:t>
      </w:r>
      <w:r w:rsidR="00153D87">
        <w:t> </w:t>
      </w:r>
      <w:r>
        <w:t xml:space="preserve">200 мест, создания не менее 200 новых мест и строительство домов семейного типа будет израсходовано 56 млн евро. </w:t>
      </w:r>
    </w:p>
    <w:p w:rsidR="0035659B" w:rsidRPr="00FA72FB" w:rsidRDefault="0035659B" w:rsidP="0035659B">
      <w:pPr>
        <w:pStyle w:val="SingleTxtG"/>
      </w:pPr>
      <w:r>
        <w:t>106.</w:t>
      </w:r>
      <w:r>
        <w:tab/>
        <w:t xml:space="preserve">Параллельно с процессом перехода от институционального ухода к помощи по месту жительства Эстония приступила к созданию службы по специальному уходу в целях внедрения комплексной, ориентированной на потребности человека и гибкой системы оказания специальных услуг по уходу. </w:t>
      </w:r>
    </w:p>
    <w:p w:rsidR="0035659B" w:rsidRPr="00FA72FB" w:rsidRDefault="0035659B" w:rsidP="0035659B">
      <w:pPr>
        <w:pStyle w:val="SingleTxtG"/>
      </w:pPr>
      <w:r>
        <w:t>107.</w:t>
      </w:r>
      <w:r>
        <w:tab/>
      </w:r>
      <w:r w:rsidRPr="00274DF3">
        <w:t>В настоящее время</w:t>
      </w:r>
      <w:r>
        <w:t xml:space="preserve"> специальные услуги предоставляются 503 клиентам, которых обслуживают по месту жительства. </w:t>
      </w:r>
      <w:r w:rsidR="00D32525">
        <w:t>2 276</w:t>
      </w:r>
      <w:r>
        <w:t xml:space="preserve"> клиентов получают круглосуточную специальную помощь от служб, некоторые из которых представляют собой небольшие подразделения, круглосуточно обслуживающие «семьи» из </w:t>
      </w:r>
      <w:r w:rsidR="00D32525">
        <w:t>6 </w:t>
      </w:r>
      <w:r>
        <w:t>человек. Подразделения расположены по всей Эстонии, и при строительстве или покупке новых домов или апартаментов место выбирается с учетом возможности получения основных услуг; поэтому новые места выбираются вблизи городов или в самих городах.</w:t>
      </w:r>
    </w:p>
    <w:p w:rsidR="0035659B" w:rsidRPr="00D04300" w:rsidRDefault="0035659B" w:rsidP="0035659B">
      <w:pPr>
        <w:pStyle w:val="SingleTxtG"/>
      </w:pPr>
      <w:r>
        <w:t>108.</w:t>
      </w:r>
      <w:r>
        <w:tab/>
      </w:r>
      <w:r w:rsidRPr="00A21604">
        <w:t>В 2018 году</w:t>
      </w:r>
      <w:r>
        <w:t xml:space="preserve"> было зарегистрировано примерно 1</w:t>
      </w:r>
      <w:r w:rsidR="00F54286">
        <w:t> </w:t>
      </w:r>
      <w:r>
        <w:t>300 человек, страдающих психическими расстройствами</w:t>
      </w:r>
      <w:r w:rsidRPr="00060D87">
        <w:rPr>
          <w:rStyle w:val="aa"/>
        </w:rPr>
        <w:footnoteReference w:id="7"/>
      </w:r>
      <w:r>
        <w:t xml:space="preserve">, которые получают специальную помощь в </w:t>
      </w:r>
      <w:r>
        <w:lastRenderedPageBreak/>
        <w:t>учреждениях старого типа, расположенных в 30 или более пунктах. На их долю приходилось около 54% от общего числа лиц, получающих круглосуточную помощь.</w:t>
      </w:r>
    </w:p>
    <w:p w:rsidR="0035659B" w:rsidRPr="00D04300" w:rsidRDefault="0035659B" w:rsidP="0035659B">
      <w:pPr>
        <w:pStyle w:val="SingleTxtG"/>
      </w:pPr>
      <w:r>
        <w:t>109.</w:t>
      </w:r>
      <w:r>
        <w:tab/>
      </w:r>
      <w:proofErr w:type="gramStart"/>
      <w:r>
        <w:t>В</w:t>
      </w:r>
      <w:proofErr w:type="gramEnd"/>
      <w:r>
        <w:t xml:space="preserve"> рамках кампании Европейского социального фонда «Службы социального обеспечения в поддержку трудоустройства», рассчитанной на период </w:t>
      </w:r>
      <w:r w:rsidR="00F54286">
        <w:br/>
      </w:r>
      <w:r>
        <w:t>2014–2020 годов, осуществлялся проект под названием «Развитие и оказание помощи детям-инвалидам».</w:t>
      </w:r>
    </w:p>
    <w:p w:rsidR="0035659B" w:rsidRPr="00FA72FB" w:rsidRDefault="0035659B" w:rsidP="0035659B">
      <w:pPr>
        <w:pStyle w:val="SingleTxtG"/>
      </w:pPr>
      <w:r>
        <w:t>110.</w:t>
      </w:r>
      <w:r>
        <w:tab/>
        <w:t xml:space="preserve">Цель этого проекта состояла в разработке и предоставлении услуг по поддержке детей с тяжелой или глубокой инвалидностью в виде обеспечения ухода, назначения сопровождающего лица и предоставления транспортных услуг, с тем чтобы такая помощь была доступной для всех, чьи потребности в таких услугах были установлены местным специалистом по защите детей или социальной работе. До начала этого проекта в 2015 году службы по оказанию помощи имелись лишь в нескольких муниципалитетах. В настоящее время такие службы существуют в каждом уезде, и их работа охватывает все муниципалитеты, в которых имеются дети с тяжелой или глубокой инвалидностью. </w:t>
      </w:r>
    </w:p>
    <w:p w:rsidR="0035659B" w:rsidRPr="00FA72FB" w:rsidRDefault="0035659B" w:rsidP="0035659B">
      <w:pPr>
        <w:pStyle w:val="SingleTxtG"/>
      </w:pPr>
      <w:r>
        <w:t>111.</w:t>
      </w:r>
      <w:r>
        <w:tab/>
      </w:r>
      <w:proofErr w:type="gramStart"/>
      <w:r>
        <w:t>В</w:t>
      </w:r>
      <w:proofErr w:type="gramEnd"/>
      <w:r>
        <w:t xml:space="preserve"> течение 2018 года услуги были оказаны 1</w:t>
      </w:r>
      <w:r w:rsidR="00F54286">
        <w:t> </w:t>
      </w:r>
      <w:r>
        <w:t>906 детям с тяжелой или глубокой инвалидностью. Этот показатель рос каждый год.</w:t>
      </w:r>
    </w:p>
    <w:p w:rsidR="0035659B" w:rsidRPr="00FA72FB" w:rsidRDefault="0035659B" w:rsidP="0035659B">
      <w:pPr>
        <w:pStyle w:val="SingleTxtG"/>
      </w:pPr>
      <w:r>
        <w:t>112.</w:t>
      </w:r>
      <w:r>
        <w:tab/>
        <w:t>См. также ответ на пункт</w:t>
      </w:r>
      <w:r w:rsidR="00F54286">
        <w:t xml:space="preserve"> </w:t>
      </w:r>
      <w:r>
        <w:t>5</w:t>
      </w:r>
      <w:r w:rsidR="00F54286">
        <w:t xml:space="preserve"> </w:t>
      </w:r>
      <w:r>
        <w:rPr>
          <w:lang w:val="en-US"/>
        </w:rPr>
        <w:t>b</w:t>
      </w:r>
      <w:r w:rsidRPr="00B91C16">
        <w:t>)</w:t>
      </w:r>
      <w:r>
        <w:t xml:space="preserve"> по статье</w:t>
      </w:r>
      <w:r w:rsidR="00F54286">
        <w:t xml:space="preserve"> </w:t>
      </w:r>
      <w:r>
        <w:t>7.</w:t>
      </w:r>
    </w:p>
    <w:p w:rsidR="0035659B" w:rsidRPr="00FA72FB" w:rsidRDefault="0035659B" w:rsidP="0035659B">
      <w:pPr>
        <w:pStyle w:val="H1G"/>
      </w:pPr>
      <w:r>
        <w:tab/>
      </w:r>
      <w:r>
        <w:tab/>
      </w:r>
      <w:r>
        <w:rPr>
          <w:bCs/>
        </w:rPr>
        <w:t>Индивидуальная мобильность (статья 20)</w:t>
      </w:r>
    </w:p>
    <w:p w:rsidR="0035659B" w:rsidRPr="00FA72FB" w:rsidRDefault="0035659B" w:rsidP="0035659B">
      <w:pPr>
        <w:pStyle w:val="H23G"/>
      </w:pPr>
      <w:r>
        <w:tab/>
      </w:r>
      <w:r>
        <w:tab/>
      </w:r>
      <w:r>
        <w:rPr>
          <w:bCs/>
        </w:rPr>
        <w:t>Ответ на пункт 15 перечня вопросов</w:t>
      </w:r>
      <w:r>
        <w:t xml:space="preserve"> </w:t>
      </w:r>
    </w:p>
    <w:p w:rsidR="0035659B" w:rsidRPr="00F54286" w:rsidRDefault="00F54286" w:rsidP="0035659B">
      <w:pPr>
        <w:pStyle w:val="1"/>
        <w:spacing w:before="240"/>
        <w:rPr>
          <w:b w:val="0"/>
        </w:rPr>
      </w:pPr>
      <w:r>
        <w:tab/>
      </w:r>
      <w:r>
        <w:tab/>
      </w:r>
      <w:r w:rsidR="0035659B" w:rsidRPr="00F54286">
        <w:rPr>
          <w:b w:val="0"/>
        </w:rPr>
        <w:t>Таблица 3</w:t>
      </w:r>
    </w:p>
    <w:p w:rsidR="0035659B" w:rsidRPr="00FA72FB" w:rsidRDefault="0035659B" w:rsidP="0035659B">
      <w:pPr>
        <w:pStyle w:val="SingleTxtG"/>
        <w:jc w:val="left"/>
        <w:rPr>
          <w:b/>
          <w:bCs/>
        </w:rPr>
      </w:pPr>
      <w:r>
        <w:rPr>
          <w:b/>
          <w:bCs/>
        </w:rPr>
        <w:t>Расходы на технические средства, обеспечивающие индивидуальную мобильность, 2015–2018 годы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60"/>
        <w:gridCol w:w="1127"/>
        <w:gridCol w:w="1161"/>
        <w:gridCol w:w="1161"/>
        <w:gridCol w:w="1161"/>
      </w:tblGrid>
      <w:tr w:rsidR="0035659B" w:rsidRPr="00C818E2" w:rsidTr="0035659B">
        <w:trPr>
          <w:tblHeader/>
        </w:trPr>
        <w:tc>
          <w:tcPr>
            <w:tcW w:w="2778" w:type="dxa"/>
            <w:tcBorders>
              <w:top w:val="single" w:sz="4" w:space="0" w:color="auto"/>
              <w:bottom w:val="single" w:sz="12" w:space="0" w:color="auto"/>
            </w:tcBorders>
            <w:shd w:val="clear" w:color="auto" w:fill="auto"/>
            <w:vAlign w:val="bottom"/>
            <w:hideMark/>
          </w:tcPr>
          <w:p w:rsidR="0035659B" w:rsidRPr="00C818E2" w:rsidRDefault="0035659B" w:rsidP="0035659B">
            <w:pPr>
              <w:pStyle w:val="SingleTxtG"/>
              <w:spacing w:before="80" w:after="80" w:line="200" w:lineRule="exact"/>
              <w:ind w:left="0" w:right="113"/>
              <w:jc w:val="left"/>
              <w:rPr>
                <w:i/>
                <w:sz w:val="16"/>
                <w:szCs w:val="16"/>
              </w:rPr>
            </w:pPr>
          </w:p>
        </w:tc>
        <w:tc>
          <w:tcPr>
            <w:tcW w:w="1134" w:type="dxa"/>
            <w:tcBorders>
              <w:top w:val="single" w:sz="4" w:space="0" w:color="auto"/>
              <w:bottom w:val="single" w:sz="12" w:space="0" w:color="auto"/>
            </w:tcBorders>
            <w:shd w:val="clear" w:color="auto" w:fill="auto"/>
            <w:noWrap/>
            <w:vAlign w:val="bottom"/>
            <w:hideMark/>
          </w:tcPr>
          <w:p w:rsidR="0035659B" w:rsidRPr="00C818E2" w:rsidRDefault="0035659B" w:rsidP="0035659B">
            <w:pPr>
              <w:pStyle w:val="SingleTxtG"/>
              <w:spacing w:before="80" w:after="80" w:line="200" w:lineRule="exact"/>
              <w:ind w:left="0" w:right="113"/>
              <w:jc w:val="right"/>
              <w:rPr>
                <w:i/>
                <w:sz w:val="16"/>
                <w:szCs w:val="16"/>
              </w:rPr>
            </w:pPr>
            <w:r w:rsidRPr="00C818E2">
              <w:rPr>
                <w:i/>
                <w:iCs/>
                <w:sz w:val="16"/>
                <w:szCs w:val="16"/>
              </w:rPr>
              <w:t>2015</w:t>
            </w:r>
            <w:r>
              <w:rPr>
                <w:i/>
                <w:iCs/>
                <w:sz w:val="16"/>
                <w:szCs w:val="16"/>
              </w:rPr>
              <w:t xml:space="preserve"> год</w:t>
            </w:r>
            <w:r w:rsidRPr="00C818E2">
              <w:rPr>
                <w:i/>
                <w:iCs/>
                <w:sz w:val="16"/>
                <w:szCs w:val="16"/>
              </w:rPr>
              <w:t>¹</w:t>
            </w:r>
          </w:p>
        </w:tc>
        <w:tc>
          <w:tcPr>
            <w:tcW w:w="1168" w:type="dxa"/>
            <w:tcBorders>
              <w:top w:val="single" w:sz="4" w:space="0" w:color="auto"/>
              <w:bottom w:val="single" w:sz="12" w:space="0" w:color="auto"/>
            </w:tcBorders>
            <w:shd w:val="clear" w:color="auto" w:fill="auto"/>
            <w:noWrap/>
            <w:vAlign w:val="bottom"/>
            <w:hideMark/>
          </w:tcPr>
          <w:p w:rsidR="0035659B" w:rsidRPr="00C818E2" w:rsidRDefault="0035659B" w:rsidP="0035659B">
            <w:pPr>
              <w:pStyle w:val="SingleTxtG"/>
              <w:spacing w:before="80" w:after="80" w:line="200" w:lineRule="exact"/>
              <w:ind w:left="0" w:right="113"/>
              <w:jc w:val="right"/>
              <w:rPr>
                <w:i/>
                <w:sz w:val="16"/>
                <w:szCs w:val="16"/>
              </w:rPr>
            </w:pPr>
            <w:r w:rsidRPr="00C818E2">
              <w:rPr>
                <w:i/>
                <w:iCs/>
                <w:sz w:val="16"/>
                <w:szCs w:val="16"/>
              </w:rPr>
              <w:t>2016</w:t>
            </w:r>
            <w:r>
              <w:rPr>
                <w:i/>
                <w:iCs/>
                <w:sz w:val="16"/>
                <w:szCs w:val="16"/>
              </w:rPr>
              <w:t xml:space="preserve"> год</w:t>
            </w:r>
          </w:p>
        </w:tc>
        <w:tc>
          <w:tcPr>
            <w:tcW w:w="1168" w:type="dxa"/>
            <w:tcBorders>
              <w:top w:val="single" w:sz="4" w:space="0" w:color="auto"/>
              <w:bottom w:val="single" w:sz="12" w:space="0" w:color="auto"/>
            </w:tcBorders>
            <w:shd w:val="clear" w:color="auto" w:fill="auto"/>
            <w:noWrap/>
            <w:vAlign w:val="bottom"/>
            <w:hideMark/>
          </w:tcPr>
          <w:p w:rsidR="0035659B" w:rsidRPr="00C818E2" w:rsidRDefault="0035659B" w:rsidP="0035659B">
            <w:pPr>
              <w:pStyle w:val="SingleTxtG"/>
              <w:spacing w:before="80" w:after="80" w:line="200" w:lineRule="exact"/>
              <w:ind w:left="0" w:right="113"/>
              <w:jc w:val="right"/>
              <w:rPr>
                <w:i/>
                <w:sz w:val="16"/>
                <w:szCs w:val="16"/>
              </w:rPr>
            </w:pPr>
            <w:r w:rsidRPr="00C818E2">
              <w:rPr>
                <w:i/>
                <w:iCs/>
                <w:sz w:val="16"/>
                <w:szCs w:val="16"/>
              </w:rPr>
              <w:t>2017</w:t>
            </w:r>
            <w:r>
              <w:rPr>
                <w:i/>
                <w:iCs/>
                <w:sz w:val="16"/>
                <w:szCs w:val="16"/>
              </w:rPr>
              <w:t xml:space="preserve"> год</w:t>
            </w:r>
          </w:p>
        </w:tc>
        <w:tc>
          <w:tcPr>
            <w:tcW w:w="1168" w:type="dxa"/>
            <w:tcBorders>
              <w:top w:val="single" w:sz="4" w:space="0" w:color="auto"/>
              <w:bottom w:val="single" w:sz="12" w:space="0" w:color="auto"/>
            </w:tcBorders>
            <w:shd w:val="clear" w:color="auto" w:fill="auto"/>
            <w:noWrap/>
            <w:vAlign w:val="bottom"/>
            <w:hideMark/>
          </w:tcPr>
          <w:p w:rsidR="0035659B" w:rsidRPr="00C818E2" w:rsidRDefault="0035659B" w:rsidP="0035659B">
            <w:pPr>
              <w:pStyle w:val="SingleTxtG"/>
              <w:spacing w:before="80" w:after="80" w:line="200" w:lineRule="exact"/>
              <w:ind w:left="0" w:right="113"/>
              <w:jc w:val="right"/>
              <w:rPr>
                <w:i/>
                <w:sz w:val="16"/>
                <w:szCs w:val="16"/>
              </w:rPr>
            </w:pPr>
            <w:r w:rsidRPr="00C818E2">
              <w:rPr>
                <w:i/>
                <w:iCs/>
                <w:sz w:val="16"/>
                <w:szCs w:val="16"/>
              </w:rPr>
              <w:t>2018</w:t>
            </w:r>
            <w:r>
              <w:rPr>
                <w:i/>
                <w:iCs/>
                <w:sz w:val="16"/>
                <w:szCs w:val="16"/>
              </w:rPr>
              <w:t xml:space="preserve"> год</w:t>
            </w:r>
          </w:p>
        </w:tc>
      </w:tr>
      <w:tr w:rsidR="0035659B" w:rsidRPr="00C818E2" w:rsidTr="0035659B">
        <w:tc>
          <w:tcPr>
            <w:tcW w:w="2778" w:type="dxa"/>
            <w:tcBorders>
              <w:top w:val="single" w:sz="12" w:space="0" w:color="auto"/>
              <w:bottom w:val="single" w:sz="4" w:space="0" w:color="auto"/>
            </w:tcBorders>
            <w:shd w:val="clear" w:color="auto" w:fill="auto"/>
            <w:hideMark/>
          </w:tcPr>
          <w:p w:rsidR="0035659B" w:rsidRPr="00C818E2" w:rsidRDefault="0035659B" w:rsidP="0035659B">
            <w:pPr>
              <w:pStyle w:val="SingleTxtG"/>
              <w:spacing w:before="80" w:after="80" w:line="220" w:lineRule="exact"/>
              <w:ind w:left="0" w:right="113"/>
              <w:jc w:val="right"/>
              <w:rPr>
                <w:b/>
                <w:sz w:val="18"/>
                <w:szCs w:val="18"/>
              </w:rPr>
            </w:pPr>
            <w:r w:rsidRPr="00C818E2">
              <w:rPr>
                <w:b/>
                <w:bCs/>
                <w:sz w:val="18"/>
                <w:szCs w:val="18"/>
              </w:rPr>
              <w:t>Всего</w:t>
            </w:r>
          </w:p>
        </w:tc>
        <w:tc>
          <w:tcPr>
            <w:tcW w:w="1134" w:type="dxa"/>
            <w:tcBorders>
              <w:top w:val="single" w:sz="12" w:space="0" w:color="auto"/>
              <w:bottom w:val="single" w:sz="4" w:space="0" w:color="auto"/>
            </w:tcBorders>
            <w:shd w:val="clear" w:color="auto" w:fill="auto"/>
            <w:noWrap/>
            <w:vAlign w:val="bottom"/>
            <w:hideMark/>
          </w:tcPr>
          <w:p w:rsidR="0035659B" w:rsidRPr="00C818E2" w:rsidRDefault="0035659B" w:rsidP="0035659B">
            <w:pPr>
              <w:pStyle w:val="SingleTxtG"/>
              <w:spacing w:before="80" w:after="80" w:line="220" w:lineRule="exact"/>
              <w:ind w:left="0" w:right="113"/>
              <w:jc w:val="right"/>
              <w:rPr>
                <w:b/>
                <w:sz w:val="18"/>
                <w:szCs w:val="18"/>
              </w:rPr>
            </w:pPr>
            <w:r w:rsidRPr="00C818E2">
              <w:rPr>
                <w:b/>
                <w:bCs/>
                <w:sz w:val="18"/>
                <w:szCs w:val="18"/>
              </w:rPr>
              <w:t>2 919 685</w:t>
            </w:r>
          </w:p>
        </w:tc>
        <w:tc>
          <w:tcPr>
            <w:tcW w:w="1168" w:type="dxa"/>
            <w:tcBorders>
              <w:top w:val="single" w:sz="12" w:space="0" w:color="auto"/>
              <w:bottom w:val="single" w:sz="4" w:space="0" w:color="auto"/>
            </w:tcBorders>
            <w:shd w:val="clear" w:color="auto" w:fill="auto"/>
            <w:noWrap/>
            <w:vAlign w:val="bottom"/>
            <w:hideMark/>
          </w:tcPr>
          <w:p w:rsidR="0035659B" w:rsidRPr="00C818E2" w:rsidRDefault="0035659B" w:rsidP="0035659B">
            <w:pPr>
              <w:pStyle w:val="SingleTxtG"/>
              <w:spacing w:before="80" w:after="80" w:line="220" w:lineRule="exact"/>
              <w:ind w:left="0" w:right="113"/>
              <w:jc w:val="right"/>
              <w:rPr>
                <w:b/>
                <w:sz w:val="18"/>
                <w:szCs w:val="18"/>
              </w:rPr>
            </w:pPr>
            <w:r w:rsidRPr="00C818E2">
              <w:rPr>
                <w:b/>
                <w:bCs/>
                <w:sz w:val="18"/>
                <w:szCs w:val="18"/>
              </w:rPr>
              <w:t>2 412 113</w:t>
            </w:r>
          </w:p>
        </w:tc>
        <w:tc>
          <w:tcPr>
            <w:tcW w:w="1168" w:type="dxa"/>
            <w:tcBorders>
              <w:top w:val="single" w:sz="12" w:space="0" w:color="auto"/>
              <w:bottom w:val="single" w:sz="4" w:space="0" w:color="auto"/>
            </w:tcBorders>
            <w:shd w:val="clear" w:color="auto" w:fill="auto"/>
            <w:noWrap/>
            <w:vAlign w:val="bottom"/>
            <w:hideMark/>
          </w:tcPr>
          <w:p w:rsidR="0035659B" w:rsidRPr="00C818E2" w:rsidRDefault="0035659B" w:rsidP="0035659B">
            <w:pPr>
              <w:pStyle w:val="SingleTxtG"/>
              <w:spacing w:before="80" w:after="80" w:line="220" w:lineRule="exact"/>
              <w:ind w:left="0" w:right="113"/>
              <w:jc w:val="right"/>
              <w:rPr>
                <w:b/>
                <w:sz w:val="18"/>
                <w:szCs w:val="18"/>
              </w:rPr>
            </w:pPr>
            <w:r w:rsidRPr="00C818E2">
              <w:rPr>
                <w:b/>
                <w:bCs/>
                <w:sz w:val="18"/>
                <w:szCs w:val="18"/>
              </w:rPr>
              <w:t>2 797 570</w:t>
            </w:r>
          </w:p>
        </w:tc>
        <w:tc>
          <w:tcPr>
            <w:tcW w:w="1168" w:type="dxa"/>
            <w:tcBorders>
              <w:top w:val="single" w:sz="12" w:space="0" w:color="auto"/>
              <w:bottom w:val="single" w:sz="4" w:space="0" w:color="auto"/>
            </w:tcBorders>
            <w:shd w:val="clear" w:color="auto" w:fill="auto"/>
            <w:noWrap/>
            <w:vAlign w:val="bottom"/>
            <w:hideMark/>
          </w:tcPr>
          <w:p w:rsidR="0035659B" w:rsidRPr="00C818E2" w:rsidRDefault="0035659B" w:rsidP="0035659B">
            <w:pPr>
              <w:pStyle w:val="SingleTxtG"/>
              <w:spacing w:before="80" w:after="80" w:line="220" w:lineRule="exact"/>
              <w:ind w:left="0" w:right="113"/>
              <w:jc w:val="right"/>
              <w:rPr>
                <w:b/>
                <w:sz w:val="18"/>
                <w:szCs w:val="18"/>
              </w:rPr>
            </w:pPr>
            <w:r w:rsidRPr="00C818E2">
              <w:rPr>
                <w:b/>
                <w:bCs/>
                <w:sz w:val="18"/>
                <w:szCs w:val="18"/>
              </w:rPr>
              <w:t>3 028 843</w:t>
            </w:r>
          </w:p>
        </w:tc>
      </w:tr>
      <w:tr w:rsidR="0035659B" w:rsidRPr="00C818E2" w:rsidTr="0035659B">
        <w:tc>
          <w:tcPr>
            <w:tcW w:w="2778" w:type="dxa"/>
            <w:tcBorders>
              <w:top w:val="single" w:sz="4" w:space="0" w:color="auto"/>
            </w:tcBorders>
            <w:shd w:val="clear" w:color="auto" w:fill="auto"/>
            <w:hideMark/>
          </w:tcPr>
          <w:p w:rsidR="0035659B" w:rsidRPr="00C818E2" w:rsidRDefault="0035659B" w:rsidP="0035659B">
            <w:pPr>
              <w:pStyle w:val="SingleTxtG"/>
              <w:spacing w:before="40" w:after="40" w:line="220" w:lineRule="exact"/>
              <w:ind w:left="0" w:right="113"/>
              <w:jc w:val="left"/>
              <w:rPr>
                <w:sz w:val="18"/>
                <w:szCs w:val="18"/>
              </w:rPr>
            </w:pPr>
            <w:r w:rsidRPr="00C818E2">
              <w:rPr>
                <w:sz w:val="18"/>
                <w:szCs w:val="18"/>
              </w:rPr>
              <w:t xml:space="preserve">Расходы из государственного бюджета (включая средства ЕСФ) </w:t>
            </w:r>
          </w:p>
        </w:tc>
        <w:tc>
          <w:tcPr>
            <w:tcW w:w="1134" w:type="dxa"/>
            <w:tcBorders>
              <w:top w:val="single" w:sz="4" w:space="0" w:color="auto"/>
            </w:tcBorders>
            <w:shd w:val="clear" w:color="auto" w:fill="auto"/>
            <w:noWrap/>
            <w:vAlign w:val="bottom"/>
            <w:hideMark/>
          </w:tcPr>
          <w:p w:rsidR="0035659B" w:rsidRPr="00C818E2" w:rsidRDefault="0035659B" w:rsidP="0035659B">
            <w:pPr>
              <w:pStyle w:val="SingleTxtG"/>
              <w:spacing w:before="40" w:after="40" w:line="220" w:lineRule="exact"/>
              <w:ind w:left="0" w:right="113"/>
              <w:jc w:val="right"/>
              <w:rPr>
                <w:sz w:val="18"/>
                <w:szCs w:val="18"/>
              </w:rPr>
            </w:pPr>
            <w:r w:rsidRPr="00C818E2">
              <w:rPr>
                <w:sz w:val="18"/>
                <w:szCs w:val="18"/>
              </w:rPr>
              <w:t>2 321 344</w:t>
            </w:r>
          </w:p>
        </w:tc>
        <w:tc>
          <w:tcPr>
            <w:tcW w:w="1168" w:type="dxa"/>
            <w:tcBorders>
              <w:top w:val="single" w:sz="4" w:space="0" w:color="auto"/>
            </w:tcBorders>
            <w:shd w:val="clear" w:color="auto" w:fill="auto"/>
            <w:noWrap/>
            <w:vAlign w:val="bottom"/>
            <w:hideMark/>
          </w:tcPr>
          <w:p w:rsidR="0035659B" w:rsidRPr="00C818E2" w:rsidRDefault="0035659B" w:rsidP="0035659B">
            <w:pPr>
              <w:pStyle w:val="SingleTxtG"/>
              <w:spacing w:before="40" w:after="40" w:line="220" w:lineRule="exact"/>
              <w:ind w:left="0" w:right="113"/>
              <w:jc w:val="right"/>
              <w:rPr>
                <w:sz w:val="18"/>
                <w:szCs w:val="18"/>
              </w:rPr>
            </w:pPr>
            <w:r w:rsidRPr="00C818E2">
              <w:rPr>
                <w:sz w:val="18"/>
                <w:szCs w:val="18"/>
              </w:rPr>
              <w:t>1 919 066</w:t>
            </w:r>
          </w:p>
        </w:tc>
        <w:tc>
          <w:tcPr>
            <w:tcW w:w="1168" w:type="dxa"/>
            <w:tcBorders>
              <w:top w:val="single" w:sz="4" w:space="0" w:color="auto"/>
            </w:tcBorders>
            <w:shd w:val="clear" w:color="auto" w:fill="auto"/>
            <w:noWrap/>
            <w:vAlign w:val="bottom"/>
            <w:hideMark/>
          </w:tcPr>
          <w:p w:rsidR="0035659B" w:rsidRPr="00C818E2" w:rsidRDefault="0035659B" w:rsidP="0035659B">
            <w:pPr>
              <w:pStyle w:val="SingleTxtG"/>
              <w:spacing w:before="40" w:after="40" w:line="220" w:lineRule="exact"/>
              <w:ind w:left="0" w:right="113"/>
              <w:jc w:val="right"/>
              <w:rPr>
                <w:sz w:val="18"/>
                <w:szCs w:val="18"/>
              </w:rPr>
            </w:pPr>
            <w:r w:rsidRPr="00C818E2">
              <w:rPr>
                <w:sz w:val="18"/>
                <w:szCs w:val="18"/>
              </w:rPr>
              <w:t>2 170 748</w:t>
            </w:r>
          </w:p>
        </w:tc>
        <w:tc>
          <w:tcPr>
            <w:tcW w:w="1168" w:type="dxa"/>
            <w:tcBorders>
              <w:top w:val="single" w:sz="4" w:space="0" w:color="auto"/>
            </w:tcBorders>
            <w:shd w:val="clear" w:color="auto" w:fill="auto"/>
            <w:noWrap/>
            <w:vAlign w:val="bottom"/>
            <w:hideMark/>
          </w:tcPr>
          <w:p w:rsidR="0035659B" w:rsidRPr="00C818E2" w:rsidRDefault="0035659B" w:rsidP="0035659B">
            <w:pPr>
              <w:pStyle w:val="SingleTxtG"/>
              <w:spacing w:before="40" w:after="40" w:line="220" w:lineRule="exact"/>
              <w:ind w:left="0" w:right="113"/>
              <w:jc w:val="right"/>
              <w:rPr>
                <w:sz w:val="18"/>
                <w:szCs w:val="18"/>
              </w:rPr>
            </w:pPr>
            <w:r w:rsidRPr="00C818E2">
              <w:rPr>
                <w:sz w:val="18"/>
                <w:szCs w:val="18"/>
              </w:rPr>
              <w:t>2 375 024</w:t>
            </w:r>
          </w:p>
        </w:tc>
      </w:tr>
      <w:tr w:rsidR="0035659B" w:rsidRPr="00C818E2" w:rsidTr="0035659B">
        <w:tc>
          <w:tcPr>
            <w:tcW w:w="2778" w:type="dxa"/>
            <w:shd w:val="clear" w:color="auto" w:fill="auto"/>
            <w:hideMark/>
          </w:tcPr>
          <w:p w:rsidR="0035659B" w:rsidRPr="00C818E2" w:rsidRDefault="0035659B" w:rsidP="0035659B">
            <w:pPr>
              <w:pStyle w:val="SingleTxtG"/>
              <w:spacing w:before="40" w:after="40" w:line="220" w:lineRule="exact"/>
              <w:ind w:left="288" w:right="113"/>
              <w:jc w:val="left"/>
              <w:rPr>
                <w:sz w:val="18"/>
                <w:szCs w:val="18"/>
              </w:rPr>
            </w:pPr>
            <w:r>
              <w:rPr>
                <w:sz w:val="18"/>
                <w:szCs w:val="18"/>
              </w:rPr>
              <w:t xml:space="preserve">Расходы </w:t>
            </w:r>
            <w:r w:rsidRPr="00C818E2">
              <w:rPr>
                <w:sz w:val="18"/>
                <w:szCs w:val="18"/>
              </w:rPr>
              <w:t xml:space="preserve">из государственного бюджета </w:t>
            </w:r>
          </w:p>
        </w:tc>
        <w:tc>
          <w:tcPr>
            <w:tcW w:w="1134" w:type="dxa"/>
            <w:shd w:val="clear" w:color="auto" w:fill="auto"/>
            <w:noWrap/>
            <w:vAlign w:val="bottom"/>
            <w:hideMark/>
          </w:tcPr>
          <w:p w:rsidR="0035659B" w:rsidRPr="00C818E2" w:rsidRDefault="0035659B" w:rsidP="0035659B">
            <w:pPr>
              <w:pStyle w:val="SingleTxtG"/>
              <w:spacing w:before="40" w:after="40" w:line="220" w:lineRule="exact"/>
              <w:ind w:left="0" w:right="113"/>
              <w:jc w:val="right"/>
              <w:rPr>
                <w:sz w:val="18"/>
                <w:szCs w:val="18"/>
              </w:rPr>
            </w:pPr>
            <w:r w:rsidRPr="00C818E2">
              <w:rPr>
                <w:sz w:val="18"/>
                <w:szCs w:val="18"/>
              </w:rPr>
              <w:t>2 321 344</w:t>
            </w:r>
          </w:p>
        </w:tc>
        <w:tc>
          <w:tcPr>
            <w:tcW w:w="1168" w:type="dxa"/>
            <w:shd w:val="clear" w:color="auto" w:fill="auto"/>
            <w:noWrap/>
            <w:vAlign w:val="bottom"/>
            <w:hideMark/>
          </w:tcPr>
          <w:p w:rsidR="0035659B" w:rsidRPr="00C818E2" w:rsidRDefault="0035659B" w:rsidP="0035659B">
            <w:pPr>
              <w:pStyle w:val="SingleTxtG"/>
              <w:spacing w:before="40" w:after="40" w:line="220" w:lineRule="exact"/>
              <w:ind w:left="0" w:right="113"/>
              <w:jc w:val="right"/>
              <w:rPr>
                <w:sz w:val="18"/>
                <w:szCs w:val="18"/>
              </w:rPr>
            </w:pPr>
            <w:r w:rsidRPr="00C818E2">
              <w:rPr>
                <w:sz w:val="18"/>
                <w:szCs w:val="18"/>
              </w:rPr>
              <w:t>1 312 986</w:t>
            </w:r>
          </w:p>
        </w:tc>
        <w:tc>
          <w:tcPr>
            <w:tcW w:w="1168" w:type="dxa"/>
            <w:shd w:val="clear" w:color="auto" w:fill="auto"/>
            <w:noWrap/>
            <w:vAlign w:val="bottom"/>
            <w:hideMark/>
          </w:tcPr>
          <w:p w:rsidR="0035659B" w:rsidRPr="00C818E2" w:rsidRDefault="0035659B" w:rsidP="0035659B">
            <w:pPr>
              <w:pStyle w:val="SingleTxtG"/>
              <w:spacing w:before="40" w:after="40" w:line="220" w:lineRule="exact"/>
              <w:ind w:left="0" w:right="113"/>
              <w:jc w:val="right"/>
              <w:rPr>
                <w:sz w:val="18"/>
                <w:szCs w:val="18"/>
              </w:rPr>
            </w:pPr>
            <w:r w:rsidRPr="00C818E2">
              <w:rPr>
                <w:sz w:val="18"/>
                <w:szCs w:val="18"/>
              </w:rPr>
              <w:t>1 427 584</w:t>
            </w:r>
          </w:p>
        </w:tc>
        <w:tc>
          <w:tcPr>
            <w:tcW w:w="1168" w:type="dxa"/>
            <w:shd w:val="clear" w:color="auto" w:fill="auto"/>
            <w:noWrap/>
            <w:vAlign w:val="bottom"/>
            <w:hideMark/>
          </w:tcPr>
          <w:p w:rsidR="0035659B" w:rsidRPr="00C818E2" w:rsidRDefault="0035659B" w:rsidP="0035659B">
            <w:pPr>
              <w:pStyle w:val="SingleTxtG"/>
              <w:spacing w:before="40" w:after="40" w:line="220" w:lineRule="exact"/>
              <w:ind w:left="0" w:right="113"/>
              <w:jc w:val="right"/>
              <w:rPr>
                <w:sz w:val="18"/>
                <w:szCs w:val="18"/>
              </w:rPr>
            </w:pPr>
            <w:r w:rsidRPr="00C818E2">
              <w:rPr>
                <w:sz w:val="18"/>
                <w:szCs w:val="18"/>
              </w:rPr>
              <w:t>1 592 198</w:t>
            </w:r>
          </w:p>
        </w:tc>
      </w:tr>
      <w:tr w:rsidR="0035659B" w:rsidRPr="00C818E2" w:rsidTr="0035659B">
        <w:tc>
          <w:tcPr>
            <w:tcW w:w="2778" w:type="dxa"/>
            <w:shd w:val="clear" w:color="auto" w:fill="auto"/>
            <w:hideMark/>
          </w:tcPr>
          <w:p w:rsidR="0035659B" w:rsidRPr="00C818E2" w:rsidRDefault="0035659B" w:rsidP="0035659B">
            <w:pPr>
              <w:pStyle w:val="SingleTxtG"/>
              <w:spacing w:before="40" w:after="40" w:line="220" w:lineRule="exact"/>
              <w:ind w:left="288" w:right="113"/>
              <w:jc w:val="left"/>
              <w:rPr>
                <w:sz w:val="18"/>
                <w:szCs w:val="18"/>
              </w:rPr>
            </w:pPr>
            <w:r>
              <w:rPr>
                <w:sz w:val="18"/>
                <w:szCs w:val="18"/>
              </w:rPr>
              <w:t>С</w:t>
            </w:r>
            <w:r w:rsidRPr="00C818E2">
              <w:rPr>
                <w:sz w:val="18"/>
                <w:szCs w:val="18"/>
              </w:rPr>
              <w:t>редства ЕСФ</w:t>
            </w:r>
          </w:p>
        </w:tc>
        <w:tc>
          <w:tcPr>
            <w:tcW w:w="1134" w:type="dxa"/>
            <w:shd w:val="clear" w:color="auto" w:fill="auto"/>
            <w:noWrap/>
            <w:vAlign w:val="bottom"/>
            <w:hideMark/>
          </w:tcPr>
          <w:p w:rsidR="0035659B" w:rsidRPr="00C818E2" w:rsidRDefault="0035659B" w:rsidP="0035659B">
            <w:pPr>
              <w:pStyle w:val="SingleTxtG"/>
              <w:spacing w:before="40" w:after="40" w:line="220" w:lineRule="exact"/>
              <w:ind w:left="0" w:right="113"/>
              <w:jc w:val="right"/>
              <w:rPr>
                <w:sz w:val="18"/>
                <w:szCs w:val="18"/>
              </w:rPr>
            </w:pPr>
          </w:p>
        </w:tc>
        <w:tc>
          <w:tcPr>
            <w:tcW w:w="1168" w:type="dxa"/>
            <w:shd w:val="clear" w:color="auto" w:fill="auto"/>
            <w:noWrap/>
            <w:vAlign w:val="bottom"/>
            <w:hideMark/>
          </w:tcPr>
          <w:p w:rsidR="0035659B" w:rsidRPr="00C818E2" w:rsidRDefault="0035659B" w:rsidP="0035659B">
            <w:pPr>
              <w:pStyle w:val="SingleTxtG"/>
              <w:spacing w:before="40" w:after="40" w:line="220" w:lineRule="exact"/>
              <w:ind w:left="0" w:right="113"/>
              <w:jc w:val="right"/>
              <w:rPr>
                <w:sz w:val="18"/>
                <w:szCs w:val="18"/>
              </w:rPr>
            </w:pPr>
            <w:r w:rsidRPr="00C818E2">
              <w:rPr>
                <w:sz w:val="18"/>
                <w:szCs w:val="18"/>
              </w:rPr>
              <w:t>606 079</w:t>
            </w:r>
          </w:p>
        </w:tc>
        <w:tc>
          <w:tcPr>
            <w:tcW w:w="1168" w:type="dxa"/>
            <w:shd w:val="clear" w:color="auto" w:fill="auto"/>
            <w:noWrap/>
            <w:vAlign w:val="bottom"/>
            <w:hideMark/>
          </w:tcPr>
          <w:p w:rsidR="0035659B" w:rsidRPr="00C818E2" w:rsidRDefault="0035659B" w:rsidP="0035659B">
            <w:pPr>
              <w:pStyle w:val="SingleTxtG"/>
              <w:spacing w:before="40" w:after="40" w:line="220" w:lineRule="exact"/>
              <w:ind w:left="0" w:right="113"/>
              <w:jc w:val="right"/>
              <w:rPr>
                <w:sz w:val="18"/>
                <w:szCs w:val="18"/>
              </w:rPr>
            </w:pPr>
            <w:r w:rsidRPr="00C818E2">
              <w:rPr>
                <w:sz w:val="18"/>
                <w:szCs w:val="18"/>
              </w:rPr>
              <w:t>743 164</w:t>
            </w:r>
          </w:p>
        </w:tc>
        <w:tc>
          <w:tcPr>
            <w:tcW w:w="1168" w:type="dxa"/>
            <w:shd w:val="clear" w:color="auto" w:fill="auto"/>
            <w:noWrap/>
            <w:vAlign w:val="bottom"/>
            <w:hideMark/>
          </w:tcPr>
          <w:p w:rsidR="0035659B" w:rsidRPr="00C818E2" w:rsidRDefault="0035659B" w:rsidP="0035659B">
            <w:pPr>
              <w:pStyle w:val="SingleTxtG"/>
              <w:spacing w:before="40" w:after="40" w:line="220" w:lineRule="exact"/>
              <w:ind w:left="0" w:right="113"/>
              <w:jc w:val="right"/>
              <w:rPr>
                <w:sz w:val="18"/>
                <w:szCs w:val="18"/>
              </w:rPr>
            </w:pPr>
            <w:r w:rsidRPr="00C818E2">
              <w:rPr>
                <w:sz w:val="18"/>
                <w:szCs w:val="18"/>
              </w:rPr>
              <w:t>782 826</w:t>
            </w:r>
          </w:p>
        </w:tc>
      </w:tr>
      <w:tr w:rsidR="0035659B" w:rsidRPr="00C818E2" w:rsidTr="0035659B">
        <w:tc>
          <w:tcPr>
            <w:tcW w:w="2778" w:type="dxa"/>
            <w:shd w:val="clear" w:color="auto" w:fill="auto"/>
            <w:hideMark/>
          </w:tcPr>
          <w:p w:rsidR="0035659B" w:rsidRPr="00C818E2" w:rsidRDefault="0035659B" w:rsidP="0035659B">
            <w:pPr>
              <w:pStyle w:val="SingleTxtG"/>
              <w:spacing w:before="40" w:after="40" w:line="220" w:lineRule="exact"/>
              <w:ind w:left="0" w:right="113"/>
              <w:jc w:val="left"/>
              <w:rPr>
                <w:i/>
                <w:iCs/>
                <w:sz w:val="18"/>
                <w:szCs w:val="18"/>
              </w:rPr>
            </w:pPr>
            <w:r w:rsidRPr="00C818E2">
              <w:rPr>
                <w:i/>
                <w:iCs/>
                <w:sz w:val="18"/>
                <w:szCs w:val="18"/>
              </w:rPr>
              <w:t>Доля государственных бюджетных средств в общей сумме расходов на технические средства мобильности</w:t>
            </w:r>
            <w:r>
              <w:rPr>
                <w:i/>
                <w:iCs/>
                <w:sz w:val="18"/>
                <w:szCs w:val="18"/>
              </w:rPr>
              <w:t xml:space="preserve"> (</w:t>
            </w:r>
            <w:r w:rsidRPr="00C818E2">
              <w:rPr>
                <w:i/>
                <w:iCs/>
                <w:sz w:val="18"/>
                <w:szCs w:val="18"/>
              </w:rPr>
              <w:t>%</w:t>
            </w:r>
            <w:r>
              <w:rPr>
                <w:i/>
                <w:iCs/>
                <w:sz w:val="18"/>
                <w:szCs w:val="18"/>
              </w:rPr>
              <w:t>)</w:t>
            </w:r>
          </w:p>
        </w:tc>
        <w:tc>
          <w:tcPr>
            <w:tcW w:w="1134" w:type="dxa"/>
            <w:shd w:val="clear" w:color="auto" w:fill="auto"/>
            <w:noWrap/>
            <w:vAlign w:val="bottom"/>
            <w:hideMark/>
          </w:tcPr>
          <w:p w:rsidR="0035659B" w:rsidRPr="00C818E2" w:rsidRDefault="0035659B" w:rsidP="0035659B">
            <w:pPr>
              <w:pStyle w:val="SingleTxtG"/>
              <w:spacing w:before="40" w:after="40" w:line="220" w:lineRule="exact"/>
              <w:ind w:left="0" w:right="113"/>
              <w:jc w:val="right"/>
              <w:rPr>
                <w:i/>
                <w:iCs/>
                <w:sz w:val="18"/>
                <w:szCs w:val="18"/>
              </w:rPr>
            </w:pPr>
            <w:r w:rsidRPr="00C818E2">
              <w:rPr>
                <w:i/>
                <w:iCs/>
                <w:sz w:val="18"/>
                <w:szCs w:val="18"/>
              </w:rPr>
              <w:t>79,5</w:t>
            </w:r>
          </w:p>
        </w:tc>
        <w:tc>
          <w:tcPr>
            <w:tcW w:w="1168" w:type="dxa"/>
            <w:shd w:val="clear" w:color="auto" w:fill="auto"/>
            <w:noWrap/>
            <w:vAlign w:val="bottom"/>
            <w:hideMark/>
          </w:tcPr>
          <w:p w:rsidR="0035659B" w:rsidRPr="00C818E2" w:rsidRDefault="0035659B" w:rsidP="0035659B">
            <w:pPr>
              <w:pStyle w:val="SingleTxtG"/>
              <w:spacing w:before="40" w:after="40" w:line="220" w:lineRule="exact"/>
              <w:ind w:left="0" w:right="113"/>
              <w:jc w:val="right"/>
              <w:rPr>
                <w:i/>
                <w:iCs/>
                <w:sz w:val="18"/>
                <w:szCs w:val="18"/>
              </w:rPr>
            </w:pPr>
            <w:r w:rsidRPr="00C818E2">
              <w:rPr>
                <w:i/>
                <w:iCs/>
                <w:sz w:val="18"/>
                <w:szCs w:val="18"/>
              </w:rPr>
              <w:t>79,6</w:t>
            </w:r>
          </w:p>
        </w:tc>
        <w:tc>
          <w:tcPr>
            <w:tcW w:w="1168" w:type="dxa"/>
            <w:shd w:val="clear" w:color="auto" w:fill="auto"/>
            <w:noWrap/>
            <w:vAlign w:val="bottom"/>
            <w:hideMark/>
          </w:tcPr>
          <w:p w:rsidR="0035659B" w:rsidRPr="00C818E2" w:rsidRDefault="0035659B" w:rsidP="0035659B">
            <w:pPr>
              <w:pStyle w:val="SingleTxtG"/>
              <w:spacing w:before="40" w:after="40" w:line="220" w:lineRule="exact"/>
              <w:ind w:left="0" w:right="113"/>
              <w:jc w:val="right"/>
              <w:rPr>
                <w:i/>
                <w:iCs/>
                <w:sz w:val="18"/>
                <w:szCs w:val="18"/>
              </w:rPr>
            </w:pPr>
            <w:r w:rsidRPr="00C818E2">
              <w:rPr>
                <w:i/>
                <w:iCs/>
                <w:sz w:val="18"/>
                <w:szCs w:val="18"/>
              </w:rPr>
              <w:t>77,6</w:t>
            </w:r>
          </w:p>
        </w:tc>
        <w:tc>
          <w:tcPr>
            <w:tcW w:w="1168" w:type="dxa"/>
            <w:shd w:val="clear" w:color="auto" w:fill="auto"/>
            <w:noWrap/>
            <w:vAlign w:val="bottom"/>
            <w:hideMark/>
          </w:tcPr>
          <w:p w:rsidR="0035659B" w:rsidRPr="00C818E2" w:rsidRDefault="0035659B" w:rsidP="0035659B">
            <w:pPr>
              <w:pStyle w:val="SingleTxtG"/>
              <w:spacing w:before="40" w:after="40" w:line="220" w:lineRule="exact"/>
              <w:ind w:left="0" w:right="113"/>
              <w:jc w:val="right"/>
              <w:rPr>
                <w:i/>
                <w:iCs/>
                <w:sz w:val="18"/>
                <w:szCs w:val="18"/>
              </w:rPr>
            </w:pPr>
            <w:r w:rsidRPr="00C818E2">
              <w:rPr>
                <w:i/>
                <w:iCs/>
                <w:sz w:val="18"/>
                <w:szCs w:val="18"/>
              </w:rPr>
              <w:t>78,4</w:t>
            </w:r>
          </w:p>
        </w:tc>
      </w:tr>
      <w:tr w:rsidR="0035659B" w:rsidRPr="00C818E2" w:rsidTr="0035659B">
        <w:tc>
          <w:tcPr>
            <w:tcW w:w="2778" w:type="dxa"/>
            <w:shd w:val="clear" w:color="auto" w:fill="auto"/>
            <w:hideMark/>
          </w:tcPr>
          <w:p w:rsidR="0035659B" w:rsidRPr="00C818E2" w:rsidRDefault="0035659B" w:rsidP="0035659B">
            <w:pPr>
              <w:pStyle w:val="SingleTxtG"/>
              <w:spacing w:before="40" w:after="40" w:line="220" w:lineRule="exact"/>
              <w:ind w:left="0" w:right="113"/>
              <w:jc w:val="left"/>
              <w:rPr>
                <w:i/>
                <w:iCs/>
                <w:sz w:val="18"/>
                <w:szCs w:val="18"/>
              </w:rPr>
            </w:pPr>
            <w:r w:rsidRPr="00C818E2">
              <w:rPr>
                <w:i/>
                <w:iCs/>
                <w:sz w:val="18"/>
                <w:szCs w:val="18"/>
              </w:rPr>
              <w:t xml:space="preserve">Доля расходов на технические средства индивидуальной мобильности в государственных бюджетных расходах на технические средства, предоставляемые на льготных условиях </w:t>
            </w:r>
            <w:r>
              <w:rPr>
                <w:i/>
                <w:iCs/>
                <w:sz w:val="18"/>
                <w:szCs w:val="18"/>
              </w:rPr>
              <w:t>(</w:t>
            </w:r>
            <w:r w:rsidRPr="00C818E2">
              <w:rPr>
                <w:i/>
                <w:iCs/>
                <w:sz w:val="18"/>
                <w:szCs w:val="18"/>
              </w:rPr>
              <w:t>%</w:t>
            </w:r>
            <w:r>
              <w:rPr>
                <w:sz w:val="18"/>
                <w:szCs w:val="18"/>
              </w:rPr>
              <w:t>)</w:t>
            </w:r>
          </w:p>
        </w:tc>
        <w:tc>
          <w:tcPr>
            <w:tcW w:w="1134" w:type="dxa"/>
            <w:shd w:val="clear" w:color="auto" w:fill="auto"/>
            <w:noWrap/>
            <w:vAlign w:val="bottom"/>
            <w:hideMark/>
          </w:tcPr>
          <w:p w:rsidR="0035659B" w:rsidRPr="00C818E2" w:rsidRDefault="0035659B" w:rsidP="0035659B">
            <w:pPr>
              <w:pStyle w:val="SingleTxtG"/>
              <w:spacing w:before="40" w:after="40" w:line="220" w:lineRule="exact"/>
              <w:ind w:left="0" w:right="113"/>
              <w:jc w:val="right"/>
              <w:rPr>
                <w:i/>
                <w:iCs/>
                <w:sz w:val="18"/>
                <w:szCs w:val="18"/>
              </w:rPr>
            </w:pPr>
            <w:r w:rsidRPr="00C818E2">
              <w:rPr>
                <w:i/>
                <w:iCs/>
                <w:sz w:val="18"/>
                <w:szCs w:val="18"/>
              </w:rPr>
              <w:t>25,9</w:t>
            </w:r>
          </w:p>
        </w:tc>
        <w:tc>
          <w:tcPr>
            <w:tcW w:w="1168" w:type="dxa"/>
            <w:shd w:val="clear" w:color="auto" w:fill="auto"/>
            <w:noWrap/>
            <w:vAlign w:val="bottom"/>
            <w:hideMark/>
          </w:tcPr>
          <w:p w:rsidR="0035659B" w:rsidRPr="00C818E2" w:rsidRDefault="0035659B" w:rsidP="0035659B">
            <w:pPr>
              <w:pStyle w:val="SingleTxtG"/>
              <w:spacing w:before="40" w:after="40" w:line="220" w:lineRule="exact"/>
              <w:ind w:left="0" w:right="113"/>
              <w:jc w:val="right"/>
              <w:rPr>
                <w:i/>
                <w:iCs/>
                <w:sz w:val="18"/>
                <w:szCs w:val="18"/>
              </w:rPr>
            </w:pPr>
            <w:r w:rsidRPr="00C818E2">
              <w:rPr>
                <w:i/>
                <w:iCs/>
                <w:sz w:val="18"/>
                <w:szCs w:val="18"/>
              </w:rPr>
              <w:t>19,0</w:t>
            </w:r>
          </w:p>
        </w:tc>
        <w:tc>
          <w:tcPr>
            <w:tcW w:w="1168" w:type="dxa"/>
            <w:shd w:val="clear" w:color="auto" w:fill="auto"/>
            <w:noWrap/>
            <w:vAlign w:val="bottom"/>
            <w:hideMark/>
          </w:tcPr>
          <w:p w:rsidR="0035659B" w:rsidRPr="00C818E2" w:rsidRDefault="0035659B" w:rsidP="0035659B">
            <w:pPr>
              <w:pStyle w:val="SingleTxtG"/>
              <w:spacing w:before="40" w:after="40" w:line="220" w:lineRule="exact"/>
              <w:ind w:left="0" w:right="113"/>
              <w:jc w:val="right"/>
              <w:rPr>
                <w:i/>
                <w:iCs/>
                <w:sz w:val="18"/>
                <w:szCs w:val="18"/>
              </w:rPr>
            </w:pPr>
            <w:r w:rsidRPr="00C818E2">
              <w:rPr>
                <w:i/>
                <w:iCs/>
                <w:sz w:val="18"/>
                <w:szCs w:val="18"/>
              </w:rPr>
              <w:t>19,1</w:t>
            </w:r>
          </w:p>
        </w:tc>
        <w:tc>
          <w:tcPr>
            <w:tcW w:w="1168" w:type="dxa"/>
            <w:shd w:val="clear" w:color="auto" w:fill="auto"/>
            <w:noWrap/>
            <w:vAlign w:val="bottom"/>
            <w:hideMark/>
          </w:tcPr>
          <w:p w:rsidR="0035659B" w:rsidRPr="00C818E2" w:rsidRDefault="0035659B" w:rsidP="0035659B">
            <w:pPr>
              <w:pStyle w:val="SingleTxtG"/>
              <w:spacing w:before="40" w:after="40" w:line="220" w:lineRule="exact"/>
              <w:ind w:left="0" w:right="113"/>
              <w:jc w:val="right"/>
              <w:rPr>
                <w:i/>
                <w:iCs/>
                <w:sz w:val="18"/>
                <w:szCs w:val="18"/>
              </w:rPr>
            </w:pPr>
            <w:r w:rsidRPr="00C818E2">
              <w:rPr>
                <w:i/>
                <w:iCs/>
                <w:sz w:val="18"/>
                <w:szCs w:val="18"/>
              </w:rPr>
              <w:t>20,0</w:t>
            </w:r>
          </w:p>
        </w:tc>
      </w:tr>
    </w:tbl>
    <w:p w:rsidR="0035659B" w:rsidRPr="00F54286" w:rsidRDefault="0035659B" w:rsidP="00F54286">
      <w:pPr>
        <w:pStyle w:val="SingleTxtG"/>
        <w:spacing w:before="120" w:after="0" w:line="220" w:lineRule="exact"/>
        <w:ind w:firstLine="170"/>
        <w:rPr>
          <w:sz w:val="18"/>
          <w:szCs w:val="18"/>
        </w:rPr>
      </w:pPr>
      <w:proofErr w:type="gramStart"/>
      <w:r w:rsidRPr="00F54286">
        <w:rPr>
          <w:i/>
          <w:sz w:val="18"/>
          <w:szCs w:val="18"/>
        </w:rPr>
        <w:t>¹</w:t>
      </w:r>
      <w:r w:rsidRPr="00F54286">
        <w:rPr>
          <w:sz w:val="18"/>
          <w:szCs w:val="18"/>
        </w:rPr>
        <w:t xml:space="preserve"> </w:t>
      </w:r>
      <w:r w:rsidR="00F54286" w:rsidRPr="00F54286">
        <w:rPr>
          <w:sz w:val="18"/>
          <w:szCs w:val="18"/>
        </w:rPr>
        <w:t xml:space="preserve"> </w:t>
      </w:r>
      <w:r w:rsidRPr="00F54286">
        <w:rPr>
          <w:sz w:val="18"/>
          <w:szCs w:val="18"/>
        </w:rPr>
        <w:t>Включает</w:t>
      </w:r>
      <w:proofErr w:type="gramEnd"/>
      <w:r w:rsidRPr="00F54286">
        <w:rPr>
          <w:sz w:val="18"/>
          <w:szCs w:val="18"/>
        </w:rPr>
        <w:t xml:space="preserve"> все технические средства мобильности.</w:t>
      </w:r>
    </w:p>
    <w:p w:rsidR="0035659B" w:rsidRPr="00F54286" w:rsidRDefault="0035659B" w:rsidP="00F54286">
      <w:pPr>
        <w:pStyle w:val="SingleTxtG"/>
        <w:spacing w:line="220" w:lineRule="exact"/>
        <w:ind w:firstLine="170"/>
        <w:rPr>
          <w:sz w:val="18"/>
          <w:szCs w:val="18"/>
        </w:rPr>
      </w:pPr>
      <w:r w:rsidRPr="00F54286">
        <w:rPr>
          <w:i/>
          <w:sz w:val="18"/>
          <w:szCs w:val="18"/>
        </w:rPr>
        <w:t>Источник:</w:t>
      </w:r>
      <w:r w:rsidRPr="00F54286">
        <w:rPr>
          <w:sz w:val="18"/>
          <w:szCs w:val="18"/>
        </w:rPr>
        <w:t xml:space="preserve"> Совет социального страхования.</w:t>
      </w:r>
    </w:p>
    <w:p w:rsidR="0035659B" w:rsidRPr="00FA72FB" w:rsidRDefault="0035659B" w:rsidP="0035659B">
      <w:pPr>
        <w:pStyle w:val="H1G"/>
      </w:pPr>
      <w:r>
        <w:lastRenderedPageBreak/>
        <w:tab/>
      </w:r>
      <w:r>
        <w:tab/>
      </w:r>
      <w:r>
        <w:rPr>
          <w:bCs/>
        </w:rPr>
        <w:t>Свобода выражения мнения и убеждений и доступ к информации (статья 21)</w:t>
      </w:r>
    </w:p>
    <w:p w:rsidR="0035659B" w:rsidRPr="00FA72FB" w:rsidRDefault="0035659B" w:rsidP="0035659B">
      <w:pPr>
        <w:pStyle w:val="H23G"/>
      </w:pPr>
      <w:r>
        <w:tab/>
      </w:r>
      <w:r>
        <w:tab/>
      </w:r>
      <w:r w:rsidR="00F54286">
        <w:rPr>
          <w:bCs/>
        </w:rPr>
        <w:t xml:space="preserve">Ответ на пункт </w:t>
      </w:r>
      <w:proofErr w:type="gramStart"/>
      <w:r w:rsidR="00F54286">
        <w:rPr>
          <w:bCs/>
        </w:rPr>
        <w:t>16</w:t>
      </w:r>
      <w:proofErr w:type="gramEnd"/>
      <w:r w:rsidR="00F54286">
        <w:rPr>
          <w:bCs/>
        </w:rPr>
        <w:t xml:space="preserve"> а), </w:t>
      </w:r>
      <w:r>
        <w:rPr>
          <w:bCs/>
        </w:rPr>
        <w:t xml:space="preserve">b), </w:t>
      </w:r>
      <w:r w:rsidR="00F54286">
        <w:rPr>
          <w:bCs/>
        </w:rPr>
        <w:t xml:space="preserve">c) и </w:t>
      </w:r>
      <w:r>
        <w:rPr>
          <w:bCs/>
          <w:lang w:val="en-US"/>
        </w:rPr>
        <w:t>d</w:t>
      </w:r>
      <w:r w:rsidRPr="00011B6D">
        <w:rPr>
          <w:bCs/>
        </w:rPr>
        <w:t>)</w:t>
      </w:r>
      <w:r>
        <w:rPr>
          <w:bCs/>
        </w:rPr>
        <w:t xml:space="preserve"> перечня вопросов</w:t>
      </w:r>
      <w:r>
        <w:t xml:space="preserve"> </w:t>
      </w:r>
    </w:p>
    <w:p w:rsidR="0035659B" w:rsidRPr="00FA72FB" w:rsidRDefault="0035659B" w:rsidP="0035659B">
      <w:pPr>
        <w:pStyle w:val="SingleTxtG"/>
      </w:pPr>
      <w:r>
        <w:t>113.</w:t>
      </w:r>
      <w:r>
        <w:tab/>
      </w:r>
      <w:proofErr w:type="gramStart"/>
      <w:r>
        <w:t>В</w:t>
      </w:r>
      <w:proofErr w:type="gramEnd"/>
      <w:r>
        <w:t xml:space="preserve"> ноябре 2018 года вступили в силу поправки к Закону об авторском праве, которые направлены на включение в эстонское законодательство положений </w:t>
      </w:r>
      <w:proofErr w:type="spellStart"/>
      <w:r>
        <w:t>Марракешской</w:t>
      </w:r>
      <w:proofErr w:type="spellEnd"/>
      <w:r>
        <w:t xml:space="preserve"> директивы и предусматривают исключение в отношении использования произведений без разрешения автора и без выплаты вознаграждения для слепых и лиц с нарушениями зрения. Последним шагом стало окончательное включение в эстонское законодательство положений Европейского закона о доступности веб-сайтов, которые касаются веб-сайтов государственного сектора. </w:t>
      </w:r>
    </w:p>
    <w:p w:rsidR="0035659B" w:rsidRPr="00FA72FB" w:rsidRDefault="0035659B" w:rsidP="0035659B">
      <w:pPr>
        <w:pStyle w:val="SingleTxtG"/>
      </w:pPr>
      <w:r>
        <w:t>114.</w:t>
      </w:r>
      <w:r>
        <w:tab/>
        <w:t>В Директиве (ЕС) 2019/882 о требованиях в отношении доступности товаров и услуг изложены требования, применяемые к частному сектору. Положения Директивы будут включены во внутреннее законодательство к 2022 году.</w:t>
      </w:r>
    </w:p>
    <w:p w:rsidR="0035659B" w:rsidRPr="00D04300" w:rsidRDefault="0035659B" w:rsidP="0035659B">
      <w:pPr>
        <w:pStyle w:val="SingleTxtG"/>
      </w:pPr>
      <w:r>
        <w:t>115.</w:t>
      </w:r>
      <w:r>
        <w:tab/>
        <w:t xml:space="preserve">В 2013 году Министерство экономики и коммуникаций распорядилось о переводе на эстонский язык руководящих принципов, установленных в этой Директиве, и теперь они имеются в свободном доступе в </w:t>
      </w:r>
      <w:r w:rsidR="00D32525">
        <w:t>Интернете</w:t>
      </w:r>
      <w:r>
        <w:t>. Директива (ЕС) 2019/882 также предусматривает требования в отношении доступности веб</w:t>
      </w:r>
      <w:r w:rsidR="00F54286">
        <w:noBreakHyphen/>
      </w:r>
      <w:r>
        <w:t xml:space="preserve">сайтов государственного сектора, которые применяются в соответствии с графиком. </w:t>
      </w:r>
    </w:p>
    <w:p w:rsidR="0035659B" w:rsidRPr="00FA72FB" w:rsidRDefault="0035659B" w:rsidP="0035659B">
      <w:pPr>
        <w:pStyle w:val="SingleTxtG"/>
      </w:pPr>
      <w:r>
        <w:t>116.</w:t>
      </w:r>
      <w:r>
        <w:tab/>
        <w:t>Кроме того, с сентября 2018 года Министерство экономики и коммуникаций организует практические курсы и семинары для редакторов веб-сайтов и разработчиков веб-сайтов и мобильных приложений. Эстонская инспекция по защите данных осуществляет контроль за соблюдением требований в отношении доступности.</w:t>
      </w:r>
    </w:p>
    <w:p w:rsidR="0035659B" w:rsidRPr="00FA72FB" w:rsidRDefault="0035659B" w:rsidP="0035659B">
      <w:pPr>
        <w:pStyle w:val="SingleTxtG"/>
      </w:pPr>
      <w:r>
        <w:t>117.</w:t>
      </w:r>
      <w:r>
        <w:tab/>
        <w:t>См. также ответы на пункт 1</w:t>
      </w:r>
      <w:r w:rsidR="00F54286">
        <w:t xml:space="preserve"> </w:t>
      </w:r>
      <w:r w:rsidRPr="00011B6D">
        <w:t>d) и c)</w:t>
      </w:r>
      <w:r w:rsidR="00F54286">
        <w:t xml:space="preserve"> по статьям 1–4, пункт 4 </w:t>
      </w:r>
      <w:r>
        <w:rPr>
          <w:lang w:val="en-US"/>
        </w:rPr>
        <w:t>b</w:t>
      </w:r>
      <w:r w:rsidRPr="00011B6D">
        <w:t>)</w:t>
      </w:r>
      <w:r>
        <w:t xml:space="preserve"> по статье 6, по статьям 7, 8, 9 и 11.</w:t>
      </w:r>
    </w:p>
    <w:p w:rsidR="0035659B" w:rsidRPr="00FA72FB" w:rsidRDefault="0035659B" w:rsidP="0035659B">
      <w:pPr>
        <w:pStyle w:val="H1G"/>
      </w:pPr>
      <w:r>
        <w:tab/>
      </w:r>
      <w:r>
        <w:tab/>
      </w:r>
      <w:r>
        <w:rPr>
          <w:bCs/>
        </w:rPr>
        <w:t>Уважение дома и семьи (статья 23)</w:t>
      </w:r>
    </w:p>
    <w:p w:rsidR="0035659B" w:rsidRPr="00FA72FB" w:rsidRDefault="0035659B" w:rsidP="0035659B">
      <w:pPr>
        <w:pStyle w:val="H23G"/>
      </w:pPr>
      <w:r>
        <w:tab/>
      </w:r>
      <w:r>
        <w:tab/>
      </w:r>
      <w:r w:rsidR="00F54286">
        <w:rPr>
          <w:bCs/>
        </w:rPr>
        <w:t xml:space="preserve">Ответ на пункт </w:t>
      </w:r>
      <w:proofErr w:type="gramStart"/>
      <w:r w:rsidR="00F54286">
        <w:rPr>
          <w:bCs/>
        </w:rPr>
        <w:t>17</w:t>
      </w:r>
      <w:proofErr w:type="gramEnd"/>
      <w:r w:rsidR="00F54286">
        <w:rPr>
          <w:bCs/>
        </w:rPr>
        <w:t xml:space="preserve"> а) и </w:t>
      </w:r>
      <w:r>
        <w:rPr>
          <w:bCs/>
        </w:rPr>
        <w:t>b) перечня вопросов</w:t>
      </w:r>
      <w:r>
        <w:t xml:space="preserve"> </w:t>
      </w:r>
    </w:p>
    <w:p w:rsidR="0035659B" w:rsidRPr="00FA72FB" w:rsidRDefault="0035659B" w:rsidP="0035659B">
      <w:pPr>
        <w:pStyle w:val="SingleTxtG"/>
      </w:pPr>
      <w:r>
        <w:t>118.</w:t>
      </w:r>
      <w:r>
        <w:tab/>
        <w:t>В июне 2019 года Эстония приступила к внедрению модели комплексного ухода за детьми, нуждающимися в поддержке, как минимум в двух областях (образование, здравоохранение или социальная помощь). В проекте участвуют восемь муниципалитетов вместе со своими партнерами (различные службы помощи). Цель проекта состоит в разработке новой модели сотрудничества, которая может быть использована во всех муниципалитетах, помогая детям и их семьям на основе взаимодействия с различными экспертами и системами, обеспечивая каждому ребенку и его семье поддержку в соответствии с потребностями и местонахождением (в школе или на дому) и предоставляя доступные, эффективные, качественные и своевременные услуги. Проект координируется Советом социального страхования и будет осуществляться в сотрудничестве с Министерством социальных дел и Министерством образования и науки. В проекте участвуют по меньшей мере 71 ребенок с семьями.</w:t>
      </w:r>
    </w:p>
    <w:p w:rsidR="0035659B" w:rsidRPr="00FA72FB" w:rsidRDefault="0035659B" w:rsidP="0035659B">
      <w:pPr>
        <w:pStyle w:val="SingleTxtG"/>
      </w:pPr>
      <w:r>
        <w:t>119.</w:t>
      </w:r>
      <w:r>
        <w:tab/>
        <w:t xml:space="preserve">Этот пилотный проект способствует системному анализу в отношении необходимости поддержки детей с особыми потребностями. Предложения должны быть представлены правительству в феврале 2020 года. </w:t>
      </w:r>
    </w:p>
    <w:p w:rsidR="0035659B" w:rsidRPr="00FA72FB" w:rsidRDefault="0035659B" w:rsidP="0035659B">
      <w:pPr>
        <w:pStyle w:val="H1G"/>
      </w:pPr>
      <w:r>
        <w:tab/>
      </w:r>
      <w:r>
        <w:tab/>
      </w:r>
      <w:r>
        <w:rPr>
          <w:bCs/>
        </w:rPr>
        <w:t>Образование (статья 24)</w:t>
      </w:r>
    </w:p>
    <w:p w:rsidR="0035659B" w:rsidRPr="00FA72FB" w:rsidRDefault="0035659B" w:rsidP="0035659B">
      <w:pPr>
        <w:pStyle w:val="H23G"/>
      </w:pPr>
      <w:r>
        <w:tab/>
      </w:r>
      <w:r>
        <w:tab/>
      </w:r>
      <w:r w:rsidR="00F54286">
        <w:rPr>
          <w:bCs/>
        </w:rPr>
        <w:t xml:space="preserve">Ответ на пункт </w:t>
      </w:r>
      <w:proofErr w:type="gramStart"/>
      <w:r w:rsidR="00F54286">
        <w:rPr>
          <w:bCs/>
        </w:rPr>
        <w:t>18</w:t>
      </w:r>
      <w:proofErr w:type="gramEnd"/>
      <w:r w:rsidR="00F54286">
        <w:rPr>
          <w:bCs/>
        </w:rPr>
        <w:t xml:space="preserve"> </w:t>
      </w:r>
      <w:r>
        <w:rPr>
          <w:bCs/>
        </w:rPr>
        <w:t>а) перечня вопросов</w:t>
      </w:r>
      <w:r>
        <w:t xml:space="preserve"> </w:t>
      </w:r>
    </w:p>
    <w:p w:rsidR="0035659B" w:rsidRPr="00FA72FB" w:rsidRDefault="0035659B" w:rsidP="0035659B">
      <w:pPr>
        <w:pStyle w:val="H4G"/>
      </w:pPr>
      <w:r>
        <w:tab/>
      </w:r>
      <w:r>
        <w:tab/>
      </w:r>
      <w:r>
        <w:rPr>
          <w:iCs/>
        </w:rPr>
        <w:t>Общее образование (основная школа и гимназия</w:t>
      </w:r>
      <w:r w:rsidRPr="004527C3">
        <w:rPr>
          <w:iCs/>
        </w:rPr>
        <w:t>)</w:t>
      </w:r>
    </w:p>
    <w:p w:rsidR="0035659B" w:rsidRPr="00FA72FB" w:rsidRDefault="0035659B" w:rsidP="0035659B">
      <w:pPr>
        <w:pStyle w:val="SingleTxtG"/>
      </w:pPr>
      <w:r>
        <w:t>120.</w:t>
      </w:r>
      <w:r>
        <w:tab/>
      </w:r>
      <w:r w:rsidRPr="0048631F">
        <w:t>В 2018 году в Закон</w:t>
      </w:r>
      <w:r>
        <w:t xml:space="preserve"> об основной школе и гимназии были внесены изменения в отношении организации обучения учащихся с особыми образовательными </w:t>
      </w:r>
      <w:r>
        <w:lastRenderedPageBreak/>
        <w:t xml:space="preserve">потребностями, которые создают более широкие возможности для школ и школьных попечительских советов учитывать индивидуальные потребности учащихся и применять методы поддержки. Основные изменения предусматривали увеличение государственных бюджетных средств на повышение заработной платы учителей и оперативных расходов на обеспечение усиленной или специальной поддержки учащихся и на оплату труда специалистов, оказывающих помощь; расформирование специальных классов и отмену максимального численного состава классов. </w:t>
      </w:r>
    </w:p>
    <w:p w:rsidR="0035659B" w:rsidRPr="00FA72FB" w:rsidRDefault="0035659B" w:rsidP="0035659B">
      <w:pPr>
        <w:pStyle w:val="SingleTxtG"/>
      </w:pPr>
      <w:r>
        <w:t>121.</w:t>
      </w:r>
      <w:r>
        <w:tab/>
        <w:t>Школа предоставляет общую поддержку учащимся, которые не способны выполнять школьные обязанности или отстают в учебе. Объем и содержание этой поддержки зависят не столько от медицинского диагноза или установленной инвалидности учащегося, сколько от организации обучения и вспомогательных услуг, в которых он нуждается. Была укреплена роль надзора со стороны государства в целях улучшения контроля за организацией обучения детей, нуждающихся в поддержке.</w:t>
      </w:r>
    </w:p>
    <w:p w:rsidR="0035659B" w:rsidRPr="00FA72FB" w:rsidRDefault="0035659B" w:rsidP="0035659B">
      <w:pPr>
        <w:pStyle w:val="H4G"/>
      </w:pPr>
      <w:r>
        <w:tab/>
      </w:r>
      <w:r>
        <w:tab/>
      </w:r>
      <w:r>
        <w:rPr>
          <w:iCs/>
        </w:rPr>
        <w:t>Профессиональное образование и подготовка</w:t>
      </w:r>
    </w:p>
    <w:p w:rsidR="0035659B" w:rsidRPr="00FA72FB" w:rsidRDefault="0035659B" w:rsidP="0035659B">
      <w:pPr>
        <w:pStyle w:val="SingleTxtG"/>
      </w:pPr>
      <w:r>
        <w:t>122.</w:t>
      </w:r>
      <w:r>
        <w:tab/>
      </w:r>
      <w:proofErr w:type="gramStart"/>
      <w:r>
        <w:t>С</w:t>
      </w:r>
      <w:proofErr w:type="gramEnd"/>
      <w:r>
        <w:t xml:space="preserve"> сентября 2019 года вступил в силу новый регламент. Теперь образовательные учреждения могут использовать данные, введенные предыдущим образовательным учреждением в Эстонскую образовательную информационную систему, такие как оказываемая учащемуся помощь, и продолжать оказывать вспомогательные услуги с самого начала учебного процесса. Это снижает нагрузку на лиц с особыми потребностями (и их родителей или опекунов), которым приходилось подтверждать свои особые потребности при переходе от одного уровня образования на другой или при переводе из одного учреждения в другое. </w:t>
      </w:r>
    </w:p>
    <w:p w:rsidR="0035659B" w:rsidRPr="00FA72FB" w:rsidRDefault="0035659B" w:rsidP="0035659B">
      <w:pPr>
        <w:pStyle w:val="SingleTxtG"/>
      </w:pPr>
      <w:r>
        <w:t>123.</w:t>
      </w:r>
      <w:r>
        <w:tab/>
        <w:t>Изменилось и определение термина «особые потребности». Теперь оно сосредоточено не на виде особых потребностей, а на необходимости поддержки и в большей степени соответствует конкретным особенностям сложных образовательных потребностей. Общая схема финансирования стала дифференцированной и позволяет выделять больше ресурсов для школ, которые осуществляют комплексные меры поддержки в процессе обучения.</w:t>
      </w:r>
    </w:p>
    <w:p w:rsidR="0035659B" w:rsidRPr="00FA72FB" w:rsidRDefault="0035659B" w:rsidP="0035659B">
      <w:pPr>
        <w:pStyle w:val="H4G"/>
      </w:pPr>
      <w:r>
        <w:tab/>
      </w:r>
      <w:r>
        <w:tab/>
      </w:r>
      <w:r>
        <w:rPr>
          <w:iCs/>
        </w:rPr>
        <w:t>Высшее образование</w:t>
      </w:r>
    </w:p>
    <w:p w:rsidR="0035659B" w:rsidRPr="00FA72FB" w:rsidRDefault="0035659B" w:rsidP="0035659B">
      <w:pPr>
        <w:pStyle w:val="SingleTxtG"/>
      </w:pPr>
      <w:r>
        <w:t>124.</w:t>
      </w:r>
      <w:r>
        <w:tab/>
        <w:t xml:space="preserve">В соответствии с Законом о высшем образовании высшие учебные заведения могут устанавливать различные требования приема для разных групп на основе полученного уровня образования или особых потребностей абитуриентов. </w:t>
      </w:r>
    </w:p>
    <w:p w:rsidR="0035659B" w:rsidRPr="00FA72FB" w:rsidRDefault="0035659B" w:rsidP="0035659B">
      <w:pPr>
        <w:pStyle w:val="SingleTxtG"/>
      </w:pPr>
      <w:r>
        <w:t>125.</w:t>
      </w:r>
      <w:r>
        <w:tab/>
        <w:t xml:space="preserve">Высшие учебные заведения не имеют права взимать возмещение расходов на образование со студента, который не выполнил требований в отношении дневного обучения, если у этого студента имеется средняя, тяжелая или глубокая </w:t>
      </w:r>
      <w:proofErr w:type="gramStart"/>
      <w:r>
        <w:t>инвалидность</w:t>
      </w:r>
      <w:proofErr w:type="gramEnd"/>
      <w:r>
        <w:t xml:space="preserve"> или если он является родителе</w:t>
      </w:r>
      <w:r w:rsidR="00F54286">
        <w:t xml:space="preserve">м или опекуном ребенка моложе семи </w:t>
      </w:r>
      <w:r>
        <w:t>лет или ребенка-инвалида.</w:t>
      </w:r>
    </w:p>
    <w:p w:rsidR="0035659B" w:rsidRPr="00FA72FB" w:rsidRDefault="0035659B" w:rsidP="0035659B">
      <w:pPr>
        <w:pStyle w:val="SingleTxtG"/>
      </w:pPr>
      <w:r>
        <w:t>126.</w:t>
      </w:r>
      <w:r>
        <w:tab/>
        <w:t>Эта же категория студентов имеет также льготы на получение академического отпуска. Как правило, студент не имеет права на окончание учебного курса в течение академического отпуска, за исключением случаев, когда:</w:t>
      </w:r>
    </w:p>
    <w:p w:rsidR="0035659B" w:rsidRPr="00FA72FB" w:rsidRDefault="0035659B" w:rsidP="0035659B">
      <w:pPr>
        <w:pStyle w:val="SingleTxtG"/>
        <w:ind w:firstLine="567"/>
      </w:pPr>
      <w:r>
        <w:t>1)</w:t>
      </w:r>
      <w:r>
        <w:tab/>
        <w:t>он имеет среднюю, тяжелую или глубокую инвалидность;</w:t>
      </w:r>
    </w:p>
    <w:p w:rsidR="0035659B" w:rsidRPr="00FA72FB" w:rsidRDefault="0035659B" w:rsidP="0035659B">
      <w:pPr>
        <w:pStyle w:val="SingleTxtG"/>
        <w:ind w:firstLine="567"/>
      </w:pPr>
      <w:r>
        <w:t>2)</w:t>
      </w:r>
      <w:r>
        <w:tab/>
        <w:t xml:space="preserve">он является родителем или опекуном ребенка </w:t>
      </w:r>
      <w:r w:rsidR="00F54286">
        <w:t>моложе трех</w:t>
      </w:r>
      <w:r>
        <w:t xml:space="preserve"> лет или ребенка-инвалида;</w:t>
      </w:r>
    </w:p>
    <w:p w:rsidR="0035659B" w:rsidRPr="00FA72FB" w:rsidRDefault="00F54286" w:rsidP="0035659B">
      <w:pPr>
        <w:pStyle w:val="SingleTxtG"/>
      </w:pPr>
      <w:r>
        <w:tab/>
      </w:r>
      <w:r w:rsidR="0035659B">
        <w:tab/>
        <w:t>[…]</w:t>
      </w:r>
    </w:p>
    <w:p w:rsidR="0035659B" w:rsidRPr="00FA72FB" w:rsidRDefault="0035659B" w:rsidP="0035659B">
      <w:pPr>
        <w:pStyle w:val="SingleTxtG"/>
      </w:pPr>
      <w:r>
        <w:t>127.</w:t>
      </w:r>
      <w:r>
        <w:tab/>
        <w:t xml:space="preserve">Кроме того, помимо предоставления услуг по профессиональной ориентации и консультированию Эстония обеспечивает некоторые виды грантов и стипендий (стипендии для студентов с особыми потребностями, специальные стипендии нуждающимся студентам) для различных групп, но они не координируются на уровне высших учебных заведений. </w:t>
      </w:r>
    </w:p>
    <w:p w:rsidR="0035659B" w:rsidRPr="00FA72FB" w:rsidRDefault="0035659B" w:rsidP="0035659B">
      <w:pPr>
        <w:pStyle w:val="H23G"/>
      </w:pPr>
      <w:r>
        <w:lastRenderedPageBreak/>
        <w:tab/>
      </w:r>
      <w:r>
        <w:tab/>
      </w:r>
      <w:r>
        <w:rPr>
          <w:bCs/>
        </w:rPr>
        <w:t>Ответ на пункт 18 b) и c) перечня вопросов</w:t>
      </w:r>
      <w:r>
        <w:t xml:space="preserve"> </w:t>
      </w:r>
    </w:p>
    <w:p w:rsidR="0035659B" w:rsidRPr="00FA72FB" w:rsidRDefault="0035659B" w:rsidP="0035659B">
      <w:pPr>
        <w:pStyle w:val="SingleTxtG"/>
      </w:pPr>
      <w:r>
        <w:t>128.</w:t>
      </w:r>
      <w:r>
        <w:tab/>
        <w:t>По данным Эстонской образовательной информационной системы, число учащихся, получающих поддержку в ходе обучения, составляет 20% от общего числа детей, обучающихся в стационарных условиях</w:t>
      </w:r>
      <w:r w:rsidR="00F54286">
        <w:t xml:space="preserve"> общей системы образования: 14% </w:t>
      </w:r>
      <w:proofErr w:type="gramStart"/>
      <w:r>
        <w:t>учащих</w:t>
      </w:r>
      <w:r w:rsidR="00F54286">
        <w:t>ся</w:t>
      </w:r>
      <w:proofErr w:type="gramEnd"/>
      <w:r w:rsidR="00F54286">
        <w:t xml:space="preserve"> получают общую поддержку, 6% –</w:t>
      </w:r>
      <w:r>
        <w:t xml:space="preserve"> усиленную или специальную помощь (3,4</w:t>
      </w:r>
      <w:r w:rsidR="00F54286">
        <w:t>%</w:t>
      </w:r>
      <w:r>
        <w:t xml:space="preserve"> и 2,7% от общего числа учащихся соответственно).</w:t>
      </w:r>
    </w:p>
    <w:p w:rsidR="0035659B" w:rsidRPr="00FA72FB" w:rsidRDefault="0035659B" w:rsidP="0035659B">
      <w:pPr>
        <w:pStyle w:val="SingleTxtG"/>
      </w:pPr>
      <w:r>
        <w:t>129.</w:t>
      </w:r>
      <w:r>
        <w:tab/>
        <w:t>Министерство образования и науки осуществляет сбор дезагрегированных по инвалидности данных об учащихся и на основе этих данных проводит анализ в целях укрепления системы образования. Однако Министерство не вправе делиться этими подробными данными, поскольку в некоторых случаях наборы данных являются весьма незначительными и/или не отражают реальную ситуацию (т</w:t>
      </w:r>
      <w:r w:rsidR="00F54286">
        <w:t>.</w:t>
      </w:r>
      <w:r>
        <w:t xml:space="preserve"> е</w:t>
      </w:r>
      <w:r w:rsidR="00F54286">
        <w:t>.</w:t>
      </w:r>
      <w:r>
        <w:t xml:space="preserve"> у одного лица может иметься несколько видов инвалидности; у лица имеется физическая инвалидность, но не психическое расстройство; и т.</w:t>
      </w:r>
      <w:r w:rsidR="00F54286">
        <w:t> </w:t>
      </w:r>
      <w:r>
        <w:t>д.).</w:t>
      </w:r>
    </w:p>
    <w:p w:rsidR="0035659B" w:rsidRPr="00FA72FB" w:rsidRDefault="0035659B" w:rsidP="0035659B">
      <w:pPr>
        <w:pStyle w:val="H1G"/>
      </w:pPr>
      <w:r>
        <w:tab/>
      </w:r>
      <w:r>
        <w:tab/>
      </w:r>
      <w:r>
        <w:rPr>
          <w:bCs/>
        </w:rPr>
        <w:t>Здоровье (статья 25)</w:t>
      </w:r>
    </w:p>
    <w:p w:rsidR="0035659B" w:rsidRPr="00FA72FB" w:rsidRDefault="0035659B" w:rsidP="0035659B">
      <w:pPr>
        <w:pStyle w:val="H23G"/>
      </w:pPr>
      <w:r>
        <w:tab/>
      </w:r>
      <w:r>
        <w:tab/>
      </w:r>
      <w:r w:rsidR="00F54286">
        <w:rPr>
          <w:bCs/>
        </w:rPr>
        <w:t xml:space="preserve">Ответ на пункт </w:t>
      </w:r>
      <w:proofErr w:type="gramStart"/>
      <w:r w:rsidR="00F54286">
        <w:rPr>
          <w:bCs/>
        </w:rPr>
        <w:t>19</w:t>
      </w:r>
      <w:proofErr w:type="gramEnd"/>
      <w:r w:rsidR="00F54286">
        <w:rPr>
          <w:bCs/>
        </w:rPr>
        <w:t xml:space="preserve"> а), b) и </w:t>
      </w:r>
      <w:r>
        <w:rPr>
          <w:bCs/>
        </w:rPr>
        <w:t>c) перечня вопросов</w:t>
      </w:r>
      <w:r>
        <w:t xml:space="preserve"> </w:t>
      </w:r>
    </w:p>
    <w:p w:rsidR="0035659B" w:rsidRPr="00FA72FB" w:rsidRDefault="0035659B" w:rsidP="0035659B">
      <w:pPr>
        <w:pStyle w:val="SingleTxtG"/>
      </w:pPr>
      <w:r>
        <w:t>130.</w:t>
      </w:r>
      <w:r>
        <w:tab/>
        <w:t>В соответствии с пунктом 2 статьи 2 Закона о медицинском страховании медицинское страхование основано на солидарности и совместном несении расходов застрахованными лицами, на принципе предоставления услуг в соответствии с потребностями застрахованных лиц и равной доступно</w:t>
      </w:r>
      <w:r w:rsidR="00D32525">
        <w:t>сти лечения во всех регионах, а </w:t>
      </w:r>
      <w:r>
        <w:t>также использовании по назначению средств медицинского страхования.</w:t>
      </w:r>
    </w:p>
    <w:p w:rsidR="0035659B" w:rsidRPr="00FA72FB" w:rsidRDefault="0035659B" w:rsidP="0035659B">
      <w:pPr>
        <w:pStyle w:val="SingleTxtG"/>
      </w:pPr>
      <w:r>
        <w:t>131.</w:t>
      </w:r>
      <w:r>
        <w:tab/>
        <w:t xml:space="preserve">В соответствии с подпунктами 3 и </w:t>
      </w:r>
      <w:r w:rsidRPr="0060450C">
        <w:t>3</w:t>
      </w:r>
      <w:r w:rsidRPr="0060450C">
        <w:rPr>
          <w:rStyle w:val="aa"/>
        </w:rPr>
        <w:t>1</w:t>
      </w:r>
      <w:r>
        <w:t xml:space="preserve"> пункта 4 статьи 5 этого Закона застрахованными лицами являются лица, которые получают государственную пенсию и которые признаны имеющими частичную трудоспособность или вообще нетрудоспособными согласно Закону о пособиях в связи с трудоспособностью. </w:t>
      </w:r>
    </w:p>
    <w:p w:rsidR="0035659B" w:rsidRPr="00F43B63" w:rsidRDefault="0035659B" w:rsidP="0035659B">
      <w:pPr>
        <w:pStyle w:val="SingleTxtG"/>
      </w:pPr>
      <w:r>
        <w:t>132.</w:t>
      </w:r>
      <w:r>
        <w:tab/>
      </w:r>
      <w:proofErr w:type="gramStart"/>
      <w:r>
        <w:t>В</w:t>
      </w:r>
      <w:proofErr w:type="gramEnd"/>
      <w:r>
        <w:t xml:space="preserve"> течение последних десяти лет услуги по социальной реабилитации были не в полной мере доступны инвалидам, главным образом из-за отсутствия финансовых ресурсов. В течение последних пяти лет изменились уровень расходов на обслуживание, которые оплачивает государство, и общая сумма бюджетных средств, выделяемых на реабилитацию, в целях улучшения качества и расширения доступности услуг по реабилитации. Кроме того, с 2016 года Совет социального страхования проводит специальную оценку потребностей в услугах, с тем чтобы убедиться, что услуги предоставляются только тем, кто действительно нуждается в реабилитации. </w:t>
      </w:r>
    </w:p>
    <w:p w:rsidR="0035659B" w:rsidRPr="00F43B63" w:rsidRDefault="0035659B" w:rsidP="0035659B">
      <w:pPr>
        <w:pStyle w:val="SingleTxtG"/>
      </w:pPr>
      <w:r>
        <w:t>133.</w:t>
      </w:r>
      <w:r>
        <w:tab/>
        <w:t xml:space="preserve">Поэтому теперь Совет социального страхования не ведет список очередности, и после оценки и выявления потребности в таких услугах лицо может обратиться в организацию, которая оказывает такие услуги. </w:t>
      </w:r>
    </w:p>
    <w:p w:rsidR="0035659B" w:rsidRPr="00F43B63" w:rsidRDefault="0035659B" w:rsidP="0035659B">
      <w:pPr>
        <w:pStyle w:val="SingleTxtG"/>
      </w:pPr>
      <w:r>
        <w:t>134.</w:t>
      </w:r>
      <w:r>
        <w:tab/>
        <w:t xml:space="preserve">Кроме того, предоставляющим услуги организациям неоднократно указывали на принцип, согласно которому каждый человек должен получить услуги в своем муниципалитете. Поэтому в течение последних двух лет не повышались расходы на транспортировку в рамках оказания этих услуг. </w:t>
      </w:r>
    </w:p>
    <w:p w:rsidR="0035659B" w:rsidRPr="00F43B63" w:rsidRDefault="0035659B" w:rsidP="0035659B">
      <w:pPr>
        <w:pStyle w:val="SingleTxtG"/>
      </w:pPr>
      <w:r>
        <w:t>135.</w:t>
      </w:r>
      <w:r>
        <w:tab/>
        <w:t>Медицинское страхование покрывает все услуги, включая услуги по охране сексуального и репродуктивного здоровья инвалидов.</w:t>
      </w:r>
    </w:p>
    <w:p w:rsidR="0035659B" w:rsidRPr="00F43B63" w:rsidRDefault="0035659B" w:rsidP="0035659B">
      <w:pPr>
        <w:pStyle w:val="SingleTxtG"/>
      </w:pPr>
      <w:r>
        <w:t>136.</w:t>
      </w:r>
      <w:r>
        <w:tab/>
        <w:t>См. также ответы на пункт</w:t>
      </w:r>
      <w:r w:rsidR="00F54286">
        <w:t xml:space="preserve"> </w:t>
      </w:r>
      <w:r>
        <w:t>4</w:t>
      </w:r>
      <w:r w:rsidR="00F54286">
        <w:t xml:space="preserve"> </w:t>
      </w:r>
      <w:r>
        <w:rPr>
          <w:lang w:val="en-US"/>
        </w:rPr>
        <w:t>b</w:t>
      </w:r>
      <w:r w:rsidRPr="00BE36FA">
        <w:t>)</w:t>
      </w:r>
      <w:r>
        <w:t xml:space="preserve"> по статье 6, а также по статьям 9, 11, 15, 16 и 19.</w:t>
      </w:r>
    </w:p>
    <w:p w:rsidR="0035659B" w:rsidRPr="00F43B63" w:rsidRDefault="0035659B" w:rsidP="0035659B">
      <w:pPr>
        <w:pStyle w:val="H1G"/>
      </w:pPr>
      <w:r>
        <w:tab/>
      </w:r>
      <w:r>
        <w:tab/>
      </w:r>
      <w:r>
        <w:rPr>
          <w:bCs/>
        </w:rPr>
        <w:t>Труд и занятость (статья 27)</w:t>
      </w:r>
      <w:r>
        <w:t xml:space="preserve"> </w:t>
      </w:r>
    </w:p>
    <w:p w:rsidR="0035659B" w:rsidRPr="00F43B63" w:rsidRDefault="0035659B" w:rsidP="0035659B">
      <w:pPr>
        <w:pStyle w:val="H23G"/>
      </w:pPr>
      <w:r>
        <w:tab/>
      </w:r>
      <w:r>
        <w:tab/>
      </w:r>
      <w:r w:rsidR="00F54286">
        <w:rPr>
          <w:bCs/>
        </w:rPr>
        <w:t xml:space="preserve">Ответ на пункт </w:t>
      </w:r>
      <w:proofErr w:type="gramStart"/>
      <w:r w:rsidR="00F54286">
        <w:rPr>
          <w:bCs/>
        </w:rPr>
        <w:t>20</w:t>
      </w:r>
      <w:proofErr w:type="gramEnd"/>
      <w:r w:rsidR="00F54286">
        <w:rPr>
          <w:bCs/>
        </w:rPr>
        <w:t xml:space="preserve"> а) и </w:t>
      </w:r>
      <w:r>
        <w:rPr>
          <w:bCs/>
        </w:rPr>
        <w:t>b) перечня вопросов</w:t>
      </w:r>
      <w:r>
        <w:t xml:space="preserve"> </w:t>
      </w:r>
    </w:p>
    <w:p w:rsidR="0035659B" w:rsidRPr="00F43B63" w:rsidRDefault="0035659B" w:rsidP="0035659B">
      <w:pPr>
        <w:pStyle w:val="SingleTxtG"/>
      </w:pPr>
      <w:r>
        <w:t>137.</w:t>
      </w:r>
      <w:r>
        <w:tab/>
        <w:t xml:space="preserve">В 2016 году в Эстонии началась реформа в области трудоспособности, которая создала новое направление в системе поддержки трудоспособности. Цель реформы заключается в том, чтобы изменить отношение к людям с ограниченной трудоспособностью и помочь им найти и сохранить рабочее место. В соответствии с новой системой более не устанавливается процент утраты трудоспособности. Оценка </w:t>
      </w:r>
      <w:r>
        <w:lastRenderedPageBreak/>
        <w:t xml:space="preserve">трудоспособности проводится эстонским Фондом страхования на случай безработицы и включает оценку возможностей, квалификации и наличия подходящих рабочих мест. Эта оценка должна определить, является ли лицо трудоспособным, частично трудоспособным или полностью нетрудоспособным. </w:t>
      </w:r>
    </w:p>
    <w:p w:rsidR="0035659B" w:rsidRPr="00F54286" w:rsidRDefault="00F54286" w:rsidP="0035659B">
      <w:pPr>
        <w:pStyle w:val="1"/>
        <w:spacing w:before="240"/>
        <w:rPr>
          <w:b w:val="0"/>
        </w:rPr>
      </w:pPr>
      <w:r>
        <w:tab/>
      </w:r>
      <w:r>
        <w:tab/>
      </w:r>
      <w:r w:rsidR="0035659B" w:rsidRPr="00F54286">
        <w:rPr>
          <w:b w:val="0"/>
        </w:rPr>
        <w:t>Рисунок 1</w:t>
      </w:r>
    </w:p>
    <w:p w:rsidR="0035659B" w:rsidRDefault="0035659B" w:rsidP="0035659B">
      <w:pPr>
        <w:pStyle w:val="SingleTxtG"/>
        <w:jc w:val="left"/>
        <w:rPr>
          <w:b/>
          <w:bCs/>
        </w:rPr>
      </w:pPr>
      <w:r>
        <w:rPr>
          <w:b/>
          <w:bCs/>
        </w:rPr>
        <w:t>Уровень занятости в сравнении с уровнем занятости лиц с ограниченной трудоспособностью и уровнем занятости инвалидов (пенсионный возраст 16 лет)</w:t>
      </w:r>
    </w:p>
    <w:p w:rsidR="00B16F58" w:rsidRDefault="00B16F58" w:rsidP="00B16F58">
      <w:pPr>
        <w:pStyle w:val="SingleTxtG"/>
      </w:pPr>
      <w:r>
        <w:rPr>
          <w:noProof/>
          <w:lang w:eastAsia="ru-RU"/>
        </w:rPr>
        <mc:AlternateContent>
          <mc:Choice Requires="wps">
            <w:drawing>
              <wp:anchor distT="0" distB="0" distL="114300" distR="114300" simplePos="0" relativeHeight="251659264" behindDoc="0" locked="0" layoutInCell="1" allowOverlap="1" wp14:anchorId="2BCFB16A" wp14:editId="59D5FA96">
                <wp:simplePos x="0" y="0"/>
                <wp:positionH relativeFrom="column">
                  <wp:posOffset>1632257</wp:posOffset>
                </wp:positionH>
                <wp:positionV relativeFrom="paragraph">
                  <wp:posOffset>1898015</wp:posOffset>
                </wp:positionV>
                <wp:extent cx="3686189" cy="744760"/>
                <wp:effectExtent l="0" t="0" r="9525" b="0"/>
                <wp:wrapNone/>
                <wp:docPr id="5" name="Надпись 5"/>
                <wp:cNvGraphicFramePr/>
                <a:graphic xmlns:a="http://schemas.openxmlformats.org/drawingml/2006/main">
                  <a:graphicData uri="http://schemas.microsoft.com/office/word/2010/wordprocessingShape">
                    <wps:wsp>
                      <wps:cNvSpPr txBox="1"/>
                      <wps:spPr>
                        <a:xfrm>
                          <a:off x="0" y="0"/>
                          <a:ext cx="3686189" cy="744760"/>
                        </a:xfrm>
                        <a:prstGeom prst="rect">
                          <a:avLst/>
                        </a:prstGeom>
                        <a:solidFill>
                          <a:schemeClr val="lt1"/>
                        </a:solidFill>
                        <a:ln w="6350">
                          <a:noFill/>
                        </a:ln>
                      </wps:spPr>
                      <wps:txbx>
                        <w:txbxContent>
                          <w:p w:rsidR="00B16F58" w:rsidRDefault="00B16F58" w:rsidP="00B16F58">
                            <w:pPr>
                              <w:spacing w:before="40"/>
                            </w:pPr>
                            <w:r>
                              <w:t>Общий уровень занятости (%)</w:t>
                            </w:r>
                          </w:p>
                          <w:p w:rsidR="00B16F58" w:rsidRDefault="00B16F58" w:rsidP="00B16F58">
                            <w:pPr>
                              <w:spacing w:before="120" w:after="120"/>
                            </w:pPr>
                            <w:r>
                              <w:t>Уровень занятости лиц с ограниченной трудоспособностью (%)</w:t>
                            </w:r>
                          </w:p>
                          <w:p w:rsidR="00B16F58" w:rsidRDefault="00B16F58" w:rsidP="00B16F58">
                            <w:r>
                              <w:t>Уровень занятости инвалидов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FB16A" id="_x0000_t202" coordsize="21600,21600" o:spt="202" path="m,l,21600r21600,l21600,xe">
                <v:stroke joinstyle="miter"/>
                <v:path gradientshapeok="t" o:connecttype="rect"/>
              </v:shapetype>
              <v:shape id="Надпись 5" o:spid="_x0000_s1026" type="#_x0000_t202" style="position:absolute;left:0;text-align:left;margin-left:128.5pt;margin-top:149.45pt;width:290.25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" fillcolor="white [3201]" stroked="f" strokeweight=".5pt">
                <v:textbox>
                  <w:txbxContent>
                    <w:p w:rsidR="00B16F58" w:rsidRDefault="00B16F58" w:rsidP="00B16F58">
                      <w:pPr>
                        <w:spacing w:before="40"/>
                      </w:pPr>
                      <w:r>
                        <w:t>Общий уровень занятости (%)</w:t>
                      </w:r>
                    </w:p>
                    <w:p w:rsidR="00B16F58" w:rsidRDefault="00B16F58" w:rsidP="00B16F58">
                      <w:pPr>
                        <w:spacing w:before="120" w:after="120"/>
                      </w:pPr>
                      <w:r>
                        <w:t>Уровень занятости лиц с ограниченной трудоспособностью (%)</w:t>
                      </w:r>
                    </w:p>
                    <w:p w:rsidR="00B16F58" w:rsidRDefault="00B16F58" w:rsidP="00B16F58">
                      <w:r>
                        <w:t>Уровень занятости инвалидов (%)</w:t>
                      </w:r>
                    </w:p>
                  </w:txbxContent>
                </v:textbox>
              </v:shape>
            </w:pict>
          </mc:Fallback>
        </mc:AlternateContent>
      </w:r>
      <w:r>
        <w:rPr>
          <w:noProof/>
          <w:lang w:eastAsia="ru-RU"/>
        </w:rPr>
        <w:drawing>
          <wp:inline distT="0" distB="0" distL="0" distR="0" wp14:anchorId="00FB267C" wp14:editId="3E001C4B">
            <wp:extent cx="4680284" cy="2746595"/>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49410" cy="2787161"/>
                    </a:xfrm>
                    <a:prstGeom prst="rect">
                      <a:avLst/>
                    </a:prstGeom>
                  </pic:spPr>
                </pic:pic>
              </a:graphicData>
            </a:graphic>
          </wp:inline>
        </w:drawing>
      </w:r>
    </w:p>
    <w:p w:rsidR="0035659B" w:rsidRPr="00040C81" w:rsidRDefault="0035659B" w:rsidP="00F54286">
      <w:pPr>
        <w:spacing w:before="120" w:after="240" w:line="220" w:lineRule="exact"/>
        <w:ind w:left="1134" w:right="1134" w:firstLine="170"/>
        <w:rPr>
          <w:sz w:val="18"/>
          <w:szCs w:val="18"/>
        </w:rPr>
      </w:pPr>
      <w:r w:rsidRPr="00040C81">
        <w:rPr>
          <w:i/>
          <w:sz w:val="18"/>
          <w:szCs w:val="18"/>
        </w:rPr>
        <w:t>Источник</w:t>
      </w:r>
      <w:r w:rsidRPr="00040C81">
        <w:rPr>
          <w:sz w:val="18"/>
          <w:szCs w:val="18"/>
        </w:rPr>
        <w:t>: Статистическое бюро Эстонии.</w:t>
      </w:r>
    </w:p>
    <w:p w:rsidR="0035659B" w:rsidRPr="00F54286" w:rsidRDefault="00F54286" w:rsidP="0035659B">
      <w:pPr>
        <w:pStyle w:val="1"/>
        <w:rPr>
          <w:b w:val="0"/>
        </w:rPr>
      </w:pPr>
      <w:r>
        <w:tab/>
      </w:r>
      <w:r>
        <w:tab/>
      </w:r>
      <w:r w:rsidR="0035659B" w:rsidRPr="00F54286">
        <w:rPr>
          <w:b w:val="0"/>
        </w:rPr>
        <w:t>Рисунок 2</w:t>
      </w:r>
    </w:p>
    <w:p w:rsidR="0035659B" w:rsidRDefault="0035659B" w:rsidP="0035659B">
      <w:pPr>
        <w:pStyle w:val="SingleTxtG"/>
        <w:jc w:val="left"/>
        <w:rPr>
          <w:b/>
          <w:bCs/>
        </w:rPr>
      </w:pPr>
      <w:r>
        <w:rPr>
          <w:b/>
          <w:bCs/>
        </w:rPr>
        <w:t>Общий уровень безработицы в сравнении с уровнем безработицы среди лиц с ограниченной трудоспособностью и уровнем безработицы среди инвалидов (пенсионный возраст 16 лет)</w:t>
      </w:r>
    </w:p>
    <w:p w:rsidR="00B16F58" w:rsidRDefault="00B16F58" w:rsidP="00B16F58">
      <w:pPr>
        <w:pStyle w:val="SingleTxtG"/>
      </w:pPr>
      <w:r>
        <w:rPr>
          <w:noProof/>
          <w:lang w:eastAsia="ru-RU"/>
        </w:rPr>
        <mc:AlternateContent>
          <mc:Choice Requires="wps">
            <w:drawing>
              <wp:anchor distT="0" distB="0" distL="114300" distR="114300" simplePos="0" relativeHeight="251661312" behindDoc="0" locked="0" layoutInCell="1" allowOverlap="1" wp14:anchorId="7700CA0D" wp14:editId="745444F6">
                <wp:simplePos x="0" y="0"/>
                <wp:positionH relativeFrom="column">
                  <wp:posOffset>1666875</wp:posOffset>
                </wp:positionH>
                <wp:positionV relativeFrom="paragraph">
                  <wp:posOffset>2019628</wp:posOffset>
                </wp:positionV>
                <wp:extent cx="3173506" cy="690972"/>
                <wp:effectExtent l="0" t="0" r="8255" b="0"/>
                <wp:wrapNone/>
                <wp:docPr id="9" name="Надпись 9"/>
                <wp:cNvGraphicFramePr/>
                <a:graphic xmlns:a="http://schemas.openxmlformats.org/drawingml/2006/main">
                  <a:graphicData uri="http://schemas.microsoft.com/office/word/2010/wordprocessingShape">
                    <wps:wsp>
                      <wps:cNvSpPr txBox="1"/>
                      <wps:spPr>
                        <a:xfrm>
                          <a:off x="0" y="0"/>
                          <a:ext cx="3173506" cy="690972"/>
                        </a:xfrm>
                        <a:prstGeom prst="rect">
                          <a:avLst/>
                        </a:prstGeom>
                        <a:solidFill>
                          <a:schemeClr val="lt1"/>
                        </a:solidFill>
                        <a:ln w="6350">
                          <a:noFill/>
                        </a:ln>
                      </wps:spPr>
                      <wps:txbx>
                        <w:txbxContent>
                          <w:p w:rsidR="00B16F58" w:rsidRDefault="00B16F58" w:rsidP="00B16F58">
                            <w:pPr>
                              <w:spacing w:before="40" w:line="180" w:lineRule="exact"/>
                            </w:pPr>
                            <w:r>
                              <w:t xml:space="preserve">Общий уровень </w:t>
                            </w:r>
                            <w:r>
                              <w:t>безработицы</w:t>
                            </w:r>
                            <w:r>
                              <w:t xml:space="preserve"> (%)</w:t>
                            </w:r>
                          </w:p>
                          <w:p w:rsidR="00B16F58" w:rsidRDefault="00B16F58" w:rsidP="00B16F58">
                            <w:pPr>
                              <w:spacing w:before="120" w:after="120" w:line="180" w:lineRule="exact"/>
                            </w:pPr>
                            <w:r>
                              <w:t xml:space="preserve">Уровень </w:t>
                            </w:r>
                            <w:r>
                              <w:t>безработицы среди</w:t>
                            </w:r>
                            <w:r>
                              <w:t xml:space="preserve"> лиц с ограниченной трудоспособностью (%)</w:t>
                            </w:r>
                          </w:p>
                          <w:p w:rsidR="00B16F58" w:rsidRDefault="00B16F58" w:rsidP="00B16F58">
                            <w:pPr>
                              <w:spacing w:line="180" w:lineRule="exact"/>
                            </w:pPr>
                            <w:r>
                              <w:t xml:space="preserve">Уровень </w:t>
                            </w:r>
                            <w:r>
                              <w:t>безработицы среди</w:t>
                            </w:r>
                            <w:r>
                              <w:t xml:space="preserve"> инвалидов (%)</w:t>
                            </w:r>
                          </w:p>
                        </w:txbxContent>
                      </wps:txbx>
                      <wps:bodyPr rot="0" spcFirstLastPara="0" vertOverflow="overflow" horzOverflow="overflow" vert="horz" wrap="square" lIns="468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0CA0D" id="Надпись 9" o:spid="_x0000_s1027" type="#_x0000_t202" style="position:absolute;left:0;text-align:left;margin-left:131.25pt;margin-top:159.05pt;width:249.9pt;height:5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" fillcolor="white [3201]" stroked="f" strokeweight=".5pt">
                <v:textbox inset="1.3mm,0,0,0">
                  <w:txbxContent>
                    <w:p w:rsidR="00B16F58" w:rsidRDefault="00B16F58" w:rsidP="00B16F58">
                      <w:pPr>
                        <w:spacing w:before="40" w:line="180" w:lineRule="exact"/>
                      </w:pPr>
                      <w:r>
                        <w:t xml:space="preserve">Общий уровень </w:t>
                      </w:r>
                      <w:r>
                        <w:t>безработицы</w:t>
                      </w:r>
                      <w:r>
                        <w:t xml:space="preserve"> (%)</w:t>
                      </w:r>
                    </w:p>
                    <w:p w:rsidR="00B16F58" w:rsidRDefault="00B16F58" w:rsidP="00B16F58">
                      <w:pPr>
                        <w:spacing w:before="120" w:after="120" w:line="180" w:lineRule="exact"/>
                      </w:pPr>
                      <w:r>
                        <w:t xml:space="preserve">Уровень </w:t>
                      </w:r>
                      <w:r>
                        <w:t>безработицы среди</w:t>
                      </w:r>
                      <w:r>
                        <w:t xml:space="preserve"> лиц с ограниченной трудоспособностью (%)</w:t>
                      </w:r>
                    </w:p>
                    <w:p w:rsidR="00B16F58" w:rsidRDefault="00B16F58" w:rsidP="00B16F58">
                      <w:pPr>
                        <w:spacing w:line="180" w:lineRule="exact"/>
                      </w:pPr>
                      <w:r>
                        <w:t xml:space="preserve">Уровень </w:t>
                      </w:r>
                      <w:r>
                        <w:t>безработицы среди</w:t>
                      </w:r>
                      <w:r>
                        <w:t xml:space="preserve"> инвалидов (%)</w:t>
                      </w:r>
                    </w:p>
                  </w:txbxContent>
                </v:textbox>
              </v:shape>
            </w:pict>
          </mc:Fallback>
        </mc:AlternateContent>
      </w:r>
      <w:r w:rsidRPr="00E31BBF">
        <w:rPr>
          <w:noProof/>
          <w:lang w:eastAsia="ru-RU"/>
        </w:rPr>
        <w:drawing>
          <wp:inline distT="0" distB="0" distL="0" distR="0" wp14:anchorId="389C61DF" wp14:editId="62637B68">
            <wp:extent cx="4572000" cy="2743200"/>
            <wp:effectExtent l="0" t="0" r="0" b="0"/>
            <wp:docPr id="7"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659B" w:rsidRPr="00040C81" w:rsidRDefault="0035659B" w:rsidP="00F54286">
      <w:pPr>
        <w:spacing w:before="120" w:after="240" w:line="220" w:lineRule="exact"/>
        <w:ind w:left="1134" w:right="1134" w:firstLine="170"/>
        <w:rPr>
          <w:sz w:val="18"/>
          <w:szCs w:val="18"/>
        </w:rPr>
      </w:pPr>
      <w:r w:rsidRPr="00040C81">
        <w:rPr>
          <w:i/>
          <w:sz w:val="18"/>
          <w:szCs w:val="18"/>
        </w:rPr>
        <w:t>Источник</w:t>
      </w:r>
      <w:r w:rsidRPr="00040C81">
        <w:rPr>
          <w:sz w:val="18"/>
          <w:szCs w:val="18"/>
        </w:rPr>
        <w:t>: Статистическое бюро Эстонии.</w:t>
      </w:r>
    </w:p>
    <w:p w:rsidR="00B16F58" w:rsidRDefault="00B16F58">
      <w:pPr>
        <w:suppressAutoHyphens w:val="0"/>
        <w:spacing w:line="240" w:lineRule="auto"/>
        <w:rPr>
          <w:rFonts w:eastAsia="Times New Roman" w:cs="Arial"/>
          <w:b/>
          <w:bCs/>
          <w:szCs w:val="32"/>
          <w:lang w:eastAsia="ru-RU"/>
        </w:rPr>
      </w:pPr>
      <w:r>
        <w:br w:type="page"/>
      </w:r>
    </w:p>
    <w:p w:rsidR="0035659B" w:rsidRPr="00F54286" w:rsidRDefault="00F54286" w:rsidP="0035659B">
      <w:pPr>
        <w:pStyle w:val="1"/>
        <w:rPr>
          <w:b w:val="0"/>
        </w:rPr>
      </w:pPr>
      <w:r>
        <w:lastRenderedPageBreak/>
        <w:tab/>
      </w:r>
      <w:r>
        <w:tab/>
      </w:r>
      <w:r w:rsidR="0035659B" w:rsidRPr="00F54286">
        <w:rPr>
          <w:b w:val="0"/>
        </w:rPr>
        <w:t>Таблица 4</w:t>
      </w:r>
    </w:p>
    <w:p w:rsidR="0035659B" w:rsidRPr="00F43B63" w:rsidRDefault="0035659B" w:rsidP="0035659B">
      <w:pPr>
        <w:pStyle w:val="SingleTxtG"/>
        <w:rPr>
          <w:b/>
          <w:bCs/>
        </w:rPr>
      </w:pPr>
      <w:r>
        <w:rPr>
          <w:b/>
          <w:bCs/>
        </w:rPr>
        <w:t>Занятые на открытом рынке труда и защищенная занятость</w:t>
      </w:r>
    </w:p>
    <w:tbl>
      <w:tblPr>
        <w:tblW w:w="736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1609"/>
        <w:gridCol w:w="1744"/>
        <w:gridCol w:w="1744"/>
      </w:tblGrid>
      <w:tr w:rsidR="0035659B" w:rsidRPr="00DB0C11" w:rsidTr="0035659B">
        <w:trPr>
          <w:tblHeader/>
        </w:trPr>
        <w:tc>
          <w:tcPr>
            <w:tcW w:w="2268" w:type="dxa"/>
            <w:tcBorders>
              <w:top w:val="single" w:sz="4" w:space="0" w:color="auto"/>
              <w:left w:val="nil"/>
              <w:bottom w:val="single" w:sz="12" w:space="0" w:color="auto"/>
              <w:right w:val="nil"/>
            </w:tcBorders>
            <w:vAlign w:val="bottom"/>
          </w:tcPr>
          <w:p w:rsidR="0035659B" w:rsidRPr="00DB0C11" w:rsidRDefault="0035659B" w:rsidP="0035659B">
            <w:pPr>
              <w:pStyle w:val="SingleTxtG"/>
              <w:spacing w:before="80" w:after="80" w:line="200" w:lineRule="exact"/>
              <w:ind w:left="0" w:right="113"/>
              <w:jc w:val="left"/>
              <w:rPr>
                <w:i/>
                <w:sz w:val="16"/>
                <w:szCs w:val="16"/>
              </w:rPr>
            </w:pPr>
          </w:p>
        </w:tc>
        <w:tc>
          <w:tcPr>
            <w:tcW w:w="1609" w:type="dxa"/>
            <w:tcBorders>
              <w:top w:val="single" w:sz="4" w:space="0" w:color="auto"/>
              <w:left w:val="nil"/>
              <w:bottom w:val="single" w:sz="12" w:space="0" w:color="auto"/>
              <w:right w:val="nil"/>
            </w:tcBorders>
            <w:vAlign w:val="bottom"/>
            <w:hideMark/>
          </w:tcPr>
          <w:p w:rsidR="0035659B" w:rsidRPr="00DB0C11" w:rsidRDefault="0035659B" w:rsidP="0035659B">
            <w:pPr>
              <w:pStyle w:val="SingleTxtG"/>
              <w:spacing w:before="80" w:after="80" w:line="200" w:lineRule="exact"/>
              <w:ind w:left="0" w:right="113"/>
              <w:jc w:val="right"/>
              <w:rPr>
                <w:i/>
                <w:sz w:val="16"/>
                <w:szCs w:val="16"/>
              </w:rPr>
            </w:pPr>
            <w:r w:rsidRPr="00DB0C11">
              <w:rPr>
                <w:i/>
                <w:iCs/>
                <w:sz w:val="16"/>
                <w:szCs w:val="16"/>
              </w:rPr>
              <w:t>2016</w:t>
            </w:r>
            <w:r>
              <w:rPr>
                <w:i/>
                <w:iCs/>
                <w:sz w:val="16"/>
                <w:szCs w:val="16"/>
              </w:rPr>
              <w:t xml:space="preserve"> год</w:t>
            </w:r>
          </w:p>
        </w:tc>
        <w:tc>
          <w:tcPr>
            <w:tcW w:w="1744" w:type="dxa"/>
            <w:tcBorders>
              <w:top w:val="single" w:sz="4" w:space="0" w:color="auto"/>
              <w:left w:val="nil"/>
              <w:bottom w:val="single" w:sz="12" w:space="0" w:color="auto"/>
              <w:right w:val="nil"/>
            </w:tcBorders>
            <w:vAlign w:val="bottom"/>
            <w:hideMark/>
          </w:tcPr>
          <w:p w:rsidR="0035659B" w:rsidRPr="00DB0C11" w:rsidRDefault="0035659B" w:rsidP="0035659B">
            <w:pPr>
              <w:pStyle w:val="SingleTxtG"/>
              <w:spacing w:before="80" w:after="80" w:line="200" w:lineRule="exact"/>
              <w:ind w:left="0" w:right="113"/>
              <w:jc w:val="right"/>
              <w:rPr>
                <w:i/>
                <w:sz w:val="16"/>
                <w:szCs w:val="16"/>
              </w:rPr>
            </w:pPr>
            <w:r w:rsidRPr="00DB0C11">
              <w:rPr>
                <w:i/>
                <w:iCs/>
                <w:sz w:val="16"/>
                <w:szCs w:val="16"/>
              </w:rPr>
              <w:t>2017</w:t>
            </w:r>
            <w:r>
              <w:rPr>
                <w:i/>
                <w:iCs/>
                <w:sz w:val="16"/>
                <w:szCs w:val="16"/>
              </w:rPr>
              <w:t xml:space="preserve"> год</w:t>
            </w:r>
          </w:p>
        </w:tc>
        <w:tc>
          <w:tcPr>
            <w:tcW w:w="1744" w:type="dxa"/>
            <w:tcBorders>
              <w:top w:val="single" w:sz="4" w:space="0" w:color="auto"/>
              <w:left w:val="nil"/>
              <w:bottom w:val="single" w:sz="12" w:space="0" w:color="auto"/>
              <w:right w:val="nil"/>
            </w:tcBorders>
            <w:vAlign w:val="bottom"/>
            <w:hideMark/>
          </w:tcPr>
          <w:p w:rsidR="0035659B" w:rsidRPr="00DB0C11" w:rsidRDefault="0035659B" w:rsidP="0035659B">
            <w:pPr>
              <w:pStyle w:val="SingleTxtG"/>
              <w:spacing w:before="80" w:after="80" w:line="200" w:lineRule="exact"/>
              <w:ind w:left="0" w:right="113"/>
              <w:jc w:val="right"/>
              <w:rPr>
                <w:i/>
                <w:sz w:val="16"/>
                <w:szCs w:val="16"/>
              </w:rPr>
            </w:pPr>
            <w:r w:rsidRPr="00DB0C11">
              <w:rPr>
                <w:i/>
                <w:iCs/>
                <w:sz w:val="16"/>
                <w:szCs w:val="16"/>
              </w:rPr>
              <w:t>2018</w:t>
            </w:r>
            <w:r>
              <w:rPr>
                <w:i/>
                <w:iCs/>
                <w:sz w:val="16"/>
                <w:szCs w:val="16"/>
              </w:rPr>
              <w:t xml:space="preserve"> год</w:t>
            </w:r>
          </w:p>
        </w:tc>
      </w:tr>
      <w:tr w:rsidR="0035659B" w:rsidRPr="00DB0C11" w:rsidTr="0035659B">
        <w:tc>
          <w:tcPr>
            <w:tcW w:w="7365" w:type="dxa"/>
            <w:gridSpan w:val="4"/>
            <w:tcBorders>
              <w:top w:val="single" w:sz="12" w:space="0" w:color="auto"/>
              <w:left w:val="nil"/>
              <w:bottom w:val="nil"/>
              <w:right w:val="nil"/>
            </w:tcBorders>
            <w:hideMark/>
          </w:tcPr>
          <w:p w:rsidR="0035659B" w:rsidRPr="00DB0C11" w:rsidRDefault="0035659B" w:rsidP="0035659B">
            <w:pPr>
              <w:pStyle w:val="SingleTxtG"/>
              <w:spacing w:before="40" w:after="40" w:line="220" w:lineRule="exact"/>
              <w:ind w:left="0" w:right="113"/>
              <w:jc w:val="left"/>
              <w:rPr>
                <w:sz w:val="18"/>
                <w:szCs w:val="18"/>
              </w:rPr>
            </w:pPr>
            <w:r w:rsidRPr="00DB0C11">
              <w:rPr>
                <w:sz w:val="18"/>
                <w:szCs w:val="18"/>
              </w:rPr>
              <w:t>Занятые (пенсионный возраст 16</w:t>
            </w:r>
            <w:r>
              <w:rPr>
                <w:sz w:val="18"/>
                <w:szCs w:val="18"/>
              </w:rPr>
              <w:t> </w:t>
            </w:r>
            <w:r w:rsidRPr="00DB0C11">
              <w:rPr>
                <w:sz w:val="18"/>
                <w:szCs w:val="18"/>
              </w:rPr>
              <w:t>лет)</w:t>
            </w:r>
            <w:r>
              <w:rPr>
                <w:sz w:val="18"/>
                <w:szCs w:val="18"/>
              </w:rPr>
              <w:t>:</w:t>
            </w:r>
          </w:p>
        </w:tc>
      </w:tr>
      <w:tr w:rsidR="0035659B" w:rsidRPr="00DB0C11" w:rsidTr="0035659B">
        <w:tc>
          <w:tcPr>
            <w:tcW w:w="2268" w:type="dxa"/>
            <w:tcBorders>
              <w:top w:val="nil"/>
              <w:left w:val="nil"/>
              <w:bottom w:val="nil"/>
              <w:right w:val="nil"/>
            </w:tcBorders>
            <w:hideMark/>
          </w:tcPr>
          <w:p w:rsidR="0035659B" w:rsidRPr="00DB0C11" w:rsidRDefault="0035659B" w:rsidP="0035659B">
            <w:pPr>
              <w:pStyle w:val="SingleTxtG"/>
              <w:spacing w:before="40" w:after="40" w:line="220" w:lineRule="exact"/>
              <w:ind w:left="288" w:right="113"/>
              <w:jc w:val="left"/>
              <w:rPr>
                <w:sz w:val="18"/>
                <w:szCs w:val="18"/>
              </w:rPr>
            </w:pPr>
            <w:r w:rsidRPr="00DB0C11">
              <w:rPr>
                <w:sz w:val="18"/>
                <w:szCs w:val="18"/>
              </w:rPr>
              <w:t>защищенная занятость</w:t>
            </w:r>
          </w:p>
        </w:tc>
        <w:tc>
          <w:tcPr>
            <w:tcW w:w="1609" w:type="dxa"/>
            <w:tcBorders>
              <w:top w:val="nil"/>
              <w:left w:val="nil"/>
              <w:bottom w:val="nil"/>
              <w:right w:val="nil"/>
            </w:tcBorders>
            <w:vAlign w:val="bottom"/>
            <w:hideMark/>
          </w:tcPr>
          <w:p w:rsidR="0035659B" w:rsidRPr="00DB0C11" w:rsidRDefault="0035659B" w:rsidP="0035659B">
            <w:pPr>
              <w:pStyle w:val="SingleTxtG"/>
              <w:spacing w:before="40" w:after="40" w:line="220" w:lineRule="exact"/>
              <w:ind w:left="0" w:right="113"/>
              <w:jc w:val="right"/>
              <w:rPr>
                <w:sz w:val="18"/>
                <w:szCs w:val="18"/>
              </w:rPr>
            </w:pPr>
            <w:r w:rsidRPr="00DB0C11">
              <w:rPr>
                <w:sz w:val="18"/>
                <w:szCs w:val="18"/>
              </w:rPr>
              <w:t>176</w:t>
            </w:r>
          </w:p>
        </w:tc>
        <w:tc>
          <w:tcPr>
            <w:tcW w:w="1744" w:type="dxa"/>
            <w:tcBorders>
              <w:top w:val="nil"/>
              <w:left w:val="nil"/>
              <w:bottom w:val="nil"/>
              <w:right w:val="nil"/>
            </w:tcBorders>
            <w:vAlign w:val="bottom"/>
            <w:hideMark/>
          </w:tcPr>
          <w:p w:rsidR="0035659B" w:rsidRPr="00DB0C11" w:rsidRDefault="0035659B" w:rsidP="0035659B">
            <w:pPr>
              <w:pStyle w:val="SingleTxtG"/>
              <w:spacing w:before="40" w:after="40" w:line="220" w:lineRule="exact"/>
              <w:ind w:left="0" w:right="113"/>
              <w:jc w:val="right"/>
              <w:rPr>
                <w:sz w:val="18"/>
                <w:szCs w:val="18"/>
              </w:rPr>
            </w:pPr>
            <w:r w:rsidRPr="00DB0C11">
              <w:rPr>
                <w:sz w:val="18"/>
                <w:szCs w:val="18"/>
              </w:rPr>
              <w:t>230</w:t>
            </w:r>
          </w:p>
        </w:tc>
        <w:tc>
          <w:tcPr>
            <w:tcW w:w="1744" w:type="dxa"/>
            <w:tcBorders>
              <w:top w:val="nil"/>
              <w:left w:val="nil"/>
              <w:bottom w:val="nil"/>
              <w:right w:val="nil"/>
            </w:tcBorders>
            <w:vAlign w:val="bottom"/>
            <w:hideMark/>
          </w:tcPr>
          <w:p w:rsidR="0035659B" w:rsidRPr="00DB0C11" w:rsidRDefault="0035659B" w:rsidP="0035659B">
            <w:pPr>
              <w:pStyle w:val="SingleTxtG"/>
              <w:spacing w:before="40" w:after="40" w:line="220" w:lineRule="exact"/>
              <w:ind w:left="0" w:right="113"/>
              <w:jc w:val="right"/>
              <w:rPr>
                <w:sz w:val="18"/>
                <w:szCs w:val="18"/>
              </w:rPr>
            </w:pPr>
            <w:r w:rsidRPr="00DB0C11">
              <w:rPr>
                <w:sz w:val="18"/>
                <w:szCs w:val="18"/>
              </w:rPr>
              <w:t>187</w:t>
            </w:r>
          </w:p>
        </w:tc>
      </w:tr>
      <w:tr w:rsidR="0035659B" w:rsidRPr="00DB0C11" w:rsidTr="0035659B">
        <w:tc>
          <w:tcPr>
            <w:tcW w:w="7365" w:type="dxa"/>
            <w:gridSpan w:val="4"/>
            <w:tcBorders>
              <w:top w:val="nil"/>
              <w:left w:val="nil"/>
              <w:bottom w:val="nil"/>
              <w:right w:val="nil"/>
            </w:tcBorders>
            <w:hideMark/>
          </w:tcPr>
          <w:p w:rsidR="0035659B" w:rsidRPr="00DB0C11" w:rsidRDefault="0035659B" w:rsidP="00F54286">
            <w:pPr>
              <w:pStyle w:val="SingleTxtG"/>
              <w:keepNext/>
              <w:keepLines/>
              <w:spacing w:before="40" w:after="40" w:line="220" w:lineRule="exact"/>
              <w:ind w:left="0" w:right="113"/>
              <w:jc w:val="left"/>
              <w:rPr>
                <w:sz w:val="18"/>
                <w:szCs w:val="18"/>
              </w:rPr>
            </w:pPr>
            <w:r w:rsidRPr="00DB0C11">
              <w:rPr>
                <w:sz w:val="18"/>
                <w:szCs w:val="18"/>
              </w:rPr>
              <w:t>Открытый рынок труда</w:t>
            </w:r>
            <w:r>
              <w:rPr>
                <w:sz w:val="18"/>
                <w:szCs w:val="18"/>
              </w:rPr>
              <w:t>:</w:t>
            </w:r>
          </w:p>
        </w:tc>
      </w:tr>
      <w:tr w:rsidR="0035659B" w:rsidRPr="00DB0C11" w:rsidTr="0035659B">
        <w:tc>
          <w:tcPr>
            <w:tcW w:w="2268" w:type="dxa"/>
            <w:tcBorders>
              <w:top w:val="nil"/>
              <w:left w:val="nil"/>
              <w:bottom w:val="nil"/>
              <w:right w:val="nil"/>
            </w:tcBorders>
            <w:hideMark/>
          </w:tcPr>
          <w:p w:rsidR="0035659B" w:rsidRPr="00DB0C11" w:rsidRDefault="0035659B" w:rsidP="0035659B">
            <w:pPr>
              <w:pStyle w:val="SingleTxtG"/>
              <w:spacing w:before="40" w:after="40" w:line="220" w:lineRule="exact"/>
              <w:ind w:left="288" w:right="113"/>
              <w:jc w:val="left"/>
              <w:rPr>
                <w:sz w:val="18"/>
                <w:szCs w:val="18"/>
              </w:rPr>
            </w:pPr>
            <w:r>
              <w:rPr>
                <w:sz w:val="18"/>
                <w:szCs w:val="18"/>
              </w:rPr>
              <w:t>з</w:t>
            </w:r>
            <w:r w:rsidRPr="00DB0C11">
              <w:rPr>
                <w:sz w:val="18"/>
                <w:szCs w:val="18"/>
              </w:rPr>
              <w:t>анятые инвалиды</w:t>
            </w:r>
          </w:p>
        </w:tc>
        <w:tc>
          <w:tcPr>
            <w:tcW w:w="1609" w:type="dxa"/>
            <w:tcBorders>
              <w:top w:val="nil"/>
              <w:left w:val="nil"/>
              <w:bottom w:val="nil"/>
              <w:right w:val="nil"/>
            </w:tcBorders>
            <w:vAlign w:val="bottom"/>
            <w:hideMark/>
          </w:tcPr>
          <w:p w:rsidR="0035659B" w:rsidRPr="00DB0C11" w:rsidRDefault="0035659B" w:rsidP="0035659B">
            <w:pPr>
              <w:pStyle w:val="SingleTxtG"/>
              <w:spacing w:before="40" w:after="40" w:line="220" w:lineRule="exact"/>
              <w:ind w:left="0" w:right="113"/>
              <w:jc w:val="right"/>
              <w:rPr>
                <w:sz w:val="18"/>
                <w:szCs w:val="18"/>
              </w:rPr>
            </w:pPr>
            <w:r w:rsidRPr="00DB0C11">
              <w:rPr>
                <w:sz w:val="18"/>
                <w:szCs w:val="18"/>
              </w:rPr>
              <w:t>20 100</w:t>
            </w:r>
          </w:p>
        </w:tc>
        <w:tc>
          <w:tcPr>
            <w:tcW w:w="1744" w:type="dxa"/>
            <w:tcBorders>
              <w:top w:val="nil"/>
              <w:left w:val="nil"/>
              <w:bottom w:val="nil"/>
              <w:right w:val="nil"/>
            </w:tcBorders>
            <w:vAlign w:val="bottom"/>
            <w:hideMark/>
          </w:tcPr>
          <w:p w:rsidR="0035659B" w:rsidRPr="00DB0C11" w:rsidRDefault="0035659B" w:rsidP="0035659B">
            <w:pPr>
              <w:pStyle w:val="SingleTxtG"/>
              <w:spacing w:before="40" w:after="40" w:line="220" w:lineRule="exact"/>
              <w:ind w:left="0" w:right="113"/>
              <w:jc w:val="right"/>
              <w:rPr>
                <w:sz w:val="18"/>
                <w:szCs w:val="18"/>
              </w:rPr>
            </w:pPr>
            <w:r w:rsidRPr="00DB0C11">
              <w:rPr>
                <w:sz w:val="18"/>
                <w:szCs w:val="18"/>
              </w:rPr>
              <w:t>21 200</w:t>
            </w:r>
          </w:p>
        </w:tc>
        <w:tc>
          <w:tcPr>
            <w:tcW w:w="1744" w:type="dxa"/>
            <w:tcBorders>
              <w:top w:val="nil"/>
              <w:left w:val="nil"/>
              <w:bottom w:val="nil"/>
              <w:right w:val="nil"/>
            </w:tcBorders>
            <w:vAlign w:val="bottom"/>
            <w:hideMark/>
          </w:tcPr>
          <w:p w:rsidR="0035659B" w:rsidRPr="00DB0C11" w:rsidRDefault="0035659B" w:rsidP="0035659B">
            <w:pPr>
              <w:pStyle w:val="SingleTxtG"/>
              <w:spacing w:before="40" w:after="40" w:line="220" w:lineRule="exact"/>
              <w:ind w:left="0" w:right="113"/>
              <w:jc w:val="right"/>
              <w:rPr>
                <w:sz w:val="18"/>
                <w:szCs w:val="18"/>
              </w:rPr>
            </w:pPr>
            <w:r w:rsidRPr="00DB0C11">
              <w:rPr>
                <w:sz w:val="18"/>
                <w:szCs w:val="18"/>
              </w:rPr>
              <w:t>26 500</w:t>
            </w:r>
          </w:p>
        </w:tc>
      </w:tr>
      <w:tr w:rsidR="0035659B" w:rsidRPr="00DB0C11" w:rsidTr="0035659B">
        <w:tc>
          <w:tcPr>
            <w:tcW w:w="2268" w:type="dxa"/>
            <w:tcBorders>
              <w:top w:val="nil"/>
              <w:left w:val="nil"/>
              <w:bottom w:val="single" w:sz="12" w:space="0" w:color="auto"/>
              <w:right w:val="nil"/>
            </w:tcBorders>
            <w:hideMark/>
          </w:tcPr>
          <w:p w:rsidR="0035659B" w:rsidRPr="00DB0C11" w:rsidRDefault="0035659B" w:rsidP="0035659B">
            <w:pPr>
              <w:pStyle w:val="SingleTxtG"/>
              <w:spacing w:before="40" w:after="40" w:line="220" w:lineRule="exact"/>
              <w:ind w:left="288" w:right="113"/>
              <w:jc w:val="left"/>
              <w:rPr>
                <w:sz w:val="18"/>
                <w:szCs w:val="18"/>
              </w:rPr>
            </w:pPr>
            <w:r>
              <w:rPr>
                <w:sz w:val="18"/>
                <w:szCs w:val="18"/>
              </w:rPr>
              <w:t>з</w:t>
            </w:r>
            <w:r w:rsidRPr="00DB0C11">
              <w:rPr>
                <w:sz w:val="18"/>
                <w:szCs w:val="18"/>
              </w:rPr>
              <w:t>анятые лица с</w:t>
            </w:r>
            <w:r>
              <w:rPr>
                <w:sz w:val="18"/>
                <w:szCs w:val="18"/>
              </w:rPr>
              <w:t> </w:t>
            </w:r>
            <w:r w:rsidRPr="00DB0C11">
              <w:rPr>
                <w:sz w:val="18"/>
                <w:szCs w:val="18"/>
              </w:rPr>
              <w:t>ограниченной трудоспособностью</w:t>
            </w:r>
          </w:p>
        </w:tc>
        <w:tc>
          <w:tcPr>
            <w:tcW w:w="1609" w:type="dxa"/>
            <w:tcBorders>
              <w:top w:val="nil"/>
              <w:left w:val="nil"/>
              <w:bottom w:val="single" w:sz="12" w:space="0" w:color="auto"/>
              <w:right w:val="nil"/>
            </w:tcBorders>
            <w:vAlign w:val="bottom"/>
            <w:hideMark/>
          </w:tcPr>
          <w:p w:rsidR="0035659B" w:rsidRPr="00DB0C11" w:rsidRDefault="0035659B" w:rsidP="0035659B">
            <w:pPr>
              <w:pStyle w:val="SingleTxtG"/>
              <w:spacing w:before="40" w:after="40" w:line="220" w:lineRule="exact"/>
              <w:ind w:left="0" w:right="113"/>
              <w:jc w:val="right"/>
              <w:rPr>
                <w:sz w:val="18"/>
                <w:szCs w:val="18"/>
              </w:rPr>
            </w:pPr>
            <w:r w:rsidRPr="00DB0C11">
              <w:rPr>
                <w:sz w:val="18"/>
                <w:szCs w:val="18"/>
              </w:rPr>
              <w:t>54 900</w:t>
            </w:r>
          </w:p>
        </w:tc>
        <w:tc>
          <w:tcPr>
            <w:tcW w:w="1744" w:type="dxa"/>
            <w:tcBorders>
              <w:top w:val="nil"/>
              <w:left w:val="nil"/>
              <w:bottom w:val="single" w:sz="12" w:space="0" w:color="auto"/>
              <w:right w:val="nil"/>
            </w:tcBorders>
            <w:vAlign w:val="bottom"/>
            <w:hideMark/>
          </w:tcPr>
          <w:p w:rsidR="0035659B" w:rsidRPr="00DB0C11" w:rsidRDefault="0035659B" w:rsidP="0035659B">
            <w:pPr>
              <w:pStyle w:val="SingleTxtG"/>
              <w:spacing w:before="40" w:after="40" w:line="220" w:lineRule="exact"/>
              <w:ind w:left="0" w:right="113"/>
              <w:jc w:val="right"/>
              <w:rPr>
                <w:sz w:val="18"/>
                <w:szCs w:val="18"/>
              </w:rPr>
            </w:pPr>
            <w:r w:rsidRPr="00DB0C11">
              <w:rPr>
                <w:sz w:val="18"/>
                <w:szCs w:val="18"/>
              </w:rPr>
              <w:t>55 600</w:t>
            </w:r>
          </w:p>
        </w:tc>
        <w:tc>
          <w:tcPr>
            <w:tcW w:w="1744" w:type="dxa"/>
            <w:tcBorders>
              <w:top w:val="nil"/>
              <w:left w:val="nil"/>
              <w:bottom w:val="single" w:sz="12" w:space="0" w:color="auto"/>
              <w:right w:val="nil"/>
            </w:tcBorders>
            <w:vAlign w:val="bottom"/>
            <w:hideMark/>
          </w:tcPr>
          <w:p w:rsidR="0035659B" w:rsidRPr="00DB0C11" w:rsidRDefault="0035659B" w:rsidP="0035659B">
            <w:pPr>
              <w:pStyle w:val="SingleTxtG"/>
              <w:spacing w:before="40" w:after="40" w:line="220" w:lineRule="exact"/>
              <w:ind w:left="0" w:right="113"/>
              <w:jc w:val="right"/>
              <w:rPr>
                <w:sz w:val="18"/>
                <w:szCs w:val="18"/>
              </w:rPr>
            </w:pPr>
            <w:r w:rsidRPr="00DB0C11">
              <w:rPr>
                <w:sz w:val="18"/>
                <w:szCs w:val="18"/>
              </w:rPr>
              <w:t>54 200</w:t>
            </w:r>
          </w:p>
        </w:tc>
      </w:tr>
    </w:tbl>
    <w:p w:rsidR="0035659B" w:rsidRPr="00DB0C11" w:rsidRDefault="0035659B" w:rsidP="00F54286">
      <w:pPr>
        <w:spacing w:before="120" w:after="240" w:line="220" w:lineRule="exact"/>
        <w:ind w:left="1304" w:right="1134"/>
        <w:rPr>
          <w:sz w:val="18"/>
          <w:szCs w:val="18"/>
        </w:rPr>
      </w:pPr>
      <w:r w:rsidRPr="00DB0C11">
        <w:rPr>
          <w:i/>
          <w:iCs/>
          <w:sz w:val="18"/>
          <w:szCs w:val="18"/>
        </w:rPr>
        <w:t>Источник</w:t>
      </w:r>
      <w:r w:rsidRPr="00DB0C11">
        <w:rPr>
          <w:sz w:val="18"/>
          <w:szCs w:val="18"/>
        </w:rPr>
        <w:t>:</w:t>
      </w:r>
      <w:r>
        <w:rPr>
          <w:sz w:val="18"/>
          <w:szCs w:val="18"/>
        </w:rPr>
        <w:t xml:space="preserve"> </w:t>
      </w:r>
      <w:r w:rsidRPr="00DB0C11">
        <w:rPr>
          <w:sz w:val="18"/>
          <w:szCs w:val="18"/>
        </w:rPr>
        <w:t>Фонд страхования на случай безработицы, Статистическое бюро Эстонии</w:t>
      </w:r>
      <w:r>
        <w:rPr>
          <w:sz w:val="18"/>
          <w:szCs w:val="18"/>
        </w:rPr>
        <w:t>.</w:t>
      </w:r>
    </w:p>
    <w:p w:rsidR="0035659B" w:rsidRPr="00F43B63" w:rsidRDefault="0035659B" w:rsidP="00057462">
      <w:pPr>
        <w:pStyle w:val="SingleTxtG"/>
        <w:spacing w:after="100" w:line="220" w:lineRule="atLeast"/>
      </w:pPr>
      <w:r>
        <w:t>138.</w:t>
      </w:r>
      <w:r>
        <w:tab/>
        <w:t xml:space="preserve">В соответствии с эстонским Законом о гигиене и безопасности труда вид работы, рабочее оборудование и рабочее место работника-инвалида должны быть приспособлены к его физическим и умственным возможностям. Это означает, что здание, рабочее помещение, рабочее место и рабочее оборудование должны быть доступны для работника-инвалида и пригодны для использования. </w:t>
      </w:r>
    </w:p>
    <w:p w:rsidR="0035659B" w:rsidRPr="00F43B63" w:rsidRDefault="0035659B" w:rsidP="00057462">
      <w:pPr>
        <w:pStyle w:val="SingleTxtG"/>
        <w:spacing w:after="100" w:line="220" w:lineRule="atLeast"/>
      </w:pPr>
      <w:r>
        <w:t>139.</w:t>
      </w:r>
      <w:r>
        <w:tab/>
        <w:t xml:space="preserve">С Эстонской конфедерацией работодателей был заключен договор в целях поощрения занятости лиц с ограниченной трудоспособностью. </w:t>
      </w:r>
    </w:p>
    <w:p w:rsidR="0035659B" w:rsidRPr="00F43B63" w:rsidRDefault="0035659B" w:rsidP="00057462">
      <w:pPr>
        <w:pStyle w:val="SingleTxtG"/>
        <w:spacing w:after="100" w:line="220" w:lineRule="atLeast"/>
      </w:pPr>
      <w:r>
        <w:t>140.</w:t>
      </w:r>
      <w:r>
        <w:tab/>
        <w:t>Если в силу инвалидности или ограниченной трудоспособности лицо не может выполнять свои обязанности, используя оборудование работодателя, эстонский Фонд страхования на случай безработицы бесплатно предоставит этому лицу вспомогательное оборудование для выполнения работы.</w:t>
      </w:r>
    </w:p>
    <w:p w:rsidR="0035659B" w:rsidRPr="00F43B63" w:rsidRDefault="0035659B" w:rsidP="00057462">
      <w:pPr>
        <w:pStyle w:val="SingleTxtG"/>
        <w:spacing w:after="100" w:line="220" w:lineRule="atLeast"/>
      </w:pPr>
      <w:r>
        <w:t>141.</w:t>
      </w:r>
      <w:r>
        <w:tab/>
        <w:t>Если работнику трудно добраться до своего рабочего места или использовать предоставленное рабочее оборудование, мы поможем обустроить рабочее место и приспособить рабочее оборудование таким образом, чтобы они были доступны и пригодны к использованию. В зависимости от ситуации и обоснованности расходов на приспособления можно компенсировать до 100% затрат на приспособления.</w:t>
      </w:r>
    </w:p>
    <w:p w:rsidR="0035659B" w:rsidRPr="00F43B63" w:rsidRDefault="0035659B" w:rsidP="0035659B">
      <w:pPr>
        <w:pStyle w:val="H1G"/>
      </w:pPr>
      <w:r>
        <w:tab/>
      </w:r>
      <w:r>
        <w:tab/>
      </w:r>
      <w:r>
        <w:rPr>
          <w:bCs/>
        </w:rPr>
        <w:t>Достаточный жизненный уровень и социальная защита (статья 28)</w:t>
      </w:r>
      <w:r>
        <w:t xml:space="preserve"> </w:t>
      </w:r>
    </w:p>
    <w:p w:rsidR="0035659B" w:rsidRPr="00F43B63" w:rsidRDefault="0035659B" w:rsidP="0035659B">
      <w:pPr>
        <w:pStyle w:val="H23G"/>
      </w:pPr>
      <w:r>
        <w:tab/>
      </w:r>
      <w:r>
        <w:tab/>
      </w:r>
      <w:r w:rsidR="00F54286">
        <w:rPr>
          <w:bCs/>
        </w:rPr>
        <w:t xml:space="preserve">Ответ на пункт </w:t>
      </w:r>
      <w:proofErr w:type="gramStart"/>
      <w:r w:rsidR="00F54286">
        <w:rPr>
          <w:bCs/>
        </w:rPr>
        <w:t>21</w:t>
      </w:r>
      <w:proofErr w:type="gramEnd"/>
      <w:r w:rsidR="00F54286">
        <w:rPr>
          <w:bCs/>
        </w:rPr>
        <w:t xml:space="preserve"> а) и </w:t>
      </w:r>
      <w:r>
        <w:rPr>
          <w:bCs/>
        </w:rPr>
        <w:t>b) перечня вопросов (CRPD/C/EST/Q/1)</w:t>
      </w:r>
    </w:p>
    <w:p w:rsidR="0035659B" w:rsidRPr="00F43B63" w:rsidRDefault="0035659B" w:rsidP="00057462">
      <w:pPr>
        <w:pStyle w:val="SingleTxtG"/>
        <w:spacing w:after="100" w:line="220" w:lineRule="atLeast"/>
      </w:pPr>
      <w:r>
        <w:t>142.</w:t>
      </w:r>
      <w:r>
        <w:tab/>
        <w:t>Бедность в целом и бедность среди инвалидов в частности являются одной из тех проблем, которые решаются на горизонтальном уровне с помощью конкретных мер, предусмотренных в Плане повышения уровня благосостояния на 2016–2023 годы. Например, благодаря дополнительным программам поддержки должен быть повышен уровень жизни пожилых людей и людей с низкими доходами; в целях решения проблемы бедности среди безработных будут разработаны предложения об увеличении взаимного покрытия расходов на страхование и выплату пособий по безработице. Следует проанализировать механизм выплаты пособий инвалидам и составить предложения относительно их более тесной увязки с социальными и другими услугами.</w:t>
      </w:r>
    </w:p>
    <w:p w:rsidR="0035659B" w:rsidRPr="00F54286" w:rsidRDefault="00F54286" w:rsidP="0035659B">
      <w:pPr>
        <w:pStyle w:val="1"/>
        <w:spacing w:before="240"/>
        <w:rPr>
          <w:b w:val="0"/>
        </w:rPr>
      </w:pPr>
      <w:r>
        <w:tab/>
      </w:r>
      <w:r>
        <w:tab/>
      </w:r>
      <w:r w:rsidR="0035659B" w:rsidRPr="00F54286">
        <w:rPr>
          <w:b w:val="0"/>
        </w:rPr>
        <w:t>Таблица 5</w:t>
      </w:r>
    </w:p>
    <w:p w:rsidR="0035659B" w:rsidRPr="00057462" w:rsidRDefault="0035659B" w:rsidP="0035659B">
      <w:pPr>
        <w:pStyle w:val="SingleTxtG"/>
        <w:jc w:val="left"/>
        <w:rPr>
          <w:b/>
          <w:bCs/>
          <w:spacing w:val="-4"/>
        </w:rPr>
      </w:pPr>
      <w:r w:rsidRPr="00057462">
        <w:rPr>
          <w:b/>
          <w:bCs/>
          <w:spacing w:val="-4"/>
        </w:rPr>
        <w:t>Уровень риска бедности в разбивке по инвалидности и полу в 2015–2017 годах (%)</w:t>
      </w:r>
    </w:p>
    <w:tbl>
      <w:tblPr>
        <w:tblW w:w="736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44"/>
        <w:gridCol w:w="1582"/>
        <w:gridCol w:w="1413"/>
        <w:gridCol w:w="1413"/>
        <w:gridCol w:w="1413"/>
      </w:tblGrid>
      <w:tr w:rsidR="0035659B" w:rsidRPr="009A66F1" w:rsidTr="0035659B">
        <w:trPr>
          <w:tblHeader/>
        </w:trPr>
        <w:tc>
          <w:tcPr>
            <w:tcW w:w="2019" w:type="dxa"/>
            <w:tcBorders>
              <w:top w:val="single" w:sz="4" w:space="0" w:color="auto"/>
              <w:left w:val="nil"/>
              <w:bottom w:val="single" w:sz="12" w:space="0" w:color="auto"/>
              <w:right w:val="nil"/>
            </w:tcBorders>
            <w:noWrap/>
            <w:vAlign w:val="bottom"/>
            <w:hideMark/>
          </w:tcPr>
          <w:p w:rsidR="0035659B" w:rsidRPr="009A66F1" w:rsidRDefault="0035659B" w:rsidP="0035659B">
            <w:pPr>
              <w:pStyle w:val="SingleTxtG"/>
              <w:spacing w:before="80" w:after="80" w:line="200" w:lineRule="exact"/>
              <w:ind w:left="0" w:right="113"/>
              <w:jc w:val="left"/>
              <w:rPr>
                <w:i/>
                <w:sz w:val="16"/>
                <w:szCs w:val="16"/>
              </w:rPr>
            </w:pPr>
          </w:p>
        </w:tc>
        <w:tc>
          <w:tcPr>
            <w:tcW w:w="2068" w:type="dxa"/>
            <w:tcBorders>
              <w:top w:val="single" w:sz="4" w:space="0" w:color="auto"/>
              <w:left w:val="nil"/>
              <w:bottom w:val="single" w:sz="12" w:space="0" w:color="auto"/>
              <w:right w:val="nil"/>
            </w:tcBorders>
            <w:noWrap/>
            <w:vAlign w:val="bottom"/>
            <w:hideMark/>
          </w:tcPr>
          <w:p w:rsidR="0035659B" w:rsidRPr="009A66F1" w:rsidRDefault="0035659B" w:rsidP="0035659B">
            <w:pPr>
              <w:pStyle w:val="SingleTxtG"/>
              <w:spacing w:before="80" w:after="80" w:line="200" w:lineRule="exact"/>
              <w:ind w:left="0" w:right="113"/>
              <w:jc w:val="right"/>
              <w:rPr>
                <w:i/>
                <w:sz w:val="16"/>
                <w:szCs w:val="16"/>
              </w:rPr>
            </w:pPr>
            <w:r w:rsidRPr="009A66F1">
              <w:rPr>
                <w:i/>
                <w:sz w:val="16"/>
                <w:szCs w:val="16"/>
              </w:rPr>
              <w:t xml:space="preserve"> </w:t>
            </w:r>
          </w:p>
        </w:tc>
        <w:tc>
          <w:tcPr>
            <w:tcW w:w="1847" w:type="dxa"/>
            <w:tcBorders>
              <w:top w:val="single" w:sz="4" w:space="0" w:color="auto"/>
              <w:left w:val="nil"/>
              <w:bottom w:val="single" w:sz="12" w:space="0" w:color="auto"/>
              <w:right w:val="nil"/>
            </w:tcBorders>
            <w:noWrap/>
            <w:vAlign w:val="bottom"/>
            <w:hideMark/>
          </w:tcPr>
          <w:p w:rsidR="0035659B" w:rsidRPr="009A66F1" w:rsidRDefault="0035659B" w:rsidP="0035659B">
            <w:pPr>
              <w:pStyle w:val="SingleTxtG"/>
              <w:spacing w:before="80" w:after="80" w:line="200" w:lineRule="exact"/>
              <w:ind w:left="0" w:right="113"/>
              <w:jc w:val="right"/>
              <w:rPr>
                <w:i/>
                <w:sz w:val="16"/>
                <w:szCs w:val="16"/>
              </w:rPr>
            </w:pPr>
            <w:r w:rsidRPr="009A66F1">
              <w:rPr>
                <w:i/>
                <w:iCs/>
                <w:sz w:val="16"/>
                <w:szCs w:val="16"/>
              </w:rPr>
              <w:t>2015</w:t>
            </w:r>
            <w:r>
              <w:rPr>
                <w:i/>
                <w:iCs/>
                <w:sz w:val="16"/>
                <w:szCs w:val="16"/>
              </w:rPr>
              <w:t xml:space="preserve"> год</w:t>
            </w:r>
          </w:p>
        </w:tc>
        <w:tc>
          <w:tcPr>
            <w:tcW w:w="1847" w:type="dxa"/>
            <w:tcBorders>
              <w:top w:val="single" w:sz="4" w:space="0" w:color="auto"/>
              <w:left w:val="nil"/>
              <w:bottom w:val="single" w:sz="12" w:space="0" w:color="auto"/>
              <w:right w:val="nil"/>
            </w:tcBorders>
            <w:noWrap/>
            <w:vAlign w:val="bottom"/>
            <w:hideMark/>
          </w:tcPr>
          <w:p w:rsidR="0035659B" w:rsidRPr="009A66F1" w:rsidRDefault="0035659B" w:rsidP="0035659B">
            <w:pPr>
              <w:pStyle w:val="SingleTxtG"/>
              <w:spacing w:before="80" w:after="80" w:line="200" w:lineRule="exact"/>
              <w:ind w:left="0" w:right="113"/>
              <w:jc w:val="right"/>
              <w:rPr>
                <w:i/>
                <w:sz w:val="16"/>
                <w:szCs w:val="16"/>
              </w:rPr>
            </w:pPr>
            <w:r w:rsidRPr="009A66F1">
              <w:rPr>
                <w:i/>
                <w:iCs/>
                <w:sz w:val="16"/>
                <w:szCs w:val="16"/>
              </w:rPr>
              <w:t>2016</w:t>
            </w:r>
            <w:r>
              <w:rPr>
                <w:i/>
                <w:iCs/>
                <w:sz w:val="16"/>
                <w:szCs w:val="16"/>
              </w:rPr>
              <w:t xml:space="preserve"> год</w:t>
            </w:r>
          </w:p>
        </w:tc>
        <w:tc>
          <w:tcPr>
            <w:tcW w:w="1847" w:type="dxa"/>
            <w:tcBorders>
              <w:top w:val="single" w:sz="4" w:space="0" w:color="auto"/>
              <w:left w:val="nil"/>
              <w:bottom w:val="single" w:sz="12" w:space="0" w:color="auto"/>
              <w:right w:val="nil"/>
            </w:tcBorders>
            <w:noWrap/>
            <w:vAlign w:val="bottom"/>
            <w:hideMark/>
          </w:tcPr>
          <w:p w:rsidR="0035659B" w:rsidRPr="009A66F1" w:rsidRDefault="0035659B" w:rsidP="0035659B">
            <w:pPr>
              <w:pStyle w:val="SingleTxtG"/>
              <w:spacing w:before="80" w:after="80" w:line="200" w:lineRule="exact"/>
              <w:ind w:left="0" w:right="113"/>
              <w:jc w:val="right"/>
              <w:rPr>
                <w:i/>
                <w:sz w:val="16"/>
                <w:szCs w:val="16"/>
              </w:rPr>
            </w:pPr>
            <w:r w:rsidRPr="009A66F1">
              <w:rPr>
                <w:i/>
                <w:iCs/>
                <w:sz w:val="16"/>
                <w:szCs w:val="16"/>
              </w:rPr>
              <w:t>2017</w:t>
            </w:r>
            <w:r>
              <w:rPr>
                <w:i/>
                <w:iCs/>
                <w:sz w:val="16"/>
                <w:szCs w:val="16"/>
              </w:rPr>
              <w:t xml:space="preserve"> год</w:t>
            </w:r>
          </w:p>
        </w:tc>
      </w:tr>
      <w:tr w:rsidR="0035659B" w:rsidTr="0035659B">
        <w:tc>
          <w:tcPr>
            <w:tcW w:w="2019" w:type="dxa"/>
            <w:vMerge w:val="restart"/>
            <w:tcBorders>
              <w:top w:val="single" w:sz="12" w:space="0" w:color="auto"/>
              <w:left w:val="nil"/>
              <w:bottom w:val="single" w:sz="4" w:space="0" w:color="auto"/>
              <w:right w:val="nil"/>
            </w:tcBorders>
            <w:noWrap/>
            <w:hideMark/>
          </w:tcPr>
          <w:p w:rsidR="0035659B" w:rsidRPr="009A66F1" w:rsidRDefault="0035659B" w:rsidP="0035659B">
            <w:pPr>
              <w:pStyle w:val="SingleTxtG"/>
              <w:spacing w:before="40" w:after="40" w:line="220" w:lineRule="exact"/>
              <w:ind w:left="430" w:right="113"/>
              <w:jc w:val="left"/>
              <w:rPr>
                <w:b/>
                <w:sz w:val="18"/>
                <w:szCs w:val="18"/>
              </w:rPr>
            </w:pPr>
            <w:r w:rsidRPr="009A66F1">
              <w:rPr>
                <w:b/>
                <w:bCs/>
                <w:sz w:val="18"/>
                <w:szCs w:val="18"/>
              </w:rPr>
              <w:t>Всего</w:t>
            </w:r>
          </w:p>
        </w:tc>
        <w:tc>
          <w:tcPr>
            <w:tcW w:w="2068" w:type="dxa"/>
            <w:tcBorders>
              <w:top w:val="single" w:sz="12" w:space="0" w:color="auto"/>
              <w:left w:val="nil"/>
              <w:bottom w:val="nil"/>
              <w:right w:val="nil"/>
            </w:tcBorders>
            <w:vAlign w:val="bottom"/>
            <w:hideMark/>
          </w:tcPr>
          <w:p w:rsidR="0035659B" w:rsidRPr="009A66F1" w:rsidRDefault="0035659B" w:rsidP="0035659B">
            <w:pPr>
              <w:pStyle w:val="SingleTxtG"/>
              <w:spacing w:before="40" w:after="40" w:line="220" w:lineRule="exact"/>
              <w:ind w:left="0" w:right="113"/>
              <w:jc w:val="left"/>
              <w:rPr>
                <w:b/>
                <w:sz w:val="18"/>
                <w:szCs w:val="18"/>
              </w:rPr>
            </w:pPr>
            <w:r w:rsidRPr="009A66F1">
              <w:rPr>
                <w:b/>
                <w:bCs/>
                <w:sz w:val="18"/>
                <w:szCs w:val="18"/>
              </w:rPr>
              <w:t>Инвалиды</w:t>
            </w:r>
          </w:p>
        </w:tc>
        <w:tc>
          <w:tcPr>
            <w:tcW w:w="1847" w:type="dxa"/>
            <w:tcBorders>
              <w:top w:val="single" w:sz="12" w:space="0" w:color="auto"/>
              <w:left w:val="nil"/>
              <w:bottom w:val="nil"/>
              <w:right w:val="nil"/>
            </w:tcBorders>
            <w:noWrap/>
            <w:vAlign w:val="bottom"/>
            <w:hideMark/>
          </w:tcPr>
          <w:p w:rsidR="0035659B" w:rsidRPr="009A66F1" w:rsidRDefault="0035659B" w:rsidP="0035659B">
            <w:pPr>
              <w:pStyle w:val="SingleTxtG"/>
              <w:spacing w:before="40" w:after="40" w:line="220" w:lineRule="exact"/>
              <w:ind w:left="0" w:right="113"/>
              <w:jc w:val="right"/>
              <w:rPr>
                <w:b/>
                <w:sz w:val="18"/>
                <w:szCs w:val="18"/>
              </w:rPr>
            </w:pPr>
            <w:r w:rsidRPr="009A66F1">
              <w:rPr>
                <w:b/>
                <w:bCs/>
                <w:sz w:val="18"/>
                <w:szCs w:val="18"/>
              </w:rPr>
              <w:t>41,6</w:t>
            </w:r>
          </w:p>
        </w:tc>
        <w:tc>
          <w:tcPr>
            <w:tcW w:w="1847" w:type="dxa"/>
            <w:tcBorders>
              <w:top w:val="single" w:sz="12" w:space="0" w:color="auto"/>
              <w:left w:val="nil"/>
              <w:bottom w:val="nil"/>
              <w:right w:val="nil"/>
            </w:tcBorders>
            <w:noWrap/>
            <w:vAlign w:val="bottom"/>
            <w:hideMark/>
          </w:tcPr>
          <w:p w:rsidR="0035659B" w:rsidRPr="009A66F1" w:rsidRDefault="0035659B" w:rsidP="0035659B">
            <w:pPr>
              <w:pStyle w:val="SingleTxtG"/>
              <w:spacing w:before="40" w:after="40" w:line="220" w:lineRule="exact"/>
              <w:ind w:left="0" w:right="113"/>
              <w:jc w:val="right"/>
              <w:rPr>
                <w:b/>
                <w:sz w:val="18"/>
                <w:szCs w:val="18"/>
              </w:rPr>
            </w:pPr>
            <w:r w:rsidRPr="009A66F1">
              <w:rPr>
                <w:b/>
                <w:bCs/>
                <w:sz w:val="18"/>
                <w:szCs w:val="18"/>
              </w:rPr>
              <w:t>40,4</w:t>
            </w:r>
          </w:p>
        </w:tc>
        <w:tc>
          <w:tcPr>
            <w:tcW w:w="1847" w:type="dxa"/>
            <w:tcBorders>
              <w:top w:val="single" w:sz="12" w:space="0" w:color="auto"/>
              <w:left w:val="nil"/>
              <w:bottom w:val="nil"/>
              <w:right w:val="nil"/>
            </w:tcBorders>
            <w:noWrap/>
            <w:vAlign w:val="bottom"/>
            <w:hideMark/>
          </w:tcPr>
          <w:p w:rsidR="0035659B" w:rsidRPr="009A66F1" w:rsidRDefault="0035659B" w:rsidP="0035659B">
            <w:pPr>
              <w:pStyle w:val="SingleTxtG"/>
              <w:spacing w:before="40" w:after="40" w:line="220" w:lineRule="exact"/>
              <w:ind w:left="0" w:right="113"/>
              <w:jc w:val="right"/>
              <w:rPr>
                <w:b/>
                <w:sz w:val="18"/>
                <w:szCs w:val="18"/>
              </w:rPr>
            </w:pPr>
            <w:r w:rsidRPr="009A66F1">
              <w:rPr>
                <w:b/>
                <w:bCs/>
                <w:sz w:val="18"/>
                <w:szCs w:val="18"/>
              </w:rPr>
              <w:t>42,7</w:t>
            </w:r>
          </w:p>
        </w:tc>
      </w:tr>
      <w:tr w:rsidR="0035659B" w:rsidTr="0035659B">
        <w:tc>
          <w:tcPr>
            <w:tcW w:w="2019" w:type="dxa"/>
            <w:vMerge/>
            <w:tcBorders>
              <w:top w:val="single" w:sz="12" w:space="0" w:color="auto"/>
              <w:left w:val="nil"/>
              <w:bottom w:val="single" w:sz="4" w:space="0" w:color="auto"/>
              <w:right w:val="nil"/>
            </w:tcBorders>
            <w:vAlign w:val="center"/>
            <w:hideMark/>
          </w:tcPr>
          <w:p w:rsidR="0035659B" w:rsidRPr="009A66F1" w:rsidRDefault="0035659B" w:rsidP="0035659B">
            <w:pPr>
              <w:spacing w:before="40" w:after="40"/>
              <w:rPr>
                <w:b/>
                <w:sz w:val="18"/>
                <w:szCs w:val="18"/>
              </w:rPr>
            </w:pPr>
          </w:p>
        </w:tc>
        <w:tc>
          <w:tcPr>
            <w:tcW w:w="2068" w:type="dxa"/>
            <w:tcBorders>
              <w:top w:val="nil"/>
              <w:left w:val="nil"/>
              <w:bottom w:val="single" w:sz="4" w:space="0" w:color="auto"/>
              <w:right w:val="nil"/>
            </w:tcBorders>
            <w:vAlign w:val="bottom"/>
            <w:hideMark/>
          </w:tcPr>
          <w:p w:rsidR="0035659B" w:rsidRPr="009A66F1" w:rsidRDefault="0035659B" w:rsidP="0035659B">
            <w:pPr>
              <w:pStyle w:val="SingleTxtG"/>
              <w:spacing w:before="40" w:after="40" w:line="220" w:lineRule="exact"/>
              <w:ind w:left="0" w:right="113"/>
              <w:jc w:val="left"/>
              <w:rPr>
                <w:b/>
                <w:sz w:val="18"/>
                <w:szCs w:val="18"/>
              </w:rPr>
            </w:pPr>
            <w:r w:rsidRPr="009A66F1">
              <w:rPr>
                <w:b/>
                <w:bCs/>
                <w:sz w:val="18"/>
                <w:szCs w:val="18"/>
              </w:rPr>
              <w:t>Инвалиды и лица без инвалидности</w:t>
            </w:r>
          </w:p>
        </w:tc>
        <w:tc>
          <w:tcPr>
            <w:tcW w:w="1847" w:type="dxa"/>
            <w:tcBorders>
              <w:top w:val="nil"/>
              <w:left w:val="nil"/>
              <w:bottom w:val="single" w:sz="4" w:space="0" w:color="auto"/>
              <w:right w:val="nil"/>
            </w:tcBorders>
            <w:noWrap/>
            <w:vAlign w:val="bottom"/>
            <w:hideMark/>
          </w:tcPr>
          <w:p w:rsidR="0035659B" w:rsidRPr="009A66F1" w:rsidRDefault="0035659B" w:rsidP="0035659B">
            <w:pPr>
              <w:pStyle w:val="SingleTxtG"/>
              <w:spacing w:before="40" w:after="40" w:line="220" w:lineRule="exact"/>
              <w:ind w:left="0" w:right="113"/>
              <w:jc w:val="right"/>
              <w:rPr>
                <w:b/>
                <w:sz w:val="18"/>
                <w:szCs w:val="18"/>
              </w:rPr>
            </w:pPr>
            <w:r w:rsidRPr="009A66F1">
              <w:rPr>
                <w:b/>
                <w:bCs/>
                <w:sz w:val="18"/>
                <w:szCs w:val="18"/>
              </w:rPr>
              <w:t>21,7</w:t>
            </w:r>
          </w:p>
        </w:tc>
        <w:tc>
          <w:tcPr>
            <w:tcW w:w="1847" w:type="dxa"/>
            <w:tcBorders>
              <w:top w:val="nil"/>
              <w:left w:val="nil"/>
              <w:bottom w:val="single" w:sz="4" w:space="0" w:color="auto"/>
              <w:right w:val="nil"/>
            </w:tcBorders>
            <w:noWrap/>
            <w:vAlign w:val="bottom"/>
            <w:hideMark/>
          </w:tcPr>
          <w:p w:rsidR="0035659B" w:rsidRPr="009A66F1" w:rsidRDefault="0035659B" w:rsidP="0035659B">
            <w:pPr>
              <w:pStyle w:val="SingleTxtG"/>
              <w:spacing w:before="40" w:after="40" w:line="220" w:lineRule="exact"/>
              <w:ind w:left="0" w:right="113"/>
              <w:jc w:val="right"/>
              <w:rPr>
                <w:b/>
                <w:sz w:val="18"/>
                <w:szCs w:val="18"/>
              </w:rPr>
            </w:pPr>
            <w:r w:rsidRPr="009A66F1">
              <w:rPr>
                <w:b/>
                <w:bCs/>
                <w:sz w:val="18"/>
                <w:szCs w:val="18"/>
              </w:rPr>
              <w:t>21,0</w:t>
            </w:r>
          </w:p>
        </w:tc>
        <w:tc>
          <w:tcPr>
            <w:tcW w:w="1847" w:type="dxa"/>
            <w:tcBorders>
              <w:top w:val="nil"/>
              <w:left w:val="nil"/>
              <w:bottom w:val="single" w:sz="4" w:space="0" w:color="auto"/>
              <w:right w:val="nil"/>
            </w:tcBorders>
            <w:noWrap/>
            <w:vAlign w:val="bottom"/>
            <w:hideMark/>
          </w:tcPr>
          <w:p w:rsidR="0035659B" w:rsidRPr="009A66F1" w:rsidRDefault="0035659B" w:rsidP="0035659B">
            <w:pPr>
              <w:pStyle w:val="SingleTxtG"/>
              <w:spacing w:before="40" w:after="40" w:line="220" w:lineRule="exact"/>
              <w:ind w:left="0" w:right="113"/>
              <w:jc w:val="right"/>
              <w:rPr>
                <w:b/>
                <w:sz w:val="18"/>
                <w:szCs w:val="18"/>
              </w:rPr>
            </w:pPr>
            <w:r w:rsidRPr="009A66F1">
              <w:rPr>
                <w:b/>
                <w:bCs/>
                <w:sz w:val="18"/>
                <w:szCs w:val="18"/>
              </w:rPr>
              <w:t>21,9</w:t>
            </w:r>
          </w:p>
        </w:tc>
      </w:tr>
      <w:tr w:rsidR="0035659B" w:rsidTr="0035659B">
        <w:tc>
          <w:tcPr>
            <w:tcW w:w="2019" w:type="dxa"/>
            <w:vMerge w:val="restart"/>
            <w:tcBorders>
              <w:top w:val="single" w:sz="4" w:space="0" w:color="auto"/>
              <w:left w:val="nil"/>
              <w:bottom w:val="nil"/>
              <w:right w:val="nil"/>
            </w:tcBorders>
            <w:noWrap/>
            <w:hideMark/>
          </w:tcPr>
          <w:p w:rsidR="0035659B" w:rsidRPr="009A66F1" w:rsidRDefault="0035659B" w:rsidP="0035659B">
            <w:pPr>
              <w:pStyle w:val="SingleTxtG"/>
              <w:spacing w:before="40" w:after="40" w:line="220" w:lineRule="exact"/>
              <w:ind w:left="0" w:right="113"/>
              <w:jc w:val="left"/>
              <w:rPr>
                <w:sz w:val="18"/>
                <w:szCs w:val="18"/>
              </w:rPr>
            </w:pPr>
            <w:r w:rsidRPr="009A66F1">
              <w:rPr>
                <w:sz w:val="18"/>
                <w:szCs w:val="18"/>
              </w:rPr>
              <w:t>Мужчины</w:t>
            </w:r>
          </w:p>
        </w:tc>
        <w:tc>
          <w:tcPr>
            <w:tcW w:w="2068" w:type="dxa"/>
            <w:tcBorders>
              <w:top w:val="single" w:sz="4" w:space="0" w:color="auto"/>
              <w:left w:val="nil"/>
              <w:bottom w:val="nil"/>
              <w:right w:val="nil"/>
            </w:tcBorders>
            <w:vAlign w:val="bottom"/>
            <w:hideMark/>
          </w:tcPr>
          <w:p w:rsidR="0035659B" w:rsidRPr="009A66F1" w:rsidRDefault="0035659B" w:rsidP="0035659B">
            <w:pPr>
              <w:pStyle w:val="SingleTxtG"/>
              <w:spacing w:before="40" w:after="40" w:line="220" w:lineRule="exact"/>
              <w:ind w:left="0" w:right="113"/>
              <w:jc w:val="left"/>
              <w:rPr>
                <w:sz w:val="18"/>
                <w:szCs w:val="18"/>
              </w:rPr>
            </w:pPr>
            <w:r w:rsidRPr="009A66F1">
              <w:rPr>
                <w:sz w:val="18"/>
                <w:szCs w:val="18"/>
              </w:rPr>
              <w:t>Инвалиды</w:t>
            </w:r>
          </w:p>
        </w:tc>
        <w:tc>
          <w:tcPr>
            <w:tcW w:w="1847" w:type="dxa"/>
            <w:tcBorders>
              <w:top w:val="single" w:sz="4" w:space="0" w:color="auto"/>
              <w:left w:val="nil"/>
              <w:bottom w:val="nil"/>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34,5</w:t>
            </w:r>
          </w:p>
        </w:tc>
        <w:tc>
          <w:tcPr>
            <w:tcW w:w="1847" w:type="dxa"/>
            <w:tcBorders>
              <w:top w:val="single" w:sz="4" w:space="0" w:color="auto"/>
              <w:left w:val="nil"/>
              <w:bottom w:val="nil"/>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32,2</w:t>
            </w:r>
          </w:p>
        </w:tc>
        <w:tc>
          <w:tcPr>
            <w:tcW w:w="1847" w:type="dxa"/>
            <w:tcBorders>
              <w:top w:val="single" w:sz="4" w:space="0" w:color="auto"/>
              <w:left w:val="nil"/>
              <w:bottom w:val="nil"/>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36,1</w:t>
            </w:r>
          </w:p>
        </w:tc>
      </w:tr>
      <w:tr w:rsidR="0035659B" w:rsidTr="0035659B">
        <w:tc>
          <w:tcPr>
            <w:tcW w:w="2019" w:type="dxa"/>
            <w:vMerge/>
            <w:tcBorders>
              <w:top w:val="single" w:sz="4" w:space="0" w:color="auto"/>
              <w:left w:val="nil"/>
              <w:bottom w:val="nil"/>
              <w:right w:val="nil"/>
            </w:tcBorders>
            <w:vAlign w:val="center"/>
            <w:hideMark/>
          </w:tcPr>
          <w:p w:rsidR="0035659B" w:rsidRPr="009A66F1" w:rsidRDefault="0035659B" w:rsidP="0035659B">
            <w:pPr>
              <w:rPr>
                <w:sz w:val="18"/>
                <w:szCs w:val="18"/>
              </w:rPr>
            </w:pPr>
          </w:p>
        </w:tc>
        <w:tc>
          <w:tcPr>
            <w:tcW w:w="2068" w:type="dxa"/>
            <w:tcBorders>
              <w:top w:val="nil"/>
              <w:left w:val="nil"/>
              <w:bottom w:val="nil"/>
              <w:right w:val="nil"/>
            </w:tcBorders>
            <w:vAlign w:val="bottom"/>
            <w:hideMark/>
          </w:tcPr>
          <w:p w:rsidR="0035659B" w:rsidRPr="009A66F1" w:rsidRDefault="0035659B" w:rsidP="0035659B">
            <w:pPr>
              <w:pStyle w:val="SingleTxtG"/>
              <w:spacing w:before="40" w:after="40" w:line="220" w:lineRule="exact"/>
              <w:ind w:left="0" w:right="113"/>
              <w:jc w:val="left"/>
              <w:rPr>
                <w:sz w:val="18"/>
                <w:szCs w:val="18"/>
              </w:rPr>
            </w:pPr>
            <w:r w:rsidRPr="009A66F1">
              <w:rPr>
                <w:sz w:val="18"/>
                <w:szCs w:val="18"/>
              </w:rPr>
              <w:t>Инвалиды и лица без инвалидности</w:t>
            </w:r>
          </w:p>
        </w:tc>
        <w:tc>
          <w:tcPr>
            <w:tcW w:w="1847" w:type="dxa"/>
            <w:tcBorders>
              <w:top w:val="nil"/>
              <w:left w:val="nil"/>
              <w:bottom w:val="nil"/>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19,2</w:t>
            </w:r>
          </w:p>
        </w:tc>
        <w:tc>
          <w:tcPr>
            <w:tcW w:w="1847" w:type="dxa"/>
            <w:tcBorders>
              <w:top w:val="nil"/>
              <w:left w:val="nil"/>
              <w:bottom w:val="nil"/>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18,4</w:t>
            </w:r>
          </w:p>
        </w:tc>
        <w:tc>
          <w:tcPr>
            <w:tcW w:w="1847" w:type="dxa"/>
            <w:tcBorders>
              <w:top w:val="nil"/>
              <w:left w:val="nil"/>
              <w:bottom w:val="nil"/>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19,3</w:t>
            </w:r>
          </w:p>
        </w:tc>
      </w:tr>
      <w:tr w:rsidR="0035659B" w:rsidTr="0035659B">
        <w:tc>
          <w:tcPr>
            <w:tcW w:w="2019" w:type="dxa"/>
            <w:vMerge w:val="restart"/>
            <w:tcBorders>
              <w:top w:val="nil"/>
              <w:left w:val="nil"/>
              <w:bottom w:val="single" w:sz="12" w:space="0" w:color="auto"/>
              <w:right w:val="nil"/>
            </w:tcBorders>
            <w:noWrap/>
            <w:hideMark/>
          </w:tcPr>
          <w:p w:rsidR="0035659B" w:rsidRPr="009A66F1" w:rsidRDefault="0035659B" w:rsidP="0035659B">
            <w:pPr>
              <w:pStyle w:val="SingleTxtG"/>
              <w:spacing w:before="40" w:after="40" w:line="220" w:lineRule="exact"/>
              <w:ind w:left="0" w:right="113"/>
              <w:jc w:val="left"/>
              <w:rPr>
                <w:sz w:val="18"/>
                <w:szCs w:val="18"/>
              </w:rPr>
            </w:pPr>
            <w:r w:rsidRPr="009A66F1">
              <w:rPr>
                <w:sz w:val="18"/>
                <w:szCs w:val="18"/>
              </w:rPr>
              <w:lastRenderedPageBreak/>
              <w:t>Женщины</w:t>
            </w:r>
          </w:p>
        </w:tc>
        <w:tc>
          <w:tcPr>
            <w:tcW w:w="2068" w:type="dxa"/>
            <w:tcBorders>
              <w:top w:val="nil"/>
              <w:left w:val="nil"/>
              <w:bottom w:val="nil"/>
              <w:right w:val="nil"/>
            </w:tcBorders>
            <w:vAlign w:val="bottom"/>
            <w:hideMark/>
          </w:tcPr>
          <w:p w:rsidR="0035659B" w:rsidRPr="009A66F1" w:rsidRDefault="0035659B" w:rsidP="0035659B">
            <w:pPr>
              <w:pStyle w:val="SingleTxtG"/>
              <w:spacing w:before="40" w:after="40" w:line="220" w:lineRule="exact"/>
              <w:ind w:left="0" w:right="113"/>
              <w:jc w:val="left"/>
              <w:rPr>
                <w:sz w:val="18"/>
                <w:szCs w:val="18"/>
              </w:rPr>
            </w:pPr>
            <w:r w:rsidRPr="009A66F1">
              <w:rPr>
                <w:sz w:val="18"/>
                <w:szCs w:val="18"/>
              </w:rPr>
              <w:t>Инвалиды</w:t>
            </w:r>
          </w:p>
        </w:tc>
        <w:tc>
          <w:tcPr>
            <w:tcW w:w="1847" w:type="dxa"/>
            <w:tcBorders>
              <w:top w:val="nil"/>
              <w:left w:val="nil"/>
              <w:bottom w:val="nil"/>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46,7</w:t>
            </w:r>
          </w:p>
        </w:tc>
        <w:tc>
          <w:tcPr>
            <w:tcW w:w="1847" w:type="dxa"/>
            <w:tcBorders>
              <w:top w:val="nil"/>
              <w:left w:val="nil"/>
              <w:bottom w:val="nil"/>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46,1</w:t>
            </w:r>
          </w:p>
        </w:tc>
        <w:tc>
          <w:tcPr>
            <w:tcW w:w="1847" w:type="dxa"/>
            <w:tcBorders>
              <w:top w:val="nil"/>
              <w:left w:val="nil"/>
              <w:bottom w:val="nil"/>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47,6</w:t>
            </w:r>
          </w:p>
        </w:tc>
      </w:tr>
      <w:tr w:rsidR="0035659B" w:rsidTr="0035659B">
        <w:tc>
          <w:tcPr>
            <w:tcW w:w="2019" w:type="dxa"/>
            <w:vMerge/>
            <w:tcBorders>
              <w:top w:val="nil"/>
              <w:left w:val="nil"/>
              <w:bottom w:val="single" w:sz="12" w:space="0" w:color="auto"/>
              <w:right w:val="nil"/>
            </w:tcBorders>
            <w:vAlign w:val="center"/>
            <w:hideMark/>
          </w:tcPr>
          <w:p w:rsidR="0035659B" w:rsidRPr="009A66F1" w:rsidRDefault="0035659B" w:rsidP="0035659B">
            <w:pPr>
              <w:rPr>
                <w:sz w:val="18"/>
                <w:szCs w:val="18"/>
              </w:rPr>
            </w:pPr>
          </w:p>
        </w:tc>
        <w:tc>
          <w:tcPr>
            <w:tcW w:w="2068" w:type="dxa"/>
            <w:tcBorders>
              <w:top w:val="nil"/>
              <w:left w:val="nil"/>
              <w:bottom w:val="single" w:sz="12" w:space="0" w:color="auto"/>
              <w:right w:val="nil"/>
            </w:tcBorders>
            <w:vAlign w:val="bottom"/>
            <w:hideMark/>
          </w:tcPr>
          <w:p w:rsidR="0035659B" w:rsidRPr="009A66F1" w:rsidRDefault="0035659B" w:rsidP="0035659B">
            <w:pPr>
              <w:pStyle w:val="SingleTxtG"/>
              <w:spacing w:before="40" w:after="40" w:line="220" w:lineRule="exact"/>
              <w:ind w:left="0" w:right="113"/>
              <w:jc w:val="left"/>
              <w:rPr>
                <w:sz w:val="18"/>
                <w:szCs w:val="18"/>
              </w:rPr>
            </w:pPr>
            <w:r w:rsidRPr="009A66F1">
              <w:rPr>
                <w:sz w:val="18"/>
                <w:szCs w:val="18"/>
              </w:rPr>
              <w:t>Инвалиды и лица без инвалидности</w:t>
            </w:r>
          </w:p>
        </w:tc>
        <w:tc>
          <w:tcPr>
            <w:tcW w:w="1847" w:type="dxa"/>
            <w:tcBorders>
              <w:top w:val="nil"/>
              <w:left w:val="nil"/>
              <w:bottom w:val="single" w:sz="12" w:space="0" w:color="auto"/>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24,0</w:t>
            </w:r>
          </w:p>
        </w:tc>
        <w:tc>
          <w:tcPr>
            <w:tcW w:w="1847" w:type="dxa"/>
            <w:tcBorders>
              <w:top w:val="nil"/>
              <w:left w:val="nil"/>
              <w:bottom w:val="single" w:sz="12" w:space="0" w:color="auto"/>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23,3</w:t>
            </w:r>
          </w:p>
        </w:tc>
        <w:tc>
          <w:tcPr>
            <w:tcW w:w="1847" w:type="dxa"/>
            <w:tcBorders>
              <w:top w:val="nil"/>
              <w:left w:val="nil"/>
              <w:bottom w:val="single" w:sz="12" w:space="0" w:color="auto"/>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24,2</w:t>
            </w:r>
          </w:p>
        </w:tc>
      </w:tr>
    </w:tbl>
    <w:p w:rsidR="0035659B" w:rsidRPr="009A66F1" w:rsidRDefault="0035659B" w:rsidP="00F54286">
      <w:pPr>
        <w:spacing w:before="120" w:after="240" w:line="220" w:lineRule="exact"/>
        <w:ind w:left="1304" w:right="1134" w:firstLine="170"/>
        <w:rPr>
          <w:i/>
          <w:iCs/>
          <w:sz w:val="18"/>
          <w:szCs w:val="18"/>
        </w:rPr>
      </w:pPr>
      <w:r w:rsidRPr="009A66F1">
        <w:rPr>
          <w:i/>
          <w:iCs/>
          <w:sz w:val="18"/>
          <w:szCs w:val="18"/>
        </w:rPr>
        <w:t>Источник</w:t>
      </w:r>
      <w:r w:rsidRPr="009A66F1">
        <w:rPr>
          <w:sz w:val="18"/>
          <w:szCs w:val="18"/>
        </w:rPr>
        <w:t>: Статистическое бюро Эстонии, эстонское социологическое обследование в 2016</w:t>
      </w:r>
      <w:r>
        <w:rPr>
          <w:sz w:val="18"/>
          <w:szCs w:val="18"/>
        </w:rPr>
        <w:t>–</w:t>
      </w:r>
      <w:r w:rsidRPr="009A66F1">
        <w:rPr>
          <w:sz w:val="18"/>
          <w:szCs w:val="18"/>
        </w:rPr>
        <w:t>2018 годах (доходы в 2015</w:t>
      </w:r>
      <w:r>
        <w:rPr>
          <w:sz w:val="18"/>
          <w:szCs w:val="18"/>
        </w:rPr>
        <w:t>–</w:t>
      </w:r>
      <w:r w:rsidRPr="009A66F1">
        <w:rPr>
          <w:sz w:val="18"/>
          <w:szCs w:val="18"/>
        </w:rPr>
        <w:t>2017 годах)</w:t>
      </w:r>
      <w:r>
        <w:rPr>
          <w:sz w:val="18"/>
          <w:szCs w:val="18"/>
        </w:rPr>
        <w:t>.</w:t>
      </w:r>
    </w:p>
    <w:p w:rsidR="0035659B" w:rsidRPr="00057462" w:rsidRDefault="00057462" w:rsidP="0035659B">
      <w:pPr>
        <w:pStyle w:val="1"/>
        <w:rPr>
          <w:b w:val="0"/>
        </w:rPr>
      </w:pPr>
      <w:r>
        <w:tab/>
      </w:r>
      <w:r>
        <w:tab/>
      </w:r>
      <w:r w:rsidR="0035659B" w:rsidRPr="00057462">
        <w:rPr>
          <w:b w:val="0"/>
        </w:rPr>
        <w:t>Таблица 6</w:t>
      </w:r>
    </w:p>
    <w:p w:rsidR="0035659B" w:rsidRPr="00F43B63" w:rsidRDefault="0035659B" w:rsidP="0035659B">
      <w:pPr>
        <w:pStyle w:val="SingleTxtG"/>
        <w:jc w:val="left"/>
        <w:rPr>
          <w:b/>
          <w:bCs/>
        </w:rPr>
      </w:pPr>
      <w:r>
        <w:rPr>
          <w:b/>
          <w:bCs/>
        </w:rPr>
        <w:t xml:space="preserve">Уровень абсолютной бедности в разбивке по инвалидности и полу </w:t>
      </w:r>
      <w:r w:rsidR="00057462">
        <w:rPr>
          <w:b/>
          <w:bCs/>
        </w:rPr>
        <w:br/>
      </w:r>
      <w:r>
        <w:rPr>
          <w:b/>
          <w:bCs/>
        </w:rPr>
        <w:t>в 2015–2017 годах (%)</w:t>
      </w:r>
    </w:p>
    <w:tbl>
      <w:tblPr>
        <w:tblW w:w="736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44"/>
        <w:gridCol w:w="1582"/>
        <w:gridCol w:w="1413"/>
        <w:gridCol w:w="1413"/>
        <w:gridCol w:w="1413"/>
      </w:tblGrid>
      <w:tr w:rsidR="0035659B" w:rsidRPr="009A66F1" w:rsidTr="0035659B">
        <w:trPr>
          <w:tblHeader/>
        </w:trPr>
        <w:tc>
          <w:tcPr>
            <w:tcW w:w="1545" w:type="dxa"/>
            <w:tcBorders>
              <w:top w:val="single" w:sz="4" w:space="0" w:color="auto"/>
              <w:left w:val="nil"/>
              <w:bottom w:val="single" w:sz="12" w:space="0" w:color="auto"/>
              <w:right w:val="nil"/>
            </w:tcBorders>
            <w:noWrap/>
            <w:vAlign w:val="bottom"/>
            <w:hideMark/>
          </w:tcPr>
          <w:p w:rsidR="0035659B" w:rsidRPr="009A66F1" w:rsidRDefault="0035659B" w:rsidP="0035659B">
            <w:pPr>
              <w:pStyle w:val="SingleTxtG"/>
              <w:spacing w:before="80" w:after="80" w:line="200" w:lineRule="exact"/>
              <w:ind w:left="0" w:right="113"/>
              <w:jc w:val="left"/>
              <w:rPr>
                <w:i/>
                <w:sz w:val="16"/>
                <w:szCs w:val="16"/>
              </w:rPr>
            </w:pPr>
          </w:p>
        </w:tc>
        <w:tc>
          <w:tcPr>
            <w:tcW w:w="1583" w:type="dxa"/>
            <w:tcBorders>
              <w:top w:val="single" w:sz="4" w:space="0" w:color="auto"/>
              <w:left w:val="nil"/>
              <w:bottom w:val="single" w:sz="12" w:space="0" w:color="auto"/>
              <w:right w:val="nil"/>
            </w:tcBorders>
            <w:noWrap/>
            <w:vAlign w:val="bottom"/>
            <w:hideMark/>
          </w:tcPr>
          <w:p w:rsidR="0035659B" w:rsidRPr="009A66F1" w:rsidRDefault="0035659B" w:rsidP="0035659B">
            <w:pPr>
              <w:pStyle w:val="SingleTxtG"/>
              <w:spacing w:before="80" w:after="80" w:line="200" w:lineRule="exact"/>
              <w:ind w:left="0" w:right="113"/>
              <w:jc w:val="left"/>
              <w:rPr>
                <w:i/>
                <w:sz w:val="16"/>
                <w:szCs w:val="16"/>
              </w:rPr>
            </w:pPr>
            <w:r w:rsidRPr="009A66F1">
              <w:rPr>
                <w:i/>
                <w:sz w:val="16"/>
                <w:szCs w:val="16"/>
              </w:rPr>
              <w:t xml:space="preserve"> </w:t>
            </w:r>
          </w:p>
        </w:tc>
        <w:tc>
          <w:tcPr>
            <w:tcW w:w="1414" w:type="dxa"/>
            <w:tcBorders>
              <w:top w:val="single" w:sz="4" w:space="0" w:color="auto"/>
              <w:left w:val="nil"/>
              <w:bottom w:val="single" w:sz="12" w:space="0" w:color="auto"/>
              <w:right w:val="nil"/>
            </w:tcBorders>
            <w:noWrap/>
            <w:vAlign w:val="bottom"/>
            <w:hideMark/>
          </w:tcPr>
          <w:p w:rsidR="0035659B" w:rsidRPr="009A66F1" w:rsidRDefault="0035659B" w:rsidP="0035659B">
            <w:pPr>
              <w:pStyle w:val="SingleTxtG"/>
              <w:spacing w:before="80" w:after="80" w:line="200" w:lineRule="exact"/>
              <w:ind w:left="0" w:right="113"/>
              <w:jc w:val="right"/>
              <w:rPr>
                <w:i/>
                <w:sz w:val="16"/>
                <w:szCs w:val="16"/>
              </w:rPr>
            </w:pPr>
            <w:r w:rsidRPr="009A66F1">
              <w:rPr>
                <w:i/>
                <w:iCs/>
                <w:sz w:val="16"/>
                <w:szCs w:val="16"/>
              </w:rPr>
              <w:t>2015</w:t>
            </w:r>
            <w:r>
              <w:rPr>
                <w:i/>
                <w:iCs/>
                <w:sz w:val="16"/>
                <w:szCs w:val="16"/>
              </w:rPr>
              <w:t xml:space="preserve"> год</w:t>
            </w:r>
          </w:p>
        </w:tc>
        <w:tc>
          <w:tcPr>
            <w:tcW w:w="1414" w:type="dxa"/>
            <w:tcBorders>
              <w:top w:val="single" w:sz="4" w:space="0" w:color="auto"/>
              <w:left w:val="nil"/>
              <w:bottom w:val="single" w:sz="12" w:space="0" w:color="auto"/>
              <w:right w:val="nil"/>
            </w:tcBorders>
            <w:noWrap/>
            <w:vAlign w:val="bottom"/>
            <w:hideMark/>
          </w:tcPr>
          <w:p w:rsidR="0035659B" w:rsidRPr="009A66F1" w:rsidRDefault="0035659B" w:rsidP="0035659B">
            <w:pPr>
              <w:pStyle w:val="SingleTxtG"/>
              <w:spacing w:before="80" w:after="80" w:line="200" w:lineRule="exact"/>
              <w:ind w:left="0" w:right="113"/>
              <w:jc w:val="right"/>
              <w:rPr>
                <w:i/>
                <w:sz w:val="16"/>
                <w:szCs w:val="16"/>
              </w:rPr>
            </w:pPr>
            <w:r w:rsidRPr="009A66F1">
              <w:rPr>
                <w:i/>
                <w:iCs/>
                <w:sz w:val="16"/>
                <w:szCs w:val="16"/>
              </w:rPr>
              <w:t>2016</w:t>
            </w:r>
            <w:r>
              <w:rPr>
                <w:i/>
                <w:iCs/>
                <w:sz w:val="16"/>
                <w:szCs w:val="16"/>
              </w:rPr>
              <w:t xml:space="preserve"> год</w:t>
            </w:r>
          </w:p>
        </w:tc>
        <w:tc>
          <w:tcPr>
            <w:tcW w:w="1414" w:type="dxa"/>
            <w:tcBorders>
              <w:top w:val="single" w:sz="4" w:space="0" w:color="auto"/>
              <w:left w:val="nil"/>
              <w:bottom w:val="single" w:sz="12" w:space="0" w:color="auto"/>
              <w:right w:val="nil"/>
            </w:tcBorders>
            <w:noWrap/>
            <w:vAlign w:val="bottom"/>
            <w:hideMark/>
          </w:tcPr>
          <w:p w:rsidR="0035659B" w:rsidRPr="009A66F1" w:rsidRDefault="0035659B" w:rsidP="0035659B">
            <w:pPr>
              <w:pStyle w:val="SingleTxtG"/>
              <w:spacing w:before="80" w:after="80" w:line="200" w:lineRule="exact"/>
              <w:ind w:left="0" w:right="113"/>
              <w:jc w:val="right"/>
              <w:rPr>
                <w:i/>
                <w:sz w:val="16"/>
                <w:szCs w:val="16"/>
              </w:rPr>
            </w:pPr>
            <w:r w:rsidRPr="009A66F1">
              <w:rPr>
                <w:i/>
                <w:iCs/>
                <w:sz w:val="16"/>
                <w:szCs w:val="16"/>
              </w:rPr>
              <w:t>2017</w:t>
            </w:r>
            <w:r>
              <w:rPr>
                <w:i/>
                <w:iCs/>
                <w:sz w:val="16"/>
                <w:szCs w:val="16"/>
              </w:rPr>
              <w:t xml:space="preserve"> год</w:t>
            </w:r>
          </w:p>
        </w:tc>
      </w:tr>
      <w:tr w:rsidR="0035659B" w:rsidTr="0035659B">
        <w:tc>
          <w:tcPr>
            <w:tcW w:w="1545" w:type="dxa"/>
            <w:vMerge w:val="restart"/>
            <w:tcBorders>
              <w:top w:val="single" w:sz="12" w:space="0" w:color="auto"/>
              <w:left w:val="nil"/>
              <w:bottom w:val="single" w:sz="4" w:space="0" w:color="auto"/>
              <w:right w:val="nil"/>
            </w:tcBorders>
            <w:noWrap/>
            <w:hideMark/>
          </w:tcPr>
          <w:p w:rsidR="0035659B" w:rsidRPr="009A66F1" w:rsidRDefault="0035659B" w:rsidP="0035659B">
            <w:pPr>
              <w:pStyle w:val="SingleTxtG"/>
              <w:spacing w:before="40" w:after="40" w:line="220" w:lineRule="exact"/>
              <w:ind w:left="430" w:right="113"/>
              <w:jc w:val="left"/>
              <w:rPr>
                <w:b/>
                <w:sz w:val="18"/>
                <w:szCs w:val="18"/>
              </w:rPr>
            </w:pPr>
            <w:r w:rsidRPr="009A66F1">
              <w:rPr>
                <w:b/>
                <w:bCs/>
                <w:sz w:val="18"/>
                <w:szCs w:val="18"/>
              </w:rPr>
              <w:t>Всего</w:t>
            </w:r>
          </w:p>
        </w:tc>
        <w:tc>
          <w:tcPr>
            <w:tcW w:w="1583" w:type="dxa"/>
            <w:tcBorders>
              <w:top w:val="single" w:sz="12" w:space="0" w:color="auto"/>
              <w:left w:val="nil"/>
              <w:bottom w:val="nil"/>
              <w:right w:val="nil"/>
            </w:tcBorders>
            <w:vAlign w:val="bottom"/>
            <w:hideMark/>
          </w:tcPr>
          <w:p w:rsidR="0035659B" w:rsidRPr="009A66F1" w:rsidRDefault="0035659B" w:rsidP="0035659B">
            <w:pPr>
              <w:pStyle w:val="SingleTxtG"/>
              <w:spacing w:before="40" w:after="40" w:line="220" w:lineRule="exact"/>
              <w:ind w:left="0" w:right="113"/>
              <w:jc w:val="left"/>
              <w:rPr>
                <w:b/>
                <w:sz w:val="18"/>
                <w:szCs w:val="18"/>
              </w:rPr>
            </w:pPr>
            <w:r w:rsidRPr="009A66F1">
              <w:rPr>
                <w:b/>
                <w:bCs/>
                <w:sz w:val="18"/>
                <w:szCs w:val="18"/>
              </w:rPr>
              <w:t>Инвалиды</w:t>
            </w:r>
          </w:p>
        </w:tc>
        <w:tc>
          <w:tcPr>
            <w:tcW w:w="1414" w:type="dxa"/>
            <w:tcBorders>
              <w:top w:val="single" w:sz="12" w:space="0" w:color="auto"/>
              <w:left w:val="nil"/>
              <w:bottom w:val="nil"/>
              <w:right w:val="nil"/>
            </w:tcBorders>
            <w:noWrap/>
            <w:vAlign w:val="bottom"/>
            <w:hideMark/>
          </w:tcPr>
          <w:p w:rsidR="0035659B" w:rsidRPr="009A66F1" w:rsidRDefault="0035659B" w:rsidP="0035659B">
            <w:pPr>
              <w:pStyle w:val="SingleTxtG"/>
              <w:spacing w:before="40" w:after="40" w:line="220" w:lineRule="exact"/>
              <w:ind w:left="0" w:right="113"/>
              <w:jc w:val="right"/>
              <w:rPr>
                <w:b/>
                <w:sz w:val="18"/>
                <w:szCs w:val="18"/>
              </w:rPr>
            </w:pPr>
            <w:r w:rsidRPr="009A66F1">
              <w:rPr>
                <w:b/>
                <w:bCs/>
                <w:sz w:val="18"/>
                <w:szCs w:val="18"/>
              </w:rPr>
              <w:t>2,2</w:t>
            </w:r>
          </w:p>
        </w:tc>
        <w:tc>
          <w:tcPr>
            <w:tcW w:w="1414" w:type="dxa"/>
            <w:tcBorders>
              <w:top w:val="single" w:sz="12" w:space="0" w:color="auto"/>
              <w:left w:val="nil"/>
              <w:bottom w:val="nil"/>
              <w:right w:val="nil"/>
            </w:tcBorders>
            <w:noWrap/>
            <w:vAlign w:val="bottom"/>
            <w:hideMark/>
          </w:tcPr>
          <w:p w:rsidR="0035659B" w:rsidRPr="009A66F1" w:rsidRDefault="0035659B" w:rsidP="0035659B">
            <w:pPr>
              <w:pStyle w:val="SingleTxtG"/>
              <w:spacing w:before="40" w:after="40" w:line="220" w:lineRule="exact"/>
              <w:ind w:left="0" w:right="113"/>
              <w:jc w:val="right"/>
              <w:rPr>
                <w:b/>
                <w:sz w:val="18"/>
                <w:szCs w:val="18"/>
              </w:rPr>
            </w:pPr>
            <w:r w:rsidRPr="009A66F1">
              <w:rPr>
                <w:b/>
                <w:bCs/>
                <w:sz w:val="18"/>
                <w:szCs w:val="18"/>
              </w:rPr>
              <w:t>1,7</w:t>
            </w:r>
          </w:p>
        </w:tc>
        <w:tc>
          <w:tcPr>
            <w:tcW w:w="1414" w:type="dxa"/>
            <w:tcBorders>
              <w:top w:val="single" w:sz="12" w:space="0" w:color="auto"/>
              <w:left w:val="nil"/>
              <w:bottom w:val="nil"/>
              <w:right w:val="nil"/>
            </w:tcBorders>
            <w:noWrap/>
            <w:vAlign w:val="bottom"/>
            <w:hideMark/>
          </w:tcPr>
          <w:p w:rsidR="0035659B" w:rsidRPr="009A66F1" w:rsidRDefault="0035659B" w:rsidP="0035659B">
            <w:pPr>
              <w:pStyle w:val="SingleTxtG"/>
              <w:spacing w:before="40" w:after="40" w:line="220" w:lineRule="exact"/>
              <w:ind w:left="0" w:right="113"/>
              <w:jc w:val="right"/>
              <w:rPr>
                <w:b/>
                <w:sz w:val="18"/>
                <w:szCs w:val="18"/>
              </w:rPr>
            </w:pPr>
            <w:r w:rsidRPr="009A66F1">
              <w:rPr>
                <w:b/>
                <w:bCs/>
                <w:sz w:val="18"/>
                <w:szCs w:val="18"/>
              </w:rPr>
              <w:t>1,1</w:t>
            </w:r>
          </w:p>
        </w:tc>
      </w:tr>
      <w:tr w:rsidR="0035659B" w:rsidTr="0035659B">
        <w:tc>
          <w:tcPr>
            <w:tcW w:w="1545" w:type="dxa"/>
            <w:vMerge/>
            <w:tcBorders>
              <w:top w:val="single" w:sz="12" w:space="0" w:color="auto"/>
              <w:left w:val="nil"/>
              <w:bottom w:val="single" w:sz="4" w:space="0" w:color="auto"/>
              <w:right w:val="nil"/>
            </w:tcBorders>
            <w:vAlign w:val="center"/>
            <w:hideMark/>
          </w:tcPr>
          <w:p w:rsidR="0035659B" w:rsidRPr="009A66F1" w:rsidRDefault="0035659B" w:rsidP="0035659B">
            <w:pPr>
              <w:spacing w:before="40" w:after="40"/>
              <w:rPr>
                <w:b/>
                <w:sz w:val="18"/>
                <w:szCs w:val="18"/>
              </w:rPr>
            </w:pPr>
          </w:p>
        </w:tc>
        <w:tc>
          <w:tcPr>
            <w:tcW w:w="1583" w:type="dxa"/>
            <w:tcBorders>
              <w:top w:val="nil"/>
              <w:left w:val="nil"/>
              <w:bottom w:val="single" w:sz="4" w:space="0" w:color="auto"/>
              <w:right w:val="nil"/>
            </w:tcBorders>
            <w:vAlign w:val="bottom"/>
            <w:hideMark/>
          </w:tcPr>
          <w:p w:rsidR="0035659B" w:rsidRPr="009A66F1" w:rsidRDefault="0035659B" w:rsidP="0035659B">
            <w:pPr>
              <w:pStyle w:val="SingleTxtG"/>
              <w:spacing w:before="40" w:after="40" w:line="220" w:lineRule="exact"/>
              <w:ind w:left="0" w:right="113"/>
              <w:jc w:val="left"/>
              <w:rPr>
                <w:b/>
                <w:sz w:val="18"/>
                <w:szCs w:val="18"/>
              </w:rPr>
            </w:pPr>
            <w:r w:rsidRPr="009A66F1">
              <w:rPr>
                <w:b/>
                <w:bCs/>
                <w:sz w:val="18"/>
                <w:szCs w:val="18"/>
              </w:rPr>
              <w:t>Инвалиды и лица без инвалидности</w:t>
            </w:r>
          </w:p>
        </w:tc>
        <w:tc>
          <w:tcPr>
            <w:tcW w:w="1414" w:type="dxa"/>
            <w:tcBorders>
              <w:top w:val="nil"/>
              <w:left w:val="nil"/>
              <w:bottom w:val="single" w:sz="4" w:space="0" w:color="auto"/>
              <w:right w:val="nil"/>
            </w:tcBorders>
            <w:noWrap/>
            <w:vAlign w:val="bottom"/>
            <w:hideMark/>
          </w:tcPr>
          <w:p w:rsidR="0035659B" w:rsidRPr="009A66F1" w:rsidRDefault="0035659B" w:rsidP="0035659B">
            <w:pPr>
              <w:pStyle w:val="SingleTxtG"/>
              <w:spacing w:before="40" w:after="40" w:line="220" w:lineRule="exact"/>
              <w:ind w:left="0" w:right="113"/>
              <w:jc w:val="right"/>
              <w:rPr>
                <w:b/>
                <w:sz w:val="18"/>
                <w:szCs w:val="18"/>
              </w:rPr>
            </w:pPr>
            <w:r w:rsidRPr="009A66F1">
              <w:rPr>
                <w:b/>
                <w:bCs/>
                <w:sz w:val="18"/>
                <w:szCs w:val="18"/>
              </w:rPr>
              <w:t>4,3</w:t>
            </w:r>
          </w:p>
        </w:tc>
        <w:tc>
          <w:tcPr>
            <w:tcW w:w="1414" w:type="dxa"/>
            <w:tcBorders>
              <w:top w:val="nil"/>
              <w:left w:val="nil"/>
              <w:bottom w:val="single" w:sz="4" w:space="0" w:color="auto"/>
              <w:right w:val="nil"/>
            </w:tcBorders>
            <w:noWrap/>
            <w:vAlign w:val="bottom"/>
            <w:hideMark/>
          </w:tcPr>
          <w:p w:rsidR="0035659B" w:rsidRPr="009A66F1" w:rsidRDefault="0035659B" w:rsidP="0035659B">
            <w:pPr>
              <w:pStyle w:val="SingleTxtG"/>
              <w:spacing w:before="40" w:after="40" w:line="220" w:lineRule="exact"/>
              <w:ind w:left="0" w:right="113"/>
              <w:jc w:val="right"/>
              <w:rPr>
                <w:b/>
                <w:sz w:val="18"/>
                <w:szCs w:val="18"/>
              </w:rPr>
            </w:pPr>
            <w:r w:rsidRPr="009A66F1">
              <w:rPr>
                <w:b/>
                <w:bCs/>
                <w:sz w:val="18"/>
                <w:szCs w:val="18"/>
              </w:rPr>
              <w:t>3,2</w:t>
            </w:r>
          </w:p>
        </w:tc>
        <w:tc>
          <w:tcPr>
            <w:tcW w:w="1414" w:type="dxa"/>
            <w:tcBorders>
              <w:top w:val="nil"/>
              <w:left w:val="nil"/>
              <w:bottom w:val="single" w:sz="4" w:space="0" w:color="auto"/>
              <w:right w:val="nil"/>
            </w:tcBorders>
            <w:noWrap/>
            <w:vAlign w:val="bottom"/>
            <w:hideMark/>
          </w:tcPr>
          <w:p w:rsidR="0035659B" w:rsidRPr="009A66F1" w:rsidRDefault="0035659B" w:rsidP="0035659B">
            <w:pPr>
              <w:pStyle w:val="SingleTxtG"/>
              <w:spacing w:before="40" w:after="40" w:line="220" w:lineRule="exact"/>
              <w:ind w:left="0" w:right="113"/>
              <w:jc w:val="right"/>
              <w:rPr>
                <w:b/>
                <w:sz w:val="18"/>
                <w:szCs w:val="18"/>
              </w:rPr>
            </w:pPr>
            <w:r w:rsidRPr="009A66F1">
              <w:rPr>
                <w:b/>
                <w:bCs/>
                <w:sz w:val="18"/>
                <w:szCs w:val="18"/>
              </w:rPr>
              <w:t>2,7</w:t>
            </w:r>
          </w:p>
        </w:tc>
      </w:tr>
      <w:tr w:rsidR="0035659B" w:rsidTr="0035659B">
        <w:tc>
          <w:tcPr>
            <w:tcW w:w="1545" w:type="dxa"/>
            <w:vMerge w:val="restart"/>
            <w:tcBorders>
              <w:top w:val="single" w:sz="4" w:space="0" w:color="auto"/>
              <w:left w:val="nil"/>
              <w:bottom w:val="nil"/>
              <w:right w:val="nil"/>
            </w:tcBorders>
            <w:noWrap/>
            <w:hideMark/>
          </w:tcPr>
          <w:p w:rsidR="0035659B" w:rsidRPr="009A66F1" w:rsidRDefault="0035659B" w:rsidP="0035659B">
            <w:pPr>
              <w:pStyle w:val="SingleTxtG"/>
              <w:spacing w:before="40" w:after="40" w:line="220" w:lineRule="exact"/>
              <w:ind w:left="0" w:right="113"/>
              <w:jc w:val="left"/>
              <w:rPr>
                <w:sz w:val="18"/>
                <w:szCs w:val="18"/>
              </w:rPr>
            </w:pPr>
            <w:r w:rsidRPr="009A66F1">
              <w:rPr>
                <w:sz w:val="18"/>
                <w:szCs w:val="18"/>
              </w:rPr>
              <w:t>Мужчины</w:t>
            </w:r>
          </w:p>
        </w:tc>
        <w:tc>
          <w:tcPr>
            <w:tcW w:w="1583" w:type="dxa"/>
            <w:tcBorders>
              <w:top w:val="single" w:sz="4" w:space="0" w:color="auto"/>
              <w:left w:val="nil"/>
              <w:bottom w:val="nil"/>
              <w:right w:val="nil"/>
            </w:tcBorders>
            <w:vAlign w:val="bottom"/>
            <w:hideMark/>
          </w:tcPr>
          <w:p w:rsidR="0035659B" w:rsidRPr="009A66F1" w:rsidRDefault="0035659B" w:rsidP="0035659B">
            <w:pPr>
              <w:pStyle w:val="SingleTxtG"/>
              <w:spacing w:before="40" w:after="40" w:line="220" w:lineRule="exact"/>
              <w:ind w:left="0" w:right="113"/>
              <w:jc w:val="left"/>
              <w:rPr>
                <w:sz w:val="18"/>
                <w:szCs w:val="18"/>
              </w:rPr>
            </w:pPr>
            <w:r w:rsidRPr="009A66F1">
              <w:rPr>
                <w:sz w:val="18"/>
                <w:szCs w:val="18"/>
              </w:rPr>
              <w:t>Инвалиды</w:t>
            </w:r>
          </w:p>
        </w:tc>
        <w:tc>
          <w:tcPr>
            <w:tcW w:w="1414" w:type="dxa"/>
            <w:tcBorders>
              <w:top w:val="single" w:sz="4" w:space="0" w:color="auto"/>
              <w:left w:val="nil"/>
              <w:bottom w:val="nil"/>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3,0</w:t>
            </w:r>
          </w:p>
        </w:tc>
        <w:tc>
          <w:tcPr>
            <w:tcW w:w="1414" w:type="dxa"/>
            <w:tcBorders>
              <w:top w:val="single" w:sz="4" w:space="0" w:color="auto"/>
              <w:left w:val="nil"/>
              <w:bottom w:val="nil"/>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w:t>
            </w:r>
          </w:p>
        </w:tc>
        <w:tc>
          <w:tcPr>
            <w:tcW w:w="1414" w:type="dxa"/>
            <w:tcBorders>
              <w:top w:val="single" w:sz="4" w:space="0" w:color="auto"/>
              <w:left w:val="nil"/>
              <w:bottom w:val="nil"/>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w:t>
            </w:r>
          </w:p>
        </w:tc>
      </w:tr>
      <w:tr w:rsidR="0035659B" w:rsidTr="00057462">
        <w:tc>
          <w:tcPr>
            <w:tcW w:w="1545" w:type="dxa"/>
            <w:vMerge/>
            <w:tcBorders>
              <w:top w:val="single" w:sz="4" w:space="0" w:color="auto"/>
              <w:left w:val="nil"/>
              <w:bottom w:val="nil"/>
              <w:right w:val="nil"/>
            </w:tcBorders>
            <w:vAlign w:val="center"/>
            <w:hideMark/>
          </w:tcPr>
          <w:p w:rsidR="0035659B" w:rsidRPr="009A66F1" w:rsidRDefault="0035659B" w:rsidP="0035659B">
            <w:pPr>
              <w:rPr>
                <w:sz w:val="18"/>
                <w:szCs w:val="18"/>
              </w:rPr>
            </w:pPr>
          </w:p>
        </w:tc>
        <w:tc>
          <w:tcPr>
            <w:tcW w:w="1583" w:type="dxa"/>
            <w:tcBorders>
              <w:top w:val="nil"/>
              <w:left w:val="nil"/>
              <w:bottom w:val="nil"/>
              <w:right w:val="nil"/>
            </w:tcBorders>
            <w:vAlign w:val="bottom"/>
            <w:hideMark/>
          </w:tcPr>
          <w:p w:rsidR="0035659B" w:rsidRPr="009A66F1" w:rsidRDefault="0035659B" w:rsidP="0035659B">
            <w:pPr>
              <w:pStyle w:val="SingleTxtG"/>
              <w:spacing w:before="40" w:after="40" w:line="220" w:lineRule="exact"/>
              <w:ind w:left="0" w:right="113"/>
              <w:jc w:val="left"/>
              <w:rPr>
                <w:sz w:val="18"/>
                <w:szCs w:val="18"/>
              </w:rPr>
            </w:pPr>
            <w:r w:rsidRPr="009A66F1">
              <w:rPr>
                <w:sz w:val="18"/>
                <w:szCs w:val="18"/>
              </w:rPr>
              <w:t>Инвалиды и лица без инвалидности</w:t>
            </w:r>
          </w:p>
        </w:tc>
        <w:tc>
          <w:tcPr>
            <w:tcW w:w="1414" w:type="dxa"/>
            <w:tcBorders>
              <w:top w:val="nil"/>
              <w:left w:val="nil"/>
              <w:bottom w:val="nil"/>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5,0</w:t>
            </w:r>
          </w:p>
        </w:tc>
        <w:tc>
          <w:tcPr>
            <w:tcW w:w="1414" w:type="dxa"/>
            <w:tcBorders>
              <w:top w:val="nil"/>
              <w:left w:val="nil"/>
              <w:bottom w:val="nil"/>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4,0</w:t>
            </w:r>
          </w:p>
        </w:tc>
        <w:tc>
          <w:tcPr>
            <w:tcW w:w="1414" w:type="dxa"/>
            <w:tcBorders>
              <w:top w:val="nil"/>
              <w:left w:val="nil"/>
              <w:bottom w:val="nil"/>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3,6</w:t>
            </w:r>
          </w:p>
        </w:tc>
      </w:tr>
      <w:tr w:rsidR="0035659B" w:rsidTr="00057462">
        <w:tc>
          <w:tcPr>
            <w:tcW w:w="1545" w:type="dxa"/>
            <w:vMerge w:val="restart"/>
            <w:tcBorders>
              <w:top w:val="nil"/>
              <w:left w:val="nil"/>
              <w:bottom w:val="single" w:sz="12" w:space="0" w:color="auto"/>
              <w:right w:val="nil"/>
            </w:tcBorders>
            <w:noWrap/>
            <w:hideMark/>
          </w:tcPr>
          <w:p w:rsidR="0035659B" w:rsidRPr="009A66F1" w:rsidRDefault="0035659B" w:rsidP="0035659B">
            <w:pPr>
              <w:pStyle w:val="SingleTxtG"/>
              <w:spacing w:before="40" w:after="40" w:line="220" w:lineRule="exact"/>
              <w:ind w:left="0" w:right="113"/>
              <w:jc w:val="left"/>
              <w:rPr>
                <w:sz w:val="18"/>
                <w:szCs w:val="18"/>
              </w:rPr>
            </w:pPr>
            <w:r w:rsidRPr="009A66F1">
              <w:rPr>
                <w:sz w:val="18"/>
                <w:szCs w:val="18"/>
              </w:rPr>
              <w:t>Женщины</w:t>
            </w:r>
          </w:p>
        </w:tc>
        <w:tc>
          <w:tcPr>
            <w:tcW w:w="1583" w:type="dxa"/>
            <w:tcBorders>
              <w:top w:val="nil"/>
              <w:left w:val="nil"/>
              <w:bottom w:val="nil"/>
              <w:right w:val="nil"/>
            </w:tcBorders>
            <w:vAlign w:val="bottom"/>
            <w:hideMark/>
          </w:tcPr>
          <w:p w:rsidR="0035659B" w:rsidRPr="009A66F1" w:rsidRDefault="0035659B" w:rsidP="0035659B">
            <w:pPr>
              <w:pStyle w:val="SingleTxtG"/>
              <w:spacing w:before="40" w:after="40" w:line="220" w:lineRule="exact"/>
              <w:ind w:left="0" w:right="113"/>
              <w:jc w:val="left"/>
              <w:rPr>
                <w:sz w:val="18"/>
                <w:szCs w:val="18"/>
              </w:rPr>
            </w:pPr>
            <w:r w:rsidRPr="009A66F1">
              <w:rPr>
                <w:sz w:val="18"/>
                <w:szCs w:val="18"/>
              </w:rPr>
              <w:t>Инвалиды</w:t>
            </w:r>
          </w:p>
        </w:tc>
        <w:tc>
          <w:tcPr>
            <w:tcW w:w="1414" w:type="dxa"/>
            <w:tcBorders>
              <w:top w:val="nil"/>
              <w:left w:val="nil"/>
              <w:bottom w:val="nil"/>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1,5</w:t>
            </w:r>
          </w:p>
        </w:tc>
        <w:tc>
          <w:tcPr>
            <w:tcW w:w="1414" w:type="dxa"/>
            <w:tcBorders>
              <w:top w:val="nil"/>
              <w:left w:val="nil"/>
              <w:bottom w:val="nil"/>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w:t>
            </w:r>
          </w:p>
        </w:tc>
        <w:tc>
          <w:tcPr>
            <w:tcW w:w="1414" w:type="dxa"/>
            <w:tcBorders>
              <w:top w:val="nil"/>
              <w:left w:val="nil"/>
              <w:bottom w:val="nil"/>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w:t>
            </w:r>
          </w:p>
        </w:tc>
      </w:tr>
      <w:tr w:rsidR="0035659B" w:rsidTr="00057462">
        <w:tc>
          <w:tcPr>
            <w:tcW w:w="1545" w:type="dxa"/>
            <w:vMerge/>
            <w:tcBorders>
              <w:top w:val="single" w:sz="4" w:space="0" w:color="auto"/>
              <w:left w:val="nil"/>
              <w:bottom w:val="single" w:sz="12" w:space="0" w:color="auto"/>
              <w:right w:val="nil"/>
            </w:tcBorders>
            <w:vAlign w:val="center"/>
            <w:hideMark/>
          </w:tcPr>
          <w:p w:rsidR="0035659B" w:rsidRPr="009A66F1" w:rsidRDefault="0035659B" w:rsidP="0035659B">
            <w:pPr>
              <w:rPr>
                <w:sz w:val="18"/>
                <w:szCs w:val="18"/>
              </w:rPr>
            </w:pPr>
          </w:p>
        </w:tc>
        <w:tc>
          <w:tcPr>
            <w:tcW w:w="1583" w:type="dxa"/>
            <w:tcBorders>
              <w:top w:val="nil"/>
              <w:left w:val="nil"/>
              <w:bottom w:val="single" w:sz="12" w:space="0" w:color="auto"/>
              <w:right w:val="nil"/>
            </w:tcBorders>
            <w:vAlign w:val="bottom"/>
            <w:hideMark/>
          </w:tcPr>
          <w:p w:rsidR="0035659B" w:rsidRPr="009A66F1" w:rsidRDefault="0035659B" w:rsidP="0035659B">
            <w:pPr>
              <w:pStyle w:val="SingleTxtG"/>
              <w:spacing w:before="40" w:after="40" w:line="220" w:lineRule="exact"/>
              <w:ind w:left="0" w:right="113"/>
              <w:jc w:val="left"/>
              <w:rPr>
                <w:sz w:val="18"/>
                <w:szCs w:val="18"/>
              </w:rPr>
            </w:pPr>
            <w:r w:rsidRPr="009A66F1">
              <w:rPr>
                <w:sz w:val="18"/>
                <w:szCs w:val="18"/>
              </w:rPr>
              <w:t>Инвалиды и лица без инвалидности</w:t>
            </w:r>
          </w:p>
        </w:tc>
        <w:tc>
          <w:tcPr>
            <w:tcW w:w="1414" w:type="dxa"/>
            <w:tcBorders>
              <w:top w:val="nil"/>
              <w:left w:val="nil"/>
              <w:bottom w:val="single" w:sz="12" w:space="0" w:color="auto"/>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3,7</w:t>
            </w:r>
          </w:p>
        </w:tc>
        <w:tc>
          <w:tcPr>
            <w:tcW w:w="1414" w:type="dxa"/>
            <w:tcBorders>
              <w:top w:val="nil"/>
              <w:left w:val="nil"/>
              <w:bottom w:val="single" w:sz="12" w:space="0" w:color="auto"/>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2,6</w:t>
            </w:r>
          </w:p>
        </w:tc>
        <w:tc>
          <w:tcPr>
            <w:tcW w:w="1414" w:type="dxa"/>
            <w:tcBorders>
              <w:top w:val="nil"/>
              <w:left w:val="nil"/>
              <w:bottom w:val="single" w:sz="12" w:space="0" w:color="auto"/>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1,9</w:t>
            </w:r>
          </w:p>
        </w:tc>
      </w:tr>
    </w:tbl>
    <w:p w:rsidR="0035659B" w:rsidRPr="009A66F1" w:rsidRDefault="0035659B" w:rsidP="00057462">
      <w:pPr>
        <w:spacing w:before="120" w:after="240" w:line="220" w:lineRule="exact"/>
        <w:ind w:left="1304" w:right="1134" w:firstLine="170"/>
        <w:rPr>
          <w:i/>
          <w:iCs/>
          <w:sz w:val="18"/>
          <w:szCs w:val="18"/>
        </w:rPr>
      </w:pPr>
      <w:r w:rsidRPr="009A66F1">
        <w:rPr>
          <w:i/>
          <w:sz w:val="18"/>
          <w:szCs w:val="18"/>
        </w:rPr>
        <w:t>Источник</w:t>
      </w:r>
      <w:r w:rsidRPr="009A66F1">
        <w:rPr>
          <w:sz w:val="18"/>
          <w:szCs w:val="18"/>
        </w:rPr>
        <w:t>: Статистическое бюро Эстонии, эстонское социологическое обследование в 2016</w:t>
      </w:r>
      <w:r>
        <w:rPr>
          <w:sz w:val="18"/>
          <w:szCs w:val="18"/>
        </w:rPr>
        <w:t>–</w:t>
      </w:r>
      <w:r w:rsidRPr="009A66F1">
        <w:rPr>
          <w:sz w:val="18"/>
          <w:szCs w:val="18"/>
        </w:rPr>
        <w:t>2018 годах (доходы в 2015</w:t>
      </w:r>
      <w:r>
        <w:rPr>
          <w:sz w:val="18"/>
          <w:szCs w:val="18"/>
        </w:rPr>
        <w:t>–</w:t>
      </w:r>
      <w:r w:rsidRPr="009A66F1">
        <w:rPr>
          <w:sz w:val="18"/>
          <w:szCs w:val="18"/>
        </w:rPr>
        <w:t>2017 годах)</w:t>
      </w:r>
      <w:r>
        <w:rPr>
          <w:sz w:val="18"/>
          <w:szCs w:val="18"/>
        </w:rPr>
        <w:t>.</w:t>
      </w:r>
    </w:p>
    <w:p w:rsidR="0035659B" w:rsidRPr="00F43B63" w:rsidRDefault="0035659B" w:rsidP="0035659B">
      <w:pPr>
        <w:pStyle w:val="SingleTxtG"/>
      </w:pPr>
      <w:r>
        <w:t>Данные не были рассчитаны; данные отсутствуют; ненадежные данные по причине небольшого размера выборки.</w:t>
      </w:r>
    </w:p>
    <w:p w:rsidR="0035659B" w:rsidRPr="00057462" w:rsidRDefault="00057462" w:rsidP="0035659B">
      <w:pPr>
        <w:pStyle w:val="1"/>
        <w:keepLines/>
        <w:spacing w:before="240"/>
        <w:rPr>
          <w:b w:val="0"/>
        </w:rPr>
      </w:pPr>
      <w:r>
        <w:tab/>
      </w:r>
      <w:r>
        <w:tab/>
      </w:r>
      <w:r w:rsidR="0035659B" w:rsidRPr="00057462">
        <w:rPr>
          <w:b w:val="0"/>
        </w:rPr>
        <w:t>Таблица 7</w:t>
      </w:r>
    </w:p>
    <w:p w:rsidR="0035659B" w:rsidRPr="00F43B63" w:rsidRDefault="0035659B" w:rsidP="0035659B">
      <w:pPr>
        <w:pStyle w:val="SingleTxtG"/>
        <w:keepNext/>
        <w:keepLines/>
        <w:jc w:val="left"/>
        <w:rPr>
          <w:b/>
          <w:bCs/>
        </w:rPr>
      </w:pPr>
      <w:r>
        <w:rPr>
          <w:b/>
          <w:bCs/>
        </w:rPr>
        <w:t xml:space="preserve">Тяжелое материальное положение в разбивке по инвалидности и полу </w:t>
      </w:r>
      <w:r>
        <w:rPr>
          <w:b/>
          <w:bCs/>
        </w:rPr>
        <w:br/>
        <w:t>в 2015–2018 годах (%)</w:t>
      </w:r>
    </w:p>
    <w:tbl>
      <w:tblPr>
        <w:tblW w:w="736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92"/>
        <w:gridCol w:w="1325"/>
        <w:gridCol w:w="1187"/>
        <w:gridCol w:w="1187"/>
        <w:gridCol w:w="1187"/>
        <w:gridCol w:w="1187"/>
      </w:tblGrid>
      <w:tr w:rsidR="0035659B" w:rsidRPr="009A66F1" w:rsidTr="0035659B">
        <w:trPr>
          <w:tblHeader/>
        </w:trPr>
        <w:tc>
          <w:tcPr>
            <w:tcW w:w="1691" w:type="dxa"/>
            <w:tcBorders>
              <w:top w:val="single" w:sz="4" w:space="0" w:color="auto"/>
              <w:left w:val="nil"/>
              <w:bottom w:val="single" w:sz="12" w:space="0" w:color="auto"/>
              <w:right w:val="nil"/>
            </w:tcBorders>
            <w:noWrap/>
            <w:vAlign w:val="bottom"/>
            <w:hideMark/>
          </w:tcPr>
          <w:p w:rsidR="0035659B" w:rsidRPr="009A66F1" w:rsidRDefault="0035659B" w:rsidP="0035659B">
            <w:pPr>
              <w:pStyle w:val="SingleTxtG"/>
              <w:keepNext/>
              <w:keepLines/>
              <w:spacing w:before="80" w:after="80" w:line="200" w:lineRule="exact"/>
              <w:ind w:left="0" w:right="113"/>
              <w:jc w:val="left"/>
              <w:rPr>
                <w:i/>
                <w:sz w:val="16"/>
                <w:szCs w:val="16"/>
              </w:rPr>
            </w:pPr>
            <w:r w:rsidRPr="009A66F1">
              <w:rPr>
                <w:i/>
                <w:sz w:val="16"/>
                <w:szCs w:val="16"/>
              </w:rPr>
              <w:t xml:space="preserve"> </w:t>
            </w:r>
          </w:p>
        </w:tc>
        <w:tc>
          <w:tcPr>
            <w:tcW w:w="1733" w:type="dxa"/>
            <w:tcBorders>
              <w:top w:val="single" w:sz="4" w:space="0" w:color="auto"/>
              <w:left w:val="nil"/>
              <w:bottom w:val="single" w:sz="12" w:space="0" w:color="auto"/>
              <w:right w:val="nil"/>
            </w:tcBorders>
            <w:noWrap/>
            <w:vAlign w:val="bottom"/>
            <w:hideMark/>
          </w:tcPr>
          <w:p w:rsidR="0035659B" w:rsidRPr="009A66F1" w:rsidRDefault="0035659B" w:rsidP="0035659B">
            <w:pPr>
              <w:pStyle w:val="SingleTxtG"/>
              <w:keepNext/>
              <w:keepLines/>
              <w:spacing w:before="80" w:after="80" w:line="200" w:lineRule="exact"/>
              <w:ind w:left="0" w:right="113"/>
              <w:jc w:val="left"/>
              <w:rPr>
                <w:i/>
                <w:sz w:val="16"/>
                <w:szCs w:val="16"/>
              </w:rPr>
            </w:pPr>
            <w:r w:rsidRPr="009A66F1">
              <w:rPr>
                <w:i/>
                <w:sz w:val="16"/>
                <w:szCs w:val="16"/>
              </w:rPr>
              <w:t xml:space="preserve"> </w:t>
            </w:r>
          </w:p>
        </w:tc>
        <w:tc>
          <w:tcPr>
            <w:tcW w:w="1551" w:type="dxa"/>
            <w:tcBorders>
              <w:top w:val="single" w:sz="4" w:space="0" w:color="auto"/>
              <w:left w:val="nil"/>
              <w:bottom w:val="single" w:sz="12" w:space="0" w:color="auto"/>
              <w:right w:val="nil"/>
            </w:tcBorders>
            <w:noWrap/>
            <w:vAlign w:val="bottom"/>
            <w:hideMark/>
          </w:tcPr>
          <w:p w:rsidR="0035659B" w:rsidRPr="009A66F1" w:rsidRDefault="0035659B" w:rsidP="0035659B">
            <w:pPr>
              <w:pStyle w:val="SingleTxtG"/>
              <w:keepNext/>
              <w:keepLines/>
              <w:spacing w:before="80" w:after="80" w:line="200" w:lineRule="exact"/>
              <w:ind w:left="0" w:right="113"/>
              <w:jc w:val="right"/>
              <w:rPr>
                <w:i/>
                <w:sz w:val="16"/>
                <w:szCs w:val="16"/>
              </w:rPr>
            </w:pPr>
            <w:r w:rsidRPr="009A66F1">
              <w:rPr>
                <w:i/>
                <w:iCs/>
                <w:sz w:val="16"/>
                <w:szCs w:val="16"/>
              </w:rPr>
              <w:t>2015</w:t>
            </w:r>
            <w:r>
              <w:rPr>
                <w:i/>
                <w:iCs/>
                <w:sz w:val="16"/>
                <w:szCs w:val="16"/>
              </w:rPr>
              <w:t xml:space="preserve"> год</w:t>
            </w:r>
          </w:p>
        </w:tc>
        <w:tc>
          <w:tcPr>
            <w:tcW w:w="1551" w:type="dxa"/>
            <w:tcBorders>
              <w:top w:val="single" w:sz="4" w:space="0" w:color="auto"/>
              <w:left w:val="nil"/>
              <w:bottom w:val="single" w:sz="12" w:space="0" w:color="auto"/>
              <w:right w:val="nil"/>
            </w:tcBorders>
            <w:noWrap/>
            <w:vAlign w:val="bottom"/>
            <w:hideMark/>
          </w:tcPr>
          <w:p w:rsidR="0035659B" w:rsidRPr="009A66F1" w:rsidRDefault="0035659B" w:rsidP="0035659B">
            <w:pPr>
              <w:pStyle w:val="SingleTxtG"/>
              <w:keepNext/>
              <w:keepLines/>
              <w:spacing w:before="80" w:after="80" w:line="200" w:lineRule="exact"/>
              <w:ind w:left="0" w:right="113"/>
              <w:jc w:val="right"/>
              <w:rPr>
                <w:i/>
                <w:sz w:val="16"/>
                <w:szCs w:val="16"/>
              </w:rPr>
            </w:pPr>
            <w:r w:rsidRPr="009A66F1">
              <w:rPr>
                <w:i/>
                <w:iCs/>
                <w:sz w:val="16"/>
                <w:szCs w:val="16"/>
              </w:rPr>
              <w:t>2016</w:t>
            </w:r>
            <w:r>
              <w:rPr>
                <w:i/>
                <w:iCs/>
                <w:sz w:val="16"/>
                <w:szCs w:val="16"/>
              </w:rPr>
              <w:t xml:space="preserve"> год</w:t>
            </w:r>
          </w:p>
        </w:tc>
        <w:tc>
          <w:tcPr>
            <w:tcW w:w="1551" w:type="dxa"/>
            <w:tcBorders>
              <w:top w:val="single" w:sz="4" w:space="0" w:color="auto"/>
              <w:left w:val="nil"/>
              <w:bottom w:val="single" w:sz="12" w:space="0" w:color="auto"/>
              <w:right w:val="nil"/>
            </w:tcBorders>
            <w:noWrap/>
            <w:vAlign w:val="bottom"/>
            <w:hideMark/>
          </w:tcPr>
          <w:p w:rsidR="0035659B" w:rsidRPr="009A66F1" w:rsidRDefault="0035659B" w:rsidP="0035659B">
            <w:pPr>
              <w:pStyle w:val="SingleTxtG"/>
              <w:keepNext/>
              <w:keepLines/>
              <w:spacing w:before="80" w:after="80" w:line="200" w:lineRule="exact"/>
              <w:ind w:left="0" w:right="113"/>
              <w:jc w:val="right"/>
              <w:rPr>
                <w:i/>
                <w:sz w:val="16"/>
                <w:szCs w:val="16"/>
              </w:rPr>
            </w:pPr>
            <w:r w:rsidRPr="009A66F1">
              <w:rPr>
                <w:i/>
                <w:iCs/>
                <w:sz w:val="16"/>
                <w:szCs w:val="16"/>
              </w:rPr>
              <w:t>2017</w:t>
            </w:r>
            <w:r>
              <w:rPr>
                <w:i/>
                <w:iCs/>
                <w:sz w:val="16"/>
                <w:szCs w:val="16"/>
              </w:rPr>
              <w:t xml:space="preserve"> год</w:t>
            </w:r>
          </w:p>
        </w:tc>
        <w:tc>
          <w:tcPr>
            <w:tcW w:w="1551" w:type="dxa"/>
            <w:tcBorders>
              <w:top w:val="single" w:sz="4" w:space="0" w:color="auto"/>
              <w:left w:val="nil"/>
              <w:bottom w:val="single" w:sz="12" w:space="0" w:color="auto"/>
              <w:right w:val="nil"/>
            </w:tcBorders>
            <w:noWrap/>
            <w:vAlign w:val="bottom"/>
            <w:hideMark/>
          </w:tcPr>
          <w:p w:rsidR="0035659B" w:rsidRPr="009A66F1" w:rsidRDefault="0035659B" w:rsidP="0035659B">
            <w:pPr>
              <w:pStyle w:val="SingleTxtG"/>
              <w:keepNext/>
              <w:keepLines/>
              <w:spacing w:before="80" w:after="80" w:line="200" w:lineRule="exact"/>
              <w:ind w:left="0" w:right="113"/>
              <w:jc w:val="right"/>
              <w:rPr>
                <w:i/>
                <w:sz w:val="16"/>
                <w:szCs w:val="16"/>
              </w:rPr>
            </w:pPr>
            <w:r w:rsidRPr="009A66F1">
              <w:rPr>
                <w:i/>
                <w:iCs/>
                <w:sz w:val="16"/>
                <w:szCs w:val="16"/>
              </w:rPr>
              <w:t>2018</w:t>
            </w:r>
            <w:r>
              <w:rPr>
                <w:i/>
                <w:iCs/>
                <w:sz w:val="16"/>
                <w:szCs w:val="16"/>
              </w:rPr>
              <w:t xml:space="preserve"> год</w:t>
            </w:r>
          </w:p>
        </w:tc>
      </w:tr>
      <w:tr w:rsidR="0035659B" w:rsidRPr="009A66F1" w:rsidTr="0035659B">
        <w:tc>
          <w:tcPr>
            <w:tcW w:w="1691" w:type="dxa"/>
            <w:vMerge w:val="restart"/>
            <w:tcBorders>
              <w:top w:val="single" w:sz="12" w:space="0" w:color="auto"/>
              <w:left w:val="nil"/>
              <w:bottom w:val="single" w:sz="4" w:space="0" w:color="auto"/>
              <w:right w:val="nil"/>
            </w:tcBorders>
            <w:noWrap/>
            <w:hideMark/>
          </w:tcPr>
          <w:p w:rsidR="0035659B" w:rsidRPr="009A66F1" w:rsidRDefault="0035659B" w:rsidP="0035659B">
            <w:pPr>
              <w:pStyle w:val="SingleTxtG"/>
              <w:keepNext/>
              <w:keepLines/>
              <w:spacing w:before="40" w:after="40" w:line="220" w:lineRule="exact"/>
              <w:ind w:left="430" w:right="113"/>
              <w:jc w:val="left"/>
              <w:rPr>
                <w:b/>
                <w:sz w:val="18"/>
                <w:szCs w:val="18"/>
              </w:rPr>
            </w:pPr>
            <w:r w:rsidRPr="009A66F1">
              <w:rPr>
                <w:b/>
                <w:bCs/>
                <w:sz w:val="18"/>
                <w:szCs w:val="18"/>
              </w:rPr>
              <w:t>Всего</w:t>
            </w:r>
          </w:p>
        </w:tc>
        <w:tc>
          <w:tcPr>
            <w:tcW w:w="1733" w:type="dxa"/>
            <w:tcBorders>
              <w:top w:val="single" w:sz="12" w:space="0" w:color="auto"/>
              <w:left w:val="nil"/>
              <w:bottom w:val="nil"/>
              <w:right w:val="nil"/>
            </w:tcBorders>
            <w:vAlign w:val="bottom"/>
            <w:hideMark/>
          </w:tcPr>
          <w:p w:rsidR="0035659B" w:rsidRPr="009A66F1" w:rsidRDefault="0035659B" w:rsidP="0035659B">
            <w:pPr>
              <w:pStyle w:val="SingleTxtG"/>
              <w:keepNext/>
              <w:keepLines/>
              <w:spacing w:before="40" w:after="40" w:line="220" w:lineRule="exact"/>
              <w:ind w:left="0" w:right="113"/>
              <w:jc w:val="left"/>
              <w:rPr>
                <w:b/>
                <w:sz w:val="18"/>
                <w:szCs w:val="18"/>
              </w:rPr>
            </w:pPr>
            <w:r w:rsidRPr="009A66F1">
              <w:rPr>
                <w:b/>
                <w:bCs/>
                <w:sz w:val="18"/>
                <w:szCs w:val="18"/>
              </w:rPr>
              <w:t>Инвалиды</w:t>
            </w:r>
          </w:p>
        </w:tc>
        <w:tc>
          <w:tcPr>
            <w:tcW w:w="1551" w:type="dxa"/>
            <w:tcBorders>
              <w:top w:val="single" w:sz="12" w:space="0" w:color="auto"/>
              <w:left w:val="nil"/>
              <w:bottom w:val="nil"/>
              <w:right w:val="nil"/>
            </w:tcBorders>
            <w:noWrap/>
            <w:vAlign w:val="bottom"/>
            <w:hideMark/>
          </w:tcPr>
          <w:p w:rsidR="0035659B" w:rsidRPr="009A66F1" w:rsidRDefault="0035659B" w:rsidP="0035659B">
            <w:pPr>
              <w:pStyle w:val="SingleTxtG"/>
              <w:keepNext/>
              <w:keepLines/>
              <w:spacing w:before="40" w:after="40" w:line="220" w:lineRule="exact"/>
              <w:ind w:left="0" w:right="113"/>
              <w:jc w:val="right"/>
              <w:rPr>
                <w:b/>
                <w:sz w:val="18"/>
                <w:szCs w:val="18"/>
              </w:rPr>
            </w:pPr>
            <w:r w:rsidRPr="009A66F1">
              <w:rPr>
                <w:b/>
                <w:bCs/>
                <w:sz w:val="18"/>
                <w:szCs w:val="18"/>
              </w:rPr>
              <w:t>9,7</w:t>
            </w:r>
          </w:p>
        </w:tc>
        <w:tc>
          <w:tcPr>
            <w:tcW w:w="1551" w:type="dxa"/>
            <w:tcBorders>
              <w:top w:val="single" w:sz="12" w:space="0" w:color="auto"/>
              <w:left w:val="nil"/>
              <w:bottom w:val="nil"/>
              <w:right w:val="nil"/>
            </w:tcBorders>
            <w:noWrap/>
            <w:vAlign w:val="bottom"/>
            <w:hideMark/>
          </w:tcPr>
          <w:p w:rsidR="0035659B" w:rsidRPr="009A66F1" w:rsidRDefault="0035659B" w:rsidP="0035659B">
            <w:pPr>
              <w:pStyle w:val="SingleTxtG"/>
              <w:keepNext/>
              <w:keepLines/>
              <w:spacing w:before="40" w:after="40" w:line="220" w:lineRule="exact"/>
              <w:ind w:left="0" w:right="113"/>
              <w:jc w:val="right"/>
              <w:rPr>
                <w:b/>
                <w:sz w:val="18"/>
                <w:szCs w:val="18"/>
              </w:rPr>
            </w:pPr>
            <w:r w:rsidRPr="009A66F1">
              <w:rPr>
                <w:b/>
                <w:bCs/>
                <w:sz w:val="18"/>
                <w:szCs w:val="18"/>
              </w:rPr>
              <w:t>10,9</w:t>
            </w:r>
          </w:p>
        </w:tc>
        <w:tc>
          <w:tcPr>
            <w:tcW w:w="1551" w:type="dxa"/>
            <w:tcBorders>
              <w:top w:val="single" w:sz="12" w:space="0" w:color="auto"/>
              <w:left w:val="nil"/>
              <w:bottom w:val="nil"/>
              <w:right w:val="nil"/>
            </w:tcBorders>
            <w:noWrap/>
            <w:vAlign w:val="bottom"/>
            <w:hideMark/>
          </w:tcPr>
          <w:p w:rsidR="0035659B" w:rsidRPr="009A66F1" w:rsidRDefault="0035659B" w:rsidP="0035659B">
            <w:pPr>
              <w:pStyle w:val="SingleTxtG"/>
              <w:keepNext/>
              <w:keepLines/>
              <w:spacing w:before="40" w:after="40" w:line="220" w:lineRule="exact"/>
              <w:ind w:left="0" w:right="113"/>
              <w:jc w:val="right"/>
              <w:rPr>
                <w:b/>
                <w:sz w:val="18"/>
                <w:szCs w:val="18"/>
              </w:rPr>
            </w:pPr>
            <w:r w:rsidRPr="009A66F1">
              <w:rPr>
                <w:b/>
                <w:bCs/>
                <w:sz w:val="18"/>
                <w:szCs w:val="18"/>
              </w:rPr>
              <w:t>8,1</w:t>
            </w:r>
          </w:p>
        </w:tc>
        <w:tc>
          <w:tcPr>
            <w:tcW w:w="1551" w:type="dxa"/>
            <w:tcBorders>
              <w:top w:val="single" w:sz="12" w:space="0" w:color="auto"/>
              <w:left w:val="nil"/>
              <w:bottom w:val="nil"/>
              <w:right w:val="nil"/>
            </w:tcBorders>
            <w:noWrap/>
            <w:vAlign w:val="bottom"/>
            <w:hideMark/>
          </w:tcPr>
          <w:p w:rsidR="0035659B" w:rsidRPr="009A66F1" w:rsidRDefault="0035659B" w:rsidP="0035659B">
            <w:pPr>
              <w:pStyle w:val="SingleTxtG"/>
              <w:keepNext/>
              <w:keepLines/>
              <w:spacing w:before="40" w:after="40" w:line="220" w:lineRule="exact"/>
              <w:ind w:left="0" w:right="113"/>
              <w:jc w:val="right"/>
              <w:rPr>
                <w:b/>
                <w:sz w:val="18"/>
                <w:szCs w:val="18"/>
              </w:rPr>
            </w:pPr>
            <w:r w:rsidRPr="009A66F1">
              <w:rPr>
                <w:b/>
                <w:bCs/>
                <w:sz w:val="18"/>
                <w:szCs w:val="18"/>
              </w:rPr>
              <w:t>7,6</w:t>
            </w:r>
          </w:p>
        </w:tc>
      </w:tr>
      <w:tr w:rsidR="0035659B" w:rsidRPr="009A66F1" w:rsidTr="0035659B">
        <w:tc>
          <w:tcPr>
            <w:tcW w:w="1691" w:type="dxa"/>
            <w:vMerge/>
            <w:tcBorders>
              <w:top w:val="single" w:sz="12" w:space="0" w:color="auto"/>
              <w:left w:val="nil"/>
              <w:bottom w:val="single" w:sz="4" w:space="0" w:color="auto"/>
              <w:right w:val="nil"/>
            </w:tcBorders>
            <w:vAlign w:val="center"/>
            <w:hideMark/>
          </w:tcPr>
          <w:p w:rsidR="0035659B" w:rsidRPr="009A66F1" w:rsidRDefault="0035659B" w:rsidP="0035659B">
            <w:pPr>
              <w:spacing w:before="40" w:after="40"/>
              <w:rPr>
                <w:b/>
                <w:sz w:val="18"/>
                <w:szCs w:val="18"/>
              </w:rPr>
            </w:pPr>
          </w:p>
        </w:tc>
        <w:tc>
          <w:tcPr>
            <w:tcW w:w="1733" w:type="dxa"/>
            <w:tcBorders>
              <w:top w:val="nil"/>
              <w:left w:val="nil"/>
              <w:bottom w:val="single" w:sz="4" w:space="0" w:color="auto"/>
              <w:right w:val="nil"/>
            </w:tcBorders>
            <w:vAlign w:val="bottom"/>
            <w:hideMark/>
          </w:tcPr>
          <w:p w:rsidR="0035659B" w:rsidRPr="009A66F1" w:rsidRDefault="0035659B" w:rsidP="0035659B">
            <w:pPr>
              <w:pStyle w:val="SingleTxtG"/>
              <w:keepNext/>
              <w:keepLines/>
              <w:spacing w:before="40" w:after="40" w:line="220" w:lineRule="exact"/>
              <w:ind w:left="0" w:right="113"/>
              <w:jc w:val="left"/>
              <w:rPr>
                <w:b/>
                <w:sz w:val="18"/>
                <w:szCs w:val="18"/>
              </w:rPr>
            </w:pPr>
            <w:r w:rsidRPr="009A66F1">
              <w:rPr>
                <w:b/>
                <w:bCs/>
                <w:sz w:val="18"/>
                <w:szCs w:val="18"/>
              </w:rPr>
              <w:t>Инвалиды и</w:t>
            </w:r>
            <w:r>
              <w:rPr>
                <w:b/>
                <w:bCs/>
                <w:sz w:val="18"/>
                <w:szCs w:val="18"/>
              </w:rPr>
              <w:t> </w:t>
            </w:r>
            <w:r w:rsidRPr="009A66F1">
              <w:rPr>
                <w:b/>
                <w:bCs/>
                <w:sz w:val="18"/>
                <w:szCs w:val="18"/>
              </w:rPr>
              <w:t>лица без инвалидности</w:t>
            </w:r>
          </w:p>
        </w:tc>
        <w:tc>
          <w:tcPr>
            <w:tcW w:w="1551" w:type="dxa"/>
            <w:tcBorders>
              <w:top w:val="nil"/>
              <w:left w:val="nil"/>
              <w:bottom w:val="single" w:sz="4" w:space="0" w:color="auto"/>
              <w:right w:val="nil"/>
            </w:tcBorders>
            <w:noWrap/>
            <w:vAlign w:val="bottom"/>
            <w:hideMark/>
          </w:tcPr>
          <w:p w:rsidR="0035659B" w:rsidRPr="009A66F1" w:rsidRDefault="0035659B" w:rsidP="0035659B">
            <w:pPr>
              <w:pStyle w:val="SingleTxtG"/>
              <w:keepNext/>
              <w:keepLines/>
              <w:spacing w:before="40" w:after="40" w:line="220" w:lineRule="exact"/>
              <w:ind w:left="0" w:right="113"/>
              <w:jc w:val="right"/>
              <w:rPr>
                <w:b/>
                <w:sz w:val="18"/>
                <w:szCs w:val="18"/>
              </w:rPr>
            </w:pPr>
            <w:r w:rsidRPr="009A66F1">
              <w:rPr>
                <w:b/>
                <w:bCs/>
                <w:sz w:val="18"/>
                <w:szCs w:val="18"/>
              </w:rPr>
              <w:t>4,5</w:t>
            </w:r>
          </w:p>
        </w:tc>
        <w:tc>
          <w:tcPr>
            <w:tcW w:w="1551" w:type="dxa"/>
            <w:tcBorders>
              <w:top w:val="nil"/>
              <w:left w:val="nil"/>
              <w:bottom w:val="single" w:sz="4" w:space="0" w:color="auto"/>
              <w:right w:val="nil"/>
            </w:tcBorders>
            <w:noWrap/>
            <w:vAlign w:val="bottom"/>
            <w:hideMark/>
          </w:tcPr>
          <w:p w:rsidR="0035659B" w:rsidRPr="009A66F1" w:rsidRDefault="0035659B" w:rsidP="0035659B">
            <w:pPr>
              <w:pStyle w:val="SingleTxtG"/>
              <w:keepNext/>
              <w:keepLines/>
              <w:spacing w:before="40" w:after="40" w:line="220" w:lineRule="exact"/>
              <w:ind w:left="0" w:right="113"/>
              <w:jc w:val="right"/>
              <w:rPr>
                <w:b/>
                <w:sz w:val="18"/>
                <w:szCs w:val="18"/>
              </w:rPr>
            </w:pPr>
            <w:r w:rsidRPr="009A66F1">
              <w:rPr>
                <w:b/>
                <w:bCs/>
                <w:sz w:val="18"/>
                <w:szCs w:val="18"/>
              </w:rPr>
              <w:t>4,7</w:t>
            </w:r>
          </w:p>
        </w:tc>
        <w:tc>
          <w:tcPr>
            <w:tcW w:w="1551" w:type="dxa"/>
            <w:tcBorders>
              <w:top w:val="nil"/>
              <w:left w:val="nil"/>
              <w:bottom w:val="single" w:sz="4" w:space="0" w:color="auto"/>
              <w:right w:val="nil"/>
            </w:tcBorders>
            <w:noWrap/>
            <w:vAlign w:val="bottom"/>
            <w:hideMark/>
          </w:tcPr>
          <w:p w:rsidR="0035659B" w:rsidRPr="009A66F1" w:rsidRDefault="0035659B" w:rsidP="0035659B">
            <w:pPr>
              <w:pStyle w:val="SingleTxtG"/>
              <w:keepNext/>
              <w:keepLines/>
              <w:spacing w:before="40" w:after="40" w:line="220" w:lineRule="exact"/>
              <w:ind w:left="0" w:right="113"/>
              <w:jc w:val="right"/>
              <w:rPr>
                <w:b/>
                <w:sz w:val="18"/>
                <w:szCs w:val="18"/>
              </w:rPr>
            </w:pPr>
            <w:r w:rsidRPr="009A66F1">
              <w:rPr>
                <w:b/>
                <w:bCs/>
                <w:sz w:val="18"/>
                <w:szCs w:val="18"/>
              </w:rPr>
              <w:t>4,1</w:t>
            </w:r>
          </w:p>
        </w:tc>
        <w:tc>
          <w:tcPr>
            <w:tcW w:w="1551" w:type="dxa"/>
            <w:tcBorders>
              <w:top w:val="nil"/>
              <w:left w:val="nil"/>
              <w:bottom w:val="single" w:sz="4" w:space="0" w:color="auto"/>
              <w:right w:val="nil"/>
            </w:tcBorders>
            <w:noWrap/>
            <w:vAlign w:val="bottom"/>
            <w:hideMark/>
          </w:tcPr>
          <w:p w:rsidR="0035659B" w:rsidRPr="009A66F1" w:rsidRDefault="0035659B" w:rsidP="0035659B">
            <w:pPr>
              <w:pStyle w:val="SingleTxtG"/>
              <w:keepNext/>
              <w:keepLines/>
              <w:spacing w:before="40" w:after="40" w:line="220" w:lineRule="exact"/>
              <w:ind w:left="0" w:right="113"/>
              <w:jc w:val="right"/>
              <w:rPr>
                <w:b/>
                <w:sz w:val="18"/>
                <w:szCs w:val="18"/>
              </w:rPr>
            </w:pPr>
            <w:r w:rsidRPr="009A66F1">
              <w:rPr>
                <w:b/>
                <w:bCs/>
                <w:sz w:val="18"/>
                <w:szCs w:val="18"/>
              </w:rPr>
              <w:t>3,8</w:t>
            </w:r>
          </w:p>
        </w:tc>
      </w:tr>
      <w:tr w:rsidR="0035659B" w:rsidRPr="009A66F1" w:rsidTr="0035659B">
        <w:tc>
          <w:tcPr>
            <w:tcW w:w="1691" w:type="dxa"/>
            <w:vMerge w:val="restart"/>
            <w:tcBorders>
              <w:top w:val="single" w:sz="4" w:space="0" w:color="auto"/>
              <w:left w:val="nil"/>
              <w:bottom w:val="nil"/>
              <w:right w:val="nil"/>
            </w:tcBorders>
            <w:noWrap/>
            <w:hideMark/>
          </w:tcPr>
          <w:p w:rsidR="0035659B" w:rsidRPr="009A66F1" w:rsidRDefault="0035659B" w:rsidP="0035659B">
            <w:pPr>
              <w:pStyle w:val="SingleTxtG"/>
              <w:spacing w:before="40" w:after="40" w:line="220" w:lineRule="exact"/>
              <w:ind w:left="0" w:right="113"/>
              <w:jc w:val="left"/>
              <w:rPr>
                <w:sz w:val="18"/>
                <w:szCs w:val="18"/>
              </w:rPr>
            </w:pPr>
            <w:r w:rsidRPr="009A66F1">
              <w:rPr>
                <w:sz w:val="18"/>
                <w:szCs w:val="18"/>
              </w:rPr>
              <w:t>Мужчины</w:t>
            </w:r>
          </w:p>
        </w:tc>
        <w:tc>
          <w:tcPr>
            <w:tcW w:w="1733" w:type="dxa"/>
            <w:tcBorders>
              <w:top w:val="single" w:sz="4" w:space="0" w:color="auto"/>
              <w:left w:val="nil"/>
              <w:bottom w:val="nil"/>
              <w:right w:val="nil"/>
            </w:tcBorders>
            <w:vAlign w:val="bottom"/>
            <w:hideMark/>
          </w:tcPr>
          <w:p w:rsidR="0035659B" w:rsidRPr="009A66F1" w:rsidRDefault="0035659B" w:rsidP="0035659B">
            <w:pPr>
              <w:pStyle w:val="SingleTxtG"/>
              <w:keepNext/>
              <w:keepLines/>
              <w:spacing w:before="40" w:after="40" w:line="220" w:lineRule="exact"/>
              <w:ind w:left="0" w:right="113"/>
              <w:jc w:val="left"/>
              <w:rPr>
                <w:sz w:val="18"/>
                <w:szCs w:val="18"/>
              </w:rPr>
            </w:pPr>
            <w:r w:rsidRPr="009A66F1">
              <w:rPr>
                <w:sz w:val="18"/>
                <w:szCs w:val="18"/>
              </w:rPr>
              <w:t>Инвалиды</w:t>
            </w:r>
          </w:p>
        </w:tc>
        <w:tc>
          <w:tcPr>
            <w:tcW w:w="1551" w:type="dxa"/>
            <w:tcBorders>
              <w:top w:val="single" w:sz="4" w:space="0" w:color="auto"/>
              <w:left w:val="nil"/>
              <w:bottom w:val="nil"/>
              <w:right w:val="nil"/>
            </w:tcBorders>
            <w:noWrap/>
            <w:vAlign w:val="bottom"/>
            <w:hideMark/>
          </w:tcPr>
          <w:p w:rsidR="0035659B" w:rsidRPr="009A66F1" w:rsidRDefault="0035659B" w:rsidP="0035659B">
            <w:pPr>
              <w:pStyle w:val="SingleTxtG"/>
              <w:keepNext/>
              <w:keepLines/>
              <w:spacing w:before="40" w:after="40" w:line="220" w:lineRule="exact"/>
              <w:ind w:left="0" w:right="113"/>
              <w:jc w:val="right"/>
              <w:rPr>
                <w:sz w:val="18"/>
                <w:szCs w:val="18"/>
              </w:rPr>
            </w:pPr>
            <w:r w:rsidRPr="009A66F1">
              <w:rPr>
                <w:sz w:val="18"/>
                <w:szCs w:val="18"/>
              </w:rPr>
              <w:t>10,1</w:t>
            </w:r>
          </w:p>
        </w:tc>
        <w:tc>
          <w:tcPr>
            <w:tcW w:w="1551" w:type="dxa"/>
            <w:tcBorders>
              <w:top w:val="single" w:sz="4" w:space="0" w:color="auto"/>
              <w:left w:val="nil"/>
              <w:bottom w:val="nil"/>
              <w:right w:val="nil"/>
            </w:tcBorders>
            <w:noWrap/>
            <w:vAlign w:val="bottom"/>
            <w:hideMark/>
          </w:tcPr>
          <w:p w:rsidR="0035659B" w:rsidRPr="009A66F1" w:rsidRDefault="0035659B" w:rsidP="0035659B">
            <w:pPr>
              <w:pStyle w:val="SingleTxtG"/>
              <w:keepNext/>
              <w:keepLines/>
              <w:spacing w:before="40" w:after="40" w:line="220" w:lineRule="exact"/>
              <w:ind w:left="0" w:right="113"/>
              <w:jc w:val="right"/>
              <w:rPr>
                <w:sz w:val="18"/>
                <w:szCs w:val="18"/>
              </w:rPr>
            </w:pPr>
            <w:r w:rsidRPr="009A66F1">
              <w:rPr>
                <w:sz w:val="18"/>
                <w:szCs w:val="18"/>
              </w:rPr>
              <w:t>12,3</w:t>
            </w:r>
          </w:p>
        </w:tc>
        <w:tc>
          <w:tcPr>
            <w:tcW w:w="1551" w:type="dxa"/>
            <w:tcBorders>
              <w:top w:val="single" w:sz="4" w:space="0" w:color="auto"/>
              <w:left w:val="nil"/>
              <w:bottom w:val="nil"/>
              <w:right w:val="nil"/>
            </w:tcBorders>
            <w:noWrap/>
            <w:vAlign w:val="bottom"/>
            <w:hideMark/>
          </w:tcPr>
          <w:p w:rsidR="0035659B" w:rsidRPr="009A66F1" w:rsidRDefault="0035659B" w:rsidP="0035659B">
            <w:pPr>
              <w:pStyle w:val="SingleTxtG"/>
              <w:keepNext/>
              <w:keepLines/>
              <w:spacing w:before="40" w:after="40" w:line="220" w:lineRule="exact"/>
              <w:ind w:left="0" w:right="113"/>
              <w:jc w:val="right"/>
              <w:rPr>
                <w:sz w:val="18"/>
                <w:szCs w:val="18"/>
              </w:rPr>
            </w:pPr>
            <w:r w:rsidRPr="009A66F1">
              <w:rPr>
                <w:sz w:val="18"/>
                <w:szCs w:val="18"/>
              </w:rPr>
              <w:t>6,9</w:t>
            </w:r>
          </w:p>
        </w:tc>
        <w:tc>
          <w:tcPr>
            <w:tcW w:w="1551" w:type="dxa"/>
            <w:tcBorders>
              <w:top w:val="single" w:sz="4" w:space="0" w:color="auto"/>
              <w:left w:val="nil"/>
              <w:bottom w:val="nil"/>
              <w:right w:val="nil"/>
            </w:tcBorders>
            <w:noWrap/>
            <w:vAlign w:val="bottom"/>
            <w:hideMark/>
          </w:tcPr>
          <w:p w:rsidR="0035659B" w:rsidRPr="009A66F1" w:rsidRDefault="0035659B" w:rsidP="0035659B">
            <w:pPr>
              <w:pStyle w:val="SingleTxtG"/>
              <w:keepNext/>
              <w:keepLines/>
              <w:spacing w:before="40" w:after="40" w:line="220" w:lineRule="exact"/>
              <w:ind w:left="0" w:right="113"/>
              <w:jc w:val="right"/>
              <w:rPr>
                <w:sz w:val="18"/>
                <w:szCs w:val="18"/>
              </w:rPr>
            </w:pPr>
            <w:r w:rsidRPr="009A66F1">
              <w:rPr>
                <w:sz w:val="18"/>
                <w:szCs w:val="18"/>
              </w:rPr>
              <w:t>7,7</w:t>
            </w:r>
          </w:p>
        </w:tc>
      </w:tr>
      <w:tr w:rsidR="0035659B" w:rsidRPr="009A66F1" w:rsidTr="00057462">
        <w:tc>
          <w:tcPr>
            <w:tcW w:w="1691" w:type="dxa"/>
            <w:vMerge/>
            <w:tcBorders>
              <w:top w:val="single" w:sz="4" w:space="0" w:color="auto"/>
              <w:left w:val="nil"/>
              <w:bottom w:val="nil"/>
              <w:right w:val="nil"/>
            </w:tcBorders>
            <w:vAlign w:val="center"/>
            <w:hideMark/>
          </w:tcPr>
          <w:p w:rsidR="0035659B" w:rsidRPr="009A66F1" w:rsidRDefault="0035659B" w:rsidP="0035659B">
            <w:pPr>
              <w:rPr>
                <w:sz w:val="18"/>
                <w:szCs w:val="18"/>
              </w:rPr>
            </w:pPr>
          </w:p>
        </w:tc>
        <w:tc>
          <w:tcPr>
            <w:tcW w:w="1733" w:type="dxa"/>
            <w:tcBorders>
              <w:top w:val="nil"/>
              <w:left w:val="nil"/>
              <w:bottom w:val="nil"/>
              <w:right w:val="nil"/>
            </w:tcBorders>
            <w:vAlign w:val="bottom"/>
            <w:hideMark/>
          </w:tcPr>
          <w:p w:rsidR="0035659B" w:rsidRPr="009A66F1" w:rsidRDefault="0035659B" w:rsidP="0035659B">
            <w:pPr>
              <w:pStyle w:val="SingleTxtG"/>
              <w:spacing w:before="40" w:after="40" w:line="220" w:lineRule="exact"/>
              <w:ind w:left="0" w:right="113"/>
              <w:jc w:val="left"/>
              <w:rPr>
                <w:sz w:val="18"/>
                <w:szCs w:val="18"/>
              </w:rPr>
            </w:pPr>
            <w:r w:rsidRPr="009A66F1">
              <w:rPr>
                <w:sz w:val="18"/>
                <w:szCs w:val="18"/>
              </w:rPr>
              <w:t>Инвалиды и</w:t>
            </w:r>
            <w:r>
              <w:rPr>
                <w:sz w:val="18"/>
                <w:szCs w:val="18"/>
              </w:rPr>
              <w:t> </w:t>
            </w:r>
            <w:r w:rsidRPr="009A66F1">
              <w:rPr>
                <w:sz w:val="18"/>
                <w:szCs w:val="18"/>
              </w:rPr>
              <w:t>лица без инвалидности</w:t>
            </w:r>
          </w:p>
        </w:tc>
        <w:tc>
          <w:tcPr>
            <w:tcW w:w="1551" w:type="dxa"/>
            <w:tcBorders>
              <w:top w:val="nil"/>
              <w:left w:val="nil"/>
              <w:bottom w:val="nil"/>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4,3</w:t>
            </w:r>
          </w:p>
        </w:tc>
        <w:tc>
          <w:tcPr>
            <w:tcW w:w="1551" w:type="dxa"/>
            <w:tcBorders>
              <w:top w:val="nil"/>
              <w:left w:val="nil"/>
              <w:bottom w:val="nil"/>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4,6</w:t>
            </w:r>
          </w:p>
        </w:tc>
        <w:tc>
          <w:tcPr>
            <w:tcW w:w="1551" w:type="dxa"/>
            <w:tcBorders>
              <w:top w:val="nil"/>
              <w:left w:val="nil"/>
              <w:bottom w:val="nil"/>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3,6</w:t>
            </w:r>
          </w:p>
        </w:tc>
        <w:tc>
          <w:tcPr>
            <w:tcW w:w="1551" w:type="dxa"/>
            <w:tcBorders>
              <w:top w:val="nil"/>
              <w:left w:val="nil"/>
              <w:bottom w:val="nil"/>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3,7</w:t>
            </w:r>
          </w:p>
        </w:tc>
      </w:tr>
      <w:tr w:rsidR="0035659B" w:rsidRPr="009A66F1" w:rsidTr="00057462">
        <w:tc>
          <w:tcPr>
            <w:tcW w:w="1691" w:type="dxa"/>
            <w:vMerge w:val="restart"/>
            <w:tcBorders>
              <w:top w:val="nil"/>
              <w:left w:val="nil"/>
              <w:bottom w:val="single" w:sz="12" w:space="0" w:color="auto"/>
              <w:right w:val="nil"/>
            </w:tcBorders>
            <w:noWrap/>
            <w:hideMark/>
          </w:tcPr>
          <w:p w:rsidR="0035659B" w:rsidRPr="009A66F1" w:rsidRDefault="0035659B" w:rsidP="0035659B">
            <w:pPr>
              <w:pStyle w:val="SingleTxtG"/>
              <w:spacing w:before="40" w:after="40" w:line="220" w:lineRule="exact"/>
              <w:ind w:left="0" w:right="113"/>
              <w:jc w:val="left"/>
              <w:rPr>
                <w:sz w:val="18"/>
                <w:szCs w:val="18"/>
              </w:rPr>
            </w:pPr>
            <w:r w:rsidRPr="009A66F1">
              <w:rPr>
                <w:sz w:val="18"/>
                <w:szCs w:val="18"/>
              </w:rPr>
              <w:t>Женщины</w:t>
            </w:r>
          </w:p>
        </w:tc>
        <w:tc>
          <w:tcPr>
            <w:tcW w:w="1733" w:type="dxa"/>
            <w:tcBorders>
              <w:top w:val="nil"/>
              <w:left w:val="nil"/>
              <w:bottom w:val="nil"/>
              <w:right w:val="nil"/>
            </w:tcBorders>
            <w:vAlign w:val="bottom"/>
            <w:hideMark/>
          </w:tcPr>
          <w:p w:rsidR="0035659B" w:rsidRPr="009A66F1" w:rsidRDefault="0035659B" w:rsidP="0035659B">
            <w:pPr>
              <w:pStyle w:val="SingleTxtG"/>
              <w:spacing w:before="40" w:after="40" w:line="220" w:lineRule="exact"/>
              <w:ind w:left="0" w:right="113"/>
              <w:jc w:val="left"/>
              <w:rPr>
                <w:sz w:val="18"/>
                <w:szCs w:val="18"/>
              </w:rPr>
            </w:pPr>
            <w:r w:rsidRPr="009A66F1">
              <w:rPr>
                <w:sz w:val="18"/>
                <w:szCs w:val="18"/>
              </w:rPr>
              <w:t>Инвалиды</w:t>
            </w:r>
          </w:p>
        </w:tc>
        <w:tc>
          <w:tcPr>
            <w:tcW w:w="1551" w:type="dxa"/>
            <w:tcBorders>
              <w:top w:val="nil"/>
              <w:left w:val="nil"/>
              <w:bottom w:val="nil"/>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9,4</w:t>
            </w:r>
          </w:p>
        </w:tc>
        <w:tc>
          <w:tcPr>
            <w:tcW w:w="1551" w:type="dxa"/>
            <w:tcBorders>
              <w:top w:val="nil"/>
              <w:left w:val="nil"/>
              <w:bottom w:val="nil"/>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9,9</w:t>
            </w:r>
          </w:p>
        </w:tc>
        <w:tc>
          <w:tcPr>
            <w:tcW w:w="1551" w:type="dxa"/>
            <w:tcBorders>
              <w:top w:val="nil"/>
              <w:left w:val="nil"/>
              <w:bottom w:val="nil"/>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9,0</w:t>
            </w:r>
          </w:p>
        </w:tc>
        <w:tc>
          <w:tcPr>
            <w:tcW w:w="1551" w:type="dxa"/>
            <w:tcBorders>
              <w:top w:val="nil"/>
              <w:left w:val="nil"/>
              <w:bottom w:val="nil"/>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7,5</w:t>
            </w:r>
          </w:p>
        </w:tc>
      </w:tr>
      <w:tr w:rsidR="0035659B" w:rsidRPr="009A66F1" w:rsidTr="00057462">
        <w:tc>
          <w:tcPr>
            <w:tcW w:w="1691" w:type="dxa"/>
            <w:vMerge/>
            <w:tcBorders>
              <w:top w:val="single" w:sz="4" w:space="0" w:color="auto"/>
              <w:left w:val="nil"/>
              <w:bottom w:val="single" w:sz="12" w:space="0" w:color="auto"/>
              <w:right w:val="nil"/>
            </w:tcBorders>
            <w:vAlign w:val="center"/>
            <w:hideMark/>
          </w:tcPr>
          <w:p w:rsidR="0035659B" w:rsidRPr="009A66F1" w:rsidRDefault="0035659B" w:rsidP="0035659B">
            <w:pPr>
              <w:rPr>
                <w:sz w:val="18"/>
                <w:szCs w:val="18"/>
              </w:rPr>
            </w:pPr>
          </w:p>
        </w:tc>
        <w:tc>
          <w:tcPr>
            <w:tcW w:w="1733" w:type="dxa"/>
            <w:tcBorders>
              <w:top w:val="nil"/>
              <w:left w:val="nil"/>
              <w:bottom w:val="single" w:sz="12" w:space="0" w:color="auto"/>
              <w:right w:val="nil"/>
            </w:tcBorders>
            <w:vAlign w:val="bottom"/>
            <w:hideMark/>
          </w:tcPr>
          <w:p w:rsidR="0035659B" w:rsidRPr="009A66F1" w:rsidRDefault="0035659B" w:rsidP="0035659B">
            <w:pPr>
              <w:pStyle w:val="SingleTxtG"/>
              <w:spacing w:before="40" w:after="40" w:line="220" w:lineRule="exact"/>
              <w:ind w:left="0" w:right="113"/>
              <w:jc w:val="left"/>
              <w:rPr>
                <w:sz w:val="18"/>
                <w:szCs w:val="18"/>
              </w:rPr>
            </w:pPr>
            <w:r w:rsidRPr="009A66F1">
              <w:rPr>
                <w:sz w:val="18"/>
                <w:szCs w:val="18"/>
              </w:rPr>
              <w:t>Инвалиды и</w:t>
            </w:r>
            <w:r>
              <w:rPr>
                <w:sz w:val="18"/>
                <w:szCs w:val="18"/>
              </w:rPr>
              <w:t> </w:t>
            </w:r>
            <w:r w:rsidRPr="009A66F1">
              <w:rPr>
                <w:sz w:val="18"/>
                <w:szCs w:val="18"/>
              </w:rPr>
              <w:t>лица без инвалидности</w:t>
            </w:r>
          </w:p>
        </w:tc>
        <w:tc>
          <w:tcPr>
            <w:tcW w:w="1551" w:type="dxa"/>
            <w:tcBorders>
              <w:top w:val="nil"/>
              <w:left w:val="nil"/>
              <w:bottom w:val="single" w:sz="12" w:space="0" w:color="auto"/>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4,7</w:t>
            </w:r>
          </w:p>
        </w:tc>
        <w:tc>
          <w:tcPr>
            <w:tcW w:w="1551" w:type="dxa"/>
            <w:tcBorders>
              <w:top w:val="nil"/>
              <w:left w:val="nil"/>
              <w:bottom w:val="single" w:sz="12" w:space="0" w:color="auto"/>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4,8</w:t>
            </w:r>
          </w:p>
        </w:tc>
        <w:tc>
          <w:tcPr>
            <w:tcW w:w="1551" w:type="dxa"/>
            <w:tcBorders>
              <w:top w:val="nil"/>
              <w:left w:val="nil"/>
              <w:bottom w:val="single" w:sz="12" w:space="0" w:color="auto"/>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4,5</w:t>
            </w:r>
          </w:p>
        </w:tc>
        <w:tc>
          <w:tcPr>
            <w:tcW w:w="1551" w:type="dxa"/>
            <w:tcBorders>
              <w:top w:val="nil"/>
              <w:left w:val="nil"/>
              <w:bottom w:val="single" w:sz="12" w:space="0" w:color="auto"/>
              <w:right w:val="nil"/>
            </w:tcBorders>
            <w:noWrap/>
            <w:vAlign w:val="bottom"/>
            <w:hideMark/>
          </w:tcPr>
          <w:p w:rsidR="0035659B" w:rsidRPr="009A66F1" w:rsidRDefault="0035659B" w:rsidP="0035659B">
            <w:pPr>
              <w:pStyle w:val="SingleTxtG"/>
              <w:spacing w:before="40" w:after="40" w:line="220" w:lineRule="exact"/>
              <w:ind w:left="0" w:right="113"/>
              <w:jc w:val="right"/>
              <w:rPr>
                <w:sz w:val="18"/>
                <w:szCs w:val="18"/>
              </w:rPr>
            </w:pPr>
            <w:r w:rsidRPr="009A66F1">
              <w:rPr>
                <w:sz w:val="18"/>
                <w:szCs w:val="18"/>
              </w:rPr>
              <w:t>3,8</w:t>
            </w:r>
          </w:p>
        </w:tc>
      </w:tr>
    </w:tbl>
    <w:p w:rsidR="0035659B" w:rsidRPr="009A66F1" w:rsidRDefault="0035659B" w:rsidP="00057462">
      <w:pPr>
        <w:spacing w:before="120" w:after="240" w:line="220" w:lineRule="exact"/>
        <w:ind w:left="1304" w:right="1134" w:firstLine="170"/>
        <w:rPr>
          <w:sz w:val="18"/>
          <w:szCs w:val="18"/>
        </w:rPr>
      </w:pPr>
      <w:r w:rsidRPr="009A66F1">
        <w:rPr>
          <w:i/>
          <w:sz w:val="18"/>
          <w:szCs w:val="18"/>
        </w:rPr>
        <w:t>Источник</w:t>
      </w:r>
      <w:r w:rsidRPr="009A66F1">
        <w:rPr>
          <w:sz w:val="18"/>
          <w:szCs w:val="18"/>
        </w:rPr>
        <w:t xml:space="preserve">: Статистическое бюро Эстонии, эстонское социологическое обследование </w:t>
      </w:r>
      <w:r>
        <w:rPr>
          <w:sz w:val="18"/>
          <w:szCs w:val="18"/>
        </w:rPr>
        <w:br/>
      </w:r>
      <w:r w:rsidRPr="009A66F1">
        <w:rPr>
          <w:sz w:val="18"/>
          <w:szCs w:val="18"/>
        </w:rPr>
        <w:t>в</w:t>
      </w:r>
      <w:r>
        <w:rPr>
          <w:sz w:val="18"/>
          <w:szCs w:val="18"/>
        </w:rPr>
        <w:t> </w:t>
      </w:r>
      <w:r w:rsidRPr="009A66F1">
        <w:rPr>
          <w:sz w:val="18"/>
          <w:szCs w:val="18"/>
        </w:rPr>
        <w:t>201</w:t>
      </w:r>
      <w:r>
        <w:rPr>
          <w:sz w:val="18"/>
          <w:szCs w:val="18"/>
        </w:rPr>
        <w:t>5–</w:t>
      </w:r>
      <w:r w:rsidRPr="009A66F1">
        <w:rPr>
          <w:sz w:val="18"/>
          <w:szCs w:val="18"/>
        </w:rPr>
        <w:t>2018 годах</w:t>
      </w:r>
      <w:r>
        <w:rPr>
          <w:sz w:val="18"/>
          <w:szCs w:val="18"/>
        </w:rPr>
        <w:t>.</w:t>
      </w:r>
    </w:p>
    <w:p w:rsidR="0035659B" w:rsidRPr="00F43B63" w:rsidRDefault="0035659B" w:rsidP="0035659B">
      <w:pPr>
        <w:pStyle w:val="SingleTxtG"/>
      </w:pPr>
      <w:r>
        <w:t>143.</w:t>
      </w:r>
      <w:r>
        <w:tab/>
        <w:t xml:space="preserve">Принципы универсального дизайна применяются более или менее успешно как в развитии инфраструктуры, так и в использовании автотранспортных средств в рамках госзаказов. </w:t>
      </w:r>
    </w:p>
    <w:p w:rsidR="0035659B" w:rsidRPr="00F43B63" w:rsidRDefault="0035659B" w:rsidP="0035659B">
      <w:pPr>
        <w:pStyle w:val="SingleTxtG"/>
      </w:pPr>
      <w:r>
        <w:t>144.</w:t>
      </w:r>
      <w:r>
        <w:tab/>
        <w:t>См. также ответы на пункт 5</w:t>
      </w:r>
      <w:r w:rsidR="00057462">
        <w:t xml:space="preserve"> </w:t>
      </w:r>
      <w:r>
        <w:t>b) по статье 7, а также по статье 9 и пр</w:t>
      </w:r>
      <w:r w:rsidR="00057462">
        <w:t>очие</w:t>
      </w:r>
      <w:r>
        <w:t xml:space="preserve">. </w:t>
      </w:r>
    </w:p>
    <w:p w:rsidR="0035659B" w:rsidRPr="00F43B63" w:rsidRDefault="0035659B" w:rsidP="0035659B">
      <w:pPr>
        <w:pStyle w:val="H1G"/>
      </w:pPr>
      <w:r>
        <w:lastRenderedPageBreak/>
        <w:tab/>
      </w:r>
      <w:r>
        <w:tab/>
      </w:r>
      <w:r>
        <w:rPr>
          <w:bCs/>
        </w:rPr>
        <w:t>Участие в политической и общественной жизни (статья 29)</w:t>
      </w:r>
    </w:p>
    <w:p w:rsidR="0035659B" w:rsidRPr="00F43B63" w:rsidRDefault="0035659B" w:rsidP="0035659B">
      <w:pPr>
        <w:pStyle w:val="H23G"/>
      </w:pPr>
      <w:r>
        <w:tab/>
      </w:r>
      <w:r>
        <w:tab/>
      </w:r>
      <w:r>
        <w:rPr>
          <w:bCs/>
        </w:rPr>
        <w:t>Ответ на пункт 22 перечня вопросов</w:t>
      </w:r>
      <w:r>
        <w:t xml:space="preserve"> </w:t>
      </w:r>
    </w:p>
    <w:p w:rsidR="0035659B" w:rsidRPr="00F43B63" w:rsidRDefault="0035659B" w:rsidP="0035659B">
      <w:pPr>
        <w:pStyle w:val="SingleTxtG"/>
      </w:pPr>
      <w:r>
        <w:t>145.</w:t>
      </w:r>
      <w:r>
        <w:tab/>
        <w:t xml:space="preserve">Все лица, достигшие установленного законом возраста, имеют равное право голосовать и участвовать в выборах или быть избранными. В соответствии с Законом о выборах все лица, имеющие право голосовать на выборах, должны иметь возможность голосовать в соответствии со своим выбором на избирательном участке, в электронной форме или на дому. Как правило, избиратели должны голосовать самостоятельно. Однако избиратели, которые желают воспользоваться помощью или нуждаются в помощи для заполнения бюллетеня, имеют право на помощь со стороны любого лица по их усмотрению, если только это лицо не является кандидатом в данном избирательном округе. Закон о выборах в </w:t>
      </w:r>
      <w:proofErr w:type="spellStart"/>
      <w:r>
        <w:t>Рийгикогу</w:t>
      </w:r>
      <w:proofErr w:type="spellEnd"/>
      <w:r>
        <w:t xml:space="preserve"> требует также, чтобы при применении электронного голосования лицам с нарушениями зрения была оказана поддержка. </w:t>
      </w:r>
    </w:p>
    <w:p w:rsidR="0035659B" w:rsidRPr="00F43B63" w:rsidRDefault="0035659B" w:rsidP="0035659B">
      <w:pPr>
        <w:pStyle w:val="SingleTxtG"/>
      </w:pPr>
      <w:r>
        <w:t>146.</w:t>
      </w:r>
      <w:r>
        <w:tab/>
        <w:t>Избирательные участки в Эстонии расположены в общественных зданиях, которые должны соответствовать требованиям распоряжения министра по предпринимательству и информационным технологиям «Требования в отношении зданий в связи с особыми потребностями инвалидов»</w:t>
      </w:r>
      <w:r>
        <w:rPr>
          <w:rStyle w:val="aa"/>
        </w:rPr>
        <w:footnoteReference w:id="8"/>
      </w:r>
      <w:r>
        <w:t xml:space="preserve">, которое было издано на основании Строительного кодекса. </w:t>
      </w:r>
    </w:p>
    <w:p w:rsidR="0035659B" w:rsidRPr="00F43B63" w:rsidRDefault="0035659B" w:rsidP="0035659B">
      <w:pPr>
        <w:pStyle w:val="SingleTxtG"/>
      </w:pPr>
      <w:r>
        <w:t>147.</w:t>
      </w:r>
      <w:r>
        <w:tab/>
        <w:t>Государственная служба по организации выборов предоставляет на своем веб</w:t>
      </w:r>
      <w:r w:rsidR="00D32525">
        <w:noBreakHyphen/>
      </w:r>
      <w:r>
        <w:t xml:space="preserve">сайте информацию для лиц с особыми потребностями, включая информацию о том, какие избирательные участки в полной мере доступны для лиц, пользующихся инвалидными колясками или детскими колясками. </w:t>
      </w:r>
    </w:p>
    <w:p w:rsidR="0035659B" w:rsidRPr="00F43B63" w:rsidRDefault="0035659B" w:rsidP="0035659B">
      <w:pPr>
        <w:pStyle w:val="SingleTxtG"/>
      </w:pPr>
      <w:r>
        <w:t>148.</w:t>
      </w:r>
      <w:r>
        <w:tab/>
        <w:t xml:space="preserve">В Эстонии все лица также имеют право голосовать в электронной форме, а это означает, что они могут голосовать из любого места через интернет-сервис по своему выбору. Нормы, регулирующие электронное голосование (пункт 5 статьи 483 Закона о выборах в </w:t>
      </w:r>
      <w:proofErr w:type="spellStart"/>
      <w:r>
        <w:t>Рийгикогу</w:t>
      </w:r>
      <w:proofErr w:type="spellEnd"/>
      <w:r>
        <w:t xml:space="preserve">), также требуют, чтобы приложение для интернет-голосования предусматривало поддержку для лиц с нарушениями зрения, и это требование выполняется на практике, так что лица с нарушениями зрения могут осуществить свое избирательное право без помощи других лиц. </w:t>
      </w:r>
    </w:p>
    <w:p w:rsidR="0035659B" w:rsidRPr="00F43B63" w:rsidRDefault="0035659B" w:rsidP="0035659B">
      <w:pPr>
        <w:pStyle w:val="SingleTxtG"/>
      </w:pPr>
      <w:r>
        <w:t>149.</w:t>
      </w:r>
      <w:r>
        <w:tab/>
        <w:t xml:space="preserve">В 2019 году в Эстонии проводились выборы в национальный парламент </w:t>
      </w:r>
      <w:proofErr w:type="spellStart"/>
      <w:r>
        <w:t>Рийгикогу</w:t>
      </w:r>
      <w:proofErr w:type="spellEnd"/>
      <w:r>
        <w:t xml:space="preserve">, а также в Европейский парламент. </w:t>
      </w:r>
    </w:p>
    <w:p w:rsidR="0035659B" w:rsidRPr="00F43B63" w:rsidRDefault="0035659B" w:rsidP="0035659B">
      <w:pPr>
        <w:pStyle w:val="SingleTxtG"/>
      </w:pPr>
      <w:r>
        <w:t>150.</w:t>
      </w:r>
      <w:r>
        <w:tab/>
        <w:t xml:space="preserve">После того как были проведены </w:t>
      </w:r>
      <w:proofErr w:type="gramStart"/>
      <w:r>
        <w:t>и те и другие</w:t>
      </w:r>
      <w:proofErr w:type="gramEnd"/>
      <w:r>
        <w:t xml:space="preserve"> выборы, Канцлер юстиции обратилась к Конституционному комитету </w:t>
      </w:r>
      <w:proofErr w:type="spellStart"/>
      <w:r>
        <w:t>Рийгикогу</w:t>
      </w:r>
      <w:proofErr w:type="spellEnd"/>
      <w:r>
        <w:t xml:space="preserve">, Государственной службе по организации выборов и Республиканской избирательной комиссии с просьбой указать как успешные примеры, так и недостатки в обеспечении инвалидам доступа к голосованию на выборах. Канцлер юстиции вынесла ряд рекомендаций в отношении улучшений в организации выборов. В ноябре 2019 года Конституционный комитет </w:t>
      </w:r>
      <w:proofErr w:type="spellStart"/>
      <w:r>
        <w:t>Рийгикогу</w:t>
      </w:r>
      <w:proofErr w:type="spellEnd"/>
      <w:r>
        <w:t xml:space="preserve"> и Государственная служба по организации выборов обсудили вопрос о доступности и выборах. </w:t>
      </w:r>
    </w:p>
    <w:p w:rsidR="0035659B" w:rsidRPr="00F43B63" w:rsidRDefault="0035659B" w:rsidP="0035659B">
      <w:pPr>
        <w:pStyle w:val="SingleTxtG"/>
      </w:pPr>
      <w:r>
        <w:t>151.</w:t>
      </w:r>
      <w:r>
        <w:tab/>
        <w:t xml:space="preserve">См. также ответы по статье 6. </w:t>
      </w:r>
    </w:p>
    <w:p w:rsidR="0035659B" w:rsidRPr="00116BBB" w:rsidRDefault="0035659B" w:rsidP="0035659B">
      <w:pPr>
        <w:pStyle w:val="HChG"/>
      </w:pPr>
      <w:r>
        <w:tab/>
      </w:r>
      <w:r w:rsidRPr="00116BBB">
        <w:t>C.</w:t>
      </w:r>
      <w:r w:rsidRPr="00116BBB">
        <w:tab/>
        <w:t>Конкретные обязательства (статьи 31</w:t>
      </w:r>
      <w:r>
        <w:t>–</w:t>
      </w:r>
      <w:r w:rsidRPr="00116BBB">
        <w:t>33)</w:t>
      </w:r>
    </w:p>
    <w:p w:rsidR="0035659B" w:rsidRPr="00F43B63" w:rsidRDefault="0035659B" w:rsidP="0035659B">
      <w:pPr>
        <w:pStyle w:val="H23G"/>
      </w:pPr>
      <w:r>
        <w:tab/>
      </w:r>
      <w:r>
        <w:tab/>
      </w:r>
      <w:r>
        <w:rPr>
          <w:bCs/>
        </w:rPr>
        <w:t>Ответ на пункт 23 перечня вопросов</w:t>
      </w:r>
      <w:r>
        <w:t xml:space="preserve"> </w:t>
      </w:r>
    </w:p>
    <w:p w:rsidR="0035659B" w:rsidRPr="00F43B63" w:rsidRDefault="0035659B" w:rsidP="0035659B">
      <w:pPr>
        <w:pStyle w:val="SingleTxtG"/>
      </w:pPr>
      <w:r>
        <w:t>152.</w:t>
      </w:r>
      <w:r>
        <w:tab/>
        <w:t>Одной из задач программы работы Статистического бюро Эстонии является сбор статистической информации о положении инвалидов. Поэтому, когда это возможно, опросы лиц включают информацию об инвалидности, и (в зависимости от объема выборки обследования) данные публикуются в базе данных Статистического бюро Эстонии.</w:t>
      </w:r>
    </w:p>
    <w:p w:rsidR="0035659B" w:rsidRPr="00F43B63" w:rsidRDefault="0035659B" w:rsidP="0035659B">
      <w:pPr>
        <w:pStyle w:val="SingleTxtG"/>
      </w:pPr>
      <w:r>
        <w:lastRenderedPageBreak/>
        <w:t>153.</w:t>
      </w:r>
      <w:r>
        <w:tab/>
        <w:t>С другой стороны, в случае необходимости Министерство социальных дел проводит специальные обследования, уделяя основное внимание семьям, имеющим детей-инвалидов, и взрослым-инвалидам. Эти обследования проводятся в целях сбора конкретной информации относительно использования различных услуг, встречающихся проблем и т.</w:t>
      </w:r>
      <w:r w:rsidR="00057462">
        <w:t> </w:t>
      </w:r>
      <w:r>
        <w:t>д.</w:t>
      </w:r>
    </w:p>
    <w:p w:rsidR="0035659B" w:rsidRPr="00F43B63" w:rsidRDefault="0035659B" w:rsidP="00D32525">
      <w:pPr>
        <w:pStyle w:val="H1G"/>
        <w:spacing w:before="240" w:after="180"/>
      </w:pPr>
      <w:r>
        <w:tab/>
      </w:r>
      <w:r>
        <w:tab/>
      </w:r>
      <w:r>
        <w:rPr>
          <w:bCs/>
        </w:rPr>
        <w:t>Национальное осуществление и мониторинг (статья 33)</w:t>
      </w:r>
    </w:p>
    <w:p w:rsidR="0035659B" w:rsidRPr="00F43B63" w:rsidRDefault="0035659B" w:rsidP="0035659B">
      <w:pPr>
        <w:pStyle w:val="H23G"/>
      </w:pPr>
      <w:r>
        <w:tab/>
      </w:r>
      <w:r>
        <w:tab/>
      </w:r>
      <w:r w:rsidR="00057462">
        <w:rPr>
          <w:bCs/>
        </w:rPr>
        <w:t xml:space="preserve">Ответ на пункт </w:t>
      </w:r>
      <w:proofErr w:type="gramStart"/>
      <w:r w:rsidR="00057462">
        <w:rPr>
          <w:bCs/>
        </w:rPr>
        <w:t>24</w:t>
      </w:r>
      <w:proofErr w:type="gramEnd"/>
      <w:r w:rsidR="00057462">
        <w:rPr>
          <w:bCs/>
        </w:rPr>
        <w:t xml:space="preserve"> </w:t>
      </w:r>
      <w:r>
        <w:rPr>
          <w:bCs/>
        </w:rPr>
        <w:t>а) перечня вопросов</w:t>
      </w:r>
      <w:r>
        <w:t xml:space="preserve"> </w:t>
      </w:r>
    </w:p>
    <w:p w:rsidR="0035659B" w:rsidRPr="00F43B63" w:rsidRDefault="0035659B" w:rsidP="004525DA">
      <w:pPr>
        <w:pStyle w:val="SingleTxtG"/>
        <w:spacing w:line="220" w:lineRule="atLeast"/>
      </w:pPr>
      <w:r>
        <w:t>154.</w:t>
      </w:r>
      <w:r>
        <w:tab/>
      </w:r>
      <w:r w:rsidRPr="00653380">
        <w:t>Министерство</w:t>
      </w:r>
      <w:r>
        <w:t xml:space="preserve"> социальных дел принимает активное участие в поощрении и координации доступности, поддерживая работу Совета по вопросам доступности, который объединяет представителей различных профильных министерств, частного сектора и организаций инвалидов. Министерство социальных дел активно участвовало в организации обсуждений по разработке соотве</w:t>
      </w:r>
      <w:r w:rsidR="00D32525">
        <w:t>тствующей нормативной базы. Это </w:t>
      </w:r>
      <w:r>
        <w:t>принесло ряд положительных результатов, таких как установление требований в отношении зданий, связанных с особыми потребностями инвалидов (распоряжение, изданное в 2018</w:t>
      </w:r>
      <w:r w:rsidR="00D32525">
        <w:t xml:space="preserve"> </w:t>
      </w:r>
      <w:r>
        <w:t>году</w:t>
      </w:r>
      <w:r>
        <w:rPr>
          <w:rStyle w:val="aa"/>
        </w:rPr>
        <w:footnoteReference w:id="9"/>
      </w:r>
      <w:r>
        <w:t xml:space="preserve"> министром по предпринимательству и информационным технологиям). </w:t>
      </w:r>
    </w:p>
    <w:p w:rsidR="0035659B" w:rsidRPr="00F43B63" w:rsidRDefault="0035659B" w:rsidP="004525DA">
      <w:pPr>
        <w:pStyle w:val="SingleTxtG"/>
        <w:spacing w:line="220" w:lineRule="atLeast"/>
      </w:pPr>
      <w:r>
        <w:t>155.</w:t>
      </w:r>
      <w:r>
        <w:tab/>
        <w:t>Министерство социальных дел является национальным координатором, взаимодействуя с различными секторами в обла</w:t>
      </w:r>
      <w:r w:rsidR="00057462">
        <w:t>сти обеспечения доступности. Мы </w:t>
      </w:r>
      <w:r>
        <w:t>также активно участвуем в переговорах относительно Европейского закона о доступности.</w:t>
      </w:r>
    </w:p>
    <w:p w:rsidR="0035659B" w:rsidRPr="00F43B63" w:rsidRDefault="0035659B" w:rsidP="004525DA">
      <w:pPr>
        <w:pStyle w:val="SingleTxtG"/>
        <w:spacing w:line="220" w:lineRule="atLeast"/>
      </w:pPr>
      <w:r>
        <w:t>156.</w:t>
      </w:r>
      <w:r>
        <w:tab/>
        <w:t>Недавно правительство Эстонии учредило целевую группу по разработке комплексной стратегии обеспечения доступности. В ноябре 2019 года группа провела свое первое заседание в составе представителей всех соответствующих заинтересованных сторон, т</w:t>
      </w:r>
      <w:r w:rsidR="00D32525">
        <w:t>.</w:t>
      </w:r>
      <w:r>
        <w:t xml:space="preserve"> е</w:t>
      </w:r>
      <w:r w:rsidR="00D32525">
        <w:t>.</w:t>
      </w:r>
      <w:r>
        <w:t xml:space="preserve"> правительства, НПО и частного сектора; мандат этой группы рассчитан на два года.</w:t>
      </w:r>
    </w:p>
    <w:p w:rsidR="0035659B" w:rsidRPr="00F43B63" w:rsidRDefault="0035659B" w:rsidP="0035659B">
      <w:pPr>
        <w:pStyle w:val="H23G"/>
      </w:pPr>
      <w:r>
        <w:tab/>
      </w:r>
      <w:r>
        <w:tab/>
      </w:r>
      <w:r w:rsidR="00057462">
        <w:rPr>
          <w:bCs/>
        </w:rPr>
        <w:t xml:space="preserve">Ответ на пункт 24 </w:t>
      </w:r>
      <w:r>
        <w:rPr>
          <w:bCs/>
        </w:rPr>
        <w:t>b) перечня вопросов</w:t>
      </w:r>
      <w:r>
        <w:t xml:space="preserve"> </w:t>
      </w:r>
    </w:p>
    <w:p w:rsidR="0035659B" w:rsidRPr="00F43B63" w:rsidRDefault="0035659B" w:rsidP="004525DA">
      <w:pPr>
        <w:pStyle w:val="SingleTxtG"/>
        <w:spacing w:line="220" w:lineRule="atLeast"/>
      </w:pPr>
      <w:r>
        <w:t>157.</w:t>
      </w:r>
      <w:r>
        <w:tab/>
        <w:t>13 июня 2018 года эстонский парламент принял поправку к Закону о Канцлере юстиции в целях поручения Канцлеру юстиции выполнение задач, обозначенных в пункте 2 статьи 33 Конвенции о правах инвалидов, для поощрения, защиты и мониторинга осуществления Конвенции. Поправка вступила в силу 1 января 2019 года.</w:t>
      </w:r>
    </w:p>
    <w:p w:rsidR="0035659B" w:rsidRPr="00F43B63" w:rsidRDefault="0035659B" w:rsidP="004525DA">
      <w:pPr>
        <w:pStyle w:val="SingleTxtG"/>
        <w:spacing w:line="220" w:lineRule="atLeast"/>
      </w:pPr>
      <w:r>
        <w:t>158.</w:t>
      </w:r>
      <w:r>
        <w:tab/>
        <w:t>Канцлер юстиции является независимым должностным лицом, которое проводит обзор законодательства на предмет его соответствия Конституции Эстонской Республики и другим законам Эстонской Республики. Ее задачи включают, в частности, осуществление надзора за соответствием законодательства международным соглашениям и урегулирование споров, связанных с дискриминацией, которые возникают между субъектами частного права, на основе Конституции и других законов.</w:t>
      </w:r>
    </w:p>
    <w:p w:rsidR="0035659B" w:rsidRPr="00F43B63" w:rsidRDefault="0035659B" w:rsidP="004525DA">
      <w:pPr>
        <w:pStyle w:val="SingleTxtG"/>
        <w:spacing w:line="220" w:lineRule="atLeast"/>
      </w:pPr>
      <w:r>
        <w:t>159.</w:t>
      </w:r>
      <w:r>
        <w:tab/>
        <w:t xml:space="preserve">В 2019 году на выполнение задач, связанных с осуществлением Конвенции, из бюджета была выделена сумма в размере 100 000 евро. </w:t>
      </w:r>
    </w:p>
    <w:p w:rsidR="0035659B" w:rsidRPr="00F43B63" w:rsidRDefault="0035659B" w:rsidP="0035659B">
      <w:pPr>
        <w:pStyle w:val="H23G"/>
      </w:pPr>
      <w:r>
        <w:tab/>
      </w:r>
      <w:r>
        <w:tab/>
      </w:r>
      <w:r w:rsidR="00057462">
        <w:rPr>
          <w:bCs/>
        </w:rPr>
        <w:t xml:space="preserve">Ответ на пункт 24 </w:t>
      </w:r>
      <w:r>
        <w:rPr>
          <w:bCs/>
        </w:rPr>
        <w:t>с) перечня вопросов</w:t>
      </w:r>
      <w:r>
        <w:t xml:space="preserve"> </w:t>
      </w:r>
    </w:p>
    <w:p w:rsidR="0035659B" w:rsidRPr="00164B57" w:rsidRDefault="0035659B" w:rsidP="004525DA">
      <w:pPr>
        <w:pStyle w:val="SingleTxtG"/>
        <w:spacing w:line="220" w:lineRule="atLeast"/>
      </w:pPr>
      <w:r w:rsidRPr="00653380">
        <w:t>160.</w:t>
      </w:r>
      <w:r w:rsidRPr="00653380">
        <w:tab/>
      </w:r>
      <w:proofErr w:type="gramStart"/>
      <w:r>
        <w:t>В</w:t>
      </w:r>
      <w:proofErr w:type="gramEnd"/>
      <w:r w:rsidRPr="00653380">
        <w:t xml:space="preserve"> </w:t>
      </w:r>
      <w:r>
        <w:t>обязанности</w:t>
      </w:r>
      <w:r w:rsidRPr="00653380">
        <w:t xml:space="preserve"> </w:t>
      </w:r>
      <w:r>
        <w:t>каждого</w:t>
      </w:r>
      <w:r w:rsidRPr="00653380">
        <w:t xml:space="preserve"> </w:t>
      </w:r>
      <w:r>
        <w:t>министерства</w:t>
      </w:r>
      <w:r w:rsidRPr="00653380">
        <w:t xml:space="preserve"> </w:t>
      </w:r>
      <w:r>
        <w:t>и</w:t>
      </w:r>
      <w:r w:rsidRPr="00653380">
        <w:t xml:space="preserve"> </w:t>
      </w:r>
      <w:r>
        <w:t>правительственного</w:t>
      </w:r>
      <w:r w:rsidRPr="00653380">
        <w:t xml:space="preserve"> </w:t>
      </w:r>
      <w:r>
        <w:t>ведомства</w:t>
      </w:r>
      <w:r w:rsidRPr="00653380">
        <w:t xml:space="preserve">, </w:t>
      </w:r>
      <w:r>
        <w:t>отвечающего</w:t>
      </w:r>
      <w:r w:rsidRPr="00653380">
        <w:t xml:space="preserve"> </w:t>
      </w:r>
      <w:r>
        <w:t>за</w:t>
      </w:r>
      <w:r w:rsidRPr="00653380">
        <w:t xml:space="preserve"> </w:t>
      </w:r>
      <w:r>
        <w:t>выработку</w:t>
      </w:r>
      <w:r w:rsidRPr="00653380">
        <w:t xml:space="preserve"> </w:t>
      </w:r>
      <w:r>
        <w:t>пол</w:t>
      </w:r>
      <w:bookmarkStart w:id="1" w:name="_GoBack"/>
      <w:bookmarkEnd w:id="1"/>
      <w:r>
        <w:t>итики</w:t>
      </w:r>
      <w:r w:rsidRPr="00653380">
        <w:t xml:space="preserve">, </w:t>
      </w:r>
      <w:r>
        <w:t>входит</w:t>
      </w:r>
      <w:r w:rsidRPr="00653380">
        <w:t xml:space="preserve"> </w:t>
      </w:r>
      <w:r>
        <w:t>вовлечение</w:t>
      </w:r>
      <w:r w:rsidRPr="00653380">
        <w:t xml:space="preserve"> </w:t>
      </w:r>
      <w:r>
        <w:t>гражданского</w:t>
      </w:r>
      <w:r w:rsidRPr="00653380">
        <w:t xml:space="preserve"> </w:t>
      </w:r>
      <w:r>
        <w:t>общества</w:t>
      </w:r>
      <w:r w:rsidRPr="00653380">
        <w:t xml:space="preserve">, </w:t>
      </w:r>
      <w:r>
        <w:t>проведение консультаций с организациями, представляющими</w:t>
      </w:r>
      <w:r w:rsidRPr="00653380">
        <w:t xml:space="preserve"> </w:t>
      </w:r>
      <w:r>
        <w:t>интересы</w:t>
      </w:r>
      <w:r w:rsidRPr="00653380">
        <w:t xml:space="preserve"> </w:t>
      </w:r>
      <w:r>
        <w:t>инвалидов</w:t>
      </w:r>
      <w:r w:rsidRPr="00653380">
        <w:t xml:space="preserve">, </w:t>
      </w:r>
      <w:r w:rsidR="00D32525">
        <w:t>и </w:t>
      </w:r>
      <w:r>
        <w:t xml:space="preserve">обеспечение их участия в разработке политики. </w:t>
      </w:r>
    </w:p>
    <w:p w:rsidR="0035659B" w:rsidRPr="005F4FF8" w:rsidRDefault="0035659B" w:rsidP="004525DA">
      <w:pPr>
        <w:pStyle w:val="SingleTxtG"/>
        <w:spacing w:line="220" w:lineRule="atLeast"/>
      </w:pPr>
      <w:r w:rsidRPr="005F4FF8">
        <w:t>161.</w:t>
      </w:r>
      <w:r w:rsidRPr="005F4FF8">
        <w:tab/>
      </w:r>
      <w:r>
        <w:t>Контроль</w:t>
      </w:r>
      <w:r w:rsidRPr="005F4FF8">
        <w:t xml:space="preserve"> </w:t>
      </w:r>
      <w:r>
        <w:t>за</w:t>
      </w:r>
      <w:r w:rsidRPr="005F4FF8">
        <w:t xml:space="preserve"> </w:t>
      </w:r>
      <w:r>
        <w:t>соблюдением</w:t>
      </w:r>
      <w:r w:rsidRPr="005F4FF8">
        <w:t xml:space="preserve"> </w:t>
      </w:r>
      <w:r>
        <w:t>Конвенции</w:t>
      </w:r>
      <w:r w:rsidRPr="005F4FF8">
        <w:t xml:space="preserve"> </w:t>
      </w:r>
      <w:r>
        <w:t>осуществляется</w:t>
      </w:r>
      <w:r w:rsidRPr="005F4FF8">
        <w:t xml:space="preserve"> </w:t>
      </w:r>
      <w:r>
        <w:t>посредством</w:t>
      </w:r>
      <w:r w:rsidRPr="005F4FF8">
        <w:t xml:space="preserve"> </w:t>
      </w:r>
      <w:r>
        <w:t>принятия</w:t>
      </w:r>
      <w:r w:rsidRPr="005F4FF8">
        <w:t xml:space="preserve"> </w:t>
      </w:r>
      <w:r>
        <w:t>мер</w:t>
      </w:r>
      <w:r w:rsidRPr="005F4FF8">
        <w:t xml:space="preserve">, </w:t>
      </w:r>
      <w:r>
        <w:t>указанных</w:t>
      </w:r>
      <w:r w:rsidRPr="005F4FF8">
        <w:t xml:space="preserve"> </w:t>
      </w:r>
      <w:r>
        <w:t xml:space="preserve">во многих ответах, которые приводятся выше. </w:t>
      </w:r>
    </w:p>
    <w:p w:rsidR="0035659B" w:rsidRDefault="0035659B" w:rsidP="004525DA">
      <w:pPr>
        <w:pStyle w:val="SingleTxtG"/>
        <w:spacing w:before="60" w:after="0" w:line="220" w:lineRule="atLeast"/>
      </w:pPr>
      <w:r w:rsidRPr="005F4FF8">
        <w:t>162.</w:t>
      </w:r>
      <w:r w:rsidRPr="005F4FF8">
        <w:tab/>
      </w:r>
      <w:r>
        <w:t>См</w:t>
      </w:r>
      <w:r w:rsidRPr="005F4FF8">
        <w:t xml:space="preserve">. </w:t>
      </w:r>
      <w:r>
        <w:t>также ответы на пункт 12</w:t>
      </w:r>
      <w:r w:rsidR="00057462">
        <w:t xml:space="preserve"> </w:t>
      </w:r>
      <w:r>
        <w:rPr>
          <w:lang w:val="en-US"/>
        </w:rPr>
        <w:t>b</w:t>
      </w:r>
      <w:r w:rsidRPr="005F4FF8">
        <w:t>)</w:t>
      </w:r>
      <w:r>
        <w:t xml:space="preserve"> по статье</w:t>
      </w:r>
      <w:r w:rsidR="00057462">
        <w:t xml:space="preserve"> 15 и по статье </w:t>
      </w:r>
      <w:r>
        <w:t>29, а также на пункт </w:t>
      </w:r>
      <w:proofErr w:type="gramStart"/>
      <w:r>
        <w:t>24</w:t>
      </w:r>
      <w:proofErr w:type="gramEnd"/>
      <w:r w:rsidR="00057462">
        <w:t> </w:t>
      </w:r>
      <w:r>
        <w:t xml:space="preserve">а), </w:t>
      </w:r>
      <w:r>
        <w:rPr>
          <w:lang w:val="en-US"/>
        </w:rPr>
        <w:t>b</w:t>
      </w:r>
      <w:r w:rsidRPr="005F4FF8">
        <w:t>)</w:t>
      </w:r>
      <w:r>
        <w:t xml:space="preserve"> по статье 33 и прочие.</w:t>
      </w:r>
    </w:p>
    <w:p w:rsidR="0035659B" w:rsidRPr="0035659B" w:rsidRDefault="0035659B" w:rsidP="004525DA">
      <w:pPr>
        <w:pStyle w:val="SingleTxtG"/>
        <w:spacing w:before="60" w:after="0"/>
        <w:jc w:val="center"/>
        <w:rPr>
          <w:u w:val="single"/>
        </w:rPr>
      </w:pPr>
      <w:r>
        <w:rPr>
          <w:u w:val="single"/>
        </w:rPr>
        <w:tab/>
      </w:r>
      <w:r>
        <w:rPr>
          <w:u w:val="single"/>
        </w:rPr>
        <w:tab/>
      </w:r>
      <w:r>
        <w:rPr>
          <w:u w:val="single"/>
        </w:rPr>
        <w:tab/>
      </w:r>
      <w:r>
        <w:rPr>
          <w:u w:val="single"/>
        </w:rPr>
        <w:tab/>
      </w:r>
    </w:p>
    <w:sectPr w:rsidR="0035659B" w:rsidRPr="0035659B" w:rsidSect="0035659B">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59B" w:rsidRPr="00A312BC" w:rsidRDefault="0035659B" w:rsidP="00A312BC"/>
  </w:endnote>
  <w:endnote w:type="continuationSeparator" w:id="0">
    <w:p w:rsidR="0035659B" w:rsidRPr="00A312BC" w:rsidRDefault="0035659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9B" w:rsidRPr="0035659B" w:rsidRDefault="0035659B">
    <w:pPr>
      <w:pStyle w:val="a8"/>
    </w:pPr>
    <w:r w:rsidRPr="0035659B">
      <w:rPr>
        <w:b/>
        <w:sz w:val="18"/>
      </w:rPr>
      <w:fldChar w:fldCharType="begin"/>
    </w:r>
    <w:r w:rsidRPr="0035659B">
      <w:rPr>
        <w:b/>
        <w:sz w:val="18"/>
      </w:rPr>
      <w:instrText xml:space="preserve"> PAGE  \* MERGEFORMAT </w:instrText>
    </w:r>
    <w:r w:rsidRPr="0035659B">
      <w:rPr>
        <w:b/>
        <w:sz w:val="18"/>
      </w:rPr>
      <w:fldChar w:fldCharType="separate"/>
    </w:r>
    <w:r w:rsidR="00203A3D">
      <w:rPr>
        <w:b/>
        <w:noProof/>
        <w:sz w:val="18"/>
      </w:rPr>
      <w:t>24</w:t>
    </w:r>
    <w:r w:rsidRPr="0035659B">
      <w:rPr>
        <w:b/>
        <w:sz w:val="18"/>
      </w:rPr>
      <w:fldChar w:fldCharType="end"/>
    </w:r>
    <w:r>
      <w:rPr>
        <w:b/>
        <w:sz w:val="18"/>
      </w:rPr>
      <w:tab/>
    </w:r>
    <w:r>
      <w:t>GE.19-21657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9B" w:rsidRPr="0035659B" w:rsidRDefault="0035659B" w:rsidP="0035659B">
    <w:pPr>
      <w:pStyle w:val="a8"/>
      <w:tabs>
        <w:tab w:val="clear" w:pos="9639"/>
        <w:tab w:val="right" w:pos="9638"/>
      </w:tabs>
      <w:rPr>
        <w:b/>
        <w:sz w:val="18"/>
      </w:rPr>
    </w:pPr>
    <w:r>
      <w:t>GE.19-21657</w:t>
    </w:r>
    <w:r>
      <w:tab/>
    </w:r>
    <w:r w:rsidRPr="0035659B">
      <w:rPr>
        <w:b/>
        <w:sz w:val="18"/>
      </w:rPr>
      <w:fldChar w:fldCharType="begin"/>
    </w:r>
    <w:r w:rsidRPr="0035659B">
      <w:rPr>
        <w:b/>
        <w:sz w:val="18"/>
      </w:rPr>
      <w:instrText xml:space="preserve"> PAGE  \* MERGEFORMAT </w:instrText>
    </w:r>
    <w:r w:rsidRPr="0035659B">
      <w:rPr>
        <w:b/>
        <w:sz w:val="18"/>
      </w:rPr>
      <w:fldChar w:fldCharType="separate"/>
    </w:r>
    <w:r w:rsidR="00203A3D">
      <w:rPr>
        <w:b/>
        <w:noProof/>
        <w:sz w:val="18"/>
      </w:rPr>
      <w:t>23</w:t>
    </w:r>
    <w:r w:rsidRPr="0035659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9B" w:rsidRPr="0035659B" w:rsidRDefault="0035659B" w:rsidP="0035659B">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21657  (</w:t>
    </w:r>
    <w:proofErr w:type="gramEnd"/>
    <w:r>
      <w:t>R)</w:t>
    </w:r>
    <w:r>
      <w:rPr>
        <w:lang w:val="en-US"/>
      </w:rPr>
      <w:t xml:space="preserve">  290120  310120</w:t>
    </w:r>
    <w:r>
      <w:br/>
    </w:r>
    <w:r w:rsidRPr="0035659B">
      <w:rPr>
        <w:rFonts w:ascii="C39T30Lfz" w:hAnsi="C39T30Lfz"/>
        <w:kern w:val="14"/>
        <w:sz w:val="56"/>
      </w:rPr>
      <w:t></w:t>
    </w:r>
    <w:r w:rsidRPr="0035659B">
      <w:rPr>
        <w:rFonts w:ascii="C39T30Lfz" w:hAnsi="C39T30Lfz"/>
        <w:kern w:val="14"/>
        <w:sz w:val="56"/>
      </w:rPr>
      <w:t></w:t>
    </w:r>
    <w:r w:rsidRPr="0035659B">
      <w:rPr>
        <w:rFonts w:ascii="C39T30Lfz" w:hAnsi="C39T30Lfz"/>
        <w:kern w:val="14"/>
        <w:sz w:val="56"/>
      </w:rPr>
      <w:t></w:t>
    </w:r>
    <w:r w:rsidRPr="0035659B">
      <w:rPr>
        <w:rFonts w:ascii="C39T30Lfz" w:hAnsi="C39T30Lfz"/>
        <w:kern w:val="14"/>
        <w:sz w:val="56"/>
      </w:rPr>
      <w:t></w:t>
    </w:r>
    <w:r w:rsidRPr="0035659B">
      <w:rPr>
        <w:rFonts w:ascii="C39T30Lfz" w:hAnsi="C39T30Lfz"/>
        <w:kern w:val="14"/>
        <w:sz w:val="56"/>
      </w:rPr>
      <w:t></w:t>
    </w:r>
    <w:r w:rsidRPr="0035659B">
      <w:rPr>
        <w:rFonts w:ascii="C39T30Lfz" w:hAnsi="C39T30Lfz"/>
        <w:kern w:val="14"/>
        <w:sz w:val="56"/>
      </w:rPr>
      <w:t></w:t>
    </w:r>
    <w:r w:rsidRPr="0035659B">
      <w:rPr>
        <w:rFonts w:ascii="C39T30Lfz" w:hAnsi="C39T30Lfz"/>
        <w:kern w:val="14"/>
        <w:sz w:val="56"/>
      </w:rPr>
      <w:t></w:t>
    </w:r>
    <w:r w:rsidRPr="0035659B">
      <w:rPr>
        <w:rFonts w:ascii="C39T30Lfz" w:hAnsi="C39T30Lfz"/>
        <w:kern w:val="14"/>
        <w:sz w:val="56"/>
      </w:rPr>
      <w:t></w:t>
    </w:r>
    <w:r w:rsidRPr="0035659B">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EST/RQ/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EST/RQ/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59B" w:rsidRPr="001075E9" w:rsidRDefault="0035659B" w:rsidP="001075E9">
      <w:pPr>
        <w:tabs>
          <w:tab w:val="right" w:pos="2155"/>
        </w:tabs>
        <w:spacing w:after="80" w:line="240" w:lineRule="auto"/>
        <w:ind w:left="680"/>
        <w:rPr>
          <w:u w:val="single"/>
        </w:rPr>
      </w:pPr>
      <w:r>
        <w:rPr>
          <w:u w:val="single"/>
        </w:rPr>
        <w:tab/>
      </w:r>
    </w:p>
  </w:footnote>
  <w:footnote w:type="continuationSeparator" w:id="0">
    <w:p w:rsidR="0035659B" w:rsidRDefault="0035659B" w:rsidP="00407B78">
      <w:pPr>
        <w:tabs>
          <w:tab w:val="right" w:pos="2155"/>
        </w:tabs>
        <w:spacing w:after="80"/>
        <w:ind w:left="680"/>
        <w:rPr>
          <w:u w:val="single"/>
        </w:rPr>
      </w:pPr>
      <w:r>
        <w:rPr>
          <w:u w:val="single"/>
        </w:rPr>
        <w:tab/>
      </w:r>
    </w:p>
  </w:footnote>
  <w:footnote w:id="1">
    <w:p w:rsidR="0035659B" w:rsidRPr="00FA72FB" w:rsidRDefault="0035659B" w:rsidP="0035659B">
      <w:pPr>
        <w:pStyle w:val="ad"/>
      </w:pPr>
      <w:r>
        <w:tab/>
      </w:r>
      <w:r w:rsidRPr="0035659B">
        <w:rPr>
          <w:sz w:val="20"/>
        </w:rPr>
        <w:t>*</w:t>
      </w:r>
      <w:r>
        <w:tab/>
        <w:t>Настоящий документ издается без официального редактирования.</w:t>
      </w:r>
    </w:p>
  </w:footnote>
  <w:footnote w:id="2">
    <w:p w:rsidR="0035659B" w:rsidRPr="00FA72FB" w:rsidRDefault="0035659B" w:rsidP="0035659B">
      <w:pPr>
        <w:pStyle w:val="ad"/>
      </w:pPr>
      <w:r>
        <w:tab/>
      </w:r>
      <w:r w:rsidRPr="00060D87">
        <w:rPr>
          <w:rStyle w:val="aa"/>
        </w:rPr>
        <w:footnoteRef/>
      </w:r>
      <w:r>
        <w:tab/>
        <w:t>Неофициальный перевод.</w:t>
      </w:r>
    </w:p>
  </w:footnote>
  <w:footnote w:id="3">
    <w:p w:rsidR="0035659B" w:rsidRPr="00FA72FB" w:rsidRDefault="0035659B" w:rsidP="0035659B">
      <w:pPr>
        <w:pStyle w:val="ad"/>
      </w:pPr>
      <w:r>
        <w:tab/>
      </w:r>
      <w:r w:rsidRPr="00060D87">
        <w:rPr>
          <w:rStyle w:val="aa"/>
        </w:rPr>
        <w:footnoteRef/>
      </w:r>
      <w:r>
        <w:t xml:space="preserve"> </w:t>
      </w:r>
      <w:r>
        <w:tab/>
        <w:t>Неофициальный перевод.</w:t>
      </w:r>
    </w:p>
  </w:footnote>
  <w:footnote w:id="4">
    <w:p w:rsidR="0035659B" w:rsidRPr="00FA72FB" w:rsidRDefault="0035659B" w:rsidP="0035659B">
      <w:pPr>
        <w:pStyle w:val="ad"/>
      </w:pPr>
      <w:r>
        <w:tab/>
      </w:r>
      <w:r w:rsidRPr="00060D87">
        <w:rPr>
          <w:rStyle w:val="aa"/>
        </w:rPr>
        <w:footnoteRef/>
      </w:r>
      <w:r>
        <w:tab/>
        <w:t xml:space="preserve">Главная страница: </w:t>
      </w:r>
      <w:hyperlink r:id="rId1" w:history="1">
        <w:r w:rsidR="00F743D0" w:rsidRPr="00F942B6">
          <w:rPr>
            <w:rStyle w:val="af1"/>
          </w:rPr>
          <w:t>https://www.tegijad.ee/</w:t>
        </w:r>
      </w:hyperlink>
      <w:r>
        <w:t xml:space="preserve">. </w:t>
      </w:r>
    </w:p>
  </w:footnote>
  <w:footnote w:id="5">
    <w:p w:rsidR="0035659B" w:rsidRPr="00FA72FB" w:rsidRDefault="0035659B" w:rsidP="0035659B">
      <w:pPr>
        <w:pStyle w:val="ad"/>
      </w:pPr>
      <w:r>
        <w:tab/>
      </w:r>
      <w:r w:rsidRPr="00060D87">
        <w:rPr>
          <w:rStyle w:val="aa"/>
        </w:rPr>
        <w:footnoteRef/>
      </w:r>
      <w:r>
        <w:tab/>
      </w:r>
      <w:hyperlink r:id="rId2" w:history="1">
        <w:r w:rsidR="00F743D0" w:rsidRPr="00F942B6">
          <w:rPr>
            <w:rStyle w:val="af1"/>
          </w:rPr>
          <w:t>https://www.riigiteataja.ee/akt/131052018055</w:t>
        </w:r>
      </w:hyperlink>
      <w:r>
        <w:t>.</w:t>
      </w:r>
    </w:p>
  </w:footnote>
  <w:footnote w:id="6">
    <w:p w:rsidR="0035659B" w:rsidRPr="00FA72FB" w:rsidRDefault="0035659B" w:rsidP="0035659B">
      <w:pPr>
        <w:pStyle w:val="ad"/>
      </w:pPr>
      <w:r w:rsidRPr="00D21967">
        <w:tab/>
      </w:r>
      <w:r w:rsidRPr="00060D87">
        <w:rPr>
          <w:rStyle w:val="aa"/>
        </w:rPr>
        <w:footnoteRef/>
      </w:r>
      <w:r>
        <w:t xml:space="preserve"> </w:t>
      </w:r>
      <w:r>
        <w:tab/>
        <w:t>Министерство внутренних дел, 2019 год.</w:t>
      </w:r>
    </w:p>
  </w:footnote>
  <w:footnote w:id="7">
    <w:p w:rsidR="0035659B" w:rsidRPr="00D04300" w:rsidRDefault="0035659B" w:rsidP="0035659B">
      <w:pPr>
        <w:pStyle w:val="ad"/>
      </w:pPr>
      <w:r>
        <w:rPr>
          <w:color w:val="000000" w:themeColor="text1"/>
          <w:szCs w:val="18"/>
        </w:rPr>
        <w:tab/>
      </w:r>
      <w:r w:rsidRPr="00060D87">
        <w:rPr>
          <w:rStyle w:val="aa"/>
        </w:rPr>
        <w:footnoteRef/>
      </w:r>
      <w:r>
        <w:t xml:space="preserve"> </w:t>
      </w:r>
      <w:r>
        <w:tab/>
        <w:t xml:space="preserve">Специальная помощь рассчитана на людей с тяжелыми, глубокими или устойчивыми психическими расстройствами. Формальное признание инвалидности не является обязательным основанием для получения такой помощи, поэтому ее могут получать инвалиды, не имеющие официального статуса инвалидности. </w:t>
      </w:r>
    </w:p>
  </w:footnote>
  <w:footnote w:id="8">
    <w:p w:rsidR="0035659B" w:rsidRPr="00F43B63" w:rsidRDefault="0035659B" w:rsidP="0035659B">
      <w:pPr>
        <w:pStyle w:val="ad"/>
      </w:pPr>
      <w:r>
        <w:tab/>
      </w:r>
      <w:r>
        <w:rPr>
          <w:rStyle w:val="aa"/>
        </w:rPr>
        <w:footnoteRef/>
      </w:r>
      <w:r>
        <w:tab/>
        <w:t xml:space="preserve">№ 28, принято 29 мая 2018 года, RT I, 31.05.2018, 55. </w:t>
      </w:r>
    </w:p>
  </w:footnote>
  <w:footnote w:id="9">
    <w:p w:rsidR="0035659B" w:rsidRPr="00F43B63" w:rsidRDefault="0035659B" w:rsidP="0035659B">
      <w:pPr>
        <w:pStyle w:val="ad"/>
      </w:pPr>
      <w:r>
        <w:tab/>
      </w:r>
      <w:r>
        <w:rPr>
          <w:rStyle w:val="aa"/>
        </w:rPr>
        <w:footnoteRef/>
      </w:r>
      <w:r>
        <w:tab/>
      </w:r>
      <w:hyperlink r:id="rId3" w:history="1">
        <w:r w:rsidR="00057462" w:rsidRPr="00F942B6">
          <w:rPr>
            <w:rStyle w:val="af1"/>
          </w:rPr>
          <w:t>https://www.riigiteataja.ee/akt/131052018055</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9B" w:rsidRPr="0035659B" w:rsidRDefault="0035659B">
    <w:pPr>
      <w:pStyle w:val="a5"/>
    </w:pPr>
    <w:fldSimple w:instr=" TITLE  \* MERGEFORMAT ">
      <w:r w:rsidR="00203A3D">
        <w:t>CRPD/C/EST/RQ/1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9B" w:rsidRPr="0035659B" w:rsidRDefault="0035659B" w:rsidP="0035659B">
    <w:pPr>
      <w:pStyle w:val="a5"/>
      <w:jc w:val="right"/>
    </w:pPr>
    <w:fldSimple w:instr=" TITLE  \* MERGEFORMAT ">
      <w:r w:rsidR="00203A3D">
        <w:t>CRPD/C/EST/RQ/1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TabTxt"/>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E253887"/>
    <w:multiLevelType w:val="hybridMultilevel"/>
    <w:tmpl w:val="497EC7CC"/>
    <w:lvl w:ilvl="0" w:tplc="FAE4B376">
      <w:start w:val="1"/>
      <w:numFmt w:val="bullet"/>
      <w:pStyle w:val="TabNum"/>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ParaNo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8B435F"/>
    <w:multiLevelType w:val="hybridMultilevel"/>
    <w:tmpl w:val="F094E80C"/>
    <w:lvl w:ilvl="0" w:tplc="C2FCD500">
      <w:start w:val="1"/>
      <w:numFmt w:val="upperLetter"/>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6"/>
  </w:num>
  <w:num w:numId="3">
    <w:abstractNumId w:val="12"/>
  </w:num>
  <w:num w:numId="4">
    <w:abstractNumId w:val="25"/>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3"/>
  </w:num>
  <w:num w:numId="17">
    <w:abstractNumId w:val="17"/>
  </w:num>
  <w:num w:numId="18">
    <w:abstractNumId w:val="19"/>
  </w:num>
  <w:num w:numId="19">
    <w:abstractNumId w:val="23"/>
  </w:num>
  <w:num w:numId="20">
    <w:abstractNumId w:val="17"/>
  </w:num>
  <w:num w:numId="21">
    <w:abstractNumId w:val="19"/>
  </w:num>
  <w:num w:numId="22">
    <w:abstractNumId w:val="14"/>
  </w:num>
  <w:num w:numId="23">
    <w:abstractNumId w:val="13"/>
  </w:num>
  <w:num w:numId="24">
    <w:abstractNumId w:val="10"/>
  </w:num>
  <w:num w:numId="25">
    <w:abstractNumId w:val="20"/>
  </w:num>
  <w:num w:numId="26">
    <w:abstractNumId w:val="21"/>
  </w:num>
  <w:num w:numId="27">
    <w:abstractNumId w:val="26"/>
  </w:num>
  <w:num w:numId="28">
    <w:abstractNumId w:val="11"/>
  </w:num>
  <w:num w:numId="29">
    <w:abstractNumId w:val="14"/>
    <w:lvlOverride w:ilvl="0">
      <w:lvl w:ilvl="0" w:tplc="6D5E22D8">
        <w:start w:val="1"/>
        <w:numFmt w:val="bullet"/>
        <w:pStyle w:val="ParaNoG"/>
        <w:lvlText w:val="•"/>
        <w:lvlJc w:val="left"/>
        <w:pPr>
          <w:tabs>
            <w:tab w:val="num" w:pos="1701"/>
          </w:tabs>
          <w:ind w:left="1701" w:hanging="170"/>
        </w:pPr>
        <w:rPr>
          <w:rFonts w:ascii="Times New Roman" w:hAnsi="Times New Roman" w:cs="Times New Roman" w:hint="default"/>
          <w:b w:val="0"/>
          <w:i w:val="0"/>
          <w:sz w:val="20"/>
        </w:rPr>
      </w:lvl>
    </w:lvlOverride>
  </w:num>
  <w:num w:numId="30">
    <w:abstractNumId w:val="22"/>
  </w:num>
  <w:num w:numId="3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86"/>
    <w:rsid w:val="00011089"/>
    <w:rsid w:val="00026643"/>
    <w:rsid w:val="00033EE1"/>
    <w:rsid w:val="00042B72"/>
    <w:rsid w:val="000558BD"/>
    <w:rsid w:val="00057462"/>
    <w:rsid w:val="000B57E7"/>
    <w:rsid w:val="000B6373"/>
    <w:rsid w:val="000B732B"/>
    <w:rsid w:val="000F09DF"/>
    <w:rsid w:val="000F61B2"/>
    <w:rsid w:val="001075E9"/>
    <w:rsid w:val="00153D87"/>
    <w:rsid w:val="00180183"/>
    <w:rsid w:val="0018024D"/>
    <w:rsid w:val="0018649F"/>
    <w:rsid w:val="001904B6"/>
    <w:rsid w:val="00196389"/>
    <w:rsid w:val="001B3EF6"/>
    <w:rsid w:val="001C499F"/>
    <w:rsid w:val="001C7A89"/>
    <w:rsid w:val="001E7B61"/>
    <w:rsid w:val="00203A3D"/>
    <w:rsid w:val="00215062"/>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5659B"/>
    <w:rsid w:val="00367FC5"/>
    <w:rsid w:val="00381C24"/>
    <w:rsid w:val="003958D0"/>
    <w:rsid w:val="003B00E5"/>
    <w:rsid w:val="00407B78"/>
    <w:rsid w:val="00424203"/>
    <w:rsid w:val="00452493"/>
    <w:rsid w:val="004525DA"/>
    <w:rsid w:val="00453318"/>
    <w:rsid w:val="00454E07"/>
    <w:rsid w:val="00472C5C"/>
    <w:rsid w:val="0050108D"/>
    <w:rsid w:val="00513081"/>
    <w:rsid w:val="00517901"/>
    <w:rsid w:val="00526683"/>
    <w:rsid w:val="005709E0"/>
    <w:rsid w:val="00572E19"/>
    <w:rsid w:val="005961C8"/>
    <w:rsid w:val="005966F1"/>
    <w:rsid w:val="005D7914"/>
    <w:rsid w:val="005E2B41"/>
    <w:rsid w:val="005F0B42"/>
    <w:rsid w:val="00681A10"/>
    <w:rsid w:val="006A1ED8"/>
    <w:rsid w:val="006B5625"/>
    <w:rsid w:val="006C2031"/>
    <w:rsid w:val="006D461A"/>
    <w:rsid w:val="006F35EE"/>
    <w:rsid w:val="007021FF"/>
    <w:rsid w:val="00712895"/>
    <w:rsid w:val="00757357"/>
    <w:rsid w:val="007C3F50"/>
    <w:rsid w:val="00806737"/>
    <w:rsid w:val="00825F8D"/>
    <w:rsid w:val="00833758"/>
    <w:rsid w:val="00834B71"/>
    <w:rsid w:val="0086445C"/>
    <w:rsid w:val="008934D2"/>
    <w:rsid w:val="00894693"/>
    <w:rsid w:val="008A08D7"/>
    <w:rsid w:val="008B6909"/>
    <w:rsid w:val="00903712"/>
    <w:rsid w:val="00906890"/>
    <w:rsid w:val="00906901"/>
    <w:rsid w:val="00911BE4"/>
    <w:rsid w:val="00951972"/>
    <w:rsid w:val="009608F3"/>
    <w:rsid w:val="00983128"/>
    <w:rsid w:val="009A24AC"/>
    <w:rsid w:val="00A14DA8"/>
    <w:rsid w:val="00A312BC"/>
    <w:rsid w:val="00A34786"/>
    <w:rsid w:val="00A84021"/>
    <w:rsid w:val="00A84D35"/>
    <w:rsid w:val="00A917B3"/>
    <w:rsid w:val="00AB4B51"/>
    <w:rsid w:val="00AC12E8"/>
    <w:rsid w:val="00B10CC7"/>
    <w:rsid w:val="00B16F58"/>
    <w:rsid w:val="00B36DF7"/>
    <w:rsid w:val="00B539E7"/>
    <w:rsid w:val="00B62458"/>
    <w:rsid w:val="00B739FE"/>
    <w:rsid w:val="00BC18B2"/>
    <w:rsid w:val="00BD33EE"/>
    <w:rsid w:val="00C106D6"/>
    <w:rsid w:val="00C60F0C"/>
    <w:rsid w:val="00C805C9"/>
    <w:rsid w:val="00C92939"/>
    <w:rsid w:val="00CA1679"/>
    <w:rsid w:val="00CB151C"/>
    <w:rsid w:val="00CE5A1A"/>
    <w:rsid w:val="00CF55F6"/>
    <w:rsid w:val="00D32525"/>
    <w:rsid w:val="00D33D63"/>
    <w:rsid w:val="00D90028"/>
    <w:rsid w:val="00D90138"/>
    <w:rsid w:val="00DD78D1"/>
    <w:rsid w:val="00DE32CD"/>
    <w:rsid w:val="00DF71B9"/>
    <w:rsid w:val="00E30B7B"/>
    <w:rsid w:val="00E73F76"/>
    <w:rsid w:val="00E77684"/>
    <w:rsid w:val="00E92F15"/>
    <w:rsid w:val="00EA2C9F"/>
    <w:rsid w:val="00EA420E"/>
    <w:rsid w:val="00EC31A6"/>
    <w:rsid w:val="00ED0BDA"/>
    <w:rsid w:val="00EF1360"/>
    <w:rsid w:val="00EF3220"/>
    <w:rsid w:val="00F43903"/>
    <w:rsid w:val="00F54286"/>
    <w:rsid w:val="00F743D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817B8F"/>
  <w15:docId w15:val="{5F3A0ADF-3899-4C93-96E9-FF2DE4CB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B16F5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7C3F50"/>
    <w:pPr>
      <w:keepNext/>
      <w:outlineLvl w:val="1"/>
    </w:pPr>
    <w:rPr>
      <w:rFonts w:cs="Arial"/>
      <w:bCs/>
      <w:iCs/>
      <w:szCs w:val="28"/>
    </w:rPr>
  </w:style>
  <w:style w:type="paragraph" w:styleId="3">
    <w:name w:val="heading 3"/>
    <w:basedOn w:val="a"/>
    <w:next w:val="a"/>
    <w:link w:val="30"/>
    <w:semiHidden/>
    <w:rsid w:val="007C3F50"/>
    <w:pPr>
      <w:keepNext/>
      <w:spacing w:before="240" w:after="60"/>
      <w:outlineLvl w:val="2"/>
    </w:pPr>
    <w:rPr>
      <w:rFonts w:ascii="Arial" w:hAnsi="Arial" w:cs="Arial"/>
      <w:b/>
      <w:bCs/>
      <w:sz w:val="26"/>
      <w:szCs w:val="26"/>
    </w:rPr>
  </w:style>
  <w:style w:type="paragraph" w:styleId="4">
    <w:name w:val="heading 4"/>
    <w:basedOn w:val="a"/>
    <w:next w:val="a"/>
    <w:link w:val="40"/>
    <w:semiHidden/>
    <w:rsid w:val="007C3F50"/>
    <w:pPr>
      <w:keepNext/>
      <w:spacing w:before="240" w:after="60"/>
      <w:outlineLvl w:val="3"/>
    </w:pPr>
    <w:rPr>
      <w:b/>
      <w:bCs/>
      <w:sz w:val="28"/>
      <w:szCs w:val="28"/>
    </w:rPr>
  </w:style>
  <w:style w:type="paragraph" w:styleId="5">
    <w:name w:val="heading 5"/>
    <w:basedOn w:val="a"/>
    <w:next w:val="a"/>
    <w:link w:val="50"/>
    <w:semiHidden/>
    <w:rsid w:val="007C3F50"/>
    <w:pPr>
      <w:spacing w:before="240" w:after="60"/>
      <w:outlineLvl w:val="4"/>
    </w:pPr>
    <w:rPr>
      <w:b/>
      <w:bCs/>
      <w:i/>
      <w:iCs/>
      <w:sz w:val="26"/>
      <w:szCs w:val="26"/>
    </w:rPr>
  </w:style>
  <w:style w:type="paragraph" w:styleId="6">
    <w:name w:val="heading 6"/>
    <w:basedOn w:val="a"/>
    <w:next w:val="a"/>
    <w:link w:val="60"/>
    <w:semiHidden/>
    <w:rsid w:val="007C3F50"/>
    <w:pPr>
      <w:spacing w:before="240" w:after="60"/>
      <w:outlineLvl w:val="5"/>
    </w:pPr>
    <w:rPr>
      <w:b/>
      <w:bCs/>
      <w:sz w:val="22"/>
    </w:rPr>
  </w:style>
  <w:style w:type="paragraph" w:styleId="7">
    <w:name w:val="heading 7"/>
    <w:basedOn w:val="a"/>
    <w:next w:val="a"/>
    <w:link w:val="70"/>
    <w:semiHidden/>
    <w:rsid w:val="007C3F50"/>
    <w:pPr>
      <w:spacing w:before="240" w:after="60"/>
      <w:outlineLvl w:val="6"/>
    </w:pPr>
    <w:rPr>
      <w:sz w:val="24"/>
      <w:szCs w:val="24"/>
    </w:rPr>
  </w:style>
  <w:style w:type="paragraph" w:styleId="8">
    <w:name w:val="heading 8"/>
    <w:basedOn w:val="a"/>
    <w:next w:val="a"/>
    <w:link w:val="80"/>
    <w:semiHidden/>
    <w:rsid w:val="007C3F50"/>
    <w:pPr>
      <w:spacing w:before="240" w:after="60"/>
      <w:outlineLvl w:val="7"/>
    </w:pPr>
    <w:rPr>
      <w:i/>
      <w:iCs/>
      <w:sz w:val="24"/>
      <w:szCs w:val="24"/>
    </w:rPr>
  </w:style>
  <w:style w:type="paragraph" w:styleId="9">
    <w:name w:val="heading 9"/>
    <w:basedOn w:val="a"/>
    <w:next w:val="a"/>
    <w:link w:val="90"/>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numbering" w:styleId="111111">
    <w:name w:val="Outline List 2"/>
    <w:basedOn w:val="a2"/>
    <w:semiHidden/>
    <w:rsid w:val="0035659B"/>
    <w:pPr>
      <w:numPr>
        <w:numId w:val="30"/>
      </w:numPr>
    </w:pPr>
  </w:style>
  <w:style w:type="numbering" w:styleId="1ai">
    <w:name w:val="Outline List 1"/>
    <w:basedOn w:val="a2"/>
    <w:semiHidden/>
    <w:rsid w:val="0035659B"/>
    <w:pPr>
      <w:numPr>
        <w:numId w:val="27"/>
      </w:numPr>
    </w:pPr>
  </w:style>
  <w:style w:type="character" w:customStyle="1" w:styleId="20">
    <w:name w:val="Заголовок 2 Знак"/>
    <w:basedOn w:val="a0"/>
    <w:link w:val="2"/>
    <w:semiHidden/>
    <w:rsid w:val="0035659B"/>
    <w:rPr>
      <w:rFonts w:eastAsiaTheme="minorHAnsi" w:cs="Arial"/>
      <w:bCs/>
      <w:iCs/>
      <w:szCs w:val="28"/>
      <w:lang w:val="ru-RU" w:eastAsia="en-US"/>
    </w:rPr>
  </w:style>
  <w:style w:type="character" w:customStyle="1" w:styleId="30">
    <w:name w:val="Заголовок 3 Знак"/>
    <w:basedOn w:val="a0"/>
    <w:link w:val="3"/>
    <w:semiHidden/>
    <w:rsid w:val="0035659B"/>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35659B"/>
    <w:rPr>
      <w:rFonts w:eastAsiaTheme="minorHAnsi" w:cstheme="minorBidi"/>
      <w:b/>
      <w:bCs/>
      <w:sz w:val="28"/>
      <w:szCs w:val="28"/>
      <w:lang w:val="ru-RU" w:eastAsia="en-US"/>
    </w:rPr>
  </w:style>
  <w:style w:type="character" w:customStyle="1" w:styleId="50">
    <w:name w:val="Заголовок 5 Знак"/>
    <w:basedOn w:val="a0"/>
    <w:link w:val="5"/>
    <w:semiHidden/>
    <w:rsid w:val="0035659B"/>
    <w:rPr>
      <w:rFonts w:eastAsiaTheme="minorHAnsi" w:cstheme="minorBidi"/>
      <w:b/>
      <w:bCs/>
      <w:i/>
      <w:iCs/>
      <w:sz w:val="26"/>
      <w:szCs w:val="26"/>
      <w:lang w:val="ru-RU" w:eastAsia="en-US"/>
    </w:rPr>
  </w:style>
  <w:style w:type="character" w:customStyle="1" w:styleId="60">
    <w:name w:val="Заголовок 6 Знак"/>
    <w:basedOn w:val="a0"/>
    <w:link w:val="6"/>
    <w:semiHidden/>
    <w:rsid w:val="0035659B"/>
    <w:rPr>
      <w:rFonts w:eastAsiaTheme="minorHAnsi" w:cstheme="minorBidi"/>
      <w:b/>
      <w:bCs/>
      <w:sz w:val="22"/>
      <w:szCs w:val="22"/>
      <w:lang w:val="ru-RU" w:eastAsia="en-US"/>
    </w:rPr>
  </w:style>
  <w:style w:type="character" w:customStyle="1" w:styleId="70">
    <w:name w:val="Заголовок 7 Знак"/>
    <w:basedOn w:val="a0"/>
    <w:link w:val="7"/>
    <w:semiHidden/>
    <w:rsid w:val="0035659B"/>
    <w:rPr>
      <w:rFonts w:eastAsiaTheme="minorHAnsi" w:cstheme="minorBidi"/>
      <w:sz w:val="24"/>
      <w:szCs w:val="24"/>
      <w:lang w:val="ru-RU" w:eastAsia="en-US"/>
    </w:rPr>
  </w:style>
  <w:style w:type="character" w:customStyle="1" w:styleId="80">
    <w:name w:val="Заголовок 8 Знак"/>
    <w:basedOn w:val="a0"/>
    <w:link w:val="8"/>
    <w:semiHidden/>
    <w:rsid w:val="0035659B"/>
    <w:rPr>
      <w:rFonts w:eastAsiaTheme="minorHAnsi" w:cstheme="minorBidi"/>
      <w:i/>
      <w:iCs/>
      <w:sz w:val="24"/>
      <w:szCs w:val="24"/>
      <w:lang w:val="ru-RU" w:eastAsia="en-US"/>
    </w:rPr>
  </w:style>
  <w:style w:type="character" w:customStyle="1" w:styleId="90">
    <w:name w:val="Заголовок 9 Знак"/>
    <w:basedOn w:val="a0"/>
    <w:link w:val="9"/>
    <w:semiHidden/>
    <w:rsid w:val="0035659B"/>
    <w:rPr>
      <w:rFonts w:ascii="Arial" w:eastAsiaTheme="minorHAnsi" w:hAnsi="Arial" w:cs="Arial"/>
      <w:sz w:val="22"/>
      <w:szCs w:val="22"/>
      <w:lang w:val="ru-RU" w:eastAsia="en-US"/>
    </w:rPr>
  </w:style>
  <w:style w:type="character" w:styleId="af3">
    <w:name w:val="Book Title"/>
    <w:basedOn w:val="a0"/>
    <w:uiPriority w:val="33"/>
    <w:rsid w:val="0035659B"/>
    <w:rPr>
      <w:b/>
      <w:bCs/>
      <w:smallCaps/>
      <w:spacing w:val="5"/>
    </w:rPr>
  </w:style>
  <w:style w:type="character" w:customStyle="1" w:styleId="SingleTxtGChar">
    <w:name w:val="_ Single Txt_G Char"/>
    <w:basedOn w:val="a0"/>
    <w:link w:val="SingleTxtG"/>
    <w:rsid w:val="0035659B"/>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riigiteataja.ee/akt/131052018055" TargetMode="External"/><Relationship Id="rId2" Type="http://schemas.openxmlformats.org/officeDocument/2006/relationships/hyperlink" Target="https://www.riigiteataja.ee/akt/131052018055" TargetMode="External"/><Relationship Id="rId1" Type="http://schemas.openxmlformats.org/officeDocument/2006/relationships/hyperlink" Target="https://www.tegijad.e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Vihi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'Töötuse määr'!$A$2</c:f>
              <c:strCache>
                <c:ptCount val="1"/>
                <c:pt idx="0">
                  <c:v>Total unemployment rate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'Töötuse määr'!$B$1:$L$1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'Töötuse määr'!$B$2:$L$2</c:f>
              <c:numCache>
                <c:formatCode>General</c:formatCode>
                <c:ptCount val="11"/>
                <c:pt idx="0">
                  <c:v>5.6</c:v>
                </c:pt>
                <c:pt idx="1">
                  <c:v>14.1</c:v>
                </c:pt>
                <c:pt idx="2">
                  <c:v>17.399999999999999</c:v>
                </c:pt>
                <c:pt idx="3">
                  <c:v>12.8</c:v>
                </c:pt>
                <c:pt idx="4">
                  <c:v>10.4</c:v>
                </c:pt>
                <c:pt idx="5" formatCode="0.0">
                  <c:v>9</c:v>
                </c:pt>
                <c:pt idx="6">
                  <c:v>7.7</c:v>
                </c:pt>
                <c:pt idx="7">
                  <c:v>6.4</c:v>
                </c:pt>
                <c:pt idx="8">
                  <c:v>7.1</c:v>
                </c:pt>
                <c:pt idx="9" formatCode="0.0">
                  <c:v>6</c:v>
                </c:pt>
                <c:pt idx="10">
                  <c:v>5.4</c:v>
                </c:pt>
              </c:numCache>
            </c:numRef>
          </c:val>
          <c:smooth val="0"/>
          <c:extLst>
            <c:ext xmlns:c16="http://schemas.microsoft.com/office/drawing/2014/chart" uri="{C3380CC4-5D6E-409C-BE32-E72D297353CC}">
              <c16:uniqueId val="{00000000-8E38-4F78-AE58-BEF5E595C007}"/>
            </c:ext>
          </c:extLst>
        </c:ser>
        <c:ser>
          <c:idx val="1"/>
          <c:order val="1"/>
          <c:tx>
            <c:strRef>
              <c:f>'Töötuse määr'!$A$3</c:f>
              <c:strCache>
                <c:ptCount val="1"/>
                <c:pt idx="0">
                  <c:v>Unemployment rate for people with reduced ability for work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5.6062554680664914E-2"/>
                  <c:y val="-3.93864829396325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E38-4F78-AE58-BEF5E595C007}"/>
                </c:ext>
              </c:extLst>
            </c:dLbl>
            <c:dLbl>
              <c:idx val="4"/>
              <c:layout>
                <c:manualLayout>
                  <c:x val="-5.1284776902887137E-2"/>
                  <c:y val="3.46875911344415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E38-4F78-AE58-BEF5E595C007}"/>
                </c:ext>
              </c:extLst>
            </c:dLbl>
            <c:dLbl>
              <c:idx val="5"/>
              <c:layout>
                <c:manualLayout>
                  <c:x val="-5.1284776902887241E-2"/>
                  <c:y val="3.9317220764071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E38-4F78-AE58-BEF5E595C007}"/>
                </c:ext>
              </c:extLst>
            </c:dLbl>
            <c:dLbl>
              <c:idx val="6"/>
              <c:layout>
                <c:manualLayout>
                  <c:x val="-4.5729221347331581E-2"/>
                  <c:y val="3.9317220764071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E38-4F78-AE58-BEF5E595C007}"/>
                </c:ext>
              </c:extLst>
            </c:dLbl>
            <c:dLbl>
              <c:idx val="7"/>
              <c:layout>
                <c:manualLayout>
                  <c:x val="-4.5729221347331685E-2"/>
                  <c:y val="-5.79050014581510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E38-4F78-AE58-BEF5E595C007}"/>
                </c:ext>
              </c:extLst>
            </c:dLbl>
            <c:dLbl>
              <c:idx val="8"/>
              <c:layout>
                <c:manualLayout>
                  <c:x val="-4.5729221347331685E-2"/>
                  <c:y val="4.3946850393700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E38-4F78-AE58-BEF5E595C007}"/>
                </c:ext>
              </c:extLst>
            </c:dLbl>
            <c:dLbl>
              <c:idx val="9"/>
              <c:layout>
                <c:manualLayout>
                  <c:x val="-5.1284776902887137E-2"/>
                  <c:y val="3.9317220764071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E38-4F78-AE58-BEF5E595C007}"/>
                </c:ext>
              </c:extLst>
            </c:dLbl>
            <c:dLbl>
              <c:idx val="10"/>
              <c:layout>
                <c:manualLayout>
                  <c:x val="-3.5587926509186352E-2"/>
                  <c:y val="-3.47568533100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E38-4F78-AE58-BEF5E595C00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'Töötuse määr'!$B$1:$L$1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'Töötuse määr'!$B$3:$L$3</c:f>
              <c:numCache>
                <c:formatCode>General</c:formatCode>
                <c:ptCount val="11"/>
                <c:pt idx="0">
                  <c:v>9.4</c:v>
                </c:pt>
                <c:pt idx="1">
                  <c:v>26</c:v>
                </c:pt>
                <c:pt idx="2">
                  <c:v>32.5</c:v>
                </c:pt>
                <c:pt idx="3">
                  <c:v>24</c:v>
                </c:pt>
                <c:pt idx="4">
                  <c:v>17.399999999999999</c:v>
                </c:pt>
                <c:pt idx="5">
                  <c:v>15.6</c:v>
                </c:pt>
                <c:pt idx="6">
                  <c:v>12.8</c:v>
                </c:pt>
                <c:pt idx="7">
                  <c:v>11.3</c:v>
                </c:pt>
                <c:pt idx="8">
                  <c:v>12.9</c:v>
                </c:pt>
                <c:pt idx="9">
                  <c:v>13.4</c:v>
                </c:pt>
                <c:pt idx="10">
                  <c:v>12.5</c:v>
                </c:pt>
              </c:numCache>
            </c:numRef>
          </c:val>
          <c:smooth val="0"/>
          <c:extLst>
            <c:ext xmlns:c16="http://schemas.microsoft.com/office/drawing/2014/chart" uri="{C3380CC4-5D6E-409C-BE32-E72D297353CC}">
              <c16:uniqueId val="{00000009-8E38-4F78-AE58-BEF5E595C007}"/>
            </c:ext>
          </c:extLst>
        </c:ser>
        <c:ser>
          <c:idx val="2"/>
          <c:order val="2"/>
          <c:tx>
            <c:strRef>
              <c:f>'Töötuse määr'!$A$4</c:f>
              <c:strCache>
                <c:ptCount val="1"/>
                <c:pt idx="0">
                  <c:v>Unemployment rate for people with disabilities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7"/>
              <c:layout>
                <c:manualLayout>
                  <c:x val="-4.5729221347331685E-2"/>
                  <c:y val="2.54975940507436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E38-4F78-AE58-BEF5E595C007}"/>
                </c:ext>
              </c:extLst>
            </c:dLbl>
            <c:dLbl>
              <c:idx val="10"/>
              <c:layout>
                <c:manualLayout>
                  <c:x val="-1.9611111111111315E-2"/>
                  <c:y val="3.01272236803732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E38-4F78-AE58-BEF5E595C00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'Töötuse määr'!$B$1:$L$1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'Töötuse määr'!$B$4:$L$4</c:f>
              <c:numCache>
                <c:formatCode>General</c:formatCode>
                <c:ptCount val="11"/>
                <c:pt idx="1">
                  <c:v>27.8</c:v>
                </c:pt>
                <c:pt idx="2">
                  <c:v>35.9</c:v>
                </c:pt>
                <c:pt idx="3">
                  <c:v>27.9</c:v>
                </c:pt>
                <c:pt idx="4">
                  <c:v>26.2</c:v>
                </c:pt>
                <c:pt idx="5">
                  <c:v>21.1</c:v>
                </c:pt>
                <c:pt idx="6">
                  <c:v>17.600000000000001</c:v>
                </c:pt>
                <c:pt idx="7">
                  <c:v>10.3</c:v>
                </c:pt>
                <c:pt idx="8">
                  <c:v>14.6</c:v>
                </c:pt>
                <c:pt idx="9">
                  <c:v>15.7</c:v>
                </c:pt>
                <c:pt idx="10">
                  <c:v>12</c:v>
                </c:pt>
              </c:numCache>
            </c:numRef>
          </c:val>
          <c:smooth val="0"/>
          <c:extLst>
            <c:ext xmlns:c16="http://schemas.microsoft.com/office/drawing/2014/chart" uri="{C3380CC4-5D6E-409C-BE32-E72D297353CC}">
              <c16:uniqueId val="{0000000C-8E38-4F78-AE58-BEF5E595C007}"/>
            </c:ext>
          </c:extLst>
        </c:ser>
        <c:dLbls>
          <c:dLblPos val="t"/>
          <c:showLegendKey val="0"/>
          <c:showVal val="1"/>
          <c:showCatName val="0"/>
          <c:showSerName val="0"/>
          <c:showPercent val="0"/>
          <c:showBubbleSize val="0"/>
        </c:dLbls>
        <c:marker val="1"/>
        <c:smooth val="0"/>
        <c:axId val="543726016"/>
        <c:axId val="178252520"/>
      </c:lineChart>
      <c:catAx>
        <c:axId val="54372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252520"/>
        <c:crosses val="autoZero"/>
        <c:auto val="1"/>
        <c:lblAlgn val="ctr"/>
        <c:lblOffset val="100"/>
        <c:noMultiLvlLbl val="0"/>
      </c:catAx>
      <c:valAx>
        <c:axId val="178252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3726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A0165-6304-4334-9BDD-92F660A62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5</TotalTime>
  <Pages>25</Pages>
  <Words>9711</Words>
  <Characters>62934</Characters>
  <Application>Microsoft Office Word</Application>
  <DocSecurity>0</DocSecurity>
  <Lines>1339</Lines>
  <Paragraphs>563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CRPD/C/EST/RQ/1</vt:lpstr>
      <vt:lpstr>A/</vt:lpstr>
      <vt:lpstr>A/</vt:lpstr>
    </vt:vector>
  </TitlesOfParts>
  <Company>DCM</Company>
  <LinksUpToDate>false</LinksUpToDate>
  <CharactersWithSpaces>72082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CRPD/C/EST/RQ/1</dc:title>
  <dc:subject/>
  <dc:creator>Marina KOROTKOVA</dc:creator>
  <cp:keywords/>
  <cp:lastModifiedBy>Marina Korotkova</cp:lastModifiedBy>
  <cp:revision>3</cp:revision>
  <cp:lastPrinted>2020-01-31T12:10:00Z</cp:lastPrinted>
  <dcterms:created xsi:type="dcterms:W3CDTF">2020-01-31T12:10:00Z</dcterms:created>
  <dcterms:modified xsi:type="dcterms:W3CDTF">2020-01-31T12:15:00Z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