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6555797" w14:textId="77777777" w:rsidTr="009D5F1A">
        <w:trPr>
          <w:trHeight w:hRule="exact" w:val="851"/>
        </w:trPr>
        <w:tc>
          <w:tcPr>
            <w:tcW w:w="1276" w:type="dxa"/>
            <w:tcBorders>
              <w:bottom w:val="single" w:sz="4" w:space="0" w:color="auto"/>
            </w:tcBorders>
          </w:tcPr>
          <w:p w14:paraId="6F24896E" w14:textId="77777777" w:rsidR="00DC0149" w:rsidRPr="00DB58B5" w:rsidRDefault="00DC0149" w:rsidP="00FB04D8"/>
        </w:tc>
        <w:tc>
          <w:tcPr>
            <w:tcW w:w="2268" w:type="dxa"/>
            <w:tcBorders>
              <w:bottom w:val="single" w:sz="4" w:space="0" w:color="auto"/>
            </w:tcBorders>
            <w:vAlign w:val="bottom"/>
          </w:tcPr>
          <w:p w14:paraId="67B936F9"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7ECB98" w14:textId="5631B0E0" w:rsidR="00DC0149" w:rsidRPr="005700C5" w:rsidRDefault="005700C5" w:rsidP="005700C5">
            <w:pPr>
              <w:jc w:val="right"/>
            </w:pPr>
            <w:r w:rsidRPr="005700C5">
              <w:rPr>
                <w:sz w:val="40"/>
              </w:rPr>
              <w:t>CERD</w:t>
            </w:r>
            <w:r>
              <w:t>/C/CHE/CO/10-12</w:t>
            </w:r>
          </w:p>
        </w:tc>
      </w:tr>
      <w:tr w:rsidR="00DC0149" w:rsidRPr="00DB58B5" w14:paraId="0A0EB353" w14:textId="77777777" w:rsidTr="009D5F1A">
        <w:trPr>
          <w:trHeight w:hRule="exact" w:val="2835"/>
        </w:trPr>
        <w:tc>
          <w:tcPr>
            <w:tcW w:w="1276" w:type="dxa"/>
            <w:tcBorders>
              <w:top w:val="single" w:sz="4" w:space="0" w:color="auto"/>
              <w:bottom w:val="single" w:sz="12" w:space="0" w:color="auto"/>
            </w:tcBorders>
          </w:tcPr>
          <w:p w14:paraId="730E1FBB" w14:textId="77777777" w:rsidR="00DC0149" w:rsidRPr="00DB58B5" w:rsidRDefault="00DC0149" w:rsidP="009D5F1A">
            <w:pPr>
              <w:spacing w:before="120"/>
              <w:jc w:val="center"/>
            </w:pPr>
            <w:r>
              <w:rPr>
                <w:noProof/>
                <w:lang w:val="en-GB" w:eastAsia="en-GB"/>
              </w:rPr>
              <w:drawing>
                <wp:inline distT="0" distB="0" distL="0" distR="0" wp14:anchorId="55BD1591" wp14:editId="51F14E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E44E01"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567FC977" w14:textId="77777777" w:rsidR="00DC0149" w:rsidRDefault="00FB04D8" w:rsidP="009D5F1A">
            <w:pPr>
              <w:spacing w:before="240"/>
            </w:pPr>
            <w:proofErr w:type="spellStart"/>
            <w:r>
              <w:t>Distr</w:t>
            </w:r>
            <w:proofErr w:type="spellEnd"/>
            <w:r>
              <w:t>. générale</w:t>
            </w:r>
          </w:p>
          <w:p w14:paraId="7E333B3D" w14:textId="693CDA90" w:rsidR="00FB04D8" w:rsidRDefault="00356ABA" w:rsidP="00FB04D8">
            <w:pPr>
              <w:spacing w:line="240" w:lineRule="exact"/>
            </w:pPr>
            <w:r>
              <w:t>2</w:t>
            </w:r>
            <w:r w:rsidR="003C669D">
              <w:t>7</w:t>
            </w:r>
            <w:r>
              <w:t xml:space="preserve"> </w:t>
            </w:r>
            <w:r w:rsidR="00FB04D8">
              <w:t>décembre 2021</w:t>
            </w:r>
          </w:p>
          <w:p w14:paraId="4CF977AC" w14:textId="48B11F8C" w:rsidR="00FB04D8" w:rsidRDefault="00FB04D8" w:rsidP="00FB04D8">
            <w:pPr>
              <w:spacing w:line="240" w:lineRule="exact"/>
            </w:pPr>
          </w:p>
          <w:p w14:paraId="74916CFA" w14:textId="176D29EB" w:rsidR="00FB04D8" w:rsidRPr="00DB58B5" w:rsidRDefault="00FB04D8" w:rsidP="00FB04D8">
            <w:pPr>
              <w:spacing w:line="240" w:lineRule="exact"/>
            </w:pPr>
            <w:r>
              <w:t>Original : français</w:t>
            </w:r>
          </w:p>
        </w:tc>
      </w:tr>
    </w:tbl>
    <w:p w14:paraId="71023E68" w14:textId="77777777" w:rsidR="00623CA8" w:rsidRDefault="00623CA8" w:rsidP="00623CA8">
      <w:pPr>
        <w:spacing w:before="120"/>
        <w:rPr>
          <w:b/>
          <w:sz w:val="24"/>
          <w:szCs w:val="24"/>
        </w:rPr>
      </w:pPr>
      <w:r w:rsidRPr="00C56102">
        <w:rPr>
          <w:b/>
          <w:sz w:val="24"/>
          <w:szCs w:val="24"/>
        </w:rPr>
        <w:t>Comité pour l’élimination de la discrimination raciale</w:t>
      </w:r>
    </w:p>
    <w:p w14:paraId="71D386C0" w14:textId="1F0369C3" w:rsidR="008E330B" w:rsidRDefault="008E330B" w:rsidP="003C7926">
      <w:pPr>
        <w:pStyle w:val="HChG"/>
      </w:pPr>
      <w:r>
        <w:tab/>
      </w:r>
      <w:r>
        <w:tab/>
        <w:t>Observations finales concernant le rapport de la Suisse valant dixième à douzième rapports périodiques</w:t>
      </w:r>
      <w:r>
        <w:rPr>
          <w:rStyle w:val="Appelnotedebasdep"/>
          <w:b w:val="0"/>
          <w:sz w:val="20"/>
          <w:vertAlign w:val="baseline"/>
        </w:rPr>
        <w:footnoteReference w:customMarkFollows="1" w:id="2"/>
        <w:t>*</w:t>
      </w:r>
    </w:p>
    <w:p w14:paraId="5AE573E0" w14:textId="398B2690" w:rsidR="008E330B" w:rsidRPr="0059782E" w:rsidRDefault="00C864B4" w:rsidP="003C7926">
      <w:pPr>
        <w:pStyle w:val="SingleTxtG"/>
      </w:pPr>
      <w:r>
        <w:t>1.</w:t>
      </w:r>
      <w:r>
        <w:tab/>
      </w:r>
      <w:r w:rsidR="008E330B" w:rsidRPr="0059782E">
        <w:t xml:space="preserve">Le Comité a examiné le rapport de la </w:t>
      </w:r>
      <w:r w:rsidR="008E330B" w:rsidRPr="00381D41">
        <w:t>Suisse valant dixième à douzième rapports périodiques</w:t>
      </w:r>
      <w:r w:rsidR="008E330B" w:rsidRPr="00F974A6">
        <w:rPr>
          <w:rStyle w:val="Appelnotedebasdep"/>
        </w:rPr>
        <w:footnoteReference w:id="3"/>
      </w:r>
      <w:r w:rsidR="008E330B" w:rsidRPr="00381D41">
        <w:t xml:space="preserve"> à ses 2839</w:t>
      </w:r>
      <w:r w:rsidR="008E330B" w:rsidRPr="00381D41">
        <w:rPr>
          <w:vertAlign w:val="superscript"/>
        </w:rPr>
        <w:t>e</w:t>
      </w:r>
      <w:r w:rsidR="008E330B" w:rsidRPr="00381D41">
        <w:t xml:space="preserve"> et </w:t>
      </w:r>
      <w:r w:rsidRPr="00381D41">
        <w:t>2840</w:t>
      </w:r>
      <w:r w:rsidRPr="00381D41">
        <w:rPr>
          <w:vertAlign w:val="superscript"/>
        </w:rPr>
        <w:t>e</w:t>
      </w:r>
      <w:r>
        <w:t> </w:t>
      </w:r>
      <w:r w:rsidR="008E330B" w:rsidRPr="00381D41">
        <w:t>séances</w:t>
      </w:r>
      <w:r w:rsidR="008E330B" w:rsidRPr="00F974A6">
        <w:rPr>
          <w:rStyle w:val="Appelnotedebasdep"/>
        </w:rPr>
        <w:footnoteReference w:id="4"/>
      </w:r>
      <w:r w:rsidR="008E330B" w:rsidRPr="00381D41">
        <w:t xml:space="preserve">, les 16 et </w:t>
      </w:r>
      <w:r w:rsidRPr="00381D41">
        <w:t>17</w:t>
      </w:r>
      <w:r>
        <w:t> </w:t>
      </w:r>
      <w:r w:rsidR="008E330B" w:rsidRPr="00381D41">
        <w:t xml:space="preserve">novembre 2021. À sa </w:t>
      </w:r>
      <w:r w:rsidRPr="00381D41">
        <w:t>2856</w:t>
      </w:r>
      <w:r w:rsidRPr="00381D41">
        <w:rPr>
          <w:vertAlign w:val="superscript"/>
        </w:rPr>
        <w:t>e</w:t>
      </w:r>
      <w:r>
        <w:t> </w:t>
      </w:r>
      <w:r w:rsidR="008E330B" w:rsidRPr="00381D41">
        <w:t xml:space="preserve">séance, le </w:t>
      </w:r>
      <w:r w:rsidRPr="00381D41">
        <w:t>29</w:t>
      </w:r>
      <w:r>
        <w:t> </w:t>
      </w:r>
      <w:r w:rsidR="008E330B" w:rsidRPr="00381D41">
        <w:t xml:space="preserve">novembre </w:t>
      </w:r>
      <w:r w:rsidR="008E330B" w:rsidRPr="0059782E">
        <w:t>2021, il a adopté les présentes observations finales.</w:t>
      </w:r>
    </w:p>
    <w:p w14:paraId="2F9B4998" w14:textId="77777777" w:rsidR="008E330B" w:rsidRDefault="008E330B" w:rsidP="003C7926">
      <w:pPr>
        <w:pStyle w:val="H1G"/>
      </w:pPr>
      <w:r>
        <w:tab/>
        <w:t>A.</w:t>
      </w:r>
      <w:r>
        <w:tab/>
        <w:t xml:space="preserve">Introduction </w:t>
      </w:r>
    </w:p>
    <w:p w14:paraId="7363114D" w14:textId="548E08FB" w:rsidR="008E330B" w:rsidRDefault="00C864B4" w:rsidP="003C7926">
      <w:pPr>
        <w:pStyle w:val="SingleTxtG"/>
      </w:pPr>
      <w:r>
        <w:t>2.</w:t>
      </w:r>
      <w:r>
        <w:tab/>
      </w:r>
      <w:r w:rsidR="008E330B">
        <w:t>Le Comité accueille avec satisfaction la cinquième apparition de l’État partie devant le Comité pour la présentation de son rapport valant dixième à douzième</w:t>
      </w:r>
      <w:r w:rsidR="008E330B" w:rsidRPr="00732DCB">
        <w:t xml:space="preserve"> </w:t>
      </w:r>
      <w:r w:rsidR="008E330B">
        <w:t xml:space="preserve">rapports périodiques. Il se félicite du dialogue constructif qu’il a eu avec la délégation de l’État partie, et la remercie pour les informations qu’elle lui a fournies lors de l’examen du rapport </w:t>
      </w:r>
      <w:r w:rsidR="008E330B" w:rsidRPr="0059782E">
        <w:t>et pour les renseignements complémentaires qu</w:t>
      </w:r>
      <w:r w:rsidR="008E330B">
        <w:t>’</w:t>
      </w:r>
      <w:r w:rsidR="008E330B" w:rsidRPr="0059782E">
        <w:t>elle lui a communiqués après le dialogue</w:t>
      </w:r>
      <w:r w:rsidR="008E330B" w:rsidRPr="006424F3">
        <w:t>.</w:t>
      </w:r>
      <w:r w:rsidR="008E330B">
        <w:t xml:space="preserve"> </w:t>
      </w:r>
    </w:p>
    <w:p w14:paraId="3A9BA2F2" w14:textId="77777777" w:rsidR="008E330B" w:rsidRDefault="008E330B" w:rsidP="003C7926">
      <w:pPr>
        <w:pStyle w:val="H1G"/>
      </w:pPr>
      <w:r>
        <w:tab/>
        <w:t>B.</w:t>
      </w:r>
      <w:r>
        <w:tab/>
        <w:t xml:space="preserve">Aspects positifs </w:t>
      </w:r>
    </w:p>
    <w:p w14:paraId="7FC6EE02" w14:textId="3CB23C25" w:rsidR="008E330B" w:rsidRDefault="00C864B4" w:rsidP="003C7926">
      <w:pPr>
        <w:pStyle w:val="SingleTxtG"/>
        <w:keepNext/>
      </w:pPr>
      <w:r>
        <w:t>3.</w:t>
      </w:r>
      <w:r>
        <w:tab/>
      </w:r>
      <w:r w:rsidR="008E330B">
        <w:t>Le Comité note avec satisfaction que l’État partie a ratifié les instruments internationaux relatifs aux droits de l’homme suivants, ou y a adhéré :</w:t>
      </w:r>
    </w:p>
    <w:p w14:paraId="0DA5C99A" w14:textId="67FB5AAD" w:rsidR="008E330B" w:rsidRDefault="00C864B4" w:rsidP="003C7926">
      <w:pPr>
        <w:pStyle w:val="SingleTxtG"/>
        <w:ind w:firstLine="567"/>
      </w:pPr>
      <w:r>
        <w:t>a)</w:t>
      </w:r>
      <w:r>
        <w:tab/>
      </w:r>
      <w:r w:rsidR="008E330B">
        <w:t xml:space="preserve">Le Protocole facultatif à la Convention relative aux droits de l’enfant établissant une procédure de présentation de communications, le </w:t>
      </w:r>
      <w:r>
        <w:t>24 </w:t>
      </w:r>
      <w:r w:rsidR="008E330B">
        <w:t>avril 2017 ;</w:t>
      </w:r>
    </w:p>
    <w:p w14:paraId="2C33CAA0" w14:textId="30D2825B" w:rsidR="008E330B" w:rsidRDefault="00C864B4" w:rsidP="003C7926">
      <w:pPr>
        <w:pStyle w:val="SingleTxtG"/>
        <w:ind w:firstLine="567"/>
      </w:pPr>
      <w:r>
        <w:t>b)</w:t>
      </w:r>
      <w:r>
        <w:tab/>
      </w:r>
      <w:r w:rsidR="008E330B">
        <w:t xml:space="preserve">La Convention internationale pour la protection de toutes les personnes contre les disparitions forcées, le </w:t>
      </w:r>
      <w:r>
        <w:t>2 </w:t>
      </w:r>
      <w:r w:rsidR="008E330B">
        <w:t>décembre 2016 ;</w:t>
      </w:r>
    </w:p>
    <w:p w14:paraId="59F12002" w14:textId="1AFA9AF6" w:rsidR="008E330B" w:rsidRDefault="00C864B4" w:rsidP="003C7926">
      <w:pPr>
        <w:pStyle w:val="SingleTxtG"/>
        <w:ind w:firstLine="567"/>
      </w:pPr>
      <w:r>
        <w:t>c)</w:t>
      </w:r>
      <w:r>
        <w:tab/>
      </w:r>
      <w:r w:rsidR="008E330B">
        <w:t xml:space="preserve">La Convention </w:t>
      </w:r>
      <w:r>
        <w:t xml:space="preserve">de </w:t>
      </w:r>
      <w:r w:rsidR="008E330B">
        <w:t>2011 sur les travailleuses et travailleurs domestiques (n</w:t>
      </w:r>
      <w:r w:rsidR="008E330B" w:rsidRPr="00732DCB">
        <w:rPr>
          <w:vertAlign w:val="superscript"/>
        </w:rPr>
        <w:t>o</w:t>
      </w:r>
      <w:r w:rsidR="008E330B">
        <w:t xml:space="preserve"> 189) de l’Organisation internationale du Travail, le </w:t>
      </w:r>
      <w:r>
        <w:t>12 </w:t>
      </w:r>
      <w:r w:rsidR="008E330B">
        <w:t>novembre 2014 ;</w:t>
      </w:r>
    </w:p>
    <w:p w14:paraId="1265DC4C" w14:textId="1B178132" w:rsidR="008E330B" w:rsidRDefault="00C864B4" w:rsidP="003C7926">
      <w:pPr>
        <w:pStyle w:val="SingleTxtG"/>
        <w:ind w:firstLine="567"/>
      </w:pPr>
      <w:r>
        <w:t>d)</w:t>
      </w:r>
      <w:r>
        <w:tab/>
      </w:r>
      <w:r w:rsidR="008E330B">
        <w:t xml:space="preserve">La Convention relative aux droits des personnes handicapées, le </w:t>
      </w:r>
      <w:r>
        <w:t>15 </w:t>
      </w:r>
      <w:r w:rsidR="008E330B">
        <w:t>avril 2014.</w:t>
      </w:r>
    </w:p>
    <w:p w14:paraId="68C114D7" w14:textId="4E4DA50D" w:rsidR="008E330B" w:rsidRDefault="00C864B4" w:rsidP="003C7926">
      <w:pPr>
        <w:pStyle w:val="SingleTxtG"/>
        <w:keepNext/>
      </w:pPr>
      <w:r>
        <w:t>4.</w:t>
      </w:r>
      <w:r>
        <w:tab/>
      </w:r>
      <w:r w:rsidR="008E330B">
        <w:t>Le Comité salue en outre les mesures législatives, institutionnelles et politiques ci</w:t>
      </w:r>
      <w:r w:rsidR="000D6BE3">
        <w:noBreakHyphen/>
      </w:r>
      <w:r w:rsidR="008E330B">
        <w:t>après prises par l’État partie :</w:t>
      </w:r>
    </w:p>
    <w:p w14:paraId="52497603" w14:textId="6B54A56E" w:rsidR="008E330B" w:rsidRDefault="00C864B4" w:rsidP="003C7926">
      <w:pPr>
        <w:pStyle w:val="SingleTxtG"/>
        <w:ind w:firstLine="567"/>
      </w:pPr>
      <w:r>
        <w:t>a)</w:t>
      </w:r>
      <w:r>
        <w:tab/>
      </w:r>
      <w:r w:rsidR="008E330B">
        <w:t xml:space="preserve">La modification du </w:t>
      </w:r>
      <w:r>
        <w:t>1</w:t>
      </w:r>
      <w:r w:rsidRPr="00032DFD">
        <w:rPr>
          <w:vertAlign w:val="superscript"/>
        </w:rPr>
        <w:t>er</w:t>
      </w:r>
      <w:r>
        <w:t> </w:t>
      </w:r>
      <w:r w:rsidR="008E330B">
        <w:t xml:space="preserve">octobre 2021, par l’acte FF 2021 2325, apportée à la loi fédérale sur des mesures de promotion civile de la paix et de renforcement des droits de l’homme, concernant la création d’une institution nationale des droits de l’homme ; </w:t>
      </w:r>
    </w:p>
    <w:p w14:paraId="67413F3B" w14:textId="32836113" w:rsidR="008E330B" w:rsidRDefault="00C864B4" w:rsidP="003C7926">
      <w:pPr>
        <w:pStyle w:val="SingleTxtG"/>
        <w:ind w:firstLine="567"/>
      </w:pPr>
      <w:r>
        <w:lastRenderedPageBreak/>
        <w:t>b)</w:t>
      </w:r>
      <w:r>
        <w:tab/>
      </w:r>
      <w:r w:rsidR="008E330B">
        <w:t>La modification du 30 </w:t>
      </w:r>
      <w:r>
        <w:t xml:space="preserve">septembre </w:t>
      </w:r>
      <w:r w:rsidR="008E330B">
        <w:t>2016, par l’a</w:t>
      </w:r>
      <w:r w:rsidR="008E330B" w:rsidRPr="0059782E">
        <w:t xml:space="preserve">cte </w:t>
      </w:r>
      <w:r w:rsidR="008E330B" w:rsidRPr="005E3225">
        <w:t>RO 2018 531</w:t>
      </w:r>
      <w:r w:rsidR="008E330B">
        <w:t>,</w:t>
      </w:r>
      <w:r w:rsidR="008E330B" w:rsidRPr="0059782E">
        <w:t xml:space="preserve"> </w:t>
      </w:r>
      <w:r w:rsidR="008E330B">
        <w:t xml:space="preserve">de la loi sur la nationalité suisse, concernant la naturalisation facilitée des étrangers de la troisième génération, depuis le </w:t>
      </w:r>
      <w:r>
        <w:t>15 </w:t>
      </w:r>
      <w:r w:rsidR="008E330B">
        <w:t>février 2018 ;</w:t>
      </w:r>
    </w:p>
    <w:p w14:paraId="4D23BB16" w14:textId="2BBE15AF" w:rsidR="008E330B" w:rsidRDefault="00C864B4" w:rsidP="003C7926">
      <w:pPr>
        <w:pStyle w:val="SingleTxtG"/>
        <w:ind w:firstLine="567"/>
      </w:pPr>
      <w:r>
        <w:t>c)</w:t>
      </w:r>
      <w:r>
        <w:tab/>
      </w:r>
      <w:r w:rsidR="008E330B">
        <w:t>L’adoption de l’Agenda Intégration Suisse en 2018, devant favoriser l’intégration des personnes réfugiées et des personnes admises à titre provisoire ;</w:t>
      </w:r>
    </w:p>
    <w:p w14:paraId="6ECD101C" w14:textId="2406BC47" w:rsidR="008E330B" w:rsidRPr="007E3E1F" w:rsidRDefault="00C864B4" w:rsidP="003C7926">
      <w:pPr>
        <w:pStyle w:val="SingleTxtG"/>
        <w:ind w:firstLine="567"/>
      </w:pPr>
      <w:r>
        <w:t>d)</w:t>
      </w:r>
      <w:r>
        <w:tab/>
      </w:r>
      <w:r w:rsidR="008E330B" w:rsidRPr="007E3E1F">
        <w:t>L</w:t>
      </w:r>
      <w:r w:rsidR="008E330B">
        <w:t>a modification du 15 </w:t>
      </w:r>
      <w:r>
        <w:t xml:space="preserve">novembre </w:t>
      </w:r>
      <w:r w:rsidR="008E330B">
        <w:t>2017, par l’</w:t>
      </w:r>
      <w:r w:rsidR="008E330B" w:rsidRPr="007E3E1F">
        <w:t xml:space="preserve">acte </w:t>
      </w:r>
      <w:r w:rsidRPr="00A77991">
        <w:rPr>
          <w:shd w:val="clear" w:color="auto" w:fill="FFFFFF"/>
        </w:rPr>
        <w:t>RO</w:t>
      </w:r>
      <w:r>
        <w:rPr>
          <w:shd w:val="clear" w:color="auto" w:fill="FFFFFF"/>
        </w:rPr>
        <w:t> </w:t>
      </w:r>
      <w:r w:rsidRPr="00A77991">
        <w:rPr>
          <w:shd w:val="clear" w:color="auto" w:fill="FFFFFF"/>
        </w:rPr>
        <w:t>2017</w:t>
      </w:r>
      <w:r>
        <w:rPr>
          <w:shd w:val="clear" w:color="auto" w:fill="FFFFFF"/>
        </w:rPr>
        <w:t> </w:t>
      </w:r>
      <w:r w:rsidR="008E330B" w:rsidRPr="00A77991">
        <w:rPr>
          <w:shd w:val="clear" w:color="auto" w:fill="FFFFFF"/>
        </w:rPr>
        <w:t>6545</w:t>
      </w:r>
      <w:r w:rsidR="008E330B">
        <w:t>,</w:t>
      </w:r>
      <w:r w:rsidR="008E330B" w:rsidRPr="007E3E1F">
        <w:t xml:space="preserve"> </w:t>
      </w:r>
      <w:r w:rsidR="008E330B">
        <w:t>de l’o</w:t>
      </w:r>
      <w:r w:rsidR="008E330B" w:rsidRPr="00A77991">
        <w:t>rdonnance 2 sur l</w:t>
      </w:r>
      <w:r w:rsidR="008E330B">
        <w:t>’</w:t>
      </w:r>
      <w:r w:rsidR="008E330B" w:rsidRPr="00A77991">
        <w:t>asile relative au financement</w:t>
      </w:r>
      <w:r w:rsidR="008E330B">
        <w:t>,</w:t>
      </w:r>
      <w:r w:rsidR="008E330B" w:rsidRPr="007E3E1F">
        <w:t xml:space="preserve"> </w:t>
      </w:r>
      <w:r w:rsidR="008E330B">
        <w:t xml:space="preserve">qui abolit </w:t>
      </w:r>
      <w:r w:rsidR="008E330B" w:rsidRPr="007E3E1F">
        <w:t>la taxe spéciale de 10</w:t>
      </w:r>
      <w:r w:rsidR="008E330B">
        <w:t> </w:t>
      </w:r>
      <w:r w:rsidR="008E330B" w:rsidRPr="007E3E1F">
        <w:t>% sur le revenu pour les demandeurs d</w:t>
      </w:r>
      <w:r w:rsidR="008E330B">
        <w:t>’</w:t>
      </w:r>
      <w:r w:rsidR="008E330B" w:rsidRPr="007E3E1F">
        <w:t xml:space="preserve">asile et les personnes admises à titre provisoire dès le </w:t>
      </w:r>
      <w:r w:rsidRPr="007E3E1F">
        <w:t>1</w:t>
      </w:r>
      <w:r w:rsidRPr="00732DCB">
        <w:rPr>
          <w:vertAlign w:val="superscript"/>
        </w:rPr>
        <w:t>er</w:t>
      </w:r>
      <w:r>
        <w:t> </w:t>
      </w:r>
      <w:r w:rsidR="008E330B" w:rsidRPr="007E3E1F">
        <w:t>janvier 2018</w:t>
      </w:r>
      <w:r w:rsidR="008E330B">
        <w:t> </w:t>
      </w:r>
      <w:r w:rsidR="008E330B" w:rsidRPr="007E3E1F">
        <w:t>;</w:t>
      </w:r>
    </w:p>
    <w:p w14:paraId="4BEFE933" w14:textId="3E9DA556" w:rsidR="008E330B" w:rsidRDefault="00C864B4" w:rsidP="003C7926">
      <w:pPr>
        <w:pStyle w:val="SingleTxtG"/>
        <w:ind w:firstLine="567"/>
      </w:pPr>
      <w:r>
        <w:t>e)</w:t>
      </w:r>
      <w:r>
        <w:tab/>
      </w:r>
      <w:r w:rsidR="008E330B">
        <w:t>La mise en œuvre par la République et canton de Genève de l’opération Papyrus entre 2017 et 2018, dans le but de régulariser les migrants sans papiers ;</w:t>
      </w:r>
    </w:p>
    <w:p w14:paraId="4DD21A13" w14:textId="3171BAA6" w:rsidR="008E330B" w:rsidRDefault="00C864B4" w:rsidP="003C7926">
      <w:pPr>
        <w:pStyle w:val="SingleTxtG"/>
        <w:ind w:firstLine="567"/>
      </w:pPr>
      <w:r>
        <w:t>f)</w:t>
      </w:r>
      <w:r>
        <w:tab/>
      </w:r>
      <w:r w:rsidR="008E330B">
        <w:t xml:space="preserve">L’initiative politique, prise par les autorités cantonales et municipales de Genève, de dialogue et de consultation avec les personnes africaines et d’ascendance africaine à la suite des </w:t>
      </w:r>
      <w:r>
        <w:t>événements</w:t>
      </w:r>
      <w:r w:rsidR="008E330B">
        <w:t xml:space="preserve"> du mouvement Black Lives </w:t>
      </w:r>
      <w:proofErr w:type="spellStart"/>
      <w:r w:rsidR="008E330B">
        <w:t>Matter</w:t>
      </w:r>
      <w:proofErr w:type="spellEnd"/>
      <w:r w:rsidR="008E330B">
        <w:t xml:space="preserve">. </w:t>
      </w:r>
    </w:p>
    <w:p w14:paraId="103F2EDC" w14:textId="77777777" w:rsidR="008E330B" w:rsidRPr="0001290C" w:rsidRDefault="008E330B" w:rsidP="003C7926">
      <w:pPr>
        <w:pStyle w:val="H1G"/>
        <w:rPr>
          <w:color w:val="000000"/>
          <w:lang w:eastAsia="en-GB"/>
        </w:rPr>
      </w:pPr>
      <w:r>
        <w:tab/>
        <w:t>C.</w:t>
      </w:r>
      <w:r>
        <w:tab/>
      </w:r>
      <w:r w:rsidRPr="00381D41">
        <w:t>Préoccupations</w:t>
      </w:r>
      <w:r>
        <w:t xml:space="preserve"> et recommandations </w:t>
      </w:r>
    </w:p>
    <w:p w14:paraId="62F56D3C" w14:textId="77777777" w:rsidR="008E330B" w:rsidRDefault="008E330B" w:rsidP="003C7926">
      <w:pPr>
        <w:pStyle w:val="H23G"/>
      </w:pPr>
      <w:r>
        <w:tab/>
      </w:r>
      <w:r>
        <w:tab/>
      </w:r>
      <w:r w:rsidRPr="00A77991">
        <w:t>Application de la Convention en droit interne</w:t>
      </w:r>
    </w:p>
    <w:p w14:paraId="7C6C834A" w14:textId="73123763" w:rsidR="008E330B" w:rsidRDefault="00C864B4" w:rsidP="003C7926">
      <w:pPr>
        <w:pStyle w:val="SingleTxtG"/>
        <w:rPr>
          <w:lang w:val="fr-FR"/>
        </w:rPr>
      </w:pPr>
      <w:r>
        <w:rPr>
          <w:lang w:val="fr-FR"/>
        </w:rPr>
        <w:t>5.</w:t>
      </w:r>
      <w:r>
        <w:rPr>
          <w:lang w:val="fr-FR"/>
        </w:rPr>
        <w:tab/>
      </w:r>
      <w:r w:rsidR="008E330B" w:rsidRPr="00D81C46">
        <w:rPr>
          <w:lang w:val="fr-FR"/>
        </w:rPr>
        <w:t>Le Comité</w:t>
      </w:r>
      <w:r w:rsidR="008E330B">
        <w:rPr>
          <w:lang w:val="fr-FR"/>
        </w:rPr>
        <w:t xml:space="preserve"> regrette qu’en dépit de la recommandation incluse dans ses précédentes observations finales</w:t>
      </w:r>
      <w:r w:rsidR="008E330B" w:rsidRPr="00F974A6">
        <w:rPr>
          <w:rStyle w:val="Appelnotedebasdep"/>
        </w:rPr>
        <w:footnoteReference w:id="5"/>
      </w:r>
      <w:r w:rsidR="008E330B">
        <w:rPr>
          <w:lang w:val="fr-FR"/>
        </w:rPr>
        <w:t>,</w:t>
      </w:r>
      <w:r w:rsidR="008E330B" w:rsidRPr="00D4361B">
        <w:rPr>
          <w:lang w:val="fr-FR"/>
        </w:rPr>
        <w:t xml:space="preserve"> l</w:t>
      </w:r>
      <w:r w:rsidR="008E330B">
        <w:rPr>
          <w:lang w:val="fr-FR"/>
        </w:rPr>
        <w:t>’</w:t>
      </w:r>
      <w:r w:rsidR="008E330B" w:rsidRPr="00D4361B">
        <w:rPr>
          <w:lang w:val="fr-FR"/>
        </w:rPr>
        <w:t>État partie n</w:t>
      </w:r>
      <w:r w:rsidR="008E330B">
        <w:rPr>
          <w:lang w:val="fr-FR"/>
        </w:rPr>
        <w:t>’</w:t>
      </w:r>
      <w:r w:rsidR="008E330B" w:rsidRPr="00D4361B">
        <w:rPr>
          <w:lang w:val="fr-FR"/>
        </w:rPr>
        <w:t>a</w:t>
      </w:r>
      <w:r w:rsidR="008E330B">
        <w:rPr>
          <w:lang w:val="fr-FR"/>
        </w:rPr>
        <w:t>it</w:t>
      </w:r>
      <w:r w:rsidR="008E330B" w:rsidRPr="00D4361B">
        <w:rPr>
          <w:lang w:val="fr-FR"/>
        </w:rPr>
        <w:t xml:space="preserve"> pas adopté </w:t>
      </w:r>
      <w:r w:rsidR="008E330B">
        <w:rPr>
          <w:lang w:val="fr-FR"/>
        </w:rPr>
        <w:t xml:space="preserve">une législation </w:t>
      </w:r>
      <w:r w:rsidR="008E330B" w:rsidRPr="00D4361B">
        <w:rPr>
          <w:lang w:val="fr-FR"/>
        </w:rPr>
        <w:t>à l</w:t>
      </w:r>
      <w:r w:rsidR="008E330B">
        <w:rPr>
          <w:lang w:val="fr-FR"/>
        </w:rPr>
        <w:t>’</w:t>
      </w:r>
      <w:r w:rsidR="008E330B" w:rsidRPr="00D4361B">
        <w:rPr>
          <w:lang w:val="fr-FR"/>
        </w:rPr>
        <w:t>échelon fédéral</w:t>
      </w:r>
      <w:r w:rsidR="008E330B">
        <w:rPr>
          <w:lang w:val="fr-FR"/>
        </w:rPr>
        <w:t xml:space="preserve"> qui contienne une définition de la discrimination raciale, directe et indirecte, pleinement conforme à l’article premier de la Convention. </w:t>
      </w:r>
      <w:r w:rsidR="008E330B">
        <w:rPr>
          <w:lang w:val="fr-CA"/>
        </w:rPr>
        <w:t>À</w:t>
      </w:r>
      <w:r w:rsidR="008E330B">
        <w:rPr>
          <w:lang w:val="fr-FR"/>
        </w:rPr>
        <w:t xml:space="preserve"> la lumière de l’augmentation du nombre d’incidents de discrimination raciale dans l’État partie et </w:t>
      </w:r>
      <w:r w:rsidR="008E330B" w:rsidRPr="00B221D7">
        <w:rPr>
          <w:lang w:val="fr-FR"/>
        </w:rPr>
        <w:t>de la rareté des actions en justice à cet égard,</w:t>
      </w:r>
      <w:r w:rsidR="008E330B">
        <w:rPr>
          <w:lang w:val="fr-FR"/>
        </w:rPr>
        <w:t xml:space="preserve"> le Comité est vivement préoccupé par l’absence d’une législation interdisant clairement la discrimination raciale et par le manque de recours suffisants et accessibles pour les victimes, notamment dans le droit civil et administratif, et dans les domaines de l’éducation, de l’emploi et du logement. </w:t>
      </w:r>
      <w:r w:rsidR="008E330B" w:rsidRPr="00D81C46">
        <w:t xml:space="preserve">En outre, le Comité </w:t>
      </w:r>
      <w:r w:rsidR="008E330B">
        <w:t xml:space="preserve">est de </w:t>
      </w:r>
      <w:r w:rsidR="008E330B">
        <w:rPr>
          <w:lang w:val="fr-FR"/>
        </w:rPr>
        <w:t>nouveau</w:t>
      </w:r>
      <w:r w:rsidR="008E330B" w:rsidRPr="00D81C46">
        <w:rPr>
          <w:lang w:val="fr-FR"/>
        </w:rPr>
        <w:t xml:space="preserve"> préoccupé par le fait que le Code pénal ne dispose pas spécifiquement que la motivation raciste constitue une circonstance aggravante</w:t>
      </w:r>
      <w:r w:rsidR="008E330B">
        <w:rPr>
          <w:lang w:val="fr-FR"/>
        </w:rPr>
        <w:t xml:space="preserve"> (art</w:t>
      </w:r>
      <w:r>
        <w:rPr>
          <w:lang w:val="fr-FR"/>
        </w:rPr>
        <w:t>. </w:t>
      </w:r>
      <w:r w:rsidR="008E330B">
        <w:rPr>
          <w:lang w:val="fr-FR"/>
        </w:rPr>
        <w:t>1</w:t>
      </w:r>
      <w:r w:rsidR="008E330B" w:rsidRPr="00D733B0">
        <w:rPr>
          <w:vertAlign w:val="superscript"/>
          <w:lang w:val="fr-FR"/>
        </w:rPr>
        <w:t>er</w:t>
      </w:r>
      <w:r w:rsidR="008E330B">
        <w:rPr>
          <w:lang w:val="fr-FR"/>
        </w:rPr>
        <w:t>, 2, 4 et 6).</w:t>
      </w:r>
    </w:p>
    <w:p w14:paraId="69F5AEAF" w14:textId="4EB89BE9" w:rsidR="008E330B" w:rsidRPr="00D81C46" w:rsidRDefault="00C864B4" w:rsidP="003C7926">
      <w:pPr>
        <w:pStyle w:val="SingleTxtG"/>
        <w:keepNext/>
        <w:rPr>
          <w:b/>
          <w:lang w:val="fr-FR"/>
        </w:rPr>
      </w:pPr>
      <w:r>
        <w:rPr>
          <w:bCs/>
          <w:lang w:val="fr-FR"/>
        </w:rPr>
        <w:t>6.</w:t>
      </w:r>
      <w:r>
        <w:rPr>
          <w:bCs/>
          <w:lang w:val="fr-FR"/>
        </w:rPr>
        <w:tab/>
      </w:r>
      <w:r w:rsidR="008E330B" w:rsidRPr="00D81C46">
        <w:rPr>
          <w:b/>
          <w:lang w:val="fr-FR"/>
        </w:rPr>
        <w:t>Le Comité réitère sa recommandation à l</w:t>
      </w:r>
      <w:r w:rsidR="008E330B">
        <w:rPr>
          <w:b/>
          <w:lang w:val="fr-FR"/>
        </w:rPr>
        <w:t>’</w:t>
      </w:r>
      <w:r w:rsidR="008E330B" w:rsidRPr="00D81C46">
        <w:rPr>
          <w:b/>
          <w:lang w:val="fr-FR"/>
        </w:rPr>
        <w:t>État partie</w:t>
      </w:r>
      <w:r w:rsidR="008E330B">
        <w:rPr>
          <w:b/>
          <w:lang w:val="fr-FR"/>
        </w:rPr>
        <w:t> </w:t>
      </w:r>
      <w:r w:rsidR="008E330B" w:rsidRPr="00D81C46">
        <w:rPr>
          <w:b/>
          <w:lang w:val="fr-FR"/>
        </w:rPr>
        <w:t>:</w:t>
      </w:r>
    </w:p>
    <w:p w14:paraId="113B52B5" w14:textId="4A35461A" w:rsidR="008E330B" w:rsidRDefault="00C864B4" w:rsidP="003C7926">
      <w:pPr>
        <w:pStyle w:val="SingleTxtG"/>
        <w:ind w:firstLine="567"/>
        <w:rPr>
          <w:b/>
          <w:lang w:val="fr-FR"/>
        </w:rPr>
      </w:pPr>
      <w:r>
        <w:rPr>
          <w:b/>
          <w:lang w:val="fr-FR"/>
        </w:rPr>
        <w:t>a)</w:t>
      </w:r>
      <w:r>
        <w:rPr>
          <w:b/>
          <w:lang w:val="fr-FR"/>
        </w:rPr>
        <w:tab/>
      </w:r>
      <w:r w:rsidR="008E330B" w:rsidRPr="00D81C46">
        <w:rPr>
          <w:b/>
          <w:lang w:val="fr-FR"/>
        </w:rPr>
        <w:t>D</w:t>
      </w:r>
      <w:r w:rsidR="008E330B">
        <w:rPr>
          <w:b/>
          <w:lang w:val="fr-FR"/>
        </w:rPr>
        <w:t>’</w:t>
      </w:r>
      <w:r w:rsidR="008E330B" w:rsidRPr="00D81C46">
        <w:rPr>
          <w:b/>
          <w:lang w:val="fr-FR"/>
        </w:rPr>
        <w:t xml:space="preserve">incorporer dans sa législation une définition claire et complète de la discrimination raciale directe et indirecte, qui couvre tous les domaines de la vie privée et publique, </w:t>
      </w:r>
      <w:r w:rsidR="008E330B">
        <w:rPr>
          <w:b/>
          <w:lang w:val="fr-FR"/>
        </w:rPr>
        <w:t xml:space="preserve">et soit </w:t>
      </w:r>
      <w:r w:rsidR="008E330B" w:rsidRPr="00D81C46">
        <w:rPr>
          <w:b/>
          <w:lang w:val="fr-FR"/>
        </w:rPr>
        <w:t>pleinement conforme à l</w:t>
      </w:r>
      <w:r w:rsidR="008E330B">
        <w:rPr>
          <w:b/>
          <w:lang w:val="fr-FR"/>
        </w:rPr>
        <w:t>’</w:t>
      </w:r>
      <w:r w:rsidR="008E330B" w:rsidRPr="00D81C46">
        <w:rPr>
          <w:b/>
          <w:lang w:val="fr-FR"/>
        </w:rPr>
        <w:t>article premier de la Convention ;</w:t>
      </w:r>
    </w:p>
    <w:p w14:paraId="2BE0A925" w14:textId="2E50429F" w:rsidR="008E330B" w:rsidRDefault="00C864B4" w:rsidP="003C7926">
      <w:pPr>
        <w:pStyle w:val="SingleTxtG"/>
        <w:ind w:firstLine="567"/>
        <w:rPr>
          <w:b/>
          <w:lang w:val="fr-FR"/>
        </w:rPr>
      </w:pPr>
      <w:r>
        <w:rPr>
          <w:b/>
          <w:lang w:val="fr-FR"/>
        </w:rPr>
        <w:t>b)</w:t>
      </w:r>
      <w:r>
        <w:rPr>
          <w:b/>
          <w:lang w:val="fr-FR"/>
        </w:rPr>
        <w:tab/>
      </w:r>
      <w:r w:rsidR="008E330B" w:rsidRPr="00E14C0A">
        <w:rPr>
          <w:b/>
          <w:lang w:val="fr-FR"/>
        </w:rPr>
        <w:t>D</w:t>
      </w:r>
      <w:r w:rsidR="008E330B">
        <w:rPr>
          <w:b/>
          <w:lang w:val="fr-FR"/>
        </w:rPr>
        <w:t>’</w:t>
      </w:r>
      <w:r w:rsidR="008E330B" w:rsidRPr="00E14C0A">
        <w:rPr>
          <w:b/>
          <w:lang w:val="fr-FR"/>
        </w:rPr>
        <w:t xml:space="preserve">adopter une disposition à caractère général dans le droit civil </w:t>
      </w:r>
      <w:r w:rsidR="008E330B">
        <w:rPr>
          <w:b/>
          <w:lang w:val="fr-FR"/>
        </w:rPr>
        <w:t xml:space="preserve">et </w:t>
      </w:r>
      <w:r w:rsidR="008E330B" w:rsidRPr="00E14C0A">
        <w:rPr>
          <w:b/>
          <w:lang w:val="fr-FR"/>
        </w:rPr>
        <w:t>administratif interdisant la discrimination raciale directe et indirecte dans tous les domaines de la vie privée et publique, d</w:t>
      </w:r>
      <w:r w:rsidR="008E330B">
        <w:rPr>
          <w:b/>
          <w:lang w:val="fr-FR"/>
        </w:rPr>
        <w:t>’</w:t>
      </w:r>
      <w:r w:rsidR="008E330B" w:rsidRPr="00E14C0A">
        <w:rPr>
          <w:b/>
          <w:lang w:val="fr-FR"/>
        </w:rPr>
        <w:t>offrir des recours utiles et accessibles aux victimes de cette discrimination, y compris dans les domaines de l</w:t>
      </w:r>
      <w:r w:rsidR="008E330B">
        <w:rPr>
          <w:b/>
          <w:lang w:val="fr-FR"/>
        </w:rPr>
        <w:t>’</w:t>
      </w:r>
      <w:r w:rsidR="008E330B" w:rsidRPr="00E14C0A">
        <w:rPr>
          <w:b/>
          <w:lang w:val="fr-FR"/>
        </w:rPr>
        <w:t>éducation, de l</w:t>
      </w:r>
      <w:r w:rsidR="008E330B">
        <w:rPr>
          <w:b/>
          <w:lang w:val="fr-FR"/>
        </w:rPr>
        <w:t>’</w:t>
      </w:r>
      <w:r w:rsidR="008E330B" w:rsidRPr="00E14C0A">
        <w:rPr>
          <w:b/>
          <w:lang w:val="fr-FR"/>
        </w:rPr>
        <w:t xml:space="preserve">emploi et du logement, </w:t>
      </w:r>
      <w:r w:rsidR="008E330B" w:rsidRPr="00E14C0A">
        <w:rPr>
          <w:b/>
          <w:bCs/>
          <w:lang w:val="fr-FR"/>
        </w:rPr>
        <w:t xml:space="preserve">et </w:t>
      </w:r>
      <w:r w:rsidR="008E330B">
        <w:rPr>
          <w:b/>
          <w:bCs/>
          <w:lang w:val="fr-FR"/>
        </w:rPr>
        <w:t xml:space="preserve">de veiller à ce </w:t>
      </w:r>
      <w:r w:rsidR="008E330B" w:rsidRPr="00E14C0A">
        <w:rPr>
          <w:b/>
          <w:bCs/>
          <w:lang w:val="fr-FR"/>
        </w:rPr>
        <w:t>qu</w:t>
      </w:r>
      <w:r w:rsidR="008E330B">
        <w:rPr>
          <w:b/>
          <w:bCs/>
          <w:lang w:val="fr-FR"/>
        </w:rPr>
        <w:t>’</w:t>
      </w:r>
      <w:r w:rsidR="008E330B" w:rsidRPr="00E14C0A">
        <w:rPr>
          <w:b/>
          <w:bCs/>
          <w:lang w:val="fr-FR"/>
        </w:rPr>
        <w:t xml:space="preserve">elles puissent obtenir satisfaction ou réparation pour tout préjudice </w:t>
      </w:r>
      <w:r w:rsidR="008E330B">
        <w:rPr>
          <w:b/>
          <w:bCs/>
          <w:lang w:val="fr-FR"/>
        </w:rPr>
        <w:t>qu’</w:t>
      </w:r>
      <w:r w:rsidR="008E330B" w:rsidRPr="00E14C0A">
        <w:rPr>
          <w:b/>
          <w:bCs/>
          <w:lang w:val="fr-FR"/>
        </w:rPr>
        <w:t xml:space="preserve">elles pourraient </w:t>
      </w:r>
      <w:r w:rsidR="008E330B">
        <w:rPr>
          <w:b/>
          <w:bCs/>
          <w:lang w:val="fr-FR"/>
        </w:rPr>
        <w:t>subir ;</w:t>
      </w:r>
    </w:p>
    <w:p w14:paraId="64C5BD8A" w14:textId="4DF4B807" w:rsidR="008E330B" w:rsidRPr="006F5622" w:rsidRDefault="00C864B4" w:rsidP="003C7926">
      <w:pPr>
        <w:pStyle w:val="SingleTxtG"/>
        <w:ind w:firstLine="567"/>
        <w:rPr>
          <w:b/>
          <w:lang w:val="fr-FR"/>
        </w:rPr>
      </w:pPr>
      <w:r>
        <w:rPr>
          <w:b/>
          <w:lang w:val="fr-FR"/>
        </w:rPr>
        <w:t>c)</w:t>
      </w:r>
      <w:r>
        <w:rPr>
          <w:b/>
          <w:lang w:val="fr-FR"/>
        </w:rPr>
        <w:tab/>
      </w:r>
      <w:r w:rsidR="008E330B" w:rsidRPr="006F5622">
        <w:rPr>
          <w:b/>
          <w:lang w:val="fr-FR"/>
        </w:rPr>
        <w:t>D</w:t>
      </w:r>
      <w:r w:rsidR="008E330B">
        <w:rPr>
          <w:b/>
          <w:lang w:val="fr-FR"/>
        </w:rPr>
        <w:t>’</w:t>
      </w:r>
      <w:r w:rsidR="008E330B" w:rsidRPr="006F5622">
        <w:rPr>
          <w:b/>
          <w:lang w:val="fr-FR"/>
        </w:rPr>
        <w:t xml:space="preserve">inclure dans </w:t>
      </w:r>
      <w:r>
        <w:rPr>
          <w:b/>
          <w:lang w:val="fr-FR"/>
        </w:rPr>
        <w:t>l’article </w:t>
      </w:r>
      <w:r w:rsidR="008E330B">
        <w:rPr>
          <w:b/>
          <w:lang w:val="fr-FR"/>
        </w:rPr>
        <w:t xml:space="preserve">47 du </w:t>
      </w:r>
      <w:r w:rsidR="008E330B" w:rsidRPr="006F5622">
        <w:rPr>
          <w:b/>
          <w:lang w:val="fr-FR"/>
        </w:rPr>
        <w:t xml:space="preserve">Code pénal une disposition stipulant </w:t>
      </w:r>
      <w:r w:rsidR="008E330B">
        <w:rPr>
          <w:b/>
          <w:lang w:val="fr-FR"/>
        </w:rPr>
        <w:t xml:space="preserve">expressément </w:t>
      </w:r>
      <w:r w:rsidR="008E330B" w:rsidRPr="006F5622">
        <w:rPr>
          <w:b/>
          <w:lang w:val="fr-FR"/>
        </w:rPr>
        <w:t>que la commission d</w:t>
      </w:r>
      <w:r w:rsidR="008E330B">
        <w:rPr>
          <w:b/>
          <w:lang w:val="fr-FR"/>
        </w:rPr>
        <w:t>’</w:t>
      </w:r>
      <w:r w:rsidR="008E330B" w:rsidRPr="006F5622">
        <w:rPr>
          <w:b/>
          <w:lang w:val="fr-FR"/>
        </w:rPr>
        <w:t>une infraction avec une motivation raciste constitue une circonstance aggravante</w:t>
      </w:r>
      <w:r w:rsidR="008E330B">
        <w:rPr>
          <w:b/>
          <w:lang w:val="fr-FR"/>
        </w:rPr>
        <w:t>, afin de renforcer la clarté et l’applicabilité du cadre législatif en la matière.</w:t>
      </w:r>
    </w:p>
    <w:p w14:paraId="110553D1" w14:textId="77777777" w:rsidR="008E330B" w:rsidRPr="00676162" w:rsidRDefault="008E330B" w:rsidP="003C7926">
      <w:pPr>
        <w:pStyle w:val="H23G"/>
      </w:pPr>
      <w:r>
        <w:tab/>
      </w:r>
      <w:r>
        <w:tab/>
      </w:r>
      <w:r w:rsidRPr="00381D41">
        <w:t>Réserves</w:t>
      </w:r>
      <w:r>
        <w:t xml:space="preserve"> </w:t>
      </w:r>
    </w:p>
    <w:p w14:paraId="146D35FF" w14:textId="44341BFB" w:rsidR="008E330B" w:rsidRPr="00D81C46" w:rsidRDefault="00C864B4" w:rsidP="003C7926">
      <w:pPr>
        <w:pStyle w:val="SingleTxtG"/>
      </w:pPr>
      <w:r>
        <w:t>7.</w:t>
      </w:r>
      <w:r>
        <w:tab/>
      </w:r>
      <w:r w:rsidR="008E330B" w:rsidRPr="00D81C46">
        <w:t>Tout en prenant note des informations fourni</w:t>
      </w:r>
      <w:r w:rsidR="008E330B">
        <w:t>e</w:t>
      </w:r>
      <w:r w:rsidR="008E330B" w:rsidRPr="00D81C46">
        <w:t>s par l</w:t>
      </w:r>
      <w:r w:rsidR="008E330B">
        <w:t>’</w:t>
      </w:r>
      <w:r w:rsidR="008E330B" w:rsidRPr="00D81C46">
        <w:t>État partie concernant l</w:t>
      </w:r>
      <w:r w:rsidR="008E330B">
        <w:t>’</w:t>
      </w:r>
      <w:r w:rsidR="008E330B" w:rsidRPr="00D81C46">
        <w:t>examen réguli</w:t>
      </w:r>
      <w:r w:rsidR="008E330B">
        <w:t>er</w:t>
      </w:r>
      <w:r w:rsidR="008E330B" w:rsidRPr="00D81C46">
        <w:t xml:space="preserve"> des réserves </w:t>
      </w:r>
      <w:r w:rsidR="008E330B">
        <w:t>formulées</w:t>
      </w:r>
      <w:r w:rsidR="008E330B" w:rsidRPr="00D81C46">
        <w:t>, le Comité regrette que l</w:t>
      </w:r>
      <w:r w:rsidR="008E330B">
        <w:t>’</w:t>
      </w:r>
      <w:r w:rsidR="008E330B" w:rsidRPr="00D81C46">
        <w:t xml:space="preserve">État partie maintienne ses réserves au </w:t>
      </w:r>
      <w:r w:rsidRPr="00D81C46">
        <w:t>paragraphe</w:t>
      </w:r>
      <w:r>
        <w:t> </w:t>
      </w:r>
      <w:r w:rsidR="008E330B" w:rsidRPr="00D81C46">
        <w:t>1</w:t>
      </w:r>
      <w:r w:rsidR="008E330B">
        <w:t> </w:t>
      </w:r>
      <w:r w:rsidR="008E330B" w:rsidRPr="00D81C46">
        <w:t xml:space="preserve">a) de </w:t>
      </w:r>
      <w:r w:rsidRPr="00D81C46">
        <w:t>l</w:t>
      </w:r>
      <w:r>
        <w:t>’</w:t>
      </w:r>
      <w:r w:rsidRPr="00D81C46">
        <w:t>article</w:t>
      </w:r>
      <w:r>
        <w:t> </w:t>
      </w:r>
      <w:r w:rsidR="008E330B" w:rsidRPr="00D81C46">
        <w:t xml:space="preserve">2 et à </w:t>
      </w:r>
      <w:r w:rsidRPr="00D81C46">
        <w:t>l</w:t>
      </w:r>
      <w:r>
        <w:t>’</w:t>
      </w:r>
      <w:r w:rsidRPr="00D81C46">
        <w:t>article</w:t>
      </w:r>
      <w:r>
        <w:t> </w:t>
      </w:r>
      <w:r w:rsidR="008E330B" w:rsidRPr="00D81C46">
        <w:t>4 de la Convention</w:t>
      </w:r>
      <w:r w:rsidR="008E330B">
        <w:t xml:space="preserve"> (art. </w:t>
      </w:r>
      <w:r w:rsidR="008E330B" w:rsidRPr="00D81C46">
        <w:t>2 et 4).</w:t>
      </w:r>
    </w:p>
    <w:p w14:paraId="3CBD2C89" w14:textId="2D5251CB" w:rsidR="008E330B" w:rsidRPr="00D81C46" w:rsidRDefault="00C864B4" w:rsidP="003C7926">
      <w:pPr>
        <w:pStyle w:val="SingleTxtG"/>
        <w:rPr>
          <w:b/>
        </w:rPr>
      </w:pPr>
      <w:r>
        <w:rPr>
          <w:bCs/>
        </w:rPr>
        <w:lastRenderedPageBreak/>
        <w:t>8.</w:t>
      </w:r>
      <w:r>
        <w:rPr>
          <w:bCs/>
        </w:rPr>
        <w:tab/>
      </w:r>
      <w:r w:rsidR="008E330B" w:rsidRPr="00D81C46">
        <w:rPr>
          <w:b/>
        </w:rPr>
        <w:t xml:space="preserve">Rappelant </w:t>
      </w:r>
      <w:r w:rsidR="008E330B">
        <w:rPr>
          <w:b/>
        </w:rPr>
        <w:t>la</w:t>
      </w:r>
      <w:r w:rsidR="008E330B" w:rsidRPr="00D81C46">
        <w:rPr>
          <w:b/>
        </w:rPr>
        <w:t xml:space="preserve"> recommandation </w:t>
      </w:r>
      <w:r w:rsidR="008E330B">
        <w:rPr>
          <w:b/>
        </w:rPr>
        <w:t xml:space="preserve">incluse dans ses </w:t>
      </w:r>
      <w:r w:rsidR="008E330B" w:rsidRPr="00D81C46">
        <w:rPr>
          <w:b/>
        </w:rPr>
        <w:t>précédente</w:t>
      </w:r>
      <w:r w:rsidR="008E330B">
        <w:rPr>
          <w:b/>
        </w:rPr>
        <w:t>s observations finales</w:t>
      </w:r>
      <w:r w:rsidR="008E330B" w:rsidRPr="00D81C46">
        <w:rPr>
          <w:b/>
        </w:rPr>
        <w:t>, le Comité encourage l</w:t>
      </w:r>
      <w:r w:rsidR="008E330B">
        <w:rPr>
          <w:b/>
        </w:rPr>
        <w:t>’</w:t>
      </w:r>
      <w:r w:rsidR="008E330B" w:rsidRPr="00D81C46">
        <w:rPr>
          <w:b/>
        </w:rPr>
        <w:t>État partie à retirer ses réserves au paragraphe</w:t>
      </w:r>
      <w:r w:rsidR="008E330B">
        <w:rPr>
          <w:b/>
        </w:rPr>
        <w:t> </w:t>
      </w:r>
      <w:r w:rsidR="008E330B" w:rsidRPr="00D81C46">
        <w:rPr>
          <w:b/>
        </w:rPr>
        <w:t>1</w:t>
      </w:r>
      <w:r w:rsidR="008E330B">
        <w:rPr>
          <w:b/>
        </w:rPr>
        <w:t> </w:t>
      </w:r>
      <w:r w:rsidR="008E330B" w:rsidRPr="00D81C46">
        <w:rPr>
          <w:b/>
        </w:rPr>
        <w:t xml:space="preserve">a) de </w:t>
      </w:r>
      <w:r w:rsidRPr="00D81C46">
        <w:rPr>
          <w:b/>
        </w:rPr>
        <w:t>l</w:t>
      </w:r>
      <w:r>
        <w:rPr>
          <w:b/>
        </w:rPr>
        <w:t>’</w:t>
      </w:r>
      <w:r w:rsidRPr="00D81C46">
        <w:rPr>
          <w:b/>
        </w:rPr>
        <w:t>article</w:t>
      </w:r>
      <w:r>
        <w:rPr>
          <w:b/>
        </w:rPr>
        <w:t> </w:t>
      </w:r>
      <w:r w:rsidR="008E330B" w:rsidRPr="00D81C46">
        <w:rPr>
          <w:b/>
        </w:rPr>
        <w:t>2 et à l</w:t>
      </w:r>
      <w:r w:rsidR="008E330B">
        <w:rPr>
          <w:b/>
        </w:rPr>
        <w:t>’</w:t>
      </w:r>
      <w:r w:rsidR="008E330B" w:rsidRPr="00D81C46">
        <w:rPr>
          <w:b/>
        </w:rPr>
        <w:t>article</w:t>
      </w:r>
      <w:r>
        <w:rPr>
          <w:b/>
        </w:rPr>
        <w:t> </w:t>
      </w:r>
      <w:r w:rsidR="008E330B" w:rsidRPr="00D81C46">
        <w:rPr>
          <w:b/>
        </w:rPr>
        <w:t>4 de la Convention.</w:t>
      </w:r>
    </w:p>
    <w:p w14:paraId="406266C0" w14:textId="77777777" w:rsidR="008E330B" w:rsidRPr="00761FB8" w:rsidRDefault="008E330B" w:rsidP="003C7926">
      <w:pPr>
        <w:pStyle w:val="H23G"/>
      </w:pPr>
      <w:r>
        <w:tab/>
      </w:r>
      <w:r>
        <w:tab/>
        <w:t>Institution nationale des droits de l’homme</w:t>
      </w:r>
    </w:p>
    <w:p w14:paraId="1A0CAB92" w14:textId="639E2C9B" w:rsidR="008E330B" w:rsidRPr="00D81C46" w:rsidRDefault="00C864B4" w:rsidP="003C7926">
      <w:pPr>
        <w:pStyle w:val="SingleTxtG"/>
        <w:rPr>
          <w:b/>
        </w:rPr>
      </w:pPr>
      <w:r>
        <w:t>9.</w:t>
      </w:r>
      <w:r>
        <w:tab/>
      </w:r>
      <w:r w:rsidR="008E330B" w:rsidRPr="00D81C46">
        <w:t>Le Comité salue l</w:t>
      </w:r>
      <w:r w:rsidR="008E330B">
        <w:t>’</w:t>
      </w:r>
      <w:r w:rsidR="008E330B" w:rsidRPr="00D81C46">
        <w:t>adoption par l</w:t>
      </w:r>
      <w:r w:rsidR="008E330B">
        <w:t>’</w:t>
      </w:r>
      <w:r w:rsidR="008E330B" w:rsidRPr="00D81C46">
        <w:t>Assemblée fédérale de l</w:t>
      </w:r>
      <w:r w:rsidR="008E330B">
        <w:t>’</w:t>
      </w:r>
      <w:r w:rsidR="008E330B" w:rsidRPr="00D81C46">
        <w:t xml:space="preserve">État partie, le </w:t>
      </w:r>
      <w:r w:rsidRPr="00D81C46">
        <w:t>1</w:t>
      </w:r>
      <w:r w:rsidRPr="00D81C46">
        <w:rPr>
          <w:vertAlign w:val="superscript"/>
        </w:rPr>
        <w:t>er</w:t>
      </w:r>
      <w:r>
        <w:t> </w:t>
      </w:r>
      <w:r w:rsidR="008E330B" w:rsidRPr="00D81C46">
        <w:t>octobre 2021, d</w:t>
      </w:r>
      <w:r w:rsidR="008E330B">
        <w:t>’</w:t>
      </w:r>
      <w:r w:rsidR="008E330B" w:rsidRPr="00D81C46">
        <w:t>une loi concernant la création d</w:t>
      </w:r>
      <w:r w:rsidR="008E330B">
        <w:t>’</w:t>
      </w:r>
      <w:r w:rsidR="008E330B" w:rsidRPr="00D81C46">
        <w:t>une institution nationale des droits de l</w:t>
      </w:r>
      <w:r w:rsidR="008E330B">
        <w:t>’</w:t>
      </w:r>
      <w:r w:rsidR="008E330B" w:rsidRPr="00D81C46">
        <w:t>homme. Néanmoins, le Comité regrette que cette institution n</w:t>
      </w:r>
      <w:r w:rsidR="008E330B">
        <w:t>’</w:t>
      </w:r>
      <w:r w:rsidR="008E330B" w:rsidRPr="00D81C46">
        <w:t>a</w:t>
      </w:r>
      <w:r w:rsidR="008E330B">
        <w:t>it</w:t>
      </w:r>
      <w:r w:rsidR="008E330B" w:rsidRPr="00D81C46">
        <w:t xml:space="preserve"> pas de mandat pour recevoir et traiter des plaintes individuelles. Il s</w:t>
      </w:r>
      <w:r w:rsidR="008E330B">
        <w:t>’</w:t>
      </w:r>
      <w:r w:rsidR="008E330B" w:rsidRPr="00D81C46">
        <w:t>inquiète</w:t>
      </w:r>
      <w:r w:rsidR="008E330B">
        <w:t>,</w:t>
      </w:r>
      <w:r w:rsidR="008E330B" w:rsidRPr="00D81C46">
        <w:t xml:space="preserve"> en outre</w:t>
      </w:r>
      <w:r w:rsidR="008E330B">
        <w:t>,</w:t>
      </w:r>
      <w:r w:rsidR="008E330B" w:rsidRPr="00D81C46">
        <w:t xml:space="preserve"> des informations selon lesquelles cette institution ne disposera pas de ressources financières adéquates pour s</w:t>
      </w:r>
      <w:r w:rsidR="008E330B">
        <w:t>’</w:t>
      </w:r>
      <w:r w:rsidR="008E330B" w:rsidRPr="00D81C46">
        <w:t>acquitter efficacement de son mandat</w:t>
      </w:r>
      <w:r w:rsidR="008E330B">
        <w:t xml:space="preserve"> (art. </w:t>
      </w:r>
      <w:r w:rsidR="008E330B" w:rsidRPr="00D81C46">
        <w:t>2).</w:t>
      </w:r>
    </w:p>
    <w:p w14:paraId="731EAF04" w14:textId="23F1F20E" w:rsidR="008E330B" w:rsidRPr="00D81C46" w:rsidRDefault="00C864B4" w:rsidP="003C7926">
      <w:pPr>
        <w:pStyle w:val="SingleTxtG"/>
        <w:rPr>
          <w:b/>
        </w:rPr>
      </w:pPr>
      <w:r>
        <w:t>10.</w:t>
      </w:r>
      <w:r>
        <w:tab/>
      </w:r>
      <w:r w:rsidR="008E330B" w:rsidRPr="00D81C46">
        <w:rPr>
          <w:b/>
          <w:bCs/>
        </w:rPr>
        <w:t>Le Comité recommande à l</w:t>
      </w:r>
      <w:r w:rsidR="008E330B">
        <w:rPr>
          <w:b/>
          <w:bCs/>
        </w:rPr>
        <w:t>’</w:t>
      </w:r>
      <w:r w:rsidR="008E330B" w:rsidRPr="00D81C46">
        <w:rPr>
          <w:b/>
          <w:bCs/>
        </w:rPr>
        <w:t>État partie d</w:t>
      </w:r>
      <w:r w:rsidR="008E330B">
        <w:rPr>
          <w:b/>
          <w:bCs/>
        </w:rPr>
        <w:t>’</w:t>
      </w:r>
      <w:r w:rsidR="008E330B" w:rsidRPr="00D81C46">
        <w:rPr>
          <w:b/>
          <w:bCs/>
        </w:rPr>
        <w:t>adopter les mesures nécessaires, en consultation avec la société civile et les autres parties prenantes, pour rendre l</w:t>
      </w:r>
      <w:r w:rsidR="008E330B">
        <w:rPr>
          <w:b/>
          <w:bCs/>
        </w:rPr>
        <w:t>’I</w:t>
      </w:r>
      <w:r w:rsidR="008E330B" w:rsidRPr="00D81C46">
        <w:rPr>
          <w:b/>
          <w:bCs/>
        </w:rPr>
        <w:t>nstitution nationale des droits de l</w:t>
      </w:r>
      <w:r w:rsidR="008E330B">
        <w:rPr>
          <w:b/>
          <w:bCs/>
        </w:rPr>
        <w:t>’</w:t>
      </w:r>
      <w:r w:rsidR="008E330B" w:rsidRPr="00D81C46">
        <w:rPr>
          <w:b/>
          <w:bCs/>
        </w:rPr>
        <w:t>homme pleinement conforme aux Principes concernant le statut des institutions nationales pour la promotion et la protection des droits de l</w:t>
      </w:r>
      <w:r w:rsidR="008E330B">
        <w:rPr>
          <w:b/>
          <w:bCs/>
        </w:rPr>
        <w:t>’</w:t>
      </w:r>
      <w:r w:rsidR="008E330B" w:rsidRPr="00D81C46">
        <w:rPr>
          <w:b/>
          <w:bCs/>
        </w:rPr>
        <w:t>homme (Principes de Paris). Il lui recommande également de confier à cette institution le mandat de recevoir et de traiter les plaintes individuelles, y compris les cas de discrimination raciale, et de lui allouer les ressources humaines et financières suffisantes pour lui permettre de s</w:t>
      </w:r>
      <w:r w:rsidR="008E330B">
        <w:rPr>
          <w:b/>
          <w:bCs/>
        </w:rPr>
        <w:t>’</w:t>
      </w:r>
      <w:r w:rsidR="008E330B" w:rsidRPr="00D81C46">
        <w:rPr>
          <w:b/>
          <w:bCs/>
        </w:rPr>
        <w:t>acquitter de ses mandats.</w:t>
      </w:r>
    </w:p>
    <w:p w14:paraId="7B2D2862" w14:textId="77777777" w:rsidR="008E330B" w:rsidRDefault="008E330B" w:rsidP="003C7926">
      <w:pPr>
        <w:pStyle w:val="H23G"/>
      </w:pPr>
      <w:r>
        <w:tab/>
      </w:r>
      <w:r>
        <w:tab/>
        <w:t>Cadre institutionnel</w:t>
      </w:r>
    </w:p>
    <w:p w14:paraId="0E73223A" w14:textId="407831B7" w:rsidR="008E330B" w:rsidRPr="00D81C46" w:rsidRDefault="00C864B4" w:rsidP="003C7926">
      <w:pPr>
        <w:pStyle w:val="SingleTxtG"/>
      </w:pPr>
      <w:r>
        <w:t>11.</w:t>
      </w:r>
      <w:r>
        <w:tab/>
      </w:r>
      <w:r w:rsidR="008E330B" w:rsidRPr="00D81C46">
        <w:t>Le Comité prend note des informations fourni</w:t>
      </w:r>
      <w:r w:rsidR="008E330B">
        <w:t>e</w:t>
      </w:r>
      <w:r w:rsidR="008E330B" w:rsidRPr="00D81C46">
        <w:t>s par l</w:t>
      </w:r>
      <w:r w:rsidR="008E330B">
        <w:t>’</w:t>
      </w:r>
      <w:r w:rsidR="008E330B" w:rsidRPr="00D81C46">
        <w:t>État partie concernant le mandat et les activités de la Commission fédérale</w:t>
      </w:r>
      <w:r w:rsidR="008E330B">
        <w:t xml:space="preserve"> contre le racisme</w:t>
      </w:r>
      <w:r w:rsidR="008E330B" w:rsidRPr="00D81C46">
        <w:t>. Cependant, le Comité est préoccupé par le manque de ressources financières adéquates alloué</w:t>
      </w:r>
      <w:r w:rsidR="008E330B">
        <w:t>e</w:t>
      </w:r>
      <w:r w:rsidR="008E330B" w:rsidRPr="00D81C46">
        <w:t xml:space="preserve">s à cette </w:t>
      </w:r>
      <w:r w:rsidR="008E330B">
        <w:t>c</w:t>
      </w:r>
      <w:r w:rsidR="008E330B" w:rsidRPr="00D81C46">
        <w:t>ommission pour s</w:t>
      </w:r>
      <w:r w:rsidR="008E330B">
        <w:t>’</w:t>
      </w:r>
      <w:r w:rsidR="008E330B" w:rsidRPr="00D81C46">
        <w:t>acquitter efficacement de son mandat et pour mener des activités tel</w:t>
      </w:r>
      <w:r w:rsidR="008E330B">
        <w:t>le</w:t>
      </w:r>
      <w:r w:rsidR="008E330B" w:rsidRPr="00D81C46">
        <w:t>s que des campagnes de sensibilisation au niveau national (art.</w:t>
      </w:r>
      <w:r w:rsidR="008E330B">
        <w:t> </w:t>
      </w:r>
      <w:r w:rsidR="008E330B" w:rsidRPr="00D81C46">
        <w:t xml:space="preserve">2). </w:t>
      </w:r>
    </w:p>
    <w:p w14:paraId="71F4D0D3" w14:textId="352E4BC7" w:rsidR="008E330B" w:rsidRPr="00D81C46" w:rsidRDefault="00C864B4" w:rsidP="003C7926">
      <w:pPr>
        <w:pStyle w:val="SingleTxtG"/>
        <w:rPr>
          <w:b/>
        </w:rPr>
      </w:pPr>
      <w:r>
        <w:rPr>
          <w:bCs/>
        </w:rPr>
        <w:t>12.</w:t>
      </w:r>
      <w:r>
        <w:rPr>
          <w:bCs/>
        </w:rPr>
        <w:tab/>
      </w:r>
      <w:r w:rsidR="008E330B" w:rsidRPr="00D81C46">
        <w:rPr>
          <w:b/>
        </w:rPr>
        <w:t>Le Comité réitère sa recommandation à l</w:t>
      </w:r>
      <w:r w:rsidR="008E330B">
        <w:rPr>
          <w:b/>
        </w:rPr>
        <w:t>’</w:t>
      </w:r>
      <w:r w:rsidR="008E330B" w:rsidRPr="00D81C46">
        <w:rPr>
          <w:b/>
        </w:rPr>
        <w:t>État partie de doter la Commission fédérale contre le racisme de ressources financières et humaines appropriées pour lui permettre de lutter efficacement et en toute indépendance contre la discrimination</w:t>
      </w:r>
      <w:r w:rsidR="008E330B">
        <w:rPr>
          <w:b/>
        </w:rPr>
        <w:t xml:space="preserve"> raciale, sans préjudice des mesures nécessaires et des ressources adéquates à octroyer à l’Institution nationale des droits de l’homme. Le Comité recommande aussi à l’État partie de veiller à ce que la Commission fédérale contre le racisme et la nouvelle Institution nationale des droits de l’homme collaborent efficacement sur les questions relatives à la discrimination raciale et se renforcent mutuellement.</w:t>
      </w:r>
    </w:p>
    <w:p w14:paraId="57FC32F9" w14:textId="0AEA5A5D" w:rsidR="008E330B" w:rsidRPr="00D81C46" w:rsidRDefault="00C864B4" w:rsidP="003C7926">
      <w:pPr>
        <w:pStyle w:val="SingleTxtG"/>
      </w:pPr>
      <w:r>
        <w:t>13.</w:t>
      </w:r>
      <w:r>
        <w:tab/>
      </w:r>
      <w:r w:rsidR="008E330B" w:rsidRPr="00D81C46">
        <w:t xml:space="preserve">Le Comité </w:t>
      </w:r>
      <w:r w:rsidR="008E330B">
        <w:t xml:space="preserve">note </w:t>
      </w:r>
      <w:r w:rsidR="008E330B" w:rsidRPr="00D81C46">
        <w:t>que, d</w:t>
      </w:r>
      <w:r w:rsidR="008E330B" w:rsidRPr="00D81C46">
        <w:rPr>
          <w:color w:val="000000"/>
        </w:rPr>
        <w:t xml:space="preserve">ans le cadre des </w:t>
      </w:r>
      <w:r w:rsidR="008E330B">
        <w:rPr>
          <w:color w:val="000000"/>
        </w:rPr>
        <w:t>p</w:t>
      </w:r>
      <w:r w:rsidR="008E330B" w:rsidRPr="00D81C46">
        <w:rPr>
          <w:color w:val="000000"/>
        </w:rPr>
        <w:t>rogrammes d</w:t>
      </w:r>
      <w:r w:rsidR="008E330B">
        <w:rPr>
          <w:color w:val="000000"/>
        </w:rPr>
        <w:t>’</w:t>
      </w:r>
      <w:r w:rsidR="008E330B" w:rsidRPr="00D81C46">
        <w:rPr>
          <w:color w:val="000000"/>
        </w:rPr>
        <w:t xml:space="preserve">intégration cantonaux, tous les cantons ont mis en place des centres de conseil pour les victimes du racisme, qui enregistrent les incidents </w:t>
      </w:r>
      <w:r w:rsidR="008E330B">
        <w:rPr>
          <w:color w:val="000000"/>
        </w:rPr>
        <w:t xml:space="preserve">à caractère </w:t>
      </w:r>
      <w:r w:rsidR="008E330B" w:rsidRPr="00D81C46">
        <w:rPr>
          <w:color w:val="000000"/>
        </w:rPr>
        <w:t>raciste et facilitent l</w:t>
      </w:r>
      <w:r w:rsidR="008E330B">
        <w:rPr>
          <w:color w:val="000000"/>
        </w:rPr>
        <w:t>’</w:t>
      </w:r>
      <w:r w:rsidR="008E330B" w:rsidRPr="00D81C46">
        <w:rPr>
          <w:color w:val="000000"/>
        </w:rPr>
        <w:t xml:space="preserve">accès à une aide et à des conseils juridiques de base pour les victimes. Néanmoins, le Comité </w:t>
      </w:r>
      <w:r w:rsidR="008E330B">
        <w:rPr>
          <w:color w:val="000000"/>
        </w:rPr>
        <w:t xml:space="preserve">est préoccupé par les informations selon lesquelles </w:t>
      </w:r>
      <w:r w:rsidR="008E330B" w:rsidRPr="00D81C46">
        <w:rPr>
          <w:color w:val="000000"/>
        </w:rPr>
        <w:t>ces centres disposent de fonds et de ressources humaines limités</w:t>
      </w:r>
      <w:r w:rsidR="008E330B">
        <w:rPr>
          <w:color w:val="000000"/>
        </w:rPr>
        <w:t xml:space="preserve"> qui, en outre, varient d’un canton à l’autre, ce qui aurait amené certains d’entre eux à fermer ou à déplacer leurs locaux. </w:t>
      </w:r>
      <w:r w:rsidR="008E330B">
        <w:t xml:space="preserve">De plus, le Comité est préoccupé par le fait que l’absence d’un cadre juridique clair pour lutter contre la discrimination raciale et de recours suffisants et effectifs pour les victimes limite de manière significative l’impact des services de conseil juridique desdits centres </w:t>
      </w:r>
      <w:r w:rsidR="008E330B">
        <w:rPr>
          <w:lang w:val="fr-FR"/>
        </w:rPr>
        <w:t>(art. </w:t>
      </w:r>
      <w:r w:rsidR="008E330B" w:rsidRPr="00D81C46">
        <w:rPr>
          <w:lang w:val="fr-FR"/>
        </w:rPr>
        <w:t>2 et 6)</w:t>
      </w:r>
      <w:r w:rsidR="008E330B">
        <w:rPr>
          <w:lang w:val="fr-FR"/>
        </w:rPr>
        <w:t>.</w:t>
      </w:r>
    </w:p>
    <w:p w14:paraId="013C7246" w14:textId="1A189982" w:rsidR="008E330B" w:rsidRPr="00D81C46" w:rsidRDefault="00C864B4" w:rsidP="003C7926">
      <w:pPr>
        <w:pStyle w:val="SingleTxtG"/>
        <w:rPr>
          <w:b/>
        </w:rPr>
      </w:pPr>
      <w:r>
        <w:rPr>
          <w:bCs/>
          <w:lang w:val="fr-FR"/>
        </w:rPr>
        <w:t>14.</w:t>
      </w:r>
      <w:r>
        <w:rPr>
          <w:bCs/>
          <w:lang w:val="fr-FR"/>
        </w:rPr>
        <w:tab/>
      </w:r>
      <w:r w:rsidR="008E330B" w:rsidRPr="00D81C46">
        <w:rPr>
          <w:b/>
          <w:lang w:val="fr-FR"/>
        </w:rPr>
        <w:t>Le Comité recommande à l</w:t>
      </w:r>
      <w:r w:rsidR="008E330B">
        <w:rPr>
          <w:b/>
          <w:lang w:val="fr-FR"/>
        </w:rPr>
        <w:t>’</w:t>
      </w:r>
      <w:r w:rsidR="008E330B" w:rsidRPr="00D81C46">
        <w:rPr>
          <w:b/>
          <w:lang w:val="fr-FR"/>
        </w:rPr>
        <w:t xml:space="preserve">État partie de prendre des mesures pour </w:t>
      </w:r>
      <w:r w:rsidR="008E330B" w:rsidRPr="00D81C46">
        <w:rPr>
          <w:rFonts w:cs="Frutiger LT Com 45 Light"/>
          <w:b/>
          <w:color w:val="000000"/>
          <w:lang w:val="fr-FR"/>
        </w:rPr>
        <w:t xml:space="preserve">garantir la pérennité des ressources financières et humaines pour le développement et le maintien des centres de conseil </w:t>
      </w:r>
      <w:r w:rsidR="008E330B">
        <w:rPr>
          <w:rFonts w:cs="Frutiger LT Com 45 Light"/>
          <w:b/>
          <w:color w:val="000000"/>
          <w:lang w:val="fr-FR"/>
        </w:rPr>
        <w:t xml:space="preserve">juridique </w:t>
      </w:r>
      <w:r w:rsidR="008E330B" w:rsidRPr="00D81C46">
        <w:rPr>
          <w:b/>
          <w:color w:val="000000"/>
        </w:rPr>
        <w:t>pour les victimes du racisme</w:t>
      </w:r>
      <w:r w:rsidR="008E330B">
        <w:rPr>
          <w:b/>
          <w:color w:val="000000"/>
        </w:rPr>
        <w:t xml:space="preserve"> dans tous les cantons</w:t>
      </w:r>
      <w:r w:rsidR="008E330B" w:rsidRPr="00D81C46">
        <w:rPr>
          <w:b/>
          <w:color w:val="000000"/>
        </w:rPr>
        <w:t>.</w:t>
      </w:r>
    </w:p>
    <w:p w14:paraId="06F8858E" w14:textId="77777777" w:rsidR="008E330B" w:rsidRPr="0079512D" w:rsidRDefault="008E330B" w:rsidP="003C7926">
      <w:pPr>
        <w:pStyle w:val="H23G"/>
      </w:pPr>
      <w:r>
        <w:tab/>
      </w:r>
      <w:r>
        <w:tab/>
        <w:t>Crimes et discours de haine à caractère raciste</w:t>
      </w:r>
    </w:p>
    <w:p w14:paraId="07284CD1" w14:textId="13DFD583" w:rsidR="008E330B" w:rsidRPr="00D81C46" w:rsidRDefault="00C864B4" w:rsidP="003C7926">
      <w:pPr>
        <w:pStyle w:val="SingleTxtG"/>
      </w:pPr>
      <w:r>
        <w:rPr>
          <w:bCs/>
        </w:rPr>
        <w:t>15.</w:t>
      </w:r>
      <w:r>
        <w:rPr>
          <w:bCs/>
        </w:rPr>
        <w:tab/>
      </w:r>
      <w:r w:rsidR="008E330B" w:rsidRPr="00D81C46">
        <w:rPr>
          <w:bCs/>
        </w:rPr>
        <w:t>Le Comité</w:t>
      </w:r>
      <w:r w:rsidR="008E330B" w:rsidRPr="00D81C46">
        <w:t xml:space="preserve"> est très préoccupé par les informations faisant état d</w:t>
      </w:r>
      <w:r w:rsidR="008E330B">
        <w:t>’</w:t>
      </w:r>
      <w:r w:rsidR="008E330B" w:rsidRPr="00D81C46">
        <w:t>un nombre croissant de discours de haine raciale</w:t>
      </w:r>
      <w:r w:rsidR="008E330B">
        <w:t xml:space="preserve">, en particulier envers </w:t>
      </w:r>
      <w:r w:rsidR="008E330B" w:rsidRPr="00D81C46">
        <w:t xml:space="preserve">les </w:t>
      </w:r>
      <w:proofErr w:type="spellStart"/>
      <w:r w:rsidR="008E330B" w:rsidRPr="00D81C46">
        <w:t>Yéniches</w:t>
      </w:r>
      <w:proofErr w:type="spellEnd"/>
      <w:r w:rsidR="008E330B" w:rsidRPr="00D81C46">
        <w:t xml:space="preserve">, </w:t>
      </w:r>
      <w:proofErr w:type="spellStart"/>
      <w:r w:rsidR="008E330B" w:rsidRPr="00D81C46">
        <w:t>Sint</w:t>
      </w:r>
      <w:r w:rsidR="008E330B">
        <w:t>i</w:t>
      </w:r>
      <w:r w:rsidR="008E330B" w:rsidRPr="00D81C46">
        <w:t>s</w:t>
      </w:r>
      <w:proofErr w:type="spellEnd"/>
      <w:r w:rsidR="008E330B" w:rsidRPr="00D81C46">
        <w:t>/Manouches et Roms, les non-ressortissants,</w:t>
      </w:r>
      <w:r w:rsidR="008E330B">
        <w:t xml:space="preserve"> y compris les réfugiés et les demandeurs d’asile,</w:t>
      </w:r>
      <w:r w:rsidR="008E330B" w:rsidRPr="00D81C46">
        <w:t xml:space="preserve"> les personnes d</w:t>
      </w:r>
      <w:r w:rsidR="008E330B">
        <w:t>’</w:t>
      </w:r>
      <w:r w:rsidR="008E330B" w:rsidRPr="00D81C46">
        <w:t>ascendance africaine et d</w:t>
      </w:r>
      <w:r w:rsidR="008E330B">
        <w:t>’</w:t>
      </w:r>
      <w:r w:rsidR="008E330B" w:rsidRPr="00D81C46">
        <w:t xml:space="preserve">origine asiatique, ainsi que de discours de haine ethnoreligieuse envers les </w:t>
      </w:r>
      <w:r w:rsidR="008E330B">
        <w:t>j</w:t>
      </w:r>
      <w:r w:rsidR="008E330B" w:rsidRPr="00D81C46">
        <w:t xml:space="preserve">uifs et </w:t>
      </w:r>
      <w:r w:rsidR="008E330B">
        <w:t>m</w:t>
      </w:r>
      <w:proofErr w:type="spellStart"/>
      <w:r w:rsidR="008E330B" w:rsidRPr="00D81C46">
        <w:rPr>
          <w:lang w:val="fr-FR"/>
        </w:rPr>
        <w:t>usulmans</w:t>
      </w:r>
      <w:proofErr w:type="spellEnd"/>
      <w:r w:rsidR="008E330B" w:rsidRPr="00D81C46">
        <w:rPr>
          <w:lang w:val="fr-FR"/>
        </w:rPr>
        <w:t xml:space="preserve">, </w:t>
      </w:r>
      <w:r w:rsidR="008E330B" w:rsidRPr="00D81C46">
        <w:t xml:space="preserve">y compris sur </w:t>
      </w:r>
      <w:r w:rsidR="008E330B">
        <w:t xml:space="preserve">Internet et les médias sociaux et </w:t>
      </w:r>
      <w:r w:rsidR="008E330B" w:rsidRPr="00D81C46">
        <w:t>de la part de personnalités publiques et</w:t>
      </w:r>
      <w:r w:rsidR="008E330B">
        <w:t xml:space="preserve"> de responsables politiques, </w:t>
      </w:r>
      <w:r w:rsidR="008E330B" w:rsidRPr="00D81C46">
        <w:t xml:space="preserve">qui se sont intensifiés pendant la pandémie de </w:t>
      </w:r>
      <w:r w:rsidR="008E330B">
        <w:t>maladie à coronavirus (</w:t>
      </w:r>
      <w:r w:rsidR="008E330B" w:rsidRPr="00D81C46">
        <w:t>COVID-19</w:t>
      </w:r>
      <w:r w:rsidR="008E330B">
        <w:t>)</w:t>
      </w:r>
      <w:r w:rsidR="008E330B" w:rsidRPr="00D81C46">
        <w:t>. Il s</w:t>
      </w:r>
      <w:r w:rsidR="008E330B">
        <w:t>’</w:t>
      </w:r>
      <w:r w:rsidR="008E330B" w:rsidRPr="00D81C46">
        <w:t>inquiète du fait que l</w:t>
      </w:r>
      <w:r w:rsidR="008E330B">
        <w:t>’</w:t>
      </w:r>
      <w:r w:rsidR="008E330B" w:rsidRPr="00D81C46">
        <w:t xml:space="preserve">enregistrement </w:t>
      </w:r>
      <w:r w:rsidR="008E330B" w:rsidRPr="00D81C46">
        <w:lastRenderedPageBreak/>
        <w:t>des crimes à motivation raciste n</w:t>
      </w:r>
      <w:r w:rsidR="008E330B">
        <w:t>’</w:t>
      </w:r>
      <w:r w:rsidR="008E330B" w:rsidRPr="00D81C46">
        <w:t>est pas uniforme et obligatoire, ce qui limite un suivi efficace des infractions racistes dans l</w:t>
      </w:r>
      <w:r w:rsidR="008E330B">
        <w:t>’</w:t>
      </w:r>
      <w:r w:rsidR="008E330B" w:rsidRPr="00D81C46">
        <w:t>État partie</w:t>
      </w:r>
      <w:r w:rsidR="008E330B">
        <w:t xml:space="preserve"> </w:t>
      </w:r>
      <w:r w:rsidR="008E330B" w:rsidRPr="00D81C46">
        <w:t>(art</w:t>
      </w:r>
      <w:r w:rsidRPr="00D81C46">
        <w:t>.</w:t>
      </w:r>
      <w:r>
        <w:t> </w:t>
      </w:r>
      <w:r w:rsidR="008E330B" w:rsidRPr="00D81C46">
        <w:t>4).</w:t>
      </w:r>
    </w:p>
    <w:p w14:paraId="30179DB2" w14:textId="32FE4076" w:rsidR="008E330B" w:rsidRPr="00D81C46" w:rsidRDefault="00C864B4" w:rsidP="003C7926">
      <w:pPr>
        <w:pStyle w:val="SingleTxtG"/>
        <w:keepNext/>
        <w:rPr>
          <w:b/>
        </w:rPr>
      </w:pPr>
      <w:r>
        <w:rPr>
          <w:lang w:val="fr-FR"/>
        </w:rPr>
        <w:t>16.</w:t>
      </w:r>
      <w:r>
        <w:rPr>
          <w:lang w:val="fr-FR"/>
        </w:rPr>
        <w:tab/>
      </w:r>
      <w:r w:rsidR="008E330B" w:rsidRPr="00D81C46">
        <w:rPr>
          <w:b/>
          <w:bCs/>
          <w:lang w:val="fr-FR"/>
        </w:rPr>
        <w:t xml:space="preserve">Rappelant ses recommandations générales </w:t>
      </w:r>
      <w:r w:rsidRPr="00D81C46">
        <w:rPr>
          <w:b/>
          <w:bCs/>
          <w:lang w:val="fr-FR"/>
        </w:rPr>
        <w:t>n</w:t>
      </w:r>
      <w:r w:rsidRPr="00732DCB">
        <w:rPr>
          <w:b/>
          <w:bCs/>
          <w:vertAlign w:val="superscript"/>
          <w:lang w:val="fr-FR"/>
        </w:rPr>
        <w:t>o</w:t>
      </w:r>
      <w:r>
        <w:rPr>
          <w:b/>
          <w:bCs/>
          <w:lang w:val="fr-FR"/>
        </w:rPr>
        <w:t> </w:t>
      </w:r>
      <w:r w:rsidR="008E330B" w:rsidRPr="00D81C46">
        <w:rPr>
          <w:b/>
          <w:bCs/>
          <w:lang w:val="fr-FR"/>
        </w:rPr>
        <w:t xml:space="preserve">7 (1985), </w:t>
      </w:r>
      <w:r w:rsidRPr="00D81C46">
        <w:rPr>
          <w:b/>
          <w:bCs/>
          <w:lang w:val="fr-FR"/>
        </w:rPr>
        <w:t>n</w:t>
      </w:r>
      <w:r w:rsidRPr="00732DCB">
        <w:rPr>
          <w:b/>
          <w:bCs/>
          <w:vertAlign w:val="superscript"/>
          <w:lang w:val="fr-FR"/>
        </w:rPr>
        <w:t>o</w:t>
      </w:r>
      <w:r>
        <w:rPr>
          <w:b/>
          <w:bCs/>
          <w:lang w:val="fr-FR"/>
        </w:rPr>
        <w:t> </w:t>
      </w:r>
      <w:r w:rsidR="008E330B" w:rsidRPr="00D81C46">
        <w:rPr>
          <w:b/>
          <w:bCs/>
          <w:lang w:val="fr-FR"/>
        </w:rPr>
        <w:t xml:space="preserve">8 (1990), </w:t>
      </w:r>
      <w:r w:rsidRPr="00D81C46">
        <w:rPr>
          <w:b/>
          <w:bCs/>
          <w:lang w:val="fr-FR"/>
        </w:rPr>
        <w:t>n</w:t>
      </w:r>
      <w:r w:rsidRPr="00732DCB">
        <w:rPr>
          <w:b/>
          <w:bCs/>
          <w:vertAlign w:val="superscript"/>
          <w:lang w:val="fr-FR"/>
        </w:rPr>
        <w:t>o</w:t>
      </w:r>
      <w:r>
        <w:rPr>
          <w:b/>
          <w:bCs/>
          <w:lang w:val="fr-FR"/>
        </w:rPr>
        <w:t> </w:t>
      </w:r>
      <w:r w:rsidR="008E330B" w:rsidRPr="00D81C46">
        <w:rPr>
          <w:b/>
          <w:bCs/>
          <w:lang w:val="fr-FR"/>
        </w:rPr>
        <w:t xml:space="preserve">15 (1993), </w:t>
      </w:r>
      <w:r w:rsidRPr="00D81C46">
        <w:rPr>
          <w:b/>
          <w:bCs/>
          <w:lang w:val="fr-FR"/>
        </w:rPr>
        <w:t>n</w:t>
      </w:r>
      <w:r w:rsidRPr="00732DCB">
        <w:rPr>
          <w:b/>
          <w:bCs/>
          <w:vertAlign w:val="superscript"/>
          <w:lang w:val="fr-FR"/>
        </w:rPr>
        <w:t>o</w:t>
      </w:r>
      <w:r>
        <w:rPr>
          <w:b/>
          <w:bCs/>
          <w:lang w:val="fr-FR"/>
        </w:rPr>
        <w:t> </w:t>
      </w:r>
      <w:r w:rsidR="008E330B" w:rsidRPr="00D81C46">
        <w:rPr>
          <w:b/>
          <w:bCs/>
          <w:lang w:val="fr-FR"/>
        </w:rPr>
        <w:t xml:space="preserve">30 (2004), </w:t>
      </w:r>
      <w:r w:rsidRPr="00D81C46">
        <w:rPr>
          <w:b/>
          <w:bCs/>
          <w:lang w:val="fr-FR"/>
        </w:rPr>
        <w:t>n</w:t>
      </w:r>
      <w:r w:rsidRPr="00732DCB">
        <w:rPr>
          <w:b/>
          <w:bCs/>
          <w:vertAlign w:val="superscript"/>
          <w:lang w:val="fr-FR"/>
        </w:rPr>
        <w:t>o</w:t>
      </w:r>
      <w:r>
        <w:rPr>
          <w:b/>
          <w:bCs/>
          <w:lang w:val="fr-FR"/>
        </w:rPr>
        <w:t> </w:t>
      </w:r>
      <w:r w:rsidR="008E330B" w:rsidRPr="00D81C46">
        <w:rPr>
          <w:b/>
          <w:bCs/>
          <w:lang w:val="fr-FR"/>
        </w:rPr>
        <w:t xml:space="preserve">31 (2005) et </w:t>
      </w:r>
      <w:r w:rsidRPr="00D81C46">
        <w:rPr>
          <w:b/>
          <w:bCs/>
          <w:lang w:val="fr-FR"/>
        </w:rPr>
        <w:t>n</w:t>
      </w:r>
      <w:r w:rsidRPr="00732DCB">
        <w:rPr>
          <w:b/>
          <w:bCs/>
          <w:vertAlign w:val="superscript"/>
          <w:lang w:val="fr-FR"/>
        </w:rPr>
        <w:t>o</w:t>
      </w:r>
      <w:r>
        <w:rPr>
          <w:b/>
          <w:bCs/>
          <w:lang w:val="fr-FR"/>
        </w:rPr>
        <w:t> </w:t>
      </w:r>
      <w:r w:rsidR="008E330B" w:rsidRPr="00D81C46">
        <w:rPr>
          <w:b/>
          <w:bCs/>
          <w:lang w:val="fr-FR"/>
        </w:rPr>
        <w:t>35 (2013), le Comité recommande à l</w:t>
      </w:r>
      <w:r w:rsidR="008E330B">
        <w:rPr>
          <w:b/>
          <w:bCs/>
          <w:lang w:val="fr-FR"/>
        </w:rPr>
        <w:t>’</w:t>
      </w:r>
      <w:r w:rsidR="008E330B" w:rsidRPr="00D81C46">
        <w:rPr>
          <w:b/>
          <w:bCs/>
          <w:lang w:val="fr-FR"/>
        </w:rPr>
        <w:t>État partie</w:t>
      </w:r>
      <w:r w:rsidR="008E330B">
        <w:rPr>
          <w:b/>
          <w:bCs/>
          <w:lang w:val="fr-FR"/>
        </w:rPr>
        <w:t> </w:t>
      </w:r>
      <w:r w:rsidR="008E330B" w:rsidRPr="00D81C46">
        <w:rPr>
          <w:b/>
          <w:bCs/>
          <w:lang w:val="fr-FR"/>
        </w:rPr>
        <w:t xml:space="preserve">: </w:t>
      </w:r>
    </w:p>
    <w:p w14:paraId="1509747F" w14:textId="3E50F507" w:rsidR="008E330B" w:rsidRDefault="00C864B4" w:rsidP="003C7926">
      <w:pPr>
        <w:pStyle w:val="SingleTxtG"/>
        <w:ind w:firstLine="567"/>
        <w:rPr>
          <w:b/>
        </w:rPr>
      </w:pPr>
      <w:r>
        <w:rPr>
          <w:b/>
          <w:bCs/>
          <w:lang w:val="fr-FR"/>
        </w:rPr>
        <w:t>a)</w:t>
      </w:r>
      <w:r>
        <w:rPr>
          <w:b/>
          <w:bCs/>
          <w:lang w:val="fr-FR"/>
        </w:rPr>
        <w:tab/>
      </w:r>
      <w:r w:rsidR="008E330B" w:rsidRPr="003E0306">
        <w:rPr>
          <w:b/>
          <w:bCs/>
          <w:lang w:val="fr-FR"/>
        </w:rPr>
        <w:t>De prendre des mesures pour prévenir, condamner et combattre les discours de haine raciale tenus à l</w:t>
      </w:r>
      <w:r w:rsidR="008E330B">
        <w:rPr>
          <w:b/>
          <w:bCs/>
          <w:lang w:val="fr-FR"/>
        </w:rPr>
        <w:t>’</w:t>
      </w:r>
      <w:r w:rsidR="008E330B" w:rsidRPr="003E0306">
        <w:rPr>
          <w:b/>
          <w:bCs/>
          <w:lang w:val="fr-FR"/>
        </w:rPr>
        <w:t xml:space="preserve">égard des </w:t>
      </w:r>
      <w:r w:rsidR="008E330B">
        <w:rPr>
          <w:b/>
          <w:bCs/>
          <w:lang w:val="fr-FR"/>
        </w:rPr>
        <w:t>groupes les plus exposés à la discrimination raciale</w:t>
      </w:r>
      <w:r w:rsidR="008E330B" w:rsidRPr="003E0306">
        <w:rPr>
          <w:b/>
          <w:bCs/>
          <w:lang w:val="fr-FR"/>
        </w:rPr>
        <w:t>, y compris sur Internet et les médias sociaux, et de la part de personnalités publiques et de responsables politiques, et de veiller à ce que tous les cas signalés de discours de haine raciale fassent l</w:t>
      </w:r>
      <w:r w:rsidR="008E330B">
        <w:rPr>
          <w:b/>
          <w:bCs/>
          <w:lang w:val="fr-FR"/>
        </w:rPr>
        <w:t>’</w:t>
      </w:r>
      <w:r w:rsidR="008E330B" w:rsidRPr="003E0306">
        <w:rPr>
          <w:b/>
          <w:bCs/>
          <w:lang w:val="fr-FR"/>
        </w:rPr>
        <w:t>objet d</w:t>
      </w:r>
      <w:r w:rsidR="008E330B">
        <w:rPr>
          <w:b/>
          <w:bCs/>
          <w:lang w:val="fr-FR"/>
        </w:rPr>
        <w:t>’</w:t>
      </w:r>
      <w:r w:rsidR="008E330B" w:rsidRPr="003E0306">
        <w:rPr>
          <w:b/>
          <w:bCs/>
          <w:lang w:val="fr-FR"/>
        </w:rPr>
        <w:t>enquêtes efficaces et, le cas échéant, de poursuites et de sanctions</w:t>
      </w:r>
      <w:r w:rsidR="008E330B">
        <w:rPr>
          <w:b/>
          <w:bCs/>
          <w:lang w:val="fr-FR"/>
        </w:rPr>
        <w:t> </w:t>
      </w:r>
      <w:r w:rsidR="008E330B" w:rsidRPr="003E0306">
        <w:rPr>
          <w:b/>
          <w:bCs/>
          <w:lang w:val="fr-FR"/>
        </w:rPr>
        <w:t xml:space="preserve">; </w:t>
      </w:r>
    </w:p>
    <w:p w14:paraId="26C6D829" w14:textId="1FB52B46" w:rsidR="008E330B" w:rsidRPr="006F5622" w:rsidRDefault="00C864B4" w:rsidP="003C7926">
      <w:pPr>
        <w:pStyle w:val="SingleTxtG"/>
        <w:ind w:firstLine="567"/>
        <w:rPr>
          <w:b/>
        </w:rPr>
      </w:pPr>
      <w:r>
        <w:rPr>
          <w:b/>
          <w:bCs/>
          <w:lang w:val="fr-FR"/>
        </w:rPr>
        <w:t>b)</w:t>
      </w:r>
      <w:r>
        <w:rPr>
          <w:b/>
          <w:bCs/>
          <w:lang w:val="fr-FR"/>
        </w:rPr>
        <w:tab/>
      </w:r>
      <w:r w:rsidR="008E330B" w:rsidRPr="005F1705">
        <w:rPr>
          <w:b/>
          <w:bCs/>
          <w:lang w:val="fr-FR"/>
        </w:rPr>
        <w:t>D</w:t>
      </w:r>
      <w:r w:rsidR="008E330B">
        <w:rPr>
          <w:b/>
          <w:bCs/>
          <w:lang w:val="fr-FR"/>
        </w:rPr>
        <w:t>’</w:t>
      </w:r>
      <w:r w:rsidR="008E330B" w:rsidRPr="005F1705">
        <w:rPr>
          <w:b/>
          <w:bCs/>
          <w:lang w:val="fr-FR"/>
        </w:rPr>
        <w:t>intensifier ses efforts pour enrayer la prolifération des discours de haine raciale sur Internet et les médias sociaux, en étroite coopération avec les fournisseurs d</w:t>
      </w:r>
      <w:r w:rsidR="008E330B">
        <w:rPr>
          <w:b/>
          <w:bCs/>
          <w:lang w:val="fr-FR"/>
        </w:rPr>
        <w:t>’</w:t>
      </w:r>
      <w:r w:rsidR="008E330B" w:rsidRPr="005F1705">
        <w:rPr>
          <w:b/>
          <w:bCs/>
          <w:lang w:val="fr-FR"/>
        </w:rPr>
        <w:t xml:space="preserve">accès à Internet, les </w:t>
      </w:r>
      <w:proofErr w:type="spellStart"/>
      <w:r w:rsidR="008E330B" w:rsidRPr="005F1705">
        <w:rPr>
          <w:b/>
          <w:bCs/>
          <w:lang w:val="fr-FR"/>
        </w:rPr>
        <w:t>plateformes</w:t>
      </w:r>
      <w:proofErr w:type="spellEnd"/>
      <w:r w:rsidR="008E330B" w:rsidRPr="005F1705">
        <w:rPr>
          <w:b/>
          <w:bCs/>
          <w:lang w:val="fr-FR"/>
        </w:rPr>
        <w:t xml:space="preserve"> de réseaux sociaux et les populations les plus concernées par les discours de haine raciale</w:t>
      </w:r>
      <w:r w:rsidR="008E330B">
        <w:rPr>
          <w:b/>
          <w:bCs/>
          <w:lang w:val="fr-FR"/>
        </w:rPr>
        <w:t> ;</w:t>
      </w:r>
    </w:p>
    <w:p w14:paraId="355F5893" w14:textId="69F98B08" w:rsidR="008E330B" w:rsidRPr="006F5622" w:rsidRDefault="00C864B4" w:rsidP="003C7926">
      <w:pPr>
        <w:pStyle w:val="SingleTxtG"/>
        <w:ind w:firstLine="567"/>
        <w:rPr>
          <w:b/>
        </w:rPr>
      </w:pPr>
      <w:r>
        <w:rPr>
          <w:b/>
          <w:bCs/>
          <w:lang w:val="fr-FR"/>
        </w:rPr>
        <w:t>c)</w:t>
      </w:r>
      <w:r>
        <w:rPr>
          <w:b/>
          <w:bCs/>
          <w:lang w:val="fr-FR"/>
        </w:rPr>
        <w:tab/>
      </w:r>
      <w:r w:rsidR="008E330B" w:rsidRPr="0040670C">
        <w:rPr>
          <w:b/>
          <w:bCs/>
          <w:lang w:val="fr-FR"/>
        </w:rPr>
        <w:t>De mener des campagnes de sensibilisation de la population visant</w:t>
      </w:r>
      <w:r w:rsidR="008E330B">
        <w:rPr>
          <w:b/>
          <w:bCs/>
          <w:lang w:val="fr-FR"/>
        </w:rPr>
        <w:t>,</w:t>
      </w:r>
      <w:r w:rsidR="008E330B" w:rsidRPr="0040670C">
        <w:rPr>
          <w:b/>
          <w:bCs/>
          <w:lang w:val="fr-FR"/>
        </w:rPr>
        <w:t xml:space="preserve"> d</w:t>
      </w:r>
      <w:r w:rsidR="008E330B">
        <w:rPr>
          <w:b/>
          <w:bCs/>
          <w:lang w:val="fr-FR"/>
        </w:rPr>
        <w:t>’</w:t>
      </w:r>
      <w:r w:rsidR="008E330B" w:rsidRPr="0040670C">
        <w:rPr>
          <w:b/>
          <w:bCs/>
          <w:lang w:val="fr-FR"/>
        </w:rPr>
        <w:t>une part</w:t>
      </w:r>
      <w:r w:rsidR="008E330B">
        <w:rPr>
          <w:b/>
          <w:bCs/>
          <w:lang w:val="fr-FR"/>
        </w:rPr>
        <w:t>,</w:t>
      </w:r>
      <w:r w:rsidR="008E330B" w:rsidRPr="0040670C">
        <w:rPr>
          <w:b/>
          <w:bCs/>
          <w:lang w:val="fr-FR"/>
        </w:rPr>
        <w:t xml:space="preserve"> à faire disparaître les préjugés et la désinformation concernant </w:t>
      </w:r>
      <w:r w:rsidR="008E330B">
        <w:rPr>
          <w:b/>
          <w:bCs/>
          <w:lang w:val="fr-FR"/>
        </w:rPr>
        <w:t xml:space="preserve">les </w:t>
      </w:r>
      <w:proofErr w:type="spellStart"/>
      <w:r w:rsidR="008E330B" w:rsidRPr="0040670C">
        <w:rPr>
          <w:b/>
          <w:bCs/>
          <w:lang w:val="fr-FR"/>
        </w:rPr>
        <w:t>Yéniches</w:t>
      </w:r>
      <w:proofErr w:type="spellEnd"/>
      <w:r w:rsidR="008E330B" w:rsidRPr="0040670C">
        <w:rPr>
          <w:b/>
          <w:bCs/>
          <w:lang w:val="fr-FR"/>
        </w:rPr>
        <w:t xml:space="preserve">, </w:t>
      </w:r>
      <w:r w:rsidR="008E330B">
        <w:rPr>
          <w:b/>
          <w:bCs/>
          <w:lang w:val="fr-FR"/>
        </w:rPr>
        <w:t xml:space="preserve">les </w:t>
      </w:r>
      <w:proofErr w:type="spellStart"/>
      <w:r w:rsidR="008E330B">
        <w:rPr>
          <w:b/>
          <w:bCs/>
          <w:lang w:val="fr-FR"/>
        </w:rPr>
        <w:t>Sintis</w:t>
      </w:r>
      <w:proofErr w:type="spellEnd"/>
      <w:r w:rsidR="008E330B">
        <w:rPr>
          <w:b/>
          <w:bCs/>
          <w:lang w:val="fr-FR"/>
        </w:rPr>
        <w:t xml:space="preserve">/Manouches, les </w:t>
      </w:r>
      <w:r w:rsidR="008E330B" w:rsidRPr="0040670C">
        <w:rPr>
          <w:b/>
          <w:bCs/>
          <w:lang w:val="fr-FR"/>
        </w:rPr>
        <w:t xml:space="preserve">Roms, les non-ressortissants, </w:t>
      </w:r>
      <w:r w:rsidR="008E330B">
        <w:rPr>
          <w:b/>
          <w:bCs/>
          <w:lang w:val="fr-FR"/>
        </w:rPr>
        <w:t xml:space="preserve">ainsi que </w:t>
      </w:r>
      <w:r w:rsidR="008E330B" w:rsidRPr="0040670C">
        <w:rPr>
          <w:b/>
          <w:bCs/>
          <w:lang w:val="fr-FR"/>
        </w:rPr>
        <w:t>les personnes d</w:t>
      </w:r>
      <w:r w:rsidR="008E330B">
        <w:rPr>
          <w:b/>
          <w:bCs/>
          <w:lang w:val="fr-FR"/>
        </w:rPr>
        <w:t>’</w:t>
      </w:r>
      <w:r w:rsidR="008E330B" w:rsidRPr="0040670C">
        <w:rPr>
          <w:b/>
          <w:bCs/>
          <w:lang w:val="fr-FR"/>
        </w:rPr>
        <w:t>ascendance africaine</w:t>
      </w:r>
      <w:r w:rsidR="008E330B">
        <w:rPr>
          <w:b/>
          <w:bCs/>
          <w:lang w:val="fr-FR"/>
        </w:rPr>
        <w:t>, musulmanes, juives</w:t>
      </w:r>
      <w:r w:rsidR="008E330B" w:rsidRPr="0040670C">
        <w:rPr>
          <w:b/>
          <w:bCs/>
          <w:lang w:val="fr-FR"/>
        </w:rPr>
        <w:t xml:space="preserve"> et d</w:t>
      </w:r>
      <w:r w:rsidR="008E330B">
        <w:rPr>
          <w:b/>
          <w:bCs/>
          <w:lang w:val="fr-FR"/>
        </w:rPr>
        <w:t>’</w:t>
      </w:r>
      <w:r w:rsidR="008E330B" w:rsidRPr="0040670C">
        <w:rPr>
          <w:b/>
          <w:bCs/>
          <w:lang w:val="fr-FR"/>
        </w:rPr>
        <w:t>origine asiatique, et</w:t>
      </w:r>
      <w:r w:rsidR="008E330B">
        <w:rPr>
          <w:b/>
          <w:bCs/>
          <w:lang w:val="fr-FR"/>
        </w:rPr>
        <w:t>,</w:t>
      </w:r>
      <w:r w:rsidR="008E330B" w:rsidRPr="0040670C">
        <w:rPr>
          <w:b/>
          <w:bCs/>
          <w:lang w:val="fr-FR"/>
        </w:rPr>
        <w:t xml:space="preserve"> d</w:t>
      </w:r>
      <w:r w:rsidR="008E330B">
        <w:rPr>
          <w:b/>
          <w:bCs/>
          <w:lang w:val="fr-FR"/>
        </w:rPr>
        <w:t>’</w:t>
      </w:r>
      <w:r w:rsidR="008E330B" w:rsidRPr="0040670C">
        <w:rPr>
          <w:b/>
          <w:bCs/>
          <w:lang w:val="fr-FR"/>
        </w:rPr>
        <w:t>autre part</w:t>
      </w:r>
      <w:r w:rsidR="008E330B">
        <w:rPr>
          <w:b/>
          <w:bCs/>
          <w:lang w:val="fr-FR"/>
        </w:rPr>
        <w:t>,</w:t>
      </w:r>
      <w:r w:rsidR="008E330B" w:rsidRPr="0040670C">
        <w:rPr>
          <w:b/>
          <w:bCs/>
          <w:lang w:val="fr-FR"/>
        </w:rPr>
        <w:t xml:space="preserve"> à promouvoir le respect de la diversité et l</w:t>
      </w:r>
      <w:r w:rsidR="008E330B">
        <w:rPr>
          <w:b/>
          <w:bCs/>
          <w:lang w:val="fr-FR"/>
        </w:rPr>
        <w:t>’</w:t>
      </w:r>
      <w:r w:rsidR="008E330B" w:rsidRPr="0040670C">
        <w:rPr>
          <w:b/>
          <w:bCs/>
          <w:lang w:val="fr-FR"/>
        </w:rPr>
        <w:t>élimination de la discrimination raciale</w:t>
      </w:r>
      <w:r w:rsidR="008E330B">
        <w:rPr>
          <w:b/>
          <w:bCs/>
          <w:lang w:val="fr-FR"/>
        </w:rPr>
        <w:t> </w:t>
      </w:r>
      <w:r w:rsidR="008E330B" w:rsidRPr="0040670C">
        <w:rPr>
          <w:b/>
          <w:bCs/>
          <w:lang w:val="fr-FR"/>
        </w:rPr>
        <w:t xml:space="preserve">; </w:t>
      </w:r>
    </w:p>
    <w:p w14:paraId="25D5E006" w14:textId="5BA088CC" w:rsidR="008E330B" w:rsidRPr="00A24322" w:rsidRDefault="00C864B4" w:rsidP="003C7926">
      <w:pPr>
        <w:pStyle w:val="SingleTxtG"/>
        <w:ind w:firstLine="567"/>
        <w:rPr>
          <w:b/>
        </w:rPr>
      </w:pPr>
      <w:r>
        <w:rPr>
          <w:b/>
          <w:bCs/>
          <w:lang w:val="fr-FR"/>
        </w:rPr>
        <w:t>d)</w:t>
      </w:r>
      <w:r>
        <w:rPr>
          <w:b/>
          <w:bCs/>
          <w:lang w:val="fr-FR"/>
        </w:rPr>
        <w:tab/>
      </w:r>
      <w:r w:rsidR="008E330B">
        <w:rPr>
          <w:b/>
          <w:bCs/>
          <w:lang w:val="fr-FR"/>
        </w:rPr>
        <w:t>De prendre des mesures</w:t>
      </w:r>
      <w:r w:rsidR="008E330B">
        <w:rPr>
          <w:b/>
        </w:rPr>
        <w:t xml:space="preserve"> pour garantir un </w:t>
      </w:r>
      <w:r w:rsidR="008E330B" w:rsidRPr="00A24322">
        <w:rPr>
          <w:b/>
          <w:bCs/>
          <w:lang w:val="fr-FR"/>
        </w:rPr>
        <w:t xml:space="preserve">enregistrement uniforme et obligatoire </w:t>
      </w:r>
      <w:r w:rsidR="008E330B">
        <w:rPr>
          <w:b/>
          <w:bCs/>
          <w:lang w:val="fr-FR"/>
        </w:rPr>
        <w:t xml:space="preserve">par la police </w:t>
      </w:r>
      <w:r w:rsidR="008E330B" w:rsidRPr="00A24322">
        <w:rPr>
          <w:b/>
          <w:bCs/>
          <w:lang w:val="fr-FR"/>
        </w:rPr>
        <w:t>des infractions à motivation raciste</w:t>
      </w:r>
      <w:r w:rsidR="008E330B">
        <w:rPr>
          <w:b/>
          <w:bCs/>
          <w:lang w:val="fr-FR"/>
        </w:rPr>
        <w:t>, et d’établir un système de collecte des données sur la catégorie d’infractions, le type de motivation, les données démographiques des victimes et de l’agresseur, et les circonstances de l’infraction relatives au lieu et au temps, afin de pouvoir établir une politique préventive efficace.</w:t>
      </w:r>
    </w:p>
    <w:p w14:paraId="1900157E" w14:textId="77777777" w:rsidR="008E330B" w:rsidRDefault="008E330B" w:rsidP="003C7926">
      <w:pPr>
        <w:pStyle w:val="H23G"/>
      </w:pPr>
      <w:r>
        <w:tab/>
      </w:r>
      <w:r>
        <w:tab/>
        <w:t>Violences policières à caractère raciste</w:t>
      </w:r>
    </w:p>
    <w:p w14:paraId="334553A9" w14:textId="1585B763" w:rsidR="008E330B" w:rsidRPr="008C0B0C" w:rsidRDefault="00C864B4" w:rsidP="003C7926">
      <w:pPr>
        <w:pStyle w:val="SingleTxtG"/>
        <w:rPr>
          <w:lang w:val="fr-FR"/>
        </w:rPr>
      </w:pPr>
      <w:r>
        <w:t>17.</w:t>
      </w:r>
      <w:r>
        <w:tab/>
      </w:r>
      <w:r w:rsidR="008E330B">
        <w:t xml:space="preserve">Le Comité est préoccupé par les allégations de décès par suite d’une intervention de la police, en particulier à l’encontre de personnes d’ascendance africaine, ainsi que de violence et de mauvais traitements infligés par des policiers à des non-ressortissants, à des </w:t>
      </w:r>
      <w:proofErr w:type="spellStart"/>
      <w:r w:rsidR="008E330B">
        <w:t>Yéniches</w:t>
      </w:r>
      <w:proofErr w:type="spellEnd"/>
      <w:r w:rsidR="008E330B">
        <w:t xml:space="preserve">, </w:t>
      </w:r>
      <w:proofErr w:type="spellStart"/>
      <w:r w:rsidR="008E330B">
        <w:t>Sintis</w:t>
      </w:r>
      <w:proofErr w:type="spellEnd"/>
      <w:r w:rsidR="008E330B">
        <w:t xml:space="preserve">/Manouches et Roms, et à des personnes d’ascendance africaine. Il s’inquiète en outre des informations selon lesquelles </w:t>
      </w:r>
      <w:r w:rsidR="008E330B" w:rsidRPr="00D6572F">
        <w:rPr>
          <w:lang w:val="fr-FR"/>
        </w:rPr>
        <w:t>très peu de cantons sont dotés d</w:t>
      </w:r>
      <w:r w:rsidR="008E330B">
        <w:rPr>
          <w:lang w:val="fr-FR"/>
        </w:rPr>
        <w:t>’</w:t>
      </w:r>
      <w:r w:rsidR="008E330B" w:rsidRPr="00D6572F">
        <w:rPr>
          <w:lang w:val="fr-FR"/>
        </w:rPr>
        <w:t xml:space="preserve">organes indépendants compétents pour le traitement de plaintes </w:t>
      </w:r>
      <w:r w:rsidR="008E330B">
        <w:rPr>
          <w:lang w:val="fr-FR"/>
        </w:rPr>
        <w:t>sur les</w:t>
      </w:r>
      <w:r w:rsidR="008E330B" w:rsidRPr="00D6572F">
        <w:rPr>
          <w:lang w:val="fr-FR"/>
        </w:rPr>
        <w:t xml:space="preserve"> violences policières</w:t>
      </w:r>
      <w:r w:rsidR="008E330B">
        <w:rPr>
          <w:lang w:val="fr-FR"/>
        </w:rPr>
        <w:t xml:space="preserve">. Il est également inquiet de ce que les </w:t>
      </w:r>
      <w:r w:rsidR="008E330B">
        <w:t xml:space="preserve">cas dans lesquels les poursuites ont donné lieu à des décisions de justice en faveur du requérant restent peu nombreux et que les victimes </w:t>
      </w:r>
      <w:r w:rsidR="008E330B" w:rsidRPr="00D6572F">
        <w:t>sont confrontées à plusieurs obstacles pour accéder à la justice, te</w:t>
      </w:r>
      <w:r w:rsidR="008E330B">
        <w:t>ls que le manque d’informations et</w:t>
      </w:r>
      <w:r w:rsidR="008E330B" w:rsidRPr="00D6572F">
        <w:t xml:space="preserve"> </w:t>
      </w:r>
      <w:r w:rsidR="008E330B">
        <w:t>l</w:t>
      </w:r>
      <w:r w:rsidR="008E330B" w:rsidRPr="00D6572F">
        <w:t xml:space="preserve">es coûts financiers prohibitifs </w:t>
      </w:r>
      <w:r w:rsidR="008E330B">
        <w:t xml:space="preserve">des procédures (art. 2, 4 et </w:t>
      </w:r>
      <w:r w:rsidR="008E330B" w:rsidRPr="008C0B0C">
        <w:rPr>
          <w:lang w:val="fr-FR"/>
        </w:rPr>
        <w:t>6).</w:t>
      </w:r>
    </w:p>
    <w:p w14:paraId="05A7442A" w14:textId="3E16B3FD" w:rsidR="008E330B" w:rsidRPr="00E777E1" w:rsidRDefault="00C864B4" w:rsidP="003C7926">
      <w:pPr>
        <w:pStyle w:val="SingleTxtG"/>
        <w:rPr>
          <w:b/>
          <w:lang w:val="fr-FR"/>
        </w:rPr>
      </w:pPr>
      <w:r>
        <w:rPr>
          <w:bCs/>
          <w:lang w:val="fr-FR"/>
        </w:rPr>
        <w:t>18.</w:t>
      </w:r>
      <w:r>
        <w:rPr>
          <w:bCs/>
          <w:lang w:val="fr-FR"/>
        </w:rPr>
        <w:tab/>
      </w:r>
      <w:r w:rsidR="008E330B" w:rsidRPr="008C0B0C">
        <w:rPr>
          <w:b/>
          <w:lang w:val="fr-FR"/>
        </w:rPr>
        <w:t xml:space="preserve">Rappelant sa recommandation générale </w:t>
      </w:r>
      <w:r w:rsidRPr="009E1969">
        <w:rPr>
          <w:b/>
          <w:lang w:val="fr-FR"/>
        </w:rPr>
        <w:t>n</w:t>
      </w:r>
      <w:r w:rsidRPr="00732DCB">
        <w:rPr>
          <w:b/>
          <w:vertAlign w:val="superscript"/>
          <w:lang w:val="fr-FR"/>
        </w:rPr>
        <w:t>o</w:t>
      </w:r>
      <w:r>
        <w:rPr>
          <w:b/>
          <w:lang w:val="fr-FR"/>
        </w:rPr>
        <w:t> </w:t>
      </w:r>
      <w:r w:rsidR="008E330B" w:rsidRPr="009E1969">
        <w:rPr>
          <w:b/>
          <w:lang w:val="fr-FR"/>
        </w:rPr>
        <w:t>31 (</w:t>
      </w:r>
      <w:r w:rsidR="008E330B" w:rsidRPr="008C0B0C">
        <w:rPr>
          <w:b/>
          <w:bCs/>
          <w:lang w:val="fr-FR"/>
        </w:rPr>
        <w:t xml:space="preserve">2005), </w:t>
      </w:r>
      <w:r w:rsidR="008E330B" w:rsidRPr="008C0B0C">
        <w:rPr>
          <w:b/>
          <w:lang w:val="fr-FR"/>
        </w:rPr>
        <w:t>le Comité recommande à l</w:t>
      </w:r>
      <w:r w:rsidR="008E330B">
        <w:rPr>
          <w:b/>
          <w:lang w:val="fr-FR"/>
        </w:rPr>
        <w:t>’</w:t>
      </w:r>
      <w:r w:rsidR="008E330B" w:rsidRPr="008C0B0C">
        <w:rPr>
          <w:b/>
          <w:lang w:val="fr-FR"/>
        </w:rPr>
        <w:t xml:space="preserve">État partie de </w:t>
      </w:r>
      <w:r w:rsidR="008E330B" w:rsidRPr="008C0B0C">
        <w:rPr>
          <w:b/>
          <w:bCs/>
          <w:lang w:val="fr-FR"/>
        </w:rPr>
        <w:t>prendre des mesures pour garantir que des enquêtes promptes, complètes et impartiales sont menées sur tous les cas d</w:t>
      </w:r>
      <w:r w:rsidR="008E330B">
        <w:rPr>
          <w:b/>
          <w:bCs/>
          <w:lang w:val="fr-FR"/>
        </w:rPr>
        <w:t>’</w:t>
      </w:r>
      <w:r w:rsidR="008E330B" w:rsidRPr="008C0B0C">
        <w:rPr>
          <w:b/>
          <w:bCs/>
          <w:lang w:val="fr-FR"/>
        </w:rPr>
        <w:t>incidents à caractère raciste infligés par des policiers ou impliquant des policiers, de s</w:t>
      </w:r>
      <w:r w:rsidR="008E330B">
        <w:rPr>
          <w:b/>
          <w:bCs/>
          <w:lang w:val="fr-FR"/>
        </w:rPr>
        <w:t>’</w:t>
      </w:r>
      <w:r w:rsidR="008E330B" w:rsidRPr="008C0B0C">
        <w:rPr>
          <w:b/>
          <w:bCs/>
          <w:lang w:val="fr-FR"/>
        </w:rPr>
        <w:t xml:space="preserve">assurer que les responsables </w:t>
      </w:r>
      <w:r w:rsidR="008E330B">
        <w:rPr>
          <w:b/>
          <w:bCs/>
          <w:lang w:val="fr-FR"/>
        </w:rPr>
        <w:t xml:space="preserve">éventuels </w:t>
      </w:r>
      <w:r w:rsidR="008E330B" w:rsidRPr="008C0B0C">
        <w:rPr>
          <w:b/>
          <w:bCs/>
          <w:lang w:val="fr-FR"/>
        </w:rPr>
        <w:t>de ces actes sont poursuivis et sanctionnés de manière appropriée, et d</w:t>
      </w:r>
      <w:r w:rsidR="008E330B">
        <w:rPr>
          <w:b/>
          <w:bCs/>
          <w:lang w:val="fr-FR"/>
        </w:rPr>
        <w:t>’</w:t>
      </w:r>
      <w:r w:rsidR="008E330B" w:rsidRPr="008C0B0C">
        <w:rPr>
          <w:b/>
          <w:bCs/>
          <w:lang w:val="fr-FR"/>
        </w:rPr>
        <w:t>offrir</w:t>
      </w:r>
      <w:r w:rsidR="008E330B">
        <w:rPr>
          <w:b/>
          <w:bCs/>
          <w:lang w:val="fr-FR"/>
        </w:rPr>
        <w:t>, le cas échéant,</w:t>
      </w:r>
      <w:r w:rsidR="008E330B" w:rsidRPr="008C0B0C">
        <w:rPr>
          <w:b/>
          <w:bCs/>
          <w:lang w:val="fr-FR"/>
        </w:rPr>
        <w:t xml:space="preserve"> une réparation adéquate aux victimes ou à leur famille. </w:t>
      </w:r>
      <w:r w:rsidR="008E330B">
        <w:rPr>
          <w:b/>
          <w:bCs/>
          <w:lang w:val="fr-FR"/>
        </w:rPr>
        <w:t xml:space="preserve">Le Comité réitère vivement sa recommandation à l’État partie de </w:t>
      </w:r>
      <w:r w:rsidR="008E330B" w:rsidRPr="00E777E1">
        <w:rPr>
          <w:b/>
          <w:bCs/>
          <w:lang w:val="fr-FR"/>
        </w:rPr>
        <w:t>créer dans tous les cantons un mécanisme indépendant</w:t>
      </w:r>
      <w:r w:rsidR="008E330B">
        <w:rPr>
          <w:b/>
          <w:bCs/>
          <w:lang w:val="fr-FR"/>
        </w:rPr>
        <w:t>, hors de la police et du ministère public,</w:t>
      </w:r>
      <w:r w:rsidR="008E330B" w:rsidRPr="00E777E1">
        <w:rPr>
          <w:b/>
          <w:bCs/>
          <w:lang w:val="fr-FR"/>
        </w:rPr>
        <w:t xml:space="preserve"> chargé de recevoir et d</w:t>
      </w:r>
      <w:r w:rsidR="008E330B">
        <w:rPr>
          <w:b/>
          <w:bCs/>
          <w:lang w:val="fr-FR"/>
        </w:rPr>
        <w:t>’</w:t>
      </w:r>
      <w:r w:rsidR="008E330B" w:rsidRPr="00E777E1">
        <w:rPr>
          <w:b/>
          <w:bCs/>
          <w:lang w:val="fr-FR"/>
        </w:rPr>
        <w:t>instruire des plaintes concernant des fautes commises par des policiers</w:t>
      </w:r>
      <w:r w:rsidR="008E330B">
        <w:rPr>
          <w:b/>
          <w:bCs/>
          <w:lang w:val="fr-FR"/>
        </w:rPr>
        <w:t xml:space="preserve">, en particulier les comportements abusifs à motivation raciste. Il lui recommande aussi de prendre des mesures pour faciliter l’accès à la justice des victimes, y compris </w:t>
      </w:r>
      <w:r w:rsidR="008E330B" w:rsidRPr="00E777E1">
        <w:rPr>
          <w:b/>
          <w:bCs/>
          <w:lang w:val="fr-FR"/>
        </w:rPr>
        <w:t xml:space="preserve">en fournissant des informations sur les </w:t>
      </w:r>
      <w:r w:rsidR="008E330B">
        <w:rPr>
          <w:b/>
          <w:bCs/>
          <w:lang w:val="fr-FR"/>
        </w:rPr>
        <w:t>mécanismes de plainte</w:t>
      </w:r>
      <w:r w:rsidR="008E330B" w:rsidRPr="00E777E1">
        <w:rPr>
          <w:b/>
          <w:bCs/>
          <w:lang w:val="fr-FR"/>
        </w:rPr>
        <w:t xml:space="preserve"> et en réduisant le coût des procédures.</w:t>
      </w:r>
    </w:p>
    <w:p w14:paraId="7CEEBF35" w14:textId="77777777" w:rsidR="008E330B" w:rsidRDefault="008E330B" w:rsidP="003C7926">
      <w:pPr>
        <w:pStyle w:val="H23G"/>
      </w:pPr>
      <w:r>
        <w:tab/>
      </w:r>
      <w:r>
        <w:tab/>
        <w:t>Profilage racial</w:t>
      </w:r>
    </w:p>
    <w:p w14:paraId="6E2A426F" w14:textId="3F8DA76E" w:rsidR="008E330B" w:rsidRDefault="00C864B4" w:rsidP="003C7926">
      <w:pPr>
        <w:pStyle w:val="SingleTxtG"/>
      </w:pPr>
      <w:r>
        <w:t>19.</w:t>
      </w:r>
      <w:r>
        <w:tab/>
      </w:r>
      <w:r w:rsidR="008E330B">
        <w:t xml:space="preserve">Le Comité réitère sa préoccupation concernant la persistance du profilage racial par la police et l’absence d’une loi l’interdisant de manière explicite. Le Comité s’inquiète, en outre, des informations selon lesquelles </w:t>
      </w:r>
      <w:r w:rsidR="008E330B" w:rsidRPr="005A2057">
        <w:t>l</w:t>
      </w:r>
      <w:r w:rsidR="008E330B">
        <w:t>’</w:t>
      </w:r>
      <w:r w:rsidR="008E330B" w:rsidRPr="005A2057">
        <w:t>État partie ne collecte pas suffisamment de données statistiques sur le profilage racial</w:t>
      </w:r>
      <w:r w:rsidR="008E330B">
        <w:t xml:space="preserve">. Tout en prenant note des informations fournies par l’État partie sur l’intégration de certains aspects de la discrimination raciale dans la formation des </w:t>
      </w:r>
      <w:r w:rsidR="008E330B">
        <w:lastRenderedPageBreak/>
        <w:t>agents de police, le Comité est néanmoins préoccupé par les informations selon lesquelles cette formation est insuffisante pour prévenir de manière effective le racisme et le profilage racial de la part des agents de police (art</w:t>
      </w:r>
      <w:r>
        <w:t>. </w:t>
      </w:r>
      <w:r w:rsidR="008E330B">
        <w:t xml:space="preserve">2, 4 et 5). </w:t>
      </w:r>
    </w:p>
    <w:p w14:paraId="66438D64" w14:textId="58204B72" w:rsidR="008E330B" w:rsidRPr="001F7A2D" w:rsidRDefault="00C864B4" w:rsidP="003C7926">
      <w:pPr>
        <w:pStyle w:val="SingleTxtG"/>
        <w:keepNext/>
        <w:rPr>
          <w:b/>
        </w:rPr>
      </w:pPr>
      <w:r>
        <w:rPr>
          <w:lang w:val="fr-FR"/>
        </w:rPr>
        <w:t>20.</w:t>
      </w:r>
      <w:r>
        <w:rPr>
          <w:lang w:val="fr-FR"/>
        </w:rPr>
        <w:tab/>
      </w:r>
      <w:r w:rsidR="008E330B" w:rsidRPr="001F7A2D">
        <w:rPr>
          <w:b/>
          <w:bCs/>
          <w:lang w:val="fr-FR"/>
        </w:rPr>
        <w:t xml:space="preserve">Rappelant sa recommandation générale </w:t>
      </w:r>
      <w:r w:rsidRPr="001F7A2D">
        <w:rPr>
          <w:b/>
          <w:bCs/>
          <w:lang w:val="fr-FR"/>
        </w:rPr>
        <w:t>n</w:t>
      </w:r>
      <w:r w:rsidRPr="00732DCB">
        <w:rPr>
          <w:b/>
          <w:bCs/>
          <w:vertAlign w:val="superscript"/>
          <w:lang w:val="fr-FR"/>
        </w:rPr>
        <w:t>o</w:t>
      </w:r>
      <w:r>
        <w:rPr>
          <w:b/>
          <w:bCs/>
          <w:lang w:val="fr-FR"/>
        </w:rPr>
        <w:t> </w:t>
      </w:r>
      <w:r w:rsidR="008E330B" w:rsidRPr="001F7A2D">
        <w:rPr>
          <w:b/>
          <w:bCs/>
          <w:lang w:val="fr-FR"/>
        </w:rPr>
        <w:t>36 (2020), le Comité prie instamment l</w:t>
      </w:r>
      <w:r w:rsidR="008E330B">
        <w:rPr>
          <w:b/>
          <w:bCs/>
          <w:lang w:val="fr-FR"/>
        </w:rPr>
        <w:t>’</w:t>
      </w:r>
      <w:r w:rsidR="008E330B" w:rsidRPr="001F7A2D">
        <w:rPr>
          <w:b/>
          <w:bCs/>
          <w:lang w:val="fr-FR"/>
        </w:rPr>
        <w:t>État partie de redoubler d</w:t>
      </w:r>
      <w:r w:rsidR="008E330B">
        <w:rPr>
          <w:b/>
          <w:bCs/>
          <w:lang w:val="fr-FR"/>
        </w:rPr>
        <w:t>’</w:t>
      </w:r>
      <w:r w:rsidR="008E330B" w:rsidRPr="001F7A2D">
        <w:rPr>
          <w:b/>
          <w:bCs/>
          <w:lang w:val="fr-FR"/>
        </w:rPr>
        <w:t>efforts pour lutter efficacement contre toute pratique des forces de l</w:t>
      </w:r>
      <w:r w:rsidR="008E330B">
        <w:rPr>
          <w:b/>
          <w:bCs/>
          <w:lang w:val="fr-FR"/>
        </w:rPr>
        <w:t>’</w:t>
      </w:r>
      <w:r w:rsidR="008E330B" w:rsidRPr="001F7A2D">
        <w:rPr>
          <w:b/>
          <w:bCs/>
          <w:lang w:val="fr-FR"/>
        </w:rPr>
        <w:t>ordre qui reposerait sur le profilage racial et y mettre fin, notamment</w:t>
      </w:r>
      <w:r w:rsidR="008E330B">
        <w:rPr>
          <w:b/>
          <w:bCs/>
          <w:lang w:val="fr-FR"/>
        </w:rPr>
        <w:t> </w:t>
      </w:r>
      <w:r w:rsidR="008E330B" w:rsidRPr="001F7A2D">
        <w:rPr>
          <w:b/>
          <w:bCs/>
          <w:lang w:val="fr-FR"/>
        </w:rPr>
        <w:t xml:space="preserve">: </w:t>
      </w:r>
    </w:p>
    <w:p w14:paraId="489412EA" w14:textId="67E5CCE9" w:rsidR="008E330B" w:rsidRPr="00025D39" w:rsidRDefault="00C864B4" w:rsidP="003C7926">
      <w:pPr>
        <w:pStyle w:val="SingleTxtG"/>
        <w:ind w:firstLine="567"/>
        <w:rPr>
          <w:b/>
        </w:rPr>
      </w:pPr>
      <w:r>
        <w:rPr>
          <w:b/>
        </w:rPr>
        <w:t>a)</w:t>
      </w:r>
      <w:r>
        <w:rPr>
          <w:b/>
        </w:rPr>
        <w:tab/>
      </w:r>
      <w:r w:rsidR="008E330B" w:rsidRPr="00025D39">
        <w:rPr>
          <w:b/>
        </w:rPr>
        <w:t>D</w:t>
      </w:r>
      <w:r w:rsidR="008E330B">
        <w:rPr>
          <w:b/>
        </w:rPr>
        <w:t>’</w:t>
      </w:r>
      <w:r w:rsidR="008E330B" w:rsidRPr="00025D39">
        <w:rPr>
          <w:b/>
        </w:rPr>
        <w:t xml:space="preserve">inclure dans sa législation une interdiction explicite du profilage racial en tenant compte de la recommandation générale </w:t>
      </w:r>
      <w:r w:rsidRPr="00732DCB">
        <w:rPr>
          <w:b/>
        </w:rPr>
        <w:t>n</w:t>
      </w:r>
      <w:r w:rsidRPr="00732DCB">
        <w:rPr>
          <w:b/>
          <w:vertAlign w:val="superscript"/>
        </w:rPr>
        <w:t>o</w:t>
      </w:r>
      <w:r>
        <w:rPr>
          <w:b/>
        </w:rPr>
        <w:t> </w:t>
      </w:r>
      <w:r w:rsidR="008E330B" w:rsidRPr="00732DCB">
        <w:rPr>
          <w:b/>
        </w:rPr>
        <w:t xml:space="preserve">36 </w:t>
      </w:r>
      <w:r w:rsidR="008E330B" w:rsidRPr="00025D39">
        <w:rPr>
          <w:b/>
        </w:rPr>
        <w:t>et de prendre des mesures opérationnelles, telles que la mise en place de formulaires précisant les raisons du contrôle ou de toute autre opération policière</w:t>
      </w:r>
      <w:r w:rsidR="008E330B">
        <w:rPr>
          <w:b/>
        </w:rPr>
        <w:t>,</w:t>
      </w:r>
      <w:r w:rsidR="008E330B" w:rsidRPr="00025D39">
        <w:rPr>
          <w:b/>
        </w:rPr>
        <w:t xml:space="preserve"> et d</w:t>
      </w:r>
      <w:r w:rsidR="008E330B">
        <w:rPr>
          <w:b/>
        </w:rPr>
        <w:t>’</w:t>
      </w:r>
      <w:r w:rsidR="008E330B" w:rsidRPr="00025D39">
        <w:rPr>
          <w:b/>
        </w:rPr>
        <w:t>informer les victimes sur les recours disponibles</w:t>
      </w:r>
      <w:r w:rsidR="008E330B">
        <w:rPr>
          <w:b/>
        </w:rPr>
        <w:t> </w:t>
      </w:r>
      <w:r w:rsidR="008E330B" w:rsidRPr="00025D39">
        <w:rPr>
          <w:b/>
        </w:rPr>
        <w:t>;</w:t>
      </w:r>
    </w:p>
    <w:p w14:paraId="73A66FD3" w14:textId="55F093D6" w:rsidR="008E330B" w:rsidRPr="00025D39" w:rsidRDefault="00C864B4" w:rsidP="003C7926">
      <w:pPr>
        <w:pStyle w:val="SingleTxtG"/>
        <w:keepNext/>
        <w:ind w:firstLine="567"/>
        <w:rPr>
          <w:b/>
        </w:rPr>
      </w:pPr>
      <w:r>
        <w:rPr>
          <w:b/>
        </w:rPr>
        <w:t>b)</w:t>
      </w:r>
      <w:r>
        <w:rPr>
          <w:b/>
        </w:rPr>
        <w:tab/>
      </w:r>
      <w:r w:rsidR="008E330B" w:rsidRPr="00025D39">
        <w:rPr>
          <w:b/>
        </w:rPr>
        <w:t>D</w:t>
      </w:r>
      <w:r w:rsidR="008E330B">
        <w:rPr>
          <w:b/>
        </w:rPr>
        <w:t>’</w:t>
      </w:r>
      <w:r w:rsidR="008E330B" w:rsidRPr="00025D39">
        <w:rPr>
          <w:b/>
        </w:rPr>
        <w:t>élaborer un plan d</w:t>
      </w:r>
      <w:r w:rsidR="008E330B">
        <w:rPr>
          <w:b/>
        </w:rPr>
        <w:t>’</w:t>
      </w:r>
      <w:r w:rsidR="008E330B" w:rsidRPr="00025D39">
        <w:rPr>
          <w:b/>
        </w:rPr>
        <w:t>action contre le profilage racial, en consultation avec les populations les plus susceptibles d</w:t>
      </w:r>
      <w:r w:rsidR="008E330B">
        <w:rPr>
          <w:b/>
        </w:rPr>
        <w:t xml:space="preserve">’en </w:t>
      </w:r>
      <w:r w:rsidR="008E330B" w:rsidRPr="00025D39">
        <w:rPr>
          <w:b/>
        </w:rPr>
        <w:t xml:space="preserve">être victimes, visant à le prévenir et </w:t>
      </w:r>
      <w:r w:rsidR="008E330B">
        <w:rPr>
          <w:b/>
        </w:rPr>
        <w:t xml:space="preserve">à </w:t>
      </w:r>
      <w:r w:rsidR="008E330B" w:rsidRPr="00025D39">
        <w:rPr>
          <w:b/>
        </w:rPr>
        <w:t>le combattre de manière efficace, en y incluant des actions relatives</w:t>
      </w:r>
      <w:r w:rsidR="008E330B">
        <w:rPr>
          <w:b/>
        </w:rPr>
        <w:t> </w:t>
      </w:r>
      <w:r w:rsidR="008E330B" w:rsidRPr="00025D39">
        <w:rPr>
          <w:b/>
        </w:rPr>
        <w:t>:</w:t>
      </w:r>
    </w:p>
    <w:p w14:paraId="531CE32B" w14:textId="3992E5E2" w:rsidR="008E330B" w:rsidRPr="00025D39" w:rsidRDefault="00C864B4" w:rsidP="003C7926">
      <w:pPr>
        <w:pStyle w:val="SingleTxtG"/>
        <w:ind w:left="1701"/>
        <w:rPr>
          <w:b/>
          <w:lang w:val="fr-FR"/>
        </w:rPr>
      </w:pPr>
      <w:r>
        <w:rPr>
          <w:b/>
        </w:rPr>
        <w:t>i)</w:t>
      </w:r>
      <w:r>
        <w:rPr>
          <w:b/>
        </w:rPr>
        <w:tab/>
      </w:r>
      <w:r w:rsidR="008E330B">
        <w:rPr>
          <w:b/>
        </w:rPr>
        <w:t>Au renforcement de l</w:t>
      </w:r>
      <w:r w:rsidR="008E330B" w:rsidRPr="00025D39">
        <w:rPr>
          <w:b/>
          <w:lang w:val="fr-FR"/>
        </w:rPr>
        <w:t>a formation initiale et continue des policiers et des forces d</w:t>
      </w:r>
      <w:r w:rsidR="008E330B">
        <w:rPr>
          <w:b/>
          <w:lang w:val="fr-FR"/>
        </w:rPr>
        <w:t>’</w:t>
      </w:r>
      <w:r w:rsidR="008E330B" w:rsidRPr="00025D39">
        <w:rPr>
          <w:b/>
          <w:lang w:val="fr-FR"/>
        </w:rPr>
        <w:t>ordre</w:t>
      </w:r>
      <w:r w:rsidR="008E330B">
        <w:rPr>
          <w:b/>
          <w:lang w:val="fr-FR"/>
        </w:rPr>
        <w:t xml:space="preserve"> sur la question du racisme et du profilage racial </w:t>
      </w:r>
      <w:r w:rsidR="008E330B" w:rsidRPr="00025D39">
        <w:rPr>
          <w:b/>
          <w:lang w:val="fr-FR"/>
        </w:rPr>
        <w:t>;</w:t>
      </w:r>
    </w:p>
    <w:p w14:paraId="1643C9A8" w14:textId="06D0DCFA" w:rsidR="008E330B" w:rsidRPr="00025D39" w:rsidRDefault="00C864B4" w:rsidP="003C7926">
      <w:pPr>
        <w:pStyle w:val="SingleTxtG"/>
        <w:ind w:left="1701"/>
        <w:rPr>
          <w:b/>
          <w:lang w:val="fr-FR"/>
        </w:rPr>
      </w:pPr>
      <w:r>
        <w:rPr>
          <w:b/>
          <w:lang w:val="fr-FR"/>
        </w:rPr>
        <w:t>ii)</w:t>
      </w:r>
      <w:r>
        <w:rPr>
          <w:b/>
          <w:lang w:val="fr-FR"/>
        </w:rPr>
        <w:tab/>
      </w:r>
      <w:r w:rsidR="008E330B">
        <w:rPr>
          <w:b/>
          <w:lang w:val="fr-FR"/>
        </w:rPr>
        <w:t>Au</w:t>
      </w:r>
      <w:r w:rsidR="008E330B" w:rsidRPr="00025D39">
        <w:rPr>
          <w:b/>
          <w:lang w:val="fr-FR"/>
        </w:rPr>
        <w:t xml:space="preserve"> suivi aux niveaux cantonal et fédéral</w:t>
      </w:r>
      <w:r w:rsidR="004A42A1">
        <w:rPr>
          <w:b/>
          <w:lang w:val="fr-FR"/>
        </w:rPr>
        <w:t xml:space="preserve"> </w:t>
      </w:r>
      <w:r w:rsidR="008E330B" w:rsidRPr="00025D39">
        <w:rPr>
          <w:b/>
          <w:lang w:val="fr-FR"/>
        </w:rPr>
        <w:t>de la mise en œuvre des mesures opérationnelles contre le profilage racial et des audits périodiques, avec le concours d</w:t>
      </w:r>
      <w:r w:rsidR="008E330B">
        <w:rPr>
          <w:b/>
          <w:lang w:val="fr-FR"/>
        </w:rPr>
        <w:t>’</w:t>
      </w:r>
      <w:r w:rsidR="008E330B" w:rsidRPr="00025D39">
        <w:rPr>
          <w:b/>
          <w:lang w:val="fr-FR"/>
        </w:rPr>
        <w:t>experts indépendants, pour mettre à jour les lacunes dans les politiques et pratiques internes</w:t>
      </w:r>
      <w:r w:rsidR="008E330B">
        <w:rPr>
          <w:b/>
          <w:lang w:val="fr-FR"/>
        </w:rPr>
        <w:t> </w:t>
      </w:r>
      <w:r w:rsidR="008E330B" w:rsidRPr="00025D39">
        <w:rPr>
          <w:b/>
          <w:lang w:val="fr-FR"/>
        </w:rPr>
        <w:t>;</w:t>
      </w:r>
    </w:p>
    <w:p w14:paraId="419BEE20" w14:textId="15FADFF5" w:rsidR="008E330B" w:rsidRPr="00025D39" w:rsidRDefault="00C864B4" w:rsidP="003C7926">
      <w:pPr>
        <w:pStyle w:val="SingleTxtG"/>
        <w:ind w:left="1701"/>
        <w:rPr>
          <w:b/>
          <w:lang w:val="fr-FR"/>
        </w:rPr>
      </w:pPr>
      <w:r>
        <w:rPr>
          <w:b/>
          <w:lang w:val="fr-FR"/>
        </w:rPr>
        <w:t>iii)</w:t>
      </w:r>
      <w:r>
        <w:rPr>
          <w:b/>
          <w:lang w:val="fr-FR"/>
        </w:rPr>
        <w:tab/>
      </w:r>
      <w:r w:rsidR="008E330B">
        <w:rPr>
          <w:b/>
          <w:lang w:val="fr-FR"/>
        </w:rPr>
        <w:t>À l</w:t>
      </w:r>
      <w:r w:rsidR="008E330B" w:rsidRPr="00025D39">
        <w:rPr>
          <w:b/>
          <w:lang w:val="fr-FR"/>
        </w:rPr>
        <w:t>a mise en place d</w:t>
      </w:r>
      <w:r w:rsidR="008E330B">
        <w:rPr>
          <w:b/>
          <w:lang w:val="fr-FR"/>
        </w:rPr>
        <w:t>’</w:t>
      </w:r>
      <w:r w:rsidR="008E330B" w:rsidRPr="00025D39">
        <w:rPr>
          <w:b/>
          <w:lang w:val="fr-FR"/>
        </w:rPr>
        <w:t>un système indépendant de traitement des plaintes liées au profilage racial</w:t>
      </w:r>
      <w:r w:rsidR="008E330B">
        <w:rPr>
          <w:b/>
          <w:lang w:val="fr-FR"/>
        </w:rPr>
        <w:t> </w:t>
      </w:r>
      <w:r w:rsidR="008E330B" w:rsidRPr="00025D39">
        <w:rPr>
          <w:b/>
          <w:lang w:val="fr-FR"/>
        </w:rPr>
        <w:t>;</w:t>
      </w:r>
    </w:p>
    <w:p w14:paraId="160B0F07" w14:textId="4353AE28" w:rsidR="008E330B" w:rsidRPr="00025D39" w:rsidRDefault="00C864B4" w:rsidP="003C7926">
      <w:pPr>
        <w:pStyle w:val="SingleTxtG"/>
        <w:ind w:left="1701"/>
        <w:rPr>
          <w:b/>
          <w:lang w:val="fr-FR"/>
        </w:rPr>
      </w:pPr>
      <w:r>
        <w:rPr>
          <w:b/>
          <w:lang w:val="fr-FR"/>
        </w:rPr>
        <w:t>iv)</w:t>
      </w:r>
      <w:r>
        <w:rPr>
          <w:b/>
          <w:lang w:val="fr-FR"/>
        </w:rPr>
        <w:tab/>
      </w:r>
      <w:r w:rsidR="008E330B">
        <w:rPr>
          <w:b/>
          <w:lang w:val="fr-FR"/>
        </w:rPr>
        <w:t>À l</w:t>
      </w:r>
      <w:r w:rsidR="008E330B" w:rsidRPr="00025D39">
        <w:rPr>
          <w:b/>
          <w:lang w:val="fr-FR"/>
        </w:rPr>
        <w:t>a collecte des données ventilées sur le profilage racial, à publier régulièrement et à faire figurer dans son prochain rapport périodique.</w:t>
      </w:r>
    </w:p>
    <w:p w14:paraId="414C4B5F" w14:textId="0BF59853" w:rsidR="008E330B" w:rsidRPr="000F568C" w:rsidRDefault="00C864B4" w:rsidP="003C7926">
      <w:pPr>
        <w:pStyle w:val="SingleTxtG"/>
        <w:rPr>
          <w:bCs/>
          <w:lang w:val="fr-FR"/>
        </w:rPr>
      </w:pPr>
      <w:r>
        <w:t>21.</w:t>
      </w:r>
      <w:r>
        <w:tab/>
      </w:r>
      <w:r w:rsidR="008E330B" w:rsidRPr="00881327">
        <w:t xml:space="preserve">Le </w:t>
      </w:r>
      <w:r w:rsidR="008E330B" w:rsidRPr="000F568C">
        <w:rPr>
          <w:bCs/>
        </w:rPr>
        <w:t xml:space="preserve">Comité </w:t>
      </w:r>
      <w:r w:rsidR="008E330B">
        <w:rPr>
          <w:bCs/>
        </w:rPr>
        <w:t>s’interroge sur</w:t>
      </w:r>
      <w:r w:rsidR="008E330B" w:rsidRPr="000F568C">
        <w:rPr>
          <w:bCs/>
        </w:rPr>
        <w:t xml:space="preserve"> le projet de loi qui introduit des amendements à la </w:t>
      </w:r>
      <w:r w:rsidR="008E330B">
        <w:rPr>
          <w:bCs/>
        </w:rPr>
        <w:t>l</w:t>
      </w:r>
      <w:r w:rsidR="008E330B" w:rsidRPr="000F568C">
        <w:rPr>
          <w:bCs/>
        </w:rPr>
        <w:t>oi fédérale sur l</w:t>
      </w:r>
      <w:r w:rsidR="008E330B">
        <w:rPr>
          <w:bCs/>
        </w:rPr>
        <w:t>’</w:t>
      </w:r>
      <w:r w:rsidR="008E330B" w:rsidRPr="000F568C">
        <w:rPr>
          <w:bCs/>
        </w:rPr>
        <w:t>utilisation de profils d</w:t>
      </w:r>
      <w:r w:rsidR="008E330B">
        <w:rPr>
          <w:bCs/>
        </w:rPr>
        <w:t>’</w:t>
      </w:r>
      <w:r w:rsidR="008E330B" w:rsidRPr="000F568C">
        <w:rPr>
          <w:bCs/>
        </w:rPr>
        <w:t>ADN dans les procédures pénales et sur l</w:t>
      </w:r>
      <w:r w:rsidR="008E330B">
        <w:rPr>
          <w:bCs/>
        </w:rPr>
        <w:t>’</w:t>
      </w:r>
      <w:r w:rsidR="008E330B" w:rsidRPr="000F568C">
        <w:rPr>
          <w:bCs/>
        </w:rPr>
        <w:t>identification de personnes inconnues ou disparues, permettant à la police d</w:t>
      </w:r>
      <w:r w:rsidR="008E330B">
        <w:rPr>
          <w:bCs/>
        </w:rPr>
        <w:t>’</w:t>
      </w:r>
      <w:r w:rsidR="008E330B" w:rsidRPr="000F568C">
        <w:rPr>
          <w:bCs/>
        </w:rPr>
        <w:t>analyser l</w:t>
      </w:r>
      <w:r w:rsidR="008E330B">
        <w:rPr>
          <w:bCs/>
        </w:rPr>
        <w:t>’</w:t>
      </w:r>
      <w:r w:rsidR="008E330B" w:rsidRPr="000F568C">
        <w:rPr>
          <w:bCs/>
        </w:rPr>
        <w:t>ADN de la scène de crime pour les caractéristiques externes (phénotypage de l</w:t>
      </w:r>
      <w:r w:rsidR="008E330B">
        <w:rPr>
          <w:bCs/>
        </w:rPr>
        <w:t>’</w:t>
      </w:r>
      <w:r w:rsidR="008E330B" w:rsidRPr="000F568C">
        <w:rPr>
          <w:bCs/>
        </w:rPr>
        <w:t xml:space="preserve">ADN), ce qui </w:t>
      </w:r>
      <w:r w:rsidR="008E330B">
        <w:rPr>
          <w:bCs/>
        </w:rPr>
        <w:t xml:space="preserve">pourrait </w:t>
      </w:r>
      <w:r w:rsidR="008E330B" w:rsidRPr="000F568C">
        <w:rPr>
          <w:bCs/>
        </w:rPr>
        <w:t>comporte</w:t>
      </w:r>
      <w:r w:rsidR="008E330B">
        <w:rPr>
          <w:bCs/>
        </w:rPr>
        <w:t>r</w:t>
      </w:r>
      <w:r w:rsidR="008E330B" w:rsidRPr="000F568C">
        <w:rPr>
          <w:bCs/>
        </w:rPr>
        <w:t xml:space="preserve"> </w:t>
      </w:r>
      <w:r w:rsidR="008E330B">
        <w:rPr>
          <w:bCs/>
        </w:rPr>
        <w:t>un</w:t>
      </w:r>
      <w:r w:rsidR="008E330B" w:rsidRPr="000F568C">
        <w:rPr>
          <w:bCs/>
        </w:rPr>
        <w:t xml:space="preserve"> risque de profilage, de discrimination et de stigmatisation de personnes en fonction de la race, de la couleur, de l</w:t>
      </w:r>
      <w:r w:rsidR="008E330B">
        <w:rPr>
          <w:bCs/>
        </w:rPr>
        <w:t>’</w:t>
      </w:r>
      <w:r w:rsidR="008E330B" w:rsidRPr="000F568C">
        <w:rPr>
          <w:bCs/>
        </w:rPr>
        <w:t xml:space="preserve">ascendance, </w:t>
      </w:r>
      <w:r w:rsidR="008E330B">
        <w:rPr>
          <w:bCs/>
        </w:rPr>
        <w:t>ou de</w:t>
      </w:r>
      <w:r w:rsidR="008E330B" w:rsidRPr="000F568C">
        <w:rPr>
          <w:bCs/>
        </w:rPr>
        <w:t xml:space="preserve"> l</w:t>
      </w:r>
      <w:r w:rsidR="008E330B">
        <w:rPr>
          <w:bCs/>
        </w:rPr>
        <w:t>’</w:t>
      </w:r>
      <w:r w:rsidR="008E330B" w:rsidRPr="000F568C">
        <w:rPr>
          <w:bCs/>
        </w:rPr>
        <w:t>ori</w:t>
      </w:r>
      <w:r w:rsidR="008E330B">
        <w:rPr>
          <w:bCs/>
        </w:rPr>
        <w:t xml:space="preserve">gine ethnique ou nationale </w:t>
      </w:r>
      <w:r w:rsidR="008E330B">
        <w:t>(art. 2, 4 et 5)</w:t>
      </w:r>
      <w:r w:rsidR="008E330B" w:rsidRPr="000F568C">
        <w:rPr>
          <w:bCs/>
        </w:rPr>
        <w:t xml:space="preserve">. </w:t>
      </w:r>
    </w:p>
    <w:p w14:paraId="26F44E76" w14:textId="152CF748" w:rsidR="008E330B" w:rsidRPr="00881327" w:rsidRDefault="00C864B4" w:rsidP="003C7926">
      <w:pPr>
        <w:pStyle w:val="SingleTxtG"/>
        <w:rPr>
          <w:b/>
          <w:bCs/>
          <w:lang w:val="fr-FR"/>
        </w:rPr>
      </w:pPr>
      <w:r>
        <w:rPr>
          <w:lang w:val="fr-FR"/>
        </w:rPr>
        <w:t>22.</w:t>
      </w:r>
      <w:r>
        <w:rPr>
          <w:lang w:val="fr-FR"/>
        </w:rPr>
        <w:tab/>
      </w:r>
      <w:r w:rsidR="008E330B" w:rsidRPr="00881327">
        <w:rPr>
          <w:b/>
          <w:bCs/>
          <w:lang w:val="fr-FR"/>
        </w:rPr>
        <w:t xml:space="preserve">Rappelant sa recommandation générale </w:t>
      </w:r>
      <w:r w:rsidRPr="00881327">
        <w:rPr>
          <w:b/>
          <w:bCs/>
          <w:lang w:val="fr-FR"/>
        </w:rPr>
        <w:t>n</w:t>
      </w:r>
      <w:r w:rsidRPr="00732DCB">
        <w:rPr>
          <w:b/>
          <w:bCs/>
          <w:vertAlign w:val="superscript"/>
          <w:lang w:val="fr-FR"/>
        </w:rPr>
        <w:t>o</w:t>
      </w:r>
      <w:r>
        <w:rPr>
          <w:b/>
          <w:bCs/>
          <w:lang w:val="fr-FR"/>
        </w:rPr>
        <w:t> </w:t>
      </w:r>
      <w:r w:rsidR="008E330B" w:rsidRPr="00881327">
        <w:rPr>
          <w:b/>
          <w:bCs/>
          <w:lang w:val="fr-FR"/>
        </w:rPr>
        <w:t>36 (2020), le Comité prie instamment l</w:t>
      </w:r>
      <w:r w:rsidR="008E330B">
        <w:rPr>
          <w:b/>
          <w:bCs/>
          <w:lang w:val="fr-FR"/>
        </w:rPr>
        <w:t>’</w:t>
      </w:r>
      <w:r w:rsidR="008E330B" w:rsidRPr="00881327">
        <w:rPr>
          <w:b/>
          <w:bCs/>
          <w:lang w:val="fr-FR"/>
        </w:rPr>
        <w:t>État partie de considérer</w:t>
      </w:r>
      <w:r w:rsidR="008E330B">
        <w:rPr>
          <w:b/>
          <w:bCs/>
          <w:lang w:val="fr-FR"/>
        </w:rPr>
        <w:t>,</w:t>
      </w:r>
      <w:r w:rsidR="008E330B" w:rsidRPr="00881327">
        <w:rPr>
          <w:b/>
          <w:bCs/>
          <w:lang w:val="fr-FR"/>
        </w:rPr>
        <w:t xml:space="preserve"> dans l</w:t>
      </w:r>
      <w:r w:rsidR="008E330B">
        <w:rPr>
          <w:b/>
          <w:bCs/>
          <w:lang w:val="fr-FR"/>
        </w:rPr>
        <w:t>’</w:t>
      </w:r>
      <w:r w:rsidR="008E330B" w:rsidRPr="00881327">
        <w:rPr>
          <w:b/>
          <w:bCs/>
          <w:lang w:val="fr-FR"/>
        </w:rPr>
        <w:t xml:space="preserve">évaluation du projet de loi mentionné, </w:t>
      </w:r>
      <w:r w:rsidR="008E330B">
        <w:rPr>
          <w:b/>
          <w:bCs/>
          <w:lang w:val="fr-FR"/>
        </w:rPr>
        <w:t xml:space="preserve">les </w:t>
      </w:r>
      <w:r w:rsidR="008E330B" w:rsidRPr="00881327">
        <w:rPr>
          <w:b/>
          <w:bCs/>
          <w:lang w:val="fr-FR"/>
        </w:rPr>
        <w:t>risque</w:t>
      </w:r>
      <w:r w:rsidR="008E330B">
        <w:rPr>
          <w:b/>
          <w:bCs/>
          <w:lang w:val="fr-FR"/>
        </w:rPr>
        <w:t>s éventuels</w:t>
      </w:r>
      <w:r w:rsidR="008E330B" w:rsidRPr="00881327">
        <w:rPr>
          <w:b/>
          <w:bCs/>
          <w:lang w:val="fr-FR"/>
        </w:rPr>
        <w:t xml:space="preserve"> de profilage, de discrimination et de stigmatisation de </w:t>
      </w:r>
      <w:r w:rsidR="008E330B">
        <w:rPr>
          <w:b/>
          <w:bCs/>
          <w:lang w:val="fr-FR"/>
        </w:rPr>
        <w:t xml:space="preserve">personnes sur la base de la race, de l’ascendance, de la couleur ou de l’origine ethnique ou nationale </w:t>
      </w:r>
      <w:r w:rsidR="008E330B" w:rsidRPr="00881327">
        <w:rPr>
          <w:b/>
          <w:bCs/>
          <w:lang w:val="fr-FR"/>
        </w:rPr>
        <w:t>qu</w:t>
      </w:r>
      <w:r w:rsidR="008E330B">
        <w:rPr>
          <w:b/>
          <w:bCs/>
          <w:lang w:val="fr-FR"/>
        </w:rPr>
        <w:t>e</w:t>
      </w:r>
      <w:r w:rsidR="008E330B" w:rsidRPr="00881327">
        <w:rPr>
          <w:b/>
          <w:bCs/>
          <w:lang w:val="fr-FR"/>
        </w:rPr>
        <w:t xml:space="preserve"> comportent les analyses de l</w:t>
      </w:r>
      <w:r w:rsidR="008E330B">
        <w:rPr>
          <w:b/>
          <w:bCs/>
          <w:lang w:val="fr-FR"/>
        </w:rPr>
        <w:t>’</w:t>
      </w:r>
      <w:r w:rsidR="008E330B" w:rsidRPr="00881327">
        <w:rPr>
          <w:b/>
          <w:bCs/>
          <w:lang w:val="fr-FR"/>
        </w:rPr>
        <w:t xml:space="preserve">ADN. Il recommande </w:t>
      </w:r>
      <w:r w:rsidR="008E330B">
        <w:rPr>
          <w:b/>
          <w:bCs/>
          <w:lang w:val="fr-FR"/>
        </w:rPr>
        <w:t xml:space="preserve">aussi à l’État partie </w:t>
      </w:r>
      <w:r w:rsidR="008E330B" w:rsidRPr="00881327">
        <w:rPr>
          <w:b/>
          <w:bCs/>
          <w:lang w:val="fr-FR"/>
        </w:rPr>
        <w:t>d</w:t>
      </w:r>
      <w:r w:rsidR="008E330B">
        <w:rPr>
          <w:b/>
          <w:bCs/>
          <w:lang w:val="fr-FR"/>
        </w:rPr>
        <w:t>’</w:t>
      </w:r>
      <w:r w:rsidR="008E330B" w:rsidRPr="00881327">
        <w:rPr>
          <w:b/>
          <w:bCs/>
          <w:lang w:val="fr-FR"/>
        </w:rPr>
        <w:t xml:space="preserve">assurer une évaluation inclusive et approfondie de ces amendements en consultation avec la société civile, y compris des personnes appartenant à des groupes minoritaires, à toutes les étapes du processus législatif. En outre, le Comité recommande </w:t>
      </w:r>
      <w:r w:rsidR="008E330B">
        <w:rPr>
          <w:b/>
          <w:bCs/>
          <w:lang w:val="fr-FR"/>
        </w:rPr>
        <w:t xml:space="preserve">à l’État partie </w:t>
      </w:r>
      <w:r w:rsidR="008E330B" w:rsidRPr="00881327">
        <w:rPr>
          <w:b/>
          <w:bCs/>
          <w:lang w:val="fr-FR"/>
        </w:rPr>
        <w:t>d</w:t>
      </w:r>
      <w:r w:rsidR="008E330B">
        <w:rPr>
          <w:b/>
          <w:bCs/>
          <w:lang w:val="fr-FR"/>
        </w:rPr>
        <w:t>e confier</w:t>
      </w:r>
      <w:r w:rsidR="008E330B" w:rsidRPr="00881327">
        <w:rPr>
          <w:b/>
          <w:bCs/>
          <w:lang w:val="fr-FR"/>
        </w:rPr>
        <w:t xml:space="preserve"> </w:t>
      </w:r>
      <w:r w:rsidR="008E330B">
        <w:rPr>
          <w:b/>
          <w:bCs/>
          <w:lang w:val="fr-FR"/>
        </w:rPr>
        <w:t>à un mécanisme indépendant la</w:t>
      </w:r>
      <w:r w:rsidR="008E330B" w:rsidRPr="00881327">
        <w:rPr>
          <w:b/>
          <w:bCs/>
          <w:lang w:val="fr-FR"/>
        </w:rPr>
        <w:t xml:space="preserve"> surveill</w:t>
      </w:r>
      <w:r w:rsidR="008E330B">
        <w:rPr>
          <w:b/>
          <w:bCs/>
          <w:lang w:val="fr-FR"/>
        </w:rPr>
        <w:t>ance</w:t>
      </w:r>
      <w:r w:rsidR="008E330B" w:rsidRPr="00881327">
        <w:rPr>
          <w:b/>
          <w:bCs/>
          <w:lang w:val="fr-FR"/>
        </w:rPr>
        <w:t xml:space="preserve"> </w:t>
      </w:r>
      <w:r w:rsidR="008E330B">
        <w:rPr>
          <w:b/>
          <w:bCs/>
          <w:lang w:val="fr-FR"/>
        </w:rPr>
        <w:t xml:space="preserve">de </w:t>
      </w:r>
      <w:r w:rsidR="008E330B" w:rsidRPr="00881327">
        <w:rPr>
          <w:b/>
          <w:bCs/>
          <w:lang w:val="fr-FR"/>
        </w:rPr>
        <w:t>la mise en œuvre de cette législation</w:t>
      </w:r>
      <w:r w:rsidR="008E330B">
        <w:rPr>
          <w:b/>
          <w:bCs/>
          <w:lang w:val="fr-FR"/>
        </w:rPr>
        <w:t xml:space="preserve"> une fois adoptée afin qu’elle </w:t>
      </w:r>
      <w:r w:rsidR="008E330B" w:rsidRPr="00881327">
        <w:rPr>
          <w:b/>
          <w:bCs/>
          <w:lang w:val="fr-FR"/>
        </w:rPr>
        <w:t>soit conforme aux obligations de l</w:t>
      </w:r>
      <w:r w:rsidR="008E330B">
        <w:rPr>
          <w:b/>
          <w:bCs/>
          <w:lang w:val="fr-FR"/>
        </w:rPr>
        <w:t>’</w:t>
      </w:r>
      <w:r w:rsidR="008E330B" w:rsidRPr="00881327">
        <w:rPr>
          <w:b/>
          <w:bCs/>
          <w:lang w:val="fr-FR"/>
        </w:rPr>
        <w:t>État partie en matière de droits de l</w:t>
      </w:r>
      <w:r w:rsidR="008E330B">
        <w:rPr>
          <w:b/>
          <w:bCs/>
          <w:lang w:val="fr-FR"/>
        </w:rPr>
        <w:t>’</w:t>
      </w:r>
      <w:r w:rsidR="008E330B" w:rsidRPr="00881327">
        <w:rPr>
          <w:b/>
          <w:bCs/>
          <w:lang w:val="fr-FR"/>
        </w:rPr>
        <w:t>homme.</w:t>
      </w:r>
    </w:p>
    <w:p w14:paraId="0572BB45" w14:textId="77777777" w:rsidR="008E330B" w:rsidRPr="000B2722" w:rsidRDefault="008E330B" w:rsidP="003C7926">
      <w:pPr>
        <w:pStyle w:val="H23G"/>
      </w:pPr>
      <w:r>
        <w:tab/>
      </w:r>
      <w:r>
        <w:tab/>
      </w:r>
      <w:proofErr w:type="spellStart"/>
      <w:r>
        <w:t>Yéniches</w:t>
      </w:r>
      <w:proofErr w:type="spellEnd"/>
      <w:r>
        <w:t xml:space="preserve">, </w:t>
      </w:r>
      <w:proofErr w:type="spellStart"/>
      <w:r>
        <w:t>Sintis</w:t>
      </w:r>
      <w:proofErr w:type="spellEnd"/>
      <w:r>
        <w:t>/Manouches et Roms</w:t>
      </w:r>
    </w:p>
    <w:p w14:paraId="1D86F499" w14:textId="4BE880FF" w:rsidR="008E330B" w:rsidRPr="00881327" w:rsidRDefault="0066452A" w:rsidP="003C7926">
      <w:pPr>
        <w:pStyle w:val="SingleTxtG"/>
        <w:keepNext/>
      </w:pPr>
      <w:r>
        <w:t>23.</w:t>
      </w:r>
      <w:r>
        <w:tab/>
      </w:r>
      <w:r w:rsidR="008E330B" w:rsidRPr="00881327">
        <w:t>Tout en notant les informations fournies par l</w:t>
      </w:r>
      <w:r w:rsidR="008E330B">
        <w:t>’</w:t>
      </w:r>
      <w:r w:rsidR="008E330B" w:rsidRPr="00881327">
        <w:t xml:space="preserve">État partie sur les mesures prises pour garantir les droits des minorités nationales, le Comité reste préoccupé par les obstacles que rencontrent les </w:t>
      </w:r>
      <w:proofErr w:type="spellStart"/>
      <w:r w:rsidR="008E330B" w:rsidRPr="00881327">
        <w:t>Yéniches</w:t>
      </w:r>
      <w:proofErr w:type="spellEnd"/>
      <w:r w:rsidR="008E330B" w:rsidRPr="00881327">
        <w:t xml:space="preserve">, </w:t>
      </w:r>
      <w:proofErr w:type="spellStart"/>
      <w:r w:rsidR="008E330B" w:rsidRPr="00881327">
        <w:t>Sint</w:t>
      </w:r>
      <w:r w:rsidR="008E330B">
        <w:t>i</w:t>
      </w:r>
      <w:r w:rsidR="008E330B" w:rsidRPr="00881327">
        <w:t>s</w:t>
      </w:r>
      <w:proofErr w:type="spellEnd"/>
      <w:r w:rsidR="008E330B" w:rsidRPr="00881327">
        <w:t>/Manouches et Roms</w:t>
      </w:r>
      <w:r w:rsidR="008E330B">
        <w:t>,</w:t>
      </w:r>
      <w:r w:rsidR="008E330B" w:rsidRPr="00881327">
        <w:t xml:space="preserve"> en particulier</w:t>
      </w:r>
      <w:r w:rsidR="008E330B">
        <w:t> </w:t>
      </w:r>
      <w:r w:rsidR="008E330B" w:rsidRPr="00881327">
        <w:t>:</w:t>
      </w:r>
    </w:p>
    <w:p w14:paraId="5D6263B4" w14:textId="29FEE747" w:rsidR="008E330B" w:rsidRDefault="0066452A" w:rsidP="003C7926">
      <w:pPr>
        <w:pStyle w:val="SingleTxtG"/>
        <w:ind w:firstLine="567"/>
      </w:pPr>
      <w:r>
        <w:t>a)</w:t>
      </w:r>
      <w:r>
        <w:tab/>
      </w:r>
      <w:r w:rsidR="008E330B" w:rsidRPr="001F7460">
        <w:t>Le nombre insuffisant d</w:t>
      </w:r>
      <w:r w:rsidR="008E330B">
        <w:t>’</w:t>
      </w:r>
      <w:r w:rsidR="008E330B" w:rsidRPr="001F7460">
        <w:t>aires de séjour et de transit</w:t>
      </w:r>
      <w:r w:rsidR="008E330B">
        <w:t>,</w:t>
      </w:r>
      <w:r w:rsidR="008E330B" w:rsidRPr="001F7460">
        <w:t xml:space="preserve"> le fait que </w:t>
      </w:r>
      <w:r w:rsidR="008E330B">
        <w:t xml:space="preserve">de </w:t>
      </w:r>
      <w:r w:rsidR="008E330B" w:rsidRPr="001F7460">
        <w:t>nombreu</w:t>
      </w:r>
      <w:r w:rsidR="008E330B">
        <w:t>ses</w:t>
      </w:r>
      <w:r w:rsidR="008E330B" w:rsidRPr="001F7460">
        <w:t xml:space="preserve"> aires ne disposent pas d</w:t>
      </w:r>
      <w:r w:rsidR="008E330B">
        <w:t>’</w:t>
      </w:r>
      <w:r w:rsidR="008E330B" w:rsidRPr="001F7460">
        <w:t>infrastructures adéquates, notamment l</w:t>
      </w:r>
      <w:r w:rsidR="008E330B">
        <w:t>’</w:t>
      </w:r>
      <w:r w:rsidR="008E330B" w:rsidRPr="001F7460">
        <w:t>accès à l</w:t>
      </w:r>
      <w:r w:rsidR="008E330B">
        <w:t>’</w:t>
      </w:r>
      <w:r w:rsidR="008E330B" w:rsidRPr="001F7460">
        <w:t>eau potable et à l</w:t>
      </w:r>
      <w:r w:rsidR="008E330B">
        <w:t>’</w:t>
      </w:r>
      <w:r w:rsidR="008E330B" w:rsidRPr="001F7460">
        <w:t>électricité</w:t>
      </w:r>
      <w:r w:rsidR="008E330B">
        <w:t>, et le fait que les Roms non suisses ont souvent l’interdiction d’utiliser ces aires </w:t>
      </w:r>
      <w:r w:rsidR="008E330B" w:rsidRPr="001F7460">
        <w:t>;</w:t>
      </w:r>
    </w:p>
    <w:p w14:paraId="2297CD3B" w14:textId="24E1F359" w:rsidR="008E330B" w:rsidRDefault="0066452A" w:rsidP="003C7926">
      <w:pPr>
        <w:pStyle w:val="SingleTxtG"/>
        <w:ind w:firstLine="567"/>
      </w:pPr>
      <w:r>
        <w:t>b)</w:t>
      </w:r>
      <w:r>
        <w:tab/>
      </w:r>
      <w:r w:rsidR="008E330B">
        <w:t xml:space="preserve">Les effets discriminatoires de lois et de politiques de neutralité apparente sur les droits des personnes appartenant à ces communautés, y compris dans les domaines des </w:t>
      </w:r>
      <w:r w:rsidR="008E330B" w:rsidRPr="001340AF">
        <w:rPr>
          <w:lang w:val="fr-FR"/>
        </w:rPr>
        <w:t xml:space="preserve">activités </w:t>
      </w:r>
      <w:r w:rsidR="008E330B">
        <w:rPr>
          <w:lang w:val="fr-FR"/>
        </w:rPr>
        <w:t>commerciales</w:t>
      </w:r>
      <w:r w:rsidR="008E330B" w:rsidRPr="001340AF">
        <w:rPr>
          <w:lang w:val="fr-FR"/>
        </w:rPr>
        <w:t xml:space="preserve"> itinérantes</w:t>
      </w:r>
      <w:r w:rsidR="008E330B">
        <w:rPr>
          <w:lang w:val="fr-FR"/>
        </w:rPr>
        <w:t>, du stationnement des caravanes et des activités menées</w:t>
      </w:r>
      <w:r w:rsidR="008E330B" w:rsidRPr="001340AF">
        <w:rPr>
          <w:lang w:val="fr-FR"/>
        </w:rPr>
        <w:t xml:space="preserve"> pour </w:t>
      </w:r>
      <w:r w:rsidR="008E330B">
        <w:rPr>
          <w:lang w:val="fr-FR"/>
        </w:rPr>
        <w:t>surmonter des s</w:t>
      </w:r>
      <w:r w:rsidR="008E330B" w:rsidRPr="001340AF">
        <w:rPr>
          <w:lang w:val="fr-FR"/>
        </w:rPr>
        <w:t>ituation</w:t>
      </w:r>
      <w:r w:rsidR="008E330B">
        <w:rPr>
          <w:lang w:val="fr-FR"/>
        </w:rPr>
        <w:t>s</w:t>
      </w:r>
      <w:r w:rsidR="008E330B" w:rsidRPr="001340AF">
        <w:rPr>
          <w:lang w:val="fr-FR"/>
        </w:rPr>
        <w:t xml:space="preserve"> inhumaine</w:t>
      </w:r>
      <w:r w:rsidR="008E330B">
        <w:rPr>
          <w:lang w:val="fr-FR"/>
        </w:rPr>
        <w:t>s</w:t>
      </w:r>
      <w:r w:rsidR="008E330B" w:rsidRPr="001340AF">
        <w:rPr>
          <w:lang w:val="fr-FR"/>
        </w:rPr>
        <w:t xml:space="preserve"> et précaire</w:t>
      </w:r>
      <w:r w:rsidR="008E330B">
        <w:rPr>
          <w:lang w:val="fr-FR"/>
        </w:rPr>
        <w:t>s ;</w:t>
      </w:r>
      <w:r w:rsidR="008E330B">
        <w:t xml:space="preserve"> </w:t>
      </w:r>
    </w:p>
    <w:p w14:paraId="34A905EF" w14:textId="3037E9A8" w:rsidR="008E330B" w:rsidRDefault="0066452A" w:rsidP="003C7926">
      <w:pPr>
        <w:pStyle w:val="SingleTxtG"/>
        <w:ind w:firstLine="567"/>
      </w:pPr>
      <w:r>
        <w:lastRenderedPageBreak/>
        <w:t>c)</w:t>
      </w:r>
      <w:r>
        <w:tab/>
      </w:r>
      <w:r w:rsidR="008E330B">
        <w:t>L’impact négatif de la pandémie de COVID-19 dans la jouissance des droits économiques, sociaux et culturels de ces communautés ;</w:t>
      </w:r>
    </w:p>
    <w:p w14:paraId="53556FD3" w14:textId="5BD2B13B" w:rsidR="008E330B" w:rsidRDefault="0066452A" w:rsidP="003C7926">
      <w:pPr>
        <w:pStyle w:val="SingleTxtG"/>
        <w:ind w:firstLine="567"/>
      </w:pPr>
      <w:r>
        <w:t>d)</w:t>
      </w:r>
      <w:r>
        <w:tab/>
      </w:r>
      <w:r w:rsidR="008E330B">
        <w:t xml:space="preserve">Les informations selon lesquelles le plan d’action sur l’amélioration des conditions de vie nomade et la promotion de la culture des </w:t>
      </w:r>
      <w:proofErr w:type="spellStart"/>
      <w:r w:rsidR="008E330B">
        <w:t>Yéniches</w:t>
      </w:r>
      <w:proofErr w:type="spellEnd"/>
      <w:r w:rsidR="008E330B">
        <w:t xml:space="preserve">, des </w:t>
      </w:r>
      <w:proofErr w:type="spellStart"/>
      <w:r w:rsidR="008E330B">
        <w:t>Sintis</w:t>
      </w:r>
      <w:proofErr w:type="spellEnd"/>
      <w:r w:rsidR="008E330B">
        <w:t>/Manouches et des Roms n’a pas été suivi par une mise en œuvre adéquate, ainsi que les préjugés et la discrimination qui persistent contre toutes les personnes de ces communautés, y compris celles qui ont un mode de vie sédentaire ;</w:t>
      </w:r>
    </w:p>
    <w:p w14:paraId="0FAFCEDE" w14:textId="67985EA3" w:rsidR="008E330B" w:rsidRPr="001F7460" w:rsidRDefault="0066452A" w:rsidP="003C7926">
      <w:pPr>
        <w:pStyle w:val="SingleTxtG"/>
        <w:ind w:firstLine="567"/>
      </w:pPr>
      <w:r>
        <w:t>e)</w:t>
      </w:r>
      <w:r>
        <w:tab/>
      </w:r>
      <w:r w:rsidR="008E330B">
        <w:t>La criminalisation générale et les allégations de mauvais traitements envers les Roms qui recourent à la mendicité (art. 5).</w:t>
      </w:r>
    </w:p>
    <w:p w14:paraId="669FCCA0" w14:textId="338412A1" w:rsidR="008E330B" w:rsidRPr="00881327" w:rsidRDefault="0066452A" w:rsidP="003C7926">
      <w:pPr>
        <w:pStyle w:val="SingleTxtG"/>
        <w:keepNext/>
        <w:rPr>
          <w:b/>
        </w:rPr>
      </w:pPr>
      <w:r w:rsidRPr="008776F8">
        <w:rPr>
          <w:bCs/>
        </w:rPr>
        <w:t>24.</w:t>
      </w:r>
      <w:r w:rsidRPr="008776F8">
        <w:rPr>
          <w:bCs/>
        </w:rPr>
        <w:tab/>
      </w:r>
      <w:r w:rsidR="008E330B" w:rsidRPr="00881327">
        <w:rPr>
          <w:b/>
        </w:rPr>
        <w:t>Le Comité recommande à l</w:t>
      </w:r>
      <w:r w:rsidR="008E330B">
        <w:rPr>
          <w:b/>
        </w:rPr>
        <w:t>’</w:t>
      </w:r>
      <w:r w:rsidR="008E330B" w:rsidRPr="00881327">
        <w:rPr>
          <w:b/>
        </w:rPr>
        <w:t>État partie</w:t>
      </w:r>
      <w:r w:rsidR="008E330B">
        <w:rPr>
          <w:b/>
        </w:rPr>
        <w:t> </w:t>
      </w:r>
      <w:r w:rsidR="008E330B" w:rsidRPr="00881327">
        <w:rPr>
          <w:b/>
        </w:rPr>
        <w:t>:</w:t>
      </w:r>
    </w:p>
    <w:p w14:paraId="1B79F5E3" w14:textId="6809B87F" w:rsidR="008E330B" w:rsidRPr="00881327" w:rsidRDefault="0066452A" w:rsidP="003C7926">
      <w:pPr>
        <w:pStyle w:val="SingleTxtG"/>
        <w:ind w:firstLine="567"/>
        <w:rPr>
          <w:b/>
        </w:rPr>
      </w:pPr>
      <w:r>
        <w:rPr>
          <w:b/>
        </w:rPr>
        <w:t>a)</w:t>
      </w:r>
      <w:r>
        <w:rPr>
          <w:b/>
        </w:rPr>
        <w:tab/>
      </w:r>
      <w:r w:rsidR="008E330B" w:rsidRPr="00881327">
        <w:rPr>
          <w:b/>
        </w:rPr>
        <w:t>D</w:t>
      </w:r>
      <w:r w:rsidR="008E330B">
        <w:rPr>
          <w:b/>
        </w:rPr>
        <w:t>’</w:t>
      </w:r>
      <w:r w:rsidR="008E330B" w:rsidRPr="00881327">
        <w:rPr>
          <w:b/>
        </w:rPr>
        <w:t>augmenter le nombre d</w:t>
      </w:r>
      <w:r w:rsidR="008E330B">
        <w:rPr>
          <w:b/>
        </w:rPr>
        <w:t>’</w:t>
      </w:r>
      <w:r w:rsidR="008E330B" w:rsidRPr="00881327">
        <w:rPr>
          <w:b/>
        </w:rPr>
        <w:t xml:space="preserve">aires de séjour et de transit pour les </w:t>
      </w:r>
      <w:proofErr w:type="spellStart"/>
      <w:r w:rsidR="008E330B" w:rsidRPr="00881327">
        <w:rPr>
          <w:b/>
        </w:rPr>
        <w:t>Yéniches</w:t>
      </w:r>
      <w:proofErr w:type="spellEnd"/>
      <w:r w:rsidR="008E330B" w:rsidRPr="00881327">
        <w:rPr>
          <w:b/>
        </w:rPr>
        <w:t xml:space="preserve">, </w:t>
      </w:r>
      <w:proofErr w:type="spellStart"/>
      <w:r w:rsidR="008E330B" w:rsidRPr="00881327">
        <w:rPr>
          <w:b/>
        </w:rPr>
        <w:t>Sint</w:t>
      </w:r>
      <w:r w:rsidR="008E330B">
        <w:rPr>
          <w:b/>
        </w:rPr>
        <w:t>i</w:t>
      </w:r>
      <w:r w:rsidR="008E330B" w:rsidRPr="00881327">
        <w:rPr>
          <w:b/>
        </w:rPr>
        <w:t>s</w:t>
      </w:r>
      <w:proofErr w:type="spellEnd"/>
      <w:r w:rsidR="008E330B" w:rsidRPr="00881327">
        <w:rPr>
          <w:b/>
        </w:rPr>
        <w:t>/Manouches et Roms nomades, d</w:t>
      </w:r>
      <w:r w:rsidR="008E330B">
        <w:rPr>
          <w:b/>
        </w:rPr>
        <w:t>’</w:t>
      </w:r>
      <w:r w:rsidR="008E330B" w:rsidRPr="00881327">
        <w:rPr>
          <w:b/>
        </w:rPr>
        <w:t>améliorer l</w:t>
      </w:r>
      <w:r w:rsidR="008E330B">
        <w:rPr>
          <w:b/>
        </w:rPr>
        <w:t>’</w:t>
      </w:r>
      <w:r w:rsidR="008E330B" w:rsidRPr="00881327">
        <w:rPr>
          <w:b/>
        </w:rPr>
        <w:t xml:space="preserve">infrastructure </w:t>
      </w:r>
      <w:r w:rsidR="008E330B">
        <w:rPr>
          <w:b/>
        </w:rPr>
        <w:t xml:space="preserve">des </w:t>
      </w:r>
      <w:r w:rsidR="008E330B" w:rsidRPr="00881327">
        <w:rPr>
          <w:b/>
        </w:rPr>
        <w:t>aires existantes et d</w:t>
      </w:r>
      <w:r w:rsidR="008E330B">
        <w:rPr>
          <w:b/>
        </w:rPr>
        <w:t>’autoriser</w:t>
      </w:r>
      <w:r w:rsidR="008E330B" w:rsidRPr="00881327">
        <w:rPr>
          <w:b/>
        </w:rPr>
        <w:t xml:space="preserve"> </w:t>
      </w:r>
      <w:r w:rsidR="008E330B">
        <w:rPr>
          <w:b/>
        </w:rPr>
        <w:t>leur</w:t>
      </w:r>
      <w:r w:rsidR="008E330B" w:rsidRPr="00881327">
        <w:rPr>
          <w:b/>
        </w:rPr>
        <w:t xml:space="preserve"> utilisation par les Roms non suisses</w:t>
      </w:r>
      <w:r w:rsidR="008E330B">
        <w:rPr>
          <w:b/>
        </w:rPr>
        <w:t> </w:t>
      </w:r>
      <w:r w:rsidR="008E330B" w:rsidRPr="00881327">
        <w:rPr>
          <w:b/>
        </w:rPr>
        <w:t xml:space="preserve">; </w:t>
      </w:r>
    </w:p>
    <w:p w14:paraId="30DABE30" w14:textId="5A6666C9" w:rsidR="008E330B" w:rsidRPr="00881327" w:rsidRDefault="0066452A" w:rsidP="003C7926">
      <w:pPr>
        <w:pStyle w:val="SingleTxtG"/>
        <w:ind w:firstLine="567"/>
        <w:rPr>
          <w:b/>
        </w:rPr>
      </w:pPr>
      <w:r>
        <w:rPr>
          <w:b/>
        </w:rPr>
        <w:t>b)</w:t>
      </w:r>
      <w:r>
        <w:rPr>
          <w:b/>
        </w:rPr>
        <w:tab/>
      </w:r>
      <w:r w:rsidR="008E330B" w:rsidRPr="00881327">
        <w:rPr>
          <w:b/>
        </w:rPr>
        <w:t>De s</w:t>
      </w:r>
      <w:r w:rsidR="008E330B">
        <w:rPr>
          <w:b/>
        </w:rPr>
        <w:t>’</w:t>
      </w:r>
      <w:r w:rsidR="008E330B" w:rsidRPr="00881327">
        <w:rPr>
          <w:b/>
        </w:rPr>
        <w:t xml:space="preserve">assurer que les lois et politiques </w:t>
      </w:r>
      <w:r w:rsidR="008E330B">
        <w:rPr>
          <w:b/>
        </w:rPr>
        <w:t xml:space="preserve">d’apparence neutre </w:t>
      </w:r>
      <w:r w:rsidR="008E330B" w:rsidRPr="00881327">
        <w:rPr>
          <w:b/>
        </w:rPr>
        <w:t>n</w:t>
      </w:r>
      <w:r w:rsidR="008E330B">
        <w:rPr>
          <w:b/>
        </w:rPr>
        <w:t>’</w:t>
      </w:r>
      <w:r w:rsidR="008E330B" w:rsidRPr="00881327">
        <w:rPr>
          <w:b/>
        </w:rPr>
        <w:t>ont pas d</w:t>
      </w:r>
      <w:r w:rsidR="008E330B">
        <w:rPr>
          <w:b/>
        </w:rPr>
        <w:t>’</w:t>
      </w:r>
      <w:r w:rsidR="008E330B" w:rsidRPr="00881327">
        <w:rPr>
          <w:b/>
        </w:rPr>
        <w:t xml:space="preserve">effet discriminatoire sur les </w:t>
      </w:r>
      <w:proofErr w:type="spellStart"/>
      <w:r w:rsidR="008E330B" w:rsidRPr="00881327">
        <w:rPr>
          <w:b/>
        </w:rPr>
        <w:t>Yéniches</w:t>
      </w:r>
      <w:proofErr w:type="spellEnd"/>
      <w:r w:rsidR="008E330B" w:rsidRPr="00881327">
        <w:rPr>
          <w:b/>
        </w:rPr>
        <w:t xml:space="preserve">, </w:t>
      </w:r>
      <w:proofErr w:type="spellStart"/>
      <w:r w:rsidR="008E330B" w:rsidRPr="00881327">
        <w:rPr>
          <w:b/>
        </w:rPr>
        <w:t>Sint</w:t>
      </w:r>
      <w:r w:rsidR="008E330B">
        <w:rPr>
          <w:b/>
        </w:rPr>
        <w:t>i</w:t>
      </w:r>
      <w:r w:rsidR="008E330B" w:rsidRPr="00881327">
        <w:rPr>
          <w:b/>
        </w:rPr>
        <w:t>s</w:t>
      </w:r>
      <w:proofErr w:type="spellEnd"/>
      <w:r w:rsidR="008E330B" w:rsidRPr="00881327">
        <w:rPr>
          <w:b/>
        </w:rPr>
        <w:t>/Manouches et Roms</w:t>
      </w:r>
      <w:r w:rsidR="008E330B">
        <w:rPr>
          <w:b/>
        </w:rPr>
        <w:t> </w:t>
      </w:r>
      <w:r w:rsidR="008E330B" w:rsidRPr="00881327">
        <w:rPr>
          <w:b/>
        </w:rPr>
        <w:t>;</w:t>
      </w:r>
    </w:p>
    <w:p w14:paraId="52BEFE2B" w14:textId="0B75B342" w:rsidR="008E330B" w:rsidRPr="00881327" w:rsidRDefault="0066452A" w:rsidP="003C7926">
      <w:pPr>
        <w:pStyle w:val="SingleTxtG"/>
        <w:ind w:firstLine="567"/>
        <w:rPr>
          <w:b/>
        </w:rPr>
      </w:pPr>
      <w:r>
        <w:rPr>
          <w:b/>
        </w:rPr>
        <w:t>c)</w:t>
      </w:r>
      <w:r>
        <w:rPr>
          <w:b/>
        </w:rPr>
        <w:tab/>
      </w:r>
      <w:r w:rsidR="008E330B" w:rsidRPr="00881327">
        <w:rPr>
          <w:b/>
        </w:rPr>
        <w:t xml:space="preserve">De développer et de mettre en œuvre, à tous les niveaux de pouvoir, des stratégies spécifiques pour atténuer les effets </w:t>
      </w:r>
      <w:proofErr w:type="spellStart"/>
      <w:r w:rsidR="008E330B" w:rsidRPr="00881327">
        <w:rPr>
          <w:b/>
        </w:rPr>
        <w:t>socioéconomiques</w:t>
      </w:r>
      <w:proofErr w:type="spellEnd"/>
      <w:r w:rsidR="008E330B" w:rsidRPr="00881327">
        <w:rPr>
          <w:b/>
        </w:rPr>
        <w:t xml:space="preserve"> de la pandémie de COVID-19 sur ces communautés, en garantissant leur participation dans l</w:t>
      </w:r>
      <w:r w:rsidR="008E330B">
        <w:rPr>
          <w:b/>
        </w:rPr>
        <w:t>’</w:t>
      </w:r>
      <w:r w:rsidR="008E330B" w:rsidRPr="00881327">
        <w:rPr>
          <w:b/>
        </w:rPr>
        <w:t>élaboration, la mise en œuvre et le suivi desdites stratégies</w:t>
      </w:r>
      <w:r w:rsidR="008E330B">
        <w:rPr>
          <w:b/>
        </w:rPr>
        <w:t> </w:t>
      </w:r>
      <w:r w:rsidR="008E330B" w:rsidRPr="00881327">
        <w:rPr>
          <w:b/>
        </w:rPr>
        <w:t>;</w:t>
      </w:r>
    </w:p>
    <w:p w14:paraId="0429A372" w14:textId="02AD9305" w:rsidR="008E330B" w:rsidRDefault="0066452A" w:rsidP="003C7926">
      <w:pPr>
        <w:pStyle w:val="SingleTxtG"/>
        <w:ind w:firstLine="567"/>
        <w:rPr>
          <w:b/>
        </w:rPr>
      </w:pPr>
      <w:r>
        <w:rPr>
          <w:b/>
        </w:rPr>
        <w:t>d)</w:t>
      </w:r>
      <w:r>
        <w:rPr>
          <w:b/>
        </w:rPr>
        <w:tab/>
      </w:r>
      <w:r w:rsidR="008E330B" w:rsidRPr="00881327">
        <w:rPr>
          <w:b/>
        </w:rPr>
        <w:t xml:space="preserve">De mettre en place un mécanisme de suivi efficace du </w:t>
      </w:r>
      <w:r w:rsidR="008E330B">
        <w:rPr>
          <w:b/>
        </w:rPr>
        <w:t>p</w:t>
      </w:r>
      <w:r w:rsidR="008E330B" w:rsidRPr="00881327">
        <w:rPr>
          <w:b/>
        </w:rPr>
        <w:t>lan d</w:t>
      </w:r>
      <w:r w:rsidR="008E330B">
        <w:rPr>
          <w:b/>
        </w:rPr>
        <w:t>’</w:t>
      </w:r>
      <w:r w:rsidR="008E330B" w:rsidRPr="00881327">
        <w:rPr>
          <w:b/>
        </w:rPr>
        <w:t>action sur l</w:t>
      </w:r>
      <w:r w:rsidR="008E330B">
        <w:rPr>
          <w:b/>
        </w:rPr>
        <w:t>’</w:t>
      </w:r>
      <w:r w:rsidR="008E330B" w:rsidRPr="00881327">
        <w:rPr>
          <w:b/>
        </w:rPr>
        <w:t xml:space="preserve">amélioration des conditions de vie nomade et la promotion de la culture des </w:t>
      </w:r>
      <w:proofErr w:type="spellStart"/>
      <w:r w:rsidR="008E330B" w:rsidRPr="00881327">
        <w:rPr>
          <w:b/>
        </w:rPr>
        <w:t>Yéniches</w:t>
      </w:r>
      <w:proofErr w:type="spellEnd"/>
      <w:r w:rsidR="008E330B" w:rsidRPr="00881327">
        <w:rPr>
          <w:b/>
        </w:rPr>
        <w:t xml:space="preserve">, des </w:t>
      </w:r>
      <w:proofErr w:type="spellStart"/>
      <w:r w:rsidR="008E330B" w:rsidRPr="00881327">
        <w:rPr>
          <w:b/>
        </w:rPr>
        <w:t>Sintis</w:t>
      </w:r>
      <w:proofErr w:type="spellEnd"/>
      <w:r w:rsidR="008E330B" w:rsidRPr="00881327">
        <w:rPr>
          <w:b/>
        </w:rPr>
        <w:t>/Manouches et des Roms, de fournir des ressources adéquates pour sa mise en œuvre</w:t>
      </w:r>
      <w:r w:rsidR="008E330B">
        <w:rPr>
          <w:b/>
        </w:rPr>
        <w:t xml:space="preserve">, et d’assurer la participation </w:t>
      </w:r>
      <w:r w:rsidR="008E330B" w:rsidRPr="00881327">
        <w:rPr>
          <w:b/>
        </w:rPr>
        <w:t xml:space="preserve">des </w:t>
      </w:r>
      <w:proofErr w:type="spellStart"/>
      <w:r w:rsidR="008E330B" w:rsidRPr="00881327">
        <w:rPr>
          <w:b/>
        </w:rPr>
        <w:t>Yéniches</w:t>
      </w:r>
      <w:proofErr w:type="spellEnd"/>
      <w:r w:rsidR="008E330B" w:rsidRPr="00881327">
        <w:rPr>
          <w:b/>
        </w:rPr>
        <w:t xml:space="preserve">, des </w:t>
      </w:r>
      <w:proofErr w:type="spellStart"/>
      <w:r w:rsidR="008E330B" w:rsidRPr="00881327">
        <w:rPr>
          <w:b/>
        </w:rPr>
        <w:t>Sintis</w:t>
      </w:r>
      <w:proofErr w:type="spellEnd"/>
      <w:r w:rsidR="008E330B" w:rsidRPr="00881327">
        <w:rPr>
          <w:b/>
        </w:rPr>
        <w:t>/Manouches et des Rom</w:t>
      </w:r>
      <w:r w:rsidR="008E330B">
        <w:rPr>
          <w:b/>
        </w:rPr>
        <w:t>s dans toutes les procédures pertinentes de prises de décision</w:t>
      </w:r>
      <w:r w:rsidR="004A42A1">
        <w:rPr>
          <w:b/>
        </w:rPr>
        <w:t>s</w:t>
      </w:r>
      <w:r w:rsidR="008E330B">
        <w:rPr>
          <w:b/>
        </w:rPr>
        <w:t> ;</w:t>
      </w:r>
    </w:p>
    <w:p w14:paraId="4C700E80" w14:textId="118D4F64" w:rsidR="008E330B" w:rsidRPr="00881327" w:rsidRDefault="0066452A" w:rsidP="003C7926">
      <w:pPr>
        <w:pStyle w:val="SingleTxtG"/>
        <w:ind w:firstLine="567"/>
        <w:rPr>
          <w:b/>
        </w:rPr>
      </w:pPr>
      <w:r>
        <w:rPr>
          <w:b/>
        </w:rPr>
        <w:t>e)</w:t>
      </w:r>
      <w:r>
        <w:rPr>
          <w:b/>
        </w:rPr>
        <w:tab/>
      </w:r>
      <w:r w:rsidR="008E330B">
        <w:rPr>
          <w:b/>
        </w:rPr>
        <w:t>De réviser et de modifier si nécessaire les lois qui criminalisent la mendicité, et de prendre d’autres mesures appropriées.</w:t>
      </w:r>
    </w:p>
    <w:p w14:paraId="01E92649" w14:textId="752B5F21" w:rsidR="008E330B" w:rsidRPr="00CC12A2" w:rsidRDefault="008E330B" w:rsidP="003C7926">
      <w:pPr>
        <w:pStyle w:val="H23G"/>
      </w:pPr>
      <w:r>
        <w:tab/>
      </w:r>
      <w:r>
        <w:tab/>
        <w:t xml:space="preserve">Situation des non-ressortissants, notamment des migrants, des réfugiés, </w:t>
      </w:r>
      <w:r w:rsidR="0066452A">
        <w:br/>
      </w:r>
      <w:r>
        <w:t>des demandeurs d’asile et des apatrides</w:t>
      </w:r>
    </w:p>
    <w:p w14:paraId="686E7391" w14:textId="77BE0BAF" w:rsidR="008E330B" w:rsidRPr="00881327" w:rsidRDefault="0066452A" w:rsidP="003C7926">
      <w:pPr>
        <w:pStyle w:val="SingleTxtG"/>
        <w:keepNext/>
      </w:pPr>
      <w:r>
        <w:t>25.</w:t>
      </w:r>
      <w:r>
        <w:tab/>
      </w:r>
      <w:r w:rsidR="008E330B" w:rsidRPr="00881327">
        <w:t>Tout en prenant note des renseignements fournis par l</w:t>
      </w:r>
      <w:r w:rsidR="008E330B">
        <w:t>’</w:t>
      </w:r>
      <w:r w:rsidR="008E330B" w:rsidRPr="00881327">
        <w:t>État partie sur les mesures prises pour garantir les droits des non-ressortissants, le Comité est préoccupé par</w:t>
      </w:r>
      <w:r w:rsidR="008E330B">
        <w:t> </w:t>
      </w:r>
      <w:r w:rsidR="008E330B" w:rsidRPr="00881327">
        <w:t>:</w:t>
      </w:r>
    </w:p>
    <w:p w14:paraId="70547298" w14:textId="17FE1C53" w:rsidR="008E330B" w:rsidRDefault="0066452A" w:rsidP="003C7926">
      <w:pPr>
        <w:pStyle w:val="SingleTxtG"/>
        <w:ind w:firstLine="567"/>
      </w:pPr>
      <w:r>
        <w:t>a)</w:t>
      </w:r>
      <w:r>
        <w:tab/>
      </w:r>
      <w:r w:rsidR="008E330B" w:rsidRPr="00881327">
        <w:t xml:space="preserve">Les informations selon lesquelles des membres du personnel chargé de la sécurité dans les centres fédéraux </w:t>
      </w:r>
      <w:r w:rsidR="008E330B">
        <w:t xml:space="preserve">pour requérants </w:t>
      </w:r>
      <w:r w:rsidR="008E330B" w:rsidRPr="00881327">
        <w:t>d</w:t>
      </w:r>
      <w:r w:rsidR="008E330B">
        <w:t>’</w:t>
      </w:r>
      <w:r w:rsidR="008E330B" w:rsidRPr="00881327">
        <w:t xml:space="preserve">asile </w:t>
      </w:r>
      <w:r w:rsidR="008E330B">
        <w:t>auraient</w:t>
      </w:r>
      <w:r w:rsidR="008E330B" w:rsidRPr="00881327">
        <w:t xml:space="preserve"> commis des actes de violence contre des demandeurs d</w:t>
      </w:r>
      <w:r w:rsidR="008E330B">
        <w:t>’</w:t>
      </w:r>
      <w:r w:rsidR="008E330B" w:rsidRPr="00881327">
        <w:t>asile, y compris des enfants, et l</w:t>
      </w:r>
      <w:r w:rsidR="008E330B">
        <w:t>’</w:t>
      </w:r>
      <w:r w:rsidR="008E330B" w:rsidRPr="00881327">
        <w:t>absence de mécanismes de plainte et d</w:t>
      </w:r>
      <w:r w:rsidR="008E330B">
        <w:t>’</w:t>
      </w:r>
      <w:r w:rsidR="008E330B" w:rsidRPr="00881327">
        <w:t>enquête efficaces et impartiaux</w:t>
      </w:r>
      <w:r w:rsidR="008E330B">
        <w:t> </w:t>
      </w:r>
      <w:r w:rsidR="008E330B" w:rsidRPr="00881327">
        <w:t>;</w:t>
      </w:r>
    </w:p>
    <w:p w14:paraId="72BD17CB" w14:textId="3A51EE0F" w:rsidR="008E330B" w:rsidRPr="00881327" w:rsidRDefault="0066452A" w:rsidP="003C7926">
      <w:pPr>
        <w:pStyle w:val="SingleTxtG"/>
        <w:ind w:firstLine="567"/>
      </w:pPr>
      <w:r>
        <w:t>b)</w:t>
      </w:r>
      <w:r>
        <w:tab/>
      </w:r>
      <w:r w:rsidR="008E330B" w:rsidRPr="00881327">
        <w:t xml:space="preserve">Le fait que les dispositions de la </w:t>
      </w:r>
      <w:r w:rsidR="008E330B">
        <w:t>l</w:t>
      </w:r>
      <w:r w:rsidR="008E330B" w:rsidRPr="00881327">
        <w:t>oi</w:t>
      </w:r>
      <w:r w:rsidR="008E330B">
        <w:t xml:space="preserve"> fédérale</w:t>
      </w:r>
      <w:r w:rsidR="008E330B" w:rsidRPr="00881327">
        <w:t xml:space="preserve"> sur les étrangers et l</w:t>
      </w:r>
      <w:r w:rsidR="008E330B">
        <w:t>’</w:t>
      </w:r>
      <w:r w:rsidR="008E330B" w:rsidRPr="00881327">
        <w:t>intégration de 2019 qui établissent le droit des victimes de violence conjugale de demeurer en Suisse ne s</w:t>
      </w:r>
      <w:r w:rsidR="008E330B">
        <w:t>’</w:t>
      </w:r>
      <w:r w:rsidR="008E330B" w:rsidRPr="00881327">
        <w:t>appliquent dans la pratique qu</w:t>
      </w:r>
      <w:r w:rsidR="008E330B">
        <w:t>’</w:t>
      </w:r>
      <w:r w:rsidR="008E330B" w:rsidRPr="00881327">
        <w:t>à partir d</w:t>
      </w:r>
      <w:r w:rsidR="008E330B">
        <w:t>’</w:t>
      </w:r>
      <w:r w:rsidR="008E330B" w:rsidRPr="00881327">
        <w:t xml:space="preserve">un seuil suffisamment grave ou </w:t>
      </w:r>
      <w:r w:rsidR="008E330B">
        <w:t>lorsqu’il existe un</w:t>
      </w:r>
      <w:r w:rsidR="008E330B" w:rsidRPr="00881327">
        <w:t xml:space="preserve"> caractère systématique de la violence subie</w:t>
      </w:r>
      <w:r w:rsidR="008E330B">
        <w:t xml:space="preserve">, ce qui décourage </w:t>
      </w:r>
      <w:r w:rsidR="008E330B" w:rsidRPr="00856B1F">
        <w:t xml:space="preserve">les victimes étrangères de violence conjugale </w:t>
      </w:r>
      <w:r w:rsidR="008E330B">
        <w:t xml:space="preserve">de porter plainte, par peur de perdre leur permis de séjour, et les laisse </w:t>
      </w:r>
      <w:r w:rsidR="008E330B" w:rsidRPr="00856B1F">
        <w:t>sans protection</w:t>
      </w:r>
      <w:r w:rsidR="008E330B">
        <w:t xml:space="preserve"> réelle et efficace,</w:t>
      </w:r>
      <w:r w:rsidR="008E330B" w:rsidRPr="00856B1F">
        <w:t xml:space="preserve"> contrairement aux victimes de nationalité suisse</w:t>
      </w:r>
      <w:r w:rsidR="008E330B">
        <w:t> </w:t>
      </w:r>
      <w:r w:rsidR="008E330B" w:rsidRPr="00881327">
        <w:t>;</w:t>
      </w:r>
    </w:p>
    <w:p w14:paraId="5B46BA36" w14:textId="59976F88" w:rsidR="008E330B" w:rsidRPr="00881327" w:rsidRDefault="0066452A" w:rsidP="003C7926">
      <w:pPr>
        <w:pStyle w:val="SingleTxtG"/>
        <w:ind w:firstLine="567"/>
      </w:pPr>
      <w:r>
        <w:t>c</w:t>
      </w:r>
      <w:r w:rsidR="004A42A1">
        <w:t>)</w:t>
      </w:r>
      <w:r>
        <w:tab/>
      </w:r>
      <w:r w:rsidR="008E330B" w:rsidRPr="00881327">
        <w:t xml:space="preserve">Les restrictions à la liberté de circulation des personnes ayant obtenu </w:t>
      </w:r>
      <w:r w:rsidR="008E330B">
        <w:t>l’</w:t>
      </w:r>
      <w:r w:rsidR="008E330B" w:rsidRPr="00881327">
        <w:t>admission provisoire (permis F), limitant la possibilité de changer de canton de domicile et de voyager à l</w:t>
      </w:r>
      <w:r w:rsidR="008E330B">
        <w:t>’</w:t>
      </w:r>
      <w:r w:rsidR="008E330B" w:rsidRPr="00881327">
        <w:t>étranger, et des demandeurs d</w:t>
      </w:r>
      <w:r w:rsidR="008E330B">
        <w:t>’</w:t>
      </w:r>
      <w:r w:rsidR="008E330B" w:rsidRPr="00881327">
        <w:t xml:space="preserve">asile vivant dans les centres fédéraux </w:t>
      </w:r>
      <w:r w:rsidR="008E330B">
        <w:t xml:space="preserve">pour requérants </w:t>
      </w:r>
      <w:r w:rsidR="008E330B" w:rsidRPr="00881327">
        <w:t>d</w:t>
      </w:r>
      <w:r w:rsidR="008E330B">
        <w:t>’</w:t>
      </w:r>
      <w:r w:rsidR="008E330B" w:rsidRPr="00881327">
        <w:t>asile</w:t>
      </w:r>
      <w:r w:rsidR="008E330B">
        <w:t>,</w:t>
      </w:r>
      <w:r w:rsidR="008E330B" w:rsidRPr="00881327">
        <w:t xml:space="preserve"> qui sont soumis à des couvre</w:t>
      </w:r>
      <w:r w:rsidR="008E330B">
        <w:t>-</w:t>
      </w:r>
      <w:r w:rsidR="008E330B" w:rsidRPr="00881327">
        <w:t>feux très stricts</w:t>
      </w:r>
      <w:r w:rsidR="008E330B">
        <w:t> </w:t>
      </w:r>
      <w:r w:rsidR="008E330B" w:rsidRPr="00881327">
        <w:t>;</w:t>
      </w:r>
    </w:p>
    <w:p w14:paraId="43628002" w14:textId="2B2D9678" w:rsidR="008E330B" w:rsidRPr="00881327" w:rsidRDefault="0066452A" w:rsidP="003C7926">
      <w:pPr>
        <w:pStyle w:val="SingleTxtG"/>
        <w:ind w:firstLine="567"/>
      </w:pPr>
      <w:r>
        <w:t>d)</w:t>
      </w:r>
      <w:r>
        <w:tab/>
      </w:r>
      <w:r w:rsidR="008E330B" w:rsidRPr="00881327">
        <w:t xml:space="preserve">Les informations selon lesquelles, malgré les dispositions légales établissant </w:t>
      </w:r>
      <w:r w:rsidR="008E330B">
        <w:t>le</w:t>
      </w:r>
      <w:r w:rsidR="008E330B" w:rsidRPr="00881327">
        <w:t xml:space="preserve"> droit à un enseignement de base gratuit pour tous les enfants vivant dans l</w:t>
      </w:r>
      <w:r w:rsidR="008E330B">
        <w:t>’</w:t>
      </w:r>
      <w:r w:rsidR="008E330B" w:rsidRPr="00881327">
        <w:t>État partie, en pratique</w:t>
      </w:r>
      <w:r w:rsidR="008E330B">
        <w:t>,</w:t>
      </w:r>
      <w:r w:rsidR="008E330B" w:rsidRPr="00881327">
        <w:t xml:space="preserve"> les enfants migrants non</w:t>
      </w:r>
      <w:r w:rsidR="008E330B">
        <w:t xml:space="preserve"> </w:t>
      </w:r>
      <w:r w:rsidR="008E330B" w:rsidRPr="00881327">
        <w:t xml:space="preserve">accompagnés se </w:t>
      </w:r>
      <w:r w:rsidR="008E330B">
        <w:t>verraient</w:t>
      </w:r>
      <w:r w:rsidR="008E330B" w:rsidRPr="00881327">
        <w:t xml:space="preserve"> refuser l</w:t>
      </w:r>
      <w:r w:rsidR="008E330B">
        <w:t>’</w:t>
      </w:r>
      <w:r w:rsidR="008E330B" w:rsidRPr="00881327">
        <w:t>inscription à l</w:t>
      </w:r>
      <w:r w:rsidR="008E330B">
        <w:t>’</w:t>
      </w:r>
      <w:r w:rsidR="008E330B" w:rsidRPr="00881327">
        <w:t>école sans fondement légal</w:t>
      </w:r>
      <w:r w:rsidR="008E330B">
        <w:t> </w:t>
      </w:r>
      <w:r w:rsidR="008E330B" w:rsidRPr="00881327">
        <w:t>;</w:t>
      </w:r>
    </w:p>
    <w:p w14:paraId="34D5B720" w14:textId="205C5967" w:rsidR="008E330B" w:rsidRPr="00881327" w:rsidRDefault="0066452A" w:rsidP="003C7926">
      <w:pPr>
        <w:pStyle w:val="SingleTxtG"/>
        <w:ind w:firstLine="567"/>
      </w:pPr>
      <w:r>
        <w:t>e)</w:t>
      </w:r>
      <w:r>
        <w:tab/>
      </w:r>
      <w:r w:rsidR="008E330B" w:rsidRPr="00881327">
        <w:t>Les informations selon lesquelles les ressortissants de pays situés en dehors de l</w:t>
      </w:r>
      <w:r w:rsidR="008E330B">
        <w:t>’</w:t>
      </w:r>
      <w:r w:rsidR="008E330B" w:rsidRPr="00881327">
        <w:t>Union européenne ne demandent pas d</w:t>
      </w:r>
      <w:r w:rsidR="008E330B">
        <w:t>’</w:t>
      </w:r>
      <w:r w:rsidR="008E330B" w:rsidRPr="00881327">
        <w:t>aide sociale</w:t>
      </w:r>
      <w:r w:rsidR="008E330B">
        <w:t>,</w:t>
      </w:r>
      <w:r w:rsidR="008E330B" w:rsidRPr="00881327">
        <w:t xml:space="preserve"> car leur permis de séjour peut leur être </w:t>
      </w:r>
      <w:r w:rsidR="008E330B" w:rsidRPr="00881327">
        <w:lastRenderedPageBreak/>
        <w:t xml:space="preserve">retiré et </w:t>
      </w:r>
      <w:r w:rsidR="008E330B">
        <w:t xml:space="preserve">ils </w:t>
      </w:r>
      <w:r w:rsidR="008E330B" w:rsidRPr="00881327">
        <w:t>risquent d</w:t>
      </w:r>
      <w:r w:rsidR="008E330B">
        <w:t>’</w:t>
      </w:r>
      <w:r w:rsidR="008E330B" w:rsidRPr="00881327">
        <w:t>être expulsés, situation qui s</w:t>
      </w:r>
      <w:r w:rsidR="008E330B">
        <w:t>’</w:t>
      </w:r>
      <w:r w:rsidR="008E330B" w:rsidRPr="00881327">
        <w:t xml:space="preserve">est aggravée pendant la pandémie </w:t>
      </w:r>
      <w:r w:rsidR="008E330B">
        <w:t>de</w:t>
      </w:r>
      <w:r w:rsidR="008E330B" w:rsidRPr="00881327">
        <w:t xml:space="preserve"> COVID-19</w:t>
      </w:r>
      <w:r w:rsidR="008E330B">
        <w:t> </w:t>
      </w:r>
      <w:r w:rsidR="008E330B" w:rsidRPr="00881327">
        <w:t>;</w:t>
      </w:r>
    </w:p>
    <w:p w14:paraId="05DF1DC5" w14:textId="4686F5D1" w:rsidR="008E330B" w:rsidRPr="00881327" w:rsidRDefault="0066452A" w:rsidP="003C7926">
      <w:pPr>
        <w:pStyle w:val="SingleTxtG"/>
        <w:ind w:firstLine="567"/>
      </w:pPr>
      <w:r>
        <w:t>f)</w:t>
      </w:r>
      <w:r>
        <w:tab/>
      </w:r>
      <w:r w:rsidR="008E330B" w:rsidRPr="00881327">
        <w:t>Le fait que les enfants apatrides nés dans l</w:t>
      </w:r>
      <w:r w:rsidR="008E330B">
        <w:t>’</w:t>
      </w:r>
      <w:r w:rsidR="008E330B" w:rsidRPr="00881327">
        <w:t>État partie n</w:t>
      </w:r>
      <w:r w:rsidR="008E330B">
        <w:t>’</w:t>
      </w:r>
      <w:r w:rsidR="008E330B" w:rsidRPr="00881327">
        <w:t>ont pas la possibilité d</w:t>
      </w:r>
      <w:r w:rsidR="008E330B">
        <w:t>’</w:t>
      </w:r>
      <w:r w:rsidR="008E330B" w:rsidRPr="00881327">
        <w:t>acquérir la nationalité suisse à la naissance et que l</w:t>
      </w:r>
      <w:r w:rsidR="008E330B">
        <w:t>’acquisition de</w:t>
      </w:r>
      <w:r w:rsidR="008E330B" w:rsidRPr="00881327">
        <w:t xml:space="preserve"> cette nationalité ultérieurement n</w:t>
      </w:r>
      <w:r w:rsidR="008E330B">
        <w:t>’</w:t>
      </w:r>
      <w:r w:rsidR="008E330B" w:rsidRPr="00881327">
        <w:t>est pas garanti</w:t>
      </w:r>
      <w:r w:rsidR="008E330B">
        <w:t>e.</w:t>
      </w:r>
    </w:p>
    <w:p w14:paraId="5B85CB8F" w14:textId="51E77E64" w:rsidR="008E330B" w:rsidRPr="00881327" w:rsidRDefault="0066452A" w:rsidP="003C7926">
      <w:pPr>
        <w:pStyle w:val="SingleTxtG"/>
        <w:keepNext/>
      </w:pPr>
      <w:r w:rsidRPr="003C7926">
        <w:rPr>
          <w:bCs/>
        </w:rPr>
        <w:t>26.</w:t>
      </w:r>
      <w:r w:rsidRPr="003C7926">
        <w:rPr>
          <w:bCs/>
        </w:rPr>
        <w:tab/>
      </w:r>
      <w:r w:rsidR="008E330B" w:rsidRPr="00881327">
        <w:rPr>
          <w:b/>
        </w:rPr>
        <w:t>Le Comité recommande à l</w:t>
      </w:r>
      <w:r w:rsidR="008E330B">
        <w:rPr>
          <w:b/>
        </w:rPr>
        <w:t>’</w:t>
      </w:r>
      <w:r w:rsidR="008E330B" w:rsidRPr="00881327">
        <w:rPr>
          <w:b/>
        </w:rPr>
        <w:t>État partie</w:t>
      </w:r>
      <w:r w:rsidR="008E330B">
        <w:rPr>
          <w:b/>
        </w:rPr>
        <w:t> </w:t>
      </w:r>
      <w:r w:rsidR="008E330B" w:rsidRPr="00881327">
        <w:rPr>
          <w:b/>
        </w:rPr>
        <w:t>:</w:t>
      </w:r>
    </w:p>
    <w:p w14:paraId="36DF013F" w14:textId="7917503B" w:rsidR="008E330B" w:rsidRDefault="0066452A" w:rsidP="003C7926">
      <w:pPr>
        <w:pStyle w:val="SingleTxtG"/>
        <w:ind w:firstLine="567"/>
        <w:rPr>
          <w:b/>
        </w:rPr>
      </w:pPr>
      <w:r>
        <w:rPr>
          <w:b/>
        </w:rPr>
        <w:t>a)</w:t>
      </w:r>
      <w:r>
        <w:rPr>
          <w:b/>
        </w:rPr>
        <w:tab/>
      </w:r>
      <w:r w:rsidR="008E330B" w:rsidRPr="00881327">
        <w:rPr>
          <w:b/>
        </w:rPr>
        <w:t xml:space="preserve">De </w:t>
      </w:r>
      <w:r w:rsidR="008E330B">
        <w:rPr>
          <w:b/>
        </w:rPr>
        <w:t>renforcer les</w:t>
      </w:r>
      <w:r w:rsidR="008E330B" w:rsidRPr="00881327">
        <w:rPr>
          <w:b/>
        </w:rPr>
        <w:t xml:space="preserve"> mesures </w:t>
      </w:r>
      <w:r w:rsidR="008E330B">
        <w:rPr>
          <w:b/>
        </w:rPr>
        <w:t>de prévention des</w:t>
      </w:r>
      <w:r w:rsidR="008E330B" w:rsidRPr="00881327">
        <w:rPr>
          <w:b/>
        </w:rPr>
        <w:t xml:space="preserve"> actes de violence contre les personnes résidant dans les centres fédéraux </w:t>
      </w:r>
      <w:r w:rsidR="008E330B">
        <w:rPr>
          <w:b/>
        </w:rPr>
        <w:t xml:space="preserve">pour requérants </w:t>
      </w:r>
      <w:r w:rsidR="008E330B" w:rsidRPr="00881327">
        <w:rPr>
          <w:b/>
        </w:rPr>
        <w:t>d</w:t>
      </w:r>
      <w:r w:rsidR="008E330B">
        <w:rPr>
          <w:b/>
        </w:rPr>
        <w:t>’</w:t>
      </w:r>
      <w:r w:rsidR="008E330B" w:rsidRPr="00881327">
        <w:rPr>
          <w:b/>
        </w:rPr>
        <w:t>asile</w:t>
      </w:r>
      <w:r w:rsidR="008E330B">
        <w:rPr>
          <w:b/>
        </w:rPr>
        <w:t xml:space="preserve"> et de s’assurer de leur mise en œuvre effective</w:t>
      </w:r>
      <w:r w:rsidR="008E330B" w:rsidRPr="00881327">
        <w:rPr>
          <w:b/>
        </w:rPr>
        <w:t>, d</w:t>
      </w:r>
      <w:r w:rsidR="008E330B">
        <w:rPr>
          <w:b/>
        </w:rPr>
        <w:t>’</w:t>
      </w:r>
      <w:r w:rsidR="008E330B" w:rsidRPr="00881327">
        <w:rPr>
          <w:b/>
        </w:rPr>
        <w:t>établir des mécanismes de plainte et d</w:t>
      </w:r>
      <w:r w:rsidR="008E330B">
        <w:rPr>
          <w:b/>
        </w:rPr>
        <w:t>’</w:t>
      </w:r>
      <w:r w:rsidR="008E330B" w:rsidRPr="00881327">
        <w:rPr>
          <w:b/>
        </w:rPr>
        <w:t>enquête efficaces et impartiaux, de sanctionner les responsables de ces actes et d</w:t>
      </w:r>
      <w:r w:rsidR="008E330B">
        <w:rPr>
          <w:b/>
        </w:rPr>
        <w:t>’</w:t>
      </w:r>
      <w:r w:rsidR="008E330B" w:rsidRPr="00881327">
        <w:rPr>
          <w:b/>
        </w:rPr>
        <w:t>offrir une réparation adéquate aux victimes</w:t>
      </w:r>
      <w:r w:rsidR="008E330B">
        <w:rPr>
          <w:b/>
        </w:rPr>
        <w:t> </w:t>
      </w:r>
      <w:r w:rsidR="008E330B" w:rsidRPr="00881327">
        <w:rPr>
          <w:b/>
        </w:rPr>
        <w:t>;</w:t>
      </w:r>
    </w:p>
    <w:p w14:paraId="243F8EA0" w14:textId="2C4F7682" w:rsidR="008E330B" w:rsidRDefault="0066452A" w:rsidP="003C7926">
      <w:pPr>
        <w:pStyle w:val="SingleTxtG"/>
        <w:ind w:firstLine="567"/>
        <w:rPr>
          <w:b/>
        </w:rPr>
      </w:pPr>
      <w:r>
        <w:rPr>
          <w:b/>
        </w:rPr>
        <w:t>b)</w:t>
      </w:r>
      <w:r>
        <w:rPr>
          <w:b/>
        </w:rPr>
        <w:tab/>
      </w:r>
      <w:r w:rsidR="008E330B">
        <w:rPr>
          <w:b/>
        </w:rPr>
        <w:t>De veiller à ce que le personnel des agences de sécurité privées affecté dans les centres fédéraux pour requérants d’asile ne recoure pas à la violence et qu’il soit sous le contrôle effectif de l’État partie, afin de prévenir tout acte de violence, de lutter contre de tels agissements de la part du personnel des agences de sécurité privées et de ne pas éluder sa responsabilité quant à la protection des personnes sous sa garde ;</w:t>
      </w:r>
    </w:p>
    <w:p w14:paraId="354F6791" w14:textId="4DB0688F" w:rsidR="008E330B" w:rsidRPr="00CF6DD0" w:rsidRDefault="0066452A" w:rsidP="003C7926">
      <w:pPr>
        <w:pStyle w:val="SingleTxtG"/>
        <w:ind w:firstLine="567"/>
        <w:rPr>
          <w:b/>
        </w:rPr>
      </w:pPr>
      <w:r>
        <w:rPr>
          <w:b/>
        </w:rPr>
        <w:t>c)</w:t>
      </w:r>
      <w:r>
        <w:rPr>
          <w:b/>
        </w:rPr>
        <w:tab/>
      </w:r>
      <w:r w:rsidR="008E330B" w:rsidRPr="00CF6DD0">
        <w:rPr>
          <w:b/>
        </w:rPr>
        <w:t>De veiller à ce que les victimes de violences conjugales puissent demeurer sur le territoire de l</w:t>
      </w:r>
      <w:r w:rsidR="008E330B">
        <w:rPr>
          <w:b/>
        </w:rPr>
        <w:t>’</w:t>
      </w:r>
      <w:r w:rsidR="008E330B" w:rsidRPr="00CF6DD0">
        <w:rPr>
          <w:b/>
        </w:rPr>
        <w:t>État partie</w:t>
      </w:r>
      <w:r w:rsidR="008E330B">
        <w:rPr>
          <w:b/>
        </w:rPr>
        <w:t>,</w:t>
      </w:r>
      <w:r w:rsidR="008E330B" w:rsidRPr="00CF6DD0">
        <w:rPr>
          <w:b/>
        </w:rPr>
        <w:t xml:space="preserve"> en vertu de </w:t>
      </w:r>
      <w:r w:rsidRPr="00CF6DD0">
        <w:rPr>
          <w:b/>
        </w:rPr>
        <w:t>l</w:t>
      </w:r>
      <w:r>
        <w:rPr>
          <w:b/>
        </w:rPr>
        <w:t>’</w:t>
      </w:r>
      <w:r w:rsidRPr="00CF6DD0">
        <w:rPr>
          <w:b/>
        </w:rPr>
        <w:t>art</w:t>
      </w:r>
      <w:r>
        <w:rPr>
          <w:b/>
        </w:rPr>
        <w:t>icle </w:t>
      </w:r>
      <w:r w:rsidR="008E330B" w:rsidRPr="00CF6DD0">
        <w:rPr>
          <w:b/>
        </w:rPr>
        <w:t xml:space="preserve">50 de la </w:t>
      </w:r>
      <w:r w:rsidR="008E330B">
        <w:rPr>
          <w:b/>
        </w:rPr>
        <w:t>l</w:t>
      </w:r>
      <w:r w:rsidR="008E330B" w:rsidRPr="00CF6DD0">
        <w:rPr>
          <w:b/>
        </w:rPr>
        <w:t xml:space="preserve">oi </w:t>
      </w:r>
      <w:r w:rsidR="008E330B">
        <w:rPr>
          <w:b/>
        </w:rPr>
        <w:t xml:space="preserve">fédérale </w:t>
      </w:r>
      <w:r w:rsidR="008E330B" w:rsidRPr="00CF6DD0">
        <w:rPr>
          <w:b/>
        </w:rPr>
        <w:t>sur les étrang</w:t>
      </w:r>
      <w:r w:rsidR="008E330B">
        <w:rPr>
          <w:b/>
        </w:rPr>
        <w:t>ers</w:t>
      </w:r>
      <w:r w:rsidR="008E330B" w:rsidRPr="00CF6DD0">
        <w:rPr>
          <w:b/>
        </w:rPr>
        <w:t xml:space="preserve"> et l</w:t>
      </w:r>
      <w:r w:rsidR="008E330B">
        <w:rPr>
          <w:b/>
        </w:rPr>
        <w:t>’</w:t>
      </w:r>
      <w:r w:rsidR="008E330B" w:rsidRPr="00CF6DD0">
        <w:rPr>
          <w:b/>
        </w:rPr>
        <w:t>intégration</w:t>
      </w:r>
      <w:r w:rsidR="008E330B">
        <w:rPr>
          <w:b/>
        </w:rPr>
        <w:t>,</w:t>
      </w:r>
      <w:r w:rsidR="008E330B" w:rsidRPr="00CF6DD0">
        <w:rPr>
          <w:b/>
        </w:rPr>
        <w:t xml:space="preserve"> sans avoir à surmonter des obstacles de procédure excessifs </w:t>
      </w:r>
      <w:r w:rsidR="008E330B">
        <w:rPr>
          <w:b/>
        </w:rPr>
        <w:t xml:space="preserve">qui, </w:t>
      </w:r>
      <w:r w:rsidR="008E330B" w:rsidRPr="00CF6DD0">
        <w:rPr>
          <w:b/>
        </w:rPr>
        <w:t>en pratique, les laisse</w:t>
      </w:r>
      <w:r w:rsidR="008E330B">
        <w:rPr>
          <w:b/>
        </w:rPr>
        <w:t>raie</w:t>
      </w:r>
      <w:r w:rsidR="008E330B" w:rsidRPr="00CF6DD0">
        <w:rPr>
          <w:b/>
        </w:rPr>
        <w:t>nt sans protection réelle et effective</w:t>
      </w:r>
      <w:r w:rsidR="008E330B">
        <w:rPr>
          <w:b/>
        </w:rPr>
        <w:t xml:space="preserve"> ; </w:t>
      </w:r>
    </w:p>
    <w:p w14:paraId="4244FE8A" w14:textId="6C9010B0" w:rsidR="008E330B" w:rsidRDefault="0066452A" w:rsidP="003C7926">
      <w:pPr>
        <w:pStyle w:val="SingleTxtG"/>
        <w:ind w:firstLine="567"/>
        <w:rPr>
          <w:b/>
        </w:rPr>
      </w:pPr>
      <w:r>
        <w:rPr>
          <w:b/>
          <w:bCs/>
        </w:rPr>
        <w:t>d)</w:t>
      </w:r>
      <w:r>
        <w:rPr>
          <w:b/>
          <w:bCs/>
        </w:rPr>
        <w:tab/>
      </w:r>
      <w:r w:rsidR="008E330B" w:rsidRPr="003B0CA8">
        <w:rPr>
          <w:b/>
          <w:bCs/>
        </w:rPr>
        <w:t xml:space="preserve">De garantir le droit à la libre circulation </w:t>
      </w:r>
      <w:r w:rsidR="008E330B">
        <w:rPr>
          <w:b/>
          <w:bCs/>
        </w:rPr>
        <w:t>des</w:t>
      </w:r>
      <w:r w:rsidR="008E330B" w:rsidRPr="003B0CA8">
        <w:rPr>
          <w:b/>
          <w:bCs/>
        </w:rPr>
        <w:t xml:space="preserve"> </w:t>
      </w:r>
      <w:r w:rsidR="008E330B" w:rsidRPr="003B0CA8">
        <w:rPr>
          <w:b/>
        </w:rPr>
        <w:t xml:space="preserve">personnes admises sur </w:t>
      </w:r>
      <w:r w:rsidR="008E330B">
        <w:rPr>
          <w:b/>
        </w:rPr>
        <w:t>le</w:t>
      </w:r>
      <w:r w:rsidR="008E330B" w:rsidRPr="003B0CA8">
        <w:rPr>
          <w:b/>
        </w:rPr>
        <w:t xml:space="preserve"> territoire </w:t>
      </w:r>
      <w:r w:rsidR="008E330B" w:rsidRPr="00CF6DD0">
        <w:rPr>
          <w:b/>
        </w:rPr>
        <w:t>de l</w:t>
      </w:r>
      <w:r w:rsidR="008E330B">
        <w:rPr>
          <w:b/>
        </w:rPr>
        <w:t>’</w:t>
      </w:r>
      <w:r w:rsidR="008E330B" w:rsidRPr="00CF6DD0">
        <w:rPr>
          <w:b/>
        </w:rPr>
        <w:t>État partie</w:t>
      </w:r>
      <w:r w:rsidR="008E330B" w:rsidRPr="003B0CA8">
        <w:rPr>
          <w:b/>
        </w:rPr>
        <w:t xml:space="preserve"> à titre </w:t>
      </w:r>
      <w:r w:rsidR="008E330B">
        <w:rPr>
          <w:b/>
        </w:rPr>
        <w:t xml:space="preserve">provisoire et des personnes </w:t>
      </w:r>
      <w:r w:rsidR="008E330B" w:rsidRPr="00E356F4">
        <w:rPr>
          <w:b/>
        </w:rPr>
        <w:t xml:space="preserve">résidant dans les centres fédéraux </w:t>
      </w:r>
      <w:r w:rsidR="008E330B">
        <w:rPr>
          <w:b/>
        </w:rPr>
        <w:t xml:space="preserve">pour requérants </w:t>
      </w:r>
      <w:r w:rsidR="008E330B" w:rsidRPr="00E356F4">
        <w:rPr>
          <w:b/>
        </w:rPr>
        <w:t>d</w:t>
      </w:r>
      <w:r w:rsidR="008E330B">
        <w:rPr>
          <w:b/>
        </w:rPr>
        <w:t>’</w:t>
      </w:r>
      <w:r w:rsidR="008E330B" w:rsidRPr="00E356F4">
        <w:rPr>
          <w:b/>
        </w:rPr>
        <w:t>asile</w:t>
      </w:r>
      <w:r w:rsidR="008E330B">
        <w:rPr>
          <w:b/>
        </w:rPr>
        <w:t>, en levant les restrictions disproportionnées dont elles font l’objet ;</w:t>
      </w:r>
    </w:p>
    <w:p w14:paraId="6BE5DE4E" w14:textId="68A9E2C9" w:rsidR="008E330B" w:rsidRDefault="0066452A" w:rsidP="003C7926">
      <w:pPr>
        <w:pStyle w:val="SingleTxtG"/>
        <w:ind w:firstLine="567"/>
        <w:rPr>
          <w:b/>
        </w:rPr>
      </w:pPr>
      <w:r>
        <w:rPr>
          <w:b/>
        </w:rPr>
        <w:t>e)</w:t>
      </w:r>
      <w:r>
        <w:rPr>
          <w:b/>
        </w:rPr>
        <w:tab/>
      </w:r>
      <w:r w:rsidR="008E330B">
        <w:rPr>
          <w:b/>
        </w:rPr>
        <w:t>De renforcer les mesures visant à garantir l’accès à l’éducation de base à tous les enfants migrants non accompagnés sans discrimination ;</w:t>
      </w:r>
    </w:p>
    <w:p w14:paraId="6C8E3EEF" w14:textId="42BF7E48" w:rsidR="008E330B" w:rsidRPr="00330981" w:rsidRDefault="0066452A" w:rsidP="003C7926">
      <w:pPr>
        <w:pStyle w:val="SingleTxtG"/>
        <w:ind w:firstLine="567"/>
        <w:rPr>
          <w:b/>
        </w:rPr>
      </w:pPr>
      <w:r>
        <w:rPr>
          <w:b/>
        </w:rPr>
        <w:t>f)</w:t>
      </w:r>
      <w:r>
        <w:rPr>
          <w:b/>
        </w:rPr>
        <w:tab/>
      </w:r>
      <w:r w:rsidR="008E330B" w:rsidRPr="00330981">
        <w:rPr>
          <w:b/>
        </w:rPr>
        <w:t>De veiller à ce que les ressortissants de pays situés en dehors de l</w:t>
      </w:r>
      <w:r w:rsidR="008E330B">
        <w:rPr>
          <w:b/>
        </w:rPr>
        <w:t>’</w:t>
      </w:r>
      <w:r w:rsidR="008E330B" w:rsidRPr="00330981">
        <w:rPr>
          <w:b/>
        </w:rPr>
        <w:t xml:space="preserve">Union européenne puissent avoir </w:t>
      </w:r>
      <w:r w:rsidR="008E330B" w:rsidRPr="0097058B">
        <w:rPr>
          <w:b/>
        </w:rPr>
        <w:t>acc</w:t>
      </w:r>
      <w:r w:rsidR="008E330B" w:rsidRPr="00FE0DAA">
        <w:rPr>
          <w:b/>
        </w:rPr>
        <w:t>ès à l</w:t>
      </w:r>
      <w:r w:rsidR="008E330B">
        <w:rPr>
          <w:b/>
        </w:rPr>
        <w:t>’</w:t>
      </w:r>
      <w:r w:rsidR="008E330B" w:rsidRPr="00FE0DAA">
        <w:rPr>
          <w:b/>
        </w:rPr>
        <w:t>aide sociale</w:t>
      </w:r>
      <w:r w:rsidR="008E330B" w:rsidRPr="00330981">
        <w:rPr>
          <w:b/>
        </w:rPr>
        <w:t xml:space="preserve"> sans discrimination du fait de leur nationalité ou origine</w:t>
      </w:r>
      <w:r w:rsidR="008E330B">
        <w:rPr>
          <w:b/>
        </w:rPr>
        <w:t> </w:t>
      </w:r>
      <w:r w:rsidR="008E330B" w:rsidRPr="00330981">
        <w:rPr>
          <w:b/>
        </w:rPr>
        <w:t>;</w:t>
      </w:r>
    </w:p>
    <w:p w14:paraId="2811468B" w14:textId="61E864C0" w:rsidR="008E330B" w:rsidRPr="0034600D" w:rsidRDefault="0066452A" w:rsidP="003C7926">
      <w:pPr>
        <w:pStyle w:val="SingleTxtG"/>
        <w:ind w:firstLine="567"/>
        <w:rPr>
          <w:b/>
          <w:lang w:val="fr-FR"/>
        </w:rPr>
      </w:pPr>
      <w:r>
        <w:rPr>
          <w:b/>
          <w:lang w:val="fr-FR"/>
        </w:rPr>
        <w:t>g)</w:t>
      </w:r>
      <w:r>
        <w:rPr>
          <w:b/>
          <w:lang w:val="fr-FR"/>
        </w:rPr>
        <w:tab/>
      </w:r>
      <w:r w:rsidR="008E330B" w:rsidRPr="0034600D">
        <w:rPr>
          <w:b/>
          <w:lang w:val="fr-FR"/>
        </w:rPr>
        <w:t xml:space="preserve">De </w:t>
      </w:r>
      <w:r w:rsidR="008E330B">
        <w:rPr>
          <w:b/>
          <w:lang w:val="fr-FR"/>
        </w:rPr>
        <w:t>prévoir</w:t>
      </w:r>
      <w:r w:rsidR="008E330B" w:rsidRPr="0034600D">
        <w:rPr>
          <w:b/>
          <w:lang w:val="fr-FR"/>
        </w:rPr>
        <w:t xml:space="preserve"> que tous les enfants nés apatrides dans l</w:t>
      </w:r>
      <w:r w:rsidR="008E330B">
        <w:rPr>
          <w:b/>
          <w:lang w:val="fr-FR"/>
        </w:rPr>
        <w:t>’</w:t>
      </w:r>
      <w:r w:rsidR="008E330B" w:rsidRPr="0034600D">
        <w:rPr>
          <w:b/>
          <w:lang w:val="fr-FR"/>
        </w:rPr>
        <w:t>État partie aient la possibilité d</w:t>
      </w:r>
      <w:r w:rsidR="008E330B">
        <w:rPr>
          <w:b/>
          <w:lang w:val="fr-FR"/>
        </w:rPr>
        <w:t>’</w:t>
      </w:r>
      <w:r w:rsidR="008E330B" w:rsidRPr="0034600D">
        <w:rPr>
          <w:b/>
          <w:lang w:val="fr-FR"/>
        </w:rPr>
        <w:t>acquérir la nationalité suisse à la naissance</w:t>
      </w:r>
      <w:r w:rsidR="008E330B">
        <w:rPr>
          <w:b/>
          <w:lang w:val="fr-FR"/>
        </w:rPr>
        <w:t>, et de</w:t>
      </w:r>
      <w:r w:rsidR="008E330B" w:rsidRPr="0034600D">
        <w:rPr>
          <w:b/>
          <w:lang w:val="fr-FR"/>
        </w:rPr>
        <w:t xml:space="preserve"> faciliter l</w:t>
      </w:r>
      <w:r w:rsidR="008E330B">
        <w:rPr>
          <w:b/>
          <w:lang w:val="fr-FR"/>
        </w:rPr>
        <w:t>’</w:t>
      </w:r>
      <w:r w:rsidR="008E330B" w:rsidRPr="0034600D">
        <w:rPr>
          <w:b/>
          <w:lang w:val="fr-FR"/>
        </w:rPr>
        <w:t>accès à la nationalité suisse à tous les autres enfants nés en Suisse, quel</w:t>
      </w:r>
      <w:r w:rsidR="008E330B">
        <w:rPr>
          <w:b/>
          <w:lang w:val="fr-FR"/>
        </w:rPr>
        <w:t xml:space="preserve"> </w:t>
      </w:r>
      <w:r w:rsidR="008E330B" w:rsidRPr="0034600D">
        <w:rPr>
          <w:b/>
          <w:lang w:val="fr-FR"/>
        </w:rPr>
        <w:t xml:space="preserve">que soit leur statut de résidence. </w:t>
      </w:r>
    </w:p>
    <w:p w14:paraId="39CC15BE" w14:textId="77777777" w:rsidR="008E330B" w:rsidRPr="00881327" w:rsidRDefault="008E330B" w:rsidP="003C7926">
      <w:pPr>
        <w:pStyle w:val="H23G"/>
      </w:pPr>
      <w:r>
        <w:rPr>
          <w:lang w:val="fr-FR"/>
        </w:rPr>
        <w:tab/>
      </w:r>
      <w:r>
        <w:rPr>
          <w:lang w:val="fr-FR"/>
        </w:rPr>
        <w:tab/>
      </w:r>
      <w:r w:rsidRPr="00881327">
        <w:rPr>
          <w:lang w:val="fr-FR"/>
        </w:rPr>
        <w:t>Éducation et formation à la lutte contre la discrimination raciale</w:t>
      </w:r>
      <w:r w:rsidRPr="00881327">
        <w:t xml:space="preserve"> </w:t>
      </w:r>
    </w:p>
    <w:p w14:paraId="656AEC4B" w14:textId="0A0AADF4" w:rsidR="008E330B" w:rsidRPr="00881327" w:rsidRDefault="0066452A" w:rsidP="003C7926">
      <w:pPr>
        <w:pStyle w:val="SingleTxtG"/>
        <w:rPr>
          <w:lang w:val="fr-FR"/>
        </w:rPr>
      </w:pPr>
      <w:r>
        <w:t>27.</w:t>
      </w:r>
      <w:r>
        <w:tab/>
      </w:r>
      <w:r w:rsidR="008E330B" w:rsidRPr="00881327">
        <w:t>Tout en prenant note des mesures adoptées par l</w:t>
      </w:r>
      <w:r w:rsidR="008E330B">
        <w:t>’</w:t>
      </w:r>
      <w:r w:rsidR="008E330B" w:rsidRPr="00881327">
        <w:t>État partie visant à sensibiliser le public à la discrimination raciale, le Comité constate avec préoccupation que</w:t>
      </w:r>
      <w:r w:rsidR="008E330B">
        <w:t>,</w:t>
      </w:r>
      <w:r w:rsidR="008E330B" w:rsidRPr="00881327">
        <w:t xml:space="preserve"> selon les données de l</w:t>
      </w:r>
      <w:r w:rsidR="008E330B">
        <w:t>’</w:t>
      </w:r>
      <w:r w:rsidR="008E330B" w:rsidRPr="00881327">
        <w:t>Office fédéral de la statistique de 2020,</w:t>
      </w:r>
      <w:r w:rsidR="008E330B" w:rsidRPr="00732DCB">
        <w:rPr>
          <w:rStyle w:val="Appelnotedebasdep"/>
          <w:vertAlign w:val="baseline"/>
        </w:rPr>
        <w:t xml:space="preserve"> </w:t>
      </w:r>
      <w:r w:rsidR="008E330B" w:rsidRPr="00881327">
        <w:t xml:space="preserve">un tiers de la population suisse </w:t>
      </w:r>
      <w:r w:rsidR="008E330B">
        <w:t>est susceptible d’être</w:t>
      </w:r>
      <w:r w:rsidR="008E330B" w:rsidRPr="00881327">
        <w:t xml:space="preserve"> dérangé par la présence de personne</w:t>
      </w:r>
      <w:r w:rsidR="008E330B">
        <w:t>s perçues comme « différentes ». Les données</w:t>
      </w:r>
      <w:r w:rsidR="008E330B" w:rsidRPr="00881327">
        <w:t xml:space="preserve"> reflètent aussi des attitudes</w:t>
      </w:r>
      <w:r w:rsidR="008E330B">
        <w:t xml:space="preserve"> et des stéréotypes</w:t>
      </w:r>
      <w:r w:rsidR="008E330B" w:rsidRPr="00881327">
        <w:t xml:space="preserve"> négatifs envers les personnes étrangères, les personnes au mode de vie itinérant</w:t>
      </w:r>
      <w:r w:rsidR="008E330B">
        <w:t xml:space="preserve"> </w:t>
      </w:r>
      <w:r w:rsidR="008E330B" w:rsidRPr="00881327">
        <w:t xml:space="preserve">et les personnes </w:t>
      </w:r>
      <w:r w:rsidR="008E330B" w:rsidRPr="00881327">
        <w:rPr>
          <w:lang w:val="fr-FR"/>
        </w:rPr>
        <w:t>musulmanes, juives et d</w:t>
      </w:r>
      <w:r w:rsidR="008E330B">
        <w:rPr>
          <w:lang w:val="fr-FR"/>
        </w:rPr>
        <w:t>’</w:t>
      </w:r>
      <w:r w:rsidR="008E330B" w:rsidRPr="00881327">
        <w:rPr>
          <w:lang w:val="fr-FR"/>
        </w:rPr>
        <w:t>ascendance africaine. Le Comité est aussi préoccupé par le fait qu</w:t>
      </w:r>
      <w:r w:rsidR="008E330B">
        <w:rPr>
          <w:lang w:val="fr-FR"/>
        </w:rPr>
        <w:t>’</w:t>
      </w:r>
      <w:r w:rsidR="008E330B" w:rsidRPr="00881327">
        <w:rPr>
          <w:lang w:val="fr-FR"/>
        </w:rPr>
        <w:t>il n</w:t>
      </w:r>
      <w:r w:rsidR="008E330B">
        <w:rPr>
          <w:lang w:val="fr-FR"/>
        </w:rPr>
        <w:t>’</w:t>
      </w:r>
      <w:r w:rsidR="008E330B" w:rsidRPr="00881327">
        <w:rPr>
          <w:lang w:val="fr-FR"/>
        </w:rPr>
        <w:t xml:space="preserve">y a pas de formation centralisée pour le personnel de la justice sur la discrimination raciale et que les formations offertes sont facultatives. </w:t>
      </w:r>
    </w:p>
    <w:p w14:paraId="51F7E405" w14:textId="25F6B6BD" w:rsidR="008E330B" w:rsidRPr="005027D0" w:rsidRDefault="0066452A" w:rsidP="003C7926">
      <w:pPr>
        <w:pStyle w:val="SingleTxtG"/>
        <w:rPr>
          <w:b/>
          <w:lang w:val="fr-FR"/>
        </w:rPr>
      </w:pPr>
      <w:r>
        <w:t>28.</w:t>
      </w:r>
      <w:r>
        <w:tab/>
      </w:r>
      <w:r w:rsidR="008E330B" w:rsidRPr="00881327">
        <w:rPr>
          <w:b/>
          <w:bCs/>
        </w:rPr>
        <w:t>Le Comité recommande à l</w:t>
      </w:r>
      <w:r w:rsidR="008E330B">
        <w:rPr>
          <w:b/>
          <w:bCs/>
        </w:rPr>
        <w:t>’</w:t>
      </w:r>
      <w:r w:rsidR="008E330B" w:rsidRPr="00881327">
        <w:rPr>
          <w:b/>
          <w:bCs/>
        </w:rPr>
        <w:t xml:space="preserve">État partie </w:t>
      </w:r>
      <w:r w:rsidR="008E330B">
        <w:rPr>
          <w:b/>
          <w:bCs/>
        </w:rPr>
        <w:t xml:space="preserve">d’accroître ses efforts </w:t>
      </w:r>
      <w:r w:rsidR="008E330B" w:rsidRPr="00881327">
        <w:rPr>
          <w:b/>
          <w:bCs/>
        </w:rPr>
        <w:t>pour sensibiliser</w:t>
      </w:r>
      <w:r w:rsidR="008E330B" w:rsidRPr="005027D0">
        <w:rPr>
          <w:b/>
          <w:bCs/>
        </w:rPr>
        <w:t xml:space="preserve"> l</w:t>
      </w:r>
      <w:r w:rsidR="008E330B">
        <w:rPr>
          <w:b/>
          <w:bCs/>
        </w:rPr>
        <w:t>’</w:t>
      </w:r>
      <w:r w:rsidR="008E330B" w:rsidRPr="005027D0">
        <w:rPr>
          <w:b/>
          <w:bCs/>
        </w:rPr>
        <w:t>opi</w:t>
      </w:r>
      <w:r w:rsidR="008E330B">
        <w:rPr>
          <w:b/>
          <w:bCs/>
        </w:rPr>
        <w:t xml:space="preserve">nion publique à l’importance </w:t>
      </w:r>
      <w:r w:rsidR="008E330B" w:rsidRPr="005027D0">
        <w:rPr>
          <w:b/>
          <w:bCs/>
        </w:rPr>
        <w:t xml:space="preserve">de </w:t>
      </w:r>
      <w:r w:rsidR="008E330B">
        <w:rPr>
          <w:b/>
          <w:bCs/>
        </w:rPr>
        <w:t xml:space="preserve">la tolérance et de </w:t>
      </w:r>
      <w:r w:rsidR="008E330B" w:rsidRPr="005027D0">
        <w:rPr>
          <w:b/>
          <w:bCs/>
        </w:rPr>
        <w:t>la lutte contre la discrimination raciale,</w:t>
      </w:r>
      <w:r w:rsidR="008E330B">
        <w:rPr>
          <w:b/>
          <w:bCs/>
        </w:rPr>
        <w:t xml:space="preserve"> les préjugés et les stéréotypes raciaux, et de promouvoir une politique active d’ouverture des institutions à une population diversifiée, notamment aux personnes exposées à la discrimination raciale. Le Comité réitère sa recommandation à l’État partie de sensibiliser le personnel de la justice aux normes internationales interdisant la discrimination raciale, </w:t>
      </w:r>
      <w:r w:rsidR="008E330B" w:rsidRPr="00B268D8">
        <w:rPr>
          <w:b/>
          <w:bCs/>
        </w:rPr>
        <w:t>y compris en établissant des cours de formation obligatoire à cet égard.</w:t>
      </w:r>
      <w:r w:rsidR="008E330B">
        <w:rPr>
          <w:b/>
          <w:bCs/>
        </w:rPr>
        <w:t xml:space="preserve"> </w:t>
      </w:r>
    </w:p>
    <w:p w14:paraId="2DF36770" w14:textId="77777777" w:rsidR="008E330B" w:rsidRDefault="008E330B" w:rsidP="003C7926">
      <w:pPr>
        <w:pStyle w:val="H1G"/>
      </w:pPr>
      <w:r>
        <w:lastRenderedPageBreak/>
        <w:tab/>
        <w:t>D.</w:t>
      </w:r>
      <w:r>
        <w:tab/>
        <w:t>Autres recommandations</w:t>
      </w:r>
    </w:p>
    <w:p w14:paraId="6DD4026F" w14:textId="77777777" w:rsidR="008E330B" w:rsidRDefault="008E330B" w:rsidP="003C7926">
      <w:pPr>
        <w:pStyle w:val="H23G"/>
      </w:pPr>
      <w:r>
        <w:tab/>
      </w:r>
      <w:r>
        <w:tab/>
        <w:t xml:space="preserve">Ratification d’autres instruments </w:t>
      </w:r>
    </w:p>
    <w:p w14:paraId="796E58DA" w14:textId="0F65EF2E" w:rsidR="008E330B" w:rsidRPr="0034600D" w:rsidRDefault="0066452A" w:rsidP="003C7926">
      <w:pPr>
        <w:pStyle w:val="SingleTxtG"/>
      </w:pPr>
      <w:r>
        <w:t>29.</w:t>
      </w:r>
      <w:r>
        <w:tab/>
      </w:r>
      <w:r w:rsidR="008E330B">
        <w:rPr>
          <w:b/>
          <w:bCs/>
        </w:rPr>
        <w:t xml:space="preserve">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w:t>
      </w:r>
      <w:r w:rsidR="008E330B" w:rsidRPr="005A12BA">
        <w:rPr>
          <w:b/>
          <w:bCs/>
        </w:rPr>
        <w:t>discrimination raciale, comme la Convention internationale sur la protection des droits de tous les travailleurs migrants</w:t>
      </w:r>
      <w:r w:rsidR="008E330B">
        <w:rPr>
          <w:b/>
          <w:bCs/>
        </w:rPr>
        <w:t xml:space="preserve"> et des membres de leur famille.</w:t>
      </w:r>
      <w:r w:rsidR="008E330B" w:rsidRPr="005A12BA">
        <w:rPr>
          <w:b/>
          <w:bCs/>
        </w:rPr>
        <w:t xml:space="preserve"> Le Comité encourage l</w:t>
      </w:r>
      <w:r w:rsidR="008E330B">
        <w:rPr>
          <w:b/>
          <w:bCs/>
        </w:rPr>
        <w:t>’</w:t>
      </w:r>
      <w:r w:rsidR="008E330B" w:rsidRPr="005A12BA">
        <w:rPr>
          <w:b/>
          <w:bCs/>
        </w:rPr>
        <w:t>État partie à adhérer à la Convention sur la réduction des cas d</w:t>
      </w:r>
      <w:r w:rsidR="008E330B">
        <w:rPr>
          <w:b/>
          <w:bCs/>
        </w:rPr>
        <w:t>’</w:t>
      </w:r>
      <w:r w:rsidR="008E330B" w:rsidRPr="005A12BA">
        <w:rPr>
          <w:b/>
          <w:bCs/>
        </w:rPr>
        <w:t>apatridie.</w:t>
      </w:r>
      <w:r w:rsidR="008E330B" w:rsidRPr="001910A3">
        <w:rPr>
          <w:b/>
          <w:bCs/>
          <w:highlight w:val="yellow"/>
        </w:rPr>
        <w:t xml:space="preserve"> </w:t>
      </w:r>
    </w:p>
    <w:p w14:paraId="19539F34" w14:textId="77777777" w:rsidR="008E330B" w:rsidRDefault="008E330B" w:rsidP="003C7926">
      <w:pPr>
        <w:pStyle w:val="H23G"/>
      </w:pPr>
      <w:r>
        <w:tab/>
      </w:r>
      <w:r>
        <w:tab/>
        <w:t>Suite donnée à la Déclaration et au Programme d’action de Durban</w:t>
      </w:r>
    </w:p>
    <w:p w14:paraId="380F590B" w14:textId="317FE8AA" w:rsidR="008E330B" w:rsidRDefault="0066452A" w:rsidP="003C7926">
      <w:pPr>
        <w:pStyle w:val="SingleTxtG"/>
        <w:rPr>
          <w:b/>
          <w:bCs/>
        </w:rPr>
      </w:pPr>
      <w:r>
        <w:t>30.</w:t>
      </w:r>
      <w:r>
        <w:tab/>
      </w:r>
      <w:r w:rsidR="008E330B">
        <w:rPr>
          <w:b/>
          <w:bCs/>
        </w:rPr>
        <w:t>À la lumière de sa recommandation générale n</w:t>
      </w:r>
      <w:r w:rsidR="008E330B" w:rsidRPr="00B72D53">
        <w:rPr>
          <w:b/>
          <w:bCs/>
          <w:vertAlign w:val="superscript"/>
        </w:rPr>
        <w:t>o</w:t>
      </w:r>
      <w:r w:rsidR="008E330B">
        <w:rPr>
          <w:b/>
          <w:bCs/>
        </w:rPr>
        <w:t> 33 (2009) concernant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14:paraId="3FD7DBF4" w14:textId="77777777" w:rsidR="008E330B" w:rsidRDefault="008E330B" w:rsidP="003C7926">
      <w:pPr>
        <w:pStyle w:val="H23G"/>
      </w:pPr>
      <w:r>
        <w:tab/>
      </w:r>
      <w:r>
        <w:tab/>
        <w:t xml:space="preserve">Décennie internationale des personnes d’ascendance africaine </w:t>
      </w:r>
    </w:p>
    <w:p w14:paraId="571DFB21" w14:textId="649623CB" w:rsidR="008E330B" w:rsidRPr="00084BBF" w:rsidRDefault="0066452A" w:rsidP="003C7926">
      <w:pPr>
        <w:pStyle w:val="SingleTxtG"/>
        <w:rPr>
          <w:b/>
          <w:lang w:eastAsia="en-GB"/>
        </w:rPr>
      </w:pPr>
      <w:r>
        <w:rPr>
          <w:lang w:eastAsia="en-GB"/>
        </w:rPr>
        <w:t>31.</w:t>
      </w:r>
      <w:r>
        <w:rPr>
          <w:lang w:eastAsia="en-GB"/>
        </w:rPr>
        <w:tab/>
      </w:r>
      <w:r w:rsidR="008E330B" w:rsidRPr="00084BBF">
        <w:rPr>
          <w:b/>
          <w:bCs/>
          <w:lang w:eastAsia="en-GB"/>
        </w:rPr>
        <w:t xml:space="preserve">À la lumière de la résolution </w:t>
      </w:r>
      <w:bookmarkStart w:id="4" w:name="_Hlk91499334"/>
      <w:r w:rsidR="006F6EB6">
        <w:rPr>
          <w:b/>
          <w:bCs/>
          <w:lang w:eastAsia="en-GB"/>
        </w:rPr>
        <w:fldChar w:fldCharType="begin"/>
      </w:r>
      <w:r w:rsidR="006F6EB6">
        <w:rPr>
          <w:b/>
          <w:bCs/>
          <w:lang w:eastAsia="en-GB"/>
        </w:rPr>
        <w:instrText xml:space="preserve"> HYPERLINK "https://undocs.org/fr/A/RES/68/237" </w:instrText>
      </w:r>
      <w:r w:rsidR="00B27161">
        <w:rPr>
          <w:b/>
          <w:bCs/>
          <w:lang w:eastAsia="en-GB"/>
        </w:rPr>
      </w:r>
      <w:r w:rsidR="006F6EB6">
        <w:rPr>
          <w:b/>
          <w:bCs/>
          <w:lang w:eastAsia="en-GB"/>
        </w:rPr>
        <w:fldChar w:fldCharType="separate"/>
      </w:r>
      <w:r w:rsidR="008E330B" w:rsidRPr="006F6EB6">
        <w:rPr>
          <w:rStyle w:val="Lienhypertexte"/>
          <w:b/>
          <w:bCs/>
          <w:lang w:eastAsia="en-GB"/>
        </w:rPr>
        <w:t>68/237</w:t>
      </w:r>
      <w:r w:rsidR="006F6EB6">
        <w:rPr>
          <w:b/>
          <w:bCs/>
          <w:lang w:eastAsia="en-GB"/>
        </w:rPr>
        <w:fldChar w:fldCharType="end"/>
      </w:r>
      <w:bookmarkEnd w:id="4"/>
      <w:r w:rsidR="008E330B" w:rsidRPr="00084BBF">
        <w:rPr>
          <w:b/>
          <w:bCs/>
          <w:lang w:eastAsia="en-GB"/>
        </w:rPr>
        <w:t xml:space="preserve"> de l</w:t>
      </w:r>
      <w:r w:rsidR="008E330B">
        <w:rPr>
          <w:b/>
          <w:bCs/>
          <w:lang w:eastAsia="en-GB"/>
        </w:rPr>
        <w:t>’</w:t>
      </w:r>
      <w:r w:rsidR="008E330B" w:rsidRPr="00084BBF">
        <w:rPr>
          <w:b/>
          <w:bCs/>
          <w:lang w:eastAsia="en-GB"/>
        </w:rPr>
        <w:t>Assemblée générale proclamant la Décennie internationale des personnes d</w:t>
      </w:r>
      <w:r w:rsidR="008E330B">
        <w:rPr>
          <w:b/>
          <w:bCs/>
          <w:lang w:eastAsia="en-GB"/>
        </w:rPr>
        <w:t>’</w:t>
      </w:r>
      <w:r w:rsidR="008E330B" w:rsidRPr="00084BBF">
        <w:rPr>
          <w:b/>
          <w:bCs/>
          <w:lang w:eastAsia="en-GB"/>
        </w:rPr>
        <w:t xml:space="preserve">ascendance africaine pour 2015-2024 et de la résolution </w:t>
      </w:r>
      <w:bookmarkStart w:id="5" w:name="_Hlk91499348"/>
      <w:r w:rsidR="006F6EB6">
        <w:rPr>
          <w:b/>
          <w:bCs/>
          <w:lang w:eastAsia="en-GB"/>
        </w:rPr>
        <w:fldChar w:fldCharType="begin"/>
      </w:r>
      <w:r w:rsidR="006F6EB6">
        <w:rPr>
          <w:b/>
          <w:bCs/>
          <w:lang w:eastAsia="en-GB"/>
        </w:rPr>
        <w:instrText xml:space="preserve"> HYPERLINK "https://undocs.org/fr/A/RES/69/16" </w:instrText>
      </w:r>
      <w:r w:rsidR="00B27161">
        <w:rPr>
          <w:b/>
          <w:bCs/>
          <w:lang w:eastAsia="en-GB"/>
        </w:rPr>
      </w:r>
      <w:r w:rsidR="006F6EB6">
        <w:rPr>
          <w:b/>
          <w:bCs/>
          <w:lang w:eastAsia="en-GB"/>
        </w:rPr>
        <w:fldChar w:fldCharType="separate"/>
      </w:r>
      <w:r w:rsidR="008E330B" w:rsidRPr="006F6EB6">
        <w:rPr>
          <w:rStyle w:val="Lienhypertexte"/>
          <w:b/>
          <w:bCs/>
          <w:lang w:eastAsia="en-GB"/>
        </w:rPr>
        <w:t>69/16</w:t>
      </w:r>
      <w:r w:rsidR="006F6EB6">
        <w:rPr>
          <w:b/>
          <w:bCs/>
          <w:lang w:eastAsia="en-GB"/>
        </w:rPr>
        <w:fldChar w:fldCharType="end"/>
      </w:r>
      <w:bookmarkEnd w:id="5"/>
      <w:r w:rsidR="008E330B" w:rsidRPr="00084BBF">
        <w:rPr>
          <w:b/>
          <w:bCs/>
          <w:lang w:eastAsia="en-GB"/>
        </w:rPr>
        <w:t xml:space="preserve"> sur le programme d</w:t>
      </w:r>
      <w:r w:rsidR="008E330B">
        <w:rPr>
          <w:b/>
          <w:bCs/>
          <w:lang w:eastAsia="en-GB"/>
        </w:rPr>
        <w:t>’</w:t>
      </w:r>
      <w:r w:rsidR="008E330B" w:rsidRPr="00084BBF">
        <w:rPr>
          <w:b/>
          <w:bCs/>
          <w:lang w:eastAsia="en-GB"/>
        </w:rPr>
        <w:t>activités de la Décennie, le Comité recommande à l</w:t>
      </w:r>
      <w:r w:rsidR="008E330B">
        <w:rPr>
          <w:b/>
          <w:bCs/>
          <w:lang w:eastAsia="en-GB"/>
        </w:rPr>
        <w:t>’</w:t>
      </w:r>
      <w:r w:rsidR="008E330B" w:rsidRPr="00084BBF">
        <w:rPr>
          <w:b/>
          <w:bCs/>
          <w:lang w:eastAsia="en-GB"/>
        </w:rPr>
        <w:t>État partie d</w:t>
      </w:r>
      <w:r w:rsidR="008E330B">
        <w:rPr>
          <w:b/>
          <w:bCs/>
          <w:lang w:eastAsia="en-GB"/>
        </w:rPr>
        <w:t>’</w:t>
      </w:r>
      <w:r w:rsidR="008E330B" w:rsidRPr="00084BBF">
        <w:rPr>
          <w:b/>
          <w:bCs/>
          <w:lang w:eastAsia="en-GB"/>
        </w:rPr>
        <w:t>élaborer et de mettre en œuvre un programme adapté de mesures et de politiques en collaboration avec des organisations et des personnes d</w:t>
      </w:r>
      <w:r w:rsidR="008E330B">
        <w:rPr>
          <w:b/>
          <w:bCs/>
          <w:lang w:eastAsia="en-GB"/>
        </w:rPr>
        <w:t>’</w:t>
      </w:r>
      <w:r w:rsidR="008E330B" w:rsidRPr="00084BBF">
        <w:rPr>
          <w:b/>
          <w:bCs/>
          <w:lang w:eastAsia="en-GB"/>
        </w:rPr>
        <w:t>ascendance africaine. Le Comité demande à l</w:t>
      </w:r>
      <w:r w:rsidR="008E330B">
        <w:rPr>
          <w:b/>
          <w:bCs/>
          <w:lang w:eastAsia="en-GB"/>
        </w:rPr>
        <w:t>’</w:t>
      </w:r>
      <w:r w:rsidR="008E330B" w:rsidRPr="00084BBF">
        <w:rPr>
          <w:b/>
          <w:bCs/>
          <w:lang w:eastAsia="en-GB"/>
        </w:rPr>
        <w:t>État partie d</w:t>
      </w:r>
      <w:r w:rsidR="008E330B">
        <w:rPr>
          <w:b/>
          <w:bCs/>
          <w:lang w:eastAsia="en-GB"/>
        </w:rPr>
        <w:t>’</w:t>
      </w:r>
      <w:r w:rsidR="008E330B" w:rsidRPr="00084BBF">
        <w:rPr>
          <w:b/>
          <w:bCs/>
          <w:lang w:eastAsia="en-GB"/>
        </w:rPr>
        <w:t xml:space="preserve">inclure dans son prochain rapport </w:t>
      </w:r>
      <w:r w:rsidR="008E330B">
        <w:rPr>
          <w:b/>
          <w:bCs/>
          <w:lang w:eastAsia="en-GB"/>
        </w:rPr>
        <w:t xml:space="preserve">périodique </w:t>
      </w:r>
      <w:r w:rsidR="008E330B" w:rsidRPr="00084BBF">
        <w:rPr>
          <w:b/>
          <w:bCs/>
          <w:lang w:eastAsia="en-GB"/>
        </w:rPr>
        <w:t>des renseignements précis sur les mesures concrètes qu</w:t>
      </w:r>
      <w:r w:rsidR="008E330B">
        <w:rPr>
          <w:b/>
          <w:bCs/>
          <w:lang w:eastAsia="en-GB"/>
        </w:rPr>
        <w:t>’</w:t>
      </w:r>
      <w:r w:rsidR="008E330B" w:rsidRPr="00084BBF">
        <w:rPr>
          <w:b/>
          <w:bCs/>
          <w:lang w:eastAsia="en-GB"/>
        </w:rPr>
        <w:t>il aura adoptées dans ce cadre, compte tenu de sa recommandation générale n</w:t>
      </w:r>
      <w:r w:rsidR="008E330B" w:rsidRPr="00084BBF">
        <w:rPr>
          <w:b/>
          <w:bCs/>
          <w:vertAlign w:val="superscript"/>
          <w:lang w:eastAsia="en-GB"/>
        </w:rPr>
        <w:t>o</w:t>
      </w:r>
      <w:r w:rsidR="008E330B" w:rsidRPr="00084BBF">
        <w:rPr>
          <w:b/>
          <w:bCs/>
          <w:lang w:eastAsia="en-GB"/>
        </w:rPr>
        <w:t> 34 (2011) sur la discrimination raciale envers les personnes d</w:t>
      </w:r>
      <w:r w:rsidR="008E330B">
        <w:rPr>
          <w:b/>
          <w:bCs/>
          <w:lang w:eastAsia="en-GB"/>
        </w:rPr>
        <w:t>’</w:t>
      </w:r>
      <w:r w:rsidR="008E330B" w:rsidRPr="00084BBF">
        <w:rPr>
          <w:b/>
          <w:bCs/>
          <w:lang w:eastAsia="en-GB"/>
        </w:rPr>
        <w:t>ascendance africaine.</w:t>
      </w:r>
    </w:p>
    <w:p w14:paraId="3437F283" w14:textId="77777777" w:rsidR="008E330B" w:rsidRDefault="008E330B" w:rsidP="003C7926">
      <w:pPr>
        <w:pStyle w:val="H23G"/>
      </w:pPr>
      <w:r>
        <w:tab/>
      </w:r>
      <w:r>
        <w:tab/>
        <w:t>Consultations avec la société civile</w:t>
      </w:r>
    </w:p>
    <w:p w14:paraId="615F570A" w14:textId="2D9F8195" w:rsidR="008E330B" w:rsidRPr="00084BBF" w:rsidRDefault="0066452A" w:rsidP="003C7926">
      <w:pPr>
        <w:pStyle w:val="SingleTxtG"/>
        <w:rPr>
          <w:b/>
        </w:rPr>
      </w:pPr>
      <w:r>
        <w:t>32.</w:t>
      </w:r>
      <w:r>
        <w:tab/>
      </w:r>
      <w:r w:rsidR="008E330B" w:rsidRPr="00084BBF">
        <w:rPr>
          <w:b/>
          <w:bCs/>
        </w:rPr>
        <w:t>Le Comité recommande à l</w:t>
      </w:r>
      <w:r w:rsidR="008E330B">
        <w:rPr>
          <w:b/>
          <w:bCs/>
        </w:rPr>
        <w:t>’</w:t>
      </w:r>
      <w:r w:rsidR="008E330B" w:rsidRPr="00084BBF">
        <w:rPr>
          <w:b/>
          <w:bCs/>
        </w:rPr>
        <w:t xml:space="preserve">État partie de </w:t>
      </w:r>
      <w:r w:rsidR="008E330B" w:rsidRPr="00B268D8">
        <w:rPr>
          <w:b/>
          <w:bCs/>
        </w:rPr>
        <w:t>poursuivre et d</w:t>
      </w:r>
      <w:r w:rsidR="008E330B">
        <w:rPr>
          <w:b/>
          <w:bCs/>
        </w:rPr>
        <w:t>’</w:t>
      </w:r>
      <w:r w:rsidR="008E330B" w:rsidRPr="00B268D8">
        <w:rPr>
          <w:b/>
          <w:bCs/>
        </w:rPr>
        <w:t>élargir</w:t>
      </w:r>
      <w:r w:rsidR="008E330B" w:rsidRPr="00084BBF">
        <w:rPr>
          <w:b/>
          <w:bCs/>
        </w:rPr>
        <w:t xml:space="preserve"> le dialogue avec les organisations de la société civile</w:t>
      </w:r>
      <w:r w:rsidR="008E330B">
        <w:rPr>
          <w:b/>
          <w:bCs/>
        </w:rPr>
        <w:t xml:space="preserve"> </w:t>
      </w:r>
      <w:r w:rsidR="008E330B" w:rsidRPr="00084BBF">
        <w:rPr>
          <w:b/>
          <w:bCs/>
        </w:rPr>
        <w:t>qui travaillent dans le domaine de la protection des droits de l</w:t>
      </w:r>
      <w:r w:rsidR="008E330B">
        <w:rPr>
          <w:b/>
          <w:bCs/>
        </w:rPr>
        <w:t>’</w:t>
      </w:r>
      <w:r w:rsidR="008E330B" w:rsidRPr="00084BBF">
        <w:rPr>
          <w:b/>
          <w:bCs/>
        </w:rPr>
        <w:t>homme, en particulier</w:t>
      </w:r>
      <w:r w:rsidR="008E330B">
        <w:rPr>
          <w:b/>
          <w:bCs/>
        </w:rPr>
        <w:t xml:space="preserve"> celles qui</w:t>
      </w:r>
      <w:r w:rsidR="008E330B" w:rsidRPr="00084BBF">
        <w:rPr>
          <w:b/>
          <w:bCs/>
        </w:rPr>
        <w:t xml:space="preserve"> luttent contre la discrimination raciale</w:t>
      </w:r>
      <w:r w:rsidR="008E330B">
        <w:rPr>
          <w:b/>
          <w:bCs/>
        </w:rPr>
        <w:t xml:space="preserve">, </w:t>
      </w:r>
      <w:r w:rsidR="008E330B" w:rsidRPr="00084BBF">
        <w:rPr>
          <w:b/>
          <w:bCs/>
        </w:rPr>
        <w:t>dans le cadre de l</w:t>
      </w:r>
      <w:r w:rsidR="008E330B">
        <w:rPr>
          <w:b/>
          <w:bCs/>
        </w:rPr>
        <w:t>’</w:t>
      </w:r>
      <w:r w:rsidR="008E330B" w:rsidRPr="00084BBF">
        <w:rPr>
          <w:b/>
          <w:bCs/>
        </w:rPr>
        <w:t>élaboration du prochain rapport périodique et du suivi des présentes observations finales.</w:t>
      </w:r>
    </w:p>
    <w:p w14:paraId="219B1777" w14:textId="77777777" w:rsidR="008E330B" w:rsidRDefault="008E330B" w:rsidP="003C7926">
      <w:pPr>
        <w:pStyle w:val="H23G"/>
      </w:pPr>
      <w:r>
        <w:tab/>
      </w:r>
      <w:r>
        <w:tab/>
        <w:t>Diffusion d’information</w:t>
      </w:r>
    </w:p>
    <w:p w14:paraId="55DFFB3C" w14:textId="41BA7003" w:rsidR="008E330B" w:rsidRDefault="0066452A" w:rsidP="003C7926">
      <w:pPr>
        <w:pStyle w:val="SingleTxtG"/>
        <w:rPr>
          <w:b/>
          <w:bCs/>
        </w:rPr>
      </w:pPr>
      <w:r>
        <w:t>33.</w:t>
      </w:r>
      <w:r>
        <w:tab/>
      </w:r>
      <w:r w:rsidR="008E330B">
        <w:rPr>
          <w:b/>
          <w:bCs/>
        </w:rPr>
        <w:t xml:space="preserve">Le Comité recommande à l’État partie de mettre ses rapports à la disposition du public dès leur soumission et de diffuser également les observations finales du Comité qui s’y rapportent </w:t>
      </w:r>
      <w:r w:rsidR="008E330B" w:rsidRPr="001910A3">
        <w:rPr>
          <w:b/>
          <w:bCs/>
        </w:rPr>
        <w:t>auprès de tous les organes de l</w:t>
      </w:r>
      <w:r w:rsidR="008E330B">
        <w:rPr>
          <w:b/>
          <w:bCs/>
        </w:rPr>
        <w:t>’</w:t>
      </w:r>
      <w:r w:rsidR="008E330B" w:rsidRPr="001910A3">
        <w:rPr>
          <w:b/>
          <w:bCs/>
        </w:rPr>
        <w:t xml:space="preserve">État chargés de la mise en œuvre de la Convention, </w:t>
      </w:r>
      <w:r w:rsidR="008E330B" w:rsidRPr="00B268D8">
        <w:rPr>
          <w:b/>
          <w:bCs/>
        </w:rPr>
        <w:t>y compris les cantons et les communes, ainsi que de les publier sur le site Web du Département fédéral des affaires étrangères</w:t>
      </w:r>
      <w:r w:rsidR="008E330B" w:rsidRPr="005F01C5">
        <w:rPr>
          <w:b/>
          <w:bCs/>
        </w:rPr>
        <w:t xml:space="preserve"> </w:t>
      </w:r>
      <w:r w:rsidR="008E330B">
        <w:rPr>
          <w:b/>
          <w:bCs/>
        </w:rPr>
        <w:t>dans les langues officielles et les autres langues couramment utilisées, selon qu’il conviendra.</w:t>
      </w:r>
    </w:p>
    <w:p w14:paraId="0CB5FFD2" w14:textId="2CFAB29A" w:rsidR="008E330B" w:rsidRDefault="008E330B" w:rsidP="003C7926">
      <w:pPr>
        <w:pStyle w:val="H23G"/>
        <w:rPr>
          <w:lang w:eastAsia="zh-CN"/>
        </w:rPr>
      </w:pPr>
      <w:r>
        <w:tab/>
      </w:r>
      <w:r>
        <w:tab/>
      </w:r>
      <w:r w:rsidRPr="00B268D8">
        <w:t>D</w:t>
      </w:r>
      <w:r w:rsidRPr="00B268D8">
        <w:rPr>
          <w:lang w:eastAsia="zh-CN"/>
        </w:rPr>
        <w:t>ocument de base commun</w:t>
      </w:r>
    </w:p>
    <w:p w14:paraId="3D23D8A8" w14:textId="2D1F8FE7" w:rsidR="008E330B" w:rsidRDefault="0066452A" w:rsidP="003C7926">
      <w:pPr>
        <w:pStyle w:val="SingleTxtG"/>
        <w:rPr>
          <w:b/>
          <w:bCs/>
          <w:color w:val="000000"/>
          <w:lang w:eastAsia="zh-CN"/>
        </w:rPr>
      </w:pPr>
      <w:r>
        <w:t>34.</w:t>
      </w:r>
      <w:r>
        <w:tab/>
      </w:r>
      <w:r w:rsidR="008E330B">
        <w:rPr>
          <w:b/>
          <w:bCs/>
        </w:rPr>
        <w:t xml:space="preserve">Le Comité encourage l’État partie à </w:t>
      </w:r>
      <w:r w:rsidR="008E330B">
        <w:rPr>
          <w:b/>
          <w:bCs/>
          <w:color w:val="000000"/>
          <w:lang w:eastAsia="zh-CN"/>
        </w:rPr>
        <w:t>mettre à jour son document de base commun</w:t>
      </w:r>
      <w:r w:rsidR="008E330B">
        <w:rPr>
          <w:b/>
          <w:bCs/>
          <w:lang w:eastAsia="zh-CN"/>
        </w:rPr>
        <w:t xml:space="preserve">, </w:t>
      </w:r>
      <w:r w:rsidR="008E330B" w:rsidRPr="00B268D8">
        <w:rPr>
          <w:b/>
          <w:bCs/>
          <w:lang w:eastAsia="zh-CN"/>
        </w:rPr>
        <w:t>qui date de 2017,</w:t>
      </w:r>
      <w:r w:rsidR="008E330B" w:rsidRPr="005F01C5">
        <w:rPr>
          <w:b/>
          <w:bCs/>
          <w:lang w:eastAsia="zh-CN"/>
        </w:rPr>
        <w:t xml:space="preserve"> </w:t>
      </w:r>
      <w:r w:rsidR="008E330B">
        <w:rPr>
          <w:b/>
          <w:bCs/>
          <w:color w:val="000000"/>
          <w:lang w:eastAsia="zh-CN"/>
        </w:rPr>
        <w:t xml:space="preserve">conformément aux directives harmonisées pour l’établissement de rapports au titre des instruments internationaux relatifs aux droits de l’homme, en particulier celles concernant le document de base commun, </w:t>
      </w:r>
      <w:r w:rsidR="008E330B">
        <w:rPr>
          <w:b/>
          <w:bCs/>
        </w:rPr>
        <w:t>adoptées</w:t>
      </w:r>
      <w:r w:rsidR="008E330B">
        <w:rPr>
          <w:b/>
          <w:bCs/>
          <w:color w:val="000000"/>
          <w:lang w:eastAsia="zh-CN"/>
        </w:rPr>
        <w:t xml:space="preserve"> à la cinquième réunion </w:t>
      </w:r>
      <w:proofErr w:type="spellStart"/>
      <w:r w:rsidR="008E330B">
        <w:rPr>
          <w:b/>
          <w:bCs/>
          <w:color w:val="000000"/>
          <w:lang w:eastAsia="zh-CN"/>
        </w:rPr>
        <w:t>intercomités</w:t>
      </w:r>
      <w:proofErr w:type="spellEnd"/>
      <w:r w:rsidR="008E330B">
        <w:rPr>
          <w:b/>
          <w:bCs/>
          <w:color w:val="000000"/>
          <w:lang w:eastAsia="zh-CN"/>
        </w:rPr>
        <w:t xml:space="preserve"> des organes créés en vertu d’instruments </w:t>
      </w:r>
      <w:r w:rsidR="008E330B">
        <w:rPr>
          <w:b/>
          <w:bCs/>
          <w:color w:val="000000"/>
          <w:lang w:eastAsia="zh-CN"/>
        </w:rPr>
        <w:lastRenderedPageBreak/>
        <w:t>internationaux relatifs aux droits de l’homme tenue en juin 2006</w:t>
      </w:r>
      <w:r w:rsidR="008E330B" w:rsidRPr="00F974A6">
        <w:rPr>
          <w:rStyle w:val="Appelnotedebasdep"/>
        </w:rPr>
        <w:footnoteReference w:id="6"/>
      </w:r>
      <w:r w:rsidR="008E330B">
        <w:rPr>
          <w:b/>
          <w:bCs/>
          <w:color w:val="000000"/>
          <w:lang w:eastAsia="zh-CN"/>
        </w:rPr>
        <w:t xml:space="preserve">. </w:t>
      </w:r>
      <w:r w:rsidR="008E330B">
        <w:rPr>
          <w:b/>
          <w:bCs/>
          <w:lang w:eastAsia="en-GB"/>
        </w:rPr>
        <w:t xml:space="preserve">À </w:t>
      </w:r>
      <w:r w:rsidR="008E330B">
        <w:rPr>
          <w:b/>
          <w:bCs/>
          <w:color w:val="000000"/>
          <w:lang w:eastAsia="zh-CN"/>
        </w:rPr>
        <w:t xml:space="preserve">la lumière de la résolution </w:t>
      </w:r>
      <w:bookmarkStart w:id="6" w:name="_Hlk91499369"/>
      <w:r w:rsidR="006F6EB6">
        <w:rPr>
          <w:b/>
          <w:bCs/>
          <w:color w:val="000000"/>
          <w:lang w:eastAsia="zh-CN"/>
        </w:rPr>
        <w:fldChar w:fldCharType="begin"/>
      </w:r>
      <w:r w:rsidR="006F6EB6">
        <w:rPr>
          <w:b/>
          <w:bCs/>
          <w:color w:val="000000"/>
          <w:lang w:eastAsia="zh-CN"/>
        </w:rPr>
        <w:instrText xml:space="preserve"> HYPERLINK "https://undocs.org/fr/A/RES/68/268" </w:instrText>
      </w:r>
      <w:r w:rsidR="00B27161">
        <w:rPr>
          <w:b/>
          <w:bCs/>
          <w:color w:val="000000"/>
          <w:lang w:eastAsia="zh-CN"/>
        </w:rPr>
      </w:r>
      <w:r w:rsidR="006F6EB6">
        <w:rPr>
          <w:b/>
          <w:bCs/>
          <w:color w:val="000000"/>
          <w:lang w:eastAsia="zh-CN"/>
        </w:rPr>
        <w:fldChar w:fldCharType="separate"/>
      </w:r>
      <w:r w:rsidR="008E330B" w:rsidRPr="006F6EB6">
        <w:rPr>
          <w:rStyle w:val="Lienhypertexte"/>
          <w:b/>
          <w:bCs/>
          <w:lang w:eastAsia="zh-CN"/>
        </w:rPr>
        <w:t>68/268</w:t>
      </w:r>
      <w:r w:rsidR="006F6EB6">
        <w:rPr>
          <w:b/>
          <w:bCs/>
          <w:color w:val="000000"/>
          <w:lang w:eastAsia="zh-CN"/>
        </w:rPr>
        <w:fldChar w:fldCharType="end"/>
      </w:r>
      <w:bookmarkEnd w:id="6"/>
      <w:r w:rsidR="008E330B">
        <w:rPr>
          <w:b/>
          <w:bCs/>
          <w:color w:val="000000"/>
          <w:lang w:eastAsia="zh-CN"/>
        </w:rPr>
        <w:t xml:space="preserve"> de l’Assemblée générale, le Comité demande instamment à l’État partie de respecter la limite de 42</w:t>
      </w:r>
      <w:r>
        <w:rPr>
          <w:b/>
          <w:bCs/>
          <w:color w:val="000000"/>
          <w:lang w:eastAsia="zh-CN"/>
        </w:rPr>
        <w:t> 400 </w:t>
      </w:r>
      <w:r w:rsidR="008E330B">
        <w:rPr>
          <w:b/>
          <w:bCs/>
          <w:color w:val="000000"/>
          <w:lang w:eastAsia="zh-CN"/>
        </w:rPr>
        <w:t xml:space="preserve">mots fixée pour ce </w:t>
      </w:r>
      <w:r w:rsidR="008E330B">
        <w:rPr>
          <w:b/>
          <w:bCs/>
          <w:lang w:eastAsia="zh-CN"/>
        </w:rPr>
        <w:t>document</w:t>
      </w:r>
      <w:r w:rsidR="008E330B">
        <w:rPr>
          <w:b/>
          <w:bCs/>
          <w:color w:val="000000"/>
          <w:lang w:eastAsia="zh-CN"/>
        </w:rPr>
        <w:t>.</w:t>
      </w:r>
    </w:p>
    <w:p w14:paraId="233B75CE" w14:textId="77777777" w:rsidR="008E330B" w:rsidRDefault="008E330B" w:rsidP="003C7926">
      <w:pPr>
        <w:pStyle w:val="H23G"/>
      </w:pPr>
      <w:r>
        <w:tab/>
      </w:r>
      <w:r>
        <w:tab/>
        <w:t>Suite donnée aux présentes observations finales</w:t>
      </w:r>
    </w:p>
    <w:p w14:paraId="3B233255" w14:textId="50BA97C6" w:rsidR="008E330B" w:rsidRPr="00366059" w:rsidRDefault="0066452A" w:rsidP="003C7926">
      <w:pPr>
        <w:pStyle w:val="SingleTxtG"/>
        <w:rPr>
          <w:b/>
        </w:rPr>
      </w:pPr>
      <w:r>
        <w:t>35.</w:t>
      </w:r>
      <w:r>
        <w:tab/>
      </w:r>
      <w:r w:rsidR="008E330B" w:rsidRPr="00366059">
        <w:rPr>
          <w:b/>
          <w:bCs/>
        </w:rPr>
        <w:t xml:space="preserve">Conformément au </w:t>
      </w:r>
      <w:r w:rsidRPr="00366059">
        <w:rPr>
          <w:b/>
          <w:bCs/>
        </w:rPr>
        <w:t>paragraphe</w:t>
      </w:r>
      <w:r>
        <w:rPr>
          <w:b/>
          <w:bCs/>
        </w:rPr>
        <w:t> </w:t>
      </w:r>
      <w:r w:rsidR="008E330B" w:rsidRPr="00366059">
        <w:rPr>
          <w:b/>
          <w:bCs/>
        </w:rPr>
        <w:t xml:space="preserve">1 de </w:t>
      </w:r>
      <w:r w:rsidRPr="00366059">
        <w:rPr>
          <w:b/>
          <w:bCs/>
        </w:rPr>
        <w:t>l</w:t>
      </w:r>
      <w:r>
        <w:rPr>
          <w:b/>
          <w:bCs/>
        </w:rPr>
        <w:t>’</w:t>
      </w:r>
      <w:r w:rsidRPr="00366059">
        <w:rPr>
          <w:b/>
          <w:bCs/>
        </w:rPr>
        <w:t>article</w:t>
      </w:r>
      <w:r>
        <w:rPr>
          <w:b/>
          <w:bCs/>
        </w:rPr>
        <w:t> </w:t>
      </w:r>
      <w:r w:rsidR="008E330B" w:rsidRPr="00366059">
        <w:rPr>
          <w:b/>
          <w:bCs/>
        </w:rPr>
        <w:t>9 de la Convention et à l</w:t>
      </w:r>
      <w:r w:rsidR="008E330B">
        <w:rPr>
          <w:b/>
          <w:bCs/>
        </w:rPr>
        <w:t>’</w:t>
      </w:r>
      <w:r w:rsidR="008E330B" w:rsidRPr="00366059">
        <w:rPr>
          <w:b/>
          <w:bCs/>
        </w:rPr>
        <w:t>article</w:t>
      </w:r>
      <w:r w:rsidR="009729F4">
        <w:rPr>
          <w:b/>
          <w:bCs/>
        </w:rPr>
        <w:t> </w:t>
      </w:r>
      <w:r w:rsidR="008E330B" w:rsidRPr="00366059">
        <w:rPr>
          <w:b/>
          <w:bCs/>
        </w:rPr>
        <w:t>65 de son règlement intérieur, le Comité demande à l</w:t>
      </w:r>
      <w:r w:rsidR="008E330B">
        <w:rPr>
          <w:b/>
          <w:bCs/>
        </w:rPr>
        <w:t>’</w:t>
      </w:r>
      <w:r w:rsidR="008E330B" w:rsidRPr="00366059">
        <w:rPr>
          <w:b/>
          <w:bCs/>
        </w:rPr>
        <w:t>État partie de fournir, dans un délai d</w:t>
      </w:r>
      <w:r w:rsidR="008E330B">
        <w:rPr>
          <w:b/>
          <w:bCs/>
        </w:rPr>
        <w:t>’</w:t>
      </w:r>
      <w:r w:rsidR="008E330B" w:rsidRPr="00366059">
        <w:rPr>
          <w:b/>
          <w:bCs/>
        </w:rPr>
        <w:t>un an à compter de l</w:t>
      </w:r>
      <w:r w:rsidR="008E330B">
        <w:rPr>
          <w:b/>
          <w:bCs/>
        </w:rPr>
        <w:t>’</w:t>
      </w:r>
      <w:r w:rsidR="008E330B" w:rsidRPr="00366059">
        <w:rPr>
          <w:b/>
          <w:bCs/>
        </w:rPr>
        <w:t>adoption des présentes observations finales, des renseignements sur la suite qu</w:t>
      </w:r>
      <w:r w:rsidR="008E330B">
        <w:rPr>
          <w:b/>
          <w:bCs/>
        </w:rPr>
        <w:t>’</w:t>
      </w:r>
      <w:r w:rsidR="008E330B" w:rsidRPr="00366059">
        <w:rPr>
          <w:b/>
          <w:bCs/>
        </w:rPr>
        <w:t xml:space="preserve">il aura donnée aux recommandations figurant dans les </w:t>
      </w:r>
      <w:r w:rsidRPr="00366059">
        <w:rPr>
          <w:b/>
          <w:bCs/>
        </w:rPr>
        <w:t>paragraphes</w:t>
      </w:r>
      <w:r>
        <w:rPr>
          <w:b/>
          <w:bCs/>
        </w:rPr>
        <w:t> 16 </w:t>
      </w:r>
      <w:r w:rsidR="008E330B">
        <w:rPr>
          <w:b/>
          <w:bCs/>
        </w:rPr>
        <w:t>a) et b) (crimes et discours de haine à caractère raciste)</w:t>
      </w:r>
      <w:r w:rsidR="008E330B" w:rsidRPr="00366059">
        <w:rPr>
          <w:b/>
          <w:bCs/>
        </w:rPr>
        <w:t xml:space="preserve">, </w:t>
      </w:r>
      <w:r>
        <w:rPr>
          <w:b/>
          <w:bCs/>
        </w:rPr>
        <w:t>20 </w:t>
      </w:r>
      <w:r w:rsidR="008E330B">
        <w:rPr>
          <w:b/>
          <w:bCs/>
        </w:rPr>
        <w:t>b)</w:t>
      </w:r>
      <w:r w:rsidR="008E330B" w:rsidRPr="00366059">
        <w:rPr>
          <w:b/>
          <w:bCs/>
        </w:rPr>
        <w:t xml:space="preserve"> </w:t>
      </w:r>
      <w:r w:rsidR="008E330B">
        <w:rPr>
          <w:b/>
          <w:bCs/>
        </w:rPr>
        <w:t xml:space="preserve">(profilage racial) </w:t>
      </w:r>
      <w:r w:rsidR="008E330B" w:rsidRPr="00366059">
        <w:rPr>
          <w:b/>
          <w:bCs/>
        </w:rPr>
        <w:t xml:space="preserve">et </w:t>
      </w:r>
      <w:r>
        <w:rPr>
          <w:b/>
          <w:bCs/>
        </w:rPr>
        <w:t>26 </w:t>
      </w:r>
      <w:r w:rsidR="008E330B">
        <w:rPr>
          <w:b/>
          <w:bCs/>
        </w:rPr>
        <w:t>a), d) et e) (situation des non-ressortissants) ci-dessus</w:t>
      </w:r>
      <w:r w:rsidR="008E330B" w:rsidRPr="00366059">
        <w:rPr>
          <w:b/>
          <w:bCs/>
        </w:rPr>
        <w:t>.</w:t>
      </w:r>
    </w:p>
    <w:p w14:paraId="504EC031" w14:textId="77777777" w:rsidR="008E330B" w:rsidRDefault="008E330B" w:rsidP="003C7926">
      <w:pPr>
        <w:pStyle w:val="H23G"/>
      </w:pPr>
      <w:r>
        <w:tab/>
      </w:r>
      <w:r>
        <w:tab/>
        <w:t>Paragraphes d’importance particulière</w:t>
      </w:r>
    </w:p>
    <w:p w14:paraId="7830056B" w14:textId="1AA78AEA" w:rsidR="008E330B" w:rsidRDefault="0066452A" w:rsidP="003C7926">
      <w:pPr>
        <w:pStyle w:val="SingleTxtG"/>
        <w:rPr>
          <w:b/>
          <w:bCs/>
        </w:rPr>
      </w:pPr>
      <w:r>
        <w:t>36.</w:t>
      </w:r>
      <w:r>
        <w:tab/>
      </w:r>
      <w:r w:rsidR="008E330B">
        <w:rPr>
          <w:b/>
          <w:bCs/>
        </w:rPr>
        <w:t xml:space="preserve">Le Comité souhaite appeler l’attention de l’État partie sur l’importance particulière des recommandations figurant dans les </w:t>
      </w:r>
      <w:r w:rsidR="008E330B" w:rsidRPr="00366059">
        <w:rPr>
          <w:b/>
          <w:bCs/>
        </w:rPr>
        <w:t>paragraphes</w:t>
      </w:r>
      <w:r w:rsidR="00666472">
        <w:rPr>
          <w:b/>
          <w:bCs/>
        </w:rPr>
        <w:t> </w:t>
      </w:r>
      <w:r w:rsidR="008E330B">
        <w:rPr>
          <w:b/>
          <w:bCs/>
        </w:rPr>
        <w:t>6 (application de la Convention en droit interne)</w:t>
      </w:r>
      <w:r w:rsidR="008E330B" w:rsidRPr="00366059">
        <w:rPr>
          <w:b/>
          <w:bCs/>
        </w:rPr>
        <w:t xml:space="preserve">, </w:t>
      </w:r>
      <w:r w:rsidR="008E330B">
        <w:rPr>
          <w:b/>
          <w:bCs/>
        </w:rPr>
        <w:t>10</w:t>
      </w:r>
      <w:r w:rsidR="00666472">
        <w:rPr>
          <w:b/>
          <w:bCs/>
        </w:rPr>
        <w:t> </w:t>
      </w:r>
      <w:r w:rsidR="008E330B">
        <w:rPr>
          <w:b/>
          <w:bCs/>
        </w:rPr>
        <w:t>(Institution nationale des droits de l’homme)</w:t>
      </w:r>
      <w:r w:rsidR="008E330B" w:rsidRPr="00366059">
        <w:rPr>
          <w:b/>
          <w:bCs/>
        </w:rPr>
        <w:t xml:space="preserve"> et </w:t>
      </w:r>
      <w:r w:rsidR="008E330B">
        <w:rPr>
          <w:b/>
          <w:bCs/>
        </w:rPr>
        <w:t>18</w:t>
      </w:r>
      <w:r w:rsidR="00666472">
        <w:rPr>
          <w:b/>
          <w:bCs/>
        </w:rPr>
        <w:t> </w:t>
      </w:r>
      <w:r w:rsidR="008E330B">
        <w:rPr>
          <w:b/>
          <w:bCs/>
        </w:rPr>
        <w:t>(violences policières à caractère raciste) ci-dessus</w:t>
      </w:r>
      <w:r w:rsidR="008E330B" w:rsidRPr="00366059">
        <w:rPr>
          <w:b/>
          <w:bCs/>
        </w:rPr>
        <w:t xml:space="preserve">, </w:t>
      </w:r>
      <w:r w:rsidR="008E330B">
        <w:rPr>
          <w:b/>
          <w:bCs/>
        </w:rPr>
        <w:t>et lui demande de faire figurer dans son prochain rapport périodique des renseignements détaillés sur les mesures concrètes qu’il aura prises pour y donner suite.</w:t>
      </w:r>
    </w:p>
    <w:p w14:paraId="654CD01B" w14:textId="77777777" w:rsidR="008E330B" w:rsidRDefault="008E330B" w:rsidP="003C7926">
      <w:pPr>
        <w:pStyle w:val="H23G"/>
      </w:pPr>
      <w:r>
        <w:tab/>
      </w:r>
      <w:r>
        <w:tab/>
        <w:t>Élaboration du prochain rapport périodique</w:t>
      </w:r>
    </w:p>
    <w:p w14:paraId="4ED88DEC" w14:textId="600A3CA7" w:rsidR="008E330B" w:rsidRDefault="0066452A" w:rsidP="00C864B4">
      <w:pPr>
        <w:pStyle w:val="SingleTxtG"/>
        <w:rPr>
          <w:b/>
          <w:bCs/>
        </w:rPr>
      </w:pPr>
      <w:r>
        <w:t>37.</w:t>
      </w:r>
      <w:r>
        <w:tab/>
      </w:r>
      <w:r w:rsidR="008E330B">
        <w:rPr>
          <w:b/>
          <w:bCs/>
        </w:rPr>
        <w:t xml:space="preserve">Le Comité recommande à l’État partie de soumettre </w:t>
      </w:r>
      <w:r w:rsidR="008E330B" w:rsidRPr="00366059">
        <w:rPr>
          <w:b/>
          <w:bCs/>
        </w:rPr>
        <w:t xml:space="preserve">son rapport valant </w:t>
      </w:r>
      <w:r w:rsidR="008E330B">
        <w:rPr>
          <w:b/>
          <w:bCs/>
        </w:rPr>
        <w:t>treiz</w:t>
      </w:r>
      <w:r w:rsidR="008E330B" w:rsidRPr="00366059">
        <w:rPr>
          <w:b/>
          <w:bCs/>
        </w:rPr>
        <w:t xml:space="preserve">ième à </w:t>
      </w:r>
      <w:r w:rsidR="008E330B">
        <w:rPr>
          <w:b/>
          <w:bCs/>
        </w:rPr>
        <w:t>seiz</w:t>
      </w:r>
      <w:r w:rsidR="008E330B" w:rsidRPr="00366059">
        <w:rPr>
          <w:b/>
          <w:bCs/>
        </w:rPr>
        <w:t>ième rapports périodiques d</w:t>
      </w:r>
      <w:r w:rsidR="008E330B">
        <w:rPr>
          <w:b/>
          <w:bCs/>
        </w:rPr>
        <w:t>’</w:t>
      </w:r>
      <w:r w:rsidR="008E330B" w:rsidRPr="00366059">
        <w:rPr>
          <w:b/>
          <w:bCs/>
        </w:rPr>
        <w:t xml:space="preserve">ici au </w:t>
      </w:r>
      <w:r>
        <w:rPr>
          <w:b/>
          <w:bCs/>
        </w:rPr>
        <w:t>29 </w:t>
      </w:r>
      <w:r w:rsidR="008E330B">
        <w:rPr>
          <w:b/>
          <w:bCs/>
        </w:rPr>
        <w:t>décembre 2025</w:t>
      </w:r>
      <w:r w:rsidR="008E330B" w:rsidRPr="00366059">
        <w:rPr>
          <w:b/>
          <w:bCs/>
        </w:rPr>
        <w:t>, en tenant compte des directives pour l</w:t>
      </w:r>
      <w:r w:rsidR="008E330B">
        <w:rPr>
          <w:b/>
          <w:bCs/>
        </w:rPr>
        <w:t>’</w:t>
      </w:r>
      <w:r w:rsidR="008E330B" w:rsidRPr="00366059">
        <w:rPr>
          <w:b/>
          <w:bCs/>
        </w:rPr>
        <w:t xml:space="preserve">établissement du document se rapportant spécifiquement à la Convention adoptées par le Comité à sa soixante et </w:t>
      </w:r>
      <w:r w:rsidR="008E330B">
        <w:rPr>
          <w:b/>
          <w:bCs/>
        </w:rPr>
        <w:t>onzième session</w:t>
      </w:r>
      <w:r w:rsidR="008E330B" w:rsidRPr="00F974A6">
        <w:rPr>
          <w:rStyle w:val="Appelnotedebasdep"/>
        </w:rPr>
        <w:footnoteReference w:id="7"/>
      </w:r>
      <w:r w:rsidR="008E330B">
        <w:rPr>
          <w:b/>
          <w:bCs/>
        </w:rPr>
        <w:t xml:space="preserve"> et en traitant de tous les points soulevés dans les présentes observations finales.</w:t>
      </w:r>
      <w:r w:rsidR="008E330B">
        <w:rPr>
          <w:sz w:val="24"/>
          <w:szCs w:val="24"/>
        </w:rPr>
        <w:t xml:space="preserve"> </w:t>
      </w:r>
      <w:r w:rsidR="008E330B">
        <w:rPr>
          <w:b/>
          <w:bCs/>
          <w:lang w:eastAsia="en-GB"/>
        </w:rPr>
        <w:t xml:space="preserve">À </w:t>
      </w:r>
      <w:r w:rsidR="008E330B">
        <w:rPr>
          <w:b/>
          <w:bCs/>
        </w:rPr>
        <w:t xml:space="preserve">la lumière de la résolution </w:t>
      </w:r>
      <w:bookmarkStart w:id="7" w:name="_Hlk91499382"/>
      <w:r w:rsidR="006F6EB6">
        <w:rPr>
          <w:b/>
          <w:bCs/>
        </w:rPr>
        <w:fldChar w:fldCharType="begin"/>
      </w:r>
      <w:r w:rsidR="006F6EB6">
        <w:rPr>
          <w:b/>
          <w:bCs/>
        </w:rPr>
        <w:instrText xml:space="preserve"> HYPERLINK "https://undocs.org/fr/A/RES/68/268 " </w:instrText>
      </w:r>
      <w:r w:rsidR="00B27161">
        <w:rPr>
          <w:b/>
          <w:bCs/>
        </w:rPr>
      </w:r>
      <w:r w:rsidR="006F6EB6">
        <w:rPr>
          <w:b/>
          <w:bCs/>
        </w:rPr>
        <w:fldChar w:fldCharType="separate"/>
      </w:r>
      <w:r w:rsidR="008E330B" w:rsidRPr="006F6EB6">
        <w:rPr>
          <w:rStyle w:val="Lienhypertexte"/>
          <w:b/>
          <w:bCs/>
        </w:rPr>
        <w:t>68/268</w:t>
      </w:r>
      <w:r w:rsidR="006F6EB6">
        <w:rPr>
          <w:b/>
          <w:bCs/>
        </w:rPr>
        <w:fldChar w:fldCharType="end"/>
      </w:r>
      <w:bookmarkEnd w:id="7"/>
      <w:r w:rsidR="008E330B">
        <w:rPr>
          <w:b/>
          <w:bCs/>
        </w:rPr>
        <w:t xml:space="preserve"> de l’Assemblée générale, le Comité demande instamment à l’État partie de respecter la limite de 21</w:t>
      </w:r>
      <w:r>
        <w:rPr>
          <w:b/>
          <w:bCs/>
        </w:rPr>
        <w:t> 200 </w:t>
      </w:r>
      <w:r w:rsidR="008E330B">
        <w:rPr>
          <w:b/>
          <w:bCs/>
        </w:rPr>
        <w:t>mots fixée pour les rapports périodiques.</w:t>
      </w:r>
    </w:p>
    <w:p w14:paraId="24F5D37D" w14:textId="05BF36EF" w:rsidR="0066452A" w:rsidRPr="003C7926" w:rsidRDefault="0066452A" w:rsidP="003C7926">
      <w:pPr>
        <w:pStyle w:val="SingleTxtG"/>
        <w:spacing w:before="240" w:after="0"/>
        <w:jc w:val="center"/>
        <w:rPr>
          <w:u w:val="single"/>
        </w:rPr>
      </w:pPr>
      <w:r>
        <w:rPr>
          <w:u w:val="single"/>
        </w:rPr>
        <w:tab/>
      </w:r>
      <w:r>
        <w:rPr>
          <w:u w:val="single"/>
        </w:rPr>
        <w:tab/>
      </w:r>
      <w:r>
        <w:rPr>
          <w:u w:val="single"/>
        </w:rPr>
        <w:tab/>
      </w:r>
    </w:p>
    <w:sectPr w:rsidR="0066452A" w:rsidRPr="003C7926" w:rsidSect="00FB04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DC04" w14:textId="77777777" w:rsidR="00C864B4" w:rsidRDefault="00C864B4" w:rsidP="00F95C08">
      <w:pPr>
        <w:spacing w:line="240" w:lineRule="auto"/>
      </w:pPr>
    </w:p>
  </w:endnote>
  <w:endnote w:type="continuationSeparator" w:id="0">
    <w:p w14:paraId="2DF5D211" w14:textId="77777777" w:rsidR="00C864B4" w:rsidRPr="00AC3823" w:rsidRDefault="00C864B4" w:rsidP="00AC3823">
      <w:pPr>
        <w:pStyle w:val="Pieddepage"/>
      </w:pPr>
    </w:p>
  </w:endnote>
  <w:endnote w:type="continuationNotice" w:id="1">
    <w:p w14:paraId="74A24B7D" w14:textId="77777777" w:rsidR="00C864B4" w:rsidRDefault="00C864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6B78" w14:textId="3057BAFF" w:rsidR="00C864B4" w:rsidRPr="00FB04D8" w:rsidRDefault="00C864B4" w:rsidP="00FB04D8">
    <w:pPr>
      <w:pStyle w:val="Pieddepage"/>
      <w:tabs>
        <w:tab w:val="right" w:pos="9638"/>
      </w:tabs>
    </w:pPr>
    <w:r w:rsidRPr="00FB04D8">
      <w:rPr>
        <w:b/>
        <w:sz w:val="18"/>
      </w:rPr>
      <w:fldChar w:fldCharType="begin"/>
    </w:r>
    <w:r w:rsidRPr="00FB04D8">
      <w:rPr>
        <w:b/>
        <w:sz w:val="18"/>
      </w:rPr>
      <w:instrText xml:space="preserve"> PAGE  \* MERGEFORMAT </w:instrText>
    </w:r>
    <w:r w:rsidRPr="00FB04D8">
      <w:rPr>
        <w:b/>
        <w:sz w:val="18"/>
      </w:rPr>
      <w:fldChar w:fldCharType="separate"/>
    </w:r>
    <w:r w:rsidR="00A11520">
      <w:rPr>
        <w:b/>
        <w:noProof/>
        <w:sz w:val="18"/>
      </w:rPr>
      <w:t>8</w:t>
    </w:r>
    <w:r w:rsidRPr="00FB04D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8873" w14:textId="0F0E41B4" w:rsidR="00C864B4" w:rsidRPr="00FB04D8" w:rsidRDefault="00C864B4" w:rsidP="00FB04D8">
    <w:pPr>
      <w:pStyle w:val="Pieddepage"/>
      <w:tabs>
        <w:tab w:val="right" w:pos="9638"/>
      </w:tabs>
      <w:rPr>
        <w:b/>
        <w:sz w:val="18"/>
      </w:rPr>
    </w:pPr>
    <w:r>
      <w:tab/>
    </w:r>
    <w:r w:rsidRPr="00FB04D8">
      <w:rPr>
        <w:b/>
        <w:sz w:val="18"/>
      </w:rPr>
      <w:fldChar w:fldCharType="begin"/>
    </w:r>
    <w:r w:rsidRPr="00FB04D8">
      <w:rPr>
        <w:b/>
        <w:sz w:val="18"/>
      </w:rPr>
      <w:instrText xml:space="preserve"> PAGE  \* MERGEFORMAT </w:instrText>
    </w:r>
    <w:r w:rsidRPr="00FB04D8">
      <w:rPr>
        <w:b/>
        <w:sz w:val="18"/>
      </w:rPr>
      <w:fldChar w:fldCharType="separate"/>
    </w:r>
    <w:r w:rsidR="00A11520">
      <w:rPr>
        <w:b/>
        <w:noProof/>
        <w:sz w:val="18"/>
      </w:rPr>
      <w:t>9</w:t>
    </w:r>
    <w:r w:rsidRPr="00FB04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CDB3" w14:textId="38959EE5" w:rsidR="005700C5" w:rsidRPr="005700C5" w:rsidRDefault="005700C5" w:rsidP="005700C5">
    <w:pPr>
      <w:pStyle w:val="Pieddepage"/>
      <w:tabs>
        <w:tab w:val="left" w:pos="6520"/>
        <w:tab w:val="right" w:pos="9638"/>
      </w:tabs>
      <w:spacing w:before="120"/>
      <w:rPr>
        <w:sz w:val="20"/>
      </w:rPr>
    </w:pPr>
    <w:r>
      <w:rPr>
        <w:sz w:val="20"/>
      </w:rPr>
      <w:t>GE.21-19621  (F)</w:t>
    </w:r>
    <w:bookmarkStart w:id="8" w:name="_GoBack"/>
    <w:bookmarkEnd w:id="8"/>
    <w:r>
      <w:rPr>
        <w:sz w:val="20"/>
      </w:rPr>
      <w:tab/>
    </w:r>
    <w:r w:rsidRPr="005700C5">
      <w:rPr>
        <w:noProof/>
        <w:sz w:val="20"/>
        <w:lang w:eastAsia="fr-CH"/>
      </w:rPr>
      <w:drawing>
        <wp:inline distT="0" distB="0" distL="0" distR="0" wp14:anchorId="42F44AA3" wp14:editId="30E0171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19FC835" wp14:editId="6F527FC0">
          <wp:extent cx="563880" cy="5638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B035" w14:textId="77777777" w:rsidR="00C864B4" w:rsidRPr="00AC3823" w:rsidRDefault="00C864B4" w:rsidP="00AC3823">
      <w:pPr>
        <w:pStyle w:val="Pieddepage"/>
        <w:tabs>
          <w:tab w:val="right" w:pos="2155"/>
        </w:tabs>
        <w:spacing w:after="80" w:line="240" w:lineRule="atLeast"/>
        <w:ind w:left="680"/>
        <w:rPr>
          <w:u w:val="single"/>
        </w:rPr>
      </w:pPr>
      <w:r>
        <w:rPr>
          <w:u w:val="single"/>
        </w:rPr>
        <w:tab/>
      </w:r>
    </w:p>
  </w:footnote>
  <w:footnote w:type="continuationSeparator" w:id="0">
    <w:p w14:paraId="674529AF" w14:textId="77777777" w:rsidR="00C864B4" w:rsidRPr="00AC3823" w:rsidRDefault="00C864B4" w:rsidP="00AC3823">
      <w:pPr>
        <w:pStyle w:val="Pieddepage"/>
        <w:tabs>
          <w:tab w:val="right" w:pos="2155"/>
        </w:tabs>
        <w:spacing w:after="80" w:line="240" w:lineRule="atLeast"/>
        <w:ind w:left="680"/>
        <w:rPr>
          <w:u w:val="single"/>
        </w:rPr>
      </w:pPr>
      <w:r>
        <w:rPr>
          <w:u w:val="single"/>
        </w:rPr>
        <w:tab/>
      </w:r>
    </w:p>
  </w:footnote>
  <w:footnote w:type="continuationNotice" w:id="1">
    <w:p w14:paraId="03B52986" w14:textId="77777777" w:rsidR="00C864B4" w:rsidRPr="00AC3823" w:rsidRDefault="00C864B4">
      <w:pPr>
        <w:spacing w:line="240" w:lineRule="auto"/>
        <w:rPr>
          <w:sz w:val="2"/>
          <w:szCs w:val="2"/>
        </w:rPr>
      </w:pPr>
    </w:p>
  </w:footnote>
  <w:footnote w:id="2">
    <w:p w14:paraId="68B8B989" w14:textId="493B8EAD" w:rsidR="00C864B4" w:rsidRDefault="00C864B4" w:rsidP="008E330B">
      <w:pPr>
        <w:pStyle w:val="Notedebasdepage"/>
      </w:pPr>
      <w:r>
        <w:tab/>
      </w:r>
      <w:r>
        <w:rPr>
          <w:rStyle w:val="Appelnotedebasdep"/>
          <w:sz w:val="20"/>
          <w:vertAlign w:val="baseline"/>
        </w:rPr>
        <w:t>*</w:t>
      </w:r>
      <w:r>
        <w:tab/>
        <w:t>Adoptées par le Comité à sa 105</w:t>
      </w:r>
      <w:r w:rsidRPr="008776EE">
        <w:rPr>
          <w:vertAlign w:val="superscript"/>
        </w:rPr>
        <w:t>e</w:t>
      </w:r>
      <w:r>
        <w:t> session (15 novembre-3 décembre 2021).</w:t>
      </w:r>
    </w:p>
  </w:footnote>
  <w:footnote w:id="3">
    <w:p w14:paraId="11B2B8C7" w14:textId="03C5C324" w:rsidR="00C864B4" w:rsidRPr="00732DCB" w:rsidRDefault="00C864B4" w:rsidP="008E330B">
      <w:pPr>
        <w:pStyle w:val="Notedebasdepage"/>
        <w:rPr>
          <w:lang w:val="fr-CA"/>
        </w:rPr>
      </w:pPr>
      <w:r>
        <w:tab/>
      </w:r>
      <w:r w:rsidRPr="00F974A6">
        <w:rPr>
          <w:rStyle w:val="Appelnotedebasdep"/>
        </w:rPr>
        <w:footnoteRef/>
      </w:r>
      <w:r>
        <w:tab/>
      </w:r>
      <w:bookmarkStart w:id="0" w:name="_Hlk91499227"/>
      <w:r w:rsidR="006F6EB6">
        <w:fldChar w:fldCharType="begin"/>
      </w:r>
      <w:r w:rsidR="006F6EB6">
        <w:instrText xml:space="preserve"> HYPERLINK "https://undocs.org/fr/CERD/C/CHE/10-12" </w:instrText>
      </w:r>
      <w:r w:rsidR="006F6EB6">
        <w:fldChar w:fldCharType="separate"/>
      </w:r>
      <w:r w:rsidRPr="006F6EB6">
        <w:rPr>
          <w:rStyle w:val="Lienhypertexte"/>
        </w:rPr>
        <w:t>CERD/C/CHE/10-12</w:t>
      </w:r>
      <w:r w:rsidR="006F6EB6">
        <w:fldChar w:fldCharType="end"/>
      </w:r>
      <w:bookmarkEnd w:id="0"/>
      <w:r>
        <w:t>.</w:t>
      </w:r>
    </w:p>
  </w:footnote>
  <w:footnote w:id="4">
    <w:p w14:paraId="10677560" w14:textId="62F16BDD" w:rsidR="00C864B4" w:rsidRPr="00732DCB" w:rsidRDefault="00C864B4" w:rsidP="008E330B">
      <w:pPr>
        <w:pStyle w:val="Notedebasdepage"/>
        <w:rPr>
          <w:lang w:val="fr-CA"/>
        </w:rPr>
      </w:pPr>
      <w:r>
        <w:tab/>
      </w:r>
      <w:r w:rsidRPr="00F974A6">
        <w:rPr>
          <w:rStyle w:val="Appelnotedebasdep"/>
        </w:rPr>
        <w:footnoteRef/>
      </w:r>
      <w:r>
        <w:tab/>
        <w:t>V</w:t>
      </w:r>
      <w:r w:rsidRPr="00381D41">
        <w:t xml:space="preserve">oir </w:t>
      </w:r>
      <w:bookmarkStart w:id="1" w:name="_Hlk91499245"/>
      <w:r w:rsidR="006F6EB6">
        <w:fldChar w:fldCharType="begin"/>
      </w:r>
      <w:r w:rsidR="006F6EB6">
        <w:instrText>HYPERLINK "https://undocs.org/en/CERD/C/SR.2839"</w:instrText>
      </w:r>
      <w:r w:rsidR="006F6EB6">
        <w:fldChar w:fldCharType="separate"/>
      </w:r>
      <w:r w:rsidRPr="006F6EB6">
        <w:rPr>
          <w:rStyle w:val="Lienhypertexte"/>
        </w:rPr>
        <w:t>CERD/C/SR.2839</w:t>
      </w:r>
      <w:r w:rsidR="006F6EB6">
        <w:fldChar w:fldCharType="end"/>
      </w:r>
      <w:bookmarkEnd w:id="1"/>
      <w:r w:rsidRPr="00381D41">
        <w:t xml:space="preserve"> et </w:t>
      </w:r>
      <w:bookmarkStart w:id="2" w:name="_Hlk91499255"/>
      <w:r w:rsidR="006F6EB6">
        <w:fldChar w:fldCharType="begin"/>
      </w:r>
      <w:r w:rsidR="006F6EB6">
        <w:instrText>HYPERLINK "https://undocs.org/en/CERD/C/SR.2840"</w:instrText>
      </w:r>
      <w:r w:rsidR="006F6EB6">
        <w:fldChar w:fldCharType="separate"/>
      </w:r>
      <w:r w:rsidRPr="006F6EB6">
        <w:rPr>
          <w:rStyle w:val="Lienhypertexte"/>
        </w:rPr>
        <w:t>CERD/C/SR.2840</w:t>
      </w:r>
      <w:r w:rsidR="006F6EB6">
        <w:fldChar w:fldCharType="end"/>
      </w:r>
      <w:bookmarkEnd w:id="2"/>
      <w:r>
        <w:t>.</w:t>
      </w:r>
    </w:p>
  </w:footnote>
  <w:footnote w:id="5">
    <w:p w14:paraId="6C0E9780" w14:textId="62C3E043" w:rsidR="00C864B4" w:rsidRPr="00732DCB" w:rsidRDefault="00C864B4" w:rsidP="008E330B">
      <w:pPr>
        <w:pStyle w:val="Notedebasdepage"/>
        <w:rPr>
          <w:lang w:val="en-GB"/>
        </w:rPr>
      </w:pPr>
      <w:r>
        <w:tab/>
      </w:r>
      <w:r w:rsidRPr="00F974A6">
        <w:rPr>
          <w:rStyle w:val="Appelnotedebasdep"/>
        </w:rPr>
        <w:footnoteRef/>
      </w:r>
      <w:r w:rsidRPr="00732DCB">
        <w:rPr>
          <w:lang w:val="en-GB"/>
        </w:rPr>
        <w:tab/>
      </w:r>
      <w:bookmarkStart w:id="3" w:name="_Hlk91499269"/>
      <w:r w:rsidR="006F6EB6">
        <w:rPr>
          <w:lang w:val="en-GB"/>
        </w:rPr>
        <w:fldChar w:fldCharType="begin"/>
      </w:r>
      <w:r w:rsidR="006F6EB6">
        <w:rPr>
          <w:lang w:val="en-GB"/>
        </w:rPr>
        <w:instrText xml:space="preserve"> HYPERLINK "https://undocs.org/fr/CERD/C/CHE/CO/7-9" </w:instrText>
      </w:r>
      <w:r w:rsidR="00B27161">
        <w:rPr>
          <w:lang w:val="en-GB"/>
        </w:rPr>
      </w:r>
      <w:r w:rsidR="006F6EB6">
        <w:rPr>
          <w:lang w:val="en-GB"/>
        </w:rPr>
        <w:fldChar w:fldCharType="separate"/>
      </w:r>
      <w:r w:rsidRPr="006F6EB6">
        <w:rPr>
          <w:rStyle w:val="Lienhypertexte"/>
          <w:lang w:val="en-GB"/>
        </w:rPr>
        <w:t>CERD/C/CHE/CO/7-9</w:t>
      </w:r>
      <w:r w:rsidR="006F6EB6">
        <w:rPr>
          <w:lang w:val="en-GB"/>
        </w:rPr>
        <w:fldChar w:fldCharType="end"/>
      </w:r>
      <w:bookmarkEnd w:id="3"/>
      <w:r w:rsidRPr="00732DCB">
        <w:rPr>
          <w:lang w:val="en-GB"/>
        </w:rPr>
        <w:t>.</w:t>
      </w:r>
    </w:p>
  </w:footnote>
  <w:footnote w:id="6">
    <w:p w14:paraId="06D6E91D" w14:textId="0F7F6886" w:rsidR="00C864B4" w:rsidRPr="00B27161" w:rsidRDefault="00C864B4" w:rsidP="008E330B">
      <w:pPr>
        <w:pStyle w:val="Notedebasdepage"/>
        <w:rPr>
          <w:lang w:val="en-US"/>
        </w:rPr>
      </w:pPr>
      <w:r w:rsidRPr="00732DCB">
        <w:rPr>
          <w:lang w:val="en-GB"/>
        </w:rPr>
        <w:tab/>
      </w:r>
      <w:r w:rsidRPr="00F974A6">
        <w:rPr>
          <w:rStyle w:val="Appelnotedebasdep"/>
        </w:rPr>
        <w:footnoteRef/>
      </w:r>
      <w:r w:rsidRPr="00732DCB">
        <w:rPr>
          <w:lang w:val="en-GB"/>
        </w:rPr>
        <w:tab/>
      </w:r>
      <w:hyperlink r:id="rId1" w:history="1">
        <w:r w:rsidRPr="006F6EB6">
          <w:rPr>
            <w:rStyle w:val="Lienhypertexte"/>
            <w:lang w:val="en-GB" w:eastAsia="zh-CN"/>
          </w:rPr>
          <w:t>HRI/GEN/2/Rev.6</w:t>
        </w:r>
      </w:hyperlink>
      <w:r w:rsidRPr="00732DCB">
        <w:rPr>
          <w:color w:val="000000"/>
          <w:lang w:val="en-GB" w:eastAsia="zh-CN"/>
        </w:rPr>
        <w:t>, chap. </w:t>
      </w:r>
      <w:r w:rsidRPr="00B27161">
        <w:rPr>
          <w:color w:val="000000"/>
          <w:lang w:val="en-US" w:eastAsia="zh-CN"/>
        </w:rPr>
        <w:t>I.</w:t>
      </w:r>
    </w:p>
  </w:footnote>
  <w:footnote w:id="7">
    <w:p w14:paraId="7DB9A851" w14:textId="25D98BA9" w:rsidR="00C864B4" w:rsidRPr="00A03E2D" w:rsidRDefault="00C864B4" w:rsidP="008E330B">
      <w:pPr>
        <w:pStyle w:val="Notedebasdepage"/>
      </w:pPr>
      <w:r w:rsidRPr="00B27161">
        <w:rPr>
          <w:lang w:val="en-US"/>
        </w:rPr>
        <w:tab/>
      </w:r>
      <w:r w:rsidRPr="00F974A6">
        <w:rPr>
          <w:rStyle w:val="Appelnotedebasdep"/>
        </w:rPr>
        <w:footnoteRef/>
      </w:r>
      <w:r w:rsidRPr="00B27161">
        <w:rPr>
          <w:lang w:val="en-US"/>
        </w:rPr>
        <w:tab/>
      </w:r>
      <w:hyperlink r:id="rId2" w:history="1">
        <w:r w:rsidRPr="006F6EB6">
          <w:rPr>
            <w:rStyle w:val="Lienhypertexte"/>
          </w:rPr>
          <w:t>CERD/C/2007/1</w:t>
        </w:r>
      </w:hyperlink>
      <w:r w:rsidRPr="00A03E2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A49D" w14:textId="58CAC783" w:rsidR="00C864B4" w:rsidRPr="00FB04D8" w:rsidRDefault="00B27161">
    <w:pPr>
      <w:pStyle w:val="En-tte"/>
    </w:pPr>
    <w:r>
      <w:fldChar w:fldCharType="begin"/>
    </w:r>
    <w:r>
      <w:instrText xml:space="preserve"> TITLE  \* MERGEFORMAT </w:instrText>
    </w:r>
    <w:r>
      <w:fldChar w:fldCharType="separate"/>
    </w:r>
    <w:r>
      <w:t>CERD/C/CHE/CO/10-12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14E3" w14:textId="2C36682E" w:rsidR="00C864B4" w:rsidRPr="00FB04D8" w:rsidRDefault="00B27161" w:rsidP="00FB04D8">
    <w:pPr>
      <w:pStyle w:val="En-tte"/>
      <w:jc w:val="right"/>
    </w:pPr>
    <w:r>
      <w:fldChar w:fldCharType="begin"/>
    </w:r>
    <w:r>
      <w:instrText xml:space="preserve"> TITLE  \* MERGEFORMAT </w:instrText>
    </w:r>
    <w:r>
      <w:fldChar w:fldCharType="separate"/>
    </w:r>
    <w:r>
      <w:t>CERD/C/CHE/CO/10-12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562E6F"/>
    <w:multiLevelType w:val="hybridMultilevel"/>
    <w:tmpl w:val="52D63F44"/>
    <w:lvl w:ilvl="0" w:tplc="2AC4013A">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F1D795F"/>
    <w:multiLevelType w:val="hybridMultilevel"/>
    <w:tmpl w:val="A9025FEC"/>
    <w:lvl w:ilvl="0" w:tplc="4816DCA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03D2DDE"/>
    <w:multiLevelType w:val="hybridMultilevel"/>
    <w:tmpl w:val="9C3E7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81406E"/>
    <w:multiLevelType w:val="hybridMultilevel"/>
    <w:tmpl w:val="0A8C0EF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AA27549"/>
    <w:multiLevelType w:val="hybridMultilevel"/>
    <w:tmpl w:val="6DEA048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87D0E0E"/>
    <w:multiLevelType w:val="hybridMultilevel"/>
    <w:tmpl w:val="3D52ED5A"/>
    <w:lvl w:ilvl="0" w:tplc="F2CABC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53576D8"/>
    <w:multiLevelType w:val="hybridMultilevel"/>
    <w:tmpl w:val="98A0B3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1C85562"/>
    <w:multiLevelType w:val="hybridMultilevel"/>
    <w:tmpl w:val="A648AEEC"/>
    <w:lvl w:ilvl="0" w:tplc="1DFEEA9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4901C51"/>
    <w:multiLevelType w:val="hybridMultilevel"/>
    <w:tmpl w:val="2DF0AAA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A9754DC"/>
    <w:multiLevelType w:val="hybridMultilevel"/>
    <w:tmpl w:val="9234824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CD1400B"/>
    <w:multiLevelType w:val="hybridMultilevel"/>
    <w:tmpl w:val="170EE6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DF27DEC"/>
    <w:multiLevelType w:val="hybridMultilevel"/>
    <w:tmpl w:val="378EC5F4"/>
    <w:lvl w:ilvl="0" w:tplc="42BC87F8">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50B75115"/>
    <w:multiLevelType w:val="hybridMultilevel"/>
    <w:tmpl w:val="9E9A1A6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F771E49"/>
    <w:multiLevelType w:val="hybridMultilevel"/>
    <w:tmpl w:val="0336A63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0C65663"/>
    <w:multiLevelType w:val="hybridMultilevel"/>
    <w:tmpl w:val="CCEAA1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16245FE"/>
    <w:multiLevelType w:val="hybridMultilevel"/>
    <w:tmpl w:val="FCD4E88A"/>
    <w:lvl w:ilvl="0" w:tplc="B4081B68">
      <w:start w:val="1"/>
      <w:numFmt w:val="decimal"/>
      <w:lvlText w:val="%1."/>
      <w:lvlJc w:val="left"/>
      <w:pPr>
        <w:ind w:left="2629" w:hanging="360"/>
      </w:pPr>
      <w:rPr>
        <w:b w:val="0"/>
        <w:lang w:val="fr-FR"/>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0C16884"/>
    <w:multiLevelType w:val="hybridMultilevel"/>
    <w:tmpl w:val="BD3A11F2"/>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710F2D9E"/>
    <w:multiLevelType w:val="hybridMultilevel"/>
    <w:tmpl w:val="A9025FEC"/>
    <w:lvl w:ilvl="0" w:tplc="4816DCA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789D6A8D"/>
    <w:multiLevelType w:val="hybridMultilevel"/>
    <w:tmpl w:val="19A66D0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8"/>
  </w:num>
  <w:num w:numId="2">
    <w:abstractNumId w:val="18"/>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8"/>
  </w:num>
  <w:num w:numId="16">
    <w:abstractNumId w:val="10"/>
  </w:num>
  <w:num w:numId="17">
    <w:abstractNumId w:val="19"/>
  </w:num>
  <w:num w:numId="18">
    <w:abstractNumId w:val="30"/>
  </w:num>
  <w:num w:numId="19">
    <w:abstractNumId w:val="12"/>
  </w:num>
  <w:num w:numId="20">
    <w:abstractNumId w:val="17"/>
  </w:num>
  <w:num w:numId="21">
    <w:abstractNumId w:val="31"/>
  </w:num>
  <w:num w:numId="22">
    <w:abstractNumId w:val="27"/>
  </w:num>
  <w:num w:numId="23">
    <w:abstractNumId w:val="24"/>
  </w:num>
  <w:num w:numId="24">
    <w:abstractNumId w:val="22"/>
  </w:num>
  <w:num w:numId="25">
    <w:abstractNumId w:val="25"/>
  </w:num>
  <w:num w:numId="26">
    <w:abstractNumId w:val="16"/>
  </w:num>
  <w:num w:numId="27">
    <w:abstractNumId w:val="14"/>
  </w:num>
  <w:num w:numId="28">
    <w:abstractNumId w:val="26"/>
  </w:num>
  <w:num w:numId="29">
    <w:abstractNumId w:val="15"/>
  </w:num>
  <w:num w:numId="30">
    <w:abstractNumId w:val="20"/>
  </w:num>
  <w:num w:numId="31">
    <w:abstractNumId w:val="29"/>
  </w:num>
  <w:num w:numId="32">
    <w:abstractNumId w:val="13"/>
  </w:num>
  <w:num w:numId="33">
    <w:abstractNumId w:val="23"/>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1F"/>
    <w:rsid w:val="00017F94"/>
    <w:rsid w:val="00023842"/>
    <w:rsid w:val="000334F9"/>
    <w:rsid w:val="0007796D"/>
    <w:rsid w:val="000B7790"/>
    <w:rsid w:val="000D6BE3"/>
    <w:rsid w:val="00111F2F"/>
    <w:rsid w:val="00132A2B"/>
    <w:rsid w:val="0014365E"/>
    <w:rsid w:val="00176178"/>
    <w:rsid w:val="001F525A"/>
    <w:rsid w:val="00215BEC"/>
    <w:rsid w:val="00223272"/>
    <w:rsid w:val="0024779E"/>
    <w:rsid w:val="00262657"/>
    <w:rsid w:val="003232A1"/>
    <w:rsid w:val="003369C3"/>
    <w:rsid w:val="00356ABA"/>
    <w:rsid w:val="003C669D"/>
    <w:rsid w:val="003C7926"/>
    <w:rsid w:val="003E18C1"/>
    <w:rsid w:val="00446FE5"/>
    <w:rsid w:val="00452396"/>
    <w:rsid w:val="004A42A1"/>
    <w:rsid w:val="004F094E"/>
    <w:rsid w:val="00501F69"/>
    <w:rsid w:val="005505B7"/>
    <w:rsid w:val="0055504F"/>
    <w:rsid w:val="005700C5"/>
    <w:rsid w:val="00573BE5"/>
    <w:rsid w:val="00586ED3"/>
    <w:rsid w:val="00596AA9"/>
    <w:rsid w:val="00623CA8"/>
    <w:rsid w:val="0066452A"/>
    <w:rsid w:val="00666472"/>
    <w:rsid w:val="006E0451"/>
    <w:rsid w:val="006E45EF"/>
    <w:rsid w:val="006F6EB6"/>
    <w:rsid w:val="00712E6E"/>
    <w:rsid w:val="0071601D"/>
    <w:rsid w:val="00780585"/>
    <w:rsid w:val="00783E9F"/>
    <w:rsid w:val="007A62E6"/>
    <w:rsid w:val="0080684C"/>
    <w:rsid w:val="00860D7A"/>
    <w:rsid w:val="00871C75"/>
    <w:rsid w:val="008776DC"/>
    <w:rsid w:val="008776F8"/>
    <w:rsid w:val="008E330B"/>
    <w:rsid w:val="00966067"/>
    <w:rsid w:val="009705C8"/>
    <w:rsid w:val="009729F4"/>
    <w:rsid w:val="00984B29"/>
    <w:rsid w:val="009C1CD0"/>
    <w:rsid w:val="009D5F1A"/>
    <w:rsid w:val="00A11520"/>
    <w:rsid w:val="00A30353"/>
    <w:rsid w:val="00AC3823"/>
    <w:rsid w:val="00AE323C"/>
    <w:rsid w:val="00B00181"/>
    <w:rsid w:val="00B27161"/>
    <w:rsid w:val="00B7045F"/>
    <w:rsid w:val="00B765F7"/>
    <w:rsid w:val="00BA0CA9"/>
    <w:rsid w:val="00BB0B66"/>
    <w:rsid w:val="00BB19C3"/>
    <w:rsid w:val="00C02897"/>
    <w:rsid w:val="00C40AA5"/>
    <w:rsid w:val="00C564E5"/>
    <w:rsid w:val="00C864B4"/>
    <w:rsid w:val="00D3439C"/>
    <w:rsid w:val="00D7091F"/>
    <w:rsid w:val="00DB1831"/>
    <w:rsid w:val="00DC0149"/>
    <w:rsid w:val="00DD3BFD"/>
    <w:rsid w:val="00DF6678"/>
    <w:rsid w:val="00F660DF"/>
    <w:rsid w:val="00F95C08"/>
    <w:rsid w:val="00FB04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2ACFB"/>
  <w15:docId w15:val="{94C3D46F-34F5-4306-91E2-FBE9B294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Rvision">
    <w:name w:val="Revision"/>
    <w:hidden/>
    <w:uiPriority w:val="99"/>
    <w:semiHidden/>
    <w:rsid w:val="008E330B"/>
    <w:pPr>
      <w:spacing w:after="0" w:line="240" w:lineRule="auto"/>
    </w:pPr>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6F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ERD/C/2007/1" TargetMode="External"/><Relationship Id="rId1" Type="http://schemas.openxmlformats.org/officeDocument/2006/relationships/hyperlink" Target="https://undocs.org/fr/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4</TotalTime>
  <Pages>9</Pages>
  <Words>4886</Words>
  <Characters>26683</Characters>
  <Application>Microsoft Office Word</Application>
  <DocSecurity>0</DocSecurity>
  <Lines>423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CERD/C/CHE/CO/10-12</vt:lpstr>
      <vt:lpstr>CERD/C/CHE/CO/10-12</vt:lpstr>
    </vt:vector>
  </TitlesOfParts>
  <Company>DCM</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CERD/C/CHE/CO/10-12</dc:title>
  <dc:subject/>
  <dc:creator>Christine CHAUTAGNAT</dc:creator>
  <cp:keywords/>
  <cp:lastModifiedBy>Corinne ROBERT</cp:lastModifiedBy>
  <cp:revision>3</cp:revision>
  <cp:lastPrinted>2021-12-27T14:14:00Z</cp:lastPrinted>
  <dcterms:created xsi:type="dcterms:W3CDTF">2021-12-27T14:14:00Z</dcterms:created>
  <dcterms:modified xsi:type="dcterms:W3CDTF">2021-12-27T14:17:00Z</dcterms:modified>
</cp:coreProperties>
</file>