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24E968AE" w14:textId="77777777" w:rsidTr="00C01462">
        <w:trPr>
          <w:cantSplit/>
          <w:trHeight w:hRule="exact" w:val="851"/>
        </w:trPr>
        <w:tc>
          <w:tcPr>
            <w:tcW w:w="1276" w:type="dxa"/>
            <w:tcBorders>
              <w:bottom w:val="single" w:sz="4" w:space="0" w:color="auto"/>
            </w:tcBorders>
            <w:vAlign w:val="bottom"/>
          </w:tcPr>
          <w:p w14:paraId="6C898C07" w14:textId="1C0FC58A" w:rsidR="00307688" w:rsidRPr="007233F9" w:rsidRDefault="00307688" w:rsidP="007233F9">
            <w:pPr>
              <w:pStyle w:val="SingleTxtG"/>
            </w:pPr>
          </w:p>
        </w:tc>
        <w:tc>
          <w:tcPr>
            <w:tcW w:w="2268" w:type="dxa"/>
            <w:tcBorders>
              <w:bottom w:val="single" w:sz="4" w:space="0" w:color="auto"/>
            </w:tcBorders>
            <w:vAlign w:val="bottom"/>
          </w:tcPr>
          <w:p w14:paraId="73CDE838"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5299F7" w14:textId="77777777" w:rsidR="00307688" w:rsidRPr="002E51B7" w:rsidRDefault="00FB6BE9" w:rsidP="00FB6BE9">
            <w:pPr>
              <w:suppressAutoHyphens w:val="0"/>
              <w:spacing w:after="20"/>
              <w:jc w:val="right"/>
            </w:pPr>
            <w:r w:rsidRPr="00FB6BE9">
              <w:rPr>
                <w:sz w:val="40"/>
              </w:rPr>
              <w:t>CERD</w:t>
            </w:r>
            <w:r>
              <w:t>/C/CHL/CO/22-23</w:t>
            </w:r>
          </w:p>
        </w:tc>
      </w:tr>
      <w:tr w:rsidR="00307688" w14:paraId="4ED3815D" w14:textId="77777777" w:rsidTr="00C01462">
        <w:trPr>
          <w:cantSplit/>
          <w:trHeight w:hRule="exact" w:val="2835"/>
        </w:trPr>
        <w:tc>
          <w:tcPr>
            <w:tcW w:w="1276" w:type="dxa"/>
            <w:tcBorders>
              <w:top w:val="single" w:sz="4" w:space="0" w:color="auto"/>
              <w:bottom w:val="single" w:sz="12" w:space="0" w:color="auto"/>
            </w:tcBorders>
          </w:tcPr>
          <w:p w14:paraId="2961ADC9" w14:textId="77777777" w:rsidR="00307688" w:rsidRDefault="00307688" w:rsidP="00C01462">
            <w:pPr>
              <w:spacing w:before="120"/>
              <w:jc w:val="center"/>
            </w:pPr>
            <w:r>
              <w:rPr>
                <w:noProof/>
                <w:lang w:eastAsia="en-GB"/>
              </w:rPr>
              <w:drawing>
                <wp:inline distT="0" distB="0" distL="0" distR="0" wp14:anchorId="27434A63" wp14:editId="5B89769B">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54B1F1"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33B2DB1"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2FDA11AE" w14:textId="77777777" w:rsidR="00FB6BE9" w:rsidRDefault="00FB6BE9" w:rsidP="00FB6BE9">
            <w:pPr>
              <w:suppressAutoHyphens w:val="0"/>
              <w:spacing w:before="240"/>
            </w:pPr>
            <w:r>
              <w:t>Distr.: General</w:t>
            </w:r>
          </w:p>
          <w:p w14:paraId="5BE50C69" w14:textId="6A6424FC" w:rsidR="00FB6BE9" w:rsidRDefault="00957362" w:rsidP="00FB6BE9">
            <w:pPr>
              <w:suppressAutoHyphens w:val="0"/>
            </w:pPr>
            <w:r>
              <w:t>13</w:t>
            </w:r>
            <w:r w:rsidR="00FB6BE9" w:rsidRPr="009D446A">
              <w:t xml:space="preserve"> September 2022</w:t>
            </w:r>
          </w:p>
          <w:p w14:paraId="7D1A0DEE" w14:textId="77777777" w:rsidR="00FB6BE9" w:rsidRDefault="00FB6BE9" w:rsidP="00FB6BE9">
            <w:pPr>
              <w:suppressAutoHyphens w:val="0"/>
            </w:pPr>
          </w:p>
          <w:p w14:paraId="65CEEFD4" w14:textId="5F0D8B0A" w:rsidR="00FB6BE9" w:rsidRDefault="00FB6BE9" w:rsidP="00FB6BE9">
            <w:pPr>
              <w:suppressAutoHyphens w:val="0"/>
            </w:pPr>
            <w:r>
              <w:t>Original: English</w:t>
            </w:r>
          </w:p>
        </w:tc>
      </w:tr>
    </w:tbl>
    <w:p w14:paraId="1B4E8637" w14:textId="77777777" w:rsidR="001A6DB2" w:rsidRDefault="001A6DB2" w:rsidP="001A6DB2">
      <w:pPr>
        <w:spacing w:before="120"/>
        <w:rPr>
          <w:b/>
          <w:sz w:val="24"/>
          <w:szCs w:val="24"/>
        </w:rPr>
      </w:pPr>
      <w:r>
        <w:rPr>
          <w:b/>
          <w:sz w:val="24"/>
          <w:szCs w:val="24"/>
        </w:rPr>
        <w:t>Committee on the Elimination of Racial Discrimination</w:t>
      </w:r>
    </w:p>
    <w:p w14:paraId="2E7F9ABD" w14:textId="77777777" w:rsidR="001A6DB2" w:rsidRDefault="001A6DB2" w:rsidP="001A6DB2">
      <w:pPr>
        <w:pStyle w:val="HChG"/>
      </w:pPr>
      <w:r>
        <w:tab/>
      </w:r>
      <w:r>
        <w:tab/>
        <w:t>Concluding observations on the combined twenty-second and twenty-third reports of Chile</w:t>
      </w:r>
      <w:r w:rsidRPr="00FB6184">
        <w:rPr>
          <w:b w:val="0"/>
          <w:bCs/>
          <w:sz w:val="20"/>
        </w:rPr>
        <w:footnoteReference w:customMarkFollows="1" w:id="1"/>
        <w:t>*</w:t>
      </w:r>
    </w:p>
    <w:p w14:paraId="582583CA" w14:textId="77777777" w:rsidR="001A6DB2" w:rsidRPr="001A6DB2" w:rsidRDefault="001A6DB2" w:rsidP="001A6DB2">
      <w:pPr>
        <w:pStyle w:val="SingleTxtG"/>
      </w:pPr>
      <w:r w:rsidRPr="001A6DB2">
        <w:t>1.</w:t>
      </w:r>
      <w:r w:rsidRPr="001A6DB2">
        <w:tab/>
        <w:t>The Committee considered the combined twenty-second and twenty-third periodic reports of Chile,</w:t>
      </w:r>
      <w:r w:rsidRPr="00F074D6">
        <w:rPr>
          <w:rStyle w:val="FootnoteReference"/>
        </w:rPr>
        <w:footnoteReference w:id="2"/>
      </w:r>
      <w:r w:rsidRPr="001A6DB2">
        <w:t xml:space="preserve"> submitted in one document, at its 2851st and 2852nd meetings,</w:t>
      </w:r>
      <w:r w:rsidRPr="00F074D6">
        <w:rPr>
          <w:rStyle w:val="FootnoteReference"/>
        </w:rPr>
        <w:footnoteReference w:id="3"/>
      </w:r>
      <w:r w:rsidRPr="001A6DB2">
        <w:t xml:space="preserve"> held on 24 and 25 November 2021. At its 2861st meeting, held on 1 December 2021, it adopted the present concluding observations.</w:t>
      </w:r>
    </w:p>
    <w:p w14:paraId="323DCA01" w14:textId="77777777" w:rsidR="001A6DB2" w:rsidRPr="001A6DB2" w:rsidRDefault="001A6DB2" w:rsidP="00BF537A">
      <w:pPr>
        <w:pStyle w:val="H1G"/>
      </w:pPr>
      <w:r w:rsidRPr="001A6DB2">
        <w:tab/>
        <w:t>A.</w:t>
      </w:r>
      <w:r w:rsidRPr="001A6DB2">
        <w:tab/>
        <w:t>Introduction</w:t>
      </w:r>
    </w:p>
    <w:p w14:paraId="077B583E" w14:textId="0E520340" w:rsidR="001A6DB2" w:rsidRPr="001A6DB2" w:rsidRDefault="001A6DB2" w:rsidP="001A6DB2">
      <w:pPr>
        <w:pStyle w:val="SingleTxtG"/>
      </w:pPr>
      <w:r w:rsidRPr="001A6DB2">
        <w:t>2.</w:t>
      </w:r>
      <w:r w:rsidRPr="001A6DB2">
        <w:tab/>
        <w:t>The Committee welcomes the thirteenth appearance of the State party before the Committee, to present its combined twenty-second and twenty-third periodic reports. The Committee expresses its appreciation for the constructive dialogue held with the State party</w:t>
      </w:r>
      <w:r w:rsidR="00020BF9">
        <w:t>’</w:t>
      </w:r>
      <w:r w:rsidRPr="001A6DB2">
        <w:t xml:space="preserve">s high-level delegation, for the information provided during the consideration of the report and for the additional written information submitted after the dialogue. </w:t>
      </w:r>
    </w:p>
    <w:p w14:paraId="21F4E7C4" w14:textId="77777777" w:rsidR="001A6DB2" w:rsidRPr="001A6DB2" w:rsidRDefault="001A6DB2" w:rsidP="00BF537A">
      <w:pPr>
        <w:pStyle w:val="H1G"/>
        <w:rPr>
          <w:b w:val="0"/>
        </w:rPr>
      </w:pPr>
      <w:r w:rsidRPr="001A6DB2">
        <w:tab/>
        <w:t>B.</w:t>
      </w:r>
      <w:r w:rsidRPr="001A6DB2">
        <w:tab/>
        <w:t>Positive aspects</w:t>
      </w:r>
    </w:p>
    <w:p w14:paraId="4B6C083E" w14:textId="4C4886AB" w:rsidR="001A6DB2" w:rsidRPr="001A6DB2" w:rsidRDefault="001A6DB2" w:rsidP="001A6DB2">
      <w:pPr>
        <w:pStyle w:val="SingleTxtG"/>
      </w:pPr>
      <w:r w:rsidRPr="001A6DB2">
        <w:t>3.</w:t>
      </w:r>
      <w:r w:rsidRPr="001A6DB2">
        <w:tab/>
        <w:t>The Committee welcomes the State party</w:t>
      </w:r>
      <w:r w:rsidR="00020BF9">
        <w:t>’</w:t>
      </w:r>
      <w:r w:rsidRPr="001A6DB2">
        <w:t xml:space="preserve">s ratification of, or accession to, the following international human rights instruments: </w:t>
      </w:r>
    </w:p>
    <w:p w14:paraId="0A851BA7" w14:textId="77777777" w:rsidR="001A6DB2" w:rsidRPr="001A6DB2" w:rsidRDefault="001A6DB2" w:rsidP="001A6DB2">
      <w:pPr>
        <w:pStyle w:val="SingleTxtG"/>
      </w:pPr>
      <w:r w:rsidRPr="001A6DB2">
        <w:tab/>
        <w:t>(a)</w:t>
      </w:r>
      <w:r w:rsidRPr="001A6DB2">
        <w:tab/>
        <w:t>The 1954 Convention relating to the Status of Stateless Persons and the 1961 Convention on the Reduction of Statelessness, both in 2018;</w:t>
      </w:r>
    </w:p>
    <w:p w14:paraId="2F828313" w14:textId="77777777" w:rsidR="001A6DB2" w:rsidRPr="001A6DB2" w:rsidRDefault="001A6DB2" w:rsidP="001A6DB2">
      <w:pPr>
        <w:pStyle w:val="SingleTxtG"/>
      </w:pPr>
      <w:r w:rsidRPr="001A6DB2">
        <w:tab/>
        <w:t>(b)</w:t>
      </w:r>
      <w:r w:rsidRPr="001A6DB2">
        <w:tab/>
        <w:t xml:space="preserve">International Labour Organization (ILO) Domestic Workers Convention, 2011 (No. 189), in 2016. </w:t>
      </w:r>
    </w:p>
    <w:p w14:paraId="3CEB4C97" w14:textId="77777777" w:rsidR="001A6DB2" w:rsidRPr="001A6DB2" w:rsidRDefault="001A6DB2" w:rsidP="001A6DB2">
      <w:pPr>
        <w:pStyle w:val="SingleTxtG"/>
      </w:pPr>
      <w:r w:rsidRPr="001A6DB2">
        <w:t>4.</w:t>
      </w:r>
      <w:r w:rsidRPr="001A6DB2">
        <w:tab/>
        <w:t xml:space="preserve">The Committee also welcomes the following legislative </w:t>
      </w:r>
      <w:r w:rsidRPr="001A6DB2">
        <w:rPr>
          <w:lang w:val="en-US"/>
        </w:rPr>
        <w:t>and institutional measures</w:t>
      </w:r>
      <w:r w:rsidRPr="001A6DB2">
        <w:t xml:space="preserve"> taken by the State party:</w:t>
      </w:r>
    </w:p>
    <w:p w14:paraId="29E60AC8" w14:textId="3D1ACB3F" w:rsidR="001A6DB2" w:rsidRPr="001A6DB2" w:rsidRDefault="00AD2AEF" w:rsidP="001A6DB2">
      <w:pPr>
        <w:pStyle w:val="SingleTxtG"/>
      </w:pPr>
      <w:r>
        <w:tab/>
      </w:r>
      <w:r w:rsidR="001A6DB2" w:rsidRPr="001A6DB2">
        <w:t>(a)</w:t>
      </w:r>
      <w:r w:rsidR="001A6DB2" w:rsidRPr="001A6DB2">
        <w:tab/>
        <w:t>Act No. 21.325, in 2021, which recognizes the right to nationality as a fundamental right (the Migration and Aliens Act);</w:t>
      </w:r>
    </w:p>
    <w:p w14:paraId="793870E5" w14:textId="47F41018" w:rsidR="001A6DB2" w:rsidRPr="001A6DB2" w:rsidRDefault="00AD2AEF" w:rsidP="001A6DB2">
      <w:pPr>
        <w:pStyle w:val="SingleTxtG"/>
      </w:pPr>
      <w:r>
        <w:tab/>
      </w:r>
      <w:r w:rsidR="001A6DB2" w:rsidRPr="001A6DB2">
        <w:t>(b)</w:t>
      </w:r>
      <w:r w:rsidR="001A6DB2" w:rsidRPr="001A6DB2">
        <w:tab/>
        <w:t xml:space="preserve">Act No. 21.273, in 2020, which recognizes the Chango population as the tenth indigenous community in Chile; </w:t>
      </w:r>
    </w:p>
    <w:p w14:paraId="05500405" w14:textId="0B4FA473" w:rsidR="001A6DB2" w:rsidRPr="001A6DB2" w:rsidRDefault="00AD2AEF" w:rsidP="001A6DB2">
      <w:pPr>
        <w:pStyle w:val="SingleTxtG"/>
      </w:pPr>
      <w:r>
        <w:tab/>
      </w:r>
      <w:r w:rsidR="001A6DB2" w:rsidRPr="001A6DB2">
        <w:t>(c)</w:t>
      </w:r>
      <w:r w:rsidR="001A6DB2" w:rsidRPr="001A6DB2">
        <w:tab/>
        <w:t>Act No. 21.151, in 2019, which grants legal recognition to Chilean Afrodescendent tribal peoples;</w:t>
      </w:r>
    </w:p>
    <w:p w14:paraId="69B6ECFC" w14:textId="4FA29B4C" w:rsidR="001A6DB2" w:rsidRPr="001A6DB2" w:rsidRDefault="00AD2AEF" w:rsidP="001A6DB2">
      <w:pPr>
        <w:pStyle w:val="SingleTxtG"/>
      </w:pPr>
      <w:r>
        <w:tab/>
      </w:r>
      <w:r w:rsidR="001A6DB2" w:rsidRPr="001A6DB2">
        <w:t>(d)</w:t>
      </w:r>
      <w:r w:rsidR="001A6DB2" w:rsidRPr="001A6DB2">
        <w:tab/>
        <w:t xml:space="preserve">The </w:t>
      </w:r>
      <w:r w:rsidR="00020BF9">
        <w:t>“</w:t>
      </w:r>
      <w:r w:rsidR="001A6DB2" w:rsidRPr="001A6DB2">
        <w:t>Chile recognizes</w:t>
      </w:r>
      <w:r w:rsidR="00020BF9">
        <w:t>”</w:t>
      </w:r>
      <w:r w:rsidR="001A6DB2" w:rsidRPr="001A6DB2">
        <w:t xml:space="preserve"> project of 2017, through which Chilean nationality was granted to children born in Chile to parents with an irregular migratory status, marking an important step forward in preventing and eradicating statelessness;</w:t>
      </w:r>
    </w:p>
    <w:p w14:paraId="29AE7017" w14:textId="3A2F5D9E" w:rsidR="001A6DB2" w:rsidRPr="001A6DB2" w:rsidRDefault="00AD2AEF" w:rsidP="001A6DB2">
      <w:pPr>
        <w:pStyle w:val="SingleTxtG"/>
      </w:pPr>
      <w:r>
        <w:lastRenderedPageBreak/>
        <w:tab/>
      </w:r>
      <w:r w:rsidR="001A6DB2" w:rsidRPr="001A6DB2">
        <w:t>(e)</w:t>
      </w:r>
      <w:r w:rsidR="001A6DB2" w:rsidRPr="001A6DB2">
        <w:tab/>
        <w:t>Act No. 21.045, in 2017, which establishes the Ministry of Cultures, Arts and Heritage to promote cultural diversity;</w:t>
      </w:r>
    </w:p>
    <w:p w14:paraId="240EF574" w14:textId="462757A8" w:rsidR="001A6DB2" w:rsidRPr="001A6DB2" w:rsidRDefault="00AD2AEF" w:rsidP="001A6DB2">
      <w:pPr>
        <w:pStyle w:val="SingleTxtG"/>
      </w:pPr>
      <w:r>
        <w:tab/>
      </w:r>
      <w:r w:rsidR="001A6DB2" w:rsidRPr="001A6DB2">
        <w:t>(f)</w:t>
      </w:r>
      <w:r w:rsidR="001A6DB2" w:rsidRPr="001A6DB2">
        <w:tab/>
        <w:t>Act No. 20.885, in 2016, establishing the Office of the Undersecretary for Human Rights under the Ministry of Justice and Human Rights.</w:t>
      </w:r>
    </w:p>
    <w:p w14:paraId="6CEB2779" w14:textId="77777777" w:rsidR="001A6DB2" w:rsidRPr="001A6DB2" w:rsidRDefault="001A6DB2" w:rsidP="001A6DB2">
      <w:pPr>
        <w:pStyle w:val="SingleTxtG"/>
      </w:pPr>
      <w:r w:rsidRPr="001A6DB2">
        <w:t>5.</w:t>
      </w:r>
      <w:r w:rsidRPr="001A6DB2">
        <w:tab/>
        <w:t>The Committee notes with satisfaction that the State party maintains a standing invitation to all special procedure mandate holders of the Human Rights Council to visit the country.</w:t>
      </w:r>
    </w:p>
    <w:p w14:paraId="14563FFA" w14:textId="77777777" w:rsidR="001A6DB2" w:rsidRPr="001A6DB2" w:rsidRDefault="001A6DB2" w:rsidP="00BF537A">
      <w:pPr>
        <w:pStyle w:val="H1G"/>
        <w:rPr>
          <w:b w:val="0"/>
        </w:rPr>
      </w:pPr>
      <w:r w:rsidRPr="001A6DB2">
        <w:tab/>
        <w:t>C.</w:t>
      </w:r>
      <w:r w:rsidRPr="001A6DB2">
        <w:tab/>
        <w:t xml:space="preserve">Concerns and recommendations </w:t>
      </w:r>
    </w:p>
    <w:p w14:paraId="4BE10667" w14:textId="77777777" w:rsidR="001A6DB2" w:rsidRPr="001A6DB2" w:rsidRDefault="001A6DB2" w:rsidP="00AD2AEF">
      <w:pPr>
        <w:pStyle w:val="H23G"/>
      </w:pPr>
      <w:r w:rsidRPr="001A6DB2">
        <w:tab/>
      </w:r>
      <w:r w:rsidRPr="001A6DB2">
        <w:tab/>
        <w:t>Statistics</w:t>
      </w:r>
    </w:p>
    <w:p w14:paraId="12BF7A2F" w14:textId="77777777" w:rsidR="001A6DB2" w:rsidRPr="001A6DB2" w:rsidRDefault="001A6DB2" w:rsidP="001A6DB2">
      <w:pPr>
        <w:pStyle w:val="SingleTxtG"/>
      </w:pPr>
      <w:r w:rsidRPr="001A6DB2">
        <w:t>6.</w:t>
      </w:r>
      <w:r w:rsidRPr="001A6DB2">
        <w:tab/>
        <w:t>The Committee acknowledges that the 2017 socioeconomic characterization survey included questions that made it possible to collect statistics on the indigenous peoples recognized in the legislation, who comprise 12.8 per cent of the population. The Committee is concerned, however, that the measurement omitted questions on African descent, which prevented the ascertainment of the number of people of African descent in the country and limited the potential for generating reliable data and indicators that would help to provide a clear and objective picture of the needs of minority groups in the population. In addition, the Committee regrets that it does not have accurate statistics on the Roma population and other ethnic minorities in the State party (arts. 1 and 5).</w:t>
      </w:r>
    </w:p>
    <w:p w14:paraId="56BF0B9B" w14:textId="75F9FF91" w:rsidR="001A6DB2" w:rsidRPr="001A6DB2" w:rsidRDefault="001A6DB2" w:rsidP="001A6DB2">
      <w:pPr>
        <w:pStyle w:val="SingleTxtG"/>
        <w:rPr>
          <w:b/>
        </w:rPr>
      </w:pPr>
      <w:r w:rsidRPr="001A6DB2">
        <w:t>7.</w:t>
      </w:r>
      <w:r w:rsidRPr="001A6DB2">
        <w:tab/>
      </w:r>
      <w:r w:rsidRPr="001A6DB2">
        <w:rPr>
          <w:b/>
        </w:rPr>
        <w:t>The Committee recommends that the State party ensure that the 2023 census includes questions that will also generate statistics on people of African descent and Roma in Chile. Furthermore, the Committee recommends that public institutions incorporate disaggregated data for people of African descent, indigenous peoples and migrants into their administrative record-keeping and data-collection methods on a systematic basis. It further recommends that the State party include socioeconomic indicators and statistics on its Roma population and other minorities and non-citizens in the State party. In this regard, it draws the State party</w:t>
      </w:r>
      <w:r w:rsidR="00020BF9">
        <w:rPr>
          <w:b/>
        </w:rPr>
        <w:t>’</w:t>
      </w:r>
      <w:r w:rsidRPr="001A6DB2">
        <w:rPr>
          <w:b/>
        </w:rPr>
        <w:t>s attention to the Committee</w:t>
      </w:r>
      <w:r w:rsidR="00020BF9">
        <w:rPr>
          <w:b/>
        </w:rPr>
        <w:t>’</w:t>
      </w:r>
      <w:r w:rsidRPr="001A6DB2">
        <w:rPr>
          <w:b/>
        </w:rPr>
        <w:t>s general recommendation No. 4 (1973) concerning reporting by States parties with regard to the demographic composition of the population.</w:t>
      </w:r>
    </w:p>
    <w:p w14:paraId="7A2D0B6D" w14:textId="77777777" w:rsidR="001A6DB2" w:rsidRPr="001A6DB2" w:rsidRDefault="001A6DB2" w:rsidP="00AD2AEF">
      <w:pPr>
        <w:pStyle w:val="H23G"/>
      </w:pPr>
      <w:r w:rsidRPr="001A6DB2">
        <w:tab/>
      </w:r>
      <w:r w:rsidRPr="001A6DB2">
        <w:tab/>
        <w:t xml:space="preserve">Constitutional developments </w:t>
      </w:r>
    </w:p>
    <w:p w14:paraId="2D1C57CC" w14:textId="77777777" w:rsidR="001A6DB2" w:rsidRPr="001A6DB2" w:rsidRDefault="001A6DB2" w:rsidP="001A6DB2">
      <w:pPr>
        <w:pStyle w:val="SingleTxtG"/>
        <w:rPr>
          <w:lang w:val="en-US"/>
        </w:rPr>
      </w:pPr>
      <w:r w:rsidRPr="001A6DB2">
        <w:rPr>
          <w:lang w:val="en-US"/>
        </w:rPr>
        <w:t>8.</w:t>
      </w:r>
      <w:r w:rsidRPr="001A6DB2">
        <w:rPr>
          <w:lang w:val="en-US"/>
        </w:rPr>
        <w:tab/>
      </w:r>
      <w:r w:rsidRPr="001A6DB2">
        <w:t xml:space="preserve">The Committee takes note of information provided by the State party concerning the ongoing Constitutional Convention that is tasked with drafting a new Constitution, in particular regarding the number of seats that have been reserved for members of indigenous communities and the fact that the President of the Convention is a woman of Mapuche origin. The Committee also notes the establishment of a temporary commission for consultation of indigenous peoples within the Constitutional Convention. This process </w:t>
      </w:r>
      <w:r w:rsidRPr="001A6DB2">
        <w:rPr>
          <w:lang w:val="en-US"/>
        </w:rPr>
        <w:t>presents a promising opportunity to enshrine the recognition of indigenous peoples and their rights in the Constitution and to develop a constitutional framework suitable to address the claims of the indigenous peoples of Chile. The Committee is, however, concerned that there are no seats reserved for people of African descent and other minorities in the Constitutional Convention. It is also concerned about the insufficient funds allocated for the temporary commission for consultation with indigenous peoples, which could have an impact on the reach of the consultations (arts. 2 and 5).</w:t>
      </w:r>
    </w:p>
    <w:p w14:paraId="3361090C" w14:textId="77777777" w:rsidR="001A6DB2" w:rsidRPr="001A6DB2" w:rsidRDefault="001A6DB2" w:rsidP="001A6DB2">
      <w:pPr>
        <w:pStyle w:val="SingleTxtG"/>
        <w:rPr>
          <w:b/>
          <w:lang w:val="en-US"/>
        </w:rPr>
      </w:pPr>
      <w:r w:rsidRPr="001A6DB2">
        <w:rPr>
          <w:lang w:val="en-US"/>
        </w:rPr>
        <w:t>9.</w:t>
      </w:r>
      <w:r w:rsidRPr="001A6DB2">
        <w:rPr>
          <w:lang w:val="en-US"/>
        </w:rPr>
        <w:tab/>
      </w:r>
      <w:r w:rsidRPr="001A6DB2">
        <w:rPr>
          <w:b/>
          <w:lang w:val="en-US"/>
        </w:rPr>
        <w:t xml:space="preserve">The Committee encourages the State party to fully address the concerns of minorities, including people of African descent, in the drafting process and to increase the allocated budget of the </w:t>
      </w:r>
      <w:r w:rsidRPr="001A6DB2">
        <w:rPr>
          <w:b/>
        </w:rPr>
        <w:t>temporary commission for consultation with indigenous peoples</w:t>
      </w:r>
      <w:r w:rsidRPr="001A6DB2">
        <w:rPr>
          <w:b/>
          <w:lang w:val="en-US"/>
        </w:rPr>
        <w:t xml:space="preserve"> in order to have comprehensive consultations with all indigenous communities and concerned parties, which can be then considered by the Constitutional Convention. </w:t>
      </w:r>
    </w:p>
    <w:p w14:paraId="2CA4E654" w14:textId="77777777" w:rsidR="001A6DB2" w:rsidRPr="001A6DB2" w:rsidRDefault="001A6DB2" w:rsidP="002B2BAF">
      <w:pPr>
        <w:pStyle w:val="H23G"/>
      </w:pPr>
      <w:r w:rsidRPr="001A6DB2">
        <w:tab/>
      </w:r>
      <w:r w:rsidRPr="001A6DB2">
        <w:tab/>
        <w:t>Measures to combat racial discrimination</w:t>
      </w:r>
    </w:p>
    <w:p w14:paraId="4D24FD9B" w14:textId="3881621B" w:rsidR="001A6DB2" w:rsidRPr="001A6DB2" w:rsidRDefault="001A6DB2" w:rsidP="001A6DB2">
      <w:pPr>
        <w:pStyle w:val="SingleTxtG"/>
      </w:pPr>
      <w:r w:rsidRPr="001A6DB2">
        <w:t>10.</w:t>
      </w:r>
      <w:r w:rsidRPr="001A6DB2">
        <w:tab/>
        <w:t xml:space="preserve">While noting the legislative advances made in the effort to combat racial discrimination, the Committee remains concerned that the Anti-Discrimination Act (Act No. </w:t>
      </w:r>
      <w:r w:rsidRPr="001A6DB2">
        <w:lastRenderedPageBreak/>
        <w:t xml:space="preserve">20.609) is limited to </w:t>
      </w:r>
      <w:r w:rsidR="00020BF9">
        <w:t>“</w:t>
      </w:r>
      <w:r w:rsidRPr="001A6DB2">
        <w:t>arbitrary</w:t>
      </w:r>
      <w:r w:rsidR="00020BF9">
        <w:t>”</w:t>
      </w:r>
      <w:r w:rsidRPr="001A6DB2">
        <w:t xml:space="preserve"> forms of discrimination,</w:t>
      </w:r>
      <w:r w:rsidRPr="00F074D6">
        <w:rPr>
          <w:rStyle w:val="FootnoteReference"/>
        </w:rPr>
        <w:footnoteReference w:id="4"/>
      </w:r>
      <w:r w:rsidRPr="001A6DB2">
        <w:t xml:space="preserve"> which could lead to interpretations that would justify certain discriminatory actions and relieve the persons committing those actions of accountability (arts.</w:t>
      </w:r>
      <w:r w:rsidR="00020BF9">
        <w:t xml:space="preserve"> </w:t>
      </w:r>
      <w:r w:rsidRPr="001A6DB2">
        <w:t xml:space="preserve">1–2). </w:t>
      </w:r>
    </w:p>
    <w:p w14:paraId="1F21FC07" w14:textId="77777777" w:rsidR="001A6DB2" w:rsidRPr="001A6DB2" w:rsidRDefault="001A6DB2" w:rsidP="001A6DB2">
      <w:pPr>
        <w:pStyle w:val="SingleTxtG"/>
        <w:rPr>
          <w:b/>
        </w:rPr>
      </w:pPr>
      <w:r w:rsidRPr="001A6DB2">
        <w:t>11.</w:t>
      </w:r>
      <w:r w:rsidRPr="001A6DB2">
        <w:tab/>
      </w:r>
      <w:r w:rsidRPr="001A6DB2">
        <w:rPr>
          <w:b/>
        </w:rPr>
        <w:t>The Committee reiterates its previous recommendation</w:t>
      </w:r>
      <w:r w:rsidRPr="009543BB">
        <w:rPr>
          <w:rStyle w:val="FootnoteReference"/>
        </w:rPr>
        <w:footnoteReference w:id="5"/>
      </w:r>
      <w:r w:rsidRPr="001A6DB2">
        <w:rPr>
          <w:b/>
        </w:rPr>
        <w:t xml:space="preserve"> to bring the Anti-Discrimination Act into line with the Convention. The Committee further recommends that the State party evaluate the impact of the Anti-Discrimination Act on the prevention and eradication of ethnic-racial discrimination, as well as of its anti-discrimination legislation in general, and include information on the evaluation in its next periodic report. </w:t>
      </w:r>
    </w:p>
    <w:p w14:paraId="75CE4E6A" w14:textId="77777777" w:rsidR="001A6DB2" w:rsidRPr="001A6DB2" w:rsidRDefault="001A6DB2" w:rsidP="00AD2AEF">
      <w:pPr>
        <w:pStyle w:val="H23G"/>
      </w:pPr>
      <w:r w:rsidRPr="001A6DB2">
        <w:tab/>
      </w:r>
      <w:r w:rsidRPr="001A6DB2">
        <w:tab/>
        <w:t xml:space="preserve">Multiple and intersecting forms of discrimination </w:t>
      </w:r>
    </w:p>
    <w:p w14:paraId="06A3295B" w14:textId="77777777" w:rsidR="001A6DB2" w:rsidRPr="001A6DB2" w:rsidRDefault="001A6DB2" w:rsidP="001A6DB2">
      <w:pPr>
        <w:pStyle w:val="SingleTxtG"/>
        <w:rPr>
          <w:lang w:val="en-US"/>
        </w:rPr>
      </w:pPr>
      <w:r w:rsidRPr="001A6DB2">
        <w:rPr>
          <w:lang w:val="en-US"/>
        </w:rPr>
        <w:t>12.</w:t>
      </w:r>
      <w:r w:rsidRPr="001A6DB2">
        <w:rPr>
          <w:lang w:val="en-US"/>
        </w:rPr>
        <w:tab/>
        <w:t xml:space="preserve">The Committee is concerned about the multiple forms of discrimination that indigenous peoples, migrants and women of African descent face in the State party, which is reflected in their limited access to employment, education, health and migration regulations. </w:t>
      </w:r>
      <w:r w:rsidRPr="001A6DB2">
        <w:t xml:space="preserve">The Committee is also concerned by </w:t>
      </w:r>
      <w:r w:rsidRPr="001A6DB2">
        <w:rPr>
          <w:lang w:val="en-US"/>
        </w:rPr>
        <w:t xml:space="preserve">information that medical treatment to Haitian women and women of African descent are at times affected by stereotypes of ability to endure pain and not delivered in a timely fashion (art. 2). </w:t>
      </w:r>
    </w:p>
    <w:p w14:paraId="3C762A74" w14:textId="77777777" w:rsidR="001A6DB2" w:rsidRPr="001A6DB2" w:rsidRDefault="001A6DB2" w:rsidP="001A6DB2">
      <w:pPr>
        <w:pStyle w:val="SingleTxtG"/>
        <w:rPr>
          <w:b/>
          <w:bCs/>
        </w:rPr>
      </w:pPr>
      <w:r w:rsidRPr="001A6DB2">
        <w:rPr>
          <w:bCs/>
        </w:rPr>
        <w:t>13.</w:t>
      </w:r>
      <w:r w:rsidRPr="001A6DB2">
        <w:rPr>
          <w:bCs/>
        </w:rPr>
        <w:tab/>
      </w:r>
      <w:r w:rsidRPr="001A6DB2">
        <w:rPr>
          <w:b/>
          <w:bCs/>
        </w:rPr>
        <w:t xml:space="preserve">The Committee urges the State party to apply a gender perspective in all policies and strategies for combating racial discrimination in order to put an end to the multiple and intersectional discrimination faced by indigenous peoples, migrants and women of African descent. In addition, it recommends that the State party adopt measures based on an intercultural approach in order to guarantee access for women from minorities to education, employment and health; to train health professionals to ensure the non-discriminatory fulfilment of their obligations; and to include Kreyòl-Spanish translators in hospitals and care institutions. The Committee encourages the State party to take into account its general recommendation No. 25 (2000) on gender-related dimensions of racial discrimination. </w:t>
      </w:r>
    </w:p>
    <w:p w14:paraId="1C4765EE" w14:textId="77777777" w:rsidR="001A6DB2" w:rsidRPr="001A6DB2" w:rsidRDefault="001A6DB2" w:rsidP="00AD2AEF">
      <w:pPr>
        <w:pStyle w:val="H23G"/>
      </w:pPr>
      <w:r w:rsidRPr="001A6DB2">
        <w:tab/>
      </w:r>
      <w:r w:rsidRPr="001A6DB2">
        <w:tab/>
        <w:t>Institutional framework</w:t>
      </w:r>
    </w:p>
    <w:p w14:paraId="7A1E215E" w14:textId="2D614A72" w:rsidR="001A6DB2" w:rsidRPr="001A6DB2" w:rsidRDefault="001A6DB2" w:rsidP="001A6DB2">
      <w:pPr>
        <w:pStyle w:val="SingleTxtG"/>
        <w:rPr>
          <w:lang w:val="en-US"/>
        </w:rPr>
      </w:pPr>
      <w:r w:rsidRPr="001A6DB2">
        <w:rPr>
          <w:lang w:val="en-US"/>
        </w:rPr>
        <w:t>14.</w:t>
      </w:r>
      <w:r w:rsidRPr="001A6DB2">
        <w:rPr>
          <w:lang w:val="en-US"/>
        </w:rPr>
        <w:tab/>
      </w:r>
      <w:r w:rsidRPr="001A6DB2">
        <w:t xml:space="preserve">While appreciative of the progress made by the State party in establishing and strengthening a network of public institutions for the promotion and protection of human rights, the Committee regrets that, although the draft </w:t>
      </w:r>
      <w:r w:rsidRPr="001A6DB2">
        <w:rPr>
          <w:iCs/>
          <w:lang w:val="en-US"/>
        </w:rPr>
        <w:t>bills aimed at the creation of</w:t>
      </w:r>
      <w:r w:rsidRPr="001A6DB2">
        <w:rPr>
          <w:lang w:val="en-US"/>
        </w:rPr>
        <w:t xml:space="preserve"> the </w:t>
      </w:r>
      <w:r w:rsidRPr="001A6DB2">
        <w:rPr>
          <w:bCs/>
          <w:lang w:val="en-US"/>
        </w:rPr>
        <w:t xml:space="preserve">National Council of Indigenous Peoples and of the Councils of Indigenous Peoples </w:t>
      </w:r>
      <w:r w:rsidRPr="001A6DB2">
        <w:rPr>
          <w:lang w:val="en-US"/>
        </w:rPr>
        <w:t>(Bulletin No. 10526-06),</w:t>
      </w:r>
      <w:r w:rsidRPr="001A6DB2">
        <w:rPr>
          <w:bCs/>
          <w:lang w:val="en-US"/>
        </w:rPr>
        <w:t xml:space="preserve"> and the creation of the Ministry of Indigenous Peoples</w:t>
      </w:r>
      <w:r w:rsidRPr="001A6DB2">
        <w:rPr>
          <w:lang w:val="en-US"/>
        </w:rPr>
        <w:t xml:space="preserve"> (Bulletin No. 10687-06) were sent to Congress in 2016, they have not yet been adopted (art.</w:t>
      </w:r>
      <w:r w:rsidR="00020BF9">
        <w:rPr>
          <w:lang w:val="en-US"/>
        </w:rPr>
        <w:t xml:space="preserve"> </w:t>
      </w:r>
      <w:r w:rsidRPr="001A6DB2">
        <w:rPr>
          <w:lang w:val="en-US"/>
        </w:rPr>
        <w:t xml:space="preserve">2). </w:t>
      </w:r>
    </w:p>
    <w:p w14:paraId="70F2FF0B" w14:textId="77777777" w:rsidR="001A6DB2" w:rsidRPr="001A6DB2" w:rsidRDefault="001A6DB2" w:rsidP="001A6DB2">
      <w:pPr>
        <w:pStyle w:val="SingleTxtG"/>
        <w:rPr>
          <w:b/>
          <w:lang w:val="en-US"/>
        </w:rPr>
      </w:pPr>
      <w:r w:rsidRPr="001A6DB2">
        <w:rPr>
          <w:lang w:val="en-US"/>
        </w:rPr>
        <w:t>15.</w:t>
      </w:r>
      <w:r w:rsidRPr="001A6DB2">
        <w:rPr>
          <w:lang w:val="en-US"/>
        </w:rPr>
        <w:tab/>
      </w:r>
      <w:r w:rsidRPr="001A6DB2">
        <w:rPr>
          <w:b/>
        </w:rPr>
        <w:t>The Committee recommends that the State party expedite the passing of these important laws and requests that the State party provide it with information on the competences and achievements of both institutions in its next periodic report.</w:t>
      </w:r>
    </w:p>
    <w:p w14:paraId="352F386A" w14:textId="77777777" w:rsidR="001A6DB2" w:rsidRPr="001A6DB2" w:rsidRDefault="001A6DB2" w:rsidP="00AD2AEF">
      <w:pPr>
        <w:pStyle w:val="H23G"/>
      </w:pPr>
      <w:r w:rsidRPr="001A6DB2">
        <w:tab/>
      </w:r>
      <w:r w:rsidRPr="001A6DB2">
        <w:tab/>
        <w:t xml:space="preserve">National human rights institution </w:t>
      </w:r>
    </w:p>
    <w:p w14:paraId="6F94183E" w14:textId="06AEDFB0" w:rsidR="001A6DB2" w:rsidRPr="001A6DB2" w:rsidRDefault="001A6DB2" w:rsidP="001A6DB2">
      <w:pPr>
        <w:pStyle w:val="SingleTxtG"/>
      </w:pPr>
      <w:r w:rsidRPr="001A6DB2">
        <w:t>16.</w:t>
      </w:r>
      <w:r w:rsidRPr="001A6DB2">
        <w:tab/>
        <w:t>The Committee welcomes the increase in funding for the National Institute of Human Rights acting upon the Committee</w:t>
      </w:r>
      <w:r w:rsidR="00020BF9">
        <w:t>’</w:t>
      </w:r>
      <w:r w:rsidRPr="001A6DB2">
        <w:t>s previous recommendations, which has allowed the Institute to increase its national presence. It is concerned, however, that this increase in funding is not sufficient to fully discharge the mandate of the Institute. The Committee is also concerned that its recommendation to establish an ombudsman</w:t>
      </w:r>
      <w:r w:rsidR="00020BF9">
        <w:t>’</w:t>
      </w:r>
      <w:r w:rsidRPr="001A6DB2">
        <w:t xml:space="preserve">s office with a section specializing in issues of racial discrimination has not been carried out by the State party (art. 2). </w:t>
      </w:r>
    </w:p>
    <w:p w14:paraId="1F72E548" w14:textId="7EC3412E" w:rsidR="001A6DB2" w:rsidRPr="001A6DB2" w:rsidRDefault="001A6DB2" w:rsidP="001A6DB2">
      <w:pPr>
        <w:pStyle w:val="SingleTxtG"/>
        <w:rPr>
          <w:b/>
        </w:rPr>
      </w:pPr>
      <w:r w:rsidRPr="001A6DB2">
        <w:t>17.</w:t>
      </w:r>
      <w:r w:rsidRPr="001A6DB2">
        <w:tab/>
      </w:r>
      <w:r w:rsidRPr="001A6DB2">
        <w:rPr>
          <w:b/>
        </w:rPr>
        <w:t>The Committee recommends that the State party provide the National Institute of Human Rights with sufficient human, technical and financial resources, in a timely manner, to enable it to effectively promote and protect human rights. The Committee also reiterates its previous concluding observations.</w:t>
      </w:r>
      <w:r w:rsidRPr="00F074D6">
        <w:rPr>
          <w:rStyle w:val="FootnoteReference"/>
        </w:rPr>
        <w:footnoteReference w:id="6"/>
      </w:r>
      <w:r w:rsidRPr="001A6DB2">
        <w:rPr>
          <w:b/>
        </w:rPr>
        <w:t xml:space="preserve"> Further, it urges the State party </w:t>
      </w:r>
      <w:r w:rsidRPr="001A6DB2">
        <w:rPr>
          <w:b/>
        </w:rPr>
        <w:lastRenderedPageBreak/>
        <w:t>to establish an ombudsman</w:t>
      </w:r>
      <w:r w:rsidR="00020BF9">
        <w:rPr>
          <w:b/>
        </w:rPr>
        <w:t>’</w:t>
      </w:r>
      <w:r w:rsidRPr="001A6DB2">
        <w:rPr>
          <w:b/>
        </w:rPr>
        <w:t xml:space="preserve">s office with a section specializing in issues of racial discrimination whose staff would include intercultural facilitators at the local level and to report on the activities of that office in its next periodic report. </w:t>
      </w:r>
    </w:p>
    <w:p w14:paraId="15D2BE38" w14:textId="77777777" w:rsidR="001A6DB2" w:rsidRPr="001A6DB2" w:rsidRDefault="001A6DB2" w:rsidP="00AD2AEF">
      <w:pPr>
        <w:pStyle w:val="H23G"/>
      </w:pPr>
      <w:r w:rsidRPr="001A6DB2">
        <w:tab/>
      </w:r>
      <w:r w:rsidRPr="001A6DB2">
        <w:tab/>
        <w:t>Racist hate speech and hate crimes</w:t>
      </w:r>
    </w:p>
    <w:p w14:paraId="50D8339F" w14:textId="77777777" w:rsidR="001A6DB2" w:rsidRPr="001A6DB2" w:rsidRDefault="001A6DB2" w:rsidP="001A6DB2">
      <w:pPr>
        <w:pStyle w:val="SingleTxtG"/>
      </w:pPr>
      <w:r w:rsidRPr="001A6DB2">
        <w:t>18.</w:t>
      </w:r>
      <w:r w:rsidRPr="001A6DB2">
        <w:tab/>
        <w:t>The Committee is concerned about the lack of information on the measures taken to prevent xenophobia and hate speech from being directed against migrants and other minorities by public officials, including on social media. The Committee reiterates its concern about the absence of a national law that is fully in conformity with article 4 of the Convention and that defines as an offence punishable by law all dissemination of ideas based on racial superiority or hatred, incitement to racial discrimination, racially motivated violence, and participation in organizations or activities that incite racial discrimination.</w:t>
      </w:r>
      <w:r w:rsidRPr="00F074D6">
        <w:rPr>
          <w:rStyle w:val="FootnoteReference"/>
        </w:rPr>
        <w:footnoteReference w:id="7"/>
      </w:r>
      <w:r w:rsidRPr="001A6DB2">
        <w:t xml:space="preserve"> </w:t>
      </w:r>
      <w:r w:rsidRPr="001A6DB2">
        <w:rPr>
          <w:lang w:val="en-US"/>
        </w:rPr>
        <w:t xml:space="preserve">The Committee notes with concern reports about the rise in derogatory speech and hate speech, xenophobic manifestations of rejection of migration, and violence against migrants and refugees, including instances of excessive use of force by the police (art. 4). </w:t>
      </w:r>
    </w:p>
    <w:p w14:paraId="11414D55" w14:textId="0F67E3F8" w:rsidR="001A6DB2" w:rsidRPr="001A6DB2" w:rsidRDefault="001A6DB2" w:rsidP="001A6DB2">
      <w:pPr>
        <w:pStyle w:val="SingleTxtG"/>
        <w:rPr>
          <w:b/>
        </w:rPr>
      </w:pPr>
      <w:r w:rsidRPr="001A6DB2">
        <w:t>19.</w:t>
      </w:r>
      <w:r w:rsidRPr="001A6DB2">
        <w:tab/>
      </w:r>
      <w:r w:rsidRPr="001A6DB2">
        <w:rPr>
          <w:b/>
        </w:rPr>
        <w:t>The Committee recommends that the State party fulfil its obligations under article 4 of the Convention, in the light of the Committee</w:t>
      </w:r>
      <w:r w:rsidR="00020BF9">
        <w:rPr>
          <w:b/>
        </w:rPr>
        <w:t>’</w:t>
      </w:r>
      <w:r w:rsidRPr="001A6DB2">
        <w:rPr>
          <w:b/>
        </w:rPr>
        <w:t xml:space="preserve">s general recommendation No. 35 (2013) on combating racist hate speech, by: </w:t>
      </w:r>
    </w:p>
    <w:p w14:paraId="11405EF1" w14:textId="6E5AA47E" w:rsidR="001A6DB2" w:rsidRPr="001A6DB2" w:rsidRDefault="00AD2AEF" w:rsidP="001A6DB2">
      <w:pPr>
        <w:pStyle w:val="SingleTxtG"/>
        <w:rPr>
          <w:b/>
        </w:rPr>
      </w:pPr>
      <w:r>
        <w:rPr>
          <w:b/>
        </w:rPr>
        <w:tab/>
      </w:r>
      <w:r w:rsidR="001A6DB2" w:rsidRPr="004C7976">
        <w:t>(a)</w:t>
      </w:r>
      <w:r w:rsidR="001A6DB2" w:rsidRPr="001A6DB2">
        <w:rPr>
          <w:b/>
        </w:rPr>
        <w:tab/>
        <w:t>Adopting legislation that fully conforms with article 4 of the Convention;</w:t>
      </w:r>
    </w:p>
    <w:p w14:paraId="6D870BB4" w14:textId="26655529" w:rsidR="001A6DB2" w:rsidRPr="001A6DB2" w:rsidRDefault="00AD2AEF" w:rsidP="001A6DB2">
      <w:pPr>
        <w:pStyle w:val="SingleTxtG"/>
        <w:rPr>
          <w:b/>
        </w:rPr>
      </w:pPr>
      <w:r>
        <w:rPr>
          <w:b/>
        </w:rPr>
        <w:tab/>
      </w:r>
      <w:r w:rsidR="001A6DB2" w:rsidRPr="004C7976">
        <w:t>(b)</w:t>
      </w:r>
      <w:r w:rsidR="001A6DB2" w:rsidRPr="001A6DB2">
        <w:rPr>
          <w:b/>
        </w:rPr>
        <w:tab/>
        <w:t xml:space="preserve">Urgently enacting and implementing the bills on hate speech and incitement to racial discrimination, which are currently under discussion in Congress; </w:t>
      </w:r>
    </w:p>
    <w:p w14:paraId="70D8F585" w14:textId="1880C237" w:rsidR="001A6DB2" w:rsidRPr="001A6DB2" w:rsidRDefault="00AD2AEF" w:rsidP="001A6DB2">
      <w:pPr>
        <w:pStyle w:val="SingleTxtG"/>
        <w:rPr>
          <w:b/>
        </w:rPr>
      </w:pPr>
      <w:r>
        <w:rPr>
          <w:b/>
        </w:rPr>
        <w:tab/>
      </w:r>
      <w:r w:rsidR="001A6DB2" w:rsidRPr="004C7976">
        <w:t>(c)</w:t>
      </w:r>
      <w:r w:rsidR="001A6DB2" w:rsidRPr="001A6DB2">
        <w:rPr>
          <w:b/>
        </w:rPr>
        <w:tab/>
        <w:t>Including statistics and other information in its next periodic report on investigations, judicial proceedings and judicial decisions concerning acts of incitement to racial discrimination, racial hatred and racially motivated violence;</w:t>
      </w:r>
    </w:p>
    <w:p w14:paraId="4E4FD658" w14:textId="1EA773ED" w:rsidR="001A6DB2" w:rsidRPr="001A6DB2" w:rsidRDefault="00AD2AEF" w:rsidP="001A6DB2">
      <w:pPr>
        <w:pStyle w:val="SingleTxtG"/>
        <w:rPr>
          <w:b/>
        </w:rPr>
      </w:pPr>
      <w:r>
        <w:rPr>
          <w:b/>
        </w:rPr>
        <w:tab/>
      </w:r>
      <w:r w:rsidR="001A6DB2" w:rsidRPr="004C7976">
        <w:t>(d)</w:t>
      </w:r>
      <w:r w:rsidR="001A6DB2" w:rsidRPr="001A6DB2">
        <w:rPr>
          <w:b/>
        </w:rPr>
        <w:tab/>
        <w:t xml:space="preserve">Developing measures to combat xenophobia and discriminatory stereotypes in respect of migrants, including in the media and on social media, with education and training and through campaigns targeted at public servants and the general public; </w:t>
      </w:r>
    </w:p>
    <w:p w14:paraId="67DEBE84" w14:textId="19170A91" w:rsidR="001A6DB2" w:rsidRPr="001A6DB2" w:rsidRDefault="00AD2AEF" w:rsidP="001A6DB2">
      <w:pPr>
        <w:pStyle w:val="SingleTxtG"/>
        <w:rPr>
          <w:b/>
        </w:rPr>
      </w:pPr>
      <w:r>
        <w:rPr>
          <w:b/>
        </w:rPr>
        <w:tab/>
      </w:r>
      <w:r w:rsidR="001A6DB2" w:rsidRPr="004C7976">
        <w:t>(e)</w:t>
      </w:r>
      <w:r w:rsidR="001A6DB2" w:rsidRPr="001A6DB2">
        <w:rPr>
          <w:b/>
        </w:rPr>
        <w:tab/>
        <w:t xml:space="preserve">Applying promptly and without exception the penalties in force for various acts of discrimination, in particular when committed by the </w:t>
      </w:r>
      <w:r w:rsidR="001A6DB2" w:rsidRPr="001A6DB2">
        <w:rPr>
          <w:b/>
          <w:iCs/>
        </w:rPr>
        <w:t>Carabineros</w:t>
      </w:r>
      <w:r w:rsidR="001A6DB2" w:rsidRPr="001A6DB2">
        <w:rPr>
          <w:b/>
        </w:rPr>
        <w:t xml:space="preserve"> or public officials.</w:t>
      </w:r>
    </w:p>
    <w:p w14:paraId="673FB1E8" w14:textId="77777777" w:rsidR="001A6DB2" w:rsidRPr="001A6DB2" w:rsidRDefault="001A6DB2" w:rsidP="00AD2AEF">
      <w:pPr>
        <w:pStyle w:val="H23G"/>
      </w:pPr>
      <w:r w:rsidRPr="001A6DB2">
        <w:tab/>
      </w:r>
      <w:r w:rsidRPr="001A6DB2">
        <w:tab/>
        <w:t xml:space="preserve">Racial discrimination and law enforcement </w:t>
      </w:r>
    </w:p>
    <w:p w14:paraId="1198F6F6" w14:textId="1B5A4FDD" w:rsidR="001A6DB2" w:rsidRPr="001A6DB2" w:rsidRDefault="001A6DB2" w:rsidP="001A6DB2">
      <w:pPr>
        <w:pStyle w:val="SingleTxtG"/>
      </w:pPr>
      <w:r w:rsidRPr="001A6DB2">
        <w:t>20.</w:t>
      </w:r>
      <w:r w:rsidRPr="001A6DB2">
        <w:tab/>
        <w:t xml:space="preserve">The Committee is concerned about the continuation of the </w:t>
      </w:r>
      <w:r w:rsidR="00020BF9" w:rsidRPr="006A0FA2">
        <w:t>“</w:t>
      </w:r>
      <w:r w:rsidRPr="001A6DB2">
        <w:t>state of constitutional emergency</w:t>
      </w:r>
      <w:r w:rsidR="00020BF9">
        <w:t>”</w:t>
      </w:r>
      <w:r w:rsidRPr="001A6DB2">
        <w:t xml:space="preserve"> and the militarization of the conflict with the Mapuche, which has already led to the death and bodily harm of members of that community. It is also concerned about numerous reports of excessive use of force by </w:t>
      </w:r>
      <w:r w:rsidRPr="001A6DB2">
        <w:rPr>
          <w:iCs/>
        </w:rPr>
        <w:t>Carabineros</w:t>
      </w:r>
      <w:r w:rsidRPr="001A6DB2">
        <w:t xml:space="preserve"> against members of Mapuche communities, in particular in the context of demonstrations in defence of their rights. The Committee is also concerned about reports that law enforcement officials are not always held accountable for their acts, despite the administrative measures and institutions set up to address such instances (arts. 2 and 4–5).</w:t>
      </w:r>
      <w:r w:rsidR="00020BF9">
        <w:t xml:space="preserve"> </w:t>
      </w:r>
    </w:p>
    <w:p w14:paraId="34470180" w14:textId="77777777" w:rsidR="001A6DB2" w:rsidRPr="001A6DB2" w:rsidRDefault="001A6DB2" w:rsidP="001A6DB2">
      <w:pPr>
        <w:pStyle w:val="SingleTxtG"/>
        <w:rPr>
          <w:b/>
          <w:bCs/>
        </w:rPr>
      </w:pPr>
      <w:r w:rsidRPr="001A6DB2">
        <w:rPr>
          <w:bCs/>
        </w:rPr>
        <w:t>21.</w:t>
      </w:r>
      <w:r w:rsidRPr="001A6DB2">
        <w:rPr>
          <w:bCs/>
        </w:rPr>
        <w:tab/>
      </w:r>
      <w:r w:rsidRPr="001A6DB2">
        <w:rPr>
          <w:b/>
          <w:bCs/>
        </w:rPr>
        <w:t>The Committee urges the State party to:</w:t>
      </w:r>
    </w:p>
    <w:p w14:paraId="231165F1" w14:textId="23FD0A62" w:rsidR="001A6DB2" w:rsidRPr="001A6DB2" w:rsidRDefault="00AD2AEF" w:rsidP="001A6DB2">
      <w:pPr>
        <w:pStyle w:val="SingleTxtG"/>
        <w:rPr>
          <w:b/>
        </w:rPr>
      </w:pPr>
      <w:r>
        <w:rPr>
          <w:b/>
        </w:rPr>
        <w:tab/>
      </w:r>
      <w:r w:rsidR="001A6DB2" w:rsidRPr="004C7976">
        <w:t>(a)</w:t>
      </w:r>
      <w:r w:rsidR="001A6DB2" w:rsidRPr="001A6DB2">
        <w:rPr>
          <w:b/>
        </w:rPr>
        <w:tab/>
        <w:t>Ensure that the actions of law enforcement officials comply fully with human rights obligations, in particular during mass demonstrations, and refrain from violence against indigenous communities;</w:t>
      </w:r>
    </w:p>
    <w:p w14:paraId="776AA84E" w14:textId="46B78391" w:rsidR="001A6DB2" w:rsidRPr="001A6DB2" w:rsidRDefault="00AD2AEF" w:rsidP="00B45443">
      <w:pPr>
        <w:pStyle w:val="SingleTxtG"/>
        <w:rPr>
          <w:b/>
          <w:bCs/>
          <w:lang w:val="de-DE"/>
        </w:rPr>
      </w:pPr>
      <w:r>
        <w:rPr>
          <w:b/>
        </w:rPr>
        <w:tab/>
      </w:r>
      <w:r w:rsidR="001A6DB2" w:rsidRPr="004C7976">
        <w:t>(b)</w:t>
      </w:r>
      <w:r w:rsidR="001A6DB2" w:rsidRPr="001A6DB2">
        <w:rPr>
          <w:b/>
        </w:rPr>
        <w:tab/>
        <w:t>Investigate allegations of acts of violence committed by law enforcement officials, prosecute and punish those found guilty with appropriate penalties, while granting adequate reparations to victims and their families;</w:t>
      </w:r>
    </w:p>
    <w:p w14:paraId="51C7AFFF" w14:textId="0848C74E" w:rsidR="001A6DB2" w:rsidRPr="001A6DB2" w:rsidRDefault="00AD2AEF" w:rsidP="001A6DB2">
      <w:pPr>
        <w:pStyle w:val="SingleTxtG"/>
        <w:rPr>
          <w:b/>
        </w:rPr>
      </w:pPr>
      <w:r>
        <w:rPr>
          <w:b/>
        </w:rPr>
        <w:tab/>
      </w:r>
      <w:r w:rsidR="001A6DB2" w:rsidRPr="004C7976">
        <w:t>(c)</w:t>
      </w:r>
      <w:r w:rsidR="001A6DB2" w:rsidRPr="001A6DB2">
        <w:rPr>
          <w:b/>
        </w:rPr>
        <w:tab/>
        <w:t>Intensify and expand the human rights training provided to law enforcement and judicial officials to ensure the proper performance of their duties;</w:t>
      </w:r>
    </w:p>
    <w:p w14:paraId="74B7A69F" w14:textId="6B12B69A" w:rsidR="001A6DB2" w:rsidRPr="001A6DB2" w:rsidRDefault="00AD2AEF" w:rsidP="001A6DB2">
      <w:pPr>
        <w:pStyle w:val="SingleTxtG"/>
        <w:rPr>
          <w:b/>
        </w:rPr>
      </w:pPr>
      <w:r>
        <w:rPr>
          <w:b/>
        </w:rPr>
        <w:lastRenderedPageBreak/>
        <w:tab/>
      </w:r>
      <w:r w:rsidR="001A6DB2" w:rsidRPr="004C7976">
        <w:t>(d)</w:t>
      </w:r>
      <w:r w:rsidR="001A6DB2" w:rsidRPr="001A6DB2">
        <w:rPr>
          <w:b/>
        </w:rPr>
        <w:tab/>
        <w:t>Design, in consultation with the Mapuche people, public policies that promote intercultural dialogue and foster peace in conflict zones.</w:t>
      </w:r>
    </w:p>
    <w:p w14:paraId="44800B8F" w14:textId="77777777" w:rsidR="001A6DB2" w:rsidRPr="001A6DB2" w:rsidRDefault="001A6DB2" w:rsidP="00AD2AEF">
      <w:pPr>
        <w:pStyle w:val="H23G"/>
      </w:pPr>
      <w:r w:rsidRPr="001A6DB2">
        <w:tab/>
      </w:r>
      <w:r w:rsidRPr="001A6DB2">
        <w:tab/>
        <w:t>Racial profiling</w:t>
      </w:r>
    </w:p>
    <w:p w14:paraId="7F485911" w14:textId="1221F487" w:rsidR="001A6DB2" w:rsidRPr="001A6DB2" w:rsidRDefault="001A6DB2" w:rsidP="001A6DB2">
      <w:pPr>
        <w:pStyle w:val="SingleTxtG"/>
      </w:pPr>
      <w:r w:rsidRPr="001A6DB2">
        <w:t>22.</w:t>
      </w:r>
      <w:r w:rsidRPr="001A6DB2">
        <w:tab/>
        <w:t>The Committee observes that no information has been received from the State party on instances of racial profiling or about measures taken to combat such practices. The Committee, however, takes note of reports that members of the Mapuche, migrant and Afrodescendent communities, in particular, are regularly subjected to racial profiling by the police and other law enforcement agencies (art.</w:t>
      </w:r>
      <w:r w:rsidR="00020BF9">
        <w:t xml:space="preserve"> </w:t>
      </w:r>
      <w:r w:rsidRPr="001A6DB2">
        <w:t xml:space="preserve">4). </w:t>
      </w:r>
    </w:p>
    <w:p w14:paraId="158DE581" w14:textId="3656E609" w:rsidR="001A6DB2" w:rsidRPr="001A6DB2" w:rsidRDefault="001A6DB2" w:rsidP="001A6DB2">
      <w:pPr>
        <w:pStyle w:val="SingleTxtG"/>
        <w:rPr>
          <w:b/>
        </w:rPr>
      </w:pPr>
      <w:r w:rsidRPr="001A6DB2">
        <w:t>23.</w:t>
      </w:r>
      <w:r w:rsidRPr="001A6DB2">
        <w:tab/>
      </w:r>
      <w:r w:rsidRPr="001A6DB2">
        <w:rPr>
          <w:b/>
          <w:bCs/>
        </w:rPr>
        <w:t>The Committee recommends that the State party</w:t>
      </w:r>
      <w:r w:rsidRPr="001A6DB2">
        <w:rPr>
          <w:b/>
        </w:rPr>
        <w:t xml:space="preserve"> enact regulations and implement policies to combat racial profiling, taking into consideration general recommendation No.</w:t>
      </w:r>
      <w:r w:rsidR="00020BF9">
        <w:rPr>
          <w:b/>
        </w:rPr>
        <w:t xml:space="preserve"> </w:t>
      </w:r>
      <w:r w:rsidRPr="001A6DB2">
        <w:rPr>
          <w:b/>
        </w:rPr>
        <w:t xml:space="preserve">36 (2020) on preventing and combating racial profiling. </w:t>
      </w:r>
    </w:p>
    <w:p w14:paraId="7FAA30F2" w14:textId="77777777" w:rsidR="001A6DB2" w:rsidRPr="001A6DB2" w:rsidRDefault="001A6DB2" w:rsidP="00AD2AEF">
      <w:pPr>
        <w:pStyle w:val="H23G"/>
      </w:pPr>
      <w:r w:rsidRPr="001A6DB2">
        <w:tab/>
      </w:r>
      <w:r w:rsidRPr="001A6DB2">
        <w:tab/>
        <w:t xml:space="preserve">Counter-terrorism legislation </w:t>
      </w:r>
    </w:p>
    <w:p w14:paraId="3F249EC3" w14:textId="778C1890" w:rsidR="001A6DB2" w:rsidRPr="001A6DB2" w:rsidRDefault="001A6DB2" w:rsidP="001A6DB2">
      <w:pPr>
        <w:pStyle w:val="SingleTxtG"/>
      </w:pPr>
      <w:r w:rsidRPr="001A6DB2">
        <w:t>24.</w:t>
      </w:r>
      <w:r w:rsidRPr="001A6DB2">
        <w:tab/>
        <w:t>The Committee remains concerned about reports that Act No. 18.314 (the Counter-Terrorism Act) has been applied in a disproportionate manner to members of the Mapuche community. The Committee is further concerned by the lack of objective criteria for the application and enforcement of this law and that its invocation allows for serious measures against alleged perpetrators, in particular with regard to pretrial detention and restrictions of due process rights (art.</w:t>
      </w:r>
      <w:r w:rsidR="00020BF9">
        <w:t xml:space="preserve"> </w:t>
      </w:r>
      <w:r w:rsidRPr="001A6DB2">
        <w:t xml:space="preserve">6). </w:t>
      </w:r>
    </w:p>
    <w:p w14:paraId="7AEB7993" w14:textId="77777777" w:rsidR="001A6DB2" w:rsidRPr="001A6DB2" w:rsidRDefault="001A6DB2" w:rsidP="001A6DB2">
      <w:pPr>
        <w:pStyle w:val="SingleTxtG"/>
        <w:rPr>
          <w:b/>
          <w:bCs/>
        </w:rPr>
      </w:pPr>
      <w:r w:rsidRPr="001A6DB2">
        <w:rPr>
          <w:bCs/>
        </w:rPr>
        <w:t>25.</w:t>
      </w:r>
      <w:r w:rsidRPr="001A6DB2">
        <w:rPr>
          <w:bCs/>
        </w:rPr>
        <w:tab/>
      </w:r>
      <w:r w:rsidRPr="001A6DB2">
        <w:rPr>
          <w:b/>
          <w:bCs/>
        </w:rPr>
        <w:t>The Committee reiterates its preceding concluding observations</w:t>
      </w:r>
      <w:r w:rsidRPr="00F074D6">
        <w:rPr>
          <w:rStyle w:val="FootnoteReference"/>
        </w:rPr>
        <w:footnoteReference w:id="8"/>
      </w:r>
      <w:r w:rsidRPr="001A6DB2">
        <w:rPr>
          <w:b/>
          <w:bCs/>
        </w:rPr>
        <w:t xml:space="preserve"> and urges the State party to:</w:t>
      </w:r>
    </w:p>
    <w:p w14:paraId="36A3FB55" w14:textId="47F425C9" w:rsidR="001A6DB2" w:rsidRPr="001A6DB2" w:rsidRDefault="00AD2AEF" w:rsidP="001A6DB2">
      <w:pPr>
        <w:pStyle w:val="SingleTxtG"/>
        <w:rPr>
          <w:b/>
          <w:bCs/>
        </w:rPr>
      </w:pPr>
      <w:r>
        <w:rPr>
          <w:b/>
          <w:bCs/>
        </w:rPr>
        <w:tab/>
      </w:r>
      <w:r w:rsidR="001A6DB2" w:rsidRPr="004C7976">
        <w:rPr>
          <w:bCs/>
        </w:rPr>
        <w:t>(a)</w:t>
      </w:r>
      <w:r w:rsidR="001A6DB2" w:rsidRPr="001A6DB2">
        <w:rPr>
          <w:b/>
          <w:bCs/>
        </w:rPr>
        <w:tab/>
        <w:t>Revise the Counter-Terrorism Act so that it specifies exactly what terrorist offences it covers, and adapt it to international standards;</w:t>
      </w:r>
    </w:p>
    <w:p w14:paraId="4BEDBA54" w14:textId="7C5A62F6" w:rsidR="001A6DB2" w:rsidRPr="001A6DB2" w:rsidRDefault="00AD2AEF" w:rsidP="001A6DB2">
      <w:pPr>
        <w:pStyle w:val="SingleTxtG"/>
        <w:rPr>
          <w:b/>
          <w:bCs/>
        </w:rPr>
      </w:pPr>
      <w:r>
        <w:rPr>
          <w:b/>
          <w:bCs/>
        </w:rPr>
        <w:tab/>
      </w:r>
      <w:r w:rsidR="001A6DB2" w:rsidRPr="004C7976">
        <w:rPr>
          <w:bCs/>
        </w:rPr>
        <w:t>(b)</w:t>
      </w:r>
      <w:r w:rsidR="001A6DB2" w:rsidRPr="001A6DB2">
        <w:rPr>
          <w:b/>
          <w:bCs/>
        </w:rPr>
        <w:tab/>
        <w:t>Ensure that the Counter-Terrorism Act is not applied to members of the Mapuche community for acts that take place in connection with the expression of social needs;</w:t>
      </w:r>
    </w:p>
    <w:p w14:paraId="7A12092B" w14:textId="32937A7E" w:rsidR="001A6DB2" w:rsidRPr="001A6DB2" w:rsidRDefault="00AD2AEF" w:rsidP="001A6DB2">
      <w:pPr>
        <w:pStyle w:val="SingleTxtG"/>
        <w:rPr>
          <w:b/>
          <w:bCs/>
        </w:rPr>
      </w:pPr>
      <w:r>
        <w:rPr>
          <w:b/>
          <w:bCs/>
        </w:rPr>
        <w:tab/>
      </w:r>
      <w:r w:rsidR="001A6DB2" w:rsidRPr="004C7976">
        <w:rPr>
          <w:bCs/>
        </w:rPr>
        <w:t>(c)</w:t>
      </w:r>
      <w:r w:rsidR="001A6DB2" w:rsidRPr="001A6DB2">
        <w:rPr>
          <w:b/>
          <w:bCs/>
        </w:rPr>
        <w:tab/>
        <w:t>Monitor the application of the Counter-Terrorism Act and related practices in order to identify any discriminatory effect on indigenous peoples.</w:t>
      </w:r>
    </w:p>
    <w:p w14:paraId="20F6C2F7" w14:textId="77777777" w:rsidR="001A6DB2" w:rsidRPr="001A6DB2" w:rsidRDefault="001A6DB2" w:rsidP="00AD2AEF">
      <w:pPr>
        <w:pStyle w:val="H23G"/>
      </w:pPr>
      <w:r w:rsidRPr="001A6DB2">
        <w:tab/>
      </w:r>
      <w:r w:rsidRPr="001A6DB2">
        <w:tab/>
        <w:t xml:space="preserve">Situation of human rights defenders </w:t>
      </w:r>
    </w:p>
    <w:p w14:paraId="35A23973" w14:textId="4C05EE33" w:rsidR="001A6DB2" w:rsidRPr="001A6DB2" w:rsidRDefault="001A6DB2" w:rsidP="001A6DB2">
      <w:pPr>
        <w:pStyle w:val="SingleTxtG"/>
      </w:pPr>
      <w:r w:rsidRPr="001A6DB2">
        <w:t>26.</w:t>
      </w:r>
      <w:r w:rsidRPr="001A6DB2">
        <w:tab/>
        <w:t>The Committee is concerned by allegations according to which human rights defenders, in particular of minority groups, have been intimidated by the police, profiled and threatened with arrest in the exercise of their activities. The Committee notes that police protocols do not adequately address the situation of human rights defenders and is concerned by information related to the alleged disproportionate use of force against an environmental human rights defender (art.</w:t>
      </w:r>
      <w:r w:rsidR="00020BF9">
        <w:t xml:space="preserve"> </w:t>
      </w:r>
      <w:r w:rsidRPr="001A6DB2">
        <w:t>5).</w:t>
      </w:r>
    </w:p>
    <w:p w14:paraId="2B82C1B4" w14:textId="0DEB7EEC" w:rsidR="001A6DB2" w:rsidRPr="001A6DB2" w:rsidRDefault="001A6DB2" w:rsidP="001A6DB2">
      <w:pPr>
        <w:pStyle w:val="SingleTxtG"/>
        <w:rPr>
          <w:b/>
        </w:rPr>
      </w:pPr>
      <w:r w:rsidRPr="001A6DB2">
        <w:t>27.</w:t>
      </w:r>
      <w:r w:rsidRPr="001A6DB2">
        <w:tab/>
      </w:r>
      <w:r w:rsidRPr="001A6DB2">
        <w:rPr>
          <w:b/>
        </w:rPr>
        <w:t>The Committee recommends that the State party take specific, adequate and effective measures to prevent any forms of violence or abuse by the police, and to protect human rights defenders, in particular those belonging to minority groups, from any such violence or abuse. It also recommends that the State party take measures to investigate any cases of violence or abuse, and prosecute and punish the perpetrators.</w:t>
      </w:r>
    </w:p>
    <w:p w14:paraId="524DD076" w14:textId="77777777" w:rsidR="001A6DB2" w:rsidRPr="001A6DB2" w:rsidRDefault="001A6DB2" w:rsidP="00AD2AEF">
      <w:pPr>
        <w:pStyle w:val="H23G"/>
      </w:pPr>
      <w:r w:rsidRPr="001A6DB2">
        <w:tab/>
      </w:r>
      <w:r w:rsidRPr="001A6DB2">
        <w:tab/>
        <w:t>Situation of indigenous peoples</w:t>
      </w:r>
    </w:p>
    <w:p w14:paraId="0E430FF1" w14:textId="77777777" w:rsidR="001A6DB2" w:rsidRPr="001A6DB2" w:rsidRDefault="001A6DB2" w:rsidP="001A6DB2">
      <w:pPr>
        <w:pStyle w:val="SingleTxtG"/>
        <w:rPr>
          <w:lang w:val="en-US"/>
        </w:rPr>
      </w:pPr>
      <w:r w:rsidRPr="001A6DB2">
        <w:rPr>
          <w:lang w:val="en-US"/>
        </w:rPr>
        <w:t>28.</w:t>
      </w:r>
      <w:r w:rsidRPr="001A6DB2">
        <w:rPr>
          <w:lang w:val="en-US"/>
        </w:rPr>
        <w:tab/>
      </w:r>
      <w:r w:rsidRPr="001A6DB2">
        <w:t>The Committee is concerned that ineffective or absent consultations with indigenous peoples on issues affecting land and territory has led to conflicts. The Committee notes with concern that indigenous languages are less visible in the mainstream media and that alternative media, including indigenous community radio stations used for language revitalization, are not being appropriately supported and facilitated by the Government, despite the previous recommendations of the Committee</w:t>
      </w:r>
      <w:r w:rsidRPr="001A6DB2">
        <w:rPr>
          <w:bCs/>
        </w:rPr>
        <w:t>.</w:t>
      </w:r>
      <w:r w:rsidRPr="00F074D6">
        <w:rPr>
          <w:rStyle w:val="FootnoteReference"/>
        </w:rPr>
        <w:footnoteReference w:id="9"/>
      </w:r>
      <w:r w:rsidRPr="001A6DB2">
        <w:t xml:space="preserve"> The Committee remains deeply concerned by the desecration of sacred sites such as Marta Cayulef in Pucón, Coñaripe (Los </w:t>
      </w:r>
      <w:r w:rsidRPr="001A6DB2">
        <w:lastRenderedPageBreak/>
        <w:t xml:space="preserve">Ríos) and Chinay (Villarrica), and about the negative impact on the environment, health and traditional ways of life of indigenous communities owing to the installation of waste disposal sites on their territories in different parts of the State party, including Collipulli and Lautaro. Furthermore, the Committee regrets that </w:t>
      </w:r>
      <w:r w:rsidRPr="001A6DB2">
        <w:rPr>
          <w:lang w:val="en-US"/>
        </w:rPr>
        <w:t>insufficient attention has been paid, and insufficient resources have been allocated, to the issue of the restitution of ancestral lands raised</w:t>
      </w:r>
      <w:r w:rsidRPr="001A6DB2">
        <w:t xml:space="preserve"> </w:t>
      </w:r>
      <w:r w:rsidRPr="001A6DB2">
        <w:rPr>
          <w:lang w:val="en-US"/>
        </w:rPr>
        <w:t>by the Committee,</w:t>
      </w:r>
      <w:r w:rsidRPr="00F074D6">
        <w:rPr>
          <w:rStyle w:val="FootnoteReference"/>
        </w:rPr>
        <w:footnoteReference w:id="10"/>
      </w:r>
      <w:r w:rsidRPr="001A6DB2">
        <w:rPr>
          <w:lang w:val="en-US"/>
        </w:rPr>
        <w:t xml:space="preserve"> which continues to represent the main source of tension between the State party and indigenous peoples (art.</w:t>
      </w:r>
      <w:r w:rsidRPr="001A6DB2">
        <w:t xml:space="preserve"> </w:t>
      </w:r>
      <w:r w:rsidRPr="001A6DB2">
        <w:rPr>
          <w:lang w:val="en-US"/>
        </w:rPr>
        <w:t xml:space="preserve">5). </w:t>
      </w:r>
    </w:p>
    <w:p w14:paraId="3DC7588F" w14:textId="77777777" w:rsidR="001A6DB2" w:rsidRPr="005412A4" w:rsidRDefault="001A6DB2" w:rsidP="001A6DB2">
      <w:pPr>
        <w:pStyle w:val="SingleTxtG"/>
        <w:rPr>
          <w:b/>
        </w:rPr>
      </w:pPr>
      <w:r w:rsidRPr="005412A4">
        <w:t>29.</w:t>
      </w:r>
      <w:r w:rsidRPr="005412A4">
        <w:tab/>
      </w:r>
      <w:r w:rsidRPr="005412A4">
        <w:rPr>
          <w:b/>
        </w:rPr>
        <w:t>Recalling its general recommendation No. 23 (1997) on the rights of indigenous peoples, the Committee reiterates its preceding concluding observations</w:t>
      </w:r>
      <w:r w:rsidRPr="005412A4">
        <w:rPr>
          <w:rStyle w:val="FootnoteReference"/>
        </w:rPr>
        <w:footnoteReference w:id="11"/>
      </w:r>
      <w:r w:rsidRPr="005412A4">
        <w:rPr>
          <w:b/>
        </w:rPr>
        <w:t xml:space="preserve"> and urges the State party to:</w:t>
      </w:r>
    </w:p>
    <w:p w14:paraId="239D2EC8" w14:textId="5ECF08D1" w:rsidR="001A6DB2" w:rsidRPr="005412A4" w:rsidRDefault="00AD2AEF" w:rsidP="001A6DB2">
      <w:pPr>
        <w:pStyle w:val="SingleTxtG"/>
        <w:rPr>
          <w:b/>
        </w:rPr>
      </w:pPr>
      <w:r w:rsidRPr="005412A4">
        <w:rPr>
          <w:b/>
        </w:rPr>
        <w:tab/>
      </w:r>
      <w:r w:rsidR="001A6DB2" w:rsidRPr="005412A4">
        <w:t>(a)</w:t>
      </w:r>
      <w:r w:rsidR="001A6DB2" w:rsidRPr="005412A4">
        <w:rPr>
          <w:b/>
        </w:rPr>
        <w:tab/>
        <w:t>T</w:t>
      </w:r>
      <w:r w:rsidR="001A6DB2" w:rsidRPr="005412A4">
        <w:rPr>
          <w:b/>
          <w:bCs/>
        </w:rPr>
        <w:t xml:space="preserve">ake the </w:t>
      </w:r>
      <w:r w:rsidR="001A6DB2" w:rsidRPr="005412A4">
        <w:rPr>
          <w:b/>
        </w:rPr>
        <w:t>necessary steps</w:t>
      </w:r>
      <w:r w:rsidR="001A6DB2" w:rsidRPr="005412A4">
        <w:rPr>
          <w:b/>
          <w:bCs/>
        </w:rPr>
        <w:t xml:space="preserve"> to provide indigenous peoples with effective protection from racial discrimination;</w:t>
      </w:r>
    </w:p>
    <w:p w14:paraId="60187769" w14:textId="479219FC" w:rsidR="001A6DB2" w:rsidRPr="005412A4" w:rsidRDefault="00AD2AEF" w:rsidP="001A6DB2">
      <w:pPr>
        <w:pStyle w:val="SingleTxtG"/>
        <w:rPr>
          <w:b/>
        </w:rPr>
      </w:pPr>
      <w:r w:rsidRPr="005412A4">
        <w:rPr>
          <w:b/>
        </w:rPr>
        <w:tab/>
      </w:r>
      <w:r w:rsidR="001A6DB2" w:rsidRPr="005412A4">
        <w:t>(b)</w:t>
      </w:r>
      <w:r w:rsidR="001A6DB2" w:rsidRPr="005412A4">
        <w:rPr>
          <w:b/>
        </w:rPr>
        <w:tab/>
        <w:t>Undertake environmental impact assessments on a systematic basis and fulfil its obligation to ensure that consultations are held with indigenous peoples before authorizing any investment project that could negatively impact their rights to the land and resources that they possess or that they have traditionally used, with a view to obtaining their free, prior and informed consent, as established in the relevant international instruments;</w:t>
      </w:r>
    </w:p>
    <w:p w14:paraId="25A9DF4C" w14:textId="4AFBAD24" w:rsidR="001A6DB2" w:rsidRPr="005412A4" w:rsidRDefault="00AD2AEF" w:rsidP="001A6DB2">
      <w:pPr>
        <w:pStyle w:val="SingleTxtG"/>
        <w:rPr>
          <w:b/>
        </w:rPr>
      </w:pPr>
      <w:r w:rsidRPr="005412A4">
        <w:rPr>
          <w:b/>
        </w:rPr>
        <w:tab/>
      </w:r>
      <w:r w:rsidR="001A6DB2" w:rsidRPr="005412A4">
        <w:t>(c)</w:t>
      </w:r>
      <w:r w:rsidR="001A6DB2" w:rsidRPr="005412A4">
        <w:rPr>
          <w:b/>
        </w:rPr>
        <w:tab/>
        <w:t>Expedite the establishment of the Ministry of Indigenous Peoples and the National Council of Indigenous Peoples in accordance with international standards, and also expedite the implementation of Act No. 19.253, which sets out rules on the protection, advancement and development of indigenous peoples and the establishment of a historical cadastre of indigenous lands and water resources;</w:t>
      </w:r>
    </w:p>
    <w:p w14:paraId="00E82C86" w14:textId="342E1AB1" w:rsidR="001A6DB2" w:rsidRPr="001A6DB2" w:rsidRDefault="00AD2AEF" w:rsidP="001A6DB2">
      <w:pPr>
        <w:pStyle w:val="SingleTxtG"/>
        <w:rPr>
          <w:b/>
          <w:bCs/>
        </w:rPr>
      </w:pPr>
      <w:r>
        <w:rPr>
          <w:b/>
          <w:bCs/>
        </w:rPr>
        <w:tab/>
      </w:r>
      <w:r w:rsidR="001A6DB2" w:rsidRPr="004C7976">
        <w:rPr>
          <w:bCs/>
        </w:rPr>
        <w:t>(d)</w:t>
      </w:r>
      <w:r w:rsidR="001A6DB2" w:rsidRPr="001A6DB2">
        <w:rPr>
          <w:b/>
          <w:bCs/>
        </w:rPr>
        <w:tab/>
      </w:r>
      <w:r w:rsidR="001A6DB2" w:rsidRPr="001A6DB2">
        <w:rPr>
          <w:b/>
          <w:lang w:val="de-DE"/>
        </w:rPr>
        <w:t>A</w:t>
      </w:r>
      <w:r w:rsidR="001A6DB2" w:rsidRPr="001A6DB2">
        <w:rPr>
          <w:b/>
          <w:bCs/>
        </w:rPr>
        <w:t>llocate sufficient resources to revive</w:t>
      </w:r>
      <w:r w:rsidR="001A6DB2" w:rsidRPr="001A6DB2">
        <w:rPr>
          <w:b/>
          <w:lang w:val="de-DE"/>
        </w:rPr>
        <w:t xml:space="preserve"> </w:t>
      </w:r>
      <w:r w:rsidR="001A6DB2" w:rsidRPr="001A6DB2">
        <w:rPr>
          <w:b/>
          <w:bCs/>
        </w:rPr>
        <w:t>indigenous languages and ensure that indigenous peoples have access to education and promote the</w:t>
      </w:r>
      <w:r w:rsidR="001A6DB2" w:rsidRPr="001A6DB2">
        <w:rPr>
          <w:b/>
          <w:lang w:val="de-DE"/>
        </w:rPr>
        <w:t xml:space="preserve"> </w:t>
      </w:r>
      <w:r w:rsidR="001A6DB2" w:rsidRPr="001A6DB2">
        <w:rPr>
          <w:b/>
          <w:bCs/>
        </w:rPr>
        <w:t>involvement of indigenous teachers, and adopt the</w:t>
      </w:r>
      <w:r w:rsidR="001A6DB2" w:rsidRPr="001A6DB2">
        <w:rPr>
          <w:b/>
          <w:lang w:val="de-DE"/>
        </w:rPr>
        <w:t xml:space="preserve"> </w:t>
      </w:r>
      <w:r w:rsidR="001A6DB2" w:rsidRPr="001A6DB2">
        <w:rPr>
          <w:b/>
          <w:bCs/>
        </w:rPr>
        <w:t>necessary legislative and other measures to reduce the constraints faced by indigenous</w:t>
      </w:r>
      <w:r w:rsidR="001A6DB2" w:rsidRPr="001A6DB2">
        <w:rPr>
          <w:b/>
          <w:lang w:val="de-DE"/>
        </w:rPr>
        <w:t xml:space="preserve"> </w:t>
      </w:r>
      <w:r w:rsidR="001A6DB2" w:rsidRPr="001A6DB2">
        <w:rPr>
          <w:b/>
          <w:bCs/>
        </w:rPr>
        <w:t>peoples with regard to the use of community-based media in order to promote the use</w:t>
      </w:r>
      <w:r w:rsidR="001A6DB2" w:rsidRPr="001A6DB2">
        <w:rPr>
          <w:b/>
          <w:lang w:val="de-DE"/>
        </w:rPr>
        <w:t xml:space="preserve"> </w:t>
      </w:r>
      <w:r w:rsidR="001A6DB2" w:rsidRPr="001A6DB2">
        <w:rPr>
          <w:b/>
          <w:bCs/>
        </w:rPr>
        <w:t>of indigenous languages;</w:t>
      </w:r>
    </w:p>
    <w:p w14:paraId="6600AFD9" w14:textId="0CA3464A" w:rsidR="001A6DB2" w:rsidRPr="001A6DB2" w:rsidRDefault="00AD2AEF" w:rsidP="001A6DB2">
      <w:pPr>
        <w:pStyle w:val="SingleTxtG"/>
        <w:rPr>
          <w:b/>
          <w:bCs/>
        </w:rPr>
      </w:pPr>
      <w:r>
        <w:rPr>
          <w:b/>
          <w:bCs/>
        </w:rPr>
        <w:tab/>
      </w:r>
      <w:r w:rsidR="001A6DB2" w:rsidRPr="004C7976">
        <w:rPr>
          <w:bCs/>
        </w:rPr>
        <w:t>(e)</w:t>
      </w:r>
      <w:r w:rsidR="001A6DB2" w:rsidRPr="001A6DB2">
        <w:rPr>
          <w:b/>
          <w:bCs/>
        </w:rPr>
        <w:tab/>
        <w:t>Expedite the restitution of ancestral lands and furnish effective and sufficient means of protecting indigenous peoples</w:t>
      </w:r>
      <w:r w:rsidR="00020BF9">
        <w:rPr>
          <w:b/>
          <w:bCs/>
        </w:rPr>
        <w:t>’</w:t>
      </w:r>
      <w:r w:rsidR="001A6DB2" w:rsidRPr="001A6DB2">
        <w:rPr>
          <w:b/>
          <w:bCs/>
        </w:rPr>
        <w:t xml:space="preserve"> rights to their ancestral lands and resources in accordance with the Convention, other relevant international instruments and the treaties signed by the State party with indigenous peoples.</w:t>
      </w:r>
    </w:p>
    <w:p w14:paraId="43670740" w14:textId="77777777" w:rsidR="001A6DB2" w:rsidRPr="001A6DB2" w:rsidRDefault="001A6DB2" w:rsidP="00AD2AEF">
      <w:pPr>
        <w:pStyle w:val="H23G"/>
      </w:pPr>
      <w:r w:rsidRPr="001A6DB2">
        <w:tab/>
      </w:r>
      <w:r w:rsidRPr="001A6DB2">
        <w:tab/>
        <w:t xml:space="preserve">Situation of people of African descent </w:t>
      </w:r>
    </w:p>
    <w:p w14:paraId="628E0B5F" w14:textId="7F60D679" w:rsidR="001A6DB2" w:rsidRPr="001A6DB2" w:rsidRDefault="001A6DB2" w:rsidP="001A6DB2">
      <w:pPr>
        <w:pStyle w:val="SingleTxtG"/>
      </w:pPr>
      <w:r w:rsidRPr="001A6DB2">
        <w:t>30.</w:t>
      </w:r>
      <w:r w:rsidRPr="001A6DB2">
        <w:tab/>
        <w:t>The Committee takes note of Act No. 21.151 (2019), which grants legal recognition to Chilean Afrodescendent tribal peoples and the inclusion of questions on people of African descent in the upcoming 2023 census. However, the Committee is concerned by the lack of statistics to assess the situation of the population of African descent of the country (arts.</w:t>
      </w:r>
      <w:r w:rsidR="00020BF9">
        <w:t xml:space="preserve"> </w:t>
      </w:r>
      <w:r w:rsidRPr="001A6DB2">
        <w:t>2 and 5).</w:t>
      </w:r>
      <w:r w:rsidR="00020BF9">
        <w:t xml:space="preserve"> </w:t>
      </w:r>
    </w:p>
    <w:p w14:paraId="7E5735A4" w14:textId="77777777" w:rsidR="001A6DB2" w:rsidRPr="001A6DB2" w:rsidRDefault="001A6DB2" w:rsidP="001A6DB2">
      <w:pPr>
        <w:pStyle w:val="SingleTxtG"/>
        <w:rPr>
          <w:b/>
        </w:rPr>
      </w:pPr>
      <w:r w:rsidRPr="001A6DB2">
        <w:t>31.</w:t>
      </w:r>
      <w:r w:rsidRPr="001A6DB2">
        <w:tab/>
      </w:r>
      <w:r w:rsidRPr="001A6DB2">
        <w:rPr>
          <w:b/>
        </w:rPr>
        <w:t>The Committee recommends that the State party adopt and implement policies, programmes and measures, including special measures under article 2 (2) of the Convention, to guarantee equality in the enjoyment and exercise of the rights of people of African descent, in the light of general recommendation No. 34 (2011) on racial discrimination against people of African descent.</w:t>
      </w:r>
    </w:p>
    <w:p w14:paraId="72B1D7A0" w14:textId="77777777" w:rsidR="001A6DB2" w:rsidRPr="001A6DB2" w:rsidRDefault="001A6DB2" w:rsidP="00AD2AEF">
      <w:pPr>
        <w:pStyle w:val="H23G"/>
      </w:pPr>
      <w:r w:rsidRPr="001A6DB2">
        <w:tab/>
      </w:r>
      <w:r w:rsidRPr="001A6DB2">
        <w:tab/>
        <w:t>Situation of migrants, asylum-seekers and refugees</w:t>
      </w:r>
    </w:p>
    <w:p w14:paraId="2BAA097D" w14:textId="77777777" w:rsidR="001A6DB2" w:rsidRPr="001A6DB2" w:rsidRDefault="001A6DB2" w:rsidP="001A6DB2">
      <w:pPr>
        <w:pStyle w:val="SingleTxtG"/>
      </w:pPr>
      <w:r w:rsidRPr="001A6DB2">
        <w:t>32.</w:t>
      </w:r>
      <w:r w:rsidRPr="001A6DB2">
        <w:tab/>
      </w:r>
      <w:r w:rsidRPr="001A6DB2">
        <w:rPr>
          <w:lang w:val="en-US"/>
        </w:rPr>
        <w:t xml:space="preserve">The Committee takes note of the adoption of a new Migration Law (Law No. 21.325), which represents progress with regard to decriminalization of irregular migration. It notes also the </w:t>
      </w:r>
      <w:r w:rsidRPr="001A6DB2">
        <w:t xml:space="preserve">efforts made to accommodate migrants, asylum-seekers and refugees, in particular from Haiti and Venezuela (Bolivarian Republic of). However, it is concerned that, in practice, these migrants are victims of prejudice, stereotypes and discriminatory acts and face major </w:t>
      </w:r>
      <w:r w:rsidRPr="001A6DB2">
        <w:lastRenderedPageBreak/>
        <w:t>difficulties in accessing basic services, especially employment, health services and education, including due to the lack of identity documents</w:t>
      </w:r>
      <w:r w:rsidRPr="001A6DB2">
        <w:rPr>
          <w:lang w:val="en-US"/>
        </w:rPr>
        <w:t xml:space="preserve"> (art. 5).</w:t>
      </w:r>
    </w:p>
    <w:p w14:paraId="353ADDB2" w14:textId="77777777" w:rsidR="001A6DB2" w:rsidRPr="001A6DB2" w:rsidRDefault="001A6DB2" w:rsidP="001A6DB2">
      <w:pPr>
        <w:pStyle w:val="SingleTxtG"/>
        <w:rPr>
          <w:b/>
        </w:rPr>
      </w:pPr>
      <w:r w:rsidRPr="001A6DB2">
        <w:t>33.</w:t>
      </w:r>
      <w:r w:rsidRPr="001A6DB2">
        <w:tab/>
      </w:r>
      <w:r w:rsidRPr="001A6DB2">
        <w:rPr>
          <w:b/>
        </w:rPr>
        <w:t xml:space="preserve">Taking into account its general recommendation No. 30 (2004) on discrimination against non-citizens, the Committee recommends that the State party take the necessary action to ensure the protection of foreign nationals. In particular, the Committee urges the State party to: </w:t>
      </w:r>
    </w:p>
    <w:p w14:paraId="2E57D4F9" w14:textId="67C2BF41" w:rsidR="001A6DB2" w:rsidRPr="001A6DB2" w:rsidRDefault="00AD2AEF" w:rsidP="001A6DB2">
      <w:pPr>
        <w:pStyle w:val="SingleTxtG"/>
        <w:rPr>
          <w:b/>
        </w:rPr>
      </w:pPr>
      <w:r>
        <w:rPr>
          <w:b/>
        </w:rPr>
        <w:tab/>
      </w:r>
      <w:r w:rsidR="001A6DB2" w:rsidRPr="004C7976">
        <w:t>(a)</w:t>
      </w:r>
      <w:r w:rsidR="001A6DB2" w:rsidRPr="001A6DB2">
        <w:rPr>
          <w:b/>
        </w:rPr>
        <w:tab/>
        <w:t xml:space="preserve">Design and implement measures to enhance the full participation and integration of migrants into the society; </w:t>
      </w:r>
    </w:p>
    <w:p w14:paraId="7A923017" w14:textId="35302157" w:rsidR="001A6DB2" w:rsidRPr="001A6DB2" w:rsidRDefault="00AD2AEF" w:rsidP="001A6DB2">
      <w:pPr>
        <w:pStyle w:val="SingleTxtG"/>
        <w:rPr>
          <w:b/>
        </w:rPr>
      </w:pPr>
      <w:r>
        <w:rPr>
          <w:b/>
        </w:rPr>
        <w:tab/>
      </w:r>
      <w:r w:rsidR="001A6DB2" w:rsidRPr="004C7976">
        <w:t>(b)</w:t>
      </w:r>
      <w:r w:rsidR="001A6DB2" w:rsidRPr="001A6DB2">
        <w:rPr>
          <w:b/>
        </w:rPr>
        <w:tab/>
        <w:t xml:space="preserve">Conduct awareness-raising, information and educational campaigns designed to dispel negative stereotypes against migrants and avoid using negative representation of migrants in the general migration policy; </w:t>
      </w:r>
    </w:p>
    <w:p w14:paraId="554BE82D" w14:textId="127BE2B2" w:rsidR="001A6DB2" w:rsidRPr="001A6DB2" w:rsidRDefault="00AD2AEF" w:rsidP="001A6DB2">
      <w:pPr>
        <w:pStyle w:val="SingleTxtG"/>
        <w:rPr>
          <w:b/>
        </w:rPr>
      </w:pPr>
      <w:r>
        <w:rPr>
          <w:b/>
        </w:rPr>
        <w:tab/>
      </w:r>
      <w:r w:rsidR="001A6DB2" w:rsidRPr="004C7976">
        <w:t>(c)</w:t>
      </w:r>
      <w:r w:rsidR="001A6DB2" w:rsidRPr="001A6DB2">
        <w:rPr>
          <w:b/>
        </w:rPr>
        <w:tab/>
        <w:t xml:space="preserve">Remove barriers that, in practice, impede access to health services, education and employment by ensuring the timely issuance of identity documents; </w:t>
      </w:r>
    </w:p>
    <w:p w14:paraId="5C16F012" w14:textId="35B48335" w:rsidR="001A6DB2" w:rsidRPr="001A6DB2" w:rsidRDefault="00AD2AEF" w:rsidP="001A6DB2">
      <w:pPr>
        <w:pStyle w:val="SingleTxtG"/>
      </w:pPr>
      <w:r>
        <w:rPr>
          <w:b/>
        </w:rPr>
        <w:tab/>
      </w:r>
      <w:r w:rsidR="001A6DB2" w:rsidRPr="004C7976">
        <w:t>(d)</w:t>
      </w:r>
      <w:r w:rsidR="001A6DB2" w:rsidRPr="001A6DB2">
        <w:rPr>
          <w:b/>
        </w:rPr>
        <w:tab/>
        <w:t xml:space="preserve">Adopt urgent measures to provide a timely response to the residency applications submitted by migrants who find themselves without any official identification, and to make sure that migrants have access to the necessary information with regard to procedures concerning the regularization of their status. </w:t>
      </w:r>
    </w:p>
    <w:p w14:paraId="7704C7B0" w14:textId="77777777" w:rsidR="001A6DB2" w:rsidRPr="001A6DB2" w:rsidRDefault="001A6DB2" w:rsidP="00AD2AEF">
      <w:pPr>
        <w:pStyle w:val="H23G"/>
      </w:pPr>
      <w:r w:rsidRPr="001A6DB2">
        <w:tab/>
      </w:r>
      <w:r w:rsidRPr="001A6DB2">
        <w:tab/>
        <w:t>Racial stereotypes against people of African descent, indigenous peoples and migrants</w:t>
      </w:r>
    </w:p>
    <w:p w14:paraId="0D6DB363" w14:textId="77777777" w:rsidR="001A6DB2" w:rsidRPr="001A6DB2" w:rsidRDefault="001A6DB2" w:rsidP="001A6DB2">
      <w:pPr>
        <w:pStyle w:val="SingleTxtG"/>
        <w:rPr>
          <w:b/>
        </w:rPr>
      </w:pPr>
      <w:r w:rsidRPr="001A6DB2">
        <w:t>34.</w:t>
      </w:r>
      <w:r w:rsidRPr="001A6DB2">
        <w:tab/>
        <w:t>The Committee is concerned by reports that, in particular within educational texts, the representation of indigenous peoples, migrants and people of African descent is based on stereotypes and that there is a lack of diversity, as students are portrayed mainly with white phenotypic features, while migrants are excessively racialized (arts. 2 and 5).</w:t>
      </w:r>
    </w:p>
    <w:p w14:paraId="44878799" w14:textId="77777777" w:rsidR="001A6DB2" w:rsidRPr="001A6DB2" w:rsidRDefault="001A6DB2" w:rsidP="001A6DB2">
      <w:pPr>
        <w:pStyle w:val="SingleTxtG"/>
        <w:rPr>
          <w:b/>
        </w:rPr>
      </w:pPr>
      <w:r w:rsidRPr="001A6DB2">
        <w:t>35.</w:t>
      </w:r>
      <w:r w:rsidRPr="001A6DB2">
        <w:tab/>
      </w:r>
      <w:r w:rsidRPr="001A6DB2">
        <w:rPr>
          <w:b/>
          <w:bCs/>
        </w:rPr>
        <w:t>The Committee recommends that the State party</w:t>
      </w:r>
      <w:r w:rsidRPr="001A6DB2">
        <w:rPr>
          <w:b/>
        </w:rPr>
        <w:t xml:space="preserve"> revise and amend the curriculum with regard to ethnic stereotyping, in particular in school textbooks dealing with the history of Chile.</w:t>
      </w:r>
    </w:p>
    <w:p w14:paraId="1E69DFFC" w14:textId="77777777" w:rsidR="001A6DB2" w:rsidRPr="001A6DB2" w:rsidRDefault="001A6DB2" w:rsidP="00AD2AEF">
      <w:pPr>
        <w:pStyle w:val="H23G"/>
      </w:pPr>
      <w:r w:rsidRPr="001A6DB2">
        <w:tab/>
      </w:r>
      <w:r w:rsidRPr="001A6DB2">
        <w:tab/>
        <w:t xml:space="preserve">Access to justice </w:t>
      </w:r>
    </w:p>
    <w:p w14:paraId="5EC2937F" w14:textId="2D97BC34" w:rsidR="001A6DB2" w:rsidRPr="001A6DB2" w:rsidRDefault="001A6DB2" w:rsidP="001A6DB2">
      <w:pPr>
        <w:pStyle w:val="SingleTxtG"/>
      </w:pPr>
      <w:r w:rsidRPr="001A6DB2">
        <w:t>36.</w:t>
      </w:r>
      <w:r w:rsidRPr="001A6DB2">
        <w:tab/>
        <w:t>The Committee takes note of the measures undertaken by the State party to ensure that indigenous peoples involved in criminal cases have access to specialized legal counsel, interpreters and intercultural facilitators, as well as officials who are familiar with the indigenous language and culture of the region where they work. However, the Committee is concerned about allegations of violations of due process and instances of mistreatment in prisons, affecting several prisoners belonging to the Mapuche people, and about the lack of effective regulation that complies with the indigenous peoples</w:t>
      </w:r>
      <w:r w:rsidR="00020BF9">
        <w:t>’</w:t>
      </w:r>
      <w:r w:rsidRPr="001A6DB2">
        <w:t xml:space="preserve"> needs and allows for the possibility of practising traditions, customs and rituals. The Committee is further concerned about information received regarding detainees being held in detention centres far from their local communities (art. 6).</w:t>
      </w:r>
      <w:r w:rsidR="00020BF9">
        <w:t xml:space="preserve"> </w:t>
      </w:r>
    </w:p>
    <w:p w14:paraId="69A15DE1" w14:textId="77777777" w:rsidR="001A6DB2" w:rsidRPr="001A6DB2" w:rsidRDefault="001A6DB2" w:rsidP="001A6DB2">
      <w:pPr>
        <w:pStyle w:val="SingleTxtG"/>
        <w:rPr>
          <w:b/>
        </w:rPr>
      </w:pPr>
      <w:r w:rsidRPr="001A6DB2">
        <w:t>37.</w:t>
      </w:r>
      <w:r w:rsidRPr="001A6DB2">
        <w:tab/>
      </w:r>
      <w:r w:rsidRPr="001A6DB2">
        <w:rPr>
          <w:b/>
        </w:rPr>
        <w:t>The Committee, in the light of its general recommendation No. 31 (2005) on the prevention of racial discrimination in the administration and functioning of the criminal justice system, urges the State party to:</w:t>
      </w:r>
    </w:p>
    <w:p w14:paraId="6E9B6C68" w14:textId="691A5919" w:rsidR="001A6DB2" w:rsidRPr="001A6DB2" w:rsidRDefault="00AD2AEF" w:rsidP="001A6DB2">
      <w:pPr>
        <w:pStyle w:val="SingleTxtG"/>
        <w:rPr>
          <w:b/>
        </w:rPr>
      </w:pPr>
      <w:r>
        <w:rPr>
          <w:b/>
        </w:rPr>
        <w:tab/>
      </w:r>
      <w:r w:rsidR="001A6DB2" w:rsidRPr="004C7976">
        <w:t>(a)</w:t>
      </w:r>
      <w:r w:rsidR="001A6DB2" w:rsidRPr="001A6DB2">
        <w:rPr>
          <w:b/>
        </w:rPr>
        <w:tab/>
      </w:r>
      <w:r w:rsidR="001A6DB2" w:rsidRPr="001A6DB2">
        <w:rPr>
          <w:b/>
          <w:bCs/>
        </w:rPr>
        <w:t xml:space="preserve">Ensure that indigenous peoples have their fundamental rights and due process safeguards upheld at all times; </w:t>
      </w:r>
    </w:p>
    <w:p w14:paraId="5B9AD2A8" w14:textId="32D913E9" w:rsidR="001A6DB2" w:rsidRPr="001A6DB2" w:rsidRDefault="00AD2AEF" w:rsidP="001A6DB2">
      <w:pPr>
        <w:pStyle w:val="SingleTxtG"/>
        <w:rPr>
          <w:b/>
        </w:rPr>
      </w:pPr>
      <w:r>
        <w:rPr>
          <w:b/>
        </w:rPr>
        <w:tab/>
      </w:r>
      <w:r w:rsidR="001A6DB2" w:rsidRPr="004C7976">
        <w:t>(b)</w:t>
      </w:r>
      <w:r w:rsidR="001A6DB2" w:rsidRPr="001A6DB2">
        <w:rPr>
          <w:b/>
        </w:rPr>
        <w:tab/>
        <w:t>Ensure that detainees are held in detention centres close to their local communities;</w:t>
      </w:r>
    </w:p>
    <w:p w14:paraId="5D90610E" w14:textId="4CDDA6D6" w:rsidR="001A6DB2" w:rsidRPr="001A6DB2" w:rsidRDefault="00AD2AEF" w:rsidP="001A6DB2">
      <w:pPr>
        <w:pStyle w:val="SingleTxtG"/>
        <w:rPr>
          <w:b/>
        </w:rPr>
      </w:pPr>
      <w:r>
        <w:rPr>
          <w:b/>
        </w:rPr>
        <w:tab/>
      </w:r>
      <w:r w:rsidR="001A6DB2" w:rsidRPr="004C7976">
        <w:t>(c)</w:t>
      </w:r>
      <w:r w:rsidR="001A6DB2" w:rsidRPr="001A6DB2">
        <w:rPr>
          <w:b/>
        </w:rPr>
        <w:tab/>
        <w:t>Implement effective regulations that promote respect for the culture and traditions of indigenous peoples in all detention centres and prisons;</w:t>
      </w:r>
    </w:p>
    <w:p w14:paraId="06E830C1" w14:textId="17CC8929" w:rsidR="001A6DB2" w:rsidRPr="001A6DB2" w:rsidRDefault="00AD2AEF" w:rsidP="001A6DB2">
      <w:pPr>
        <w:pStyle w:val="SingleTxtG"/>
        <w:rPr>
          <w:b/>
        </w:rPr>
      </w:pPr>
      <w:r>
        <w:rPr>
          <w:b/>
        </w:rPr>
        <w:tab/>
      </w:r>
      <w:r w:rsidR="001A6DB2" w:rsidRPr="004C7976">
        <w:t>(d)</w:t>
      </w:r>
      <w:r w:rsidR="001A6DB2" w:rsidRPr="001A6DB2">
        <w:rPr>
          <w:b/>
        </w:rPr>
        <w:tab/>
        <w:t>Organize trainings to sensitize law enforcement officers and prison officials on indigenous peoples</w:t>
      </w:r>
      <w:r w:rsidR="00020BF9">
        <w:rPr>
          <w:b/>
        </w:rPr>
        <w:t>’</w:t>
      </w:r>
      <w:r w:rsidR="001A6DB2" w:rsidRPr="001A6DB2">
        <w:rPr>
          <w:b/>
        </w:rPr>
        <w:t xml:space="preserve"> rights, customs, rituals and traditions. </w:t>
      </w:r>
    </w:p>
    <w:p w14:paraId="14A3075A" w14:textId="77777777" w:rsidR="001A6DB2" w:rsidRPr="001A6DB2" w:rsidRDefault="001A6DB2" w:rsidP="00BF537A">
      <w:pPr>
        <w:pStyle w:val="H1G"/>
        <w:rPr>
          <w:b w:val="0"/>
        </w:rPr>
      </w:pPr>
      <w:r w:rsidRPr="001A6DB2">
        <w:lastRenderedPageBreak/>
        <w:tab/>
        <w:t>D.</w:t>
      </w:r>
      <w:r w:rsidRPr="001A6DB2">
        <w:tab/>
        <w:t>Other recommendations</w:t>
      </w:r>
    </w:p>
    <w:p w14:paraId="4D5DB3C1" w14:textId="77777777" w:rsidR="001A6DB2" w:rsidRPr="001A6DB2" w:rsidRDefault="001A6DB2" w:rsidP="00AD2AEF">
      <w:pPr>
        <w:pStyle w:val="H23G"/>
      </w:pPr>
      <w:r w:rsidRPr="001A6DB2">
        <w:tab/>
      </w:r>
      <w:r w:rsidRPr="001A6DB2">
        <w:tab/>
        <w:t xml:space="preserve">Ratification of other treaties </w:t>
      </w:r>
    </w:p>
    <w:p w14:paraId="1EC5C576" w14:textId="77777777" w:rsidR="001A6DB2" w:rsidRPr="001A6DB2" w:rsidRDefault="001A6DB2" w:rsidP="001A6DB2">
      <w:pPr>
        <w:pStyle w:val="SingleTxtG"/>
      </w:pPr>
      <w:r w:rsidRPr="001A6DB2">
        <w:t>38.</w:t>
      </w:r>
      <w:r w:rsidRPr="001A6DB2">
        <w:tab/>
      </w:r>
      <w:r w:rsidRPr="001A6DB2">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Optional Protocol to the International Covenant on Economic, Social and Cultural Rights. Lastly, the Committee recommends that the State party consider ratifying the Inter-American Convention against Racism, Racial Discrimination and Related Forms of Intolerance and the Inter-American Convention against all Forms of Discrimination and Intolerance.</w:t>
      </w:r>
    </w:p>
    <w:p w14:paraId="24350B3F" w14:textId="77777777" w:rsidR="001A6DB2" w:rsidRPr="001A6DB2" w:rsidRDefault="001A6DB2" w:rsidP="00AD2AEF">
      <w:pPr>
        <w:pStyle w:val="H23G"/>
      </w:pPr>
      <w:r w:rsidRPr="001A6DB2">
        <w:tab/>
      </w:r>
      <w:r w:rsidRPr="001A6DB2">
        <w:tab/>
        <w:t>Amendment to article 8 of the Convention</w:t>
      </w:r>
    </w:p>
    <w:p w14:paraId="21FD3F63" w14:textId="3D22BB27" w:rsidR="001A6DB2" w:rsidRPr="001A6DB2" w:rsidRDefault="001A6DB2" w:rsidP="001A6DB2">
      <w:pPr>
        <w:pStyle w:val="SingleTxtG"/>
      </w:pPr>
      <w:r w:rsidRPr="001A6DB2">
        <w:t>39.</w:t>
      </w:r>
      <w:r w:rsidRPr="001A6DB2">
        <w:tab/>
      </w:r>
      <w:r w:rsidRPr="001A6DB2">
        <w:rPr>
          <w:b/>
          <w:bCs/>
        </w:rPr>
        <w:t>The Committee recommends that the State party ratify the amendment to article 8 (6) of the Convention adopted on 15 January 1992 at the fourteenth meeting of States parties to the Convention and endorsed by the General Assembly in its resolution</w:t>
      </w:r>
      <w:r w:rsidR="00020BF9">
        <w:rPr>
          <w:b/>
          <w:bCs/>
        </w:rPr>
        <w:t xml:space="preserve"> </w:t>
      </w:r>
      <w:r w:rsidRPr="001A6DB2">
        <w:rPr>
          <w:b/>
          <w:bCs/>
        </w:rPr>
        <w:t>47/111.</w:t>
      </w:r>
      <w:r w:rsidRPr="001A6DB2">
        <w:t xml:space="preserve"> </w:t>
      </w:r>
    </w:p>
    <w:p w14:paraId="0B758818" w14:textId="77777777" w:rsidR="001A6DB2" w:rsidRPr="001A6DB2" w:rsidRDefault="001A6DB2" w:rsidP="00AD2AEF">
      <w:pPr>
        <w:pStyle w:val="H23G"/>
        <w:rPr>
          <w:b w:val="0"/>
        </w:rPr>
      </w:pPr>
      <w:r w:rsidRPr="001A6DB2">
        <w:tab/>
      </w:r>
      <w:r w:rsidRPr="001A6DB2">
        <w:tab/>
        <w:t>Follow-up to the Durban Declaration and Programme of Action</w:t>
      </w:r>
    </w:p>
    <w:p w14:paraId="36F2AD01" w14:textId="5D981DED" w:rsidR="001A6DB2" w:rsidRPr="001A6DB2" w:rsidRDefault="001A6DB2" w:rsidP="001A6DB2">
      <w:pPr>
        <w:pStyle w:val="SingleTxtG"/>
      </w:pPr>
      <w:r w:rsidRPr="001A6DB2">
        <w:t>40.</w:t>
      </w:r>
      <w:r w:rsidRPr="001A6DB2">
        <w:tab/>
      </w:r>
      <w:r w:rsidRPr="001A6DB2">
        <w:rPr>
          <w:b/>
          <w:bCs/>
        </w:rPr>
        <w:t>In the light of its general recommendation No.</w:t>
      </w:r>
      <w:r w:rsidR="00020BF9">
        <w:rPr>
          <w:b/>
          <w:bCs/>
        </w:rPr>
        <w:t xml:space="preserve"> </w:t>
      </w:r>
      <w:r w:rsidRPr="001A6DB2">
        <w:rPr>
          <w:b/>
          <w:bCs/>
        </w:rPr>
        <w:t>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Pr="001A6DB2">
        <w:t xml:space="preserve"> </w:t>
      </w:r>
    </w:p>
    <w:p w14:paraId="16E3C041" w14:textId="77777777" w:rsidR="001A6DB2" w:rsidRPr="001A6DB2" w:rsidRDefault="001A6DB2" w:rsidP="00AD2AEF">
      <w:pPr>
        <w:pStyle w:val="H23G"/>
        <w:rPr>
          <w:b w:val="0"/>
        </w:rPr>
      </w:pPr>
      <w:r w:rsidRPr="001A6DB2">
        <w:tab/>
      </w:r>
      <w:r w:rsidRPr="001A6DB2">
        <w:tab/>
        <w:t xml:space="preserve">International Decade for People of African Descent </w:t>
      </w:r>
    </w:p>
    <w:p w14:paraId="3A533CA1" w14:textId="6D9A6DB9" w:rsidR="001A6DB2" w:rsidRPr="001A6DB2" w:rsidRDefault="001A6DB2" w:rsidP="001A6DB2">
      <w:pPr>
        <w:pStyle w:val="SingleTxtG"/>
      </w:pPr>
      <w:r w:rsidRPr="001A6DB2">
        <w:t>41.</w:t>
      </w:r>
      <w:r w:rsidRPr="001A6DB2">
        <w:tab/>
      </w:r>
      <w:r w:rsidRPr="001A6DB2">
        <w:rPr>
          <w:b/>
          <w:bCs/>
        </w:rPr>
        <w:t>In the light of General Assembly resolution 68/237, in which the Assembly proclaimed 2015</w:t>
      </w:r>
      <w:r w:rsidR="00FC59A5">
        <w:rPr>
          <w:b/>
          <w:bCs/>
        </w:rPr>
        <w:t>–</w:t>
      </w:r>
      <w:r w:rsidRPr="001A6DB2">
        <w:rPr>
          <w:b/>
          <w:bCs/>
        </w:rPr>
        <w:t>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w:t>
      </w:r>
      <w:r w:rsidRPr="001A6DB2">
        <w:t xml:space="preserve"> </w:t>
      </w:r>
    </w:p>
    <w:p w14:paraId="2649BD1D" w14:textId="77777777" w:rsidR="001A6DB2" w:rsidRPr="001A6DB2" w:rsidRDefault="001A6DB2" w:rsidP="00AD2AEF">
      <w:pPr>
        <w:pStyle w:val="H23G"/>
        <w:rPr>
          <w:b w:val="0"/>
        </w:rPr>
      </w:pPr>
      <w:r w:rsidRPr="001A6DB2">
        <w:tab/>
      </w:r>
      <w:r w:rsidRPr="001A6DB2">
        <w:tab/>
        <w:t>Consultations with civil society</w:t>
      </w:r>
    </w:p>
    <w:p w14:paraId="75E8C617" w14:textId="77777777" w:rsidR="001A6DB2" w:rsidRPr="001A6DB2" w:rsidRDefault="001A6DB2" w:rsidP="001A6DB2">
      <w:pPr>
        <w:pStyle w:val="SingleTxtG"/>
      </w:pPr>
      <w:r w:rsidRPr="001A6DB2">
        <w:t>42.</w:t>
      </w:r>
      <w:r w:rsidRPr="001A6DB2">
        <w:tab/>
      </w:r>
      <w:r w:rsidRPr="001A6DB2">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14:paraId="7E046846" w14:textId="77777777" w:rsidR="001A6DB2" w:rsidRPr="001A6DB2" w:rsidRDefault="001A6DB2" w:rsidP="00AD2AEF">
      <w:pPr>
        <w:pStyle w:val="H23G"/>
        <w:rPr>
          <w:b w:val="0"/>
        </w:rPr>
      </w:pPr>
      <w:r w:rsidRPr="001A6DB2">
        <w:tab/>
      </w:r>
      <w:r w:rsidRPr="001A6DB2">
        <w:tab/>
        <w:t>Dissemination of information</w:t>
      </w:r>
    </w:p>
    <w:p w14:paraId="0A213274" w14:textId="265844D2" w:rsidR="001A6DB2" w:rsidRPr="001A6DB2" w:rsidRDefault="001A6DB2" w:rsidP="001A6DB2">
      <w:pPr>
        <w:pStyle w:val="SingleTxtG"/>
      </w:pPr>
      <w:r w:rsidRPr="001A6DB2">
        <w:t>43.</w:t>
      </w:r>
      <w:r w:rsidRPr="001A6DB2">
        <w:tab/>
      </w:r>
      <w:r w:rsidRPr="001A6DB2">
        <w:rPr>
          <w:b/>
          <w:bCs/>
        </w:rPr>
        <w:t>The Committee recommends that the State party</w:t>
      </w:r>
      <w:r w:rsidR="00020BF9">
        <w:rPr>
          <w:b/>
          <w:bCs/>
        </w:rPr>
        <w:t>’</w:t>
      </w:r>
      <w:r w:rsidRPr="001A6DB2">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regions and municipalities, and disseminated to the public in the official and other commonly used languages, as appropriate.</w:t>
      </w:r>
    </w:p>
    <w:p w14:paraId="36994AB5" w14:textId="77777777" w:rsidR="001A6DB2" w:rsidRPr="001A6DB2" w:rsidRDefault="001A6DB2" w:rsidP="00AD2AEF">
      <w:pPr>
        <w:pStyle w:val="H23G"/>
        <w:rPr>
          <w:b w:val="0"/>
        </w:rPr>
      </w:pPr>
      <w:r w:rsidRPr="001A6DB2">
        <w:lastRenderedPageBreak/>
        <w:tab/>
      </w:r>
      <w:r w:rsidRPr="001A6DB2">
        <w:tab/>
        <w:t>Common core document</w:t>
      </w:r>
    </w:p>
    <w:p w14:paraId="31D3CEEE" w14:textId="77777777" w:rsidR="001A6DB2" w:rsidRPr="001A6DB2" w:rsidRDefault="001A6DB2" w:rsidP="001A6DB2">
      <w:pPr>
        <w:pStyle w:val="SingleTxtG"/>
        <w:rPr>
          <w:b/>
          <w:bCs/>
          <w:lang w:val="en-US"/>
        </w:rPr>
      </w:pPr>
      <w:r w:rsidRPr="001A6DB2">
        <w:rPr>
          <w:bCs/>
          <w:lang w:val="en-US"/>
        </w:rPr>
        <w:t>44.</w:t>
      </w:r>
      <w:r w:rsidRPr="001A6DB2">
        <w:rPr>
          <w:bCs/>
          <w:lang w:val="en-US"/>
        </w:rPr>
        <w:tab/>
      </w:r>
      <w:r w:rsidRPr="001A6DB2">
        <w:rPr>
          <w:b/>
          <w:bCs/>
          <w:lang w:val="en-US"/>
        </w:rPr>
        <w:t xml:space="preserve">The Committee encourages the State party to update its common core document, which dates to October 2013, in accordance with the </w:t>
      </w:r>
      <w:r w:rsidRPr="001A6DB2">
        <w:rPr>
          <w:b/>
          <w:bCs/>
        </w:rPr>
        <w:t>harmonized</w:t>
      </w:r>
      <w:r w:rsidRPr="001A6DB2">
        <w:rPr>
          <w:b/>
          <w:bCs/>
          <w:lang w:val="en-US"/>
        </w:rPr>
        <w:t xml:space="preserve"> guidelines on reporting under the international human rights treaties, in particular those on the common core document, as adopted at the fifth inter-committee meeting of the human rights treaty bodies held in June 2006.</w:t>
      </w:r>
      <w:r w:rsidRPr="00F074D6">
        <w:rPr>
          <w:rStyle w:val="FootnoteReference"/>
        </w:rPr>
        <w:footnoteReference w:id="12"/>
      </w:r>
      <w:r w:rsidRPr="001A6DB2">
        <w:rPr>
          <w:b/>
          <w:bCs/>
          <w:lang w:val="en-US"/>
        </w:rPr>
        <w:t xml:space="preserve"> In the light of General Assembly resolution 68/268, the Committee urges the State party to observe the limit of 42,400 words for such documents.</w:t>
      </w:r>
    </w:p>
    <w:p w14:paraId="25B65DC0" w14:textId="77777777" w:rsidR="001A6DB2" w:rsidRPr="001A6DB2" w:rsidRDefault="001A6DB2" w:rsidP="00AD2AEF">
      <w:pPr>
        <w:pStyle w:val="H23G"/>
        <w:rPr>
          <w:b w:val="0"/>
        </w:rPr>
      </w:pPr>
      <w:r w:rsidRPr="001A6DB2">
        <w:tab/>
      </w:r>
      <w:r w:rsidRPr="001A6DB2">
        <w:tab/>
        <w:t>Follow-up to the present concluding observations</w:t>
      </w:r>
    </w:p>
    <w:p w14:paraId="603747B2" w14:textId="1A452A60" w:rsidR="001A6DB2" w:rsidRPr="001A6DB2" w:rsidRDefault="001A6DB2" w:rsidP="001A6DB2">
      <w:pPr>
        <w:pStyle w:val="SingleTxtG"/>
      </w:pPr>
      <w:r w:rsidRPr="001A6DB2">
        <w:t>45.</w:t>
      </w:r>
      <w:r w:rsidRPr="001A6DB2">
        <w:tab/>
      </w:r>
      <w:r w:rsidRPr="001A6DB2">
        <w:rPr>
          <w:b/>
          <w:bCs/>
        </w:rPr>
        <w:t>In accordance with article</w:t>
      </w:r>
      <w:r w:rsidR="00020BF9">
        <w:rPr>
          <w:b/>
          <w:bCs/>
        </w:rPr>
        <w:t xml:space="preserve"> </w:t>
      </w:r>
      <w:r w:rsidRPr="001A6DB2">
        <w:rPr>
          <w:b/>
          <w:bCs/>
        </w:rPr>
        <w:t xml:space="preserve">9 (1) of the Convention and rule 65 of its rules of procedure, the Committee requests the State party to provide, within one year of the adoption of the present concluding observations, information on its implementation of the recommendations contained in paragraphs 19 </w:t>
      </w:r>
      <w:r w:rsidRPr="00223B0C">
        <w:rPr>
          <w:b/>
        </w:rPr>
        <w:t>(a) and (b) (racist hate speech and hate crimes), 29 (d) (situation of indigenous peoples) and 33 (d) (situation</w:t>
      </w:r>
      <w:r w:rsidRPr="001A6DB2">
        <w:rPr>
          <w:b/>
          <w:bCs/>
        </w:rPr>
        <w:t xml:space="preserve"> of migrants, asylum-seekers and refugees) above.</w:t>
      </w:r>
    </w:p>
    <w:p w14:paraId="43C6534D" w14:textId="77777777" w:rsidR="001A6DB2" w:rsidRPr="001A6DB2" w:rsidRDefault="001A6DB2" w:rsidP="00AD2AEF">
      <w:pPr>
        <w:pStyle w:val="H23G"/>
        <w:rPr>
          <w:b w:val="0"/>
        </w:rPr>
      </w:pPr>
      <w:r w:rsidRPr="001A6DB2">
        <w:tab/>
      </w:r>
      <w:r w:rsidRPr="001A6DB2">
        <w:tab/>
        <w:t>Paragraphs of particular importance</w:t>
      </w:r>
    </w:p>
    <w:p w14:paraId="2A76906F" w14:textId="77777777" w:rsidR="001A6DB2" w:rsidRPr="001A6DB2" w:rsidRDefault="001A6DB2" w:rsidP="001A6DB2">
      <w:pPr>
        <w:pStyle w:val="SingleTxtG"/>
        <w:rPr>
          <w:b/>
          <w:bCs/>
        </w:rPr>
      </w:pPr>
      <w:r w:rsidRPr="001A6DB2">
        <w:rPr>
          <w:bCs/>
        </w:rPr>
        <w:t>46.</w:t>
      </w:r>
      <w:r w:rsidRPr="001A6DB2">
        <w:rPr>
          <w:bCs/>
        </w:rPr>
        <w:tab/>
      </w:r>
      <w:r w:rsidRPr="001A6DB2">
        <w:rPr>
          <w:b/>
          <w:bCs/>
        </w:rPr>
        <w:t>The Committee wishes to draw the attention of the State party to the particular importance of the recommendations contained in paragraphs 17 (national human rights institution), 21 (r</w:t>
      </w:r>
      <w:r w:rsidRPr="001A6DB2">
        <w:rPr>
          <w:b/>
        </w:rPr>
        <w:t xml:space="preserve">acial discrimination and </w:t>
      </w:r>
      <w:r w:rsidRPr="001A6DB2">
        <w:rPr>
          <w:b/>
          <w:bCs/>
        </w:rPr>
        <w:t>law enforcement), 29 (situation of indigenous peoples) and 35 (racial stereotypes against people of African descent, indigenous peoples and migrants) above and requests the State party to provide detailed information in its next periodic report on the concrete measures taken to implement those recommendations.</w:t>
      </w:r>
    </w:p>
    <w:p w14:paraId="218FB589" w14:textId="77777777" w:rsidR="001A6DB2" w:rsidRPr="001A6DB2" w:rsidRDefault="001A6DB2" w:rsidP="00817A54">
      <w:pPr>
        <w:pStyle w:val="H23G"/>
        <w:rPr>
          <w:rFonts w:eastAsia="SimSun"/>
        </w:rPr>
      </w:pPr>
      <w:r w:rsidRPr="001A6DB2">
        <w:rPr>
          <w:rFonts w:eastAsia="SimSun"/>
        </w:rPr>
        <w:tab/>
      </w:r>
      <w:r w:rsidRPr="001A6DB2">
        <w:rPr>
          <w:rFonts w:eastAsia="SimSun"/>
        </w:rPr>
        <w:tab/>
        <w:t>Preparation of the next periodic report</w:t>
      </w:r>
    </w:p>
    <w:p w14:paraId="21341FFD" w14:textId="6C8D931E" w:rsidR="001A6DB2" w:rsidRDefault="001A6DB2" w:rsidP="001A6DB2">
      <w:pPr>
        <w:pStyle w:val="SingleTxtG"/>
        <w:rPr>
          <w:b/>
          <w:bCs/>
        </w:rPr>
      </w:pPr>
      <w:r w:rsidRPr="001A6DB2">
        <w:t>47.</w:t>
      </w:r>
      <w:r w:rsidRPr="001A6DB2">
        <w:tab/>
      </w:r>
      <w:r w:rsidRPr="001A6DB2">
        <w:rPr>
          <w:b/>
          <w:bCs/>
        </w:rPr>
        <w:t>The Committee recommends that the State party submit its combined twenty-fourth to twenty-eight periodic reports, as a single document, by 19 November 2026, taking into account the reporting guidelines adopted by the Committee during its seventy-first session</w:t>
      </w:r>
      <w:r w:rsidRPr="00F074D6">
        <w:rPr>
          <w:rStyle w:val="FootnoteReference"/>
        </w:rPr>
        <w:footnoteReference w:id="13"/>
      </w:r>
      <w:r w:rsidRPr="001A6DB2">
        <w:rPr>
          <w:b/>
          <w:bCs/>
        </w:rPr>
        <w:t xml:space="preserve"> and addressing all the points raised in the present concluding observations. In the light of General Assembly resolution 68/268, the Committee urges the State party to observe the limit of 21,200 words for periodic reports.</w:t>
      </w:r>
    </w:p>
    <w:p w14:paraId="4673F581" w14:textId="77777777" w:rsidR="001A6DB2" w:rsidRPr="009543BB" w:rsidRDefault="001A6DB2" w:rsidP="001A6DB2">
      <w:pPr>
        <w:spacing w:before="240"/>
        <w:jc w:val="center"/>
        <w:rPr>
          <w:u w:val="single"/>
          <w:lang w:val="en-US"/>
        </w:rPr>
      </w:pPr>
      <w:r w:rsidRPr="009543BB">
        <w:rPr>
          <w:u w:val="single"/>
          <w:lang w:val="en-US"/>
        </w:rPr>
        <w:tab/>
      </w:r>
      <w:r w:rsidRPr="009543BB">
        <w:rPr>
          <w:u w:val="single"/>
          <w:lang w:val="en-US"/>
        </w:rPr>
        <w:tab/>
      </w:r>
      <w:r w:rsidRPr="009543BB">
        <w:rPr>
          <w:u w:val="single"/>
          <w:lang w:val="en-US"/>
        </w:rPr>
        <w:tab/>
      </w:r>
    </w:p>
    <w:sectPr w:rsidR="001A6DB2" w:rsidRPr="009543B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9878" w14:textId="77777777" w:rsidR="003A2F6A" w:rsidRPr="00A0297D" w:rsidRDefault="003A2F6A" w:rsidP="00A0297D">
      <w:pPr>
        <w:pStyle w:val="Footer"/>
      </w:pPr>
    </w:p>
  </w:endnote>
  <w:endnote w:type="continuationSeparator" w:id="0">
    <w:p w14:paraId="121C1305" w14:textId="77777777" w:rsidR="003A2F6A" w:rsidRPr="00A0297D" w:rsidRDefault="003A2F6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3767" w14:textId="12486E3A" w:rsidR="00FB6BE9" w:rsidRDefault="00FB6BE9" w:rsidP="009044E9">
    <w:pPr>
      <w:pStyle w:val="Footer"/>
      <w:tabs>
        <w:tab w:val="right" w:pos="9638"/>
      </w:tabs>
    </w:pPr>
    <w:r w:rsidRPr="00FB6BE9">
      <w:rPr>
        <w:b/>
        <w:bCs/>
        <w:sz w:val="18"/>
      </w:rPr>
      <w:fldChar w:fldCharType="begin"/>
    </w:r>
    <w:r w:rsidRPr="00FB6BE9">
      <w:rPr>
        <w:b/>
        <w:bCs/>
        <w:sz w:val="18"/>
      </w:rPr>
      <w:instrText xml:space="preserve"> PAGE  \* MERGEFORMAT </w:instrText>
    </w:r>
    <w:r w:rsidRPr="00FB6BE9">
      <w:rPr>
        <w:b/>
        <w:bCs/>
        <w:sz w:val="18"/>
      </w:rPr>
      <w:fldChar w:fldCharType="separate"/>
    </w:r>
    <w:r w:rsidR="00957362">
      <w:rPr>
        <w:b/>
        <w:bCs/>
        <w:noProof/>
        <w:sz w:val="18"/>
      </w:rPr>
      <w:t>8</w:t>
    </w:r>
    <w:r w:rsidRPr="00FB6B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786" w14:textId="03832DAB" w:rsidR="00FB6BE9" w:rsidRDefault="00FB6BE9" w:rsidP="00FB6BE9">
    <w:pPr>
      <w:pStyle w:val="Footer"/>
      <w:tabs>
        <w:tab w:val="right" w:pos="9638"/>
      </w:tabs>
    </w:pPr>
    <w:r>
      <w:tab/>
    </w:r>
    <w:r w:rsidRPr="00FB6BE9">
      <w:rPr>
        <w:b/>
        <w:bCs/>
        <w:sz w:val="18"/>
      </w:rPr>
      <w:fldChar w:fldCharType="begin"/>
    </w:r>
    <w:r w:rsidRPr="00FB6BE9">
      <w:rPr>
        <w:b/>
        <w:bCs/>
        <w:sz w:val="18"/>
      </w:rPr>
      <w:instrText xml:space="preserve"> PAGE  \* MERGEFORMAT </w:instrText>
    </w:r>
    <w:r w:rsidRPr="00FB6BE9">
      <w:rPr>
        <w:b/>
        <w:bCs/>
        <w:sz w:val="18"/>
      </w:rPr>
      <w:fldChar w:fldCharType="separate"/>
    </w:r>
    <w:r w:rsidR="00957362">
      <w:rPr>
        <w:b/>
        <w:bCs/>
        <w:noProof/>
        <w:sz w:val="18"/>
      </w:rPr>
      <w:t>9</w:t>
    </w:r>
    <w:r w:rsidRPr="00FB6B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0B89" w14:textId="2B745D98" w:rsidR="00901932" w:rsidRDefault="00901932" w:rsidP="00901932">
    <w:pPr>
      <w:pStyle w:val="Footer"/>
    </w:pPr>
    <w:r w:rsidRPr="0027112F">
      <w:rPr>
        <w:noProof/>
        <w:lang w:val="en-US"/>
      </w:rPr>
      <w:drawing>
        <wp:anchor distT="0" distB="0" distL="114300" distR="114300" simplePos="0" relativeHeight="251659264" behindDoc="0" locked="1" layoutInCell="1" allowOverlap="1" wp14:anchorId="1F5C69A3" wp14:editId="374D4C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37583A" w14:textId="2C4F63D0" w:rsidR="00901932" w:rsidRPr="00901932" w:rsidRDefault="00901932" w:rsidP="00901932">
    <w:pPr>
      <w:pStyle w:val="Footer"/>
      <w:ind w:right="1134"/>
      <w:rPr>
        <w:sz w:val="20"/>
      </w:rPr>
    </w:pPr>
    <w:r>
      <w:rPr>
        <w:sz w:val="20"/>
      </w:rPr>
      <w:t>GE.22-14415(E)</w:t>
    </w:r>
    <w:r>
      <w:rPr>
        <w:noProof/>
        <w:sz w:val="20"/>
      </w:rPr>
      <w:drawing>
        <wp:anchor distT="0" distB="0" distL="114300" distR="114300" simplePos="0" relativeHeight="251660288" behindDoc="0" locked="0" layoutInCell="1" allowOverlap="1" wp14:anchorId="489B2C14" wp14:editId="665E603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BDD7" w14:textId="77777777" w:rsidR="003A2F6A" w:rsidRPr="00A0297D" w:rsidRDefault="003A2F6A" w:rsidP="00A0297D">
      <w:pPr>
        <w:tabs>
          <w:tab w:val="right" w:pos="2155"/>
        </w:tabs>
        <w:spacing w:after="80" w:line="240" w:lineRule="auto"/>
        <w:ind w:left="680"/>
      </w:pPr>
      <w:r>
        <w:rPr>
          <w:u w:val="single"/>
        </w:rPr>
        <w:tab/>
      </w:r>
    </w:p>
  </w:footnote>
  <w:footnote w:type="continuationSeparator" w:id="0">
    <w:p w14:paraId="0178250F" w14:textId="77777777" w:rsidR="003A2F6A" w:rsidRPr="00A0297D" w:rsidRDefault="003A2F6A" w:rsidP="00A0297D">
      <w:pPr>
        <w:tabs>
          <w:tab w:val="right" w:pos="2155"/>
        </w:tabs>
        <w:spacing w:after="80" w:line="240" w:lineRule="auto"/>
        <w:ind w:left="680"/>
      </w:pPr>
      <w:r>
        <w:rPr>
          <w:u w:val="single"/>
        </w:rPr>
        <w:tab/>
      </w:r>
    </w:p>
  </w:footnote>
  <w:footnote w:id="1">
    <w:p w14:paraId="70600552" w14:textId="77777777" w:rsidR="001A6DB2" w:rsidRDefault="001A6DB2" w:rsidP="008959ED">
      <w:pPr>
        <w:pStyle w:val="FootnoteText"/>
      </w:pPr>
      <w:r>
        <w:tab/>
        <w:t>*</w:t>
      </w:r>
      <w:r>
        <w:tab/>
        <w:t>Adopted by the Committee at its 105th session (15 November–3 December 2021).</w:t>
      </w:r>
    </w:p>
  </w:footnote>
  <w:footnote w:id="2">
    <w:p w14:paraId="67BBF0DE" w14:textId="6DC953D9" w:rsidR="001A6DB2" w:rsidRPr="00AC2F00" w:rsidRDefault="001A6DB2" w:rsidP="008959ED">
      <w:pPr>
        <w:pStyle w:val="FootnoteText"/>
        <w:rPr>
          <w:lang w:val="en-US"/>
        </w:rPr>
      </w:pPr>
      <w:r>
        <w:tab/>
      </w:r>
      <w:r w:rsidRPr="00F074D6">
        <w:rPr>
          <w:rStyle w:val="FootnoteReference"/>
        </w:rPr>
        <w:footnoteRef/>
      </w:r>
      <w:r>
        <w:tab/>
      </w:r>
      <w:hyperlink r:id="rId1" w:history="1">
        <w:r w:rsidRPr="00AC2F00">
          <w:rPr>
            <w:rStyle w:val="Hyperlink"/>
            <w:u w:val="none"/>
          </w:rPr>
          <w:t>CERD/C/CHL/22-23.</w:t>
        </w:r>
      </w:hyperlink>
      <w:r w:rsidRPr="00AC2F00">
        <w:t xml:space="preserve"> </w:t>
      </w:r>
    </w:p>
  </w:footnote>
  <w:footnote w:id="3">
    <w:p w14:paraId="30146B30" w14:textId="237C4BBC" w:rsidR="001A6DB2" w:rsidRPr="00AC2F00" w:rsidRDefault="001A6DB2" w:rsidP="008959ED">
      <w:pPr>
        <w:pStyle w:val="FootnoteText"/>
        <w:rPr>
          <w:lang w:val="en-US"/>
        </w:rPr>
      </w:pPr>
      <w:r w:rsidRPr="00AC2F00">
        <w:tab/>
      </w:r>
      <w:r w:rsidRPr="00AC2F00">
        <w:rPr>
          <w:rStyle w:val="FootnoteReference"/>
        </w:rPr>
        <w:footnoteRef/>
      </w:r>
      <w:r w:rsidRPr="00AC2F00">
        <w:tab/>
        <w:t xml:space="preserve">See </w:t>
      </w:r>
      <w:hyperlink r:id="rId2" w:history="1">
        <w:r w:rsidRPr="00AC2F00">
          <w:rPr>
            <w:rStyle w:val="Hyperlink"/>
            <w:u w:val="none"/>
          </w:rPr>
          <w:t>CERD/C/SR.2851</w:t>
        </w:r>
      </w:hyperlink>
      <w:r w:rsidRPr="00AC2F00">
        <w:t xml:space="preserve"> and </w:t>
      </w:r>
      <w:hyperlink r:id="rId3" w:history="1">
        <w:r w:rsidRPr="00AC2F00">
          <w:rPr>
            <w:rStyle w:val="Hyperlink"/>
            <w:u w:val="none"/>
          </w:rPr>
          <w:t>CERD/C/SR.2852.</w:t>
        </w:r>
      </w:hyperlink>
    </w:p>
  </w:footnote>
  <w:footnote w:id="4">
    <w:p w14:paraId="1A60D18E" w14:textId="091B42C7" w:rsidR="001A6DB2" w:rsidRPr="00AC2F00" w:rsidRDefault="001A6DB2" w:rsidP="008959ED">
      <w:pPr>
        <w:pStyle w:val="FootnoteText"/>
        <w:rPr>
          <w:lang w:val="es-MX"/>
        </w:rPr>
      </w:pPr>
      <w:r w:rsidRPr="00AC2F00">
        <w:tab/>
      </w:r>
      <w:r w:rsidRPr="00AC2F00">
        <w:rPr>
          <w:rStyle w:val="FootnoteReference"/>
        </w:rPr>
        <w:footnoteRef/>
      </w:r>
      <w:r w:rsidRPr="00AC2F00">
        <w:rPr>
          <w:lang w:val="es-MX"/>
        </w:rPr>
        <w:tab/>
      </w:r>
      <w:hyperlink r:id="rId4" w:history="1">
        <w:r w:rsidRPr="00AC2F00">
          <w:rPr>
            <w:rStyle w:val="Hyperlink"/>
            <w:u w:val="none"/>
            <w:lang w:val="es-MX"/>
          </w:rPr>
          <w:t>CERD/C/CHL/CO/19-21</w:t>
        </w:r>
      </w:hyperlink>
      <w:r w:rsidRPr="00AC2F00">
        <w:rPr>
          <w:lang w:val="es-MX"/>
        </w:rPr>
        <w:t xml:space="preserve">, para. 9. </w:t>
      </w:r>
    </w:p>
  </w:footnote>
  <w:footnote w:id="5">
    <w:p w14:paraId="0F53E225"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w:t>
      </w:r>
    </w:p>
  </w:footnote>
  <w:footnote w:id="6">
    <w:p w14:paraId="201769B4"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w:t>
      </w:r>
      <w:r w:rsidRPr="00AC2F00">
        <w:rPr>
          <w:bCs/>
          <w:lang w:val="es-MX"/>
        </w:rPr>
        <w:t>para. 7.</w:t>
      </w:r>
      <w:r w:rsidRPr="00AC2F00">
        <w:rPr>
          <w:lang w:val="es-MX"/>
        </w:rPr>
        <w:t xml:space="preserve"> </w:t>
      </w:r>
    </w:p>
  </w:footnote>
  <w:footnote w:id="7">
    <w:p w14:paraId="3D3EE413"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para. 10. </w:t>
      </w:r>
    </w:p>
  </w:footnote>
  <w:footnote w:id="8">
    <w:p w14:paraId="30C083E5"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para. 14. </w:t>
      </w:r>
    </w:p>
  </w:footnote>
  <w:footnote w:id="9">
    <w:p w14:paraId="6490BD9C"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para. 15. </w:t>
      </w:r>
    </w:p>
  </w:footnote>
  <w:footnote w:id="10">
    <w:p w14:paraId="1FC6E636"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para. 13. </w:t>
      </w:r>
    </w:p>
  </w:footnote>
  <w:footnote w:id="11">
    <w:p w14:paraId="2C7A659C" w14:textId="77777777" w:rsidR="001A6DB2" w:rsidRPr="00AC2F00" w:rsidRDefault="001A6DB2" w:rsidP="008959ED">
      <w:pPr>
        <w:pStyle w:val="FootnoteText"/>
        <w:rPr>
          <w:lang w:val="es-MX"/>
        </w:rPr>
      </w:pPr>
      <w:r w:rsidRPr="00AC2F00">
        <w:rPr>
          <w:lang w:val="es-MX"/>
        </w:rPr>
        <w:tab/>
      </w:r>
      <w:r w:rsidRPr="00AC2F00">
        <w:rPr>
          <w:rStyle w:val="FootnoteReference"/>
        </w:rPr>
        <w:footnoteRef/>
      </w:r>
      <w:r w:rsidRPr="00AC2F00">
        <w:rPr>
          <w:lang w:val="es-MX"/>
        </w:rPr>
        <w:tab/>
        <w:t xml:space="preserve">Ibid., </w:t>
      </w:r>
      <w:r w:rsidRPr="00AC2F00">
        <w:rPr>
          <w:lang w:val="de-DE"/>
        </w:rPr>
        <w:t>paras. 13 and 15–16.</w:t>
      </w:r>
      <w:r w:rsidRPr="00AC2F00">
        <w:rPr>
          <w:lang w:val="es-MX"/>
        </w:rPr>
        <w:t xml:space="preserve"> </w:t>
      </w:r>
    </w:p>
  </w:footnote>
  <w:footnote w:id="12">
    <w:p w14:paraId="6E98C9CA" w14:textId="14191962" w:rsidR="001A6DB2" w:rsidRPr="00AC2F00" w:rsidRDefault="001A6DB2" w:rsidP="008959ED">
      <w:pPr>
        <w:pStyle w:val="FootnoteText"/>
        <w:rPr>
          <w:lang w:val="en-US"/>
        </w:rPr>
      </w:pPr>
      <w:r w:rsidRPr="00AC2F00">
        <w:rPr>
          <w:lang w:val="es-MX"/>
        </w:rPr>
        <w:tab/>
      </w:r>
      <w:r w:rsidRPr="00AC2F00">
        <w:rPr>
          <w:rStyle w:val="FootnoteReference"/>
        </w:rPr>
        <w:footnoteRef/>
      </w:r>
      <w:r w:rsidRPr="00AC2F00">
        <w:tab/>
      </w:r>
      <w:hyperlink r:id="rId5" w:history="1">
        <w:r w:rsidRPr="006F2079">
          <w:rPr>
            <w:rStyle w:val="Hyperlink"/>
            <w:u w:val="none"/>
            <w:lang w:val="en-US"/>
          </w:rPr>
          <w:t>HRI/GEN/2/Rev.6</w:t>
        </w:r>
      </w:hyperlink>
      <w:r w:rsidRPr="00AC2F00">
        <w:rPr>
          <w:color w:val="000000"/>
          <w:lang w:val="en-US"/>
        </w:rPr>
        <w:t>, chap. I.</w:t>
      </w:r>
      <w:r w:rsidRPr="00AC2F00">
        <w:t xml:space="preserve"> </w:t>
      </w:r>
    </w:p>
  </w:footnote>
  <w:footnote w:id="13">
    <w:p w14:paraId="76824C75" w14:textId="14B2F349" w:rsidR="001A6DB2" w:rsidRPr="00AC2F00" w:rsidRDefault="001A6DB2" w:rsidP="008959ED">
      <w:pPr>
        <w:pStyle w:val="FootnoteText"/>
        <w:rPr>
          <w:lang w:val="en-US"/>
        </w:rPr>
      </w:pPr>
      <w:r w:rsidRPr="00AC2F00">
        <w:tab/>
      </w:r>
      <w:r w:rsidRPr="00AC2F00">
        <w:rPr>
          <w:rStyle w:val="FootnoteReference"/>
        </w:rPr>
        <w:footnoteRef/>
      </w:r>
      <w:r w:rsidRPr="00AC2F00">
        <w:tab/>
      </w:r>
      <w:hyperlink r:id="rId6" w:history="1">
        <w:r w:rsidRPr="00AC2F00">
          <w:rPr>
            <w:rStyle w:val="Hyperlink"/>
            <w:u w:val="none"/>
          </w:rPr>
          <w:t>CERD/C/2007/1.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3229" w14:textId="77777777" w:rsidR="00FB6BE9" w:rsidRDefault="00FB6BE9" w:rsidP="00FB6BE9">
    <w:pPr>
      <w:pStyle w:val="Header"/>
    </w:pPr>
    <w:r>
      <w:t>CERD/C/CHL/CO/22-23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0EB4" w14:textId="77777777" w:rsidR="00FB6BE9" w:rsidRDefault="00FB6BE9" w:rsidP="00FB6BE9">
    <w:pPr>
      <w:pStyle w:val="Header"/>
      <w:jc w:val="right"/>
    </w:pPr>
    <w:r>
      <w:t>CERD/C/CHL/CO/22-23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MX"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A"/>
    <w:rsid w:val="00020BF9"/>
    <w:rsid w:val="00021C97"/>
    <w:rsid w:val="00046E92"/>
    <w:rsid w:val="001A6DB2"/>
    <w:rsid w:val="001C3218"/>
    <w:rsid w:val="00223B0C"/>
    <w:rsid w:val="00247E2C"/>
    <w:rsid w:val="00272D25"/>
    <w:rsid w:val="002B2BAF"/>
    <w:rsid w:val="002C4BB6"/>
    <w:rsid w:val="002D6C53"/>
    <w:rsid w:val="002F5595"/>
    <w:rsid w:val="00307688"/>
    <w:rsid w:val="00334F6A"/>
    <w:rsid w:val="00342AC8"/>
    <w:rsid w:val="003A2F6A"/>
    <w:rsid w:val="003B4550"/>
    <w:rsid w:val="00413752"/>
    <w:rsid w:val="00415D4B"/>
    <w:rsid w:val="004236DB"/>
    <w:rsid w:val="00461253"/>
    <w:rsid w:val="004C7976"/>
    <w:rsid w:val="005042C2"/>
    <w:rsid w:val="005412A4"/>
    <w:rsid w:val="00557F19"/>
    <w:rsid w:val="005E790D"/>
    <w:rsid w:val="00622CE5"/>
    <w:rsid w:val="00671529"/>
    <w:rsid w:val="006A0FA2"/>
    <w:rsid w:val="006F2079"/>
    <w:rsid w:val="007233F9"/>
    <w:rsid w:val="007268F9"/>
    <w:rsid w:val="00735147"/>
    <w:rsid w:val="007C52B0"/>
    <w:rsid w:val="007D3336"/>
    <w:rsid w:val="00817A54"/>
    <w:rsid w:val="00883988"/>
    <w:rsid w:val="008959ED"/>
    <w:rsid w:val="008E0F96"/>
    <w:rsid w:val="00901932"/>
    <w:rsid w:val="009044E9"/>
    <w:rsid w:val="00905271"/>
    <w:rsid w:val="00925E0B"/>
    <w:rsid w:val="009411B4"/>
    <w:rsid w:val="009543BB"/>
    <w:rsid w:val="00957362"/>
    <w:rsid w:val="009C1C28"/>
    <w:rsid w:val="009D0139"/>
    <w:rsid w:val="009D446A"/>
    <w:rsid w:val="009F5CDC"/>
    <w:rsid w:val="00A0297D"/>
    <w:rsid w:val="00A61B66"/>
    <w:rsid w:val="00A775CF"/>
    <w:rsid w:val="00A8196B"/>
    <w:rsid w:val="00AC2F00"/>
    <w:rsid w:val="00AD2AEF"/>
    <w:rsid w:val="00B01FD6"/>
    <w:rsid w:val="00B06045"/>
    <w:rsid w:val="00B45443"/>
    <w:rsid w:val="00B65189"/>
    <w:rsid w:val="00BE3168"/>
    <w:rsid w:val="00BF537A"/>
    <w:rsid w:val="00C01462"/>
    <w:rsid w:val="00C054EE"/>
    <w:rsid w:val="00C35A27"/>
    <w:rsid w:val="00C67061"/>
    <w:rsid w:val="00CB1FB9"/>
    <w:rsid w:val="00CE0306"/>
    <w:rsid w:val="00D70FE1"/>
    <w:rsid w:val="00DA7116"/>
    <w:rsid w:val="00DE532E"/>
    <w:rsid w:val="00E02C2B"/>
    <w:rsid w:val="00E50483"/>
    <w:rsid w:val="00ED6C48"/>
    <w:rsid w:val="00F074D6"/>
    <w:rsid w:val="00F65F5D"/>
    <w:rsid w:val="00F86A3A"/>
    <w:rsid w:val="00FB6184"/>
    <w:rsid w:val="00FB6BE9"/>
    <w:rsid w:val="00FC59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8DA9"/>
  <w15:docId w15:val="{C0E7FC92-ECE2-43FC-ACBE-A7552FB8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8959ED"/>
    <w:rPr>
      <w:color w:val="0000FF" w:themeColor="hyperlink"/>
      <w:u w:val="single"/>
    </w:rPr>
  </w:style>
  <w:style w:type="character" w:customStyle="1" w:styleId="UnresolvedMention1">
    <w:name w:val="Unresolved Mention1"/>
    <w:basedOn w:val="DefaultParagraphFont"/>
    <w:uiPriority w:val="99"/>
    <w:semiHidden/>
    <w:unhideWhenUsed/>
    <w:rsid w:val="008959ED"/>
    <w:rPr>
      <w:color w:val="605E5C"/>
      <w:shd w:val="clear" w:color="auto" w:fill="E1DFDD"/>
    </w:rPr>
  </w:style>
  <w:style w:type="character" w:styleId="FollowedHyperlink">
    <w:name w:val="FollowedHyperlink"/>
    <w:basedOn w:val="DefaultParagraphFont"/>
    <w:uiPriority w:val="99"/>
    <w:semiHidden/>
    <w:unhideWhenUsed/>
    <w:rsid w:val="006F2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52" TargetMode="External"/><Relationship Id="rId2" Type="http://schemas.openxmlformats.org/officeDocument/2006/relationships/hyperlink" Target="http://undocs.org/en/CERD/C/SR.2851" TargetMode="External"/><Relationship Id="rId1" Type="http://schemas.openxmlformats.org/officeDocument/2006/relationships/hyperlink" Target="http://undocs.org/en/CERD/C/CHL/22-23" TargetMode="External"/><Relationship Id="rId6" Type="http://schemas.openxmlformats.org/officeDocument/2006/relationships/hyperlink" Target="http://undocs.org/en/CERD/C/2007/1" TargetMode="External"/><Relationship Id="rId5" Type="http://schemas.openxmlformats.org/officeDocument/2006/relationships/hyperlink" Target="https://undocs.org/en/HRI/GEN/2/Rev.6" TargetMode="External"/><Relationship Id="rId4" Type="http://schemas.openxmlformats.org/officeDocument/2006/relationships/hyperlink" Target="http://undocs.org/en/CERD/C/CHL/CO/1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EF95-F4F3-4BC9-9992-B3ECCA47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4355</Words>
  <Characters>25141</Characters>
  <Application>Microsoft Office Word</Application>
  <DocSecurity>0</DocSecurity>
  <Lines>412</Lines>
  <Paragraphs>118</Paragraphs>
  <ScaleCrop>false</ScaleCrop>
  <HeadingPairs>
    <vt:vector size="2" baseType="variant">
      <vt:variant>
        <vt:lpstr>Title</vt:lpstr>
      </vt:variant>
      <vt:variant>
        <vt:i4>1</vt:i4>
      </vt:variant>
    </vt:vector>
  </HeadingPairs>
  <TitlesOfParts>
    <vt:vector size="1" baseType="lpstr">
      <vt:lpstr>CERD/C/CHL/CO/22-23</vt:lpstr>
    </vt:vector>
  </TitlesOfParts>
  <Company>DCM</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CERD/C/CHL/CO/22-23</dc:title>
  <dc:subject>2214415</dc:subject>
  <dc:creator>is</dc:creator>
  <cp:keywords/>
  <dc:description/>
  <cp:lastModifiedBy>Maria Rosario Corazon Gatmaytan</cp:lastModifiedBy>
  <cp:revision>2</cp:revision>
  <dcterms:created xsi:type="dcterms:W3CDTF">2022-09-13T11:39:00Z</dcterms:created>
  <dcterms:modified xsi:type="dcterms:W3CDTF">2022-09-13T11:39:00Z</dcterms:modified>
</cp:coreProperties>
</file>