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53F369DF" w14:textId="77777777" w:rsidTr="00A704A8">
        <w:trPr>
          <w:trHeight w:hRule="exact" w:val="851"/>
        </w:trPr>
        <w:tc>
          <w:tcPr>
            <w:tcW w:w="1276" w:type="dxa"/>
            <w:tcBorders>
              <w:bottom w:val="single" w:sz="4" w:space="0" w:color="auto"/>
            </w:tcBorders>
          </w:tcPr>
          <w:p w14:paraId="2C9BBF12" w14:textId="77777777" w:rsidR="00807D21" w:rsidRPr="00DB58B5" w:rsidRDefault="00807D21" w:rsidP="00ED7E6E"/>
        </w:tc>
        <w:tc>
          <w:tcPr>
            <w:tcW w:w="2268" w:type="dxa"/>
            <w:tcBorders>
              <w:bottom w:val="single" w:sz="4" w:space="0" w:color="auto"/>
            </w:tcBorders>
            <w:vAlign w:val="bottom"/>
          </w:tcPr>
          <w:p w14:paraId="6DFDE3D6"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01A81D4" w14:textId="04D62E8E" w:rsidR="00807D21" w:rsidRPr="004051B9" w:rsidRDefault="004051B9" w:rsidP="004051B9">
            <w:pPr>
              <w:jc w:val="right"/>
            </w:pPr>
            <w:r w:rsidRPr="004051B9">
              <w:rPr>
                <w:sz w:val="40"/>
              </w:rPr>
              <w:t>CAT</w:t>
            </w:r>
            <w:r>
              <w:t>/C/72/D/793/2017</w:t>
            </w:r>
          </w:p>
        </w:tc>
      </w:tr>
      <w:tr w:rsidR="00807D21" w:rsidRPr="00DB58B5" w14:paraId="5B07A0EE" w14:textId="77777777" w:rsidTr="00A704A8">
        <w:trPr>
          <w:trHeight w:hRule="exact" w:val="2835"/>
        </w:trPr>
        <w:tc>
          <w:tcPr>
            <w:tcW w:w="1276" w:type="dxa"/>
            <w:tcBorders>
              <w:top w:val="single" w:sz="4" w:space="0" w:color="auto"/>
              <w:bottom w:val="single" w:sz="12" w:space="0" w:color="auto"/>
            </w:tcBorders>
          </w:tcPr>
          <w:p w14:paraId="3C317145" w14:textId="77777777" w:rsidR="00807D21" w:rsidRPr="00DB58B5" w:rsidRDefault="00807D21" w:rsidP="00A704A8">
            <w:pPr>
              <w:spacing w:before="120"/>
              <w:jc w:val="center"/>
            </w:pPr>
            <w:r>
              <w:rPr>
                <w:noProof/>
                <w:lang w:val="en-GB" w:eastAsia="en-GB"/>
              </w:rPr>
              <w:drawing>
                <wp:inline distT="0" distB="0" distL="0" distR="0" wp14:anchorId="1FC5FBE2" wp14:editId="095CCA2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FD33510"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3C46BAB3" w14:textId="77777777" w:rsidR="00807D21" w:rsidRDefault="00ED7E6E" w:rsidP="00A704A8">
            <w:pPr>
              <w:spacing w:before="240"/>
            </w:pPr>
            <w:r>
              <w:t>Distr. générale</w:t>
            </w:r>
          </w:p>
          <w:p w14:paraId="76D6CA7E" w14:textId="481E21A1" w:rsidR="00ED7E6E" w:rsidRDefault="00ED7E6E" w:rsidP="00ED7E6E">
            <w:pPr>
              <w:spacing w:line="240" w:lineRule="exact"/>
            </w:pPr>
            <w:r>
              <w:t>1</w:t>
            </w:r>
            <w:r w:rsidR="001E0125">
              <w:t>8</w:t>
            </w:r>
            <w:r>
              <w:t xml:space="preserve"> février 2022</w:t>
            </w:r>
          </w:p>
          <w:p w14:paraId="6A866FD3" w14:textId="7FD87383" w:rsidR="00ED7E6E" w:rsidRDefault="00ED7E6E" w:rsidP="00ED7E6E">
            <w:pPr>
              <w:spacing w:line="240" w:lineRule="exact"/>
            </w:pPr>
          </w:p>
          <w:p w14:paraId="74A78E36" w14:textId="4D267DF0" w:rsidR="00ED7E6E" w:rsidRPr="00DB58B5" w:rsidRDefault="00ED7E6E" w:rsidP="00ED7E6E">
            <w:pPr>
              <w:spacing w:line="240" w:lineRule="exact"/>
            </w:pPr>
            <w:r>
              <w:t>Original : français</w:t>
            </w:r>
          </w:p>
        </w:tc>
      </w:tr>
    </w:tbl>
    <w:p w14:paraId="4EB5B948" w14:textId="7FDFC0AB"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092FF159" w14:textId="635F6800" w:rsidR="001E0125" w:rsidRPr="00656A54" w:rsidRDefault="001E0125" w:rsidP="001E0125">
      <w:pPr>
        <w:pStyle w:val="HChG"/>
        <w:rPr>
          <w:rFonts w:eastAsia="SimSun"/>
          <w:lang w:eastAsia="zh-CN"/>
        </w:rPr>
      </w:pPr>
      <w:r>
        <w:rPr>
          <w:rFonts w:eastAsia="Arial Unicode MS"/>
          <w:lang w:val="fr-FR"/>
        </w:rPr>
        <w:tab/>
      </w:r>
      <w:r>
        <w:rPr>
          <w:rFonts w:eastAsia="Arial Unicode MS"/>
          <w:lang w:val="fr-FR"/>
        </w:rPr>
        <w:tab/>
      </w:r>
      <w:r w:rsidRPr="001474B4">
        <w:rPr>
          <w:rFonts w:eastAsia="Arial Unicode MS"/>
          <w:lang w:val="fr-FR"/>
        </w:rPr>
        <w:t>Décision adoptée par le Comité au titre de l</w:t>
      </w:r>
      <w:r>
        <w:rPr>
          <w:rFonts w:eastAsia="Arial Unicode MS"/>
          <w:lang w:val="fr-FR"/>
        </w:rPr>
        <w:t>’</w:t>
      </w:r>
      <w:r w:rsidRPr="001474B4">
        <w:rPr>
          <w:rFonts w:eastAsia="Arial Unicode MS"/>
          <w:lang w:val="fr-FR"/>
        </w:rPr>
        <w:t>article</w:t>
      </w:r>
      <w:r>
        <w:rPr>
          <w:rFonts w:eastAsia="Arial Unicode MS"/>
          <w:lang w:val="fr-FR"/>
        </w:rPr>
        <w:t> </w:t>
      </w:r>
      <w:r w:rsidRPr="001474B4">
        <w:rPr>
          <w:rFonts w:eastAsia="Arial Unicode MS"/>
          <w:lang w:val="fr-FR"/>
        </w:rPr>
        <w:t>22 de la</w:t>
      </w:r>
      <w:r>
        <w:rPr>
          <w:rFonts w:eastAsia="Arial Unicode MS"/>
          <w:lang w:val="fr-FR"/>
        </w:rPr>
        <w:t> </w:t>
      </w:r>
      <w:r w:rsidRPr="001474B4">
        <w:rPr>
          <w:rFonts w:eastAsia="Arial Unicode MS"/>
          <w:lang w:val="fr-FR"/>
        </w:rPr>
        <w:t>Convention, concernant la</w:t>
      </w:r>
      <w:r w:rsidRPr="00EC4752">
        <w:rPr>
          <w:szCs w:val="28"/>
        </w:rPr>
        <w:t xml:space="preserve"> </w:t>
      </w:r>
      <w:r>
        <w:rPr>
          <w:szCs w:val="28"/>
        </w:rPr>
        <w:t>c</w:t>
      </w:r>
      <w:r w:rsidRPr="00EC4752">
        <w:rPr>
          <w:szCs w:val="28"/>
        </w:rPr>
        <w:t>ommunication n</w:t>
      </w:r>
      <w:r w:rsidRPr="00EC4752">
        <w:rPr>
          <w:szCs w:val="28"/>
          <w:vertAlign w:val="superscript"/>
        </w:rPr>
        <w:t>o</w:t>
      </w:r>
      <w:r>
        <w:rPr>
          <w:szCs w:val="28"/>
        </w:rPr>
        <w:t> 793</w:t>
      </w:r>
      <w:r w:rsidRPr="00EC4752">
        <w:rPr>
          <w:szCs w:val="28"/>
        </w:rPr>
        <w:t>/201</w:t>
      </w:r>
      <w:r>
        <w:rPr>
          <w:szCs w:val="28"/>
        </w:rPr>
        <w:t>7</w:t>
      </w:r>
      <w:r w:rsidRPr="004B5213">
        <w:rPr>
          <w:rFonts w:eastAsia="Calibri"/>
          <w:b w:val="0"/>
          <w:sz w:val="20"/>
        </w:rPr>
        <w:footnoteReference w:customMarkFollows="1" w:id="2"/>
        <w:t>*</w:t>
      </w:r>
      <w:r w:rsidRPr="00152BE0">
        <w:rPr>
          <w:rFonts w:eastAsia="Calibri"/>
          <w:b w:val="0"/>
          <w:position w:val="6"/>
          <w:sz w:val="18"/>
        </w:rPr>
        <w:t>,</w:t>
      </w:r>
      <w:r w:rsidRPr="004B5213">
        <w:rPr>
          <w:rFonts w:eastAsia="Calibri"/>
          <w:b w:val="0"/>
          <w:sz w:val="20"/>
        </w:rPr>
        <w:t xml:space="preserve"> </w:t>
      </w:r>
      <w:r w:rsidRPr="004B5213">
        <w:rPr>
          <w:rFonts w:eastAsia="Calibri"/>
          <w:b w:val="0"/>
          <w:sz w:val="20"/>
        </w:rPr>
        <w:footnoteReference w:customMarkFollows="1" w:id="3"/>
        <w:t>**</w:t>
      </w:r>
    </w:p>
    <w:p w14:paraId="0F4A9FE1" w14:textId="77777777" w:rsidR="001E0125" w:rsidRPr="00704389" w:rsidRDefault="001E0125" w:rsidP="001E0125">
      <w:pPr>
        <w:pStyle w:val="SingleTxtG"/>
        <w:ind w:left="4536" w:hanging="2835"/>
        <w:rPr>
          <w:rFonts w:eastAsia="SimSun"/>
        </w:rPr>
      </w:pPr>
      <w:r w:rsidRPr="004623A9">
        <w:rPr>
          <w:rFonts w:eastAsia="SimSun"/>
          <w:i/>
          <w:lang w:eastAsia="zh-CN"/>
        </w:rPr>
        <w:t>Communication présentée par</w:t>
      </w:r>
      <w:r w:rsidRPr="00B22444">
        <w:rPr>
          <w:rFonts w:eastAsia="SimSun"/>
          <w:lang w:eastAsia="zh-CN"/>
        </w:rPr>
        <w:t> :</w:t>
      </w:r>
      <w:r w:rsidRPr="00B22444">
        <w:rPr>
          <w:rFonts w:eastAsia="SimSun"/>
          <w:lang w:eastAsia="zh-CN"/>
        </w:rPr>
        <w:tab/>
      </w:r>
      <w:r>
        <w:rPr>
          <w:rFonts w:eastAsia="SimSun"/>
          <w:lang w:eastAsia="zh-CN"/>
        </w:rPr>
        <w:t>R. M.</w:t>
      </w:r>
      <w:r>
        <w:t xml:space="preserve"> (</w:t>
      </w:r>
      <w:r w:rsidRPr="00704389">
        <w:rPr>
          <w:rFonts w:eastAsia="SimSun"/>
        </w:rPr>
        <w:t xml:space="preserve">représenté par </w:t>
      </w:r>
      <w:r>
        <w:rPr>
          <w:rFonts w:eastAsia="SimSun"/>
        </w:rPr>
        <w:t>un conseil, de TRIAL</w:t>
      </w:r>
      <w:r w:rsidRPr="00704389">
        <w:rPr>
          <w:rFonts w:eastAsia="SimSun"/>
        </w:rPr>
        <w:t xml:space="preserve"> </w:t>
      </w:r>
      <w:r>
        <w:rPr>
          <w:rFonts w:eastAsia="SimSun"/>
        </w:rPr>
        <w:t>International</w:t>
      </w:r>
      <w:r w:rsidRPr="00704389">
        <w:rPr>
          <w:rFonts w:eastAsia="SimSun"/>
        </w:rPr>
        <w:t>)</w:t>
      </w:r>
    </w:p>
    <w:p w14:paraId="3CE42539" w14:textId="77777777" w:rsidR="001E0125" w:rsidRPr="00B22444" w:rsidRDefault="001E0125" w:rsidP="001E0125">
      <w:pPr>
        <w:pStyle w:val="SingleTxtG"/>
        <w:ind w:firstLine="567"/>
        <w:rPr>
          <w:rFonts w:eastAsia="SimSun"/>
          <w:lang w:eastAsia="zh-CN"/>
        </w:rPr>
      </w:pPr>
      <w:r>
        <w:rPr>
          <w:rFonts w:eastAsia="SimSun"/>
          <w:i/>
          <w:lang w:eastAsia="zh-CN"/>
        </w:rPr>
        <w:t>Victime(s) présumée(s)</w:t>
      </w:r>
      <w:r w:rsidRPr="00B22444">
        <w:rPr>
          <w:rFonts w:eastAsia="SimSun"/>
          <w:lang w:eastAsia="zh-CN"/>
        </w:rPr>
        <w:t> :</w:t>
      </w:r>
      <w:r w:rsidRPr="00B22444">
        <w:rPr>
          <w:rFonts w:eastAsia="SimSun"/>
          <w:lang w:eastAsia="zh-CN"/>
        </w:rPr>
        <w:tab/>
      </w:r>
      <w:r>
        <w:rPr>
          <w:rFonts w:eastAsia="SimSun"/>
          <w:lang w:eastAsia="zh-CN"/>
        </w:rPr>
        <w:tab/>
        <w:t>Le requérant</w:t>
      </w:r>
    </w:p>
    <w:p w14:paraId="1774D52D" w14:textId="77777777" w:rsidR="001E0125" w:rsidRPr="00B22444" w:rsidRDefault="001E0125" w:rsidP="001E0125">
      <w:pPr>
        <w:pStyle w:val="SingleTxtG"/>
        <w:ind w:firstLine="567"/>
        <w:rPr>
          <w:rFonts w:eastAsia="SimSun"/>
          <w:lang w:eastAsia="zh-CN"/>
        </w:rPr>
      </w:pPr>
      <w:r w:rsidRPr="00B22444">
        <w:rPr>
          <w:rFonts w:eastAsia="SimSun"/>
          <w:i/>
          <w:lang w:eastAsia="zh-CN"/>
        </w:rPr>
        <w:t>État partie</w:t>
      </w:r>
      <w:r w:rsidRPr="00B22444">
        <w:rPr>
          <w:rFonts w:eastAsia="SimSun"/>
          <w:lang w:eastAsia="zh-CN"/>
        </w:rPr>
        <w:t> :</w:t>
      </w:r>
      <w:r w:rsidRPr="00B22444">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t>Burundi</w:t>
      </w:r>
    </w:p>
    <w:p w14:paraId="7822CE2D" w14:textId="5E25C50E" w:rsidR="001E0125" w:rsidRDefault="001E0125" w:rsidP="001E0125">
      <w:pPr>
        <w:pStyle w:val="SingleTxtG"/>
        <w:ind w:firstLine="567"/>
        <w:rPr>
          <w:rFonts w:eastAsia="SimSun"/>
          <w:lang w:eastAsia="zh-CN"/>
        </w:rPr>
      </w:pPr>
      <w:r w:rsidRPr="00B22444">
        <w:rPr>
          <w:rFonts w:eastAsia="SimSun"/>
          <w:i/>
          <w:lang w:eastAsia="zh-CN"/>
        </w:rPr>
        <w:t>Date de la requête</w:t>
      </w:r>
      <w:r w:rsidRPr="00B22444">
        <w:rPr>
          <w:rFonts w:eastAsia="SimSun"/>
          <w:lang w:eastAsia="zh-CN"/>
        </w:rPr>
        <w:t> :</w:t>
      </w:r>
      <w:r w:rsidRPr="00B22444">
        <w:rPr>
          <w:rFonts w:eastAsia="SimSun"/>
          <w:lang w:eastAsia="zh-CN"/>
        </w:rPr>
        <w:tab/>
      </w:r>
      <w:r>
        <w:rPr>
          <w:rFonts w:eastAsia="SimSun"/>
          <w:lang w:eastAsia="zh-CN"/>
        </w:rPr>
        <w:tab/>
      </w:r>
      <w:r>
        <w:rPr>
          <w:rFonts w:eastAsia="SimSun"/>
          <w:lang w:eastAsia="zh-CN"/>
        </w:rPr>
        <w:tab/>
        <w:t xml:space="preserve">27 décembre 2016 </w:t>
      </w:r>
      <w:r w:rsidRPr="00B22444">
        <w:rPr>
          <w:rFonts w:eastAsia="SimSun"/>
          <w:lang w:eastAsia="zh-CN"/>
        </w:rPr>
        <w:t>(</w:t>
      </w:r>
      <w:r>
        <w:rPr>
          <w:rFonts w:eastAsia="SimSun"/>
          <w:lang w:eastAsia="zh-CN"/>
        </w:rPr>
        <w:t xml:space="preserve">date de la </w:t>
      </w:r>
      <w:r w:rsidRPr="00B22444">
        <w:rPr>
          <w:rFonts w:eastAsia="SimSun"/>
          <w:lang w:eastAsia="zh-CN"/>
        </w:rPr>
        <w:t>lettre initiale)</w:t>
      </w:r>
    </w:p>
    <w:p w14:paraId="6A4C8257" w14:textId="718BC24B" w:rsidR="001E0125" w:rsidRPr="00B22444" w:rsidRDefault="001E0125" w:rsidP="001E0125">
      <w:pPr>
        <w:pStyle w:val="SingleTxtG"/>
        <w:ind w:left="4524" w:hanging="2823"/>
        <w:rPr>
          <w:rFonts w:eastAsia="SimSun"/>
          <w:lang w:eastAsia="zh-CN"/>
        </w:rPr>
      </w:pPr>
      <w:r>
        <w:rPr>
          <w:i/>
        </w:rPr>
        <w:t>Références </w:t>
      </w:r>
      <w:r w:rsidRPr="006F73F7">
        <w:rPr>
          <w:iCs/>
        </w:rPr>
        <w:t>:</w:t>
      </w:r>
      <w:r>
        <w:rPr>
          <w:i/>
        </w:rPr>
        <w:tab/>
      </w:r>
      <w:r>
        <w:rPr>
          <w:i/>
        </w:rPr>
        <w:tab/>
      </w:r>
      <w:r>
        <w:t>Décision prise en application des articles 114 et 115 du Règlement intérieur du Comité, transmise à l’État partie le 5 janvier 2017 (non publiée sous forme de document)</w:t>
      </w:r>
    </w:p>
    <w:p w14:paraId="14313653" w14:textId="19A99C1A" w:rsidR="001E0125" w:rsidRPr="00EC100D" w:rsidRDefault="001E0125" w:rsidP="001E0125">
      <w:pPr>
        <w:pStyle w:val="SingleTxtG"/>
        <w:ind w:firstLine="567"/>
        <w:rPr>
          <w:rFonts w:eastAsia="SimSun"/>
        </w:rPr>
      </w:pPr>
      <w:r w:rsidRPr="00B22444">
        <w:rPr>
          <w:rFonts w:eastAsia="SimSun"/>
          <w:i/>
          <w:lang w:eastAsia="zh-CN"/>
        </w:rPr>
        <w:t>Date de la présente décision</w:t>
      </w:r>
      <w:r w:rsidRPr="00A213D5">
        <w:rPr>
          <w:rFonts w:eastAsia="SimSun"/>
          <w:lang w:eastAsia="zh-CN"/>
        </w:rPr>
        <w:t> </w:t>
      </w:r>
      <w:r w:rsidRPr="0076453B">
        <w:rPr>
          <w:rFonts w:eastAsia="SimSun"/>
          <w:lang w:eastAsia="zh-CN"/>
        </w:rPr>
        <w:t>:</w:t>
      </w:r>
      <w:r w:rsidRPr="00B22444">
        <w:rPr>
          <w:rFonts w:eastAsia="SimSun"/>
          <w:lang w:eastAsia="zh-CN"/>
        </w:rPr>
        <w:tab/>
      </w:r>
      <w:r>
        <w:rPr>
          <w:rFonts w:eastAsia="SimSun"/>
          <w:lang w:eastAsia="zh-CN"/>
        </w:rPr>
        <w:t>18 novembre 2021</w:t>
      </w:r>
    </w:p>
    <w:p w14:paraId="3EFDC526" w14:textId="77777777" w:rsidR="001E0125" w:rsidRPr="00B9691D" w:rsidRDefault="001E0125" w:rsidP="001E0125">
      <w:pPr>
        <w:pStyle w:val="SingleTxtG"/>
        <w:ind w:left="4524" w:hanging="2823"/>
        <w:rPr>
          <w:rFonts w:eastAsia="SimSun"/>
          <w:lang w:eastAsia="zh-CN"/>
        </w:rPr>
      </w:pPr>
      <w:r w:rsidRPr="00B22444">
        <w:rPr>
          <w:rFonts w:eastAsia="SimSun"/>
          <w:i/>
          <w:iCs/>
          <w:lang w:eastAsia="zh-CN"/>
        </w:rPr>
        <w:t>Objet</w:t>
      </w:r>
      <w:r w:rsidRPr="00A213D5">
        <w:rPr>
          <w:rFonts w:eastAsia="SimSun"/>
          <w:lang w:eastAsia="zh-CN"/>
        </w:rPr>
        <w:t> :</w:t>
      </w:r>
      <w:r w:rsidRPr="00B22444">
        <w:rPr>
          <w:rFonts w:eastAsia="SimSun"/>
          <w:lang w:eastAsia="zh-CN"/>
        </w:rPr>
        <w:tab/>
      </w:r>
      <w:r>
        <w:rPr>
          <w:rFonts w:eastAsia="SimSun"/>
          <w:lang w:eastAsia="zh-CN"/>
        </w:rPr>
        <w:tab/>
      </w:r>
      <w:r>
        <w:rPr>
          <w:rFonts w:eastAsia="SimSun"/>
          <w:lang w:eastAsia="zh-CN"/>
        </w:rPr>
        <w:tab/>
      </w:r>
      <w:r w:rsidRPr="006A492D">
        <w:rPr>
          <w:rFonts w:eastAsia="SimSun"/>
          <w:lang w:eastAsia="zh-CN"/>
        </w:rPr>
        <w:t>Torture ou autres peines ou traitements cruels, inhumains ou dégradants ; absence d</w:t>
      </w:r>
      <w:r>
        <w:rPr>
          <w:rFonts w:eastAsia="SimSun"/>
          <w:lang w:eastAsia="zh-CN"/>
        </w:rPr>
        <w:t>’</w:t>
      </w:r>
      <w:r w:rsidRPr="006A492D">
        <w:rPr>
          <w:rFonts w:eastAsia="SimSun"/>
          <w:lang w:eastAsia="zh-CN"/>
        </w:rPr>
        <w:t>enquête effective et de réparation</w:t>
      </w:r>
    </w:p>
    <w:p w14:paraId="28812915" w14:textId="77777777" w:rsidR="001E0125" w:rsidRPr="006A492D" w:rsidRDefault="001E0125" w:rsidP="001E0125">
      <w:pPr>
        <w:pStyle w:val="SingleTxtG"/>
        <w:ind w:firstLine="567"/>
        <w:rPr>
          <w:rFonts w:eastAsia="SimSun"/>
          <w:lang w:eastAsia="zh-CN"/>
        </w:rPr>
      </w:pPr>
      <w:r w:rsidRPr="00B9691D">
        <w:rPr>
          <w:rFonts w:eastAsia="SimSun"/>
          <w:i/>
          <w:iCs/>
          <w:lang w:eastAsia="zh-CN"/>
        </w:rPr>
        <w:t>Question(s) de procédure</w:t>
      </w:r>
      <w:r w:rsidRPr="00B9691D">
        <w:rPr>
          <w:rFonts w:eastAsia="SimSun"/>
          <w:lang w:eastAsia="zh-CN"/>
        </w:rPr>
        <w:t> :</w:t>
      </w:r>
      <w:r w:rsidRPr="00B9691D">
        <w:rPr>
          <w:rFonts w:eastAsia="SimSun"/>
          <w:lang w:eastAsia="zh-CN"/>
        </w:rPr>
        <w:tab/>
      </w:r>
      <w:r w:rsidRPr="00B9691D">
        <w:rPr>
          <w:rFonts w:eastAsia="SimSun"/>
          <w:lang w:eastAsia="zh-CN"/>
        </w:rPr>
        <w:tab/>
      </w:r>
      <w:r w:rsidRPr="006A492D">
        <w:rPr>
          <w:rFonts w:eastAsia="SimSun"/>
          <w:lang w:eastAsia="zh-CN"/>
        </w:rPr>
        <w:t>Épuisement des recours internes</w:t>
      </w:r>
    </w:p>
    <w:p w14:paraId="7E11E224" w14:textId="77777777" w:rsidR="001E0125" w:rsidRPr="006A492D" w:rsidRDefault="001E0125" w:rsidP="001E0125">
      <w:pPr>
        <w:pStyle w:val="SingleTxtG"/>
        <w:ind w:left="4524" w:hanging="2823"/>
        <w:rPr>
          <w:rFonts w:eastAsia="SimSun"/>
          <w:lang w:eastAsia="zh-CN"/>
        </w:rPr>
      </w:pPr>
      <w:r w:rsidRPr="006A492D">
        <w:rPr>
          <w:rFonts w:eastAsia="SimSun"/>
          <w:i/>
          <w:iCs/>
          <w:lang w:eastAsia="zh-CN"/>
        </w:rPr>
        <w:t>Question(s) de fond</w:t>
      </w:r>
      <w:r w:rsidRPr="006A492D">
        <w:rPr>
          <w:rFonts w:eastAsia="SimSun"/>
          <w:lang w:eastAsia="zh-CN"/>
        </w:rPr>
        <w:t> :</w:t>
      </w:r>
      <w:r w:rsidRPr="006A492D">
        <w:rPr>
          <w:rFonts w:eastAsia="SimSun"/>
          <w:lang w:eastAsia="zh-CN"/>
        </w:rPr>
        <w:tab/>
        <w:t>Torture et peines ou traitements cruels, inhumains ou dégradants ; mesures visant à empêcher la commission d</w:t>
      </w:r>
      <w:r>
        <w:rPr>
          <w:rFonts w:eastAsia="SimSun"/>
          <w:lang w:eastAsia="zh-CN"/>
        </w:rPr>
        <w:t>’</w:t>
      </w:r>
      <w:r w:rsidRPr="006A492D">
        <w:rPr>
          <w:rFonts w:eastAsia="SimSun"/>
          <w:lang w:eastAsia="zh-CN"/>
        </w:rPr>
        <w:t xml:space="preserve">actes de torture ou </w:t>
      </w:r>
      <w:r>
        <w:rPr>
          <w:rFonts w:eastAsia="SimSun"/>
          <w:lang w:eastAsia="zh-CN"/>
        </w:rPr>
        <w:t xml:space="preserve">de </w:t>
      </w:r>
      <w:r w:rsidRPr="006A492D">
        <w:rPr>
          <w:rFonts w:eastAsia="SimSun"/>
          <w:lang w:eastAsia="zh-CN"/>
        </w:rPr>
        <w:t>traitements cruels, inhumains ou dégradants ; surveillance systématique quant à la garde et au traitement des personnes détenues ; obligation de l</w:t>
      </w:r>
      <w:r>
        <w:rPr>
          <w:rFonts w:eastAsia="SimSun"/>
          <w:lang w:eastAsia="zh-CN"/>
        </w:rPr>
        <w:t>’</w:t>
      </w:r>
      <w:r w:rsidRPr="006A492D">
        <w:rPr>
          <w:rFonts w:eastAsia="SimSun"/>
          <w:lang w:eastAsia="zh-CN"/>
        </w:rPr>
        <w:t>État partie de veiller à ce que les autorités compétentes procèdent immédiatement à une enquête impartiale ; droit de porter plainte ; droit d</w:t>
      </w:r>
      <w:r>
        <w:rPr>
          <w:rFonts w:eastAsia="SimSun"/>
          <w:lang w:eastAsia="zh-CN"/>
        </w:rPr>
        <w:t>’</w:t>
      </w:r>
      <w:r w:rsidRPr="006A492D">
        <w:rPr>
          <w:rFonts w:eastAsia="SimSun"/>
          <w:lang w:eastAsia="zh-CN"/>
        </w:rPr>
        <w:t>obtenir une réparation</w:t>
      </w:r>
    </w:p>
    <w:p w14:paraId="0F1D8547" w14:textId="1AD657CE" w:rsidR="001E0125" w:rsidRDefault="001E0125" w:rsidP="001E0125">
      <w:pPr>
        <w:ind w:left="4536" w:right="1134" w:hanging="2835"/>
        <w:jc w:val="both"/>
        <w:rPr>
          <w:rFonts w:eastAsia="MS Mincho"/>
          <w:lang w:val="fr-FR" w:eastAsia="zh-CN"/>
        </w:rPr>
      </w:pPr>
      <w:r w:rsidRPr="006E4BE3">
        <w:rPr>
          <w:rFonts w:eastAsia="SimSun"/>
          <w:i/>
          <w:iCs/>
          <w:lang w:eastAsia="zh-CN"/>
        </w:rPr>
        <w:t>Article(s) de la Convention</w:t>
      </w:r>
      <w:r w:rsidRPr="006E4BE3">
        <w:rPr>
          <w:rFonts w:eastAsia="SimSun"/>
          <w:lang w:eastAsia="zh-CN"/>
        </w:rPr>
        <w:t> :</w:t>
      </w:r>
      <w:r w:rsidRPr="006E4BE3">
        <w:rPr>
          <w:rFonts w:eastAsia="SimSun"/>
          <w:lang w:eastAsia="zh-CN"/>
        </w:rPr>
        <w:tab/>
      </w:r>
      <w:r w:rsidRPr="006E4BE3">
        <w:rPr>
          <w:rFonts w:eastAsia="SimSun"/>
          <w:lang w:eastAsia="zh-CN"/>
        </w:rPr>
        <w:tab/>
      </w:r>
      <w:r w:rsidRPr="006E4BE3">
        <w:rPr>
          <w:rFonts w:eastAsia="MS Mincho"/>
          <w:lang w:val="fr-FR" w:eastAsia="zh-CN"/>
        </w:rPr>
        <w:t>2 (par.</w:t>
      </w:r>
      <w:r>
        <w:rPr>
          <w:rFonts w:eastAsia="MS Mincho"/>
          <w:lang w:val="fr-FR" w:eastAsia="zh-CN"/>
        </w:rPr>
        <w:t> </w:t>
      </w:r>
      <w:r w:rsidRPr="006E4BE3">
        <w:rPr>
          <w:rFonts w:eastAsia="MS Mincho"/>
          <w:lang w:val="fr-FR" w:eastAsia="zh-CN"/>
        </w:rPr>
        <w:t>1), 11, 12, 13 et 14, lus conjointement avec les articles 1</w:t>
      </w:r>
      <w:r w:rsidRPr="00152BE0">
        <w:rPr>
          <w:rFonts w:eastAsia="MS Mincho"/>
          <w:vertAlign w:val="superscript"/>
          <w:lang w:val="fr-FR" w:eastAsia="zh-CN"/>
        </w:rPr>
        <w:t>er</w:t>
      </w:r>
      <w:r w:rsidRPr="006E4BE3">
        <w:rPr>
          <w:rFonts w:eastAsia="MS Mincho"/>
          <w:lang w:val="fr-FR" w:eastAsia="zh-CN"/>
        </w:rPr>
        <w:t xml:space="preserve"> et 16, et 16</w:t>
      </w:r>
    </w:p>
    <w:p w14:paraId="7A8EB48E" w14:textId="523CA121" w:rsidR="001E0125" w:rsidRPr="009942E1" w:rsidRDefault="001E0125" w:rsidP="001E0125">
      <w:pPr>
        <w:pStyle w:val="SingleTxtG"/>
        <w:spacing w:before="240"/>
        <w:rPr>
          <w:rFonts w:eastAsia="MS Mincho"/>
        </w:rPr>
      </w:pPr>
      <w:r w:rsidRPr="009942E1">
        <w:rPr>
          <w:rFonts w:eastAsia="MS Mincho"/>
        </w:rPr>
        <w:t>1.</w:t>
      </w:r>
      <w:r w:rsidRPr="009942E1">
        <w:rPr>
          <w:rFonts w:eastAsia="MS Mincho"/>
        </w:rPr>
        <w:tab/>
        <w:t xml:space="preserve">Le requérant est </w:t>
      </w:r>
      <w:r>
        <w:rPr>
          <w:rFonts w:eastAsia="MS Mincho"/>
        </w:rPr>
        <w:t>R. M.</w:t>
      </w:r>
      <w:r w:rsidRPr="009942E1">
        <w:rPr>
          <w:rFonts w:eastAsia="MS Mincho"/>
        </w:rPr>
        <w:t xml:space="preserve">, </w:t>
      </w:r>
      <w:r>
        <w:rPr>
          <w:rFonts w:eastAsia="MS Mincho"/>
        </w:rPr>
        <w:t>de nationalité</w:t>
      </w:r>
      <w:r w:rsidRPr="009942E1">
        <w:rPr>
          <w:rFonts w:eastAsia="MS Mincho"/>
        </w:rPr>
        <w:t xml:space="preserve"> burundais</w:t>
      </w:r>
      <w:r>
        <w:rPr>
          <w:rFonts w:eastAsia="MS Mincho"/>
        </w:rPr>
        <w:t>e,</w:t>
      </w:r>
      <w:r w:rsidRPr="009942E1">
        <w:rPr>
          <w:rFonts w:eastAsia="MS Mincho"/>
        </w:rPr>
        <w:t xml:space="preserve"> né en 1979. Il prétend être la victime de violations par </w:t>
      </w:r>
      <w:r>
        <w:rPr>
          <w:rFonts w:eastAsia="MS Mincho"/>
        </w:rPr>
        <w:t>l’État partie</w:t>
      </w:r>
      <w:r w:rsidRPr="009942E1">
        <w:rPr>
          <w:rFonts w:eastAsia="MS Mincho"/>
        </w:rPr>
        <w:t xml:space="preserve"> de ses droits protégés au titre des articles</w:t>
      </w:r>
      <w:r>
        <w:rPr>
          <w:rFonts w:eastAsia="MS Mincho"/>
        </w:rPr>
        <w:t> </w:t>
      </w:r>
      <w:r w:rsidRPr="009942E1">
        <w:rPr>
          <w:rFonts w:eastAsia="MS Mincho"/>
        </w:rPr>
        <w:t>2 (par.</w:t>
      </w:r>
      <w:r>
        <w:rPr>
          <w:rFonts w:eastAsia="MS Mincho"/>
        </w:rPr>
        <w:t> </w:t>
      </w:r>
      <w:r w:rsidRPr="009942E1">
        <w:rPr>
          <w:rFonts w:eastAsia="MS Mincho"/>
        </w:rPr>
        <w:t>1), 11, 12, 13 et 14, lus conjointement avec l</w:t>
      </w:r>
      <w:r>
        <w:rPr>
          <w:rFonts w:eastAsia="MS Mincho"/>
        </w:rPr>
        <w:t>’</w:t>
      </w:r>
      <w:r w:rsidRPr="009942E1">
        <w:rPr>
          <w:rFonts w:eastAsia="MS Mincho"/>
        </w:rPr>
        <w:t>article</w:t>
      </w:r>
      <w:r>
        <w:rPr>
          <w:rFonts w:eastAsia="MS Mincho"/>
        </w:rPr>
        <w:t> </w:t>
      </w:r>
      <w:r w:rsidRPr="009942E1">
        <w:rPr>
          <w:rFonts w:eastAsia="MS Mincho"/>
        </w:rPr>
        <w:t>1</w:t>
      </w:r>
      <w:r w:rsidRPr="00152BE0">
        <w:rPr>
          <w:rFonts w:eastAsia="MS Mincho"/>
          <w:vertAlign w:val="superscript"/>
        </w:rPr>
        <w:t>er</w:t>
      </w:r>
      <w:r w:rsidRPr="009942E1">
        <w:rPr>
          <w:rFonts w:eastAsia="MS Mincho"/>
        </w:rPr>
        <w:t xml:space="preserve"> et, subsidiairement, avec l</w:t>
      </w:r>
      <w:r>
        <w:rPr>
          <w:rFonts w:eastAsia="MS Mincho"/>
        </w:rPr>
        <w:t>’</w:t>
      </w:r>
      <w:r w:rsidRPr="009942E1">
        <w:rPr>
          <w:rFonts w:eastAsia="MS Mincho"/>
        </w:rPr>
        <w:t>article</w:t>
      </w:r>
      <w:r>
        <w:rPr>
          <w:rFonts w:eastAsia="MS Mincho"/>
        </w:rPr>
        <w:t> </w:t>
      </w:r>
      <w:r w:rsidRPr="009942E1">
        <w:rPr>
          <w:rFonts w:eastAsia="MS Mincho"/>
        </w:rPr>
        <w:t xml:space="preserve">16 de la </w:t>
      </w:r>
      <w:r w:rsidRPr="009942E1">
        <w:rPr>
          <w:rFonts w:eastAsia="MS Mincho"/>
        </w:rPr>
        <w:lastRenderedPageBreak/>
        <w:t>Convention, ainsi que de l</w:t>
      </w:r>
      <w:r>
        <w:rPr>
          <w:rFonts w:eastAsia="MS Mincho"/>
        </w:rPr>
        <w:t>’</w:t>
      </w:r>
      <w:r w:rsidRPr="009942E1">
        <w:rPr>
          <w:rFonts w:eastAsia="MS Mincho"/>
        </w:rPr>
        <w:t>article</w:t>
      </w:r>
      <w:r>
        <w:rPr>
          <w:rFonts w:eastAsia="MS Mincho"/>
        </w:rPr>
        <w:t> </w:t>
      </w:r>
      <w:r w:rsidRPr="009942E1">
        <w:rPr>
          <w:rFonts w:eastAsia="MS Mincho"/>
        </w:rPr>
        <w:t xml:space="preserve">16 de la Convention lu seul. </w:t>
      </w:r>
      <w:r>
        <w:rPr>
          <w:rFonts w:eastAsia="MS Mincho"/>
        </w:rPr>
        <w:t>L’État partie</w:t>
      </w:r>
      <w:r w:rsidRPr="009942E1">
        <w:rPr>
          <w:rFonts w:eastAsia="MS Mincho"/>
        </w:rPr>
        <w:t xml:space="preserve"> a fait la déclaration prévue </w:t>
      </w:r>
      <w:r>
        <w:rPr>
          <w:rFonts w:eastAsia="MS Mincho"/>
        </w:rPr>
        <w:t>à</w:t>
      </w:r>
      <w:r w:rsidRPr="009942E1">
        <w:rPr>
          <w:rFonts w:eastAsia="MS Mincho"/>
        </w:rPr>
        <w:t xml:space="preserve"> l</w:t>
      </w:r>
      <w:r>
        <w:rPr>
          <w:rFonts w:eastAsia="MS Mincho"/>
        </w:rPr>
        <w:t>’</w:t>
      </w:r>
      <w:r w:rsidRPr="009942E1">
        <w:rPr>
          <w:rFonts w:eastAsia="MS Mincho"/>
        </w:rPr>
        <w:t>article</w:t>
      </w:r>
      <w:r>
        <w:rPr>
          <w:rFonts w:eastAsia="MS Mincho"/>
        </w:rPr>
        <w:t> </w:t>
      </w:r>
      <w:r w:rsidRPr="009942E1">
        <w:rPr>
          <w:rFonts w:eastAsia="MS Mincho"/>
        </w:rPr>
        <w:t>22</w:t>
      </w:r>
      <w:r>
        <w:rPr>
          <w:rFonts w:eastAsia="MS Mincho"/>
        </w:rPr>
        <w:t xml:space="preserve"> (par. 1)</w:t>
      </w:r>
      <w:r w:rsidRPr="009942E1">
        <w:rPr>
          <w:rFonts w:eastAsia="MS Mincho"/>
        </w:rPr>
        <w:t xml:space="preserve"> de la Convention le 10</w:t>
      </w:r>
      <w:r>
        <w:rPr>
          <w:rFonts w:eastAsia="MS Mincho"/>
        </w:rPr>
        <w:t> </w:t>
      </w:r>
      <w:r w:rsidRPr="009942E1">
        <w:rPr>
          <w:rFonts w:eastAsia="MS Mincho"/>
        </w:rPr>
        <w:t xml:space="preserve">juin 2003. Le requérant est représenté par </w:t>
      </w:r>
      <w:r>
        <w:rPr>
          <w:rFonts w:eastAsia="MS Mincho"/>
        </w:rPr>
        <w:t xml:space="preserve">un conseil de </w:t>
      </w:r>
      <w:r w:rsidRPr="009942E1">
        <w:rPr>
          <w:rFonts w:eastAsia="MS Mincho"/>
        </w:rPr>
        <w:t>l</w:t>
      </w:r>
      <w:r>
        <w:rPr>
          <w:rFonts w:eastAsia="MS Mincho"/>
        </w:rPr>
        <w:t>’</w:t>
      </w:r>
      <w:r w:rsidRPr="009942E1">
        <w:rPr>
          <w:rFonts w:eastAsia="MS Mincho"/>
        </w:rPr>
        <w:t xml:space="preserve">organisation TRIAL </w:t>
      </w:r>
      <w:r>
        <w:rPr>
          <w:rFonts w:eastAsia="MS Mincho"/>
        </w:rPr>
        <w:t>International</w:t>
      </w:r>
      <w:r w:rsidRPr="009942E1">
        <w:rPr>
          <w:rFonts w:eastAsia="MS Mincho"/>
        </w:rPr>
        <w:t>.</w:t>
      </w:r>
    </w:p>
    <w:p w14:paraId="4FB19B87" w14:textId="77777777" w:rsidR="001E0125" w:rsidRPr="00580528" w:rsidRDefault="001E0125" w:rsidP="001E0125">
      <w:pPr>
        <w:pStyle w:val="H23G"/>
        <w:rPr>
          <w:rFonts w:eastAsia="MS Mincho"/>
        </w:rPr>
      </w:pPr>
      <w:r w:rsidRPr="00580528">
        <w:rPr>
          <w:rFonts w:eastAsia="MS Mincho"/>
          <w:lang w:val="fr-FR" w:eastAsia="zh-CN"/>
        </w:rPr>
        <w:tab/>
      </w:r>
      <w:r w:rsidRPr="00580528">
        <w:rPr>
          <w:rFonts w:eastAsia="MS Mincho"/>
          <w:lang w:val="fr-FR" w:eastAsia="zh-CN"/>
        </w:rPr>
        <w:tab/>
      </w:r>
      <w:r w:rsidRPr="00580528">
        <w:rPr>
          <w:rFonts w:eastAsia="MS Mincho"/>
        </w:rPr>
        <w:t>Rappel des faits présentés par le requérant</w:t>
      </w:r>
    </w:p>
    <w:p w14:paraId="6BA87244" w14:textId="77777777" w:rsidR="001E0125" w:rsidRPr="00C41C35" w:rsidRDefault="001E0125" w:rsidP="001E0125">
      <w:pPr>
        <w:spacing w:after="120"/>
        <w:ind w:left="1134" w:right="1134"/>
        <w:jc w:val="both"/>
        <w:rPr>
          <w:rFonts w:eastAsia="MS Mincho"/>
        </w:rPr>
      </w:pPr>
      <w:r>
        <w:rPr>
          <w:rFonts w:eastAsia="MS Mincho"/>
        </w:rPr>
        <w:t>2.1</w:t>
      </w:r>
      <w:r>
        <w:rPr>
          <w:rFonts w:eastAsia="MS Mincho"/>
        </w:rPr>
        <w:tab/>
        <w:t>Le 9</w:t>
      </w:r>
      <w:r w:rsidRPr="00C558C4">
        <w:rPr>
          <w:rFonts w:eastAsia="MS Mincho"/>
        </w:rPr>
        <w:t xml:space="preserve"> mars 2014, </w:t>
      </w:r>
      <w:r>
        <w:rPr>
          <w:rFonts w:eastAsia="MS Mincho"/>
        </w:rPr>
        <w:t>le requérant a été arrêté</w:t>
      </w:r>
      <w:r w:rsidRPr="00C558C4">
        <w:rPr>
          <w:rFonts w:eastAsia="MS Mincho"/>
        </w:rPr>
        <w:t xml:space="preserve"> </w:t>
      </w:r>
      <w:r>
        <w:rPr>
          <w:rFonts w:eastAsia="MS Mincho"/>
        </w:rPr>
        <w:t>non loin de la</w:t>
      </w:r>
      <w:r w:rsidRPr="00C558C4">
        <w:rPr>
          <w:rFonts w:eastAsia="MS Mincho"/>
        </w:rPr>
        <w:t xml:space="preserve"> </w:t>
      </w:r>
      <w:r>
        <w:rPr>
          <w:rFonts w:eastAsia="MS Mincho"/>
        </w:rPr>
        <w:t>p</w:t>
      </w:r>
      <w:r w:rsidRPr="00C558C4">
        <w:rPr>
          <w:rFonts w:eastAsia="MS Mincho"/>
        </w:rPr>
        <w:t xml:space="preserve">ermanence </w:t>
      </w:r>
      <w:r>
        <w:rPr>
          <w:rFonts w:eastAsia="MS Mincho"/>
        </w:rPr>
        <w:t>du</w:t>
      </w:r>
      <w:r w:rsidRPr="00C558C4">
        <w:rPr>
          <w:rFonts w:eastAsia="MS Mincho"/>
        </w:rPr>
        <w:t xml:space="preserve"> Mouvement pour la </w:t>
      </w:r>
      <w:r>
        <w:rPr>
          <w:rFonts w:eastAsia="MS Mincho"/>
        </w:rPr>
        <w:t>solidarité et la démocratie</w:t>
      </w:r>
      <w:r w:rsidRPr="00152BE0">
        <w:rPr>
          <w:rStyle w:val="Appelnotedebasdep"/>
        </w:rPr>
        <w:footnoteReference w:id="4"/>
      </w:r>
      <w:r>
        <w:rPr>
          <w:rFonts w:eastAsia="MS Mincho"/>
        </w:rPr>
        <w:t xml:space="preserve"> à Bujumbura.</w:t>
      </w:r>
      <w:r w:rsidRPr="00C558C4">
        <w:rPr>
          <w:rFonts w:eastAsia="MS Mincho"/>
        </w:rPr>
        <w:t xml:space="preserve"> </w:t>
      </w:r>
      <w:r>
        <w:rPr>
          <w:rFonts w:eastAsia="MS Mincho"/>
        </w:rPr>
        <w:t xml:space="preserve">La veille, </w:t>
      </w:r>
      <w:r w:rsidRPr="00C41C35">
        <w:rPr>
          <w:rFonts w:eastAsia="MS Mincho"/>
        </w:rPr>
        <w:t xml:space="preserve">des éléments de la police lourdement armés </w:t>
      </w:r>
      <w:r>
        <w:rPr>
          <w:rFonts w:eastAsia="MS Mincho"/>
        </w:rPr>
        <w:t>avaient</w:t>
      </w:r>
      <w:r w:rsidRPr="00C41C35">
        <w:rPr>
          <w:rFonts w:eastAsia="MS Mincho"/>
        </w:rPr>
        <w:t xml:space="preserve"> fait irruption au siège du </w:t>
      </w:r>
      <w:r>
        <w:rPr>
          <w:rFonts w:eastAsia="MS Mincho"/>
        </w:rPr>
        <w:t>parti</w:t>
      </w:r>
      <w:r w:rsidRPr="00C41C35">
        <w:rPr>
          <w:rFonts w:eastAsia="MS Mincho"/>
        </w:rPr>
        <w:t xml:space="preserve"> pour disperser les militants qui étaient en réunion à l</w:t>
      </w:r>
      <w:r>
        <w:rPr>
          <w:rFonts w:eastAsia="MS Mincho"/>
        </w:rPr>
        <w:t>’</w:t>
      </w:r>
      <w:r w:rsidRPr="00C41C35">
        <w:rPr>
          <w:rFonts w:eastAsia="MS Mincho"/>
        </w:rPr>
        <w:t>intérieur du bâtiment. Deux agents de police qui avaient réussi à s</w:t>
      </w:r>
      <w:r>
        <w:rPr>
          <w:rFonts w:eastAsia="MS Mincho"/>
        </w:rPr>
        <w:t>’</w:t>
      </w:r>
      <w:r w:rsidRPr="00C41C35">
        <w:rPr>
          <w:rFonts w:eastAsia="MS Mincho"/>
        </w:rPr>
        <w:t xml:space="preserve">infiltrer dans ces locaux sans mandat </w:t>
      </w:r>
      <w:r>
        <w:rPr>
          <w:rFonts w:eastAsia="MS Mincho"/>
        </w:rPr>
        <w:t>avaient</w:t>
      </w:r>
      <w:r w:rsidRPr="00C41C35">
        <w:rPr>
          <w:rFonts w:eastAsia="MS Mincho"/>
        </w:rPr>
        <w:t xml:space="preserve"> été désarmés </w:t>
      </w:r>
      <w:r>
        <w:rPr>
          <w:rFonts w:eastAsia="MS Mincho"/>
        </w:rPr>
        <w:t xml:space="preserve">et neutralisés </w:t>
      </w:r>
      <w:r w:rsidRPr="00C41C35">
        <w:rPr>
          <w:rFonts w:eastAsia="MS Mincho"/>
        </w:rPr>
        <w:t>par les militants. La police a</w:t>
      </w:r>
      <w:r>
        <w:rPr>
          <w:rFonts w:eastAsia="MS Mincho"/>
        </w:rPr>
        <w:t>vait</w:t>
      </w:r>
      <w:r w:rsidRPr="00C41C35">
        <w:rPr>
          <w:rFonts w:eastAsia="MS Mincho"/>
        </w:rPr>
        <w:t xml:space="preserve"> </w:t>
      </w:r>
      <w:r>
        <w:rPr>
          <w:rFonts w:eastAsia="MS Mincho"/>
        </w:rPr>
        <w:t>encerclé</w:t>
      </w:r>
      <w:r w:rsidRPr="00C41C35">
        <w:rPr>
          <w:rFonts w:eastAsia="MS Mincho"/>
        </w:rPr>
        <w:t xml:space="preserve"> les lieux avant de pénétrer de force dans le bâtiment en faisant usage de gaz lacrymogène et de balles réelles. C</w:t>
      </w:r>
      <w:r>
        <w:rPr>
          <w:rFonts w:eastAsia="MS Mincho"/>
        </w:rPr>
        <w:t>’</w:t>
      </w:r>
      <w:r w:rsidRPr="00C41C35">
        <w:rPr>
          <w:rFonts w:eastAsia="MS Mincho"/>
        </w:rPr>
        <w:t xml:space="preserve">est au cours de cet assaut que le requérant a été grièvement blessé </w:t>
      </w:r>
      <w:r>
        <w:rPr>
          <w:rFonts w:eastAsia="MS Mincho"/>
        </w:rPr>
        <w:t>au niveau du bras droit, par une balle tirée par la police</w:t>
      </w:r>
      <w:r w:rsidRPr="00C41C35">
        <w:rPr>
          <w:rFonts w:eastAsia="MS Mincho"/>
        </w:rPr>
        <w:t>. D</w:t>
      </w:r>
      <w:r>
        <w:rPr>
          <w:rFonts w:eastAsia="MS Mincho"/>
        </w:rPr>
        <w:t>’</w:t>
      </w:r>
      <w:r w:rsidRPr="00C41C35">
        <w:rPr>
          <w:rFonts w:eastAsia="MS Mincho"/>
        </w:rPr>
        <w:t xml:space="preserve">autres membres du parti ont été également blessés </w:t>
      </w:r>
      <w:r>
        <w:rPr>
          <w:rFonts w:eastAsia="MS Mincho"/>
        </w:rPr>
        <w:t xml:space="preserve">au cours </w:t>
      </w:r>
      <w:r w:rsidRPr="00C41C35">
        <w:rPr>
          <w:rFonts w:eastAsia="MS Mincho"/>
        </w:rPr>
        <w:t>de l</w:t>
      </w:r>
      <w:r>
        <w:rPr>
          <w:rFonts w:eastAsia="MS Mincho"/>
        </w:rPr>
        <w:t>’</w:t>
      </w:r>
      <w:r w:rsidRPr="00C41C35">
        <w:rPr>
          <w:rFonts w:eastAsia="MS Mincho"/>
        </w:rPr>
        <w:t>opération. La police a refusé l</w:t>
      </w:r>
      <w:r>
        <w:rPr>
          <w:rFonts w:eastAsia="MS Mincho"/>
        </w:rPr>
        <w:t>’accès au personnel de la Croix-R</w:t>
      </w:r>
      <w:r w:rsidRPr="00C41C35">
        <w:rPr>
          <w:rFonts w:eastAsia="MS Mincho"/>
        </w:rPr>
        <w:t>ouge</w:t>
      </w:r>
      <w:r>
        <w:rPr>
          <w:rFonts w:eastAsia="MS Mincho"/>
        </w:rPr>
        <w:t xml:space="preserve"> du Burundi</w:t>
      </w:r>
      <w:r w:rsidRPr="00C41C35">
        <w:rPr>
          <w:rFonts w:eastAsia="MS Mincho"/>
        </w:rPr>
        <w:t xml:space="preserve"> qui </w:t>
      </w:r>
      <w:r>
        <w:rPr>
          <w:rFonts w:eastAsia="MS Mincho"/>
        </w:rPr>
        <w:t>voulait</w:t>
      </w:r>
      <w:r w:rsidRPr="00C41C35">
        <w:rPr>
          <w:rFonts w:eastAsia="MS Mincho"/>
        </w:rPr>
        <w:t xml:space="preserve"> secourir les victimes.</w:t>
      </w:r>
    </w:p>
    <w:p w14:paraId="38348DF2" w14:textId="26B0A321" w:rsidR="001E0125" w:rsidRPr="00C41C35" w:rsidRDefault="001E0125" w:rsidP="001E0125">
      <w:pPr>
        <w:spacing w:after="120"/>
        <w:ind w:left="1134" w:right="1134"/>
        <w:jc w:val="both"/>
        <w:rPr>
          <w:rFonts w:eastAsia="MS Mincho"/>
        </w:rPr>
      </w:pPr>
      <w:r>
        <w:rPr>
          <w:rFonts w:eastAsia="MS Mincho"/>
        </w:rPr>
        <w:t>2.2</w:t>
      </w:r>
      <w:r>
        <w:rPr>
          <w:rFonts w:eastAsia="MS Mincho"/>
        </w:rPr>
        <w:tab/>
      </w:r>
      <w:r w:rsidRPr="00C41C35">
        <w:rPr>
          <w:rFonts w:eastAsia="MS Mincho"/>
        </w:rPr>
        <w:t xml:space="preserve">Lors de son arrestation, </w:t>
      </w:r>
      <w:r>
        <w:rPr>
          <w:rFonts w:eastAsia="MS Mincho"/>
        </w:rPr>
        <w:t xml:space="preserve">et </w:t>
      </w:r>
      <w:r w:rsidRPr="00C41C35">
        <w:rPr>
          <w:rFonts w:eastAsia="MS Mincho"/>
        </w:rPr>
        <w:t xml:space="preserve">malgré son état de santé visiblement critique, les agents de police ont violemment </w:t>
      </w:r>
      <w:r>
        <w:rPr>
          <w:rFonts w:eastAsia="MS Mincho"/>
        </w:rPr>
        <w:t>frappé le requérant</w:t>
      </w:r>
      <w:r w:rsidRPr="00C41C35">
        <w:rPr>
          <w:rFonts w:eastAsia="MS Mincho"/>
        </w:rPr>
        <w:t>, lui infligeant de nombreux coups de crosse de fusil, de bottes et de matraque pendant environ un quart d</w:t>
      </w:r>
      <w:r>
        <w:rPr>
          <w:rFonts w:eastAsia="MS Mincho"/>
        </w:rPr>
        <w:t>’</w:t>
      </w:r>
      <w:r w:rsidRPr="00C41C35">
        <w:rPr>
          <w:rFonts w:eastAsia="MS Mincho"/>
        </w:rPr>
        <w:t xml:space="preserve">heure. Le requérant a été frappé </w:t>
      </w:r>
      <w:r>
        <w:rPr>
          <w:rFonts w:eastAsia="MS Mincho"/>
        </w:rPr>
        <w:t>sur</w:t>
      </w:r>
      <w:r w:rsidRPr="00C41C35">
        <w:rPr>
          <w:rFonts w:eastAsia="MS Mincho"/>
        </w:rPr>
        <w:t xml:space="preserve"> toutes les parties </w:t>
      </w:r>
      <w:r>
        <w:rPr>
          <w:rFonts w:eastAsia="MS Mincho"/>
        </w:rPr>
        <w:t>du</w:t>
      </w:r>
      <w:r w:rsidRPr="00C41C35">
        <w:rPr>
          <w:rFonts w:eastAsia="MS Mincho"/>
        </w:rPr>
        <w:t xml:space="preserve"> corps, </w:t>
      </w:r>
      <w:r>
        <w:rPr>
          <w:rFonts w:eastAsia="MS Mincho"/>
        </w:rPr>
        <w:t>notamment aux</w:t>
      </w:r>
      <w:r w:rsidRPr="00C41C35">
        <w:rPr>
          <w:rFonts w:eastAsia="MS Mincho"/>
        </w:rPr>
        <w:t xml:space="preserve"> jambes, </w:t>
      </w:r>
      <w:r>
        <w:rPr>
          <w:rFonts w:eastAsia="MS Mincho"/>
        </w:rPr>
        <w:t xml:space="preserve">à </w:t>
      </w:r>
      <w:r w:rsidRPr="00C41C35">
        <w:rPr>
          <w:rFonts w:eastAsia="MS Mincho"/>
        </w:rPr>
        <w:t xml:space="preserve">la tête </w:t>
      </w:r>
      <w:r>
        <w:rPr>
          <w:rFonts w:eastAsia="MS Mincho"/>
        </w:rPr>
        <w:t>et au</w:t>
      </w:r>
      <w:r w:rsidRPr="00C41C35">
        <w:rPr>
          <w:rFonts w:eastAsia="MS Mincho"/>
        </w:rPr>
        <w:t xml:space="preserve"> dos. </w:t>
      </w:r>
      <w:r>
        <w:rPr>
          <w:rFonts w:eastAsia="MS Mincho"/>
        </w:rPr>
        <w:t xml:space="preserve">Alors qu’il était </w:t>
      </w:r>
      <w:r w:rsidRPr="00C41C35">
        <w:rPr>
          <w:rFonts w:eastAsia="MS Mincho"/>
        </w:rPr>
        <w:t>incapable de se tenir d</w:t>
      </w:r>
      <w:r>
        <w:rPr>
          <w:rFonts w:eastAsia="MS Mincho"/>
        </w:rPr>
        <w:t>e</w:t>
      </w:r>
      <w:r w:rsidRPr="00C41C35">
        <w:rPr>
          <w:rFonts w:eastAsia="MS Mincho"/>
        </w:rPr>
        <w:t>bout, il a été jeté à l</w:t>
      </w:r>
      <w:r>
        <w:rPr>
          <w:rFonts w:eastAsia="MS Mincho"/>
        </w:rPr>
        <w:t>’</w:t>
      </w:r>
      <w:r w:rsidRPr="00C41C35">
        <w:rPr>
          <w:rFonts w:eastAsia="MS Mincho"/>
        </w:rPr>
        <w:t>arrière d</w:t>
      </w:r>
      <w:r>
        <w:rPr>
          <w:rFonts w:eastAsia="MS Mincho"/>
        </w:rPr>
        <w:t>’</w:t>
      </w:r>
      <w:r w:rsidRPr="00C41C35">
        <w:rPr>
          <w:rFonts w:eastAsia="MS Mincho"/>
        </w:rPr>
        <w:t>une camionnette de la police. Les policiers ainsi que les agents du Service national de renseignement</w:t>
      </w:r>
      <w:r>
        <w:rPr>
          <w:rFonts w:eastAsia="MS Mincho"/>
        </w:rPr>
        <w:t>s</w:t>
      </w:r>
      <w:r w:rsidRPr="00C41C35">
        <w:rPr>
          <w:rFonts w:eastAsia="MS Mincho"/>
        </w:rPr>
        <w:t xml:space="preserve"> l</w:t>
      </w:r>
      <w:r>
        <w:rPr>
          <w:rFonts w:eastAsia="MS Mincho"/>
        </w:rPr>
        <w:t>’</w:t>
      </w:r>
      <w:r w:rsidRPr="00C41C35">
        <w:rPr>
          <w:rFonts w:eastAsia="MS Mincho"/>
        </w:rPr>
        <w:t>ont insulté</w:t>
      </w:r>
      <w:r>
        <w:rPr>
          <w:rFonts w:eastAsia="MS Mincho"/>
        </w:rPr>
        <w:t xml:space="preserve"> et</w:t>
      </w:r>
      <w:r w:rsidRPr="00C41C35">
        <w:rPr>
          <w:rFonts w:eastAsia="MS Mincho"/>
        </w:rPr>
        <w:t xml:space="preserve"> l</w:t>
      </w:r>
      <w:r>
        <w:rPr>
          <w:rFonts w:eastAsia="MS Mincho"/>
        </w:rPr>
        <w:t>’</w:t>
      </w:r>
      <w:r w:rsidRPr="00C41C35">
        <w:rPr>
          <w:rFonts w:eastAsia="MS Mincho"/>
        </w:rPr>
        <w:t>ont menacé de mort.</w:t>
      </w:r>
    </w:p>
    <w:p w14:paraId="53363E7A" w14:textId="7AFE45AD" w:rsidR="001E0125" w:rsidRPr="00C41C35" w:rsidRDefault="001E0125" w:rsidP="001E0125">
      <w:pPr>
        <w:spacing w:after="120"/>
        <w:ind w:left="1134" w:right="1134"/>
        <w:jc w:val="both"/>
        <w:rPr>
          <w:rFonts w:eastAsia="MS Mincho"/>
        </w:rPr>
      </w:pPr>
      <w:r>
        <w:rPr>
          <w:rFonts w:eastAsia="MS Mincho"/>
        </w:rPr>
        <w:t>2.3</w:t>
      </w:r>
      <w:r>
        <w:rPr>
          <w:rFonts w:eastAsia="MS Mincho"/>
        </w:rPr>
        <w:tab/>
      </w:r>
      <w:r w:rsidRPr="00C41C35">
        <w:rPr>
          <w:rFonts w:eastAsia="MS Mincho"/>
        </w:rPr>
        <w:t xml:space="preserve">En dépit de son état de santé </w:t>
      </w:r>
      <w:r>
        <w:rPr>
          <w:rFonts w:eastAsia="MS Mincho"/>
        </w:rPr>
        <w:t>dû notamment à la</w:t>
      </w:r>
      <w:r w:rsidRPr="00C41C35">
        <w:rPr>
          <w:rFonts w:eastAsia="MS Mincho"/>
        </w:rPr>
        <w:t xml:space="preserve"> blessure par balle qu</w:t>
      </w:r>
      <w:r>
        <w:rPr>
          <w:rFonts w:eastAsia="MS Mincho"/>
        </w:rPr>
        <w:t>’</w:t>
      </w:r>
      <w:r w:rsidRPr="00C41C35">
        <w:rPr>
          <w:rFonts w:eastAsia="MS Mincho"/>
        </w:rPr>
        <w:t>il avait reçu</w:t>
      </w:r>
      <w:r>
        <w:rPr>
          <w:rFonts w:eastAsia="MS Mincho"/>
        </w:rPr>
        <w:t>e</w:t>
      </w:r>
      <w:r w:rsidRPr="00C41C35">
        <w:rPr>
          <w:rFonts w:eastAsia="MS Mincho"/>
        </w:rPr>
        <w:t xml:space="preserve"> </w:t>
      </w:r>
      <w:r>
        <w:rPr>
          <w:rFonts w:eastAsia="MS Mincho"/>
        </w:rPr>
        <w:t>la veille</w:t>
      </w:r>
      <w:r w:rsidRPr="00C41C35">
        <w:rPr>
          <w:rFonts w:eastAsia="MS Mincho"/>
        </w:rPr>
        <w:t>, le requérant n</w:t>
      </w:r>
      <w:r>
        <w:rPr>
          <w:rFonts w:eastAsia="MS Mincho"/>
        </w:rPr>
        <w:t>’</w:t>
      </w:r>
      <w:r w:rsidRPr="00C41C35">
        <w:rPr>
          <w:rFonts w:eastAsia="MS Mincho"/>
        </w:rPr>
        <w:t>a pas été transporté immédiatement à l</w:t>
      </w:r>
      <w:r>
        <w:rPr>
          <w:rFonts w:eastAsia="MS Mincho"/>
        </w:rPr>
        <w:t>’</w:t>
      </w:r>
      <w:r w:rsidRPr="00C41C35">
        <w:rPr>
          <w:rFonts w:eastAsia="MS Mincho"/>
        </w:rPr>
        <w:t xml:space="preserve">hôpital. </w:t>
      </w:r>
      <w:r>
        <w:rPr>
          <w:rFonts w:eastAsia="MS Mincho"/>
        </w:rPr>
        <w:t>Il</w:t>
      </w:r>
      <w:r w:rsidRPr="00C41C35">
        <w:rPr>
          <w:rFonts w:eastAsia="MS Mincho"/>
        </w:rPr>
        <w:t xml:space="preserve"> a passé environ </w:t>
      </w:r>
      <w:r>
        <w:rPr>
          <w:rFonts w:eastAsia="MS Mincho"/>
        </w:rPr>
        <w:t xml:space="preserve">quatre </w:t>
      </w:r>
      <w:r w:rsidRPr="00C41C35">
        <w:rPr>
          <w:rFonts w:eastAsia="MS Mincho"/>
        </w:rPr>
        <w:t>heures à l</w:t>
      </w:r>
      <w:r>
        <w:rPr>
          <w:rFonts w:eastAsia="MS Mincho"/>
        </w:rPr>
        <w:t>’</w:t>
      </w:r>
      <w:r w:rsidRPr="00C41C35">
        <w:rPr>
          <w:rFonts w:eastAsia="MS Mincho"/>
        </w:rPr>
        <w:t>arrière du véhicule de la police avant d</w:t>
      </w:r>
      <w:r>
        <w:rPr>
          <w:rFonts w:eastAsia="MS Mincho"/>
        </w:rPr>
        <w:t>’</w:t>
      </w:r>
      <w:r w:rsidRPr="00C41C35">
        <w:rPr>
          <w:rFonts w:eastAsia="MS Mincho"/>
        </w:rPr>
        <w:t xml:space="preserve">être transporté à la </w:t>
      </w:r>
      <w:r>
        <w:rPr>
          <w:rFonts w:eastAsia="MS Mincho"/>
        </w:rPr>
        <w:t>c</w:t>
      </w:r>
      <w:r w:rsidRPr="00C41C35">
        <w:rPr>
          <w:rFonts w:eastAsia="MS Mincho"/>
        </w:rPr>
        <w:t>linique Prince</w:t>
      </w:r>
      <w:r>
        <w:rPr>
          <w:rFonts w:eastAsia="MS Mincho"/>
        </w:rPr>
        <w:t>-</w:t>
      </w:r>
      <w:r w:rsidRPr="00C41C35">
        <w:rPr>
          <w:rFonts w:eastAsia="MS Mincho"/>
        </w:rPr>
        <w:t>Louis</w:t>
      </w:r>
      <w:r>
        <w:rPr>
          <w:rFonts w:eastAsia="MS Mincho"/>
        </w:rPr>
        <w:t>-</w:t>
      </w:r>
      <w:r w:rsidRPr="00C41C35">
        <w:rPr>
          <w:rFonts w:eastAsia="MS Mincho"/>
        </w:rPr>
        <w:t>Rwagasore pour y recevoir les premiers soins. Quelques minutes après son arrivée à l</w:t>
      </w:r>
      <w:r>
        <w:rPr>
          <w:rFonts w:eastAsia="MS Mincho"/>
        </w:rPr>
        <w:t>’</w:t>
      </w:r>
      <w:r w:rsidRPr="00C41C35">
        <w:rPr>
          <w:rFonts w:eastAsia="MS Mincho"/>
        </w:rPr>
        <w:t>hôpital, des agents du S</w:t>
      </w:r>
      <w:r>
        <w:rPr>
          <w:rFonts w:eastAsia="MS Mincho"/>
        </w:rPr>
        <w:t>ervice national de renseignements</w:t>
      </w:r>
      <w:r w:rsidRPr="00C41C35">
        <w:rPr>
          <w:rFonts w:eastAsia="MS Mincho"/>
        </w:rPr>
        <w:t xml:space="preserve"> ont fait irruption </w:t>
      </w:r>
      <w:r>
        <w:rPr>
          <w:rFonts w:eastAsia="MS Mincho"/>
        </w:rPr>
        <w:t xml:space="preserve">dans l’espace de soins </w:t>
      </w:r>
      <w:r w:rsidRPr="00C41C35">
        <w:rPr>
          <w:rFonts w:eastAsia="MS Mincho"/>
        </w:rPr>
        <w:t xml:space="preserve">et ont cherché à </w:t>
      </w:r>
      <w:r>
        <w:rPr>
          <w:rFonts w:eastAsia="MS Mincho"/>
        </w:rPr>
        <w:t>procéder à son enlèvement</w:t>
      </w:r>
      <w:r w:rsidRPr="00C41C35">
        <w:rPr>
          <w:rFonts w:eastAsia="MS Mincho"/>
        </w:rPr>
        <w:t>.</w:t>
      </w:r>
      <w:r>
        <w:rPr>
          <w:rFonts w:eastAsia="MS Mincho"/>
        </w:rPr>
        <w:t xml:space="preserve"> </w:t>
      </w:r>
      <w:r w:rsidRPr="009942E1">
        <w:rPr>
          <w:rFonts w:eastAsia="MS Mincho"/>
        </w:rPr>
        <w:t>Le</w:t>
      </w:r>
      <w:r w:rsidRPr="00C41C35">
        <w:rPr>
          <w:rFonts w:eastAsia="MS Mincho"/>
        </w:rPr>
        <w:t xml:space="preserve"> 14</w:t>
      </w:r>
      <w:r>
        <w:rPr>
          <w:rFonts w:eastAsia="MS Mincho"/>
        </w:rPr>
        <w:t> </w:t>
      </w:r>
      <w:r w:rsidRPr="00C41C35">
        <w:rPr>
          <w:rFonts w:eastAsia="MS Mincho"/>
        </w:rPr>
        <w:t xml:space="preserve">mars 2014, </w:t>
      </w:r>
      <w:r>
        <w:rPr>
          <w:rFonts w:eastAsia="MS Mincho"/>
        </w:rPr>
        <w:t>le requérant</w:t>
      </w:r>
      <w:r w:rsidRPr="00C41C35">
        <w:rPr>
          <w:rFonts w:eastAsia="MS Mincho"/>
        </w:rPr>
        <w:t xml:space="preserve"> a porté plainte devant le Procureur </w:t>
      </w:r>
      <w:r>
        <w:rPr>
          <w:rFonts w:eastAsia="MS Mincho"/>
        </w:rPr>
        <w:t>g</w:t>
      </w:r>
      <w:r w:rsidRPr="00C41C35">
        <w:rPr>
          <w:rFonts w:eastAsia="MS Mincho"/>
        </w:rPr>
        <w:t xml:space="preserve">énéral de la République pour les violations subies. </w:t>
      </w:r>
      <w:r>
        <w:rPr>
          <w:rFonts w:eastAsia="MS Mincho"/>
        </w:rPr>
        <w:t>Cette plainte reste sans suite.</w:t>
      </w:r>
    </w:p>
    <w:p w14:paraId="6307A5AF" w14:textId="52411F39" w:rsidR="001E0125" w:rsidRPr="00C41C35" w:rsidRDefault="001E0125" w:rsidP="001E0125">
      <w:pPr>
        <w:spacing w:after="120"/>
        <w:ind w:left="1134" w:right="1134"/>
        <w:jc w:val="both"/>
        <w:rPr>
          <w:rFonts w:eastAsia="MS Mincho"/>
        </w:rPr>
      </w:pPr>
      <w:r>
        <w:rPr>
          <w:rFonts w:eastAsia="MS Mincho"/>
        </w:rPr>
        <w:t>2.4</w:t>
      </w:r>
      <w:r>
        <w:rPr>
          <w:rFonts w:eastAsia="MS Mincho"/>
        </w:rPr>
        <w:tab/>
      </w:r>
      <w:r w:rsidRPr="00C41C35">
        <w:rPr>
          <w:rFonts w:eastAsia="MS Mincho"/>
        </w:rPr>
        <w:t>Le 27</w:t>
      </w:r>
      <w:r>
        <w:rPr>
          <w:rFonts w:eastAsia="MS Mincho"/>
        </w:rPr>
        <w:t> </w:t>
      </w:r>
      <w:r w:rsidRPr="00C41C35">
        <w:rPr>
          <w:rFonts w:eastAsia="MS Mincho"/>
        </w:rPr>
        <w:t xml:space="preserve">mai 2014, malgré les avis médicaux </w:t>
      </w:r>
      <w:r>
        <w:rPr>
          <w:rFonts w:eastAsia="MS Mincho"/>
        </w:rPr>
        <w:t>préconisant</w:t>
      </w:r>
      <w:r w:rsidRPr="00C41C35">
        <w:rPr>
          <w:rFonts w:eastAsia="MS Mincho"/>
        </w:rPr>
        <w:t xml:space="preserve"> de</w:t>
      </w:r>
      <w:r>
        <w:rPr>
          <w:rFonts w:eastAsia="MS Mincho"/>
        </w:rPr>
        <w:t>s</w:t>
      </w:r>
      <w:r w:rsidRPr="00C41C35">
        <w:rPr>
          <w:rFonts w:eastAsia="MS Mincho"/>
        </w:rPr>
        <w:t xml:space="preserve"> soins plus poussés</w:t>
      </w:r>
      <w:r>
        <w:rPr>
          <w:rFonts w:eastAsia="MS Mincho"/>
        </w:rPr>
        <w:t xml:space="preserve"> en faveur du requérant</w:t>
      </w:r>
      <w:r w:rsidRPr="00C41C35">
        <w:rPr>
          <w:rFonts w:eastAsia="MS Mincho"/>
        </w:rPr>
        <w:t xml:space="preserve">, </w:t>
      </w:r>
      <w:r>
        <w:rPr>
          <w:rFonts w:eastAsia="MS Mincho"/>
        </w:rPr>
        <w:t>ce dernier</w:t>
      </w:r>
      <w:r w:rsidRPr="00C41C35">
        <w:rPr>
          <w:rFonts w:eastAsia="MS Mincho"/>
        </w:rPr>
        <w:t xml:space="preserve"> a été arrêté</w:t>
      </w:r>
      <w:r>
        <w:rPr>
          <w:rFonts w:eastAsia="MS Mincho"/>
        </w:rPr>
        <w:t xml:space="preserve"> de force </w:t>
      </w:r>
      <w:r w:rsidRPr="00C41C35">
        <w:rPr>
          <w:rFonts w:eastAsia="MS Mincho"/>
        </w:rPr>
        <w:t>sur mandat d</w:t>
      </w:r>
      <w:r>
        <w:rPr>
          <w:rFonts w:eastAsia="MS Mincho"/>
        </w:rPr>
        <w:t>’</w:t>
      </w:r>
      <w:r w:rsidRPr="00C41C35">
        <w:rPr>
          <w:rFonts w:eastAsia="MS Mincho"/>
        </w:rPr>
        <w:t>arrêt du Parquet de Bujumbura et conduit à la prison centrale de Mpimba</w:t>
      </w:r>
      <w:r>
        <w:rPr>
          <w:rFonts w:eastAsia="MS Mincho"/>
        </w:rPr>
        <w:t>, où subsistent</w:t>
      </w:r>
      <w:r w:rsidRPr="00C41C35">
        <w:rPr>
          <w:rFonts w:eastAsia="MS Mincho"/>
        </w:rPr>
        <w:t xml:space="preserve"> des conditions inhumaines et dégradantes. Le lendemain, soit le 28</w:t>
      </w:r>
      <w:r>
        <w:rPr>
          <w:rFonts w:eastAsia="MS Mincho"/>
        </w:rPr>
        <w:t> </w:t>
      </w:r>
      <w:r w:rsidRPr="00C41C35">
        <w:rPr>
          <w:rFonts w:eastAsia="MS Mincho"/>
        </w:rPr>
        <w:t xml:space="preserve">mai 2014, grâce </w:t>
      </w:r>
      <w:r>
        <w:rPr>
          <w:rFonts w:eastAsia="MS Mincho"/>
        </w:rPr>
        <w:t>aux</w:t>
      </w:r>
      <w:r w:rsidRPr="00C41C35">
        <w:rPr>
          <w:rFonts w:eastAsia="MS Mincho"/>
        </w:rPr>
        <w:t xml:space="preserve"> pression</w:t>
      </w:r>
      <w:r>
        <w:rPr>
          <w:rFonts w:eastAsia="MS Mincho"/>
        </w:rPr>
        <w:t>s</w:t>
      </w:r>
      <w:r w:rsidRPr="00C41C35">
        <w:rPr>
          <w:rFonts w:eastAsia="MS Mincho"/>
        </w:rPr>
        <w:t xml:space="preserve"> </w:t>
      </w:r>
      <w:r>
        <w:rPr>
          <w:rFonts w:eastAsia="MS Mincho"/>
        </w:rPr>
        <w:t>exercées par</w:t>
      </w:r>
      <w:r w:rsidRPr="00C41C35">
        <w:rPr>
          <w:rFonts w:eastAsia="MS Mincho"/>
        </w:rPr>
        <w:t xml:space="preserve"> plusieurs organisations de la société civile, </w:t>
      </w:r>
      <w:r>
        <w:rPr>
          <w:rFonts w:eastAsia="MS Mincho"/>
        </w:rPr>
        <w:t>le requérant</w:t>
      </w:r>
      <w:r w:rsidRPr="00C41C35">
        <w:rPr>
          <w:rFonts w:eastAsia="MS Mincho"/>
        </w:rPr>
        <w:t xml:space="preserve"> a été </w:t>
      </w:r>
      <w:r>
        <w:rPr>
          <w:rFonts w:eastAsia="MS Mincho"/>
        </w:rPr>
        <w:t>conduit</w:t>
      </w:r>
      <w:r w:rsidRPr="00C41C35">
        <w:rPr>
          <w:rFonts w:eastAsia="MS Mincho"/>
        </w:rPr>
        <w:t xml:space="preserve"> à l</w:t>
      </w:r>
      <w:r>
        <w:rPr>
          <w:rFonts w:eastAsia="MS Mincho"/>
        </w:rPr>
        <w:t>’</w:t>
      </w:r>
      <w:r w:rsidRPr="00C41C35">
        <w:rPr>
          <w:rFonts w:eastAsia="MS Mincho"/>
        </w:rPr>
        <w:t>hôpital Prince</w:t>
      </w:r>
      <w:r>
        <w:rPr>
          <w:rFonts w:eastAsia="MS Mincho"/>
        </w:rPr>
        <w:t>-</w:t>
      </w:r>
      <w:r w:rsidRPr="00C41C35">
        <w:rPr>
          <w:rFonts w:eastAsia="MS Mincho"/>
        </w:rPr>
        <w:t>Régent</w:t>
      </w:r>
      <w:r>
        <w:rPr>
          <w:rFonts w:eastAsia="MS Mincho"/>
        </w:rPr>
        <w:t>-</w:t>
      </w:r>
      <w:r w:rsidRPr="00C41C35">
        <w:rPr>
          <w:rFonts w:eastAsia="MS Mincho"/>
        </w:rPr>
        <w:t xml:space="preserve">Charles, où il a passé </w:t>
      </w:r>
      <w:r>
        <w:rPr>
          <w:rFonts w:eastAsia="MS Mincho"/>
        </w:rPr>
        <w:t>dix</w:t>
      </w:r>
      <w:r w:rsidRPr="00C41C35">
        <w:rPr>
          <w:rFonts w:eastAsia="MS Mincho"/>
        </w:rPr>
        <w:t xml:space="preserve"> jours avant d</w:t>
      </w:r>
      <w:r>
        <w:rPr>
          <w:rFonts w:eastAsia="MS Mincho"/>
        </w:rPr>
        <w:t>’</w:t>
      </w:r>
      <w:r w:rsidRPr="00C41C35">
        <w:rPr>
          <w:rFonts w:eastAsia="MS Mincho"/>
        </w:rPr>
        <w:t>être reconduit à la prison centrale de Mpimba. Ce n</w:t>
      </w:r>
      <w:r>
        <w:rPr>
          <w:rFonts w:eastAsia="MS Mincho"/>
        </w:rPr>
        <w:t>’</w:t>
      </w:r>
      <w:r w:rsidRPr="00C41C35">
        <w:rPr>
          <w:rFonts w:eastAsia="MS Mincho"/>
        </w:rPr>
        <w:t>est que le 7</w:t>
      </w:r>
      <w:r>
        <w:rPr>
          <w:rFonts w:eastAsia="MS Mincho"/>
        </w:rPr>
        <w:t> </w:t>
      </w:r>
      <w:r w:rsidRPr="00C41C35">
        <w:rPr>
          <w:rFonts w:eastAsia="MS Mincho"/>
        </w:rPr>
        <w:t xml:space="preserve">octobre 2014 </w:t>
      </w:r>
      <w:r>
        <w:rPr>
          <w:rFonts w:eastAsia="MS Mincho"/>
        </w:rPr>
        <w:t>qu’il</w:t>
      </w:r>
      <w:r w:rsidRPr="00C41C35">
        <w:rPr>
          <w:rFonts w:eastAsia="MS Mincho"/>
        </w:rPr>
        <w:t xml:space="preserve"> a pu se faire </w:t>
      </w:r>
      <w:r>
        <w:rPr>
          <w:rFonts w:eastAsia="MS Mincho"/>
        </w:rPr>
        <w:t>examiner à nouveau</w:t>
      </w:r>
      <w:r w:rsidRPr="00C41C35">
        <w:rPr>
          <w:rFonts w:eastAsia="MS Mincho"/>
        </w:rPr>
        <w:t xml:space="preserve"> à l</w:t>
      </w:r>
      <w:r>
        <w:rPr>
          <w:rFonts w:eastAsia="MS Mincho"/>
        </w:rPr>
        <w:t>’</w:t>
      </w:r>
      <w:r w:rsidRPr="00C41C35">
        <w:rPr>
          <w:rFonts w:eastAsia="MS Mincho"/>
        </w:rPr>
        <w:t>hôpital Prince</w:t>
      </w:r>
      <w:r>
        <w:rPr>
          <w:rFonts w:eastAsia="MS Mincho"/>
        </w:rPr>
        <w:t>-</w:t>
      </w:r>
      <w:r w:rsidRPr="00C41C35">
        <w:rPr>
          <w:rFonts w:eastAsia="MS Mincho"/>
        </w:rPr>
        <w:t>Régent</w:t>
      </w:r>
      <w:r>
        <w:rPr>
          <w:rFonts w:eastAsia="MS Mincho"/>
        </w:rPr>
        <w:t>-</w:t>
      </w:r>
      <w:r w:rsidRPr="00C41C35">
        <w:rPr>
          <w:rFonts w:eastAsia="MS Mincho"/>
        </w:rPr>
        <w:t xml:space="preserve">Charles. </w:t>
      </w:r>
      <w:r>
        <w:rPr>
          <w:rFonts w:eastAsia="MS Mincho"/>
        </w:rPr>
        <w:t>Devant</w:t>
      </w:r>
      <w:r w:rsidRPr="00C41C35">
        <w:rPr>
          <w:rFonts w:eastAsia="MS Mincho"/>
        </w:rPr>
        <w:t xml:space="preserve"> la dégradation de son état de santé, notamment de son bras droit</w:t>
      </w:r>
      <w:r>
        <w:rPr>
          <w:rFonts w:eastAsia="MS Mincho"/>
        </w:rPr>
        <w:t>,</w:t>
      </w:r>
      <w:r w:rsidRPr="00C41C35">
        <w:rPr>
          <w:rFonts w:eastAsia="MS Mincho"/>
        </w:rPr>
        <w:t xml:space="preserve"> qui était </w:t>
      </w:r>
      <w:r>
        <w:rPr>
          <w:rFonts w:eastAsia="MS Mincho"/>
        </w:rPr>
        <w:t xml:space="preserve">presque </w:t>
      </w:r>
      <w:r w:rsidRPr="00C41C35">
        <w:rPr>
          <w:rFonts w:eastAsia="MS Mincho"/>
        </w:rPr>
        <w:t>paralysé en raison d</w:t>
      </w:r>
      <w:r>
        <w:rPr>
          <w:rFonts w:eastAsia="MS Mincho"/>
        </w:rPr>
        <w:t>’</w:t>
      </w:r>
      <w:r w:rsidRPr="00C41C35">
        <w:rPr>
          <w:rFonts w:eastAsia="MS Mincho"/>
        </w:rPr>
        <w:t xml:space="preserve">infections dues aux pansements non renouvelés, le médecin traitant lui a prescrit trois séances </w:t>
      </w:r>
      <w:r>
        <w:rPr>
          <w:rFonts w:eastAsia="MS Mincho"/>
        </w:rPr>
        <w:t xml:space="preserve">de kinésithérapie par semaine. </w:t>
      </w:r>
      <w:r w:rsidRPr="00C41C35">
        <w:rPr>
          <w:rFonts w:eastAsia="MS Mincho"/>
        </w:rPr>
        <w:t xml:space="preserve">Toutefois, la </w:t>
      </w:r>
      <w:r>
        <w:rPr>
          <w:rFonts w:eastAsia="MS Mincho"/>
        </w:rPr>
        <w:t>d</w:t>
      </w:r>
      <w:r w:rsidRPr="00C41C35">
        <w:rPr>
          <w:rFonts w:eastAsia="MS Mincho"/>
        </w:rPr>
        <w:t xml:space="preserve">irection de la </w:t>
      </w:r>
      <w:r>
        <w:rPr>
          <w:rFonts w:eastAsia="MS Mincho"/>
        </w:rPr>
        <w:t>p</w:t>
      </w:r>
      <w:r w:rsidRPr="00C41C35">
        <w:rPr>
          <w:rFonts w:eastAsia="MS Mincho"/>
        </w:rPr>
        <w:t>rison ne l</w:t>
      </w:r>
      <w:r>
        <w:rPr>
          <w:rFonts w:eastAsia="MS Mincho"/>
        </w:rPr>
        <w:t>’</w:t>
      </w:r>
      <w:r w:rsidRPr="00C41C35">
        <w:rPr>
          <w:rFonts w:eastAsia="MS Mincho"/>
        </w:rPr>
        <w:t>a pas autorisé à bénéficier de ces soins.</w:t>
      </w:r>
    </w:p>
    <w:p w14:paraId="376C22D6" w14:textId="53E29E1D" w:rsidR="001E0125" w:rsidRPr="00C41C35" w:rsidRDefault="001E0125" w:rsidP="001E0125">
      <w:pPr>
        <w:spacing w:after="120"/>
        <w:ind w:left="1134" w:right="1134"/>
        <w:jc w:val="both"/>
        <w:rPr>
          <w:rFonts w:eastAsia="MS Mincho"/>
        </w:rPr>
      </w:pPr>
      <w:r>
        <w:rPr>
          <w:rFonts w:eastAsia="MS Mincho"/>
        </w:rPr>
        <w:t>2.5</w:t>
      </w:r>
      <w:r>
        <w:rPr>
          <w:rFonts w:eastAsia="MS Mincho"/>
        </w:rPr>
        <w:tab/>
        <w:t>Par suite de</w:t>
      </w:r>
      <w:r w:rsidRPr="00C41C35">
        <w:rPr>
          <w:rFonts w:eastAsia="MS Mincho"/>
        </w:rPr>
        <w:t xml:space="preserve"> son emprisonnement </w:t>
      </w:r>
      <w:r>
        <w:rPr>
          <w:rFonts w:eastAsia="MS Mincho"/>
        </w:rPr>
        <w:t>le</w:t>
      </w:r>
      <w:r w:rsidRPr="00C41C35">
        <w:rPr>
          <w:rFonts w:eastAsia="MS Mincho"/>
        </w:rPr>
        <w:t xml:space="preserve"> 27</w:t>
      </w:r>
      <w:r>
        <w:rPr>
          <w:rFonts w:eastAsia="MS Mincho"/>
        </w:rPr>
        <w:t> </w:t>
      </w:r>
      <w:r w:rsidRPr="00C41C35">
        <w:rPr>
          <w:rFonts w:eastAsia="MS Mincho"/>
        </w:rPr>
        <w:t xml:space="preserve">mai 2014, le requérant a comparu pour la première fois devant </w:t>
      </w:r>
      <w:r>
        <w:rPr>
          <w:rFonts w:eastAsia="MS Mincho"/>
        </w:rPr>
        <w:t>un juge le 25 juin 2014</w:t>
      </w:r>
      <w:r w:rsidRPr="00152BE0">
        <w:rPr>
          <w:rStyle w:val="Appelnotedebasdep"/>
        </w:rPr>
        <w:footnoteReference w:id="5"/>
      </w:r>
      <w:r>
        <w:rPr>
          <w:rFonts w:eastAsia="MS Mincho"/>
        </w:rPr>
        <w:t xml:space="preserve">. </w:t>
      </w:r>
      <w:r w:rsidRPr="00C41C35">
        <w:rPr>
          <w:rFonts w:eastAsia="MS Mincho"/>
        </w:rPr>
        <w:t>Au cours de cette audience, le requérant a vainement sollicité une expertise médicale</w:t>
      </w:r>
      <w:r>
        <w:rPr>
          <w:rFonts w:eastAsia="MS Mincho"/>
        </w:rPr>
        <w:t>,</w:t>
      </w:r>
      <w:r w:rsidRPr="00C41C35">
        <w:rPr>
          <w:rFonts w:eastAsia="MS Mincho"/>
        </w:rPr>
        <w:t xml:space="preserve"> conformément aux articles</w:t>
      </w:r>
      <w:r>
        <w:rPr>
          <w:rFonts w:eastAsia="MS Mincho"/>
        </w:rPr>
        <w:t> </w:t>
      </w:r>
      <w:r w:rsidRPr="00C41C35">
        <w:rPr>
          <w:rFonts w:eastAsia="MS Mincho"/>
        </w:rPr>
        <w:t xml:space="preserve">103 et 104 du </w:t>
      </w:r>
      <w:r>
        <w:rPr>
          <w:rFonts w:eastAsia="MS Mincho"/>
        </w:rPr>
        <w:t>C</w:t>
      </w:r>
      <w:r w:rsidRPr="00C41C35">
        <w:rPr>
          <w:rFonts w:eastAsia="MS Mincho"/>
        </w:rPr>
        <w:t>ode de procédure pénale</w:t>
      </w:r>
      <w:r>
        <w:rPr>
          <w:rFonts w:eastAsia="MS Mincho"/>
        </w:rPr>
        <w:t>,</w:t>
      </w:r>
      <w:r w:rsidRPr="00C41C35">
        <w:rPr>
          <w:rFonts w:eastAsia="MS Mincho"/>
        </w:rPr>
        <w:t xml:space="preserve"> tout en </w:t>
      </w:r>
      <w:r>
        <w:rPr>
          <w:rFonts w:eastAsia="MS Mincho"/>
        </w:rPr>
        <w:t xml:space="preserve">réitérant sa plainte du </w:t>
      </w:r>
      <w:r w:rsidRPr="00C41C35">
        <w:rPr>
          <w:rFonts w:eastAsia="MS Mincho"/>
        </w:rPr>
        <w:t>14</w:t>
      </w:r>
      <w:r>
        <w:rPr>
          <w:rFonts w:eastAsia="MS Mincho"/>
        </w:rPr>
        <w:t> </w:t>
      </w:r>
      <w:r w:rsidRPr="00C41C35">
        <w:rPr>
          <w:rFonts w:eastAsia="MS Mincho"/>
        </w:rPr>
        <w:t xml:space="preserve">mars 2014 </w:t>
      </w:r>
      <w:r>
        <w:rPr>
          <w:rFonts w:eastAsia="MS Mincho"/>
        </w:rPr>
        <w:t xml:space="preserve">au </w:t>
      </w:r>
      <w:r w:rsidRPr="00C41C35">
        <w:rPr>
          <w:rFonts w:eastAsia="MS Mincho"/>
        </w:rPr>
        <w:t xml:space="preserve">Parquet </w:t>
      </w:r>
      <w:r>
        <w:rPr>
          <w:rFonts w:eastAsia="MS Mincho"/>
        </w:rPr>
        <w:t>g</w:t>
      </w:r>
      <w:r w:rsidRPr="00C41C35">
        <w:rPr>
          <w:rFonts w:eastAsia="MS Mincho"/>
        </w:rPr>
        <w:t xml:space="preserve">énéral de la République pour les </w:t>
      </w:r>
      <w:r>
        <w:rPr>
          <w:rFonts w:eastAsia="MS Mincho"/>
        </w:rPr>
        <w:t xml:space="preserve">actes de torture qu’il avait subis. </w:t>
      </w:r>
    </w:p>
    <w:p w14:paraId="4A8133AC" w14:textId="0CD5DB7B" w:rsidR="001E0125" w:rsidRPr="00C41C35" w:rsidRDefault="001E0125" w:rsidP="001E0125">
      <w:pPr>
        <w:spacing w:after="120"/>
        <w:ind w:left="1134" w:right="1134"/>
        <w:jc w:val="both"/>
        <w:rPr>
          <w:rFonts w:eastAsia="MS Mincho"/>
        </w:rPr>
      </w:pPr>
      <w:r>
        <w:rPr>
          <w:rFonts w:eastAsia="MS Mincho"/>
        </w:rPr>
        <w:t>2.6</w:t>
      </w:r>
      <w:r>
        <w:rPr>
          <w:rFonts w:eastAsia="MS Mincho"/>
        </w:rPr>
        <w:tab/>
        <w:t>À la suite de</w:t>
      </w:r>
      <w:r w:rsidRPr="00C41C35">
        <w:rPr>
          <w:rFonts w:eastAsia="MS Mincho"/>
        </w:rPr>
        <w:t xml:space="preserve"> l</w:t>
      </w:r>
      <w:r>
        <w:rPr>
          <w:rFonts w:eastAsia="MS Mincho"/>
        </w:rPr>
        <w:t>’</w:t>
      </w:r>
      <w:r w:rsidRPr="00C41C35">
        <w:rPr>
          <w:rFonts w:eastAsia="MS Mincho"/>
        </w:rPr>
        <w:t>audience du 25</w:t>
      </w:r>
      <w:r>
        <w:rPr>
          <w:rFonts w:eastAsia="MS Mincho"/>
        </w:rPr>
        <w:t> </w:t>
      </w:r>
      <w:r w:rsidRPr="00C41C35">
        <w:rPr>
          <w:rFonts w:eastAsia="MS Mincho"/>
        </w:rPr>
        <w:t>juin 2014, la détention du requérant n</w:t>
      </w:r>
      <w:r>
        <w:rPr>
          <w:rFonts w:eastAsia="MS Mincho"/>
        </w:rPr>
        <w:t>’</w:t>
      </w:r>
      <w:r w:rsidRPr="00C41C35">
        <w:rPr>
          <w:rFonts w:eastAsia="MS Mincho"/>
        </w:rPr>
        <w:t xml:space="preserve">a fait </w:t>
      </w:r>
      <w:r>
        <w:rPr>
          <w:rFonts w:eastAsia="MS Mincho"/>
        </w:rPr>
        <w:t>l’</w:t>
      </w:r>
      <w:r w:rsidRPr="00C41C35">
        <w:rPr>
          <w:rFonts w:eastAsia="MS Mincho"/>
        </w:rPr>
        <w:t xml:space="preserve">objet </w:t>
      </w:r>
      <w:r>
        <w:rPr>
          <w:rFonts w:eastAsia="MS Mincho"/>
        </w:rPr>
        <w:t>d’un</w:t>
      </w:r>
      <w:r w:rsidRPr="00C41C35">
        <w:rPr>
          <w:rFonts w:eastAsia="MS Mincho"/>
        </w:rPr>
        <w:t xml:space="preserve"> réexamen par </w:t>
      </w:r>
      <w:r>
        <w:rPr>
          <w:rFonts w:eastAsia="MS Mincho"/>
        </w:rPr>
        <w:t>un</w:t>
      </w:r>
      <w:r w:rsidRPr="00C41C35">
        <w:rPr>
          <w:rFonts w:eastAsia="MS Mincho"/>
        </w:rPr>
        <w:t xml:space="preserve"> juge qu</w:t>
      </w:r>
      <w:r>
        <w:rPr>
          <w:rFonts w:eastAsia="MS Mincho"/>
        </w:rPr>
        <w:t>’</w:t>
      </w:r>
      <w:r w:rsidRPr="00C41C35">
        <w:rPr>
          <w:rFonts w:eastAsia="MS Mincho"/>
        </w:rPr>
        <w:t>en date du 30</w:t>
      </w:r>
      <w:r>
        <w:rPr>
          <w:rFonts w:eastAsia="MS Mincho"/>
        </w:rPr>
        <w:t> </w:t>
      </w:r>
      <w:r w:rsidRPr="00C41C35">
        <w:rPr>
          <w:rFonts w:eastAsia="MS Mincho"/>
        </w:rPr>
        <w:t>décembre 2014, soit plus de six mois après la première ordonnance autorisant sa mise en état de détention préventive</w:t>
      </w:r>
      <w:r>
        <w:rPr>
          <w:rFonts w:eastAsia="MS Mincho"/>
        </w:rPr>
        <w:t>, ce qui constitue une violation de l’article 115 du Code de procédure pénale</w:t>
      </w:r>
      <w:r w:rsidRPr="00C41C35">
        <w:rPr>
          <w:rFonts w:eastAsia="MS Mincho"/>
        </w:rPr>
        <w:t xml:space="preserve">. </w:t>
      </w:r>
    </w:p>
    <w:p w14:paraId="59A835B5" w14:textId="66C21C88" w:rsidR="001E0125" w:rsidRPr="00C41C35" w:rsidRDefault="001E0125" w:rsidP="001E0125">
      <w:pPr>
        <w:spacing w:after="120"/>
        <w:ind w:left="1134" w:right="1134"/>
        <w:jc w:val="both"/>
        <w:rPr>
          <w:rFonts w:eastAsia="MS Mincho"/>
        </w:rPr>
      </w:pPr>
      <w:r>
        <w:rPr>
          <w:rFonts w:eastAsia="MS Mincho"/>
        </w:rPr>
        <w:lastRenderedPageBreak/>
        <w:t>2.7</w:t>
      </w:r>
      <w:r>
        <w:rPr>
          <w:rFonts w:eastAsia="MS Mincho"/>
        </w:rPr>
        <w:tab/>
      </w:r>
      <w:r w:rsidRPr="00C41C35">
        <w:rPr>
          <w:rFonts w:eastAsia="MS Mincho"/>
        </w:rPr>
        <w:t>Le 30</w:t>
      </w:r>
      <w:r>
        <w:rPr>
          <w:rFonts w:eastAsia="MS Mincho"/>
        </w:rPr>
        <w:t> </w:t>
      </w:r>
      <w:r w:rsidRPr="00C41C35">
        <w:rPr>
          <w:rFonts w:eastAsia="MS Mincho"/>
        </w:rPr>
        <w:t xml:space="preserve">décembre 2014, le dossier a été appelé en audience publique, </w:t>
      </w:r>
      <w:r>
        <w:rPr>
          <w:rFonts w:eastAsia="MS Mincho"/>
        </w:rPr>
        <w:t>laquelle a été</w:t>
      </w:r>
      <w:r w:rsidRPr="00C41C35">
        <w:rPr>
          <w:rFonts w:eastAsia="MS Mincho"/>
        </w:rPr>
        <w:t xml:space="preserve"> remise au 15</w:t>
      </w:r>
      <w:r>
        <w:rPr>
          <w:rFonts w:eastAsia="MS Mincho"/>
        </w:rPr>
        <w:t> </w:t>
      </w:r>
      <w:r w:rsidRPr="00C41C35">
        <w:rPr>
          <w:rFonts w:eastAsia="MS Mincho"/>
        </w:rPr>
        <w:t xml:space="preserve">janvier </w:t>
      </w:r>
      <w:r>
        <w:rPr>
          <w:rFonts w:eastAsia="MS Mincho"/>
        </w:rPr>
        <w:t>puis</w:t>
      </w:r>
      <w:r w:rsidRPr="00C41C35">
        <w:rPr>
          <w:rFonts w:eastAsia="MS Mincho"/>
        </w:rPr>
        <w:t xml:space="preserve"> au 20</w:t>
      </w:r>
      <w:r>
        <w:rPr>
          <w:rFonts w:eastAsia="MS Mincho"/>
        </w:rPr>
        <w:t> </w:t>
      </w:r>
      <w:r w:rsidRPr="00C41C35">
        <w:rPr>
          <w:rFonts w:eastAsia="MS Mincho"/>
        </w:rPr>
        <w:t>février 2015. Le 26</w:t>
      </w:r>
      <w:r>
        <w:rPr>
          <w:rFonts w:eastAsia="MS Mincho"/>
        </w:rPr>
        <w:t> </w:t>
      </w:r>
      <w:r w:rsidRPr="00C41C35">
        <w:rPr>
          <w:rFonts w:eastAsia="MS Mincho"/>
        </w:rPr>
        <w:t>février 2015, le tribunal a rendu un jugement avant dire droit ordonnant la création d</w:t>
      </w:r>
      <w:r>
        <w:rPr>
          <w:rFonts w:eastAsia="MS Mincho"/>
        </w:rPr>
        <w:t>’</w:t>
      </w:r>
      <w:r w:rsidRPr="00C41C35">
        <w:rPr>
          <w:rFonts w:eastAsia="MS Mincho"/>
        </w:rPr>
        <w:t>une commission médicale de trois médecins du Gouvernement pour examiner si l</w:t>
      </w:r>
      <w:r>
        <w:rPr>
          <w:rFonts w:eastAsia="MS Mincho"/>
        </w:rPr>
        <w:t>’</w:t>
      </w:r>
      <w:r w:rsidRPr="00C41C35">
        <w:rPr>
          <w:rFonts w:eastAsia="MS Mincho"/>
        </w:rPr>
        <w:t>état de santé du requérant nécessitait des soins médicaux à l</w:t>
      </w:r>
      <w:r>
        <w:rPr>
          <w:rFonts w:eastAsia="MS Mincho"/>
        </w:rPr>
        <w:t>’</w:t>
      </w:r>
      <w:r w:rsidRPr="00C41C35">
        <w:rPr>
          <w:rFonts w:eastAsia="MS Mincho"/>
        </w:rPr>
        <w:t>étranger</w:t>
      </w:r>
      <w:r>
        <w:rPr>
          <w:rFonts w:eastAsia="MS Mincho"/>
        </w:rPr>
        <w:t>,</w:t>
      </w:r>
      <w:r w:rsidRPr="00C41C35">
        <w:rPr>
          <w:rFonts w:eastAsia="MS Mincho"/>
        </w:rPr>
        <w:t xml:space="preserve"> tout en sursoyant à statuer sur sa demande de mise en liberté provisoire. Aucune suite n</w:t>
      </w:r>
      <w:r>
        <w:rPr>
          <w:rFonts w:eastAsia="MS Mincho"/>
        </w:rPr>
        <w:t>’</w:t>
      </w:r>
      <w:r w:rsidRPr="00C41C35">
        <w:rPr>
          <w:rFonts w:eastAsia="MS Mincho"/>
        </w:rPr>
        <w:t xml:space="preserve">a été donnée à ce jugement. </w:t>
      </w:r>
    </w:p>
    <w:p w14:paraId="252153FF" w14:textId="77777777" w:rsidR="001E0125" w:rsidRPr="00C41C35" w:rsidRDefault="001E0125" w:rsidP="001E0125">
      <w:pPr>
        <w:spacing w:after="120"/>
        <w:ind w:left="1134" w:right="1134"/>
        <w:jc w:val="both"/>
        <w:rPr>
          <w:rFonts w:eastAsia="MS Mincho"/>
        </w:rPr>
      </w:pPr>
      <w:r w:rsidRPr="006A492D">
        <w:rPr>
          <w:rFonts w:eastAsia="MS Mincho"/>
        </w:rPr>
        <w:t>2.8</w:t>
      </w:r>
      <w:r w:rsidRPr="006A492D">
        <w:rPr>
          <w:rFonts w:eastAsia="MS Mincho"/>
        </w:rPr>
        <w:tab/>
      </w:r>
      <w:r w:rsidRPr="00C41C35">
        <w:rPr>
          <w:rFonts w:eastAsia="MS Mincho"/>
        </w:rPr>
        <w:t xml:space="preserve">Le requérant </w:t>
      </w:r>
      <w:r>
        <w:rPr>
          <w:rFonts w:eastAsia="MS Mincho"/>
        </w:rPr>
        <w:t>soutient</w:t>
      </w:r>
      <w:r w:rsidRPr="00C41C35">
        <w:rPr>
          <w:rFonts w:eastAsia="MS Mincho"/>
        </w:rPr>
        <w:t xml:space="preserve"> qu</w:t>
      </w:r>
      <w:r>
        <w:rPr>
          <w:rFonts w:eastAsia="MS Mincho"/>
        </w:rPr>
        <w:t>’</w:t>
      </w:r>
      <w:r w:rsidRPr="00C41C35">
        <w:rPr>
          <w:rFonts w:eastAsia="MS Mincho"/>
        </w:rPr>
        <w:t>aucune autre instance internationale d</w:t>
      </w:r>
      <w:r>
        <w:rPr>
          <w:rFonts w:eastAsia="MS Mincho"/>
        </w:rPr>
        <w:t>’</w:t>
      </w:r>
      <w:r w:rsidRPr="00C41C35">
        <w:rPr>
          <w:rFonts w:eastAsia="MS Mincho"/>
        </w:rPr>
        <w:t>enquête n</w:t>
      </w:r>
      <w:r>
        <w:rPr>
          <w:rFonts w:eastAsia="MS Mincho"/>
        </w:rPr>
        <w:t>’</w:t>
      </w:r>
      <w:r w:rsidRPr="00C41C35">
        <w:rPr>
          <w:rFonts w:eastAsia="MS Mincho"/>
        </w:rPr>
        <w:t xml:space="preserve">a été saisie de la question. </w:t>
      </w:r>
    </w:p>
    <w:p w14:paraId="0AA01F0D" w14:textId="6B9E445C" w:rsidR="001E0125" w:rsidRPr="00C41C35" w:rsidRDefault="001E0125" w:rsidP="001E0125">
      <w:pPr>
        <w:spacing w:after="120"/>
        <w:ind w:left="1134" w:right="1134"/>
        <w:jc w:val="both"/>
        <w:rPr>
          <w:rFonts w:eastAsia="MS Mincho"/>
        </w:rPr>
      </w:pPr>
      <w:r>
        <w:rPr>
          <w:rFonts w:eastAsia="MS Mincho"/>
        </w:rPr>
        <w:t>2.9</w:t>
      </w:r>
      <w:r>
        <w:rPr>
          <w:rFonts w:eastAsia="MS Mincho"/>
        </w:rPr>
        <w:tab/>
        <w:t>Le requérant</w:t>
      </w:r>
      <w:r w:rsidRPr="00C41C35">
        <w:rPr>
          <w:rFonts w:eastAsia="MS Mincho"/>
        </w:rPr>
        <w:t xml:space="preserve"> rappelle que selon l</w:t>
      </w:r>
      <w:r>
        <w:rPr>
          <w:rFonts w:eastAsia="MS Mincho"/>
        </w:rPr>
        <w:t>’</w:t>
      </w:r>
      <w:r w:rsidRPr="00C41C35">
        <w:rPr>
          <w:rFonts w:eastAsia="MS Mincho"/>
        </w:rPr>
        <w:t>article</w:t>
      </w:r>
      <w:r>
        <w:rPr>
          <w:rFonts w:eastAsia="MS Mincho"/>
        </w:rPr>
        <w:t> </w:t>
      </w:r>
      <w:r w:rsidRPr="00C41C35">
        <w:rPr>
          <w:rFonts w:eastAsia="MS Mincho"/>
        </w:rPr>
        <w:t xml:space="preserve">22 </w:t>
      </w:r>
      <w:r>
        <w:rPr>
          <w:rFonts w:eastAsia="MS Mincho"/>
        </w:rPr>
        <w:t>(</w:t>
      </w:r>
      <w:r w:rsidRPr="00C41C35">
        <w:rPr>
          <w:rFonts w:eastAsia="MS Mincho"/>
        </w:rPr>
        <w:t>par</w:t>
      </w:r>
      <w:r>
        <w:rPr>
          <w:rFonts w:eastAsia="MS Mincho"/>
        </w:rPr>
        <w:t>. </w:t>
      </w:r>
      <w:r w:rsidRPr="00C41C35">
        <w:rPr>
          <w:rFonts w:eastAsia="MS Mincho"/>
        </w:rPr>
        <w:t>5</w:t>
      </w:r>
      <w:r>
        <w:rPr>
          <w:rFonts w:eastAsia="MS Mincho"/>
        </w:rPr>
        <w:t> </w:t>
      </w:r>
      <w:r w:rsidRPr="00C41C35">
        <w:rPr>
          <w:rFonts w:eastAsia="MS Mincho"/>
        </w:rPr>
        <w:t>b</w:t>
      </w:r>
      <w:r>
        <w:rPr>
          <w:rFonts w:eastAsia="MS Mincho"/>
        </w:rPr>
        <w:t>))</w:t>
      </w:r>
      <w:r w:rsidRPr="00C41C35">
        <w:rPr>
          <w:rFonts w:eastAsia="MS Mincho"/>
        </w:rPr>
        <w:t xml:space="preserve"> de la Convention, une personne n</w:t>
      </w:r>
      <w:r>
        <w:rPr>
          <w:rFonts w:eastAsia="MS Mincho"/>
        </w:rPr>
        <w:t>’</w:t>
      </w:r>
      <w:r w:rsidRPr="00C41C35">
        <w:rPr>
          <w:rFonts w:eastAsia="MS Mincho"/>
        </w:rPr>
        <w:t>est pas tenue d</w:t>
      </w:r>
      <w:r>
        <w:rPr>
          <w:rFonts w:eastAsia="MS Mincho"/>
        </w:rPr>
        <w:t>’</w:t>
      </w:r>
      <w:r w:rsidRPr="00C41C35">
        <w:rPr>
          <w:rFonts w:eastAsia="MS Mincho"/>
        </w:rPr>
        <w:t>épuiser les voies de recours internes qui seraient vain</w:t>
      </w:r>
      <w:r>
        <w:rPr>
          <w:rFonts w:eastAsia="MS Mincho"/>
        </w:rPr>
        <w:t>e</w:t>
      </w:r>
      <w:r w:rsidRPr="00C41C35">
        <w:rPr>
          <w:rFonts w:eastAsia="MS Mincho"/>
        </w:rPr>
        <w:t>s</w:t>
      </w:r>
      <w:r>
        <w:rPr>
          <w:rFonts w:eastAsia="MS Mincho"/>
        </w:rPr>
        <w:t>, et que le</w:t>
      </w:r>
      <w:r w:rsidRPr="00C41C35">
        <w:rPr>
          <w:rFonts w:eastAsia="MS Mincho"/>
        </w:rPr>
        <w:t xml:space="preserve"> Comité n</w:t>
      </w:r>
      <w:r>
        <w:rPr>
          <w:rFonts w:eastAsia="MS Mincho"/>
        </w:rPr>
        <w:t>’</w:t>
      </w:r>
      <w:r w:rsidRPr="00C41C35">
        <w:rPr>
          <w:rFonts w:eastAsia="MS Mincho"/>
        </w:rPr>
        <w:t>exige, aux fins de la recevabilité des communications individuelles, que l</w:t>
      </w:r>
      <w:r>
        <w:rPr>
          <w:rFonts w:eastAsia="MS Mincho"/>
        </w:rPr>
        <w:t>’</w:t>
      </w:r>
      <w:r w:rsidRPr="00C41C35">
        <w:rPr>
          <w:rFonts w:eastAsia="MS Mincho"/>
        </w:rPr>
        <w:t>épuisement des recours efficaces, utiles et disponibles</w:t>
      </w:r>
      <w:r w:rsidRPr="00152BE0">
        <w:rPr>
          <w:rStyle w:val="Appelnotedebasdep"/>
        </w:rPr>
        <w:footnoteReference w:id="6"/>
      </w:r>
      <w:r w:rsidRPr="00C41C35">
        <w:rPr>
          <w:rFonts w:eastAsia="MS Mincho"/>
        </w:rPr>
        <w:t xml:space="preserve">. </w:t>
      </w:r>
      <w:r>
        <w:rPr>
          <w:rFonts w:eastAsia="MS Mincho"/>
        </w:rPr>
        <w:t xml:space="preserve">Il soutient qu’en </w:t>
      </w:r>
      <w:r w:rsidRPr="00C41C35">
        <w:rPr>
          <w:rFonts w:eastAsia="MS Mincho"/>
        </w:rPr>
        <w:t>dépit</w:t>
      </w:r>
      <w:r>
        <w:rPr>
          <w:rFonts w:eastAsia="MS Mincho"/>
        </w:rPr>
        <w:t xml:space="preserve"> de sa plainte au</w:t>
      </w:r>
      <w:r w:rsidRPr="00C41C35">
        <w:rPr>
          <w:rFonts w:eastAsia="MS Mincho"/>
        </w:rPr>
        <w:t xml:space="preserve"> Procureur </w:t>
      </w:r>
      <w:r>
        <w:rPr>
          <w:rFonts w:eastAsia="MS Mincho"/>
        </w:rPr>
        <w:t>g</w:t>
      </w:r>
      <w:r w:rsidRPr="00C41C35">
        <w:rPr>
          <w:rFonts w:eastAsia="MS Mincho"/>
        </w:rPr>
        <w:t xml:space="preserve">énéral de la République pour les </w:t>
      </w:r>
      <w:r>
        <w:rPr>
          <w:rFonts w:eastAsia="MS Mincho"/>
        </w:rPr>
        <w:t xml:space="preserve">mauvais traitements subis, </w:t>
      </w:r>
      <w:r w:rsidRPr="00C41C35">
        <w:rPr>
          <w:rFonts w:eastAsia="MS Mincho"/>
        </w:rPr>
        <w:t>les autorités judiciaires n</w:t>
      </w:r>
      <w:r>
        <w:rPr>
          <w:rFonts w:eastAsia="MS Mincho"/>
        </w:rPr>
        <w:t>’</w:t>
      </w:r>
      <w:r w:rsidRPr="00C41C35">
        <w:rPr>
          <w:rFonts w:eastAsia="MS Mincho"/>
        </w:rPr>
        <w:t>ont pas réagi alors qu</w:t>
      </w:r>
      <w:r>
        <w:rPr>
          <w:rFonts w:eastAsia="MS Mincho"/>
        </w:rPr>
        <w:t>’</w:t>
      </w:r>
      <w:r w:rsidRPr="00C41C35">
        <w:rPr>
          <w:rFonts w:eastAsia="MS Mincho"/>
        </w:rPr>
        <w:t xml:space="preserve">elles auraient dû ouvrir, sur </w:t>
      </w:r>
      <w:r>
        <w:rPr>
          <w:rFonts w:eastAsia="MS Mincho"/>
        </w:rPr>
        <w:t xml:space="preserve">la </w:t>
      </w:r>
      <w:r w:rsidRPr="00C41C35">
        <w:rPr>
          <w:rFonts w:eastAsia="MS Mincho"/>
        </w:rPr>
        <w:t xml:space="preserve">base de </w:t>
      </w:r>
      <w:r>
        <w:rPr>
          <w:rFonts w:eastAsia="MS Mincho"/>
        </w:rPr>
        <w:t>s</w:t>
      </w:r>
      <w:r w:rsidRPr="00C41C35">
        <w:rPr>
          <w:rFonts w:eastAsia="MS Mincho"/>
        </w:rPr>
        <w:t>es dires, une enquête pénale en vertu de l</w:t>
      </w:r>
      <w:r>
        <w:rPr>
          <w:rFonts w:eastAsia="MS Mincho"/>
        </w:rPr>
        <w:t>’</w:t>
      </w:r>
      <w:r w:rsidRPr="00C41C35">
        <w:rPr>
          <w:rFonts w:eastAsia="MS Mincho"/>
        </w:rPr>
        <w:t>article</w:t>
      </w:r>
      <w:r>
        <w:rPr>
          <w:rFonts w:eastAsia="MS Mincho"/>
        </w:rPr>
        <w:t xml:space="preserve"> 64 du Code de procédure pénale. </w:t>
      </w:r>
      <w:r w:rsidRPr="00C41C35">
        <w:rPr>
          <w:rFonts w:eastAsia="MS Mincho"/>
        </w:rPr>
        <w:t>D</w:t>
      </w:r>
      <w:r>
        <w:rPr>
          <w:rFonts w:eastAsia="MS Mincho"/>
        </w:rPr>
        <w:t>’</w:t>
      </w:r>
      <w:r w:rsidRPr="00C41C35">
        <w:rPr>
          <w:rFonts w:eastAsia="MS Mincho"/>
        </w:rPr>
        <w:t>autres démarches entreprises auprès de l</w:t>
      </w:r>
      <w:r>
        <w:rPr>
          <w:rFonts w:eastAsia="MS Mincho"/>
        </w:rPr>
        <w:t>’</w:t>
      </w:r>
      <w:r w:rsidRPr="00C41C35">
        <w:rPr>
          <w:rFonts w:eastAsia="MS Mincho"/>
        </w:rPr>
        <w:t>Ombudsman et de la Commission nationale indépendante des droits de l</w:t>
      </w:r>
      <w:r>
        <w:rPr>
          <w:rFonts w:eastAsia="MS Mincho"/>
        </w:rPr>
        <w:t>’</w:t>
      </w:r>
      <w:r w:rsidRPr="00C41C35">
        <w:rPr>
          <w:rFonts w:eastAsia="MS Mincho"/>
        </w:rPr>
        <w:t>homme du Burundi n</w:t>
      </w:r>
      <w:r>
        <w:rPr>
          <w:rFonts w:eastAsia="MS Mincho"/>
        </w:rPr>
        <w:t>’</w:t>
      </w:r>
      <w:r w:rsidRPr="00C41C35">
        <w:rPr>
          <w:rFonts w:eastAsia="MS Mincho"/>
        </w:rPr>
        <w:t>ont rien donné</w:t>
      </w:r>
      <w:r>
        <w:rPr>
          <w:rFonts w:eastAsia="MS Mincho"/>
        </w:rPr>
        <w:t>. Les</w:t>
      </w:r>
      <w:r w:rsidRPr="00C41C35">
        <w:rPr>
          <w:rFonts w:eastAsia="MS Mincho"/>
        </w:rPr>
        <w:t xml:space="preserve"> correspondances adressées aux responsables de la </w:t>
      </w:r>
      <w:r>
        <w:rPr>
          <w:rFonts w:eastAsia="MS Mincho"/>
        </w:rPr>
        <w:t>c</w:t>
      </w:r>
      <w:r w:rsidRPr="00C41C35">
        <w:rPr>
          <w:rFonts w:eastAsia="MS Mincho"/>
        </w:rPr>
        <w:t>linique Prince</w:t>
      </w:r>
      <w:r>
        <w:rPr>
          <w:rFonts w:eastAsia="MS Mincho"/>
        </w:rPr>
        <w:t>-</w:t>
      </w:r>
      <w:r w:rsidRPr="00C41C35">
        <w:rPr>
          <w:rFonts w:eastAsia="MS Mincho"/>
        </w:rPr>
        <w:t>Louis</w:t>
      </w:r>
      <w:r>
        <w:rPr>
          <w:rFonts w:eastAsia="MS Mincho"/>
        </w:rPr>
        <w:t>-</w:t>
      </w:r>
      <w:proofErr w:type="spellStart"/>
      <w:r w:rsidRPr="00C41C35">
        <w:rPr>
          <w:rFonts w:eastAsia="MS Mincho"/>
        </w:rPr>
        <w:t>Rwagasore</w:t>
      </w:r>
      <w:proofErr w:type="spellEnd"/>
      <w:r w:rsidRPr="00C41C35">
        <w:rPr>
          <w:rFonts w:eastAsia="MS Mincho"/>
        </w:rPr>
        <w:t xml:space="preserve"> le</w:t>
      </w:r>
      <w:r>
        <w:rPr>
          <w:rFonts w:eastAsia="MS Mincho"/>
        </w:rPr>
        <w:t xml:space="preserve"> 30 mars 2015,</w:t>
      </w:r>
      <w:r w:rsidRPr="00C41C35">
        <w:rPr>
          <w:rFonts w:eastAsia="MS Mincho"/>
        </w:rPr>
        <w:t xml:space="preserve"> pour </w:t>
      </w:r>
      <w:r>
        <w:rPr>
          <w:rFonts w:eastAsia="MS Mincho"/>
        </w:rPr>
        <w:t>obtenir une attestation de</w:t>
      </w:r>
      <w:r w:rsidRPr="00C41C35">
        <w:rPr>
          <w:rFonts w:eastAsia="MS Mincho"/>
        </w:rPr>
        <w:t xml:space="preserve"> son hospitalisation</w:t>
      </w:r>
      <w:r>
        <w:rPr>
          <w:rFonts w:eastAsia="MS Mincho"/>
        </w:rPr>
        <w:t>,</w:t>
      </w:r>
      <w:r w:rsidRPr="00C41C35">
        <w:rPr>
          <w:rFonts w:eastAsia="MS Mincho"/>
        </w:rPr>
        <w:t xml:space="preserve"> et </w:t>
      </w:r>
      <w:r>
        <w:rPr>
          <w:rFonts w:eastAsia="MS Mincho"/>
        </w:rPr>
        <w:t xml:space="preserve">le </w:t>
      </w:r>
      <w:r w:rsidRPr="00C41C35">
        <w:rPr>
          <w:rFonts w:eastAsia="MS Mincho"/>
        </w:rPr>
        <w:t>15</w:t>
      </w:r>
      <w:r>
        <w:rPr>
          <w:rFonts w:eastAsia="MS Mincho"/>
        </w:rPr>
        <w:t> </w:t>
      </w:r>
      <w:r w:rsidRPr="00C41C35">
        <w:rPr>
          <w:rFonts w:eastAsia="MS Mincho"/>
        </w:rPr>
        <w:t>décembre</w:t>
      </w:r>
      <w:r>
        <w:rPr>
          <w:rFonts w:eastAsia="MS Mincho"/>
        </w:rPr>
        <w:t> </w:t>
      </w:r>
      <w:r w:rsidRPr="00C41C35">
        <w:rPr>
          <w:rFonts w:eastAsia="MS Mincho"/>
        </w:rPr>
        <w:t>2015</w:t>
      </w:r>
      <w:r>
        <w:rPr>
          <w:rFonts w:eastAsia="MS Mincho"/>
        </w:rPr>
        <w:t>, pour</w:t>
      </w:r>
      <w:r w:rsidRPr="00C41C35">
        <w:rPr>
          <w:rFonts w:eastAsia="MS Mincho"/>
        </w:rPr>
        <w:t xml:space="preserve"> solliciter des éléments de son dossier médical, restent sans suite.</w:t>
      </w:r>
      <w:r>
        <w:rPr>
          <w:rFonts w:eastAsia="MS Mincho"/>
        </w:rPr>
        <w:t xml:space="preserve"> </w:t>
      </w:r>
      <w:r w:rsidRPr="00C41C35">
        <w:rPr>
          <w:rFonts w:eastAsia="MS Mincho"/>
        </w:rPr>
        <w:t>Les actes d</w:t>
      </w:r>
      <w:r>
        <w:rPr>
          <w:rFonts w:eastAsia="MS Mincho"/>
        </w:rPr>
        <w:t>’</w:t>
      </w:r>
      <w:r w:rsidRPr="00C41C35">
        <w:rPr>
          <w:rFonts w:eastAsia="MS Mincho"/>
        </w:rPr>
        <w:t>intimidation</w:t>
      </w:r>
      <w:r>
        <w:rPr>
          <w:rFonts w:eastAsia="MS Mincho"/>
        </w:rPr>
        <w:t xml:space="preserve"> et</w:t>
      </w:r>
      <w:r w:rsidRPr="00C41C35">
        <w:rPr>
          <w:rFonts w:eastAsia="MS Mincho"/>
        </w:rPr>
        <w:t xml:space="preserve"> menaces suivis de l</w:t>
      </w:r>
      <w:r>
        <w:rPr>
          <w:rFonts w:eastAsia="MS Mincho"/>
        </w:rPr>
        <w:t>’</w:t>
      </w:r>
      <w:r w:rsidRPr="00C41C35">
        <w:rPr>
          <w:rFonts w:eastAsia="MS Mincho"/>
        </w:rPr>
        <w:t>exil de deux des avocats du requérant constituent une preuve éloquente qu</w:t>
      </w:r>
      <w:r>
        <w:rPr>
          <w:rFonts w:eastAsia="MS Mincho"/>
        </w:rPr>
        <w:t>’</w:t>
      </w:r>
      <w:r w:rsidRPr="00C41C35">
        <w:rPr>
          <w:rFonts w:eastAsia="MS Mincho"/>
        </w:rPr>
        <w:t>il est impossible de saisir des autorités indépendantes et impartiales sur le dossier du requérant</w:t>
      </w:r>
      <w:r>
        <w:rPr>
          <w:rFonts w:eastAsia="MS Mincho"/>
        </w:rPr>
        <w:t>,</w:t>
      </w:r>
      <w:r w:rsidRPr="00C41C35">
        <w:rPr>
          <w:rFonts w:eastAsia="MS Mincho"/>
        </w:rPr>
        <w:t xml:space="preserve"> qui ne peut concrètement obtenir gain de cause devant les juridictions nationales. </w:t>
      </w:r>
    </w:p>
    <w:p w14:paraId="3BD3FF27" w14:textId="77777777" w:rsidR="001E0125" w:rsidRPr="00152BE0" w:rsidRDefault="001E0125" w:rsidP="001E0125">
      <w:pPr>
        <w:spacing w:after="120"/>
        <w:ind w:left="1134" w:right="1134"/>
        <w:jc w:val="both"/>
        <w:rPr>
          <w:rFonts w:eastAsia="MS Mincho"/>
          <w:bCs/>
        </w:rPr>
      </w:pPr>
      <w:r>
        <w:rPr>
          <w:rFonts w:eastAsia="MS Mincho"/>
        </w:rPr>
        <w:t>2.10</w:t>
      </w:r>
      <w:r>
        <w:rPr>
          <w:rFonts w:eastAsia="MS Mincho"/>
        </w:rPr>
        <w:tab/>
      </w:r>
      <w:r w:rsidRPr="00C41C35">
        <w:rPr>
          <w:rFonts w:eastAsia="MS Mincho"/>
        </w:rPr>
        <w:t>De plus, le</w:t>
      </w:r>
      <w:r w:rsidRPr="009942E1">
        <w:rPr>
          <w:rFonts w:eastAsia="MS Mincho"/>
        </w:rPr>
        <w:t xml:space="preserve"> «</w:t>
      </w:r>
      <w:r>
        <w:rPr>
          <w:rFonts w:eastAsia="MS Mincho"/>
        </w:rPr>
        <w:t> </w:t>
      </w:r>
      <w:r w:rsidRPr="009942E1">
        <w:rPr>
          <w:rFonts w:eastAsia="MS Mincho"/>
        </w:rPr>
        <w:t>climat</w:t>
      </w:r>
      <w:r w:rsidRPr="00C41C35">
        <w:rPr>
          <w:rFonts w:eastAsia="MS Mincho"/>
        </w:rPr>
        <w:t xml:space="preserve"> </w:t>
      </w:r>
      <w:r w:rsidRPr="009942E1">
        <w:rPr>
          <w:rFonts w:eastAsia="MS Mincho"/>
        </w:rPr>
        <w:t>général</w:t>
      </w:r>
      <w:r w:rsidRPr="00C41C35">
        <w:rPr>
          <w:rFonts w:eastAsia="MS Mincho"/>
        </w:rPr>
        <w:t xml:space="preserve"> </w:t>
      </w:r>
      <w:r w:rsidRPr="009942E1">
        <w:rPr>
          <w:rFonts w:eastAsia="MS Mincho"/>
        </w:rPr>
        <w:t>d</w:t>
      </w:r>
      <w:r>
        <w:rPr>
          <w:rFonts w:eastAsia="MS Mincho"/>
        </w:rPr>
        <w:t>’</w:t>
      </w:r>
      <w:r w:rsidRPr="009942E1">
        <w:rPr>
          <w:rFonts w:eastAsia="MS Mincho"/>
        </w:rPr>
        <w:t>impunité</w:t>
      </w:r>
      <w:r>
        <w:rPr>
          <w:rFonts w:eastAsia="MS Mincho"/>
        </w:rPr>
        <w:t> </w:t>
      </w:r>
      <w:r w:rsidRPr="009942E1">
        <w:rPr>
          <w:rFonts w:eastAsia="MS Mincho"/>
        </w:rPr>
        <w:t>»</w:t>
      </w:r>
      <w:r>
        <w:rPr>
          <w:rFonts w:eastAsia="MS Mincho"/>
        </w:rPr>
        <w:t xml:space="preserve"> au Burundi, </w:t>
      </w:r>
      <w:r w:rsidRPr="00C41C35">
        <w:rPr>
          <w:rFonts w:eastAsia="MS Mincho"/>
        </w:rPr>
        <w:t xml:space="preserve">qualifié comme tel par le Comité </w:t>
      </w:r>
      <w:r>
        <w:rPr>
          <w:rFonts w:eastAsia="MS Mincho"/>
        </w:rPr>
        <w:t>en raison de</w:t>
      </w:r>
      <w:r w:rsidRPr="00C41C35">
        <w:rPr>
          <w:rFonts w:eastAsia="MS Mincho"/>
        </w:rPr>
        <w:t xml:space="preserve"> violations graves des droits humains, notamment les actes de torture</w:t>
      </w:r>
      <w:r w:rsidRPr="00152BE0">
        <w:rPr>
          <w:rStyle w:val="Appelnotedebasdep"/>
        </w:rPr>
        <w:footnoteReference w:id="7"/>
      </w:r>
      <w:r w:rsidRPr="00C41C35">
        <w:rPr>
          <w:rFonts w:eastAsia="MS Mincho"/>
        </w:rPr>
        <w:t>, implique qu</w:t>
      </w:r>
      <w:r>
        <w:rPr>
          <w:rFonts w:eastAsia="MS Mincho"/>
        </w:rPr>
        <w:t>’</w:t>
      </w:r>
      <w:r w:rsidRPr="00C41C35">
        <w:rPr>
          <w:rFonts w:eastAsia="MS Mincho"/>
        </w:rPr>
        <w:t xml:space="preserve">il est peu probable que </w:t>
      </w:r>
      <w:r>
        <w:rPr>
          <w:rFonts w:eastAsia="MS Mincho"/>
        </w:rPr>
        <w:t xml:space="preserve">le requérant </w:t>
      </w:r>
      <w:r w:rsidRPr="00C41C35">
        <w:rPr>
          <w:rFonts w:eastAsia="MS Mincho"/>
        </w:rPr>
        <w:t>aurait pu obtenir gain de cause devant les juridictions nationales</w:t>
      </w:r>
      <w:r w:rsidRPr="00152BE0">
        <w:rPr>
          <w:rFonts w:eastAsia="MS Mincho"/>
          <w:bCs/>
        </w:rPr>
        <w:t>.</w:t>
      </w:r>
    </w:p>
    <w:p w14:paraId="4EF0554E" w14:textId="31B17096" w:rsidR="001E0125" w:rsidRPr="00C41C35" w:rsidRDefault="001E0125" w:rsidP="001E0125">
      <w:pPr>
        <w:spacing w:after="120"/>
        <w:ind w:left="1134" w:right="1134"/>
        <w:jc w:val="both"/>
        <w:rPr>
          <w:rFonts w:eastAsia="MS Mincho"/>
          <w:b/>
        </w:rPr>
      </w:pPr>
      <w:r>
        <w:rPr>
          <w:rFonts w:eastAsia="MS Mincho"/>
        </w:rPr>
        <w:t>2.11</w:t>
      </w:r>
      <w:r>
        <w:rPr>
          <w:rFonts w:eastAsia="MS Mincho"/>
        </w:rPr>
        <w:tab/>
      </w:r>
      <w:r w:rsidRPr="00C41C35">
        <w:rPr>
          <w:rFonts w:eastAsia="MS Mincho"/>
        </w:rPr>
        <w:t xml:space="preserve">En conséquence, le requérant </w:t>
      </w:r>
      <w:r w:rsidRPr="00C41C35">
        <w:t xml:space="preserve">fait valoir </w:t>
      </w:r>
      <w:r>
        <w:t>ce qui suit</w:t>
      </w:r>
      <w:r w:rsidRPr="00C41C35">
        <w:t> : a) les voies de recours internes disponibles ne lui ont donné aucune satisfaction, les autorités n</w:t>
      </w:r>
      <w:r>
        <w:t>’</w:t>
      </w:r>
      <w:r w:rsidRPr="00C41C35">
        <w:t>ayant pas réagi à ses dénonciations alors qu</w:t>
      </w:r>
      <w:r>
        <w:t>’</w:t>
      </w:r>
      <w:r w:rsidRPr="00C41C35">
        <w:t>elles auraient dû ouvrir une enquête pénale sur la base de ses allégations ; b) ces voies de recours ont excédé les délais raisonnables, puisque trois ans et quatre mois après la dénonciation des actes de torture en date du 14</w:t>
      </w:r>
      <w:r w:rsidR="001467E1">
        <w:t> </w:t>
      </w:r>
      <w:r w:rsidRPr="00C41C35">
        <w:t>mars 2014, aucune enquête n</w:t>
      </w:r>
      <w:r>
        <w:t>’</w:t>
      </w:r>
      <w:r w:rsidRPr="00C41C35">
        <w:t>a</w:t>
      </w:r>
      <w:r>
        <w:t>vait</w:t>
      </w:r>
      <w:r w:rsidRPr="00C41C35">
        <w:t xml:space="preserve"> été ouverte ; et c) il était dangereux pour </w:t>
      </w:r>
      <w:r>
        <w:t>lui</w:t>
      </w:r>
      <w:r w:rsidRPr="00C41C35">
        <w:t xml:space="preserve"> d</w:t>
      </w:r>
      <w:r>
        <w:t>’</w:t>
      </w:r>
      <w:r w:rsidRPr="00C41C35">
        <w:t>entreprendre d</w:t>
      </w:r>
      <w:r>
        <w:t>’</w:t>
      </w:r>
      <w:r w:rsidRPr="00C41C35">
        <w:t xml:space="preserve">autres démarches car les personnes responsables des faits de torture étaient des policiers et des proches du </w:t>
      </w:r>
      <w:r>
        <w:t>G</w:t>
      </w:r>
      <w:r w:rsidRPr="00C41C35">
        <w:t>ouvernement en place.</w:t>
      </w:r>
      <w:r w:rsidRPr="006A492D">
        <w:rPr>
          <w:rFonts w:eastAsia="MS Mincho"/>
        </w:rPr>
        <w:t xml:space="preserve"> L</w:t>
      </w:r>
      <w:r w:rsidRPr="00C41C35">
        <w:rPr>
          <w:rFonts w:eastAsia="MS Mincho"/>
        </w:rPr>
        <w:t>e requérant estime qu</w:t>
      </w:r>
      <w:r>
        <w:rPr>
          <w:rFonts w:eastAsia="MS Mincho"/>
        </w:rPr>
        <w:t>’</w:t>
      </w:r>
      <w:r w:rsidRPr="00C41C35">
        <w:rPr>
          <w:rFonts w:eastAsia="MS Mincho"/>
        </w:rPr>
        <w:t>il lui est impossible d</w:t>
      </w:r>
      <w:r>
        <w:rPr>
          <w:rFonts w:eastAsia="MS Mincho"/>
        </w:rPr>
        <w:t>’</w:t>
      </w:r>
      <w:r w:rsidRPr="00C41C35">
        <w:rPr>
          <w:rFonts w:eastAsia="MS Mincho"/>
        </w:rPr>
        <w:t>épuiser les voies de recours internes</w:t>
      </w:r>
      <w:r>
        <w:rPr>
          <w:rFonts w:eastAsia="MS Mincho"/>
        </w:rPr>
        <w:t>,</w:t>
      </w:r>
      <w:r w:rsidRPr="00C41C35">
        <w:rPr>
          <w:rFonts w:eastAsia="MS Mincho"/>
        </w:rPr>
        <w:t xml:space="preserve"> vu que celles-ci se révèlent inefficaces et vaines.</w:t>
      </w:r>
    </w:p>
    <w:p w14:paraId="75057EE1" w14:textId="77777777" w:rsidR="001E0125" w:rsidRDefault="001E0125" w:rsidP="001E0125">
      <w:pPr>
        <w:pStyle w:val="H23G"/>
        <w:rPr>
          <w:rFonts w:eastAsia="MS Mincho"/>
          <w:lang w:val="fr-FR" w:eastAsia="zh-CN"/>
        </w:rPr>
      </w:pPr>
      <w:r>
        <w:rPr>
          <w:rFonts w:eastAsia="MS Mincho"/>
          <w:lang w:val="fr-FR" w:eastAsia="zh-CN"/>
        </w:rPr>
        <w:tab/>
      </w:r>
      <w:r>
        <w:rPr>
          <w:rFonts w:eastAsia="MS Mincho"/>
          <w:lang w:val="fr-FR" w:eastAsia="zh-CN"/>
        </w:rPr>
        <w:tab/>
      </w:r>
      <w:r w:rsidRPr="006A492D">
        <w:rPr>
          <w:rFonts w:eastAsia="MS Mincho"/>
          <w:lang w:val="fr-FR" w:eastAsia="zh-CN"/>
        </w:rPr>
        <w:t>Teneur de la plainte</w:t>
      </w:r>
    </w:p>
    <w:p w14:paraId="6EE16D01" w14:textId="0ACE1FC8" w:rsidR="001E0125" w:rsidRPr="009942E1" w:rsidRDefault="001E0125" w:rsidP="001E0125">
      <w:pPr>
        <w:pStyle w:val="SingleTxtG"/>
        <w:rPr>
          <w:rFonts w:eastAsia="MS Mincho"/>
        </w:rPr>
      </w:pPr>
      <w:r w:rsidRPr="009942E1">
        <w:rPr>
          <w:rFonts w:eastAsia="MS Mincho"/>
        </w:rPr>
        <w:t>3.1</w:t>
      </w:r>
      <w:r w:rsidRPr="009942E1">
        <w:rPr>
          <w:rFonts w:eastAsia="MS Mincho"/>
        </w:rPr>
        <w:tab/>
        <w:t xml:space="preserve">Le requérant prétend être victime de la violation par </w:t>
      </w:r>
      <w:r>
        <w:rPr>
          <w:rFonts w:eastAsia="MS Mincho"/>
        </w:rPr>
        <w:t>l’État partie</w:t>
      </w:r>
      <w:r w:rsidRPr="009942E1">
        <w:rPr>
          <w:rFonts w:eastAsia="MS Mincho"/>
        </w:rPr>
        <w:t xml:space="preserve"> de ses droits protégés par les articles</w:t>
      </w:r>
      <w:r w:rsidR="001467E1">
        <w:rPr>
          <w:rFonts w:eastAsia="MS Mincho"/>
        </w:rPr>
        <w:t> </w:t>
      </w:r>
      <w:r w:rsidRPr="009942E1">
        <w:rPr>
          <w:rFonts w:eastAsia="MS Mincho"/>
        </w:rPr>
        <w:t>2 (par.</w:t>
      </w:r>
      <w:r w:rsidR="001467E1">
        <w:rPr>
          <w:rFonts w:eastAsia="MS Mincho"/>
        </w:rPr>
        <w:t> </w:t>
      </w:r>
      <w:r w:rsidRPr="009942E1">
        <w:rPr>
          <w:rFonts w:eastAsia="MS Mincho"/>
        </w:rPr>
        <w:t>1), 11, 12, 13 et 14, lus conjointement avec l</w:t>
      </w:r>
      <w:r>
        <w:rPr>
          <w:rFonts w:eastAsia="MS Mincho"/>
        </w:rPr>
        <w:t>’</w:t>
      </w:r>
      <w:r w:rsidRPr="009942E1">
        <w:rPr>
          <w:rFonts w:eastAsia="MS Mincho"/>
        </w:rPr>
        <w:t>article</w:t>
      </w:r>
      <w:r w:rsidR="001467E1">
        <w:rPr>
          <w:rFonts w:eastAsia="MS Mincho"/>
        </w:rPr>
        <w:t> </w:t>
      </w:r>
      <w:r w:rsidRPr="009942E1">
        <w:rPr>
          <w:rFonts w:eastAsia="MS Mincho"/>
        </w:rPr>
        <w:t>1</w:t>
      </w:r>
      <w:r w:rsidRPr="00152BE0">
        <w:rPr>
          <w:rFonts w:eastAsia="MS Mincho"/>
          <w:vertAlign w:val="superscript"/>
        </w:rPr>
        <w:t>er</w:t>
      </w:r>
      <w:r w:rsidRPr="009942E1">
        <w:rPr>
          <w:rFonts w:eastAsia="MS Mincho"/>
        </w:rPr>
        <w:t xml:space="preserve"> et, subsidiairement, avec l</w:t>
      </w:r>
      <w:r>
        <w:rPr>
          <w:rFonts w:eastAsia="MS Mincho"/>
        </w:rPr>
        <w:t>’</w:t>
      </w:r>
      <w:r w:rsidRPr="009942E1">
        <w:rPr>
          <w:rFonts w:eastAsia="MS Mincho"/>
        </w:rPr>
        <w:t>article</w:t>
      </w:r>
      <w:r w:rsidR="001467E1">
        <w:rPr>
          <w:rFonts w:eastAsia="MS Mincho"/>
        </w:rPr>
        <w:t> </w:t>
      </w:r>
      <w:r w:rsidRPr="009942E1">
        <w:rPr>
          <w:rFonts w:eastAsia="MS Mincho"/>
        </w:rPr>
        <w:t>16 de la Convention, ainsi que de l</w:t>
      </w:r>
      <w:r>
        <w:rPr>
          <w:rFonts w:eastAsia="MS Mincho"/>
        </w:rPr>
        <w:t>’</w:t>
      </w:r>
      <w:r w:rsidRPr="009942E1">
        <w:rPr>
          <w:rFonts w:eastAsia="MS Mincho"/>
        </w:rPr>
        <w:t>article</w:t>
      </w:r>
      <w:r w:rsidR="001467E1">
        <w:rPr>
          <w:rFonts w:eastAsia="MS Mincho"/>
        </w:rPr>
        <w:t> </w:t>
      </w:r>
      <w:r w:rsidRPr="009942E1">
        <w:rPr>
          <w:rFonts w:eastAsia="MS Mincho"/>
        </w:rPr>
        <w:t xml:space="preserve">16 de la Convention lu </w:t>
      </w:r>
      <w:r>
        <w:rPr>
          <w:rFonts w:eastAsia="MS Mincho"/>
        </w:rPr>
        <w:t>seul</w:t>
      </w:r>
      <w:r w:rsidRPr="009942E1">
        <w:rPr>
          <w:rFonts w:eastAsia="MS Mincho"/>
        </w:rPr>
        <w:t>.</w:t>
      </w:r>
    </w:p>
    <w:p w14:paraId="591FB586" w14:textId="19B11311" w:rsidR="001E0125" w:rsidRPr="009942E1" w:rsidRDefault="001E0125" w:rsidP="001E0125">
      <w:pPr>
        <w:pStyle w:val="SingleTxtG"/>
        <w:rPr>
          <w:rFonts w:eastAsia="MS Mincho"/>
        </w:rPr>
      </w:pPr>
      <w:r w:rsidRPr="009942E1">
        <w:rPr>
          <w:rFonts w:eastAsia="MS Mincho"/>
        </w:rPr>
        <w:t>3.2</w:t>
      </w:r>
      <w:r w:rsidRPr="009942E1">
        <w:rPr>
          <w:rFonts w:eastAsia="MS Mincho"/>
        </w:rPr>
        <w:tab/>
        <w:t xml:space="preserve">Selon le requérant, les sévices qui lui ont été infligés ont provoqué des douleurs et </w:t>
      </w:r>
      <w:r>
        <w:rPr>
          <w:rFonts w:eastAsia="MS Mincho"/>
        </w:rPr>
        <w:t xml:space="preserve">des </w:t>
      </w:r>
      <w:r w:rsidRPr="009942E1">
        <w:rPr>
          <w:rFonts w:eastAsia="MS Mincho"/>
        </w:rPr>
        <w:t>souffrances aiguës</w:t>
      </w:r>
      <w:r>
        <w:rPr>
          <w:rFonts w:eastAsia="MS Mincho"/>
        </w:rPr>
        <w:t xml:space="preserve"> </w:t>
      </w:r>
      <w:r w:rsidRPr="009942E1">
        <w:rPr>
          <w:rFonts w:eastAsia="MS Mincho"/>
        </w:rPr>
        <w:t xml:space="preserve">qui ont </w:t>
      </w:r>
      <w:r>
        <w:rPr>
          <w:rFonts w:eastAsia="MS Mincho"/>
        </w:rPr>
        <w:t xml:space="preserve">encore </w:t>
      </w:r>
      <w:r w:rsidRPr="009942E1">
        <w:rPr>
          <w:rFonts w:eastAsia="MS Mincho"/>
        </w:rPr>
        <w:t>un impact aujourd</w:t>
      </w:r>
      <w:r>
        <w:rPr>
          <w:rFonts w:eastAsia="MS Mincho"/>
        </w:rPr>
        <w:t>’</w:t>
      </w:r>
      <w:r w:rsidRPr="009942E1">
        <w:rPr>
          <w:rFonts w:eastAsia="MS Mincho"/>
        </w:rPr>
        <w:t xml:space="preserve">hui sur sa santé tant physique que psychologique. </w:t>
      </w:r>
      <w:r>
        <w:rPr>
          <w:rFonts w:eastAsia="MS Mincho"/>
        </w:rPr>
        <w:t>Il</w:t>
      </w:r>
      <w:r w:rsidRPr="009942E1">
        <w:rPr>
          <w:rFonts w:eastAsia="MS Mincho"/>
        </w:rPr>
        <w:t xml:space="preserve"> a été délibérément et grièvement blessé par balle le 8</w:t>
      </w:r>
      <w:r w:rsidR="001467E1">
        <w:rPr>
          <w:rFonts w:eastAsia="MS Mincho"/>
        </w:rPr>
        <w:t> </w:t>
      </w:r>
      <w:r w:rsidRPr="009942E1">
        <w:rPr>
          <w:rFonts w:eastAsia="MS Mincho"/>
        </w:rPr>
        <w:t>mars 2014</w:t>
      </w:r>
      <w:r>
        <w:rPr>
          <w:rFonts w:eastAsia="MS Mincho"/>
        </w:rPr>
        <w:t>.</w:t>
      </w:r>
      <w:r w:rsidRPr="009942E1">
        <w:rPr>
          <w:rFonts w:eastAsia="MS Mincho"/>
        </w:rPr>
        <w:t xml:space="preserve"> Les agents de l</w:t>
      </w:r>
      <w:r>
        <w:rPr>
          <w:rFonts w:eastAsia="MS Mincho"/>
        </w:rPr>
        <w:t>’É</w:t>
      </w:r>
      <w:r w:rsidRPr="009942E1">
        <w:rPr>
          <w:rFonts w:eastAsia="MS Mincho"/>
        </w:rPr>
        <w:t>tat ont d</w:t>
      </w:r>
      <w:r>
        <w:rPr>
          <w:rFonts w:eastAsia="MS Mincho"/>
        </w:rPr>
        <w:t>’</w:t>
      </w:r>
      <w:r w:rsidRPr="009942E1">
        <w:rPr>
          <w:rFonts w:eastAsia="MS Mincho"/>
        </w:rPr>
        <w:t>ailleurs empêché le personnel de la Croix</w:t>
      </w:r>
      <w:r>
        <w:rPr>
          <w:rFonts w:eastAsia="MS Mincho"/>
        </w:rPr>
        <w:t>-R</w:t>
      </w:r>
      <w:r w:rsidRPr="009942E1">
        <w:rPr>
          <w:rFonts w:eastAsia="MS Mincho"/>
        </w:rPr>
        <w:t>ouge</w:t>
      </w:r>
      <w:r>
        <w:rPr>
          <w:rFonts w:eastAsia="MS Mincho"/>
        </w:rPr>
        <w:t xml:space="preserve"> du Burundi</w:t>
      </w:r>
      <w:r w:rsidRPr="009942E1">
        <w:rPr>
          <w:rFonts w:eastAsia="MS Mincho"/>
        </w:rPr>
        <w:t xml:space="preserve"> de le secourir. La police l</w:t>
      </w:r>
      <w:r>
        <w:rPr>
          <w:rFonts w:eastAsia="MS Mincho"/>
        </w:rPr>
        <w:t>’</w:t>
      </w:r>
      <w:r w:rsidRPr="009942E1">
        <w:rPr>
          <w:rFonts w:eastAsia="MS Mincho"/>
        </w:rPr>
        <w:t xml:space="preserve">a ensuite violemment </w:t>
      </w:r>
      <w:r>
        <w:rPr>
          <w:rFonts w:eastAsia="MS Mincho"/>
        </w:rPr>
        <w:t>frappé</w:t>
      </w:r>
      <w:r w:rsidRPr="009942E1">
        <w:rPr>
          <w:rFonts w:eastAsia="MS Mincho"/>
        </w:rPr>
        <w:t xml:space="preserve"> le lendemain</w:t>
      </w:r>
      <w:r>
        <w:rPr>
          <w:rFonts w:eastAsia="MS Mincho"/>
        </w:rPr>
        <w:t>,</w:t>
      </w:r>
      <w:r w:rsidRPr="009942E1">
        <w:rPr>
          <w:rFonts w:eastAsia="MS Mincho"/>
        </w:rPr>
        <w:t xml:space="preserve"> </w:t>
      </w:r>
      <w:r>
        <w:rPr>
          <w:rFonts w:eastAsia="MS Mincho"/>
        </w:rPr>
        <w:t xml:space="preserve">soit le </w:t>
      </w:r>
      <w:r w:rsidRPr="009942E1">
        <w:rPr>
          <w:rFonts w:eastAsia="MS Mincho"/>
        </w:rPr>
        <w:t>9</w:t>
      </w:r>
      <w:r w:rsidR="001467E1">
        <w:rPr>
          <w:rFonts w:eastAsia="MS Mincho"/>
        </w:rPr>
        <w:t> </w:t>
      </w:r>
      <w:r w:rsidRPr="009942E1">
        <w:rPr>
          <w:rFonts w:eastAsia="MS Mincho"/>
        </w:rPr>
        <w:t xml:space="preserve">mars 2014, au cours de son arrestation, malgré sa blessure par balle </w:t>
      </w:r>
      <w:r>
        <w:rPr>
          <w:rFonts w:eastAsia="MS Mincho"/>
        </w:rPr>
        <w:t>et</w:t>
      </w:r>
      <w:r w:rsidRPr="009942E1">
        <w:rPr>
          <w:rFonts w:eastAsia="MS Mincho"/>
        </w:rPr>
        <w:t xml:space="preserve"> son état de santé visiblement critique, lui </w:t>
      </w:r>
      <w:r>
        <w:rPr>
          <w:rFonts w:eastAsia="MS Mincho"/>
        </w:rPr>
        <w:t>assénant</w:t>
      </w:r>
      <w:r w:rsidRPr="009942E1">
        <w:rPr>
          <w:rFonts w:eastAsia="MS Mincho"/>
        </w:rPr>
        <w:t xml:space="preserve"> de nombreux coups à l</w:t>
      </w:r>
      <w:r>
        <w:rPr>
          <w:rFonts w:eastAsia="MS Mincho"/>
        </w:rPr>
        <w:t>’</w:t>
      </w:r>
      <w:r w:rsidRPr="009942E1">
        <w:rPr>
          <w:rFonts w:eastAsia="MS Mincho"/>
        </w:rPr>
        <w:t>aide de crosses de fusil, de bottes et de matraques, l</w:t>
      </w:r>
      <w:r>
        <w:rPr>
          <w:rFonts w:eastAsia="MS Mincho"/>
        </w:rPr>
        <w:t>’insultant</w:t>
      </w:r>
      <w:r w:rsidRPr="009942E1">
        <w:rPr>
          <w:rFonts w:eastAsia="MS Mincho"/>
        </w:rPr>
        <w:t xml:space="preserve"> et </w:t>
      </w:r>
      <w:r>
        <w:rPr>
          <w:rFonts w:eastAsia="MS Mincho"/>
        </w:rPr>
        <w:t xml:space="preserve">le </w:t>
      </w:r>
      <w:r>
        <w:rPr>
          <w:rFonts w:eastAsia="MS Mincho"/>
        </w:rPr>
        <w:lastRenderedPageBreak/>
        <w:t>menaçant</w:t>
      </w:r>
      <w:r w:rsidRPr="009942E1">
        <w:rPr>
          <w:rFonts w:eastAsia="MS Mincho"/>
        </w:rPr>
        <w:t xml:space="preserve"> de mort. Le requérant a été emprisonné et privé des soins que nécessitait son </w:t>
      </w:r>
      <w:r>
        <w:rPr>
          <w:rFonts w:eastAsia="MS Mincho"/>
        </w:rPr>
        <w:t>état</w:t>
      </w:r>
      <w:r w:rsidRPr="009942E1">
        <w:rPr>
          <w:rFonts w:eastAsia="MS Mincho"/>
        </w:rPr>
        <w:t xml:space="preserve">, </w:t>
      </w:r>
      <w:r>
        <w:rPr>
          <w:rFonts w:eastAsia="MS Mincho"/>
        </w:rPr>
        <w:t>en dépit d’</w:t>
      </w:r>
      <w:r w:rsidRPr="009942E1">
        <w:rPr>
          <w:rFonts w:eastAsia="MS Mincho"/>
        </w:rPr>
        <w:t xml:space="preserve">avis médicaux en ce sens. La </w:t>
      </w:r>
      <w:r>
        <w:rPr>
          <w:rFonts w:eastAsia="MS Mincho"/>
        </w:rPr>
        <w:t>d</w:t>
      </w:r>
      <w:r w:rsidRPr="009942E1">
        <w:rPr>
          <w:rFonts w:eastAsia="MS Mincho"/>
        </w:rPr>
        <w:t xml:space="preserve">irection de la </w:t>
      </w:r>
      <w:r>
        <w:rPr>
          <w:rFonts w:eastAsia="MS Mincho"/>
        </w:rPr>
        <w:t>p</w:t>
      </w:r>
      <w:r w:rsidRPr="009942E1">
        <w:rPr>
          <w:rFonts w:eastAsia="MS Mincho"/>
        </w:rPr>
        <w:t>rison ne l</w:t>
      </w:r>
      <w:r>
        <w:rPr>
          <w:rFonts w:eastAsia="MS Mincho"/>
        </w:rPr>
        <w:t>’</w:t>
      </w:r>
      <w:r w:rsidRPr="009942E1">
        <w:rPr>
          <w:rFonts w:eastAsia="MS Mincho"/>
        </w:rPr>
        <w:t xml:space="preserve">a pas autorisé à bénéficier des soins de kinésithérapie que sa situation réclamait. Le requérant </w:t>
      </w:r>
      <w:r>
        <w:rPr>
          <w:rFonts w:eastAsia="MS Mincho"/>
        </w:rPr>
        <w:t>soutient</w:t>
      </w:r>
      <w:r w:rsidRPr="009942E1">
        <w:rPr>
          <w:rFonts w:eastAsia="MS Mincho"/>
        </w:rPr>
        <w:t xml:space="preserve"> que les actes de torture infligés par les membres de la </w:t>
      </w:r>
      <w:r>
        <w:rPr>
          <w:rFonts w:eastAsia="MS Mincho"/>
        </w:rPr>
        <w:t>P</w:t>
      </w:r>
      <w:r w:rsidRPr="009942E1">
        <w:rPr>
          <w:rFonts w:eastAsia="MS Mincho"/>
        </w:rPr>
        <w:t>olice nationale visaient à l</w:t>
      </w:r>
      <w:r>
        <w:rPr>
          <w:rFonts w:eastAsia="MS Mincho"/>
        </w:rPr>
        <w:t>’</w:t>
      </w:r>
      <w:r w:rsidRPr="009942E1">
        <w:rPr>
          <w:rFonts w:eastAsia="MS Mincho"/>
        </w:rPr>
        <w:t xml:space="preserve">intimider, </w:t>
      </w:r>
      <w:r>
        <w:rPr>
          <w:rFonts w:eastAsia="MS Mincho"/>
        </w:rPr>
        <w:t>à le</w:t>
      </w:r>
      <w:r w:rsidRPr="009942E1">
        <w:rPr>
          <w:rFonts w:eastAsia="MS Mincho"/>
        </w:rPr>
        <w:t xml:space="preserve"> punir et à faire pression sur lui en raison de son appartenance politique. Il maintient donc que ces sévices constituent des actes de torture </w:t>
      </w:r>
      <w:r>
        <w:rPr>
          <w:rFonts w:eastAsia="MS Mincho"/>
        </w:rPr>
        <w:t>au sens de</w:t>
      </w:r>
      <w:r w:rsidRPr="009942E1">
        <w:rPr>
          <w:rFonts w:eastAsia="MS Mincho"/>
        </w:rPr>
        <w:t xml:space="preserve"> l</w:t>
      </w:r>
      <w:r>
        <w:rPr>
          <w:rFonts w:eastAsia="MS Mincho"/>
        </w:rPr>
        <w:t>’</w:t>
      </w:r>
      <w:r w:rsidRPr="009942E1">
        <w:rPr>
          <w:rFonts w:eastAsia="MS Mincho"/>
        </w:rPr>
        <w:t xml:space="preserve">article </w:t>
      </w:r>
      <w:r>
        <w:rPr>
          <w:rFonts w:eastAsia="MS Mincho"/>
        </w:rPr>
        <w:t>premier</w:t>
      </w:r>
      <w:r w:rsidRPr="009942E1">
        <w:rPr>
          <w:rFonts w:eastAsia="MS Mincho"/>
        </w:rPr>
        <w:t xml:space="preserve"> de la Convention.</w:t>
      </w:r>
    </w:p>
    <w:p w14:paraId="3083C0C1" w14:textId="64756F46" w:rsidR="001E0125" w:rsidRPr="009942E1" w:rsidRDefault="001E0125" w:rsidP="001E0125">
      <w:pPr>
        <w:pStyle w:val="SingleTxtG"/>
        <w:rPr>
          <w:rFonts w:eastAsia="MS Mincho"/>
        </w:rPr>
      </w:pPr>
      <w:r w:rsidRPr="009942E1">
        <w:rPr>
          <w:rFonts w:eastAsia="MS Mincho"/>
        </w:rPr>
        <w:t>3.3</w:t>
      </w:r>
      <w:r w:rsidRPr="009942E1">
        <w:rPr>
          <w:rFonts w:eastAsia="MS Mincho"/>
        </w:rPr>
        <w:tab/>
        <w:t>Au titre de l</w:t>
      </w:r>
      <w:r>
        <w:rPr>
          <w:rFonts w:eastAsia="MS Mincho"/>
        </w:rPr>
        <w:t>’</w:t>
      </w:r>
      <w:r w:rsidRPr="009942E1">
        <w:rPr>
          <w:rFonts w:eastAsia="MS Mincho"/>
        </w:rPr>
        <w:t>article</w:t>
      </w:r>
      <w:r w:rsidR="001467E1">
        <w:rPr>
          <w:rFonts w:eastAsia="MS Mincho"/>
        </w:rPr>
        <w:t> </w:t>
      </w:r>
      <w:r w:rsidRPr="009942E1">
        <w:rPr>
          <w:rFonts w:eastAsia="MS Mincho"/>
        </w:rPr>
        <w:t>2 (par.</w:t>
      </w:r>
      <w:r w:rsidR="001467E1">
        <w:rPr>
          <w:rFonts w:eastAsia="MS Mincho"/>
        </w:rPr>
        <w:t> </w:t>
      </w:r>
      <w:r w:rsidRPr="009942E1">
        <w:rPr>
          <w:rFonts w:eastAsia="MS Mincho"/>
        </w:rPr>
        <w:t>1) de la Convention, le requérant fait valoir que l</w:t>
      </w:r>
      <w:r>
        <w:rPr>
          <w:rFonts w:eastAsia="MS Mincho"/>
        </w:rPr>
        <w:t>’</w:t>
      </w:r>
      <w:r w:rsidRPr="009942E1">
        <w:rPr>
          <w:rFonts w:eastAsia="MS Mincho"/>
        </w:rPr>
        <w:t>État partie n</w:t>
      </w:r>
      <w:r>
        <w:rPr>
          <w:rFonts w:eastAsia="MS Mincho"/>
        </w:rPr>
        <w:t>’</w:t>
      </w:r>
      <w:r w:rsidRPr="009942E1">
        <w:rPr>
          <w:rFonts w:eastAsia="MS Mincho"/>
        </w:rPr>
        <w:t>a pas pris de mesures efficaces pour prévenir la commission d</w:t>
      </w:r>
      <w:r>
        <w:rPr>
          <w:rFonts w:eastAsia="MS Mincho"/>
        </w:rPr>
        <w:t>’</w:t>
      </w:r>
      <w:r w:rsidRPr="009942E1">
        <w:rPr>
          <w:rFonts w:eastAsia="MS Mincho"/>
        </w:rPr>
        <w:t xml:space="preserve">actes de torture sous sa juridiction. Premièrement, </w:t>
      </w:r>
      <w:r>
        <w:rPr>
          <w:rFonts w:eastAsia="MS Mincho"/>
        </w:rPr>
        <w:t>il soutient</w:t>
      </w:r>
      <w:r w:rsidRPr="009942E1">
        <w:rPr>
          <w:rFonts w:eastAsia="MS Mincho"/>
        </w:rPr>
        <w:t xml:space="preserve"> </w:t>
      </w:r>
      <w:r>
        <w:rPr>
          <w:rFonts w:eastAsia="MS Mincho"/>
        </w:rPr>
        <w:t>ne</w:t>
      </w:r>
      <w:r w:rsidRPr="009942E1">
        <w:rPr>
          <w:rFonts w:eastAsia="MS Mincho"/>
        </w:rPr>
        <w:t xml:space="preserve"> pas </w:t>
      </w:r>
      <w:r>
        <w:rPr>
          <w:rFonts w:eastAsia="MS Mincho"/>
        </w:rPr>
        <w:t xml:space="preserve">avoir </w:t>
      </w:r>
      <w:r w:rsidRPr="009942E1">
        <w:rPr>
          <w:rFonts w:eastAsia="MS Mincho"/>
        </w:rPr>
        <w:t xml:space="preserve">eu la possibilité </w:t>
      </w:r>
      <w:r>
        <w:rPr>
          <w:rFonts w:eastAsia="MS Mincho"/>
        </w:rPr>
        <w:t>d’accéder</w:t>
      </w:r>
      <w:r w:rsidRPr="009942E1">
        <w:rPr>
          <w:rFonts w:eastAsia="MS Mincho"/>
        </w:rPr>
        <w:t xml:space="preserve"> à des recours judiciaires, les autorités burundaises ne </w:t>
      </w:r>
      <w:r>
        <w:rPr>
          <w:rFonts w:eastAsia="MS Mincho"/>
        </w:rPr>
        <w:t>s’étant</w:t>
      </w:r>
      <w:r w:rsidRPr="009942E1">
        <w:rPr>
          <w:rFonts w:eastAsia="MS Mincho"/>
        </w:rPr>
        <w:t xml:space="preserve"> pas acquitté</w:t>
      </w:r>
      <w:r>
        <w:rPr>
          <w:rFonts w:eastAsia="MS Mincho"/>
        </w:rPr>
        <w:t>e</w:t>
      </w:r>
      <w:r w:rsidRPr="009942E1">
        <w:rPr>
          <w:rFonts w:eastAsia="MS Mincho"/>
        </w:rPr>
        <w:t>s de leur obligation d</w:t>
      </w:r>
      <w:r>
        <w:rPr>
          <w:rFonts w:eastAsia="MS Mincho"/>
        </w:rPr>
        <w:t>’</w:t>
      </w:r>
      <w:r w:rsidRPr="009942E1">
        <w:rPr>
          <w:rFonts w:eastAsia="MS Mincho"/>
        </w:rPr>
        <w:t xml:space="preserve">enquêter sur les tortures qui lui ont été infligées. Deuxièmement, </w:t>
      </w:r>
      <w:r>
        <w:rPr>
          <w:rFonts w:eastAsia="MS Mincho"/>
        </w:rPr>
        <w:t>les</w:t>
      </w:r>
      <w:r w:rsidRPr="009942E1">
        <w:rPr>
          <w:rFonts w:eastAsia="MS Mincho"/>
        </w:rPr>
        <w:t xml:space="preserve"> garanties procédurales qui doivent </w:t>
      </w:r>
      <w:r>
        <w:rPr>
          <w:rFonts w:eastAsia="MS Mincho"/>
        </w:rPr>
        <w:t>encadrer</w:t>
      </w:r>
      <w:r w:rsidRPr="009942E1">
        <w:rPr>
          <w:rFonts w:eastAsia="MS Mincho"/>
        </w:rPr>
        <w:t xml:space="preserve"> toute privation de liberté n</w:t>
      </w:r>
      <w:r>
        <w:rPr>
          <w:rFonts w:eastAsia="MS Mincho"/>
        </w:rPr>
        <w:t>’</w:t>
      </w:r>
      <w:r w:rsidRPr="009942E1">
        <w:rPr>
          <w:rFonts w:eastAsia="MS Mincho"/>
        </w:rPr>
        <w:t xml:space="preserve">ont pas été respectées, notamment la possibilité </w:t>
      </w:r>
      <w:r>
        <w:rPr>
          <w:rFonts w:eastAsia="MS Mincho"/>
        </w:rPr>
        <w:t xml:space="preserve">pour le requérant </w:t>
      </w:r>
      <w:r w:rsidRPr="009942E1">
        <w:rPr>
          <w:rFonts w:eastAsia="MS Mincho"/>
        </w:rPr>
        <w:t>de contester la légalité de sa détention. L</w:t>
      </w:r>
      <w:r>
        <w:rPr>
          <w:rFonts w:eastAsia="MS Mincho"/>
        </w:rPr>
        <w:t>e requérant</w:t>
      </w:r>
      <w:r w:rsidRPr="009942E1">
        <w:rPr>
          <w:rFonts w:eastAsia="MS Mincho"/>
        </w:rPr>
        <w:t xml:space="preserve"> en veut pour preuve le refus de</w:t>
      </w:r>
      <w:r>
        <w:rPr>
          <w:rFonts w:eastAsia="MS Mincho"/>
        </w:rPr>
        <w:t>s</w:t>
      </w:r>
      <w:r w:rsidRPr="009942E1">
        <w:rPr>
          <w:rFonts w:eastAsia="MS Mincho"/>
        </w:rPr>
        <w:t xml:space="preserve"> autorités, lors de l</w:t>
      </w:r>
      <w:r>
        <w:rPr>
          <w:rFonts w:eastAsia="MS Mincho"/>
        </w:rPr>
        <w:t>’</w:t>
      </w:r>
      <w:r w:rsidRPr="009942E1">
        <w:rPr>
          <w:rFonts w:eastAsia="MS Mincho"/>
        </w:rPr>
        <w:t>audience du 25</w:t>
      </w:r>
      <w:r w:rsidR="001467E1">
        <w:rPr>
          <w:rFonts w:eastAsia="MS Mincho"/>
        </w:rPr>
        <w:t> </w:t>
      </w:r>
      <w:r w:rsidRPr="009942E1">
        <w:rPr>
          <w:rFonts w:eastAsia="MS Mincho"/>
        </w:rPr>
        <w:t>juin 2014</w:t>
      </w:r>
      <w:r>
        <w:rPr>
          <w:rFonts w:eastAsia="MS Mincho"/>
        </w:rPr>
        <w:t>,</w:t>
      </w:r>
      <w:r w:rsidRPr="009942E1">
        <w:rPr>
          <w:rFonts w:eastAsia="MS Mincho"/>
        </w:rPr>
        <w:t xml:space="preserve"> </w:t>
      </w:r>
      <w:r>
        <w:rPr>
          <w:rFonts w:eastAsia="MS Mincho"/>
        </w:rPr>
        <w:t>d’</w:t>
      </w:r>
      <w:r w:rsidRPr="009942E1">
        <w:rPr>
          <w:rFonts w:eastAsia="MS Mincho"/>
        </w:rPr>
        <w:t>accéder à une demande d</w:t>
      </w:r>
      <w:r>
        <w:rPr>
          <w:rFonts w:eastAsia="MS Mincho"/>
        </w:rPr>
        <w:t>’</w:t>
      </w:r>
      <w:r w:rsidRPr="009942E1">
        <w:rPr>
          <w:rFonts w:eastAsia="MS Mincho"/>
        </w:rPr>
        <w:t>expertise médicale sur sa situation</w:t>
      </w:r>
      <w:r>
        <w:rPr>
          <w:rFonts w:eastAsia="MS Mincho"/>
        </w:rPr>
        <w:t>,</w:t>
      </w:r>
      <w:r w:rsidRPr="009942E1">
        <w:rPr>
          <w:rFonts w:eastAsia="MS Mincho"/>
        </w:rPr>
        <w:t xml:space="preserve"> et le refus de lui accorder la liberté provisoire lors de l</w:t>
      </w:r>
      <w:r>
        <w:rPr>
          <w:rFonts w:eastAsia="MS Mincho"/>
        </w:rPr>
        <w:t>’</w:t>
      </w:r>
      <w:r w:rsidRPr="009942E1">
        <w:rPr>
          <w:rFonts w:eastAsia="MS Mincho"/>
        </w:rPr>
        <w:t>audience du 20</w:t>
      </w:r>
      <w:r w:rsidR="001467E1">
        <w:rPr>
          <w:rFonts w:eastAsia="MS Mincho"/>
        </w:rPr>
        <w:t> </w:t>
      </w:r>
      <w:r w:rsidRPr="009942E1">
        <w:rPr>
          <w:rFonts w:eastAsia="MS Mincho"/>
        </w:rPr>
        <w:t xml:space="preserve">février 2015 </w:t>
      </w:r>
      <w:r>
        <w:rPr>
          <w:rFonts w:eastAsia="MS Mincho"/>
        </w:rPr>
        <w:t>malgré l’</w:t>
      </w:r>
      <w:r w:rsidRPr="009942E1">
        <w:rPr>
          <w:rFonts w:eastAsia="MS Mincho"/>
        </w:rPr>
        <w:t xml:space="preserve">irrégularité de la procédure et la dégradation de </w:t>
      </w:r>
      <w:r>
        <w:rPr>
          <w:rFonts w:eastAsia="MS Mincho"/>
        </w:rPr>
        <w:t>son état de santé</w:t>
      </w:r>
      <w:r w:rsidRPr="009942E1">
        <w:rPr>
          <w:rFonts w:eastAsia="MS Mincho"/>
        </w:rPr>
        <w:t>. Troisièmement,</w:t>
      </w:r>
      <w:r>
        <w:rPr>
          <w:rFonts w:eastAsia="MS Mincho"/>
        </w:rPr>
        <w:t xml:space="preserve"> le requérant</w:t>
      </w:r>
      <w:r w:rsidRPr="009942E1">
        <w:rPr>
          <w:rFonts w:eastAsia="MS Mincho"/>
        </w:rPr>
        <w:t xml:space="preserve"> </w:t>
      </w:r>
      <w:r>
        <w:rPr>
          <w:rFonts w:eastAsia="MS Mincho"/>
        </w:rPr>
        <w:t>soutient</w:t>
      </w:r>
      <w:r w:rsidRPr="009942E1">
        <w:rPr>
          <w:rFonts w:eastAsia="MS Mincho"/>
        </w:rPr>
        <w:t xml:space="preserve"> qu</w:t>
      </w:r>
      <w:r>
        <w:rPr>
          <w:rFonts w:eastAsia="MS Mincho"/>
        </w:rPr>
        <w:t>’</w:t>
      </w:r>
      <w:r w:rsidRPr="009942E1">
        <w:rPr>
          <w:rFonts w:eastAsia="MS Mincho"/>
        </w:rPr>
        <w:t>en dépit de son état de santé et du fait qu</w:t>
      </w:r>
      <w:r>
        <w:rPr>
          <w:rFonts w:eastAsia="MS Mincho"/>
        </w:rPr>
        <w:t>’</w:t>
      </w:r>
      <w:r w:rsidRPr="009942E1">
        <w:rPr>
          <w:rFonts w:eastAsia="MS Mincho"/>
        </w:rPr>
        <w:t>il n</w:t>
      </w:r>
      <w:r>
        <w:rPr>
          <w:rFonts w:eastAsia="MS Mincho"/>
        </w:rPr>
        <w:t>’</w:t>
      </w:r>
      <w:r w:rsidRPr="009942E1">
        <w:rPr>
          <w:rFonts w:eastAsia="MS Mincho"/>
        </w:rPr>
        <w:t xml:space="preserve">avait pas bénéficié de soins médicaux, notamment pour la </w:t>
      </w:r>
      <w:r>
        <w:rPr>
          <w:rFonts w:eastAsia="MS Mincho"/>
        </w:rPr>
        <w:t xml:space="preserve">grave </w:t>
      </w:r>
      <w:r w:rsidRPr="009942E1">
        <w:rPr>
          <w:rFonts w:eastAsia="MS Mincho"/>
        </w:rPr>
        <w:t xml:space="preserve">blessure </w:t>
      </w:r>
      <w:r>
        <w:rPr>
          <w:rFonts w:eastAsia="MS Mincho"/>
        </w:rPr>
        <w:t>par</w:t>
      </w:r>
      <w:r w:rsidRPr="009942E1">
        <w:rPr>
          <w:rFonts w:eastAsia="MS Mincho"/>
        </w:rPr>
        <w:t xml:space="preserve"> balle </w:t>
      </w:r>
      <w:r>
        <w:rPr>
          <w:rFonts w:eastAsia="MS Mincho"/>
        </w:rPr>
        <w:t>du</w:t>
      </w:r>
      <w:r w:rsidRPr="009942E1">
        <w:rPr>
          <w:rFonts w:eastAsia="MS Mincho"/>
        </w:rPr>
        <w:t xml:space="preserve"> jour </w:t>
      </w:r>
      <w:r>
        <w:rPr>
          <w:rFonts w:eastAsia="MS Mincho"/>
        </w:rPr>
        <w:t>précédent</w:t>
      </w:r>
      <w:r w:rsidRPr="009942E1">
        <w:rPr>
          <w:rFonts w:eastAsia="MS Mincho"/>
        </w:rPr>
        <w:t>, il n</w:t>
      </w:r>
      <w:r>
        <w:rPr>
          <w:rFonts w:eastAsia="MS Mincho"/>
        </w:rPr>
        <w:t>’</w:t>
      </w:r>
      <w:r w:rsidRPr="009942E1">
        <w:rPr>
          <w:rFonts w:eastAsia="MS Mincho"/>
        </w:rPr>
        <w:t xml:space="preserve">a reçu les premiers soins que </w:t>
      </w:r>
      <w:r>
        <w:rPr>
          <w:rFonts w:eastAsia="MS Mincho"/>
        </w:rPr>
        <w:t>quatre</w:t>
      </w:r>
      <w:r w:rsidRPr="009942E1">
        <w:rPr>
          <w:rFonts w:eastAsia="MS Mincho"/>
        </w:rPr>
        <w:t xml:space="preserve"> heures après son arrestation. </w:t>
      </w:r>
      <w:r>
        <w:rPr>
          <w:rFonts w:eastAsia="MS Mincho"/>
        </w:rPr>
        <w:t>Du</w:t>
      </w:r>
      <w:r w:rsidRPr="009942E1">
        <w:rPr>
          <w:rFonts w:eastAsia="MS Mincho"/>
        </w:rPr>
        <w:t xml:space="preserve"> fait qu</w:t>
      </w:r>
      <w:r>
        <w:rPr>
          <w:rFonts w:eastAsia="MS Mincho"/>
        </w:rPr>
        <w:t>’</w:t>
      </w:r>
      <w:r w:rsidRPr="009942E1">
        <w:rPr>
          <w:rFonts w:eastAsia="MS Mincho"/>
        </w:rPr>
        <w:t>il n</w:t>
      </w:r>
      <w:r>
        <w:rPr>
          <w:rFonts w:eastAsia="MS Mincho"/>
        </w:rPr>
        <w:t>’</w:t>
      </w:r>
      <w:r w:rsidRPr="009942E1">
        <w:rPr>
          <w:rFonts w:eastAsia="MS Mincho"/>
        </w:rPr>
        <w:t xml:space="preserve">a pas été autorisé à bénéficier des soins </w:t>
      </w:r>
      <w:r>
        <w:rPr>
          <w:rFonts w:eastAsia="MS Mincho"/>
        </w:rPr>
        <w:t>qu’il nécessitait</w:t>
      </w:r>
      <w:r w:rsidRPr="009942E1">
        <w:rPr>
          <w:rFonts w:eastAsia="MS Mincho"/>
        </w:rPr>
        <w:t xml:space="preserve">, </w:t>
      </w:r>
      <w:r>
        <w:rPr>
          <w:rFonts w:eastAsia="MS Mincho"/>
        </w:rPr>
        <w:t xml:space="preserve">son </w:t>
      </w:r>
      <w:r w:rsidRPr="009942E1">
        <w:rPr>
          <w:rFonts w:eastAsia="MS Mincho"/>
        </w:rPr>
        <w:t>état de santé a été irrémédiablement compromis. De plus, malgré les dénonciations et une plainte formelle présentées par le requérant, l</w:t>
      </w:r>
      <w:r>
        <w:rPr>
          <w:rFonts w:eastAsia="MS Mincho"/>
        </w:rPr>
        <w:t>’</w:t>
      </w:r>
      <w:r w:rsidRPr="009942E1">
        <w:rPr>
          <w:rFonts w:eastAsia="MS Mincho"/>
        </w:rPr>
        <w:t>État partie ne s</w:t>
      </w:r>
      <w:r>
        <w:rPr>
          <w:rFonts w:eastAsia="MS Mincho"/>
        </w:rPr>
        <w:t>’</w:t>
      </w:r>
      <w:r w:rsidRPr="009942E1">
        <w:rPr>
          <w:rFonts w:eastAsia="MS Mincho"/>
        </w:rPr>
        <w:t>est pas acquitté de ses obligations d</w:t>
      </w:r>
      <w:r>
        <w:rPr>
          <w:rFonts w:eastAsia="MS Mincho"/>
        </w:rPr>
        <w:t>’</w:t>
      </w:r>
      <w:r w:rsidRPr="009942E1">
        <w:rPr>
          <w:rFonts w:eastAsia="MS Mincho"/>
        </w:rPr>
        <w:t>enquêter sur les tortures infligées et de traduire en justice les responsables</w:t>
      </w:r>
      <w:r>
        <w:rPr>
          <w:rFonts w:eastAsia="MS Mincho"/>
        </w:rPr>
        <w:t xml:space="preserve"> de ces actes</w:t>
      </w:r>
      <w:r w:rsidRPr="009942E1">
        <w:rPr>
          <w:rFonts w:eastAsia="MS Mincho"/>
        </w:rPr>
        <w:t>.</w:t>
      </w:r>
      <w:r w:rsidRPr="009942E1">
        <w:t xml:space="preserve"> </w:t>
      </w:r>
      <w:r w:rsidRPr="009942E1">
        <w:rPr>
          <w:rFonts w:eastAsia="MS Mincho"/>
        </w:rPr>
        <w:t>Enfin, le requérant souligne qu</w:t>
      </w:r>
      <w:r>
        <w:rPr>
          <w:rFonts w:eastAsia="MS Mincho"/>
        </w:rPr>
        <w:t>’</w:t>
      </w:r>
      <w:r w:rsidRPr="009942E1">
        <w:rPr>
          <w:rFonts w:eastAsia="MS Mincho"/>
        </w:rPr>
        <w:t>en droit burundais, hormis lorsqu</w:t>
      </w:r>
      <w:r>
        <w:rPr>
          <w:rFonts w:eastAsia="MS Mincho"/>
        </w:rPr>
        <w:t>’</w:t>
      </w:r>
      <w:r w:rsidRPr="009942E1">
        <w:rPr>
          <w:rFonts w:eastAsia="MS Mincho"/>
        </w:rPr>
        <w:t>ils sont commis dans le contexte de crimes de guerre, de crimes contre l</w:t>
      </w:r>
      <w:r>
        <w:rPr>
          <w:rFonts w:eastAsia="MS Mincho"/>
        </w:rPr>
        <w:t>’</w:t>
      </w:r>
      <w:r w:rsidRPr="009942E1">
        <w:rPr>
          <w:rFonts w:eastAsia="MS Mincho"/>
        </w:rPr>
        <w:t>humanité ou du crime de génocide, les actes de torture sont soumis à un délai de prescription de vingt ou trente ans selon les circonstances</w:t>
      </w:r>
      <w:r w:rsidRPr="00152BE0">
        <w:rPr>
          <w:rStyle w:val="Appelnotedebasdep"/>
        </w:rPr>
        <w:footnoteReference w:id="8"/>
      </w:r>
      <w:r w:rsidRPr="009942E1">
        <w:rPr>
          <w:rFonts w:eastAsia="MS Mincho"/>
        </w:rPr>
        <w:t>.</w:t>
      </w:r>
      <w:r w:rsidRPr="009942E1">
        <w:t xml:space="preserve"> </w:t>
      </w:r>
    </w:p>
    <w:p w14:paraId="4986753E" w14:textId="083ACE76" w:rsidR="001E0125" w:rsidRPr="009942E1" w:rsidRDefault="001E0125" w:rsidP="001E0125">
      <w:pPr>
        <w:pStyle w:val="SingleTxtG"/>
        <w:rPr>
          <w:rFonts w:eastAsia="MS Mincho"/>
        </w:rPr>
      </w:pPr>
      <w:r w:rsidRPr="009942E1">
        <w:rPr>
          <w:rFonts w:eastAsia="MS Mincho"/>
        </w:rPr>
        <w:t>3.4</w:t>
      </w:r>
      <w:r w:rsidRPr="009942E1">
        <w:rPr>
          <w:rFonts w:eastAsia="MS Mincho"/>
        </w:rPr>
        <w:tab/>
        <w:t>Invoquant l</w:t>
      </w:r>
      <w:r>
        <w:rPr>
          <w:rFonts w:eastAsia="MS Mincho"/>
        </w:rPr>
        <w:t>’</w:t>
      </w:r>
      <w:r w:rsidRPr="009942E1">
        <w:rPr>
          <w:rFonts w:eastAsia="MS Mincho"/>
        </w:rPr>
        <w:t>article</w:t>
      </w:r>
      <w:r w:rsidR="001467E1">
        <w:rPr>
          <w:rFonts w:eastAsia="MS Mincho"/>
        </w:rPr>
        <w:t> </w:t>
      </w:r>
      <w:r w:rsidRPr="009942E1">
        <w:rPr>
          <w:rFonts w:eastAsia="MS Mincho"/>
        </w:rPr>
        <w:t>11 de la Convention et la pratique du Comité</w:t>
      </w:r>
      <w:r w:rsidRPr="00152BE0">
        <w:rPr>
          <w:rStyle w:val="Appelnotedebasdep"/>
        </w:rPr>
        <w:footnoteReference w:id="9"/>
      </w:r>
      <w:r w:rsidRPr="009942E1">
        <w:rPr>
          <w:rFonts w:eastAsia="MS Mincho"/>
        </w:rPr>
        <w:t>, le requérant fait valoir que l</w:t>
      </w:r>
      <w:r>
        <w:rPr>
          <w:rFonts w:eastAsia="MS Mincho"/>
        </w:rPr>
        <w:t>’É</w:t>
      </w:r>
      <w:r w:rsidRPr="009942E1">
        <w:rPr>
          <w:rFonts w:eastAsia="MS Mincho"/>
        </w:rPr>
        <w:t>tat</w:t>
      </w:r>
      <w:r>
        <w:rPr>
          <w:rFonts w:eastAsia="MS Mincho"/>
        </w:rPr>
        <w:t xml:space="preserve"> partie</w:t>
      </w:r>
      <w:r w:rsidRPr="009942E1">
        <w:rPr>
          <w:rFonts w:eastAsia="MS Mincho"/>
        </w:rPr>
        <w:t xml:space="preserve"> a failli à son obligation de </w:t>
      </w:r>
      <w:r>
        <w:rPr>
          <w:rFonts w:eastAsia="MS Mincho"/>
        </w:rPr>
        <w:t>surveillance systématique sur les</w:t>
      </w:r>
      <w:r w:rsidRPr="009942E1">
        <w:rPr>
          <w:rFonts w:eastAsia="MS Mincho"/>
        </w:rPr>
        <w:t xml:space="preserve"> règles, instructions, méthodes et pratiques et </w:t>
      </w:r>
      <w:r>
        <w:rPr>
          <w:rFonts w:eastAsia="MS Mincho"/>
        </w:rPr>
        <w:t xml:space="preserve">sur </w:t>
      </w:r>
      <w:r w:rsidRPr="009942E1">
        <w:rPr>
          <w:rFonts w:eastAsia="MS Mincho"/>
        </w:rPr>
        <w:t xml:space="preserve">les dispositions concernant son traitement au cours de son arrestation et de sa détention. </w:t>
      </w:r>
      <w:r>
        <w:rPr>
          <w:rFonts w:eastAsia="MS Mincho"/>
        </w:rPr>
        <w:t>Cela</w:t>
      </w:r>
      <w:r w:rsidRPr="009942E1">
        <w:rPr>
          <w:rFonts w:eastAsia="MS Mincho"/>
        </w:rPr>
        <w:t xml:space="preserve"> est illustré par le refus des autorités de lui permettre d</w:t>
      </w:r>
      <w:r>
        <w:rPr>
          <w:rFonts w:eastAsia="MS Mincho"/>
        </w:rPr>
        <w:t>’</w:t>
      </w:r>
      <w:r w:rsidRPr="009942E1">
        <w:rPr>
          <w:rFonts w:eastAsia="MS Mincho"/>
        </w:rPr>
        <w:t xml:space="preserve">accéder aux soins appropriés au cours de sa détention, </w:t>
      </w:r>
      <w:r>
        <w:rPr>
          <w:rFonts w:eastAsia="MS Mincho"/>
        </w:rPr>
        <w:t xml:space="preserve">par </w:t>
      </w:r>
      <w:r w:rsidRPr="009942E1">
        <w:rPr>
          <w:rFonts w:eastAsia="MS Mincho"/>
        </w:rPr>
        <w:t xml:space="preserve">les actes de torture dont il a été victime lors de son arrestation ainsi que </w:t>
      </w:r>
      <w:r>
        <w:rPr>
          <w:rFonts w:eastAsia="MS Mincho"/>
        </w:rPr>
        <w:t>par les</w:t>
      </w:r>
      <w:r w:rsidRPr="009942E1">
        <w:rPr>
          <w:rFonts w:eastAsia="MS Mincho"/>
        </w:rPr>
        <w:t xml:space="preserve"> entraves à la jouissance de ses garanties judiciaires. </w:t>
      </w:r>
    </w:p>
    <w:p w14:paraId="464CB027" w14:textId="57516B41" w:rsidR="001E0125" w:rsidRPr="009942E1" w:rsidRDefault="001E0125" w:rsidP="001E0125">
      <w:pPr>
        <w:pStyle w:val="SingleTxtG"/>
        <w:rPr>
          <w:lang w:eastAsia="en-GB"/>
        </w:rPr>
      </w:pPr>
      <w:r w:rsidRPr="009942E1">
        <w:rPr>
          <w:rFonts w:eastAsia="MS Mincho"/>
        </w:rPr>
        <w:t>3.5</w:t>
      </w:r>
      <w:r w:rsidRPr="009942E1">
        <w:rPr>
          <w:rFonts w:eastAsia="MS Mincho"/>
        </w:rPr>
        <w:tab/>
      </w:r>
      <w:r>
        <w:rPr>
          <w:lang w:eastAsia="en-GB"/>
        </w:rPr>
        <w:t>Par ailleurs</w:t>
      </w:r>
      <w:r w:rsidRPr="009942E1">
        <w:rPr>
          <w:lang w:eastAsia="en-GB"/>
        </w:rPr>
        <w:t>, le requérant fait valoir qu</w:t>
      </w:r>
      <w:r>
        <w:rPr>
          <w:lang w:eastAsia="en-GB"/>
        </w:rPr>
        <w:t xml:space="preserve">’alors qu’elles étaient </w:t>
      </w:r>
      <w:r w:rsidRPr="009942E1">
        <w:rPr>
          <w:lang w:eastAsia="en-GB"/>
        </w:rPr>
        <w:t>informées des tortures qu</w:t>
      </w:r>
      <w:r>
        <w:rPr>
          <w:lang w:eastAsia="en-GB"/>
        </w:rPr>
        <w:t xml:space="preserve">’il </w:t>
      </w:r>
      <w:r w:rsidRPr="009942E1">
        <w:rPr>
          <w:lang w:eastAsia="en-GB"/>
        </w:rPr>
        <w:t>a</w:t>
      </w:r>
      <w:r>
        <w:rPr>
          <w:lang w:eastAsia="en-GB"/>
        </w:rPr>
        <w:t>vait</w:t>
      </w:r>
      <w:r w:rsidRPr="009942E1">
        <w:rPr>
          <w:lang w:eastAsia="en-GB"/>
        </w:rPr>
        <w:t xml:space="preserve"> subies par </w:t>
      </w:r>
      <w:r>
        <w:rPr>
          <w:lang w:eastAsia="en-GB"/>
        </w:rPr>
        <w:t>l’intermédiaire</w:t>
      </w:r>
      <w:r w:rsidRPr="009942E1">
        <w:rPr>
          <w:lang w:eastAsia="en-GB"/>
        </w:rPr>
        <w:t xml:space="preserve"> d</w:t>
      </w:r>
      <w:r>
        <w:rPr>
          <w:lang w:eastAsia="en-GB"/>
        </w:rPr>
        <w:t>’</w:t>
      </w:r>
      <w:r w:rsidRPr="009942E1">
        <w:rPr>
          <w:lang w:eastAsia="en-GB"/>
        </w:rPr>
        <w:t>une plainte déposée le 14</w:t>
      </w:r>
      <w:r w:rsidR="001467E1">
        <w:rPr>
          <w:lang w:eastAsia="en-GB"/>
        </w:rPr>
        <w:t> </w:t>
      </w:r>
      <w:r w:rsidRPr="009942E1">
        <w:rPr>
          <w:lang w:eastAsia="en-GB"/>
        </w:rPr>
        <w:t>mars 2014 ainsi que des dénonciations faites lors de l</w:t>
      </w:r>
      <w:r>
        <w:rPr>
          <w:lang w:eastAsia="en-GB"/>
        </w:rPr>
        <w:t>’</w:t>
      </w:r>
      <w:r w:rsidRPr="009942E1">
        <w:rPr>
          <w:lang w:eastAsia="en-GB"/>
        </w:rPr>
        <w:t xml:space="preserve">audience </w:t>
      </w:r>
      <w:r w:rsidRPr="00B9691D">
        <w:rPr>
          <w:lang w:eastAsia="en-GB"/>
        </w:rPr>
        <w:t xml:space="preserve">du </w:t>
      </w:r>
      <w:r w:rsidRPr="006A492D">
        <w:rPr>
          <w:lang w:eastAsia="en-GB"/>
        </w:rPr>
        <w:t>25</w:t>
      </w:r>
      <w:r w:rsidR="001467E1">
        <w:rPr>
          <w:lang w:eastAsia="en-GB"/>
        </w:rPr>
        <w:t> </w:t>
      </w:r>
      <w:r w:rsidRPr="006A492D">
        <w:rPr>
          <w:lang w:eastAsia="en-GB"/>
        </w:rPr>
        <w:t>juin 2014</w:t>
      </w:r>
      <w:r w:rsidRPr="00B9691D">
        <w:rPr>
          <w:lang w:eastAsia="en-GB"/>
        </w:rPr>
        <w:t>,</w:t>
      </w:r>
      <w:r w:rsidRPr="009942E1">
        <w:rPr>
          <w:lang w:eastAsia="en-GB"/>
        </w:rPr>
        <w:t xml:space="preserve"> les autorités burundaises n</w:t>
      </w:r>
      <w:r>
        <w:rPr>
          <w:lang w:eastAsia="en-GB"/>
        </w:rPr>
        <w:t>’</w:t>
      </w:r>
      <w:r w:rsidRPr="009942E1">
        <w:rPr>
          <w:lang w:eastAsia="en-GB"/>
        </w:rPr>
        <w:t xml:space="preserve">ont pas effectué </w:t>
      </w:r>
      <w:r>
        <w:rPr>
          <w:lang w:eastAsia="en-GB"/>
        </w:rPr>
        <w:t>d’</w:t>
      </w:r>
      <w:r w:rsidRPr="009942E1">
        <w:rPr>
          <w:lang w:eastAsia="en-GB"/>
        </w:rPr>
        <w:t>enquête prompte et effective sur les allégations de torture, en violation de l</w:t>
      </w:r>
      <w:r>
        <w:rPr>
          <w:lang w:eastAsia="en-GB"/>
        </w:rPr>
        <w:t>’</w:t>
      </w:r>
      <w:r w:rsidRPr="009942E1">
        <w:rPr>
          <w:lang w:eastAsia="en-GB"/>
        </w:rPr>
        <w:t>obligation imposée par l</w:t>
      </w:r>
      <w:r>
        <w:rPr>
          <w:lang w:eastAsia="en-GB"/>
        </w:rPr>
        <w:t>’</w:t>
      </w:r>
      <w:r w:rsidRPr="009942E1">
        <w:rPr>
          <w:lang w:eastAsia="en-GB"/>
        </w:rPr>
        <w:t>article</w:t>
      </w:r>
      <w:r w:rsidR="001467E1">
        <w:rPr>
          <w:lang w:eastAsia="en-GB"/>
        </w:rPr>
        <w:t> </w:t>
      </w:r>
      <w:r w:rsidRPr="009942E1">
        <w:rPr>
          <w:lang w:eastAsia="en-GB"/>
        </w:rPr>
        <w:t>12 de la Convention. Il allègue également que l</w:t>
      </w:r>
      <w:r>
        <w:rPr>
          <w:lang w:eastAsia="en-GB"/>
        </w:rPr>
        <w:t>’</w:t>
      </w:r>
      <w:r w:rsidRPr="009942E1">
        <w:rPr>
          <w:lang w:eastAsia="en-GB"/>
        </w:rPr>
        <w:t>État partie n</w:t>
      </w:r>
      <w:r>
        <w:rPr>
          <w:lang w:eastAsia="en-GB"/>
        </w:rPr>
        <w:t>’</w:t>
      </w:r>
      <w:r w:rsidRPr="009942E1">
        <w:rPr>
          <w:lang w:eastAsia="en-GB"/>
        </w:rPr>
        <w:t>a pas respecté son droit de porter plainte en vue de l</w:t>
      </w:r>
      <w:r>
        <w:rPr>
          <w:lang w:eastAsia="en-GB"/>
        </w:rPr>
        <w:t>’</w:t>
      </w:r>
      <w:r w:rsidRPr="009942E1">
        <w:rPr>
          <w:lang w:eastAsia="en-GB"/>
        </w:rPr>
        <w:t>examen immédiat et impartial des faits allégués, contrevenant ainsi à l</w:t>
      </w:r>
      <w:r>
        <w:rPr>
          <w:lang w:eastAsia="en-GB"/>
        </w:rPr>
        <w:t>’</w:t>
      </w:r>
      <w:r w:rsidRPr="009942E1">
        <w:rPr>
          <w:lang w:eastAsia="en-GB"/>
        </w:rPr>
        <w:t>article</w:t>
      </w:r>
      <w:r w:rsidR="001467E1">
        <w:rPr>
          <w:lang w:eastAsia="en-GB"/>
        </w:rPr>
        <w:t> </w:t>
      </w:r>
      <w:r w:rsidRPr="009942E1">
        <w:rPr>
          <w:lang w:eastAsia="en-GB"/>
        </w:rPr>
        <w:t>13 de la Convention.</w:t>
      </w:r>
    </w:p>
    <w:p w14:paraId="070E9FD6" w14:textId="6F5EB1EC" w:rsidR="001E0125" w:rsidRPr="009942E1" w:rsidRDefault="001E0125" w:rsidP="001E0125">
      <w:pPr>
        <w:pStyle w:val="SingleTxtG"/>
        <w:rPr>
          <w:rFonts w:eastAsia="SimSun"/>
        </w:rPr>
      </w:pPr>
      <w:r w:rsidRPr="009942E1">
        <w:rPr>
          <w:lang w:eastAsia="en-GB"/>
        </w:rPr>
        <w:t>3.6</w:t>
      </w:r>
      <w:r w:rsidRPr="009942E1">
        <w:rPr>
          <w:lang w:eastAsia="en-GB"/>
        </w:rPr>
        <w:tab/>
      </w:r>
      <w:r w:rsidRPr="009942E1">
        <w:t>En privant le requérant d</w:t>
      </w:r>
      <w:r>
        <w:t>’</w:t>
      </w:r>
      <w:r w:rsidRPr="009942E1">
        <w:t>une procédure pénale, l</w:t>
      </w:r>
      <w:r>
        <w:t>’</w:t>
      </w:r>
      <w:r w:rsidRPr="009942E1">
        <w:t>État partie l</w:t>
      </w:r>
      <w:r>
        <w:t>’</w:t>
      </w:r>
      <w:r w:rsidRPr="009942E1">
        <w:t xml:space="preserve">a privé par la même occasion de toute voie de recours pour obtenir une indemnisation </w:t>
      </w:r>
      <w:r>
        <w:t xml:space="preserve">par </w:t>
      </w:r>
      <w:r w:rsidRPr="009942E1">
        <w:t>suite de crimes graves tels que la torture. En outre, il n</w:t>
      </w:r>
      <w:r>
        <w:t>’</w:t>
      </w:r>
      <w:r w:rsidRPr="009942E1">
        <w:t>a bénéficié d</w:t>
      </w:r>
      <w:r>
        <w:t>’</w:t>
      </w:r>
      <w:r w:rsidRPr="009942E1">
        <w:t xml:space="preserve">aucune mesure de réhabilitation </w:t>
      </w:r>
      <w:r>
        <w:t>après les</w:t>
      </w:r>
      <w:r w:rsidRPr="009942E1">
        <w:t xml:space="preserve"> tortures subies</w:t>
      </w:r>
      <w:r>
        <w:t>,</w:t>
      </w:r>
      <w:r w:rsidRPr="009942E1">
        <w:t xml:space="preserve"> </w:t>
      </w:r>
      <w:r>
        <w:t>avec pour objectif</w:t>
      </w:r>
      <w:r w:rsidRPr="009942E1">
        <w:t xml:space="preserve"> sa réadaptation la plus complète possible, sur le</w:t>
      </w:r>
      <w:r>
        <w:t>s</w:t>
      </w:r>
      <w:r w:rsidRPr="009942E1">
        <w:t xml:space="preserve"> plan</w:t>
      </w:r>
      <w:r>
        <w:t>s</w:t>
      </w:r>
      <w:r w:rsidRPr="009942E1">
        <w:t xml:space="preserve"> physique, psychologique</w:t>
      </w:r>
      <w:r>
        <w:t>,</w:t>
      </w:r>
      <w:r w:rsidRPr="009942E1">
        <w:t xml:space="preserve"> social et financier. Au regard de la passivité des autorités judiciaires, d</w:t>
      </w:r>
      <w:r>
        <w:t>’</w:t>
      </w:r>
      <w:r w:rsidRPr="009942E1">
        <w:t xml:space="preserve">autres recours, notamment pour obtenir réparation </w:t>
      </w:r>
      <w:r>
        <w:t>au moyen</w:t>
      </w:r>
      <w:r w:rsidRPr="009942E1">
        <w:t xml:space="preserve"> d</w:t>
      </w:r>
      <w:r>
        <w:t>’</w:t>
      </w:r>
      <w:r w:rsidRPr="009942E1">
        <w:t>une action civile en dommages et intérêts, n</w:t>
      </w:r>
      <w:r>
        <w:t>’</w:t>
      </w:r>
      <w:r w:rsidRPr="009942E1">
        <w:t>ont objectivement aucune chance de succès. Peu de mesures d</w:t>
      </w:r>
      <w:r>
        <w:t>’</w:t>
      </w:r>
      <w:r w:rsidRPr="009942E1">
        <w:t>indemnisation des victimes de torture ont été prises par les autorités burundaises, ce qui avait été relevé par le Comité dans ses observations finales</w:t>
      </w:r>
      <w:r w:rsidRPr="00CF54A4">
        <w:t xml:space="preserve"> </w:t>
      </w:r>
      <w:r>
        <w:t xml:space="preserve">concernant le rapport initial du </w:t>
      </w:r>
      <w:r>
        <w:lastRenderedPageBreak/>
        <w:t>Burundi</w:t>
      </w:r>
      <w:r w:rsidRPr="009942E1">
        <w:t>, en 2006</w:t>
      </w:r>
      <w:r w:rsidRPr="00152BE0">
        <w:rPr>
          <w:rStyle w:val="Appelnotedebasdep"/>
        </w:rPr>
        <w:footnoteReference w:id="10"/>
      </w:r>
      <w:r w:rsidRPr="009942E1">
        <w:t>. En 2014, tout en notant que le nouveau Code de procédure pénale burundais prévoyait une indemnisation pour les victimes de torture, le Comité a exprimé sa préoccupation sur le manque d</w:t>
      </w:r>
      <w:r>
        <w:t>’</w:t>
      </w:r>
      <w:r w:rsidRPr="009942E1">
        <w:t>application de cette disposition en violation de l</w:t>
      </w:r>
      <w:r>
        <w:t>’</w:t>
      </w:r>
      <w:r w:rsidRPr="009942E1">
        <w:t>article</w:t>
      </w:r>
      <w:r w:rsidR="001467E1">
        <w:t> </w:t>
      </w:r>
      <w:r w:rsidRPr="009942E1">
        <w:t>14 de la Convention</w:t>
      </w:r>
      <w:r w:rsidRPr="00152BE0">
        <w:rPr>
          <w:rStyle w:val="Appelnotedebasdep"/>
        </w:rPr>
        <w:footnoteReference w:id="11"/>
      </w:r>
      <w:r w:rsidRPr="009942E1">
        <w:t>. Enfin, en 2016, le Comité a réitéré l</w:t>
      </w:r>
      <w:r>
        <w:t>’</w:t>
      </w:r>
      <w:r w:rsidRPr="009942E1">
        <w:t xml:space="preserve">obligation </w:t>
      </w:r>
      <w:r>
        <w:t>pour</w:t>
      </w:r>
      <w:r w:rsidRPr="009942E1">
        <w:t xml:space="preserve"> l</w:t>
      </w:r>
      <w:r>
        <w:t>’</w:t>
      </w:r>
      <w:r w:rsidRPr="009942E1">
        <w:t>État partie de garantir l</w:t>
      </w:r>
      <w:r>
        <w:t>’</w:t>
      </w:r>
      <w:r w:rsidRPr="009942E1">
        <w:t xml:space="preserve">accès des victimes de torture et </w:t>
      </w:r>
      <w:r>
        <w:t xml:space="preserve">de </w:t>
      </w:r>
      <w:r w:rsidRPr="009942E1">
        <w:t xml:space="preserve">traitements </w:t>
      </w:r>
      <w:r>
        <w:t xml:space="preserve">cruels, </w:t>
      </w:r>
      <w:r w:rsidRPr="009942E1">
        <w:t xml:space="preserve">inhumains </w:t>
      </w:r>
      <w:r>
        <w:t>ou</w:t>
      </w:r>
      <w:r w:rsidRPr="009942E1">
        <w:t xml:space="preserve"> dégradants à des réparations adéquates</w:t>
      </w:r>
      <w:r w:rsidRPr="00152BE0">
        <w:rPr>
          <w:rStyle w:val="Appelnotedebasdep"/>
        </w:rPr>
        <w:footnoteReference w:id="12"/>
      </w:r>
      <w:r w:rsidRPr="009942E1">
        <w:t>. Ainsi, les autorités burundaises n</w:t>
      </w:r>
      <w:r>
        <w:t>’</w:t>
      </w:r>
      <w:r w:rsidRPr="009942E1">
        <w:t xml:space="preserve">ont pas respecté leurs obligations </w:t>
      </w:r>
      <w:r>
        <w:t>au titre</w:t>
      </w:r>
      <w:r w:rsidRPr="009942E1">
        <w:t xml:space="preserve"> de l</w:t>
      </w:r>
      <w:r>
        <w:t>’</w:t>
      </w:r>
      <w:r w:rsidRPr="009942E1">
        <w:t>article</w:t>
      </w:r>
      <w:r w:rsidR="003F20D5">
        <w:t> </w:t>
      </w:r>
      <w:r w:rsidRPr="009942E1">
        <w:t>14 de la Convention car</w:t>
      </w:r>
      <w:r>
        <w:t>, d’une part,</w:t>
      </w:r>
      <w:r w:rsidRPr="009942E1">
        <w:t xml:space="preserve"> les violations perpétrées contre le requérant restent impunies du fait de la passivité de l</w:t>
      </w:r>
      <w:r>
        <w:t>’</w:t>
      </w:r>
      <w:r w:rsidRPr="009942E1">
        <w:t>État et</w:t>
      </w:r>
      <w:r>
        <w:t>, d’autre part,</w:t>
      </w:r>
      <w:r w:rsidRPr="009942E1">
        <w:t xml:space="preserve"> le requérant n</w:t>
      </w:r>
      <w:r>
        <w:t>’</w:t>
      </w:r>
      <w:r w:rsidRPr="009942E1">
        <w:t>a reçu aucune indemnisation et n</w:t>
      </w:r>
      <w:r>
        <w:t>’</w:t>
      </w:r>
      <w:r w:rsidRPr="009942E1">
        <w:t>a bénéficié d</w:t>
      </w:r>
      <w:r>
        <w:t>’</w:t>
      </w:r>
      <w:r w:rsidRPr="009942E1">
        <w:t>aucune mesure de réhabilitation.</w:t>
      </w:r>
    </w:p>
    <w:p w14:paraId="57169C26" w14:textId="54843E58" w:rsidR="001E0125" w:rsidRPr="009942E1" w:rsidRDefault="001E0125" w:rsidP="001E0125">
      <w:pPr>
        <w:pStyle w:val="SingleTxtG"/>
      </w:pPr>
      <w:r w:rsidRPr="009942E1">
        <w:rPr>
          <w:lang w:eastAsia="en-GB"/>
        </w:rPr>
        <w:t>3.7</w:t>
      </w:r>
      <w:r w:rsidRPr="009942E1">
        <w:rPr>
          <w:lang w:eastAsia="en-GB"/>
        </w:rPr>
        <w:tab/>
      </w:r>
      <w:r w:rsidRPr="009942E1">
        <w:t>Le requérant réitère que les violences qui lui ont été infligées sont des actes de torture, conformément à la définition de l</w:t>
      </w:r>
      <w:r>
        <w:t>’</w:t>
      </w:r>
      <w:r w:rsidRPr="009942E1">
        <w:t xml:space="preserve">article </w:t>
      </w:r>
      <w:r>
        <w:t>premier</w:t>
      </w:r>
      <w:r w:rsidRPr="009942E1">
        <w:t xml:space="preserve"> de la Convention. Si le Comité ne devait pas retenir cette qualification, </w:t>
      </w:r>
      <w:r>
        <w:t>il</w:t>
      </w:r>
      <w:r w:rsidRPr="009942E1">
        <w:t xml:space="preserve"> maintient que les sévices qu</w:t>
      </w:r>
      <w:r>
        <w:t>’il</w:t>
      </w:r>
      <w:r w:rsidRPr="009942E1">
        <w:t xml:space="preserve"> a endurés constituent des traitements cruels, inhumains ou dégradants et que, à ce titre, l</w:t>
      </w:r>
      <w:r>
        <w:t>’</w:t>
      </w:r>
      <w:r w:rsidRPr="009942E1">
        <w:t xml:space="preserve">État partie était également tenu de prévenir et </w:t>
      </w:r>
      <w:r>
        <w:t xml:space="preserve">de </w:t>
      </w:r>
      <w:r w:rsidRPr="009942E1">
        <w:t xml:space="preserve">réprimer leur commission, </w:t>
      </w:r>
      <w:r>
        <w:t xml:space="preserve">leur </w:t>
      </w:r>
      <w:r w:rsidRPr="009942E1">
        <w:t xml:space="preserve">instigation ou </w:t>
      </w:r>
      <w:r>
        <w:t xml:space="preserve">leur </w:t>
      </w:r>
      <w:r w:rsidRPr="009942E1">
        <w:t>tolérance par des agents étatiques, en vertu de l</w:t>
      </w:r>
      <w:r>
        <w:t>’</w:t>
      </w:r>
      <w:r w:rsidRPr="009942E1">
        <w:t>article</w:t>
      </w:r>
      <w:r w:rsidR="003F20D5">
        <w:t> </w:t>
      </w:r>
      <w:r w:rsidRPr="009942E1">
        <w:t xml:space="preserve">16 de la Convention. En outre, </w:t>
      </w:r>
      <w:r>
        <w:t>il</w:t>
      </w:r>
      <w:r w:rsidRPr="009942E1">
        <w:t xml:space="preserve"> rappelle les conditions de détention qui lui ont été imposées dans les cachots du Service national de renseignement</w:t>
      </w:r>
      <w:r w:rsidR="003F20D5">
        <w:t>s</w:t>
      </w:r>
      <w:r w:rsidRPr="009942E1">
        <w:t xml:space="preserve"> et au sein </w:t>
      </w:r>
      <w:r>
        <w:t>de la prison centrale</w:t>
      </w:r>
      <w:r w:rsidRPr="009942E1">
        <w:t xml:space="preserve"> de Mpimba. Le requérant se réfère de nouveau aux observations finales du Comité</w:t>
      </w:r>
      <w:r w:rsidRPr="00D437CF">
        <w:t xml:space="preserve"> </w:t>
      </w:r>
      <w:r>
        <w:t>concernant le rapport initial du Burundi</w:t>
      </w:r>
      <w:r w:rsidRPr="009942E1">
        <w:t xml:space="preserve">, </w:t>
      </w:r>
      <w:r>
        <w:t>dans lesquelles celui</w:t>
      </w:r>
      <w:r w:rsidR="003F20D5">
        <w:noBreakHyphen/>
      </w:r>
      <w:r>
        <w:t>ci</w:t>
      </w:r>
      <w:r w:rsidRPr="009942E1">
        <w:t xml:space="preserve"> avait considéré les conditions de détention au Burundi comme assimilables à un traitement inhumain et dégradant</w:t>
      </w:r>
      <w:r w:rsidRPr="00152BE0">
        <w:rPr>
          <w:rStyle w:val="Appelnotedebasdep"/>
        </w:rPr>
        <w:footnoteReference w:id="13"/>
      </w:r>
      <w:r w:rsidRPr="009942E1">
        <w:t>. Enfin, le requérant rappelle qu</w:t>
      </w:r>
      <w:r>
        <w:t>’il</w:t>
      </w:r>
      <w:r w:rsidRPr="009942E1">
        <w:t xml:space="preserve"> n</w:t>
      </w:r>
      <w:r>
        <w:t>’</w:t>
      </w:r>
      <w:r w:rsidRPr="009942E1">
        <w:t xml:space="preserve">a reçu aucun soin médical durant sa détention, malgré son état critique, et conclut que les conditions de détention auxquelles </w:t>
      </w:r>
      <w:r>
        <w:t>il</w:t>
      </w:r>
      <w:r w:rsidRPr="009942E1">
        <w:t xml:space="preserve"> a été exposé sont constitutives d</w:t>
      </w:r>
      <w:r>
        <w:t>’</w:t>
      </w:r>
      <w:r w:rsidRPr="009942E1">
        <w:t>une violation de l</w:t>
      </w:r>
      <w:r>
        <w:t>’</w:t>
      </w:r>
      <w:r w:rsidRPr="009942E1">
        <w:t>article</w:t>
      </w:r>
      <w:r w:rsidR="003F20D5">
        <w:t> </w:t>
      </w:r>
      <w:r w:rsidRPr="009942E1">
        <w:t>16 de la</w:t>
      </w:r>
      <w:r w:rsidR="003F20D5">
        <w:t> </w:t>
      </w:r>
      <w:r w:rsidRPr="009942E1">
        <w:t>Convention.</w:t>
      </w:r>
    </w:p>
    <w:p w14:paraId="19713B9E" w14:textId="77777777" w:rsidR="001E0125" w:rsidRPr="001278AF" w:rsidRDefault="001E0125" w:rsidP="001E0125">
      <w:pPr>
        <w:pStyle w:val="H23G"/>
      </w:pPr>
      <w:r>
        <w:tab/>
      </w:r>
      <w:r>
        <w:tab/>
      </w:r>
      <w:r w:rsidRPr="001278AF">
        <w:t xml:space="preserve">Défaut </w:t>
      </w:r>
      <w:r>
        <w:t>de coopération de l’État partie</w:t>
      </w:r>
    </w:p>
    <w:p w14:paraId="2808DFC3" w14:textId="59436D80" w:rsidR="001E0125" w:rsidRDefault="001E0125" w:rsidP="001E0125">
      <w:pPr>
        <w:pStyle w:val="SingleTxtG"/>
      </w:pPr>
      <w:r>
        <w:t>4</w:t>
      </w:r>
      <w:r w:rsidRPr="001278AF">
        <w:t>.</w:t>
      </w:r>
      <w:r w:rsidRPr="001278AF">
        <w:tab/>
      </w:r>
      <w:r w:rsidRPr="00F047C0">
        <w:t xml:space="preserve">Les </w:t>
      </w:r>
      <w:r>
        <w:t>5</w:t>
      </w:r>
      <w:r w:rsidR="003F20D5">
        <w:t> </w:t>
      </w:r>
      <w:r>
        <w:t>janvier 2017, 4</w:t>
      </w:r>
      <w:r w:rsidR="003F20D5">
        <w:t> </w:t>
      </w:r>
      <w:r>
        <w:t>juillet 2019 et 28</w:t>
      </w:r>
      <w:r w:rsidR="003F20D5">
        <w:t> </w:t>
      </w:r>
      <w:r>
        <w:t>avril 2020</w:t>
      </w:r>
      <w:r w:rsidRPr="00F047C0">
        <w:t>, l</w:t>
      </w:r>
      <w:r>
        <w:t>’</w:t>
      </w:r>
      <w:r w:rsidRPr="00F047C0">
        <w:t>État partie a été invité à présenter ses observations concernant la recevabilité et le fond de la communication. Le Comité note qu</w:t>
      </w:r>
      <w:r>
        <w:t>’</w:t>
      </w:r>
      <w:r w:rsidRPr="00F047C0">
        <w:t>il n</w:t>
      </w:r>
      <w:r>
        <w:t>’</w:t>
      </w:r>
      <w:r w:rsidRPr="00F047C0">
        <w:t xml:space="preserve">a reçu aucune réponse et regrette </w:t>
      </w:r>
      <w:r>
        <w:t xml:space="preserve">l’absence de collaboration </w:t>
      </w:r>
      <w:r w:rsidRPr="00F047C0">
        <w:t>de l</w:t>
      </w:r>
      <w:r>
        <w:t>’</w:t>
      </w:r>
      <w:r w:rsidRPr="00F047C0">
        <w:t>État partie</w:t>
      </w:r>
      <w:r>
        <w:t xml:space="preserve"> pour partager ses observations sur la présente plainte</w:t>
      </w:r>
      <w:r w:rsidRPr="00152BE0">
        <w:rPr>
          <w:rStyle w:val="Appelnotedebasdep"/>
        </w:rPr>
        <w:footnoteReference w:id="14"/>
      </w:r>
      <w:r w:rsidRPr="00F047C0">
        <w:t xml:space="preserve">. </w:t>
      </w:r>
      <w:r w:rsidRPr="00A45A6D">
        <w:t>Il rappelle que l</w:t>
      </w:r>
      <w:r>
        <w:t>’</w:t>
      </w:r>
      <w:r w:rsidRPr="00A45A6D">
        <w:t>État partie concerné est tenu, en vertu de la Convention, de soumettre par écrit au Comité des explications ou déclarations éclaircissant la question et indiquant, le cas échéant, les mesures qu</w:t>
      </w:r>
      <w:r>
        <w:t>’</w:t>
      </w:r>
      <w:r w:rsidRPr="00A45A6D">
        <w:t>il pourrait avoir prises pour remédier à la situation. En l</w:t>
      </w:r>
      <w:r>
        <w:t>’</w:t>
      </w:r>
      <w:r w:rsidRPr="00A45A6D">
        <w:t>absence de réponse de l</w:t>
      </w:r>
      <w:r>
        <w:t>’</w:t>
      </w:r>
      <w:r w:rsidRPr="00A45A6D">
        <w:t>État partie, il convient d</w:t>
      </w:r>
      <w:r>
        <w:t>’</w:t>
      </w:r>
      <w:r w:rsidRPr="00A45A6D">
        <w:t>accorder le crédit voulu aux allégations du requérant qui ont été dûment étayées.</w:t>
      </w:r>
    </w:p>
    <w:p w14:paraId="777CFAA0" w14:textId="77777777" w:rsidR="001E0125" w:rsidRPr="00757BE2" w:rsidRDefault="001E0125" w:rsidP="001E0125">
      <w:pPr>
        <w:pStyle w:val="H23G"/>
        <w:spacing w:after="40"/>
        <w:ind w:left="0" w:firstLine="0"/>
        <w:rPr>
          <w:rFonts w:eastAsia="MS Mincho"/>
          <w:lang w:val="fr-FR" w:eastAsia="zh-CN"/>
        </w:rPr>
      </w:pPr>
      <w:r>
        <w:rPr>
          <w:rFonts w:eastAsia="MS Mincho"/>
          <w:lang w:val="fr-FR" w:eastAsia="zh-CN"/>
        </w:rPr>
        <w:tab/>
      </w:r>
      <w:r>
        <w:rPr>
          <w:rFonts w:eastAsia="MS Mincho"/>
          <w:lang w:val="fr-FR" w:eastAsia="zh-CN"/>
        </w:rPr>
        <w:tab/>
      </w:r>
      <w:r w:rsidRPr="003946D2">
        <w:rPr>
          <w:rFonts w:eastAsia="MS Mincho"/>
          <w:lang w:val="fr-FR" w:eastAsia="zh-CN"/>
        </w:rPr>
        <w:t>Délibérations du Comité</w:t>
      </w:r>
    </w:p>
    <w:p w14:paraId="10A7D493" w14:textId="77777777" w:rsidR="001E0125" w:rsidRDefault="001E0125" w:rsidP="001E0125">
      <w:pPr>
        <w:pStyle w:val="H4G"/>
      </w:pPr>
      <w:r>
        <w:tab/>
      </w:r>
      <w:r>
        <w:tab/>
      </w:r>
      <w:r w:rsidRPr="00757BE2">
        <w:t>Examen de la recevabilité</w:t>
      </w:r>
    </w:p>
    <w:p w14:paraId="1192B60A" w14:textId="0ACC9B46" w:rsidR="001E0125" w:rsidRPr="008B5996" w:rsidRDefault="001E0125" w:rsidP="001E0125">
      <w:pPr>
        <w:pStyle w:val="SingleTxtG"/>
        <w:rPr>
          <w:rFonts w:eastAsia="MS Mincho"/>
          <w:lang w:val="fr-FR" w:eastAsia="zh-CN"/>
        </w:rPr>
      </w:pPr>
      <w:r>
        <w:rPr>
          <w:rFonts w:eastAsia="MS Mincho"/>
          <w:lang w:eastAsia="zh-CN"/>
        </w:rPr>
        <w:t>5</w:t>
      </w:r>
      <w:r w:rsidRPr="00757BE2">
        <w:rPr>
          <w:rFonts w:eastAsia="MS Mincho"/>
          <w:lang w:val="fr-FR" w:eastAsia="zh-CN"/>
        </w:rPr>
        <w:t>.1</w:t>
      </w:r>
      <w:r w:rsidRPr="00757BE2">
        <w:rPr>
          <w:rFonts w:eastAsia="MS Mincho"/>
          <w:lang w:val="fr-FR" w:eastAsia="zh-CN"/>
        </w:rPr>
        <w:tab/>
      </w:r>
      <w:r w:rsidRPr="003D2C31">
        <w:rPr>
          <w:lang w:val="fr-FR"/>
        </w:rPr>
        <w:t>Avant d</w:t>
      </w:r>
      <w:r>
        <w:rPr>
          <w:lang w:val="fr-FR"/>
        </w:rPr>
        <w:t>’</w:t>
      </w:r>
      <w:r w:rsidRPr="003D2C31">
        <w:rPr>
          <w:lang w:val="fr-FR"/>
        </w:rPr>
        <w:t>examiner tout grief soumis dans une communication, le Comité doit déterminer s</w:t>
      </w:r>
      <w:r>
        <w:rPr>
          <w:lang w:val="fr-FR"/>
        </w:rPr>
        <w:t>’</w:t>
      </w:r>
      <w:r w:rsidRPr="003D2C31">
        <w:rPr>
          <w:lang w:val="fr-FR"/>
        </w:rPr>
        <w:t>il est recevable au regard de l</w:t>
      </w:r>
      <w:r>
        <w:rPr>
          <w:lang w:val="fr-FR"/>
        </w:rPr>
        <w:t>’</w:t>
      </w:r>
      <w:r w:rsidRPr="003D2C31">
        <w:rPr>
          <w:lang w:val="fr-FR"/>
        </w:rPr>
        <w:t>article 22 de la Convention</w:t>
      </w:r>
      <w:r w:rsidRPr="00124612">
        <w:rPr>
          <w:lang w:val="fr-FR"/>
        </w:rPr>
        <w:t xml:space="preserve">. </w:t>
      </w:r>
      <w:r w:rsidRPr="00E1455C">
        <w:rPr>
          <w:rFonts w:eastAsia="MS Mincho"/>
          <w:lang w:val="fr-FR" w:eastAsia="zh-CN"/>
        </w:rPr>
        <w:t>Le Comité s</w:t>
      </w:r>
      <w:r>
        <w:rPr>
          <w:rFonts w:eastAsia="MS Mincho"/>
          <w:lang w:val="fr-FR" w:eastAsia="zh-CN"/>
        </w:rPr>
        <w:t>’</w:t>
      </w:r>
      <w:r w:rsidRPr="00E1455C">
        <w:rPr>
          <w:rFonts w:eastAsia="MS Mincho"/>
          <w:lang w:val="fr-FR" w:eastAsia="zh-CN"/>
        </w:rPr>
        <w:t xml:space="preserve">est assuré, comme il est tenu de le faire conformément </w:t>
      </w:r>
      <w:r>
        <w:rPr>
          <w:rFonts w:eastAsia="MS Mincho"/>
          <w:lang w:val="fr-FR" w:eastAsia="zh-CN"/>
        </w:rPr>
        <w:t>à l’article</w:t>
      </w:r>
      <w:r w:rsidR="003F20D5">
        <w:rPr>
          <w:rFonts w:eastAsia="MS Mincho"/>
          <w:lang w:val="fr-FR" w:eastAsia="zh-CN"/>
        </w:rPr>
        <w:t> </w:t>
      </w:r>
      <w:r w:rsidRPr="001D74C4">
        <w:rPr>
          <w:rFonts w:eastAsia="MS Mincho"/>
          <w:lang w:val="fr-FR" w:eastAsia="zh-CN"/>
        </w:rPr>
        <w:t>22</w:t>
      </w:r>
      <w:r>
        <w:rPr>
          <w:rFonts w:eastAsia="MS Mincho"/>
          <w:lang w:val="fr-FR" w:eastAsia="zh-CN"/>
        </w:rPr>
        <w:t xml:space="preserve"> (par. 5 a))</w:t>
      </w:r>
      <w:r w:rsidRPr="001D74C4">
        <w:rPr>
          <w:rFonts w:eastAsia="MS Mincho"/>
          <w:lang w:val="fr-FR" w:eastAsia="zh-CN"/>
        </w:rPr>
        <w:t xml:space="preserve"> de la Convention, que la même question n</w:t>
      </w:r>
      <w:r>
        <w:rPr>
          <w:rFonts w:eastAsia="MS Mincho"/>
          <w:lang w:val="fr-FR" w:eastAsia="zh-CN"/>
        </w:rPr>
        <w:t>’</w:t>
      </w:r>
      <w:r w:rsidRPr="001D74C4">
        <w:rPr>
          <w:rFonts w:eastAsia="MS Mincho"/>
          <w:lang w:val="fr-FR" w:eastAsia="zh-CN"/>
        </w:rPr>
        <w:t>a pas été et n</w:t>
      </w:r>
      <w:r>
        <w:rPr>
          <w:rFonts w:eastAsia="MS Mincho"/>
          <w:lang w:val="fr-FR" w:eastAsia="zh-CN"/>
        </w:rPr>
        <w:t>’</w:t>
      </w:r>
      <w:r w:rsidRPr="001D74C4">
        <w:rPr>
          <w:rFonts w:eastAsia="MS Mincho"/>
          <w:lang w:val="fr-FR" w:eastAsia="zh-CN"/>
        </w:rPr>
        <w:t xml:space="preserve">est pas </w:t>
      </w:r>
      <w:r>
        <w:rPr>
          <w:rFonts w:eastAsia="MS Mincho"/>
          <w:lang w:val="fr-FR" w:eastAsia="zh-CN"/>
        </w:rPr>
        <w:t>actuellement examinée par</w:t>
      </w:r>
      <w:r w:rsidRPr="001D74C4">
        <w:rPr>
          <w:rFonts w:eastAsia="MS Mincho"/>
          <w:lang w:val="fr-FR" w:eastAsia="zh-CN"/>
        </w:rPr>
        <w:t xml:space="preserve"> </w:t>
      </w:r>
      <w:r w:rsidRPr="00E1455C">
        <w:rPr>
          <w:rFonts w:eastAsia="MS Mincho"/>
          <w:lang w:val="fr-FR" w:eastAsia="zh-CN"/>
        </w:rPr>
        <w:t>une autre instance internationale d</w:t>
      </w:r>
      <w:r>
        <w:rPr>
          <w:rFonts w:eastAsia="MS Mincho"/>
          <w:lang w:val="fr-FR" w:eastAsia="zh-CN"/>
        </w:rPr>
        <w:t>’</w:t>
      </w:r>
      <w:r w:rsidRPr="00E1455C">
        <w:rPr>
          <w:rFonts w:eastAsia="MS Mincho"/>
          <w:lang w:val="fr-FR" w:eastAsia="zh-CN"/>
        </w:rPr>
        <w:t>enquête ou de règlement.</w:t>
      </w:r>
    </w:p>
    <w:p w14:paraId="445E5EAC" w14:textId="6DC7F9DF" w:rsidR="001E0125" w:rsidRDefault="001E0125" w:rsidP="001E0125">
      <w:pPr>
        <w:pStyle w:val="SingleTxtG"/>
        <w:rPr>
          <w:rFonts w:eastAsia="MS Mincho"/>
        </w:rPr>
      </w:pPr>
      <w:r>
        <w:rPr>
          <w:rFonts w:eastAsia="SimSun"/>
          <w:lang w:val="fr-FR" w:eastAsia="zh-CN"/>
        </w:rPr>
        <w:t>5</w:t>
      </w:r>
      <w:r w:rsidRPr="001D74C4">
        <w:rPr>
          <w:rFonts w:eastAsia="SimSun"/>
        </w:rPr>
        <w:t>.</w:t>
      </w:r>
      <w:r>
        <w:rPr>
          <w:rFonts w:eastAsia="SimSun"/>
        </w:rPr>
        <w:t>2</w:t>
      </w:r>
      <w:r w:rsidRPr="001D74C4">
        <w:rPr>
          <w:rFonts w:eastAsia="SimSun"/>
        </w:rPr>
        <w:tab/>
      </w:r>
      <w:r w:rsidRPr="00240E98">
        <w:t>En l</w:t>
      </w:r>
      <w:r>
        <w:t>’</w:t>
      </w:r>
      <w:r w:rsidRPr="00240E98">
        <w:t>absence d</w:t>
      </w:r>
      <w:r>
        <w:t>’</w:t>
      </w:r>
      <w:r w:rsidRPr="00240E98">
        <w:t>autres obstacles à la recevabilité de la communication, le Comité procède à l</w:t>
      </w:r>
      <w:r>
        <w:t>’</w:t>
      </w:r>
      <w:r w:rsidRPr="00240E98">
        <w:t xml:space="preserve">examen quant au </w:t>
      </w:r>
      <w:r>
        <w:t>fond des griefs présentés par le requérant</w:t>
      </w:r>
      <w:r w:rsidRPr="00240E98">
        <w:t xml:space="preserve"> au titre des articles</w:t>
      </w:r>
      <w:r w:rsidR="003F20D5">
        <w:t> </w:t>
      </w:r>
      <w:r w:rsidRPr="00240E98">
        <w:t>1</w:t>
      </w:r>
      <w:r w:rsidRPr="00152BE0">
        <w:rPr>
          <w:vertAlign w:val="superscript"/>
        </w:rPr>
        <w:t>er</w:t>
      </w:r>
      <w:r w:rsidRPr="00240E98">
        <w:t>, 2</w:t>
      </w:r>
      <w:r w:rsidR="003F20D5">
        <w:t> </w:t>
      </w:r>
      <w:r w:rsidRPr="00240E98">
        <w:t>(par.</w:t>
      </w:r>
      <w:r w:rsidR="003F20D5">
        <w:t> </w:t>
      </w:r>
      <w:r w:rsidRPr="00240E98">
        <w:t>1), 11 à 14 et 16 de la Convention.</w:t>
      </w:r>
    </w:p>
    <w:p w14:paraId="7362B96F" w14:textId="77777777" w:rsidR="001E0125" w:rsidRPr="002B4B23" w:rsidRDefault="001E0125" w:rsidP="001E0125">
      <w:pPr>
        <w:pStyle w:val="H4G"/>
      </w:pPr>
      <w:r>
        <w:lastRenderedPageBreak/>
        <w:tab/>
      </w:r>
      <w:r>
        <w:tab/>
      </w:r>
      <w:r>
        <w:tab/>
      </w:r>
      <w:r w:rsidRPr="002B4B23">
        <w:t>Examen au fond</w:t>
      </w:r>
    </w:p>
    <w:p w14:paraId="2D70C612" w14:textId="77777777" w:rsidR="001E0125" w:rsidRDefault="001E0125" w:rsidP="001E0125">
      <w:pPr>
        <w:pStyle w:val="SingleTxtG"/>
        <w:rPr>
          <w:rFonts w:eastAsia="SimSun"/>
          <w:lang w:val="fr-FR" w:eastAsia="zh-CN"/>
        </w:rPr>
      </w:pPr>
      <w:r>
        <w:rPr>
          <w:rFonts w:eastAsia="SimSun"/>
          <w:lang w:eastAsia="zh-CN"/>
        </w:rPr>
        <w:t>6</w:t>
      </w:r>
      <w:r w:rsidRPr="002B4B23">
        <w:rPr>
          <w:rFonts w:eastAsia="SimSun"/>
          <w:lang w:val="fr-FR" w:eastAsia="zh-CN"/>
        </w:rPr>
        <w:t>.1</w:t>
      </w:r>
      <w:r w:rsidRPr="002B4B23">
        <w:rPr>
          <w:rFonts w:eastAsia="SimSun"/>
          <w:lang w:val="fr-FR" w:eastAsia="zh-CN"/>
        </w:rPr>
        <w:tab/>
      </w:r>
      <w:r w:rsidRPr="00124612">
        <w:rPr>
          <w:lang w:val="fr-FR"/>
        </w:rPr>
        <w:t xml:space="preserve">Conformément </w:t>
      </w:r>
      <w:r>
        <w:rPr>
          <w:lang w:val="fr-FR"/>
        </w:rPr>
        <w:t>à</w:t>
      </w:r>
      <w:r w:rsidRPr="00124612">
        <w:rPr>
          <w:lang w:val="fr-FR"/>
        </w:rPr>
        <w:t xml:space="preserve"> l</w:t>
      </w:r>
      <w:r>
        <w:rPr>
          <w:lang w:val="fr-FR"/>
        </w:rPr>
        <w:t>’</w:t>
      </w:r>
      <w:r w:rsidRPr="00124612">
        <w:rPr>
          <w:lang w:val="fr-FR"/>
        </w:rPr>
        <w:t>article</w:t>
      </w:r>
      <w:r>
        <w:rPr>
          <w:lang w:val="fr-FR"/>
        </w:rPr>
        <w:t> </w:t>
      </w:r>
      <w:r w:rsidRPr="00124612">
        <w:rPr>
          <w:lang w:val="fr-FR"/>
        </w:rPr>
        <w:t xml:space="preserve">22 </w:t>
      </w:r>
      <w:r>
        <w:rPr>
          <w:lang w:val="fr-FR"/>
        </w:rPr>
        <w:t xml:space="preserve">(par. 4) </w:t>
      </w:r>
      <w:r w:rsidRPr="00124612">
        <w:rPr>
          <w:lang w:val="fr-FR"/>
        </w:rPr>
        <w:t>de la Convention</w:t>
      </w:r>
      <w:r>
        <w:rPr>
          <w:rFonts w:eastAsia="SimSun"/>
          <w:lang w:val="fr-FR" w:eastAsia="zh-CN"/>
        </w:rPr>
        <w:t>, le</w:t>
      </w:r>
      <w:r w:rsidRPr="009C2678">
        <w:rPr>
          <w:rFonts w:eastAsia="SimSun"/>
          <w:lang w:val="fr-FR" w:eastAsia="zh-CN"/>
        </w:rPr>
        <w:t xml:space="preserve"> Comité a examiné la </w:t>
      </w:r>
      <w:r>
        <w:rPr>
          <w:rFonts w:eastAsia="SimSun"/>
          <w:lang w:val="fr-FR" w:eastAsia="zh-CN"/>
        </w:rPr>
        <w:t>présente communication</w:t>
      </w:r>
      <w:r w:rsidRPr="009C2678">
        <w:rPr>
          <w:rFonts w:eastAsia="SimSun"/>
          <w:lang w:val="fr-FR" w:eastAsia="zh-CN"/>
        </w:rPr>
        <w:t xml:space="preserve"> en tenant compte de toutes les informations </w:t>
      </w:r>
      <w:r>
        <w:rPr>
          <w:rFonts w:eastAsia="SimSun"/>
          <w:lang w:val="fr-FR" w:eastAsia="zh-CN"/>
        </w:rPr>
        <w:t>que</w:t>
      </w:r>
      <w:r w:rsidRPr="009C2678">
        <w:rPr>
          <w:rFonts w:eastAsia="SimSun"/>
          <w:lang w:val="fr-FR" w:eastAsia="zh-CN"/>
        </w:rPr>
        <w:t xml:space="preserve"> lui ont </w:t>
      </w:r>
      <w:r>
        <w:rPr>
          <w:rFonts w:eastAsia="SimSun"/>
          <w:lang w:val="fr-FR" w:eastAsia="zh-CN"/>
        </w:rPr>
        <w:t>communiquées</w:t>
      </w:r>
      <w:r w:rsidRPr="009C2678">
        <w:rPr>
          <w:rFonts w:eastAsia="SimSun"/>
          <w:lang w:val="fr-FR" w:eastAsia="zh-CN"/>
        </w:rPr>
        <w:t xml:space="preserve"> les parties. L</w:t>
      </w:r>
      <w:r>
        <w:rPr>
          <w:rFonts w:eastAsia="SimSun"/>
          <w:lang w:val="fr-FR" w:eastAsia="zh-CN"/>
        </w:rPr>
        <w:t>’</w:t>
      </w:r>
      <w:r w:rsidRPr="009C2678">
        <w:rPr>
          <w:rFonts w:eastAsia="SimSun"/>
          <w:lang w:val="fr-FR" w:eastAsia="zh-CN"/>
        </w:rPr>
        <w:t>État partie n</w:t>
      </w:r>
      <w:r>
        <w:rPr>
          <w:rFonts w:eastAsia="SimSun"/>
          <w:lang w:val="fr-FR" w:eastAsia="zh-CN"/>
        </w:rPr>
        <w:t>’</w:t>
      </w:r>
      <w:r w:rsidRPr="009C2678">
        <w:rPr>
          <w:rFonts w:eastAsia="SimSun"/>
          <w:lang w:val="fr-FR" w:eastAsia="zh-CN"/>
        </w:rPr>
        <w:t>ayant fourni aucune observation sur le fond, il convient d</w:t>
      </w:r>
      <w:r>
        <w:rPr>
          <w:rFonts w:eastAsia="SimSun"/>
          <w:lang w:val="fr-FR" w:eastAsia="zh-CN"/>
        </w:rPr>
        <w:t>’</w:t>
      </w:r>
      <w:r w:rsidRPr="009C2678">
        <w:rPr>
          <w:rFonts w:eastAsia="SimSun"/>
          <w:lang w:val="fr-FR" w:eastAsia="zh-CN"/>
        </w:rPr>
        <w:t>accorder le</w:t>
      </w:r>
      <w:r>
        <w:rPr>
          <w:rFonts w:eastAsia="SimSun"/>
          <w:lang w:val="fr-FR" w:eastAsia="zh-CN"/>
        </w:rPr>
        <w:t xml:space="preserve"> crédit voulu aux allégations du requérant</w:t>
      </w:r>
      <w:r w:rsidRPr="009C2678">
        <w:rPr>
          <w:rFonts w:eastAsia="SimSun"/>
          <w:lang w:val="fr-FR" w:eastAsia="zh-CN"/>
        </w:rPr>
        <w:t>.</w:t>
      </w:r>
    </w:p>
    <w:p w14:paraId="5A6B65FF" w14:textId="77777777" w:rsidR="001E0125" w:rsidRPr="006A492D" w:rsidRDefault="001E0125" w:rsidP="001E0125">
      <w:pPr>
        <w:pStyle w:val="SingleTxtG"/>
        <w:rPr>
          <w:rFonts w:eastAsia="SimSun"/>
          <w:lang w:val="fr-FR" w:eastAsia="zh-CN"/>
        </w:rPr>
      </w:pPr>
      <w:r>
        <w:rPr>
          <w:rFonts w:eastAsia="SimSun"/>
          <w:lang w:val="fr-FR" w:eastAsia="zh-CN"/>
        </w:rPr>
        <w:t>6.2</w:t>
      </w:r>
      <w:r>
        <w:rPr>
          <w:rFonts w:eastAsia="SimSun"/>
          <w:lang w:val="fr-FR" w:eastAsia="zh-CN"/>
        </w:rPr>
        <w:tab/>
        <w:t>Le Comité note l’allégation du requérant selon laquelle il</w:t>
      </w:r>
      <w:r w:rsidRPr="00EC1197">
        <w:rPr>
          <w:rFonts w:eastAsia="SimSun"/>
          <w:lang w:val="fr-FR" w:eastAsia="zh-CN"/>
        </w:rPr>
        <w:t xml:space="preserve"> a été</w:t>
      </w:r>
      <w:r w:rsidRPr="009942E1">
        <w:rPr>
          <w:rFonts w:eastAsia="SimSun"/>
          <w:lang w:val="fr-FR" w:eastAsia="zh-CN"/>
        </w:rPr>
        <w:t xml:space="preserve"> </w:t>
      </w:r>
      <w:r>
        <w:rPr>
          <w:rFonts w:eastAsia="SimSun"/>
          <w:lang w:val="fr-FR" w:eastAsia="zh-CN"/>
        </w:rPr>
        <w:t xml:space="preserve">grièvement blessé par balle au bras droit </w:t>
      </w:r>
      <w:r w:rsidRPr="009942E1">
        <w:rPr>
          <w:rFonts w:eastAsia="SimSun"/>
          <w:lang w:val="fr-FR" w:eastAsia="zh-CN"/>
        </w:rPr>
        <w:t>au</w:t>
      </w:r>
      <w:r>
        <w:rPr>
          <w:rFonts w:eastAsia="SimSun"/>
          <w:lang w:val="fr-FR" w:eastAsia="zh-CN"/>
        </w:rPr>
        <w:t xml:space="preserve"> cours d’une intervention de la police, à la permanence du </w:t>
      </w:r>
      <w:r w:rsidRPr="00C558C4">
        <w:rPr>
          <w:rFonts w:eastAsia="MS Mincho"/>
        </w:rPr>
        <w:t xml:space="preserve">Mouvement pour la </w:t>
      </w:r>
      <w:r>
        <w:rPr>
          <w:rFonts w:eastAsia="MS Mincho"/>
        </w:rPr>
        <w:t>solidarité et la démocratie,</w:t>
      </w:r>
      <w:r>
        <w:rPr>
          <w:rFonts w:eastAsia="SimSun"/>
          <w:lang w:val="fr-FR" w:eastAsia="zh-CN"/>
        </w:rPr>
        <w:t xml:space="preserve"> et que, malgré son état, les policiers </w:t>
      </w:r>
      <w:r w:rsidRPr="00EC1197">
        <w:rPr>
          <w:rFonts w:eastAsia="SimSun"/>
          <w:lang w:val="fr-FR" w:eastAsia="zh-CN"/>
        </w:rPr>
        <w:t>lui ont administré de</w:t>
      </w:r>
      <w:r>
        <w:rPr>
          <w:rFonts w:eastAsia="SimSun"/>
          <w:lang w:val="fr-FR" w:eastAsia="zh-CN"/>
        </w:rPr>
        <w:t>s</w:t>
      </w:r>
      <w:r w:rsidRPr="00EC1197">
        <w:rPr>
          <w:rFonts w:eastAsia="SimSun"/>
          <w:lang w:val="fr-FR" w:eastAsia="zh-CN"/>
        </w:rPr>
        <w:t xml:space="preserve"> coups </w:t>
      </w:r>
      <w:r>
        <w:rPr>
          <w:rFonts w:eastAsia="SimSun"/>
          <w:lang w:val="fr-FR" w:eastAsia="zh-CN"/>
        </w:rPr>
        <w:t>de</w:t>
      </w:r>
      <w:r w:rsidRPr="00EC1197">
        <w:rPr>
          <w:rFonts w:eastAsia="SimSun"/>
          <w:lang w:val="fr-FR" w:eastAsia="zh-CN"/>
        </w:rPr>
        <w:t xml:space="preserve"> crosse de fusil et </w:t>
      </w:r>
      <w:r>
        <w:rPr>
          <w:rFonts w:eastAsia="SimSun"/>
          <w:lang w:val="fr-FR" w:eastAsia="zh-CN"/>
        </w:rPr>
        <w:t>de</w:t>
      </w:r>
      <w:r w:rsidRPr="00EC1197">
        <w:rPr>
          <w:rFonts w:eastAsia="SimSun"/>
          <w:lang w:val="fr-FR" w:eastAsia="zh-CN"/>
        </w:rPr>
        <w:t xml:space="preserve"> matraque</w:t>
      </w:r>
      <w:r>
        <w:rPr>
          <w:rFonts w:eastAsia="SimSun"/>
          <w:lang w:val="fr-FR" w:eastAsia="zh-CN"/>
        </w:rPr>
        <w:t>, ainsi que des coups de pied sur tout le corps pendant environ un quart d’heure. Le Comité note également : a) que</w:t>
      </w:r>
      <w:r w:rsidRPr="00EC1197">
        <w:rPr>
          <w:rFonts w:eastAsia="SimSun"/>
          <w:lang w:val="fr-FR" w:eastAsia="zh-CN"/>
        </w:rPr>
        <w:t xml:space="preserve"> les policiers ont </w:t>
      </w:r>
      <w:r>
        <w:rPr>
          <w:rFonts w:eastAsia="SimSun"/>
          <w:lang w:val="fr-FR" w:eastAsia="zh-CN"/>
        </w:rPr>
        <w:t xml:space="preserve">gardé le requérant à l’arrière de leur véhicule pendant plus de quatre heures avant de l’emmener à l’hôpital ; b) </w:t>
      </w:r>
      <w:r w:rsidRPr="00EC1197">
        <w:rPr>
          <w:rFonts w:eastAsia="SimSun"/>
          <w:lang w:val="fr-FR" w:eastAsia="zh-CN"/>
        </w:rPr>
        <w:t>que</w:t>
      </w:r>
      <w:r>
        <w:rPr>
          <w:rFonts w:eastAsia="SimSun"/>
          <w:lang w:val="fr-FR" w:eastAsia="zh-CN"/>
        </w:rPr>
        <w:t xml:space="preserve"> les policiers n’ont pas permis au personnel de la Croix-Rouge du Burundi de s’occuper du requérant pour lui prodiguer des soins ; c) que le requérant a été insulté et intimidé ; et d) que ce n’est que par suite de pressions exercées par une organisation de la société civile que le requérant a été conduit à l’hôpital. Le Comité note en outre que l’hôpital n’a pas donné suite aux demandes de l’avocat du requérant de lui fournir son dossier médical afin de pouvoir présenter des preuves aux autorités des sévices qu’il avait subis. </w:t>
      </w:r>
      <w:r w:rsidRPr="00CA5A60">
        <w:rPr>
          <w:rFonts w:eastAsia="SimSun"/>
          <w:lang w:val="fr-FR" w:eastAsia="zh-CN"/>
        </w:rPr>
        <w:t xml:space="preserve">Le Comité </w:t>
      </w:r>
      <w:r>
        <w:rPr>
          <w:rFonts w:eastAsia="SimSun"/>
          <w:lang w:val="fr-FR" w:eastAsia="zh-CN"/>
        </w:rPr>
        <w:t>prend également note des allégations du requérant</w:t>
      </w:r>
      <w:r w:rsidRPr="00CA5A60">
        <w:rPr>
          <w:rFonts w:eastAsia="SimSun"/>
          <w:lang w:val="fr-FR" w:eastAsia="zh-CN"/>
        </w:rPr>
        <w:t xml:space="preserve"> selon lesquelles les coups </w:t>
      </w:r>
      <w:r>
        <w:rPr>
          <w:rFonts w:eastAsia="SimSun"/>
          <w:lang w:val="fr-FR" w:eastAsia="zh-CN"/>
        </w:rPr>
        <w:t>reçus lui</w:t>
      </w:r>
      <w:r w:rsidRPr="00CA5A60">
        <w:rPr>
          <w:rFonts w:eastAsia="SimSun"/>
          <w:lang w:val="fr-FR" w:eastAsia="zh-CN"/>
        </w:rPr>
        <w:t xml:space="preserve"> ont occasionné des douleurs et </w:t>
      </w:r>
      <w:r>
        <w:rPr>
          <w:rFonts w:eastAsia="SimSun"/>
          <w:lang w:val="fr-FR" w:eastAsia="zh-CN"/>
        </w:rPr>
        <w:t xml:space="preserve">des </w:t>
      </w:r>
      <w:r w:rsidRPr="00CA5A60">
        <w:rPr>
          <w:rFonts w:eastAsia="SimSun"/>
          <w:lang w:val="fr-FR" w:eastAsia="zh-CN"/>
        </w:rPr>
        <w:t>souffrances aiguës, y compris des souffrances morales</w:t>
      </w:r>
      <w:r>
        <w:rPr>
          <w:rFonts w:eastAsia="SimSun"/>
          <w:lang w:val="fr-FR" w:eastAsia="zh-CN"/>
        </w:rPr>
        <w:t xml:space="preserve"> et psychologiques</w:t>
      </w:r>
      <w:r w:rsidRPr="00CA5A60">
        <w:rPr>
          <w:rFonts w:eastAsia="SimSun"/>
          <w:lang w:val="fr-FR" w:eastAsia="zh-CN"/>
        </w:rPr>
        <w:t>, et lui auraient été infligés intentionnellement par des agents étatiques</w:t>
      </w:r>
      <w:r w:rsidRPr="00CA5A60" w:rsidDel="00D7374D">
        <w:rPr>
          <w:rFonts w:eastAsia="SimSun"/>
          <w:lang w:val="fr-FR" w:eastAsia="zh-CN"/>
        </w:rPr>
        <w:t xml:space="preserve"> </w:t>
      </w:r>
      <w:r w:rsidRPr="00CA5A60">
        <w:rPr>
          <w:rFonts w:eastAsia="SimSun"/>
          <w:lang w:val="fr-FR" w:eastAsia="zh-CN"/>
        </w:rPr>
        <w:t>dans le but de l</w:t>
      </w:r>
      <w:r>
        <w:rPr>
          <w:rFonts w:eastAsia="SimSun"/>
          <w:lang w:val="fr-FR" w:eastAsia="zh-CN"/>
        </w:rPr>
        <w:t>e</w:t>
      </w:r>
      <w:r w:rsidRPr="00CA5A60">
        <w:rPr>
          <w:rFonts w:eastAsia="SimSun"/>
          <w:lang w:val="fr-FR" w:eastAsia="zh-CN"/>
        </w:rPr>
        <w:t xml:space="preserve"> punir et de l</w:t>
      </w:r>
      <w:r>
        <w:rPr>
          <w:rFonts w:eastAsia="SimSun"/>
          <w:lang w:val="fr-FR" w:eastAsia="zh-CN"/>
        </w:rPr>
        <w:t>’</w:t>
      </w:r>
      <w:r w:rsidRPr="00CA5A60">
        <w:rPr>
          <w:rFonts w:eastAsia="SimSun"/>
          <w:lang w:val="fr-FR" w:eastAsia="zh-CN"/>
        </w:rPr>
        <w:t>intimider.</w:t>
      </w:r>
      <w:r>
        <w:rPr>
          <w:rFonts w:eastAsia="SimSun"/>
          <w:lang w:val="fr-FR" w:eastAsia="zh-CN"/>
        </w:rPr>
        <w:t xml:space="preserve"> </w:t>
      </w:r>
      <w:r w:rsidRPr="00EC1197">
        <w:rPr>
          <w:rFonts w:eastAsia="SimSun"/>
          <w:lang w:val="fr-FR" w:eastAsia="zh-CN"/>
        </w:rPr>
        <w:t>Le Comité note aussi que</w:t>
      </w:r>
      <w:r>
        <w:rPr>
          <w:rFonts w:eastAsia="SimSun"/>
          <w:lang w:val="fr-FR" w:eastAsia="zh-CN"/>
        </w:rPr>
        <w:t xml:space="preserve"> ces faits n’ont été contestés à aucun moment par</w:t>
      </w:r>
      <w:r w:rsidRPr="00EC1197">
        <w:rPr>
          <w:rFonts w:eastAsia="SimSun"/>
          <w:lang w:val="fr-FR" w:eastAsia="zh-CN"/>
        </w:rPr>
        <w:t xml:space="preserve"> l</w:t>
      </w:r>
      <w:r>
        <w:rPr>
          <w:rFonts w:eastAsia="SimSun"/>
          <w:lang w:val="fr-FR" w:eastAsia="zh-CN"/>
        </w:rPr>
        <w:t>’</w:t>
      </w:r>
      <w:r w:rsidRPr="00EC1197">
        <w:rPr>
          <w:rFonts w:eastAsia="SimSun"/>
          <w:lang w:val="fr-FR" w:eastAsia="zh-CN"/>
        </w:rPr>
        <w:t>État partie. Dans ces circonstances, le Comit</w:t>
      </w:r>
      <w:r>
        <w:rPr>
          <w:rFonts w:eastAsia="SimSun"/>
          <w:lang w:val="fr-FR" w:eastAsia="zh-CN"/>
        </w:rPr>
        <w:t xml:space="preserve">é conclut que </w:t>
      </w:r>
      <w:r w:rsidRPr="00EC1197">
        <w:rPr>
          <w:rFonts w:eastAsia="SimSun"/>
          <w:lang w:val="fr-FR" w:eastAsia="zh-CN"/>
        </w:rPr>
        <w:t xml:space="preserve">les faits, tels </w:t>
      </w:r>
      <w:r>
        <w:rPr>
          <w:rFonts w:eastAsia="SimSun"/>
          <w:lang w:val="fr-FR" w:eastAsia="zh-CN"/>
        </w:rPr>
        <w:t>qu’ils sont</w:t>
      </w:r>
      <w:r w:rsidRPr="00EC1197">
        <w:rPr>
          <w:rFonts w:eastAsia="SimSun"/>
          <w:lang w:val="fr-FR" w:eastAsia="zh-CN"/>
        </w:rPr>
        <w:t xml:space="preserve"> présentés</w:t>
      </w:r>
      <w:r>
        <w:rPr>
          <w:rFonts w:eastAsia="SimSun"/>
          <w:lang w:val="fr-FR" w:eastAsia="zh-CN"/>
        </w:rPr>
        <w:t xml:space="preserve"> par le requérant</w:t>
      </w:r>
      <w:r w:rsidRPr="00EC1197">
        <w:rPr>
          <w:rFonts w:eastAsia="SimSun"/>
          <w:lang w:val="fr-FR" w:eastAsia="zh-CN"/>
        </w:rPr>
        <w:t>,</w:t>
      </w:r>
      <w:r>
        <w:rPr>
          <w:rFonts w:eastAsia="SimSun"/>
          <w:lang w:val="fr-FR" w:eastAsia="zh-CN"/>
        </w:rPr>
        <w:t xml:space="preserve"> sont</w:t>
      </w:r>
      <w:r w:rsidRPr="00EC1197">
        <w:rPr>
          <w:rFonts w:eastAsia="SimSun"/>
          <w:lang w:val="fr-FR" w:eastAsia="zh-CN"/>
        </w:rPr>
        <w:t xml:space="preserve"> constitutifs de torture au sens </w:t>
      </w:r>
      <w:r>
        <w:rPr>
          <w:rFonts w:eastAsia="SimSun"/>
          <w:lang w:val="fr-FR" w:eastAsia="zh-CN"/>
        </w:rPr>
        <w:t>de l’article premier de la Convention</w:t>
      </w:r>
      <w:r w:rsidRPr="00152BE0">
        <w:rPr>
          <w:rStyle w:val="Appelnotedebasdep"/>
        </w:rPr>
        <w:footnoteReference w:id="15"/>
      </w:r>
      <w:r>
        <w:rPr>
          <w:rFonts w:eastAsia="SimSun"/>
          <w:lang w:eastAsia="zh-CN"/>
        </w:rPr>
        <w:t>.</w:t>
      </w:r>
    </w:p>
    <w:p w14:paraId="6534D016" w14:textId="52564EA9" w:rsidR="001E0125" w:rsidRDefault="001E0125" w:rsidP="001E0125">
      <w:pPr>
        <w:pStyle w:val="SingleTxtG"/>
        <w:rPr>
          <w:lang w:val="fr-FR"/>
        </w:rPr>
      </w:pPr>
      <w:r>
        <w:t>6.3</w:t>
      </w:r>
      <w:r>
        <w:tab/>
        <w:t>Le requérant invoque également l’article</w:t>
      </w:r>
      <w:r w:rsidR="003F20D5">
        <w:t> </w:t>
      </w:r>
      <w:r w:rsidRPr="001D74C4">
        <w:t>2</w:t>
      </w:r>
      <w:r>
        <w:t xml:space="preserve"> (par.</w:t>
      </w:r>
      <w:r w:rsidR="003F20D5">
        <w:t> </w:t>
      </w:r>
      <w:r w:rsidRPr="001D74C4">
        <w:t>1</w:t>
      </w:r>
      <w:r>
        <w:t>)</w:t>
      </w:r>
      <w:r w:rsidRPr="001D74C4">
        <w:t xml:space="preserve"> de la Convention, en vertu duquel l</w:t>
      </w:r>
      <w:r>
        <w:t>’</w:t>
      </w:r>
      <w:r w:rsidRPr="001D74C4">
        <w:t xml:space="preserve">État partie aurait dû prendre des mesures législatives, administratives, judiciaires et autres mesures efficaces pour empêcher que des </w:t>
      </w:r>
      <w:r w:rsidRPr="00341EFC">
        <w:t xml:space="preserve">actes constitutifs de </w:t>
      </w:r>
      <w:r>
        <w:t xml:space="preserve">torture </w:t>
      </w:r>
      <w:r w:rsidRPr="001D74C4">
        <w:t xml:space="preserve">soient commis </w:t>
      </w:r>
      <w:r>
        <w:t>sur l’ensemble du</w:t>
      </w:r>
      <w:r w:rsidRPr="001D74C4">
        <w:t xml:space="preserve"> territoire sous sa juridiction. </w:t>
      </w:r>
      <w:r>
        <w:t xml:space="preserve">À </w:t>
      </w:r>
      <w:r>
        <w:rPr>
          <w:rFonts w:eastAsia="MS Mincho"/>
        </w:rPr>
        <w:t xml:space="preserve">cet égard, </w:t>
      </w:r>
      <w:r>
        <w:rPr>
          <w:lang w:val="fr-FR"/>
        </w:rPr>
        <w:t>le Comité</w:t>
      </w:r>
      <w:r w:rsidRPr="00183A14">
        <w:rPr>
          <w:lang w:val="fr-FR"/>
        </w:rPr>
        <w:t xml:space="preserve"> rappelle ses conclusions et recommandations</w:t>
      </w:r>
      <w:r w:rsidRPr="009D5870">
        <w:t xml:space="preserve"> </w:t>
      </w:r>
      <w:r>
        <w:t>concernant le rapport initial du Burundi</w:t>
      </w:r>
      <w:r w:rsidRPr="00183A14">
        <w:rPr>
          <w:lang w:val="fr-FR"/>
        </w:rPr>
        <w:t>, dans lesquelles il a exhorté l</w:t>
      </w:r>
      <w:r>
        <w:rPr>
          <w:lang w:val="fr-FR"/>
        </w:rPr>
        <w:t>’</w:t>
      </w:r>
      <w:r w:rsidRPr="00183A14">
        <w:rPr>
          <w:lang w:val="fr-FR"/>
        </w:rPr>
        <w:t>État partie à prendre des mesures législatives, administratives et judiciaires effectives pour prévenir tout acte de torture et tout mauvais traitement, et à prendre des mesures urgentes pour que tout lieu de détention soit sous autorité judiciaire afin d</w:t>
      </w:r>
      <w:r>
        <w:rPr>
          <w:lang w:val="fr-FR"/>
        </w:rPr>
        <w:t>’</w:t>
      </w:r>
      <w:r w:rsidRPr="00183A14">
        <w:rPr>
          <w:lang w:val="fr-FR"/>
        </w:rPr>
        <w:t>empêcher ses agents de procéder à des détentions arbitrai</w:t>
      </w:r>
      <w:r>
        <w:rPr>
          <w:lang w:val="fr-FR"/>
        </w:rPr>
        <w:t>res et de pratiquer la torture</w:t>
      </w:r>
      <w:r w:rsidRPr="00152BE0">
        <w:rPr>
          <w:rStyle w:val="Appelnotedebasdep"/>
        </w:rPr>
        <w:footnoteReference w:id="16"/>
      </w:r>
      <w:r w:rsidRPr="00183A14">
        <w:rPr>
          <w:lang w:val="fr-FR"/>
        </w:rPr>
        <w:t xml:space="preserve">. </w:t>
      </w:r>
      <w:r>
        <w:rPr>
          <w:lang w:val="fr-FR"/>
        </w:rPr>
        <w:t xml:space="preserve">Dans le cas présent, </w:t>
      </w:r>
      <w:r>
        <w:rPr>
          <w:rFonts w:eastAsia="SimSun"/>
          <w:lang w:eastAsia="zh-CN"/>
        </w:rPr>
        <w:t>l</w:t>
      </w:r>
      <w:r w:rsidRPr="001D74C4">
        <w:rPr>
          <w:lang w:val="fr-FR"/>
        </w:rPr>
        <w:t>e Com</w:t>
      </w:r>
      <w:r>
        <w:rPr>
          <w:lang w:val="fr-FR"/>
        </w:rPr>
        <w:t>ité prend note des allégations du requérant</w:t>
      </w:r>
      <w:r w:rsidRPr="001D74C4">
        <w:rPr>
          <w:lang w:val="fr-FR"/>
        </w:rPr>
        <w:t xml:space="preserve"> </w:t>
      </w:r>
      <w:r>
        <w:rPr>
          <w:lang w:val="fr-FR"/>
        </w:rPr>
        <w:t xml:space="preserve">selon lesquelles il </w:t>
      </w:r>
      <w:r w:rsidRPr="001D74C4">
        <w:rPr>
          <w:lang w:val="fr-FR"/>
        </w:rPr>
        <w:t xml:space="preserve">a été </w:t>
      </w:r>
      <w:r>
        <w:rPr>
          <w:lang w:val="fr-FR"/>
        </w:rPr>
        <w:t xml:space="preserve">battu par des policiers, </w:t>
      </w:r>
      <w:r w:rsidRPr="00183A14">
        <w:rPr>
          <w:lang w:val="fr-FR"/>
        </w:rPr>
        <w:t>puis détenu</w:t>
      </w:r>
      <w:r>
        <w:rPr>
          <w:lang w:val="fr-FR"/>
        </w:rPr>
        <w:t xml:space="preserve"> dans un état critique sans pouvoir bénéficier des soins appropriés, et que ses démarches auprès des autorités pour lui permettre de contester la légalité de sa détention ont été vaines. Le Comité note également que l’État partie n’a pris aucune mesure pour protéger le requérant jusqu’à ce que des organisations non gouvernementales interviennent pour le soutenir. Finalement, les autorités étatiques n’ont pris aucune mesure pour enquêter sur les actes de torture subis par le requérant</w:t>
      </w:r>
      <w:r w:rsidRPr="00C2184A">
        <w:rPr>
          <w:lang w:val="fr-FR"/>
        </w:rPr>
        <w:t xml:space="preserve"> </w:t>
      </w:r>
      <w:r>
        <w:rPr>
          <w:lang w:val="fr-FR"/>
        </w:rPr>
        <w:t>et prendre les sanctions qui s’imposaient, et ce, malgré les plaintes qu’il avait présentées à cet égard à plusieurs reprises</w:t>
      </w:r>
      <w:r>
        <w:rPr>
          <w:rFonts w:eastAsia="MS Mincho"/>
        </w:rPr>
        <w:t xml:space="preserve">. </w:t>
      </w:r>
      <w:r w:rsidRPr="00183A14">
        <w:rPr>
          <w:lang w:val="fr-FR"/>
        </w:rPr>
        <w:t>Au vu de ce qui précède, le Comité conclut à une violation de l</w:t>
      </w:r>
      <w:r>
        <w:rPr>
          <w:lang w:val="fr-FR"/>
        </w:rPr>
        <w:t>’</w:t>
      </w:r>
      <w:r w:rsidRPr="00183A14">
        <w:rPr>
          <w:lang w:val="fr-FR"/>
        </w:rPr>
        <w:t>article</w:t>
      </w:r>
      <w:r w:rsidR="00001B1A">
        <w:rPr>
          <w:lang w:val="fr-FR"/>
        </w:rPr>
        <w:t> </w:t>
      </w:r>
      <w:r w:rsidRPr="00183A14">
        <w:rPr>
          <w:lang w:val="fr-FR"/>
        </w:rPr>
        <w:t>2 (par.</w:t>
      </w:r>
      <w:r w:rsidR="00001B1A">
        <w:rPr>
          <w:lang w:val="fr-FR"/>
        </w:rPr>
        <w:t> </w:t>
      </w:r>
      <w:r w:rsidRPr="00183A14">
        <w:rPr>
          <w:lang w:val="fr-FR"/>
        </w:rPr>
        <w:t>1), lu conjointement avec l</w:t>
      </w:r>
      <w:r>
        <w:rPr>
          <w:lang w:val="fr-FR"/>
        </w:rPr>
        <w:t>’</w:t>
      </w:r>
      <w:r w:rsidRPr="00183A14">
        <w:rPr>
          <w:lang w:val="fr-FR"/>
        </w:rPr>
        <w:t>article</w:t>
      </w:r>
      <w:r w:rsidR="00001B1A">
        <w:rPr>
          <w:lang w:val="fr-FR"/>
        </w:rPr>
        <w:t> </w:t>
      </w:r>
      <w:r w:rsidRPr="00183A14">
        <w:rPr>
          <w:lang w:val="fr-FR"/>
        </w:rPr>
        <w:t>1</w:t>
      </w:r>
      <w:r w:rsidRPr="00152BE0">
        <w:rPr>
          <w:vertAlign w:val="superscript"/>
          <w:lang w:val="fr-FR"/>
        </w:rPr>
        <w:t>er</w:t>
      </w:r>
      <w:r>
        <w:rPr>
          <w:lang w:val="fr-FR"/>
        </w:rPr>
        <w:t xml:space="preserve"> </w:t>
      </w:r>
      <w:r w:rsidRPr="00183A14">
        <w:rPr>
          <w:lang w:val="fr-FR"/>
        </w:rPr>
        <w:t>de la Convention</w:t>
      </w:r>
      <w:r w:rsidRPr="00152BE0">
        <w:rPr>
          <w:rStyle w:val="Appelnotedebasdep"/>
        </w:rPr>
        <w:footnoteReference w:id="17"/>
      </w:r>
      <w:r>
        <w:rPr>
          <w:lang w:val="fr-FR"/>
        </w:rPr>
        <w:t>.</w:t>
      </w:r>
    </w:p>
    <w:p w14:paraId="361FBDC6" w14:textId="6EC05E45" w:rsidR="001E0125" w:rsidRPr="00C94BD2" w:rsidRDefault="001E0125" w:rsidP="001E0125">
      <w:pPr>
        <w:pStyle w:val="SingleTxtG"/>
      </w:pPr>
      <w:r>
        <w:t>6.4</w:t>
      </w:r>
      <w:r>
        <w:tab/>
      </w:r>
      <w:r w:rsidRPr="00004DD3">
        <w:t>Le Com</w:t>
      </w:r>
      <w:r>
        <w:t>ité note également l’argument du requérant</w:t>
      </w:r>
      <w:r w:rsidRPr="00004DD3">
        <w:t xml:space="preserve"> selon lequel l</w:t>
      </w:r>
      <w:r>
        <w:t>’</w:t>
      </w:r>
      <w:r w:rsidRPr="00004DD3">
        <w:t>article</w:t>
      </w:r>
      <w:r w:rsidR="00001B1A">
        <w:t> </w:t>
      </w:r>
      <w:r w:rsidRPr="00004DD3">
        <w:t>11</w:t>
      </w:r>
      <w:r>
        <w:t xml:space="preserve"> de la Convention</w:t>
      </w:r>
      <w:r w:rsidRPr="00004DD3">
        <w:t xml:space="preserve"> aurait été violé</w:t>
      </w:r>
      <w:r>
        <w:t>,</w:t>
      </w:r>
      <w:r w:rsidRPr="00004DD3">
        <w:t xml:space="preserve"> car l</w:t>
      </w:r>
      <w:r>
        <w:t>’</w:t>
      </w:r>
      <w:r w:rsidRPr="00004DD3">
        <w:t>État partie n</w:t>
      </w:r>
      <w:r>
        <w:t>’</w:t>
      </w:r>
      <w:r w:rsidRPr="00004DD3">
        <w:t>a pas exercé la surveillance nécessaire quant au traitement</w:t>
      </w:r>
      <w:r>
        <w:t xml:space="preserve"> qui lui a été</w:t>
      </w:r>
      <w:r w:rsidRPr="00004DD3">
        <w:t xml:space="preserve"> réservé durant sa détention.</w:t>
      </w:r>
      <w:r>
        <w:t xml:space="preserve"> Il allègue, en particulier, ce qui suit : a)</w:t>
      </w:r>
      <w:r w:rsidR="00001B1A">
        <w:t> </w:t>
      </w:r>
      <w:r w:rsidRPr="00165538">
        <w:t xml:space="preserve">malgré </w:t>
      </w:r>
      <w:r>
        <w:t>son état</w:t>
      </w:r>
      <w:r w:rsidRPr="00165538">
        <w:t xml:space="preserve"> critique au moment de l</w:t>
      </w:r>
      <w:r>
        <w:t>’</w:t>
      </w:r>
      <w:r w:rsidRPr="00165538">
        <w:t xml:space="preserve">arrestation, </w:t>
      </w:r>
      <w:r>
        <w:t>il</w:t>
      </w:r>
      <w:r w:rsidRPr="00165538">
        <w:t xml:space="preserve"> n</w:t>
      </w:r>
      <w:r>
        <w:t>’</w:t>
      </w:r>
      <w:r w:rsidRPr="00165538">
        <w:t>a pas reçu de soins appropriés</w:t>
      </w:r>
      <w:r>
        <w:t> ; b)</w:t>
      </w:r>
      <w:r w:rsidR="00001B1A">
        <w:t> </w:t>
      </w:r>
      <w:r>
        <w:t xml:space="preserve">il </w:t>
      </w:r>
      <w:r w:rsidRPr="00165538">
        <w:t>n</w:t>
      </w:r>
      <w:r>
        <w:t>’</w:t>
      </w:r>
      <w:r w:rsidRPr="00165538">
        <w:t>a eu accès à un avocat</w:t>
      </w:r>
      <w:r>
        <w:t xml:space="preserve"> qu’</w:t>
      </w:r>
      <w:r w:rsidRPr="00165538">
        <w:t>un mois et demi après son arrestation, sans avoir été assisté lors de l</w:t>
      </w:r>
      <w:r>
        <w:t>’</w:t>
      </w:r>
      <w:r w:rsidRPr="00165538">
        <w:t xml:space="preserve">interrogatoire au </w:t>
      </w:r>
      <w:r>
        <w:t>parquet en date du 14 mars 2014 ; c)</w:t>
      </w:r>
      <w:r w:rsidRPr="00165538">
        <w:t xml:space="preserve"> </w:t>
      </w:r>
      <w:r>
        <w:t>il</w:t>
      </w:r>
      <w:r w:rsidRPr="00165538">
        <w:t xml:space="preserve"> a été arrêté sans être informé des che</w:t>
      </w:r>
      <w:r>
        <w:t>fs d’accusation retenus contre lui ; d)</w:t>
      </w:r>
      <w:r w:rsidRPr="00165538">
        <w:t xml:space="preserve"> </w:t>
      </w:r>
      <w:r>
        <w:t>il</w:t>
      </w:r>
      <w:r w:rsidRPr="00165538">
        <w:t xml:space="preserve"> n</w:t>
      </w:r>
      <w:r>
        <w:t>’</w:t>
      </w:r>
      <w:r w:rsidRPr="00165538">
        <w:t xml:space="preserve">a pas bénéficié de voies de recours efficaces pour </w:t>
      </w:r>
      <w:r>
        <w:t>contester les actes de torture ;</w:t>
      </w:r>
      <w:r w:rsidRPr="00165538">
        <w:t xml:space="preserve"> et </w:t>
      </w:r>
      <w:r>
        <w:t>e) il</w:t>
      </w:r>
      <w:r w:rsidRPr="00165538">
        <w:t xml:space="preserve"> a été détenu dans des </w:t>
      </w:r>
      <w:r>
        <w:t>« </w:t>
      </w:r>
      <w:r w:rsidRPr="00165538">
        <w:t>conditions déplorables</w:t>
      </w:r>
      <w:r>
        <w:t> »</w:t>
      </w:r>
      <w:r w:rsidRPr="00165538">
        <w:t xml:space="preserve"> à </w:t>
      </w:r>
      <w:r w:rsidRPr="00165538">
        <w:lastRenderedPageBreak/>
        <w:t>la prison de Mpimba, malgré son état de santé critique.</w:t>
      </w:r>
      <w:r>
        <w:t xml:space="preserve"> </w:t>
      </w:r>
      <w:r w:rsidRPr="00165538">
        <w:t>Le Comité rappelle ses observations finales concernant le deuxième rapport périodique du Burundi</w:t>
      </w:r>
      <w:r>
        <w:t>,</w:t>
      </w:r>
      <w:r w:rsidRPr="00165538">
        <w:t xml:space="preserve"> dans lesquelles il s</w:t>
      </w:r>
      <w:r>
        <w:t>’</w:t>
      </w:r>
      <w:r w:rsidRPr="00165538">
        <w:t xml:space="preserve">est </w:t>
      </w:r>
      <w:r w:rsidRPr="00165538">
        <w:rPr>
          <w:lang w:val="fr-FR"/>
        </w:rPr>
        <w:t>dit préoccupé par la durée excessive de la garde à vue</w:t>
      </w:r>
      <w:r>
        <w:rPr>
          <w:lang w:val="fr-FR"/>
        </w:rPr>
        <w:t>,</w:t>
      </w:r>
      <w:r w:rsidRPr="00165538">
        <w:rPr>
          <w:lang w:val="fr-FR"/>
        </w:rPr>
        <w:t xml:space="preserve"> les nombreux cas de dépassement du délai de garde à vue</w:t>
      </w:r>
      <w:r>
        <w:rPr>
          <w:lang w:val="fr-FR"/>
        </w:rPr>
        <w:t>,</w:t>
      </w:r>
      <w:r w:rsidRPr="00165538">
        <w:rPr>
          <w:lang w:val="fr-FR"/>
        </w:rPr>
        <w:t xml:space="preserve"> la non-tenue et tenue incomplète des registres d</w:t>
      </w:r>
      <w:r>
        <w:rPr>
          <w:lang w:val="fr-FR"/>
        </w:rPr>
        <w:t>’</w:t>
      </w:r>
      <w:r w:rsidRPr="00165538">
        <w:rPr>
          <w:lang w:val="fr-FR"/>
        </w:rPr>
        <w:t>écrou</w:t>
      </w:r>
      <w:r>
        <w:rPr>
          <w:lang w:val="fr-FR"/>
        </w:rPr>
        <w:t>,</w:t>
      </w:r>
      <w:r w:rsidRPr="00165538">
        <w:rPr>
          <w:lang w:val="fr-FR"/>
        </w:rPr>
        <w:t xml:space="preserve"> le non-respect des garanties juridiques fondamentales des personnes privées de liberté</w:t>
      </w:r>
      <w:r>
        <w:rPr>
          <w:lang w:val="fr-FR"/>
        </w:rPr>
        <w:t>,</w:t>
      </w:r>
      <w:r w:rsidRPr="00165538">
        <w:rPr>
          <w:lang w:val="fr-FR"/>
        </w:rPr>
        <w:t xml:space="preserve"> l</w:t>
      </w:r>
      <w:r>
        <w:rPr>
          <w:lang w:val="fr-FR"/>
        </w:rPr>
        <w:t>’</w:t>
      </w:r>
      <w:r w:rsidRPr="00165538">
        <w:rPr>
          <w:lang w:val="fr-FR"/>
        </w:rPr>
        <w:t>absence de dispositions prévoyant l</w:t>
      </w:r>
      <w:r>
        <w:rPr>
          <w:lang w:val="fr-FR"/>
        </w:rPr>
        <w:t>’</w:t>
      </w:r>
      <w:r w:rsidRPr="00165538">
        <w:rPr>
          <w:lang w:val="fr-FR"/>
        </w:rPr>
        <w:t>accès à un médecin et à l</w:t>
      </w:r>
      <w:r>
        <w:rPr>
          <w:lang w:val="fr-FR"/>
        </w:rPr>
        <w:t>’</w:t>
      </w:r>
      <w:r w:rsidRPr="00165538">
        <w:rPr>
          <w:lang w:val="fr-FR"/>
        </w:rPr>
        <w:t>aide juridictionnelle pour les personnes démunies</w:t>
      </w:r>
      <w:r>
        <w:rPr>
          <w:lang w:val="fr-FR"/>
        </w:rPr>
        <w:t>,</w:t>
      </w:r>
      <w:r w:rsidRPr="00165538">
        <w:rPr>
          <w:lang w:val="fr-FR"/>
        </w:rPr>
        <w:t xml:space="preserve"> et le recours abusif à la détention préventive en l</w:t>
      </w:r>
      <w:r>
        <w:rPr>
          <w:lang w:val="fr-FR"/>
        </w:rPr>
        <w:t>’</w:t>
      </w:r>
      <w:r w:rsidRPr="00165538">
        <w:rPr>
          <w:lang w:val="fr-FR"/>
        </w:rPr>
        <w:t>absence d</w:t>
      </w:r>
      <w:r>
        <w:rPr>
          <w:lang w:val="fr-FR"/>
        </w:rPr>
        <w:t>’</w:t>
      </w:r>
      <w:r w:rsidRPr="00165538">
        <w:rPr>
          <w:lang w:val="fr-FR"/>
        </w:rPr>
        <w:t>un contrôle régulier de sa légalité et d</w:t>
      </w:r>
      <w:r>
        <w:rPr>
          <w:lang w:val="fr-FR"/>
        </w:rPr>
        <w:t>’</w:t>
      </w:r>
      <w:r w:rsidRPr="00165538">
        <w:rPr>
          <w:lang w:val="fr-FR"/>
        </w:rPr>
        <w:t>une limite à sa durée totale</w:t>
      </w:r>
      <w:r w:rsidRPr="00152BE0">
        <w:rPr>
          <w:rStyle w:val="Appelnotedebasdep"/>
        </w:rPr>
        <w:footnoteReference w:id="18"/>
      </w:r>
      <w:r w:rsidRPr="00165538">
        <w:t>.</w:t>
      </w:r>
      <w:r>
        <w:t xml:space="preserve"> En l’espèce, le requérant</w:t>
      </w:r>
      <w:r w:rsidRPr="00165538">
        <w:t xml:space="preserve"> semble avoir </w:t>
      </w:r>
      <w:r>
        <w:t>été privé de</w:t>
      </w:r>
      <w:r w:rsidRPr="00165538">
        <w:t xml:space="preserve"> tout contrôle judiciaire. En l</w:t>
      </w:r>
      <w:r>
        <w:t>’</w:t>
      </w:r>
      <w:r w:rsidRPr="00165538">
        <w:t>absence d</w:t>
      </w:r>
      <w:r>
        <w:t>’</w:t>
      </w:r>
      <w:r w:rsidRPr="00165538">
        <w:t>information probante de la part de l</w:t>
      </w:r>
      <w:r>
        <w:t>’</w:t>
      </w:r>
      <w:r w:rsidRPr="00165538">
        <w:t xml:space="preserve">État partie susceptible </w:t>
      </w:r>
      <w:r>
        <w:t>de démontrer que la détention du requérant</w:t>
      </w:r>
      <w:r w:rsidRPr="00165538">
        <w:t xml:space="preserve"> a en effet été placée sous sa surveillance, le Comité conclut à une violation de l</w:t>
      </w:r>
      <w:r>
        <w:t>’</w:t>
      </w:r>
      <w:r w:rsidRPr="00165538">
        <w:t>article 11 de la Convention</w:t>
      </w:r>
      <w:r w:rsidRPr="00152BE0">
        <w:rPr>
          <w:rStyle w:val="Appelnotedebasdep"/>
        </w:rPr>
        <w:footnoteReference w:id="19"/>
      </w:r>
      <w:r w:rsidRPr="00165538">
        <w:t>.</w:t>
      </w:r>
    </w:p>
    <w:p w14:paraId="7AC03057" w14:textId="10CC7A36" w:rsidR="001E0125" w:rsidRPr="005C6F76" w:rsidRDefault="001E0125" w:rsidP="001E0125">
      <w:pPr>
        <w:pStyle w:val="SingleTxtG"/>
        <w:rPr>
          <w:rFonts w:eastAsia="SimSun"/>
        </w:rPr>
      </w:pPr>
      <w:r>
        <w:rPr>
          <w:lang w:eastAsia="zh-CN"/>
        </w:rPr>
        <w:t>6.5</w:t>
      </w:r>
      <w:r>
        <w:rPr>
          <w:lang w:eastAsia="zh-CN"/>
        </w:rPr>
        <w:tab/>
      </w:r>
      <w:r w:rsidRPr="005C6F76">
        <w:rPr>
          <w:rFonts w:eastAsia="SimSun"/>
        </w:rPr>
        <w:t>S</w:t>
      </w:r>
      <w:r>
        <w:rPr>
          <w:rFonts w:eastAsia="SimSun"/>
        </w:rPr>
        <w:t>’</w:t>
      </w:r>
      <w:r w:rsidRPr="005C6F76">
        <w:rPr>
          <w:rFonts w:eastAsia="SimSun"/>
        </w:rPr>
        <w:t xml:space="preserve">agissant des </w:t>
      </w:r>
      <w:r>
        <w:rPr>
          <w:rFonts w:eastAsia="SimSun"/>
        </w:rPr>
        <w:t>articles</w:t>
      </w:r>
      <w:r w:rsidR="00001B1A">
        <w:rPr>
          <w:rFonts w:eastAsia="SimSun"/>
        </w:rPr>
        <w:t> </w:t>
      </w:r>
      <w:r w:rsidRPr="005C6F76">
        <w:rPr>
          <w:rFonts w:eastAsia="SimSun"/>
        </w:rPr>
        <w:t>12 et 13 de la Convention, le Comité</w:t>
      </w:r>
      <w:r>
        <w:rPr>
          <w:rFonts w:eastAsia="SimSun"/>
        </w:rPr>
        <w:t xml:space="preserve"> prend note des allégations du requérant</w:t>
      </w:r>
      <w:r w:rsidRPr="005C6F76">
        <w:rPr>
          <w:rFonts w:eastAsia="SimSun"/>
        </w:rPr>
        <w:t xml:space="preserve"> selon lesquelles</w:t>
      </w:r>
      <w:r>
        <w:rPr>
          <w:rFonts w:eastAsia="SimSun"/>
        </w:rPr>
        <w:t>,</w:t>
      </w:r>
      <w:r w:rsidRPr="005C6F76">
        <w:rPr>
          <w:rFonts w:eastAsia="MS Mincho"/>
        </w:rPr>
        <w:t xml:space="preserve"> </w:t>
      </w:r>
      <w:r>
        <w:rPr>
          <w:rFonts w:eastAsia="MS Mincho"/>
        </w:rPr>
        <w:t>le 8</w:t>
      </w:r>
      <w:r w:rsidR="00001B1A">
        <w:rPr>
          <w:rFonts w:eastAsia="MS Mincho"/>
        </w:rPr>
        <w:t> </w:t>
      </w:r>
      <w:r>
        <w:rPr>
          <w:rFonts w:eastAsia="MS Mincho"/>
        </w:rPr>
        <w:t>mars 2014, il</w:t>
      </w:r>
      <w:r w:rsidRPr="005C6F76">
        <w:rPr>
          <w:rFonts w:eastAsia="MS Mincho"/>
        </w:rPr>
        <w:t xml:space="preserve"> a </w:t>
      </w:r>
      <w:r>
        <w:rPr>
          <w:rFonts w:eastAsia="MS Mincho"/>
        </w:rPr>
        <w:t xml:space="preserve">été blessé par balle et battu par des agents de police lors d’une intervention à la permanence du </w:t>
      </w:r>
      <w:r w:rsidRPr="00C558C4">
        <w:rPr>
          <w:rFonts w:eastAsia="MS Mincho"/>
        </w:rPr>
        <w:t xml:space="preserve">Mouvement pour la </w:t>
      </w:r>
      <w:r>
        <w:rPr>
          <w:rFonts w:eastAsia="MS Mincho"/>
        </w:rPr>
        <w:t>solidarité et la démocratie</w:t>
      </w:r>
      <w:r>
        <w:t xml:space="preserve">. Bien qu’il ait déposé une plainte </w:t>
      </w:r>
      <w:r w:rsidRPr="00B9691D">
        <w:t>le 14</w:t>
      </w:r>
      <w:r w:rsidR="00001B1A">
        <w:t> </w:t>
      </w:r>
      <w:r w:rsidRPr="00B9691D">
        <w:t>mars 2014</w:t>
      </w:r>
      <w:r>
        <w:t xml:space="preserve"> devant le Procureur général de la République à Bujumbura et dénoncé les tortures subies devant le juge lors des audiences du</w:t>
      </w:r>
      <w:r w:rsidRPr="00BC02DA">
        <w:t xml:space="preserve"> </w:t>
      </w:r>
      <w:r w:rsidRPr="00B9691D">
        <w:t>25</w:t>
      </w:r>
      <w:r w:rsidR="00001B1A">
        <w:t> </w:t>
      </w:r>
      <w:r w:rsidRPr="006A492D">
        <w:t>juin</w:t>
      </w:r>
      <w:r w:rsidRPr="00BC02DA">
        <w:t xml:space="preserve"> 2014 et </w:t>
      </w:r>
      <w:r>
        <w:t xml:space="preserve">du </w:t>
      </w:r>
      <w:r w:rsidRPr="00BC02DA">
        <w:t>20 février 2015</w:t>
      </w:r>
      <w:r w:rsidRPr="00B9691D">
        <w:t>,</w:t>
      </w:r>
      <w:r w:rsidRPr="00B9691D">
        <w:rPr>
          <w:rFonts w:eastAsia="SimSun"/>
        </w:rPr>
        <w:t xml:space="preserve"> </w:t>
      </w:r>
      <w:r w:rsidRPr="007F6AB4">
        <w:rPr>
          <w:rFonts w:eastAsia="MS Mincho"/>
        </w:rPr>
        <w:t>aucune enquête n</w:t>
      </w:r>
      <w:r>
        <w:rPr>
          <w:rFonts w:eastAsia="MS Mincho"/>
        </w:rPr>
        <w:t>’</w:t>
      </w:r>
      <w:r w:rsidRPr="007F6AB4">
        <w:rPr>
          <w:rFonts w:eastAsia="MS Mincho"/>
        </w:rPr>
        <w:t>a</w:t>
      </w:r>
      <w:r>
        <w:rPr>
          <w:rFonts w:eastAsia="MS Mincho"/>
        </w:rPr>
        <w:t>vait</w:t>
      </w:r>
      <w:r w:rsidRPr="007F6AB4">
        <w:rPr>
          <w:rFonts w:eastAsia="MS Mincho"/>
        </w:rPr>
        <w:t xml:space="preserve"> été menée presque six ans après les</w:t>
      </w:r>
      <w:r w:rsidRPr="005C6F76">
        <w:rPr>
          <w:rFonts w:eastAsia="MS Mincho"/>
        </w:rPr>
        <w:t xml:space="preserve"> faits. </w:t>
      </w:r>
      <w:r w:rsidRPr="005C6F76">
        <w:rPr>
          <w:rFonts w:eastAsia="SimSun"/>
        </w:rPr>
        <w:t>Le Comité considère qu</w:t>
      </w:r>
      <w:r>
        <w:rPr>
          <w:rFonts w:eastAsia="SimSun"/>
        </w:rPr>
        <w:t>’</w:t>
      </w:r>
      <w:r w:rsidRPr="005C6F76">
        <w:rPr>
          <w:rFonts w:eastAsia="SimSun"/>
        </w:rPr>
        <w:t>un tel délai avant l</w:t>
      </w:r>
      <w:r>
        <w:rPr>
          <w:rFonts w:eastAsia="SimSun"/>
        </w:rPr>
        <w:t>’</w:t>
      </w:r>
      <w:r w:rsidRPr="005C6F76">
        <w:rPr>
          <w:rFonts w:eastAsia="SimSun"/>
        </w:rPr>
        <w:t>ouverture d</w:t>
      </w:r>
      <w:r>
        <w:rPr>
          <w:rFonts w:eastAsia="SimSun"/>
        </w:rPr>
        <w:t>’</w:t>
      </w:r>
      <w:r w:rsidRPr="005C6F76">
        <w:rPr>
          <w:rFonts w:eastAsia="SimSun"/>
        </w:rPr>
        <w:t xml:space="preserve">une enquête sur des allégations de </w:t>
      </w:r>
      <w:r w:rsidRPr="008A3D67">
        <w:rPr>
          <w:rFonts w:eastAsia="SimSun"/>
        </w:rPr>
        <w:t>torture</w:t>
      </w:r>
      <w:r w:rsidRPr="005C6F76">
        <w:rPr>
          <w:rFonts w:eastAsia="SimSun"/>
        </w:rPr>
        <w:t xml:space="preserve"> est manifestement abusif. </w:t>
      </w:r>
      <w:r>
        <w:rPr>
          <w:rFonts w:eastAsia="SimSun"/>
        </w:rPr>
        <w:t>À cet égard, il</w:t>
      </w:r>
      <w:r w:rsidRPr="005C6F76">
        <w:rPr>
          <w:rFonts w:eastAsia="SimSun"/>
        </w:rPr>
        <w:t xml:space="preserve"> rappelle l</w:t>
      </w:r>
      <w:r>
        <w:rPr>
          <w:rFonts w:eastAsia="SimSun"/>
        </w:rPr>
        <w:t>’</w:t>
      </w:r>
      <w:r w:rsidRPr="005C6F76">
        <w:rPr>
          <w:rFonts w:eastAsia="SimSun"/>
        </w:rPr>
        <w:t>obligation qui incombe à l</w:t>
      </w:r>
      <w:r>
        <w:rPr>
          <w:rFonts w:eastAsia="SimSun"/>
        </w:rPr>
        <w:t>’É</w:t>
      </w:r>
      <w:r w:rsidRPr="005C6F76">
        <w:rPr>
          <w:rFonts w:eastAsia="SimSun"/>
        </w:rPr>
        <w:t>tat partie</w:t>
      </w:r>
      <w:r>
        <w:rPr>
          <w:rFonts w:eastAsia="SimSun"/>
        </w:rPr>
        <w:t>,</w:t>
      </w:r>
      <w:r w:rsidRPr="005C6F76">
        <w:rPr>
          <w:rFonts w:eastAsia="SimSun"/>
        </w:rPr>
        <w:t xml:space="preserve"> au titre de l</w:t>
      </w:r>
      <w:r>
        <w:rPr>
          <w:rFonts w:eastAsia="SimSun"/>
        </w:rPr>
        <w:t>’article</w:t>
      </w:r>
      <w:r w:rsidR="00001B1A">
        <w:rPr>
          <w:rFonts w:eastAsia="SimSun"/>
        </w:rPr>
        <w:t> </w:t>
      </w:r>
      <w:r w:rsidRPr="005C6F76">
        <w:rPr>
          <w:rFonts w:eastAsia="SimSun"/>
        </w:rPr>
        <w:t>12 de la Convention, qu</w:t>
      </w:r>
      <w:r>
        <w:rPr>
          <w:rFonts w:eastAsia="SimSun"/>
        </w:rPr>
        <w:t>’</w:t>
      </w:r>
      <w:r w:rsidRPr="005C6F76">
        <w:rPr>
          <w:rFonts w:eastAsia="SimSun"/>
        </w:rPr>
        <w:t xml:space="preserve">il soit immédiatement procédé à une enquête impartiale </w:t>
      </w:r>
      <w:r>
        <w:rPr>
          <w:rFonts w:eastAsia="SimSun"/>
        </w:rPr>
        <w:t>d’office</w:t>
      </w:r>
      <w:r w:rsidRPr="005C6F76">
        <w:rPr>
          <w:rFonts w:eastAsia="SimSun"/>
        </w:rPr>
        <w:t xml:space="preserve"> chaque fois qu</w:t>
      </w:r>
      <w:r>
        <w:rPr>
          <w:rFonts w:eastAsia="SimSun"/>
        </w:rPr>
        <w:t>’</w:t>
      </w:r>
      <w:r w:rsidRPr="005C6F76">
        <w:rPr>
          <w:rFonts w:eastAsia="SimSun"/>
        </w:rPr>
        <w:t>il y a des motifs raisonnables de croire qu</w:t>
      </w:r>
      <w:r>
        <w:rPr>
          <w:rFonts w:eastAsia="SimSun"/>
        </w:rPr>
        <w:t>’</w:t>
      </w:r>
      <w:r w:rsidRPr="005C6F76">
        <w:rPr>
          <w:rFonts w:eastAsia="SimSun"/>
        </w:rPr>
        <w:t xml:space="preserve">un acte de </w:t>
      </w:r>
      <w:r w:rsidRPr="008A3D67">
        <w:rPr>
          <w:rFonts w:eastAsia="SimSun"/>
        </w:rPr>
        <w:t xml:space="preserve">torture </w:t>
      </w:r>
      <w:r w:rsidRPr="005C6F76">
        <w:rPr>
          <w:rFonts w:eastAsia="SimSun"/>
        </w:rPr>
        <w:t>a été commis</w:t>
      </w:r>
      <w:r w:rsidRPr="00152BE0">
        <w:rPr>
          <w:rStyle w:val="Appelnotedebasdep"/>
        </w:rPr>
        <w:footnoteReference w:id="20"/>
      </w:r>
      <w:r>
        <w:rPr>
          <w:rFonts w:eastAsia="SimSun"/>
        </w:rPr>
        <w:t>.</w:t>
      </w:r>
      <w:r w:rsidRPr="005C6F76">
        <w:rPr>
          <w:rFonts w:eastAsia="SimSun"/>
        </w:rPr>
        <w:t xml:space="preserve"> En l</w:t>
      </w:r>
      <w:r>
        <w:rPr>
          <w:rFonts w:eastAsia="SimSun"/>
        </w:rPr>
        <w:t>’</w:t>
      </w:r>
      <w:r w:rsidRPr="005C6F76">
        <w:rPr>
          <w:rFonts w:eastAsia="SimSun"/>
        </w:rPr>
        <w:t>espèce, le Comité constate</w:t>
      </w:r>
      <w:r>
        <w:rPr>
          <w:rFonts w:eastAsia="SimSun"/>
        </w:rPr>
        <w:t xml:space="preserve"> donc</w:t>
      </w:r>
      <w:r w:rsidRPr="005C6F76">
        <w:rPr>
          <w:rFonts w:eastAsia="SimSun"/>
        </w:rPr>
        <w:t xml:space="preserve"> une violation de l</w:t>
      </w:r>
      <w:r>
        <w:rPr>
          <w:rFonts w:eastAsia="SimSun"/>
        </w:rPr>
        <w:t>’article</w:t>
      </w:r>
      <w:r w:rsidR="00001B1A">
        <w:rPr>
          <w:rFonts w:eastAsia="SimSun"/>
        </w:rPr>
        <w:t> </w:t>
      </w:r>
      <w:r w:rsidRPr="005C6F76">
        <w:rPr>
          <w:rFonts w:eastAsia="SimSun"/>
        </w:rPr>
        <w:t>12 de la Convention.</w:t>
      </w:r>
    </w:p>
    <w:p w14:paraId="3A0B6A86" w14:textId="32BD2625" w:rsidR="001E0125" w:rsidRPr="001D74C4" w:rsidRDefault="001E0125" w:rsidP="001E0125">
      <w:pPr>
        <w:pStyle w:val="SingleTxtG"/>
        <w:rPr>
          <w:lang w:eastAsia="zh-CN"/>
        </w:rPr>
      </w:pPr>
      <w:r>
        <w:rPr>
          <w:rFonts w:eastAsia="SimSun"/>
        </w:rPr>
        <w:t>6</w:t>
      </w:r>
      <w:r w:rsidRPr="005C6F76">
        <w:rPr>
          <w:rFonts w:eastAsia="SimSun"/>
        </w:rPr>
        <w:t>.</w:t>
      </w:r>
      <w:r>
        <w:rPr>
          <w:rFonts w:eastAsia="SimSun"/>
        </w:rPr>
        <w:t>6</w:t>
      </w:r>
      <w:r w:rsidRPr="005C6F76">
        <w:rPr>
          <w:rFonts w:eastAsia="SimSun"/>
        </w:rPr>
        <w:tab/>
        <w:t>N</w:t>
      </w:r>
      <w:r>
        <w:rPr>
          <w:rFonts w:eastAsia="SimSun"/>
        </w:rPr>
        <w:t>’</w:t>
      </w:r>
      <w:r w:rsidRPr="005C6F76">
        <w:rPr>
          <w:rFonts w:eastAsia="SimSun"/>
        </w:rPr>
        <w:t xml:space="preserve">ayant pas rempli </w:t>
      </w:r>
      <w:r>
        <w:rPr>
          <w:rFonts w:eastAsia="SimSun"/>
        </w:rPr>
        <w:t>son</w:t>
      </w:r>
      <w:r w:rsidRPr="005C6F76">
        <w:rPr>
          <w:rFonts w:eastAsia="SimSun"/>
        </w:rPr>
        <w:t xml:space="preserve"> obligation</w:t>
      </w:r>
      <w:r>
        <w:rPr>
          <w:rFonts w:eastAsia="SimSun"/>
        </w:rPr>
        <w:t xml:space="preserve"> relative à l’enquête</w:t>
      </w:r>
      <w:r w:rsidRPr="005C6F76">
        <w:rPr>
          <w:rFonts w:eastAsia="SimSun"/>
        </w:rPr>
        <w:t>, l</w:t>
      </w:r>
      <w:r>
        <w:rPr>
          <w:rFonts w:eastAsia="SimSun"/>
        </w:rPr>
        <w:t>’</w:t>
      </w:r>
      <w:r w:rsidRPr="005C6F76">
        <w:rPr>
          <w:rFonts w:eastAsia="SimSun"/>
        </w:rPr>
        <w:t xml:space="preserve">État partie a également manqué à la responsabilité qui lui </w:t>
      </w:r>
      <w:r>
        <w:rPr>
          <w:rFonts w:eastAsia="SimSun"/>
        </w:rPr>
        <w:t>incombait,</w:t>
      </w:r>
      <w:r w:rsidRPr="005C6F76">
        <w:rPr>
          <w:rFonts w:eastAsia="SimSun"/>
        </w:rPr>
        <w:t xml:space="preserve"> au titre de l</w:t>
      </w:r>
      <w:r>
        <w:rPr>
          <w:rFonts w:eastAsia="SimSun"/>
        </w:rPr>
        <w:t>’article</w:t>
      </w:r>
      <w:r w:rsidR="00001B1A">
        <w:rPr>
          <w:rFonts w:eastAsia="SimSun"/>
        </w:rPr>
        <w:t> </w:t>
      </w:r>
      <w:r w:rsidRPr="005C6F76">
        <w:rPr>
          <w:rFonts w:eastAsia="SimSun"/>
        </w:rPr>
        <w:t xml:space="preserve">13 </w:t>
      </w:r>
      <w:r>
        <w:rPr>
          <w:rFonts w:eastAsia="SimSun"/>
        </w:rPr>
        <w:t>de la Convention, de garantir au requérant</w:t>
      </w:r>
      <w:r w:rsidRPr="005C6F76">
        <w:rPr>
          <w:rFonts w:eastAsia="SimSun"/>
        </w:rPr>
        <w:t xml:space="preserve"> le droit de porter plainte,</w:t>
      </w:r>
      <w:r>
        <w:rPr>
          <w:rFonts w:eastAsia="SimSun"/>
        </w:rPr>
        <w:t xml:space="preserve"> </w:t>
      </w:r>
      <w:r w:rsidRPr="005C6F76">
        <w:rPr>
          <w:rFonts w:eastAsia="SimSun"/>
        </w:rPr>
        <w:t>qui présuppose que les autorités apportent une réponse adéquate par le déclenchement d</w:t>
      </w:r>
      <w:r>
        <w:rPr>
          <w:rFonts w:eastAsia="SimSun"/>
        </w:rPr>
        <w:t>’</w:t>
      </w:r>
      <w:r w:rsidRPr="005C6F76">
        <w:rPr>
          <w:rFonts w:eastAsia="SimSun"/>
        </w:rPr>
        <w:t>un</w:t>
      </w:r>
      <w:r>
        <w:rPr>
          <w:rFonts w:eastAsia="SimSun"/>
        </w:rPr>
        <w:t>e enquête prompte et impartiale</w:t>
      </w:r>
      <w:r w:rsidRPr="00152BE0">
        <w:rPr>
          <w:rStyle w:val="Appelnotedebasdep"/>
        </w:rPr>
        <w:footnoteReference w:id="21"/>
      </w:r>
      <w:r>
        <w:rPr>
          <w:rFonts w:eastAsia="SimSun"/>
        </w:rPr>
        <w:t xml:space="preserve">. </w:t>
      </w:r>
      <w:r w:rsidRPr="00644BA8">
        <w:rPr>
          <w:rFonts w:eastAsia="SimSun"/>
        </w:rPr>
        <w:t>Le Comité conclut que l</w:t>
      </w:r>
      <w:r>
        <w:rPr>
          <w:rFonts w:eastAsia="SimSun"/>
        </w:rPr>
        <w:t>’</w:t>
      </w:r>
      <w:r w:rsidRPr="00644BA8">
        <w:rPr>
          <w:rFonts w:eastAsia="SimSun"/>
        </w:rPr>
        <w:t>article</w:t>
      </w:r>
      <w:r w:rsidR="00001B1A">
        <w:rPr>
          <w:rFonts w:eastAsia="SimSun"/>
        </w:rPr>
        <w:t> </w:t>
      </w:r>
      <w:r w:rsidRPr="00644BA8">
        <w:rPr>
          <w:rFonts w:eastAsia="SimSun"/>
        </w:rPr>
        <w:t>13 de la Convention a également été violé.</w:t>
      </w:r>
    </w:p>
    <w:p w14:paraId="63026654" w14:textId="1D0748F0" w:rsidR="001E0125" w:rsidRDefault="001E0125" w:rsidP="001E0125">
      <w:pPr>
        <w:pStyle w:val="SingleTxtG"/>
        <w:rPr>
          <w:rFonts w:eastAsia="SimSun"/>
          <w:lang w:eastAsia="zh-CN"/>
        </w:rPr>
      </w:pPr>
      <w:r>
        <w:rPr>
          <w:lang w:eastAsia="zh-CN"/>
        </w:rPr>
        <w:t>6.7</w:t>
      </w:r>
      <w:r w:rsidRPr="001D74C4">
        <w:rPr>
          <w:lang w:eastAsia="zh-CN"/>
        </w:rPr>
        <w:tab/>
      </w:r>
      <w:r>
        <w:rPr>
          <w:rFonts w:eastAsia="SimSun"/>
          <w:lang w:eastAsia="zh-CN"/>
        </w:rPr>
        <w:t>S’agissant des allégations du requérant</w:t>
      </w:r>
      <w:r w:rsidRPr="005A630B">
        <w:rPr>
          <w:rFonts w:eastAsia="SimSun"/>
          <w:lang w:eastAsia="zh-CN"/>
        </w:rPr>
        <w:t xml:space="preserve"> au titre de l</w:t>
      </w:r>
      <w:r>
        <w:rPr>
          <w:rFonts w:eastAsia="SimSun"/>
          <w:lang w:eastAsia="zh-CN"/>
        </w:rPr>
        <w:t>’</w:t>
      </w:r>
      <w:r w:rsidRPr="005A630B">
        <w:rPr>
          <w:rFonts w:eastAsia="SimSun"/>
          <w:lang w:eastAsia="zh-CN"/>
        </w:rPr>
        <w:t>article</w:t>
      </w:r>
      <w:r w:rsidR="00001B1A">
        <w:rPr>
          <w:rFonts w:eastAsia="SimSun"/>
          <w:lang w:eastAsia="zh-CN"/>
        </w:rPr>
        <w:t> </w:t>
      </w:r>
      <w:r w:rsidRPr="005A630B">
        <w:rPr>
          <w:rFonts w:eastAsia="SimSun"/>
          <w:lang w:eastAsia="zh-CN"/>
        </w:rPr>
        <w:t>14 de la Convention, le Comité rappelle que cette disposition reconnaît non seulement le droit d</w:t>
      </w:r>
      <w:r>
        <w:rPr>
          <w:rFonts w:eastAsia="SimSun"/>
          <w:lang w:eastAsia="zh-CN"/>
        </w:rPr>
        <w:t>’</w:t>
      </w:r>
      <w:r w:rsidRPr="005A630B">
        <w:rPr>
          <w:rFonts w:eastAsia="SimSun"/>
          <w:lang w:eastAsia="zh-CN"/>
        </w:rPr>
        <w:t>être indemnisé équitablement et de manière adéquate, mais impose aussi aux États parties l</w:t>
      </w:r>
      <w:r>
        <w:rPr>
          <w:rFonts w:eastAsia="SimSun"/>
          <w:lang w:eastAsia="zh-CN"/>
        </w:rPr>
        <w:t>’</w:t>
      </w:r>
      <w:r w:rsidRPr="005A630B">
        <w:rPr>
          <w:rFonts w:eastAsia="SimSun"/>
          <w:lang w:eastAsia="zh-CN"/>
        </w:rPr>
        <w:t>obligation de veiller à ce que la victime d</w:t>
      </w:r>
      <w:r>
        <w:rPr>
          <w:rFonts w:eastAsia="SimSun"/>
          <w:lang w:eastAsia="zh-CN"/>
        </w:rPr>
        <w:t>’</w:t>
      </w:r>
      <w:r w:rsidRPr="005A630B">
        <w:rPr>
          <w:rFonts w:eastAsia="SimSun"/>
          <w:lang w:eastAsia="zh-CN"/>
        </w:rPr>
        <w:t xml:space="preserve">un acte de </w:t>
      </w:r>
      <w:r w:rsidRPr="008A3D67">
        <w:rPr>
          <w:rFonts w:eastAsia="SimSun"/>
        </w:rPr>
        <w:t>torture</w:t>
      </w:r>
      <w:r w:rsidRPr="005C6F76">
        <w:rPr>
          <w:rFonts w:eastAsia="SimSun"/>
        </w:rPr>
        <w:t xml:space="preserve"> </w:t>
      </w:r>
      <w:r w:rsidRPr="005A630B">
        <w:rPr>
          <w:rFonts w:eastAsia="SimSun"/>
          <w:lang w:eastAsia="zh-CN"/>
        </w:rPr>
        <w:t>obtienne réparation. Le Comité rappelle que la réparation doit couvrir l</w:t>
      </w:r>
      <w:r>
        <w:rPr>
          <w:rFonts w:eastAsia="SimSun"/>
          <w:lang w:eastAsia="zh-CN"/>
        </w:rPr>
        <w:t>’</w:t>
      </w:r>
      <w:r w:rsidRPr="005A630B">
        <w:rPr>
          <w:rFonts w:eastAsia="SimSun"/>
          <w:lang w:eastAsia="zh-CN"/>
        </w:rPr>
        <w:t>ensemble des dommages subis par la victime et englobe, entre autres mesures, la restitution, l</w:t>
      </w:r>
      <w:r>
        <w:rPr>
          <w:rFonts w:eastAsia="SimSun"/>
          <w:lang w:eastAsia="zh-CN"/>
        </w:rPr>
        <w:t>’</w:t>
      </w:r>
      <w:r w:rsidRPr="005A630B">
        <w:rPr>
          <w:rFonts w:eastAsia="SimSun"/>
          <w:lang w:eastAsia="zh-CN"/>
        </w:rPr>
        <w:t>indemnisation ainsi que des mesures propres à garantir la non</w:t>
      </w:r>
      <w:r w:rsidR="00001B1A">
        <w:rPr>
          <w:rFonts w:eastAsia="SimSun"/>
          <w:lang w:eastAsia="zh-CN"/>
        </w:rPr>
        <w:noBreakHyphen/>
      </w:r>
      <w:r w:rsidRPr="005A630B">
        <w:rPr>
          <w:rFonts w:eastAsia="SimSun"/>
          <w:lang w:eastAsia="zh-CN"/>
        </w:rPr>
        <w:t>répétition des violations, en tenant toujours compte des circonstances de chaque affaire</w:t>
      </w:r>
      <w:r w:rsidRPr="00152BE0">
        <w:rPr>
          <w:rStyle w:val="Appelnotedebasdep"/>
        </w:rPr>
        <w:footnoteReference w:id="22"/>
      </w:r>
      <w:r>
        <w:rPr>
          <w:rFonts w:eastAsia="SimSun"/>
          <w:lang w:eastAsia="zh-CN"/>
        </w:rPr>
        <w:t>.</w:t>
      </w:r>
      <w:r w:rsidRPr="005A630B">
        <w:rPr>
          <w:rFonts w:eastAsia="SimSun"/>
          <w:lang w:eastAsia="zh-CN"/>
        </w:rPr>
        <w:t xml:space="preserve"> </w:t>
      </w:r>
      <w:r w:rsidRPr="00BE134F">
        <w:rPr>
          <w:rFonts w:eastAsia="SimSun"/>
          <w:lang w:eastAsia="zh-CN"/>
        </w:rPr>
        <w:t>En l</w:t>
      </w:r>
      <w:r>
        <w:rPr>
          <w:rFonts w:eastAsia="SimSun"/>
          <w:lang w:eastAsia="zh-CN"/>
        </w:rPr>
        <w:t>’</w:t>
      </w:r>
      <w:r w:rsidRPr="00BE134F">
        <w:rPr>
          <w:rFonts w:eastAsia="SimSun"/>
          <w:lang w:eastAsia="zh-CN"/>
        </w:rPr>
        <w:t>espèce, en l</w:t>
      </w:r>
      <w:r>
        <w:rPr>
          <w:rFonts w:eastAsia="SimSun"/>
          <w:lang w:eastAsia="zh-CN"/>
        </w:rPr>
        <w:t>’</w:t>
      </w:r>
      <w:r w:rsidRPr="00BE134F">
        <w:rPr>
          <w:rFonts w:eastAsia="SimSun"/>
          <w:lang w:eastAsia="zh-CN"/>
        </w:rPr>
        <w:t>absence d</w:t>
      </w:r>
      <w:r>
        <w:rPr>
          <w:rFonts w:eastAsia="SimSun"/>
          <w:lang w:eastAsia="zh-CN"/>
        </w:rPr>
        <w:t>’</w:t>
      </w:r>
      <w:r w:rsidRPr="00BE134F">
        <w:rPr>
          <w:rFonts w:eastAsia="SimSun"/>
          <w:lang w:eastAsia="zh-CN"/>
        </w:rPr>
        <w:t>enquête diligentée de manière prompte et impartiale, malgré l</w:t>
      </w:r>
      <w:r>
        <w:rPr>
          <w:rFonts w:eastAsia="SimSun"/>
          <w:lang w:eastAsia="zh-CN"/>
        </w:rPr>
        <w:t>’</w:t>
      </w:r>
      <w:r w:rsidRPr="00BE134F">
        <w:rPr>
          <w:rFonts w:eastAsia="SimSun"/>
          <w:lang w:eastAsia="zh-CN"/>
        </w:rPr>
        <w:t>existence de preuves matérielles manife</w:t>
      </w:r>
      <w:r>
        <w:rPr>
          <w:rFonts w:eastAsia="SimSun"/>
          <w:lang w:eastAsia="zh-CN"/>
        </w:rPr>
        <w:t>stes indiquant que le requérant</w:t>
      </w:r>
      <w:r w:rsidRPr="00BE134F">
        <w:rPr>
          <w:rFonts w:eastAsia="SimSun"/>
          <w:lang w:eastAsia="zh-CN"/>
        </w:rPr>
        <w:t xml:space="preserve"> a été victime d</w:t>
      </w:r>
      <w:r>
        <w:rPr>
          <w:rFonts w:eastAsia="SimSun"/>
          <w:lang w:eastAsia="zh-CN"/>
        </w:rPr>
        <w:t>’</w:t>
      </w:r>
      <w:r w:rsidRPr="00BE134F">
        <w:rPr>
          <w:rFonts w:eastAsia="SimSun"/>
          <w:lang w:eastAsia="zh-CN"/>
        </w:rPr>
        <w:t>actes de torture –</w:t>
      </w:r>
      <w:r w:rsidR="00001B1A">
        <w:rPr>
          <w:rFonts w:eastAsia="SimSun"/>
          <w:lang w:eastAsia="zh-CN"/>
        </w:rPr>
        <w:t> </w:t>
      </w:r>
      <w:r w:rsidRPr="00BE134F">
        <w:rPr>
          <w:rFonts w:eastAsia="SimSun"/>
          <w:lang w:eastAsia="zh-CN"/>
        </w:rPr>
        <w:t>restés impunis</w:t>
      </w:r>
      <w:r w:rsidR="00001B1A">
        <w:rPr>
          <w:rFonts w:eastAsia="SimSun"/>
          <w:lang w:eastAsia="zh-CN"/>
        </w:rPr>
        <w:t> </w:t>
      </w:r>
      <w:r w:rsidRPr="00BE134F">
        <w:rPr>
          <w:rFonts w:eastAsia="SimSun"/>
          <w:lang w:eastAsia="zh-CN"/>
        </w:rPr>
        <w:t>–</w:t>
      </w:r>
      <w:r>
        <w:rPr>
          <w:rFonts w:eastAsia="SimSun"/>
          <w:lang w:eastAsia="zh-CN"/>
        </w:rPr>
        <w:t>,</w:t>
      </w:r>
      <w:r w:rsidRPr="00BE134F">
        <w:rPr>
          <w:rFonts w:eastAsia="SimSun"/>
          <w:lang w:eastAsia="zh-CN"/>
        </w:rPr>
        <w:t xml:space="preserve"> le Comité conclut que l</w:t>
      </w:r>
      <w:r>
        <w:rPr>
          <w:rFonts w:eastAsia="SimSun"/>
          <w:lang w:eastAsia="zh-CN"/>
        </w:rPr>
        <w:t>’</w:t>
      </w:r>
      <w:r w:rsidRPr="00BE134F">
        <w:rPr>
          <w:rFonts w:eastAsia="SimSun"/>
          <w:lang w:eastAsia="zh-CN"/>
        </w:rPr>
        <w:t xml:space="preserve">État partie a également manqué aux obligations qui lui incombent </w:t>
      </w:r>
      <w:r>
        <w:rPr>
          <w:rFonts w:eastAsia="SimSun"/>
          <w:lang w:eastAsia="zh-CN"/>
        </w:rPr>
        <w:t>au titre</w:t>
      </w:r>
      <w:r w:rsidRPr="00BE134F">
        <w:rPr>
          <w:rFonts w:eastAsia="SimSun"/>
          <w:lang w:eastAsia="zh-CN"/>
        </w:rPr>
        <w:t xml:space="preserve"> de l</w:t>
      </w:r>
      <w:r>
        <w:rPr>
          <w:rFonts w:eastAsia="SimSun"/>
          <w:lang w:eastAsia="zh-CN"/>
        </w:rPr>
        <w:t>’</w:t>
      </w:r>
      <w:r w:rsidRPr="00BE134F">
        <w:rPr>
          <w:rFonts w:eastAsia="SimSun"/>
          <w:lang w:eastAsia="zh-CN"/>
        </w:rPr>
        <w:t>article</w:t>
      </w:r>
      <w:r w:rsidR="00001B1A">
        <w:rPr>
          <w:rFonts w:eastAsia="SimSun"/>
          <w:lang w:eastAsia="zh-CN"/>
        </w:rPr>
        <w:t> </w:t>
      </w:r>
      <w:r w:rsidRPr="00BE134F">
        <w:rPr>
          <w:rFonts w:eastAsia="SimSun"/>
          <w:lang w:eastAsia="zh-CN"/>
        </w:rPr>
        <w:t>14 de la Convention</w:t>
      </w:r>
      <w:r w:rsidRPr="00152BE0">
        <w:rPr>
          <w:rStyle w:val="Appelnotedebasdep"/>
        </w:rPr>
        <w:footnoteReference w:id="23"/>
      </w:r>
      <w:r w:rsidRPr="00BE134F">
        <w:rPr>
          <w:rFonts w:eastAsia="SimSun"/>
          <w:lang w:eastAsia="zh-CN"/>
        </w:rPr>
        <w:t>.</w:t>
      </w:r>
    </w:p>
    <w:p w14:paraId="6E1C8193" w14:textId="191A87FC" w:rsidR="001E0125" w:rsidRDefault="001E0125" w:rsidP="001E0125">
      <w:pPr>
        <w:pStyle w:val="SingleTxtG"/>
        <w:rPr>
          <w:lang w:eastAsia="zh-CN"/>
        </w:rPr>
      </w:pPr>
      <w:r w:rsidRPr="006A492D">
        <w:rPr>
          <w:lang w:eastAsia="zh-CN"/>
        </w:rPr>
        <w:t>6.8</w:t>
      </w:r>
      <w:r w:rsidRPr="006A492D">
        <w:rPr>
          <w:lang w:eastAsia="zh-CN"/>
        </w:rPr>
        <w:tab/>
        <w:t>Pour ce qui est du grief tiré de l</w:t>
      </w:r>
      <w:r>
        <w:rPr>
          <w:lang w:eastAsia="zh-CN"/>
        </w:rPr>
        <w:t>’</w:t>
      </w:r>
      <w:r w:rsidRPr="006A492D">
        <w:rPr>
          <w:lang w:eastAsia="zh-CN"/>
        </w:rPr>
        <w:t>article</w:t>
      </w:r>
      <w:r w:rsidR="00001B1A">
        <w:rPr>
          <w:lang w:eastAsia="zh-CN"/>
        </w:rPr>
        <w:t> </w:t>
      </w:r>
      <w:r w:rsidRPr="006A492D">
        <w:rPr>
          <w:lang w:eastAsia="zh-CN"/>
        </w:rPr>
        <w:t>16</w:t>
      </w:r>
      <w:r w:rsidRPr="0022380C">
        <w:rPr>
          <w:rFonts w:eastAsia="SimSun"/>
          <w:lang w:eastAsia="zh-CN"/>
        </w:rPr>
        <w:t xml:space="preserve"> </w:t>
      </w:r>
      <w:r w:rsidRPr="00BE134F">
        <w:rPr>
          <w:rFonts w:eastAsia="SimSun"/>
          <w:lang w:eastAsia="zh-CN"/>
        </w:rPr>
        <w:t>de la Convention</w:t>
      </w:r>
      <w:r w:rsidRPr="006A492D">
        <w:rPr>
          <w:lang w:eastAsia="zh-CN"/>
        </w:rPr>
        <w:t xml:space="preserve">, le Comité a pris note des allégations du requérant, selon lesquelles il a été détenu </w:t>
      </w:r>
      <w:r>
        <w:rPr>
          <w:lang w:eastAsia="zh-CN"/>
        </w:rPr>
        <w:t>à la prison centrale</w:t>
      </w:r>
      <w:r w:rsidRPr="006A492D">
        <w:rPr>
          <w:lang w:eastAsia="zh-CN"/>
        </w:rPr>
        <w:t xml:space="preserve"> de Mpimba, où les conditions de détention ont été particulièrement dégradantes et inhumaines, sans pouvoir accéder à des soins médicaux appropriés. </w:t>
      </w:r>
      <w:r w:rsidRPr="006A492D">
        <w:rPr>
          <w:lang w:val="fr-FR" w:eastAsia="zh-CN"/>
        </w:rPr>
        <w:t>En l</w:t>
      </w:r>
      <w:r>
        <w:rPr>
          <w:lang w:val="fr-FR" w:eastAsia="zh-CN"/>
        </w:rPr>
        <w:t>’</w:t>
      </w:r>
      <w:r w:rsidRPr="006A492D">
        <w:rPr>
          <w:lang w:val="fr-FR" w:eastAsia="zh-CN"/>
        </w:rPr>
        <w:t>absence de toute information pertinente de la part de l</w:t>
      </w:r>
      <w:r>
        <w:rPr>
          <w:lang w:val="fr-FR" w:eastAsia="zh-CN"/>
        </w:rPr>
        <w:t>’</w:t>
      </w:r>
      <w:r w:rsidRPr="006A492D">
        <w:rPr>
          <w:lang w:val="fr-FR" w:eastAsia="zh-CN"/>
        </w:rPr>
        <w:t>État partie à ce sujet, le Comité conclut que les faits de l</w:t>
      </w:r>
      <w:r>
        <w:rPr>
          <w:lang w:val="fr-FR" w:eastAsia="zh-CN"/>
        </w:rPr>
        <w:t>’</w:t>
      </w:r>
      <w:r w:rsidRPr="006A492D">
        <w:rPr>
          <w:lang w:val="fr-FR" w:eastAsia="zh-CN"/>
        </w:rPr>
        <w:t>espèce révèlent une violation par l</w:t>
      </w:r>
      <w:r>
        <w:rPr>
          <w:lang w:val="fr-FR" w:eastAsia="zh-CN"/>
        </w:rPr>
        <w:t>’</w:t>
      </w:r>
      <w:r w:rsidRPr="006A492D">
        <w:rPr>
          <w:lang w:val="fr-FR" w:eastAsia="zh-CN"/>
        </w:rPr>
        <w:t xml:space="preserve">État partie de ses obligations au titre de </w:t>
      </w:r>
      <w:r w:rsidRPr="006A492D">
        <w:rPr>
          <w:lang w:eastAsia="zh-CN"/>
        </w:rPr>
        <w:t>l</w:t>
      </w:r>
      <w:r>
        <w:rPr>
          <w:lang w:eastAsia="zh-CN"/>
        </w:rPr>
        <w:t>’</w:t>
      </w:r>
      <w:r w:rsidRPr="006A492D">
        <w:rPr>
          <w:lang w:eastAsia="zh-CN"/>
        </w:rPr>
        <w:t>article</w:t>
      </w:r>
      <w:r w:rsidR="00001B1A">
        <w:rPr>
          <w:lang w:eastAsia="zh-CN"/>
        </w:rPr>
        <w:t> </w:t>
      </w:r>
      <w:r w:rsidRPr="006A492D">
        <w:rPr>
          <w:lang w:eastAsia="zh-CN"/>
        </w:rPr>
        <w:t>16</w:t>
      </w:r>
      <w:r w:rsidRPr="006A492D">
        <w:rPr>
          <w:lang w:val="fr-FR" w:eastAsia="zh-CN"/>
        </w:rPr>
        <w:t xml:space="preserve"> de la Convention</w:t>
      </w:r>
      <w:r w:rsidRPr="00152BE0">
        <w:rPr>
          <w:rStyle w:val="Appelnotedebasdep"/>
        </w:rPr>
        <w:footnoteReference w:id="24"/>
      </w:r>
      <w:r w:rsidRPr="006A492D">
        <w:rPr>
          <w:lang w:eastAsia="zh-CN"/>
        </w:rPr>
        <w:t>.</w:t>
      </w:r>
    </w:p>
    <w:p w14:paraId="56A3D52B" w14:textId="03919540" w:rsidR="001E0125" w:rsidRPr="001D74C4" w:rsidRDefault="001E0125" w:rsidP="001E0125">
      <w:pPr>
        <w:pStyle w:val="SingleTxtG"/>
        <w:rPr>
          <w:rFonts w:eastAsia="SimSun"/>
          <w:lang w:val="fr-FR" w:eastAsia="zh-CN"/>
        </w:rPr>
      </w:pPr>
      <w:r>
        <w:rPr>
          <w:rFonts w:eastAsia="SimSun"/>
          <w:lang w:val="fr-FR" w:eastAsia="zh-CN"/>
        </w:rPr>
        <w:t>7</w:t>
      </w:r>
      <w:r w:rsidRPr="001D74C4">
        <w:rPr>
          <w:rFonts w:eastAsia="SimSun"/>
          <w:lang w:val="fr-FR" w:eastAsia="zh-CN"/>
        </w:rPr>
        <w:t>.</w:t>
      </w:r>
      <w:r w:rsidRPr="001D74C4">
        <w:rPr>
          <w:rFonts w:eastAsia="SimSun"/>
          <w:lang w:val="fr-FR" w:eastAsia="zh-CN"/>
        </w:rPr>
        <w:tab/>
      </w:r>
      <w:r w:rsidRPr="00D4751A">
        <w:rPr>
          <w:rFonts w:eastAsia="SimSun"/>
          <w:lang w:val="fr-FR" w:eastAsia="zh-CN"/>
        </w:rPr>
        <w:t xml:space="preserve">Le </w:t>
      </w:r>
      <w:r w:rsidRPr="00D4751A">
        <w:rPr>
          <w:rFonts w:eastAsia="SimSun"/>
          <w:lang w:eastAsia="zh-CN"/>
        </w:rPr>
        <w:t>Comité</w:t>
      </w:r>
      <w:r w:rsidRPr="00D4751A">
        <w:rPr>
          <w:rFonts w:eastAsia="SimSun"/>
          <w:lang w:val="fr-FR" w:eastAsia="zh-CN"/>
        </w:rPr>
        <w:t>, agissant en vertu de l</w:t>
      </w:r>
      <w:r>
        <w:rPr>
          <w:rFonts w:eastAsia="SimSun"/>
          <w:lang w:val="fr-FR" w:eastAsia="zh-CN"/>
        </w:rPr>
        <w:t>’</w:t>
      </w:r>
      <w:r w:rsidRPr="00D4751A">
        <w:rPr>
          <w:rFonts w:eastAsia="SimSun"/>
          <w:lang w:val="fr-FR" w:eastAsia="zh-CN"/>
        </w:rPr>
        <w:t>article</w:t>
      </w:r>
      <w:r w:rsidR="00001B1A">
        <w:rPr>
          <w:rFonts w:eastAsia="SimSun"/>
          <w:lang w:val="fr-FR" w:eastAsia="zh-CN"/>
        </w:rPr>
        <w:t> </w:t>
      </w:r>
      <w:r w:rsidRPr="00D4751A">
        <w:rPr>
          <w:rFonts w:eastAsia="SimSun"/>
          <w:lang w:val="fr-FR" w:eastAsia="zh-CN"/>
        </w:rPr>
        <w:t>22</w:t>
      </w:r>
      <w:r>
        <w:rPr>
          <w:rFonts w:eastAsia="SimSun"/>
          <w:lang w:val="fr-FR" w:eastAsia="zh-CN"/>
        </w:rPr>
        <w:t xml:space="preserve"> (par. 7)</w:t>
      </w:r>
      <w:r w:rsidRPr="00D4751A">
        <w:rPr>
          <w:rFonts w:eastAsia="SimSun"/>
          <w:lang w:val="fr-FR" w:eastAsia="zh-CN"/>
        </w:rPr>
        <w:t xml:space="preserve"> de la Convention, conclut que les faits dont il </w:t>
      </w:r>
      <w:r>
        <w:rPr>
          <w:rFonts w:eastAsia="SimSun"/>
          <w:lang w:val="fr-FR" w:eastAsia="zh-CN"/>
        </w:rPr>
        <w:t>est</w:t>
      </w:r>
      <w:r w:rsidRPr="00D4751A">
        <w:rPr>
          <w:rFonts w:eastAsia="SimSun"/>
          <w:lang w:val="fr-FR" w:eastAsia="zh-CN"/>
        </w:rPr>
        <w:t xml:space="preserve"> saisi font apparaître une violation de</w:t>
      </w:r>
      <w:r>
        <w:rPr>
          <w:rFonts w:eastAsia="SimSun"/>
          <w:lang w:val="fr-FR" w:eastAsia="zh-CN"/>
        </w:rPr>
        <w:t>s</w:t>
      </w:r>
      <w:r w:rsidRPr="00D4751A">
        <w:rPr>
          <w:rFonts w:eastAsia="SimSun"/>
          <w:lang w:val="fr-FR" w:eastAsia="zh-CN"/>
        </w:rPr>
        <w:t xml:space="preserve"> article</w:t>
      </w:r>
      <w:r>
        <w:rPr>
          <w:rFonts w:eastAsia="SimSun"/>
          <w:lang w:val="fr-FR" w:eastAsia="zh-CN"/>
        </w:rPr>
        <w:t>s</w:t>
      </w:r>
      <w:r w:rsidR="00001B1A">
        <w:rPr>
          <w:rFonts w:eastAsia="SimSun"/>
          <w:lang w:val="fr-FR" w:eastAsia="zh-CN"/>
        </w:rPr>
        <w:t> </w:t>
      </w:r>
      <w:r w:rsidRPr="00D4751A">
        <w:rPr>
          <w:rFonts w:eastAsia="SimSun"/>
          <w:lang w:val="fr-FR" w:eastAsia="zh-CN"/>
        </w:rPr>
        <w:t>2 (par.</w:t>
      </w:r>
      <w:r w:rsidR="00001B1A">
        <w:rPr>
          <w:rFonts w:eastAsia="SimSun"/>
          <w:lang w:val="fr-FR" w:eastAsia="zh-CN"/>
        </w:rPr>
        <w:t> </w:t>
      </w:r>
      <w:r w:rsidRPr="00D4751A">
        <w:rPr>
          <w:rFonts w:eastAsia="SimSun"/>
          <w:lang w:val="fr-FR" w:eastAsia="zh-CN"/>
        </w:rPr>
        <w:t xml:space="preserve">1), </w:t>
      </w:r>
      <w:r>
        <w:rPr>
          <w:rFonts w:eastAsia="SimSun"/>
          <w:lang w:val="fr-FR" w:eastAsia="zh-CN"/>
        </w:rPr>
        <w:t xml:space="preserve">11, 12, 13 et 14, </w:t>
      </w:r>
      <w:r w:rsidRPr="00D4751A">
        <w:rPr>
          <w:rFonts w:eastAsia="SimSun"/>
          <w:lang w:val="fr-FR" w:eastAsia="zh-CN"/>
        </w:rPr>
        <w:t>lu</w:t>
      </w:r>
      <w:r>
        <w:rPr>
          <w:rFonts w:eastAsia="SimSun"/>
          <w:lang w:val="fr-FR" w:eastAsia="zh-CN"/>
        </w:rPr>
        <w:t>s</w:t>
      </w:r>
      <w:r w:rsidRPr="00D4751A">
        <w:rPr>
          <w:rFonts w:eastAsia="SimSun"/>
          <w:lang w:val="fr-FR" w:eastAsia="zh-CN"/>
        </w:rPr>
        <w:t xml:space="preserve"> conjointement avec l</w:t>
      </w:r>
      <w:r>
        <w:rPr>
          <w:rFonts w:eastAsia="SimSun"/>
          <w:lang w:val="fr-FR" w:eastAsia="zh-CN"/>
        </w:rPr>
        <w:t>’</w:t>
      </w:r>
      <w:r w:rsidRPr="00D4751A">
        <w:rPr>
          <w:rFonts w:eastAsia="SimSun"/>
          <w:lang w:val="fr-FR" w:eastAsia="zh-CN"/>
        </w:rPr>
        <w:t>article</w:t>
      </w:r>
      <w:r w:rsidR="00001B1A">
        <w:rPr>
          <w:rFonts w:eastAsia="SimSun"/>
          <w:lang w:val="fr-FR" w:eastAsia="zh-CN"/>
        </w:rPr>
        <w:t> </w:t>
      </w:r>
      <w:r w:rsidRPr="00D4751A">
        <w:rPr>
          <w:rFonts w:eastAsia="SimSun"/>
          <w:lang w:val="fr-FR" w:eastAsia="zh-CN"/>
        </w:rPr>
        <w:t>1</w:t>
      </w:r>
      <w:r w:rsidRPr="00152BE0">
        <w:rPr>
          <w:rFonts w:eastAsia="SimSun"/>
          <w:vertAlign w:val="superscript"/>
          <w:lang w:val="fr-FR" w:eastAsia="zh-CN"/>
        </w:rPr>
        <w:t>er</w:t>
      </w:r>
      <w:r w:rsidRPr="00D4751A">
        <w:rPr>
          <w:rFonts w:eastAsia="SimSun"/>
          <w:lang w:val="fr-FR" w:eastAsia="zh-CN"/>
        </w:rPr>
        <w:t xml:space="preserve">, et de </w:t>
      </w:r>
      <w:r>
        <w:rPr>
          <w:rFonts w:eastAsia="SimSun"/>
          <w:lang w:val="fr-FR" w:eastAsia="zh-CN"/>
        </w:rPr>
        <w:t>l’</w:t>
      </w:r>
      <w:r w:rsidRPr="00D4751A">
        <w:rPr>
          <w:rFonts w:eastAsia="SimSun"/>
          <w:lang w:val="fr-FR" w:eastAsia="zh-CN"/>
        </w:rPr>
        <w:t>article</w:t>
      </w:r>
      <w:r w:rsidR="00001B1A">
        <w:rPr>
          <w:rFonts w:eastAsia="SimSun"/>
          <w:lang w:val="fr-FR" w:eastAsia="zh-CN"/>
        </w:rPr>
        <w:t> </w:t>
      </w:r>
      <w:r w:rsidRPr="00D4751A">
        <w:rPr>
          <w:rFonts w:eastAsia="SimSun"/>
          <w:lang w:val="fr-FR" w:eastAsia="zh-CN"/>
        </w:rPr>
        <w:t>16</w:t>
      </w:r>
      <w:r>
        <w:rPr>
          <w:rFonts w:eastAsia="SimSun"/>
          <w:lang w:val="fr-FR" w:eastAsia="zh-CN"/>
        </w:rPr>
        <w:t xml:space="preserve"> de la Convention</w:t>
      </w:r>
      <w:r w:rsidRPr="005A25CE">
        <w:rPr>
          <w:rFonts w:eastAsia="SimSun"/>
          <w:lang w:val="fr-FR" w:eastAsia="zh-CN"/>
        </w:rPr>
        <w:t>.</w:t>
      </w:r>
      <w:r>
        <w:rPr>
          <w:rFonts w:eastAsia="SimSun"/>
          <w:lang w:val="fr-FR" w:eastAsia="zh-CN"/>
        </w:rPr>
        <w:t xml:space="preserve"> Le Comité prend note de </w:t>
      </w:r>
      <w:r>
        <w:rPr>
          <w:rFonts w:eastAsia="SimSun"/>
          <w:lang w:val="fr-FR" w:eastAsia="zh-CN"/>
        </w:rPr>
        <w:lastRenderedPageBreak/>
        <w:t>l’absence de coopération de l’État partie, qui entraîne également une violation de l’article</w:t>
      </w:r>
      <w:r w:rsidR="00001B1A">
        <w:rPr>
          <w:rFonts w:eastAsia="SimSun"/>
          <w:lang w:val="fr-FR" w:eastAsia="zh-CN"/>
        </w:rPr>
        <w:t> </w:t>
      </w:r>
      <w:r>
        <w:rPr>
          <w:rFonts w:eastAsia="SimSun"/>
          <w:lang w:val="fr-FR" w:eastAsia="zh-CN"/>
        </w:rPr>
        <w:t>22 de la Convention.</w:t>
      </w:r>
    </w:p>
    <w:p w14:paraId="6635BAB2" w14:textId="77777777" w:rsidR="001E0125" w:rsidRDefault="001E0125" w:rsidP="001E0125">
      <w:pPr>
        <w:pStyle w:val="SingleTxtG"/>
        <w:rPr>
          <w:rFonts w:eastAsia="SimSun"/>
          <w:color w:val="000000"/>
          <w:lang w:eastAsia="zh-CN"/>
        </w:rPr>
      </w:pPr>
      <w:r>
        <w:rPr>
          <w:rFonts w:eastAsia="SimSun"/>
          <w:color w:val="000000"/>
          <w:lang w:val="fr-FR" w:eastAsia="zh-CN"/>
        </w:rPr>
        <w:t>8</w:t>
      </w:r>
      <w:r w:rsidRPr="001D74C4">
        <w:rPr>
          <w:rFonts w:eastAsia="SimSun"/>
          <w:color w:val="000000"/>
          <w:lang w:val="fr-FR" w:eastAsia="zh-CN"/>
        </w:rPr>
        <w:t>.</w:t>
      </w:r>
      <w:r w:rsidRPr="001D74C4">
        <w:rPr>
          <w:rFonts w:eastAsia="SimSun"/>
          <w:color w:val="000000"/>
          <w:sz w:val="24"/>
          <w:szCs w:val="24"/>
          <w:lang w:val="fr-FR" w:eastAsia="zh-CN"/>
        </w:rPr>
        <w:tab/>
      </w:r>
      <w:r>
        <w:rPr>
          <w:rFonts w:eastAsia="SimSun"/>
          <w:color w:val="000000"/>
          <w:lang w:eastAsia="zh-CN"/>
        </w:rPr>
        <w:t>L</w:t>
      </w:r>
      <w:r w:rsidRPr="00D4751A">
        <w:rPr>
          <w:rFonts w:eastAsia="SimSun"/>
          <w:color w:val="000000"/>
          <w:lang w:eastAsia="zh-CN"/>
        </w:rPr>
        <w:t>e Comité invite instamment l</w:t>
      </w:r>
      <w:r>
        <w:rPr>
          <w:rFonts w:eastAsia="SimSun"/>
          <w:color w:val="000000"/>
          <w:lang w:eastAsia="zh-CN"/>
        </w:rPr>
        <w:t>’</w:t>
      </w:r>
      <w:r w:rsidRPr="00D4751A">
        <w:rPr>
          <w:rFonts w:eastAsia="SimSun"/>
          <w:color w:val="000000"/>
          <w:lang w:eastAsia="zh-CN"/>
        </w:rPr>
        <w:t xml:space="preserve">État partie à </w:t>
      </w:r>
      <w:r>
        <w:rPr>
          <w:rFonts w:eastAsia="SimSun"/>
          <w:color w:val="000000"/>
          <w:lang w:eastAsia="zh-CN"/>
        </w:rPr>
        <w:t>lancer</w:t>
      </w:r>
      <w:r w:rsidRPr="00D4751A">
        <w:rPr>
          <w:rFonts w:eastAsia="SimSun"/>
          <w:color w:val="000000"/>
          <w:lang w:eastAsia="zh-CN"/>
        </w:rPr>
        <w:t xml:space="preserve"> une enquête impartiale sur les év</w:t>
      </w:r>
      <w:r>
        <w:rPr>
          <w:rFonts w:eastAsia="SimSun"/>
          <w:color w:val="000000"/>
          <w:lang w:eastAsia="zh-CN"/>
        </w:rPr>
        <w:t>é</w:t>
      </w:r>
      <w:r w:rsidRPr="00D4751A">
        <w:rPr>
          <w:rFonts w:eastAsia="SimSun"/>
          <w:color w:val="000000"/>
          <w:lang w:eastAsia="zh-CN"/>
        </w:rPr>
        <w:t xml:space="preserve">nements en question, dans le but de poursuivre en justice les personnes qui pourraient être responsables du traitement infligé </w:t>
      </w:r>
      <w:r>
        <w:rPr>
          <w:rFonts w:eastAsia="SimSun"/>
          <w:color w:val="000000"/>
          <w:lang w:eastAsia="zh-CN"/>
        </w:rPr>
        <w:t>au requérant.</w:t>
      </w:r>
    </w:p>
    <w:p w14:paraId="45EF522A" w14:textId="03177386" w:rsidR="001E0125" w:rsidRDefault="001E0125" w:rsidP="001E0125">
      <w:pPr>
        <w:pStyle w:val="SingleTxtG"/>
        <w:rPr>
          <w:rFonts w:eastAsia="SimSun"/>
          <w:color w:val="000000"/>
          <w:lang w:eastAsia="zh-CN"/>
        </w:rPr>
      </w:pPr>
      <w:r>
        <w:rPr>
          <w:rFonts w:eastAsia="SimSun"/>
          <w:color w:val="000000"/>
          <w:lang w:eastAsia="zh-CN"/>
        </w:rPr>
        <w:t>9.</w:t>
      </w:r>
      <w:r>
        <w:rPr>
          <w:rFonts w:eastAsia="SimSun"/>
          <w:color w:val="000000"/>
          <w:lang w:eastAsia="zh-CN"/>
        </w:rPr>
        <w:tab/>
      </w:r>
      <w:r w:rsidRPr="00D4751A">
        <w:rPr>
          <w:rFonts w:eastAsia="SimSun"/>
          <w:color w:val="000000"/>
          <w:lang w:eastAsia="zh-CN"/>
        </w:rPr>
        <w:t xml:space="preserve">Conformément </w:t>
      </w:r>
      <w:r>
        <w:rPr>
          <w:rFonts w:eastAsia="SimSun"/>
          <w:color w:val="000000"/>
          <w:lang w:eastAsia="zh-CN"/>
        </w:rPr>
        <w:t>à</w:t>
      </w:r>
      <w:r w:rsidRPr="00D4751A">
        <w:rPr>
          <w:rFonts w:eastAsia="SimSun"/>
          <w:color w:val="000000"/>
          <w:lang w:eastAsia="zh-CN"/>
        </w:rPr>
        <w:t xml:space="preserve"> l</w:t>
      </w:r>
      <w:r>
        <w:rPr>
          <w:rFonts w:eastAsia="SimSun"/>
          <w:color w:val="000000"/>
          <w:lang w:eastAsia="zh-CN"/>
        </w:rPr>
        <w:t>’</w:t>
      </w:r>
      <w:r w:rsidRPr="00D4751A">
        <w:rPr>
          <w:rFonts w:eastAsia="SimSun"/>
          <w:color w:val="000000"/>
          <w:lang w:eastAsia="zh-CN"/>
        </w:rPr>
        <w:t>article</w:t>
      </w:r>
      <w:r w:rsidR="00001B1A">
        <w:rPr>
          <w:rFonts w:eastAsia="SimSun"/>
          <w:color w:val="000000"/>
          <w:lang w:eastAsia="zh-CN"/>
        </w:rPr>
        <w:t> </w:t>
      </w:r>
      <w:r w:rsidRPr="00D4751A">
        <w:rPr>
          <w:rFonts w:eastAsia="SimSun"/>
          <w:color w:val="000000"/>
          <w:lang w:eastAsia="zh-CN"/>
        </w:rPr>
        <w:t>118</w:t>
      </w:r>
      <w:r>
        <w:rPr>
          <w:rFonts w:eastAsia="SimSun"/>
          <w:color w:val="000000"/>
          <w:lang w:eastAsia="zh-CN"/>
        </w:rPr>
        <w:t xml:space="preserve"> (par. 5)</w:t>
      </w:r>
      <w:r w:rsidRPr="00D4751A">
        <w:rPr>
          <w:rFonts w:eastAsia="SimSun"/>
          <w:color w:val="000000"/>
          <w:lang w:eastAsia="zh-CN"/>
        </w:rPr>
        <w:t xml:space="preserve"> de son règlement intérieur, le Comité invite l</w:t>
      </w:r>
      <w:r>
        <w:rPr>
          <w:rFonts w:eastAsia="SimSun"/>
          <w:color w:val="000000"/>
          <w:lang w:eastAsia="zh-CN"/>
        </w:rPr>
        <w:t>’</w:t>
      </w:r>
      <w:r w:rsidRPr="00D4751A">
        <w:rPr>
          <w:rFonts w:eastAsia="SimSun"/>
          <w:color w:val="000000"/>
          <w:lang w:eastAsia="zh-CN"/>
        </w:rPr>
        <w:t>État partie à l</w:t>
      </w:r>
      <w:r>
        <w:rPr>
          <w:rFonts w:eastAsia="SimSun"/>
          <w:color w:val="000000"/>
          <w:lang w:eastAsia="zh-CN"/>
        </w:rPr>
        <w:t>’</w:t>
      </w:r>
      <w:r w:rsidRPr="00D4751A">
        <w:rPr>
          <w:rFonts w:eastAsia="SimSun"/>
          <w:color w:val="000000"/>
          <w:lang w:eastAsia="zh-CN"/>
        </w:rPr>
        <w:t>informer, dans un délai de quatre-vingt-dix jours à compter de la date de transmission de la présente décision, des mesures qu</w:t>
      </w:r>
      <w:r>
        <w:rPr>
          <w:rFonts w:eastAsia="SimSun"/>
          <w:color w:val="000000"/>
          <w:lang w:eastAsia="zh-CN"/>
        </w:rPr>
        <w:t>’</w:t>
      </w:r>
      <w:r w:rsidRPr="00D4751A">
        <w:rPr>
          <w:rFonts w:eastAsia="SimSun"/>
          <w:color w:val="000000"/>
          <w:lang w:eastAsia="zh-CN"/>
        </w:rPr>
        <w:t xml:space="preserve">il aura prises </w:t>
      </w:r>
      <w:r>
        <w:rPr>
          <w:rFonts w:eastAsia="SimSun"/>
          <w:color w:val="000000"/>
          <w:lang w:eastAsia="zh-CN"/>
        </w:rPr>
        <w:t>pour donner suite aux observations</w:t>
      </w:r>
      <w:r w:rsidRPr="00D4751A">
        <w:rPr>
          <w:rFonts w:eastAsia="SimSun"/>
          <w:color w:val="000000"/>
          <w:lang w:eastAsia="zh-CN"/>
        </w:rPr>
        <w:t xml:space="preserve"> ci-dessus, </w:t>
      </w:r>
      <w:r>
        <w:rPr>
          <w:rFonts w:eastAsia="SimSun"/>
          <w:color w:val="000000"/>
          <w:lang w:eastAsia="zh-CN"/>
        </w:rPr>
        <w:t>notamment</w:t>
      </w:r>
      <w:r w:rsidRPr="00D4751A">
        <w:rPr>
          <w:rFonts w:eastAsia="SimSun"/>
          <w:color w:val="000000"/>
          <w:lang w:eastAsia="zh-CN"/>
        </w:rPr>
        <w:t xml:space="preserve"> une indemnisation adéquate et équitable, qui comprenne les moyens nécessaires à la réadaptation la plus complète possible de la victime.</w:t>
      </w:r>
    </w:p>
    <w:p w14:paraId="1AC07DF8" w14:textId="65AD4FEF" w:rsidR="001E0125" w:rsidRPr="001E0125" w:rsidRDefault="001E0125" w:rsidP="001E0125">
      <w:pPr>
        <w:pStyle w:val="SingleTxtG"/>
        <w:spacing w:before="240" w:after="0"/>
        <w:jc w:val="center"/>
        <w:rPr>
          <w:u w:val="single"/>
        </w:rPr>
      </w:pPr>
      <w:r>
        <w:rPr>
          <w:u w:val="single"/>
        </w:rPr>
        <w:tab/>
      </w:r>
      <w:r>
        <w:rPr>
          <w:u w:val="single"/>
        </w:rPr>
        <w:tab/>
      </w:r>
      <w:r>
        <w:rPr>
          <w:u w:val="single"/>
        </w:rPr>
        <w:tab/>
      </w:r>
    </w:p>
    <w:sectPr w:rsidR="001E0125" w:rsidRPr="001E0125" w:rsidSect="00ED7E6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01BB4" w14:textId="77777777" w:rsidR="000F1B1D" w:rsidRPr="009C4D45" w:rsidRDefault="000F1B1D" w:rsidP="009C4D45">
      <w:pPr>
        <w:pStyle w:val="Pieddepage"/>
      </w:pPr>
    </w:p>
  </w:endnote>
  <w:endnote w:type="continuationSeparator" w:id="0">
    <w:p w14:paraId="6A0279CB" w14:textId="77777777" w:rsidR="000F1B1D" w:rsidRPr="009C4D45" w:rsidRDefault="000F1B1D" w:rsidP="009C4D45">
      <w:pPr>
        <w:pStyle w:val="Pieddepage"/>
      </w:pPr>
    </w:p>
  </w:endnote>
  <w:endnote w:type="continuationNotice" w:id="1">
    <w:p w14:paraId="3DD50D5A" w14:textId="77777777" w:rsidR="000F1B1D" w:rsidRDefault="000F1B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5C91" w14:textId="491C7989" w:rsidR="00ED7E6E" w:rsidRPr="00ED7E6E" w:rsidRDefault="00ED7E6E" w:rsidP="00ED7E6E">
    <w:pPr>
      <w:pStyle w:val="Pieddepage"/>
      <w:tabs>
        <w:tab w:val="right" w:pos="9638"/>
      </w:tabs>
    </w:pPr>
    <w:r w:rsidRPr="00ED7E6E">
      <w:rPr>
        <w:b/>
        <w:sz w:val="18"/>
      </w:rPr>
      <w:fldChar w:fldCharType="begin"/>
    </w:r>
    <w:r w:rsidRPr="00ED7E6E">
      <w:rPr>
        <w:b/>
        <w:sz w:val="18"/>
      </w:rPr>
      <w:instrText xml:space="preserve"> PAGE  \* MERGEFORMAT </w:instrText>
    </w:r>
    <w:r w:rsidRPr="00ED7E6E">
      <w:rPr>
        <w:b/>
        <w:sz w:val="18"/>
      </w:rPr>
      <w:fldChar w:fldCharType="separate"/>
    </w:r>
    <w:r w:rsidR="00AA7D3C">
      <w:rPr>
        <w:b/>
        <w:noProof/>
        <w:sz w:val="18"/>
      </w:rPr>
      <w:t>4</w:t>
    </w:r>
    <w:r w:rsidRPr="00ED7E6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6FAA" w14:textId="1D9F98C1" w:rsidR="00ED7E6E" w:rsidRPr="00ED7E6E" w:rsidRDefault="00ED7E6E" w:rsidP="00ED7E6E">
    <w:pPr>
      <w:pStyle w:val="Pieddepage"/>
      <w:tabs>
        <w:tab w:val="right" w:pos="9638"/>
      </w:tabs>
      <w:rPr>
        <w:b/>
        <w:sz w:val="18"/>
      </w:rPr>
    </w:pPr>
    <w:r>
      <w:tab/>
    </w:r>
    <w:r w:rsidRPr="00ED7E6E">
      <w:rPr>
        <w:b/>
        <w:sz w:val="18"/>
      </w:rPr>
      <w:fldChar w:fldCharType="begin"/>
    </w:r>
    <w:r w:rsidRPr="00ED7E6E">
      <w:rPr>
        <w:b/>
        <w:sz w:val="18"/>
      </w:rPr>
      <w:instrText xml:space="preserve"> PAGE  \* MERGEFORMAT </w:instrText>
    </w:r>
    <w:r w:rsidRPr="00ED7E6E">
      <w:rPr>
        <w:b/>
        <w:sz w:val="18"/>
      </w:rPr>
      <w:fldChar w:fldCharType="separate"/>
    </w:r>
    <w:r w:rsidR="00AA7D3C">
      <w:rPr>
        <w:b/>
        <w:noProof/>
        <w:sz w:val="18"/>
      </w:rPr>
      <w:t>5</w:t>
    </w:r>
    <w:r w:rsidRPr="00ED7E6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56C9" w14:textId="16C3F6FA" w:rsidR="004051B9" w:rsidRPr="004051B9" w:rsidRDefault="004051B9" w:rsidP="004051B9">
    <w:pPr>
      <w:pStyle w:val="Pieddepage"/>
      <w:tabs>
        <w:tab w:val="left" w:pos="6520"/>
        <w:tab w:val="right" w:pos="9638"/>
      </w:tabs>
      <w:spacing w:before="120"/>
      <w:rPr>
        <w:sz w:val="20"/>
      </w:rPr>
    </w:pPr>
    <w:r>
      <w:rPr>
        <w:sz w:val="20"/>
      </w:rPr>
      <w:t>GE.22-02333  (F)</w:t>
    </w:r>
    <w:bookmarkStart w:id="0" w:name="_GoBack"/>
    <w:bookmarkEnd w:id="0"/>
    <w:r>
      <w:rPr>
        <w:sz w:val="20"/>
      </w:rPr>
      <w:tab/>
    </w:r>
    <w:r w:rsidRPr="004051B9">
      <w:rPr>
        <w:noProof/>
        <w:sz w:val="20"/>
        <w:lang w:eastAsia="fr-CH"/>
      </w:rPr>
      <w:drawing>
        <wp:inline distT="0" distB="0" distL="0" distR="0" wp14:anchorId="69FBB058" wp14:editId="77A90E56">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50EEAC33" wp14:editId="3BC90177">
          <wp:extent cx="561340" cy="5613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340" cy="5613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4AEE2" w14:textId="77777777" w:rsidR="000F1B1D" w:rsidRPr="009C4D45" w:rsidRDefault="000F1B1D" w:rsidP="009C4D45">
      <w:pPr>
        <w:pStyle w:val="Pieddepage"/>
        <w:tabs>
          <w:tab w:val="right" w:pos="2155"/>
        </w:tabs>
        <w:spacing w:after="80" w:line="240" w:lineRule="atLeast"/>
        <w:ind w:left="680"/>
        <w:rPr>
          <w:u w:val="single"/>
        </w:rPr>
      </w:pPr>
      <w:r>
        <w:rPr>
          <w:u w:val="single"/>
        </w:rPr>
        <w:tab/>
      </w:r>
    </w:p>
  </w:footnote>
  <w:footnote w:type="continuationSeparator" w:id="0">
    <w:p w14:paraId="4B94B872" w14:textId="77777777" w:rsidR="000F1B1D" w:rsidRPr="00035AE4" w:rsidRDefault="000F1B1D" w:rsidP="00035AE4">
      <w:pPr>
        <w:pStyle w:val="Pieddepage"/>
        <w:tabs>
          <w:tab w:val="right" w:pos="2155"/>
        </w:tabs>
        <w:spacing w:after="80" w:line="240" w:lineRule="atLeast"/>
        <w:ind w:left="680"/>
        <w:rPr>
          <w:u w:val="single"/>
        </w:rPr>
      </w:pPr>
      <w:r>
        <w:rPr>
          <w:u w:val="single"/>
        </w:rPr>
        <w:tab/>
      </w:r>
    </w:p>
  </w:footnote>
  <w:footnote w:type="continuationNotice" w:id="1">
    <w:p w14:paraId="5160620B" w14:textId="77777777" w:rsidR="000F1B1D" w:rsidRPr="00035AE4" w:rsidRDefault="000F1B1D">
      <w:pPr>
        <w:spacing w:line="240" w:lineRule="auto"/>
        <w:rPr>
          <w:sz w:val="2"/>
          <w:szCs w:val="2"/>
        </w:rPr>
      </w:pPr>
    </w:p>
  </w:footnote>
  <w:footnote w:id="2">
    <w:p w14:paraId="0898AAC1" w14:textId="5C21788B" w:rsidR="001E0125" w:rsidRPr="0087558B" w:rsidRDefault="001E0125" w:rsidP="001E0125">
      <w:pPr>
        <w:pStyle w:val="Notedebasdepage"/>
      </w:pPr>
      <w:r w:rsidRPr="0087558B">
        <w:rPr>
          <w:rStyle w:val="Appelnotedebasdep"/>
        </w:rPr>
        <w:tab/>
      </w:r>
      <w:r w:rsidRPr="006F73F7">
        <w:rPr>
          <w:rStyle w:val="Appelnotedebasdep"/>
          <w:sz w:val="20"/>
          <w:vertAlign w:val="baseline"/>
        </w:rPr>
        <w:t>*</w:t>
      </w:r>
      <w:r w:rsidRPr="0087558B">
        <w:rPr>
          <w:rStyle w:val="Appelnotedebasdep"/>
          <w:sz w:val="20"/>
        </w:rPr>
        <w:tab/>
      </w:r>
      <w:r w:rsidRPr="00A54118">
        <w:t>Adoptée</w:t>
      </w:r>
      <w:r w:rsidRPr="0087558B">
        <w:t xml:space="preserve"> par le Comité à sa soixante-</w:t>
      </w:r>
      <w:r>
        <w:t>douzième</w:t>
      </w:r>
      <w:r w:rsidRPr="00FC1635">
        <w:t xml:space="preserve"> session (</w:t>
      </w:r>
      <w:r>
        <w:t xml:space="preserve">8 novembre-3 décembre </w:t>
      </w:r>
      <w:r w:rsidRPr="00FC1635">
        <w:t xml:space="preserve">2021). </w:t>
      </w:r>
    </w:p>
  </w:footnote>
  <w:footnote w:id="3">
    <w:p w14:paraId="63DB506E" w14:textId="77777777" w:rsidR="001E0125" w:rsidRPr="0087558B" w:rsidRDefault="001E0125" w:rsidP="001E0125">
      <w:pPr>
        <w:pStyle w:val="Notedebasdepage"/>
      </w:pPr>
      <w:r w:rsidRPr="0087558B">
        <w:rPr>
          <w:rStyle w:val="Appelnotedebasdep"/>
        </w:rPr>
        <w:tab/>
      </w:r>
      <w:r w:rsidRPr="006F73F7">
        <w:rPr>
          <w:rStyle w:val="Appelnotedebasdep"/>
          <w:sz w:val="20"/>
          <w:vertAlign w:val="baseline"/>
        </w:rPr>
        <w:t>**</w:t>
      </w:r>
      <w:r w:rsidRPr="0087558B">
        <w:rPr>
          <w:rStyle w:val="Appelnotedebasdep"/>
          <w:sz w:val="20"/>
        </w:rPr>
        <w:tab/>
      </w:r>
      <w:r w:rsidRPr="0087558B">
        <w:t>Les membres du Comité dont le nom suit ont participé à l’examen de la communication :</w:t>
      </w:r>
      <w:r w:rsidRPr="0087558B">
        <w:rPr>
          <w:color w:val="000000"/>
          <w:szCs w:val="24"/>
        </w:rPr>
        <w:t xml:space="preserve"> </w:t>
      </w:r>
      <w:r>
        <w:rPr>
          <w:color w:val="000000"/>
          <w:szCs w:val="24"/>
        </w:rPr>
        <w:t xml:space="preserve">Essadia Belmir, </w:t>
      </w:r>
      <w:r w:rsidRPr="00AD4BF7">
        <w:rPr>
          <w:szCs w:val="24"/>
        </w:rPr>
        <w:t>Claude Heller, Erdo</w:t>
      </w:r>
      <w:r w:rsidRPr="004E295D">
        <w:rPr>
          <w:szCs w:val="24"/>
        </w:rPr>
        <w:t>ğ</w:t>
      </w:r>
      <w:r w:rsidRPr="00AD4BF7">
        <w:rPr>
          <w:szCs w:val="24"/>
        </w:rPr>
        <w:t xml:space="preserve">an </w:t>
      </w:r>
      <w:r w:rsidRPr="00F538DC">
        <w:rPr>
          <w:szCs w:val="24"/>
        </w:rPr>
        <w:t>İş</w:t>
      </w:r>
      <w:r w:rsidRPr="00AD4BF7">
        <w:rPr>
          <w:szCs w:val="24"/>
        </w:rPr>
        <w:t>can, Liu Huawen, Ilvija P</w:t>
      </w:r>
      <w:r w:rsidRPr="00F90D5C">
        <w:rPr>
          <w:snapToGrid w:val="0"/>
          <w:szCs w:val="24"/>
        </w:rPr>
        <w:t>ū</w:t>
      </w:r>
      <w:r w:rsidRPr="00AD4BF7">
        <w:rPr>
          <w:szCs w:val="24"/>
        </w:rPr>
        <w:t>ce, A</w:t>
      </w:r>
      <w:r>
        <w:rPr>
          <w:szCs w:val="24"/>
        </w:rPr>
        <w:t xml:space="preserve">na Racu, Diego Rodríguez-Pinzón, </w:t>
      </w:r>
      <w:r w:rsidRPr="0087558B">
        <w:rPr>
          <w:szCs w:val="24"/>
        </w:rPr>
        <w:t>Sébastien Touzé</w:t>
      </w:r>
      <w:r>
        <w:rPr>
          <w:szCs w:val="24"/>
        </w:rPr>
        <w:t xml:space="preserve">, </w:t>
      </w:r>
      <w:r w:rsidRPr="0087558B">
        <w:rPr>
          <w:szCs w:val="24"/>
        </w:rPr>
        <w:t>Bakhtiyar Tuzmukhamedov</w:t>
      </w:r>
      <w:r>
        <w:rPr>
          <w:szCs w:val="24"/>
        </w:rPr>
        <w:t xml:space="preserve"> et Peter Vedel Kessing</w:t>
      </w:r>
      <w:r w:rsidRPr="0087558B">
        <w:t>.</w:t>
      </w:r>
      <w:r>
        <w:t xml:space="preserve"> </w:t>
      </w:r>
    </w:p>
  </w:footnote>
  <w:footnote w:id="4">
    <w:p w14:paraId="6FA96D24" w14:textId="77777777" w:rsidR="001E0125" w:rsidRPr="00FF2378" w:rsidRDefault="001E0125" w:rsidP="001E0125">
      <w:pPr>
        <w:pStyle w:val="Notedebasdepage"/>
      </w:pPr>
      <w:r>
        <w:tab/>
      </w:r>
      <w:r w:rsidRPr="00152BE0">
        <w:rPr>
          <w:rStyle w:val="Appelnotedebasdep"/>
        </w:rPr>
        <w:footnoteRef/>
      </w:r>
      <w:r>
        <w:tab/>
      </w:r>
      <w:r w:rsidRPr="00FF2378">
        <w:t xml:space="preserve">Le Mouvement pour la </w:t>
      </w:r>
      <w:r>
        <w:t>solidarité et la d</w:t>
      </w:r>
      <w:r w:rsidRPr="00FF2378">
        <w:t xml:space="preserve">émocratie est un parti politique de l’opposition. Après la crise postélectorale de 2010 au Burundi, l’opposition politique a été particulièrement visée par la répression mise en place par le </w:t>
      </w:r>
      <w:r>
        <w:t>G</w:t>
      </w:r>
      <w:r w:rsidRPr="00FF2378">
        <w:t>ouvernement.</w:t>
      </w:r>
    </w:p>
  </w:footnote>
  <w:footnote w:id="5">
    <w:p w14:paraId="51CCEE78" w14:textId="0B1A5254" w:rsidR="001E0125" w:rsidRPr="00A92518" w:rsidRDefault="001E0125" w:rsidP="001E0125">
      <w:pPr>
        <w:pStyle w:val="Notedebasdepage"/>
        <w:rPr>
          <w:lang w:val="fr-FR"/>
        </w:rPr>
      </w:pPr>
      <w:r>
        <w:tab/>
      </w:r>
      <w:r w:rsidRPr="00152BE0">
        <w:rPr>
          <w:rStyle w:val="Appelnotedebasdep"/>
        </w:rPr>
        <w:footnoteRef/>
      </w:r>
      <w:r>
        <w:tab/>
      </w:r>
      <w:r w:rsidRPr="00A92518">
        <w:t xml:space="preserve">Selon </w:t>
      </w:r>
      <w:r>
        <w:t>le troisième alinéa de l’article 111 du Code de procédure pénale</w:t>
      </w:r>
      <w:r w:rsidRPr="00A92518">
        <w:t>, le requérant devait être présenté devant le juge au plus tard dans les deux semaines suivant son arrestation</w:t>
      </w:r>
      <w:r>
        <w:t>.</w:t>
      </w:r>
      <w:r w:rsidRPr="00A92518">
        <w:t xml:space="preserve">  </w:t>
      </w:r>
    </w:p>
  </w:footnote>
  <w:footnote w:id="6">
    <w:p w14:paraId="3DE55D1E" w14:textId="302D585C" w:rsidR="001E0125" w:rsidRPr="00574C24" w:rsidRDefault="001E0125" w:rsidP="001E0125">
      <w:pPr>
        <w:pStyle w:val="Notedebasdepage"/>
      </w:pPr>
      <w:r>
        <w:tab/>
      </w:r>
      <w:r w:rsidRPr="00152BE0">
        <w:rPr>
          <w:rStyle w:val="Appelnotedebasdep"/>
        </w:rPr>
        <w:footnoteRef/>
      </w:r>
      <w:r>
        <w:tab/>
      </w:r>
      <w:r w:rsidRPr="00653F1C">
        <w:t>Voir</w:t>
      </w:r>
      <w:r>
        <w:t>,</w:t>
      </w:r>
      <w:r w:rsidRPr="00653F1C">
        <w:t xml:space="preserve"> par exemple, </w:t>
      </w:r>
      <w:proofErr w:type="spellStart"/>
      <w:r w:rsidRPr="00152BE0">
        <w:rPr>
          <w:i/>
          <w:iCs/>
        </w:rPr>
        <w:t>Sahli</w:t>
      </w:r>
      <w:proofErr w:type="spellEnd"/>
      <w:r w:rsidR="001467E1">
        <w:rPr>
          <w:i/>
          <w:iCs/>
        </w:rPr>
        <w:t> </w:t>
      </w:r>
      <w:r w:rsidRPr="00152BE0">
        <w:rPr>
          <w:i/>
          <w:iCs/>
        </w:rPr>
        <w:t>c.</w:t>
      </w:r>
      <w:r w:rsidR="001467E1">
        <w:rPr>
          <w:i/>
          <w:iCs/>
        </w:rPr>
        <w:t> </w:t>
      </w:r>
      <w:r w:rsidRPr="00152BE0">
        <w:rPr>
          <w:i/>
          <w:iCs/>
        </w:rPr>
        <w:t>Algérie</w:t>
      </w:r>
      <w:r>
        <w:t xml:space="preserve"> (CAT/C/46/D/</w:t>
      </w:r>
      <w:r w:rsidRPr="00653F1C">
        <w:t>341/2008</w:t>
      </w:r>
      <w:r>
        <w:t>) </w:t>
      </w:r>
      <w:r w:rsidRPr="00653F1C">
        <w:t xml:space="preserve">; </w:t>
      </w:r>
      <w:r w:rsidRPr="00152BE0">
        <w:rPr>
          <w:i/>
          <w:iCs/>
        </w:rPr>
        <w:t>Z. T.</w:t>
      </w:r>
      <w:r w:rsidR="001467E1">
        <w:rPr>
          <w:i/>
          <w:iCs/>
        </w:rPr>
        <w:t> </w:t>
      </w:r>
      <w:r w:rsidRPr="00152BE0">
        <w:rPr>
          <w:i/>
          <w:iCs/>
        </w:rPr>
        <w:t>c.</w:t>
      </w:r>
      <w:r w:rsidR="001467E1">
        <w:rPr>
          <w:i/>
          <w:iCs/>
        </w:rPr>
        <w:t> </w:t>
      </w:r>
      <w:r w:rsidRPr="00152BE0">
        <w:rPr>
          <w:i/>
          <w:iCs/>
        </w:rPr>
        <w:t>Norvège</w:t>
      </w:r>
      <w:r w:rsidRPr="00653F1C">
        <w:t xml:space="preserve"> </w:t>
      </w:r>
      <w:r>
        <w:t>(CAT/C/35/D/</w:t>
      </w:r>
      <w:r w:rsidRPr="00653F1C">
        <w:t>238/2003</w:t>
      </w:r>
      <w:r>
        <w:t>) </w:t>
      </w:r>
      <w:r w:rsidRPr="00653F1C">
        <w:t xml:space="preserve">; </w:t>
      </w:r>
      <w:r w:rsidRPr="00152BE0">
        <w:rPr>
          <w:i/>
          <w:iCs/>
        </w:rPr>
        <w:t>Brada</w:t>
      </w:r>
      <w:r w:rsidR="001467E1">
        <w:rPr>
          <w:i/>
          <w:iCs/>
        </w:rPr>
        <w:t> </w:t>
      </w:r>
      <w:r w:rsidRPr="00152BE0">
        <w:rPr>
          <w:i/>
          <w:iCs/>
        </w:rPr>
        <w:t>c.</w:t>
      </w:r>
      <w:r w:rsidR="001467E1">
        <w:rPr>
          <w:i/>
          <w:iCs/>
        </w:rPr>
        <w:t> </w:t>
      </w:r>
      <w:r w:rsidRPr="00152BE0">
        <w:rPr>
          <w:i/>
          <w:iCs/>
        </w:rPr>
        <w:t>France</w:t>
      </w:r>
      <w:r w:rsidRPr="00653F1C">
        <w:t xml:space="preserve"> </w:t>
      </w:r>
      <w:r>
        <w:t>(CAT/C/34/D/</w:t>
      </w:r>
      <w:r w:rsidRPr="00653F1C">
        <w:t>195/2002</w:t>
      </w:r>
      <w:r>
        <w:t>) </w:t>
      </w:r>
      <w:r w:rsidRPr="00653F1C">
        <w:t xml:space="preserve">; </w:t>
      </w:r>
      <w:r w:rsidRPr="00152BE0">
        <w:rPr>
          <w:i/>
          <w:iCs/>
        </w:rPr>
        <w:t xml:space="preserve">Falcón </w:t>
      </w:r>
      <w:proofErr w:type="spellStart"/>
      <w:r w:rsidRPr="00152BE0">
        <w:rPr>
          <w:i/>
          <w:iCs/>
        </w:rPr>
        <w:t>Ríos</w:t>
      </w:r>
      <w:proofErr w:type="spellEnd"/>
      <w:r w:rsidR="001467E1">
        <w:rPr>
          <w:i/>
          <w:iCs/>
        </w:rPr>
        <w:t> </w:t>
      </w:r>
      <w:r w:rsidRPr="00152BE0">
        <w:rPr>
          <w:i/>
          <w:iCs/>
        </w:rPr>
        <w:t>c.</w:t>
      </w:r>
      <w:r w:rsidR="001467E1">
        <w:rPr>
          <w:i/>
          <w:iCs/>
        </w:rPr>
        <w:t> </w:t>
      </w:r>
      <w:r w:rsidRPr="00152BE0">
        <w:rPr>
          <w:i/>
          <w:iCs/>
        </w:rPr>
        <w:t>Canada</w:t>
      </w:r>
      <w:r w:rsidRPr="00574C24">
        <w:t xml:space="preserve"> </w:t>
      </w:r>
      <w:r>
        <w:t>(CAT/C/33/D/</w:t>
      </w:r>
      <w:r w:rsidRPr="00574C24">
        <w:t>133/1999</w:t>
      </w:r>
      <w:r>
        <w:t>) </w:t>
      </w:r>
      <w:r w:rsidRPr="00574C24">
        <w:t>;</w:t>
      </w:r>
      <w:r>
        <w:t xml:space="preserve"> et</w:t>
      </w:r>
      <w:r w:rsidRPr="00574C24">
        <w:t xml:space="preserve"> </w:t>
      </w:r>
      <w:proofErr w:type="spellStart"/>
      <w:r w:rsidRPr="00152BE0">
        <w:rPr>
          <w:i/>
          <w:iCs/>
        </w:rPr>
        <w:t>Arkauz</w:t>
      </w:r>
      <w:proofErr w:type="spellEnd"/>
      <w:r w:rsidRPr="00152BE0">
        <w:rPr>
          <w:i/>
          <w:iCs/>
        </w:rPr>
        <w:t xml:space="preserve"> </w:t>
      </w:r>
      <w:proofErr w:type="spellStart"/>
      <w:r w:rsidRPr="00152BE0">
        <w:rPr>
          <w:i/>
          <w:iCs/>
        </w:rPr>
        <w:t>Arana</w:t>
      </w:r>
      <w:proofErr w:type="spellEnd"/>
      <w:r w:rsidR="001467E1">
        <w:rPr>
          <w:i/>
          <w:iCs/>
        </w:rPr>
        <w:t> </w:t>
      </w:r>
      <w:r w:rsidRPr="00152BE0">
        <w:rPr>
          <w:i/>
          <w:iCs/>
        </w:rPr>
        <w:t>c.</w:t>
      </w:r>
      <w:r w:rsidR="001467E1">
        <w:rPr>
          <w:i/>
          <w:iCs/>
        </w:rPr>
        <w:t> </w:t>
      </w:r>
      <w:r w:rsidRPr="00152BE0">
        <w:rPr>
          <w:i/>
          <w:iCs/>
        </w:rPr>
        <w:t>France</w:t>
      </w:r>
      <w:r>
        <w:t xml:space="preserve"> (CAT/C/23/D/63/1997)</w:t>
      </w:r>
      <w:r w:rsidRPr="00574C24">
        <w:t>.</w:t>
      </w:r>
    </w:p>
  </w:footnote>
  <w:footnote w:id="7">
    <w:p w14:paraId="2332147A" w14:textId="58D6A112" w:rsidR="001E0125" w:rsidRPr="006A492D" w:rsidRDefault="001E0125" w:rsidP="001E0125">
      <w:pPr>
        <w:pStyle w:val="Notedebasdepage"/>
        <w:rPr>
          <w:lang w:val="fr-FR"/>
        </w:rPr>
      </w:pPr>
      <w:r>
        <w:tab/>
      </w:r>
      <w:r w:rsidRPr="00152BE0">
        <w:rPr>
          <w:rStyle w:val="Appelnotedebasdep"/>
        </w:rPr>
        <w:footnoteRef/>
      </w:r>
      <w:r w:rsidRPr="00152BE0">
        <w:rPr>
          <w:lang w:val="en-GB"/>
        </w:rPr>
        <w:t xml:space="preserve"> </w:t>
      </w:r>
      <w:r w:rsidRPr="00152BE0">
        <w:rPr>
          <w:lang w:val="en-GB"/>
        </w:rPr>
        <w:tab/>
        <w:t xml:space="preserve">CAT/C/BDI/CO/1, par. 21. </w:t>
      </w:r>
      <w:r w:rsidRPr="006A492D">
        <w:t xml:space="preserve">Voir aussi </w:t>
      </w:r>
      <w:r>
        <w:t>Haut-Commissariat des Nations Unies aux droits de l’homme, « </w:t>
      </w:r>
      <w:r w:rsidRPr="006A492D">
        <w:t xml:space="preserve">Burundi and Sri Lanka, </w:t>
      </w:r>
      <w:r>
        <w:t>two</w:t>
      </w:r>
      <w:r w:rsidRPr="006A492D">
        <w:t xml:space="preserve"> test cases for the prevention of recurring mass violations </w:t>
      </w:r>
      <w:r>
        <w:t>–</w:t>
      </w:r>
      <w:r w:rsidR="001467E1">
        <w:t> </w:t>
      </w:r>
      <w:r w:rsidRPr="006A492D">
        <w:t>UN expert</w:t>
      </w:r>
      <w:r>
        <w:t> »</w:t>
      </w:r>
      <w:r w:rsidRPr="006A492D">
        <w:t>, communiqué de presse, 15</w:t>
      </w:r>
      <w:r w:rsidR="001467E1">
        <w:t> </w:t>
      </w:r>
      <w:r w:rsidRPr="006A492D">
        <w:t>septembre 2015</w:t>
      </w:r>
      <w:r>
        <w:t> ;</w:t>
      </w:r>
      <w:r w:rsidRPr="006A492D">
        <w:t xml:space="preserve"> et </w:t>
      </w:r>
      <w:r>
        <w:t>CAT/C/BDI/CO/2/Add.1</w:t>
      </w:r>
      <w:r w:rsidRPr="006A492D">
        <w:t>.</w:t>
      </w:r>
    </w:p>
  </w:footnote>
  <w:footnote w:id="8">
    <w:p w14:paraId="53485839" w14:textId="77777777" w:rsidR="001E0125" w:rsidRPr="00C87FD8" w:rsidRDefault="001E0125" w:rsidP="001E0125">
      <w:pPr>
        <w:pStyle w:val="Notedebasdepage"/>
      </w:pPr>
      <w:r>
        <w:tab/>
      </w:r>
      <w:r w:rsidRPr="00152BE0">
        <w:rPr>
          <w:rStyle w:val="Appelnotedebasdep"/>
        </w:rPr>
        <w:footnoteRef/>
      </w:r>
      <w:r>
        <w:tab/>
        <w:t>Burundi, Code pénal, a</w:t>
      </w:r>
      <w:r w:rsidRPr="00C87FD8">
        <w:t>rt</w:t>
      </w:r>
      <w:r>
        <w:t>. </w:t>
      </w:r>
      <w:r w:rsidRPr="00C87FD8">
        <w:t>150</w:t>
      </w:r>
      <w:r>
        <w:t>.</w:t>
      </w:r>
    </w:p>
  </w:footnote>
  <w:footnote w:id="9">
    <w:p w14:paraId="196D5CA0" w14:textId="77777777" w:rsidR="001E0125" w:rsidRPr="00FF2378" w:rsidRDefault="001E0125" w:rsidP="001E0125">
      <w:pPr>
        <w:pStyle w:val="Notedebasdepage"/>
      </w:pPr>
      <w:r>
        <w:tab/>
      </w:r>
      <w:r w:rsidRPr="00152BE0">
        <w:rPr>
          <w:rStyle w:val="Appelnotedebasdep"/>
        </w:rPr>
        <w:footnoteRef/>
      </w:r>
      <w:r>
        <w:tab/>
      </w:r>
      <w:r w:rsidRPr="00FF2378">
        <w:t>Le Comité a réitéré à plusieurs reprises que les É</w:t>
      </w:r>
      <w:r>
        <w:t>t</w:t>
      </w:r>
      <w:r w:rsidRPr="00FF2378">
        <w:t>ats sont obligés de se conformer à l’Ensemble de règles minima</w:t>
      </w:r>
      <w:r>
        <w:t xml:space="preserve"> des Nations Unies</w:t>
      </w:r>
      <w:r w:rsidRPr="00FF2378">
        <w:t xml:space="preserve"> pour le traitement des détenus et </w:t>
      </w:r>
      <w:r>
        <w:t xml:space="preserve">à </w:t>
      </w:r>
      <w:r w:rsidRPr="00FF2378">
        <w:t>l’Ensemble de principes pour la protection de toute</w:t>
      </w:r>
      <w:r>
        <w:t>s</w:t>
      </w:r>
      <w:r w:rsidRPr="00FF2378">
        <w:t xml:space="preserve"> les personnes soumises à une forme quelconque de détentio</w:t>
      </w:r>
      <w:r>
        <w:t>n ou d’emprisonnement, notamment</w:t>
      </w:r>
      <w:r w:rsidRPr="00FF2378">
        <w:t xml:space="preserve"> le droit d’informer des proches et des amis</w:t>
      </w:r>
      <w:r>
        <w:t>,</w:t>
      </w:r>
      <w:r w:rsidRPr="00FF2378">
        <w:t xml:space="preserve"> l’accès à un avocat</w:t>
      </w:r>
      <w:r>
        <w:t>,</w:t>
      </w:r>
      <w:r w:rsidRPr="00FF2378">
        <w:t xml:space="preserve"> le droit d’être examiné par un médecin et la notification des droits du détenu.</w:t>
      </w:r>
    </w:p>
  </w:footnote>
  <w:footnote w:id="10">
    <w:p w14:paraId="13871868" w14:textId="3CEE052F" w:rsidR="001E0125" w:rsidRPr="00574C24" w:rsidRDefault="001E0125" w:rsidP="001E0125">
      <w:pPr>
        <w:pStyle w:val="Notedebasdepage"/>
        <w:rPr>
          <w:lang w:val="en-US"/>
        </w:rPr>
      </w:pPr>
      <w:r>
        <w:tab/>
      </w:r>
      <w:r w:rsidRPr="00152BE0">
        <w:rPr>
          <w:rStyle w:val="Appelnotedebasdep"/>
        </w:rPr>
        <w:footnoteRef/>
      </w:r>
      <w:r w:rsidRPr="00574C24">
        <w:rPr>
          <w:lang w:val="en-US"/>
        </w:rPr>
        <w:tab/>
        <w:t>CAT/C/BDI/CO/1, par.</w:t>
      </w:r>
      <w:r w:rsidR="003F20D5">
        <w:rPr>
          <w:lang w:val="en-US"/>
        </w:rPr>
        <w:t> </w:t>
      </w:r>
      <w:r w:rsidRPr="00574C24">
        <w:rPr>
          <w:lang w:val="en-US"/>
        </w:rPr>
        <w:t>23.</w:t>
      </w:r>
    </w:p>
  </w:footnote>
  <w:footnote w:id="11">
    <w:p w14:paraId="40BFFCB0" w14:textId="1249A728" w:rsidR="001E0125" w:rsidRPr="00574C24" w:rsidRDefault="001E0125" w:rsidP="001E0125">
      <w:pPr>
        <w:pStyle w:val="Notedebasdepage"/>
        <w:rPr>
          <w:lang w:val="en-US"/>
        </w:rPr>
      </w:pPr>
      <w:r w:rsidRPr="00574C24">
        <w:rPr>
          <w:lang w:val="en-US"/>
        </w:rPr>
        <w:tab/>
      </w:r>
      <w:r w:rsidRPr="00152BE0">
        <w:rPr>
          <w:rStyle w:val="Appelnotedebasdep"/>
        </w:rPr>
        <w:footnoteRef/>
      </w:r>
      <w:r w:rsidRPr="00574C24">
        <w:rPr>
          <w:lang w:val="en-US"/>
        </w:rPr>
        <w:tab/>
        <w:t>CAT/C/BDI/CO/2, par.</w:t>
      </w:r>
      <w:r w:rsidR="003F20D5">
        <w:rPr>
          <w:lang w:val="en-US"/>
        </w:rPr>
        <w:t> </w:t>
      </w:r>
      <w:r w:rsidRPr="00574C24">
        <w:rPr>
          <w:lang w:val="en-US"/>
        </w:rPr>
        <w:t>18.</w:t>
      </w:r>
    </w:p>
  </w:footnote>
  <w:footnote w:id="12">
    <w:p w14:paraId="204DBA8A" w14:textId="2E9E5D29" w:rsidR="001E0125" w:rsidRPr="00574C24" w:rsidRDefault="001E0125" w:rsidP="001E0125">
      <w:pPr>
        <w:pStyle w:val="Notedebasdepage"/>
        <w:rPr>
          <w:lang w:val="en-US"/>
        </w:rPr>
      </w:pPr>
      <w:r w:rsidRPr="00574C24">
        <w:rPr>
          <w:lang w:val="en-US"/>
        </w:rPr>
        <w:tab/>
      </w:r>
      <w:r w:rsidRPr="00152BE0">
        <w:rPr>
          <w:rStyle w:val="Appelnotedebasdep"/>
        </w:rPr>
        <w:footnoteRef/>
      </w:r>
      <w:r w:rsidRPr="00574C24">
        <w:rPr>
          <w:lang w:val="en-US"/>
        </w:rPr>
        <w:tab/>
        <w:t>CAT/C/BDI/CO/2/Add.1, par.</w:t>
      </w:r>
      <w:r w:rsidR="003F20D5">
        <w:rPr>
          <w:lang w:val="en-US"/>
        </w:rPr>
        <w:t> </w:t>
      </w:r>
      <w:r w:rsidRPr="00574C24">
        <w:rPr>
          <w:lang w:val="en-US"/>
        </w:rPr>
        <w:t>27</w:t>
      </w:r>
      <w:r>
        <w:rPr>
          <w:lang w:val="en-US"/>
        </w:rPr>
        <w:t> </w:t>
      </w:r>
      <w:r w:rsidRPr="00574C24">
        <w:rPr>
          <w:lang w:val="en-US"/>
        </w:rPr>
        <w:t>d).</w:t>
      </w:r>
    </w:p>
  </w:footnote>
  <w:footnote w:id="13">
    <w:p w14:paraId="60FA085D" w14:textId="3F2D3D0C" w:rsidR="001E0125" w:rsidRPr="00C96339" w:rsidRDefault="001E0125" w:rsidP="001E0125">
      <w:pPr>
        <w:pStyle w:val="Notedebasdepage"/>
      </w:pPr>
      <w:r w:rsidRPr="00574C24">
        <w:rPr>
          <w:lang w:val="en-US"/>
        </w:rPr>
        <w:tab/>
      </w:r>
      <w:r w:rsidRPr="00152BE0">
        <w:rPr>
          <w:rStyle w:val="Appelnotedebasdep"/>
        </w:rPr>
        <w:footnoteRef/>
      </w:r>
      <w:r w:rsidRPr="00574C24">
        <w:rPr>
          <w:lang w:val="en-US"/>
        </w:rPr>
        <w:tab/>
        <w:t>CAT/C/BDI/CO/1, par.</w:t>
      </w:r>
      <w:r w:rsidR="003F20D5">
        <w:rPr>
          <w:lang w:val="en-US"/>
        </w:rPr>
        <w:t> </w:t>
      </w:r>
      <w:r w:rsidRPr="006F73F7">
        <w:rPr>
          <w:lang w:val="en-US"/>
        </w:rPr>
        <w:t xml:space="preserve">17. </w:t>
      </w:r>
      <w:r>
        <w:t xml:space="preserve">Voir aussi </w:t>
      </w:r>
      <w:r w:rsidRPr="009A4BAC">
        <w:t>CAT/C/BDI/CO/2</w:t>
      </w:r>
      <w:r>
        <w:t>, par. 15 ; et Haut-Commissariat des Nations</w:t>
      </w:r>
      <w:r w:rsidR="003F20D5">
        <w:t> </w:t>
      </w:r>
      <w:r>
        <w:t>Unies aux droits de l’homme, « </w:t>
      </w:r>
      <w:r w:rsidRPr="006D384B">
        <w:t>La communauté internationale devrait continuer d</w:t>
      </w:r>
      <w:r>
        <w:t>’</w:t>
      </w:r>
      <w:r w:rsidRPr="006D384B">
        <w:t>aider le Burundi à honorer ses obligations internationales relatives aux droits</w:t>
      </w:r>
      <w:r>
        <w:t> », communiqué de presse, 28</w:t>
      </w:r>
      <w:r w:rsidR="003F20D5">
        <w:t> </w:t>
      </w:r>
      <w:r>
        <w:t>mai 2010.</w:t>
      </w:r>
    </w:p>
  </w:footnote>
  <w:footnote w:id="14">
    <w:p w14:paraId="731FB585" w14:textId="2DC6E6EE" w:rsidR="001E0125" w:rsidRPr="00544218" w:rsidRDefault="001E0125" w:rsidP="001E0125">
      <w:pPr>
        <w:pStyle w:val="Notedebasdepage"/>
      </w:pPr>
      <w:r>
        <w:tab/>
      </w:r>
      <w:r w:rsidRPr="00152BE0">
        <w:rPr>
          <w:rStyle w:val="Appelnotedebasdep"/>
        </w:rPr>
        <w:footnoteRef/>
      </w:r>
      <w:r>
        <w:tab/>
      </w:r>
      <w:r w:rsidRPr="00152BE0">
        <w:rPr>
          <w:i/>
          <w:iCs/>
        </w:rPr>
        <w:t>O. N.</w:t>
      </w:r>
      <w:r w:rsidR="003F20D5">
        <w:rPr>
          <w:i/>
        </w:rPr>
        <w:t> </w:t>
      </w:r>
      <w:r w:rsidRPr="00544218">
        <w:rPr>
          <w:i/>
        </w:rPr>
        <w:t>c.</w:t>
      </w:r>
      <w:r w:rsidR="003F20D5">
        <w:rPr>
          <w:i/>
        </w:rPr>
        <w:t> </w:t>
      </w:r>
      <w:r w:rsidRPr="00544218">
        <w:rPr>
          <w:i/>
        </w:rPr>
        <w:t>Burundi</w:t>
      </w:r>
      <w:r>
        <w:t xml:space="preserve"> (</w:t>
      </w:r>
      <w:r w:rsidRPr="00544218">
        <w:t>CAT/C/</w:t>
      </w:r>
      <w:r>
        <w:t>71</w:t>
      </w:r>
      <w:r w:rsidRPr="00544218">
        <w:t>/D/</w:t>
      </w:r>
      <w:r>
        <w:t>843</w:t>
      </w:r>
      <w:r w:rsidRPr="00544218">
        <w:t>/201</w:t>
      </w:r>
      <w:r>
        <w:t xml:space="preserve">7), par. 4 ; </w:t>
      </w:r>
      <w:proofErr w:type="spellStart"/>
      <w:r w:rsidRPr="00544218">
        <w:rPr>
          <w:i/>
        </w:rPr>
        <w:t>Ndagijimana</w:t>
      </w:r>
      <w:proofErr w:type="spellEnd"/>
      <w:r w:rsidR="003F20D5">
        <w:rPr>
          <w:i/>
        </w:rPr>
        <w:t> </w:t>
      </w:r>
      <w:r w:rsidRPr="00544218">
        <w:rPr>
          <w:i/>
        </w:rPr>
        <w:t>c.</w:t>
      </w:r>
      <w:r w:rsidR="003F20D5">
        <w:rPr>
          <w:i/>
        </w:rPr>
        <w:t> </w:t>
      </w:r>
      <w:r w:rsidRPr="00544218">
        <w:rPr>
          <w:i/>
        </w:rPr>
        <w:t>Burundi</w:t>
      </w:r>
      <w:r>
        <w:t xml:space="preserve"> (</w:t>
      </w:r>
      <w:r w:rsidRPr="00544218">
        <w:t>CAT/C/62/D/496/2012</w:t>
      </w:r>
      <w:r>
        <w:t xml:space="preserve"> et </w:t>
      </w:r>
      <w:r w:rsidRPr="00544218">
        <w:t>CAT/C/62/D/496/2012</w:t>
      </w:r>
      <w:r>
        <w:t>/Corr.1), par.</w:t>
      </w:r>
      <w:r w:rsidR="003F20D5">
        <w:t> </w:t>
      </w:r>
      <w:r>
        <w:t xml:space="preserve">7 ; </w:t>
      </w:r>
      <w:proofErr w:type="spellStart"/>
      <w:r w:rsidRPr="00544218">
        <w:rPr>
          <w:i/>
        </w:rPr>
        <w:t>Ndarisigaranye</w:t>
      </w:r>
      <w:proofErr w:type="spellEnd"/>
      <w:r w:rsidR="003F20D5">
        <w:rPr>
          <w:i/>
        </w:rPr>
        <w:t> </w:t>
      </w:r>
      <w:r w:rsidRPr="00544218">
        <w:rPr>
          <w:i/>
        </w:rPr>
        <w:t>c.</w:t>
      </w:r>
      <w:r w:rsidR="003F20D5">
        <w:rPr>
          <w:i/>
        </w:rPr>
        <w:t> </w:t>
      </w:r>
      <w:r w:rsidRPr="00544218">
        <w:rPr>
          <w:i/>
        </w:rPr>
        <w:t>Burundi</w:t>
      </w:r>
      <w:r>
        <w:t xml:space="preserve"> (</w:t>
      </w:r>
      <w:r w:rsidRPr="00544218">
        <w:t>CAT/C/62/D/493/2012</w:t>
      </w:r>
      <w:r>
        <w:t xml:space="preserve"> et </w:t>
      </w:r>
      <w:r w:rsidRPr="00544218">
        <w:t>CAT/C/62/D/493/2012</w:t>
      </w:r>
      <w:r>
        <w:t>/Corr.1), par.</w:t>
      </w:r>
      <w:r w:rsidR="003F20D5">
        <w:t> </w:t>
      </w:r>
      <w:r>
        <w:t xml:space="preserve">7 ; et </w:t>
      </w:r>
      <w:proofErr w:type="spellStart"/>
      <w:r w:rsidRPr="00544218">
        <w:rPr>
          <w:i/>
        </w:rPr>
        <w:t>Ntikarahera</w:t>
      </w:r>
      <w:proofErr w:type="spellEnd"/>
      <w:r w:rsidR="003F20D5">
        <w:rPr>
          <w:i/>
        </w:rPr>
        <w:t> </w:t>
      </w:r>
      <w:r w:rsidRPr="00544218">
        <w:rPr>
          <w:i/>
        </w:rPr>
        <w:t>c.</w:t>
      </w:r>
      <w:r w:rsidR="003F20D5">
        <w:rPr>
          <w:i/>
        </w:rPr>
        <w:t> </w:t>
      </w:r>
      <w:r w:rsidRPr="00544218">
        <w:rPr>
          <w:i/>
        </w:rPr>
        <w:t>Burundi</w:t>
      </w:r>
      <w:r>
        <w:t xml:space="preserve"> (</w:t>
      </w:r>
      <w:r w:rsidRPr="00544218">
        <w:t>CAT/C/52/D/503/2012</w:t>
      </w:r>
      <w:r>
        <w:t>), par.</w:t>
      </w:r>
      <w:r w:rsidR="003F20D5">
        <w:t> </w:t>
      </w:r>
      <w:r>
        <w:t>4.</w:t>
      </w:r>
    </w:p>
  </w:footnote>
  <w:footnote w:id="15">
    <w:p w14:paraId="22839213" w14:textId="694C264A" w:rsidR="001E0125" w:rsidRPr="00FB55A3" w:rsidRDefault="001E0125" w:rsidP="001E0125">
      <w:pPr>
        <w:pStyle w:val="Notedebasdepage"/>
      </w:pPr>
      <w:r>
        <w:tab/>
      </w:r>
      <w:r w:rsidRPr="00152BE0">
        <w:rPr>
          <w:rStyle w:val="Appelnotedebasdep"/>
        </w:rPr>
        <w:footnoteRef/>
      </w:r>
      <w:r>
        <w:tab/>
      </w:r>
      <w:proofErr w:type="spellStart"/>
      <w:r w:rsidRPr="00544218">
        <w:rPr>
          <w:i/>
        </w:rPr>
        <w:t>Ndagijimana</w:t>
      </w:r>
      <w:proofErr w:type="spellEnd"/>
      <w:r w:rsidR="00001B1A">
        <w:rPr>
          <w:i/>
        </w:rPr>
        <w:t> </w:t>
      </w:r>
      <w:r w:rsidRPr="00544218">
        <w:rPr>
          <w:i/>
        </w:rPr>
        <w:t>c.</w:t>
      </w:r>
      <w:r w:rsidR="00001B1A">
        <w:rPr>
          <w:i/>
        </w:rPr>
        <w:t> </w:t>
      </w:r>
      <w:r w:rsidRPr="00544218">
        <w:rPr>
          <w:i/>
        </w:rPr>
        <w:t>Burundi</w:t>
      </w:r>
      <w:r>
        <w:t>, par.</w:t>
      </w:r>
      <w:r w:rsidR="00001B1A">
        <w:t> </w:t>
      </w:r>
      <w:r>
        <w:t xml:space="preserve">8.2 ; </w:t>
      </w:r>
      <w:proofErr w:type="spellStart"/>
      <w:r w:rsidRPr="00544218">
        <w:rPr>
          <w:i/>
        </w:rPr>
        <w:t>Ndarisigaranye</w:t>
      </w:r>
      <w:proofErr w:type="spellEnd"/>
      <w:r w:rsidR="00001B1A">
        <w:rPr>
          <w:i/>
        </w:rPr>
        <w:t> </w:t>
      </w:r>
      <w:r w:rsidRPr="00544218">
        <w:rPr>
          <w:i/>
        </w:rPr>
        <w:t>c.</w:t>
      </w:r>
      <w:r w:rsidR="00001B1A">
        <w:rPr>
          <w:i/>
        </w:rPr>
        <w:t> </w:t>
      </w:r>
      <w:r w:rsidRPr="00544218">
        <w:rPr>
          <w:i/>
        </w:rPr>
        <w:t>Burundi</w:t>
      </w:r>
      <w:r>
        <w:t>, par.</w:t>
      </w:r>
      <w:r w:rsidR="00001B1A">
        <w:t> </w:t>
      </w:r>
      <w:r>
        <w:t>8.2 ;</w:t>
      </w:r>
      <w:r w:rsidRPr="00FB55A3">
        <w:rPr>
          <w:i/>
        </w:rPr>
        <w:t xml:space="preserve"> </w:t>
      </w:r>
      <w:proofErr w:type="spellStart"/>
      <w:r w:rsidRPr="003145CC">
        <w:rPr>
          <w:i/>
        </w:rPr>
        <w:t>Kabura</w:t>
      </w:r>
      <w:proofErr w:type="spellEnd"/>
      <w:r w:rsidR="00001B1A">
        <w:rPr>
          <w:i/>
        </w:rPr>
        <w:t> </w:t>
      </w:r>
      <w:r w:rsidRPr="003145CC">
        <w:rPr>
          <w:i/>
        </w:rPr>
        <w:t>c.</w:t>
      </w:r>
      <w:r w:rsidR="00001B1A">
        <w:rPr>
          <w:i/>
        </w:rPr>
        <w:t> </w:t>
      </w:r>
      <w:r w:rsidRPr="003145CC">
        <w:rPr>
          <w:i/>
        </w:rPr>
        <w:t>Burundi</w:t>
      </w:r>
      <w:r>
        <w:t xml:space="preserve"> (CAT/C/59/D/</w:t>
      </w:r>
      <w:r w:rsidRPr="009D383B">
        <w:t>549/2013</w:t>
      </w:r>
      <w:r>
        <w:t>)</w:t>
      </w:r>
      <w:r w:rsidRPr="00FB55A3">
        <w:t>, par.</w:t>
      </w:r>
      <w:r w:rsidR="00001B1A">
        <w:t> </w:t>
      </w:r>
      <w:r>
        <w:t>7</w:t>
      </w:r>
      <w:r w:rsidRPr="00FB55A3">
        <w:t>.2</w:t>
      </w:r>
      <w:r>
        <w:t xml:space="preserve"> ; et </w:t>
      </w:r>
      <w:proofErr w:type="spellStart"/>
      <w:r w:rsidRPr="00FB55A3">
        <w:rPr>
          <w:i/>
        </w:rPr>
        <w:t>Niyonzima</w:t>
      </w:r>
      <w:proofErr w:type="spellEnd"/>
      <w:r w:rsidR="00001B1A">
        <w:rPr>
          <w:i/>
        </w:rPr>
        <w:t> </w:t>
      </w:r>
      <w:r w:rsidRPr="00FB55A3">
        <w:rPr>
          <w:i/>
        </w:rPr>
        <w:t>c.</w:t>
      </w:r>
      <w:r w:rsidR="00001B1A">
        <w:rPr>
          <w:i/>
        </w:rPr>
        <w:t> </w:t>
      </w:r>
      <w:r w:rsidRPr="00FB55A3">
        <w:rPr>
          <w:i/>
        </w:rPr>
        <w:t>Burundi</w:t>
      </w:r>
      <w:r w:rsidRPr="00FB55A3">
        <w:t xml:space="preserve"> </w:t>
      </w:r>
      <w:r>
        <w:t>(CAT/C/53/D/</w:t>
      </w:r>
      <w:r w:rsidRPr="009D383B">
        <w:t>514/2012</w:t>
      </w:r>
      <w:r>
        <w:t>)</w:t>
      </w:r>
      <w:r w:rsidRPr="00FB55A3">
        <w:t>,</w:t>
      </w:r>
      <w:r>
        <w:t xml:space="preserve"> par.</w:t>
      </w:r>
      <w:r w:rsidR="00001B1A">
        <w:t> </w:t>
      </w:r>
      <w:r>
        <w:t>8.2.</w:t>
      </w:r>
    </w:p>
  </w:footnote>
  <w:footnote w:id="16">
    <w:p w14:paraId="2C87A5F7" w14:textId="2965D0B5" w:rsidR="001E0125" w:rsidRPr="006F73F7" w:rsidRDefault="001E0125" w:rsidP="001E0125">
      <w:pPr>
        <w:pStyle w:val="Notedebasdepage"/>
        <w:rPr>
          <w:lang w:val="en-US"/>
        </w:rPr>
      </w:pPr>
      <w:r>
        <w:tab/>
      </w:r>
      <w:r w:rsidRPr="00152BE0">
        <w:rPr>
          <w:rStyle w:val="Appelnotedebasdep"/>
        </w:rPr>
        <w:footnoteRef/>
      </w:r>
      <w:r w:rsidRPr="006F73F7">
        <w:rPr>
          <w:lang w:val="en-US"/>
        </w:rPr>
        <w:tab/>
        <w:t>CAT/C/BDI/CO/1, par.</w:t>
      </w:r>
      <w:r w:rsidR="00001B1A" w:rsidRPr="006F73F7">
        <w:rPr>
          <w:lang w:val="en-US"/>
        </w:rPr>
        <w:t> </w:t>
      </w:r>
      <w:r w:rsidRPr="006F73F7">
        <w:rPr>
          <w:lang w:val="en-US"/>
        </w:rPr>
        <w:t>10.</w:t>
      </w:r>
    </w:p>
  </w:footnote>
  <w:footnote w:id="17">
    <w:p w14:paraId="6AF6BE02" w14:textId="107D9773" w:rsidR="001E0125" w:rsidRPr="00496429" w:rsidRDefault="001E0125" w:rsidP="001E0125">
      <w:pPr>
        <w:pStyle w:val="Notedebasdepage"/>
        <w:rPr>
          <w:lang w:val="fr-FR"/>
        </w:rPr>
      </w:pPr>
      <w:r w:rsidRPr="006F73F7">
        <w:rPr>
          <w:lang w:val="en-US"/>
        </w:rPr>
        <w:tab/>
      </w:r>
      <w:r w:rsidRPr="00152BE0">
        <w:rPr>
          <w:rStyle w:val="Appelnotedebasdep"/>
        </w:rPr>
        <w:footnoteRef/>
      </w:r>
      <w:r w:rsidRPr="00496429">
        <w:rPr>
          <w:lang w:val="fr-FR"/>
        </w:rPr>
        <w:tab/>
      </w:r>
      <w:proofErr w:type="spellStart"/>
      <w:r w:rsidRPr="00496429">
        <w:rPr>
          <w:i/>
          <w:lang w:val="fr-FR"/>
        </w:rPr>
        <w:t>Ndagijimana</w:t>
      </w:r>
      <w:proofErr w:type="spellEnd"/>
      <w:r w:rsidR="00001B1A">
        <w:rPr>
          <w:i/>
          <w:lang w:val="fr-FR"/>
        </w:rPr>
        <w:t> </w:t>
      </w:r>
      <w:r w:rsidRPr="00496429">
        <w:rPr>
          <w:i/>
          <w:lang w:val="fr-FR"/>
        </w:rPr>
        <w:t>c.</w:t>
      </w:r>
      <w:r w:rsidR="00001B1A">
        <w:rPr>
          <w:i/>
          <w:lang w:val="fr-FR"/>
        </w:rPr>
        <w:t> </w:t>
      </w:r>
      <w:r w:rsidRPr="00496429">
        <w:rPr>
          <w:i/>
          <w:lang w:val="fr-FR"/>
        </w:rPr>
        <w:t>Burundi</w:t>
      </w:r>
      <w:r w:rsidRPr="00496429">
        <w:rPr>
          <w:lang w:val="fr-FR"/>
        </w:rPr>
        <w:t>, par.</w:t>
      </w:r>
      <w:r w:rsidR="00001B1A">
        <w:rPr>
          <w:lang w:val="fr-FR"/>
        </w:rPr>
        <w:t> </w:t>
      </w:r>
      <w:r w:rsidRPr="00496429">
        <w:rPr>
          <w:lang w:val="fr-FR"/>
        </w:rPr>
        <w:t xml:space="preserve">8.4 ; </w:t>
      </w:r>
      <w:proofErr w:type="spellStart"/>
      <w:r w:rsidRPr="00496429">
        <w:rPr>
          <w:i/>
          <w:lang w:val="fr-FR"/>
        </w:rPr>
        <w:t>Ndarisigaranye</w:t>
      </w:r>
      <w:proofErr w:type="spellEnd"/>
      <w:r w:rsidR="00001B1A">
        <w:rPr>
          <w:i/>
          <w:lang w:val="fr-FR"/>
        </w:rPr>
        <w:t> </w:t>
      </w:r>
      <w:r w:rsidRPr="00496429">
        <w:rPr>
          <w:i/>
          <w:lang w:val="fr-FR"/>
        </w:rPr>
        <w:t>c.</w:t>
      </w:r>
      <w:r w:rsidR="00001B1A">
        <w:rPr>
          <w:i/>
          <w:lang w:val="fr-FR"/>
        </w:rPr>
        <w:t> </w:t>
      </w:r>
      <w:r w:rsidRPr="00496429">
        <w:rPr>
          <w:i/>
          <w:lang w:val="fr-FR"/>
        </w:rPr>
        <w:t>Burundi</w:t>
      </w:r>
      <w:r w:rsidRPr="00496429">
        <w:rPr>
          <w:lang w:val="fr-FR"/>
        </w:rPr>
        <w:t>, par.</w:t>
      </w:r>
      <w:r w:rsidR="00001B1A">
        <w:rPr>
          <w:lang w:val="fr-FR"/>
        </w:rPr>
        <w:t> </w:t>
      </w:r>
      <w:r w:rsidRPr="00496429">
        <w:rPr>
          <w:lang w:val="fr-FR"/>
        </w:rPr>
        <w:t xml:space="preserve">8.3 ; </w:t>
      </w:r>
      <w:proofErr w:type="spellStart"/>
      <w:r w:rsidRPr="00496429">
        <w:rPr>
          <w:i/>
          <w:lang w:val="fr-FR"/>
        </w:rPr>
        <w:t>Niyonzima</w:t>
      </w:r>
      <w:proofErr w:type="spellEnd"/>
      <w:r w:rsidR="00001B1A">
        <w:rPr>
          <w:i/>
          <w:lang w:val="fr-FR"/>
        </w:rPr>
        <w:t> </w:t>
      </w:r>
      <w:r w:rsidRPr="00496429">
        <w:rPr>
          <w:i/>
          <w:lang w:val="fr-FR"/>
        </w:rPr>
        <w:t>c.</w:t>
      </w:r>
      <w:r w:rsidR="00001B1A">
        <w:rPr>
          <w:i/>
          <w:lang w:val="fr-FR"/>
        </w:rPr>
        <w:t> </w:t>
      </w:r>
      <w:r w:rsidRPr="00496429">
        <w:rPr>
          <w:i/>
          <w:lang w:val="fr-FR"/>
        </w:rPr>
        <w:t>Burundi</w:t>
      </w:r>
      <w:r w:rsidRPr="00496429">
        <w:rPr>
          <w:lang w:val="fr-FR"/>
        </w:rPr>
        <w:t xml:space="preserve">, par. 8.4 ; et </w:t>
      </w:r>
      <w:r w:rsidRPr="00496429">
        <w:rPr>
          <w:i/>
          <w:lang w:val="fr-FR"/>
        </w:rPr>
        <w:t>E.</w:t>
      </w:r>
      <w:r w:rsidRPr="00152BE0">
        <w:rPr>
          <w:i/>
          <w:lang w:val="fr-FR"/>
        </w:rPr>
        <w:t> </w:t>
      </w:r>
      <w:r w:rsidRPr="00496429">
        <w:rPr>
          <w:i/>
          <w:lang w:val="fr-FR"/>
        </w:rPr>
        <w:t>N.</w:t>
      </w:r>
      <w:r w:rsidR="00001B1A">
        <w:rPr>
          <w:i/>
          <w:lang w:val="fr-FR"/>
        </w:rPr>
        <w:t> </w:t>
      </w:r>
      <w:r w:rsidRPr="00496429">
        <w:rPr>
          <w:i/>
          <w:lang w:val="fr-FR"/>
        </w:rPr>
        <w:t>c.</w:t>
      </w:r>
      <w:r w:rsidR="00001B1A">
        <w:rPr>
          <w:i/>
          <w:lang w:val="fr-FR"/>
        </w:rPr>
        <w:t> </w:t>
      </w:r>
      <w:r w:rsidRPr="00496429">
        <w:rPr>
          <w:i/>
          <w:lang w:val="fr-FR"/>
        </w:rPr>
        <w:t>Burundi</w:t>
      </w:r>
      <w:r w:rsidRPr="00496429">
        <w:rPr>
          <w:lang w:val="fr-FR"/>
        </w:rPr>
        <w:t xml:space="preserve"> (CAT/C/56/D/578/2013), par. </w:t>
      </w:r>
      <w:r w:rsidR="00001B1A">
        <w:rPr>
          <w:lang w:val="fr-FR"/>
        </w:rPr>
        <w:t> </w:t>
      </w:r>
      <w:r w:rsidRPr="00496429">
        <w:rPr>
          <w:lang w:val="fr-FR"/>
        </w:rPr>
        <w:t>.5.</w:t>
      </w:r>
    </w:p>
  </w:footnote>
  <w:footnote w:id="18">
    <w:p w14:paraId="16E4454B" w14:textId="3D27D604" w:rsidR="001E0125" w:rsidRPr="006F73F7" w:rsidRDefault="001E0125" w:rsidP="001E0125">
      <w:pPr>
        <w:pStyle w:val="Notedebasdepage"/>
        <w:rPr>
          <w:lang w:val="en-US"/>
        </w:rPr>
      </w:pPr>
      <w:r w:rsidRPr="00496429">
        <w:rPr>
          <w:lang w:val="fr-FR"/>
        </w:rPr>
        <w:tab/>
      </w:r>
      <w:r w:rsidRPr="00152BE0">
        <w:rPr>
          <w:rStyle w:val="Appelnotedebasdep"/>
        </w:rPr>
        <w:footnoteRef/>
      </w:r>
      <w:r w:rsidRPr="006F73F7">
        <w:rPr>
          <w:lang w:val="en-US"/>
        </w:rPr>
        <w:tab/>
        <w:t>CAT/C/BDI/CO/2, par.</w:t>
      </w:r>
      <w:r w:rsidR="00001B1A" w:rsidRPr="006F73F7">
        <w:rPr>
          <w:lang w:val="en-US"/>
        </w:rPr>
        <w:t> </w:t>
      </w:r>
      <w:r w:rsidRPr="006F73F7">
        <w:rPr>
          <w:lang w:val="en-US"/>
        </w:rPr>
        <w:t>10.</w:t>
      </w:r>
    </w:p>
  </w:footnote>
  <w:footnote w:id="19">
    <w:p w14:paraId="4E431DBF" w14:textId="635726B4" w:rsidR="001E0125" w:rsidRPr="009D383B" w:rsidRDefault="001E0125" w:rsidP="001E0125">
      <w:pPr>
        <w:pStyle w:val="Notedebasdepage"/>
      </w:pPr>
      <w:r w:rsidRPr="006F73F7">
        <w:rPr>
          <w:lang w:val="en-US"/>
        </w:rPr>
        <w:tab/>
      </w:r>
      <w:r w:rsidRPr="00152BE0">
        <w:rPr>
          <w:rStyle w:val="Appelnotedebasdep"/>
        </w:rPr>
        <w:footnoteRef/>
      </w:r>
      <w:r>
        <w:tab/>
      </w:r>
      <w:r w:rsidRPr="006843CD">
        <w:rPr>
          <w:i/>
        </w:rPr>
        <w:t>E.</w:t>
      </w:r>
      <w:r>
        <w:rPr>
          <w:i/>
        </w:rPr>
        <w:t> </w:t>
      </w:r>
      <w:r w:rsidRPr="006843CD">
        <w:rPr>
          <w:i/>
        </w:rPr>
        <w:t>N.</w:t>
      </w:r>
      <w:r w:rsidR="00001B1A">
        <w:rPr>
          <w:i/>
        </w:rPr>
        <w:t> </w:t>
      </w:r>
      <w:r w:rsidRPr="006843CD">
        <w:rPr>
          <w:i/>
        </w:rPr>
        <w:t>c.</w:t>
      </w:r>
      <w:r w:rsidR="00001B1A">
        <w:rPr>
          <w:i/>
        </w:rPr>
        <w:t> </w:t>
      </w:r>
      <w:r w:rsidRPr="006843CD">
        <w:rPr>
          <w:i/>
        </w:rPr>
        <w:t>Burundi</w:t>
      </w:r>
      <w:r>
        <w:t>, par.</w:t>
      </w:r>
      <w:r w:rsidR="00001B1A">
        <w:t> </w:t>
      </w:r>
      <w:r>
        <w:t>7.6.</w:t>
      </w:r>
    </w:p>
  </w:footnote>
  <w:footnote w:id="20">
    <w:p w14:paraId="7FD8F782" w14:textId="429124FB" w:rsidR="001E0125" w:rsidRPr="006024D5" w:rsidRDefault="001E0125" w:rsidP="001E0125">
      <w:pPr>
        <w:pStyle w:val="Notedebasdepage"/>
      </w:pPr>
      <w:r>
        <w:tab/>
      </w:r>
      <w:r w:rsidRPr="00152BE0">
        <w:rPr>
          <w:rStyle w:val="Appelnotedebasdep"/>
        </w:rPr>
        <w:footnoteRef/>
      </w:r>
      <w:r>
        <w:tab/>
      </w:r>
      <w:proofErr w:type="spellStart"/>
      <w:r w:rsidRPr="00656691">
        <w:rPr>
          <w:i/>
        </w:rPr>
        <w:t>Ndagijimana</w:t>
      </w:r>
      <w:proofErr w:type="spellEnd"/>
      <w:r w:rsidR="00001B1A">
        <w:rPr>
          <w:i/>
        </w:rPr>
        <w:t> </w:t>
      </w:r>
      <w:r w:rsidRPr="00656691">
        <w:rPr>
          <w:i/>
        </w:rPr>
        <w:t>c.</w:t>
      </w:r>
      <w:r w:rsidR="00001B1A">
        <w:rPr>
          <w:i/>
        </w:rPr>
        <w:t> </w:t>
      </w:r>
      <w:r w:rsidRPr="00656691">
        <w:rPr>
          <w:i/>
        </w:rPr>
        <w:t>Burundi</w:t>
      </w:r>
      <w:r w:rsidRPr="00656691">
        <w:t>, par.</w:t>
      </w:r>
      <w:r w:rsidR="00001B1A">
        <w:t> </w:t>
      </w:r>
      <w:r w:rsidRPr="00656691">
        <w:t>8.</w:t>
      </w:r>
      <w:r>
        <w:t>5</w:t>
      </w:r>
      <w:r w:rsidRPr="00656691">
        <w:t xml:space="preserve"> ; </w:t>
      </w:r>
      <w:proofErr w:type="spellStart"/>
      <w:r w:rsidRPr="00656691">
        <w:rPr>
          <w:i/>
        </w:rPr>
        <w:t>Ndarisigaranye</w:t>
      </w:r>
      <w:proofErr w:type="spellEnd"/>
      <w:r w:rsidR="00001B1A">
        <w:rPr>
          <w:i/>
        </w:rPr>
        <w:t> </w:t>
      </w:r>
      <w:r w:rsidRPr="00656691">
        <w:rPr>
          <w:i/>
        </w:rPr>
        <w:t>c.</w:t>
      </w:r>
      <w:r w:rsidR="00001B1A">
        <w:rPr>
          <w:i/>
        </w:rPr>
        <w:t> </w:t>
      </w:r>
      <w:r w:rsidRPr="00656691">
        <w:rPr>
          <w:i/>
        </w:rPr>
        <w:t>Burundi</w:t>
      </w:r>
      <w:r w:rsidRPr="00656691">
        <w:t>, par.</w:t>
      </w:r>
      <w:r w:rsidR="00001B1A">
        <w:t> </w:t>
      </w:r>
      <w:r w:rsidRPr="00656691">
        <w:t>8.</w:t>
      </w:r>
      <w:r>
        <w:t>5 ;</w:t>
      </w:r>
      <w:r w:rsidRPr="006024D5">
        <w:rPr>
          <w:i/>
        </w:rPr>
        <w:t xml:space="preserve"> </w:t>
      </w:r>
      <w:proofErr w:type="spellStart"/>
      <w:r w:rsidRPr="006024D5">
        <w:rPr>
          <w:i/>
        </w:rPr>
        <w:t>Kabura</w:t>
      </w:r>
      <w:proofErr w:type="spellEnd"/>
      <w:r w:rsidR="00001B1A">
        <w:rPr>
          <w:i/>
        </w:rPr>
        <w:t> </w:t>
      </w:r>
      <w:r w:rsidRPr="006024D5">
        <w:rPr>
          <w:i/>
        </w:rPr>
        <w:t>c.</w:t>
      </w:r>
      <w:r w:rsidR="00001B1A">
        <w:rPr>
          <w:i/>
        </w:rPr>
        <w:t> </w:t>
      </w:r>
      <w:r w:rsidRPr="006024D5">
        <w:rPr>
          <w:i/>
        </w:rPr>
        <w:t>Burundi</w:t>
      </w:r>
      <w:r w:rsidRPr="006024D5">
        <w:t>, par.</w:t>
      </w:r>
      <w:r w:rsidR="00001B1A">
        <w:t> </w:t>
      </w:r>
      <w:r w:rsidRPr="006024D5">
        <w:t>7.4</w:t>
      </w:r>
      <w:r>
        <w:t xml:space="preserve"> ; et </w:t>
      </w:r>
      <w:proofErr w:type="spellStart"/>
      <w:r w:rsidRPr="006024D5">
        <w:rPr>
          <w:i/>
        </w:rPr>
        <w:t>Niyonzima</w:t>
      </w:r>
      <w:proofErr w:type="spellEnd"/>
      <w:r w:rsidR="00001B1A">
        <w:rPr>
          <w:i/>
        </w:rPr>
        <w:t> </w:t>
      </w:r>
      <w:r w:rsidRPr="006024D5">
        <w:rPr>
          <w:i/>
        </w:rPr>
        <w:t>c.</w:t>
      </w:r>
      <w:r w:rsidR="00001B1A">
        <w:rPr>
          <w:i/>
        </w:rPr>
        <w:t> </w:t>
      </w:r>
      <w:r w:rsidRPr="006024D5">
        <w:rPr>
          <w:i/>
        </w:rPr>
        <w:t>Burundi</w:t>
      </w:r>
      <w:r w:rsidRPr="006024D5">
        <w:t>, par.</w:t>
      </w:r>
      <w:r w:rsidR="00001B1A">
        <w:t> </w:t>
      </w:r>
      <w:r w:rsidRPr="006024D5">
        <w:t>8.4</w:t>
      </w:r>
      <w:r>
        <w:t>.</w:t>
      </w:r>
    </w:p>
  </w:footnote>
  <w:footnote w:id="21">
    <w:p w14:paraId="419C2F3C" w14:textId="58BFDCD3" w:rsidR="001E0125" w:rsidRPr="006024D5" w:rsidRDefault="001E0125" w:rsidP="001E0125">
      <w:pPr>
        <w:pStyle w:val="Notedebasdepage"/>
      </w:pPr>
      <w:r>
        <w:tab/>
      </w:r>
      <w:r w:rsidRPr="00152BE0">
        <w:rPr>
          <w:rStyle w:val="Appelnotedebasdep"/>
        </w:rPr>
        <w:footnoteRef/>
      </w:r>
      <w:r>
        <w:tab/>
      </w:r>
      <w:proofErr w:type="spellStart"/>
      <w:r w:rsidRPr="006024D5">
        <w:rPr>
          <w:i/>
        </w:rPr>
        <w:t>Niyonzima</w:t>
      </w:r>
      <w:proofErr w:type="spellEnd"/>
      <w:r w:rsidR="00001B1A">
        <w:rPr>
          <w:i/>
        </w:rPr>
        <w:t> </w:t>
      </w:r>
      <w:r w:rsidRPr="006024D5">
        <w:rPr>
          <w:i/>
        </w:rPr>
        <w:t>c.</w:t>
      </w:r>
      <w:r w:rsidR="00001B1A">
        <w:rPr>
          <w:i/>
        </w:rPr>
        <w:t> </w:t>
      </w:r>
      <w:r w:rsidRPr="006024D5">
        <w:rPr>
          <w:i/>
        </w:rPr>
        <w:t>Burundi</w:t>
      </w:r>
      <w:r w:rsidRPr="006024D5">
        <w:t>, par.</w:t>
      </w:r>
      <w:r w:rsidR="00001B1A">
        <w:t> </w:t>
      </w:r>
      <w:r w:rsidRPr="006024D5">
        <w:t>8.5.</w:t>
      </w:r>
    </w:p>
  </w:footnote>
  <w:footnote w:id="22">
    <w:p w14:paraId="1FCCF820" w14:textId="4F2356C3" w:rsidR="001E0125" w:rsidRPr="006024D5" w:rsidRDefault="001E0125" w:rsidP="001E0125">
      <w:pPr>
        <w:pStyle w:val="Notedebasdepage"/>
      </w:pPr>
      <w:r>
        <w:tab/>
      </w:r>
      <w:r w:rsidRPr="00152BE0">
        <w:rPr>
          <w:rStyle w:val="Appelnotedebasdep"/>
        </w:rPr>
        <w:footnoteRef/>
      </w:r>
      <w:r>
        <w:tab/>
      </w:r>
      <w:r w:rsidRPr="00A213D5">
        <w:rPr>
          <w:iCs/>
        </w:rPr>
        <w:t>Ibid.</w:t>
      </w:r>
      <w:r w:rsidRPr="00302D44">
        <w:rPr>
          <w:iCs/>
        </w:rPr>
        <w:t>,</w:t>
      </w:r>
      <w:r w:rsidRPr="006024D5">
        <w:t xml:space="preserve"> par.</w:t>
      </w:r>
      <w:r w:rsidR="00001B1A">
        <w:t> </w:t>
      </w:r>
      <w:r w:rsidRPr="006024D5">
        <w:t xml:space="preserve">8.6. Voir également </w:t>
      </w:r>
      <w:proofErr w:type="spellStart"/>
      <w:r w:rsidRPr="006024D5">
        <w:rPr>
          <w:i/>
        </w:rPr>
        <w:t>Ntikarahera</w:t>
      </w:r>
      <w:proofErr w:type="spellEnd"/>
      <w:r w:rsidR="00001B1A">
        <w:rPr>
          <w:i/>
        </w:rPr>
        <w:t> </w:t>
      </w:r>
      <w:r w:rsidRPr="006024D5">
        <w:rPr>
          <w:i/>
        </w:rPr>
        <w:t>c.</w:t>
      </w:r>
      <w:r w:rsidR="00001B1A">
        <w:rPr>
          <w:i/>
        </w:rPr>
        <w:t> </w:t>
      </w:r>
      <w:r w:rsidRPr="006024D5">
        <w:rPr>
          <w:i/>
        </w:rPr>
        <w:t>Burundi</w:t>
      </w:r>
      <w:r w:rsidRPr="006024D5">
        <w:t>, par.</w:t>
      </w:r>
      <w:r w:rsidR="00001B1A">
        <w:t> </w:t>
      </w:r>
      <w:r w:rsidRPr="006024D5">
        <w:t>6.5.</w:t>
      </w:r>
    </w:p>
  </w:footnote>
  <w:footnote w:id="23">
    <w:p w14:paraId="1557A99C" w14:textId="78D41481" w:rsidR="001E0125" w:rsidRPr="003946D2" w:rsidRDefault="001E0125" w:rsidP="001E0125">
      <w:pPr>
        <w:pStyle w:val="Notedebasdepage"/>
      </w:pPr>
      <w:r>
        <w:tab/>
      </w:r>
      <w:r w:rsidRPr="00152BE0">
        <w:rPr>
          <w:rStyle w:val="Appelnotedebasdep"/>
        </w:rPr>
        <w:footnoteRef/>
      </w:r>
      <w:r>
        <w:tab/>
      </w:r>
      <w:proofErr w:type="spellStart"/>
      <w:r w:rsidRPr="00BE134F">
        <w:rPr>
          <w:i/>
        </w:rPr>
        <w:t>Ndarisigaranye</w:t>
      </w:r>
      <w:proofErr w:type="spellEnd"/>
      <w:r w:rsidR="00001B1A">
        <w:rPr>
          <w:i/>
        </w:rPr>
        <w:t> </w:t>
      </w:r>
      <w:r w:rsidRPr="00BE134F">
        <w:rPr>
          <w:i/>
        </w:rPr>
        <w:t>c.</w:t>
      </w:r>
      <w:r w:rsidR="00001B1A">
        <w:rPr>
          <w:i/>
        </w:rPr>
        <w:t> </w:t>
      </w:r>
      <w:r w:rsidRPr="00BE134F">
        <w:rPr>
          <w:i/>
        </w:rPr>
        <w:t>Burundi</w:t>
      </w:r>
      <w:r>
        <w:t>, par.</w:t>
      </w:r>
      <w:r w:rsidR="00001B1A">
        <w:t> </w:t>
      </w:r>
      <w:r>
        <w:t>8.7.</w:t>
      </w:r>
    </w:p>
  </w:footnote>
  <w:footnote w:id="24">
    <w:p w14:paraId="5F12922C" w14:textId="4A438D9B" w:rsidR="001E0125" w:rsidRPr="009D383B" w:rsidRDefault="001E0125" w:rsidP="001E0125">
      <w:pPr>
        <w:pStyle w:val="Notedebasdepage"/>
      </w:pPr>
      <w:r>
        <w:tab/>
      </w:r>
      <w:r w:rsidRPr="00152BE0">
        <w:rPr>
          <w:rStyle w:val="Appelnotedebasdep"/>
        </w:rPr>
        <w:footnoteRef/>
      </w:r>
      <w:r>
        <w:tab/>
      </w:r>
      <w:r w:rsidRPr="00152BE0">
        <w:rPr>
          <w:iCs/>
        </w:rPr>
        <w:t>Ibid.</w:t>
      </w:r>
      <w:r>
        <w:t>, par.</w:t>
      </w:r>
      <w:r w:rsidR="00001B1A">
        <w:t> </w:t>
      </w:r>
      <w:r>
        <w:t>8.8 ;</w:t>
      </w:r>
      <w:r w:rsidRPr="009D383B">
        <w:t xml:space="preserve"> </w:t>
      </w:r>
      <w:proofErr w:type="spellStart"/>
      <w:r w:rsidRPr="009D383B">
        <w:rPr>
          <w:i/>
        </w:rPr>
        <w:t>Niyonzima</w:t>
      </w:r>
      <w:proofErr w:type="spellEnd"/>
      <w:r w:rsidR="00001B1A">
        <w:rPr>
          <w:i/>
        </w:rPr>
        <w:t> </w:t>
      </w:r>
      <w:r w:rsidRPr="009D383B">
        <w:rPr>
          <w:i/>
        </w:rPr>
        <w:t>c.</w:t>
      </w:r>
      <w:r w:rsidR="00001B1A">
        <w:rPr>
          <w:i/>
        </w:rPr>
        <w:t> </w:t>
      </w:r>
      <w:r w:rsidRPr="009D383B">
        <w:rPr>
          <w:i/>
        </w:rPr>
        <w:t>Burundi</w:t>
      </w:r>
      <w:r w:rsidRPr="009D383B">
        <w:t>, par.</w:t>
      </w:r>
      <w:r w:rsidR="00001B1A">
        <w:t> </w:t>
      </w:r>
      <w:r w:rsidRPr="009D383B">
        <w:t>8.8</w:t>
      </w:r>
      <w:r>
        <w:t> ;</w:t>
      </w:r>
      <w:r w:rsidRPr="009D383B">
        <w:t xml:space="preserve"> et </w:t>
      </w:r>
      <w:proofErr w:type="spellStart"/>
      <w:r w:rsidRPr="009D383B">
        <w:rPr>
          <w:i/>
        </w:rPr>
        <w:t>Ntikarahera</w:t>
      </w:r>
      <w:proofErr w:type="spellEnd"/>
      <w:r w:rsidR="00001B1A">
        <w:rPr>
          <w:i/>
        </w:rPr>
        <w:t> </w:t>
      </w:r>
      <w:r w:rsidRPr="009D383B">
        <w:rPr>
          <w:i/>
        </w:rPr>
        <w:t>c.</w:t>
      </w:r>
      <w:r w:rsidR="00001B1A">
        <w:rPr>
          <w:i/>
        </w:rPr>
        <w:t> </w:t>
      </w:r>
      <w:r w:rsidRPr="009D383B">
        <w:rPr>
          <w:i/>
        </w:rPr>
        <w:t>Burundi</w:t>
      </w:r>
      <w:r>
        <w:t>, par. </w:t>
      </w:r>
      <w:r w:rsidRPr="009D383B">
        <w:t>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4433" w14:textId="1423C5DF" w:rsidR="00ED7E6E" w:rsidRPr="00ED7E6E" w:rsidRDefault="00AA7D3C">
    <w:pPr>
      <w:pStyle w:val="En-tte"/>
    </w:pPr>
    <w:fldSimple w:instr=" TITLE  \* MERGEFORMAT ">
      <w:r w:rsidR="003229E0">
        <w:t>CAT/C/72/D/793/2017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DFE3" w14:textId="0864EE5E" w:rsidR="00ED7E6E" w:rsidRPr="00ED7E6E" w:rsidRDefault="00AA7D3C" w:rsidP="00ED7E6E">
    <w:pPr>
      <w:pStyle w:val="En-tte"/>
      <w:jc w:val="right"/>
    </w:pPr>
    <w:fldSimple w:instr=" TITLE  \* MERGEFORMAT ">
      <w:r w:rsidR="003229E0">
        <w:t>CAT/C/72/D/793/2017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4"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7" w15:restartNumberingAfterBreak="0">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0"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1"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15:restartNumberingAfterBreak="0">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26"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27" w15:restartNumberingAfterBreak="0">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15:restartNumberingAfterBreak="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3" w15:restartNumberingAfterBreak="0">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5" w15:restartNumberingAfterBreak="0">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36"/>
  </w:num>
  <w:num w:numId="2">
    <w:abstractNumId w:val="22"/>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6"/>
  </w:num>
  <w:num w:numId="15">
    <w:abstractNumId w:val="22"/>
  </w:num>
  <w:num w:numId="16">
    <w:abstractNumId w:val="15"/>
  </w:num>
  <w:num w:numId="17">
    <w:abstractNumId w:val="36"/>
  </w:num>
  <w:num w:numId="18">
    <w:abstractNumId w:val="22"/>
  </w:num>
  <w:num w:numId="19">
    <w:abstractNumId w:val="15"/>
  </w:num>
  <w:num w:numId="20">
    <w:abstractNumId w:val="40"/>
  </w:num>
  <w:num w:numId="21">
    <w:abstractNumId w:val="19"/>
  </w:num>
  <w:num w:numId="22">
    <w:abstractNumId w:val="12"/>
  </w:num>
  <w:num w:numId="23">
    <w:abstractNumId w:val="21"/>
  </w:num>
  <w:num w:numId="24">
    <w:abstractNumId w:val="25"/>
  </w:num>
  <w:num w:numId="25">
    <w:abstractNumId w:val="38"/>
  </w:num>
  <w:num w:numId="26">
    <w:abstractNumId w:val="31"/>
  </w:num>
  <w:num w:numId="27">
    <w:abstractNumId w:val="41"/>
  </w:num>
  <w:num w:numId="28">
    <w:abstractNumId w:val="29"/>
  </w:num>
  <w:num w:numId="29">
    <w:abstractNumId w:val="34"/>
  </w:num>
  <w:num w:numId="30">
    <w:abstractNumId w:val="23"/>
  </w:num>
  <w:num w:numId="31">
    <w:abstractNumId w:val="20"/>
  </w:num>
  <w:num w:numId="32">
    <w:abstractNumId w:val="11"/>
  </w:num>
  <w:num w:numId="33">
    <w:abstractNumId w:val="16"/>
  </w:num>
  <w:num w:numId="34">
    <w:abstractNumId w:val="13"/>
  </w:num>
  <w:num w:numId="35">
    <w:abstractNumId w:val="26"/>
  </w:num>
  <w:num w:numId="36">
    <w:abstractNumId w:val="32"/>
  </w:num>
  <w:num w:numId="37">
    <w:abstractNumId w:val="14"/>
  </w:num>
  <w:num w:numId="38">
    <w:abstractNumId w:val="39"/>
  </w:num>
  <w:num w:numId="39">
    <w:abstractNumId w:val="28"/>
  </w:num>
  <w:num w:numId="40">
    <w:abstractNumId w:val="37"/>
  </w:num>
  <w:num w:numId="41">
    <w:abstractNumId w:val="17"/>
  </w:num>
  <w:num w:numId="42">
    <w:abstractNumId w:val="10"/>
  </w:num>
  <w:num w:numId="43">
    <w:abstractNumId w:val="35"/>
  </w:num>
  <w:num w:numId="44">
    <w:abstractNumId w:val="24"/>
  </w:num>
  <w:num w:numId="45">
    <w:abstractNumId w:val="33"/>
  </w:num>
  <w:num w:numId="46">
    <w:abstractNumId w:val="30"/>
  </w:num>
  <w:num w:numId="47">
    <w:abstractNumId w:val="27"/>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1D"/>
    <w:rsid w:val="00001B1A"/>
    <w:rsid w:val="00023842"/>
    <w:rsid w:val="00035AE4"/>
    <w:rsid w:val="00037DF1"/>
    <w:rsid w:val="0007796D"/>
    <w:rsid w:val="000F1B1D"/>
    <w:rsid w:val="00101756"/>
    <w:rsid w:val="00111F2F"/>
    <w:rsid w:val="0014365E"/>
    <w:rsid w:val="001467E1"/>
    <w:rsid w:val="00176178"/>
    <w:rsid w:val="001D14FC"/>
    <w:rsid w:val="001E0125"/>
    <w:rsid w:val="001F525A"/>
    <w:rsid w:val="00287416"/>
    <w:rsid w:val="002C1DA5"/>
    <w:rsid w:val="002F152E"/>
    <w:rsid w:val="003229E0"/>
    <w:rsid w:val="003F20D5"/>
    <w:rsid w:val="004051B9"/>
    <w:rsid w:val="00446FE5"/>
    <w:rsid w:val="004D6539"/>
    <w:rsid w:val="004E77B3"/>
    <w:rsid w:val="004F046A"/>
    <w:rsid w:val="00553A1F"/>
    <w:rsid w:val="00573BE5"/>
    <w:rsid w:val="00586ED3"/>
    <w:rsid w:val="00587A52"/>
    <w:rsid w:val="005970D5"/>
    <w:rsid w:val="005A51D3"/>
    <w:rsid w:val="005B4E23"/>
    <w:rsid w:val="00616CB0"/>
    <w:rsid w:val="00621144"/>
    <w:rsid w:val="00672810"/>
    <w:rsid w:val="006F73F7"/>
    <w:rsid w:val="0071601D"/>
    <w:rsid w:val="007432FB"/>
    <w:rsid w:val="0080684C"/>
    <w:rsid w:val="00807D21"/>
    <w:rsid w:val="00840C6C"/>
    <w:rsid w:val="00853AFA"/>
    <w:rsid w:val="00871C75"/>
    <w:rsid w:val="008776DC"/>
    <w:rsid w:val="00945222"/>
    <w:rsid w:val="009705C8"/>
    <w:rsid w:val="009C4D45"/>
    <w:rsid w:val="009F531E"/>
    <w:rsid w:val="00A05770"/>
    <w:rsid w:val="00A37C92"/>
    <w:rsid w:val="00A40848"/>
    <w:rsid w:val="00A704A8"/>
    <w:rsid w:val="00AA0CD3"/>
    <w:rsid w:val="00AA7D3C"/>
    <w:rsid w:val="00AB1B55"/>
    <w:rsid w:val="00AE323C"/>
    <w:rsid w:val="00BA13A6"/>
    <w:rsid w:val="00BA41F4"/>
    <w:rsid w:val="00C02897"/>
    <w:rsid w:val="00C26921"/>
    <w:rsid w:val="00CA5CE1"/>
    <w:rsid w:val="00CD326D"/>
    <w:rsid w:val="00D21E12"/>
    <w:rsid w:val="00D75786"/>
    <w:rsid w:val="00DB1831"/>
    <w:rsid w:val="00DD3BFD"/>
    <w:rsid w:val="00DF7D38"/>
    <w:rsid w:val="00E554A4"/>
    <w:rsid w:val="00EA0D23"/>
    <w:rsid w:val="00EA3F83"/>
    <w:rsid w:val="00ED7E6E"/>
    <w:rsid w:val="00EE6EA3"/>
    <w:rsid w:val="00F660DF"/>
    <w:rsid w:val="00F92FC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FED5B9"/>
  <w15:docId w15:val="{4CDC347F-8C11-4B34-93ED-4DB7192B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qFormat/>
    <w:rsid w:val="007432FB"/>
    <w:pPr>
      <w:outlineLvl w:val="1"/>
    </w:pPr>
  </w:style>
  <w:style w:type="paragraph" w:styleId="Titre3">
    <w:name w:val="heading 3"/>
    <w:basedOn w:val="Normal"/>
    <w:next w:val="Normal"/>
    <w:link w:val="Titre3Car"/>
    <w:qFormat/>
    <w:rsid w:val="007432FB"/>
    <w:pPr>
      <w:outlineLvl w:val="2"/>
    </w:pPr>
  </w:style>
  <w:style w:type="paragraph" w:styleId="Titre4">
    <w:name w:val="heading 4"/>
    <w:basedOn w:val="Normal"/>
    <w:next w:val="Normal"/>
    <w:link w:val="Titre4Car"/>
    <w:qFormat/>
    <w:rsid w:val="007432FB"/>
    <w:pPr>
      <w:outlineLvl w:val="3"/>
    </w:pPr>
  </w:style>
  <w:style w:type="paragraph" w:styleId="Titre5">
    <w:name w:val="heading 5"/>
    <w:basedOn w:val="Normal"/>
    <w:next w:val="Normal"/>
    <w:link w:val="Titre5Car"/>
    <w:qFormat/>
    <w:rsid w:val="007432FB"/>
    <w:pPr>
      <w:outlineLvl w:val="4"/>
    </w:pPr>
  </w:style>
  <w:style w:type="paragraph" w:styleId="Titre6">
    <w:name w:val="heading 6"/>
    <w:basedOn w:val="Normal"/>
    <w:next w:val="Normal"/>
    <w:link w:val="Titre6Car"/>
    <w:qFormat/>
    <w:rsid w:val="007432FB"/>
    <w:pPr>
      <w:outlineLvl w:val="5"/>
    </w:pPr>
  </w:style>
  <w:style w:type="paragraph" w:styleId="Titre7">
    <w:name w:val="heading 7"/>
    <w:basedOn w:val="Normal"/>
    <w:next w:val="Normal"/>
    <w:link w:val="Titre7Car"/>
    <w:qFormat/>
    <w:rsid w:val="007432FB"/>
    <w:pPr>
      <w:outlineLvl w:val="6"/>
    </w:pPr>
  </w:style>
  <w:style w:type="paragraph" w:styleId="Titre8">
    <w:name w:val="heading 8"/>
    <w:basedOn w:val="Normal"/>
    <w:next w:val="Normal"/>
    <w:link w:val="Titre8Car"/>
    <w:qFormat/>
    <w:rsid w:val="007432FB"/>
    <w:pPr>
      <w:outlineLvl w:val="7"/>
    </w:pPr>
  </w:style>
  <w:style w:type="paragraph" w:styleId="Titre9">
    <w:name w:val="heading 9"/>
    <w:basedOn w:val="Normal"/>
    <w:next w:val="Normal"/>
    <w:link w:val="Titre9Car"/>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8</Pages>
  <Words>4475</Words>
  <Characters>22915</Characters>
  <Application>Microsoft Office Word</Application>
  <DocSecurity>0</DocSecurity>
  <Lines>342</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CAT/C/72/D/793/2017</vt:lpstr>
      <vt:lpstr>CAT/C/72/D/793/2017</vt:lpstr>
    </vt:vector>
  </TitlesOfParts>
  <Company>DCM</Company>
  <LinksUpToDate>false</LinksUpToDate>
  <CharactersWithSpaces>27322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CAT/C/72/D/793/2017</dc:title>
  <dc:subject/>
  <dc:creator>Valerie BERTIN</dc:creator>
  <cp:keywords/>
  <cp:lastModifiedBy>Corinne Robert</cp:lastModifiedBy>
  <cp:revision>3</cp:revision>
  <cp:lastPrinted>2022-02-18T15:38:00Z</cp:lastPrinted>
  <dcterms:created xsi:type="dcterms:W3CDTF">2022-02-18T15:38:00Z</dcterms:created>
  <dcterms:modified xsi:type="dcterms:W3CDTF">2022-02-18T15:39:00Z</dcterms:modified>
</cp:coreProperties>
</file>