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5600" w14:textId="77777777" w:rsidR="00146A0E" w:rsidRDefault="00146A0E" w:rsidP="00146A0E">
      <w:pPr>
        <w:spacing w:line="240" w:lineRule="auto"/>
        <w:rPr>
          <w:sz w:val="2"/>
        </w:rPr>
        <w:sectPr w:rsidR="00146A0E" w:rsidSect="00146A0E">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152" w:left="1200" w:header="432" w:footer="576" w:gutter="0"/>
          <w:cols w:space="720"/>
          <w:titlePg/>
          <w:docGrid w:linePitch="360"/>
        </w:sectPr>
      </w:pPr>
      <w:r>
        <w:rPr>
          <w:rStyle w:val="CommentReference"/>
        </w:rPr>
        <w:commentReference w:id="0"/>
      </w:r>
    </w:p>
    <w:p w14:paraId="1AFD0FA7" w14:textId="7A8B3130" w:rsidR="00AE1CC1" w:rsidRDefault="00AE1CC1" w:rsidP="00AE1CC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09"/>
        <w:rPr>
          <w:lang w:val="fr-FR"/>
        </w:rPr>
      </w:pPr>
      <w:r>
        <w:rPr>
          <w:lang w:val="fr-FR"/>
        </w:rPr>
        <w:t>Comité pour l</w:t>
      </w:r>
      <w:r w:rsidR="00FC0C0B">
        <w:rPr>
          <w:lang w:val="fr-FR"/>
        </w:rPr>
        <w:t>’</w:t>
      </w:r>
      <w:r>
        <w:rPr>
          <w:lang w:val="fr-FR"/>
        </w:rPr>
        <w:t>élimination de la discrimination à l</w:t>
      </w:r>
      <w:r w:rsidR="00FC0C0B">
        <w:rPr>
          <w:lang w:val="fr-FR"/>
        </w:rPr>
        <w:t>’</w:t>
      </w:r>
      <w:r>
        <w:rPr>
          <w:lang w:val="fr-FR"/>
        </w:rPr>
        <w:t xml:space="preserve">égard des femmes </w:t>
      </w:r>
    </w:p>
    <w:p w14:paraId="1228B04B" w14:textId="3DFFE212" w:rsidR="00AE1CC1" w:rsidRPr="00AE1CC1" w:rsidRDefault="00AE1CC1" w:rsidP="00AE1CC1">
      <w:pPr>
        <w:pStyle w:val="SingleTxt"/>
        <w:spacing w:after="0" w:line="120" w:lineRule="exact"/>
        <w:rPr>
          <w:sz w:val="10"/>
          <w:lang w:val="fr-FR"/>
        </w:rPr>
      </w:pPr>
    </w:p>
    <w:p w14:paraId="7A3B5054" w14:textId="5085A106" w:rsidR="00AE1CC1" w:rsidRPr="00AE1CC1" w:rsidRDefault="00AE1CC1" w:rsidP="00AE1CC1">
      <w:pPr>
        <w:pStyle w:val="SingleTxt"/>
        <w:spacing w:after="0" w:line="120" w:lineRule="exact"/>
        <w:rPr>
          <w:sz w:val="10"/>
          <w:lang w:val="fr-FR"/>
        </w:rPr>
      </w:pPr>
    </w:p>
    <w:p w14:paraId="55BE0E8A" w14:textId="77777777" w:rsidR="00AE1CC1" w:rsidRPr="00D37EE9" w:rsidRDefault="00AE1CC1" w:rsidP="00AE1CC1">
      <w:pPr>
        <w:pStyle w:val="SingleTxt"/>
        <w:spacing w:after="0" w:line="120" w:lineRule="exact"/>
        <w:rPr>
          <w:sz w:val="10"/>
          <w:lang w:val="fr-FR"/>
        </w:rPr>
      </w:pPr>
    </w:p>
    <w:p w14:paraId="77409FEB" w14:textId="77DEE66D" w:rsidR="00AE1CC1" w:rsidRPr="00D37EE9" w:rsidRDefault="00AE1CC1" w:rsidP="00AE1CC1">
      <w:pPr>
        <w:pStyle w:val="TitleHCH"/>
        <w:ind w:right="1260"/>
        <w:rPr>
          <w:b w:val="0"/>
          <w:bCs/>
          <w:sz w:val="20"/>
          <w:lang w:val="fr-FR"/>
        </w:rPr>
      </w:pPr>
      <w:r>
        <w:rPr>
          <w:lang w:val="fr-FR"/>
        </w:rPr>
        <w:tab/>
      </w:r>
      <w:r>
        <w:rPr>
          <w:lang w:val="fr-FR"/>
        </w:rPr>
        <w:tab/>
        <w:t>Renseignements reçus d</w:t>
      </w:r>
      <w:r w:rsidR="00FC0C0B">
        <w:rPr>
          <w:lang w:val="fr-FR"/>
        </w:rPr>
        <w:t>’</w:t>
      </w:r>
      <w:r>
        <w:rPr>
          <w:lang w:val="fr-FR"/>
        </w:rPr>
        <w:t xml:space="preserve">Oman au sujet de la suite donnée aux observations finales concernant son </w:t>
      </w:r>
      <w:bookmarkStart w:id="1" w:name="_Hlk42529173"/>
      <w:r>
        <w:rPr>
          <w:lang w:val="fr-FR"/>
        </w:rPr>
        <w:t>rapport valant deuxième et troisième rapports périodiques</w:t>
      </w:r>
      <w:bookmarkEnd w:id="1"/>
      <w:r w:rsidRPr="00AE1CC1">
        <w:rPr>
          <w:b w:val="0"/>
          <w:bCs/>
          <w:sz w:val="20"/>
          <w:szCs w:val="20"/>
          <w:lang w:val="fr-FR"/>
        </w:rPr>
        <w:t>*</w:t>
      </w:r>
    </w:p>
    <w:p w14:paraId="0543E7C5" w14:textId="77777777" w:rsidR="00AE1CC1" w:rsidRPr="00D37EE9" w:rsidRDefault="00AE1CC1" w:rsidP="00AE1CC1">
      <w:pPr>
        <w:pStyle w:val="SingleTxt"/>
        <w:spacing w:after="0" w:line="120" w:lineRule="exact"/>
        <w:rPr>
          <w:sz w:val="10"/>
          <w:lang w:val="fr-FR"/>
        </w:rPr>
      </w:pPr>
    </w:p>
    <w:p w14:paraId="191F2B8A" w14:textId="77777777" w:rsidR="00AE1CC1" w:rsidRPr="00D37EE9" w:rsidRDefault="00AE1CC1" w:rsidP="00AE1CC1">
      <w:pPr>
        <w:pStyle w:val="SingleTxt"/>
        <w:spacing w:after="0" w:line="120" w:lineRule="exact"/>
        <w:rPr>
          <w:sz w:val="10"/>
          <w:lang w:val="fr-FR"/>
        </w:rPr>
      </w:pPr>
    </w:p>
    <w:p w14:paraId="2928D6C8" w14:textId="77B405E7" w:rsidR="00AE1CC1" w:rsidRPr="00AE1CC1" w:rsidRDefault="00AE1CC1" w:rsidP="00AE1CC1">
      <w:pPr>
        <w:framePr w:w="9792" w:h="432" w:hSpace="180" w:wrap="around" w:vAnchor="page" w:hAnchor="page" w:x="1249" w:y="1380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2C1E185D" wp14:editId="2D31D549">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1553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Pr>
          <w:lang w:val="fr-FR"/>
        </w:rPr>
        <w:t>La version originale du présent document n</w:t>
      </w:r>
      <w:r w:rsidR="00FC0C0B">
        <w:rPr>
          <w:lang w:val="fr-FR"/>
        </w:rPr>
        <w:t>’</w:t>
      </w:r>
      <w:r>
        <w:rPr>
          <w:lang w:val="fr-FR"/>
        </w:rPr>
        <w:t>a pas été revue par les services d</w:t>
      </w:r>
      <w:r w:rsidR="00FC0C0B">
        <w:rPr>
          <w:lang w:val="fr-FR"/>
        </w:rPr>
        <w:t>’</w:t>
      </w:r>
      <w:r>
        <w:rPr>
          <w:lang w:val="fr-FR"/>
        </w:rPr>
        <w:t>édition.</w:t>
      </w:r>
    </w:p>
    <w:p w14:paraId="2AD1DC18" w14:textId="44B6EC00" w:rsidR="00AE1CC1" w:rsidRPr="008B1A95" w:rsidRDefault="00AE1CC1" w:rsidP="00AE1CC1">
      <w:pPr>
        <w:pStyle w:val="SingleTxt"/>
        <w:jc w:val="right"/>
        <w:rPr>
          <w:lang w:val="fr-FR"/>
        </w:rPr>
      </w:pPr>
      <w:r w:rsidRPr="008B1A95">
        <w:rPr>
          <w:lang w:val="fr-FR"/>
        </w:rPr>
        <w:t>[Date de réception</w:t>
      </w:r>
      <w:r w:rsidR="00FC0C0B">
        <w:rPr>
          <w:lang w:val="fr-FR"/>
        </w:rPr>
        <w:t> :</w:t>
      </w:r>
      <w:r w:rsidRPr="008B1A95">
        <w:rPr>
          <w:lang w:val="fr-FR"/>
        </w:rPr>
        <w:t xml:space="preserve"> 25 mars 2020]</w:t>
      </w:r>
    </w:p>
    <w:p w14:paraId="4FF54994" w14:textId="77777777" w:rsidR="00AE1CC1" w:rsidRPr="008B1A95" w:rsidRDefault="00AE1CC1" w:rsidP="00AE1CC1">
      <w:pPr>
        <w:spacing w:after="120"/>
        <w:rPr>
          <w:spacing w:val="0"/>
          <w:w w:val="100"/>
          <w:lang w:val="fr-FR"/>
        </w:rPr>
      </w:pPr>
    </w:p>
    <w:p w14:paraId="101489D6" w14:textId="77777777" w:rsidR="00AE1CC1" w:rsidRPr="008B1A95" w:rsidRDefault="00AE1CC1" w:rsidP="00AE1CC1">
      <w:pPr>
        <w:spacing w:line="240" w:lineRule="auto"/>
        <w:rPr>
          <w:spacing w:val="0"/>
          <w:w w:val="100"/>
          <w:lang w:val="fr-FR"/>
        </w:rPr>
      </w:pPr>
      <w:r w:rsidRPr="008B1A95">
        <w:rPr>
          <w:spacing w:val="0"/>
          <w:w w:val="100"/>
          <w:lang w:val="fr-FR"/>
        </w:rPr>
        <w:br w:type="page"/>
      </w:r>
    </w:p>
    <w:p w14:paraId="7EF88CC3" w14:textId="2B6AAEFB" w:rsidR="00AE1CC1" w:rsidRDefault="00C20393" w:rsidP="00C203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lastRenderedPageBreak/>
        <w:tab/>
      </w:r>
      <w:r>
        <w:rPr>
          <w:w w:val="100"/>
          <w:lang w:val="fr-FR"/>
        </w:rPr>
        <w:tab/>
      </w:r>
      <w:r w:rsidR="00AE1CC1" w:rsidRPr="00AE1CC1">
        <w:rPr>
          <w:w w:val="100"/>
          <w:lang w:val="fr-FR"/>
        </w:rPr>
        <w:t>M</w:t>
      </w:r>
      <w:r w:rsidR="00AE1CC1" w:rsidRPr="008C1088">
        <w:rPr>
          <w:w w:val="100"/>
          <w:lang w:val="fr-FR"/>
        </w:rPr>
        <w:t>esures prises pour donner s</w:t>
      </w:r>
      <w:r w:rsidR="00AE1CC1">
        <w:rPr>
          <w:w w:val="100"/>
          <w:lang w:val="fr-FR"/>
        </w:rPr>
        <w:t xml:space="preserve">uite aux recommandations énoncées aux paragraphes </w:t>
      </w:r>
      <w:r w:rsidR="00AE1CC1" w:rsidRPr="008C1088">
        <w:rPr>
          <w:w w:val="100"/>
          <w:lang w:val="fr-FR"/>
        </w:rPr>
        <w:t xml:space="preserve">10 a), 16 a), 24 a) </w:t>
      </w:r>
      <w:r w:rsidR="00AE1CC1">
        <w:rPr>
          <w:w w:val="100"/>
          <w:lang w:val="fr-FR"/>
        </w:rPr>
        <w:t>et</w:t>
      </w:r>
      <w:r w:rsidR="00AE1CC1" w:rsidRPr="008C1088">
        <w:rPr>
          <w:w w:val="100"/>
          <w:lang w:val="fr-FR"/>
        </w:rPr>
        <w:t xml:space="preserve"> 40 b)</w:t>
      </w:r>
      <w:r w:rsidR="00AE1CC1">
        <w:rPr>
          <w:w w:val="100"/>
          <w:lang w:val="fr-FR"/>
        </w:rPr>
        <w:t xml:space="preserve"> des observations finales </w:t>
      </w:r>
      <w:r w:rsidR="00AE1CC1" w:rsidRPr="008C1088">
        <w:rPr>
          <w:w w:val="100"/>
          <w:lang w:val="fr-FR"/>
        </w:rPr>
        <w:t>concernant le rapport valant deuxième à troisième rapports périodiques d</w:t>
      </w:r>
      <w:r w:rsidR="00FC0C0B">
        <w:rPr>
          <w:w w:val="100"/>
          <w:lang w:val="fr-FR"/>
        </w:rPr>
        <w:t>’</w:t>
      </w:r>
      <w:r w:rsidR="00AE1CC1" w:rsidRPr="008C1088">
        <w:rPr>
          <w:w w:val="100"/>
          <w:lang w:val="fr-FR"/>
        </w:rPr>
        <w:t>Oman</w:t>
      </w:r>
    </w:p>
    <w:p w14:paraId="05EC8D73" w14:textId="5EFB372A" w:rsidR="00C20393" w:rsidRPr="00C20393" w:rsidRDefault="00C20393" w:rsidP="00C20393">
      <w:pPr>
        <w:pStyle w:val="SingleTxt"/>
        <w:spacing w:after="0" w:line="120" w:lineRule="exact"/>
        <w:rPr>
          <w:sz w:val="10"/>
          <w:lang w:val="fr-FR"/>
        </w:rPr>
      </w:pPr>
    </w:p>
    <w:p w14:paraId="66801D8C" w14:textId="5BFA7526" w:rsidR="00C20393" w:rsidRPr="00C20393" w:rsidRDefault="00C20393" w:rsidP="00C20393">
      <w:pPr>
        <w:pStyle w:val="SingleTxt"/>
        <w:spacing w:after="0" w:line="120" w:lineRule="exact"/>
        <w:rPr>
          <w:sz w:val="10"/>
          <w:lang w:val="fr-FR"/>
        </w:rPr>
      </w:pPr>
    </w:p>
    <w:p w14:paraId="203D139F" w14:textId="133612C7" w:rsidR="00AE1CC1" w:rsidRDefault="00AE1CC1" w:rsidP="00C20393">
      <w:pPr>
        <w:pStyle w:val="SingleTxt"/>
        <w:rPr>
          <w:w w:val="100"/>
          <w:lang w:val="fr-FR"/>
        </w:rPr>
      </w:pPr>
      <w:r w:rsidRPr="009929F4">
        <w:rPr>
          <w:w w:val="100"/>
          <w:lang w:val="fr-FR"/>
        </w:rPr>
        <w:tab/>
        <w:t>Le Sultanat d</w:t>
      </w:r>
      <w:r w:rsidR="00FC0C0B">
        <w:rPr>
          <w:w w:val="100"/>
          <w:lang w:val="fr-FR"/>
        </w:rPr>
        <w:t>’</w:t>
      </w:r>
      <w:r w:rsidRPr="009929F4">
        <w:rPr>
          <w:w w:val="100"/>
          <w:lang w:val="fr-FR"/>
        </w:rPr>
        <w:t>Oman</w:t>
      </w:r>
      <w:r>
        <w:rPr>
          <w:w w:val="100"/>
          <w:lang w:val="fr-FR"/>
        </w:rPr>
        <w:t xml:space="preserve"> a donné suite aux observations finales</w:t>
      </w:r>
      <w:r w:rsidR="00405D8A">
        <w:rPr>
          <w:w w:val="100"/>
          <w:lang w:val="fr-FR"/>
        </w:rPr>
        <w:t xml:space="preserve"> </w:t>
      </w:r>
      <w:r w:rsidRPr="009929F4">
        <w:rPr>
          <w:w w:val="100"/>
          <w:lang w:val="fr-FR"/>
        </w:rPr>
        <w:t xml:space="preserve">concernant le rapport valant deuxième à troisième rapports périodiques </w:t>
      </w:r>
      <w:r>
        <w:rPr>
          <w:w w:val="100"/>
          <w:lang w:val="fr-FR"/>
        </w:rPr>
        <w:t xml:space="preserve">et aux recommandations y relatives. Le </w:t>
      </w:r>
      <w:r w:rsidRPr="00166F4A">
        <w:rPr>
          <w:w w:val="100"/>
          <w:lang w:val="fr-FR"/>
        </w:rPr>
        <w:t>Comité pour l</w:t>
      </w:r>
      <w:r w:rsidR="00FC0C0B">
        <w:rPr>
          <w:w w:val="100"/>
          <w:lang w:val="fr-FR"/>
        </w:rPr>
        <w:t>’</w:t>
      </w:r>
      <w:r w:rsidRPr="00166F4A">
        <w:rPr>
          <w:w w:val="100"/>
          <w:lang w:val="fr-FR"/>
        </w:rPr>
        <w:t>élimination de la discrimination à l</w:t>
      </w:r>
      <w:r w:rsidR="00FC0C0B">
        <w:rPr>
          <w:w w:val="100"/>
          <w:lang w:val="fr-FR"/>
        </w:rPr>
        <w:t>’</w:t>
      </w:r>
      <w:r w:rsidRPr="00166F4A">
        <w:rPr>
          <w:w w:val="100"/>
          <w:lang w:val="fr-FR"/>
        </w:rPr>
        <w:t xml:space="preserve">égard des femmes </w:t>
      </w:r>
      <w:r>
        <w:rPr>
          <w:w w:val="100"/>
          <w:lang w:val="fr-FR"/>
        </w:rPr>
        <w:t>a examiné ce rapport le 3 novembre 2017, à ses 1548</w:t>
      </w:r>
      <w:r w:rsidRPr="00166F4A">
        <w:rPr>
          <w:w w:val="100"/>
          <w:vertAlign w:val="superscript"/>
          <w:lang w:val="fr-FR"/>
        </w:rPr>
        <w:t>e</w:t>
      </w:r>
      <w:r>
        <w:rPr>
          <w:w w:val="100"/>
          <w:lang w:val="fr-FR"/>
        </w:rPr>
        <w:t xml:space="preserve"> et 1549</w:t>
      </w:r>
      <w:r w:rsidRPr="00166F4A">
        <w:rPr>
          <w:w w:val="100"/>
          <w:vertAlign w:val="superscript"/>
          <w:lang w:val="fr-FR"/>
        </w:rPr>
        <w:t>e</w:t>
      </w:r>
      <w:r>
        <w:rPr>
          <w:w w:val="100"/>
          <w:lang w:val="fr-FR"/>
        </w:rPr>
        <w:t xml:space="preserve"> séances. Après avoir pris connaissance des observations finales, le </w:t>
      </w:r>
      <w:r w:rsidRPr="00166F4A">
        <w:rPr>
          <w:w w:val="100"/>
          <w:lang w:val="fr-FR"/>
        </w:rPr>
        <w:t>Ministère du développement social</w:t>
      </w:r>
      <w:r>
        <w:rPr>
          <w:w w:val="100"/>
          <w:lang w:val="fr-FR"/>
        </w:rPr>
        <w:t>, par l</w:t>
      </w:r>
      <w:r w:rsidR="00FC0C0B">
        <w:rPr>
          <w:w w:val="100"/>
          <w:lang w:val="fr-FR"/>
        </w:rPr>
        <w:t>’</w:t>
      </w:r>
      <w:r>
        <w:rPr>
          <w:w w:val="100"/>
          <w:lang w:val="fr-FR"/>
        </w:rPr>
        <w:t xml:space="preserve">intermédiaire du </w:t>
      </w:r>
      <w:r w:rsidRPr="00166F4A">
        <w:rPr>
          <w:w w:val="100"/>
          <w:lang w:val="fr-FR"/>
        </w:rPr>
        <w:t>Comité de suivi chargé de l</w:t>
      </w:r>
      <w:r w:rsidR="00FC0C0B">
        <w:rPr>
          <w:w w:val="100"/>
          <w:lang w:val="fr-FR"/>
        </w:rPr>
        <w:t>’</w:t>
      </w:r>
      <w:r w:rsidRPr="00166F4A">
        <w:rPr>
          <w:w w:val="100"/>
          <w:lang w:val="fr-FR"/>
        </w:rPr>
        <w:t>application de la Convention</w:t>
      </w:r>
      <w:r>
        <w:rPr>
          <w:w w:val="100"/>
          <w:lang w:val="fr-FR"/>
        </w:rPr>
        <w:t>, a mis en place un plan d</w:t>
      </w:r>
      <w:r w:rsidR="00FC0C0B">
        <w:rPr>
          <w:w w:val="100"/>
          <w:lang w:val="fr-FR"/>
        </w:rPr>
        <w:t>’</w:t>
      </w:r>
      <w:r>
        <w:rPr>
          <w:w w:val="100"/>
          <w:lang w:val="fr-FR"/>
        </w:rPr>
        <w:t>action en vue de donner suite à ces observations. Ce plan d</w:t>
      </w:r>
      <w:r w:rsidR="00FC0C0B">
        <w:rPr>
          <w:w w:val="100"/>
          <w:lang w:val="fr-FR"/>
        </w:rPr>
        <w:t>’</w:t>
      </w:r>
      <w:r>
        <w:rPr>
          <w:w w:val="100"/>
          <w:lang w:val="fr-FR"/>
        </w:rPr>
        <w:t>action a été présenté au Conseil des ministres, qui l</w:t>
      </w:r>
      <w:r w:rsidR="00FC0C0B">
        <w:rPr>
          <w:w w:val="100"/>
          <w:lang w:val="fr-FR"/>
        </w:rPr>
        <w:t>’</w:t>
      </w:r>
      <w:r>
        <w:rPr>
          <w:w w:val="100"/>
          <w:lang w:val="fr-FR"/>
        </w:rPr>
        <w:t>a examiné en son audience n</w:t>
      </w:r>
      <w:r w:rsidRPr="00706E9A">
        <w:rPr>
          <w:w w:val="100"/>
          <w:vertAlign w:val="superscript"/>
          <w:lang w:val="fr-FR"/>
        </w:rPr>
        <w:t>o</w:t>
      </w:r>
      <w:r w:rsidR="00C53301">
        <w:rPr>
          <w:w w:val="100"/>
          <w:lang w:val="fr-FR"/>
        </w:rPr>
        <w:t> </w:t>
      </w:r>
      <w:r>
        <w:rPr>
          <w:w w:val="100"/>
          <w:lang w:val="fr-FR"/>
        </w:rPr>
        <w:t xml:space="preserve">13/2018, tenue le 22 avril 2018. Le Conseil des ministres a réaffirmé que le Sultanat était </w:t>
      </w:r>
      <w:r w:rsidRPr="003E7AF6">
        <w:rPr>
          <w:w w:val="100"/>
          <w:lang w:val="fr-FR"/>
        </w:rPr>
        <w:t>déterminé à honorer les engagements pris au titre de la Convention et a décidé de diffuser les observations finales auprès des unités concernées de l</w:t>
      </w:r>
      <w:r w:rsidR="00FC0C0B">
        <w:rPr>
          <w:w w:val="100"/>
          <w:lang w:val="fr-FR"/>
        </w:rPr>
        <w:t>’</w:t>
      </w:r>
      <w:r w:rsidRPr="003E7AF6">
        <w:rPr>
          <w:w w:val="100"/>
          <w:lang w:val="fr-FR"/>
        </w:rPr>
        <w:t>appareil administratif et des organes judiciaires et législatifs afin que les mesures voulues soient prises selon un calendrier</w:t>
      </w:r>
      <w:r>
        <w:rPr>
          <w:w w:val="100"/>
          <w:lang w:val="fr-FR"/>
        </w:rPr>
        <w:t xml:space="preserve"> défini. </w:t>
      </w:r>
    </w:p>
    <w:p w14:paraId="62267B20" w14:textId="5E4A771F" w:rsidR="00AE1CC1" w:rsidRPr="005F032C" w:rsidRDefault="00AE1CC1" w:rsidP="00C20393">
      <w:pPr>
        <w:pStyle w:val="SingleTxt"/>
        <w:rPr>
          <w:w w:val="100"/>
          <w:lang w:val="fr-FR"/>
        </w:rPr>
      </w:pPr>
      <w:r>
        <w:rPr>
          <w:w w:val="100"/>
          <w:lang w:val="fr-FR"/>
        </w:rPr>
        <w:tab/>
        <w:t>À cet égard, le Ministère du développement social s</w:t>
      </w:r>
      <w:r w:rsidR="00FC0C0B">
        <w:rPr>
          <w:w w:val="100"/>
          <w:lang w:val="fr-FR"/>
        </w:rPr>
        <w:t>’</w:t>
      </w:r>
      <w:r>
        <w:rPr>
          <w:w w:val="100"/>
          <w:lang w:val="fr-FR"/>
        </w:rPr>
        <w:t xml:space="preserve">est employé, en 2018 et 2019, à communiquer avec les ministères et les organismes publics pour assurer le suivi des mesures prises par ces entités pour donner suite aux </w:t>
      </w:r>
      <w:r w:rsidRPr="005F032C">
        <w:rPr>
          <w:w w:val="100"/>
          <w:lang w:val="fr-FR"/>
        </w:rPr>
        <w:t>observations finales et aux recommandations y relatives. Il a été fait ce qui suit</w:t>
      </w:r>
      <w:r w:rsidR="00FC0C0B">
        <w:rPr>
          <w:w w:val="100"/>
          <w:lang w:val="fr-FR"/>
        </w:rPr>
        <w:t> :</w:t>
      </w:r>
    </w:p>
    <w:p w14:paraId="794E5596" w14:textId="67938C61" w:rsidR="00AE1CC1" w:rsidRPr="00057214" w:rsidRDefault="00AE1CC1" w:rsidP="00C20393">
      <w:pPr>
        <w:pStyle w:val="SingleTxt"/>
        <w:numPr>
          <w:ilvl w:val="0"/>
          <w:numId w:val="30"/>
        </w:numPr>
        <w:spacing w:line="240" w:lineRule="exact"/>
        <w:ind w:left="1267" w:firstLine="0"/>
        <w:rPr>
          <w:lang w:val="fr-FR"/>
        </w:rPr>
      </w:pPr>
      <w:r w:rsidRPr="00057214">
        <w:rPr>
          <w:lang w:val="fr-FR"/>
        </w:rPr>
        <w:t>Le 25 décembre 2017, le Ministère du développement social et le Conseil judiciaire administratif ont participé en présence des parties prenantes à une table ronde consacrée aux questions sociales et familiales. L</w:t>
      </w:r>
      <w:r w:rsidR="00FC0C0B">
        <w:rPr>
          <w:lang w:val="fr-FR"/>
        </w:rPr>
        <w:t>’</w:t>
      </w:r>
      <w:r w:rsidRPr="00057214">
        <w:rPr>
          <w:lang w:val="fr-FR"/>
        </w:rPr>
        <w:t>objectif était d</w:t>
      </w:r>
      <w:r w:rsidR="00FC0C0B">
        <w:rPr>
          <w:lang w:val="fr-FR"/>
        </w:rPr>
        <w:t>’</w:t>
      </w:r>
      <w:r w:rsidRPr="00057214">
        <w:rPr>
          <w:lang w:val="fr-FR"/>
        </w:rPr>
        <w:t>examiner et d</w:t>
      </w:r>
      <w:r w:rsidR="00FC0C0B">
        <w:rPr>
          <w:lang w:val="fr-FR"/>
        </w:rPr>
        <w:t>’</w:t>
      </w:r>
      <w:r w:rsidRPr="00057214">
        <w:rPr>
          <w:lang w:val="fr-FR"/>
        </w:rPr>
        <w:t>aborder les problèmes et sujets relatifs aux questions familiales dont les juridictions compétentes étaient saisies en vue de définir un projet conforme à la législation en vigueur dans le Sultanat et aux conventions auxquelles Oman a adhéré, tout particulièrement à la Convention sur l</w:t>
      </w:r>
      <w:r w:rsidR="00FC0C0B">
        <w:rPr>
          <w:lang w:val="fr-FR"/>
        </w:rPr>
        <w:t>’</w:t>
      </w:r>
      <w:r w:rsidRPr="00057214">
        <w:rPr>
          <w:lang w:val="fr-FR"/>
        </w:rPr>
        <w:t>élimination de toutes les formes de discrimination à l</w:t>
      </w:r>
      <w:r w:rsidR="00FC0C0B">
        <w:rPr>
          <w:lang w:val="fr-FR"/>
        </w:rPr>
        <w:t>’</w:t>
      </w:r>
      <w:r w:rsidRPr="00057214">
        <w:rPr>
          <w:lang w:val="fr-FR"/>
        </w:rPr>
        <w:t>égard des femmes. À cette occasion, les principales difficultés rencontrées dans l</w:t>
      </w:r>
      <w:r w:rsidR="00FC0C0B">
        <w:rPr>
          <w:lang w:val="fr-FR"/>
        </w:rPr>
        <w:t>’</w:t>
      </w:r>
      <w:r w:rsidRPr="00057214">
        <w:rPr>
          <w:lang w:val="fr-FR"/>
        </w:rPr>
        <w:t>application de certaines décisions rendues par les juridictions compétentes</w:t>
      </w:r>
      <w:r w:rsidR="00405D8A">
        <w:rPr>
          <w:lang w:val="fr-FR"/>
        </w:rPr>
        <w:t xml:space="preserve"> </w:t>
      </w:r>
      <w:r w:rsidRPr="00057214">
        <w:rPr>
          <w:lang w:val="fr-FR"/>
        </w:rPr>
        <w:t>et les problèmes que cela pose pour le renvoi de certaines affaires ont été abordés. La table ronde visait également à faire connaître aux magistrats et à l</w:t>
      </w:r>
      <w:r w:rsidR="00FC0C0B">
        <w:rPr>
          <w:lang w:val="fr-FR"/>
        </w:rPr>
        <w:t>’</w:t>
      </w:r>
      <w:r w:rsidRPr="00057214">
        <w:rPr>
          <w:lang w:val="fr-FR"/>
        </w:rPr>
        <w:t>ensemble du personnel de l</w:t>
      </w:r>
      <w:r w:rsidR="00FC0C0B">
        <w:rPr>
          <w:lang w:val="fr-FR"/>
        </w:rPr>
        <w:t>’</w:t>
      </w:r>
      <w:r w:rsidRPr="00057214">
        <w:rPr>
          <w:lang w:val="fr-FR"/>
        </w:rPr>
        <w:t>appareil judiciaire</w:t>
      </w:r>
      <w:r w:rsidR="00405D8A">
        <w:rPr>
          <w:lang w:val="fr-FR"/>
        </w:rPr>
        <w:t xml:space="preserve"> </w:t>
      </w:r>
      <w:r w:rsidRPr="00057214">
        <w:rPr>
          <w:lang w:val="fr-FR"/>
        </w:rPr>
        <w:t>les conventions internationales qui concernent les activités menées par le Ministère du développement social (Convention sur l</w:t>
      </w:r>
      <w:r w:rsidR="00FC0C0B">
        <w:rPr>
          <w:lang w:val="fr-FR"/>
        </w:rPr>
        <w:t>’</w:t>
      </w:r>
      <w:r w:rsidRPr="00057214">
        <w:rPr>
          <w:lang w:val="fr-FR"/>
        </w:rPr>
        <w:t>élimination de toutes les formes de discrimination à l</w:t>
      </w:r>
      <w:r w:rsidR="00FC0C0B">
        <w:rPr>
          <w:lang w:val="fr-FR"/>
        </w:rPr>
        <w:t>’</w:t>
      </w:r>
      <w:r w:rsidRPr="00057214">
        <w:rPr>
          <w:lang w:val="fr-FR"/>
        </w:rPr>
        <w:t>égard des femmes, la Convention relative aux droits de l</w:t>
      </w:r>
      <w:r w:rsidR="00FC0C0B">
        <w:rPr>
          <w:lang w:val="fr-FR"/>
        </w:rPr>
        <w:t>’</w:t>
      </w:r>
      <w:r w:rsidRPr="00057214">
        <w:rPr>
          <w:lang w:val="fr-FR"/>
        </w:rPr>
        <w:t>enfant et la Convention relative aux droits des personnes handicapées). Elle a réuni 120 participantes et participants, dont des magistrats, des greffiers, des représentants du Ministère de la justice, du ministère public et de la police du Sultanat, des spécialistes de plusieurs ministères et des membres de comités chargés de questions relatives à la</w:t>
      </w:r>
      <w:r w:rsidR="00405D8A">
        <w:rPr>
          <w:lang w:val="fr-FR"/>
        </w:rPr>
        <w:t xml:space="preserve"> </w:t>
      </w:r>
      <w:r w:rsidRPr="00057214">
        <w:rPr>
          <w:lang w:val="fr-FR"/>
        </w:rPr>
        <w:t>Convention sur l</w:t>
      </w:r>
      <w:r w:rsidR="00FC0C0B">
        <w:rPr>
          <w:lang w:val="fr-FR"/>
        </w:rPr>
        <w:t>’</w:t>
      </w:r>
      <w:r w:rsidRPr="00057214">
        <w:rPr>
          <w:lang w:val="fr-FR"/>
        </w:rPr>
        <w:t>élimination de toutes les formes de discrimination à l</w:t>
      </w:r>
      <w:r w:rsidR="00FC0C0B">
        <w:rPr>
          <w:lang w:val="fr-FR"/>
        </w:rPr>
        <w:t>’</w:t>
      </w:r>
      <w:r w:rsidRPr="00057214">
        <w:rPr>
          <w:lang w:val="fr-FR"/>
        </w:rPr>
        <w:t>égard des femmes, à la Convention relative aux droits de l</w:t>
      </w:r>
      <w:r w:rsidR="00FC0C0B">
        <w:rPr>
          <w:lang w:val="fr-FR"/>
        </w:rPr>
        <w:t>’</w:t>
      </w:r>
      <w:r w:rsidRPr="00057214">
        <w:rPr>
          <w:lang w:val="fr-FR"/>
        </w:rPr>
        <w:t>enfant et à la Convention relative aux droits des personnes handicapées.</w:t>
      </w:r>
    </w:p>
    <w:p w14:paraId="3699EDBE" w14:textId="3C90156B" w:rsidR="00AE1CC1" w:rsidRPr="00E027CD" w:rsidRDefault="00AE1CC1" w:rsidP="00C20393">
      <w:pPr>
        <w:pStyle w:val="SingleTxt"/>
        <w:numPr>
          <w:ilvl w:val="0"/>
          <w:numId w:val="30"/>
        </w:numPr>
        <w:spacing w:line="240" w:lineRule="exact"/>
        <w:ind w:left="1267" w:firstLine="0"/>
        <w:rPr>
          <w:lang w:val="fr-FR"/>
        </w:rPr>
      </w:pPr>
      <w:r w:rsidRPr="00E027CD">
        <w:rPr>
          <w:lang w:val="fr-FR"/>
        </w:rPr>
        <w:t>Le 22 décembre 2017, le Comité de suivi chargé de l</w:t>
      </w:r>
      <w:r w:rsidR="00FC0C0B">
        <w:rPr>
          <w:lang w:val="fr-FR"/>
        </w:rPr>
        <w:t>’</w:t>
      </w:r>
      <w:r w:rsidRPr="00E027CD">
        <w:rPr>
          <w:lang w:val="fr-FR"/>
        </w:rPr>
        <w:t>application de la Convention sur l</w:t>
      </w:r>
      <w:r w:rsidR="00FC0C0B">
        <w:rPr>
          <w:lang w:val="fr-FR"/>
        </w:rPr>
        <w:t>’</w:t>
      </w:r>
      <w:r w:rsidRPr="00E027CD">
        <w:rPr>
          <w:lang w:val="fr-FR"/>
        </w:rPr>
        <w:t>élimination de toutes les formes de discrimination à l</w:t>
      </w:r>
      <w:r w:rsidR="00FC0C0B">
        <w:rPr>
          <w:lang w:val="fr-FR"/>
        </w:rPr>
        <w:t>’</w:t>
      </w:r>
      <w:r w:rsidRPr="00E027CD">
        <w:rPr>
          <w:lang w:val="fr-FR"/>
        </w:rPr>
        <w:t>égard des femmes a tenu une troisième réunion, lors de laquelle les observations finales concernant le rapport valant deuxième à troisième rapports périodiques d</w:t>
      </w:r>
      <w:r w:rsidR="00FC0C0B">
        <w:rPr>
          <w:lang w:val="fr-FR"/>
        </w:rPr>
        <w:t>’</w:t>
      </w:r>
      <w:r w:rsidRPr="00E027CD">
        <w:rPr>
          <w:lang w:val="fr-FR"/>
        </w:rPr>
        <w:t>Oman ont été examinées, notamment celles au sujet</w:t>
      </w:r>
      <w:r w:rsidR="00405D8A">
        <w:rPr>
          <w:lang w:val="fr-FR"/>
        </w:rPr>
        <w:t xml:space="preserve"> </w:t>
      </w:r>
      <w:r w:rsidRPr="00E027CD">
        <w:rPr>
          <w:lang w:val="fr-FR"/>
        </w:rPr>
        <w:t>desquelles il a été demandé de communiquer des informations dans un délai de deux ans, ainsi que le plan qu</w:t>
      </w:r>
      <w:r w:rsidR="00FC0C0B">
        <w:rPr>
          <w:lang w:val="fr-FR"/>
        </w:rPr>
        <w:t>’</w:t>
      </w:r>
      <w:r w:rsidRPr="00E027CD">
        <w:rPr>
          <w:lang w:val="fr-FR"/>
        </w:rPr>
        <w:t>il a établi pour y donner suite. Il a décidé ce qui suit</w:t>
      </w:r>
      <w:r w:rsidR="00FC0C0B">
        <w:rPr>
          <w:lang w:val="fr-FR"/>
        </w:rPr>
        <w:t> :</w:t>
      </w:r>
      <w:r w:rsidRPr="00E027CD">
        <w:rPr>
          <w:lang w:val="fr-FR"/>
        </w:rPr>
        <w:t xml:space="preserve"> </w:t>
      </w:r>
    </w:p>
    <w:p w14:paraId="71562D46" w14:textId="4E3086DF" w:rsidR="00AE1CC1" w:rsidRPr="003A6D39" w:rsidRDefault="00C20393" w:rsidP="00C20393">
      <w:pPr>
        <w:pStyle w:val="SingleTxt"/>
        <w:tabs>
          <w:tab w:val="right" w:pos="1685"/>
        </w:tabs>
        <w:ind w:left="1742" w:hanging="475"/>
        <w:rPr>
          <w:w w:val="100"/>
          <w:lang w:val="fr-FR"/>
        </w:rPr>
      </w:pPr>
      <w:r>
        <w:rPr>
          <w:b/>
          <w:bCs/>
          <w:w w:val="100"/>
          <w:lang w:val="fr-FR"/>
        </w:rPr>
        <w:lastRenderedPageBreak/>
        <w:tab/>
      </w:r>
      <w:r w:rsidR="00AE1CC1" w:rsidRPr="003A6D39">
        <w:rPr>
          <w:b/>
          <w:bCs/>
          <w:w w:val="100"/>
          <w:lang w:val="fr-FR"/>
        </w:rPr>
        <w:t>•</w:t>
      </w:r>
      <w:r w:rsidR="00AE1CC1" w:rsidRPr="003A6D39">
        <w:rPr>
          <w:w w:val="100"/>
          <w:lang w:val="fr-FR"/>
        </w:rPr>
        <w:tab/>
        <w:t xml:space="preserve">Soumettre </w:t>
      </w:r>
      <w:r w:rsidR="00AE1CC1">
        <w:rPr>
          <w:w w:val="100"/>
          <w:lang w:val="fr-FR"/>
        </w:rPr>
        <w:t>au Conseil des Ministres</w:t>
      </w:r>
      <w:r w:rsidR="00AE1CC1" w:rsidRPr="003A6D39">
        <w:rPr>
          <w:w w:val="100"/>
          <w:lang w:val="fr-FR"/>
        </w:rPr>
        <w:t xml:space="preserve"> les recommandations </w:t>
      </w:r>
      <w:r w:rsidR="00AE1CC1">
        <w:rPr>
          <w:w w:val="100"/>
          <w:lang w:val="fr-FR"/>
        </w:rPr>
        <w:t>et le plan établi aux fins de l</w:t>
      </w:r>
      <w:r w:rsidR="00FC0C0B">
        <w:rPr>
          <w:w w:val="100"/>
          <w:lang w:val="fr-FR"/>
        </w:rPr>
        <w:t>’</w:t>
      </w:r>
      <w:r w:rsidR="00AE1CC1">
        <w:rPr>
          <w:w w:val="100"/>
          <w:lang w:val="fr-FR"/>
        </w:rPr>
        <w:t xml:space="preserve">application de toutes les recommandations formulées par le </w:t>
      </w:r>
      <w:r w:rsidR="00AE1CC1" w:rsidRPr="00B323AF">
        <w:rPr>
          <w:w w:val="100"/>
          <w:lang w:val="fr-FR"/>
        </w:rPr>
        <w:t>Comité pour l</w:t>
      </w:r>
      <w:r w:rsidR="00FC0C0B">
        <w:rPr>
          <w:w w:val="100"/>
          <w:lang w:val="fr-FR"/>
        </w:rPr>
        <w:t>’</w:t>
      </w:r>
      <w:r w:rsidR="00AE1CC1" w:rsidRPr="00B323AF">
        <w:rPr>
          <w:w w:val="100"/>
          <w:lang w:val="fr-FR"/>
        </w:rPr>
        <w:t>élimination de la discrimination à l</w:t>
      </w:r>
      <w:r w:rsidR="00FC0C0B">
        <w:rPr>
          <w:w w:val="100"/>
          <w:lang w:val="fr-FR"/>
        </w:rPr>
        <w:t>’</w:t>
      </w:r>
      <w:r w:rsidR="00AE1CC1" w:rsidRPr="00B323AF">
        <w:rPr>
          <w:w w:val="100"/>
          <w:lang w:val="fr-FR"/>
        </w:rPr>
        <w:t>égard des femmes</w:t>
      </w:r>
      <w:r w:rsidR="00AE1CC1">
        <w:rPr>
          <w:w w:val="100"/>
          <w:lang w:val="fr-FR"/>
        </w:rPr>
        <w:t> ;</w:t>
      </w:r>
    </w:p>
    <w:p w14:paraId="1213C6FA" w14:textId="087D797E" w:rsidR="00AE1CC1" w:rsidRPr="008E78AB" w:rsidRDefault="00C20393" w:rsidP="00C20393">
      <w:pPr>
        <w:pStyle w:val="SingleTxt"/>
        <w:tabs>
          <w:tab w:val="right" w:pos="1685"/>
        </w:tabs>
        <w:ind w:left="1742" w:hanging="475"/>
        <w:rPr>
          <w:w w:val="100"/>
          <w:lang w:val="fr-FR"/>
        </w:rPr>
      </w:pPr>
      <w:r>
        <w:rPr>
          <w:b/>
          <w:bCs/>
          <w:w w:val="100"/>
          <w:lang w:val="fr-FR"/>
        </w:rPr>
        <w:tab/>
      </w:r>
      <w:r w:rsidR="00AE1CC1" w:rsidRPr="008E78AB">
        <w:rPr>
          <w:b/>
          <w:bCs/>
          <w:w w:val="100"/>
          <w:lang w:val="fr-FR"/>
        </w:rPr>
        <w:t>•</w:t>
      </w:r>
      <w:r w:rsidR="00AE1CC1" w:rsidRPr="008E78AB">
        <w:rPr>
          <w:w w:val="100"/>
          <w:lang w:val="fr-FR"/>
        </w:rPr>
        <w:tab/>
        <w:t xml:space="preserve">Communiquer </w:t>
      </w:r>
      <w:r w:rsidR="00AE1CC1">
        <w:rPr>
          <w:w w:val="100"/>
          <w:lang w:val="fr-FR"/>
        </w:rPr>
        <w:t xml:space="preserve">les </w:t>
      </w:r>
      <w:r w:rsidR="00AE1CC1" w:rsidRPr="008E78AB">
        <w:rPr>
          <w:w w:val="100"/>
          <w:lang w:val="fr-FR"/>
        </w:rPr>
        <w:t>observations finales au Conseil d</w:t>
      </w:r>
      <w:r w:rsidR="00FC0C0B">
        <w:rPr>
          <w:w w:val="100"/>
          <w:lang w:val="fr-FR"/>
        </w:rPr>
        <w:t>’</w:t>
      </w:r>
      <w:r w:rsidR="00AE1CC1">
        <w:rPr>
          <w:w w:val="100"/>
          <w:lang w:val="fr-FR"/>
        </w:rPr>
        <w:t>État et au Conseil de la choura afin que ceux-ci puissent prendre les mesures nécessaires pour y donner suite, chacun dans son domaine de compétence législative et selon leur rôle respectif dans le suivi de la mise en œuvre des conventions internationales que le Sultanat a ratifiées ou auxquelles il a adhéré ;</w:t>
      </w:r>
    </w:p>
    <w:p w14:paraId="1BC511B4" w14:textId="1C053E4D" w:rsidR="00AE1CC1" w:rsidRDefault="00C20393" w:rsidP="00C20393">
      <w:pPr>
        <w:pStyle w:val="SingleTxt"/>
        <w:tabs>
          <w:tab w:val="right" w:pos="1685"/>
        </w:tabs>
        <w:ind w:left="1742" w:hanging="475"/>
        <w:rPr>
          <w:w w:val="100"/>
          <w:lang w:val="fr-FR"/>
        </w:rPr>
      </w:pPr>
      <w:r>
        <w:rPr>
          <w:b/>
          <w:bCs/>
          <w:w w:val="100"/>
          <w:lang w:val="fr-FR"/>
        </w:rPr>
        <w:tab/>
      </w:r>
      <w:r w:rsidR="00AE1CC1" w:rsidRPr="00975726">
        <w:rPr>
          <w:b/>
          <w:bCs/>
          <w:w w:val="100"/>
          <w:lang w:val="fr-FR"/>
        </w:rPr>
        <w:t>•</w:t>
      </w:r>
      <w:r w:rsidR="00AE1CC1" w:rsidRPr="00975726">
        <w:rPr>
          <w:w w:val="100"/>
          <w:lang w:val="fr-FR"/>
        </w:rPr>
        <w:tab/>
        <w:t xml:space="preserve">Demander aux membres du Comité de suivi </w:t>
      </w:r>
      <w:r w:rsidR="00AE1CC1">
        <w:rPr>
          <w:w w:val="100"/>
          <w:lang w:val="fr-FR"/>
        </w:rPr>
        <w:t>de prendre les mesures qui s</w:t>
      </w:r>
      <w:r w:rsidR="00FC0C0B">
        <w:rPr>
          <w:w w:val="100"/>
          <w:lang w:val="fr-FR"/>
        </w:rPr>
        <w:t>’</w:t>
      </w:r>
      <w:r w:rsidR="00AE1CC1">
        <w:rPr>
          <w:w w:val="100"/>
          <w:lang w:val="fr-FR"/>
        </w:rPr>
        <w:t>imposent pour faire appliquer ces recommandations en collaboration avec les parties qu</w:t>
      </w:r>
      <w:r w:rsidR="00FC0C0B">
        <w:rPr>
          <w:w w:val="100"/>
          <w:lang w:val="fr-FR"/>
        </w:rPr>
        <w:t>’</w:t>
      </w:r>
      <w:r w:rsidR="00AE1CC1">
        <w:rPr>
          <w:w w:val="100"/>
          <w:lang w:val="fr-FR"/>
        </w:rPr>
        <w:t xml:space="preserve">ils représentent et de rendre compte des activités menées à cet effet. </w:t>
      </w:r>
    </w:p>
    <w:p w14:paraId="506A8351" w14:textId="315F0353" w:rsidR="00AE1CC1" w:rsidRPr="00E027CD" w:rsidRDefault="00AE1CC1" w:rsidP="00C20393">
      <w:pPr>
        <w:pStyle w:val="SingleTxt"/>
        <w:numPr>
          <w:ilvl w:val="0"/>
          <w:numId w:val="30"/>
        </w:numPr>
        <w:spacing w:line="240" w:lineRule="exact"/>
        <w:ind w:left="1267" w:firstLine="0"/>
        <w:rPr>
          <w:spacing w:val="0"/>
          <w:w w:val="100"/>
          <w:lang w:val="fr-FR"/>
        </w:rPr>
      </w:pPr>
      <w:r w:rsidRPr="00E027CD">
        <w:rPr>
          <w:lang w:val="fr-FR"/>
        </w:rPr>
        <w:t>Le 22 janvier 2018, le Comité de suivi chargé de l</w:t>
      </w:r>
      <w:r w:rsidR="00FC0C0B">
        <w:rPr>
          <w:lang w:val="fr-FR"/>
        </w:rPr>
        <w:t>’</w:t>
      </w:r>
      <w:r w:rsidRPr="00E027CD">
        <w:rPr>
          <w:lang w:val="fr-FR"/>
        </w:rPr>
        <w:t>application de la Convention a tenu sa première réunion de l</w:t>
      </w:r>
      <w:r w:rsidR="00FC0C0B">
        <w:rPr>
          <w:lang w:val="fr-FR"/>
        </w:rPr>
        <w:t>’</w:t>
      </w:r>
      <w:r w:rsidRPr="00E027CD">
        <w:rPr>
          <w:lang w:val="fr-FR"/>
        </w:rPr>
        <w:t>année, lors de laquelle il a passé en revue les observations finales concernant le rapport valant deuxième à troisième rapports périodiques d</w:t>
      </w:r>
      <w:r w:rsidR="00FC0C0B">
        <w:rPr>
          <w:lang w:val="fr-FR"/>
        </w:rPr>
        <w:t>’</w:t>
      </w:r>
      <w:r w:rsidRPr="00E027CD">
        <w:rPr>
          <w:lang w:val="fr-FR"/>
        </w:rPr>
        <w:t>Oman et les moyens d</w:t>
      </w:r>
      <w:r w:rsidR="00FC0C0B">
        <w:rPr>
          <w:lang w:val="fr-FR"/>
        </w:rPr>
        <w:t>’</w:t>
      </w:r>
      <w:r w:rsidRPr="00E027CD">
        <w:rPr>
          <w:lang w:val="fr-FR"/>
        </w:rPr>
        <w:t>assurer le suivi des mesures prises pour y donner suite.</w:t>
      </w:r>
    </w:p>
    <w:p w14:paraId="2B72AD7D" w14:textId="06132AFD" w:rsidR="00AE1CC1" w:rsidRDefault="00AE1CC1" w:rsidP="00C20393">
      <w:pPr>
        <w:pStyle w:val="SingleTxt"/>
        <w:numPr>
          <w:ilvl w:val="0"/>
          <w:numId w:val="30"/>
        </w:numPr>
        <w:spacing w:line="240" w:lineRule="exact"/>
        <w:ind w:left="1267" w:firstLine="0"/>
        <w:rPr>
          <w:lang w:val="fr-FR"/>
        </w:rPr>
      </w:pPr>
      <w:r w:rsidRPr="00E027CD">
        <w:rPr>
          <w:lang w:val="fr-FR"/>
        </w:rPr>
        <w:t>En avril 2018, pour renforcer les capacités des agents du Ministère du développement social chargés des questions relatives aux femmes dans l</w:t>
      </w:r>
      <w:r w:rsidR="00FC0C0B">
        <w:rPr>
          <w:lang w:val="fr-FR"/>
        </w:rPr>
        <w:t>’</w:t>
      </w:r>
      <w:r w:rsidRPr="00E027CD">
        <w:rPr>
          <w:lang w:val="fr-FR"/>
        </w:rPr>
        <w:t>ensemble des provinces, par l</w:t>
      </w:r>
      <w:r w:rsidR="00FC0C0B">
        <w:rPr>
          <w:lang w:val="fr-FR"/>
        </w:rPr>
        <w:t>’</w:t>
      </w:r>
      <w:r w:rsidRPr="00E027CD">
        <w:rPr>
          <w:lang w:val="fr-FR"/>
        </w:rPr>
        <w:t>intermédiaire du</w:t>
      </w:r>
      <w:r w:rsidR="00405D8A">
        <w:rPr>
          <w:lang w:val="fr-FR"/>
        </w:rPr>
        <w:t xml:space="preserve"> </w:t>
      </w:r>
      <w:r w:rsidRPr="00E027CD">
        <w:rPr>
          <w:lang w:val="fr-FR"/>
        </w:rPr>
        <w:t>Département des affaires féminines et en coopération avec le bureau sous-régional du Fonds des Nations Unies pour la population, le Ministère a organisé un stage de formation sur les questions relatives aux femmes et les solutions à apporter dans le cadre des programmes et des activités menés.</w:t>
      </w:r>
    </w:p>
    <w:p w14:paraId="406270EB" w14:textId="1C7B220E" w:rsidR="00AE1CC1" w:rsidRPr="00480C0F" w:rsidRDefault="00AE1CC1" w:rsidP="00C53301">
      <w:pPr>
        <w:pStyle w:val="SingleTxt"/>
        <w:numPr>
          <w:ilvl w:val="0"/>
          <w:numId w:val="30"/>
        </w:numPr>
        <w:spacing w:line="240" w:lineRule="exact"/>
        <w:ind w:left="1267" w:firstLine="0"/>
        <w:rPr>
          <w:lang w:val="fr-FR"/>
        </w:rPr>
      </w:pPr>
      <w:r w:rsidRPr="00480C0F">
        <w:rPr>
          <w:lang w:val="fr-FR"/>
        </w:rPr>
        <w:t>En mai 2018, le Ministère du développement social, représenté par le Département des affaires féminines, a organisé un atelier, en coopération avec la Commission économique et sociale pour l</w:t>
      </w:r>
      <w:r w:rsidR="00FC0C0B">
        <w:rPr>
          <w:lang w:val="fr-FR"/>
        </w:rPr>
        <w:t>’</w:t>
      </w:r>
      <w:r w:rsidRPr="00480C0F">
        <w:rPr>
          <w:lang w:val="fr-FR"/>
        </w:rPr>
        <w:t>Asie occidentale (CESAO), au sujet de la prise en compte de l</w:t>
      </w:r>
      <w:r w:rsidR="00FC0C0B">
        <w:rPr>
          <w:lang w:val="fr-FR"/>
        </w:rPr>
        <w:t>’</w:t>
      </w:r>
      <w:r w:rsidRPr="00480C0F">
        <w:rPr>
          <w:lang w:val="fr-FR"/>
        </w:rPr>
        <w:t>objectif de développement durable n</w:t>
      </w:r>
      <w:r w:rsidRPr="00480C0F">
        <w:rPr>
          <w:vertAlign w:val="superscript"/>
          <w:lang w:val="fr-FR"/>
        </w:rPr>
        <w:t>o</w:t>
      </w:r>
      <w:r w:rsidR="00C53301">
        <w:rPr>
          <w:lang w:val="fr-FR"/>
        </w:rPr>
        <w:t> </w:t>
      </w:r>
      <w:r w:rsidRPr="00480C0F">
        <w:rPr>
          <w:lang w:val="fr-FR"/>
        </w:rPr>
        <w:t>5 dans les stratégies et plans nationaux à l</w:t>
      </w:r>
      <w:r w:rsidR="00FC0C0B">
        <w:rPr>
          <w:lang w:val="fr-FR"/>
        </w:rPr>
        <w:t>’</w:t>
      </w:r>
      <w:r w:rsidRPr="00480C0F">
        <w:rPr>
          <w:lang w:val="fr-FR"/>
        </w:rPr>
        <w:t>intention des organismes publics et des organisations de la société civile.</w:t>
      </w:r>
    </w:p>
    <w:p w14:paraId="69137A64" w14:textId="3AD62AAF" w:rsidR="00AE1CC1" w:rsidRPr="00480C0F" w:rsidRDefault="00AE1CC1" w:rsidP="00C20393">
      <w:pPr>
        <w:pStyle w:val="SingleTxt"/>
        <w:numPr>
          <w:ilvl w:val="0"/>
          <w:numId w:val="30"/>
        </w:numPr>
        <w:spacing w:line="240" w:lineRule="exact"/>
        <w:ind w:left="1267" w:firstLine="0"/>
        <w:rPr>
          <w:lang w:val="fr-FR"/>
        </w:rPr>
      </w:pPr>
      <w:r w:rsidRPr="00480C0F">
        <w:rPr>
          <w:lang w:val="fr-FR"/>
        </w:rPr>
        <w:t>Pour continuer d</w:t>
      </w:r>
      <w:r w:rsidR="00FC0C0B">
        <w:rPr>
          <w:lang w:val="fr-FR"/>
        </w:rPr>
        <w:t>’</w:t>
      </w:r>
      <w:r w:rsidRPr="00480C0F">
        <w:rPr>
          <w:lang w:val="fr-FR"/>
        </w:rPr>
        <w:t>assurer le suivi de la mise en œuvre de la Convention et appliquer le plan d</w:t>
      </w:r>
      <w:r w:rsidR="00FC0C0B">
        <w:rPr>
          <w:lang w:val="fr-FR"/>
        </w:rPr>
        <w:t>’</w:t>
      </w:r>
      <w:r w:rsidRPr="00480C0F">
        <w:rPr>
          <w:lang w:val="fr-FR"/>
        </w:rPr>
        <w:t>action qu</w:t>
      </w:r>
      <w:r w:rsidR="00FC0C0B">
        <w:rPr>
          <w:lang w:val="fr-FR"/>
        </w:rPr>
        <w:t>’</w:t>
      </w:r>
      <w:r w:rsidRPr="00480C0F">
        <w:rPr>
          <w:lang w:val="fr-FR"/>
        </w:rPr>
        <w:t>il a établi afin de donner suite aux observations finales et aux recommandations y relatives, le Comité de suivi chargé de l</w:t>
      </w:r>
      <w:r w:rsidR="00FC0C0B">
        <w:rPr>
          <w:lang w:val="fr-FR"/>
        </w:rPr>
        <w:t>’</w:t>
      </w:r>
      <w:r w:rsidRPr="00480C0F">
        <w:rPr>
          <w:lang w:val="fr-FR"/>
        </w:rPr>
        <w:t>application de la Convention a organisé</w:t>
      </w:r>
      <w:r>
        <w:rPr>
          <w:lang w:val="fr-FR"/>
        </w:rPr>
        <w:t>,</w:t>
      </w:r>
      <w:r w:rsidRPr="00480C0F">
        <w:rPr>
          <w:lang w:val="fr-FR"/>
        </w:rPr>
        <w:t xml:space="preserve"> le 11 octobre 2018</w:t>
      </w:r>
      <w:r>
        <w:rPr>
          <w:lang w:val="fr-FR"/>
        </w:rPr>
        <w:t>,</w:t>
      </w:r>
      <w:r w:rsidRPr="00480C0F">
        <w:rPr>
          <w:lang w:val="fr-FR"/>
        </w:rPr>
        <w:t xml:space="preserve"> sa deuxième réunion de l</w:t>
      </w:r>
      <w:r w:rsidR="00FC0C0B">
        <w:rPr>
          <w:lang w:val="fr-FR"/>
        </w:rPr>
        <w:t>’</w:t>
      </w:r>
      <w:r w:rsidRPr="00480C0F">
        <w:rPr>
          <w:lang w:val="fr-FR"/>
        </w:rPr>
        <w:t>année. À cette occasion, il a examiné les réponses des parties aux observations finales, les recommandations formulées à l</w:t>
      </w:r>
      <w:r w:rsidR="00FC0C0B">
        <w:rPr>
          <w:lang w:val="fr-FR"/>
        </w:rPr>
        <w:t>’</w:t>
      </w:r>
      <w:r w:rsidRPr="00480C0F">
        <w:rPr>
          <w:lang w:val="fr-FR"/>
        </w:rPr>
        <w:t>issue de l</w:t>
      </w:r>
      <w:r w:rsidR="00FC0C0B">
        <w:rPr>
          <w:lang w:val="fr-FR"/>
        </w:rPr>
        <w:t>’</w:t>
      </w:r>
      <w:r w:rsidRPr="00480C0F">
        <w:rPr>
          <w:lang w:val="fr-FR"/>
        </w:rPr>
        <w:t>atelier consacré à la prise en compte de l</w:t>
      </w:r>
      <w:r w:rsidR="00FC0C0B">
        <w:rPr>
          <w:lang w:val="fr-FR"/>
        </w:rPr>
        <w:t>’</w:t>
      </w:r>
      <w:r w:rsidRPr="00480C0F">
        <w:rPr>
          <w:lang w:val="fr-FR"/>
        </w:rPr>
        <w:t>objectif de développement durable n</w:t>
      </w:r>
      <w:r w:rsidRPr="00480C0F">
        <w:rPr>
          <w:vertAlign w:val="superscript"/>
          <w:lang w:val="fr-FR"/>
        </w:rPr>
        <w:t>o</w:t>
      </w:r>
      <w:r w:rsidR="00794514">
        <w:rPr>
          <w:lang w:val="fr-FR"/>
        </w:rPr>
        <w:t> </w:t>
      </w:r>
      <w:r w:rsidRPr="00480C0F">
        <w:rPr>
          <w:lang w:val="fr-FR"/>
        </w:rPr>
        <w:t>5 dans les politiques et plans nationaux, ainsi que la version actualisée du document de base commun du Sultanat d</w:t>
      </w:r>
      <w:r w:rsidR="00FC0C0B">
        <w:rPr>
          <w:lang w:val="fr-FR"/>
        </w:rPr>
        <w:t>’</w:t>
      </w:r>
      <w:r w:rsidRPr="00480C0F">
        <w:rPr>
          <w:lang w:val="fr-FR"/>
        </w:rPr>
        <w:t>Oman. Ce document a été établi en application de la recommandation n</w:t>
      </w:r>
      <w:r w:rsidRPr="00480C0F">
        <w:rPr>
          <w:vertAlign w:val="superscript"/>
          <w:lang w:val="fr-FR"/>
        </w:rPr>
        <w:t>o</w:t>
      </w:r>
      <w:r w:rsidRPr="00480C0F">
        <w:rPr>
          <w:lang w:val="fr-FR"/>
        </w:rPr>
        <w:t xml:space="preserve"> 76 formulée par le Comité des droits de l</w:t>
      </w:r>
      <w:r w:rsidR="00FC0C0B">
        <w:rPr>
          <w:lang w:val="fr-FR"/>
        </w:rPr>
        <w:t>’</w:t>
      </w:r>
      <w:r w:rsidRPr="00480C0F">
        <w:rPr>
          <w:lang w:val="fr-FR"/>
        </w:rPr>
        <w:t>enfant dans le cadre de l</w:t>
      </w:r>
      <w:r w:rsidR="00FC0C0B">
        <w:rPr>
          <w:lang w:val="fr-FR"/>
        </w:rPr>
        <w:t>’</w:t>
      </w:r>
      <w:r w:rsidRPr="00480C0F">
        <w:rPr>
          <w:lang w:val="fr-FR"/>
        </w:rPr>
        <w:t>examen du rapport national valant troisième et quatrième rapports périodiques les 12 et 13 janvier 2016.</w:t>
      </w:r>
    </w:p>
    <w:p w14:paraId="7DEC044E" w14:textId="4FF8D088" w:rsidR="00AE1CC1" w:rsidRDefault="00AE1CC1" w:rsidP="00C20393">
      <w:pPr>
        <w:pStyle w:val="SingleTxt"/>
        <w:numPr>
          <w:ilvl w:val="0"/>
          <w:numId w:val="30"/>
        </w:numPr>
        <w:spacing w:line="240" w:lineRule="exact"/>
        <w:ind w:left="1267" w:firstLine="0"/>
        <w:rPr>
          <w:lang w:val="fr-FR"/>
        </w:rPr>
      </w:pPr>
      <w:r>
        <w:rPr>
          <w:lang w:val="fr-FR"/>
        </w:rPr>
        <w:t xml:space="preserve">Un document complétant le rapport </w:t>
      </w:r>
      <w:r w:rsidRPr="00C66E2C">
        <w:rPr>
          <w:lang w:val="fr-FR"/>
        </w:rPr>
        <w:t>valant deuxième et troisième rapports périodiques</w:t>
      </w:r>
      <w:r>
        <w:rPr>
          <w:lang w:val="fr-FR"/>
        </w:rPr>
        <w:t xml:space="preserve"> du Sultanat soumis au titre de la </w:t>
      </w:r>
      <w:r w:rsidRPr="00C66E2C">
        <w:rPr>
          <w:lang w:val="fr-FR"/>
        </w:rPr>
        <w:t>Convention sur l</w:t>
      </w:r>
      <w:r w:rsidR="00FC0C0B">
        <w:rPr>
          <w:lang w:val="fr-FR"/>
        </w:rPr>
        <w:t>’</w:t>
      </w:r>
      <w:r w:rsidRPr="00C66E2C">
        <w:rPr>
          <w:lang w:val="fr-FR"/>
        </w:rPr>
        <w:t>élimination de toutes les formes de discrimination à l</w:t>
      </w:r>
      <w:r w:rsidR="00FC0C0B">
        <w:rPr>
          <w:lang w:val="fr-FR"/>
        </w:rPr>
        <w:t>’</w:t>
      </w:r>
      <w:r w:rsidRPr="00C66E2C">
        <w:rPr>
          <w:lang w:val="fr-FR"/>
        </w:rPr>
        <w:t>égard des femmes</w:t>
      </w:r>
      <w:r>
        <w:rPr>
          <w:lang w:val="fr-FR"/>
        </w:rPr>
        <w:t xml:space="preserve"> a été établi. Y figurent la réponse du Sultanat à la liste de points et de questions, la déclaration que le Ministre du développement social a prononcée devant le </w:t>
      </w:r>
      <w:r w:rsidRPr="00C66E2C">
        <w:rPr>
          <w:lang w:val="fr-FR"/>
        </w:rPr>
        <w:t>Comité pour l</w:t>
      </w:r>
      <w:r w:rsidR="00FC0C0B">
        <w:rPr>
          <w:lang w:val="fr-FR"/>
        </w:rPr>
        <w:t>’</w:t>
      </w:r>
      <w:r w:rsidRPr="00C66E2C">
        <w:rPr>
          <w:lang w:val="fr-FR"/>
        </w:rPr>
        <w:t>élimination de la discrimination à l</w:t>
      </w:r>
      <w:r w:rsidR="00FC0C0B">
        <w:rPr>
          <w:lang w:val="fr-FR"/>
        </w:rPr>
        <w:t>’</w:t>
      </w:r>
      <w:r w:rsidRPr="00C66E2C">
        <w:rPr>
          <w:lang w:val="fr-FR"/>
        </w:rPr>
        <w:t>égard des femmes</w:t>
      </w:r>
      <w:r>
        <w:rPr>
          <w:lang w:val="fr-FR"/>
        </w:rPr>
        <w:t xml:space="preserve"> et les observations finales du Comité. Ce document a été établi en anglais et en arabe, distribué aux diverses institutions </w:t>
      </w:r>
      <w:r w:rsidRPr="00A662D5">
        <w:rPr>
          <w:lang w:val="fr-FR"/>
        </w:rPr>
        <w:t>publiques</w:t>
      </w:r>
      <w:r>
        <w:rPr>
          <w:lang w:val="fr-FR"/>
        </w:rPr>
        <w:t xml:space="preserve"> et locales et à d</w:t>
      </w:r>
      <w:r w:rsidR="00FC0C0B">
        <w:rPr>
          <w:lang w:val="fr-FR"/>
        </w:rPr>
        <w:t>’</w:t>
      </w:r>
      <w:r>
        <w:rPr>
          <w:lang w:val="fr-FR"/>
        </w:rPr>
        <w:t>autres parties et publié sur le site Web du Ministère du développement social, conformément à la recommandation énoncée au paragraphe 60 des observations finales du Comité concernant la diffusion de ces observations.</w:t>
      </w:r>
    </w:p>
    <w:p w14:paraId="37908777" w14:textId="587FCB66" w:rsidR="00AE1CC1" w:rsidRDefault="00AE1CC1" w:rsidP="00C20393">
      <w:pPr>
        <w:pStyle w:val="SingleTxt"/>
        <w:numPr>
          <w:ilvl w:val="0"/>
          <w:numId w:val="30"/>
        </w:numPr>
        <w:spacing w:line="240" w:lineRule="exact"/>
        <w:ind w:left="1267" w:firstLine="0"/>
        <w:rPr>
          <w:lang w:val="fr-FR"/>
        </w:rPr>
      </w:pPr>
      <w:r>
        <w:rPr>
          <w:lang w:val="fr-FR"/>
        </w:rPr>
        <w:lastRenderedPageBreak/>
        <w:t>En 2018, dans le cadre d</w:t>
      </w:r>
      <w:r w:rsidR="00FC0C0B">
        <w:rPr>
          <w:lang w:val="fr-FR"/>
        </w:rPr>
        <w:t>’</w:t>
      </w:r>
      <w:r>
        <w:rPr>
          <w:lang w:val="fr-FR"/>
        </w:rPr>
        <w:t>une collaborati</w:t>
      </w:r>
      <w:bookmarkStart w:id="2" w:name="_GoBack"/>
      <w:bookmarkEnd w:id="2"/>
      <w:r>
        <w:rPr>
          <w:lang w:val="fr-FR"/>
        </w:rPr>
        <w:t>on entre le Ministère du développement social, le</w:t>
      </w:r>
      <w:r w:rsidR="00405D8A">
        <w:rPr>
          <w:lang w:val="fr-FR"/>
        </w:rPr>
        <w:t xml:space="preserve"> </w:t>
      </w:r>
      <w:r w:rsidRPr="00B61008">
        <w:rPr>
          <w:lang w:val="fr-FR"/>
        </w:rPr>
        <w:t>Fonds des Nations Unies pour la population</w:t>
      </w:r>
      <w:r>
        <w:rPr>
          <w:lang w:val="fr-FR"/>
        </w:rPr>
        <w:t xml:space="preserve"> et </w:t>
      </w:r>
      <w:r w:rsidRPr="00B61008">
        <w:rPr>
          <w:lang w:val="fr-FR"/>
        </w:rPr>
        <w:t>l</w:t>
      </w:r>
      <w:r w:rsidR="00FC0C0B">
        <w:rPr>
          <w:lang w:val="fr-FR"/>
        </w:rPr>
        <w:t>’</w:t>
      </w:r>
      <w:r w:rsidRPr="00B61008">
        <w:rPr>
          <w:lang w:val="fr-FR"/>
        </w:rPr>
        <w:t>université du Sultan Qabous</w:t>
      </w:r>
      <w:r>
        <w:rPr>
          <w:lang w:val="fr-FR"/>
        </w:rPr>
        <w:t xml:space="preserve">, il a été procédé à une étude comparative de la </w:t>
      </w:r>
      <w:r w:rsidRPr="00D40254">
        <w:rPr>
          <w:lang w:val="fr-FR"/>
        </w:rPr>
        <w:t>Convention sur l</w:t>
      </w:r>
      <w:r w:rsidR="00FC0C0B">
        <w:rPr>
          <w:lang w:val="fr-FR"/>
        </w:rPr>
        <w:t>’</w:t>
      </w:r>
      <w:r w:rsidRPr="00D40254">
        <w:rPr>
          <w:lang w:val="fr-FR"/>
        </w:rPr>
        <w:t>élimination de toutes les formes de discrimination à l</w:t>
      </w:r>
      <w:r w:rsidR="00FC0C0B">
        <w:rPr>
          <w:lang w:val="fr-FR"/>
        </w:rPr>
        <w:t>’</w:t>
      </w:r>
      <w:r w:rsidRPr="00D40254">
        <w:rPr>
          <w:lang w:val="fr-FR"/>
        </w:rPr>
        <w:t>égard des femmes</w:t>
      </w:r>
      <w:r>
        <w:rPr>
          <w:lang w:val="fr-FR"/>
        </w:rPr>
        <w:t xml:space="preserve"> et des textes législatifs omanais en vue de donner suite aux o</w:t>
      </w:r>
      <w:r w:rsidRPr="00D40254">
        <w:rPr>
          <w:lang w:val="fr-FR"/>
        </w:rPr>
        <w:t>bservations finales concernant le rapport valant deuxième à troisième rapports périodiques d</w:t>
      </w:r>
      <w:r w:rsidR="00FC0C0B">
        <w:rPr>
          <w:lang w:val="fr-FR"/>
        </w:rPr>
        <w:t>’</w:t>
      </w:r>
      <w:r w:rsidRPr="00D40254">
        <w:rPr>
          <w:lang w:val="fr-FR"/>
        </w:rPr>
        <w:t>Oman</w:t>
      </w:r>
      <w:r w:rsidR="00405D8A">
        <w:rPr>
          <w:lang w:val="fr-FR"/>
        </w:rPr>
        <w:t xml:space="preserve"> </w:t>
      </w:r>
      <w:r>
        <w:rPr>
          <w:lang w:val="fr-FR"/>
        </w:rPr>
        <w:t>et de déterminer dans quelle mesure la législation nationale est conforme aux dispositions et articles de la Convention.</w:t>
      </w:r>
    </w:p>
    <w:p w14:paraId="0F823FA8" w14:textId="1B67BB07" w:rsidR="00AE1CC1" w:rsidRDefault="00AE1CC1" w:rsidP="00C20393">
      <w:pPr>
        <w:pStyle w:val="SingleTxt"/>
        <w:numPr>
          <w:ilvl w:val="0"/>
          <w:numId w:val="30"/>
        </w:numPr>
        <w:spacing w:line="240" w:lineRule="exact"/>
        <w:ind w:left="1267" w:firstLine="0"/>
        <w:rPr>
          <w:lang w:val="fr-FR"/>
        </w:rPr>
      </w:pPr>
      <w:r>
        <w:rPr>
          <w:lang w:val="fr-FR"/>
        </w:rPr>
        <w:t>En 2018, pour donner suite à l</w:t>
      </w:r>
      <w:r w:rsidR="00FC0C0B">
        <w:rPr>
          <w:lang w:val="fr-FR"/>
        </w:rPr>
        <w:t>’</w:t>
      </w:r>
      <w:r>
        <w:rPr>
          <w:lang w:val="fr-FR"/>
        </w:rPr>
        <w:t>observation finale visant à ce que les magistrats suivent une formation pour mieux connaître la Convention, le Ministère du développement social et l</w:t>
      </w:r>
      <w:r w:rsidR="00FC0C0B">
        <w:rPr>
          <w:lang w:val="fr-FR"/>
        </w:rPr>
        <w:t>’</w:t>
      </w:r>
      <w:r>
        <w:rPr>
          <w:lang w:val="fr-FR"/>
        </w:rPr>
        <w:t>Institut supérieur de la magistrature ont signé</w:t>
      </w:r>
      <w:r w:rsidRPr="006634BD">
        <w:rPr>
          <w:lang w:val="fr-FR"/>
        </w:rPr>
        <w:t xml:space="preserve"> </w:t>
      </w:r>
      <w:r>
        <w:rPr>
          <w:lang w:val="fr-FR"/>
        </w:rPr>
        <w:t>un mémorandum sur un programme de coopération concernant une formation sur les conventions relatives aux droits de l</w:t>
      </w:r>
      <w:r w:rsidR="00FC0C0B">
        <w:rPr>
          <w:lang w:val="fr-FR"/>
        </w:rPr>
        <w:t>’</w:t>
      </w:r>
      <w:r>
        <w:rPr>
          <w:lang w:val="fr-FR"/>
        </w:rPr>
        <w:t>homme (</w:t>
      </w:r>
      <w:r w:rsidRPr="006634BD">
        <w:rPr>
          <w:lang w:val="fr-FR"/>
        </w:rPr>
        <w:t>Convention sur l</w:t>
      </w:r>
      <w:r w:rsidR="00FC0C0B">
        <w:rPr>
          <w:lang w:val="fr-FR"/>
        </w:rPr>
        <w:t>’</w:t>
      </w:r>
      <w:r w:rsidRPr="006634BD">
        <w:rPr>
          <w:lang w:val="fr-FR"/>
        </w:rPr>
        <w:t>élimination de toutes les formes de discrimination à l</w:t>
      </w:r>
      <w:r w:rsidR="00FC0C0B">
        <w:rPr>
          <w:lang w:val="fr-FR"/>
        </w:rPr>
        <w:t>’</w:t>
      </w:r>
      <w:r w:rsidRPr="006634BD">
        <w:rPr>
          <w:lang w:val="fr-FR"/>
        </w:rPr>
        <w:t>égard des femmes</w:t>
      </w:r>
      <w:r>
        <w:rPr>
          <w:lang w:val="fr-FR"/>
        </w:rPr>
        <w:t xml:space="preserve">, </w:t>
      </w:r>
      <w:r w:rsidRPr="006634BD">
        <w:rPr>
          <w:lang w:val="fr-FR"/>
        </w:rPr>
        <w:t>Convention relative aux droits de l</w:t>
      </w:r>
      <w:r w:rsidR="00FC0C0B">
        <w:rPr>
          <w:lang w:val="fr-FR"/>
        </w:rPr>
        <w:t>’</w:t>
      </w:r>
      <w:r w:rsidRPr="006634BD">
        <w:rPr>
          <w:lang w:val="fr-FR"/>
        </w:rPr>
        <w:t>enfant</w:t>
      </w:r>
      <w:r>
        <w:rPr>
          <w:lang w:val="fr-FR"/>
        </w:rPr>
        <w:t xml:space="preserve">, </w:t>
      </w:r>
      <w:r w:rsidRPr="006634BD">
        <w:rPr>
          <w:lang w:val="fr-FR"/>
        </w:rPr>
        <w:t>Convention relative aux droits des personnes handicapées</w:t>
      </w:r>
      <w:r>
        <w:rPr>
          <w:lang w:val="fr-FR"/>
        </w:rPr>
        <w:t>). Ce programme de trois ans peut être prolongé.</w:t>
      </w:r>
    </w:p>
    <w:p w14:paraId="6CEF0F26" w14:textId="45304CDF" w:rsidR="00AE1CC1" w:rsidRPr="008A6D69" w:rsidRDefault="00AE1CC1" w:rsidP="00C20393">
      <w:pPr>
        <w:pStyle w:val="SingleTxt"/>
        <w:numPr>
          <w:ilvl w:val="0"/>
          <w:numId w:val="30"/>
        </w:numPr>
        <w:spacing w:line="240" w:lineRule="exact"/>
        <w:ind w:left="1267" w:firstLine="0"/>
        <w:rPr>
          <w:lang w:val="fr-FR"/>
        </w:rPr>
      </w:pPr>
      <w:r w:rsidRPr="008A6D69">
        <w:rPr>
          <w:lang w:val="fr-FR"/>
        </w:rPr>
        <w:t>L</w:t>
      </w:r>
      <w:r w:rsidR="00FC0C0B">
        <w:rPr>
          <w:lang w:val="fr-FR"/>
        </w:rPr>
        <w:t>’</w:t>
      </w:r>
      <w:r w:rsidRPr="008A6D69">
        <w:rPr>
          <w:lang w:val="fr-FR"/>
        </w:rPr>
        <w:t xml:space="preserve">acceptation </w:t>
      </w:r>
      <w:r>
        <w:rPr>
          <w:lang w:val="fr-FR"/>
        </w:rPr>
        <w:t>de l</w:t>
      </w:r>
      <w:r w:rsidR="00FC0C0B">
        <w:rPr>
          <w:lang w:val="fr-FR"/>
        </w:rPr>
        <w:t>’</w:t>
      </w:r>
      <w:r>
        <w:rPr>
          <w:lang w:val="fr-FR"/>
        </w:rPr>
        <w:t>amendement au premier paragraphe</w:t>
      </w:r>
      <w:r w:rsidRPr="008A6D69">
        <w:rPr>
          <w:lang w:val="fr-FR"/>
        </w:rPr>
        <w:t xml:space="preserve"> de l</w:t>
      </w:r>
      <w:r w:rsidR="00FC0C0B">
        <w:rPr>
          <w:lang w:val="fr-FR"/>
        </w:rPr>
        <w:t>’</w:t>
      </w:r>
      <w:r w:rsidRPr="008A6D69">
        <w:rPr>
          <w:lang w:val="fr-FR"/>
        </w:rPr>
        <w:t>article 20 de la Convention</w:t>
      </w:r>
      <w:r w:rsidRPr="00B37CA3">
        <w:rPr>
          <w:lang w:val="fr-FR"/>
        </w:rPr>
        <w:t xml:space="preserve"> sur l</w:t>
      </w:r>
      <w:r w:rsidR="00FC0C0B">
        <w:rPr>
          <w:lang w:val="fr-FR"/>
        </w:rPr>
        <w:t>’</w:t>
      </w:r>
      <w:r w:rsidRPr="00B37CA3">
        <w:rPr>
          <w:lang w:val="fr-FR"/>
        </w:rPr>
        <w:t>élimination de toutes les formes de discrimination à l</w:t>
      </w:r>
      <w:r w:rsidR="00FC0C0B">
        <w:rPr>
          <w:lang w:val="fr-FR"/>
        </w:rPr>
        <w:t>’</w:t>
      </w:r>
      <w:r w:rsidRPr="00B37CA3">
        <w:rPr>
          <w:lang w:val="fr-FR"/>
        </w:rPr>
        <w:t>égard des femmes</w:t>
      </w:r>
      <w:r w:rsidRPr="008A6D69">
        <w:rPr>
          <w:lang w:val="fr-FR"/>
        </w:rPr>
        <w:t xml:space="preserve"> marque l</w:t>
      </w:r>
      <w:r w:rsidR="00FC0C0B">
        <w:rPr>
          <w:lang w:val="fr-FR"/>
        </w:rPr>
        <w:t>’</w:t>
      </w:r>
      <w:r w:rsidRPr="008A6D69">
        <w:rPr>
          <w:lang w:val="fr-FR"/>
        </w:rPr>
        <w:t xml:space="preserve">aboutissement de ces efforts. </w:t>
      </w:r>
      <w:r>
        <w:rPr>
          <w:lang w:val="fr-FR"/>
        </w:rPr>
        <w:t>L</w:t>
      </w:r>
      <w:r w:rsidR="00FC0C0B">
        <w:rPr>
          <w:lang w:val="fr-FR"/>
        </w:rPr>
        <w:t>’</w:t>
      </w:r>
      <w:r>
        <w:rPr>
          <w:lang w:val="fr-FR"/>
        </w:rPr>
        <w:t>amendement a été accepté</w:t>
      </w:r>
      <w:r w:rsidRPr="008A6D69">
        <w:rPr>
          <w:lang w:val="fr-FR"/>
        </w:rPr>
        <w:t xml:space="preserve"> conformément au décret</w:t>
      </w:r>
      <w:r>
        <w:rPr>
          <w:lang w:val="fr-FR"/>
        </w:rPr>
        <w:t xml:space="preserve"> </w:t>
      </w:r>
      <w:r w:rsidRPr="008A6D69">
        <w:rPr>
          <w:lang w:val="fr-FR"/>
        </w:rPr>
        <w:t>n</w:t>
      </w:r>
      <w:r w:rsidRPr="008A6D69">
        <w:rPr>
          <w:vertAlign w:val="superscript"/>
          <w:lang w:val="fr-FR"/>
        </w:rPr>
        <w:t>o</w:t>
      </w:r>
      <w:r w:rsidR="00C53301">
        <w:rPr>
          <w:lang w:val="fr-FR"/>
        </w:rPr>
        <w:t> </w:t>
      </w:r>
      <w:r w:rsidRPr="008A6D69">
        <w:rPr>
          <w:lang w:val="fr-FR"/>
        </w:rPr>
        <w:t xml:space="preserve">3/2019 </w:t>
      </w:r>
      <w:r>
        <w:rPr>
          <w:lang w:val="fr-FR"/>
        </w:rPr>
        <w:t xml:space="preserve">du Sultan </w:t>
      </w:r>
      <w:r w:rsidRPr="008A6D69">
        <w:rPr>
          <w:lang w:val="fr-FR"/>
        </w:rPr>
        <w:t>et à la recommandation énoncée au paragraphe 57</w:t>
      </w:r>
      <w:r w:rsidR="00405D8A">
        <w:rPr>
          <w:lang w:val="fr-FR"/>
        </w:rPr>
        <w:t xml:space="preserve"> </w:t>
      </w:r>
      <w:r w:rsidRPr="008A6D69">
        <w:rPr>
          <w:lang w:val="fr-FR"/>
        </w:rPr>
        <w:t>des observations finales, qui se lit comme suit</w:t>
      </w:r>
      <w:r w:rsidR="00FC0C0B">
        <w:rPr>
          <w:lang w:val="fr-FR"/>
        </w:rPr>
        <w:t> :</w:t>
      </w:r>
      <w:r w:rsidRPr="008A6D69">
        <w:rPr>
          <w:lang w:val="fr-FR"/>
        </w:rPr>
        <w:t xml:space="preserve"> « </w:t>
      </w:r>
      <w:r>
        <w:rPr>
          <w:lang w:val="fr-FR"/>
        </w:rPr>
        <w:t>[…]</w:t>
      </w:r>
      <w:r w:rsidRPr="008A6D69">
        <w:rPr>
          <w:lang w:val="fr-FR"/>
        </w:rPr>
        <w:t xml:space="preserve"> accepter dans les meilleurs délais la modification apportée au paragraphe 1 de l</w:t>
      </w:r>
      <w:r w:rsidR="00FC0C0B">
        <w:rPr>
          <w:lang w:val="fr-FR"/>
        </w:rPr>
        <w:t>’</w:t>
      </w:r>
      <w:r w:rsidRPr="008A6D69">
        <w:rPr>
          <w:lang w:val="fr-FR"/>
        </w:rPr>
        <w:t>article 20 de la Convention concernant le temps de réunion du Comité</w:t>
      </w:r>
      <w:r>
        <w:rPr>
          <w:lang w:val="fr-FR"/>
        </w:rPr>
        <w:t> »</w:t>
      </w:r>
      <w:r w:rsidRPr="008A6D69">
        <w:rPr>
          <w:lang w:val="fr-FR"/>
        </w:rPr>
        <w:t>.</w:t>
      </w:r>
    </w:p>
    <w:p w14:paraId="6A355BA5" w14:textId="1C9E37D2" w:rsidR="00AE1CC1" w:rsidRDefault="00110F58" w:rsidP="00C20393">
      <w:pPr>
        <w:pStyle w:val="SingleTxt"/>
        <w:rPr>
          <w:lang w:val="fr-FR"/>
        </w:rPr>
      </w:pPr>
      <w:r>
        <w:rPr>
          <w:lang w:val="fr-FR"/>
        </w:rPr>
        <w:tab/>
      </w:r>
      <w:r w:rsidR="00AE1CC1">
        <w:rPr>
          <w:lang w:val="fr-FR"/>
        </w:rPr>
        <w:t>On trouvera ci-après les réponses apportées aux observations finales pour chaque recommandation</w:t>
      </w:r>
      <w:r w:rsidR="00FC0C0B">
        <w:rPr>
          <w:lang w:val="fr-FR"/>
        </w:rPr>
        <w:t> :</w:t>
      </w:r>
    </w:p>
    <w:p w14:paraId="6C984F6E" w14:textId="2A2C12D8" w:rsidR="00110F58" w:rsidRPr="00110F58" w:rsidRDefault="00110F58" w:rsidP="00110F58">
      <w:pPr>
        <w:pStyle w:val="SingleTxt"/>
        <w:spacing w:after="0" w:line="120" w:lineRule="exact"/>
        <w:rPr>
          <w:sz w:val="10"/>
          <w:lang w:val="fr-FR"/>
        </w:rPr>
      </w:pPr>
    </w:p>
    <w:p w14:paraId="1C09C879" w14:textId="796F04B5" w:rsidR="00AE1CC1" w:rsidRDefault="00110F58" w:rsidP="00110F58">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AE1CC1">
        <w:rPr>
          <w:lang w:val="fr-FR"/>
        </w:rPr>
        <w:t>Recommandation énoncée au paragraphe 10</w:t>
      </w:r>
    </w:p>
    <w:p w14:paraId="3314839F" w14:textId="350A4BF2" w:rsidR="00110F58" w:rsidRPr="00110F58" w:rsidRDefault="00110F58" w:rsidP="00110F58">
      <w:pPr>
        <w:pStyle w:val="SingleTxt"/>
        <w:spacing w:after="0" w:line="120" w:lineRule="exact"/>
        <w:rPr>
          <w:sz w:val="10"/>
          <w:lang w:val="fr-FR"/>
        </w:rPr>
      </w:pPr>
    </w:p>
    <w:p w14:paraId="3E5C8347" w14:textId="3CCC2176" w:rsidR="00AE1CC1" w:rsidRPr="00F06D64" w:rsidRDefault="00AE1CC1" w:rsidP="00110F58">
      <w:pPr>
        <w:pStyle w:val="SingleTxt"/>
        <w:rPr>
          <w:w w:val="100"/>
          <w:lang w:val="fr-FR"/>
        </w:rPr>
      </w:pPr>
      <w:r w:rsidRPr="00E978E4">
        <w:rPr>
          <w:w w:val="100"/>
          <w:lang w:val="fr-FR"/>
        </w:rPr>
        <w:tab/>
      </w:r>
      <w:r w:rsidRPr="00F06D64">
        <w:rPr>
          <w:w w:val="100"/>
          <w:lang w:val="fr-FR"/>
        </w:rPr>
        <w:t>Le Comité rappelle à l</w:t>
      </w:r>
      <w:r w:rsidR="00FC0C0B">
        <w:rPr>
          <w:w w:val="100"/>
          <w:lang w:val="fr-FR"/>
        </w:rPr>
        <w:t>’</w:t>
      </w:r>
      <w:r w:rsidRPr="00F06D64">
        <w:rPr>
          <w:w w:val="100"/>
          <w:lang w:val="fr-FR"/>
        </w:rPr>
        <w:t>État partie que sa réserve générale et la réserve concernant l</w:t>
      </w:r>
      <w:r w:rsidR="00FC0C0B">
        <w:rPr>
          <w:w w:val="100"/>
          <w:lang w:val="fr-FR"/>
        </w:rPr>
        <w:t>’</w:t>
      </w:r>
      <w:r w:rsidRPr="00F06D64">
        <w:rPr>
          <w:w w:val="100"/>
          <w:lang w:val="fr-FR"/>
        </w:rPr>
        <w:t>article 16 sont incompatibles avec l</w:t>
      </w:r>
      <w:r w:rsidR="00FC0C0B">
        <w:rPr>
          <w:w w:val="100"/>
          <w:lang w:val="fr-FR"/>
        </w:rPr>
        <w:t>’</w:t>
      </w:r>
      <w:r w:rsidRPr="00F06D64">
        <w:rPr>
          <w:w w:val="100"/>
          <w:lang w:val="fr-FR"/>
        </w:rPr>
        <w:t>objet et le but de la Convention et ne sont donc pas autorisées, comme le prévoit l</w:t>
      </w:r>
      <w:r w:rsidR="00FC0C0B">
        <w:rPr>
          <w:w w:val="100"/>
          <w:lang w:val="fr-FR"/>
        </w:rPr>
        <w:t>’</w:t>
      </w:r>
      <w:r w:rsidRPr="00F06D64">
        <w:rPr>
          <w:w w:val="100"/>
          <w:lang w:val="fr-FR"/>
        </w:rPr>
        <w:t>article 28 de la Convention (voir la déclaration du Comité relative aux réserves, adoptée à la quatre-vingt-dixième session en 1998). Le Comité recommande à l</w:t>
      </w:r>
      <w:r w:rsidR="00FC0C0B">
        <w:rPr>
          <w:w w:val="100"/>
          <w:lang w:val="fr-FR"/>
        </w:rPr>
        <w:t>’</w:t>
      </w:r>
      <w:r w:rsidRPr="00F06D64">
        <w:rPr>
          <w:w w:val="100"/>
          <w:lang w:val="fr-FR"/>
        </w:rPr>
        <w:t>État partie</w:t>
      </w:r>
      <w:r w:rsidR="00FC0C0B">
        <w:rPr>
          <w:w w:val="100"/>
          <w:lang w:val="fr-FR"/>
        </w:rPr>
        <w:t> :</w:t>
      </w:r>
    </w:p>
    <w:p w14:paraId="7E2512E8" w14:textId="3B2B179F" w:rsidR="00AE1CC1" w:rsidRPr="00F06D64" w:rsidRDefault="00110F58" w:rsidP="00110F58">
      <w:pPr>
        <w:pStyle w:val="SingleTxt"/>
        <w:ind w:left="1742" w:hanging="475"/>
        <w:rPr>
          <w:w w:val="100"/>
          <w:lang w:val="fr-FR"/>
        </w:rPr>
      </w:pPr>
      <w:r>
        <w:rPr>
          <w:w w:val="100"/>
          <w:lang w:val="fr-FR"/>
        </w:rPr>
        <w:tab/>
      </w:r>
      <w:r w:rsidR="00AE1CC1" w:rsidRPr="00F06D64">
        <w:rPr>
          <w:w w:val="100"/>
          <w:lang w:val="fr-FR"/>
        </w:rPr>
        <w:tab/>
        <w:t>a)</w:t>
      </w:r>
      <w:r w:rsidR="00AE1CC1" w:rsidRPr="00F06D64">
        <w:rPr>
          <w:w w:val="100"/>
          <w:lang w:val="fr-FR"/>
        </w:rPr>
        <w:tab/>
        <w:t>D</w:t>
      </w:r>
      <w:r w:rsidR="00FC0C0B">
        <w:rPr>
          <w:w w:val="100"/>
          <w:lang w:val="fr-FR"/>
        </w:rPr>
        <w:t>’</w:t>
      </w:r>
      <w:r w:rsidR="00AE1CC1" w:rsidRPr="00F06D64">
        <w:rPr>
          <w:w w:val="100"/>
          <w:lang w:val="fr-FR"/>
        </w:rPr>
        <w:t>accomplir les formalités nécessaires au retrait de sa réserve au paragraphe 4 de l</w:t>
      </w:r>
      <w:r w:rsidR="00FC0C0B">
        <w:rPr>
          <w:w w:val="100"/>
          <w:lang w:val="fr-FR"/>
        </w:rPr>
        <w:t>’</w:t>
      </w:r>
      <w:r w:rsidR="00AE1CC1" w:rsidRPr="00F06D64">
        <w:rPr>
          <w:w w:val="100"/>
          <w:lang w:val="fr-FR"/>
        </w:rPr>
        <w:t>article 15 de la Convention</w:t>
      </w:r>
      <w:r w:rsidR="00AE1CC1">
        <w:rPr>
          <w:w w:val="100"/>
          <w:lang w:val="fr-FR"/>
        </w:rPr>
        <w:t>.</w:t>
      </w:r>
      <w:r w:rsidR="00AE1CC1" w:rsidRPr="00F06D64">
        <w:rPr>
          <w:w w:val="100"/>
          <w:lang w:val="fr-FR"/>
        </w:rPr>
        <w:t xml:space="preserve"> </w:t>
      </w:r>
    </w:p>
    <w:p w14:paraId="67B7D6A8" w14:textId="0891B792" w:rsidR="00AE1CC1" w:rsidRDefault="00AE1CC1" w:rsidP="00110F58">
      <w:pPr>
        <w:pStyle w:val="SingleTxt"/>
        <w:rPr>
          <w:w w:val="100"/>
          <w:lang w:val="fr-FR"/>
        </w:rPr>
      </w:pPr>
      <w:r w:rsidRPr="00293069">
        <w:rPr>
          <w:w w:val="100"/>
          <w:lang w:val="fr-FR"/>
        </w:rPr>
        <w:tab/>
        <w:t>Pour ce qui est d</w:t>
      </w:r>
      <w:r w:rsidR="00FC0C0B">
        <w:rPr>
          <w:w w:val="100"/>
          <w:lang w:val="fr-FR"/>
        </w:rPr>
        <w:t>’</w:t>
      </w:r>
      <w:r w:rsidRPr="00293069">
        <w:rPr>
          <w:w w:val="100"/>
          <w:lang w:val="fr-FR"/>
        </w:rPr>
        <w:t>accomplir les formalités nécessaires au retrait de sa réserve au paragraphe 4 de l</w:t>
      </w:r>
      <w:r w:rsidR="00FC0C0B">
        <w:rPr>
          <w:w w:val="100"/>
          <w:lang w:val="fr-FR"/>
        </w:rPr>
        <w:t>’</w:t>
      </w:r>
      <w:r w:rsidRPr="00293069">
        <w:rPr>
          <w:w w:val="100"/>
          <w:lang w:val="fr-FR"/>
        </w:rPr>
        <w:t>article 15 de la Convention</w:t>
      </w:r>
      <w:r>
        <w:rPr>
          <w:w w:val="100"/>
          <w:lang w:val="fr-FR"/>
        </w:rPr>
        <w:t>, le Sultan a promulgué le décret n</w:t>
      </w:r>
      <w:r w:rsidRPr="00293069">
        <w:rPr>
          <w:w w:val="100"/>
          <w:vertAlign w:val="superscript"/>
          <w:lang w:val="fr-FR"/>
        </w:rPr>
        <w:t>o</w:t>
      </w:r>
      <w:r w:rsidR="00C53301">
        <w:rPr>
          <w:w w:val="100"/>
          <w:lang w:val="fr-FR"/>
        </w:rPr>
        <w:t> </w:t>
      </w:r>
      <w:r>
        <w:rPr>
          <w:w w:val="100"/>
          <w:lang w:val="fr-FR"/>
        </w:rPr>
        <w:t xml:space="preserve">3/2019 portant ratification de </w:t>
      </w:r>
      <w:r w:rsidRPr="00840A9D">
        <w:rPr>
          <w:w w:val="100"/>
          <w:lang w:val="fr-FR"/>
        </w:rPr>
        <w:t>l</w:t>
      </w:r>
      <w:r w:rsidR="00FC0C0B">
        <w:rPr>
          <w:w w:val="100"/>
          <w:lang w:val="fr-FR"/>
        </w:rPr>
        <w:t>’</w:t>
      </w:r>
      <w:r w:rsidRPr="00840A9D">
        <w:rPr>
          <w:w w:val="100"/>
          <w:lang w:val="fr-FR"/>
        </w:rPr>
        <w:t>amendement à la</w:t>
      </w:r>
      <w:r>
        <w:rPr>
          <w:w w:val="100"/>
          <w:lang w:val="fr-FR"/>
        </w:rPr>
        <w:t xml:space="preserve"> Conventi</w:t>
      </w:r>
      <w:r w:rsidRPr="00A97653">
        <w:rPr>
          <w:w w:val="100"/>
          <w:lang w:val="fr-FR"/>
        </w:rPr>
        <w:t xml:space="preserve">on et retrait </w:t>
      </w:r>
      <w:r w:rsidR="00C53301" w:rsidRPr="00A97653">
        <w:rPr>
          <w:w w:val="100"/>
          <w:lang w:val="fr-FR"/>
        </w:rPr>
        <w:t xml:space="preserve">de </w:t>
      </w:r>
      <w:r w:rsidRPr="00A97653">
        <w:rPr>
          <w:w w:val="100"/>
          <w:lang w:val="fr-FR"/>
        </w:rPr>
        <w:t>certaines</w:t>
      </w:r>
      <w:r>
        <w:rPr>
          <w:w w:val="100"/>
          <w:lang w:val="fr-FR"/>
        </w:rPr>
        <w:t xml:space="preserve"> réserves à la Convention. L</w:t>
      </w:r>
      <w:r w:rsidR="00FC0C0B">
        <w:rPr>
          <w:w w:val="100"/>
          <w:lang w:val="fr-FR"/>
        </w:rPr>
        <w:t>’</w:t>
      </w:r>
      <w:r>
        <w:rPr>
          <w:w w:val="100"/>
          <w:lang w:val="fr-FR"/>
        </w:rPr>
        <w:t>article premier dudit décret porte ratification du premier paragraphe de l</w:t>
      </w:r>
      <w:r w:rsidR="00FC0C0B">
        <w:rPr>
          <w:w w:val="100"/>
          <w:lang w:val="fr-FR"/>
        </w:rPr>
        <w:t>’</w:t>
      </w:r>
      <w:r>
        <w:rPr>
          <w:w w:val="100"/>
          <w:lang w:val="fr-FR"/>
        </w:rPr>
        <w:t>article 20 tel que modifié dans la décision des États parties ; l</w:t>
      </w:r>
      <w:r w:rsidR="00FC0C0B">
        <w:rPr>
          <w:w w:val="100"/>
          <w:lang w:val="fr-FR"/>
        </w:rPr>
        <w:t>’</w:t>
      </w:r>
      <w:r>
        <w:rPr>
          <w:w w:val="100"/>
          <w:lang w:val="fr-FR"/>
        </w:rPr>
        <w:t>article 2 prévoit le retrait de la réserve du Sultanat au paragraphe 4 de l</w:t>
      </w:r>
      <w:r w:rsidR="00FC0C0B">
        <w:rPr>
          <w:w w:val="100"/>
          <w:lang w:val="fr-FR"/>
        </w:rPr>
        <w:t>’</w:t>
      </w:r>
      <w:r>
        <w:rPr>
          <w:w w:val="100"/>
          <w:lang w:val="fr-FR"/>
        </w:rPr>
        <w:t>article 15 susmentionné ; les articles 3 et 4 disposent que les mesures nécessaires doivent être prises afin de faire appliquer les articles premier et 2 du décret, qui a été publié au Journal officiel n</w:t>
      </w:r>
      <w:r w:rsidRPr="00F82E4C">
        <w:rPr>
          <w:w w:val="100"/>
          <w:vertAlign w:val="superscript"/>
          <w:lang w:val="fr-FR"/>
        </w:rPr>
        <w:t>o</w:t>
      </w:r>
      <w:r w:rsidR="00C53301">
        <w:rPr>
          <w:w w:val="100"/>
          <w:lang w:val="fr-FR"/>
        </w:rPr>
        <w:t> </w:t>
      </w:r>
      <w:r>
        <w:rPr>
          <w:w w:val="100"/>
          <w:lang w:val="fr-FR"/>
        </w:rPr>
        <w:t xml:space="preserve">1276 et est entré en vigueur le 7 janvier 2019. Le texte du décret est joint en annexe au présent rapport. </w:t>
      </w:r>
    </w:p>
    <w:p w14:paraId="12B2DE0D" w14:textId="774A2012" w:rsidR="00AE1CC1" w:rsidRDefault="00AE1CC1" w:rsidP="00110F58">
      <w:pPr>
        <w:pStyle w:val="SingleTxt"/>
        <w:rPr>
          <w:w w:val="100"/>
          <w:lang w:val="fr-FR"/>
        </w:rPr>
      </w:pPr>
      <w:r w:rsidRPr="00293069">
        <w:rPr>
          <w:w w:val="100"/>
          <w:lang w:val="fr-FR"/>
        </w:rPr>
        <w:tab/>
      </w:r>
      <w:r>
        <w:rPr>
          <w:w w:val="100"/>
          <w:lang w:val="fr-FR"/>
        </w:rPr>
        <w:t>En ce qui concerne la réserve à l</w:t>
      </w:r>
      <w:r w:rsidR="00FC0C0B">
        <w:rPr>
          <w:w w:val="100"/>
          <w:lang w:val="fr-FR"/>
        </w:rPr>
        <w:t>’</w:t>
      </w:r>
      <w:r>
        <w:rPr>
          <w:w w:val="100"/>
          <w:lang w:val="fr-FR"/>
        </w:rPr>
        <w:t>article 16 de la Convention, le Sultanat procède en permanence à un examen global et continu de la question afin d</w:t>
      </w:r>
      <w:r w:rsidR="00FC0C0B">
        <w:rPr>
          <w:w w:val="100"/>
          <w:lang w:val="fr-FR"/>
        </w:rPr>
        <w:t>’</w:t>
      </w:r>
      <w:r>
        <w:rPr>
          <w:w w:val="100"/>
          <w:lang w:val="fr-FR"/>
        </w:rPr>
        <w:t>appliquer toutes les conventions relatives aux droits de l</w:t>
      </w:r>
      <w:r w:rsidR="00FC0C0B">
        <w:rPr>
          <w:w w:val="100"/>
          <w:lang w:val="fr-FR"/>
        </w:rPr>
        <w:t>’</w:t>
      </w:r>
      <w:r>
        <w:rPr>
          <w:w w:val="100"/>
          <w:lang w:val="fr-FR"/>
        </w:rPr>
        <w:t>homme dont elle est partie. Il s</w:t>
      </w:r>
      <w:r w:rsidR="00FC0C0B">
        <w:rPr>
          <w:w w:val="100"/>
          <w:lang w:val="fr-FR"/>
        </w:rPr>
        <w:t>’</w:t>
      </w:r>
      <w:r>
        <w:rPr>
          <w:w w:val="100"/>
          <w:lang w:val="fr-FR"/>
        </w:rPr>
        <w:t>attache sans cesse à examiner les réserves à ces conventions qu</w:t>
      </w:r>
      <w:r w:rsidR="00FC0C0B">
        <w:rPr>
          <w:w w:val="100"/>
          <w:lang w:val="fr-FR"/>
        </w:rPr>
        <w:t>’</w:t>
      </w:r>
      <w:r>
        <w:rPr>
          <w:w w:val="100"/>
          <w:lang w:val="fr-FR"/>
        </w:rPr>
        <w:t>il a émises en vue de les limiter ou de les retirer, dans le respect de l</w:t>
      </w:r>
      <w:r w:rsidR="00FC0C0B">
        <w:rPr>
          <w:w w:val="100"/>
          <w:lang w:val="fr-FR"/>
        </w:rPr>
        <w:t>’</w:t>
      </w:r>
      <w:r>
        <w:rPr>
          <w:w w:val="100"/>
          <w:lang w:val="fr-FR"/>
        </w:rPr>
        <w:t>intérêt général.</w:t>
      </w:r>
    </w:p>
    <w:p w14:paraId="08141E14" w14:textId="06D290F4" w:rsidR="00110F58" w:rsidRPr="00110F58" w:rsidRDefault="00110F58" w:rsidP="00110F58">
      <w:pPr>
        <w:pStyle w:val="SingleTxt"/>
        <w:spacing w:after="0" w:line="120" w:lineRule="exact"/>
        <w:rPr>
          <w:w w:val="100"/>
          <w:sz w:val="10"/>
          <w:lang w:val="fr-FR"/>
        </w:rPr>
      </w:pPr>
    </w:p>
    <w:p w14:paraId="72FD453A" w14:textId="031FF572" w:rsidR="00AE1CC1" w:rsidRDefault="00110F58" w:rsidP="00A97653">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E1CC1">
        <w:rPr>
          <w:lang w:val="fr-FR"/>
        </w:rPr>
        <w:t>Recommandation énoncée au paragraphe 16</w:t>
      </w:r>
    </w:p>
    <w:p w14:paraId="7C17B6B4" w14:textId="34C9229C" w:rsidR="00110F58" w:rsidRPr="00110F58" w:rsidRDefault="00110F58" w:rsidP="00A97653">
      <w:pPr>
        <w:pStyle w:val="SingleTxt"/>
        <w:keepNext/>
        <w:spacing w:after="0" w:line="120" w:lineRule="exact"/>
        <w:rPr>
          <w:sz w:val="10"/>
          <w:lang w:val="fr-FR"/>
        </w:rPr>
      </w:pPr>
    </w:p>
    <w:p w14:paraId="7955BE39" w14:textId="0707F59B" w:rsidR="00AE1CC1" w:rsidRPr="00682915" w:rsidRDefault="00AE1CC1" w:rsidP="00A97653">
      <w:pPr>
        <w:pStyle w:val="SingleTxt"/>
        <w:keepNext/>
        <w:rPr>
          <w:w w:val="100"/>
          <w:lang w:val="fr-FR"/>
        </w:rPr>
      </w:pPr>
      <w:r w:rsidRPr="00682915">
        <w:rPr>
          <w:w w:val="100"/>
          <w:lang w:val="fr-FR"/>
        </w:rPr>
        <w:lastRenderedPageBreak/>
        <w:tab/>
        <w:t>Le Comité recommande à l</w:t>
      </w:r>
      <w:r w:rsidR="00FC0C0B">
        <w:rPr>
          <w:w w:val="100"/>
          <w:lang w:val="fr-FR"/>
        </w:rPr>
        <w:t>’</w:t>
      </w:r>
      <w:r w:rsidRPr="00682915">
        <w:rPr>
          <w:w w:val="100"/>
          <w:lang w:val="fr-FR"/>
        </w:rPr>
        <w:t>État partie</w:t>
      </w:r>
      <w:r w:rsidR="00FC0C0B">
        <w:rPr>
          <w:w w:val="100"/>
          <w:lang w:val="fr-FR"/>
        </w:rPr>
        <w:t> :</w:t>
      </w:r>
    </w:p>
    <w:p w14:paraId="696F9028" w14:textId="4133D921" w:rsidR="00AE1CC1" w:rsidRPr="00F06D64" w:rsidRDefault="00AE1CC1" w:rsidP="00110F58">
      <w:pPr>
        <w:pStyle w:val="SingleTxt"/>
        <w:ind w:left="1742" w:hanging="475"/>
        <w:rPr>
          <w:w w:val="100"/>
          <w:lang w:val="fr-FR"/>
        </w:rPr>
      </w:pPr>
      <w:r w:rsidRPr="00682915">
        <w:rPr>
          <w:w w:val="100"/>
          <w:lang w:val="fr-FR"/>
        </w:rPr>
        <w:tab/>
      </w:r>
      <w:r w:rsidR="00110F58">
        <w:rPr>
          <w:w w:val="100"/>
          <w:lang w:val="fr-FR"/>
        </w:rPr>
        <w:tab/>
      </w:r>
      <w:r w:rsidRPr="00682915">
        <w:rPr>
          <w:w w:val="100"/>
          <w:lang w:val="fr-FR"/>
        </w:rPr>
        <w:t>a)</w:t>
      </w:r>
      <w:r w:rsidRPr="00682915">
        <w:rPr>
          <w:w w:val="100"/>
          <w:lang w:val="fr-FR"/>
        </w:rPr>
        <w:tab/>
        <w:t>De fournir des renseignements détaillés sur le mandat, le statut et l</w:t>
      </w:r>
      <w:r w:rsidR="00FC0C0B">
        <w:rPr>
          <w:w w:val="100"/>
          <w:lang w:val="fr-FR"/>
        </w:rPr>
        <w:t>’</w:t>
      </w:r>
      <w:r w:rsidRPr="00682915">
        <w:rPr>
          <w:w w:val="100"/>
          <w:lang w:val="fr-FR"/>
        </w:rPr>
        <w:t>autorité de la Commission nationale des affaires familiales et sur ses relations avec les ministères concernés et les organisations non gouvernementales féminines pour ce qui est de favoriser l</w:t>
      </w:r>
      <w:r w:rsidR="00FC0C0B">
        <w:rPr>
          <w:w w:val="100"/>
          <w:lang w:val="fr-FR"/>
        </w:rPr>
        <w:t>’</w:t>
      </w:r>
      <w:r w:rsidRPr="00682915">
        <w:rPr>
          <w:w w:val="100"/>
          <w:lang w:val="fr-FR"/>
        </w:rPr>
        <w:t>égalité des sexes dans tous les organes publics et la planification participative pour la promotion des femmes, ainsi que sur les ressources humaines, techniques et financières tirées du budget national et allouées à son fonctionnement et sur sa présence à l</w:t>
      </w:r>
      <w:r w:rsidR="00FC0C0B">
        <w:rPr>
          <w:w w:val="100"/>
          <w:lang w:val="fr-FR"/>
        </w:rPr>
        <w:t>’</w:t>
      </w:r>
      <w:r w:rsidRPr="00682915">
        <w:rPr>
          <w:w w:val="100"/>
          <w:lang w:val="fr-FR"/>
        </w:rPr>
        <w:t>échelle locale et provinciale, afin de permettre au Comité d</w:t>
      </w:r>
      <w:r w:rsidR="00FC0C0B">
        <w:rPr>
          <w:w w:val="100"/>
          <w:lang w:val="fr-FR"/>
        </w:rPr>
        <w:t>’</w:t>
      </w:r>
      <w:r w:rsidRPr="00682915">
        <w:rPr>
          <w:w w:val="100"/>
          <w:lang w:val="fr-FR"/>
        </w:rPr>
        <w:t>évaluer l</w:t>
      </w:r>
      <w:r w:rsidR="00FC0C0B">
        <w:rPr>
          <w:w w:val="100"/>
          <w:lang w:val="fr-FR"/>
        </w:rPr>
        <w:t>’</w:t>
      </w:r>
      <w:r w:rsidRPr="00682915">
        <w:rPr>
          <w:w w:val="100"/>
          <w:lang w:val="fr-FR"/>
        </w:rPr>
        <w:t>efficacité de la Commission en tant que mécanisme national de promotion de la femme</w:t>
      </w:r>
      <w:r>
        <w:rPr>
          <w:w w:val="100"/>
          <w:lang w:val="fr-FR"/>
        </w:rPr>
        <w:t>.</w:t>
      </w:r>
    </w:p>
    <w:p w14:paraId="77FA4DAE" w14:textId="49F4E91A" w:rsidR="00AE1CC1" w:rsidRDefault="00AE1CC1" w:rsidP="00110F58">
      <w:pPr>
        <w:pStyle w:val="SingleTxt"/>
        <w:rPr>
          <w:w w:val="100"/>
          <w:lang w:val="fr-FR"/>
        </w:rPr>
      </w:pPr>
      <w:r w:rsidRPr="00F2769E">
        <w:rPr>
          <w:w w:val="100"/>
          <w:lang w:val="fr-FR"/>
        </w:rPr>
        <w:tab/>
        <w:t>Dans le rapport national valant deuxième et troisième rapports périodiques , il a été indiqué, au sujet des mécanismes nationaux concernés par les femmes, que le rôle et les fonctions de la Commission nationale des affaires familiales ont été révisés pour transformer la Commission en un organe de surveillance et de coordination s</w:t>
      </w:r>
      <w:r w:rsidR="00FC0C0B">
        <w:rPr>
          <w:w w:val="100"/>
          <w:lang w:val="fr-FR"/>
        </w:rPr>
        <w:t>’</w:t>
      </w:r>
      <w:r w:rsidRPr="00F2769E">
        <w:rPr>
          <w:w w:val="100"/>
          <w:lang w:val="fr-FR"/>
        </w:rPr>
        <w:t>occupant de l</w:t>
      </w:r>
      <w:r w:rsidR="00FC0C0B">
        <w:rPr>
          <w:w w:val="100"/>
          <w:lang w:val="fr-FR"/>
        </w:rPr>
        <w:t>’</w:t>
      </w:r>
      <w:r w:rsidRPr="00F2769E">
        <w:rPr>
          <w:w w:val="100"/>
          <w:lang w:val="fr-FR"/>
        </w:rPr>
        <w:t>élaboration des politiques relatives à la famille, aux femmes et aux enfants et du suivi de leur application. Il revient aux agents d</w:t>
      </w:r>
      <w:r w:rsidR="00FC0C0B">
        <w:rPr>
          <w:w w:val="100"/>
          <w:lang w:val="fr-FR"/>
        </w:rPr>
        <w:t>’</w:t>
      </w:r>
      <w:r w:rsidRPr="00F2769E">
        <w:rPr>
          <w:w w:val="100"/>
          <w:lang w:val="fr-FR"/>
        </w:rPr>
        <w:t>exécution des ministères et institutions dans toutes les provinces de faire appliquer les décisions de la Commission, qui s</w:t>
      </w:r>
      <w:r w:rsidR="00FC0C0B">
        <w:rPr>
          <w:w w:val="100"/>
          <w:lang w:val="fr-FR"/>
        </w:rPr>
        <w:t>’</w:t>
      </w:r>
      <w:r w:rsidRPr="00F2769E">
        <w:rPr>
          <w:w w:val="100"/>
          <w:lang w:val="fr-FR"/>
        </w:rPr>
        <w:t>acquitte de son mandat conformément au décret n</w:t>
      </w:r>
      <w:r w:rsidRPr="00F2769E">
        <w:rPr>
          <w:w w:val="100"/>
          <w:vertAlign w:val="superscript"/>
          <w:lang w:val="fr-FR"/>
        </w:rPr>
        <w:t>o</w:t>
      </w:r>
      <w:r w:rsidR="00091349">
        <w:rPr>
          <w:w w:val="100"/>
          <w:lang w:val="fr-FR"/>
        </w:rPr>
        <w:t> </w:t>
      </w:r>
      <w:r w:rsidRPr="00F2769E">
        <w:rPr>
          <w:w w:val="100"/>
          <w:lang w:val="fr-FR"/>
        </w:rPr>
        <w:t>12/2007 du Sultan définissant les statuts de la Commission et à l</w:t>
      </w:r>
      <w:r w:rsidR="00FC0C0B">
        <w:rPr>
          <w:w w:val="100"/>
          <w:lang w:val="fr-FR"/>
        </w:rPr>
        <w:t>’</w:t>
      </w:r>
      <w:r w:rsidRPr="00F2769E">
        <w:rPr>
          <w:w w:val="100"/>
          <w:lang w:val="fr-FR"/>
        </w:rPr>
        <w:t>arrêté ministériel n</w:t>
      </w:r>
      <w:r w:rsidRPr="00F2769E">
        <w:rPr>
          <w:w w:val="100"/>
          <w:vertAlign w:val="superscript"/>
          <w:lang w:val="fr-FR"/>
        </w:rPr>
        <w:t>o</w:t>
      </w:r>
      <w:r w:rsidR="00091349">
        <w:rPr>
          <w:w w:val="100"/>
          <w:lang w:val="fr-FR"/>
        </w:rPr>
        <w:t> </w:t>
      </w:r>
      <w:r w:rsidRPr="00F2769E">
        <w:rPr>
          <w:w w:val="100"/>
          <w:lang w:val="fr-FR"/>
        </w:rPr>
        <w:t>146/2012 pris par le Ministère du développement social concernant le règlement d</w:t>
      </w:r>
      <w:r w:rsidR="00FC0C0B">
        <w:rPr>
          <w:w w:val="100"/>
          <w:lang w:val="fr-FR"/>
        </w:rPr>
        <w:t>’</w:t>
      </w:r>
      <w:r w:rsidRPr="00F2769E">
        <w:rPr>
          <w:w w:val="100"/>
          <w:lang w:val="fr-FR"/>
        </w:rPr>
        <w:t>application relatif à la Commission nationale des affaires familiales. En vertu de l</w:t>
      </w:r>
      <w:r w:rsidR="00FC0C0B">
        <w:rPr>
          <w:w w:val="100"/>
          <w:lang w:val="fr-FR"/>
        </w:rPr>
        <w:t>’</w:t>
      </w:r>
      <w:r w:rsidRPr="00F2769E">
        <w:rPr>
          <w:w w:val="100"/>
          <w:lang w:val="fr-FR"/>
        </w:rPr>
        <w:t>arrêté ministériel n</w:t>
      </w:r>
      <w:r w:rsidRPr="00F2769E">
        <w:rPr>
          <w:w w:val="100"/>
          <w:vertAlign w:val="superscript"/>
          <w:lang w:val="fr-FR"/>
        </w:rPr>
        <w:t>o</w:t>
      </w:r>
      <w:r w:rsidR="00091349">
        <w:rPr>
          <w:w w:val="100"/>
          <w:lang w:val="fr-FR"/>
        </w:rPr>
        <w:t> </w:t>
      </w:r>
      <w:r w:rsidRPr="00F2769E">
        <w:rPr>
          <w:w w:val="100"/>
          <w:lang w:val="fr-FR"/>
        </w:rPr>
        <w:t>300/2012, un secrétariat technique a été créé au sein de la Commission. Cela montre que la Commission nationale joue un rôle important dans la supervision et la coordination de l</w:t>
      </w:r>
      <w:r w:rsidR="00FC0C0B">
        <w:rPr>
          <w:w w:val="100"/>
          <w:lang w:val="fr-FR"/>
        </w:rPr>
        <w:t>’</w:t>
      </w:r>
      <w:r w:rsidRPr="00F2769E">
        <w:rPr>
          <w:w w:val="100"/>
          <w:lang w:val="fr-FR"/>
        </w:rPr>
        <w:t>action menée pour appliquer les conventions internationales relatives aux femmes, aux enfants et aux personnes handicapées.</w:t>
      </w:r>
      <w:r>
        <w:rPr>
          <w:w w:val="100"/>
          <w:lang w:val="fr-FR"/>
        </w:rPr>
        <w:t xml:space="preserve"> </w:t>
      </w:r>
    </w:p>
    <w:p w14:paraId="588315C7" w14:textId="2AEDA471" w:rsidR="00AE1CC1" w:rsidRDefault="00AE1CC1" w:rsidP="00110F58">
      <w:pPr>
        <w:pStyle w:val="SingleTxt"/>
        <w:rPr>
          <w:w w:val="100"/>
          <w:lang w:val="fr-FR"/>
        </w:rPr>
      </w:pPr>
      <w:r w:rsidRPr="00293069">
        <w:rPr>
          <w:w w:val="100"/>
          <w:lang w:val="fr-FR"/>
        </w:rPr>
        <w:tab/>
      </w:r>
      <w:r>
        <w:rPr>
          <w:w w:val="100"/>
          <w:lang w:val="fr-FR"/>
        </w:rPr>
        <w:t xml:space="preserve">La Commission est présidée par le Ministre du développement social. </w:t>
      </w:r>
      <w:r w:rsidRPr="006F4B1C">
        <w:rPr>
          <w:w w:val="100"/>
          <w:lang w:val="fr-FR"/>
        </w:rPr>
        <w:t xml:space="preserve">Elle est composée de </w:t>
      </w:r>
      <w:r>
        <w:rPr>
          <w:w w:val="100"/>
          <w:lang w:val="fr-FR"/>
        </w:rPr>
        <w:t>huit</w:t>
      </w:r>
      <w:r w:rsidRPr="006F4B1C">
        <w:rPr>
          <w:w w:val="100"/>
          <w:lang w:val="fr-FR"/>
        </w:rPr>
        <w:t xml:space="preserve"> </w:t>
      </w:r>
      <w:r>
        <w:rPr>
          <w:w w:val="100"/>
          <w:lang w:val="fr-FR"/>
        </w:rPr>
        <w:t>représentants des entités suivantes</w:t>
      </w:r>
      <w:r w:rsidR="00FC0C0B">
        <w:rPr>
          <w:w w:val="100"/>
          <w:lang w:val="fr-FR"/>
        </w:rPr>
        <w:t> :</w:t>
      </w:r>
      <w:r>
        <w:rPr>
          <w:w w:val="100"/>
          <w:lang w:val="fr-FR"/>
        </w:rPr>
        <w:t xml:space="preserve"> le Ministère du développement social, le Ministère de la santé, le Ministère de l</w:t>
      </w:r>
      <w:r w:rsidR="00FC0C0B">
        <w:rPr>
          <w:w w:val="100"/>
          <w:lang w:val="fr-FR"/>
        </w:rPr>
        <w:t>’</w:t>
      </w:r>
      <w:r>
        <w:rPr>
          <w:w w:val="100"/>
          <w:lang w:val="fr-FR"/>
        </w:rPr>
        <w:t>éducation et de l</w:t>
      </w:r>
      <w:r w:rsidR="00FC0C0B">
        <w:rPr>
          <w:w w:val="100"/>
          <w:lang w:val="fr-FR"/>
        </w:rPr>
        <w:t>’</w:t>
      </w:r>
      <w:r>
        <w:rPr>
          <w:w w:val="100"/>
          <w:lang w:val="fr-FR"/>
        </w:rPr>
        <w:t>enseignement, le Ministère de l</w:t>
      </w:r>
      <w:r w:rsidR="00FC0C0B">
        <w:rPr>
          <w:w w:val="100"/>
          <w:lang w:val="fr-FR"/>
        </w:rPr>
        <w:t>’</w:t>
      </w:r>
      <w:r>
        <w:rPr>
          <w:w w:val="100"/>
          <w:lang w:val="fr-FR"/>
        </w:rPr>
        <w:t>information, le Ministère du patrimoine et de la culture, le Ministère de la justice, la police du Sultanat, le ministère public et la Chambre du commerce et de l</w:t>
      </w:r>
      <w:r w:rsidR="00FC0C0B">
        <w:rPr>
          <w:w w:val="100"/>
          <w:lang w:val="fr-FR"/>
        </w:rPr>
        <w:t>’</w:t>
      </w:r>
      <w:r>
        <w:rPr>
          <w:w w:val="100"/>
          <w:lang w:val="fr-FR"/>
        </w:rPr>
        <w:t xml:space="preserve">industrie. </w:t>
      </w:r>
    </w:p>
    <w:p w14:paraId="37E76004" w14:textId="2DA74F14" w:rsidR="00AE1CC1" w:rsidRDefault="00AE1CC1" w:rsidP="00110F58">
      <w:pPr>
        <w:pStyle w:val="SingleTxt"/>
        <w:rPr>
          <w:w w:val="100"/>
          <w:lang w:val="fr-FR"/>
        </w:rPr>
      </w:pPr>
      <w:r w:rsidRPr="00293069">
        <w:rPr>
          <w:w w:val="100"/>
          <w:lang w:val="fr-FR"/>
        </w:rPr>
        <w:tab/>
      </w:r>
      <w:r>
        <w:rPr>
          <w:w w:val="100"/>
          <w:lang w:val="fr-FR"/>
        </w:rPr>
        <w:t xml:space="preserve">La Commission propose des politiques et des programmes publics de protection de la famille dans les domaines social et culturel et en matière de santé et assure le suivi de leur mise en œuvre en coordination avec les parties compétentes. Elle coordonne les efforts déployés </w:t>
      </w:r>
      <w:r w:rsidRPr="009A49DB">
        <w:rPr>
          <w:w w:val="100"/>
          <w:lang w:val="fr-FR"/>
        </w:rPr>
        <w:t xml:space="preserve">par les </w:t>
      </w:r>
      <w:r>
        <w:rPr>
          <w:w w:val="100"/>
          <w:lang w:val="fr-FR"/>
        </w:rPr>
        <w:t>institutions</w:t>
      </w:r>
      <w:r w:rsidRPr="009A49DB">
        <w:rPr>
          <w:w w:val="100"/>
          <w:lang w:val="fr-FR"/>
        </w:rPr>
        <w:t xml:space="preserve"> et les organismes publics et les associations bénévoles qui s</w:t>
      </w:r>
      <w:r w:rsidR="00FC0C0B">
        <w:rPr>
          <w:w w:val="100"/>
          <w:lang w:val="fr-FR"/>
        </w:rPr>
        <w:t>’</w:t>
      </w:r>
      <w:r w:rsidRPr="009A49DB">
        <w:rPr>
          <w:w w:val="100"/>
          <w:lang w:val="fr-FR"/>
        </w:rPr>
        <w:t>occupent de la famille</w:t>
      </w:r>
      <w:r>
        <w:rPr>
          <w:w w:val="100"/>
          <w:lang w:val="fr-FR"/>
        </w:rPr>
        <w:t>, promeut des études et recherches relatives aux affaires familiales, donne des avis sur les conventions relatives à la question et collabore avec l</w:t>
      </w:r>
      <w:r w:rsidR="00FC0C0B">
        <w:rPr>
          <w:w w:val="100"/>
          <w:lang w:val="fr-FR"/>
        </w:rPr>
        <w:t>’</w:t>
      </w:r>
      <w:r>
        <w:rPr>
          <w:w w:val="100"/>
          <w:lang w:val="fr-FR"/>
        </w:rPr>
        <w:t xml:space="preserve">ensemble des commissions et </w:t>
      </w:r>
      <w:r w:rsidRPr="009A49DB">
        <w:rPr>
          <w:w w:val="100"/>
          <w:lang w:val="fr-FR"/>
        </w:rPr>
        <w:t xml:space="preserve">conseils arabes et internationaux et les organisations traitant les questions relatives à la famille. </w:t>
      </w:r>
    </w:p>
    <w:p w14:paraId="425B426F" w14:textId="14CAA6BF" w:rsidR="00AE1CC1" w:rsidRDefault="00AE1CC1" w:rsidP="00110F58">
      <w:pPr>
        <w:pStyle w:val="SingleTxt"/>
        <w:rPr>
          <w:w w:val="100"/>
          <w:lang w:val="fr-FR"/>
        </w:rPr>
      </w:pPr>
      <w:r w:rsidRPr="00293069">
        <w:rPr>
          <w:w w:val="100"/>
          <w:lang w:val="fr-FR"/>
        </w:rPr>
        <w:tab/>
      </w:r>
      <w:r>
        <w:rPr>
          <w:w w:val="100"/>
          <w:lang w:val="fr-FR"/>
        </w:rPr>
        <w:t>La Commission adopte des politiques d</w:t>
      </w:r>
      <w:r w:rsidR="00FC0C0B">
        <w:rPr>
          <w:w w:val="100"/>
          <w:lang w:val="fr-FR"/>
        </w:rPr>
        <w:t>’</w:t>
      </w:r>
      <w:r>
        <w:rPr>
          <w:w w:val="100"/>
          <w:lang w:val="fr-FR"/>
        </w:rPr>
        <w:t>autonomisation des femmes qui se traduisent par des plans et des programmes mis en œuvre en coopération avec les organismes publics, locaux et privés et les organisations de la société civile.</w:t>
      </w:r>
    </w:p>
    <w:p w14:paraId="42107304" w14:textId="4ED3FD83" w:rsidR="00AE1CC1" w:rsidRDefault="00AE1CC1" w:rsidP="00110F58">
      <w:pPr>
        <w:pStyle w:val="SingleTxt"/>
        <w:rPr>
          <w:w w:val="100"/>
          <w:lang w:val="fr-FR"/>
        </w:rPr>
      </w:pPr>
      <w:r w:rsidRPr="00293069">
        <w:rPr>
          <w:w w:val="100"/>
          <w:lang w:val="fr-FR"/>
        </w:rPr>
        <w:tab/>
      </w:r>
      <w:r>
        <w:rPr>
          <w:w w:val="100"/>
          <w:lang w:val="fr-FR"/>
        </w:rPr>
        <w:t xml:space="preserve">Des programmes phares ont été mis en œuvre dans ce domaine, notamment une série de colloques sur la cohésion familiale, lancée en 2012. Les débats organisés sont axés sur les femmes, la famille, les enfants et les valeurs qui renforcent la solidarité et la cohésion familiales. Le dernier colloque en date, tenu en 2018, était consacré au rôle de la femme dans le renforcement de la cohésion familiale et aux effets des médias sociaux sur les mœurs. </w:t>
      </w:r>
    </w:p>
    <w:p w14:paraId="0C19405D" w14:textId="0F2E959D" w:rsidR="00AE1CC1" w:rsidRDefault="00AE1CC1" w:rsidP="00110F58">
      <w:pPr>
        <w:pStyle w:val="SingleTxt"/>
        <w:rPr>
          <w:w w:val="100"/>
          <w:lang w:val="fr-FR"/>
        </w:rPr>
      </w:pPr>
      <w:r w:rsidRPr="00293069">
        <w:rPr>
          <w:w w:val="100"/>
          <w:lang w:val="fr-FR"/>
        </w:rPr>
        <w:tab/>
      </w:r>
      <w:r>
        <w:rPr>
          <w:w w:val="100"/>
          <w:lang w:val="fr-FR"/>
        </w:rPr>
        <w:t>En ce qui concerne la</w:t>
      </w:r>
      <w:r w:rsidRPr="004764CF">
        <w:rPr>
          <w:lang w:val="fr-FR"/>
        </w:rPr>
        <w:t xml:space="preserve"> </w:t>
      </w:r>
      <w:r w:rsidRPr="004764CF">
        <w:rPr>
          <w:w w:val="100"/>
          <w:lang w:val="fr-FR"/>
        </w:rPr>
        <w:t>Commission nationale des affaires familiales</w:t>
      </w:r>
      <w:r>
        <w:rPr>
          <w:w w:val="100"/>
          <w:lang w:val="fr-FR"/>
        </w:rPr>
        <w:t xml:space="preserve"> à l</w:t>
      </w:r>
      <w:r w:rsidR="00FC0C0B">
        <w:rPr>
          <w:w w:val="100"/>
          <w:lang w:val="fr-FR"/>
        </w:rPr>
        <w:t>’</w:t>
      </w:r>
      <w:r>
        <w:rPr>
          <w:w w:val="100"/>
          <w:lang w:val="fr-FR"/>
        </w:rPr>
        <w:t>échelle provinciale et locale, les services de développement familial présents dans les provinces assurent le suivi de l</w:t>
      </w:r>
      <w:r w:rsidR="00FC0C0B">
        <w:rPr>
          <w:w w:val="100"/>
          <w:lang w:val="fr-FR"/>
        </w:rPr>
        <w:t>’</w:t>
      </w:r>
      <w:r>
        <w:rPr>
          <w:w w:val="100"/>
          <w:lang w:val="fr-FR"/>
        </w:rPr>
        <w:t xml:space="preserve">application des recommandations, décisions et politiques adoptées </w:t>
      </w:r>
      <w:r>
        <w:rPr>
          <w:w w:val="100"/>
          <w:lang w:val="fr-FR"/>
        </w:rPr>
        <w:lastRenderedPageBreak/>
        <w:t>par la Commission. En outre, ils participent à l</w:t>
      </w:r>
      <w:r w:rsidR="00FC0C0B">
        <w:rPr>
          <w:w w:val="100"/>
          <w:lang w:val="fr-FR"/>
        </w:rPr>
        <w:t>’</w:t>
      </w:r>
      <w:r>
        <w:rPr>
          <w:w w:val="100"/>
          <w:lang w:val="fr-FR"/>
        </w:rPr>
        <w:t xml:space="preserve">organisation des programmes, manifestations et colloques dans toutes les provinces du Sultanat, en coopération avec les institutions nationales compétentes et les organisations de la société civile. </w:t>
      </w:r>
    </w:p>
    <w:p w14:paraId="3FC6F671" w14:textId="653E6CC7" w:rsidR="00AE1CC1" w:rsidRDefault="00AE1CC1" w:rsidP="00110F58">
      <w:pPr>
        <w:pStyle w:val="SingleTxt"/>
        <w:rPr>
          <w:w w:val="100"/>
          <w:lang w:val="fr-FR"/>
        </w:rPr>
      </w:pPr>
      <w:r w:rsidRPr="00293069">
        <w:rPr>
          <w:w w:val="100"/>
          <w:lang w:val="fr-FR"/>
        </w:rPr>
        <w:tab/>
      </w:r>
      <w:r>
        <w:rPr>
          <w:w w:val="100"/>
          <w:lang w:val="fr-FR"/>
        </w:rPr>
        <w:t>La Commission attache une très grande importance à l</w:t>
      </w:r>
      <w:r w:rsidR="00FC0C0B">
        <w:rPr>
          <w:w w:val="100"/>
          <w:lang w:val="fr-FR"/>
        </w:rPr>
        <w:t>’</w:t>
      </w:r>
      <w:r>
        <w:rPr>
          <w:w w:val="100"/>
          <w:lang w:val="fr-FR"/>
        </w:rPr>
        <w:t>étude et à l</w:t>
      </w:r>
      <w:r w:rsidR="00FC0C0B">
        <w:rPr>
          <w:w w:val="100"/>
          <w:lang w:val="fr-FR"/>
        </w:rPr>
        <w:t>’</w:t>
      </w:r>
      <w:r>
        <w:rPr>
          <w:w w:val="100"/>
          <w:lang w:val="fr-FR"/>
        </w:rPr>
        <w:t>analyse des problèmes et phénomènes sociaux</w:t>
      </w:r>
      <w:r w:rsidR="00405D8A">
        <w:rPr>
          <w:w w:val="100"/>
          <w:lang w:val="fr-FR"/>
        </w:rPr>
        <w:t xml:space="preserve"> </w:t>
      </w:r>
      <w:r>
        <w:rPr>
          <w:w w:val="100"/>
          <w:lang w:val="fr-FR"/>
        </w:rPr>
        <w:t>en vue d</w:t>
      </w:r>
      <w:r w:rsidR="00FC0C0B">
        <w:rPr>
          <w:w w:val="100"/>
          <w:lang w:val="fr-FR"/>
        </w:rPr>
        <w:t>’</w:t>
      </w:r>
      <w:r>
        <w:rPr>
          <w:w w:val="100"/>
          <w:lang w:val="fr-FR"/>
        </w:rPr>
        <w:t xml:space="preserve">apporter les solutions nécessaires. </w:t>
      </w:r>
    </w:p>
    <w:p w14:paraId="4EE931E7" w14:textId="4DCF1AB6" w:rsidR="00AE1CC1" w:rsidRDefault="00AE1CC1" w:rsidP="00110F58">
      <w:pPr>
        <w:pStyle w:val="SingleTxt"/>
        <w:rPr>
          <w:w w:val="100"/>
          <w:lang w:val="fr-FR"/>
        </w:rPr>
      </w:pPr>
      <w:r w:rsidRPr="00293069">
        <w:rPr>
          <w:w w:val="100"/>
          <w:lang w:val="fr-FR"/>
        </w:rPr>
        <w:tab/>
      </w:r>
      <w:r>
        <w:rPr>
          <w:w w:val="100"/>
          <w:lang w:val="fr-FR"/>
        </w:rPr>
        <w:t>S</w:t>
      </w:r>
      <w:r w:rsidR="00FC0C0B">
        <w:rPr>
          <w:w w:val="100"/>
          <w:lang w:val="fr-FR"/>
        </w:rPr>
        <w:t>’</w:t>
      </w:r>
      <w:r>
        <w:rPr>
          <w:w w:val="100"/>
          <w:lang w:val="fr-FR"/>
        </w:rPr>
        <w:t>agissant des ressources humaines, techniques et financières de la Commission, conformément à l</w:t>
      </w:r>
      <w:r w:rsidR="00FC0C0B">
        <w:rPr>
          <w:w w:val="100"/>
          <w:lang w:val="fr-FR"/>
        </w:rPr>
        <w:t>’</w:t>
      </w:r>
      <w:r>
        <w:rPr>
          <w:w w:val="100"/>
          <w:lang w:val="fr-FR"/>
        </w:rPr>
        <w:t>article 3 du décret n</w:t>
      </w:r>
      <w:r w:rsidRPr="007775C0">
        <w:rPr>
          <w:w w:val="100"/>
          <w:vertAlign w:val="superscript"/>
          <w:lang w:val="fr-FR"/>
        </w:rPr>
        <w:t>o</w:t>
      </w:r>
      <w:r w:rsidR="00091349">
        <w:rPr>
          <w:w w:val="100"/>
          <w:lang w:val="fr-FR"/>
        </w:rPr>
        <w:t> </w:t>
      </w:r>
      <w:r>
        <w:rPr>
          <w:w w:val="100"/>
          <w:lang w:val="fr-FR"/>
        </w:rPr>
        <w:t>12/2007 du Sultan, la Commission est dotée d</w:t>
      </w:r>
      <w:r w:rsidR="00FC0C0B">
        <w:rPr>
          <w:w w:val="100"/>
          <w:lang w:val="fr-FR"/>
        </w:rPr>
        <w:t>’</w:t>
      </w:r>
      <w:r>
        <w:rPr>
          <w:w w:val="100"/>
          <w:lang w:val="fr-FR"/>
        </w:rPr>
        <w:t>un budget propre regroupant recettes et dépenses. Ce budget est financé comme suit</w:t>
      </w:r>
      <w:r w:rsidR="00FC0C0B">
        <w:rPr>
          <w:w w:val="100"/>
          <w:lang w:val="fr-FR"/>
        </w:rPr>
        <w:t> :</w:t>
      </w:r>
    </w:p>
    <w:p w14:paraId="632C577D" w14:textId="57E0FFE8" w:rsidR="00AE1CC1" w:rsidRPr="007F7EDB" w:rsidRDefault="005A4EE1" w:rsidP="005A4EE1">
      <w:pPr>
        <w:pStyle w:val="SingleTxt"/>
        <w:rPr>
          <w:w w:val="100"/>
          <w:lang w:val="fr-FR"/>
        </w:rPr>
      </w:pPr>
      <w:r>
        <w:rPr>
          <w:w w:val="100"/>
          <w:lang w:val="fr-FR"/>
        </w:rPr>
        <w:tab/>
      </w:r>
      <w:r w:rsidR="00AE1CC1" w:rsidRPr="007F7EDB">
        <w:rPr>
          <w:w w:val="100"/>
          <w:lang w:val="fr-FR"/>
        </w:rPr>
        <w:t>a)</w:t>
      </w:r>
      <w:r w:rsidR="00AE1CC1" w:rsidRPr="007F7EDB">
        <w:rPr>
          <w:w w:val="100"/>
          <w:lang w:val="fr-FR"/>
        </w:rPr>
        <w:tab/>
      </w:r>
      <w:r w:rsidR="00AE1CC1">
        <w:rPr>
          <w:w w:val="100"/>
          <w:lang w:val="fr-FR"/>
        </w:rPr>
        <w:t>crédits alloués</w:t>
      </w:r>
      <w:r w:rsidR="00AE1CC1" w:rsidRPr="007F7EDB">
        <w:rPr>
          <w:w w:val="100"/>
          <w:lang w:val="fr-FR"/>
        </w:rPr>
        <w:t xml:space="preserve"> au t</w:t>
      </w:r>
      <w:r w:rsidR="00AE1CC1">
        <w:rPr>
          <w:w w:val="100"/>
          <w:lang w:val="fr-FR"/>
        </w:rPr>
        <w:t>itre du budget de l</w:t>
      </w:r>
      <w:r w:rsidR="00FC0C0B">
        <w:rPr>
          <w:w w:val="100"/>
          <w:lang w:val="fr-FR"/>
        </w:rPr>
        <w:t>’</w:t>
      </w:r>
      <w:r w:rsidR="00AE1CC1">
        <w:rPr>
          <w:w w:val="100"/>
          <w:lang w:val="fr-FR"/>
        </w:rPr>
        <w:t>État ;</w:t>
      </w:r>
    </w:p>
    <w:p w14:paraId="372537D1" w14:textId="36AEEDA4" w:rsidR="00AE1CC1" w:rsidRPr="007F7EDB" w:rsidRDefault="005A4EE1" w:rsidP="005A4EE1">
      <w:pPr>
        <w:pStyle w:val="SingleTxt"/>
        <w:rPr>
          <w:w w:val="100"/>
          <w:lang w:val="fr-FR"/>
        </w:rPr>
      </w:pPr>
      <w:r>
        <w:rPr>
          <w:w w:val="100"/>
          <w:lang w:val="fr-FR"/>
        </w:rPr>
        <w:tab/>
      </w:r>
      <w:r w:rsidR="00AE1CC1" w:rsidRPr="007F7EDB">
        <w:rPr>
          <w:w w:val="100"/>
          <w:lang w:val="fr-FR"/>
        </w:rPr>
        <w:t>b)</w:t>
      </w:r>
      <w:r w:rsidR="00AE1CC1" w:rsidRPr="007F7EDB">
        <w:rPr>
          <w:w w:val="100"/>
          <w:lang w:val="fr-FR"/>
        </w:rPr>
        <w:tab/>
      </w:r>
      <w:r w:rsidR="00AE1CC1">
        <w:rPr>
          <w:w w:val="100"/>
          <w:lang w:val="fr-FR"/>
        </w:rPr>
        <w:t>d</w:t>
      </w:r>
      <w:r w:rsidR="00AE1CC1" w:rsidRPr="007F7EDB">
        <w:rPr>
          <w:w w:val="100"/>
          <w:lang w:val="fr-FR"/>
        </w:rPr>
        <w:t>ons, subventions et a</w:t>
      </w:r>
      <w:r w:rsidR="00AE1CC1">
        <w:rPr>
          <w:w w:val="100"/>
          <w:lang w:val="fr-FR"/>
        </w:rPr>
        <w:t>ides financières reçues après approbation des autorités compétentes ;</w:t>
      </w:r>
    </w:p>
    <w:p w14:paraId="29DB2BDD" w14:textId="6FDF7F26" w:rsidR="00AE1CC1" w:rsidRPr="00C308F0" w:rsidRDefault="005A4EE1" w:rsidP="005A4EE1">
      <w:pPr>
        <w:pStyle w:val="SingleTxt"/>
        <w:rPr>
          <w:w w:val="100"/>
          <w:lang w:val="fr-FR"/>
        </w:rPr>
      </w:pPr>
      <w:r>
        <w:rPr>
          <w:w w:val="100"/>
          <w:lang w:val="fr-FR"/>
        </w:rPr>
        <w:tab/>
      </w:r>
      <w:r w:rsidR="00AE1CC1" w:rsidRPr="00C308F0">
        <w:rPr>
          <w:w w:val="100"/>
          <w:lang w:val="fr-FR"/>
        </w:rPr>
        <w:t>c)</w:t>
      </w:r>
      <w:r w:rsidR="00AE1CC1" w:rsidRPr="00C308F0">
        <w:rPr>
          <w:w w:val="100"/>
          <w:lang w:val="fr-FR"/>
        </w:rPr>
        <w:tab/>
        <w:t>contributions des institutions, o</w:t>
      </w:r>
      <w:r w:rsidR="00AE1CC1">
        <w:rPr>
          <w:w w:val="100"/>
          <w:lang w:val="fr-FR"/>
        </w:rPr>
        <w:t>rganes et acteurs locaux ;</w:t>
      </w:r>
    </w:p>
    <w:p w14:paraId="582E7614" w14:textId="688C61A4" w:rsidR="00AE1CC1" w:rsidRDefault="005A4EE1" w:rsidP="005A4EE1">
      <w:pPr>
        <w:pStyle w:val="SingleTxt"/>
        <w:rPr>
          <w:w w:val="100"/>
          <w:lang w:val="fr-FR"/>
        </w:rPr>
      </w:pPr>
      <w:r>
        <w:rPr>
          <w:w w:val="100"/>
          <w:lang w:val="fr-FR"/>
        </w:rPr>
        <w:tab/>
      </w:r>
      <w:r w:rsidR="00AE1CC1" w:rsidRPr="00C308F0">
        <w:rPr>
          <w:w w:val="100"/>
          <w:lang w:val="fr-FR"/>
        </w:rPr>
        <w:t>d)</w:t>
      </w:r>
      <w:r w:rsidR="00AE1CC1" w:rsidRPr="00C308F0">
        <w:rPr>
          <w:w w:val="100"/>
          <w:lang w:val="fr-FR"/>
        </w:rPr>
        <w:tab/>
        <w:t>recettes tirées d</w:t>
      </w:r>
      <w:r w:rsidR="00FC0C0B">
        <w:rPr>
          <w:w w:val="100"/>
          <w:lang w:val="fr-FR"/>
        </w:rPr>
        <w:t>’</w:t>
      </w:r>
      <w:r w:rsidR="00AE1CC1">
        <w:rPr>
          <w:w w:val="100"/>
          <w:lang w:val="fr-FR"/>
        </w:rPr>
        <w:t>activités entreprises par la Commission.</w:t>
      </w:r>
    </w:p>
    <w:p w14:paraId="34D7EFF8" w14:textId="5B1DC805" w:rsidR="005A4EE1" w:rsidRPr="005A4EE1" w:rsidRDefault="005A4EE1" w:rsidP="005A4EE1">
      <w:pPr>
        <w:pStyle w:val="SingleTxt"/>
        <w:spacing w:after="0" w:line="120" w:lineRule="exact"/>
        <w:rPr>
          <w:w w:val="100"/>
          <w:sz w:val="10"/>
          <w:lang w:val="fr-FR"/>
        </w:rPr>
      </w:pPr>
    </w:p>
    <w:p w14:paraId="618F6B37" w14:textId="2308F6F8" w:rsidR="00AE1CC1" w:rsidRDefault="005A4EE1" w:rsidP="005A4E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E1CC1">
        <w:rPr>
          <w:lang w:val="fr-FR"/>
        </w:rPr>
        <w:t>Recommandation énoncée au paragraphe 24</w:t>
      </w:r>
    </w:p>
    <w:p w14:paraId="29F73CC5" w14:textId="0CE31FA5" w:rsidR="005A4EE1" w:rsidRPr="005A4EE1" w:rsidRDefault="005A4EE1" w:rsidP="005A4EE1">
      <w:pPr>
        <w:pStyle w:val="SingleTxt"/>
        <w:spacing w:after="0" w:line="120" w:lineRule="exact"/>
        <w:rPr>
          <w:sz w:val="10"/>
          <w:lang w:val="fr-FR"/>
        </w:rPr>
      </w:pPr>
    </w:p>
    <w:p w14:paraId="561105CE" w14:textId="593BFF8E" w:rsidR="00AE1CC1" w:rsidRPr="006B5E7E" w:rsidRDefault="005A4EE1" w:rsidP="005A4EE1">
      <w:pPr>
        <w:pStyle w:val="SingleTxt"/>
        <w:rPr>
          <w:w w:val="100"/>
          <w:lang w:val="fr-FR"/>
        </w:rPr>
      </w:pPr>
      <w:r>
        <w:rPr>
          <w:w w:val="100"/>
          <w:lang w:val="fr-FR"/>
        </w:rPr>
        <w:tab/>
      </w:r>
      <w:r w:rsidR="00AE1CC1" w:rsidRPr="006B5E7E">
        <w:rPr>
          <w:w w:val="100"/>
          <w:lang w:val="fr-FR"/>
        </w:rPr>
        <w:t>À la lumière de la recommandation générale/observation générale conjointe n</w:t>
      </w:r>
      <w:r w:rsidR="00AE1CC1" w:rsidRPr="008F35DC">
        <w:rPr>
          <w:w w:val="100"/>
          <w:vertAlign w:val="superscript"/>
          <w:lang w:val="fr-FR"/>
        </w:rPr>
        <w:t>o</w:t>
      </w:r>
      <w:r w:rsidR="00091349">
        <w:rPr>
          <w:w w:val="100"/>
          <w:lang w:val="fr-FR"/>
        </w:rPr>
        <w:t> </w:t>
      </w:r>
      <w:r w:rsidR="00AE1CC1" w:rsidRPr="006B5E7E">
        <w:rPr>
          <w:w w:val="100"/>
          <w:lang w:val="fr-FR"/>
        </w:rPr>
        <w:t>31 du Comité pour l</w:t>
      </w:r>
      <w:r w:rsidR="00FC0C0B">
        <w:rPr>
          <w:w w:val="100"/>
          <w:lang w:val="fr-FR"/>
        </w:rPr>
        <w:t>’</w:t>
      </w:r>
      <w:r w:rsidR="00AE1CC1" w:rsidRPr="006B5E7E">
        <w:rPr>
          <w:w w:val="100"/>
          <w:lang w:val="fr-FR"/>
        </w:rPr>
        <w:t>élimination de la discrimination à l</w:t>
      </w:r>
      <w:r w:rsidR="00FC0C0B">
        <w:rPr>
          <w:w w:val="100"/>
          <w:lang w:val="fr-FR"/>
        </w:rPr>
        <w:t>’</w:t>
      </w:r>
      <w:r w:rsidR="00AE1CC1" w:rsidRPr="006B5E7E">
        <w:rPr>
          <w:w w:val="100"/>
          <w:lang w:val="fr-FR"/>
        </w:rPr>
        <w:t>égard des femmes et n</w:t>
      </w:r>
      <w:r w:rsidR="00AE1CC1" w:rsidRPr="008F35DC">
        <w:rPr>
          <w:w w:val="100"/>
          <w:vertAlign w:val="superscript"/>
          <w:lang w:val="fr-FR"/>
        </w:rPr>
        <w:t>o</w:t>
      </w:r>
      <w:r w:rsidR="009E0FAA">
        <w:rPr>
          <w:w w:val="100"/>
          <w:lang w:val="fr-FR"/>
        </w:rPr>
        <w:t> </w:t>
      </w:r>
      <w:r w:rsidR="00AE1CC1" w:rsidRPr="006B5E7E">
        <w:rPr>
          <w:w w:val="100"/>
          <w:lang w:val="fr-FR"/>
        </w:rPr>
        <w:t>18 du Comité des droits de l</w:t>
      </w:r>
      <w:r w:rsidR="00FC0C0B">
        <w:rPr>
          <w:w w:val="100"/>
          <w:lang w:val="fr-FR"/>
        </w:rPr>
        <w:t>’</w:t>
      </w:r>
      <w:r w:rsidR="00AE1CC1" w:rsidRPr="006B5E7E">
        <w:rPr>
          <w:w w:val="100"/>
          <w:lang w:val="fr-FR"/>
        </w:rPr>
        <w:t>enfant (2014) sur les pratiques préjudiciables, le Comité recommande à l</w:t>
      </w:r>
      <w:r w:rsidR="00FC0C0B">
        <w:rPr>
          <w:w w:val="100"/>
          <w:lang w:val="fr-FR"/>
        </w:rPr>
        <w:t>’</w:t>
      </w:r>
      <w:r w:rsidR="00AE1CC1" w:rsidRPr="006B5E7E">
        <w:rPr>
          <w:w w:val="100"/>
          <w:lang w:val="fr-FR"/>
        </w:rPr>
        <w:t>État partie</w:t>
      </w:r>
      <w:r w:rsidR="00FC0C0B">
        <w:rPr>
          <w:w w:val="100"/>
          <w:lang w:val="fr-FR"/>
        </w:rPr>
        <w:t> :</w:t>
      </w:r>
    </w:p>
    <w:p w14:paraId="66188E18" w14:textId="52537A15" w:rsidR="00AE1CC1" w:rsidRDefault="005A4EE1" w:rsidP="005A4EE1">
      <w:pPr>
        <w:pStyle w:val="SingleTxt"/>
        <w:ind w:left="1742" w:hanging="475"/>
        <w:rPr>
          <w:w w:val="100"/>
          <w:lang w:val="fr-FR"/>
        </w:rPr>
      </w:pPr>
      <w:r>
        <w:rPr>
          <w:w w:val="100"/>
          <w:lang w:val="fr-FR"/>
        </w:rPr>
        <w:tab/>
      </w:r>
      <w:r>
        <w:rPr>
          <w:w w:val="100"/>
          <w:lang w:val="fr-FR"/>
        </w:rPr>
        <w:tab/>
      </w:r>
      <w:r w:rsidR="00AE1CC1" w:rsidRPr="006B5E7E">
        <w:rPr>
          <w:w w:val="100"/>
          <w:lang w:val="fr-FR"/>
        </w:rPr>
        <w:t>a)</w:t>
      </w:r>
      <w:r w:rsidR="00AE1CC1" w:rsidRPr="006B5E7E">
        <w:rPr>
          <w:w w:val="100"/>
          <w:lang w:val="fr-FR"/>
        </w:rPr>
        <w:tab/>
        <w:t>De réaliser une étude nationale sur l</w:t>
      </w:r>
      <w:r w:rsidR="00FC0C0B">
        <w:rPr>
          <w:w w:val="100"/>
          <w:lang w:val="fr-FR"/>
        </w:rPr>
        <w:t>’</w:t>
      </w:r>
      <w:r w:rsidR="00AE1CC1" w:rsidRPr="006B5E7E">
        <w:rPr>
          <w:w w:val="100"/>
          <w:lang w:val="fr-FR"/>
        </w:rPr>
        <w:t>ampleur des pratiques préjudiciables sur le territoire national et de continuer de s</w:t>
      </w:r>
      <w:r w:rsidR="00FC0C0B">
        <w:rPr>
          <w:w w:val="100"/>
          <w:lang w:val="fr-FR"/>
        </w:rPr>
        <w:t>’</w:t>
      </w:r>
      <w:r w:rsidR="00AE1CC1" w:rsidRPr="006B5E7E">
        <w:rPr>
          <w:w w:val="100"/>
          <w:lang w:val="fr-FR"/>
        </w:rPr>
        <w:t>employer à éliminer toutes ces pratiques, y compris les mutilations génitales féminines, le mariage des enfants et le mariage forcé, en particulier dans les zones rurales</w:t>
      </w:r>
      <w:r w:rsidR="00AE1CC1">
        <w:rPr>
          <w:w w:val="100"/>
          <w:lang w:val="fr-FR"/>
        </w:rPr>
        <w:t>.</w:t>
      </w:r>
    </w:p>
    <w:p w14:paraId="57101BE3" w14:textId="6DC7C82B" w:rsidR="00AE1CC1" w:rsidRDefault="00AE1CC1" w:rsidP="005A4EE1">
      <w:pPr>
        <w:pStyle w:val="SingleTxt"/>
        <w:rPr>
          <w:w w:val="100"/>
          <w:lang w:val="fr-FR"/>
        </w:rPr>
      </w:pPr>
      <w:r w:rsidRPr="00293069">
        <w:rPr>
          <w:w w:val="100"/>
          <w:lang w:val="fr-FR"/>
        </w:rPr>
        <w:tab/>
      </w:r>
      <w:r>
        <w:rPr>
          <w:w w:val="100"/>
          <w:lang w:val="fr-FR"/>
        </w:rPr>
        <w:t>En vertu de l</w:t>
      </w:r>
      <w:r w:rsidR="00FC0C0B">
        <w:rPr>
          <w:w w:val="100"/>
          <w:lang w:val="fr-FR"/>
        </w:rPr>
        <w:t>’</w:t>
      </w:r>
      <w:r>
        <w:rPr>
          <w:w w:val="100"/>
          <w:lang w:val="fr-FR"/>
        </w:rPr>
        <w:t>article 20 du décret n</w:t>
      </w:r>
      <w:r w:rsidRPr="008F35DC">
        <w:rPr>
          <w:w w:val="100"/>
          <w:vertAlign w:val="superscript"/>
          <w:lang w:val="fr-FR"/>
        </w:rPr>
        <w:t>o</w:t>
      </w:r>
      <w:r w:rsidR="009E0FAA">
        <w:rPr>
          <w:w w:val="100"/>
          <w:lang w:val="fr-FR"/>
        </w:rPr>
        <w:t> </w:t>
      </w:r>
      <w:r>
        <w:rPr>
          <w:w w:val="100"/>
          <w:lang w:val="fr-FR"/>
        </w:rPr>
        <w:t>22/2014 du Sultan portant promulgation de la loi relative</w:t>
      </w:r>
      <w:r w:rsidR="00405D8A">
        <w:rPr>
          <w:w w:val="100"/>
          <w:lang w:val="fr-FR"/>
        </w:rPr>
        <w:t xml:space="preserve"> </w:t>
      </w:r>
      <w:r>
        <w:rPr>
          <w:w w:val="100"/>
          <w:lang w:val="fr-FR"/>
        </w:rPr>
        <w:t>aux enfants, il est interdit à toute personne, en particulier aux médecins, infirmières et infirmiers et tuteurs, de se livrer à des pratiques traditionnelles préjudiciables à la santé de l</w:t>
      </w:r>
      <w:r w:rsidR="00FC0C0B">
        <w:rPr>
          <w:w w:val="100"/>
          <w:lang w:val="fr-FR"/>
        </w:rPr>
        <w:t>’</w:t>
      </w:r>
      <w:r>
        <w:rPr>
          <w:w w:val="100"/>
          <w:lang w:val="fr-FR"/>
        </w:rPr>
        <w:t>enfant et de promouvoir ou faciliter de telles pratiques.</w:t>
      </w:r>
    </w:p>
    <w:p w14:paraId="200AC642" w14:textId="37A4E7D8" w:rsidR="00AE1CC1" w:rsidRDefault="00AE1CC1" w:rsidP="005A4EE1">
      <w:pPr>
        <w:pStyle w:val="SingleTxt"/>
        <w:rPr>
          <w:w w:val="100"/>
          <w:lang w:val="fr-FR"/>
        </w:rPr>
      </w:pPr>
      <w:r w:rsidRPr="00293069">
        <w:rPr>
          <w:w w:val="100"/>
          <w:lang w:val="fr-FR"/>
        </w:rPr>
        <w:tab/>
      </w:r>
      <w:r>
        <w:rPr>
          <w:w w:val="100"/>
          <w:lang w:val="fr-FR"/>
        </w:rPr>
        <w:t>L</w:t>
      </w:r>
      <w:r w:rsidR="00FC0C0B">
        <w:rPr>
          <w:w w:val="100"/>
          <w:lang w:val="fr-FR"/>
        </w:rPr>
        <w:t>’</w:t>
      </w:r>
      <w:r>
        <w:rPr>
          <w:w w:val="100"/>
          <w:lang w:val="fr-FR"/>
        </w:rPr>
        <w:t>article 4 du règlement d</w:t>
      </w:r>
      <w:r w:rsidR="00FC0C0B">
        <w:rPr>
          <w:w w:val="100"/>
          <w:lang w:val="fr-FR"/>
        </w:rPr>
        <w:t>’</w:t>
      </w:r>
      <w:r>
        <w:rPr>
          <w:w w:val="100"/>
          <w:lang w:val="fr-FR"/>
        </w:rPr>
        <w:t>application de la loi relative aux enfants (arrêté ministériel n</w:t>
      </w:r>
      <w:r w:rsidRPr="00BE48E1">
        <w:rPr>
          <w:w w:val="100"/>
          <w:vertAlign w:val="superscript"/>
          <w:lang w:val="fr-FR"/>
        </w:rPr>
        <w:t>o</w:t>
      </w:r>
      <w:r>
        <w:rPr>
          <w:w w:val="100"/>
          <w:lang w:val="fr-FR"/>
        </w:rPr>
        <w:t> 125/2019 pris par le Ministère du développement social) définit plusieurs pratiques préjudiciables à la santé de l</w:t>
      </w:r>
      <w:r w:rsidR="00FC0C0B">
        <w:rPr>
          <w:w w:val="100"/>
          <w:lang w:val="fr-FR"/>
        </w:rPr>
        <w:t>’</w:t>
      </w:r>
      <w:r>
        <w:rPr>
          <w:w w:val="100"/>
          <w:lang w:val="fr-FR"/>
        </w:rPr>
        <w:t xml:space="preserve">enfant, notamment </w:t>
      </w:r>
      <w:r w:rsidRPr="00BE48E1">
        <w:rPr>
          <w:w w:val="100"/>
          <w:lang w:val="fr-FR"/>
        </w:rPr>
        <w:t>les mutilations génitales féminines</w:t>
      </w:r>
      <w:r>
        <w:rPr>
          <w:w w:val="100"/>
          <w:lang w:val="fr-FR"/>
        </w:rPr>
        <w:t>, sous toutes leurs formes,</w:t>
      </w:r>
      <w:r w:rsidR="00405D8A">
        <w:rPr>
          <w:w w:val="100"/>
          <w:lang w:val="fr-FR"/>
        </w:rPr>
        <w:t xml:space="preserve"> </w:t>
      </w:r>
      <w:r>
        <w:rPr>
          <w:w w:val="100"/>
          <w:lang w:val="fr-FR"/>
        </w:rPr>
        <w:t>et d</w:t>
      </w:r>
      <w:r w:rsidR="00FC0C0B">
        <w:rPr>
          <w:w w:val="100"/>
          <w:lang w:val="fr-FR"/>
        </w:rPr>
        <w:t>’</w:t>
      </w:r>
      <w:r>
        <w:rPr>
          <w:w w:val="100"/>
          <w:lang w:val="fr-FR"/>
        </w:rPr>
        <w:t>autres pratiques traditionnelles préjudiciables à l</w:t>
      </w:r>
      <w:r w:rsidR="00FC0C0B">
        <w:rPr>
          <w:w w:val="100"/>
          <w:lang w:val="fr-FR"/>
        </w:rPr>
        <w:t>’</w:t>
      </w:r>
      <w:r>
        <w:rPr>
          <w:w w:val="100"/>
          <w:lang w:val="fr-FR"/>
        </w:rPr>
        <w:t>enfant confirmées par les organes compétents dans un rapport.</w:t>
      </w:r>
    </w:p>
    <w:p w14:paraId="58648FF1" w14:textId="77DE83EF" w:rsidR="00AE1CC1" w:rsidRPr="005A4EE1" w:rsidRDefault="00AE1CC1" w:rsidP="005A4EE1">
      <w:pPr>
        <w:pStyle w:val="SingleTxt"/>
        <w:rPr>
          <w:w w:val="100"/>
          <w:lang w:val="fr-FR"/>
        </w:rPr>
      </w:pPr>
      <w:r w:rsidRPr="005A4EE1">
        <w:rPr>
          <w:w w:val="100"/>
          <w:lang w:val="fr-FR"/>
        </w:rPr>
        <w:tab/>
        <w:t>Pour ce qui est de réaliser une étude sur l</w:t>
      </w:r>
      <w:r w:rsidR="00FC0C0B">
        <w:rPr>
          <w:w w:val="100"/>
          <w:lang w:val="fr-FR"/>
        </w:rPr>
        <w:t>’</w:t>
      </w:r>
      <w:r w:rsidRPr="005A4EE1">
        <w:rPr>
          <w:w w:val="100"/>
          <w:lang w:val="fr-FR"/>
        </w:rPr>
        <w:t>ampleur des pratiques préjudiciables, y</w:t>
      </w:r>
      <w:r w:rsidR="005A4EE1">
        <w:rPr>
          <w:w w:val="100"/>
          <w:lang w:val="fr-FR"/>
        </w:rPr>
        <w:t> </w:t>
      </w:r>
      <w:r w:rsidRPr="005A4EE1">
        <w:rPr>
          <w:w w:val="100"/>
          <w:lang w:val="fr-FR"/>
        </w:rPr>
        <w:t>compris les mutilations génitales féminines, le mariage des enfants et le mariage forcé, le Comité de suivi chargé de l</w:t>
      </w:r>
      <w:r w:rsidR="00FC0C0B">
        <w:rPr>
          <w:w w:val="100"/>
          <w:lang w:val="fr-FR"/>
        </w:rPr>
        <w:t>’</w:t>
      </w:r>
      <w:r w:rsidRPr="005A4EE1">
        <w:rPr>
          <w:w w:val="100"/>
          <w:lang w:val="fr-FR"/>
        </w:rPr>
        <w:t>application de la Convention, lors de sa première réunion de 2018, a examiné cette question et recommandé l</w:t>
      </w:r>
      <w:r w:rsidR="00FC0C0B">
        <w:rPr>
          <w:w w:val="100"/>
          <w:lang w:val="fr-FR"/>
        </w:rPr>
        <w:t>’</w:t>
      </w:r>
      <w:r w:rsidRPr="005A4EE1">
        <w:rPr>
          <w:w w:val="100"/>
          <w:lang w:val="fr-FR"/>
        </w:rPr>
        <w:t>établissement d</w:t>
      </w:r>
      <w:r w:rsidR="00FC0C0B">
        <w:rPr>
          <w:w w:val="100"/>
          <w:lang w:val="fr-FR"/>
        </w:rPr>
        <w:t>’</w:t>
      </w:r>
      <w:r w:rsidRPr="005A4EE1">
        <w:rPr>
          <w:w w:val="100"/>
          <w:lang w:val="fr-FR"/>
        </w:rPr>
        <w:t>un rapport complet sur l</w:t>
      </w:r>
      <w:r w:rsidR="00FC0C0B">
        <w:rPr>
          <w:w w:val="100"/>
          <w:lang w:val="fr-FR"/>
        </w:rPr>
        <w:t>’</w:t>
      </w:r>
      <w:r w:rsidRPr="005A4EE1">
        <w:rPr>
          <w:w w:val="100"/>
          <w:lang w:val="fr-FR"/>
        </w:rPr>
        <w:t>excision.</w:t>
      </w:r>
    </w:p>
    <w:p w14:paraId="24F2F2B5" w14:textId="245714CE" w:rsidR="00AE1CC1" w:rsidRPr="005A4EE1" w:rsidRDefault="00AE1CC1" w:rsidP="005A4EE1">
      <w:pPr>
        <w:pStyle w:val="SingleTxt"/>
        <w:rPr>
          <w:w w:val="100"/>
          <w:lang w:val="fr-FR"/>
        </w:rPr>
      </w:pPr>
      <w:r w:rsidRPr="005A4EE1">
        <w:rPr>
          <w:w w:val="100"/>
          <w:lang w:val="fr-FR"/>
        </w:rPr>
        <w:tab/>
        <w:t>Le 11 septembre 2019, le Comité de suivi chargé de l</w:t>
      </w:r>
      <w:r w:rsidR="00FC0C0B">
        <w:rPr>
          <w:w w:val="100"/>
          <w:lang w:val="fr-FR"/>
        </w:rPr>
        <w:t>’</w:t>
      </w:r>
      <w:r w:rsidRPr="005A4EE1">
        <w:rPr>
          <w:w w:val="100"/>
          <w:lang w:val="fr-FR"/>
        </w:rPr>
        <w:t>application de la Convention sur l</w:t>
      </w:r>
      <w:r w:rsidR="00FC0C0B">
        <w:rPr>
          <w:w w:val="100"/>
          <w:lang w:val="fr-FR"/>
        </w:rPr>
        <w:t>’</w:t>
      </w:r>
      <w:r w:rsidRPr="005A4EE1">
        <w:rPr>
          <w:w w:val="100"/>
          <w:lang w:val="fr-FR"/>
        </w:rPr>
        <w:t>élimination de toutes les formes de discrimination à l</w:t>
      </w:r>
      <w:r w:rsidR="00FC0C0B">
        <w:rPr>
          <w:w w:val="100"/>
          <w:lang w:val="fr-FR"/>
        </w:rPr>
        <w:t>’</w:t>
      </w:r>
      <w:r w:rsidRPr="005A4EE1">
        <w:rPr>
          <w:w w:val="100"/>
          <w:lang w:val="fr-FR"/>
        </w:rPr>
        <w:t>égard des femmes a tenu une réunion conjointe avec le Comité de suivi chargé de l</w:t>
      </w:r>
      <w:r w:rsidR="00FC0C0B">
        <w:rPr>
          <w:w w:val="100"/>
          <w:lang w:val="fr-FR"/>
        </w:rPr>
        <w:t>’</w:t>
      </w:r>
      <w:r w:rsidRPr="005A4EE1">
        <w:rPr>
          <w:w w:val="100"/>
          <w:lang w:val="fr-FR"/>
        </w:rPr>
        <w:t>application de la Convention relative aux droits de l</w:t>
      </w:r>
      <w:r w:rsidR="00FC0C0B">
        <w:rPr>
          <w:w w:val="100"/>
          <w:lang w:val="fr-FR"/>
        </w:rPr>
        <w:t>’</w:t>
      </w:r>
      <w:r w:rsidRPr="005A4EE1">
        <w:rPr>
          <w:w w:val="100"/>
          <w:lang w:val="fr-FR"/>
        </w:rPr>
        <w:t>enfant. Présidée par le Ministre du développement social, la réunion a rassemblé plusieurs hauts représentants des deux comités. Les participants ont examiné les questions relatives aux pratiques préjudiciables à l</w:t>
      </w:r>
      <w:r w:rsidR="00FC0C0B">
        <w:rPr>
          <w:w w:val="100"/>
          <w:lang w:val="fr-FR"/>
        </w:rPr>
        <w:t>’</w:t>
      </w:r>
      <w:r w:rsidRPr="005A4EE1">
        <w:rPr>
          <w:w w:val="100"/>
          <w:lang w:val="fr-FR"/>
        </w:rPr>
        <w:t>enfant, dont l</w:t>
      </w:r>
      <w:r w:rsidR="00FC0C0B">
        <w:rPr>
          <w:w w:val="100"/>
          <w:lang w:val="fr-FR"/>
        </w:rPr>
        <w:t>’</w:t>
      </w:r>
      <w:r w:rsidRPr="005A4EE1">
        <w:rPr>
          <w:w w:val="100"/>
          <w:lang w:val="fr-FR"/>
        </w:rPr>
        <w:t>excision et un rapport médical à ce sujet couvrant de nombreux aspects de cette pratique et ses effets sur la santé. Ils ont formulé des recommandations auxquelles les deux comités donnent suite et analysé le règlement d</w:t>
      </w:r>
      <w:r w:rsidR="00FC0C0B">
        <w:rPr>
          <w:w w:val="100"/>
          <w:lang w:val="fr-FR"/>
        </w:rPr>
        <w:t>’</w:t>
      </w:r>
      <w:r w:rsidRPr="005A4EE1">
        <w:rPr>
          <w:w w:val="100"/>
          <w:lang w:val="fr-FR"/>
        </w:rPr>
        <w:t>application de la loi relative aux enfants promulgué en vertu de l</w:t>
      </w:r>
      <w:r w:rsidR="00FC0C0B">
        <w:rPr>
          <w:w w:val="100"/>
          <w:lang w:val="fr-FR"/>
        </w:rPr>
        <w:t>’</w:t>
      </w:r>
      <w:r w:rsidRPr="005A4EE1">
        <w:rPr>
          <w:w w:val="100"/>
          <w:lang w:val="fr-FR"/>
        </w:rPr>
        <w:t>arrêté ministériel n</w:t>
      </w:r>
      <w:r w:rsidRPr="005A4EE1">
        <w:rPr>
          <w:w w:val="100"/>
          <w:vertAlign w:val="superscript"/>
          <w:lang w:val="fr-FR"/>
        </w:rPr>
        <w:t>o</w:t>
      </w:r>
      <w:r w:rsidR="00974126">
        <w:rPr>
          <w:w w:val="100"/>
          <w:lang w:val="fr-FR"/>
        </w:rPr>
        <w:t> </w:t>
      </w:r>
      <w:r w:rsidRPr="005A4EE1">
        <w:rPr>
          <w:w w:val="100"/>
          <w:lang w:val="fr-FR"/>
        </w:rPr>
        <w:t>125/2019 et les mécanismes de protection prévus dans ce texte.</w:t>
      </w:r>
    </w:p>
    <w:p w14:paraId="1755E1A6" w14:textId="163F64A1" w:rsidR="00AE1CC1" w:rsidRDefault="00AE1CC1" w:rsidP="005A4EE1">
      <w:pPr>
        <w:pStyle w:val="SingleTxt"/>
        <w:rPr>
          <w:w w:val="100"/>
          <w:lang w:val="fr-FR"/>
        </w:rPr>
      </w:pPr>
      <w:r w:rsidRPr="005A4EE1">
        <w:rPr>
          <w:w w:val="100"/>
          <w:lang w:val="fr-FR"/>
        </w:rPr>
        <w:lastRenderedPageBreak/>
        <w:tab/>
        <w:t>Les deux comités ont discuté du premier examen national volontaire que le Sultanat a présenté au forum politique</w:t>
      </w:r>
      <w:r>
        <w:rPr>
          <w:w w:val="100"/>
          <w:lang w:val="fr-FR"/>
        </w:rPr>
        <w:t xml:space="preserve"> de haut niveau, des efforts d</w:t>
      </w:r>
      <w:r w:rsidR="00FC0C0B">
        <w:rPr>
          <w:w w:val="100"/>
          <w:lang w:val="fr-FR"/>
        </w:rPr>
        <w:t>’</w:t>
      </w:r>
      <w:r>
        <w:rPr>
          <w:w w:val="100"/>
          <w:lang w:val="fr-FR"/>
        </w:rPr>
        <w:t xml:space="preserve">autonomisation des femmes déployés par Oman et du rapport national </w:t>
      </w:r>
      <w:r w:rsidRPr="009E3FFD">
        <w:rPr>
          <w:w w:val="100"/>
          <w:lang w:val="fr-FR"/>
        </w:rPr>
        <w:t>Beijing + 25</w:t>
      </w:r>
      <w:r>
        <w:rPr>
          <w:w w:val="100"/>
          <w:lang w:val="fr-FR"/>
        </w:rPr>
        <w:t xml:space="preserve"> soumis à la CESAO.</w:t>
      </w:r>
    </w:p>
    <w:p w14:paraId="54BE5341" w14:textId="1063BEEA" w:rsidR="00AE1CC1" w:rsidRPr="005A4EE1" w:rsidRDefault="00AE1CC1" w:rsidP="005A4EE1">
      <w:pPr>
        <w:pStyle w:val="SingleTxt"/>
        <w:rPr>
          <w:w w:val="100"/>
          <w:lang w:val="fr-FR"/>
        </w:rPr>
      </w:pPr>
      <w:r w:rsidRPr="00293069">
        <w:rPr>
          <w:w w:val="100"/>
          <w:lang w:val="fr-FR"/>
        </w:rPr>
        <w:tab/>
      </w:r>
      <w:r w:rsidRPr="005A4EE1">
        <w:rPr>
          <w:w w:val="100"/>
          <w:lang w:val="fr-FR"/>
        </w:rPr>
        <w:t>En ce qui concerne l</w:t>
      </w:r>
      <w:r w:rsidR="00FC0C0B">
        <w:rPr>
          <w:w w:val="100"/>
          <w:lang w:val="fr-FR"/>
        </w:rPr>
        <w:t>’</w:t>
      </w:r>
      <w:r w:rsidRPr="005A4EE1">
        <w:rPr>
          <w:w w:val="100"/>
          <w:lang w:val="fr-FR"/>
        </w:rPr>
        <w:t>excision, cette opération ne peut pas être effectuée dans les établissements de santé publics. En outre, la circoncision figure maintenant dans l</w:t>
      </w:r>
      <w:r w:rsidR="00FC0C0B">
        <w:rPr>
          <w:w w:val="100"/>
          <w:lang w:val="fr-FR"/>
        </w:rPr>
        <w:t>’</w:t>
      </w:r>
      <w:r w:rsidRPr="005A4EE1">
        <w:rPr>
          <w:w w:val="100"/>
          <w:lang w:val="fr-FR"/>
        </w:rPr>
        <w:t>autorisation délivrée aux établissements privés et l</w:t>
      </w:r>
      <w:r w:rsidR="00FC0C0B">
        <w:rPr>
          <w:w w:val="100"/>
          <w:lang w:val="fr-FR"/>
        </w:rPr>
        <w:t>’</w:t>
      </w:r>
      <w:r w:rsidRPr="005A4EE1">
        <w:rPr>
          <w:w w:val="100"/>
          <w:lang w:val="fr-FR"/>
        </w:rPr>
        <w:t>excision ne peut être pratiquée car cette opération n</w:t>
      </w:r>
      <w:r w:rsidR="00FC0C0B">
        <w:rPr>
          <w:w w:val="100"/>
          <w:lang w:val="fr-FR"/>
        </w:rPr>
        <w:t>’</w:t>
      </w:r>
      <w:r w:rsidRPr="005A4EE1">
        <w:rPr>
          <w:w w:val="100"/>
          <w:lang w:val="fr-FR"/>
        </w:rPr>
        <w:t xml:space="preserve">est pas autorisée. </w:t>
      </w:r>
    </w:p>
    <w:p w14:paraId="248CB610" w14:textId="124118A7" w:rsidR="00AE1CC1" w:rsidRPr="005A4EE1" w:rsidRDefault="00AE1CC1" w:rsidP="005A4EE1">
      <w:pPr>
        <w:pStyle w:val="SingleTxt"/>
        <w:rPr>
          <w:w w:val="100"/>
          <w:lang w:val="fr-FR"/>
        </w:rPr>
      </w:pPr>
      <w:r w:rsidRPr="005A4EE1">
        <w:rPr>
          <w:w w:val="100"/>
          <w:lang w:val="fr-FR"/>
        </w:rPr>
        <w:tab/>
        <w:t>Concernant le mariage des enfants et le mariage forcé, comme il est indiqué dans le rapport national valant deuxième et troisième rapports périodiques, l</w:t>
      </w:r>
      <w:r w:rsidR="00FC0C0B">
        <w:rPr>
          <w:w w:val="100"/>
          <w:lang w:val="fr-FR"/>
        </w:rPr>
        <w:t>’</w:t>
      </w:r>
      <w:r w:rsidRPr="005A4EE1">
        <w:rPr>
          <w:w w:val="100"/>
          <w:lang w:val="fr-FR"/>
        </w:rPr>
        <w:t>article 7 du Code du statut personnel fixe l</w:t>
      </w:r>
      <w:r w:rsidR="00FC0C0B">
        <w:rPr>
          <w:w w:val="100"/>
          <w:lang w:val="fr-FR"/>
        </w:rPr>
        <w:t>’</w:t>
      </w:r>
      <w:r w:rsidRPr="005A4EE1">
        <w:rPr>
          <w:w w:val="100"/>
          <w:lang w:val="fr-FR"/>
        </w:rPr>
        <w:t>âge du mariage à 18 ans pour les hommes et les femmes et l</w:t>
      </w:r>
      <w:r w:rsidR="00FC0C0B">
        <w:rPr>
          <w:w w:val="100"/>
          <w:lang w:val="fr-FR"/>
        </w:rPr>
        <w:t>’</w:t>
      </w:r>
      <w:r w:rsidRPr="005A4EE1">
        <w:rPr>
          <w:w w:val="100"/>
          <w:lang w:val="fr-FR"/>
        </w:rPr>
        <w:t>inscription du mariage dans un registre officiel est obligatoire, conformément à l</w:t>
      </w:r>
      <w:r w:rsidR="00FC0C0B">
        <w:rPr>
          <w:w w:val="100"/>
          <w:lang w:val="fr-FR"/>
        </w:rPr>
        <w:t>’</w:t>
      </w:r>
      <w:r w:rsidRPr="005A4EE1">
        <w:rPr>
          <w:w w:val="100"/>
          <w:lang w:val="fr-FR"/>
        </w:rPr>
        <w:t>article 6, exception faite des cas de mineurs ayant obtenu une autorisation délivrée par le juge après vérification de l</w:t>
      </w:r>
      <w:r w:rsidR="00FC0C0B">
        <w:rPr>
          <w:w w:val="100"/>
          <w:lang w:val="fr-FR"/>
        </w:rPr>
        <w:t>’</w:t>
      </w:r>
      <w:r w:rsidRPr="005A4EE1">
        <w:rPr>
          <w:w w:val="100"/>
          <w:lang w:val="fr-FR"/>
        </w:rPr>
        <w:t>intérêt du mariage. Les mariages de mineurs ne sont donc ni un phénomène ni un problème et les mariages, peu nombreux, de personnes âgées de moins de 18 ans ne sont conclus que s</w:t>
      </w:r>
      <w:r w:rsidR="00FC0C0B">
        <w:rPr>
          <w:w w:val="100"/>
          <w:lang w:val="fr-FR"/>
        </w:rPr>
        <w:t>’</w:t>
      </w:r>
      <w:r w:rsidRPr="005A4EE1">
        <w:rPr>
          <w:w w:val="100"/>
          <w:lang w:val="fr-FR"/>
        </w:rPr>
        <w:t>ils ont été autorisés par le juge compétent et que leur intérêt a été prouvé.</w:t>
      </w:r>
    </w:p>
    <w:p w14:paraId="4531484C" w14:textId="07B4EADB" w:rsidR="00AE1CC1" w:rsidRPr="005A4EE1" w:rsidRDefault="00AE1CC1" w:rsidP="005A4EE1">
      <w:pPr>
        <w:pStyle w:val="SingleTxt"/>
        <w:rPr>
          <w:w w:val="100"/>
          <w:lang w:val="fr-FR"/>
        </w:rPr>
      </w:pPr>
      <w:r w:rsidRPr="005A4EE1">
        <w:rPr>
          <w:w w:val="100"/>
          <w:lang w:val="fr-FR"/>
        </w:rPr>
        <w:tab/>
        <w:t>En ce qui concerne l</w:t>
      </w:r>
      <w:r w:rsidR="00FC0C0B">
        <w:rPr>
          <w:w w:val="100"/>
          <w:lang w:val="fr-FR"/>
        </w:rPr>
        <w:t>’</w:t>
      </w:r>
      <w:r w:rsidRPr="005A4EE1">
        <w:rPr>
          <w:w w:val="100"/>
          <w:lang w:val="fr-FR"/>
        </w:rPr>
        <w:t>âge minimum du mariage, le mariage précoce n</w:t>
      </w:r>
      <w:r w:rsidR="00FC0C0B">
        <w:rPr>
          <w:w w:val="100"/>
          <w:lang w:val="fr-FR"/>
        </w:rPr>
        <w:t>’</w:t>
      </w:r>
      <w:r w:rsidRPr="005A4EE1">
        <w:rPr>
          <w:w w:val="100"/>
          <w:lang w:val="fr-FR"/>
        </w:rPr>
        <w:t>est pas un phénomène social à Oman. Comme le montrent les indicateurs communiqués par le Centre national de statistiques et de l</w:t>
      </w:r>
      <w:r w:rsidR="00FC0C0B">
        <w:rPr>
          <w:w w:val="100"/>
          <w:lang w:val="fr-FR"/>
        </w:rPr>
        <w:t>’</w:t>
      </w:r>
      <w:r w:rsidRPr="005A4EE1">
        <w:rPr>
          <w:w w:val="100"/>
          <w:lang w:val="fr-FR"/>
        </w:rPr>
        <w:t>information, l</w:t>
      </w:r>
      <w:r w:rsidR="00FC0C0B">
        <w:rPr>
          <w:w w:val="100"/>
          <w:lang w:val="fr-FR"/>
        </w:rPr>
        <w:t>’</w:t>
      </w:r>
      <w:r w:rsidRPr="005A4EE1">
        <w:rPr>
          <w:w w:val="100"/>
          <w:lang w:val="fr-FR"/>
        </w:rPr>
        <w:t>âge moyen au premier mariage dans le Sultanat est passé à 28 ans pour les hommes et à 26 ans pour les femmes.</w:t>
      </w:r>
    </w:p>
    <w:p w14:paraId="0EAF6633" w14:textId="67FD9722" w:rsidR="00AE1CC1" w:rsidRDefault="00AE1CC1" w:rsidP="005A4EE1">
      <w:pPr>
        <w:pStyle w:val="SingleTxt"/>
        <w:rPr>
          <w:w w:val="100"/>
          <w:lang w:val="fr-FR"/>
        </w:rPr>
      </w:pPr>
      <w:r w:rsidRPr="005A4EE1">
        <w:rPr>
          <w:w w:val="100"/>
          <w:lang w:val="fr-FR"/>
        </w:rPr>
        <w:tab/>
        <w:t>D</w:t>
      </w:r>
      <w:r w:rsidR="00FC0C0B">
        <w:rPr>
          <w:w w:val="100"/>
          <w:lang w:val="fr-FR"/>
        </w:rPr>
        <w:t>’</w:t>
      </w:r>
      <w:r w:rsidRPr="005A4EE1">
        <w:rPr>
          <w:w w:val="100"/>
          <w:lang w:val="fr-FR"/>
        </w:rPr>
        <w:t>après les statistiques tirées des recensements de1993 et de 2010 et les rapports statistiques de 2008, 2017 et 2018, la proportion d</w:t>
      </w:r>
      <w:r w:rsidR="00FC0C0B">
        <w:rPr>
          <w:w w:val="100"/>
          <w:lang w:val="fr-FR"/>
        </w:rPr>
        <w:t>’</w:t>
      </w:r>
      <w:r w:rsidRPr="005A4EE1">
        <w:rPr>
          <w:w w:val="100"/>
          <w:lang w:val="fr-FR"/>
        </w:rPr>
        <w:t>Omanaises et d</w:t>
      </w:r>
      <w:r w:rsidR="00FC0C0B">
        <w:rPr>
          <w:w w:val="100"/>
          <w:lang w:val="fr-FR"/>
        </w:rPr>
        <w:t>’</w:t>
      </w:r>
      <w:r w:rsidRPr="005A4EE1">
        <w:rPr>
          <w:w w:val="100"/>
          <w:lang w:val="fr-FR"/>
        </w:rPr>
        <w:t>Omanais âgés de 15</w:t>
      </w:r>
      <w:r w:rsidR="005A4EE1">
        <w:rPr>
          <w:w w:val="100"/>
          <w:lang w:val="fr-FR"/>
        </w:rPr>
        <w:t xml:space="preserve"> </w:t>
      </w:r>
      <w:r w:rsidRPr="005A4EE1">
        <w:rPr>
          <w:w w:val="100"/>
          <w:lang w:val="fr-FR"/>
        </w:rPr>
        <w:t>à 19 ans contractant mariage a fortement baissé, passant de 10,8</w:t>
      </w:r>
      <w:r w:rsidR="00974126">
        <w:rPr>
          <w:w w:val="100"/>
          <w:lang w:val="fr-FR"/>
        </w:rPr>
        <w:t> </w:t>
      </w:r>
      <w:r w:rsidRPr="005A4EE1">
        <w:rPr>
          <w:w w:val="100"/>
          <w:lang w:val="fr-FR"/>
        </w:rPr>
        <w:t>% à 2,5</w:t>
      </w:r>
      <w:r w:rsidR="00974126">
        <w:rPr>
          <w:w w:val="100"/>
          <w:lang w:val="fr-FR"/>
        </w:rPr>
        <w:t> </w:t>
      </w:r>
      <w:r w:rsidRPr="005A4EE1">
        <w:rPr>
          <w:w w:val="100"/>
          <w:lang w:val="fr-FR"/>
        </w:rPr>
        <w:t>%. Le taux de natalité des mères âgées de moins de 18 ans a également baissé de plus de 50</w:t>
      </w:r>
      <w:r w:rsidR="00974126">
        <w:rPr>
          <w:w w:val="100"/>
          <w:lang w:val="fr-FR"/>
        </w:rPr>
        <w:t> </w:t>
      </w:r>
      <w:r w:rsidRPr="005A4EE1">
        <w:rPr>
          <w:w w:val="100"/>
          <w:lang w:val="fr-FR"/>
        </w:rPr>
        <w:t>%, comme</w:t>
      </w:r>
      <w:r>
        <w:rPr>
          <w:w w:val="100"/>
          <w:lang w:val="fr-FR"/>
        </w:rPr>
        <w:t xml:space="preserve"> il ressort des données ci-après, fournies par le Ministère de </w:t>
      </w:r>
      <w:r w:rsidRPr="006620E7">
        <w:rPr>
          <w:w w:val="100"/>
          <w:lang w:val="fr-FR"/>
        </w:rPr>
        <w:t>la santé</w:t>
      </w:r>
      <w:r w:rsidR="00FC0C0B">
        <w:rPr>
          <w:w w:val="100"/>
          <w:lang w:val="fr-FR"/>
        </w:rPr>
        <w:t> :</w:t>
      </w:r>
      <w:r w:rsidRPr="006620E7">
        <w:rPr>
          <w:w w:val="100"/>
          <w:lang w:val="fr-FR"/>
        </w:rPr>
        <w:t xml:space="preserve"> </w:t>
      </w:r>
    </w:p>
    <w:p w14:paraId="13F9130D" w14:textId="555C87E1" w:rsidR="00F56015" w:rsidRPr="00F56015" w:rsidRDefault="00F56015" w:rsidP="00F56015">
      <w:pPr>
        <w:pStyle w:val="SingleTxt"/>
        <w:spacing w:after="0" w:line="120" w:lineRule="exact"/>
        <w:rPr>
          <w:w w:val="100"/>
          <w:sz w:val="10"/>
          <w:lang w:val="fr-FR"/>
        </w:rPr>
      </w:pPr>
    </w:p>
    <w:p w14:paraId="79F07D27" w14:textId="3EF75F36" w:rsidR="00AE1CC1" w:rsidRDefault="00F56015" w:rsidP="00F560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AE1CC1" w:rsidRPr="006620E7">
        <w:rPr>
          <w:w w:val="100"/>
          <w:lang w:val="fr-FR"/>
        </w:rPr>
        <w:t xml:space="preserve">Taux de natalité pour 1 000 femmes âgées de 14 à 17 ans </w:t>
      </w:r>
    </w:p>
    <w:p w14:paraId="330C72BC" w14:textId="7F9A6126" w:rsidR="00F56015" w:rsidRPr="00F56015" w:rsidRDefault="00F56015" w:rsidP="00F56015">
      <w:pPr>
        <w:pStyle w:val="SingleTxt"/>
        <w:spacing w:after="0" w:line="120" w:lineRule="exact"/>
        <w:rPr>
          <w:sz w:val="10"/>
          <w:lang w:val="fr-FR"/>
        </w:rPr>
      </w:pPr>
    </w:p>
    <w:p w14:paraId="608DDA40" w14:textId="3CFAB55F" w:rsidR="00F56015" w:rsidRPr="00F56015" w:rsidRDefault="00F56015" w:rsidP="00F56015">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F56015" w:rsidRPr="00F56015" w14:paraId="483C3239" w14:textId="77777777" w:rsidTr="00F56015">
        <w:trPr>
          <w:tblHeader/>
        </w:trPr>
        <w:tc>
          <w:tcPr>
            <w:tcW w:w="1830" w:type="dxa"/>
            <w:tcBorders>
              <w:top w:val="single" w:sz="4" w:space="0" w:color="auto"/>
              <w:bottom w:val="single" w:sz="12" w:space="0" w:color="auto"/>
            </w:tcBorders>
            <w:shd w:val="clear" w:color="auto" w:fill="auto"/>
            <w:vAlign w:val="bottom"/>
            <w:hideMark/>
          </w:tcPr>
          <w:p w14:paraId="19FE3E13" w14:textId="77777777" w:rsidR="00AE1CC1" w:rsidRPr="00F56015" w:rsidRDefault="00AE1CC1" w:rsidP="00F56015">
            <w:pPr>
              <w:suppressAutoHyphens/>
              <w:spacing w:before="81" w:after="81" w:line="160" w:lineRule="exact"/>
              <w:ind w:right="43"/>
              <w:rPr>
                <w:bCs/>
                <w:i/>
                <w:spacing w:val="0"/>
                <w:w w:val="100"/>
                <w:sz w:val="14"/>
                <w:lang w:val="fr-FR"/>
              </w:rPr>
            </w:pPr>
            <w:r w:rsidRPr="00F56015">
              <w:rPr>
                <w:i/>
                <w:iCs/>
                <w:spacing w:val="0"/>
                <w:w w:val="100"/>
                <w:sz w:val="14"/>
                <w:lang w:val="fr-FR"/>
              </w:rPr>
              <w:t>Année</w:t>
            </w:r>
          </w:p>
        </w:tc>
        <w:tc>
          <w:tcPr>
            <w:tcW w:w="1830" w:type="dxa"/>
            <w:tcBorders>
              <w:top w:val="single" w:sz="4" w:space="0" w:color="auto"/>
              <w:bottom w:val="single" w:sz="12" w:space="0" w:color="auto"/>
            </w:tcBorders>
            <w:shd w:val="clear" w:color="auto" w:fill="auto"/>
            <w:vAlign w:val="bottom"/>
            <w:hideMark/>
          </w:tcPr>
          <w:p w14:paraId="49A030F3" w14:textId="77777777" w:rsidR="00AE1CC1" w:rsidRPr="00F56015" w:rsidRDefault="00AE1CC1" w:rsidP="00F56015">
            <w:pPr>
              <w:suppressAutoHyphens/>
              <w:spacing w:before="81" w:after="81" w:line="160" w:lineRule="exact"/>
              <w:ind w:right="43"/>
              <w:jc w:val="right"/>
              <w:rPr>
                <w:bCs/>
                <w:i/>
                <w:spacing w:val="0"/>
                <w:w w:val="100"/>
                <w:sz w:val="14"/>
                <w:lang w:val="fr-FR"/>
              </w:rPr>
            </w:pPr>
            <w:r w:rsidRPr="00F56015">
              <w:rPr>
                <w:i/>
                <w:iCs/>
                <w:spacing w:val="0"/>
                <w:w w:val="100"/>
                <w:sz w:val="14"/>
                <w:lang w:val="fr-FR"/>
              </w:rPr>
              <w:t>Omanaises</w:t>
            </w:r>
          </w:p>
        </w:tc>
        <w:tc>
          <w:tcPr>
            <w:tcW w:w="1830" w:type="dxa"/>
            <w:tcBorders>
              <w:top w:val="single" w:sz="4" w:space="0" w:color="auto"/>
              <w:bottom w:val="single" w:sz="12" w:space="0" w:color="auto"/>
            </w:tcBorders>
            <w:shd w:val="clear" w:color="auto" w:fill="auto"/>
            <w:vAlign w:val="bottom"/>
            <w:hideMark/>
          </w:tcPr>
          <w:p w14:paraId="2182B026" w14:textId="77777777" w:rsidR="00AE1CC1" w:rsidRPr="00F56015" w:rsidRDefault="00AE1CC1" w:rsidP="00F56015">
            <w:pPr>
              <w:suppressAutoHyphens/>
              <w:spacing w:before="81" w:after="81" w:line="160" w:lineRule="exact"/>
              <w:ind w:right="43"/>
              <w:jc w:val="right"/>
              <w:rPr>
                <w:bCs/>
                <w:i/>
                <w:spacing w:val="0"/>
                <w:w w:val="100"/>
                <w:sz w:val="14"/>
                <w:lang w:val="fr-FR"/>
              </w:rPr>
            </w:pPr>
            <w:r w:rsidRPr="00F56015">
              <w:rPr>
                <w:i/>
                <w:iCs/>
                <w:spacing w:val="0"/>
                <w:w w:val="100"/>
                <w:sz w:val="14"/>
                <w:lang w:val="fr-FR"/>
              </w:rPr>
              <w:t>Ressortissantes étrangères</w:t>
            </w:r>
          </w:p>
        </w:tc>
        <w:tc>
          <w:tcPr>
            <w:tcW w:w="1830" w:type="dxa"/>
            <w:tcBorders>
              <w:top w:val="single" w:sz="4" w:space="0" w:color="auto"/>
              <w:bottom w:val="single" w:sz="12" w:space="0" w:color="auto"/>
            </w:tcBorders>
            <w:shd w:val="clear" w:color="auto" w:fill="auto"/>
            <w:vAlign w:val="bottom"/>
            <w:hideMark/>
          </w:tcPr>
          <w:p w14:paraId="2DAC5B6D" w14:textId="77777777" w:rsidR="00AE1CC1" w:rsidRPr="00F56015" w:rsidRDefault="00AE1CC1" w:rsidP="00F56015">
            <w:pPr>
              <w:suppressAutoHyphens/>
              <w:spacing w:before="81" w:after="81" w:line="160" w:lineRule="exact"/>
              <w:ind w:right="43"/>
              <w:jc w:val="right"/>
              <w:rPr>
                <w:bCs/>
                <w:i/>
                <w:iCs/>
                <w:spacing w:val="0"/>
                <w:w w:val="100"/>
                <w:sz w:val="14"/>
                <w:lang w:val="fr-FR"/>
              </w:rPr>
            </w:pPr>
            <w:r w:rsidRPr="00F56015">
              <w:rPr>
                <w:i/>
                <w:iCs/>
                <w:spacing w:val="0"/>
                <w:w w:val="100"/>
                <w:sz w:val="14"/>
                <w:lang w:val="fr-FR"/>
              </w:rPr>
              <w:t>Total</w:t>
            </w:r>
          </w:p>
        </w:tc>
      </w:tr>
      <w:tr w:rsidR="00F56015" w:rsidRPr="00F56015" w14:paraId="199C77E8" w14:textId="77777777" w:rsidTr="00F56015">
        <w:trPr>
          <w:trHeight w:hRule="exact" w:val="115"/>
          <w:tblHeader/>
        </w:trPr>
        <w:tc>
          <w:tcPr>
            <w:tcW w:w="1830" w:type="dxa"/>
            <w:tcBorders>
              <w:top w:val="single" w:sz="12" w:space="0" w:color="auto"/>
            </w:tcBorders>
            <w:shd w:val="clear" w:color="auto" w:fill="auto"/>
            <w:vAlign w:val="bottom"/>
          </w:tcPr>
          <w:p w14:paraId="151F6525" w14:textId="77777777" w:rsidR="00F56015" w:rsidRPr="00F56015" w:rsidRDefault="00F56015" w:rsidP="00F56015">
            <w:pPr>
              <w:suppressAutoHyphens/>
              <w:spacing w:before="40" w:after="40" w:line="210" w:lineRule="exact"/>
              <w:ind w:right="40"/>
              <w:rPr>
                <w:spacing w:val="0"/>
                <w:w w:val="100"/>
                <w:sz w:val="17"/>
                <w:lang w:val="fr-FR"/>
              </w:rPr>
            </w:pPr>
          </w:p>
        </w:tc>
        <w:tc>
          <w:tcPr>
            <w:tcW w:w="1830" w:type="dxa"/>
            <w:tcBorders>
              <w:top w:val="single" w:sz="12" w:space="0" w:color="auto"/>
            </w:tcBorders>
            <w:shd w:val="clear" w:color="auto" w:fill="auto"/>
            <w:vAlign w:val="bottom"/>
          </w:tcPr>
          <w:p w14:paraId="707809FE" w14:textId="77777777" w:rsidR="00F56015" w:rsidRPr="00F56015" w:rsidRDefault="00F56015" w:rsidP="00F56015">
            <w:pPr>
              <w:suppressAutoHyphens/>
              <w:spacing w:before="40" w:after="40" w:line="210" w:lineRule="exact"/>
              <w:ind w:right="43"/>
              <w:jc w:val="right"/>
              <w:rPr>
                <w:spacing w:val="0"/>
                <w:w w:val="100"/>
                <w:sz w:val="17"/>
                <w:lang w:val="fr-FR"/>
              </w:rPr>
            </w:pPr>
          </w:p>
        </w:tc>
        <w:tc>
          <w:tcPr>
            <w:tcW w:w="1830" w:type="dxa"/>
            <w:tcBorders>
              <w:top w:val="single" w:sz="12" w:space="0" w:color="auto"/>
            </w:tcBorders>
            <w:shd w:val="clear" w:color="auto" w:fill="auto"/>
            <w:vAlign w:val="bottom"/>
          </w:tcPr>
          <w:p w14:paraId="48243A8A" w14:textId="77777777" w:rsidR="00F56015" w:rsidRPr="00F56015" w:rsidRDefault="00F56015" w:rsidP="00F56015">
            <w:pPr>
              <w:suppressAutoHyphens/>
              <w:spacing w:before="40" w:after="40" w:line="210" w:lineRule="exact"/>
              <w:ind w:right="43"/>
              <w:jc w:val="right"/>
              <w:rPr>
                <w:spacing w:val="0"/>
                <w:w w:val="100"/>
                <w:sz w:val="17"/>
                <w:lang w:val="fr-FR"/>
              </w:rPr>
            </w:pPr>
          </w:p>
        </w:tc>
        <w:tc>
          <w:tcPr>
            <w:tcW w:w="1830" w:type="dxa"/>
            <w:tcBorders>
              <w:top w:val="single" w:sz="12" w:space="0" w:color="auto"/>
            </w:tcBorders>
            <w:shd w:val="clear" w:color="auto" w:fill="auto"/>
            <w:vAlign w:val="bottom"/>
          </w:tcPr>
          <w:p w14:paraId="30E69986" w14:textId="77777777" w:rsidR="00F56015" w:rsidRPr="00F56015" w:rsidRDefault="00F56015" w:rsidP="00F56015">
            <w:pPr>
              <w:suppressAutoHyphens/>
              <w:spacing w:before="40" w:after="40" w:line="210" w:lineRule="exact"/>
              <w:ind w:right="43"/>
              <w:jc w:val="right"/>
              <w:rPr>
                <w:spacing w:val="0"/>
                <w:w w:val="100"/>
                <w:sz w:val="17"/>
                <w:lang w:val="fr-FR"/>
              </w:rPr>
            </w:pPr>
          </w:p>
        </w:tc>
      </w:tr>
      <w:tr w:rsidR="00F56015" w:rsidRPr="00F56015" w14:paraId="41FF68F1" w14:textId="77777777" w:rsidTr="00F56015">
        <w:tc>
          <w:tcPr>
            <w:tcW w:w="1830" w:type="dxa"/>
            <w:shd w:val="clear" w:color="auto" w:fill="auto"/>
            <w:vAlign w:val="bottom"/>
            <w:hideMark/>
          </w:tcPr>
          <w:p w14:paraId="485F9570" w14:textId="77777777" w:rsidR="00AE1CC1" w:rsidRPr="00F56015" w:rsidRDefault="00AE1CC1" w:rsidP="00F56015">
            <w:pPr>
              <w:tabs>
                <w:tab w:val="left" w:pos="288"/>
                <w:tab w:val="left" w:pos="576"/>
                <w:tab w:val="left" w:pos="864"/>
                <w:tab w:val="left" w:pos="1152"/>
              </w:tabs>
              <w:suppressAutoHyphens/>
              <w:spacing w:before="40" w:after="40" w:line="210" w:lineRule="exact"/>
              <w:ind w:right="40"/>
              <w:rPr>
                <w:spacing w:val="0"/>
                <w:w w:val="100"/>
                <w:sz w:val="17"/>
                <w:lang w:val="fr-FR"/>
              </w:rPr>
            </w:pPr>
            <w:r w:rsidRPr="00F56015">
              <w:rPr>
                <w:spacing w:val="0"/>
                <w:w w:val="100"/>
                <w:sz w:val="17"/>
                <w:lang w:val="fr-FR"/>
              </w:rPr>
              <w:t>2008</w:t>
            </w:r>
          </w:p>
        </w:tc>
        <w:tc>
          <w:tcPr>
            <w:tcW w:w="1830" w:type="dxa"/>
            <w:shd w:val="clear" w:color="auto" w:fill="auto"/>
            <w:vAlign w:val="bottom"/>
            <w:hideMark/>
          </w:tcPr>
          <w:p w14:paraId="15F4D6A3"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2,7</w:t>
            </w:r>
          </w:p>
        </w:tc>
        <w:tc>
          <w:tcPr>
            <w:tcW w:w="1830" w:type="dxa"/>
            <w:shd w:val="clear" w:color="auto" w:fill="auto"/>
            <w:vAlign w:val="bottom"/>
            <w:hideMark/>
          </w:tcPr>
          <w:p w14:paraId="6CDAE2BC"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1,0</w:t>
            </w:r>
          </w:p>
        </w:tc>
        <w:tc>
          <w:tcPr>
            <w:tcW w:w="1830" w:type="dxa"/>
            <w:shd w:val="clear" w:color="auto" w:fill="auto"/>
            <w:vAlign w:val="bottom"/>
            <w:hideMark/>
          </w:tcPr>
          <w:p w14:paraId="243936FE"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2,6</w:t>
            </w:r>
          </w:p>
        </w:tc>
      </w:tr>
      <w:tr w:rsidR="00F56015" w:rsidRPr="00F56015" w14:paraId="47B1F4AA" w14:textId="77777777" w:rsidTr="00F56015">
        <w:tc>
          <w:tcPr>
            <w:tcW w:w="1830" w:type="dxa"/>
            <w:shd w:val="clear" w:color="auto" w:fill="auto"/>
            <w:vAlign w:val="bottom"/>
            <w:hideMark/>
          </w:tcPr>
          <w:p w14:paraId="7E69C801" w14:textId="77777777" w:rsidR="00AE1CC1" w:rsidRPr="00F56015" w:rsidRDefault="00AE1CC1" w:rsidP="00F56015">
            <w:pPr>
              <w:tabs>
                <w:tab w:val="left" w:pos="288"/>
                <w:tab w:val="left" w:pos="576"/>
                <w:tab w:val="left" w:pos="864"/>
                <w:tab w:val="left" w:pos="1152"/>
              </w:tabs>
              <w:suppressAutoHyphens/>
              <w:spacing w:before="40" w:after="40" w:line="210" w:lineRule="exact"/>
              <w:ind w:right="40"/>
              <w:rPr>
                <w:spacing w:val="0"/>
                <w:w w:val="100"/>
                <w:sz w:val="17"/>
                <w:lang w:val="fr-FR"/>
              </w:rPr>
            </w:pPr>
            <w:r w:rsidRPr="00F56015">
              <w:rPr>
                <w:spacing w:val="0"/>
                <w:w w:val="100"/>
                <w:sz w:val="17"/>
                <w:lang w:val="fr-FR"/>
              </w:rPr>
              <w:t>2017</w:t>
            </w:r>
          </w:p>
        </w:tc>
        <w:tc>
          <w:tcPr>
            <w:tcW w:w="1830" w:type="dxa"/>
            <w:shd w:val="clear" w:color="auto" w:fill="auto"/>
            <w:vAlign w:val="bottom"/>
            <w:hideMark/>
          </w:tcPr>
          <w:p w14:paraId="3B2AC221"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1,6</w:t>
            </w:r>
          </w:p>
        </w:tc>
        <w:tc>
          <w:tcPr>
            <w:tcW w:w="1830" w:type="dxa"/>
            <w:shd w:val="clear" w:color="auto" w:fill="auto"/>
            <w:vAlign w:val="bottom"/>
            <w:hideMark/>
          </w:tcPr>
          <w:p w14:paraId="726637E3"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2,2</w:t>
            </w:r>
          </w:p>
        </w:tc>
        <w:tc>
          <w:tcPr>
            <w:tcW w:w="1830" w:type="dxa"/>
            <w:shd w:val="clear" w:color="auto" w:fill="auto"/>
            <w:vAlign w:val="bottom"/>
            <w:hideMark/>
          </w:tcPr>
          <w:p w14:paraId="567AFFBE"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1,6</w:t>
            </w:r>
          </w:p>
        </w:tc>
      </w:tr>
      <w:tr w:rsidR="00F56015" w:rsidRPr="00F56015" w14:paraId="207CB01A" w14:textId="77777777" w:rsidTr="00F56015">
        <w:tc>
          <w:tcPr>
            <w:tcW w:w="1830" w:type="dxa"/>
            <w:tcBorders>
              <w:bottom w:val="single" w:sz="12" w:space="0" w:color="auto"/>
            </w:tcBorders>
            <w:shd w:val="clear" w:color="auto" w:fill="auto"/>
            <w:vAlign w:val="bottom"/>
            <w:hideMark/>
          </w:tcPr>
          <w:p w14:paraId="1103F308" w14:textId="77777777" w:rsidR="00AE1CC1" w:rsidRPr="00F56015" w:rsidRDefault="00AE1CC1" w:rsidP="00F56015">
            <w:pPr>
              <w:tabs>
                <w:tab w:val="left" w:pos="288"/>
                <w:tab w:val="left" w:pos="576"/>
                <w:tab w:val="left" w:pos="864"/>
                <w:tab w:val="left" w:pos="1152"/>
              </w:tabs>
              <w:suppressAutoHyphens/>
              <w:spacing w:before="40" w:after="40" w:line="210" w:lineRule="exact"/>
              <w:ind w:right="40"/>
              <w:rPr>
                <w:spacing w:val="0"/>
                <w:w w:val="100"/>
                <w:sz w:val="17"/>
                <w:lang w:val="fr-FR"/>
              </w:rPr>
            </w:pPr>
            <w:r w:rsidRPr="00F56015">
              <w:rPr>
                <w:spacing w:val="0"/>
                <w:w w:val="100"/>
                <w:sz w:val="17"/>
                <w:lang w:val="fr-FR"/>
              </w:rPr>
              <w:t>2018</w:t>
            </w:r>
          </w:p>
        </w:tc>
        <w:tc>
          <w:tcPr>
            <w:tcW w:w="1830" w:type="dxa"/>
            <w:tcBorders>
              <w:bottom w:val="single" w:sz="12" w:space="0" w:color="auto"/>
            </w:tcBorders>
            <w:shd w:val="clear" w:color="auto" w:fill="auto"/>
            <w:vAlign w:val="bottom"/>
            <w:hideMark/>
          </w:tcPr>
          <w:p w14:paraId="5F8F2224"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1,1</w:t>
            </w:r>
          </w:p>
        </w:tc>
        <w:tc>
          <w:tcPr>
            <w:tcW w:w="1830" w:type="dxa"/>
            <w:tcBorders>
              <w:bottom w:val="single" w:sz="12" w:space="0" w:color="auto"/>
            </w:tcBorders>
            <w:shd w:val="clear" w:color="auto" w:fill="auto"/>
            <w:vAlign w:val="bottom"/>
            <w:hideMark/>
          </w:tcPr>
          <w:p w14:paraId="111DADAD"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1,4</w:t>
            </w:r>
          </w:p>
        </w:tc>
        <w:tc>
          <w:tcPr>
            <w:tcW w:w="1830" w:type="dxa"/>
            <w:tcBorders>
              <w:bottom w:val="single" w:sz="12" w:space="0" w:color="auto"/>
            </w:tcBorders>
            <w:shd w:val="clear" w:color="auto" w:fill="auto"/>
            <w:vAlign w:val="bottom"/>
            <w:hideMark/>
          </w:tcPr>
          <w:p w14:paraId="3A9C7D38" w14:textId="77777777" w:rsidR="00AE1CC1" w:rsidRPr="00F56015" w:rsidRDefault="00AE1CC1" w:rsidP="00F56015">
            <w:pPr>
              <w:tabs>
                <w:tab w:val="left" w:pos="288"/>
                <w:tab w:val="left" w:pos="576"/>
                <w:tab w:val="left" w:pos="864"/>
                <w:tab w:val="left" w:pos="1152"/>
              </w:tabs>
              <w:suppressAutoHyphens/>
              <w:spacing w:before="40" w:after="40" w:line="210" w:lineRule="exact"/>
              <w:ind w:right="43"/>
              <w:jc w:val="right"/>
              <w:rPr>
                <w:spacing w:val="0"/>
                <w:w w:val="100"/>
                <w:sz w:val="17"/>
                <w:lang w:val="fr-FR"/>
              </w:rPr>
            </w:pPr>
            <w:r w:rsidRPr="00F56015">
              <w:rPr>
                <w:spacing w:val="0"/>
                <w:w w:val="100"/>
                <w:sz w:val="17"/>
                <w:lang w:val="fr-FR"/>
              </w:rPr>
              <w:t>1,1</w:t>
            </w:r>
          </w:p>
        </w:tc>
      </w:tr>
    </w:tbl>
    <w:p w14:paraId="57A25797" w14:textId="77777777" w:rsidR="00F56015" w:rsidRPr="00F56015" w:rsidRDefault="00F56015" w:rsidP="00F56015">
      <w:pPr>
        <w:spacing w:line="120" w:lineRule="exact"/>
        <w:ind w:left="720" w:firstLine="720"/>
        <w:rPr>
          <w:spacing w:val="0"/>
          <w:w w:val="100"/>
          <w:sz w:val="10"/>
          <w:lang w:val="fr-FR"/>
        </w:rPr>
      </w:pPr>
    </w:p>
    <w:p w14:paraId="6A7C985B" w14:textId="2785495E" w:rsidR="00AE1CC1" w:rsidRDefault="00AE1CC1" w:rsidP="00F56015">
      <w:pPr>
        <w:pStyle w:val="FootnoteText"/>
        <w:tabs>
          <w:tab w:val="right" w:pos="1476"/>
          <w:tab w:val="left" w:pos="1548"/>
          <w:tab w:val="right" w:pos="1836"/>
          <w:tab w:val="left" w:pos="1908"/>
        </w:tabs>
        <w:ind w:left="1548" w:right="1267" w:hanging="288"/>
        <w:rPr>
          <w:w w:val="100"/>
          <w:lang w:val="fr-FR"/>
        </w:rPr>
      </w:pPr>
      <w:r w:rsidRPr="00F56015">
        <w:rPr>
          <w:i/>
          <w:iCs/>
          <w:w w:val="100"/>
          <w:lang w:val="fr-FR"/>
        </w:rPr>
        <w:t>Source</w:t>
      </w:r>
      <w:r w:rsidR="00FC0C0B">
        <w:rPr>
          <w:w w:val="100"/>
          <w:lang w:val="fr-FR"/>
        </w:rPr>
        <w:t> :</w:t>
      </w:r>
      <w:r w:rsidRPr="00B968AD">
        <w:rPr>
          <w:w w:val="100"/>
          <w:lang w:val="fr-FR"/>
        </w:rPr>
        <w:t xml:space="preserve"> Département de la statistique et de l</w:t>
      </w:r>
      <w:r w:rsidR="00FC0C0B">
        <w:rPr>
          <w:w w:val="100"/>
          <w:lang w:val="fr-FR"/>
        </w:rPr>
        <w:t>’</w:t>
      </w:r>
      <w:r w:rsidRPr="00B968AD">
        <w:rPr>
          <w:w w:val="100"/>
          <w:lang w:val="fr-FR"/>
        </w:rPr>
        <w:t xml:space="preserve">information du Ministère de la santé. </w:t>
      </w:r>
    </w:p>
    <w:p w14:paraId="4CC9BFFB" w14:textId="72D6EE2D" w:rsidR="00F56015" w:rsidRPr="00F56015" w:rsidRDefault="00F56015" w:rsidP="00F56015">
      <w:pPr>
        <w:pStyle w:val="FootnoteText"/>
        <w:tabs>
          <w:tab w:val="right" w:pos="1476"/>
          <w:tab w:val="left" w:pos="1548"/>
          <w:tab w:val="right" w:pos="1836"/>
          <w:tab w:val="left" w:pos="1908"/>
        </w:tabs>
        <w:spacing w:line="120" w:lineRule="exact"/>
        <w:ind w:left="1548" w:right="1267" w:hanging="288"/>
        <w:rPr>
          <w:w w:val="100"/>
          <w:sz w:val="10"/>
          <w:lang w:val="fr-FR"/>
        </w:rPr>
      </w:pPr>
    </w:p>
    <w:p w14:paraId="3A7C2710" w14:textId="47F36E3F" w:rsidR="00F56015" w:rsidRPr="00F56015" w:rsidRDefault="00F56015" w:rsidP="00F56015">
      <w:pPr>
        <w:pStyle w:val="FootnoteText"/>
        <w:tabs>
          <w:tab w:val="right" w:pos="1476"/>
          <w:tab w:val="left" w:pos="1548"/>
          <w:tab w:val="right" w:pos="1836"/>
          <w:tab w:val="left" w:pos="1908"/>
        </w:tabs>
        <w:spacing w:line="120" w:lineRule="exact"/>
        <w:ind w:left="1548" w:right="1267" w:hanging="288"/>
        <w:rPr>
          <w:b/>
          <w:w w:val="100"/>
          <w:sz w:val="10"/>
          <w:lang w:val="fr-FR"/>
        </w:rPr>
      </w:pPr>
    </w:p>
    <w:p w14:paraId="60D95421" w14:textId="0C7D6FC0" w:rsidR="00F56015" w:rsidRPr="00F56015" w:rsidRDefault="00F56015" w:rsidP="00F56015">
      <w:pPr>
        <w:pStyle w:val="FootnoteText"/>
        <w:tabs>
          <w:tab w:val="right" w:pos="1476"/>
          <w:tab w:val="left" w:pos="1548"/>
          <w:tab w:val="right" w:pos="1836"/>
          <w:tab w:val="left" w:pos="1908"/>
        </w:tabs>
        <w:spacing w:line="120" w:lineRule="exact"/>
        <w:ind w:left="1548" w:right="1267" w:hanging="288"/>
        <w:rPr>
          <w:b/>
          <w:w w:val="100"/>
          <w:sz w:val="10"/>
          <w:lang w:val="fr-FR"/>
        </w:rPr>
      </w:pPr>
    </w:p>
    <w:p w14:paraId="48EDBCC4" w14:textId="09E729F9" w:rsidR="00AE1CC1" w:rsidRDefault="00F56015" w:rsidP="00F5601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E1CC1">
        <w:rPr>
          <w:lang w:val="fr-FR"/>
        </w:rPr>
        <w:t>Recommandation énoncée au paragraphe 40</w:t>
      </w:r>
    </w:p>
    <w:p w14:paraId="0441E26B" w14:textId="6E97D5BF" w:rsidR="00F56015" w:rsidRPr="00F56015" w:rsidRDefault="00F56015" w:rsidP="00F56015">
      <w:pPr>
        <w:pStyle w:val="SingleTxt"/>
        <w:spacing w:after="0" w:line="120" w:lineRule="exact"/>
        <w:rPr>
          <w:sz w:val="10"/>
          <w:lang w:val="fr-FR"/>
        </w:rPr>
      </w:pPr>
    </w:p>
    <w:p w14:paraId="636F7FA5" w14:textId="069BEB3E" w:rsidR="00AE1CC1" w:rsidRPr="00F60904" w:rsidRDefault="00AE1CC1" w:rsidP="005733DB">
      <w:pPr>
        <w:pStyle w:val="SingleTxt"/>
        <w:rPr>
          <w:w w:val="100"/>
          <w:lang w:val="fr-FR"/>
        </w:rPr>
      </w:pPr>
      <w:r w:rsidRPr="00682915">
        <w:rPr>
          <w:w w:val="100"/>
          <w:lang w:val="fr-FR"/>
        </w:rPr>
        <w:tab/>
      </w:r>
      <w:r w:rsidRPr="00F60904">
        <w:rPr>
          <w:w w:val="100"/>
          <w:lang w:val="fr-FR"/>
        </w:rPr>
        <w:t>Le Comité, conformément à sa recommandation générale n</w:t>
      </w:r>
      <w:r w:rsidRPr="00F60904">
        <w:rPr>
          <w:w w:val="100"/>
          <w:vertAlign w:val="superscript"/>
          <w:lang w:val="fr-FR"/>
        </w:rPr>
        <w:t>o</w:t>
      </w:r>
      <w:r w:rsidR="00974126">
        <w:rPr>
          <w:w w:val="100"/>
          <w:lang w:val="fr-FR"/>
        </w:rPr>
        <w:t> </w:t>
      </w:r>
      <w:r w:rsidRPr="00F60904">
        <w:rPr>
          <w:w w:val="100"/>
          <w:lang w:val="fr-FR"/>
        </w:rPr>
        <w:t>26 de 2008 concernant les travailleuses migrantes, recommande à l</w:t>
      </w:r>
      <w:r w:rsidR="00FC0C0B">
        <w:rPr>
          <w:w w:val="100"/>
          <w:lang w:val="fr-FR"/>
        </w:rPr>
        <w:t>’</w:t>
      </w:r>
      <w:r w:rsidRPr="00F60904">
        <w:rPr>
          <w:w w:val="100"/>
          <w:lang w:val="fr-FR"/>
        </w:rPr>
        <w:t>État partie</w:t>
      </w:r>
      <w:r w:rsidR="00FC0C0B">
        <w:rPr>
          <w:w w:val="100"/>
          <w:lang w:val="fr-FR"/>
        </w:rPr>
        <w:t> :</w:t>
      </w:r>
      <w:r w:rsidR="00405D8A">
        <w:rPr>
          <w:w w:val="100"/>
          <w:lang w:val="fr-FR"/>
        </w:rPr>
        <w:t xml:space="preserve"> </w:t>
      </w:r>
    </w:p>
    <w:p w14:paraId="4780D1FB" w14:textId="269C4E9D" w:rsidR="00AE1CC1" w:rsidRDefault="005733DB" w:rsidP="005733DB">
      <w:pPr>
        <w:pStyle w:val="SingleTxt"/>
        <w:ind w:left="1742" w:hanging="475"/>
        <w:rPr>
          <w:w w:val="100"/>
          <w:lang w:val="fr-FR"/>
        </w:rPr>
      </w:pPr>
      <w:r>
        <w:rPr>
          <w:w w:val="100"/>
          <w:lang w:val="fr-FR"/>
        </w:rPr>
        <w:tab/>
      </w:r>
      <w:r w:rsidR="00AE1CC1" w:rsidRPr="00F60904">
        <w:rPr>
          <w:w w:val="100"/>
          <w:lang w:val="fr-FR"/>
        </w:rPr>
        <w:tab/>
        <w:t>b)</w:t>
      </w:r>
      <w:r w:rsidR="00AE1CC1" w:rsidRPr="00F60904">
        <w:rPr>
          <w:w w:val="100"/>
          <w:lang w:val="fr-FR"/>
        </w:rPr>
        <w:tab/>
        <w:t>D</w:t>
      </w:r>
      <w:r w:rsidR="00FC0C0B">
        <w:rPr>
          <w:w w:val="100"/>
          <w:lang w:val="fr-FR"/>
        </w:rPr>
        <w:t>’</w:t>
      </w:r>
      <w:r w:rsidR="00AE1CC1" w:rsidRPr="00F60904">
        <w:rPr>
          <w:w w:val="100"/>
          <w:lang w:val="fr-FR"/>
        </w:rPr>
        <w:t>étendre l</w:t>
      </w:r>
      <w:r w:rsidR="00FC0C0B">
        <w:rPr>
          <w:w w:val="100"/>
          <w:lang w:val="fr-FR"/>
        </w:rPr>
        <w:t>’</w:t>
      </w:r>
      <w:r w:rsidR="00AE1CC1" w:rsidRPr="00F60904">
        <w:rPr>
          <w:w w:val="100"/>
          <w:lang w:val="fr-FR"/>
        </w:rPr>
        <w:t>application de la loi du travail aux employés de maison et d</w:t>
      </w:r>
      <w:r w:rsidR="00FC0C0B">
        <w:rPr>
          <w:w w:val="100"/>
          <w:lang w:val="fr-FR"/>
        </w:rPr>
        <w:t>’</w:t>
      </w:r>
      <w:r w:rsidR="00AE1CC1" w:rsidRPr="00F60904">
        <w:rPr>
          <w:w w:val="100"/>
          <w:lang w:val="fr-FR"/>
        </w:rPr>
        <w:t>adopter une loi réglementant le travail domestique, qui prévoirait des sanctions appropriées pour les employeurs se livrant à des pratiques abusives</w:t>
      </w:r>
      <w:r w:rsidR="00974126">
        <w:rPr>
          <w:w w:val="100"/>
          <w:lang w:val="fr-FR"/>
        </w:rPr>
        <w:t> </w:t>
      </w:r>
      <w:r w:rsidR="00AE1CC1" w:rsidRPr="00F60904">
        <w:rPr>
          <w:w w:val="100"/>
          <w:lang w:val="fr-FR"/>
        </w:rPr>
        <w:t>;</w:t>
      </w:r>
    </w:p>
    <w:p w14:paraId="34045962" w14:textId="2B956D33" w:rsidR="00AE1CC1" w:rsidRPr="005733DB" w:rsidRDefault="00AE1CC1" w:rsidP="005733DB">
      <w:pPr>
        <w:pStyle w:val="SingleTxt"/>
        <w:rPr>
          <w:w w:val="100"/>
          <w:lang w:val="fr-FR"/>
        </w:rPr>
      </w:pPr>
      <w:r w:rsidRPr="005733DB">
        <w:rPr>
          <w:w w:val="100"/>
          <w:lang w:val="fr-FR"/>
        </w:rPr>
        <w:tab/>
        <w:t>Compte tenu de la particularité des relations qui existent entre les employés de maison et les employeurs et de la nature du travail accompli au domicile, les employés de maison sont considérés comme des membres de la famille par le législateur et les dispositions du Code du travail ne s</w:t>
      </w:r>
      <w:r w:rsidR="00FC0C0B">
        <w:rPr>
          <w:w w:val="100"/>
          <w:lang w:val="fr-FR"/>
        </w:rPr>
        <w:t>’</w:t>
      </w:r>
      <w:r w:rsidRPr="005733DB">
        <w:rPr>
          <w:w w:val="100"/>
          <w:lang w:val="fr-FR"/>
        </w:rPr>
        <w:t>appliquent donc pas à eux. Le Ministère de la main-d</w:t>
      </w:r>
      <w:r w:rsidR="00FC0C0B">
        <w:rPr>
          <w:w w:val="100"/>
          <w:lang w:val="fr-FR"/>
        </w:rPr>
        <w:t>’</w:t>
      </w:r>
      <w:r w:rsidRPr="005733DB">
        <w:rPr>
          <w:w w:val="100"/>
          <w:lang w:val="fr-FR"/>
        </w:rPr>
        <w:t>œuvre s</w:t>
      </w:r>
      <w:r w:rsidR="00FC0C0B">
        <w:rPr>
          <w:w w:val="100"/>
          <w:lang w:val="fr-FR"/>
        </w:rPr>
        <w:t>’</w:t>
      </w:r>
      <w:r w:rsidRPr="005733DB">
        <w:rPr>
          <w:w w:val="100"/>
          <w:lang w:val="fr-FR"/>
        </w:rPr>
        <w:t xml:space="preserve">emploie actuellement à élaborer un futur projet de loi visant à réglementer le travail des employés de maison et des personnes occupant des emplois équivalents, en tenant compte des points susmentionnés. </w:t>
      </w:r>
    </w:p>
    <w:p w14:paraId="25E5DE38" w14:textId="296B7050" w:rsidR="00AE1CC1" w:rsidRDefault="00AE1CC1" w:rsidP="005733DB">
      <w:pPr>
        <w:pStyle w:val="SingleTxt"/>
        <w:rPr>
          <w:w w:val="100"/>
          <w:lang w:val="fr-FR"/>
        </w:rPr>
      </w:pPr>
      <w:r w:rsidRPr="005733DB">
        <w:rPr>
          <w:w w:val="100"/>
          <w:lang w:val="fr-FR"/>
        </w:rPr>
        <w:lastRenderedPageBreak/>
        <w:tab/>
        <w:t>Le Ministère de la main-d</w:t>
      </w:r>
      <w:r w:rsidR="00FC0C0B">
        <w:rPr>
          <w:w w:val="100"/>
          <w:lang w:val="fr-FR"/>
        </w:rPr>
        <w:t>’</w:t>
      </w:r>
      <w:r w:rsidRPr="005733DB">
        <w:rPr>
          <w:w w:val="100"/>
          <w:lang w:val="fr-FR"/>
        </w:rPr>
        <w:t>œuvre fait établir et publier des guides en 22 langues étrangères dans lesquels figurent des orientations générales données à la main-d</w:t>
      </w:r>
      <w:r w:rsidR="00FC0C0B">
        <w:rPr>
          <w:w w:val="100"/>
          <w:lang w:val="fr-FR"/>
        </w:rPr>
        <w:t>’</w:t>
      </w:r>
      <w:r w:rsidRPr="005733DB">
        <w:rPr>
          <w:w w:val="100"/>
          <w:lang w:val="fr-FR"/>
        </w:rPr>
        <w:t>œuvre non omanaise à son arrivée dans le Sultanat, notamment aux employées de maison. À leur arrivée, les travailleurs migrants reçoivent ces informations complètes relatives à leurs droits, en vue d</w:t>
      </w:r>
      <w:r w:rsidR="00FC0C0B">
        <w:rPr>
          <w:w w:val="100"/>
          <w:lang w:val="fr-FR"/>
        </w:rPr>
        <w:t>’</w:t>
      </w:r>
      <w:r w:rsidRPr="005733DB">
        <w:rPr>
          <w:w w:val="100"/>
          <w:lang w:val="fr-FR"/>
        </w:rPr>
        <w:t>assurer leur prise en charge et leur protection, de leur donner des conseils sur le respect des contrats</w:t>
      </w:r>
      <w:r>
        <w:rPr>
          <w:w w:val="100"/>
          <w:lang w:val="fr-FR"/>
        </w:rPr>
        <w:t xml:space="preserve"> de travail et des dispositions législatives, pour éviter qu</w:t>
      </w:r>
      <w:r w:rsidR="00FC0C0B">
        <w:rPr>
          <w:w w:val="100"/>
          <w:lang w:val="fr-FR"/>
        </w:rPr>
        <w:t>’</w:t>
      </w:r>
      <w:r>
        <w:rPr>
          <w:w w:val="100"/>
          <w:lang w:val="fr-FR"/>
        </w:rPr>
        <w:t>ils ne soient victimes d</w:t>
      </w:r>
      <w:r w:rsidR="00FC0C0B">
        <w:rPr>
          <w:w w:val="100"/>
          <w:lang w:val="fr-FR"/>
        </w:rPr>
        <w:t>’</w:t>
      </w:r>
      <w:r>
        <w:rPr>
          <w:w w:val="100"/>
          <w:lang w:val="fr-FR"/>
        </w:rPr>
        <w:t>une quelconque pratique préjudiciable</w:t>
      </w:r>
      <w:r w:rsidR="00405D8A">
        <w:rPr>
          <w:w w:val="100"/>
          <w:lang w:val="fr-FR"/>
        </w:rPr>
        <w:t xml:space="preserve"> </w:t>
      </w:r>
      <w:r>
        <w:rPr>
          <w:w w:val="100"/>
          <w:lang w:val="fr-FR"/>
        </w:rPr>
        <w:t>pouvant conduire à des cas de traite des êtres humains, et de leur indiquer comment prendre contact avec les autorités compétentes en cas de violation de leurs droits.</w:t>
      </w:r>
    </w:p>
    <w:p w14:paraId="7E8AC71B" w14:textId="33E06E5B" w:rsidR="00AE1CC1" w:rsidRPr="005733DB" w:rsidRDefault="00AE1CC1" w:rsidP="005733DB">
      <w:pPr>
        <w:pStyle w:val="SingleTxt"/>
        <w:rPr>
          <w:w w:val="100"/>
          <w:lang w:val="fr-FR"/>
        </w:rPr>
      </w:pPr>
      <w:r w:rsidRPr="00293069">
        <w:rPr>
          <w:w w:val="100"/>
          <w:lang w:val="fr-FR"/>
        </w:rPr>
        <w:tab/>
      </w:r>
      <w:r>
        <w:rPr>
          <w:w w:val="100"/>
          <w:lang w:val="fr-FR"/>
        </w:rPr>
        <w:t>Le Ministère de la main-d</w:t>
      </w:r>
      <w:r w:rsidR="00FC0C0B">
        <w:rPr>
          <w:w w:val="100"/>
          <w:lang w:val="fr-FR"/>
        </w:rPr>
        <w:t>’</w:t>
      </w:r>
      <w:r>
        <w:rPr>
          <w:w w:val="100"/>
          <w:lang w:val="fr-FR"/>
        </w:rPr>
        <w:t xml:space="preserve">œuvre a mis en place un système électronique de réception des plaintes des travailleurs afin que </w:t>
      </w:r>
      <w:r w:rsidRPr="005733DB">
        <w:rPr>
          <w:w w:val="100"/>
          <w:lang w:val="fr-FR"/>
        </w:rPr>
        <w:t>la procédure soit plus facilement accessible aux travailleuses qui ne sont pas en mesure de présenter une plainte en personne.</w:t>
      </w:r>
    </w:p>
    <w:p w14:paraId="2D0562ED" w14:textId="5F01E5FA" w:rsidR="00AE1CC1" w:rsidRDefault="00AE1CC1" w:rsidP="005733DB">
      <w:pPr>
        <w:pStyle w:val="SingleTxt"/>
        <w:rPr>
          <w:w w:val="100"/>
          <w:lang w:val="fr-FR"/>
        </w:rPr>
      </w:pPr>
      <w:r w:rsidRPr="005733DB">
        <w:rPr>
          <w:w w:val="100"/>
          <w:lang w:val="fr-FR"/>
        </w:rPr>
        <w:tab/>
        <w:t>Des services de sensibilisation sont proposés aux travailleurs et aux employeurs. Ainsi, en 2017, 2018 et 2019, le Ministère de l</w:t>
      </w:r>
      <w:r>
        <w:rPr>
          <w:w w:val="100"/>
          <w:lang w:val="fr-FR"/>
        </w:rPr>
        <w:t>a main-d</w:t>
      </w:r>
      <w:r w:rsidR="00FC0C0B">
        <w:rPr>
          <w:w w:val="100"/>
          <w:lang w:val="fr-FR"/>
        </w:rPr>
        <w:t>’</w:t>
      </w:r>
      <w:r>
        <w:rPr>
          <w:w w:val="100"/>
          <w:lang w:val="fr-FR"/>
        </w:rPr>
        <w:t>œuvre a organisé plusieurs programmes de sensibilisation, comme suit</w:t>
      </w:r>
      <w:r w:rsidR="00FC0C0B">
        <w:rPr>
          <w:w w:val="100"/>
          <w:lang w:val="fr-FR"/>
        </w:rPr>
        <w:t> :</w:t>
      </w:r>
      <w:r>
        <w:rPr>
          <w:w w:val="100"/>
          <w:lang w:val="fr-FR"/>
        </w:rPr>
        <w:t xml:space="preserve"> </w:t>
      </w:r>
    </w:p>
    <w:p w14:paraId="37F3F17B" w14:textId="2483CFAE" w:rsidR="00D25C44" w:rsidRPr="00D25C44" w:rsidRDefault="00D25C44" w:rsidP="00D25C44">
      <w:pPr>
        <w:pStyle w:val="SingleTxt"/>
        <w:spacing w:after="0" w:line="120" w:lineRule="exact"/>
        <w:rPr>
          <w:w w:val="100"/>
          <w:sz w:val="10"/>
          <w:lang w:val="fr-FR"/>
        </w:rPr>
      </w:pPr>
    </w:p>
    <w:p w14:paraId="42B0EB59" w14:textId="5119BCB1" w:rsidR="00AE1CC1" w:rsidRDefault="00D25C44" w:rsidP="00D25C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AE1CC1" w:rsidRPr="001C632D">
        <w:rPr>
          <w:w w:val="100"/>
          <w:lang w:val="fr-FR"/>
        </w:rPr>
        <w:t>Programmes de sensibilisation proposés</w:t>
      </w:r>
      <w:r w:rsidR="00AE1CC1">
        <w:rPr>
          <w:w w:val="100"/>
          <w:lang w:val="fr-FR"/>
        </w:rPr>
        <w:t xml:space="preserve"> </w:t>
      </w:r>
      <w:r w:rsidR="00AE1CC1" w:rsidRPr="001C632D">
        <w:rPr>
          <w:w w:val="100"/>
          <w:lang w:val="fr-FR"/>
        </w:rPr>
        <w:t>par le Ministère d</w:t>
      </w:r>
      <w:r w:rsidR="00AE1CC1">
        <w:rPr>
          <w:w w:val="100"/>
          <w:lang w:val="fr-FR"/>
        </w:rPr>
        <w:t>e la main-d</w:t>
      </w:r>
      <w:r w:rsidR="00FC0C0B">
        <w:rPr>
          <w:w w:val="100"/>
          <w:lang w:val="fr-FR"/>
        </w:rPr>
        <w:t>’</w:t>
      </w:r>
      <w:r w:rsidR="00AE1CC1">
        <w:rPr>
          <w:w w:val="100"/>
          <w:lang w:val="fr-FR"/>
        </w:rPr>
        <w:t>œuvre à</w:t>
      </w:r>
      <w:r w:rsidR="005F46AC">
        <w:rPr>
          <w:w w:val="100"/>
          <w:lang w:val="fr-FR"/>
        </w:rPr>
        <w:t> </w:t>
      </w:r>
      <w:r w:rsidR="00AE1CC1">
        <w:rPr>
          <w:w w:val="100"/>
          <w:lang w:val="fr-FR"/>
        </w:rPr>
        <w:t>des</w:t>
      </w:r>
      <w:r>
        <w:rPr>
          <w:w w:val="100"/>
          <w:lang w:val="fr-FR"/>
        </w:rPr>
        <w:t> </w:t>
      </w:r>
      <w:r w:rsidR="00AE1CC1">
        <w:rPr>
          <w:w w:val="100"/>
          <w:lang w:val="fr-FR"/>
        </w:rPr>
        <w:t>personnes et à des groupes de personnes en 2017</w:t>
      </w:r>
    </w:p>
    <w:p w14:paraId="70477CAB" w14:textId="01869C71" w:rsidR="005F46AC" w:rsidRPr="005F46AC" w:rsidRDefault="005F46AC" w:rsidP="005F46AC">
      <w:pPr>
        <w:pStyle w:val="SingleTxt"/>
        <w:spacing w:after="0" w:line="120" w:lineRule="exact"/>
        <w:rPr>
          <w:sz w:val="10"/>
          <w:lang w:val="fr-FR"/>
        </w:rPr>
      </w:pPr>
    </w:p>
    <w:p w14:paraId="242C5951" w14:textId="546B5018" w:rsidR="005F46AC" w:rsidRPr="005F46AC" w:rsidRDefault="005F46AC" w:rsidP="005F46AC">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15"/>
        <w:gridCol w:w="1105"/>
        <w:gridCol w:w="1220"/>
        <w:gridCol w:w="115"/>
        <w:gridCol w:w="1105"/>
        <w:gridCol w:w="115"/>
        <w:gridCol w:w="1105"/>
        <w:gridCol w:w="1220"/>
      </w:tblGrid>
      <w:tr w:rsidR="00D25C44" w:rsidRPr="00A610B5" w14:paraId="0291A2EF" w14:textId="77777777" w:rsidTr="00794514">
        <w:trPr>
          <w:tblHeader/>
        </w:trPr>
        <w:tc>
          <w:tcPr>
            <w:tcW w:w="3660" w:type="dxa"/>
            <w:gridSpan w:val="4"/>
            <w:tcBorders>
              <w:top w:val="single" w:sz="4" w:space="0" w:color="auto"/>
              <w:bottom w:val="single" w:sz="4" w:space="0" w:color="auto"/>
            </w:tcBorders>
            <w:shd w:val="clear" w:color="auto" w:fill="auto"/>
            <w:vAlign w:val="bottom"/>
          </w:tcPr>
          <w:p w14:paraId="215E52EC" w14:textId="24D66BEE" w:rsidR="00D25C44" w:rsidRPr="00A610B5" w:rsidRDefault="00D25C44" w:rsidP="00D25C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Sensibilisation de personnes</w:t>
            </w:r>
          </w:p>
        </w:tc>
        <w:tc>
          <w:tcPr>
            <w:tcW w:w="115" w:type="dxa"/>
            <w:tcBorders>
              <w:top w:val="single" w:sz="4" w:space="0" w:color="auto"/>
            </w:tcBorders>
            <w:shd w:val="clear" w:color="auto" w:fill="auto"/>
            <w:vAlign w:val="bottom"/>
          </w:tcPr>
          <w:p w14:paraId="3A9FFBA8" w14:textId="77777777" w:rsidR="00D25C44" w:rsidRPr="00A610B5" w:rsidRDefault="00D25C44" w:rsidP="007945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545" w:type="dxa"/>
            <w:gridSpan w:val="4"/>
            <w:tcBorders>
              <w:top w:val="single" w:sz="4" w:space="0" w:color="auto"/>
              <w:bottom w:val="single" w:sz="4" w:space="0" w:color="auto"/>
            </w:tcBorders>
            <w:shd w:val="clear" w:color="auto" w:fill="auto"/>
            <w:vAlign w:val="bottom"/>
          </w:tcPr>
          <w:p w14:paraId="2686204B" w14:textId="72551E1F" w:rsidR="00D25C44" w:rsidRPr="00A610B5" w:rsidRDefault="00D25C44" w:rsidP="00D25C4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Sensibilisation de groupes de personnes</w:t>
            </w:r>
          </w:p>
        </w:tc>
      </w:tr>
      <w:tr w:rsidR="00D25C44" w:rsidRPr="00A610B5" w14:paraId="2BCD8E41" w14:textId="77777777" w:rsidTr="00794514">
        <w:trPr>
          <w:tblHeader/>
        </w:trPr>
        <w:tc>
          <w:tcPr>
            <w:tcW w:w="1220" w:type="dxa"/>
            <w:vMerge w:val="restart"/>
            <w:tcBorders>
              <w:top w:val="single" w:sz="4" w:space="0" w:color="auto"/>
            </w:tcBorders>
            <w:shd w:val="clear" w:color="auto" w:fill="auto"/>
            <w:vAlign w:val="bottom"/>
          </w:tcPr>
          <w:p w14:paraId="28245B74" w14:textId="497CA7CE" w:rsidR="00D25C44" w:rsidRPr="00A610B5" w:rsidRDefault="00871512" w:rsidP="00871512">
            <w:pPr>
              <w:pStyle w:val="SingleTxt"/>
              <w:spacing w:before="81" w:after="81" w:line="160" w:lineRule="exact"/>
              <w:ind w:left="0" w:right="144"/>
              <w:jc w:val="left"/>
              <w:rPr>
                <w:i/>
                <w:sz w:val="14"/>
              </w:rPr>
            </w:pPr>
            <w:r w:rsidRPr="00871512">
              <w:rPr>
                <w:i/>
                <w:iCs/>
                <w:sz w:val="14"/>
                <w:lang w:val="fr-FR"/>
              </w:rPr>
              <w:t xml:space="preserve">Nombre </w:t>
            </w:r>
            <w:r w:rsidR="005F46AC">
              <w:rPr>
                <w:i/>
                <w:iCs/>
                <w:sz w:val="14"/>
                <w:lang w:val="fr-FR"/>
              </w:rPr>
              <w:br/>
            </w:r>
            <w:r w:rsidRPr="00871512">
              <w:rPr>
                <w:i/>
                <w:iCs/>
                <w:sz w:val="14"/>
                <w:lang w:val="fr-FR"/>
              </w:rPr>
              <w:t>de personnes concernées</w:t>
            </w:r>
          </w:p>
        </w:tc>
        <w:tc>
          <w:tcPr>
            <w:tcW w:w="115" w:type="dxa"/>
            <w:tcBorders>
              <w:top w:val="single" w:sz="4" w:space="0" w:color="auto"/>
            </w:tcBorders>
            <w:shd w:val="clear" w:color="auto" w:fill="auto"/>
            <w:vAlign w:val="bottom"/>
          </w:tcPr>
          <w:p w14:paraId="15D54690"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top w:val="single" w:sz="4" w:space="0" w:color="auto"/>
              <w:bottom w:val="single" w:sz="4" w:space="0" w:color="auto"/>
            </w:tcBorders>
            <w:shd w:val="clear" w:color="auto" w:fill="auto"/>
            <w:vAlign w:val="bottom"/>
          </w:tcPr>
          <w:p w14:paraId="3200CF7D" w14:textId="77FE7300" w:rsidR="00D25C44" w:rsidRPr="00A610B5" w:rsidRDefault="00871512" w:rsidP="008715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871512">
              <w:rPr>
                <w:i/>
                <w:iCs/>
                <w:sz w:val="14"/>
                <w:lang w:val="fr-FR"/>
              </w:rPr>
              <w:t>Nombre de bénéficiaires</w:t>
            </w:r>
          </w:p>
        </w:tc>
        <w:tc>
          <w:tcPr>
            <w:tcW w:w="1220" w:type="dxa"/>
            <w:gridSpan w:val="2"/>
            <w:vMerge w:val="restart"/>
            <w:shd w:val="clear" w:color="auto" w:fill="auto"/>
            <w:vAlign w:val="bottom"/>
          </w:tcPr>
          <w:p w14:paraId="6424CBB2" w14:textId="7472334C" w:rsidR="00D25C44" w:rsidRPr="00A610B5" w:rsidRDefault="00871512" w:rsidP="00871512">
            <w:pPr>
              <w:pStyle w:val="SingleTxt"/>
              <w:spacing w:before="81" w:after="81" w:line="160" w:lineRule="exact"/>
              <w:ind w:left="144" w:right="40"/>
              <w:jc w:val="right"/>
              <w:rPr>
                <w:i/>
                <w:sz w:val="14"/>
              </w:rPr>
            </w:pPr>
            <w:r w:rsidRPr="00871512">
              <w:rPr>
                <w:i/>
                <w:iCs/>
                <w:sz w:val="14"/>
                <w:lang w:val="fr-FR"/>
              </w:rPr>
              <w:t xml:space="preserve">Nombre </w:t>
            </w:r>
            <w:r w:rsidR="00C11D14">
              <w:rPr>
                <w:i/>
                <w:iCs/>
                <w:sz w:val="14"/>
                <w:lang w:val="fr-FR"/>
              </w:rPr>
              <w:br/>
            </w:r>
            <w:r w:rsidRPr="00871512">
              <w:rPr>
                <w:i/>
                <w:iCs/>
                <w:sz w:val="14"/>
                <w:lang w:val="fr-FR"/>
              </w:rPr>
              <w:t>de groupes concernés</w:t>
            </w:r>
          </w:p>
        </w:tc>
        <w:tc>
          <w:tcPr>
            <w:tcW w:w="115" w:type="dxa"/>
            <w:shd w:val="clear" w:color="auto" w:fill="auto"/>
            <w:vAlign w:val="bottom"/>
          </w:tcPr>
          <w:p w14:paraId="72A74AF8"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bottom w:val="single" w:sz="4" w:space="0" w:color="auto"/>
            </w:tcBorders>
            <w:shd w:val="clear" w:color="auto" w:fill="auto"/>
            <w:vAlign w:val="bottom"/>
          </w:tcPr>
          <w:p w14:paraId="16F40E19" w14:textId="1CB84648" w:rsidR="00D25C44" w:rsidRPr="00A610B5" w:rsidRDefault="00D25C44" w:rsidP="00D25C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Nombre de bénéficiaires</w:t>
            </w:r>
          </w:p>
        </w:tc>
      </w:tr>
      <w:tr w:rsidR="00D25C44" w:rsidRPr="00A610B5" w14:paraId="583FBF89" w14:textId="77777777" w:rsidTr="00794514">
        <w:trPr>
          <w:tblHeader/>
        </w:trPr>
        <w:tc>
          <w:tcPr>
            <w:tcW w:w="1220" w:type="dxa"/>
            <w:vMerge/>
            <w:tcBorders>
              <w:bottom w:val="single" w:sz="12" w:space="0" w:color="auto"/>
            </w:tcBorders>
            <w:shd w:val="clear" w:color="auto" w:fill="auto"/>
            <w:vAlign w:val="bottom"/>
          </w:tcPr>
          <w:p w14:paraId="07D71DCC"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220" w:type="dxa"/>
            <w:gridSpan w:val="2"/>
            <w:tcBorders>
              <w:bottom w:val="single" w:sz="12" w:space="0" w:color="auto"/>
            </w:tcBorders>
            <w:shd w:val="clear" w:color="auto" w:fill="auto"/>
            <w:vAlign w:val="bottom"/>
          </w:tcPr>
          <w:p w14:paraId="629EC7D7" w14:textId="26791E51" w:rsidR="00D25C44" w:rsidRPr="00A610B5" w:rsidRDefault="00871512" w:rsidP="008715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Hommes</w:t>
            </w:r>
          </w:p>
        </w:tc>
        <w:tc>
          <w:tcPr>
            <w:tcW w:w="1220" w:type="dxa"/>
            <w:tcBorders>
              <w:bottom w:val="single" w:sz="12" w:space="0" w:color="auto"/>
            </w:tcBorders>
            <w:shd w:val="clear" w:color="auto" w:fill="auto"/>
            <w:vAlign w:val="bottom"/>
          </w:tcPr>
          <w:p w14:paraId="00656DCF" w14:textId="7CCCAA6D" w:rsidR="00D25C44" w:rsidRPr="00A610B5" w:rsidRDefault="00871512" w:rsidP="008715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Femmes</w:t>
            </w:r>
            <w:r w:rsidRPr="00871512">
              <w:rPr>
                <w:i/>
                <w:sz w:val="14"/>
              </w:rPr>
              <w:t xml:space="preserve"> </w:t>
            </w:r>
          </w:p>
        </w:tc>
        <w:tc>
          <w:tcPr>
            <w:tcW w:w="1220" w:type="dxa"/>
            <w:gridSpan w:val="2"/>
            <w:vMerge/>
            <w:tcBorders>
              <w:bottom w:val="single" w:sz="12" w:space="0" w:color="auto"/>
            </w:tcBorders>
            <w:shd w:val="clear" w:color="auto" w:fill="auto"/>
            <w:vAlign w:val="bottom"/>
          </w:tcPr>
          <w:p w14:paraId="4E32447D"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20" w:type="dxa"/>
            <w:gridSpan w:val="2"/>
            <w:tcBorders>
              <w:bottom w:val="single" w:sz="12" w:space="0" w:color="auto"/>
            </w:tcBorders>
            <w:shd w:val="clear" w:color="auto" w:fill="auto"/>
            <w:vAlign w:val="bottom"/>
          </w:tcPr>
          <w:p w14:paraId="797A4247" w14:textId="1AC7840F" w:rsidR="00D25C44" w:rsidRPr="00A610B5" w:rsidRDefault="00871512" w:rsidP="008715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Hommes</w:t>
            </w:r>
          </w:p>
        </w:tc>
        <w:tc>
          <w:tcPr>
            <w:tcW w:w="1220" w:type="dxa"/>
            <w:tcBorders>
              <w:bottom w:val="single" w:sz="12" w:space="0" w:color="auto"/>
            </w:tcBorders>
            <w:shd w:val="clear" w:color="auto" w:fill="auto"/>
            <w:vAlign w:val="bottom"/>
          </w:tcPr>
          <w:p w14:paraId="624DA855" w14:textId="63B610BC" w:rsidR="00D25C44" w:rsidRPr="00A610B5" w:rsidRDefault="00871512" w:rsidP="008715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Femmes</w:t>
            </w:r>
          </w:p>
        </w:tc>
      </w:tr>
      <w:tr w:rsidR="00D25C44" w:rsidRPr="00A610B5" w14:paraId="79F4D6D1" w14:textId="77777777" w:rsidTr="00794514">
        <w:trPr>
          <w:trHeight w:hRule="exact" w:val="115"/>
          <w:tblHeader/>
        </w:trPr>
        <w:tc>
          <w:tcPr>
            <w:tcW w:w="1220" w:type="dxa"/>
            <w:tcBorders>
              <w:top w:val="single" w:sz="12" w:space="0" w:color="auto"/>
            </w:tcBorders>
            <w:shd w:val="clear" w:color="auto" w:fill="auto"/>
            <w:vAlign w:val="bottom"/>
          </w:tcPr>
          <w:p w14:paraId="20A3D1E0"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20" w:type="dxa"/>
            <w:gridSpan w:val="2"/>
            <w:tcBorders>
              <w:top w:val="single" w:sz="12" w:space="0" w:color="auto"/>
            </w:tcBorders>
            <w:shd w:val="clear" w:color="auto" w:fill="auto"/>
            <w:vAlign w:val="bottom"/>
          </w:tcPr>
          <w:p w14:paraId="47B72F74"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59A44E01"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0F51668A"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40D77E5F"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2617CBDE"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25C44" w:rsidRPr="00A610B5" w14:paraId="5ED8D026" w14:textId="77777777" w:rsidTr="00794514">
        <w:tc>
          <w:tcPr>
            <w:tcW w:w="1220" w:type="dxa"/>
            <w:shd w:val="clear" w:color="auto" w:fill="auto"/>
            <w:vAlign w:val="bottom"/>
          </w:tcPr>
          <w:p w14:paraId="40E20198" w14:textId="5580B380"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A610B5">
              <w:rPr>
                <w:sz w:val="17"/>
              </w:rPr>
              <w:t>1</w:t>
            </w:r>
            <w:r w:rsidR="00C11D14">
              <w:rPr>
                <w:sz w:val="17"/>
              </w:rPr>
              <w:t xml:space="preserve"> </w:t>
            </w:r>
            <w:r w:rsidRPr="00A610B5">
              <w:rPr>
                <w:sz w:val="17"/>
              </w:rPr>
              <w:t>054</w:t>
            </w:r>
          </w:p>
        </w:tc>
        <w:tc>
          <w:tcPr>
            <w:tcW w:w="1220" w:type="dxa"/>
            <w:gridSpan w:val="2"/>
            <w:shd w:val="clear" w:color="auto" w:fill="auto"/>
            <w:vAlign w:val="bottom"/>
          </w:tcPr>
          <w:p w14:paraId="3963ECD3"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10B5">
              <w:rPr>
                <w:sz w:val="17"/>
              </w:rPr>
              <w:t>855</w:t>
            </w:r>
          </w:p>
        </w:tc>
        <w:tc>
          <w:tcPr>
            <w:tcW w:w="1220" w:type="dxa"/>
            <w:shd w:val="clear" w:color="auto" w:fill="auto"/>
            <w:vAlign w:val="bottom"/>
          </w:tcPr>
          <w:p w14:paraId="498134DE"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10B5">
              <w:rPr>
                <w:sz w:val="17"/>
              </w:rPr>
              <w:t>199</w:t>
            </w:r>
          </w:p>
        </w:tc>
        <w:tc>
          <w:tcPr>
            <w:tcW w:w="1220" w:type="dxa"/>
            <w:gridSpan w:val="2"/>
            <w:shd w:val="clear" w:color="auto" w:fill="auto"/>
            <w:vAlign w:val="bottom"/>
          </w:tcPr>
          <w:p w14:paraId="7CD5F6CC"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10B5">
              <w:rPr>
                <w:sz w:val="17"/>
              </w:rPr>
              <w:t>31</w:t>
            </w:r>
          </w:p>
        </w:tc>
        <w:tc>
          <w:tcPr>
            <w:tcW w:w="1220" w:type="dxa"/>
            <w:gridSpan w:val="2"/>
            <w:shd w:val="clear" w:color="auto" w:fill="auto"/>
            <w:vAlign w:val="bottom"/>
          </w:tcPr>
          <w:p w14:paraId="3769DB42"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10B5">
              <w:rPr>
                <w:sz w:val="17"/>
              </w:rPr>
              <w:t>402</w:t>
            </w:r>
          </w:p>
        </w:tc>
        <w:tc>
          <w:tcPr>
            <w:tcW w:w="1220" w:type="dxa"/>
            <w:shd w:val="clear" w:color="auto" w:fill="auto"/>
            <w:vAlign w:val="bottom"/>
          </w:tcPr>
          <w:p w14:paraId="730D4339" w14:textId="77777777" w:rsidR="00D25C44" w:rsidRPr="00A610B5" w:rsidRDefault="00D25C44"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610B5">
              <w:rPr>
                <w:sz w:val="17"/>
              </w:rPr>
              <w:t>198</w:t>
            </w:r>
          </w:p>
        </w:tc>
      </w:tr>
      <w:tr w:rsidR="00D25C44" w:rsidRPr="00A610B5" w14:paraId="2E02D37F" w14:textId="77777777" w:rsidTr="00794514">
        <w:tc>
          <w:tcPr>
            <w:tcW w:w="3660" w:type="dxa"/>
            <w:gridSpan w:val="4"/>
            <w:tcBorders>
              <w:bottom w:val="single" w:sz="12" w:space="0" w:color="auto"/>
            </w:tcBorders>
            <w:shd w:val="clear" w:color="auto" w:fill="auto"/>
            <w:vAlign w:val="bottom"/>
          </w:tcPr>
          <w:p w14:paraId="3EB6381E" w14:textId="006B91E5" w:rsidR="00D25C44" w:rsidRPr="00A610B5" w:rsidRDefault="00871512" w:rsidP="005F46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871512">
              <w:rPr>
                <w:sz w:val="17"/>
                <w:lang w:val="fr-FR"/>
              </w:rPr>
              <w:t>Envoi de 6 100 textos</w:t>
            </w:r>
          </w:p>
        </w:tc>
        <w:tc>
          <w:tcPr>
            <w:tcW w:w="1220" w:type="dxa"/>
            <w:gridSpan w:val="2"/>
            <w:tcBorders>
              <w:bottom w:val="single" w:sz="12" w:space="0" w:color="auto"/>
            </w:tcBorders>
            <w:shd w:val="clear" w:color="auto" w:fill="auto"/>
            <w:vAlign w:val="bottom"/>
          </w:tcPr>
          <w:p w14:paraId="6F93A978" w14:textId="77777777" w:rsidR="00D25C44" w:rsidRPr="00A610B5" w:rsidRDefault="00D25C44" w:rsidP="005F46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220" w:type="dxa"/>
            <w:gridSpan w:val="2"/>
            <w:tcBorders>
              <w:bottom w:val="single" w:sz="12" w:space="0" w:color="auto"/>
            </w:tcBorders>
            <w:shd w:val="clear" w:color="auto" w:fill="auto"/>
            <w:vAlign w:val="bottom"/>
          </w:tcPr>
          <w:p w14:paraId="0ED940E1" w14:textId="77777777" w:rsidR="00D25C44" w:rsidRPr="00A610B5" w:rsidRDefault="00D25C44" w:rsidP="005F46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220" w:type="dxa"/>
            <w:tcBorders>
              <w:bottom w:val="single" w:sz="12" w:space="0" w:color="auto"/>
            </w:tcBorders>
            <w:shd w:val="clear" w:color="auto" w:fill="auto"/>
            <w:vAlign w:val="bottom"/>
          </w:tcPr>
          <w:p w14:paraId="3F9ABAF3" w14:textId="77777777" w:rsidR="00D25C44" w:rsidRPr="00A610B5" w:rsidRDefault="00D25C44" w:rsidP="005F46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bl>
    <w:p w14:paraId="0AB6C665" w14:textId="20E5C0B9" w:rsidR="005F46AC" w:rsidRPr="005F46AC" w:rsidRDefault="005F46AC" w:rsidP="005F46AC">
      <w:pPr>
        <w:pStyle w:val="SingleTxt"/>
        <w:spacing w:after="0" w:line="120" w:lineRule="exact"/>
        <w:rPr>
          <w:sz w:val="10"/>
          <w:lang w:val="fr-FR"/>
        </w:rPr>
      </w:pPr>
    </w:p>
    <w:p w14:paraId="509E7A0B" w14:textId="414D5680" w:rsidR="00AE1CC1" w:rsidRDefault="00AE1CC1" w:rsidP="005F46AC">
      <w:pPr>
        <w:pStyle w:val="FootnoteText"/>
        <w:tabs>
          <w:tab w:val="right" w:pos="1476"/>
          <w:tab w:val="left" w:pos="1548"/>
          <w:tab w:val="right" w:pos="1836"/>
          <w:tab w:val="left" w:pos="1908"/>
        </w:tabs>
        <w:ind w:left="1548" w:right="1267" w:hanging="288"/>
        <w:rPr>
          <w:w w:val="100"/>
          <w:lang w:val="fr-FR"/>
        </w:rPr>
      </w:pPr>
      <w:r w:rsidRPr="005F46AC">
        <w:rPr>
          <w:i/>
          <w:iCs/>
          <w:w w:val="100"/>
          <w:lang w:val="fr-FR"/>
        </w:rPr>
        <w:t>Source</w:t>
      </w:r>
      <w:r w:rsidR="00FC0C0B">
        <w:rPr>
          <w:i/>
          <w:iCs/>
          <w:w w:val="100"/>
          <w:lang w:val="fr-FR"/>
        </w:rPr>
        <w:t> :</w:t>
      </w:r>
      <w:r w:rsidRPr="00C649B3">
        <w:rPr>
          <w:w w:val="100"/>
          <w:lang w:val="fr-FR"/>
        </w:rPr>
        <w:t xml:space="preserve"> Direction générale de la protectio</w:t>
      </w:r>
      <w:r>
        <w:rPr>
          <w:w w:val="100"/>
          <w:lang w:val="fr-FR"/>
        </w:rPr>
        <w:t>n sociale des travailleurs</w:t>
      </w:r>
      <w:r w:rsidRPr="00C649B3">
        <w:rPr>
          <w:w w:val="100"/>
          <w:lang w:val="fr-FR"/>
        </w:rPr>
        <w:t xml:space="preserve">, </w:t>
      </w:r>
      <w:r>
        <w:rPr>
          <w:w w:val="100"/>
          <w:lang w:val="fr-FR"/>
        </w:rPr>
        <w:t>Ministère de la main-d</w:t>
      </w:r>
      <w:r w:rsidR="00FC0C0B">
        <w:rPr>
          <w:w w:val="100"/>
          <w:lang w:val="fr-FR"/>
        </w:rPr>
        <w:t>’</w:t>
      </w:r>
      <w:r>
        <w:rPr>
          <w:w w:val="100"/>
          <w:lang w:val="fr-FR"/>
        </w:rPr>
        <w:t>œuvre.</w:t>
      </w:r>
    </w:p>
    <w:p w14:paraId="17A63F1E" w14:textId="5FD00FD4" w:rsidR="005F46AC" w:rsidRPr="005F46AC" w:rsidRDefault="005F46AC" w:rsidP="005F46AC">
      <w:pPr>
        <w:pStyle w:val="FootnoteText"/>
        <w:tabs>
          <w:tab w:val="right" w:pos="1476"/>
          <w:tab w:val="left" w:pos="1548"/>
          <w:tab w:val="right" w:pos="1836"/>
          <w:tab w:val="left" w:pos="1908"/>
        </w:tabs>
        <w:spacing w:line="120" w:lineRule="exact"/>
        <w:ind w:left="1548" w:right="1267" w:hanging="288"/>
        <w:rPr>
          <w:w w:val="100"/>
          <w:sz w:val="10"/>
          <w:lang w:val="fr-FR"/>
        </w:rPr>
      </w:pPr>
    </w:p>
    <w:p w14:paraId="4BFC1F1E" w14:textId="22429958" w:rsidR="005F46AC" w:rsidRPr="005F46AC" w:rsidRDefault="005F46AC" w:rsidP="005F46AC">
      <w:pPr>
        <w:pStyle w:val="FootnoteText"/>
        <w:tabs>
          <w:tab w:val="right" w:pos="1476"/>
          <w:tab w:val="left" w:pos="1548"/>
          <w:tab w:val="right" w:pos="1836"/>
          <w:tab w:val="left" w:pos="1908"/>
        </w:tabs>
        <w:spacing w:line="120" w:lineRule="exact"/>
        <w:ind w:left="1548" w:right="1267" w:hanging="288"/>
        <w:rPr>
          <w:b/>
          <w:w w:val="100"/>
          <w:sz w:val="10"/>
          <w:lang w:val="fr-FR"/>
        </w:rPr>
      </w:pPr>
    </w:p>
    <w:p w14:paraId="70017778" w14:textId="035120C5" w:rsidR="005F46AC" w:rsidRPr="005F46AC" w:rsidRDefault="005F46AC" w:rsidP="005F46AC">
      <w:pPr>
        <w:pStyle w:val="FootnoteText"/>
        <w:tabs>
          <w:tab w:val="right" w:pos="1476"/>
          <w:tab w:val="left" w:pos="1548"/>
          <w:tab w:val="right" w:pos="1836"/>
          <w:tab w:val="left" w:pos="1908"/>
        </w:tabs>
        <w:spacing w:line="120" w:lineRule="exact"/>
        <w:ind w:left="1548" w:right="1267" w:hanging="288"/>
        <w:rPr>
          <w:b/>
          <w:w w:val="100"/>
          <w:sz w:val="10"/>
          <w:lang w:val="fr-FR"/>
        </w:rPr>
      </w:pPr>
    </w:p>
    <w:p w14:paraId="6ABCD581" w14:textId="3FBBA26C" w:rsidR="00AE1CC1" w:rsidRDefault="005F46AC" w:rsidP="005F46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AE1CC1" w:rsidRPr="001C632D">
        <w:rPr>
          <w:w w:val="100"/>
          <w:lang w:val="fr-FR"/>
        </w:rPr>
        <w:t>Programmes de sensibilisation proposés par le Ministère de la main-d</w:t>
      </w:r>
      <w:r w:rsidR="00FC0C0B">
        <w:rPr>
          <w:w w:val="100"/>
          <w:lang w:val="fr-FR"/>
        </w:rPr>
        <w:t>’</w:t>
      </w:r>
      <w:r w:rsidR="00AE1CC1" w:rsidRPr="001C632D">
        <w:rPr>
          <w:w w:val="100"/>
          <w:lang w:val="fr-FR"/>
        </w:rPr>
        <w:t xml:space="preserve">œuvre </w:t>
      </w:r>
      <w:r>
        <w:rPr>
          <w:w w:val="100"/>
          <w:lang w:val="fr-FR"/>
        </w:rPr>
        <w:br/>
      </w:r>
      <w:r w:rsidR="00AE1CC1" w:rsidRPr="001C632D">
        <w:rPr>
          <w:w w:val="100"/>
          <w:lang w:val="fr-FR"/>
        </w:rPr>
        <w:t>à des personnes et à des groupes de personnes en 2018</w:t>
      </w:r>
    </w:p>
    <w:p w14:paraId="6658E5E9" w14:textId="7B790F2E" w:rsidR="005F46AC" w:rsidRPr="005F46AC" w:rsidRDefault="005F46AC" w:rsidP="005F46AC">
      <w:pPr>
        <w:pStyle w:val="SingleTxt"/>
        <w:spacing w:after="0" w:line="120" w:lineRule="exact"/>
        <w:rPr>
          <w:sz w:val="10"/>
          <w:lang w:val="fr-FR"/>
        </w:rPr>
      </w:pPr>
    </w:p>
    <w:p w14:paraId="6E485B5C" w14:textId="68E5B7CE" w:rsidR="005F46AC" w:rsidRPr="005F46AC" w:rsidRDefault="005F46AC" w:rsidP="005F46AC">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15"/>
        <w:gridCol w:w="1105"/>
        <w:gridCol w:w="1220"/>
        <w:gridCol w:w="115"/>
        <w:gridCol w:w="1105"/>
        <w:gridCol w:w="115"/>
        <w:gridCol w:w="1105"/>
        <w:gridCol w:w="1220"/>
      </w:tblGrid>
      <w:tr w:rsidR="005F46AC" w:rsidRPr="00A610B5" w14:paraId="585583AE" w14:textId="77777777" w:rsidTr="00794514">
        <w:trPr>
          <w:tblHeader/>
        </w:trPr>
        <w:tc>
          <w:tcPr>
            <w:tcW w:w="3660" w:type="dxa"/>
            <w:gridSpan w:val="4"/>
            <w:tcBorders>
              <w:top w:val="single" w:sz="4" w:space="0" w:color="auto"/>
              <w:bottom w:val="single" w:sz="4" w:space="0" w:color="auto"/>
            </w:tcBorders>
            <w:shd w:val="clear" w:color="auto" w:fill="auto"/>
            <w:vAlign w:val="bottom"/>
          </w:tcPr>
          <w:p w14:paraId="5A7234F4" w14:textId="77777777" w:rsidR="005F46AC" w:rsidRPr="00A610B5" w:rsidRDefault="005F46AC" w:rsidP="007945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Sensibilisation de personnes</w:t>
            </w:r>
          </w:p>
        </w:tc>
        <w:tc>
          <w:tcPr>
            <w:tcW w:w="115" w:type="dxa"/>
            <w:tcBorders>
              <w:top w:val="single" w:sz="4" w:space="0" w:color="auto"/>
            </w:tcBorders>
            <w:shd w:val="clear" w:color="auto" w:fill="auto"/>
            <w:vAlign w:val="bottom"/>
          </w:tcPr>
          <w:p w14:paraId="6A66664E" w14:textId="77777777" w:rsidR="005F46AC" w:rsidRPr="00A610B5" w:rsidRDefault="005F46AC" w:rsidP="007945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545" w:type="dxa"/>
            <w:gridSpan w:val="4"/>
            <w:tcBorders>
              <w:top w:val="single" w:sz="4" w:space="0" w:color="auto"/>
              <w:bottom w:val="single" w:sz="4" w:space="0" w:color="auto"/>
            </w:tcBorders>
            <w:shd w:val="clear" w:color="auto" w:fill="auto"/>
            <w:vAlign w:val="bottom"/>
          </w:tcPr>
          <w:p w14:paraId="756FAD3A" w14:textId="77777777" w:rsidR="005F46AC" w:rsidRPr="00A610B5" w:rsidRDefault="005F46AC" w:rsidP="007945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Sensibilisation de groupes de personnes</w:t>
            </w:r>
          </w:p>
        </w:tc>
      </w:tr>
      <w:tr w:rsidR="005F46AC" w:rsidRPr="00A610B5" w14:paraId="76E42829" w14:textId="77777777" w:rsidTr="00794514">
        <w:trPr>
          <w:tblHeader/>
        </w:trPr>
        <w:tc>
          <w:tcPr>
            <w:tcW w:w="1220" w:type="dxa"/>
            <w:vMerge w:val="restart"/>
            <w:tcBorders>
              <w:top w:val="single" w:sz="4" w:space="0" w:color="auto"/>
            </w:tcBorders>
            <w:shd w:val="clear" w:color="auto" w:fill="auto"/>
            <w:vAlign w:val="bottom"/>
          </w:tcPr>
          <w:p w14:paraId="63A97C8E" w14:textId="76237642" w:rsidR="005F46AC" w:rsidRPr="00A610B5" w:rsidRDefault="005F46AC" w:rsidP="00794514">
            <w:pPr>
              <w:pStyle w:val="SingleTxt"/>
              <w:spacing w:before="81" w:after="81" w:line="160" w:lineRule="exact"/>
              <w:ind w:left="0" w:right="144"/>
              <w:jc w:val="left"/>
              <w:rPr>
                <w:i/>
                <w:sz w:val="14"/>
              </w:rPr>
            </w:pPr>
            <w:r w:rsidRPr="00871512">
              <w:rPr>
                <w:i/>
                <w:iCs/>
                <w:sz w:val="14"/>
                <w:lang w:val="fr-FR"/>
              </w:rPr>
              <w:t xml:space="preserve">Nombre </w:t>
            </w:r>
            <w:r>
              <w:rPr>
                <w:i/>
                <w:iCs/>
                <w:sz w:val="14"/>
                <w:lang w:val="fr-FR"/>
              </w:rPr>
              <w:br/>
            </w:r>
            <w:r w:rsidRPr="00871512">
              <w:rPr>
                <w:i/>
                <w:iCs/>
                <w:sz w:val="14"/>
                <w:lang w:val="fr-FR"/>
              </w:rPr>
              <w:t>de personnes concernées</w:t>
            </w:r>
          </w:p>
        </w:tc>
        <w:tc>
          <w:tcPr>
            <w:tcW w:w="115" w:type="dxa"/>
            <w:tcBorders>
              <w:top w:val="single" w:sz="4" w:space="0" w:color="auto"/>
            </w:tcBorders>
            <w:shd w:val="clear" w:color="auto" w:fill="auto"/>
            <w:vAlign w:val="bottom"/>
          </w:tcPr>
          <w:p w14:paraId="781C4553"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top w:val="single" w:sz="4" w:space="0" w:color="auto"/>
              <w:bottom w:val="single" w:sz="4" w:space="0" w:color="auto"/>
            </w:tcBorders>
            <w:shd w:val="clear" w:color="auto" w:fill="auto"/>
            <w:vAlign w:val="bottom"/>
          </w:tcPr>
          <w:p w14:paraId="6F9C7703"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871512">
              <w:rPr>
                <w:i/>
                <w:iCs/>
                <w:sz w:val="14"/>
                <w:lang w:val="fr-FR"/>
              </w:rPr>
              <w:t>Nombre de bénéficiaires</w:t>
            </w:r>
          </w:p>
        </w:tc>
        <w:tc>
          <w:tcPr>
            <w:tcW w:w="1220" w:type="dxa"/>
            <w:gridSpan w:val="2"/>
            <w:vMerge w:val="restart"/>
            <w:shd w:val="clear" w:color="auto" w:fill="auto"/>
            <w:vAlign w:val="bottom"/>
          </w:tcPr>
          <w:p w14:paraId="608EA3A7" w14:textId="5C26EC02" w:rsidR="005F46AC" w:rsidRPr="00A610B5" w:rsidRDefault="005F46AC" w:rsidP="00794514">
            <w:pPr>
              <w:pStyle w:val="SingleTxt"/>
              <w:spacing w:before="81" w:after="81" w:line="160" w:lineRule="exact"/>
              <w:ind w:left="144" w:right="40"/>
              <w:jc w:val="right"/>
              <w:rPr>
                <w:i/>
                <w:sz w:val="14"/>
              </w:rPr>
            </w:pPr>
            <w:r w:rsidRPr="00871512">
              <w:rPr>
                <w:i/>
                <w:iCs/>
                <w:sz w:val="14"/>
                <w:lang w:val="fr-FR"/>
              </w:rPr>
              <w:t xml:space="preserve">Nombre </w:t>
            </w:r>
            <w:r w:rsidR="00C11D14">
              <w:rPr>
                <w:i/>
                <w:iCs/>
                <w:sz w:val="14"/>
                <w:lang w:val="fr-FR"/>
              </w:rPr>
              <w:br/>
            </w:r>
            <w:r w:rsidRPr="00871512">
              <w:rPr>
                <w:i/>
                <w:iCs/>
                <w:sz w:val="14"/>
                <w:lang w:val="fr-FR"/>
              </w:rPr>
              <w:t>de groupes concernés</w:t>
            </w:r>
          </w:p>
        </w:tc>
        <w:tc>
          <w:tcPr>
            <w:tcW w:w="115" w:type="dxa"/>
            <w:shd w:val="clear" w:color="auto" w:fill="auto"/>
            <w:vAlign w:val="bottom"/>
          </w:tcPr>
          <w:p w14:paraId="5B29175B"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bottom w:val="single" w:sz="4" w:space="0" w:color="auto"/>
            </w:tcBorders>
            <w:shd w:val="clear" w:color="auto" w:fill="auto"/>
            <w:vAlign w:val="bottom"/>
          </w:tcPr>
          <w:p w14:paraId="5271E828"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Nombre de bénéficiaires</w:t>
            </w:r>
          </w:p>
        </w:tc>
      </w:tr>
      <w:tr w:rsidR="005F46AC" w:rsidRPr="00A610B5" w14:paraId="764EEC03" w14:textId="77777777" w:rsidTr="00794514">
        <w:trPr>
          <w:tblHeader/>
        </w:trPr>
        <w:tc>
          <w:tcPr>
            <w:tcW w:w="1220" w:type="dxa"/>
            <w:vMerge/>
            <w:tcBorders>
              <w:bottom w:val="single" w:sz="12" w:space="0" w:color="auto"/>
            </w:tcBorders>
            <w:shd w:val="clear" w:color="auto" w:fill="auto"/>
            <w:vAlign w:val="bottom"/>
          </w:tcPr>
          <w:p w14:paraId="29E5A0BC"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220" w:type="dxa"/>
            <w:gridSpan w:val="2"/>
            <w:tcBorders>
              <w:bottom w:val="single" w:sz="12" w:space="0" w:color="auto"/>
            </w:tcBorders>
            <w:shd w:val="clear" w:color="auto" w:fill="auto"/>
            <w:vAlign w:val="bottom"/>
          </w:tcPr>
          <w:p w14:paraId="69541F3E"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Hommes</w:t>
            </w:r>
          </w:p>
        </w:tc>
        <w:tc>
          <w:tcPr>
            <w:tcW w:w="1220" w:type="dxa"/>
            <w:tcBorders>
              <w:bottom w:val="single" w:sz="12" w:space="0" w:color="auto"/>
            </w:tcBorders>
            <w:shd w:val="clear" w:color="auto" w:fill="auto"/>
            <w:vAlign w:val="bottom"/>
          </w:tcPr>
          <w:p w14:paraId="5B3F6A49"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Femmes</w:t>
            </w:r>
            <w:r w:rsidRPr="00871512">
              <w:rPr>
                <w:i/>
                <w:sz w:val="14"/>
              </w:rPr>
              <w:t xml:space="preserve"> </w:t>
            </w:r>
          </w:p>
        </w:tc>
        <w:tc>
          <w:tcPr>
            <w:tcW w:w="1220" w:type="dxa"/>
            <w:gridSpan w:val="2"/>
            <w:vMerge/>
            <w:tcBorders>
              <w:bottom w:val="single" w:sz="12" w:space="0" w:color="auto"/>
            </w:tcBorders>
            <w:shd w:val="clear" w:color="auto" w:fill="auto"/>
            <w:vAlign w:val="bottom"/>
          </w:tcPr>
          <w:p w14:paraId="2ADD476A"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20" w:type="dxa"/>
            <w:gridSpan w:val="2"/>
            <w:tcBorders>
              <w:bottom w:val="single" w:sz="12" w:space="0" w:color="auto"/>
            </w:tcBorders>
            <w:shd w:val="clear" w:color="auto" w:fill="auto"/>
            <w:vAlign w:val="bottom"/>
          </w:tcPr>
          <w:p w14:paraId="06097FA2"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Hommes</w:t>
            </w:r>
          </w:p>
        </w:tc>
        <w:tc>
          <w:tcPr>
            <w:tcW w:w="1220" w:type="dxa"/>
            <w:tcBorders>
              <w:bottom w:val="single" w:sz="12" w:space="0" w:color="auto"/>
            </w:tcBorders>
            <w:shd w:val="clear" w:color="auto" w:fill="auto"/>
            <w:vAlign w:val="bottom"/>
          </w:tcPr>
          <w:p w14:paraId="35722053"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Femmes</w:t>
            </w:r>
          </w:p>
        </w:tc>
      </w:tr>
      <w:tr w:rsidR="005F46AC" w:rsidRPr="00A610B5" w14:paraId="48AC4112" w14:textId="77777777" w:rsidTr="003B3A2E">
        <w:trPr>
          <w:trHeight w:hRule="exact" w:val="115"/>
          <w:tblHeader/>
        </w:trPr>
        <w:tc>
          <w:tcPr>
            <w:tcW w:w="1220" w:type="dxa"/>
            <w:tcBorders>
              <w:top w:val="single" w:sz="12" w:space="0" w:color="auto"/>
            </w:tcBorders>
            <w:shd w:val="clear" w:color="auto" w:fill="auto"/>
            <w:vAlign w:val="bottom"/>
          </w:tcPr>
          <w:p w14:paraId="4CC12374"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20" w:type="dxa"/>
            <w:gridSpan w:val="2"/>
            <w:tcBorders>
              <w:top w:val="single" w:sz="12" w:space="0" w:color="auto"/>
            </w:tcBorders>
            <w:shd w:val="clear" w:color="auto" w:fill="auto"/>
            <w:vAlign w:val="bottom"/>
          </w:tcPr>
          <w:p w14:paraId="2879F66E"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69EF92E7"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26E3A9EC"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06FA7BD5"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526D5D97" w14:textId="77777777" w:rsidR="005F46AC" w:rsidRPr="00A610B5" w:rsidRDefault="005F46AC" w:rsidP="00794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F46AC" w:rsidRPr="00A610B5" w14:paraId="141D54FB" w14:textId="77777777" w:rsidTr="003B3A2E">
        <w:tc>
          <w:tcPr>
            <w:tcW w:w="1220" w:type="dxa"/>
            <w:tcBorders>
              <w:bottom w:val="single" w:sz="12" w:space="0" w:color="auto"/>
            </w:tcBorders>
            <w:shd w:val="clear" w:color="auto" w:fill="auto"/>
            <w:vAlign w:val="bottom"/>
          </w:tcPr>
          <w:p w14:paraId="134939DE" w14:textId="1B9F4867" w:rsidR="005F46AC" w:rsidRPr="005F46AC" w:rsidRDefault="005F46AC" w:rsidP="003B3A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5F46AC">
              <w:rPr>
                <w:spacing w:val="0"/>
                <w:w w:val="100"/>
                <w:sz w:val="17"/>
                <w:szCs w:val="17"/>
              </w:rPr>
              <w:t>1 100</w:t>
            </w:r>
          </w:p>
        </w:tc>
        <w:tc>
          <w:tcPr>
            <w:tcW w:w="1220" w:type="dxa"/>
            <w:gridSpan w:val="2"/>
            <w:tcBorders>
              <w:bottom w:val="single" w:sz="12" w:space="0" w:color="auto"/>
            </w:tcBorders>
            <w:shd w:val="clear" w:color="auto" w:fill="auto"/>
            <w:vAlign w:val="bottom"/>
          </w:tcPr>
          <w:p w14:paraId="7B3DA375" w14:textId="5E8DD92D" w:rsidR="005F46AC" w:rsidRPr="00A610B5" w:rsidRDefault="005F46AC" w:rsidP="003B3A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F46AC">
              <w:rPr>
                <w:sz w:val="17"/>
              </w:rPr>
              <w:t>821</w:t>
            </w:r>
          </w:p>
        </w:tc>
        <w:tc>
          <w:tcPr>
            <w:tcW w:w="1220" w:type="dxa"/>
            <w:tcBorders>
              <w:bottom w:val="single" w:sz="12" w:space="0" w:color="auto"/>
            </w:tcBorders>
            <w:shd w:val="clear" w:color="auto" w:fill="auto"/>
            <w:vAlign w:val="bottom"/>
          </w:tcPr>
          <w:p w14:paraId="06B4A6FC" w14:textId="6CAEFD38" w:rsidR="005F46AC" w:rsidRPr="00A610B5" w:rsidRDefault="005F46AC" w:rsidP="003B3A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279</w:t>
            </w:r>
          </w:p>
        </w:tc>
        <w:tc>
          <w:tcPr>
            <w:tcW w:w="1220" w:type="dxa"/>
            <w:gridSpan w:val="2"/>
            <w:tcBorders>
              <w:bottom w:val="single" w:sz="12" w:space="0" w:color="auto"/>
            </w:tcBorders>
            <w:shd w:val="clear" w:color="auto" w:fill="auto"/>
            <w:vAlign w:val="bottom"/>
          </w:tcPr>
          <w:p w14:paraId="5B76BF2D" w14:textId="2F75C9F7" w:rsidR="005F46AC" w:rsidRPr="00A610B5" w:rsidRDefault="005F46AC" w:rsidP="003B3A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28</w:t>
            </w:r>
          </w:p>
        </w:tc>
        <w:tc>
          <w:tcPr>
            <w:tcW w:w="1220" w:type="dxa"/>
            <w:gridSpan w:val="2"/>
            <w:tcBorders>
              <w:bottom w:val="single" w:sz="12" w:space="0" w:color="auto"/>
            </w:tcBorders>
            <w:shd w:val="clear" w:color="auto" w:fill="auto"/>
            <w:vAlign w:val="bottom"/>
          </w:tcPr>
          <w:p w14:paraId="759112F0" w14:textId="4CB00381" w:rsidR="005F46AC" w:rsidRPr="00A610B5" w:rsidRDefault="005F46AC" w:rsidP="003B3A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430</w:t>
            </w:r>
          </w:p>
        </w:tc>
        <w:tc>
          <w:tcPr>
            <w:tcW w:w="1220" w:type="dxa"/>
            <w:tcBorders>
              <w:bottom w:val="single" w:sz="12" w:space="0" w:color="auto"/>
            </w:tcBorders>
            <w:shd w:val="clear" w:color="auto" w:fill="auto"/>
            <w:vAlign w:val="bottom"/>
          </w:tcPr>
          <w:p w14:paraId="5990691D" w14:textId="4B58F52A" w:rsidR="005F46AC" w:rsidRPr="00A610B5" w:rsidRDefault="005F46AC" w:rsidP="003B3A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173</w:t>
            </w:r>
          </w:p>
        </w:tc>
      </w:tr>
    </w:tbl>
    <w:p w14:paraId="4AAB9490" w14:textId="4195A195" w:rsidR="005F46AC" w:rsidRPr="003B3A2E" w:rsidRDefault="005F46AC" w:rsidP="003B3A2E">
      <w:pPr>
        <w:pStyle w:val="SingleTxt"/>
        <w:spacing w:after="0" w:line="120" w:lineRule="exact"/>
        <w:rPr>
          <w:w w:val="100"/>
          <w:sz w:val="10"/>
          <w:lang w:val="fr-FR"/>
        </w:rPr>
      </w:pPr>
    </w:p>
    <w:p w14:paraId="1D158E61" w14:textId="34902E0C" w:rsidR="00AE1CC1" w:rsidRDefault="00AE1CC1" w:rsidP="003B3A2E">
      <w:pPr>
        <w:pStyle w:val="FootnoteText"/>
        <w:tabs>
          <w:tab w:val="right" w:pos="1476"/>
          <w:tab w:val="left" w:pos="1548"/>
          <w:tab w:val="right" w:pos="1836"/>
          <w:tab w:val="left" w:pos="1908"/>
        </w:tabs>
        <w:ind w:left="1548" w:right="1267" w:hanging="288"/>
        <w:rPr>
          <w:w w:val="100"/>
          <w:lang w:val="fr-FR"/>
        </w:rPr>
      </w:pPr>
      <w:r w:rsidRPr="003B3A2E">
        <w:rPr>
          <w:i/>
          <w:iCs/>
          <w:w w:val="100"/>
          <w:lang w:val="fr-FR"/>
        </w:rPr>
        <w:t>Source</w:t>
      </w:r>
      <w:r w:rsidR="00FC0C0B">
        <w:rPr>
          <w:i/>
          <w:iCs/>
          <w:w w:val="100"/>
          <w:lang w:val="fr-FR"/>
        </w:rPr>
        <w:t> :</w:t>
      </w:r>
      <w:r w:rsidRPr="00C649B3">
        <w:rPr>
          <w:w w:val="100"/>
          <w:lang w:val="fr-FR"/>
        </w:rPr>
        <w:t xml:space="preserve"> Direction générale de la protectio</w:t>
      </w:r>
      <w:r>
        <w:rPr>
          <w:w w:val="100"/>
          <w:lang w:val="fr-FR"/>
        </w:rPr>
        <w:t>n sociale des travailleurs</w:t>
      </w:r>
      <w:r w:rsidRPr="00C649B3">
        <w:rPr>
          <w:w w:val="100"/>
          <w:lang w:val="fr-FR"/>
        </w:rPr>
        <w:t xml:space="preserve">, </w:t>
      </w:r>
      <w:r>
        <w:rPr>
          <w:w w:val="100"/>
          <w:lang w:val="fr-FR"/>
        </w:rPr>
        <w:t>Ministère de la main-d</w:t>
      </w:r>
      <w:r w:rsidR="00FC0C0B">
        <w:rPr>
          <w:w w:val="100"/>
          <w:lang w:val="fr-FR"/>
        </w:rPr>
        <w:t>’</w:t>
      </w:r>
      <w:r>
        <w:rPr>
          <w:w w:val="100"/>
          <w:lang w:val="fr-FR"/>
        </w:rPr>
        <w:t>œuvre.</w:t>
      </w:r>
    </w:p>
    <w:p w14:paraId="703DDB2A" w14:textId="100DD8BD" w:rsidR="00DE77DE" w:rsidRPr="00DE77DE" w:rsidRDefault="00DE77DE" w:rsidP="00DE77DE">
      <w:pPr>
        <w:pStyle w:val="FootnoteText"/>
        <w:tabs>
          <w:tab w:val="right" w:pos="1476"/>
          <w:tab w:val="left" w:pos="1548"/>
          <w:tab w:val="right" w:pos="1836"/>
          <w:tab w:val="left" w:pos="1908"/>
        </w:tabs>
        <w:spacing w:line="120" w:lineRule="exact"/>
        <w:ind w:left="1548" w:right="1267" w:hanging="288"/>
        <w:rPr>
          <w:w w:val="100"/>
          <w:sz w:val="10"/>
          <w:lang w:val="fr-FR"/>
        </w:rPr>
      </w:pPr>
    </w:p>
    <w:p w14:paraId="7E409583" w14:textId="0EB4AE0A" w:rsidR="00DE77DE" w:rsidRPr="00DE77DE" w:rsidRDefault="00DE77DE" w:rsidP="00DE77DE">
      <w:pPr>
        <w:pStyle w:val="FootnoteText"/>
        <w:tabs>
          <w:tab w:val="right" w:pos="1476"/>
          <w:tab w:val="left" w:pos="1548"/>
          <w:tab w:val="right" w:pos="1836"/>
          <w:tab w:val="left" w:pos="1908"/>
        </w:tabs>
        <w:spacing w:line="120" w:lineRule="exact"/>
        <w:ind w:left="1548" w:right="1267" w:hanging="288"/>
        <w:rPr>
          <w:w w:val="100"/>
          <w:sz w:val="10"/>
          <w:lang w:val="fr-FR"/>
        </w:rPr>
      </w:pPr>
    </w:p>
    <w:p w14:paraId="44857B64" w14:textId="4FDB894A" w:rsidR="00DE77DE" w:rsidRPr="00DE77DE" w:rsidRDefault="00DE77DE" w:rsidP="00DE77DE">
      <w:pPr>
        <w:pStyle w:val="FootnoteText"/>
        <w:tabs>
          <w:tab w:val="right" w:pos="1476"/>
          <w:tab w:val="left" w:pos="1548"/>
          <w:tab w:val="right" w:pos="1836"/>
          <w:tab w:val="left" w:pos="1908"/>
        </w:tabs>
        <w:spacing w:line="120" w:lineRule="exact"/>
        <w:ind w:left="1548" w:right="1267" w:hanging="288"/>
        <w:rPr>
          <w:w w:val="100"/>
          <w:sz w:val="10"/>
          <w:lang w:val="fr-FR"/>
        </w:rPr>
      </w:pPr>
    </w:p>
    <w:p w14:paraId="342EAD2E" w14:textId="23DED197" w:rsidR="00DE77DE" w:rsidRDefault="00DE77DE" w:rsidP="00A97653">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Pr="001C632D">
        <w:rPr>
          <w:w w:val="100"/>
          <w:lang w:val="fr-FR"/>
        </w:rPr>
        <w:t>Programmes de sensibilisation proposés par le Ministère de la main-d</w:t>
      </w:r>
      <w:r w:rsidR="00FC0C0B">
        <w:rPr>
          <w:w w:val="100"/>
          <w:lang w:val="fr-FR"/>
        </w:rPr>
        <w:t>’</w:t>
      </w:r>
      <w:r w:rsidRPr="001C632D">
        <w:rPr>
          <w:w w:val="100"/>
          <w:lang w:val="fr-FR"/>
        </w:rPr>
        <w:t xml:space="preserve">œuvre </w:t>
      </w:r>
      <w:r>
        <w:rPr>
          <w:w w:val="100"/>
          <w:lang w:val="fr-FR"/>
        </w:rPr>
        <w:br/>
      </w:r>
      <w:r w:rsidRPr="001C632D">
        <w:rPr>
          <w:w w:val="100"/>
          <w:lang w:val="fr-FR"/>
        </w:rPr>
        <w:t xml:space="preserve">à des personnes et à des groupes de personnes </w:t>
      </w:r>
      <w:r>
        <w:rPr>
          <w:w w:val="100"/>
          <w:lang w:val="fr-FR"/>
        </w:rPr>
        <w:t>entre janvier et juin</w:t>
      </w:r>
      <w:r w:rsidRPr="001C632D">
        <w:rPr>
          <w:w w:val="100"/>
          <w:lang w:val="fr-FR"/>
        </w:rPr>
        <w:t xml:space="preserve"> 2019</w:t>
      </w:r>
    </w:p>
    <w:p w14:paraId="5FF0C56E" w14:textId="32D2E740" w:rsidR="003B3A2E" w:rsidRPr="003B3A2E" w:rsidRDefault="003B3A2E" w:rsidP="00A97653">
      <w:pPr>
        <w:pStyle w:val="FootnoteText"/>
        <w:keepNext/>
        <w:tabs>
          <w:tab w:val="right" w:pos="1476"/>
          <w:tab w:val="left" w:pos="1548"/>
          <w:tab w:val="right" w:pos="1836"/>
          <w:tab w:val="left" w:pos="1908"/>
        </w:tabs>
        <w:spacing w:line="120" w:lineRule="exact"/>
        <w:ind w:left="1548" w:right="1267" w:hanging="288"/>
        <w:rPr>
          <w:w w:val="100"/>
          <w:sz w:val="10"/>
          <w:lang w:val="fr-FR"/>
        </w:rPr>
      </w:pPr>
    </w:p>
    <w:p w14:paraId="6B721017" w14:textId="568EBF8B" w:rsidR="003B3A2E" w:rsidRPr="00A97653" w:rsidRDefault="003B3A2E" w:rsidP="00A97653">
      <w:pPr>
        <w:pStyle w:val="FootnoteText"/>
        <w:keepNext/>
        <w:tabs>
          <w:tab w:val="right" w:pos="1476"/>
          <w:tab w:val="left" w:pos="1548"/>
          <w:tab w:val="right" w:pos="1836"/>
          <w:tab w:val="left" w:pos="1908"/>
        </w:tabs>
        <w:spacing w:line="120" w:lineRule="exact"/>
        <w:ind w:left="1548" w:right="1267" w:hanging="288"/>
        <w:rPr>
          <w:b/>
          <w:w w:val="100"/>
          <w:sz w:val="10"/>
          <w:lang w:val="fr-FR"/>
        </w:rPr>
      </w:pPr>
    </w:p>
    <w:p w14:paraId="3D5727D0" w14:textId="77777777" w:rsidR="00FD52CB" w:rsidRPr="003B3A2E" w:rsidRDefault="00FD52CB" w:rsidP="00A97653">
      <w:pPr>
        <w:pStyle w:val="FootnoteText"/>
        <w:keepNext/>
        <w:tabs>
          <w:tab w:val="right" w:pos="1476"/>
          <w:tab w:val="left" w:pos="1548"/>
          <w:tab w:val="right" w:pos="1836"/>
          <w:tab w:val="left" w:pos="1908"/>
        </w:tabs>
        <w:spacing w:line="120" w:lineRule="exact"/>
        <w:ind w:left="1548" w:right="1267" w:hanging="288"/>
        <w:rPr>
          <w:b/>
          <w:w w:val="100"/>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15"/>
        <w:gridCol w:w="1105"/>
        <w:gridCol w:w="1220"/>
        <w:gridCol w:w="115"/>
        <w:gridCol w:w="1105"/>
        <w:gridCol w:w="115"/>
        <w:gridCol w:w="1105"/>
        <w:gridCol w:w="1220"/>
      </w:tblGrid>
      <w:tr w:rsidR="003B3A2E" w:rsidRPr="00A610B5" w14:paraId="1D4AC795" w14:textId="77777777" w:rsidTr="00794514">
        <w:trPr>
          <w:tblHeader/>
        </w:trPr>
        <w:tc>
          <w:tcPr>
            <w:tcW w:w="3660" w:type="dxa"/>
            <w:gridSpan w:val="4"/>
            <w:tcBorders>
              <w:top w:val="single" w:sz="4" w:space="0" w:color="auto"/>
              <w:bottom w:val="single" w:sz="4" w:space="0" w:color="auto"/>
            </w:tcBorders>
            <w:shd w:val="clear" w:color="auto" w:fill="auto"/>
            <w:vAlign w:val="bottom"/>
          </w:tcPr>
          <w:p w14:paraId="20A12F2B"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Sensibilisation de personnes</w:t>
            </w:r>
          </w:p>
        </w:tc>
        <w:tc>
          <w:tcPr>
            <w:tcW w:w="115" w:type="dxa"/>
            <w:tcBorders>
              <w:top w:val="single" w:sz="4" w:space="0" w:color="auto"/>
            </w:tcBorders>
            <w:shd w:val="clear" w:color="auto" w:fill="auto"/>
            <w:vAlign w:val="bottom"/>
          </w:tcPr>
          <w:p w14:paraId="629B5791"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545" w:type="dxa"/>
            <w:gridSpan w:val="4"/>
            <w:tcBorders>
              <w:top w:val="single" w:sz="4" w:space="0" w:color="auto"/>
              <w:bottom w:val="single" w:sz="4" w:space="0" w:color="auto"/>
            </w:tcBorders>
            <w:shd w:val="clear" w:color="auto" w:fill="auto"/>
            <w:vAlign w:val="bottom"/>
          </w:tcPr>
          <w:p w14:paraId="7C7B326F"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Sensibilisation de groupes de personnes</w:t>
            </w:r>
          </w:p>
        </w:tc>
      </w:tr>
      <w:tr w:rsidR="003B3A2E" w:rsidRPr="00A610B5" w14:paraId="59BDA894" w14:textId="77777777" w:rsidTr="00794514">
        <w:trPr>
          <w:tblHeader/>
        </w:trPr>
        <w:tc>
          <w:tcPr>
            <w:tcW w:w="1220" w:type="dxa"/>
            <w:vMerge w:val="restart"/>
            <w:tcBorders>
              <w:top w:val="single" w:sz="4" w:space="0" w:color="auto"/>
            </w:tcBorders>
            <w:shd w:val="clear" w:color="auto" w:fill="auto"/>
            <w:vAlign w:val="bottom"/>
          </w:tcPr>
          <w:p w14:paraId="58D77153" w14:textId="77777777" w:rsidR="003B3A2E" w:rsidRPr="00A610B5" w:rsidRDefault="003B3A2E" w:rsidP="00A97653">
            <w:pPr>
              <w:pStyle w:val="SingleTxt"/>
              <w:keepNext/>
              <w:spacing w:before="81" w:after="81" w:line="160" w:lineRule="exact"/>
              <w:ind w:left="0" w:right="144"/>
              <w:jc w:val="left"/>
              <w:rPr>
                <w:i/>
                <w:sz w:val="14"/>
              </w:rPr>
            </w:pPr>
            <w:r w:rsidRPr="00871512">
              <w:rPr>
                <w:i/>
                <w:iCs/>
                <w:sz w:val="14"/>
                <w:lang w:val="fr-FR"/>
              </w:rPr>
              <w:t xml:space="preserve">Nombre </w:t>
            </w:r>
            <w:r>
              <w:rPr>
                <w:i/>
                <w:iCs/>
                <w:sz w:val="14"/>
                <w:lang w:val="fr-FR"/>
              </w:rPr>
              <w:br/>
            </w:r>
            <w:r w:rsidRPr="00871512">
              <w:rPr>
                <w:i/>
                <w:iCs/>
                <w:sz w:val="14"/>
                <w:lang w:val="fr-FR"/>
              </w:rPr>
              <w:t>de personnes concernées</w:t>
            </w:r>
          </w:p>
        </w:tc>
        <w:tc>
          <w:tcPr>
            <w:tcW w:w="115" w:type="dxa"/>
            <w:tcBorders>
              <w:top w:val="single" w:sz="4" w:space="0" w:color="auto"/>
            </w:tcBorders>
            <w:shd w:val="clear" w:color="auto" w:fill="auto"/>
            <w:vAlign w:val="bottom"/>
          </w:tcPr>
          <w:p w14:paraId="5C2360F5"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top w:val="single" w:sz="4" w:space="0" w:color="auto"/>
              <w:bottom w:val="single" w:sz="4" w:space="0" w:color="auto"/>
            </w:tcBorders>
            <w:shd w:val="clear" w:color="auto" w:fill="auto"/>
            <w:vAlign w:val="bottom"/>
          </w:tcPr>
          <w:p w14:paraId="544B6EBE"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871512">
              <w:rPr>
                <w:i/>
                <w:iCs/>
                <w:sz w:val="14"/>
                <w:lang w:val="fr-FR"/>
              </w:rPr>
              <w:t>Nombre de bénéficiaires</w:t>
            </w:r>
          </w:p>
        </w:tc>
        <w:tc>
          <w:tcPr>
            <w:tcW w:w="1220" w:type="dxa"/>
            <w:gridSpan w:val="2"/>
            <w:vMerge w:val="restart"/>
            <w:shd w:val="clear" w:color="auto" w:fill="auto"/>
            <w:vAlign w:val="bottom"/>
          </w:tcPr>
          <w:p w14:paraId="6CE463C2" w14:textId="457326DE" w:rsidR="003B3A2E" w:rsidRPr="00A610B5" w:rsidRDefault="003B3A2E" w:rsidP="00A97653">
            <w:pPr>
              <w:pStyle w:val="SingleTxt"/>
              <w:keepNext/>
              <w:spacing w:before="81" w:after="81" w:line="160" w:lineRule="exact"/>
              <w:ind w:left="144" w:right="40"/>
              <w:jc w:val="right"/>
              <w:rPr>
                <w:i/>
                <w:sz w:val="14"/>
              </w:rPr>
            </w:pPr>
            <w:r w:rsidRPr="00871512">
              <w:rPr>
                <w:i/>
                <w:iCs/>
                <w:sz w:val="14"/>
                <w:lang w:val="fr-FR"/>
              </w:rPr>
              <w:t>Nombre</w:t>
            </w:r>
            <w:r w:rsidR="00C11D14">
              <w:rPr>
                <w:i/>
                <w:iCs/>
                <w:sz w:val="14"/>
                <w:lang w:val="fr-FR"/>
              </w:rPr>
              <w:t xml:space="preserve"> </w:t>
            </w:r>
            <w:r w:rsidR="00C11D14">
              <w:rPr>
                <w:i/>
                <w:iCs/>
                <w:sz w:val="14"/>
                <w:lang w:val="fr-FR"/>
              </w:rPr>
              <w:br/>
            </w:r>
            <w:r w:rsidRPr="00871512">
              <w:rPr>
                <w:i/>
                <w:iCs/>
                <w:sz w:val="14"/>
                <w:lang w:val="fr-FR"/>
              </w:rPr>
              <w:t>de groupes concernés</w:t>
            </w:r>
          </w:p>
        </w:tc>
        <w:tc>
          <w:tcPr>
            <w:tcW w:w="115" w:type="dxa"/>
            <w:shd w:val="clear" w:color="auto" w:fill="auto"/>
            <w:vAlign w:val="bottom"/>
          </w:tcPr>
          <w:p w14:paraId="10D40988"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bottom w:val="single" w:sz="4" w:space="0" w:color="auto"/>
            </w:tcBorders>
            <w:shd w:val="clear" w:color="auto" w:fill="auto"/>
            <w:vAlign w:val="bottom"/>
          </w:tcPr>
          <w:p w14:paraId="317E6A38"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D25C44">
              <w:rPr>
                <w:i/>
                <w:iCs/>
                <w:sz w:val="14"/>
                <w:lang w:val="fr-FR"/>
              </w:rPr>
              <w:t>Nombre de bénéficiaires</w:t>
            </w:r>
          </w:p>
        </w:tc>
      </w:tr>
      <w:tr w:rsidR="003B3A2E" w:rsidRPr="00A610B5" w14:paraId="3BD5167E" w14:textId="77777777" w:rsidTr="00794514">
        <w:trPr>
          <w:tblHeader/>
        </w:trPr>
        <w:tc>
          <w:tcPr>
            <w:tcW w:w="1220" w:type="dxa"/>
            <w:vMerge/>
            <w:tcBorders>
              <w:bottom w:val="single" w:sz="12" w:space="0" w:color="auto"/>
            </w:tcBorders>
            <w:shd w:val="clear" w:color="auto" w:fill="auto"/>
            <w:vAlign w:val="bottom"/>
          </w:tcPr>
          <w:p w14:paraId="5BF9257B"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220" w:type="dxa"/>
            <w:gridSpan w:val="2"/>
            <w:tcBorders>
              <w:bottom w:val="single" w:sz="12" w:space="0" w:color="auto"/>
            </w:tcBorders>
            <w:shd w:val="clear" w:color="auto" w:fill="auto"/>
            <w:vAlign w:val="bottom"/>
          </w:tcPr>
          <w:p w14:paraId="001FD939"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Hommes</w:t>
            </w:r>
          </w:p>
        </w:tc>
        <w:tc>
          <w:tcPr>
            <w:tcW w:w="1220" w:type="dxa"/>
            <w:tcBorders>
              <w:bottom w:val="single" w:sz="12" w:space="0" w:color="auto"/>
            </w:tcBorders>
            <w:shd w:val="clear" w:color="auto" w:fill="auto"/>
            <w:vAlign w:val="bottom"/>
          </w:tcPr>
          <w:p w14:paraId="60DD04A5"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Femmes</w:t>
            </w:r>
            <w:r w:rsidRPr="00871512">
              <w:rPr>
                <w:i/>
                <w:sz w:val="14"/>
              </w:rPr>
              <w:t xml:space="preserve"> </w:t>
            </w:r>
          </w:p>
        </w:tc>
        <w:tc>
          <w:tcPr>
            <w:tcW w:w="1220" w:type="dxa"/>
            <w:gridSpan w:val="2"/>
            <w:vMerge/>
            <w:tcBorders>
              <w:bottom w:val="single" w:sz="12" w:space="0" w:color="auto"/>
            </w:tcBorders>
            <w:shd w:val="clear" w:color="auto" w:fill="auto"/>
            <w:vAlign w:val="bottom"/>
          </w:tcPr>
          <w:p w14:paraId="1A081CD7"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20" w:type="dxa"/>
            <w:gridSpan w:val="2"/>
            <w:tcBorders>
              <w:bottom w:val="single" w:sz="12" w:space="0" w:color="auto"/>
            </w:tcBorders>
            <w:shd w:val="clear" w:color="auto" w:fill="auto"/>
            <w:vAlign w:val="bottom"/>
          </w:tcPr>
          <w:p w14:paraId="44471F60"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Hommes</w:t>
            </w:r>
          </w:p>
        </w:tc>
        <w:tc>
          <w:tcPr>
            <w:tcW w:w="1220" w:type="dxa"/>
            <w:tcBorders>
              <w:bottom w:val="single" w:sz="12" w:space="0" w:color="auto"/>
            </w:tcBorders>
            <w:shd w:val="clear" w:color="auto" w:fill="auto"/>
            <w:vAlign w:val="bottom"/>
          </w:tcPr>
          <w:p w14:paraId="778B7359"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71512">
              <w:rPr>
                <w:i/>
                <w:iCs/>
                <w:sz w:val="14"/>
                <w:lang w:val="fr-FR"/>
              </w:rPr>
              <w:t>Femmes</w:t>
            </w:r>
          </w:p>
        </w:tc>
      </w:tr>
      <w:tr w:rsidR="003B3A2E" w:rsidRPr="00A610B5" w14:paraId="03E8F5D0" w14:textId="77777777" w:rsidTr="00794514">
        <w:trPr>
          <w:trHeight w:hRule="exact" w:val="115"/>
          <w:tblHeader/>
        </w:trPr>
        <w:tc>
          <w:tcPr>
            <w:tcW w:w="1220" w:type="dxa"/>
            <w:tcBorders>
              <w:top w:val="single" w:sz="12" w:space="0" w:color="auto"/>
            </w:tcBorders>
            <w:shd w:val="clear" w:color="auto" w:fill="auto"/>
            <w:vAlign w:val="bottom"/>
          </w:tcPr>
          <w:p w14:paraId="78CCAEAB"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20" w:type="dxa"/>
            <w:gridSpan w:val="2"/>
            <w:tcBorders>
              <w:top w:val="single" w:sz="12" w:space="0" w:color="auto"/>
            </w:tcBorders>
            <w:shd w:val="clear" w:color="auto" w:fill="auto"/>
            <w:vAlign w:val="bottom"/>
          </w:tcPr>
          <w:p w14:paraId="5F55E096"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7C95CE1A"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1A10C611"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108B2F27"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469CAEC1" w14:textId="77777777" w:rsidR="003B3A2E" w:rsidRPr="00A610B5" w:rsidRDefault="003B3A2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B3A2E" w:rsidRPr="00A610B5" w14:paraId="030E2A9F" w14:textId="77777777" w:rsidTr="00794514">
        <w:tc>
          <w:tcPr>
            <w:tcW w:w="1220" w:type="dxa"/>
            <w:tcBorders>
              <w:bottom w:val="single" w:sz="12" w:space="0" w:color="auto"/>
            </w:tcBorders>
            <w:shd w:val="clear" w:color="auto" w:fill="auto"/>
            <w:vAlign w:val="bottom"/>
          </w:tcPr>
          <w:p w14:paraId="1B2ADBEB" w14:textId="1A5E7D9F" w:rsidR="003B3A2E" w:rsidRPr="005F46AC" w:rsidRDefault="00DE77D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Pr>
                <w:spacing w:val="0"/>
                <w:w w:val="100"/>
                <w:sz w:val="17"/>
                <w:szCs w:val="17"/>
              </w:rPr>
              <w:t>695</w:t>
            </w:r>
          </w:p>
        </w:tc>
        <w:tc>
          <w:tcPr>
            <w:tcW w:w="1220" w:type="dxa"/>
            <w:gridSpan w:val="2"/>
            <w:tcBorders>
              <w:bottom w:val="single" w:sz="12" w:space="0" w:color="auto"/>
            </w:tcBorders>
            <w:shd w:val="clear" w:color="auto" w:fill="auto"/>
            <w:vAlign w:val="bottom"/>
          </w:tcPr>
          <w:p w14:paraId="5643986B" w14:textId="1B62FE0F" w:rsidR="003B3A2E" w:rsidRPr="00A610B5" w:rsidRDefault="00DE77D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548</w:t>
            </w:r>
          </w:p>
        </w:tc>
        <w:tc>
          <w:tcPr>
            <w:tcW w:w="1220" w:type="dxa"/>
            <w:tcBorders>
              <w:bottom w:val="single" w:sz="12" w:space="0" w:color="auto"/>
            </w:tcBorders>
            <w:shd w:val="clear" w:color="auto" w:fill="auto"/>
            <w:vAlign w:val="bottom"/>
          </w:tcPr>
          <w:p w14:paraId="7A3B16BC" w14:textId="6DA6E5AB" w:rsidR="003B3A2E" w:rsidRPr="00A610B5" w:rsidRDefault="00DE77D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14</w:t>
            </w:r>
            <w:r w:rsidR="00C11D14">
              <w:rPr>
                <w:sz w:val="17"/>
              </w:rPr>
              <w:t>7</w:t>
            </w:r>
          </w:p>
        </w:tc>
        <w:tc>
          <w:tcPr>
            <w:tcW w:w="1220" w:type="dxa"/>
            <w:gridSpan w:val="2"/>
            <w:tcBorders>
              <w:bottom w:val="single" w:sz="12" w:space="0" w:color="auto"/>
            </w:tcBorders>
            <w:shd w:val="clear" w:color="auto" w:fill="auto"/>
            <w:vAlign w:val="bottom"/>
          </w:tcPr>
          <w:p w14:paraId="47E430A5" w14:textId="77CE9445" w:rsidR="003B3A2E" w:rsidRPr="00A610B5" w:rsidRDefault="00DE77D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55</w:t>
            </w:r>
          </w:p>
        </w:tc>
        <w:tc>
          <w:tcPr>
            <w:tcW w:w="1220" w:type="dxa"/>
            <w:gridSpan w:val="2"/>
            <w:tcBorders>
              <w:bottom w:val="single" w:sz="12" w:space="0" w:color="auto"/>
            </w:tcBorders>
            <w:shd w:val="clear" w:color="auto" w:fill="auto"/>
            <w:vAlign w:val="bottom"/>
          </w:tcPr>
          <w:p w14:paraId="182AF7A5" w14:textId="5881A077" w:rsidR="003B3A2E" w:rsidRPr="00A610B5" w:rsidRDefault="00DE77D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584</w:t>
            </w:r>
          </w:p>
        </w:tc>
        <w:tc>
          <w:tcPr>
            <w:tcW w:w="1220" w:type="dxa"/>
            <w:tcBorders>
              <w:bottom w:val="single" w:sz="12" w:space="0" w:color="auto"/>
            </w:tcBorders>
            <w:shd w:val="clear" w:color="auto" w:fill="auto"/>
            <w:vAlign w:val="bottom"/>
          </w:tcPr>
          <w:p w14:paraId="436B3647" w14:textId="0AF0CA29" w:rsidR="003B3A2E" w:rsidRPr="00A610B5" w:rsidRDefault="00DE77DE" w:rsidP="00A9765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Pr>
                <w:sz w:val="17"/>
              </w:rPr>
              <w:t>210</w:t>
            </w:r>
          </w:p>
        </w:tc>
      </w:tr>
    </w:tbl>
    <w:p w14:paraId="60F675D5" w14:textId="65A39A68" w:rsidR="003B3A2E" w:rsidRPr="00DE77DE" w:rsidRDefault="003B3A2E" w:rsidP="00A97653">
      <w:pPr>
        <w:pStyle w:val="FootnoteText"/>
        <w:keepNext/>
        <w:tabs>
          <w:tab w:val="right" w:pos="1476"/>
          <w:tab w:val="left" w:pos="1548"/>
          <w:tab w:val="right" w:pos="1836"/>
          <w:tab w:val="left" w:pos="1908"/>
        </w:tabs>
        <w:spacing w:line="120" w:lineRule="exact"/>
        <w:ind w:left="1548" w:right="1267" w:hanging="288"/>
        <w:rPr>
          <w:b/>
          <w:w w:val="100"/>
          <w:sz w:val="10"/>
          <w:lang w:val="fr-FR"/>
        </w:rPr>
      </w:pPr>
    </w:p>
    <w:p w14:paraId="2BF1A880" w14:textId="53159877" w:rsidR="00AE1CC1" w:rsidRPr="00C649B3" w:rsidRDefault="00AE1CC1" w:rsidP="00A97653">
      <w:pPr>
        <w:pStyle w:val="FootnoteText"/>
        <w:keepNext/>
        <w:tabs>
          <w:tab w:val="right" w:pos="1476"/>
          <w:tab w:val="left" w:pos="1548"/>
          <w:tab w:val="right" w:pos="1836"/>
          <w:tab w:val="left" w:pos="1908"/>
        </w:tabs>
        <w:ind w:left="1548" w:right="1267" w:hanging="288"/>
        <w:rPr>
          <w:w w:val="100"/>
          <w:lang w:val="fr-FR"/>
        </w:rPr>
      </w:pPr>
      <w:r w:rsidRPr="00DE77DE">
        <w:rPr>
          <w:i/>
          <w:iCs/>
          <w:w w:val="100"/>
          <w:lang w:val="fr-FR"/>
        </w:rPr>
        <w:t>Source</w:t>
      </w:r>
      <w:r w:rsidR="00FC0C0B">
        <w:rPr>
          <w:w w:val="100"/>
          <w:lang w:val="fr-FR"/>
        </w:rPr>
        <w:t> :</w:t>
      </w:r>
      <w:r w:rsidRPr="00C649B3">
        <w:rPr>
          <w:w w:val="100"/>
          <w:lang w:val="fr-FR"/>
        </w:rPr>
        <w:t xml:space="preserve"> Direction générale de la protection sociale des travailleurs, Ministère de la main-d</w:t>
      </w:r>
      <w:r w:rsidR="00FC0C0B">
        <w:rPr>
          <w:w w:val="100"/>
          <w:lang w:val="fr-FR"/>
        </w:rPr>
        <w:t>’</w:t>
      </w:r>
      <w:r w:rsidRPr="00C649B3">
        <w:rPr>
          <w:w w:val="100"/>
          <w:lang w:val="fr-FR"/>
        </w:rPr>
        <w:t>œuvre</w:t>
      </w:r>
      <w:r>
        <w:rPr>
          <w:w w:val="100"/>
          <w:lang w:val="fr-FR"/>
        </w:rPr>
        <w:t>.</w:t>
      </w:r>
    </w:p>
    <w:p w14:paraId="70D9F30A" w14:textId="2BAE04B1" w:rsidR="00AE1CC1" w:rsidRPr="00DE77DE" w:rsidRDefault="00AE1CC1" w:rsidP="00A97653">
      <w:pPr>
        <w:pStyle w:val="SingleTxt"/>
        <w:keepNext/>
        <w:spacing w:after="0" w:line="120" w:lineRule="exact"/>
        <w:rPr>
          <w:w w:val="100"/>
          <w:sz w:val="10"/>
          <w:lang w:val="fr-FR"/>
        </w:rPr>
      </w:pPr>
    </w:p>
    <w:p w14:paraId="4DF6B891" w14:textId="0D136A58" w:rsidR="00DE77DE" w:rsidRPr="00DE77DE" w:rsidRDefault="00DE77DE" w:rsidP="00A97653">
      <w:pPr>
        <w:pStyle w:val="SingleTxt"/>
        <w:keepNext/>
        <w:spacing w:after="0" w:line="120" w:lineRule="exact"/>
        <w:rPr>
          <w:w w:val="100"/>
          <w:sz w:val="10"/>
          <w:lang w:val="fr-FR"/>
        </w:rPr>
      </w:pPr>
    </w:p>
    <w:p w14:paraId="744DBDD7" w14:textId="2B23F89D" w:rsidR="00AE1CC1" w:rsidRDefault="00AE1CC1" w:rsidP="00A97653">
      <w:pPr>
        <w:pStyle w:val="SingleTxt"/>
        <w:keepNext/>
        <w:rPr>
          <w:w w:val="100"/>
          <w:lang w:val="fr-FR"/>
        </w:rPr>
      </w:pPr>
      <w:r w:rsidRPr="00293069">
        <w:rPr>
          <w:w w:val="100"/>
          <w:lang w:val="fr-FR"/>
        </w:rPr>
        <w:tab/>
      </w:r>
      <w:r>
        <w:rPr>
          <w:w w:val="100"/>
          <w:lang w:val="fr-FR"/>
        </w:rPr>
        <w:t>Un comité composé de plusieurs spécialistes du Ministère de la main-d</w:t>
      </w:r>
      <w:r w:rsidR="00FC0C0B">
        <w:rPr>
          <w:w w:val="100"/>
          <w:lang w:val="fr-FR"/>
        </w:rPr>
        <w:t>’</w:t>
      </w:r>
      <w:r>
        <w:rPr>
          <w:w w:val="100"/>
          <w:lang w:val="fr-FR"/>
        </w:rPr>
        <w:t>œuvre et d</w:t>
      </w:r>
      <w:r w:rsidR="00FC0C0B">
        <w:rPr>
          <w:w w:val="100"/>
          <w:lang w:val="fr-FR"/>
        </w:rPr>
        <w:t>’</w:t>
      </w:r>
      <w:r>
        <w:rPr>
          <w:w w:val="100"/>
          <w:lang w:val="fr-FR"/>
        </w:rPr>
        <w:t>autres organes publics compétents a été créé. Il organise des réunions de manière régulière avec les ambassades des pays d</w:t>
      </w:r>
      <w:r w:rsidR="00FC0C0B">
        <w:rPr>
          <w:w w:val="100"/>
          <w:lang w:val="fr-FR"/>
        </w:rPr>
        <w:t>’</w:t>
      </w:r>
      <w:r>
        <w:rPr>
          <w:w w:val="100"/>
          <w:lang w:val="fr-FR"/>
        </w:rPr>
        <w:t xml:space="preserve">origine des travailleuses et travailleurs migrants pour faire connaître les droits et les devoirs de ces derniers et trouver des solutions appropriées pour préserver ces droits. </w:t>
      </w:r>
    </w:p>
    <w:p w14:paraId="6578E102" w14:textId="7C92DD9B" w:rsidR="00AE1CC1" w:rsidRPr="00C649B3" w:rsidRDefault="00AE1CC1" w:rsidP="00DE77DE">
      <w:pPr>
        <w:pStyle w:val="SingleTxt"/>
        <w:rPr>
          <w:w w:val="100"/>
          <w:lang w:val="fr-FR"/>
        </w:rPr>
      </w:pPr>
      <w:r w:rsidRPr="00293069">
        <w:rPr>
          <w:w w:val="100"/>
          <w:lang w:val="fr-FR"/>
        </w:rPr>
        <w:tab/>
      </w:r>
      <w:r>
        <w:rPr>
          <w:w w:val="100"/>
          <w:lang w:val="fr-FR"/>
        </w:rPr>
        <w:t xml:space="preserve">Le 16 octobre 2017, le </w:t>
      </w:r>
      <w:r w:rsidRPr="00F4026A">
        <w:rPr>
          <w:w w:val="100"/>
          <w:lang w:val="fr-FR"/>
        </w:rPr>
        <w:t>Comité national de lutte contre la traite des êtres humains</w:t>
      </w:r>
      <w:r>
        <w:rPr>
          <w:w w:val="100"/>
          <w:lang w:val="fr-FR"/>
        </w:rPr>
        <w:t xml:space="preserve"> a lancé une campagne intitulée « Ihsan » (bienfaisance) afin de faire connaître la législation relative à la lutte contre la traite des êtres humains. D</w:t>
      </w:r>
      <w:r w:rsidR="00FC0C0B">
        <w:rPr>
          <w:w w:val="100"/>
          <w:lang w:val="fr-FR"/>
        </w:rPr>
        <w:t>’</w:t>
      </w:r>
      <w:r>
        <w:rPr>
          <w:w w:val="100"/>
          <w:lang w:val="fr-FR"/>
        </w:rPr>
        <w:t xml:space="preserve">une durée de trois mois, cette campagne visait à ce que les travailleuses et travailleurs connaissent leurs droits. Des messages de sensibilisations ont été diffusés en plusieurs langues étrangères. </w:t>
      </w:r>
    </w:p>
    <w:p w14:paraId="5B9C6C8C" w14:textId="599645CD" w:rsidR="00AE1CC1" w:rsidRPr="00E55D62" w:rsidRDefault="00E55D62" w:rsidP="00E55D62">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7500B78A" wp14:editId="279A113F">
                <wp:simplePos x="0" y="0"/>
                <wp:positionH relativeFrom="page">
                  <wp:posOffset>3429000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3F3B1" id="Straight Connector 9"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M5y&#10;0nr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E1CC1" w:rsidRPr="00E55D62" w:rsidSect="00AE1CC1">
      <w:type w:val="continuous"/>
      <w:pgSz w:w="12240" w:h="15840"/>
      <w:pgMar w:top="1440" w:right="1195" w:bottom="1152" w:left="1195"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6-10T12:24:00Z" w:initials="Start">
    <w:p w14:paraId="606255A4" w14:textId="77777777" w:rsidR="00794514" w:rsidRPr="00AE1CC1" w:rsidRDefault="00794514">
      <w:pPr>
        <w:pStyle w:val="CommentText"/>
        <w:rPr>
          <w:lang w:val="en-US"/>
        </w:rPr>
      </w:pPr>
      <w:r>
        <w:fldChar w:fldCharType="begin"/>
      </w:r>
      <w:r w:rsidRPr="00AE1CC1">
        <w:rPr>
          <w:rStyle w:val="CommentReference"/>
          <w:lang w:val="en-US"/>
        </w:rPr>
        <w:instrText xml:space="preserve"> </w:instrText>
      </w:r>
      <w:r w:rsidRPr="00AE1CC1">
        <w:rPr>
          <w:lang w:val="en-US"/>
        </w:rPr>
        <w:instrText>PAGE \# "'Page: '#'</w:instrText>
      </w:r>
      <w:r w:rsidRPr="00AE1CC1">
        <w:rPr>
          <w:lang w:val="en-US"/>
        </w:rPr>
        <w:br/>
        <w:instrText>'"</w:instrText>
      </w:r>
      <w:r w:rsidRPr="00AE1CC1">
        <w:rPr>
          <w:rStyle w:val="CommentReference"/>
          <w:lang w:val="en-US"/>
        </w:rPr>
        <w:instrText xml:space="preserve"> </w:instrText>
      </w:r>
      <w:r>
        <w:fldChar w:fldCharType="end"/>
      </w:r>
      <w:r>
        <w:rPr>
          <w:rStyle w:val="CommentReference"/>
        </w:rPr>
        <w:annotationRef/>
      </w:r>
      <w:r w:rsidRPr="00AE1CC1">
        <w:rPr>
          <w:lang w:val="en-US"/>
        </w:rPr>
        <w:t>&lt;&lt;ODS JOB NO&gt;&gt;N2008255F&lt;&lt;ODS JOB NO&gt;&gt;</w:t>
      </w:r>
    </w:p>
    <w:p w14:paraId="377C4D85" w14:textId="77777777" w:rsidR="00794514" w:rsidRDefault="00794514">
      <w:pPr>
        <w:pStyle w:val="CommentText"/>
      </w:pPr>
      <w:r>
        <w:t>&lt;&lt;ODS DOC SYMBOL1&gt;&gt;CEDAW/C/OMN/FCO/2-3&lt;&lt;ODS DOC SYMBOL1&gt;&gt;</w:t>
      </w:r>
    </w:p>
    <w:p w14:paraId="36B6B219" w14:textId="77777777" w:rsidR="00794514" w:rsidRDefault="0079451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B6B21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861C" w14:textId="77777777" w:rsidR="00794514" w:rsidRDefault="00794514" w:rsidP="00101B18">
      <w:pPr>
        <w:spacing w:line="240" w:lineRule="auto"/>
      </w:pPr>
      <w:r>
        <w:separator/>
      </w:r>
    </w:p>
  </w:endnote>
  <w:endnote w:type="continuationSeparator" w:id="0">
    <w:p w14:paraId="67EB9137" w14:textId="77777777" w:rsidR="00794514" w:rsidRDefault="0079451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4514" w14:paraId="703B07B6" w14:textId="77777777" w:rsidTr="00146A0E">
      <w:tc>
        <w:tcPr>
          <w:tcW w:w="4920" w:type="dxa"/>
          <w:shd w:val="clear" w:color="auto" w:fill="auto"/>
        </w:tcPr>
        <w:p w14:paraId="76CC6145" w14:textId="4A8E3582" w:rsidR="00794514" w:rsidRPr="00146A0E" w:rsidRDefault="00794514" w:rsidP="00146A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2D95">
            <w:rPr>
              <w:b w:val="0"/>
              <w:w w:val="103"/>
              <w:sz w:val="14"/>
            </w:rPr>
            <w:t>20-04915</w:t>
          </w:r>
          <w:r>
            <w:rPr>
              <w:b w:val="0"/>
              <w:w w:val="103"/>
              <w:sz w:val="14"/>
            </w:rPr>
            <w:fldChar w:fldCharType="end"/>
          </w:r>
        </w:p>
      </w:tc>
      <w:tc>
        <w:tcPr>
          <w:tcW w:w="4920" w:type="dxa"/>
          <w:shd w:val="clear" w:color="auto" w:fill="auto"/>
        </w:tcPr>
        <w:p w14:paraId="19BC84B0" w14:textId="77777777" w:rsidR="00794514" w:rsidRPr="00146A0E" w:rsidRDefault="00794514" w:rsidP="00146A0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3A3BEAA" w14:textId="77777777" w:rsidR="00794514" w:rsidRPr="00146A0E" w:rsidRDefault="00794514" w:rsidP="00146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4514" w14:paraId="39B1562B" w14:textId="77777777" w:rsidTr="00146A0E">
      <w:tc>
        <w:tcPr>
          <w:tcW w:w="4920" w:type="dxa"/>
          <w:shd w:val="clear" w:color="auto" w:fill="auto"/>
        </w:tcPr>
        <w:p w14:paraId="46B43139" w14:textId="77777777" w:rsidR="00794514" w:rsidRPr="00146A0E" w:rsidRDefault="00794514" w:rsidP="00146A0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9D1337F" w14:textId="553A7014" w:rsidR="00794514" w:rsidRPr="00146A0E" w:rsidRDefault="00794514" w:rsidP="00146A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2D95">
            <w:rPr>
              <w:b w:val="0"/>
              <w:w w:val="103"/>
              <w:sz w:val="14"/>
            </w:rPr>
            <w:t>20-04915</w:t>
          </w:r>
          <w:r>
            <w:rPr>
              <w:b w:val="0"/>
              <w:w w:val="103"/>
              <w:sz w:val="14"/>
            </w:rPr>
            <w:fldChar w:fldCharType="end"/>
          </w:r>
        </w:p>
      </w:tc>
    </w:tr>
  </w:tbl>
  <w:p w14:paraId="634390F3" w14:textId="77777777" w:rsidR="00794514" w:rsidRPr="00146A0E" w:rsidRDefault="00794514" w:rsidP="00146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D479" w14:textId="77777777" w:rsidR="00794514" w:rsidRDefault="00794514">
    <w:pPr>
      <w:pStyle w:val="Footer"/>
    </w:pPr>
    <w:r>
      <w:rPr>
        <w:noProof/>
      </w:rPr>
      <w:drawing>
        <wp:anchor distT="0" distB="0" distL="114300" distR="114300" simplePos="0" relativeHeight="251658240" behindDoc="0" locked="0" layoutInCell="1" allowOverlap="1" wp14:anchorId="0A18334E" wp14:editId="5D74FEE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OMN/FCO/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MN/FCO/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94514" w14:paraId="0D010316" w14:textId="77777777" w:rsidTr="00146A0E">
      <w:tc>
        <w:tcPr>
          <w:tcW w:w="3758" w:type="dxa"/>
        </w:tcPr>
        <w:p w14:paraId="425FFD06" w14:textId="6AD3F462" w:rsidR="00794514" w:rsidRDefault="00794514" w:rsidP="00146A0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12D95">
            <w:rPr>
              <w:b w:val="0"/>
              <w:sz w:val="20"/>
            </w:rPr>
            <w:t>20-04915 (F)</w:t>
          </w:r>
          <w:r>
            <w:rPr>
              <w:b w:val="0"/>
              <w:sz w:val="20"/>
            </w:rPr>
            <w:fldChar w:fldCharType="end"/>
          </w:r>
          <w:r>
            <w:rPr>
              <w:b w:val="0"/>
              <w:sz w:val="20"/>
            </w:rPr>
            <w:t xml:space="preserve">    100620    190620</w:t>
          </w:r>
        </w:p>
        <w:p w14:paraId="777AAB90" w14:textId="739E2760" w:rsidR="00794514" w:rsidRPr="00146A0E" w:rsidRDefault="00794514" w:rsidP="00146A0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12D95">
            <w:rPr>
              <w:rFonts w:ascii="Barcode 3 of 9 by request" w:hAnsi="Barcode 3 of 9 by request"/>
              <w:spacing w:val="0"/>
              <w:w w:val="100"/>
              <w:sz w:val="24"/>
            </w:rPr>
            <w:t>*2004915*</w:t>
          </w:r>
          <w:r>
            <w:rPr>
              <w:rFonts w:ascii="Barcode 3 of 9 by request" w:hAnsi="Barcode 3 of 9 by request"/>
              <w:spacing w:val="0"/>
              <w:w w:val="100"/>
              <w:sz w:val="24"/>
            </w:rPr>
            <w:fldChar w:fldCharType="end"/>
          </w:r>
        </w:p>
      </w:tc>
      <w:tc>
        <w:tcPr>
          <w:tcW w:w="4920" w:type="dxa"/>
        </w:tcPr>
        <w:p w14:paraId="3814B218" w14:textId="77777777" w:rsidR="00794514" w:rsidRDefault="00794514" w:rsidP="00146A0E">
          <w:pPr>
            <w:pStyle w:val="Footer"/>
            <w:spacing w:line="240" w:lineRule="atLeast"/>
            <w:jc w:val="right"/>
            <w:rPr>
              <w:b w:val="0"/>
              <w:sz w:val="20"/>
            </w:rPr>
          </w:pPr>
          <w:r>
            <w:rPr>
              <w:b w:val="0"/>
              <w:noProof/>
              <w:sz w:val="20"/>
            </w:rPr>
            <w:drawing>
              <wp:inline distT="0" distB="0" distL="0" distR="0" wp14:anchorId="6C635C93" wp14:editId="3AE354E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AE01797" w14:textId="77777777" w:rsidR="00794514" w:rsidRPr="00146A0E" w:rsidRDefault="00794514" w:rsidP="00146A0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9943" w14:textId="77777777" w:rsidR="00794514" w:rsidRDefault="00794514" w:rsidP="00101B18">
      <w:pPr>
        <w:spacing w:line="240" w:lineRule="auto"/>
      </w:pPr>
      <w:r>
        <w:separator/>
      </w:r>
    </w:p>
  </w:footnote>
  <w:footnote w:type="continuationSeparator" w:id="0">
    <w:p w14:paraId="17F5FF30" w14:textId="77777777" w:rsidR="00794514" w:rsidRDefault="00794514"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94514" w14:paraId="25D03C13" w14:textId="77777777" w:rsidTr="00146A0E">
      <w:trPr>
        <w:trHeight w:hRule="exact" w:val="864"/>
      </w:trPr>
      <w:tc>
        <w:tcPr>
          <w:tcW w:w="4920" w:type="dxa"/>
          <w:shd w:val="clear" w:color="auto" w:fill="auto"/>
          <w:vAlign w:val="bottom"/>
        </w:tcPr>
        <w:p w14:paraId="47609A02" w14:textId="65157663" w:rsidR="00794514" w:rsidRPr="00146A0E" w:rsidRDefault="00794514" w:rsidP="00146A0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2D95">
            <w:rPr>
              <w:b/>
              <w:color w:val="000000"/>
            </w:rPr>
            <w:t>CEDAW/C/OMN/FCO/2-3</w:t>
          </w:r>
          <w:r>
            <w:rPr>
              <w:b/>
              <w:color w:val="000000"/>
            </w:rPr>
            <w:fldChar w:fldCharType="end"/>
          </w:r>
        </w:p>
      </w:tc>
      <w:tc>
        <w:tcPr>
          <w:tcW w:w="4920" w:type="dxa"/>
          <w:shd w:val="clear" w:color="auto" w:fill="auto"/>
          <w:vAlign w:val="bottom"/>
        </w:tcPr>
        <w:p w14:paraId="60011D5C" w14:textId="77777777" w:rsidR="00794514" w:rsidRDefault="00794514" w:rsidP="00146A0E">
          <w:pPr>
            <w:pStyle w:val="Header"/>
          </w:pPr>
        </w:p>
      </w:tc>
    </w:tr>
  </w:tbl>
  <w:p w14:paraId="409D5CB9" w14:textId="77777777" w:rsidR="00794514" w:rsidRPr="00146A0E" w:rsidRDefault="00794514" w:rsidP="00146A0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94514" w14:paraId="046C282A" w14:textId="77777777" w:rsidTr="00146A0E">
      <w:trPr>
        <w:trHeight w:hRule="exact" w:val="864"/>
      </w:trPr>
      <w:tc>
        <w:tcPr>
          <w:tcW w:w="4920" w:type="dxa"/>
          <w:shd w:val="clear" w:color="auto" w:fill="auto"/>
          <w:vAlign w:val="bottom"/>
        </w:tcPr>
        <w:p w14:paraId="0CF18BB2" w14:textId="77777777" w:rsidR="00794514" w:rsidRDefault="00794514" w:rsidP="00146A0E">
          <w:pPr>
            <w:pStyle w:val="Header"/>
          </w:pPr>
        </w:p>
      </w:tc>
      <w:tc>
        <w:tcPr>
          <w:tcW w:w="4920" w:type="dxa"/>
          <w:shd w:val="clear" w:color="auto" w:fill="auto"/>
          <w:vAlign w:val="bottom"/>
        </w:tcPr>
        <w:p w14:paraId="2988E955" w14:textId="5153FC30" w:rsidR="00794514" w:rsidRPr="00146A0E" w:rsidRDefault="00794514" w:rsidP="00146A0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2D95">
            <w:rPr>
              <w:b/>
              <w:color w:val="000000"/>
            </w:rPr>
            <w:t>CEDAW/C/OMN/FCO/2-3</w:t>
          </w:r>
          <w:r>
            <w:rPr>
              <w:b/>
              <w:color w:val="000000"/>
            </w:rPr>
            <w:fldChar w:fldCharType="end"/>
          </w:r>
        </w:p>
      </w:tc>
    </w:tr>
  </w:tbl>
  <w:p w14:paraId="444D9545" w14:textId="77777777" w:rsidR="00794514" w:rsidRPr="00146A0E" w:rsidRDefault="00794514" w:rsidP="00146A0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94514" w14:paraId="43846437" w14:textId="77777777" w:rsidTr="00146A0E">
      <w:trPr>
        <w:trHeight w:hRule="exact" w:val="864"/>
      </w:trPr>
      <w:tc>
        <w:tcPr>
          <w:tcW w:w="1267" w:type="dxa"/>
          <w:tcBorders>
            <w:bottom w:val="single" w:sz="4" w:space="0" w:color="auto"/>
          </w:tcBorders>
          <w:shd w:val="clear" w:color="auto" w:fill="auto"/>
          <w:vAlign w:val="bottom"/>
        </w:tcPr>
        <w:p w14:paraId="12E2F597" w14:textId="77777777" w:rsidR="00794514" w:rsidRDefault="00794514" w:rsidP="00146A0E">
          <w:pPr>
            <w:pStyle w:val="Header"/>
            <w:spacing w:after="120"/>
          </w:pPr>
        </w:p>
      </w:tc>
      <w:tc>
        <w:tcPr>
          <w:tcW w:w="2059" w:type="dxa"/>
          <w:tcBorders>
            <w:bottom w:val="single" w:sz="4" w:space="0" w:color="auto"/>
          </w:tcBorders>
          <w:shd w:val="clear" w:color="auto" w:fill="auto"/>
          <w:vAlign w:val="bottom"/>
        </w:tcPr>
        <w:p w14:paraId="27F46F2F" w14:textId="77777777" w:rsidR="00794514" w:rsidRPr="00146A0E" w:rsidRDefault="00794514" w:rsidP="00146A0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75A22EE" w14:textId="77777777" w:rsidR="00794514" w:rsidRDefault="00794514" w:rsidP="00146A0E">
          <w:pPr>
            <w:pStyle w:val="Header"/>
            <w:spacing w:after="120"/>
          </w:pPr>
        </w:p>
      </w:tc>
      <w:tc>
        <w:tcPr>
          <w:tcW w:w="6466" w:type="dxa"/>
          <w:gridSpan w:val="3"/>
          <w:tcBorders>
            <w:bottom w:val="single" w:sz="4" w:space="0" w:color="auto"/>
          </w:tcBorders>
          <w:shd w:val="clear" w:color="auto" w:fill="auto"/>
          <w:vAlign w:val="bottom"/>
        </w:tcPr>
        <w:p w14:paraId="07FB01E5" w14:textId="77777777" w:rsidR="00794514" w:rsidRPr="00146A0E" w:rsidRDefault="00794514" w:rsidP="00146A0E">
          <w:pPr>
            <w:spacing w:after="80" w:line="240" w:lineRule="auto"/>
            <w:jc w:val="right"/>
            <w:rPr>
              <w:position w:val="-4"/>
            </w:rPr>
          </w:pPr>
          <w:r>
            <w:rPr>
              <w:position w:val="-4"/>
              <w:sz w:val="40"/>
            </w:rPr>
            <w:t>CEDAW</w:t>
          </w:r>
          <w:r>
            <w:rPr>
              <w:position w:val="-4"/>
            </w:rPr>
            <w:t>/C/OMN/FCO/2-3</w:t>
          </w:r>
        </w:p>
      </w:tc>
    </w:tr>
    <w:tr w:rsidR="00794514" w:rsidRPr="00146A0E" w14:paraId="664C8C1D" w14:textId="77777777" w:rsidTr="00146A0E">
      <w:trPr>
        <w:trHeight w:hRule="exact" w:val="2880"/>
      </w:trPr>
      <w:tc>
        <w:tcPr>
          <w:tcW w:w="1267" w:type="dxa"/>
          <w:tcBorders>
            <w:top w:val="single" w:sz="4" w:space="0" w:color="auto"/>
            <w:bottom w:val="single" w:sz="12" w:space="0" w:color="auto"/>
          </w:tcBorders>
          <w:shd w:val="clear" w:color="auto" w:fill="auto"/>
        </w:tcPr>
        <w:p w14:paraId="49056A65" w14:textId="77777777" w:rsidR="00794514" w:rsidRPr="00146A0E" w:rsidRDefault="00794514" w:rsidP="00146A0E">
          <w:pPr>
            <w:pStyle w:val="Header"/>
            <w:spacing w:before="120" w:line="240" w:lineRule="auto"/>
            <w:ind w:left="-72"/>
            <w:jc w:val="center"/>
          </w:pPr>
          <w:r>
            <w:t xml:space="preserve">  </w:t>
          </w:r>
          <w:r>
            <w:rPr>
              <w:noProof/>
            </w:rPr>
            <w:drawing>
              <wp:inline distT="0" distB="0" distL="0" distR="0" wp14:anchorId="4F2FC8F6" wp14:editId="773D69F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CF8B6A" w14:textId="202975E0" w:rsidR="00794514" w:rsidRPr="00146A0E" w:rsidRDefault="00794514" w:rsidP="00146A0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82462D6" w14:textId="77777777" w:rsidR="00794514" w:rsidRPr="00AE1CC1" w:rsidRDefault="00794514" w:rsidP="00146A0E">
          <w:pPr>
            <w:pStyle w:val="Header"/>
            <w:spacing w:before="109"/>
            <w:rPr>
              <w:lang w:val="fr-FR"/>
            </w:rPr>
          </w:pPr>
        </w:p>
      </w:tc>
      <w:tc>
        <w:tcPr>
          <w:tcW w:w="3110" w:type="dxa"/>
          <w:tcBorders>
            <w:top w:val="single" w:sz="4" w:space="0" w:color="auto"/>
            <w:bottom w:val="single" w:sz="12" w:space="0" w:color="auto"/>
          </w:tcBorders>
          <w:shd w:val="clear" w:color="auto" w:fill="auto"/>
        </w:tcPr>
        <w:p w14:paraId="76F072FF" w14:textId="77777777" w:rsidR="00794514" w:rsidRPr="00AE1CC1" w:rsidRDefault="00794514" w:rsidP="00146A0E">
          <w:pPr>
            <w:pStyle w:val="Distribution"/>
            <w:rPr>
              <w:color w:val="000000"/>
              <w:lang w:val="fr-FR"/>
            </w:rPr>
          </w:pPr>
          <w:r w:rsidRPr="00AE1CC1">
            <w:rPr>
              <w:color w:val="000000"/>
              <w:lang w:val="fr-FR"/>
            </w:rPr>
            <w:t>Distr. générale</w:t>
          </w:r>
        </w:p>
        <w:p w14:paraId="017896E1" w14:textId="77777777" w:rsidR="00794514" w:rsidRPr="00AE1CC1" w:rsidRDefault="00794514" w:rsidP="00146A0E">
          <w:pPr>
            <w:pStyle w:val="Publication"/>
            <w:rPr>
              <w:color w:val="000000"/>
              <w:lang w:val="fr-FR"/>
            </w:rPr>
          </w:pPr>
          <w:r w:rsidRPr="00AE1CC1">
            <w:rPr>
              <w:color w:val="000000"/>
              <w:lang w:val="fr-FR"/>
            </w:rPr>
            <w:t>31 mars 2020</w:t>
          </w:r>
        </w:p>
        <w:p w14:paraId="0A40DB22" w14:textId="77777777" w:rsidR="00794514" w:rsidRPr="00AE1CC1" w:rsidRDefault="00794514" w:rsidP="00146A0E">
          <w:pPr>
            <w:rPr>
              <w:lang w:val="fr-FR"/>
            </w:rPr>
          </w:pPr>
          <w:r w:rsidRPr="00AE1CC1">
            <w:rPr>
              <w:lang w:val="fr-FR"/>
            </w:rPr>
            <w:t>Français</w:t>
          </w:r>
        </w:p>
        <w:p w14:paraId="75234CF7" w14:textId="5518EA78" w:rsidR="00794514" w:rsidRPr="00AE1CC1" w:rsidRDefault="00794514" w:rsidP="00146A0E">
          <w:pPr>
            <w:pStyle w:val="Original"/>
            <w:rPr>
              <w:color w:val="000000"/>
              <w:lang w:val="fr-FR"/>
            </w:rPr>
          </w:pPr>
          <w:r w:rsidRPr="00AE1CC1">
            <w:rPr>
              <w:color w:val="000000"/>
              <w:lang w:val="fr-FR"/>
            </w:rPr>
            <w:t>Original</w:t>
          </w:r>
          <w:r>
            <w:rPr>
              <w:color w:val="000000"/>
              <w:lang w:val="fr-FR"/>
            </w:rPr>
            <w:t> :</w:t>
          </w:r>
          <w:r w:rsidRPr="00AE1CC1">
            <w:rPr>
              <w:color w:val="000000"/>
              <w:lang w:val="fr-FR"/>
            </w:rPr>
            <w:t xml:space="preserve"> anglais, arabe, espagnol et fran</w:t>
          </w:r>
          <w:r>
            <w:rPr>
              <w:color w:val="000000"/>
              <w:lang w:val="fr-FR"/>
            </w:rPr>
            <w:t>çais seulement</w:t>
          </w:r>
        </w:p>
      </w:tc>
    </w:tr>
  </w:tbl>
  <w:p w14:paraId="21A817D1" w14:textId="77777777" w:rsidR="00794514" w:rsidRPr="00AE1CC1" w:rsidRDefault="00794514" w:rsidP="00146A0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CE02DF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FED1723"/>
    <w:multiLevelType w:val="hybridMultilevel"/>
    <w:tmpl w:val="8AA6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621B"/>
    <w:multiLevelType w:val="singleLevel"/>
    <w:tmpl w:val="0409000F"/>
    <w:lvl w:ilvl="0">
      <w:start w:val="1"/>
      <w:numFmt w:val="decimal"/>
      <w:lvlText w:val="%1."/>
      <w:lvlJc w:val="left"/>
      <w:pPr>
        <w:ind w:left="720" w:hanging="36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5*"/>
    <w:docVar w:name="CreationDt" w:val="10/06/2020 12:24 PM"/>
    <w:docVar w:name="DocCategory" w:val="Doc"/>
    <w:docVar w:name="DocType" w:val="Final"/>
    <w:docVar w:name="DutyStation" w:val="New York"/>
    <w:docVar w:name="FooterJN" w:val="20-04915"/>
    <w:docVar w:name="jobn" w:val="20-04915 (F)"/>
    <w:docVar w:name="jobnDT" w:val="20-04915 (F)   100620"/>
    <w:docVar w:name="jobnDTDT" w:val="20-04915 (F)   100620   100620"/>
    <w:docVar w:name="JobNo" w:val="2004915F"/>
    <w:docVar w:name="JobNo2" w:val="2008255F"/>
    <w:docVar w:name="LocalDrive" w:val="0"/>
    <w:docVar w:name="OandT" w:val="J"/>
    <w:docVar w:name="sss1" w:val="CEDAW/C/OMN/FCO/2-3"/>
    <w:docVar w:name="sss2" w:val="-"/>
    <w:docVar w:name="Symbol1" w:val="CEDAW/C/OMN/FCO/2-3"/>
    <w:docVar w:name="Symbol2" w:val="-"/>
  </w:docVars>
  <w:rsids>
    <w:rsidRoot w:val="00B70174"/>
    <w:rsid w:val="000003DE"/>
    <w:rsid w:val="00002584"/>
    <w:rsid w:val="000527B6"/>
    <w:rsid w:val="0006491F"/>
    <w:rsid w:val="00071D43"/>
    <w:rsid w:val="0007535B"/>
    <w:rsid w:val="00082144"/>
    <w:rsid w:val="00085BE5"/>
    <w:rsid w:val="00086794"/>
    <w:rsid w:val="00091349"/>
    <w:rsid w:val="000A1B31"/>
    <w:rsid w:val="000D73F4"/>
    <w:rsid w:val="00101B18"/>
    <w:rsid w:val="001030AE"/>
    <w:rsid w:val="00110F58"/>
    <w:rsid w:val="001177E1"/>
    <w:rsid w:val="00122A56"/>
    <w:rsid w:val="0012392B"/>
    <w:rsid w:val="00134FEE"/>
    <w:rsid w:val="00146A0E"/>
    <w:rsid w:val="00146C6A"/>
    <w:rsid w:val="00166A0D"/>
    <w:rsid w:val="001A70C3"/>
    <w:rsid w:val="001E2379"/>
    <w:rsid w:val="001E3B1A"/>
    <w:rsid w:val="001E4B50"/>
    <w:rsid w:val="0021412C"/>
    <w:rsid w:val="00245107"/>
    <w:rsid w:val="00245FDC"/>
    <w:rsid w:val="002478A0"/>
    <w:rsid w:val="002A5E20"/>
    <w:rsid w:val="002E04BE"/>
    <w:rsid w:val="002E1D09"/>
    <w:rsid w:val="0030765E"/>
    <w:rsid w:val="00312C14"/>
    <w:rsid w:val="00366D21"/>
    <w:rsid w:val="003A675A"/>
    <w:rsid w:val="003B3A2E"/>
    <w:rsid w:val="003B7C49"/>
    <w:rsid w:val="003C536A"/>
    <w:rsid w:val="003E6A5D"/>
    <w:rsid w:val="003F61E1"/>
    <w:rsid w:val="00403DFD"/>
    <w:rsid w:val="00405D8A"/>
    <w:rsid w:val="00406B5C"/>
    <w:rsid w:val="00410BE8"/>
    <w:rsid w:val="004335F3"/>
    <w:rsid w:val="00440C93"/>
    <w:rsid w:val="00472B7F"/>
    <w:rsid w:val="00480B84"/>
    <w:rsid w:val="004B64F9"/>
    <w:rsid w:val="004C1A25"/>
    <w:rsid w:val="004E0892"/>
    <w:rsid w:val="004E491B"/>
    <w:rsid w:val="00515991"/>
    <w:rsid w:val="005225EC"/>
    <w:rsid w:val="00525097"/>
    <w:rsid w:val="005509B6"/>
    <w:rsid w:val="00551F7D"/>
    <w:rsid w:val="00556BC0"/>
    <w:rsid w:val="00571235"/>
    <w:rsid w:val="005733DB"/>
    <w:rsid w:val="00577A36"/>
    <w:rsid w:val="00580CF2"/>
    <w:rsid w:val="005A4EE1"/>
    <w:rsid w:val="005B398E"/>
    <w:rsid w:val="005C03A7"/>
    <w:rsid w:val="005C5330"/>
    <w:rsid w:val="005F1F5F"/>
    <w:rsid w:val="005F46AC"/>
    <w:rsid w:val="00632C10"/>
    <w:rsid w:val="00645F0F"/>
    <w:rsid w:val="006904F3"/>
    <w:rsid w:val="00690698"/>
    <w:rsid w:val="006D79F5"/>
    <w:rsid w:val="006E03DA"/>
    <w:rsid w:val="006E4A4B"/>
    <w:rsid w:val="006E5107"/>
    <w:rsid w:val="006F370E"/>
    <w:rsid w:val="00703106"/>
    <w:rsid w:val="007459AE"/>
    <w:rsid w:val="007531A5"/>
    <w:rsid w:val="00771C9E"/>
    <w:rsid w:val="00794514"/>
    <w:rsid w:val="007B770F"/>
    <w:rsid w:val="007E224F"/>
    <w:rsid w:val="0082045E"/>
    <w:rsid w:val="008222A3"/>
    <w:rsid w:val="008446A5"/>
    <w:rsid w:val="0086411E"/>
    <w:rsid w:val="00871512"/>
    <w:rsid w:val="00876489"/>
    <w:rsid w:val="00883D3C"/>
    <w:rsid w:val="00886CF2"/>
    <w:rsid w:val="008D3879"/>
    <w:rsid w:val="008E4D49"/>
    <w:rsid w:val="008F19AC"/>
    <w:rsid w:val="008F3462"/>
    <w:rsid w:val="009237A6"/>
    <w:rsid w:val="00935932"/>
    <w:rsid w:val="009547DC"/>
    <w:rsid w:val="00965424"/>
    <w:rsid w:val="00974126"/>
    <w:rsid w:val="00982345"/>
    <w:rsid w:val="00993CB7"/>
    <w:rsid w:val="00994877"/>
    <w:rsid w:val="009C3BFE"/>
    <w:rsid w:val="009D0EE3"/>
    <w:rsid w:val="009E0FAA"/>
    <w:rsid w:val="009E3220"/>
    <w:rsid w:val="009F40B9"/>
    <w:rsid w:val="00A14714"/>
    <w:rsid w:val="00A2494D"/>
    <w:rsid w:val="00A4241A"/>
    <w:rsid w:val="00A536A1"/>
    <w:rsid w:val="00A97653"/>
    <w:rsid w:val="00AB0B7D"/>
    <w:rsid w:val="00AD5F2F"/>
    <w:rsid w:val="00AE1CC1"/>
    <w:rsid w:val="00AF5ECD"/>
    <w:rsid w:val="00B12D95"/>
    <w:rsid w:val="00B41846"/>
    <w:rsid w:val="00B70174"/>
    <w:rsid w:val="00B858D5"/>
    <w:rsid w:val="00BA2C89"/>
    <w:rsid w:val="00BA2D2D"/>
    <w:rsid w:val="00BE4D12"/>
    <w:rsid w:val="00C01475"/>
    <w:rsid w:val="00C11D14"/>
    <w:rsid w:val="00C138C6"/>
    <w:rsid w:val="00C14431"/>
    <w:rsid w:val="00C20393"/>
    <w:rsid w:val="00C53301"/>
    <w:rsid w:val="00C737AD"/>
    <w:rsid w:val="00C92CC1"/>
    <w:rsid w:val="00CB06FB"/>
    <w:rsid w:val="00CB63C5"/>
    <w:rsid w:val="00D21D65"/>
    <w:rsid w:val="00D24179"/>
    <w:rsid w:val="00D25C44"/>
    <w:rsid w:val="00D30EED"/>
    <w:rsid w:val="00D31443"/>
    <w:rsid w:val="00DC7881"/>
    <w:rsid w:val="00DE4ED4"/>
    <w:rsid w:val="00DE77DE"/>
    <w:rsid w:val="00E126C3"/>
    <w:rsid w:val="00E343A6"/>
    <w:rsid w:val="00E36F06"/>
    <w:rsid w:val="00E443AC"/>
    <w:rsid w:val="00E47A1E"/>
    <w:rsid w:val="00E55D62"/>
    <w:rsid w:val="00E62A67"/>
    <w:rsid w:val="00E7105F"/>
    <w:rsid w:val="00E7792F"/>
    <w:rsid w:val="00E84117"/>
    <w:rsid w:val="00EC2029"/>
    <w:rsid w:val="00EE37EC"/>
    <w:rsid w:val="00EE5A89"/>
    <w:rsid w:val="00EF2DFA"/>
    <w:rsid w:val="00F02A24"/>
    <w:rsid w:val="00F313F6"/>
    <w:rsid w:val="00F5012D"/>
    <w:rsid w:val="00F56015"/>
    <w:rsid w:val="00F62B8B"/>
    <w:rsid w:val="00F73093"/>
    <w:rsid w:val="00FA3D05"/>
    <w:rsid w:val="00FA5CC9"/>
    <w:rsid w:val="00FB0A2C"/>
    <w:rsid w:val="00FC0C0B"/>
    <w:rsid w:val="00FC59F1"/>
    <w:rsid w:val="00FD52CB"/>
    <w:rsid w:val="00FE15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3C4814"/>
  <w15:chartTrackingRefBased/>
  <w15:docId w15:val="{33F74AD7-E69E-43A4-B9E5-1010A7D7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3F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D73F4"/>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D73F4"/>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D73F4"/>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D73F4"/>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D73F4"/>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D73F4"/>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D73F4"/>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73F4"/>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D73F4"/>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73F4"/>
    <w:pPr>
      <w:keepNext/>
      <w:keepLines/>
      <w:suppressAutoHyphens/>
      <w:spacing w:line="270" w:lineRule="exact"/>
      <w:outlineLvl w:val="0"/>
    </w:pPr>
    <w:rPr>
      <w:b/>
      <w:sz w:val="24"/>
    </w:rPr>
  </w:style>
  <w:style w:type="paragraph" w:customStyle="1" w:styleId="HCH">
    <w:name w:val="_ H _CH"/>
    <w:basedOn w:val="H1"/>
    <w:next w:val="Normal"/>
    <w:qFormat/>
    <w:rsid w:val="000D73F4"/>
    <w:pPr>
      <w:spacing w:line="300" w:lineRule="exact"/>
    </w:pPr>
    <w:rPr>
      <w:spacing w:val="-2"/>
      <w:sz w:val="28"/>
    </w:rPr>
  </w:style>
  <w:style w:type="paragraph" w:customStyle="1" w:styleId="HM">
    <w:name w:val="_ H __M"/>
    <w:basedOn w:val="HCH"/>
    <w:next w:val="Normal"/>
    <w:qFormat/>
    <w:rsid w:val="000D73F4"/>
    <w:pPr>
      <w:spacing w:line="360" w:lineRule="exact"/>
    </w:pPr>
    <w:rPr>
      <w:spacing w:val="-3"/>
      <w:w w:val="99"/>
      <w:sz w:val="34"/>
    </w:rPr>
  </w:style>
  <w:style w:type="paragraph" w:customStyle="1" w:styleId="H23">
    <w:name w:val="_ H_2/3"/>
    <w:basedOn w:val="H1"/>
    <w:next w:val="SingleTxt"/>
    <w:qFormat/>
    <w:rsid w:val="000D73F4"/>
    <w:pPr>
      <w:spacing w:line="240" w:lineRule="exact"/>
      <w:outlineLvl w:val="1"/>
    </w:pPr>
    <w:rPr>
      <w:spacing w:val="2"/>
      <w:sz w:val="20"/>
    </w:rPr>
  </w:style>
  <w:style w:type="paragraph" w:customStyle="1" w:styleId="H4">
    <w:name w:val="_ H_4"/>
    <w:basedOn w:val="Normal"/>
    <w:next w:val="SingleTxt"/>
    <w:qFormat/>
    <w:rsid w:val="000D73F4"/>
    <w:pPr>
      <w:keepNext/>
      <w:keepLines/>
      <w:tabs>
        <w:tab w:val="right" w:pos="360"/>
      </w:tabs>
      <w:suppressAutoHyphens/>
      <w:outlineLvl w:val="3"/>
    </w:pPr>
    <w:rPr>
      <w:i/>
      <w:spacing w:val="3"/>
    </w:rPr>
  </w:style>
  <w:style w:type="paragraph" w:customStyle="1" w:styleId="H56">
    <w:name w:val="_ H_5/6"/>
    <w:basedOn w:val="Normal"/>
    <w:next w:val="Normal"/>
    <w:qFormat/>
    <w:rsid w:val="000D73F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D73F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D73F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D73F4"/>
    <w:pPr>
      <w:spacing w:line="540" w:lineRule="exact"/>
    </w:pPr>
    <w:rPr>
      <w:spacing w:val="-8"/>
      <w:w w:val="96"/>
      <w:sz w:val="57"/>
    </w:rPr>
  </w:style>
  <w:style w:type="paragraph" w:customStyle="1" w:styleId="SS">
    <w:name w:val="__S_S"/>
    <w:basedOn w:val="HCH"/>
    <w:next w:val="Normal"/>
    <w:qFormat/>
    <w:rsid w:val="000D73F4"/>
    <w:pPr>
      <w:ind w:left="1267" w:right="1267"/>
    </w:pPr>
  </w:style>
  <w:style w:type="paragraph" w:customStyle="1" w:styleId="SingleTxt">
    <w:name w:val="__Single Txt"/>
    <w:basedOn w:val="Normal"/>
    <w:qFormat/>
    <w:rsid w:val="000D73F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D73F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D73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D73F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D73F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73F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D73F4"/>
    <w:pPr>
      <w:numPr>
        <w:numId w:val="17"/>
      </w:numPr>
      <w:spacing w:after="120"/>
      <w:ind w:right="1267"/>
      <w:jc w:val="both"/>
    </w:pPr>
  </w:style>
  <w:style w:type="paragraph" w:customStyle="1" w:styleId="Bullet2">
    <w:name w:val="Bullet 2"/>
    <w:basedOn w:val="Normal"/>
    <w:qFormat/>
    <w:rsid w:val="000D73F4"/>
    <w:pPr>
      <w:numPr>
        <w:numId w:val="18"/>
      </w:numPr>
      <w:spacing w:after="120"/>
      <w:ind w:right="1264"/>
      <w:jc w:val="both"/>
    </w:pPr>
  </w:style>
  <w:style w:type="paragraph" w:customStyle="1" w:styleId="Bullet3">
    <w:name w:val="Bullet 3"/>
    <w:basedOn w:val="SingleTxt"/>
    <w:qFormat/>
    <w:rsid w:val="000D73F4"/>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73F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D73F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D73F4"/>
    <w:pPr>
      <w:spacing w:line="210" w:lineRule="exact"/>
    </w:pPr>
    <w:rPr>
      <w:sz w:val="17"/>
      <w:szCs w:val="20"/>
    </w:rPr>
  </w:style>
  <w:style w:type="character" w:customStyle="1" w:styleId="EndnoteTextChar">
    <w:name w:val="Endnote Text Char"/>
    <w:link w:val="EndnoteText"/>
    <w:uiPriority w:val="99"/>
    <w:semiHidden/>
    <w:rsid w:val="000D73F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D73F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D73F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D73F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D73F4"/>
    <w:pPr>
      <w:spacing w:line="210" w:lineRule="exact"/>
    </w:pPr>
    <w:rPr>
      <w:sz w:val="17"/>
      <w:szCs w:val="20"/>
    </w:rPr>
  </w:style>
  <w:style w:type="character" w:customStyle="1" w:styleId="FootnoteTextChar">
    <w:name w:val="Footnote Text Char"/>
    <w:link w:val="FootnoteText"/>
    <w:uiPriority w:val="99"/>
    <w:rsid w:val="000D73F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D73F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D73F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D73F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D73F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D73F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D73F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D73F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D73F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D73F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D73F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D73F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D73F4"/>
    <w:rPr>
      <w:sz w:val="14"/>
    </w:rPr>
  </w:style>
  <w:style w:type="paragraph" w:styleId="ListParagraph">
    <w:name w:val="List Paragraph"/>
    <w:basedOn w:val="Normal"/>
    <w:uiPriority w:val="34"/>
    <w:qFormat/>
    <w:rsid w:val="000D73F4"/>
    <w:pPr>
      <w:ind w:left="720"/>
      <w:contextualSpacing/>
    </w:pPr>
  </w:style>
  <w:style w:type="paragraph" w:styleId="NoSpacing">
    <w:name w:val="No Spacing"/>
    <w:uiPriority w:val="1"/>
    <w:rsid w:val="000D73F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D73F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D73F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D73F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D73F4"/>
    <w:pPr>
      <w:tabs>
        <w:tab w:val="right" w:pos="9965"/>
      </w:tabs>
      <w:spacing w:line="210" w:lineRule="exact"/>
    </w:pPr>
    <w:rPr>
      <w:spacing w:val="5"/>
      <w:w w:val="104"/>
      <w:sz w:val="17"/>
    </w:rPr>
  </w:style>
  <w:style w:type="paragraph" w:customStyle="1" w:styleId="SmallX">
    <w:name w:val="SmallX"/>
    <w:basedOn w:val="Small"/>
    <w:next w:val="Normal"/>
    <w:qFormat/>
    <w:rsid w:val="000D73F4"/>
    <w:pPr>
      <w:spacing w:line="180" w:lineRule="exact"/>
      <w:jc w:val="right"/>
    </w:pPr>
    <w:rPr>
      <w:spacing w:val="6"/>
      <w:w w:val="106"/>
      <w:sz w:val="14"/>
    </w:rPr>
  </w:style>
  <w:style w:type="character" w:styleId="Strong">
    <w:name w:val="Strong"/>
    <w:uiPriority w:val="22"/>
    <w:rsid w:val="000D73F4"/>
    <w:rPr>
      <w:b/>
      <w:bCs/>
    </w:rPr>
  </w:style>
  <w:style w:type="paragraph" w:customStyle="1" w:styleId="Style1">
    <w:name w:val="Style1"/>
    <w:basedOn w:val="Normal"/>
    <w:qFormat/>
    <w:rsid w:val="000D73F4"/>
  </w:style>
  <w:style w:type="paragraph" w:customStyle="1" w:styleId="Style2">
    <w:name w:val="Style2"/>
    <w:basedOn w:val="Normal"/>
    <w:autoRedefine/>
    <w:qFormat/>
    <w:rsid w:val="000D73F4"/>
  </w:style>
  <w:style w:type="paragraph" w:customStyle="1" w:styleId="TitleHCH">
    <w:name w:val="Title_H_CH"/>
    <w:basedOn w:val="H1"/>
    <w:next w:val="Normal"/>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D73F4"/>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46A0E"/>
    <w:rPr>
      <w:sz w:val="16"/>
      <w:szCs w:val="16"/>
    </w:rPr>
  </w:style>
  <w:style w:type="paragraph" w:styleId="CommentText">
    <w:name w:val="annotation text"/>
    <w:basedOn w:val="Normal"/>
    <w:link w:val="CommentTextChar"/>
    <w:uiPriority w:val="99"/>
    <w:semiHidden/>
    <w:unhideWhenUsed/>
    <w:rsid w:val="00146A0E"/>
    <w:pPr>
      <w:spacing w:line="240" w:lineRule="auto"/>
    </w:pPr>
    <w:rPr>
      <w:szCs w:val="20"/>
    </w:rPr>
  </w:style>
  <w:style w:type="character" w:customStyle="1" w:styleId="CommentTextChar">
    <w:name w:val="Comment Text Char"/>
    <w:basedOn w:val="DefaultParagraphFont"/>
    <w:link w:val="CommentText"/>
    <w:uiPriority w:val="99"/>
    <w:semiHidden/>
    <w:rsid w:val="00146A0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46A0E"/>
    <w:rPr>
      <w:b/>
      <w:bCs/>
    </w:rPr>
  </w:style>
  <w:style w:type="character" w:customStyle="1" w:styleId="CommentSubjectChar">
    <w:name w:val="Comment Subject Char"/>
    <w:basedOn w:val="CommentTextChar"/>
    <w:link w:val="CommentSubject"/>
    <w:uiPriority w:val="99"/>
    <w:semiHidden/>
    <w:rsid w:val="00146A0E"/>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D25C4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4714"/>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6E448E249974CA99C3C0E91938F3E" ma:contentTypeVersion="11" ma:contentTypeDescription="Create a new document." ma:contentTypeScope="" ma:versionID="9dc8d8e7de03c870a32bbec98419cbf1">
  <xsd:schema xmlns:xsd="http://www.w3.org/2001/XMLSchema" xmlns:xs="http://www.w3.org/2001/XMLSchema" xmlns:p="http://schemas.microsoft.com/office/2006/metadata/properties" xmlns:ns2="41c8501f-7554-4cfe-b76f-88ff51cf7baf" xmlns:ns3="32aca14f-6975-493a-b86a-2ec1bd8de72a" targetNamespace="http://schemas.microsoft.com/office/2006/metadata/properties" ma:root="true" ma:fieldsID="566fb756e850320dc7f4d44697d2beac" ns2:_="" ns3:_="">
    <xsd:import namespace="41c8501f-7554-4cfe-b76f-88ff51cf7baf"/>
    <xsd:import namespace="32aca14f-6975-493a-b86a-2ec1bd8de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8501f-7554-4cfe-b76f-88ff51cf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ca14f-6975-493a-b86a-2ec1bd8de7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46AC5-52C1-40B9-BD32-6C6122C7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8501f-7554-4cfe-b76f-88ff51cf7baf"/>
    <ds:schemaRef ds:uri="32aca14f-6975-493a-b86a-2ec1bd8d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660AC-9360-42D5-9DBD-2F83FB094235}">
  <ds:schemaRefs>
    <ds:schemaRef ds:uri="http://schemas.microsoft.com/sharepoint/v3/contenttype/forms"/>
  </ds:schemaRefs>
</ds:datastoreItem>
</file>

<file path=customXml/itemProps3.xml><?xml version="1.0" encoding="utf-8"?>
<ds:datastoreItem xmlns:ds="http://schemas.openxmlformats.org/officeDocument/2006/customXml" ds:itemID="{B786E00D-3398-4DD7-A695-D99D04EBF60D}">
  <ds:schemaRefs>
    <ds:schemaRef ds:uri="http://purl.org/dc/elements/1.1/"/>
    <ds:schemaRef ds:uri="http://schemas.microsoft.com/office/infopath/2007/PartnerControls"/>
    <ds:schemaRef ds:uri="http://schemas.microsoft.com/office/2006/metadata/properties"/>
    <ds:schemaRef ds:uri="http://purl.org/dc/terms/"/>
    <ds:schemaRef ds:uri="41c8501f-7554-4cfe-b76f-88ff51cf7baf"/>
    <ds:schemaRef ds:uri="http://schemas.microsoft.com/office/2006/documentManagement/types"/>
    <ds:schemaRef ds:uri="http://schemas.openxmlformats.org/package/2006/metadata/core-properties"/>
    <ds:schemaRef ds:uri="32aca14f-6975-493a-b86a-2ec1bd8de7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Judith Nduwimana</cp:lastModifiedBy>
  <cp:revision>3</cp:revision>
  <cp:lastPrinted>2020-06-10T19:16:00Z</cp:lastPrinted>
  <dcterms:created xsi:type="dcterms:W3CDTF">2020-06-10T19:16:00Z</dcterms:created>
  <dcterms:modified xsi:type="dcterms:W3CDTF">2020-06-10T19:16:00Z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2004915F</vt:lpwstr>
  </property>
  <property fmtid="{D5CDD505-2E9C-101B-9397-08002B2CF9AE}" pid="3" name="ODSRefJobNo">
    <vt:lpwstr>2008255F</vt:lpwstr>
  </property>
  <property fmtid="{D5CDD505-2E9C-101B-9397-08002B2CF9AE}" pid="4" name="Symbol1">
    <vt:lpwstr>CEDAW/C/OMN/FCO/2-3</vt:lpwstr>
  </property>
  <property fmtid="{D5CDD505-2E9C-101B-9397-08002B2CF9AE}" pid="5" name="Symbol2">
    <vt:lpwstr/>
  </property>
  <property fmtid="{D5CDD505-2E9C-101B-9397-08002B2CF9AE}" pid="6" name="Translator">
    <vt:lpwstr/>
  </property>
  <property fmtid="{D5CDD505-2E9C-101B-9397-08002B2CF9AE}" pid="7" name="Operator">
    <vt:lpwstr>J</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31 mars 2020</vt:lpwstr>
  </property>
  <property fmtid="{D5CDD505-2E9C-101B-9397-08002B2CF9AE}" pid="14" name="Original">
    <vt:lpwstr>arabe</vt:lpwstr>
  </property>
  <property fmtid="{D5CDD505-2E9C-101B-9397-08002B2CF9AE}" pid="15" name="Release Date">
    <vt:lpwstr>100620</vt:lpwstr>
  </property>
</Properties>
</file>