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DB9C1" w14:textId="466E47B9" w:rsidR="00F16571" w:rsidRPr="00A03848" w:rsidRDefault="00FC32E5">
      <w:pPr>
        <w:spacing w:line="240" w:lineRule="auto"/>
        <w:rPr>
          <w:sz w:val="2"/>
          <w:szCs w:val="2"/>
          <w:lang w:val="es-ES"/>
        </w:rPr>
      </w:pPr>
      <w:bookmarkStart w:id="0" w:name="DocPart1"/>
      <w:r w:rsidRPr="00A03848">
        <w:rPr>
          <w:rStyle w:val="CommentReference"/>
          <w:lang w:val="es-ES"/>
        </w:rPr>
        <w:commentReference w:id="1"/>
      </w:r>
    </w:p>
    <w:p w14:paraId="0FC255A8" w14:textId="77777777" w:rsidR="00FC32E5" w:rsidRPr="00A03848" w:rsidRDefault="00FC32E5" w:rsidP="00FC32E5">
      <w:pPr>
        <w:spacing w:line="20" w:lineRule="exact"/>
        <w:rPr>
          <w:sz w:val="2"/>
          <w:szCs w:val="2"/>
          <w:lang w:val="es-ES"/>
        </w:rPr>
        <w:sectPr w:rsidR="00FC32E5" w:rsidRPr="00A03848" w:rsidSect="00B11E0C">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195" w:bottom="1152" w:left="1195" w:header="432" w:footer="504" w:gutter="0"/>
          <w:pgNumType w:start="1"/>
          <w:cols w:space="720"/>
          <w:noEndnote/>
          <w:titlePg/>
          <w:docGrid w:linePitch="278"/>
        </w:sectPr>
      </w:pPr>
    </w:p>
    <w:p w14:paraId="0ADBFEC7" w14:textId="77777777" w:rsidR="00F16571" w:rsidRPr="00A03848" w:rsidRDefault="00F16571" w:rsidP="00503E52">
      <w:pPr>
        <w:pStyle w:val="H1"/>
        <w:tabs>
          <w:tab w:val="clear" w:pos="1267"/>
        </w:tabs>
        <w:ind w:left="0" w:right="4320" w:firstLine="0"/>
        <w:rPr>
          <w:bCs w:val="0"/>
          <w:szCs w:val="20"/>
          <w:lang w:val="es-ES" w:eastAsia="en-US"/>
        </w:rPr>
      </w:pPr>
      <w:bookmarkStart w:id="2" w:name="Excluded_Text_1"/>
      <w:r w:rsidRPr="00A03848">
        <w:rPr>
          <w:bCs w:val="0"/>
          <w:szCs w:val="20"/>
          <w:lang w:val="es-ES" w:eastAsia="en-US"/>
        </w:rPr>
        <w:t>Comité para la Eliminación de la Discriminación</w:t>
      </w:r>
      <w:r w:rsidR="00503E52" w:rsidRPr="00A03848">
        <w:rPr>
          <w:bCs w:val="0"/>
          <w:szCs w:val="20"/>
          <w:lang w:val="es-ES" w:eastAsia="en-US"/>
        </w:rPr>
        <w:t xml:space="preserve"> </w:t>
      </w:r>
      <w:r w:rsidRPr="00A03848">
        <w:rPr>
          <w:bCs w:val="0"/>
          <w:szCs w:val="20"/>
          <w:lang w:val="es-ES" w:eastAsia="en-US"/>
        </w:rPr>
        <w:t>contra la Mujer</w:t>
      </w:r>
    </w:p>
    <w:p w14:paraId="34C9CDB8" w14:textId="77777777" w:rsidR="00F16571" w:rsidRPr="00A03848" w:rsidRDefault="00F16571">
      <w:pPr>
        <w:pStyle w:val="SingleTxt"/>
        <w:spacing w:after="0" w:line="120" w:lineRule="exact"/>
        <w:rPr>
          <w:sz w:val="10"/>
          <w:szCs w:val="10"/>
          <w:lang w:val="es-ES"/>
        </w:rPr>
      </w:pPr>
    </w:p>
    <w:p w14:paraId="3CE5D2E0" w14:textId="77777777" w:rsidR="00F16571" w:rsidRPr="00A03848" w:rsidRDefault="00F16571">
      <w:pPr>
        <w:pStyle w:val="SingleTxt"/>
        <w:spacing w:after="0" w:line="120" w:lineRule="exact"/>
        <w:rPr>
          <w:sz w:val="10"/>
          <w:szCs w:val="10"/>
          <w:lang w:val="es-ES"/>
        </w:rPr>
      </w:pPr>
    </w:p>
    <w:p w14:paraId="57D7BCB5" w14:textId="77777777" w:rsidR="00352A6C" w:rsidRPr="00A03848" w:rsidRDefault="00352A6C">
      <w:pPr>
        <w:pStyle w:val="SingleTxt"/>
        <w:spacing w:after="0" w:line="120" w:lineRule="exact"/>
        <w:rPr>
          <w:sz w:val="10"/>
          <w:szCs w:val="10"/>
          <w:lang w:val="es-ES"/>
        </w:rPr>
      </w:pPr>
    </w:p>
    <w:p w14:paraId="0A6F43B9" w14:textId="29BAB5D4" w:rsidR="00181342" w:rsidRPr="00A03848" w:rsidRDefault="00181342" w:rsidP="00946F2A">
      <w:pPr>
        <w:pStyle w:val="TitleH1"/>
        <w:ind w:right="2200"/>
        <w:rPr>
          <w:lang w:val="es-ES" w:eastAsia="en-US"/>
        </w:rPr>
      </w:pPr>
      <w:r w:rsidRPr="00A03848">
        <w:rPr>
          <w:lang w:val="es-ES" w:eastAsia="en-US"/>
        </w:rPr>
        <w:tab/>
      </w:r>
      <w:r w:rsidRPr="00A03848">
        <w:rPr>
          <w:lang w:val="es-ES" w:eastAsia="en-US"/>
        </w:rPr>
        <w:tab/>
      </w:r>
      <w:r w:rsidR="00C00873" w:rsidRPr="00A03848">
        <w:rPr>
          <w:lang w:val="es-ES" w:eastAsia="en-US"/>
        </w:rPr>
        <w:t>Octavo informe periódico presentado por el Reino Unido de</w:t>
      </w:r>
      <w:r w:rsidR="00233A1A" w:rsidRPr="00A03848">
        <w:rPr>
          <w:lang w:val="es-ES" w:eastAsia="en-US"/>
        </w:rPr>
        <w:t xml:space="preserve"> </w:t>
      </w:r>
      <w:r w:rsidR="00C00873" w:rsidRPr="00A03848">
        <w:rPr>
          <w:lang w:val="es-ES" w:eastAsia="en-US"/>
        </w:rPr>
        <w:t>Gran Bretaña e Irlanda del Norte en virtud del artículo 18 de la Convención, que debía presentar en 2017</w:t>
      </w:r>
      <w:r w:rsidRPr="00A03848">
        <w:rPr>
          <w:lang w:val="es-ES" w:eastAsia="en-US"/>
        </w:rPr>
        <w:t>*</w:t>
      </w:r>
    </w:p>
    <w:p w14:paraId="6985CD1F" w14:textId="77777777" w:rsidR="00181342" w:rsidRPr="00A03848" w:rsidRDefault="00181342" w:rsidP="009979B6">
      <w:pPr>
        <w:pStyle w:val="SingleTxt"/>
        <w:spacing w:after="0" w:line="120" w:lineRule="exact"/>
        <w:rPr>
          <w:sz w:val="10"/>
          <w:szCs w:val="10"/>
          <w:lang w:val="es-ES"/>
        </w:rPr>
      </w:pPr>
    </w:p>
    <w:p w14:paraId="4D1B11F3" w14:textId="77777777" w:rsidR="00181342" w:rsidRPr="00A03848" w:rsidRDefault="00181342" w:rsidP="009979B6">
      <w:pPr>
        <w:pStyle w:val="SingleTxt"/>
        <w:spacing w:after="0" w:line="120" w:lineRule="exact"/>
        <w:rPr>
          <w:sz w:val="10"/>
          <w:szCs w:val="10"/>
          <w:lang w:val="es-ES"/>
        </w:rPr>
      </w:pPr>
    </w:p>
    <w:p w14:paraId="228C8280" w14:textId="77777777" w:rsidR="009B4B38" w:rsidRPr="00A03848" w:rsidRDefault="009B4B38" w:rsidP="009B4B38">
      <w:pPr>
        <w:framePr w:w="9792" w:h="432" w:hSpace="180" w:wrap="around" w:vAnchor="page" w:hAnchor="page" w:x="1210" w:y="14041"/>
        <w:spacing w:line="240" w:lineRule="auto"/>
        <w:rPr>
          <w:sz w:val="10"/>
          <w:lang w:val="es-ES"/>
        </w:rPr>
      </w:pPr>
    </w:p>
    <w:p w14:paraId="03773F92" w14:textId="402F60C6" w:rsidR="009B4B38" w:rsidRPr="00A03848" w:rsidRDefault="009B4B38" w:rsidP="009B4B38">
      <w:pPr>
        <w:framePr w:w="9792" w:h="432" w:hSpace="180" w:wrap="around" w:vAnchor="page" w:hAnchor="page" w:x="1210" w:y="14041"/>
        <w:spacing w:line="240" w:lineRule="auto"/>
        <w:rPr>
          <w:sz w:val="6"/>
          <w:lang w:val="es-ES"/>
        </w:rPr>
      </w:pPr>
    </w:p>
    <w:p w14:paraId="10CE7A11" w14:textId="7ADE3D89" w:rsidR="0011638B" w:rsidRPr="00A03848" w:rsidRDefault="0011638B" w:rsidP="0011638B">
      <w:pPr>
        <w:framePr w:w="9792" w:h="432" w:hSpace="180" w:wrap="around" w:vAnchor="page" w:hAnchor="page" w:x="1210" w:y="14041"/>
        <w:tabs>
          <w:tab w:val="right" w:pos="1195"/>
          <w:tab w:val="left" w:pos="1260"/>
          <w:tab w:val="left" w:pos="1575"/>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457"/>
        <w:rPr>
          <w:sz w:val="17"/>
          <w:lang w:val="es-ES"/>
        </w:rPr>
      </w:pPr>
      <w:bookmarkStart w:id="3" w:name="footnoteBookmark_31"/>
      <w:r w:rsidRPr="00A03848">
        <w:rPr>
          <w:i/>
          <w:sz w:val="17"/>
          <w:lang w:val="es-ES"/>
        </w:rPr>
        <w:tab/>
      </w:r>
      <w:r w:rsidR="00233A1A" w:rsidRPr="00A03848">
        <w:rPr>
          <w:i/>
          <w:sz w:val="17"/>
          <w:lang w:val="es-ES"/>
        </w:rPr>
        <w:tab/>
      </w:r>
      <w:r w:rsidRPr="00A03848">
        <w:rPr>
          <w:i/>
          <w:sz w:val="17"/>
          <w:lang w:val="es-ES"/>
        </w:rPr>
        <w:t>Nota:</w:t>
      </w:r>
      <w:r w:rsidR="00233A1A" w:rsidRPr="00A03848">
        <w:rPr>
          <w:i/>
          <w:sz w:val="17"/>
          <w:lang w:val="es-ES"/>
        </w:rPr>
        <w:t xml:space="preserve"> </w:t>
      </w:r>
      <w:r w:rsidRPr="00A03848">
        <w:rPr>
          <w:sz w:val="17"/>
          <w:lang w:val="es-ES"/>
        </w:rPr>
        <w:t>El presente documento se distribuye únicamente en español, francés e inglés.</w:t>
      </w:r>
      <w:bookmarkEnd w:id="3"/>
    </w:p>
    <w:p w14:paraId="5C2D903A" w14:textId="77777777" w:rsidR="009B4B38" w:rsidRPr="00A03848" w:rsidRDefault="009B4B38" w:rsidP="008F5D1B">
      <w:pPr>
        <w:framePr w:w="9792" w:h="432" w:hSpace="180" w:wrap="around" w:vAnchor="page" w:hAnchor="page" w:x="1210" w:y="14041"/>
        <w:tabs>
          <w:tab w:val="right" w:pos="1195"/>
          <w:tab w:val="left" w:pos="126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lang w:val="es-ES" w:eastAsia="en-US"/>
        </w:rPr>
      </w:pPr>
      <w:r w:rsidRPr="00A03848">
        <w:rPr>
          <w:sz w:val="17"/>
          <w:lang w:val="es-ES" w:eastAsia="en-US"/>
        </w:rPr>
        <w:tab/>
        <w:t>*</w:t>
      </w:r>
      <w:r w:rsidRPr="00A03848">
        <w:rPr>
          <w:sz w:val="17"/>
          <w:lang w:val="es-ES" w:eastAsia="en-US"/>
        </w:rPr>
        <w:tab/>
      </w:r>
      <w:r w:rsidR="0011638B" w:rsidRPr="00A03848">
        <w:rPr>
          <w:sz w:val="17"/>
          <w:lang w:val="es-ES" w:eastAsia="en-US"/>
        </w:rPr>
        <w:t>El presente documento se publica sin revisión editorial.</w:t>
      </w:r>
    </w:p>
    <w:p w14:paraId="5B02E7CC" w14:textId="77777777" w:rsidR="00505055" w:rsidRPr="00A03848" w:rsidRDefault="00833093" w:rsidP="00833093">
      <w:pPr>
        <w:pStyle w:val="SingleTxt"/>
        <w:jc w:val="right"/>
        <w:rPr>
          <w:szCs w:val="22"/>
          <w:lang w:val="es-ES" w:eastAsia="en-US"/>
        </w:rPr>
      </w:pPr>
      <w:bookmarkStart w:id="4" w:name="bookmark_14"/>
      <w:r w:rsidRPr="00A03848">
        <w:rPr>
          <w:szCs w:val="22"/>
          <w:lang w:val="es-ES" w:eastAsia="en-US"/>
        </w:rPr>
        <w:t>[Fecha de recepción: 16 de noviembre de 2017]</w:t>
      </w:r>
    </w:p>
    <w:p w14:paraId="19835813" w14:textId="74A06A7C" w:rsidR="0011638B" w:rsidRPr="00A03848" w:rsidRDefault="00233A1A">
      <w:pPr>
        <w:suppressAutoHyphens w:val="0"/>
        <w:spacing w:line="240" w:lineRule="auto"/>
        <w:rPr>
          <w:szCs w:val="22"/>
          <w:lang w:val="es-ES" w:eastAsia="en-US"/>
        </w:rPr>
      </w:pPr>
      <w:r w:rsidRPr="00A03848">
        <w:rPr>
          <w:noProof/>
          <w:w w:val="100"/>
          <w:lang w:val="es-ES" w:eastAsia="zh-CN"/>
        </w:rPr>
        <mc:AlternateContent>
          <mc:Choice Requires="wps">
            <w:drawing>
              <wp:anchor distT="4294967291" distB="4294967291" distL="114300" distR="114300" simplePos="0" relativeHeight="251663872" behindDoc="0" locked="0" layoutInCell="1" allowOverlap="1" wp14:anchorId="3B70585D" wp14:editId="3677D641">
                <wp:simplePos x="0" y="0"/>
                <wp:positionH relativeFrom="page">
                  <wp:posOffset>1328420</wp:posOffset>
                </wp:positionH>
                <wp:positionV relativeFrom="paragraph">
                  <wp:posOffset>4808855</wp:posOffset>
                </wp:positionV>
                <wp:extent cx="914400" cy="0"/>
                <wp:effectExtent l="0" t="0" r="19050"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97B756" id="Straight Connector 6" o:spid="_x0000_s1026" style="position:absolute;z-index:251663872;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 from="104.6pt,378.65pt" to="176.6pt,3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" strokecolor="#010000" strokeweight=".25pt">
                <o:lock v:ext="edit" shapetype="f"/>
                <w10:wrap anchorx="page"/>
              </v:line>
            </w:pict>
          </mc:Fallback>
        </mc:AlternateContent>
      </w:r>
      <w:r w:rsidR="0011638B" w:rsidRPr="00A03848">
        <w:rPr>
          <w:szCs w:val="22"/>
          <w:lang w:val="es-ES" w:eastAsia="en-US"/>
        </w:rPr>
        <w:br w:type="page"/>
      </w:r>
    </w:p>
    <w:p w14:paraId="5ED69802" w14:textId="77777777" w:rsidR="0011638B" w:rsidRPr="00A03848" w:rsidRDefault="0011638B" w:rsidP="0011638B">
      <w:pPr>
        <w:pStyle w:val="HCh"/>
        <w:spacing w:after="120"/>
        <w:rPr>
          <w:b w:val="0"/>
          <w:lang w:val="es-ES"/>
        </w:rPr>
      </w:pPr>
      <w:r w:rsidRPr="00A03848">
        <w:rPr>
          <w:b w:val="0"/>
          <w:bCs w:val="0"/>
          <w:lang w:val="es-ES"/>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11638B" w:rsidRPr="00A03848" w14:paraId="66C2384A" w14:textId="77777777" w:rsidTr="0011638B">
        <w:tc>
          <w:tcPr>
            <w:tcW w:w="1060" w:type="dxa"/>
          </w:tcPr>
          <w:p w14:paraId="69926D06" w14:textId="77777777" w:rsidR="0011638B" w:rsidRPr="00A03848" w:rsidRDefault="0011638B" w:rsidP="0011638B">
            <w:pPr>
              <w:spacing w:after="120" w:line="240" w:lineRule="auto"/>
              <w:jc w:val="right"/>
              <w:rPr>
                <w:i/>
                <w:sz w:val="14"/>
                <w:lang w:val="es-ES"/>
              </w:rPr>
            </w:pPr>
          </w:p>
        </w:tc>
        <w:tc>
          <w:tcPr>
            <w:tcW w:w="7315" w:type="dxa"/>
          </w:tcPr>
          <w:p w14:paraId="316D7964" w14:textId="77777777" w:rsidR="0011638B" w:rsidRPr="00A03848" w:rsidRDefault="0011638B" w:rsidP="0011638B">
            <w:pPr>
              <w:spacing w:after="120" w:line="240" w:lineRule="auto"/>
              <w:rPr>
                <w:i/>
                <w:sz w:val="14"/>
                <w:lang w:val="es-ES"/>
              </w:rPr>
            </w:pPr>
          </w:p>
        </w:tc>
        <w:tc>
          <w:tcPr>
            <w:tcW w:w="994" w:type="dxa"/>
          </w:tcPr>
          <w:p w14:paraId="4FD6AE9E" w14:textId="77777777" w:rsidR="0011638B" w:rsidRPr="00A03848" w:rsidRDefault="0011638B" w:rsidP="0011638B">
            <w:pPr>
              <w:spacing w:after="120" w:line="240" w:lineRule="auto"/>
              <w:jc w:val="right"/>
              <w:rPr>
                <w:i/>
                <w:sz w:val="14"/>
                <w:lang w:val="es-ES"/>
              </w:rPr>
            </w:pPr>
          </w:p>
        </w:tc>
        <w:tc>
          <w:tcPr>
            <w:tcW w:w="533" w:type="dxa"/>
          </w:tcPr>
          <w:p w14:paraId="79F5D390" w14:textId="77777777" w:rsidR="0011638B" w:rsidRPr="00A03848" w:rsidRDefault="0011638B" w:rsidP="0011638B">
            <w:pPr>
              <w:spacing w:after="120" w:line="240" w:lineRule="auto"/>
              <w:jc w:val="right"/>
              <w:rPr>
                <w:i/>
                <w:sz w:val="14"/>
                <w:lang w:val="es-ES"/>
              </w:rPr>
            </w:pPr>
            <w:r w:rsidRPr="00A03848">
              <w:rPr>
                <w:i/>
                <w:sz w:val="14"/>
                <w:lang w:val="es-ES"/>
              </w:rPr>
              <w:t>Página</w:t>
            </w:r>
          </w:p>
        </w:tc>
      </w:tr>
      <w:tr w:rsidR="0011638B" w:rsidRPr="00A03848" w14:paraId="46720C76" w14:textId="77777777" w:rsidTr="0011638B">
        <w:tc>
          <w:tcPr>
            <w:tcW w:w="9369" w:type="dxa"/>
            <w:gridSpan w:val="3"/>
          </w:tcPr>
          <w:p w14:paraId="43F66E30" w14:textId="77777777" w:rsidR="0011638B" w:rsidRPr="00A03848" w:rsidRDefault="0011638B" w:rsidP="0011638B">
            <w:pPr>
              <w:tabs>
                <w:tab w:val="right" w:pos="1080"/>
                <w:tab w:val="left" w:pos="1296"/>
                <w:tab w:val="left" w:pos="1728"/>
                <w:tab w:val="right" w:leader="dot" w:pos="9360"/>
              </w:tabs>
              <w:spacing w:after="120"/>
              <w:ind w:left="1296"/>
              <w:rPr>
                <w:lang w:val="es-ES" w:eastAsia="en-US"/>
              </w:rPr>
            </w:pPr>
            <w:r w:rsidRPr="00A03848">
              <w:rPr>
                <w:lang w:val="es-ES" w:eastAsia="en-US"/>
              </w:rPr>
              <w:t xml:space="preserve">Artículos 1 a 4. Enfoque del Reino Unido para hacer frente a la discriminación y promover </w:t>
            </w:r>
            <w:r w:rsidR="00C01F60" w:rsidRPr="00A03848">
              <w:rPr>
                <w:lang w:val="es-ES" w:eastAsia="en-US"/>
              </w:rPr>
              <w:br/>
            </w:r>
            <w:r w:rsidRPr="00A03848">
              <w:rPr>
                <w:lang w:val="es-ES" w:eastAsia="en-US"/>
              </w:rPr>
              <w:t>la igualdad de género</w:t>
            </w:r>
            <w:r w:rsidRPr="00A03848">
              <w:rPr>
                <w:spacing w:val="60"/>
                <w:sz w:val="17"/>
                <w:lang w:val="es-ES"/>
              </w:rPr>
              <w:tab/>
            </w:r>
          </w:p>
        </w:tc>
        <w:tc>
          <w:tcPr>
            <w:tcW w:w="533" w:type="dxa"/>
            <w:vAlign w:val="bottom"/>
          </w:tcPr>
          <w:p w14:paraId="5FEDF237" w14:textId="13A2C79F" w:rsidR="0011638B" w:rsidRPr="00A03848" w:rsidRDefault="00405E45" w:rsidP="0011638B">
            <w:pPr>
              <w:spacing w:after="120"/>
              <w:jc w:val="right"/>
              <w:rPr>
                <w:lang w:val="es-ES"/>
              </w:rPr>
            </w:pPr>
            <w:r w:rsidRPr="00A03848">
              <w:rPr>
                <w:lang w:val="es-ES"/>
              </w:rPr>
              <w:t>4</w:t>
            </w:r>
          </w:p>
        </w:tc>
      </w:tr>
      <w:tr w:rsidR="0011638B" w:rsidRPr="00A03848" w14:paraId="743DD17E" w14:textId="77777777" w:rsidTr="0011638B">
        <w:tc>
          <w:tcPr>
            <w:tcW w:w="9369" w:type="dxa"/>
            <w:gridSpan w:val="3"/>
          </w:tcPr>
          <w:p w14:paraId="2054D499" w14:textId="77777777" w:rsidR="0011638B" w:rsidRPr="00A03848" w:rsidRDefault="0011638B" w:rsidP="0011638B">
            <w:pPr>
              <w:tabs>
                <w:tab w:val="right" w:pos="1080"/>
                <w:tab w:val="left" w:pos="1296"/>
                <w:tab w:val="left" w:pos="1728"/>
                <w:tab w:val="right" w:leader="dot" w:pos="9360"/>
              </w:tabs>
              <w:spacing w:after="120"/>
              <w:ind w:left="1296"/>
              <w:rPr>
                <w:lang w:val="es-ES" w:eastAsia="en-US"/>
              </w:rPr>
            </w:pPr>
            <w:r w:rsidRPr="00A03848">
              <w:rPr>
                <w:lang w:val="es-ES" w:eastAsia="en-US"/>
              </w:rPr>
              <w:t>Artículo 6. Explotación de la mujer</w:t>
            </w:r>
            <w:r w:rsidRPr="00A03848">
              <w:rPr>
                <w:spacing w:val="60"/>
                <w:sz w:val="17"/>
                <w:lang w:val="es-ES"/>
              </w:rPr>
              <w:tab/>
            </w:r>
          </w:p>
        </w:tc>
        <w:tc>
          <w:tcPr>
            <w:tcW w:w="533" w:type="dxa"/>
            <w:vAlign w:val="bottom"/>
          </w:tcPr>
          <w:p w14:paraId="716CC13A" w14:textId="2CB3999C" w:rsidR="0011638B" w:rsidRPr="00A03848" w:rsidRDefault="00405E45" w:rsidP="0011638B">
            <w:pPr>
              <w:spacing w:after="120"/>
              <w:jc w:val="right"/>
              <w:rPr>
                <w:lang w:val="es-ES"/>
              </w:rPr>
            </w:pPr>
            <w:r w:rsidRPr="00A03848">
              <w:rPr>
                <w:lang w:val="es-ES"/>
              </w:rPr>
              <w:t>12</w:t>
            </w:r>
          </w:p>
        </w:tc>
      </w:tr>
      <w:tr w:rsidR="0011638B" w:rsidRPr="00A03848" w14:paraId="1A9C1F58" w14:textId="77777777" w:rsidTr="0011638B">
        <w:tc>
          <w:tcPr>
            <w:tcW w:w="9369" w:type="dxa"/>
            <w:gridSpan w:val="3"/>
          </w:tcPr>
          <w:p w14:paraId="029ABFB2" w14:textId="77777777" w:rsidR="0011638B" w:rsidRPr="00A03848" w:rsidRDefault="0011638B" w:rsidP="0011638B">
            <w:pPr>
              <w:tabs>
                <w:tab w:val="right" w:pos="1080"/>
                <w:tab w:val="left" w:pos="1296"/>
                <w:tab w:val="left" w:pos="1728"/>
                <w:tab w:val="right" w:leader="dot" w:pos="9360"/>
              </w:tabs>
              <w:spacing w:after="120"/>
              <w:ind w:left="1296"/>
              <w:rPr>
                <w:lang w:val="es-ES" w:eastAsia="en-US"/>
              </w:rPr>
            </w:pPr>
            <w:r w:rsidRPr="00A03848">
              <w:rPr>
                <w:lang w:val="es-ES" w:eastAsia="en-US"/>
              </w:rPr>
              <w:t>Artículo 7. Representación de la mujer en la vida política y pública</w:t>
            </w:r>
            <w:r w:rsidRPr="00A03848">
              <w:rPr>
                <w:spacing w:val="60"/>
                <w:sz w:val="17"/>
                <w:lang w:val="es-ES"/>
              </w:rPr>
              <w:tab/>
            </w:r>
          </w:p>
        </w:tc>
        <w:tc>
          <w:tcPr>
            <w:tcW w:w="533" w:type="dxa"/>
            <w:vAlign w:val="bottom"/>
          </w:tcPr>
          <w:p w14:paraId="05B8B8F4" w14:textId="3A568DA4" w:rsidR="0011638B" w:rsidRPr="00A03848" w:rsidRDefault="00BA0013" w:rsidP="0011638B">
            <w:pPr>
              <w:spacing w:after="120"/>
              <w:jc w:val="right"/>
              <w:rPr>
                <w:lang w:val="es-ES"/>
              </w:rPr>
            </w:pPr>
            <w:r w:rsidRPr="00A03848">
              <w:rPr>
                <w:lang w:val="es-ES"/>
              </w:rPr>
              <w:t>17</w:t>
            </w:r>
          </w:p>
        </w:tc>
      </w:tr>
      <w:tr w:rsidR="00BA0013" w:rsidRPr="00A03848" w14:paraId="67AF94AF" w14:textId="77777777" w:rsidTr="0011638B">
        <w:tc>
          <w:tcPr>
            <w:tcW w:w="9369" w:type="dxa"/>
            <w:gridSpan w:val="3"/>
          </w:tcPr>
          <w:p w14:paraId="7D05C376" w14:textId="1D374578" w:rsidR="00BA0013" w:rsidRPr="00A03848" w:rsidRDefault="00BA0013" w:rsidP="00BA0013">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ind w:left="1296"/>
              <w:rPr>
                <w:spacing w:val="60"/>
                <w:sz w:val="17"/>
                <w:lang w:val="es-ES" w:eastAsia="en-US"/>
              </w:rPr>
            </w:pPr>
            <w:r w:rsidRPr="00A03848">
              <w:rPr>
                <w:bCs/>
                <w:lang w:val="es-ES" w:eastAsia="en-US"/>
              </w:rPr>
              <w:t>Artículo 8. Las mujeres como representantes internacionales</w:t>
            </w:r>
            <w:r w:rsidRPr="00A03848">
              <w:rPr>
                <w:bCs/>
                <w:spacing w:val="60"/>
                <w:sz w:val="17"/>
                <w:lang w:val="es-ES" w:eastAsia="en-US"/>
              </w:rPr>
              <w:tab/>
            </w:r>
          </w:p>
        </w:tc>
        <w:tc>
          <w:tcPr>
            <w:tcW w:w="533" w:type="dxa"/>
            <w:vAlign w:val="bottom"/>
          </w:tcPr>
          <w:p w14:paraId="61287223" w14:textId="5EAEF166" w:rsidR="00BA0013" w:rsidRPr="00A03848" w:rsidRDefault="00BA0013" w:rsidP="0011638B">
            <w:pPr>
              <w:spacing w:after="120"/>
              <w:jc w:val="right"/>
              <w:rPr>
                <w:lang w:val="es-ES"/>
              </w:rPr>
            </w:pPr>
            <w:r w:rsidRPr="00A03848">
              <w:rPr>
                <w:lang w:val="es-ES"/>
              </w:rPr>
              <w:t>21</w:t>
            </w:r>
          </w:p>
        </w:tc>
      </w:tr>
      <w:tr w:rsidR="0011638B" w:rsidRPr="00A03848" w14:paraId="24653C20" w14:textId="77777777" w:rsidTr="0011638B">
        <w:tc>
          <w:tcPr>
            <w:tcW w:w="9369" w:type="dxa"/>
            <w:gridSpan w:val="3"/>
          </w:tcPr>
          <w:p w14:paraId="726B2E00" w14:textId="77777777" w:rsidR="0011638B" w:rsidRPr="00A03848" w:rsidRDefault="0011638B" w:rsidP="0011638B">
            <w:pPr>
              <w:tabs>
                <w:tab w:val="right" w:pos="1080"/>
                <w:tab w:val="left" w:pos="1296"/>
                <w:tab w:val="left" w:pos="1728"/>
                <w:tab w:val="right" w:leader="dot" w:pos="9360"/>
              </w:tabs>
              <w:spacing w:after="120"/>
              <w:ind w:left="1296"/>
              <w:rPr>
                <w:lang w:val="es-ES" w:eastAsia="en-US"/>
              </w:rPr>
            </w:pPr>
            <w:r w:rsidRPr="00A03848">
              <w:rPr>
                <w:lang w:val="es-ES" w:eastAsia="en-US"/>
              </w:rPr>
              <w:t>Artículo 9. Nacionalidad</w:t>
            </w:r>
            <w:r w:rsidRPr="00A03848">
              <w:rPr>
                <w:spacing w:val="60"/>
                <w:sz w:val="17"/>
                <w:lang w:val="es-ES"/>
              </w:rPr>
              <w:tab/>
            </w:r>
          </w:p>
        </w:tc>
        <w:tc>
          <w:tcPr>
            <w:tcW w:w="533" w:type="dxa"/>
            <w:vAlign w:val="bottom"/>
          </w:tcPr>
          <w:p w14:paraId="14D0AC0D" w14:textId="2EAF2281" w:rsidR="0011638B" w:rsidRPr="00A03848" w:rsidRDefault="00BA0013" w:rsidP="0011638B">
            <w:pPr>
              <w:spacing w:after="120"/>
              <w:jc w:val="right"/>
              <w:rPr>
                <w:lang w:val="es-ES"/>
              </w:rPr>
            </w:pPr>
            <w:r w:rsidRPr="00A03848">
              <w:rPr>
                <w:lang w:val="es-ES"/>
              </w:rPr>
              <w:t>22</w:t>
            </w:r>
          </w:p>
        </w:tc>
      </w:tr>
      <w:tr w:rsidR="0011638B" w:rsidRPr="00A03848" w14:paraId="180C24C2" w14:textId="77777777" w:rsidTr="0011638B">
        <w:tc>
          <w:tcPr>
            <w:tcW w:w="9369" w:type="dxa"/>
            <w:gridSpan w:val="3"/>
          </w:tcPr>
          <w:p w14:paraId="5AC06373" w14:textId="77777777" w:rsidR="0011638B" w:rsidRPr="00A03848" w:rsidRDefault="0011638B" w:rsidP="0011638B">
            <w:pPr>
              <w:tabs>
                <w:tab w:val="right" w:pos="1080"/>
                <w:tab w:val="left" w:pos="1296"/>
                <w:tab w:val="left" w:pos="1728"/>
                <w:tab w:val="right" w:leader="dot" w:pos="9360"/>
              </w:tabs>
              <w:spacing w:after="120"/>
              <w:ind w:left="1296"/>
              <w:rPr>
                <w:lang w:val="es-ES" w:eastAsia="en-US"/>
              </w:rPr>
            </w:pPr>
            <w:r w:rsidRPr="00A03848">
              <w:rPr>
                <w:lang w:val="es-ES" w:eastAsia="en-US"/>
              </w:rPr>
              <w:t>Artículo 10. Educación</w:t>
            </w:r>
            <w:r w:rsidRPr="00A03848">
              <w:rPr>
                <w:spacing w:val="60"/>
                <w:sz w:val="17"/>
                <w:lang w:val="es-ES"/>
              </w:rPr>
              <w:tab/>
            </w:r>
          </w:p>
        </w:tc>
        <w:tc>
          <w:tcPr>
            <w:tcW w:w="533" w:type="dxa"/>
            <w:vAlign w:val="bottom"/>
          </w:tcPr>
          <w:p w14:paraId="21B42C17" w14:textId="6A3DF185" w:rsidR="0011638B" w:rsidRPr="00A03848" w:rsidRDefault="00BA0013" w:rsidP="0011638B">
            <w:pPr>
              <w:spacing w:after="120"/>
              <w:jc w:val="right"/>
              <w:rPr>
                <w:lang w:val="es-ES"/>
              </w:rPr>
            </w:pPr>
            <w:r w:rsidRPr="00A03848">
              <w:rPr>
                <w:lang w:val="es-ES"/>
              </w:rPr>
              <w:t>24</w:t>
            </w:r>
          </w:p>
        </w:tc>
      </w:tr>
      <w:tr w:rsidR="00BA0013" w:rsidRPr="00A03848" w14:paraId="38B01A5B" w14:textId="77777777" w:rsidTr="0011638B">
        <w:tc>
          <w:tcPr>
            <w:tcW w:w="9369" w:type="dxa"/>
            <w:gridSpan w:val="3"/>
          </w:tcPr>
          <w:p w14:paraId="0EEA5EF6" w14:textId="51C6377A" w:rsidR="00BA0013" w:rsidRPr="00A03848" w:rsidRDefault="00BA0013" w:rsidP="00BA0013">
            <w:pPr>
              <w:tabs>
                <w:tab w:val="right" w:pos="1080"/>
                <w:tab w:val="left" w:pos="1300"/>
                <w:tab w:val="left" w:pos="1740"/>
                <w:tab w:val="left" w:pos="2180"/>
                <w:tab w:val="left" w:pos="2620"/>
                <w:tab w:val="right" w:leader="dot" w:pos="9245"/>
              </w:tabs>
              <w:spacing w:after="120"/>
              <w:ind w:left="1296"/>
              <w:rPr>
                <w:spacing w:val="60"/>
                <w:sz w:val="17"/>
                <w:lang w:val="es-ES" w:eastAsia="en-US"/>
              </w:rPr>
            </w:pPr>
            <w:r w:rsidRPr="00A03848">
              <w:rPr>
                <w:bCs/>
                <w:lang w:val="es-ES" w:eastAsia="en-US"/>
              </w:rPr>
              <w:t>Artículo 11. Empleo</w:t>
            </w:r>
            <w:r w:rsidRPr="00A03848">
              <w:rPr>
                <w:bCs/>
                <w:spacing w:val="60"/>
                <w:sz w:val="17"/>
                <w:lang w:val="es-ES" w:eastAsia="en-US"/>
              </w:rPr>
              <w:tab/>
            </w:r>
          </w:p>
        </w:tc>
        <w:tc>
          <w:tcPr>
            <w:tcW w:w="533" w:type="dxa"/>
            <w:vAlign w:val="bottom"/>
          </w:tcPr>
          <w:p w14:paraId="5049C24E" w14:textId="6FF46B8B" w:rsidR="00BA0013" w:rsidRPr="00A03848" w:rsidRDefault="00BA0013" w:rsidP="0011638B">
            <w:pPr>
              <w:spacing w:after="120"/>
              <w:jc w:val="right"/>
              <w:rPr>
                <w:lang w:val="es-ES"/>
              </w:rPr>
            </w:pPr>
            <w:r w:rsidRPr="00A03848">
              <w:rPr>
                <w:lang w:val="es-ES"/>
              </w:rPr>
              <w:t>26</w:t>
            </w:r>
          </w:p>
        </w:tc>
      </w:tr>
      <w:tr w:rsidR="00BA0013" w:rsidRPr="00A03848" w14:paraId="61B8E716" w14:textId="77777777" w:rsidTr="0011638B">
        <w:tc>
          <w:tcPr>
            <w:tcW w:w="9369" w:type="dxa"/>
            <w:gridSpan w:val="3"/>
          </w:tcPr>
          <w:p w14:paraId="66DA7B8F" w14:textId="25C286B6" w:rsidR="00BA0013" w:rsidRPr="00A03848" w:rsidRDefault="00BA0013" w:rsidP="00BA0013">
            <w:pPr>
              <w:tabs>
                <w:tab w:val="right" w:pos="1080"/>
                <w:tab w:val="left" w:pos="1300"/>
                <w:tab w:val="left" w:pos="1740"/>
                <w:tab w:val="left" w:pos="2180"/>
                <w:tab w:val="left" w:pos="2620"/>
                <w:tab w:val="left" w:pos="3060"/>
                <w:tab w:val="left" w:pos="3500"/>
                <w:tab w:val="left" w:pos="3940"/>
                <w:tab w:val="right" w:leader="dot" w:pos="9245"/>
              </w:tabs>
              <w:spacing w:after="120"/>
              <w:ind w:left="1296"/>
              <w:rPr>
                <w:bCs/>
                <w:spacing w:val="60"/>
                <w:sz w:val="17"/>
                <w:lang w:val="es-ES" w:eastAsia="en-US"/>
              </w:rPr>
            </w:pPr>
            <w:r w:rsidRPr="00A03848">
              <w:rPr>
                <w:bCs/>
                <w:lang w:val="es-ES" w:eastAsia="en-US"/>
              </w:rPr>
              <w:t>Artículo 12. Salud de las mujeres</w:t>
            </w:r>
            <w:r w:rsidRPr="00A03848">
              <w:rPr>
                <w:bCs/>
                <w:spacing w:val="60"/>
                <w:sz w:val="17"/>
                <w:lang w:val="es-ES" w:eastAsia="en-US"/>
              </w:rPr>
              <w:tab/>
            </w:r>
          </w:p>
        </w:tc>
        <w:tc>
          <w:tcPr>
            <w:tcW w:w="533" w:type="dxa"/>
            <w:vAlign w:val="bottom"/>
          </w:tcPr>
          <w:p w14:paraId="66C2FEE1" w14:textId="76B73723" w:rsidR="00BA0013" w:rsidRPr="00A03848" w:rsidRDefault="00BA0013" w:rsidP="0011638B">
            <w:pPr>
              <w:spacing w:after="120"/>
              <w:jc w:val="right"/>
              <w:rPr>
                <w:lang w:val="es-ES"/>
              </w:rPr>
            </w:pPr>
            <w:r w:rsidRPr="00A03848">
              <w:rPr>
                <w:lang w:val="es-ES"/>
              </w:rPr>
              <w:t>31</w:t>
            </w:r>
          </w:p>
        </w:tc>
      </w:tr>
      <w:tr w:rsidR="00BA0013" w:rsidRPr="00A03848" w14:paraId="7B846AA2" w14:textId="77777777" w:rsidTr="0011638B">
        <w:tc>
          <w:tcPr>
            <w:tcW w:w="9369" w:type="dxa"/>
            <w:gridSpan w:val="3"/>
          </w:tcPr>
          <w:p w14:paraId="36EB78E5" w14:textId="77D8912B" w:rsidR="00BA0013" w:rsidRPr="00A03848" w:rsidRDefault="00BA0013" w:rsidP="00BA0013">
            <w:pPr>
              <w:tabs>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ind w:left="1296"/>
              <w:rPr>
                <w:bCs/>
                <w:spacing w:val="60"/>
                <w:sz w:val="17"/>
                <w:lang w:val="es-ES" w:eastAsia="en-US"/>
              </w:rPr>
            </w:pPr>
            <w:r w:rsidRPr="00A03848">
              <w:rPr>
                <w:bCs/>
                <w:lang w:val="es-ES" w:eastAsia="en-US"/>
              </w:rPr>
              <w:t>Artículo 13. Prestaciones sociales y económicas</w:t>
            </w:r>
            <w:r w:rsidRPr="00A03848">
              <w:rPr>
                <w:bCs/>
                <w:spacing w:val="60"/>
                <w:sz w:val="17"/>
                <w:lang w:val="es-ES" w:eastAsia="en-US"/>
              </w:rPr>
              <w:tab/>
            </w:r>
          </w:p>
        </w:tc>
        <w:tc>
          <w:tcPr>
            <w:tcW w:w="533" w:type="dxa"/>
            <w:vAlign w:val="bottom"/>
          </w:tcPr>
          <w:p w14:paraId="0289CCDA" w14:textId="30AED256" w:rsidR="00BA0013" w:rsidRPr="00A03848" w:rsidRDefault="00BA0013" w:rsidP="0011638B">
            <w:pPr>
              <w:spacing w:after="120"/>
              <w:jc w:val="right"/>
              <w:rPr>
                <w:lang w:val="es-ES"/>
              </w:rPr>
            </w:pPr>
            <w:r w:rsidRPr="00A03848">
              <w:rPr>
                <w:lang w:val="es-ES"/>
              </w:rPr>
              <w:t>37</w:t>
            </w:r>
          </w:p>
        </w:tc>
      </w:tr>
      <w:tr w:rsidR="0011638B" w:rsidRPr="00A03848" w14:paraId="280784AC" w14:textId="77777777" w:rsidTr="0011638B">
        <w:tc>
          <w:tcPr>
            <w:tcW w:w="9369" w:type="dxa"/>
            <w:gridSpan w:val="3"/>
          </w:tcPr>
          <w:p w14:paraId="24EAD502" w14:textId="77777777" w:rsidR="0011638B" w:rsidRPr="00A03848" w:rsidRDefault="0011638B" w:rsidP="0011638B">
            <w:pPr>
              <w:tabs>
                <w:tab w:val="right" w:pos="1080"/>
                <w:tab w:val="left" w:pos="1296"/>
                <w:tab w:val="left" w:pos="1728"/>
                <w:tab w:val="right" w:leader="dot" w:pos="9360"/>
              </w:tabs>
              <w:spacing w:after="120"/>
              <w:ind w:left="1296"/>
              <w:rPr>
                <w:lang w:val="es-ES" w:eastAsia="en-US"/>
              </w:rPr>
            </w:pPr>
            <w:r w:rsidRPr="00A03848">
              <w:rPr>
                <w:lang w:val="es-ES" w:eastAsia="en-US"/>
              </w:rPr>
              <w:t>Artículo 14. La mujer rural</w:t>
            </w:r>
            <w:r w:rsidRPr="00A03848">
              <w:rPr>
                <w:spacing w:val="60"/>
                <w:sz w:val="17"/>
                <w:lang w:val="es-ES"/>
              </w:rPr>
              <w:tab/>
            </w:r>
          </w:p>
        </w:tc>
        <w:tc>
          <w:tcPr>
            <w:tcW w:w="533" w:type="dxa"/>
            <w:vAlign w:val="bottom"/>
          </w:tcPr>
          <w:p w14:paraId="5FFA7FD9" w14:textId="59A09733" w:rsidR="0011638B" w:rsidRPr="00A03848" w:rsidRDefault="00BA0013" w:rsidP="0011638B">
            <w:pPr>
              <w:spacing w:after="120"/>
              <w:jc w:val="right"/>
              <w:rPr>
                <w:lang w:val="es-ES"/>
              </w:rPr>
            </w:pPr>
            <w:r w:rsidRPr="00A03848">
              <w:rPr>
                <w:lang w:val="es-ES"/>
              </w:rPr>
              <w:t>40</w:t>
            </w:r>
          </w:p>
        </w:tc>
      </w:tr>
      <w:tr w:rsidR="0011638B" w:rsidRPr="00A03848" w14:paraId="7051AC11" w14:textId="77777777" w:rsidTr="0011638B">
        <w:tc>
          <w:tcPr>
            <w:tcW w:w="9369" w:type="dxa"/>
            <w:gridSpan w:val="3"/>
          </w:tcPr>
          <w:p w14:paraId="43796FFC" w14:textId="77777777" w:rsidR="0011638B" w:rsidRPr="00A03848" w:rsidRDefault="0011638B" w:rsidP="0011638B">
            <w:pPr>
              <w:tabs>
                <w:tab w:val="right" w:pos="1080"/>
                <w:tab w:val="left" w:pos="1296"/>
                <w:tab w:val="left" w:pos="1728"/>
                <w:tab w:val="right" w:leader="dot" w:pos="9360"/>
              </w:tabs>
              <w:spacing w:after="120"/>
              <w:ind w:left="1296"/>
              <w:rPr>
                <w:lang w:val="es-ES" w:eastAsia="en-US"/>
              </w:rPr>
            </w:pPr>
            <w:r w:rsidRPr="00A03848">
              <w:rPr>
                <w:lang w:val="es-ES" w:eastAsia="en-US"/>
              </w:rPr>
              <w:t>Artículo 15. Igualdad ante la ley y asuntos civiles</w:t>
            </w:r>
            <w:r w:rsidRPr="00A03848">
              <w:rPr>
                <w:spacing w:val="60"/>
                <w:sz w:val="17"/>
                <w:lang w:val="es-ES"/>
              </w:rPr>
              <w:tab/>
            </w:r>
          </w:p>
        </w:tc>
        <w:tc>
          <w:tcPr>
            <w:tcW w:w="533" w:type="dxa"/>
            <w:vAlign w:val="bottom"/>
          </w:tcPr>
          <w:p w14:paraId="24C9E48D" w14:textId="63426045" w:rsidR="0011638B" w:rsidRPr="00A03848" w:rsidRDefault="00BA0013" w:rsidP="0011638B">
            <w:pPr>
              <w:spacing w:after="120"/>
              <w:jc w:val="right"/>
              <w:rPr>
                <w:lang w:val="es-ES"/>
              </w:rPr>
            </w:pPr>
            <w:r w:rsidRPr="00A03848">
              <w:rPr>
                <w:lang w:val="es-ES"/>
              </w:rPr>
              <w:t>42</w:t>
            </w:r>
          </w:p>
        </w:tc>
      </w:tr>
      <w:tr w:rsidR="0011638B" w:rsidRPr="00A03848" w14:paraId="57875817" w14:textId="77777777" w:rsidTr="0011638B">
        <w:tc>
          <w:tcPr>
            <w:tcW w:w="9369" w:type="dxa"/>
            <w:gridSpan w:val="3"/>
          </w:tcPr>
          <w:p w14:paraId="084306E2" w14:textId="77777777" w:rsidR="0011638B" w:rsidRPr="00A03848" w:rsidRDefault="0011638B" w:rsidP="0011638B">
            <w:pPr>
              <w:tabs>
                <w:tab w:val="right" w:pos="1080"/>
                <w:tab w:val="left" w:pos="1296"/>
                <w:tab w:val="left" w:pos="1728"/>
                <w:tab w:val="right" w:leader="dot" w:pos="9360"/>
              </w:tabs>
              <w:spacing w:after="120"/>
              <w:ind w:left="1296"/>
              <w:rPr>
                <w:lang w:val="es-ES" w:eastAsia="en-US"/>
              </w:rPr>
            </w:pPr>
            <w:r w:rsidRPr="00A03848">
              <w:rPr>
                <w:lang w:val="es-ES" w:eastAsia="en-US"/>
              </w:rPr>
              <w:t>Artículo 16. Igualdad en el matrimonio y derecho de familia</w:t>
            </w:r>
            <w:r w:rsidRPr="00A03848">
              <w:rPr>
                <w:spacing w:val="60"/>
                <w:sz w:val="17"/>
                <w:lang w:val="es-ES"/>
              </w:rPr>
              <w:tab/>
            </w:r>
          </w:p>
        </w:tc>
        <w:tc>
          <w:tcPr>
            <w:tcW w:w="533" w:type="dxa"/>
            <w:vAlign w:val="bottom"/>
          </w:tcPr>
          <w:p w14:paraId="0E6BC593" w14:textId="0A68478C" w:rsidR="0011638B" w:rsidRPr="00A03848" w:rsidRDefault="00BA0013" w:rsidP="0011638B">
            <w:pPr>
              <w:spacing w:after="120"/>
              <w:jc w:val="right"/>
              <w:rPr>
                <w:lang w:val="es-ES"/>
              </w:rPr>
            </w:pPr>
            <w:r w:rsidRPr="00A03848">
              <w:rPr>
                <w:lang w:val="es-ES"/>
              </w:rPr>
              <w:t>44</w:t>
            </w:r>
          </w:p>
        </w:tc>
      </w:tr>
      <w:tr w:rsidR="0011638B" w:rsidRPr="00A03848" w14:paraId="6F23900B" w14:textId="77777777" w:rsidTr="0011638B">
        <w:tc>
          <w:tcPr>
            <w:tcW w:w="9369" w:type="dxa"/>
            <w:gridSpan w:val="3"/>
          </w:tcPr>
          <w:p w14:paraId="7E4B5354" w14:textId="77777777" w:rsidR="0011638B" w:rsidRPr="00A03848" w:rsidRDefault="0011638B" w:rsidP="0011638B">
            <w:pPr>
              <w:tabs>
                <w:tab w:val="right" w:pos="1080"/>
                <w:tab w:val="left" w:pos="1296"/>
                <w:tab w:val="left" w:pos="1728"/>
                <w:tab w:val="right" w:leader="dot" w:pos="9360"/>
              </w:tabs>
              <w:spacing w:after="120"/>
              <w:ind w:left="1296"/>
              <w:rPr>
                <w:lang w:val="es-ES" w:eastAsia="en-US"/>
              </w:rPr>
            </w:pPr>
            <w:r w:rsidRPr="00A03848">
              <w:rPr>
                <w:lang w:val="es-ES" w:eastAsia="en-US"/>
              </w:rPr>
              <w:t>Eliminación de la violencia contra las mujeres y las niñas</w:t>
            </w:r>
            <w:r w:rsidRPr="00A03848">
              <w:rPr>
                <w:spacing w:val="60"/>
                <w:sz w:val="17"/>
                <w:lang w:val="es-ES"/>
              </w:rPr>
              <w:tab/>
            </w:r>
          </w:p>
        </w:tc>
        <w:tc>
          <w:tcPr>
            <w:tcW w:w="533" w:type="dxa"/>
            <w:vAlign w:val="bottom"/>
          </w:tcPr>
          <w:p w14:paraId="2AC8A9B7" w14:textId="2D96445F" w:rsidR="0011638B" w:rsidRPr="00A03848" w:rsidRDefault="00BA0013" w:rsidP="0011638B">
            <w:pPr>
              <w:spacing w:after="120"/>
              <w:jc w:val="right"/>
              <w:rPr>
                <w:lang w:val="es-ES"/>
              </w:rPr>
            </w:pPr>
            <w:r w:rsidRPr="00A03848">
              <w:rPr>
                <w:lang w:val="es-ES"/>
              </w:rPr>
              <w:t>45</w:t>
            </w:r>
          </w:p>
        </w:tc>
      </w:tr>
    </w:tbl>
    <w:p w14:paraId="4259E989" w14:textId="77777777" w:rsidR="0011638B" w:rsidRPr="00A03848" w:rsidRDefault="0011638B" w:rsidP="0011638B">
      <w:pPr>
        <w:rPr>
          <w:lang w:val="es-ES"/>
        </w:rPr>
      </w:pPr>
    </w:p>
    <w:p w14:paraId="0E610A35" w14:textId="77777777" w:rsidR="00833093" w:rsidRPr="00A03848" w:rsidRDefault="00833093">
      <w:pPr>
        <w:suppressAutoHyphens w:val="0"/>
        <w:spacing w:line="240" w:lineRule="auto"/>
        <w:rPr>
          <w:b/>
          <w:sz w:val="24"/>
          <w:lang w:val="es-ES" w:eastAsia="en-US"/>
        </w:rPr>
      </w:pPr>
      <w:r w:rsidRPr="00A03848">
        <w:rPr>
          <w:bCs/>
          <w:lang w:val="es-ES" w:eastAsia="en-US"/>
        </w:rPr>
        <w:br w:type="page"/>
      </w:r>
    </w:p>
    <w:bookmarkEnd w:id="2"/>
    <w:p w14:paraId="3BD15A23" w14:textId="77777777" w:rsidR="005E4AC4" w:rsidRPr="00A03848" w:rsidRDefault="00505055" w:rsidP="00505055">
      <w:pPr>
        <w:pStyle w:val="H1"/>
        <w:ind w:right="1260"/>
        <w:rPr>
          <w:bCs w:val="0"/>
          <w:szCs w:val="20"/>
          <w:lang w:val="es-ES" w:eastAsia="en-US"/>
        </w:rPr>
      </w:pPr>
      <w:r w:rsidRPr="00A03848">
        <w:rPr>
          <w:bCs w:val="0"/>
          <w:szCs w:val="20"/>
          <w:lang w:val="es-ES" w:eastAsia="en-US"/>
        </w:rPr>
        <w:lastRenderedPageBreak/>
        <w:tab/>
      </w:r>
      <w:bookmarkEnd w:id="4"/>
      <w:r w:rsidR="0011638B" w:rsidRPr="00A03848">
        <w:rPr>
          <w:bCs w:val="0"/>
          <w:szCs w:val="20"/>
          <w:lang w:val="es-ES" w:eastAsia="en-US"/>
        </w:rPr>
        <w:tab/>
        <w:t>Prólogo</w:t>
      </w:r>
    </w:p>
    <w:p w14:paraId="697BC41C" w14:textId="77777777" w:rsidR="00505055" w:rsidRPr="00A03848" w:rsidRDefault="00505055" w:rsidP="00505055">
      <w:pPr>
        <w:pStyle w:val="SingleTxt"/>
        <w:spacing w:after="0" w:line="120" w:lineRule="exact"/>
        <w:rPr>
          <w:sz w:val="10"/>
          <w:szCs w:val="10"/>
          <w:lang w:val="es-ES"/>
        </w:rPr>
      </w:pPr>
    </w:p>
    <w:p w14:paraId="4C1F4661" w14:textId="77777777" w:rsidR="00505055" w:rsidRPr="00A03848" w:rsidRDefault="00505055" w:rsidP="00505055">
      <w:pPr>
        <w:pStyle w:val="SingleTxt"/>
        <w:spacing w:after="0" w:line="120" w:lineRule="exact"/>
        <w:rPr>
          <w:sz w:val="10"/>
          <w:szCs w:val="10"/>
          <w:lang w:val="es-ES"/>
        </w:rPr>
      </w:pPr>
    </w:p>
    <w:p w14:paraId="66DBD9C4" w14:textId="3CDB990B" w:rsidR="0011638B" w:rsidRPr="00A03848" w:rsidRDefault="0011638B" w:rsidP="00C01F60">
      <w:pPr>
        <w:pStyle w:val="SingleTxt"/>
        <w:rPr>
          <w:lang w:val="es-ES" w:eastAsia="en-US"/>
        </w:rPr>
      </w:pPr>
      <w:bookmarkStart w:id="5" w:name="bookmark_46"/>
      <w:bookmarkStart w:id="6" w:name="Sample_1"/>
      <w:bookmarkStart w:id="7" w:name="bookmark_15"/>
      <w:r w:rsidRPr="00A03848">
        <w:rPr>
          <w:lang w:val="es-ES" w:eastAsia="en-US"/>
        </w:rPr>
        <w:tab/>
        <w:t>El presente documento es el octavo informe periódico que el Reino Unido debe presentar al Secretario General de las Naciones Unidas en virtud del artículo</w:t>
      </w:r>
      <w:r w:rsidR="00233A1A" w:rsidRPr="00A03848">
        <w:rPr>
          <w:lang w:val="es-ES" w:eastAsia="en-US"/>
        </w:rPr>
        <w:t xml:space="preserve"> </w:t>
      </w:r>
      <w:r w:rsidRPr="00A03848">
        <w:rPr>
          <w:lang w:val="es-ES" w:eastAsia="en-US"/>
        </w:rPr>
        <w:t>18 de la Convención sobre la Eliminación de Todas las Formas de Discriminación contra la Mujer. El informe abarca el período comprendido entre</w:t>
      </w:r>
      <w:r w:rsidR="00233A1A" w:rsidRPr="00A03848">
        <w:rPr>
          <w:lang w:val="es-ES" w:eastAsia="en-US"/>
        </w:rPr>
        <w:t xml:space="preserve"> </w:t>
      </w:r>
      <w:r w:rsidRPr="00A03848">
        <w:rPr>
          <w:lang w:val="es-ES" w:eastAsia="en-US"/>
        </w:rPr>
        <w:t>2011 y 2017.</w:t>
      </w:r>
      <w:bookmarkEnd w:id="5"/>
    </w:p>
    <w:p w14:paraId="1B3E2EF0" w14:textId="77777777" w:rsidR="0011638B" w:rsidRPr="00A03848" w:rsidRDefault="0011638B" w:rsidP="00C01F60">
      <w:pPr>
        <w:pStyle w:val="SingleTxt"/>
        <w:rPr>
          <w:lang w:val="es-ES" w:eastAsia="en-US"/>
        </w:rPr>
      </w:pPr>
      <w:bookmarkStart w:id="8" w:name="bookmark_47"/>
      <w:r w:rsidRPr="00A03848">
        <w:rPr>
          <w:lang w:val="es-ES" w:eastAsia="en-US"/>
        </w:rPr>
        <w:tab/>
        <w:t>Durante este período, el Reino Unido estuvo dirigido por un Gobierno de coalición entre 2010 y 2015, y ha tenido un Gobierno de mayoría conservadora desde 2015 hasta el día de hoy. En la actualidad, siguen en curso las negociaciones sobre el reparto de poder</w:t>
      </w:r>
      <w:r w:rsidRPr="00A03848">
        <w:rPr>
          <w:vertAlign w:val="superscript"/>
          <w:lang w:val="es-ES" w:eastAsia="en-US"/>
        </w:rPr>
        <w:footnoteReference w:id="1"/>
      </w:r>
      <w:r w:rsidRPr="00A03848">
        <w:rPr>
          <w:lang w:val="es-ES" w:eastAsia="en-US"/>
        </w:rPr>
        <w:t xml:space="preserve"> entre los principales partidos políticos de Irlanda del Norte y, en ausencia de un gobierno descentralizado operativo, las referencias a Irlanda del Norte incluidas en el presente informe aún deben ser examinadas y acordadas por los futuros ministros responsables de los temas en cuestión.</w:t>
      </w:r>
      <w:bookmarkEnd w:id="8"/>
    </w:p>
    <w:p w14:paraId="3B9B74E5" w14:textId="77777777" w:rsidR="0011638B" w:rsidRPr="00A03848" w:rsidRDefault="0011638B" w:rsidP="00C01F60">
      <w:pPr>
        <w:pStyle w:val="SingleTxt"/>
        <w:rPr>
          <w:lang w:val="es-ES" w:eastAsia="en-US"/>
        </w:rPr>
      </w:pPr>
      <w:bookmarkStart w:id="10" w:name="bookmark_49"/>
      <w:r w:rsidRPr="00A03848">
        <w:rPr>
          <w:lang w:val="es-ES" w:eastAsia="en-US"/>
        </w:rPr>
        <w:tab/>
        <w:t xml:space="preserve">El 23 de junio de 2016, la población del Reino Unido votó a favor de abandonar la Unión Europea. No obstante, el Reino Unido mantiene el compromiso de conservar su sólido papel mundial en relación con los derechos humanos y continúa cumpliendo sus obligaciones internacionales en la materia. </w:t>
      </w:r>
      <w:bookmarkEnd w:id="10"/>
    </w:p>
    <w:p w14:paraId="55E04883" w14:textId="77777777" w:rsidR="0011638B" w:rsidRPr="00A03848" w:rsidRDefault="0011638B" w:rsidP="00C01F60">
      <w:pPr>
        <w:pStyle w:val="SingleTxt"/>
        <w:rPr>
          <w:lang w:val="es-ES" w:eastAsia="en-US"/>
        </w:rPr>
      </w:pPr>
      <w:bookmarkStart w:id="11" w:name="bookmark_50"/>
      <w:r w:rsidRPr="00A03848">
        <w:rPr>
          <w:lang w:val="es-ES" w:eastAsia="en-US"/>
        </w:rPr>
        <w:tab/>
        <w:t>El documento se preparó en gran medida como respuesta a las observaciones finales y las recomendaciones</w:t>
      </w:r>
      <w:r w:rsidRPr="00A03848">
        <w:rPr>
          <w:vertAlign w:val="superscript"/>
          <w:lang w:val="es-ES" w:eastAsia="en-US"/>
        </w:rPr>
        <w:footnoteReference w:id="2"/>
      </w:r>
      <w:r w:rsidRPr="00A03848">
        <w:rPr>
          <w:lang w:val="es-ES" w:eastAsia="en-US"/>
        </w:rPr>
        <w:t xml:space="preserve"> que el Comité para la Eliminación de la Discriminación contra la Mujer de las Naciones Unidas formuló en 2013 después de examinar el séptimo informe periódico del Reino Unido y presenta un análisis, artículo por artículo, de la aplicación de la Convención en el Reino Unido. A lo largo del informe, cuando el texto se refiere a una recomendación específica, así se ha indicado con una nota al final del documento.</w:t>
      </w:r>
      <w:bookmarkEnd w:id="11"/>
    </w:p>
    <w:p w14:paraId="184AA2D5" w14:textId="77777777" w:rsidR="0011638B" w:rsidRPr="00A03848" w:rsidRDefault="0011638B" w:rsidP="00C01F60">
      <w:pPr>
        <w:pStyle w:val="SingleTxt"/>
        <w:rPr>
          <w:lang w:val="es-ES" w:eastAsia="en-US"/>
        </w:rPr>
      </w:pPr>
      <w:bookmarkStart w:id="13" w:name="bookmark_52"/>
      <w:r w:rsidRPr="00A03848">
        <w:rPr>
          <w:lang w:val="es-ES" w:eastAsia="en-US"/>
        </w:rPr>
        <w:tab/>
        <w:t>También conviene referirse al documento básico común del Reino Unido de 2014</w:t>
      </w:r>
      <w:r w:rsidRPr="00A03848">
        <w:rPr>
          <w:vertAlign w:val="superscript"/>
          <w:lang w:val="es-ES" w:eastAsia="en-US"/>
        </w:rPr>
        <w:footnoteReference w:id="3"/>
      </w:r>
      <w:r w:rsidRPr="00A03848">
        <w:rPr>
          <w:lang w:val="es-ES" w:eastAsia="en-US"/>
        </w:rPr>
        <w:t>, en el que se ofrece una visión general de las características del Reino Unido y de las estructuras políticas y jurídicas existentes para asegurar la promoción y protección de los derechos humanos en el país.</w:t>
      </w:r>
      <w:bookmarkEnd w:id="13"/>
    </w:p>
    <w:p w14:paraId="025585AC" w14:textId="77777777" w:rsidR="0011638B" w:rsidRPr="00A03848" w:rsidRDefault="0011638B" w:rsidP="00C01F60">
      <w:pPr>
        <w:pStyle w:val="SingleTxt"/>
        <w:rPr>
          <w:lang w:val="es-ES" w:eastAsia="en-US"/>
        </w:rPr>
      </w:pPr>
      <w:bookmarkStart w:id="15" w:name="bookmark_54"/>
      <w:r w:rsidRPr="00A03848">
        <w:rPr>
          <w:lang w:val="es-ES" w:eastAsia="en-US"/>
        </w:rPr>
        <w:tab/>
        <w:t>En el informe se utilizan estadísticas e información que han facilitado los departamentos del Gobierno central del Reino Unido, las administraciones descentralizadas de Escocia, Gales e Irlanda del Norte, los gobiernos de los territorios británicos de ultramar y la dependencia de la Corona de la Isla de Man.</w:t>
      </w:r>
      <w:bookmarkEnd w:id="15"/>
    </w:p>
    <w:p w14:paraId="25F5C51E" w14:textId="24D670FC" w:rsidR="0011638B" w:rsidRPr="00A03848" w:rsidRDefault="0011638B" w:rsidP="00C01F60">
      <w:pPr>
        <w:pStyle w:val="SingleTxt"/>
        <w:rPr>
          <w:lang w:val="es-ES" w:eastAsia="en-US"/>
        </w:rPr>
      </w:pPr>
      <w:bookmarkStart w:id="16" w:name="bookmark_55"/>
      <w:r w:rsidRPr="00A03848">
        <w:rPr>
          <w:lang w:val="es-ES" w:eastAsia="en-US"/>
        </w:rPr>
        <w:tab/>
        <w:t>Al preparar el presente informe, la Oficina Gubernamental para la Igualdad del Reino Unido, con el apoyo de los Gobiernos de Gales y Escocia, realizó un ejercicio de colaboración específica con una sección transversal de las organizaciones de mujeres. El proceso de consulta se basó sobre todo en las mesas redondas celebradas con las partes interesadas en las siguientes fechas: en Gales, el 19 de junio de 2017; en Londres, el 26 de junio de 2017; y en Escocia, el 14 de julio de 2017. Véase</w:t>
      </w:r>
      <w:r w:rsidR="00233A1A" w:rsidRPr="00A03848">
        <w:rPr>
          <w:lang w:val="es-ES" w:eastAsia="en-US"/>
        </w:rPr>
        <w:t xml:space="preserve"> </w:t>
      </w:r>
      <w:r w:rsidRPr="00A03848">
        <w:rPr>
          <w:lang w:val="es-ES" w:eastAsia="en-US"/>
        </w:rPr>
        <w:t>el</w:t>
      </w:r>
      <w:r w:rsidR="00233A1A" w:rsidRPr="00A03848">
        <w:rPr>
          <w:lang w:val="es-ES" w:eastAsia="en-US"/>
        </w:rPr>
        <w:t xml:space="preserve"> </w:t>
      </w:r>
      <w:r w:rsidRPr="00A03848">
        <w:rPr>
          <w:lang w:val="es-ES" w:eastAsia="en-US"/>
        </w:rPr>
        <w:t xml:space="preserve">anexo 3. </w:t>
      </w:r>
      <w:bookmarkEnd w:id="16"/>
    </w:p>
    <w:bookmarkEnd w:id="6"/>
    <w:p w14:paraId="6097DB21" w14:textId="77777777" w:rsidR="00C01F60" w:rsidRPr="00A03848" w:rsidRDefault="00C01F60" w:rsidP="00C01F60">
      <w:pPr>
        <w:pStyle w:val="SingleTxt"/>
        <w:spacing w:after="0" w:line="120" w:lineRule="exact"/>
        <w:rPr>
          <w:sz w:val="10"/>
          <w:szCs w:val="10"/>
          <w:lang w:val="es-ES"/>
        </w:rPr>
      </w:pPr>
    </w:p>
    <w:p w14:paraId="3CBE598E" w14:textId="77777777" w:rsidR="00C01F60" w:rsidRPr="00A03848" w:rsidRDefault="00C01F60" w:rsidP="00C01F60">
      <w:pPr>
        <w:pStyle w:val="SingleTxt"/>
        <w:spacing w:after="0" w:line="120" w:lineRule="exact"/>
        <w:rPr>
          <w:sz w:val="10"/>
          <w:szCs w:val="10"/>
          <w:lang w:val="es-ES"/>
        </w:rPr>
      </w:pPr>
    </w:p>
    <w:p w14:paraId="6D7E6AE2" w14:textId="77777777" w:rsidR="00C01F60" w:rsidRPr="00A03848" w:rsidRDefault="00C01F60">
      <w:pPr>
        <w:suppressAutoHyphens w:val="0"/>
        <w:spacing w:line="240" w:lineRule="auto"/>
        <w:rPr>
          <w:b/>
          <w:sz w:val="24"/>
          <w:lang w:val="es-ES" w:eastAsia="en-US"/>
        </w:rPr>
      </w:pPr>
      <w:bookmarkStart w:id="17" w:name="bookmark_56"/>
      <w:r w:rsidRPr="00A03848">
        <w:rPr>
          <w:bCs/>
          <w:lang w:val="es-ES" w:eastAsia="en-US"/>
        </w:rPr>
        <w:br w:type="page"/>
      </w:r>
    </w:p>
    <w:p w14:paraId="25D75930" w14:textId="77777777" w:rsidR="0011638B" w:rsidRPr="00A03848" w:rsidRDefault="00C01F60" w:rsidP="00C01F60">
      <w:pPr>
        <w:pStyle w:val="H1"/>
        <w:ind w:right="1260"/>
        <w:rPr>
          <w:bCs w:val="0"/>
          <w:szCs w:val="20"/>
          <w:lang w:val="es-ES" w:eastAsia="en-US"/>
        </w:rPr>
      </w:pPr>
      <w:r w:rsidRPr="00A03848">
        <w:rPr>
          <w:bCs w:val="0"/>
          <w:szCs w:val="20"/>
          <w:lang w:val="es-ES" w:eastAsia="en-US"/>
        </w:rPr>
        <w:tab/>
      </w:r>
      <w:r w:rsidRPr="00A03848">
        <w:rPr>
          <w:bCs w:val="0"/>
          <w:szCs w:val="20"/>
          <w:lang w:val="es-ES" w:eastAsia="en-US"/>
        </w:rPr>
        <w:tab/>
      </w:r>
      <w:r w:rsidR="0011638B" w:rsidRPr="00A03848">
        <w:rPr>
          <w:bCs w:val="0"/>
          <w:szCs w:val="20"/>
          <w:lang w:val="es-ES" w:eastAsia="en-US"/>
        </w:rPr>
        <w:t>Introducción</w:t>
      </w:r>
      <w:bookmarkEnd w:id="17"/>
    </w:p>
    <w:p w14:paraId="51854E4B" w14:textId="77777777" w:rsidR="00284834" w:rsidRPr="00A03848" w:rsidRDefault="00284834" w:rsidP="00284834">
      <w:pPr>
        <w:pStyle w:val="SingleTxt"/>
        <w:spacing w:after="0" w:line="120" w:lineRule="exact"/>
        <w:rPr>
          <w:sz w:val="10"/>
          <w:szCs w:val="10"/>
          <w:lang w:val="es-ES"/>
        </w:rPr>
      </w:pPr>
    </w:p>
    <w:p w14:paraId="02197482" w14:textId="77777777" w:rsidR="00284834" w:rsidRPr="00A03848" w:rsidRDefault="00284834" w:rsidP="00284834">
      <w:pPr>
        <w:pStyle w:val="SingleTxt"/>
        <w:spacing w:after="0" w:line="120" w:lineRule="exact"/>
        <w:rPr>
          <w:sz w:val="10"/>
          <w:szCs w:val="10"/>
          <w:lang w:val="es-ES"/>
        </w:rPr>
      </w:pPr>
    </w:p>
    <w:p w14:paraId="259749DD" w14:textId="51B94AFD" w:rsidR="0011638B" w:rsidRPr="00A03848" w:rsidRDefault="00946670" w:rsidP="00AB43B5">
      <w:pPr>
        <w:pStyle w:val="SingleTxt"/>
        <w:rPr>
          <w:szCs w:val="22"/>
          <w:lang w:val="es-ES" w:eastAsia="en-US"/>
        </w:rPr>
      </w:pPr>
      <w:bookmarkStart w:id="18" w:name="bookmark_57"/>
      <w:r w:rsidRPr="00A03848">
        <w:rPr>
          <w:szCs w:val="22"/>
          <w:lang w:val="es-ES" w:eastAsia="en-US"/>
        </w:rPr>
        <w:t>1.</w:t>
      </w:r>
      <w:r w:rsidRPr="00A03848">
        <w:rPr>
          <w:szCs w:val="22"/>
          <w:lang w:val="es-ES" w:eastAsia="en-US"/>
        </w:rPr>
        <w:tab/>
      </w:r>
      <w:r w:rsidR="0011638B" w:rsidRPr="00A03848">
        <w:rPr>
          <w:szCs w:val="22"/>
          <w:lang w:val="es-ES" w:eastAsia="en-US"/>
        </w:rPr>
        <w:t xml:space="preserve">En este informe se expone el enfoque general del Gobierno del Reino Unido para promover la igualdad de género y eliminar la discriminación. La Muy Honorable Justine Greening, diputada del Parlamento, Secretaria de Estado de Educación y Ministra para la Igualdad de la Mujer, dirige la aplicación de la estrategia de igualdad de género del Gobierno del Reino Unido. Tiene el apoyo de dos diputados del Parlamento: la Muy Honorable Anne Milton, Ministra de Aprendizaje, Capacidades y la Mujer, y el Sr. Nick Gibb, Ministro de Estándares Escolares e Igualdad. </w:t>
      </w:r>
      <w:bookmarkEnd w:id="18"/>
    </w:p>
    <w:p w14:paraId="37F96453" w14:textId="77777777" w:rsidR="00284834" w:rsidRPr="00A03848" w:rsidRDefault="00284834" w:rsidP="00284834">
      <w:pPr>
        <w:pStyle w:val="SingleTxt"/>
        <w:spacing w:after="0" w:line="120" w:lineRule="exact"/>
        <w:rPr>
          <w:sz w:val="10"/>
          <w:szCs w:val="10"/>
          <w:lang w:val="es-ES"/>
        </w:rPr>
      </w:pPr>
    </w:p>
    <w:p w14:paraId="758AA81B" w14:textId="77777777" w:rsidR="0011638B" w:rsidRPr="00A03848" w:rsidRDefault="0011638B" w:rsidP="009F2DF3">
      <w:pPr>
        <w:pStyle w:val="H23"/>
        <w:ind w:right="1260"/>
        <w:rPr>
          <w:bCs w:val="0"/>
          <w:lang w:val="es-ES" w:eastAsia="en-US"/>
        </w:rPr>
      </w:pPr>
      <w:bookmarkStart w:id="19" w:name="bookmark_58"/>
      <w:r w:rsidRPr="00A03848">
        <w:rPr>
          <w:bCs w:val="0"/>
          <w:lang w:val="es-ES" w:eastAsia="en-US"/>
        </w:rPr>
        <w:tab/>
      </w:r>
      <w:r w:rsidRPr="00A03848">
        <w:rPr>
          <w:bCs w:val="0"/>
          <w:lang w:val="es-ES" w:eastAsia="en-US"/>
        </w:rPr>
        <w:tab/>
        <w:t>Mecanismos institucionales</w:t>
      </w:r>
      <w:bookmarkEnd w:id="19"/>
    </w:p>
    <w:p w14:paraId="635FF97C" w14:textId="77777777" w:rsidR="00284834" w:rsidRPr="00A03848" w:rsidRDefault="00284834" w:rsidP="00284834">
      <w:pPr>
        <w:pStyle w:val="SingleTxt"/>
        <w:spacing w:after="0" w:line="120" w:lineRule="exact"/>
        <w:rPr>
          <w:sz w:val="10"/>
          <w:szCs w:val="10"/>
          <w:lang w:val="es-ES"/>
        </w:rPr>
      </w:pPr>
    </w:p>
    <w:p w14:paraId="73F2F69D" w14:textId="1FAAAD5C" w:rsidR="0011638B" w:rsidRPr="00A03848" w:rsidRDefault="00946670" w:rsidP="00AB43B5">
      <w:pPr>
        <w:pStyle w:val="SingleTxt"/>
        <w:rPr>
          <w:szCs w:val="22"/>
          <w:lang w:val="es-ES" w:eastAsia="en-US"/>
        </w:rPr>
      </w:pPr>
      <w:bookmarkStart w:id="20" w:name="bookmark_59"/>
      <w:r w:rsidRPr="00A03848">
        <w:rPr>
          <w:szCs w:val="22"/>
          <w:lang w:val="es-ES" w:eastAsia="en-US"/>
        </w:rPr>
        <w:t>2.</w:t>
      </w:r>
      <w:r w:rsidRPr="00A03848">
        <w:rPr>
          <w:szCs w:val="22"/>
          <w:lang w:val="es-ES" w:eastAsia="en-US"/>
        </w:rPr>
        <w:tab/>
      </w:r>
      <w:r w:rsidR="0011638B" w:rsidRPr="00A03848">
        <w:rPr>
          <w:szCs w:val="22"/>
          <w:lang w:val="es-ES" w:eastAsia="en-US"/>
        </w:rPr>
        <w:t xml:space="preserve">La Oficina Gubernamental para la Igualdad dirige la labor sobre políticas relativas a la mujer, la orientación sexual y la igualdad transgénero, además de encargarse del marco general de igualdad en todo el Gobierno. Se ocupa de las obligaciones internacionales del Gobierno con respecto a la igualdad de género y es el </w:t>
      </w:r>
      <w:r w:rsidR="00284834" w:rsidRPr="00A03848">
        <w:rPr>
          <w:szCs w:val="22"/>
          <w:lang w:val="es-ES" w:eastAsia="en-US"/>
        </w:rPr>
        <w:t>“</w:t>
      </w:r>
      <w:r w:rsidR="0011638B" w:rsidRPr="00A03848">
        <w:rPr>
          <w:szCs w:val="22"/>
          <w:lang w:val="es-ES" w:eastAsia="en-US"/>
        </w:rPr>
        <w:t>mecanismo nacional para el adelanto de la mujer</w:t>
      </w:r>
      <w:r w:rsidR="00284834" w:rsidRPr="00A03848">
        <w:rPr>
          <w:szCs w:val="22"/>
          <w:lang w:val="es-ES" w:eastAsia="en-US"/>
        </w:rPr>
        <w:t>”</w:t>
      </w:r>
      <w:r w:rsidR="0011638B" w:rsidRPr="00A03848">
        <w:rPr>
          <w:szCs w:val="22"/>
          <w:lang w:val="es-ES" w:eastAsia="en-US"/>
        </w:rPr>
        <w:t xml:space="preserve">, es decir, el mecanismo institucional responsable de supervisar y promover el cumplimiento de los compromisos contraídos por el Reino Unido en virtud de la Convención. En septiembre de 2015, la Oficina pasó a formar parte del Departamento de Educación, manteniendo las funciones que ya desempeñaba. </w:t>
      </w:r>
      <w:bookmarkEnd w:id="20"/>
    </w:p>
    <w:p w14:paraId="4AEBECCE" w14:textId="170E6E50" w:rsidR="0011638B" w:rsidRPr="00A03848" w:rsidRDefault="00946670" w:rsidP="00AB43B5">
      <w:pPr>
        <w:pStyle w:val="SingleTxt"/>
        <w:rPr>
          <w:szCs w:val="22"/>
          <w:lang w:val="es-ES" w:eastAsia="en-US"/>
        </w:rPr>
      </w:pPr>
      <w:bookmarkStart w:id="21" w:name="bookmark_60"/>
      <w:r w:rsidRPr="00A03848">
        <w:rPr>
          <w:szCs w:val="22"/>
          <w:lang w:val="es-ES" w:eastAsia="en-US"/>
        </w:rPr>
        <w:t>3.</w:t>
      </w:r>
      <w:r w:rsidRPr="00A03848">
        <w:rPr>
          <w:szCs w:val="22"/>
          <w:lang w:val="es-ES" w:eastAsia="en-US"/>
        </w:rPr>
        <w:tab/>
      </w:r>
      <w:r w:rsidR="0011638B" w:rsidRPr="00A03848">
        <w:rPr>
          <w:szCs w:val="22"/>
          <w:lang w:val="es-ES" w:eastAsia="en-US"/>
        </w:rPr>
        <w:t>La situación de las administraciones descentralizadas de Irlanda del Norte, Escocia y Gales y la relación del Reino Unido con las dependencias de la Corona y los territorios de ultramar se explica en los anexos 1 a 3 del séptimo informe periódico del Reino Unido.</w:t>
      </w:r>
      <w:bookmarkEnd w:id="21"/>
    </w:p>
    <w:p w14:paraId="57E879C5" w14:textId="77777777" w:rsidR="00284834" w:rsidRPr="00A03848" w:rsidRDefault="00284834" w:rsidP="00284834">
      <w:pPr>
        <w:pStyle w:val="SingleTxt"/>
        <w:spacing w:after="0" w:line="120" w:lineRule="exact"/>
        <w:rPr>
          <w:sz w:val="10"/>
          <w:szCs w:val="10"/>
          <w:lang w:val="es-ES"/>
        </w:rPr>
      </w:pPr>
    </w:p>
    <w:p w14:paraId="0C9459BB" w14:textId="77777777" w:rsidR="0011638B" w:rsidRPr="00A03848" w:rsidRDefault="0011638B" w:rsidP="009F2DF3">
      <w:pPr>
        <w:pStyle w:val="H23"/>
        <w:ind w:right="1260"/>
        <w:rPr>
          <w:bCs w:val="0"/>
          <w:lang w:val="es-ES" w:eastAsia="en-US"/>
        </w:rPr>
      </w:pPr>
      <w:bookmarkStart w:id="22" w:name="bookmark_61"/>
      <w:r w:rsidRPr="00A03848">
        <w:rPr>
          <w:bCs w:val="0"/>
          <w:lang w:val="es-ES" w:eastAsia="en-US"/>
        </w:rPr>
        <w:tab/>
      </w:r>
      <w:r w:rsidRPr="00A03848">
        <w:rPr>
          <w:bCs w:val="0"/>
          <w:lang w:val="es-ES" w:eastAsia="en-US"/>
        </w:rPr>
        <w:tab/>
        <w:t xml:space="preserve">Reservas a la Convención </w:t>
      </w:r>
      <w:bookmarkEnd w:id="22"/>
    </w:p>
    <w:p w14:paraId="32430246" w14:textId="77777777" w:rsidR="00284834" w:rsidRPr="00A03848" w:rsidRDefault="00284834" w:rsidP="00284834">
      <w:pPr>
        <w:pStyle w:val="SingleTxt"/>
        <w:spacing w:after="0" w:line="120" w:lineRule="exact"/>
        <w:rPr>
          <w:sz w:val="10"/>
          <w:szCs w:val="10"/>
          <w:lang w:val="es-ES"/>
        </w:rPr>
      </w:pPr>
    </w:p>
    <w:p w14:paraId="4FBAF8C4" w14:textId="68EAE98B" w:rsidR="0011638B" w:rsidRPr="00A03848" w:rsidRDefault="00946670" w:rsidP="00AB43B5">
      <w:pPr>
        <w:pStyle w:val="SingleTxt"/>
        <w:rPr>
          <w:szCs w:val="22"/>
          <w:lang w:val="es-ES" w:eastAsia="en-US"/>
        </w:rPr>
      </w:pPr>
      <w:bookmarkStart w:id="23" w:name="bookmark_62"/>
      <w:r w:rsidRPr="00A03848">
        <w:rPr>
          <w:szCs w:val="22"/>
          <w:lang w:val="es-ES" w:eastAsia="en-US"/>
        </w:rPr>
        <w:t>4.</w:t>
      </w:r>
      <w:r w:rsidRPr="00A03848">
        <w:rPr>
          <w:szCs w:val="22"/>
          <w:lang w:val="es-ES" w:eastAsia="en-US"/>
        </w:rPr>
        <w:tab/>
      </w:r>
      <w:r w:rsidR="0011638B" w:rsidRPr="00A03848">
        <w:rPr>
          <w:szCs w:val="22"/>
          <w:lang w:val="es-ES" w:eastAsia="en-US"/>
        </w:rPr>
        <w:t>El Gobierno del Reino Unido ha examinado las reservas actuales (indicadas en el anexo) y ha llegado a la conclusión de que no se deben retirar</w:t>
      </w:r>
      <w:r w:rsidR="0011638B" w:rsidRPr="00A03848">
        <w:rPr>
          <w:szCs w:val="22"/>
          <w:vertAlign w:val="superscript"/>
          <w:lang w:val="es-ES" w:eastAsia="en-US"/>
        </w:rPr>
        <w:endnoteReference w:id="1"/>
      </w:r>
      <w:r w:rsidR="0011638B" w:rsidRPr="00A03848">
        <w:rPr>
          <w:szCs w:val="22"/>
          <w:lang w:val="es-ES" w:eastAsia="en-US"/>
        </w:rPr>
        <w:t>.</w:t>
      </w:r>
      <w:bookmarkEnd w:id="23"/>
    </w:p>
    <w:p w14:paraId="52E66007" w14:textId="77777777" w:rsidR="00284834" w:rsidRPr="00A03848" w:rsidRDefault="00284834" w:rsidP="00284834">
      <w:pPr>
        <w:pStyle w:val="SingleTxt"/>
        <w:spacing w:after="0" w:line="120" w:lineRule="exact"/>
        <w:rPr>
          <w:sz w:val="10"/>
          <w:szCs w:val="10"/>
          <w:lang w:val="es-ES"/>
        </w:rPr>
      </w:pPr>
    </w:p>
    <w:p w14:paraId="6AFECACD" w14:textId="77777777" w:rsidR="0011638B" w:rsidRPr="00A03848" w:rsidRDefault="0011638B" w:rsidP="009F2DF3">
      <w:pPr>
        <w:pStyle w:val="H23"/>
        <w:ind w:right="1260"/>
        <w:rPr>
          <w:bCs w:val="0"/>
          <w:lang w:val="es-ES" w:eastAsia="en-US"/>
        </w:rPr>
      </w:pPr>
      <w:bookmarkStart w:id="26" w:name="bookmark_64"/>
      <w:r w:rsidRPr="00A03848">
        <w:rPr>
          <w:bCs w:val="0"/>
          <w:lang w:val="es-ES" w:eastAsia="en-US"/>
        </w:rPr>
        <w:tab/>
      </w:r>
      <w:r w:rsidRPr="00A03848">
        <w:rPr>
          <w:bCs w:val="0"/>
          <w:lang w:val="es-ES" w:eastAsia="en-US"/>
        </w:rPr>
        <w:tab/>
        <w:t>Labor del Reino Unido para ampliar su ratificación de la Convención</w:t>
      </w:r>
      <w:bookmarkEnd w:id="26"/>
    </w:p>
    <w:p w14:paraId="4BB707A5" w14:textId="77777777" w:rsidR="00284834" w:rsidRPr="00A03848" w:rsidRDefault="00284834" w:rsidP="00284834">
      <w:pPr>
        <w:pStyle w:val="SingleTxt"/>
        <w:spacing w:after="0" w:line="120" w:lineRule="exact"/>
        <w:rPr>
          <w:sz w:val="10"/>
          <w:szCs w:val="10"/>
          <w:lang w:val="es-ES"/>
        </w:rPr>
      </w:pPr>
    </w:p>
    <w:p w14:paraId="47AD1171" w14:textId="4C7EA4C6" w:rsidR="0011638B" w:rsidRPr="00A03848" w:rsidRDefault="00946670" w:rsidP="00AB43B5">
      <w:pPr>
        <w:pStyle w:val="SingleTxt"/>
        <w:rPr>
          <w:szCs w:val="22"/>
          <w:lang w:val="es-ES" w:eastAsia="en-US"/>
        </w:rPr>
      </w:pPr>
      <w:bookmarkStart w:id="27" w:name="bookmark_65"/>
      <w:r w:rsidRPr="00A03848">
        <w:rPr>
          <w:szCs w:val="22"/>
          <w:lang w:val="es-ES" w:eastAsia="en-US"/>
        </w:rPr>
        <w:t>5.</w:t>
      </w:r>
      <w:r w:rsidRPr="00A03848">
        <w:rPr>
          <w:szCs w:val="22"/>
          <w:lang w:val="es-ES" w:eastAsia="en-US"/>
        </w:rPr>
        <w:tab/>
      </w:r>
      <w:r w:rsidR="0011638B" w:rsidRPr="00A03848">
        <w:rPr>
          <w:szCs w:val="22"/>
          <w:lang w:val="es-ES" w:eastAsia="en-US"/>
        </w:rPr>
        <w:t>Observando la recomendación del Comité, la Oficina Gubernamental para la Igualdad del Reino Unido, en colaboración con el Ministerio de Relaciones Exteriores y Asuntos del Commonwealth, dirigió un programa de trabajo orientado a extender la ratificación de la Convención por el Reino Unido a los territorios británicos de ultramar que todav</w:t>
      </w:r>
      <w:r w:rsidR="00FE6B53" w:rsidRPr="00A03848">
        <w:rPr>
          <w:szCs w:val="22"/>
          <w:lang w:val="es-ES" w:eastAsia="en-US"/>
        </w:rPr>
        <w:t>ía no eran signatarios. En 2017</w:t>
      </w:r>
      <w:r w:rsidR="0011638B" w:rsidRPr="00A03848">
        <w:rPr>
          <w:szCs w:val="22"/>
          <w:lang w:val="es-ES" w:eastAsia="en-US"/>
        </w:rPr>
        <w:t xml:space="preserve"> el Gobierno del Reino Unido ha aumentado la aplicación territorial de la Convención de 3 a 7</w:t>
      </w:r>
      <w:r w:rsidR="00233A1A" w:rsidRPr="00A03848">
        <w:rPr>
          <w:szCs w:val="22"/>
          <w:lang w:val="es-ES" w:eastAsia="en-US"/>
        </w:rPr>
        <w:t xml:space="preserve"> </w:t>
      </w:r>
      <w:r w:rsidR="0011638B" w:rsidRPr="00A03848">
        <w:rPr>
          <w:szCs w:val="22"/>
          <w:lang w:val="es-ES" w:eastAsia="en-US"/>
        </w:rPr>
        <w:t>territorios de ultramar, abarcando ahora a Anguila, las Islas Caimán, las Bermudas y el territorio formado por las islas de Santa Elena, Ascensión y Tristán de Acuña. El Gobierno aspira a que la ratificación del Reino Unido pronto se extienda al resto de territorios de ultramar y las dependencias de la Corona de Jersey y Guernsey</w:t>
      </w:r>
      <w:r w:rsidR="0011638B" w:rsidRPr="00A03848">
        <w:rPr>
          <w:szCs w:val="22"/>
          <w:vertAlign w:val="superscript"/>
          <w:lang w:val="es-ES" w:eastAsia="en-US"/>
        </w:rPr>
        <w:endnoteReference w:id="2"/>
      </w:r>
      <w:r w:rsidR="0011638B" w:rsidRPr="00A03848">
        <w:rPr>
          <w:szCs w:val="22"/>
          <w:lang w:val="es-ES" w:eastAsia="en-US"/>
        </w:rPr>
        <w:t>.</w:t>
      </w:r>
      <w:bookmarkEnd w:id="27"/>
    </w:p>
    <w:p w14:paraId="55830759" w14:textId="77777777" w:rsidR="00284834" w:rsidRPr="00A03848" w:rsidRDefault="00284834" w:rsidP="00284834">
      <w:pPr>
        <w:pStyle w:val="SingleTxt"/>
        <w:spacing w:after="0" w:line="120" w:lineRule="exact"/>
        <w:rPr>
          <w:sz w:val="10"/>
          <w:szCs w:val="10"/>
          <w:lang w:val="es-ES"/>
        </w:rPr>
      </w:pPr>
      <w:bookmarkStart w:id="29" w:name="bookmark_67"/>
      <w:bookmarkStart w:id="30" w:name="_Toc498530723"/>
    </w:p>
    <w:p w14:paraId="1EBDBF5F" w14:textId="77777777" w:rsidR="00284834" w:rsidRPr="00A03848" w:rsidRDefault="00284834" w:rsidP="00284834">
      <w:pPr>
        <w:pStyle w:val="SingleTxt"/>
        <w:spacing w:after="0" w:line="120" w:lineRule="exact"/>
        <w:rPr>
          <w:sz w:val="10"/>
          <w:szCs w:val="10"/>
          <w:lang w:val="es-ES"/>
        </w:rPr>
      </w:pPr>
    </w:p>
    <w:p w14:paraId="2D37284D" w14:textId="31842A1B" w:rsidR="0011638B" w:rsidRPr="00A03848" w:rsidRDefault="0011638B" w:rsidP="00C01F60">
      <w:pPr>
        <w:pStyle w:val="H1"/>
        <w:ind w:right="1260"/>
        <w:rPr>
          <w:bCs w:val="0"/>
          <w:szCs w:val="20"/>
          <w:lang w:val="es-ES" w:eastAsia="en-US"/>
        </w:rPr>
      </w:pPr>
      <w:r w:rsidRPr="00A03848">
        <w:rPr>
          <w:bCs w:val="0"/>
          <w:szCs w:val="20"/>
          <w:lang w:val="es-ES" w:eastAsia="en-US"/>
        </w:rPr>
        <w:tab/>
      </w:r>
      <w:r w:rsidRPr="00A03848">
        <w:rPr>
          <w:bCs w:val="0"/>
          <w:szCs w:val="20"/>
          <w:lang w:val="es-ES" w:eastAsia="en-US"/>
        </w:rPr>
        <w:tab/>
        <w:t>Artículos 1 a 4. Enfoque del Reino Unido para hacer frente a la</w:t>
      </w:r>
      <w:r w:rsidR="00233A1A" w:rsidRPr="00A03848">
        <w:rPr>
          <w:bCs w:val="0"/>
          <w:szCs w:val="20"/>
          <w:lang w:val="es-ES" w:eastAsia="en-US"/>
        </w:rPr>
        <w:t xml:space="preserve"> </w:t>
      </w:r>
      <w:r w:rsidRPr="00A03848">
        <w:rPr>
          <w:bCs w:val="0"/>
          <w:szCs w:val="20"/>
          <w:lang w:val="es-ES" w:eastAsia="en-US"/>
        </w:rPr>
        <w:t>discriminación y promover la igualdad de género</w:t>
      </w:r>
      <w:bookmarkEnd w:id="29"/>
      <w:bookmarkEnd w:id="30"/>
    </w:p>
    <w:p w14:paraId="3811CEE4" w14:textId="77777777" w:rsidR="00284834" w:rsidRPr="00A03848" w:rsidRDefault="00284834" w:rsidP="00284834">
      <w:pPr>
        <w:pStyle w:val="SingleTxt"/>
        <w:spacing w:after="0" w:line="120" w:lineRule="exact"/>
        <w:rPr>
          <w:sz w:val="10"/>
          <w:szCs w:val="10"/>
          <w:lang w:val="es-ES"/>
        </w:rPr>
      </w:pPr>
    </w:p>
    <w:p w14:paraId="1E3ACE28" w14:textId="77777777" w:rsidR="00284834" w:rsidRPr="00A03848" w:rsidRDefault="00284834" w:rsidP="00284834">
      <w:pPr>
        <w:pStyle w:val="SingleTxt"/>
        <w:spacing w:after="0" w:line="120" w:lineRule="exact"/>
        <w:rPr>
          <w:sz w:val="10"/>
          <w:szCs w:val="10"/>
          <w:lang w:val="es-ES"/>
        </w:rPr>
      </w:pPr>
    </w:p>
    <w:p w14:paraId="51039964" w14:textId="77777777" w:rsidR="0011638B" w:rsidRPr="00A03848" w:rsidRDefault="0011638B" w:rsidP="009F2DF3">
      <w:pPr>
        <w:pStyle w:val="H23"/>
        <w:ind w:right="1260"/>
        <w:rPr>
          <w:bCs w:val="0"/>
          <w:lang w:val="es-ES" w:eastAsia="en-US"/>
        </w:rPr>
      </w:pPr>
      <w:bookmarkStart w:id="31" w:name="bookmark_68"/>
      <w:r w:rsidRPr="00A03848">
        <w:rPr>
          <w:bCs w:val="0"/>
          <w:lang w:val="es-ES" w:eastAsia="en-US"/>
        </w:rPr>
        <w:tab/>
      </w:r>
      <w:r w:rsidRPr="00A03848">
        <w:rPr>
          <w:bCs w:val="0"/>
          <w:lang w:val="es-ES" w:eastAsia="en-US"/>
        </w:rPr>
        <w:tab/>
        <w:t>Enfoque general</w:t>
      </w:r>
      <w:r w:rsidRPr="00A03848">
        <w:rPr>
          <w:bCs w:val="0"/>
          <w:vertAlign w:val="superscript"/>
          <w:lang w:val="es-ES" w:eastAsia="en-US"/>
        </w:rPr>
        <w:endnoteReference w:id="3"/>
      </w:r>
      <w:r w:rsidRPr="00A03848">
        <w:rPr>
          <w:bCs w:val="0"/>
          <w:lang w:val="es-ES" w:eastAsia="en-US"/>
        </w:rPr>
        <w:t xml:space="preserve"> </w:t>
      </w:r>
      <w:bookmarkEnd w:id="31"/>
    </w:p>
    <w:p w14:paraId="12206866" w14:textId="77777777" w:rsidR="00284834" w:rsidRPr="00A03848" w:rsidRDefault="00284834" w:rsidP="00284834">
      <w:pPr>
        <w:pStyle w:val="SingleTxt"/>
        <w:spacing w:after="0" w:line="120" w:lineRule="exact"/>
        <w:rPr>
          <w:sz w:val="10"/>
          <w:szCs w:val="10"/>
          <w:lang w:val="es-ES"/>
        </w:rPr>
      </w:pPr>
    </w:p>
    <w:p w14:paraId="0051C715" w14:textId="6BA301F8" w:rsidR="0011638B" w:rsidRPr="00A03848" w:rsidRDefault="00946670" w:rsidP="00AB43B5">
      <w:pPr>
        <w:pStyle w:val="SingleTxt"/>
        <w:rPr>
          <w:szCs w:val="22"/>
          <w:lang w:val="es-ES" w:eastAsia="en-US"/>
        </w:rPr>
      </w:pPr>
      <w:bookmarkStart w:id="33" w:name="bookmark_70"/>
      <w:r w:rsidRPr="00A03848">
        <w:rPr>
          <w:szCs w:val="22"/>
          <w:lang w:val="es-ES" w:eastAsia="en-US"/>
        </w:rPr>
        <w:t>6.</w:t>
      </w:r>
      <w:r w:rsidRPr="00A03848">
        <w:rPr>
          <w:szCs w:val="22"/>
          <w:lang w:val="es-ES" w:eastAsia="en-US"/>
        </w:rPr>
        <w:tab/>
      </w:r>
      <w:r w:rsidR="0011638B" w:rsidRPr="00A03848">
        <w:rPr>
          <w:szCs w:val="22"/>
          <w:lang w:val="es-ES" w:eastAsia="en-US"/>
        </w:rPr>
        <w:t>El Gobierno del Reino Unido reconoce la importancia de que se coordine y supervise con eficacia la aplicación de la Convención y las observaciones finales del Comité, en particular sus recomendaciones, en todo el Reino Unido y en sus territorios de ultramar y dependencias de la Corona. Se ha establecido una red de funcionarios de todos los departamentos del Gobierno central y de las administraciones descentralizadas, como se señalaba en el séptimo informe periódico del Reino Unido. Tras examinar dicho informe, las observaciones finales y recomendaciones de 2013</w:t>
      </w:r>
      <w:r w:rsidR="0011638B" w:rsidRPr="00A03848">
        <w:rPr>
          <w:szCs w:val="22"/>
          <w:vertAlign w:val="superscript"/>
          <w:lang w:val="es-ES" w:eastAsia="en-US"/>
        </w:rPr>
        <w:footnoteReference w:id="4"/>
      </w:r>
      <w:r w:rsidR="0011638B" w:rsidRPr="00A03848">
        <w:rPr>
          <w:szCs w:val="22"/>
          <w:lang w:val="es-ES" w:eastAsia="en-US"/>
        </w:rPr>
        <w:t xml:space="preserve"> se remitieron a los departamentos ministeriales de todo el Reino Unido para dar a conocer las recomendaciones del Comité. Se creó un grupo de trabajo formado por funcionarios de todo el sector público y dirigido por la Oficina Gubernamental para la Igualdad, con el fin de supervisar la aplicación de las recomendaciones. La red de alto nivel de directores competentes en materia de género, presidida por el Jefe de Igualdad de Género de la Oficina y compuesta por</w:t>
      </w:r>
      <w:r w:rsidR="00233A1A" w:rsidRPr="00A03848">
        <w:rPr>
          <w:szCs w:val="22"/>
          <w:lang w:val="es-ES" w:eastAsia="en-US"/>
        </w:rPr>
        <w:t xml:space="preserve"> </w:t>
      </w:r>
      <w:r w:rsidR="0011638B" w:rsidRPr="00A03848">
        <w:rPr>
          <w:szCs w:val="22"/>
          <w:lang w:val="es-ES" w:eastAsia="en-US"/>
        </w:rPr>
        <w:t>sus homólogos de las administraciones descentralizadas, sigue siendo un foro</w:t>
      </w:r>
      <w:r w:rsidR="00233A1A" w:rsidRPr="00A03848">
        <w:rPr>
          <w:szCs w:val="22"/>
          <w:lang w:val="es-ES" w:eastAsia="en-US"/>
        </w:rPr>
        <w:t xml:space="preserve"> </w:t>
      </w:r>
      <w:r w:rsidR="0011638B" w:rsidRPr="00A03848">
        <w:rPr>
          <w:szCs w:val="22"/>
          <w:lang w:val="es-ES" w:eastAsia="en-US"/>
        </w:rPr>
        <w:t>importante para intercambiar mejores prácticas relativas a la aplicación de la</w:t>
      </w:r>
      <w:r w:rsidR="00233A1A" w:rsidRPr="00A03848">
        <w:rPr>
          <w:szCs w:val="22"/>
          <w:lang w:val="es-ES" w:eastAsia="en-US"/>
        </w:rPr>
        <w:t xml:space="preserve"> </w:t>
      </w:r>
      <w:r w:rsidR="0011638B" w:rsidRPr="00A03848">
        <w:rPr>
          <w:szCs w:val="22"/>
          <w:lang w:val="es-ES" w:eastAsia="en-US"/>
        </w:rPr>
        <w:t>Convención.</w:t>
      </w:r>
      <w:bookmarkEnd w:id="33"/>
    </w:p>
    <w:p w14:paraId="5C4F22AE" w14:textId="6FD641B1" w:rsidR="0011638B" w:rsidRPr="00A03848" w:rsidRDefault="00946670" w:rsidP="00AB43B5">
      <w:pPr>
        <w:pStyle w:val="SingleTxt"/>
        <w:rPr>
          <w:szCs w:val="22"/>
          <w:lang w:val="es-ES" w:eastAsia="en-US"/>
        </w:rPr>
      </w:pPr>
      <w:bookmarkStart w:id="35" w:name="bookmark_72"/>
      <w:r w:rsidRPr="00A03848">
        <w:rPr>
          <w:szCs w:val="22"/>
          <w:lang w:val="es-ES" w:eastAsia="en-US"/>
        </w:rPr>
        <w:t>7.</w:t>
      </w:r>
      <w:r w:rsidRPr="00A03848">
        <w:rPr>
          <w:szCs w:val="22"/>
          <w:lang w:val="es-ES" w:eastAsia="en-US"/>
        </w:rPr>
        <w:tab/>
      </w:r>
      <w:r w:rsidR="0011638B" w:rsidRPr="00A03848">
        <w:rPr>
          <w:szCs w:val="22"/>
          <w:lang w:val="es-ES" w:eastAsia="en-US"/>
        </w:rPr>
        <w:t xml:space="preserve">El Gobierno del Reino Unido y las administraciones descentralizadas han incorporado diversas estrategias para difundir información y crear conciencia acerca de la Convención, las observaciones finales y el Protocolo Facultativo durante el período sobre el que se informa, entre ellas: </w:t>
      </w:r>
      <w:bookmarkEnd w:id="35"/>
    </w:p>
    <w:p w14:paraId="62F253F0" w14:textId="77777777" w:rsidR="0011638B" w:rsidRPr="00A03848" w:rsidRDefault="00096038" w:rsidP="00096038">
      <w:pPr>
        <w:pStyle w:val="SingleTxt"/>
        <w:tabs>
          <w:tab w:val="right" w:pos="1685"/>
        </w:tabs>
        <w:ind w:left="1742" w:hanging="475"/>
        <w:rPr>
          <w:lang w:val="es-ES"/>
        </w:rPr>
      </w:pPr>
      <w:bookmarkStart w:id="36" w:name="bookmark_73"/>
      <w:r w:rsidRPr="00A03848">
        <w:rPr>
          <w:lang w:val="es-ES"/>
        </w:rPr>
        <w:tab/>
        <w:t>•</w:t>
      </w:r>
      <w:r w:rsidRPr="00A03848">
        <w:rPr>
          <w:lang w:val="es-ES"/>
        </w:rPr>
        <w:tab/>
      </w:r>
      <w:r w:rsidR="0011638B" w:rsidRPr="00A03848">
        <w:rPr>
          <w:lang w:val="es-ES"/>
        </w:rPr>
        <w:t xml:space="preserve">la inclusión de información sobre la Convención y el Protocolo Facultativo en el sitio web de la Oficina Gubernamental para la Igualdad; </w:t>
      </w:r>
      <w:bookmarkEnd w:id="36"/>
    </w:p>
    <w:p w14:paraId="058B078A" w14:textId="77777777" w:rsidR="0011638B" w:rsidRPr="00A03848" w:rsidRDefault="00096038" w:rsidP="00096038">
      <w:pPr>
        <w:pStyle w:val="SingleTxt"/>
        <w:tabs>
          <w:tab w:val="right" w:pos="1685"/>
        </w:tabs>
        <w:ind w:left="1742" w:hanging="475"/>
        <w:rPr>
          <w:lang w:val="es-ES"/>
        </w:rPr>
      </w:pPr>
      <w:bookmarkStart w:id="37" w:name="bookmark_74"/>
      <w:r w:rsidRPr="00A03848">
        <w:rPr>
          <w:lang w:val="es-ES"/>
        </w:rPr>
        <w:tab/>
        <w:t>•</w:t>
      </w:r>
      <w:r w:rsidRPr="00A03848">
        <w:rPr>
          <w:lang w:val="es-ES"/>
        </w:rPr>
        <w:tab/>
      </w:r>
      <w:r w:rsidR="0011638B" w:rsidRPr="00A03848">
        <w:rPr>
          <w:lang w:val="es-ES"/>
        </w:rPr>
        <w:t>la financiación y la celebración de nueve actos de consulta para conmemorar el 20° aniversario de la Declaración y Plataforma de Acción de Beijing y concienciar acerca de la Convención;</w:t>
      </w:r>
      <w:bookmarkStart w:id="38" w:name="_GoBack"/>
      <w:bookmarkEnd w:id="37"/>
      <w:bookmarkEnd w:id="38"/>
    </w:p>
    <w:p w14:paraId="41ACFB72" w14:textId="77777777" w:rsidR="0011638B" w:rsidRPr="00A03848" w:rsidRDefault="00096038" w:rsidP="00096038">
      <w:pPr>
        <w:pStyle w:val="SingleTxt"/>
        <w:tabs>
          <w:tab w:val="right" w:pos="1685"/>
        </w:tabs>
        <w:ind w:left="1742" w:hanging="475"/>
        <w:rPr>
          <w:lang w:val="es-ES"/>
        </w:rPr>
      </w:pPr>
      <w:bookmarkStart w:id="39" w:name="bookmark_75"/>
      <w:r w:rsidRPr="00A03848">
        <w:rPr>
          <w:lang w:val="es-ES"/>
        </w:rPr>
        <w:tab/>
        <w:t>•</w:t>
      </w:r>
      <w:r w:rsidRPr="00A03848">
        <w:rPr>
          <w:lang w:val="es-ES"/>
        </w:rPr>
        <w:tab/>
      </w:r>
      <w:r w:rsidR="0011638B" w:rsidRPr="00A03848">
        <w:rPr>
          <w:lang w:val="es-ES"/>
        </w:rPr>
        <w:t>la participación en los grupos encargados de vigilar la aplicación de tratados del Reino Unido (p. ej., la Oficina Gubernamental para la Igualdad está representada en el Grupo de Trabajo de Supervisión de Tratados dentro de la Comisión para la Igualdad y los Derechos Humanos);</w:t>
      </w:r>
      <w:bookmarkEnd w:id="39"/>
    </w:p>
    <w:p w14:paraId="243714BD" w14:textId="77777777" w:rsidR="0011638B" w:rsidRPr="00A03848" w:rsidRDefault="00096038" w:rsidP="00096038">
      <w:pPr>
        <w:pStyle w:val="SingleTxt"/>
        <w:tabs>
          <w:tab w:val="right" w:pos="1685"/>
        </w:tabs>
        <w:ind w:left="1742" w:hanging="475"/>
        <w:rPr>
          <w:lang w:val="es-ES"/>
        </w:rPr>
      </w:pPr>
      <w:bookmarkStart w:id="40" w:name="bookmark_76"/>
      <w:r w:rsidRPr="00A03848">
        <w:rPr>
          <w:lang w:val="es-ES"/>
        </w:rPr>
        <w:tab/>
        <w:t>•</w:t>
      </w:r>
      <w:r w:rsidRPr="00A03848">
        <w:rPr>
          <w:lang w:val="es-ES"/>
        </w:rPr>
        <w:tab/>
      </w:r>
      <w:r w:rsidR="0011638B" w:rsidRPr="00A03848">
        <w:rPr>
          <w:lang w:val="es-ES"/>
        </w:rPr>
        <w:t>la colaboración con el Ministerio de Relaciones Exteriores y Asuntos del Commonwealth a fin de organizar la primera conferencia del Reino Unido sobre derechos humanos en los territorios de ultramar dirigida a las comisiones de derechos humanos de dichos territorios, en la que se compartió el enfoque adoptado por el Reino Unido para aplicar la Convención.</w:t>
      </w:r>
      <w:bookmarkEnd w:id="40"/>
    </w:p>
    <w:p w14:paraId="702365B5" w14:textId="77777777" w:rsidR="00284834" w:rsidRPr="00A03848" w:rsidRDefault="00284834" w:rsidP="00284834">
      <w:pPr>
        <w:pStyle w:val="SingleTxt"/>
        <w:spacing w:after="0" w:line="120" w:lineRule="exact"/>
        <w:rPr>
          <w:sz w:val="10"/>
          <w:szCs w:val="10"/>
          <w:lang w:val="es-ES"/>
        </w:rPr>
      </w:pPr>
    </w:p>
    <w:p w14:paraId="739AD144" w14:textId="77777777" w:rsidR="0011638B" w:rsidRPr="00A03848" w:rsidRDefault="0011638B" w:rsidP="009F2DF3">
      <w:pPr>
        <w:pStyle w:val="H23"/>
        <w:ind w:right="1260"/>
        <w:rPr>
          <w:bCs w:val="0"/>
          <w:lang w:val="es-ES" w:eastAsia="en-US"/>
        </w:rPr>
      </w:pPr>
      <w:bookmarkStart w:id="41" w:name="bookmark_77"/>
      <w:r w:rsidRPr="00A03848">
        <w:rPr>
          <w:bCs w:val="0"/>
          <w:lang w:val="es-ES" w:eastAsia="en-US"/>
        </w:rPr>
        <w:tab/>
      </w:r>
      <w:r w:rsidRPr="00A03848">
        <w:rPr>
          <w:bCs w:val="0"/>
          <w:lang w:val="es-ES" w:eastAsia="en-US"/>
        </w:rPr>
        <w:tab/>
        <w:t>Enfoque legislativo</w:t>
      </w:r>
      <w:bookmarkEnd w:id="41"/>
    </w:p>
    <w:p w14:paraId="155B10A5" w14:textId="77777777" w:rsidR="00284834" w:rsidRPr="00A03848" w:rsidRDefault="00284834" w:rsidP="00284834">
      <w:pPr>
        <w:pStyle w:val="SingleTxt"/>
        <w:spacing w:after="0" w:line="120" w:lineRule="exact"/>
        <w:rPr>
          <w:sz w:val="10"/>
          <w:szCs w:val="10"/>
          <w:lang w:val="es-ES"/>
        </w:rPr>
      </w:pPr>
    </w:p>
    <w:p w14:paraId="619A55FE" w14:textId="77777777" w:rsidR="0011638B" w:rsidRPr="00A03848" w:rsidRDefault="0011638B" w:rsidP="009F2DF3">
      <w:pPr>
        <w:pStyle w:val="H4"/>
        <w:ind w:right="1260"/>
        <w:rPr>
          <w:iCs w:val="0"/>
          <w:lang w:val="es-ES" w:eastAsia="en-US"/>
        </w:rPr>
      </w:pPr>
      <w:bookmarkStart w:id="42" w:name="bookmark_78"/>
      <w:r w:rsidRPr="00A03848">
        <w:rPr>
          <w:iCs w:val="0"/>
          <w:lang w:val="es-ES" w:eastAsia="en-US"/>
        </w:rPr>
        <w:tab/>
      </w:r>
      <w:r w:rsidRPr="00A03848">
        <w:rPr>
          <w:iCs w:val="0"/>
          <w:lang w:val="es-ES" w:eastAsia="en-US"/>
        </w:rPr>
        <w:tab/>
        <w:t>Aplicación de las disposiciones de la Ley de Igualdad de 2010</w:t>
      </w:r>
      <w:bookmarkEnd w:id="42"/>
    </w:p>
    <w:p w14:paraId="78E1D91F" w14:textId="77777777" w:rsidR="00284834" w:rsidRPr="00A03848" w:rsidRDefault="00284834" w:rsidP="00284834">
      <w:pPr>
        <w:pStyle w:val="SingleTxt"/>
        <w:spacing w:after="0" w:line="120" w:lineRule="exact"/>
        <w:rPr>
          <w:sz w:val="10"/>
          <w:szCs w:val="10"/>
          <w:lang w:val="es-ES"/>
        </w:rPr>
      </w:pPr>
    </w:p>
    <w:p w14:paraId="0B537107" w14:textId="05AE3E29" w:rsidR="0011638B" w:rsidRPr="00A03848" w:rsidRDefault="00946670" w:rsidP="00AB43B5">
      <w:pPr>
        <w:pStyle w:val="SingleTxt"/>
        <w:rPr>
          <w:szCs w:val="22"/>
          <w:lang w:val="es-ES" w:eastAsia="en-US"/>
        </w:rPr>
      </w:pPr>
      <w:bookmarkStart w:id="43" w:name="bookmark_79"/>
      <w:r w:rsidRPr="00A03848">
        <w:rPr>
          <w:szCs w:val="22"/>
          <w:lang w:val="es-ES" w:eastAsia="en-US"/>
        </w:rPr>
        <w:t>8.</w:t>
      </w:r>
      <w:r w:rsidRPr="00A03848">
        <w:rPr>
          <w:szCs w:val="22"/>
          <w:lang w:val="es-ES" w:eastAsia="en-US"/>
        </w:rPr>
        <w:tab/>
      </w:r>
      <w:r w:rsidR="0011638B" w:rsidRPr="00A03848">
        <w:rPr>
          <w:szCs w:val="22"/>
          <w:lang w:val="es-ES" w:eastAsia="en-US"/>
        </w:rPr>
        <w:t>La Ley de Igualdad (2010)</w:t>
      </w:r>
      <w:r w:rsidR="0011638B" w:rsidRPr="00A03848">
        <w:rPr>
          <w:szCs w:val="22"/>
          <w:vertAlign w:val="superscript"/>
          <w:lang w:val="es-ES" w:eastAsia="en-US"/>
        </w:rPr>
        <w:footnoteReference w:id="5"/>
      </w:r>
      <w:r w:rsidR="0011638B" w:rsidRPr="00A03848">
        <w:rPr>
          <w:szCs w:val="22"/>
          <w:lang w:val="es-ES" w:eastAsia="en-US"/>
        </w:rPr>
        <w:t xml:space="preserve"> prohíbe la discriminación directa e indirecta, el acoso, la victimización y otras conductas específicas, con algunas excepciones permitidas como legales cuando corresponde. Observando la recomendación del Comité, el Gobierno del Reino Unido no está de acuerdo en que la Ley de Igualdad de 2010 deba incorporar todas las disposiciones de la Convención. Si lo hiciera, sería desproporcionada desde el punto de vista del género, puesto que otorgaría a las mujeres más derechos que a los demás, como por ejemplo, las personas con discapacidad o las personas de distintos grupos de raza negra, origen asiático y minorías étnicas. Esto socavaría los fundamentos de la legislación que ofrece protección a las personas que tienen una de las nueve características protegidas; por</w:t>
      </w:r>
      <w:r w:rsidR="00233A1A" w:rsidRPr="00A03848">
        <w:rPr>
          <w:szCs w:val="22"/>
          <w:lang w:val="es-ES" w:eastAsia="en-US"/>
        </w:rPr>
        <w:t xml:space="preserve"> </w:t>
      </w:r>
      <w:r w:rsidR="0011638B" w:rsidRPr="00A03848">
        <w:rPr>
          <w:szCs w:val="22"/>
          <w:lang w:val="es-ES" w:eastAsia="en-US"/>
        </w:rPr>
        <w:t>lo tanto, la Ley de Igualdad de 2010 evita la discriminación basada en una serie</w:t>
      </w:r>
      <w:r w:rsidR="00233A1A" w:rsidRPr="00A03848">
        <w:rPr>
          <w:szCs w:val="22"/>
          <w:lang w:val="es-ES" w:eastAsia="en-US"/>
        </w:rPr>
        <w:t xml:space="preserve"> </w:t>
      </w:r>
      <w:r w:rsidR="0011638B" w:rsidRPr="00A03848">
        <w:rPr>
          <w:szCs w:val="22"/>
          <w:lang w:val="es-ES" w:eastAsia="en-US"/>
        </w:rPr>
        <w:t>de características que se protegen de manera equitativa y sin crear una jerarquía de igualdad</w:t>
      </w:r>
      <w:r w:rsidR="0011638B" w:rsidRPr="00A03848">
        <w:rPr>
          <w:szCs w:val="22"/>
          <w:vertAlign w:val="superscript"/>
          <w:lang w:val="es-ES" w:eastAsia="en-US"/>
        </w:rPr>
        <w:endnoteReference w:id="4"/>
      </w:r>
      <w:r w:rsidR="0011638B" w:rsidRPr="00A03848">
        <w:rPr>
          <w:szCs w:val="22"/>
          <w:lang w:val="es-ES" w:eastAsia="en-US"/>
        </w:rPr>
        <w:t xml:space="preserve">. </w:t>
      </w:r>
      <w:bookmarkEnd w:id="43"/>
    </w:p>
    <w:p w14:paraId="1B23C946" w14:textId="77777777" w:rsidR="00284834" w:rsidRPr="00A03848" w:rsidRDefault="00284834" w:rsidP="00284834">
      <w:pPr>
        <w:pStyle w:val="SingleTxt"/>
        <w:spacing w:after="0" w:line="120" w:lineRule="exact"/>
        <w:rPr>
          <w:sz w:val="10"/>
          <w:szCs w:val="10"/>
          <w:lang w:val="es-ES"/>
        </w:rPr>
      </w:pPr>
      <w:bookmarkStart w:id="45" w:name="bookmark_82"/>
    </w:p>
    <w:p w14:paraId="46ED50F4" w14:textId="77777777" w:rsidR="0011638B" w:rsidRPr="00A03848" w:rsidRDefault="0011638B" w:rsidP="009F2DF3">
      <w:pPr>
        <w:pStyle w:val="H4"/>
        <w:ind w:right="1260"/>
        <w:rPr>
          <w:iCs w:val="0"/>
          <w:lang w:val="es-ES" w:eastAsia="en-US"/>
        </w:rPr>
      </w:pPr>
      <w:r w:rsidRPr="00A03848">
        <w:rPr>
          <w:iCs w:val="0"/>
          <w:lang w:val="es-ES" w:eastAsia="en-US"/>
        </w:rPr>
        <w:tab/>
      </w:r>
      <w:r w:rsidRPr="00A03848">
        <w:rPr>
          <w:iCs w:val="0"/>
          <w:lang w:val="es-ES" w:eastAsia="en-US"/>
        </w:rPr>
        <w:tab/>
        <w:t>Obligación de igualdad en el sector público</w:t>
      </w:r>
      <w:bookmarkEnd w:id="45"/>
    </w:p>
    <w:p w14:paraId="19478845" w14:textId="77777777" w:rsidR="00284834" w:rsidRPr="00A03848" w:rsidRDefault="00284834" w:rsidP="00284834">
      <w:pPr>
        <w:pStyle w:val="SingleTxt"/>
        <w:spacing w:after="0" w:line="120" w:lineRule="exact"/>
        <w:rPr>
          <w:sz w:val="10"/>
          <w:szCs w:val="10"/>
          <w:lang w:val="es-ES"/>
        </w:rPr>
      </w:pPr>
    </w:p>
    <w:p w14:paraId="68437A8F" w14:textId="5254C806" w:rsidR="0011638B" w:rsidRPr="00A03848" w:rsidRDefault="00946670" w:rsidP="00AB43B5">
      <w:pPr>
        <w:pStyle w:val="SingleTxt"/>
        <w:rPr>
          <w:szCs w:val="22"/>
          <w:lang w:val="es-ES" w:eastAsia="en-US"/>
        </w:rPr>
      </w:pPr>
      <w:bookmarkStart w:id="46" w:name="bookmark_83"/>
      <w:r w:rsidRPr="00A03848">
        <w:rPr>
          <w:szCs w:val="22"/>
          <w:lang w:val="es-ES" w:eastAsia="en-US"/>
        </w:rPr>
        <w:t>9.</w:t>
      </w:r>
      <w:r w:rsidRPr="00A03848">
        <w:rPr>
          <w:szCs w:val="22"/>
          <w:lang w:val="es-ES" w:eastAsia="en-US"/>
        </w:rPr>
        <w:tab/>
      </w:r>
      <w:r w:rsidR="0011638B" w:rsidRPr="00A03848">
        <w:rPr>
          <w:szCs w:val="22"/>
          <w:lang w:val="es-ES" w:eastAsia="en-US"/>
        </w:rPr>
        <w:t>La obligación de igualdad en el sector público debe interpretarse de forma coherente con el resto de la Ley de Igualdad de 2010. El Gobierno del Reino Unido respalda las directrices incluidas en el código de prácticas reglamentario de la Ley de Igualdad de 2010 de la Comisión de Igualdad y Derechos Humanos</w:t>
      </w:r>
      <w:r w:rsidR="0011638B" w:rsidRPr="00A03848">
        <w:rPr>
          <w:szCs w:val="22"/>
          <w:vertAlign w:val="superscript"/>
          <w:lang w:val="es-ES" w:eastAsia="en-US"/>
        </w:rPr>
        <w:footnoteReference w:id="6"/>
      </w:r>
      <w:r w:rsidR="0011638B" w:rsidRPr="00A03848">
        <w:rPr>
          <w:szCs w:val="22"/>
          <w:lang w:val="es-ES" w:eastAsia="en-US"/>
        </w:rPr>
        <w:t>, el cual ayuda a interpretar la obligación de igualdad en el sector público. También existen directrices no reglamentarias para ayudar a las autoridades públicas a comprender y cumplir sus funciones. El Gobierno del Reino Unido se ha propuesto lograr un país más justo para todos y se esfuerza por distinguir y afrontar los motivos de las desigualdades socioeconómicas</w:t>
      </w:r>
      <w:r w:rsidR="0011638B" w:rsidRPr="00A03848">
        <w:rPr>
          <w:szCs w:val="22"/>
          <w:vertAlign w:val="superscript"/>
          <w:lang w:val="es-ES" w:eastAsia="en-US"/>
        </w:rPr>
        <w:endnoteReference w:id="5"/>
      </w:r>
      <w:r w:rsidR="0011638B" w:rsidRPr="00A03848">
        <w:rPr>
          <w:szCs w:val="22"/>
          <w:lang w:val="es-ES" w:eastAsia="en-US"/>
        </w:rPr>
        <w:t>. La Ley de Irlanda del Norte de 1998, artículo 75, obliga a las autoridades públicas a tener debidamente en cuenta la necesidad de promover la igualdad de oportunidades entre hombres y mujeres en general en el ejercicio de sus funciones.</w:t>
      </w:r>
      <w:bookmarkEnd w:id="46"/>
    </w:p>
    <w:p w14:paraId="7FC1A254" w14:textId="77777777" w:rsidR="00284834" w:rsidRPr="00A03848" w:rsidRDefault="00284834" w:rsidP="00284834">
      <w:pPr>
        <w:pStyle w:val="SingleTxt"/>
        <w:spacing w:after="0" w:line="120" w:lineRule="exact"/>
        <w:rPr>
          <w:sz w:val="10"/>
          <w:szCs w:val="10"/>
          <w:lang w:val="es-ES"/>
        </w:rPr>
      </w:pPr>
    </w:p>
    <w:p w14:paraId="427D5D50" w14:textId="77777777" w:rsidR="0011638B" w:rsidRPr="00A03848" w:rsidRDefault="0011638B" w:rsidP="009F2DF3">
      <w:pPr>
        <w:pStyle w:val="H4"/>
        <w:ind w:right="1260"/>
        <w:rPr>
          <w:iCs w:val="0"/>
          <w:lang w:val="es-ES" w:eastAsia="en-US"/>
        </w:rPr>
      </w:pPr>
      <w:bookmarkStart w:id="49" w:name="bookmark_86"/>
      <w:r w:rsidRPr="00A03848">
        <w:rPr>
          <w:iCs w:val="0"/>
          <w:lang w:val="es-ES" w:eastAsia="en-US"/>
        </w:rPr>
        <w:tab/>
      </w:r>
      <w:r w:rsidRPr="00A03848">
        <w:rPr>
          <w:iCs w:val="0"/>
          <w:lang w:val="es-ES" w:eastAsia="en-US"/>
        </w:rPr>
        <w:tab/>
        <w:t xml:space="preserve">Formación sobre la obligación de igualdad en el sector público </w:t>
      </w:r>
      <w:bookmarkEnd w:id="49"/>
    </w:p>
    <w:p w14:paraId="5E719602" w14:textId="77777777" w:rsidR="00284834" w:rsidRPr="00A03848" w:rsidRDefault="00284834" w:rsidP="00284834">
      <w:pPr>
        <w:pStyle w:val="SingleTxt"/>
        <w:spacing w:after="0" w:line="120" w:lineRule="exact"/>
        <w:rPr>
          <w:sz w:val="10"/>
          <w:szCs w:val="10"/>
          <w:lang w:val="es-ES"/>
        </w:rPr>
      </w:pPr>
    </w:p>
    <w:p w14:paraId="4694C3A9" w14:textId="53C5477F" w:rsidR="0011638B" w:rsidRPr="00A03848" w:rsidRDefault="00946670" w:rsidP="00AB43B5">
      <w:pPr>
        <w:pStyle w:val="SingleTxt"/>
        <w:rPr>
          <w:szCs w:val="22"/>
          <w:lang w:val="es-ES" w:eastAsia="en-US"/>
        </w:rPr>
      </w:pPr>
      <w:bookmarkStart w:id="50" w:name="bookmark_87"/>
      <w:r w:rsidRPr="00A03848">
        <w:rPr>
          <w:szCs w:val="22"/>
          <w:lang w:val="es-ES" w:eastAsia="en-US"/>
        </w:rPr>
        <w:t>10.</w:t>
      </w:r>
      <w:r w:rsidRPr="00A03848">
        <w:rPr>
          <w:szCs w:val="22"/>
          <w:lang w:val="es-ES" w:eastAsia="en-US"/>
        </w:rPr>
        <w:tab/>
      </w:r>
      <w:r w:rsidR="0011638B" w:rsidRPr="00A03848">
        <w:rPr>
          <w:szCs w:val="22"/>
          <w:lang w:val="es-ES" w:eastAsia="en-US"/>
        </w:rPr>
        <w:t>La mayoría de los departamentos del Gobierno del Reino Unido disponen de abogados que ofrecen formación sobre la obligación de igualdad en el sector público o la discriminación a sus funcionarios encargados de políticas, con miras a que el personal de primera línea comprenda lo que esta obligación exige. Por lo tanto, los departamentos pueden asegurarse de que cumplen la obligación de igualdad en el sector público en el proceso de formulación de políticas y adopción de decisiones. Podrán entonces evaluar los efectos que tienen sus políticas en los grupos con características protegidas, incluidas las mujeres, lo que les permitirá tener debidamente en cuenta la promoción de la igualdad de oportunidades para las mujeres y fomentar las buenas relaciones entre las mujeres y otras personas con características protegidas.</w:t>
      </w:r>
      <w:bookmarkEnd w:id="50"/>
    </w:p>
    <w:p w14:paraId="54230AAD" w14:textId="66D35087" w:rsidR="0011638B" w:rsidRPr="00A03848" w:rsidRDefault="00946670" w:rsidP="00AB43B5">
      <w:pPr>
        <w:pStyle w:val="SingleTxt"/>
        <w:keepLines/>
        <w:rPr>
          <w:szCs w:val="22"/>
          <w:lang w:val="es-ES" w:eastAsia="en-US"/>
        </w:rPr>
      </w:pPr>
      <w:bookmarkStart w:id="51" w:name="bookmark_88"/>
      <w:r w:rsidRPr="00A03848">
        <w:rPr>
          <w:szCs w:val="22"/>
          <w:lang w:val="es-ES" w:eastAsia="en-US"/>
        </w:rPr>
        <w:t>11.</w:t>
      </w:r>
      <w:r w:rsidRPr="00A03848">
        <w:rPr>
          <w:szCs w:val="22"/>
          <w:lang w:val="es-ES" w:eastAsia="en-US"/>
        </w:rPr>
        <w:tab/>
      </w:r>
      <w:r w:rsidR="0011638B" w:rsidRPr="00A03848">
        <w:rPr>
          <w:szCs w:val="22"/>
          <w:lang w:val="es-ES" w:eastAsia="en-US"/>
        </w:rPr>
        <w:t>En Escocia, los Reglamentos (sobre Obligaciones Específicas) (de Escocia) de 2012 relativos a la Ley de Igualdad de 2010 obligan a las autoridades públicas a emprender diversas actividades que permitan cumplir mejor la obligación de igualdad en el sector público contemplada en la Ley de Igualdad de 2010. Estas actividades incluyen: presentar informes sobre la incorporación de la igualdad; fijar resultados en materia de igualdad y presentar informes sobre los progresos; realizar una evaluación sobre los efectos de las políticas de igualdad; reunir, utilizar y publicar información acerca de los empleados; y publicar datos sobre sus diferencias salariales por razón de género y una declaración que exponga la política de igualdad de remuneración y los detalles de la segregación ocupacional.</w:t>
      </w:r>
      <w:bookmarkEnd w:id="51"/>
    </w:p>
    <w:p w14:paraId="5F5D7858" w14:textId="77777777" w:rsidR="00284834" w:rsidRPr="00A03848" w:rsidRDefault="00284834" w:rsidP="00284834">
      <w:pPr>
        <w:pStyle w:val="SingleTxt"/>
        <w:spacing w:after="0" w:line="120" w:lineRule="exact"/>
        <w:rPr>
          <w:sz w:val="10"/>
          <w:szCs w:val="10"/>
          <w:lang w:val="es-ES"/>
        </w:rPr>
      </w:pPr>
      <w:bookmarkStart w:id="52" w:name="bookmark_89"/>
    </w:p>
    <w:p w14:paraId="1FDEBE95" w14:textId="77777777" w:rsidR="0011638B" w:rsidRPr="00A03848" w:rsidRDefault="0011638B" w:rsidP="009F2DF3">
      <w:pPr>
        <w:pStyle w:val="H4"/>
        <w:ind w:right="1260"/>
        <w:rPr>
          <w:iCs w:val="0"/>
          <w:lang w:val="es-ES" w:eastAsia="en-US"/>
        </w:rPr>
      </w:pPr>
      <w:r w:rsidRPr="00A03848">
        <w:rPr>
          <w:iCs w:val="0"/>
          <w:lang w:val="es-ES" w:eastAsia="en-US"/>
        </w:rPr>
        <w:tab/>
      </w:r>
      <w:r w:rsidRPr="00A03848">
        <w:rPr>
          <w:iCs w:val="0"/>
          <w:lang w:val="es-ES" w:eastAsia="en-US"/>
        </w:rPr>
        <w:tab/>
        <w:t>Informes sobre la desigualdad salarial por razón de género</w:t>
      </w:r>
      <w:bookmarkEnd w:id="52"/>
    </w:p>
    <w:p w14:paraId="3F422236" w14:textId="77777777" w:rsidR="00284834" w:rsidRPr="00A03848" w:rsidRDefault="00284834" w:rsidP="00284834">
      <w:pPr>
        <w:pStyle w:val="SingleTxt"/>
        <w:spacing w:after="0" w:line="120" w:lineRule="exact"/>
        <w:rPr>
          <w:sz w:val="10"/>
          <w:szCs w:val="10"/>
          <w:lang w:val="es-ES"/>
        </w:rPr>
      </w:pPr>
    </w:p>
    <w:p w14:paraId="6727416A" w14:textId="1775E140" w:rsidR="0011638B" w:rsidRPr="00A03848" w:rsidRDefault="00946670" w:rsidP="00AB43B5">
      <w:pPr>
        <w:pStyle w:val="SingleTxt"/>
        <w:rPr>
          <w:szCs w:val="22"/>
          <w:lang w:val="es-ES" w:eastAsia="en-US"/>
        </w:rPr>
      </w:pPr>
      <w:bookmarkStart w:id="53" w:name="bookmark_90"/>
      <w:r w:rsidRPr="00A03848">
        <w:rPr>
          <w:szCs w:val="22"/>
          <w:lang w:val="es-ES" w:eastAsia="en-US"/>
        </w:rPr>
        <w:t>12.</w:t>
      </w:r>
      <w:r w:rsidRPr="00A03848">
        <w:rPr>
          <w:szCs w:val="22"/>
          <w:lang w:val="es-ES" w:eastAsia="en-US"/>
        </w:rPr>
        <w:tab/>
      </w:r>
      <w:r w:rsidR="0011638B" w:rsidRPr="00A03848">
        <w:rPr>
          <w:szCs w:val="22"/>
          <w:lang w:val="es-ES" w:eastAsia="en-US"/>
        </w:rPr>
        <w:t>El Gobierno del Reino Unido ha cumplido la recomendación del Comité de exigir a las grandes organizaciones que publiquen los datos relativos a sus diferencias salariales por razón de género. Los Reglamentos (de Información sobre la Desigualdad Salarial por razón de Género) de 2017 de la Ley de Igualdad de 2010 se introdujeron en el artículo 78 de dicha ley y se aplican a los grandes empleadores de los sectores privado y voluntario. Los Reglamentos (de Obligaciones Específicas y Autoridades Públicas) de 2017 de la Ley de Igualdad, introducidos en el artículo</w:t>
      </w:r>
      <w:r w:rsidR="00233A1A" w:rsidRPr="00A03848">
        <w:rPr>
          <w:szCs w:val="22"/>
          <w:lang w:val="es-ES" w:eastAsia="en-US"/>
        </w:rPr>
        <w:t xml:space="preserve"> </w:t>
      </w:r>
      <w:r w:rsidR="0011638B" w:rsidRPr="00A03848">
        <w:rPr>
          <w:szCs w:val="22"/>
          <w:lang w:val="es-ES" w:eastAsia="en-US"/>
        </w:rPr>
        <w:t>153 de dicha ley, sustituyen a los reglamentos anteriores de obligaciones específicas de Inglaterra que sustentan la obligación de igualdad en el sector</w:t>
      </w:r>
      <w:r w:rsidR="00233A1A" w:rsidRPr="00A03848">
        <w:rPr>
          <w:szCs w:val="22"/>
          <w:lang w:val="es-ES" w:eastAsia="en-US"/>
        </w:rPr>
        <w:t xml:space="preserve"> </w:t>
      </w:r>
      <w:r w:rsidR="0011638B" w:rsidRPr="00A03848">
        <w:rPr>
          <w:szCs w:val="22"/>
          <w:lang w:val="es-ES" w:eastAsia="en-US"/>
        </w:rPr>
        <w:t xml:space="preserve">público. </w:t>
      </w:r>
      <w:bookmarkEnd w:id="53"/>
    </w:p>
    <w:p w14:paraId="68056A81" w14:textId="5CAE5FE6" w:rsidR="0011638B" w:rsidRPr="00A03848" w:rsidRDefault="00946670" w:rsidP="00AB43B5">
      <w:pPr>
        <w:pStyle w:val="SingleTxt"/>
        <w:rPr>
          <w:szCs w:val="22"/>
          <w:lang w:val="es-ES" w:eastAsia="en-US"/>
        </w:rPr>
      </w:pPr>
      <w:bookmarkStart w:id="54" w:name="bookmark_91"/>
      <w:r w:rsidRPr="00A03848">
        <w:rPr>
          <w:szCs w:val="22"/>
          <w:lang w:val="es-ES" w:eastAsia="en-US"/>
        </w:rPr>
        <w:t>13.</w:t>
      </w:r>
      <w:r w:rsidRPr="00A03848">
        <w:rPr>
          <w:szCs w:val="22"/>
          <w:lang w:val="es-ES" w:eastAsia="en-US"/>
        </w:rPr>
        <w:tab/>
      </w:r>
      <w:r w:rsidR="0011638B" w:rsidRPr="00A03848">
        <w:rPr>
          <w:szCs w:val="22"/>
          <w:lang w:val="es-ES" w:eastAsia="en-US"/>
        </w:rPr>
        <w:t>Observando las preocupaciones del Comité, el artículo 19 de la Ley de Empleo (de Irlanda del Norte) de 2016 establece en Irlanda del Norte que los empleadores deben publicar, de conformidad con los reglamentos aprobados por la Oficina Ejecutiva, información que indique si existen disparidades salariales por razón de género entre sus empleados. La información deberá presentarse haciendo referencia a una serie de factores previstos en los reglamentos. Cuando se detecten diferencias salariales por razón de género, los empleadores deberán publicar un plan de acción para eliminarlas y facilitar un ejemplar de dicho plan a los empleados y los sindicatos reconocidos. El tamaño de los empleadores a los que se aplican los requisitos (determinado por el número de empleados de la organización) se establecerá en los reglamentos. Los reglamentos previstos en el artículo 19 de la Ley de 2016 todavía no se han elaborado. En el artículo 19 de la Ley de 2016 también se prevé la publicación de una estrategia y un plan de acción para eliminar las diferencias salariales por razón de género</w:t>
      </w:r>
      <w:r w:rsidR="0011638B" w:rsidRPr="00A03848">
        <w:rPr>
          <w:szCs w:val="22"/>
          <w:vertAlign w:val="superscript"/>
          <w:lang w:val="es-ES" w:eastAsia="en-US"/>
        </w:rPr>
        <w:endnoteReference w:id="6"/>
      </w:r>
      <w:r w:rsidR="0011638B" w:rsidRPr="00A03848">
        <w:rPr>
          <w:szCs w:val="22"/>
          <w:lang w:val="es-ES" w:eastAsia="en-US"/>
        </w:rPr>
        <w:t xml:space="preserve">. </w:t>
      </w:r>
      <w:bookmarkEnd w:id="54"/>
    </w:p>
    <w:p w14:paraId="32D3BF64" w14:textId="11F9A6FB" w:rsidR="0011638B" w:rsidRPr="00A03848" w:rsidRDefault="00946670" w:rsidP="00AB43B5">
      <w:pPr>
        <w:pStyle w:val="SingleTxt"/>
        <w:rPr>
          <w:szCs w:val="22"/>
          <w:lang w:val="es-ES" w:eastAsia="en-US"/>
        </w:rPr>
      </w:pPr>
      <w:bookmarkStart w:id="56" w:name="bookmark_93"/>
      <w:r w:rsidRPr="00A03848">
        <w:rPr>
          <w:szCs w:val="22"/>
          <w:lang w:val="es-ES" w:eastAsia="en-US"/>
        </w:rPr>
        <w:t>14.</w:t>
      </w:r>
      <w:r w:rsidRPr="00A03848">
        <w:rPr>
          <w:szCs w:val="22"/>
          <w:lang w:val="es-ES" w:eastAsia="en-US"/>
        </w:rPr>
        <w:tab/>
      </w:r>
      <w:r w:rsidR="0011638B" w:rsidRPr="00A03848">
        <w:rPr>
          <w:szCs w:val="22"/>
          <w:lang w:val="es-ES" w:eastAsia="en-US"/>
        </w:rPr>
        <w:t>En Escocia, los Reglamentos (sobre Obligaciones Específicas) (de Escocia) de 2012 de la Ley de Igualdad de 2010 obligan a las autoridades públicas escocesas a publicar sus datos de desigualdad salarial por razón de género y una declaración que</w:t>
      </w:r>
      <w:r w:rsidR="00D0242B" w:rsidRPr="00A03848">
        <w:rPr>
          <w:szCs w:val="22"/>
          <w:lang w:val="es-ES" w:eastAsia="en-US"/>
        </w:rPr>
        <w:t xml:space="preserve"> </w:t>
      </w:r>
      <w:r w:rsidR="0011638B" w:rsidRPr="00A03848">
        <w:rPr>
          <w:szCs w:val="22"/>
          <w:lang w:val="es-ES" w:eastAsia="en-US"/>
        </w:rPr>
        <w:t>exponga la política de igualdad de remuneración y los detalles de la segregación</w:t>
      </w:r>
      <w:r w:rsidR="00233A1A" w:rsidRPr="00A03848">
        <w:rPr>
          <w:szCs w:val="22"/>
          <w:lang w:val="es-ES" w:eastAsia="en-US"/>
        </w:rPr>
        <w:t xml:space="preserve"> </w:t>
      </w:r>
      <w:r w:rsidR="0011638B" w:rsidRPr="00A03848">
        <w:rPr>
          <w:szCs w:val="22"/>
          <w:lang w:val="es-ES" w:eastAsia="en-US"/>
        </w:rPr>
        <w:t>ocupacional.</w:t>
      </w:r>
      <w:bookmarkEnd w:id="56"/>
    </w:p>
    <w:p w14:paraId="006221B8" w14:textId="77777777" w:rsidR="00646AE8" w:rsidRPr="00A03848" w:rsidRDefault="00646AE8" w:rsidP="00646AE8">
      <w:pPr>
        <w:pStyle w:val="SingleTxt"/>
        <w:spacing w:after="0" w:line="120" w:lineRule="exact"/>
        <w:rPr>
          <w:sz w:val="10"/>
          <w:szCs w:val="10"/>
          <w:lang w:val="es-ES"/>
        </w:rPr>
      </w:pPr>
      <w:bookmarkStart w:id="57" w:name="bookmark_94"/>
    </w:p>
    <w:p w14:paraId="5125B6DC" w14:textId="77777777" w:rsidR="0011638B" w:rsidRPr="00A03848" w:rsidRDefault="0011638B" w:rsidP="009F2DF3">
      <w:pPr>
        <w:pStyle w:val="H4"/>
        <w:ind w:right="1260"/>
        <w:rPr>
          <w:iCs w:val="0"/>
          <w:lang w:val="es-ES" w:eastAsia="en-US"/>
        </w:rPr>
      </w:pPr>
      <w:r w:rsidRPr="00A03848">
        <w:rPr>
          <w:iCs w:val="0"/>
          <w:lang w:val="es-ES" w:eastAsia="en-US"/>
        </w:rPr>
        <w:tab/>
      </w:r>
      <w:r w:rsidRPr="00A03848">
        <w:rPr>
          <w:iCs w:val="0"/>
          <w:lang w:val="es-ES" w:eastAsia="en-US"/>
        </w:rPr>
        <w:tab/>
        <w:t>La salida del Reino Unido de la Unión Europea y la igualdad</w:t>
      </w:r>
      <w:bookmarkEnd w:id="57"/>
    </w:p>
    <w:p w14:paraId="2EE4F05D" w14:textId="77777777" w:rsidR="00646AE8" w:rsidRPr="00A03848" w:rsidRDefault="00646AE8" w:rsidP="00646AE8">
      <w:pPr>
        <w:pStyle w:val="SingleTxt"/>
        <w:spacing w:after="0" w:line="120" w:lineRule="exact"/>
        <w:rPr>
          <w:sz w:val="10"/>
          <w:szCs w:val="10"/>
          <w:lang w:val="es-ES"/>
        </w:rPr>
      </w:pPr>
    </w:p>
    <w:p w14:paraId="1FE5DC7B" w14:textId="31879AFD" w:rsidR="0011638B" w:rsidRPr="00A03848" w:rsidRDefault="00946670" w:rsidP="00AB43B5">
      <w:pPr>
        <w:pStyle w:val="SingleTxt"/>
        <w:rPr>
          <w:szCs w:val="22"/>
          <w:lang w:val="es-ES" w:eastAsia="en-US"/>
        </w:rPr>
      </w:pPr>
      <w:bookmarkStart w:id="58" w:name="bookmark_95"/>
      <w:r w:rsidRPr="00A03848">
        <w:rPr>
          <w:szCs w:val="22"/>
          <w:lang w:val="es-ES" w:eastAsia="en-US"/>
        </w:rPr>
        <w:t>15.</w:t>
      </w:r>
      <w:r w:rsidRPr="00A03848">
        <w:rPr>
          <w:szCs w:val="22"/>
          <w:lang w:val="es-ES" w:eastAsia="en-US"/>
        </w:rPr>
        <w:tab/>
      </w:r>
      <w:r w:rsidR="0011638B" w:rsidRPr="00A03848">
        <w:rPr>
          <w:szCs w:val="22"/>
          <w:lang w:val="es-ES" w:eastAsia="en-US"/>
        </w:rPr>
        <w:t>El Reino Unido está preparándose para abandonar la Unión Europea de la mejor manera posible para su interés nacional y se ha comprometido a lograr que el país salga de este período de cambio más fuerte, más justo, más unido y con una visión más amplia que nunca. El Reino Unido posee una de las legislaciones sobre igualdad más sólidas del mundo y velará por que se sigan aplicando las firmes protecciones que otorgan sus leyes en materia de igualdad. El Gobierno del Reino</w:t>
      </w:r>
      <w:r w:rsidR="00233A1A" w:rsidRPr="00A03848">
        <w:rPr>
          <w:szCs w:val="22"/>
          <w:lang w:val="es-ES" w:eastAsia="en-US"/>
        </w:rPr>
        <w:t xml:space="preserve"> </w:t>
      </w:r>
      <w:r w:rsidR="0011638B" w:rsidRPr="00A03848">
        <w:rPr>
          <w:szCs w:val="22"/>
          <w:lang w:val="es-ES" w:eastAsia="en-US"/>
        </w:rPr>
        <w:t>Unido también examinará todos los planes de financiación de la Unión Europea durante los próximos meses y consultará a todas las partes interesadas que corresponda, con el propósito de que los compromisos de financiación en vigor respondan mejor a los intereses nacionales del Reino Unido.</w:t>
      </w:r>
      <w:bookmarkEnd w:id="58"/>
    </w:p>
    <w:p w14:paraId="5048131B" w14:textId="77777777" w:rsidR="00646AE8" w:rsidRPr="00A03848" w:rsidRDefault="00646AE8" w:rsidP="00646AE8">
      <w:pPr>
        <w:pStyle w:val="SingleTxt"/>
        <w:spacing w:after="0" w:line="120" w:lineRule="exact"/>
        <w:rPr>
          <w:sz w:val="10"/>
          <w:szCs w:val="10"/>
          <w:lang w:val="es-ES"/>
        </w:rPr>
      </w:pPr>
      <w:bookmarkStart w:id="59" w:name="bookmark_96"/>
    </w:p>
    <w:p w14:paraId="7811C407" w14:textId="3A51B167" w:rsidR="0011638B" w:rsidRPr="00A03848" w:rsidRDefault="0011638B" w:rsidP="009F2DF3">
      <w:pPr>
        <w:pStyle w:val="H4"/>
        <w:ind w:right="1260"/>
        <w:rPr>
          <w:iCs w:val="0"/>
          <w:lang w:val="es-ES" w:eastAsia="en-US"/>
        </w:rPr>
      </w:pPr>
      <w:r w:rsidRPr="00A03848">
        <w:rPr>
          <w:iCs w:val="0"/>
          <w:lang w:val="es-ES" w:eastAsia="en-US"/>
        </w:rPr>
        <w:tab/>
      </w:r>
      <w:r w:rsidRPr="00A03848">
        <w:rPr>
          <w:iCs w:val="0"/>
          <w:lang w:val="es-ES" w:eastAsia="en-US"/>
        </w:rPr>
        <w:tab/>
        <w:t>Consecución de los Objetivos de Desarrollo Sostenible (ODS) de las Naciones Unidas</w:t>
      </w:r>
      <w:r w:rsidRPr="00A03848">
        <w:rPr>
          <w:iCs w:val="0"/>
          <w:vertAlign w:val="superscript"/>
          <w:lang w:val="es-ES" w:eastAsia="en-US"/>
        </w:rPr>
        <w:endnoteReference w:id="7"/>
      </w:r>
      <w:bookmarkEnd w:id="59"/>
    </w:p>
    <w:p w14:paraId="5C9A3CD9" w14:textId="77777777" w:rsidR="00646AE8" w:rsidRPr="00A03848" w:rsidRDefault="00646AE8" w:rsidP="00646AE8">
      <w:pPr>
        <w:pStyle w:val="SingleTxt"/>
        <w:spacing w:after="0" w:line="120" w:lineRule="exact"/>
        <w:rPr>
          <w:sz w:val="10"/>
          <w:szCs w:val="10"/>
          <w:lang w:val="es-ES"/>
        </w:rPr>
      </w:pPr>
    </w:p>
    <w:p w14:paraId="241D37DC" w14:textId="76B60693" w:rsidR="0011638B" w:rsidRPr="00A03848" w:rsidRDefault="00946670" w:rsidP="00AB43B5">
      <w:pPr>
        <w:pStyle w:val="SingleTxt"/>
        <w:rPr>
          <w:szCs w:val="22"/>
          <w:lang w:val="es-ES" w:eastAsia="en-US"/>
        </w:rPr>
      </w:pPr>
      <w:bookmarkStart w:id="61" w:name="bookmark_98"/>
      <w:r w:rsidRPr="00A03848">
        <w:rPr>
          <w:szCs w:val="22"/>
          <w:lang w:val="es-ES" w:eastAsia="en-US"/>
        </w:rPr>
        <w:t>16.</w:t>
      </w:r>
      <w:r w:rsidRPr="00A03848">
        <w:rPr>
          <w:szCs w:val="22"/>
          <w:lang w:val="es-ES" w:eastAsia="en-US"/>
        </w:rPr>
        <w:tab/>
      </w:r>
      <w:r w:rsidR="0011638B" w:rsidRPr="00A03848">
        <w:rPr>
          <w:szCs w:val="22"/>
          <w:lang w:val="es-ES" w:eastAsia="en-US"/>
        </w:rPr>
        <w:t xml:space="preserve">Observando la recomendación del Comité, el Gobierno del Reino Unido impulsó que se estableciera un Objetivo de Desarrollo Sostenible independiente sobre el género. En el informe titulado </w:t>
      </w:r>
      <w:r w:rsidR="00284834" w:rsidRPr="00A03848">
        <w:rPr>
          <w:szCs w:val="22"/>
          <w:lang w:val="es-ES" w:eastAsia="en-US"/>
        </w:rPr>
        <w:t>“</w:t>
      </w:r>
      <w:r w:rsidR="0011638B" w:rsidRPr="00A03848">
        <w:rPr>
          <w:szCs w:val="22"/>
          <w:lang w:val="es-ES" w:eastAsia="en-US"/>
        </w:rPr>
        <w:t>Agenda 2030: Delivering the Global Goals</w:t>
      </w:r>
      <w:r w:rsidR="00284834" w:rsidRPr="00A03848">
        <w:rPr>
          <w:szCs w:val="22"/>
          <w:lang w:val="es-ES" w:eastAsia="en-US"/>
        </w:rPr>
        <w:t>”</w:t>
      </w:r>
      <w:r w:rsidR="0011638B" w:rsidRPr="00A03848">
        <w:rPr>
          <w:szCs w:val="22"/>
          <w:vertAlign w:val="superscript"/>
          <w:lang w:val="es-ES" w:eastAsia="en-US"/>
        </w:rPr>
        <w:footnoteReference w:id="7"/>
      </w:r>
      <w:r w:rsidR="0011638B" w:rsidRPr="00A03848">
        <w:rPr>
          <w:szCs w:val="22"/>
          <w:lang w:val="es-ES" w:eastAsia="en-US"/>
        </w:rPr>
        <w:t xml:space="preserve">, publicado por el Departamento de Desarrollo Internacional del Reino Unido (DFID) en marzo de 2017, se abordan cada uno de los 17 Objetivos y se prevé la manera en que el Gobierno los cumplirá a nivel nacional e internacional. El Gobierno también ha publicado una respuesta a la investigación del Comité Especial sobre la Mujer y la Igualdad acerca de la aplicación nacional del ODS 5. En Escocia, antes del examen de los resultados nacionales del Marco Nacional de Desempeño, los funcionarios señalaron que el Marco era el mejor mecanismo a través del cual se debían aplicar los ODS en Escocia. Los objetivos y las ambiciones de Escocia como, por ejemplo, combatir la desigualdad y garantizar el acceso a una educación y una atención sanitaria de gran calidad, quedan recogidos en los ODS. </w:t>
      </w:r>
      <w:bookmarkEnd w:id="61"/>
    </w:p>
    <w:p w14:paraId="0FF4C366" w14:textId="77777777" w:rsidR="003C54C9" w:rsidRPr="00A03848" w:rsidRDefault="003C54C9" w:rsidP="003C54C9">
      <w:pPr>
        <w:pStyle w:val="SingleTxt"/>
        <w:spacing w:after="0" w:line="120" w:lineRule="exact"/>
        <w:rPr>
          <w:sz w:val="10"/>
          <w:szCs w:val="10"/>
          <w:lang w:val="es-ES"/>
        </w:rPr>
      </w:pPr>
      <w:bookmarkStart w:id="63" w:name="bookmark_100"/>
    </w:p>
    <w:p w14:paraId="3BF8D6AE" w14:textId="77777777" w:rsidR="0011638B" w:rsidRPr="00A03848" w:rsidRDefault="0011638B" w:rsidP="009F2DF3">
      <w:pPr>
        <w:pStyle w:val="H23"/>
        <w:ind w:right="1260"/>
        <w:rPr>
          <w:bCs w:val="0"/>
          <w:lang w:val="es-ES" w:eastAsia="en-US"/>
        </w:rPr>
      </w:pPr>
      <w:r w:rsidRPr="00A03848">
        <w:rPr>
          <w:bCs w:val="0"/>
          <w:lang w:val="es-ES" w:eastAsia="en-US"/>
        </w:rPr>
        <w:tab/>
      </w:r>
      <w:r w:rsidRPr="00A03848">
        <w:rPr>
          <w:bCs w:val="0"/>
          <w:lang w:val="es-ES" w:eastAsia="en-US"/>
        </w:rPr>
        <w:tab/>
        <w:t>Medidas para eliminar la discriminación dirigidas a grupos específicos</w:t>
      </w:r>
      <w:bookmarkEnd w:id="63"/>
    </w:p>
    <w:p w14:paraId="545094A5" w14:textId="77777777" w:rsidR="003C54C9" w:rsidRPr="00A03848" w:rsidRDefault="003C54C9" w:rsidP="003C54C9">
      <w:pPr>
        <w:pStyle w:val="SingleTxt"/>
        <w:spacing w:after="0" w:line="120" w:lineRule="exact"/>
        <w:rPr>
          <w:sz w:val="10"/>
          <w:szCs w:val="10"/>
          <w:lang w:val="es-ES"/>
        </w:rPr>
      </w:pPr>
    </w:p>
    <w:p w14:paraId="32636A10" w14:textId="77777777" w:rsidR="0011638B" w:rsidRPr="00A03848" w:rsidRDefault="0011638B" w:rsidP="009F2DF3">
      <w:pPr>
        <w:pStyle w:val="H4"/>
        <w:ind w:right="1260"/>
        <w:rPr>
          <w:iCs w:val="0"/>
          <w:lang w:val="es-ES" w:eastAsia="en-US"/>
        </w:rPr>
      </w:pPr>
      <w:bookmarkStart w:id="64" w:name="bookmark_101"/>
      <w:r w:rsidRPr="00A03848">
        <w:rPr>
          <w:iCs w:val="0"/>
          <w:lang w:val="es-ES" w:eastAsia="en-US"/>
        </w:rPr>
        <w:tab/>
      </w:r>
      <w:r w:rsidRPr="00A03848">
        <w:rPr>
          <w:iCs w:val="0"/>
          <w:lang w:val="es-ES" w:eastAsia="en-US"/>
        </w:rPr>
        <w:tab/>
        <w:t>Mujeres de raza negra, origen asiático y minorías étnicas</w:t>
      </w:r>
      <w:r w:rsidRPr="00A03848">
        <w:rPr>
          <w:iCs w:val="0"/>
          <w:vertAlign w:val="superscript"/>
          <w:lang w:val="es-ES" w:eastAsia="en-US"/>
        </w:rPr>
        <w:endnoteReference w:id="8"/>
      </w:r>
      <w:bookmarkEnd w:id="64"/>
    </w:p>
    <w:p w14:paraId="2AE8C5C6" w14:textId="77777777" w:rsidR="003C54C9" w:rsidRPr="00A03848" w:rsidRDefault="003C54C9" w:rsidP="003C54C9">
      <w:pPr>
        <w:pStyle w:val="SingleTxt"/>
        <w:spacing w:after="0" w:line="120" w:lineRule="exact"/>
        <w:rPr>
          <w:sz w:val="10"/>
          <w:szCs w:val="10"/>
          <w:lang w:val="es-ES"/>
        </w:rPr>
      </w:pPr>
    </w:p>
    <w:p w14:paraId="3EF80E3A" w14:textId="4E5D91FA" w:rsidR="0011638B" w:rsidRPr="00A03848" w:rsidRDefault="00946670" w:rsidP="00AB43B5">
      <w:pPr>
        <w:pStyle w:val="SingleTxt"/>
        <w:rPr>
          <w:szCs w:val="22"/>
          <w:lang w:val="es-ES" w:eastAsia="en-US"/>
        </w:rPr>
      </w:pPr>
      <w:bookmarkStart w:id="66" w:name="bookmark_103"/>
      <w:r w:rsidRPr="00A03848">
        <w:rPr>
          <w:szCs w:val="22"/>
          <w:lang w:val="es-ES" w:eastAsia="en-US"/>
        </w:rPr>
        <w:t>17.</w:t>
      </w:r>
      <w:r w:rsidRPr="00A03848">
        <w:rPr>
          <w:szCs w:val="22"/>
          <w:lang w:val="es-ES" w:eastAsia="en-US"/>
        </w:rPr>
        <w:tab/>
      </w:r>
      <w:r w:rsidR="0011638B" w:rsidRPr="00A03848">
        <w:rPr>
          <w:szCs w:val="22"/>
          <w:lang w:val="es-ES" w:eastAsia="en-US"/>
        </w:rPr>
        <w:t>En agosto de 2016, el Gobierno del Reino Unido inició una auditoría</w:t>
      </w:r>
      <w:r w:rsidR="0011638B" w:rsidRPr="00A03848">
        <w:rPr>
          <w:szCs w:val="22"/>
          <w:vertAlign w:val="superscript"/>
          <w:lang w:val="es-ES" w:eastAsia="en-US"/>
        </w:rPr>
        <w:footnoteReference w:id="8"/>
      </w:r>
      <w:r w:rsidR="0011638B" w:rsidRPr="00A03848">
        <w:rPr>
          <w:szCs w:val="22"/>
          <w:lang w:val="es-ES" w:eastAsia="en-US"/>
        </w:rPr>
        <w:t xml:space="preserve"> de los servicios públicos para descubrir las disparidades raciales y ayudar a poner fin a las injusticias que sufren muchas personas, en particular las mujeres de raza negra, origen asiático y minorías étnicas. En ella se examinará el apoyo al empleo, la educación y la atención sanitaria. Se trata de una auditoría integral de la prestación de servicios públicos que incluye datos pertinentes, actualmente en manos de los departamentos y los servicios públicos, e indica la nueva información que se ha de reunir. Las conclusiones publicadas en octubre de 2017 influirán en las políticas gubernamentales a nivel local y nacional. A fin de mejorar el acceso al empleo, el Gobierno del Reino Unido ha fomentado la capacidad de los centros de colocación laboral, lo cual facilita que el personal preste asistencia a las mujeres de raza negra, origen asiático y minorías étnicas para que superen los obstáculos que puedan encontrar en su búsqueda de empleo. Se han llevado a cabo trabajos sobre el terreno para comprender mejor qué intervenciones pueden resultar eficaces, y los centros de colocación laboral comparten buenas prácticas con toda la red de estos centros. </w:t>
      </w:r>
      <w:bookmarkEnd w:id="66"/>
    </w:p>
    <w:p w14:paraId="4D46A3FB" w14:textId="4C540556" w:rsidR="0011638B" w:rsidRPr="00A03848" w:rsidRDefault="00946670" w:rsidP="00AB43B5">
      <w:pPr>
        <w:pStyle w:val="SingleTxt"/>
        <w:keepLines/>
        <w:rPr>
          <w:szCs w:val="22"/>
          <w:lang w:val="es-ES" w:eastAsia="en-US"/>
        </w:rPr>
      </w:pPr>
      <w:bookmarkStart w:id="68" w:name="bookmark_105"/>
      <w:r w:rsidRPr="00A03848">
        <w:rPr>
          <w:szCs w:val="22"/>
          <w:lang w:val="es-ES" w:eastAsia="en-US"/>
        </w:rPr>
        <w:t>18.</w:t>
      </w:r>
      <w:r w:rsidRPr="00A03848">
        <w:rPr>
          <w:szCs w:val="22"/>
          <w:lang w:val="es-ES" w:eastAsia="en-US"/>
        </w:rPr>
        <w:tab/>
      </w:r>
      <w:r w:rsidR="0011638B" w:rsidRPr="00A03848">
        <w:rPr>
          <w:szCs w:val="22"/>
          <w:lang w:val="es-ES" w:eastAsia="en-US"/>
        </w:rPr>
        <w:t>En Escocia, un nuevo Fondo para la Igualdad en el Lugar de Trabajo de 500.000 libras tiene por objeto hacer frente a los obstáculos que perduran desde hace mucho tiempo para acceder al mercado laboral. Probablemente se centrará en la contratación y el adelanto de las mujeres, las personas con discapacidad, las minorías étnicas y los trabajadores de edad avanzada.</w:t>
      </w:r>
      <w:bookmarkEnd w:id="68"/>
    </w:p>
    <w:p w14:paraId="2A0DB704" w14:textId="77777777" w:rsidR="003C54C9" w:rsidRPr="00A03848" w:rsidRDefault="003C54C9" w:rsidP="003C54C9">
      <w:pPr>
        <w:pStyle w:val="SingleTxt"/>
        <w:spacing w:after="0" w:line="120" w:lineRule="exact"/>
        <w:rPr>
          <w:sz w:val="10"/>
          <w:szCs w:val="10"/>
          <w:lang w:val="es-ES"/>
        </w:rPr>
      </w:pPr>
    </w:p>
    <w:p w14:paraId="6B32DE55" w14:textId="77777777" w:rsidR="0011638B" w:rsidRPr="00A03848" w:rsidRDefault="0011638B" w:rsidP="009F2DF3">
      <w:pPr>
        <w:pStyle w:val="H4"/>
        <w:ind w:right="1260"/>
        <w:rPr>
          <w:iCs w:val="0"/>
          <w:lang w:val="es-ES" w:eastAsia="en-US"/>
        </w:rPr>
      </w:pPr>
      <w:bookmarkStart w:id="69" w:name="bookmark_106"/>
      <w:r w:rsidRPr="00A03848">
        <w:rPr>
          <w:iCs w:val="0"/>
          <w:lang w:val="es-ES" w:eastAsia="en-US"/>
        </w:rPr>
        <w:tab/>
      </w:r>
      <w:r w:rsidRPr="00A03848">
        <w:rPr>
          <w:iCs w:val="0"/>
          <w:lang w:val="es-ES" w:eastAsia="en-US"/>
        </w:rPr>
        <w:tab/>
        <w:t>Mujeres con discapacidad</w:t>
      </w:r>
      <w:bookmarkEnd w:id="69"/>
    </w:p>
    <w:p w14:paraId="19884078" w14:textId="77777777" w:rsidR="003C54C9" w:rsidRPr="00A03848" w:rsidRDefault="003C54C9" w:rsidP="003C54C9">
      <w:pPr>
        <w:pStyle w:val="SingleTxt"/>
        <w:spacing w:after="0" w:line="120" w:lineRule="exact"/>
        <w:rPr>
          <w:sz w:val="10"/>
          <w:szCs w:val="10"/>
          <w:lang w:val="es-ES"/>
        </w:rPr>
      </w:pPr>
    </w:p>
    <w:p w14:paraId="1B1DEA20" w14:textId="7B7ED8E7" w:rsidR="0011638B" w:rsidRPr="00A03848" w:rsidRDefault="00946670" w:rsidP="00AB43B5">
      <w:pPr>
        <w:pStyle w:val="SingleTxt"/>
        <w:rPr>
          <w:szCs w:val="22"/>
          <w:lang w:val="es-ES" w:eastAsia="en-US"/>
        </w:rPr>
      </w:pPr>
      <w:bookmarkStart w:id="70" w:name="bookmark_107"/>
      <w:r w:rsidRPr="00A03848">
        <w:rPr>
          <w:szCs w:val="22"/>
          <w:lang w:val="es-ES" w:eastAsia="en-US"/>
        </w:rPr>
        <w:t>19.</w:t>
      </w:r>
      <w:r w:rsidRPr="00A03848">
        <w:rPr>
          <w:szCs w:val="22"/>
          <w:lang w:val="es-ES" w:eastAsia="en-US"/>
        </w:rPr>
        <w:tab/>
      </w:r>
      <w:r w:rsidR="0011638B" w:rsidRPr="00A03848">
        <w:rPr>
          <w:szCs w:val="22"/>
          <w:lang w:val="es-ES" w:eastAsia="en-US"/>
        </w:rPr>
        <w:t>El Gobierno del Reino Unido desea proteger los derechos de las personas con discapacidad, en particular las mujeres con discapacidad, garantizando que las políticas públicas y las políticas específicas de género:</w:t>
      </w:r>
      <w:bookmarkEnd w:id="70"/>
    </w:p>
    <w:p w14:paraId="65AB9FBF" w14:textId="77777777" w:rsidR="0011638B" w:rsidRPr="00A03848" w:rsidRDefault="00096038" w:rsidP="00096038">
      <w:pPr>
        <w:pStyle w:val="SingleTxt"/>
        <w:tabs>
          <w:tab w:val="right" w:pos="1685"/>
        </w:tabs>
        <w:ind w:left="1742" w:hanging="475"/>
        <w:rPr>
          <w:lang w:val="es-ES"/>
        </w:rPr>
      </w:pPr>
      <w:bookmarkStart w:id="71" w:name="bookmark_108"/>
      <w:r w:rsidRPr="00A03848">
        <w:rPr>
          <w:lang w:val="es-ES"/>
        </w:rPr>
        <w:tab/>
        <w:t>•</w:t>
      </w:r>
      <w:r w:rsidRPr="00A03848">
        <w:rPr>
          <w:lang w:val="es-ES"/>
        </w:rPr>
        <w:tab/>
      </w:r>
      <w:r w:rsidR="0011638B" w:rsidRPr="00A03848">
        <w:rPr>
          <w:lang w:val="es-ES"/>
        </w:rPr>
        <w:t>incorporen el uso del modelo social de la discapacidad para derribar obstáculos y atender las necesidades de las personas con discapacidad; y</w:t>
      </w:r>
      <w:bookmarkEnd w:id="71"/>
    </w:p>
    <w:p w14:paraId="041C3F3A" w14:textId="77777777" w:rsidR="0011638B" w:rsidRPr="00A03848" w:rsidRDefault="00096038" w:rsidP="00096038">
      <w:pPr>
        <w:pStyle w:val="SingleTxt"/>
        <w:tabs>
          <w:tab w:val="right" w:pos="1685"/>
        </w:tabs>
        <w:ind w:left="1742" w:hanging="475"/>
        <w:rPr>
          <w:lang w:val="es-ES"/>
        </w:rPr>
      </w:pPr>
      <w:bookmarkStart w:id="72" w:name="bookmark_109"/>
      <w:r w:rsidRPr="00A03848">
        <w:rPr>
          <w:lang w:val="es-ES"/>
        </w:rPr>
        <w:tab/>
        <w:t>•</w:t>
      </w:r>
      <w:r w:rsidRPr="00A03848">
        <w:rPr>
          <w:lang w:val="es-ES"/>
        </w:rPr>
        <w:tab/>
      </w:r>
      <w:r w:rsidR="0011638B" w:rsidRPr="00A03848">
        <w:rPr>
          <w:lang w:val="es-ES"/>
        </w:rPr>
        <w:t>tengan en cuenta la Convención sobre los Derechos de las Personas con Discapacidad (CDPD).</w:t>
      </w:r>
      <w:bookmarkEnd w:id="72"/>
    </w:p>
    <w:p w14:paraId="4AB24992" w14:textId="1B648CEB" w:rsidR="0011638B" w:rsidRPr="00A03848" w:rsidRDefault="00946670" w:rsidP="00AB43B5">
      <w:pPr>
        <w:pStyle w:val="SingleTxt"/>
        <w:rPr>
          <w:szCs w:val="22"/>
          <w:lang w:val="es-ES" w:eastAsia="en-US"/>
        </w:rPr>
      </w:pPr>
      <w:bookmarkStart w:id="73" w:name="bookmark_110"/>
      <w:r w:rsidRPr="00A03848">
        <w:rPr>
          <w:szCs w:val="22"/>
          <w:lang w:val="es-ES" w:eastAsia="en-US"/>
        </w:rPr>
        <w:t>20.</w:t>
      </w:r>
      <w:r w:rsidRPr="00A03848">
        <w:rPr>
          <w:szCs w:val="22"/>
          <w:lang w:val="es-ES" w:eastAsia="en-US"/>
        </w:rPr>
        <w:tab/>
      </w:r>
      <w:r w:rsidR="0011638B" w:rsidRPr="00A03848">
        <w:rPr>
          <w:szCs w:val="22"/>
          <w:lang w:val="es-ES" w:eastAsia="en-US"/>
        </w:rPr>
        <w:t>Las disposiciones en materia de acción positiva también permiten tomar medidas concretas para ayudar a las personas con discapacidad a superar las desventajas a las que se enfrentan, incrementar su participación o atender sus necesidades específicas. La Declaración Nacional de Expectativas con respecto a la Violencia contra las Mujeres y las Niñas</w:t>
      </w:r>
      <w:r w:rsidR="0011638B" w:rsidRPr="00A03848">
        <w:rPr>
          <w:szCs w:val="22"/>
          <w:vertAlign w:val="superscript"/>
          <w:lang w:val="es-ES" w:eastAsia="en-US"/>
        </w:rPr>
        <w:footnoteReference w:id="9"/>
      </w:r>
      <w:r w:rsidR="0011638B" w:rsidRPr="00A03848">
        <w:rPr>
          <w:szCs w:val="22"/>
          <w:lang w:val="es-ES" w:eastAsia="en-US"/>
        </w:rPr>
        <w:t xml:space="preserve"> obliga a las zonas locales a ofrecer una amplia variedad de prestaciones que tengan en cuenta la forma en que los servicios serán accesibles para las mujeres con discapacidad y faciliten servicios concretos para gestionar las discapacidades que afectan al aprendizaje.</w:t>
      </w:r>
      <w:bookmarkEnd w:id="73"/>
    </w:p>
    <w:p w14:paraId="34BD340A" w14:textId="29902EEA" w:rsidR="0011638B" w:rsidRPr="00A03848" w:rsidRDefault="00946670" w:rsidP="00AB43B5">
      <w:pPr>
        <w:pStyle w:val="SingleTxt"/>
        <w:rPr>
          <w:szCs w:val="22"/>
          <w:lang w:val="es-ES" w:eastAsia="en-US"/>
        </w:rPr>
      </w:pPr>
      <w:bookmarkStart w:id="75" w:name="bookmark_112"/>
      <w:r w:rsidRPr="00A03848">
        <w:rPr>
          <w:szCs w:val="22"/>
          <w:lang w:val="es-ES" w:eastAsia="en-US"/>
        </w:rPr>
        <w:t>21.</w:t>
      </w:r>
      <w:r w:rsidRPr="00A03848">
        <w:rPr>
          <w:szCs w:val="22"/>
          <w:lang w:val="es-ES" w:eastAsia="en-US"/>
        </w:rPr>
        <w:tab/>
      </w:r>
      <w:r w:rsidR="00FE6B53" w:rsidRPr="00A03848">
        <w:rPr>
          <w:szCs w:val="22"/>
          <w:lang w:val="es-ES" w:eastAsia="en-US"/>
        </w:rPr>
        <w:t>En 2016</w:t>
      </w:r>
      <w:r w:rsidR="0011638B" w:rsidRPr="00A03848">
        <w:rPr>
          <w:szCs w:val="22"/>
          <w:lang w:val="es-ES" w:eastAsia="en-US"/>
        </w:rPr>
        <w:t xml:space="preserve"> el Gobierno de Escocia publicó un Plan de Prestación de Servicios para la Discapacidad, denominado </w:t>
      </w:r>
      <w:r w:rsidR="00284834" w:rsidRPr="00A03848">
        <w:rPr>
          <w:szCs w:val="22"/>
          <w:lang w:val="es-ES" w:eastAsia="en-US"/>
        </w:rPr>
        <w:t>“</w:t>
      </w:r>
      <w:r w:rsidR="0011638B" w:rsidRPr="00A03848">
        <w:rPr>
          <w:szCs w:val="22"/>
          <w:lang w:val="es-ES" w:eastAsia="en-US"/>
        </w:rPr>
        <w:t>Una Escocia más Justa para las Personas con Discapacidad</w:t>
      </w:r>
      <w:r w:rsidR="00284834" w:rsidRPr="00A03848">
        <w:rPr>
          <w:szCs w:val="22"/>
          <w:lang w:val="es-ES" w:eastAsia="en-US"/>
        </w:rPr>
        <w:t>”</w:t>
      </w:r>
      <w:r w:rsidR="0011638B" w:rsidRPr="00A03848">
        <w:rPr>
          <w:szCs w:val="22"/>
          <w:lang w:val="es-ES" w:eastAsia="en-US"/>
        </w:rPr>
        <w:t xml:space="preserve">, mediante el cual tratará de eliminar los obstáculos que pueden hallar las personas con discapacidad a la hora de encontrar un empleo y conservarlo y desarrollar su carrera profesional. </w:t>
      </w:r>
      <w:bookmarkEnd w:id="75"/>
    </w:p>
    <w:p w14:paraId="598240D8" w14:textId="77777777" w:rsidR="003C54C9" w:rsidRPr="00A03848" w:rsidRDefault="003C54C9" w:rsidP="003C54C9">
      <w:pPr>
        <w:pStyle w:val="SingleTxt"/>
        <w:spacing w:after="0" w:line="120" w:lineRule="exact"/>
        <w:rPr>
          <w:sz w:val="10"/>
          <w:szCs w:val="10"/>
          <w:lang w:val="es-ES"/>
        </w:rPr>
      </w:pPr>
    </w:p>
    <w:p w14:paraId="74FE76CE" w14:textId="77777777" w:rsidR="0011638B" w:rsidRPr="00A03848" w:rsidRDefault="0011638B" w:rsidP="009F2DF3">
      <w:pPr>
        <w:pStyle w:val="H4"/>
        <w:ind w:right="1260"/>
        <w:rPr>
          <w:iCs w:val="0"/>
          <w:lang w:val="es-ES" w:eastAsia="en-US"/>
        </w:rPr>
      </w:pPr>
      <w:bookmarkStart w:id="76" w:name="bookmark_113"/>
      <w:r w:rsidRPr="00A03848">
        <w:rPr>
          <w:iCs w:val="0"/>
          <w:lang w:val="es-ES" w:eastAsia="en-US"/>
        </w:rPr>
        <w:tab/>
      </w:r>
      <w:r w:rsidRPr="00A03848">
        <w:rPr>
          <w:iCs w:val="0"/>
          <w:lang w:val="es-ES" w:eastAsia="en-US"/>
        </w:rPr>
        <w:tab/>
        <w:t>Mujeres delincuentes</w:t>
      </w:r>
      <w:r w:rsidRPr="00A03848">
        <w:rPr>
          <w:iCs w:val="0"/>
          <w:vertAlign w:val="superscript"/>
          <w:lang w:val="es-ES" w:eastAsia="en-US"/>
        </w:rPr>
        <w:endnoteReference w:id="9"/>
      </w:r>
      <w:bookmarkEnd w:id="76"/>
    </w:p>
    <w:p w14:paraId="6120C2F5" w14:textId="77777777" w:rsidR="003C54C9" w:rsidRPr="00A03848" w:rsidRDefault="003C54C9" w:rsidP="003C54C9">
      <w:pPr>
        <w:pStyle w:val="SingleTxt"/>
        <w:spacing w:after="0" w:line="120" w:lineRule="exact"/>
        <w:rPr>
          <w:sz w:val="10"/>
          <w:szCs w:val="10"/>
          <w:lang w:val="es-ES"/>
        </w:rPr>
      </w:pPr>
    </w:p>
    <w:p w14:paraId="40E4103D" w14:textId="221C0FA0" w:rsidR="0011638B" w:rsidRPr="00A03848" w:rsidRDefault="00946670" w:rsidP="00AB43B5">
      <w:pPr>
        <w:pStyle w:val="SingleTxt"/>
        <w:rPr>
          <w:szCs w:val="22"/>
          <w:lang w:val="es-ES" w:eastAsia="en-US"/>
        </w:rPr>
      </w:pPr>
      <w:bookmarkStart w:id="78" w:name="bookmark_115"/>
      <w:r w:rsidRPr="00A03848">
        <w:rPr>
          <w:szCs w:val="22"/>
          <w:lang w:val="es-ES" w:eastAsia="en-US"/>
        </w:rPr>
        <w:t>22.</w:t>
      </w:r>
      <w:r w:rsidRPr="00A03848">
        <w:rPr>
          <w:szCs w:val="22"/>
          <w:lang w:val="es-ES" w:eastAsia="en-US"/>
        </w:rPr>
        <w:tab/>
      </w:r>
      <w:r w:rsidR="0011638B" w:rsidRPr="00A03848">
        <w:rPr>
          <w:szCs w:val="22"/>
          <w:lang w:val="es-ES" w:eastAsia="en-US"/>
        </w:rPr>
        <w:t>Se han logrado progresos importantes desde el informe Corston</w:t>
      </w:r>
      <w:r w:rsidR="0011638B" w:rsidRPr="00A03848">
        <w:rPr>
          <w:szCs w:val="22"/>
          <w:vertAlign w:val="superscript"/>
          <w:lang w:val="es-ES" w:eastAsia="en-US"/>
        </w:rPr>
        <w:footnoteReference w:id="10"/>
      </w:r>
      <w:r w:rsidR="0011638B" w:rsidRPr="00A03848">
        <w:rPr>
          <w:szCs w:val="22"/>
          <w:lang w:val="es-ES" w:eastAsia="en-US"/>
        </w:rPr>
        <w:t xml:space="preserve"> de 2007, entre ellos, el fin del registro completo obligatorio de las mujeres a su llegada y el cambio a un enfoque basado en los riesgos que incorpora normas específicas de género para las mujeres en todas las esferas de los regímenes penitenciarios. Además, en mayo de 2013 se creó una Junta Consultiva sobre Mujeres Delincuentes que reúne a las principales partes interesadas de todo el Gobierno británico para ofrecer liderazgo y asesoramiento de expertos a medida que se ejecute el programa de mujeres delincuentes.</w:t>
      </w:r>
      <w:bookmarkEnd w:id="78"/>
    </w:p>
    <w:p w14:paraId="084FC8D5" w14:textId="6B0F9FEC" w:rsidR="0011638B" w:rsidRPr="00A03848" w:rsidRDefault="00946670" w:rsidP="00AB43B5">
      <w:pPr>
        <w:pStyle w:val="SingleTxt"/>
        <w:rPr>
          <w:szCs w:val="22"/>
          <w:lang w:val="es-ES" w:eastAsia="en-US"/>
        </w:rPr>
      </w:pPr>
      <w:bookmarkStart w:id="80" w:name="bookmark_117"/>
      <w:r w:rsidRPr="00A03848">
        <w:rPr>
          <w:szCs w:val="22"/>
          <w:lang w:val="es-ES" w:eastAsia="en-US"/>
        </w:rPr>
        <w:t>23.</w:t>
      </w:r>
      <w:r w:rsidRPr="00A03848">
        <w:rPr>
          <w:szCs w:val="22"/>
          <w:lang w:val="es-ES" w:eastAsia="en-US"/>
        </w:rPr>
        <w:tab/>
      </w:r>
      <w:r w:rsidR="0011638B" w:rsidRPr="00A03848">
        <w:rPr>
          <w:szCs w:val="22"/>
          <w:lang w:val="es-ES" w:eastAsia="en-US"/>
        </w:rPr>
        <w:t>El Gobierno del Reino Unido está elaborando una estrategia dirigida a las mujeres delincuentes para mejorar los resultados relativos a las mujeres en la comunidad y en reclusión, que se presentará a su debido tiempo. Las decisiones sobre las penas privativas de la libertad son un asunto que corresponde al poder judicial independiente. El Gobierno se ha comprometido a garantizar que todos los sospechosos y los delincuentes del sistema de justicia penal sean tratados en pie de igualdad, sea cual sea su origen étnico. El 31 de enero de 2016, se estableció un examen independiente orientado a entender los factores que influyen en el trato de las personas de raza negra, origen asiático y minorías étnicas y los resultados conexos, con vistas a determinar qué ámbitos necesitan reformas y a formular recomendaciones que mejoren la situación, con el fin último de reducir la proporción de personas de raza negra, origen asiático y minorías étnicas en el</w:t>
      </w:r>
      <w:r w:rsidR="00233A1A" w:rsidRPr="00A03848">
        <w:rPr>
          <w:szCs w:val="22"/>
          <w:lang w:val="es-ES" w:eastAsia="en-US"/>
        </w:rPr>
        <w:t xml:space="preserve"> </w:t>
      </w:r>
      <w:r w:rsidR="0011638B" w:rsidRPr="00A03848">
        <w:rPr>
          <w:szCs w:val="22"/>
          <w:lang w:val="es-ES" w:eastAsia="en-US"/>
        </w:rPr>
        <w:t>sistema</w:t>
      </w:r>
      <w:r w:rsidR="0011638B" w:rsidRPr="00A03848">
        <w:rPr>
          <w:szCs w:val="22"/>
          <w:vertAlign w:val="superscript"/>
          <w:lang w:val="es-ES" w:eastAsia="en-US"/>
        </w:rPr>
        <w:endnoteReference w:id="10"/>
      </w:r>
      <w:r w:rsidR="0011638B" w:rsidRPr="00A03848">
        <w:rPr>
          <w:szCs w:val="22"/>
          <w:vertAlign w:val="superscript"/>
          <w:lang w:val="es-ES" w:eastAsia="en-US"/>
        </w:rPr>
        <w:t>,</w:t>
      </w:r>
      <w:r w:rsidR="0011638B" w:rsidRPr="00A03848">
        <w:rPr>
          <w:szCs w:val="22"/>
          <w:vertAlign w:val="superscript"/>
          <w:lang w:val="es-ES" w:eastAsia="en-US"/>
        </w:rPr>
        <w:endnoteReference w:id="11"/>
      </w:r>
      <w:r w:rsidR="0011638B" w:rsidRPr="00A03848">
        <w:rPr>
          <w:szCs w:val="22"/>
          <w:lang w:val="es-ES" w:eastAsia="en-US"/>
        </w:rPr>
        <w:t>.</w:t>
      </w:r>
      <w:bookmarkEnd w:id="80"/>
    </w:p>
    <w:p w14:paraId="77D85098" w14:textId="517702F7" w:rsidR="0011638B" w:rsidRPr="00A03848" w:rsidRDefault="00946670" w:rsidP="00AB43B5">
      <w:pPr>
        <w:pStyle w:val="SingleTxt"/>
        <w:rPr>
          <w:szCs w:val="22"/>
          <w:lang w:val="es-ES" w:eastAsia="en-US"/>
        </w:rPr>
      </w:pPr>
      <w:bookmarkStart w:id="83" w:name="bookmark_120"/>
      <w:r w:rsidRPr="00A03848">
        <w:rPr>
          <w:szCs w:val="22"/>
          <w:lang w:val="es-ES" w:eastAsia="en-US"/>
        </w:rPr>
        <w:t>24.</w:t>
      </w:r>
      <w:r w:rsidRPr="00A03848">
        <w:rPr>
          <w:szCs w:val="22"/>
          <w:lang w:val="es-ES" w:eastAsia="en-US"/>
        </w:rPr>
        <w:tab/>
      </w:r>
      <w:r w:rsidR="0011638B" w:rsidRPr="00A03848">
        <w:rPr>
          <w:szCs w:val="22"/>
          <w:lang w:val="es-ES" w:eastAsia="en-US"/>
        </w:rPr>
        <w:t>En Irlanda del Norte, el Departamento de Justicia colabora actualmente con asociados oficiales y el sector voluntario y comunitario para elaborar una nueva estrategia centrada en reducir la delincuencia entre las mujeres. La estrategia tiene por objeto ofrecer un enfoque con perspectiva de género que apoye el desistimiento y mejore los resultados relativos a las mujeres en contacto con el sistema de justicia</w:t>
      </w:r>
      <w:r w:rsidR="00233A1A" w:rsidRPr="00A03848">
        <w:rPr>
          <w:szCs w:val="22"/>
          <w:lang w:val="es-ES" w:eastAsia="en-US"/>
        </w:rPr>
        <w:t xml:space="preserve"> </w:t>
      </w:r>
      <w:r w:rsidR="0011638B" w:rsidRPr="00A03848">
        <w:rPr>
          <w:szCs w:val="22"/>
          <w:lang w:val="es-ES" w:eastAsia="en-US"/>
        </w:rPr>
        <w:t xml:space="preserve">penal. El Gobierno de Escocia anunció la decisión de construir una nueva prisión para mujeres y hasta cinco pequeños centros de detención comunitarios en toda Escocia. </w:t>
      </w:r>
      <w:bookmarkEnd w:id="83"/>
    </w:p>
    <w:p w14:paraId="4098C06B" w14:textId="77777777" w:rsidR="003C54C9" w:rsidRPr="00A03848" w:rsidRDefault="003C54C9" w:rsidP="003C54C9">
      <w:pPr>
        <w:pStyle w:val="SingleTxt"/>
        <w:spacing w:after="0" w:line="120" w:lineRule="exact"/>
        <w:rPr>
          <w:sz w:val="10"/>
          <w:szCs w:val="10"/>
          <w:lang w:val="es-ES"/>
        </w:rPr>
      </w:pPr>
    </w:p>
    <w:p w14:paraId="3F1AA39C" w14:textId="77777777" w:rsidR="0011638B" w:rsidRPr="00A03848" w:rsidRDefault="0011638B" w:rsidP="009F2DF3">
      <w:pPr>
        <w:pStyle w:val="H4"/>
        <w:ind w:right="1260"/>
        <w:rPr>
          <w:iCs w:val="0"/>
          <w:lang w:val="es-ES" w:eastAsia="en-US"/>
        </w:rPr>
      </w:pPr>
      <w:bookmarkStart w:id="84" w:name="bookmark_121"/>
      <w:r w:rsidRPr="00A03848">
        <w:rPr>
          <w:iCs w:val="0"/>
          <w:lang w:val="es-ES" w:eastAsia="en-US"/>
        </w:rPr>
        <w:tab/>
      </w:r>
      <w:r w:rsidRPr="00A03848">
        <w:rPr>
          <w:iCs w:val="0"/>
          <w:lang w:val="es-ES" w:eastAsia="en-US"/>
        </w:rPr>
        <w:tab/>
        <w:t>Igualdad de lesbianas, gais, bisexuales y trans</w:t>
      </w:r>
      <w:bookmarkEnd w:id="84"/>
    </w:p>
    <w:p w14:paraId="7C03703C" w14:textId="77777777" w:rsidR="003C54C9" w:rsidRPr="00A03848" w:rsidRDefault="003C54C9" w:rsidP="003C54C9">
      <w:pPr>
        <w:pStyle w:val="SingleTxt"/>
        <w:spacing w:after="0" w:line="120" w:lineRule="exact"/>
        <w:rPr>
          <w:sz w:val="10"/>
          <w:szCs w:val="10"/>
          <w:lang w:val="es-ES"/>
        </w:rPr>
      </w:pPr>
    </w:p>
    <w:p w14:paraId="2AF5A276" w14:textId="089C3043" w:rsidR="0011638B" w:rsidRPr="00A03848" w:rsidRDefault="00946670" w:rsidP="00AB43B5">
      <w:pPr>
        <w:pStyle w:val="SingleTxt"/>
        <w:rPr>
          <w:szCs w:val="22"/>
          <w:lang w:val="es-ES" w:eastAsia="en-US"/>
        </w:rPr>
      </w:pPr>
      <w:bookmarkStart w:id="85" w:name="bookmark_122"/>
      <w:r w:rsidRPr="00A03848">
        <w:rPr>
          <w:szCs w:val="22"/>
          <w:lang w:val="es-ES" w:eastAsia="en-US"/>
        </w:rPr>
        <w:t>25.</w:t>
      </w:r>
      <w:r w:rsidRPr="00A03848">
        <w:rPr>
          <w:szCs w:val="22"/>
          <w:lang w:val="es-ES" w:eastAsia="en-US"/>
        </w:rPr>
        <w:tab/>
      </w:r>
      <w:r w:rsidR="0011638B" w:rsidRPr="00A03848">
        <w:rPr>
          <w:szCs w:val="22"/>
          <w:lang w:val="es-ES" w:eastAsia="en-US"/>
        </w:rPr>
        <w:t>El Reino Unido sigue estando reconocido por ILGA-Europe como uno de los países más progresistas de Europa en cuanto a los derechos de las personas lesbianas, gais, bisexuales y trans (LGBT). Desde el último informe periódico, el Reino Unido ha realizado importantes avances en la igualdad de derechos, tales como la celebración de 15.098 matrimonios entre parejas del mismo sexo en Inglaterra y Gales durante los 15 meses posteriores a la extensión del matrimonio a las parejas homosexuales, y el incremento del número de parejas del mismo sexo que se convierten en padres adoptivos</w:t>
      </w:r>
      <w:r w:rsidR="0011638B" w:rsidRPr="00A03848">
        <w:rPr>
          <w:szCs w:val="22"/>
          <w:vertAlign w:val="superscript"/>
          <w:lang w:val="es-ES" w:eastAsia="en-US"/>
        </w:rPr>
        <w:footnoteReference w:id="11"/>
      </w:r>
      <w:r w:rsidR="0011638B" w:rsidRPr="00A03848">
        <w:rPr>
          <w:szCs w:val="22"/>
          <w:lang w:val="es-ES" w:eastAsia="en-US"/>
        </w:rPr>
        <w:t xml:space="preserve">. Desde que se promulgó la Ley de Reconocimiento del Género de 2004, se han concedido 4.626 certificados de reconocimiento del género en el Reino Unido. </w:t>
      </w:r>
      <w:bookmarkEnd w:id="85"/>
    </w:p>
    <w:p w14:paraId="2C665BAA" w14:textId="1AECC708" w:rsidR="0011638B" w:rsidRPr="00A03848" w:rsidRDefault="00946670" w:rsidP="00AB43B5">
      <w:pPr>
        <w:pStyle w:val="SingleTxt"/>
        <w:rPr>
          <w:szCs w:val="22"/>
          <w:lang w:val="es-ES" w:eastAsia="en-US"/>
        </w:rPr>
      </w:pPr>
      <w:bookmarkStart w:id="87" w:name="bookmark_124"/>
      <w:r w:rsidRPr="00A03848">
        <w:rPr>
          <w:szCs w:val="22"/>
          <w:lang w:val="es-ES" w:eastAsia="en-US"/>
        </w:rPr>
        <w:t>26.</w:t>
      </w:r>
      <w:r w:rsidRPr="00A03848">
        <w:rPr>
          <w:szCs w:val="22"/>
          <w:lang w:val="es-ES" w:eastAsia="en-US"/>
        </w:rPr>
        <w:tab/>
      </w:r>
      <w:r w:rsidR="0011638B" w:rsidRPr="00A03848">
        <w:rPr>
          <w:szCs w:val="22"/>
          <w:lang w:val="es-ES" w:eastAsia="en-US"/>
        </w:rPr>
        <w:t xml:space="preserve">El Gobierno del Reino Unido también ha adoptado medidas para reducir la discriminación a la que se enfrentan las personas LGBT y, entre otras cosas: ha aumentado la duración de las penas correspondientes a los delitos motivados por prejuicios hacia las personas transgénero y ha publicado orientaciones para los empleadores sobre la contratación y la retención de empleados transgénero y directrices dirigidas a los asistentes sociales sobre cómo abordar cuestiones de orientación sexual e identidad de género en las solicitudes de asilo. En 2016 el Gobierno del Reino Unido anunció una inversión de 3 millones de libras en un programa destinado a prevenir y combatir de manera sostenible el acoso escolar por razones de homofobia, bifobia y transfobia. </w:t>
      </w:r>
      <w:bookmarkEnd w:id="87"/>
    </w:p>
    <w:p w14:paraId="6DD75794" w14:textId="21A6E6B1" w:rsidR="0011638B" w:rsidRPr="00A03848" w:rsidRDefault="00946670" w:rsidP="00AB43B5">
      <w:pPr>
        <w:pStyle w:val="SingleTxt"/>
        <w:rPr>
          <w:szCs w:val="22"/>
          <w:lang w:val="es-ES" w:eastAsia="en-US"/>
        </w:rPr>
      </w:pPr>
      <w:bookmarkStart w:id="88" w:name="bookmark_125"/>
      <w:r w:rsidRPr="00A03848">
        <w:rPr>
          <w:szCs w:val="22"/>
          <w:lang w:val="es-ES" w:eastAsia="en-US"/>
        </w:rPr>
        <w:t>27.</w:t>
      </w:r>
      <w:r w:rsidRPr="00A03848">
        <w:rPr>
          <w:szCs w:val="22"/>
          <w:lang w:val="es-ES" w:eastAsia="en-US"/>
        </w:rPr>
        <w:tab/>
      </w:r>
      <w:r w:rsidR="0011638B" w:rsidRPr="00A03848">
        <w:rPr>
          <w:szCs w:val="22"/>
          <w:lang w:val="es-ES" w:eastAsia="en-US"/>
        </w:rPr>
        <w:t xml:space="preserve">El Gobierno del Reino Unido encargó y publicó un examen de los datos sobre la desigualdad entre los grupos LGBT en el país y puso en marcha una encuesta nacional sobre la comunidad LGBT con el fin de evaluar si los servicios públicos del Reino Unido atienden las necesidades específicas de las personas LGBT y comprenden la forma en que estas personas pueden ser objeto de discriminación a lo largo de su vida. La encuesta concluyó el 15 de octubre de 2017, y los resultados se analizarán y servirán de base para los planes que elabore el Gobierno del Reino Unido a fin de impulsar la igualdad de las personas LGBT. </w:t>
      </w:r>
      <w:bookmarkEnd w:id="88"/>
    </w:p>
    <w:p w14:paraId="7947CC43" w14:textId="0D76CD19" w:rsidR="0011638B" w:rsidRPr="00A03848" w:rsidRDefault="00946670" w:rsidP="00AB43B5">
      <w:pPr>
        <w:pStyle w:val="SingleTxt"/>
        <w:rPr>
          <w:szCs w:val="22"/>
          <w:lang w:val="es-ES" w:eastAsia="en-US"/>
        </w:rPr>
      </w:pPr>
      <w:bookmarkStart w:id="89" w:name="bookmark_126"/>
      <w:r w:rsidRPr="00A03848">
        <w:rPr>
          <w:szCs w:val="22"/>
          <w:lang w:val="es-ES" w:eastAsia="en-US"/>
        </w:rPr>
        <w:t>28.</w:t>
      </w:r>
      <w:r w:rsidRPr="00A03848">
        <w:rPr>
          <w:szCs w:val="22"/>
          <w:lang w:val="es-ES" w:eastAsia="en-US"/>
        </w:rPr>
        <w:tab/>
      </w:r>
      <w:r w:rsidR="0011638B" w:rsidRPr="00A03848">
        <w:rPr>
          <w:szCs w:val="22"/>
          <w:lang w:val="es-ES" w:eastAsia="en-US"/>
        </w:rPr>
        <w:t>El enfoque del Gobierno de Irlanda del Norte está sujeto al artículo 75 de la Ley de Irlanda del Norte de 1998, que exige que las autoridades públicas, en el desempeño de sus funciones relativas a Irlanda del Norte, tengan debidamente en cuenta la necesidad de promover la igualdad de oportunidades entre hombres y mujeres en general y entre las personas de orientación sexual diferente.</w:t>
      </w:r>
      <w:bookmarkEnd w:id="89"/>
    </w:p>
    <w:p w14:paraId="52741E26" w14:textId="60BB5348" w:rsidR="0011638B" w:rsidRPr="00A03848" w:rsidRDefault="00946670" w:rsidP="000930DE">
      <w:pPr>
        <w:pStyle w:val="SingleTxt"/>
        <w:rPr>
          <w:szCs w:val="22"/>
          <w:lang w:val="es-ES" w:eastAsia="en-US"/>
        </w:rPr>
      </w:pPr>
      <w:bookmarkStart w:id="90" w:name="bookmark_127"/>
      <w:r w:rsidRPr="00A03848">
        <w:rPr>
          <w:szCs w:val="22"/>
          <w:lang w:val="es-ES" w:eastAsia="en-US"/>
        </w:rPr>
        <w:t>29.</w:t>
      </w:r>
      <w:r w:rsidRPr="00A03848">
        <w:rPr>
          <w:szCs w:val="22"/>
          <w:lang w:val="es-ES" w:eastAsia="en-US"/>
        </w:rPr>
        <w:tab/>
      </w:r>
      <w:r w:rsidR="0011638B" w:rsidRPr="00A03848">
        <w:rPr>
          <w:szCs w:val="22"/>
          <w:lang w:val="es-ES" w:eastAsia="en-US"/>
        </w:rPr>
        <w:t xml:space="preserve">El Gobierno de Escocia cuenta con un historial muy sólido en cuestiones relacionadas con las personas LGBTI. Por ejemplo, el Gobierno escocés permitió mediante la Ley de Matrimonio y Unión Civil (de Escocia) de 2014 que las parejas del mismo sexo puedan casarse, utiliza una definición inclusiva de la identidad de género en su legislación sobre los delitos motivados por prejuicios, añadió la igualdad intersexual a su plan para la igualdad en materia de orientación sexual e identidad de género y ahora utiliza la sigla LGBTI para apoyar la inclusión de las personas intersexuales en Escocia. Con la finalidad de seguir avanzando en la igualdad de las personas LGBTI, el Gobierno de Escocia se ha comprometido en su Programa de Gobierno 2016-2017 a revisar y reformar la legislación sobre el reconocimiento del género de manera que esté en consonancia con las mejores prácticas internacionales para las personas transgénero o intersexuales. </w:t>
      </w:r>
      <w:bookmarkEnd w:id="90"/>
    </w:p>
    <w:p w14:paraId="4BB582BA" w14:textId="77777777" w:rsidR="003C54C9" w:rsidRPr="00A03848" w:rsidRDefault="003C54C9" w:rsidP="003C54C9">
      <w:pPr>
        <w:pStyle w:val="SingleTxt"/>
        <w:spacing w:after="0" w:line="120" w:lineRule="exact"/>
        <w:rPr>
          <w:sz w:val="10"/>
          <w:szCs w:val="10"/>
          <w:lang w:val="es-ES"/>
        </w:rPr>
      </w:pPr>
    </w:p>
    <w:p w14:paraId="0D64FB21" w14:textId="77777777" w:rsidR="0011638B" w:rsidRPr="00A03848" w:rsidRDefault="0011638B" w:rsidP="009F2DF3">
      <w:pPr>
        <w:pStyle w:val="H4"/>
        <w:ind w:right="1260"/>
        <w:rPr>
          <w:iCs w:val="0"/>
          <w:lang w:val="es-ES" w:eastAsia="en-US"/>
        </w:rPr>
      </w:pPr>
      <w:bookmarkStart w:id="91" w:name="bookmark_128"/>
      <w:r w:rsidRPr="00A03848">
        <w:rPr>
          <w:iCs w:val="0"/>
          <w:lang w:val="es-ES" w:eastAsia="en-US"/>
        </w:rPr>
        <w:tab/>
      </w:r>
      <w:r w:rsidRPr="00A03848">
        <w:rPr>
          <w:iCs w:val="0"/>
          <w:lang w:val="es-ES" w:eastAsia="en-US"/>
        </w:rPr>
        <w:tab/>
        <w:t>Órganos públicos no departamentales</w:t>
      </w:r>
      <w:bookmarkEnd w:id="91"/>
    </w:p>
    <w:p w14:paraId="7602E77E" w14:textId="77777777" w:rsidR="003C54C9" w:rsidRPr="00A03848" w:rsidRDefault="003C54C9" w:rsidP="003C54C9">
      <w:pPr>
        <w:pStyle w:val="SingleTxt"/>
        <w:spacing w:after="0" w:line="120" w:lineRule="exact"/>
        <w:rPr>
          <w:sz w:val="10"/>
          <w:szCs w:val="10"/>
          <w:lang w:val="es-ES"/>
        </w:rPr>
      </w:pPr>
    </w:p>
    <w:p w14:paraId="6877CA0D" w14:textId="7F93B608" w:rsidR="0011638B" w:rsidRPr="00A03848" w:rsidRDefault="00946670" w:rsidP="00AB43B5">
      <w:pPr>
        <w:pStyle w:val="SingleTxt"/>
        <w:rPr>
          <w:szCs w:val="22"/>
          <w:lang w:val="es-ES" w:eastAsia="en-US"/>
        </w:rPr>
      </w:pPr>
      <w:bookmarkStart w:id="92" w:name="bookmark_129"/>
      <w:r w:rsidRPr="00A03848">
        <w:rPr>
          <w:szCs w:val="22"/>
          <w:lang w:val="es-ES" w:eastAsia="en-US"/>
        </w:rPr>
        <w:t>30.</w:t>
      </w:r>
      <w:r w:rsidRPr="00A03848">
        <w:rPr>
          <w:szCs w:val="22"/>
          <w:lang w:val="es-ES" w:eastAsia="en-US"/>
        </w:rPr>
        <w:tab/>
      </w:r>
      <w:r w:rsidR="0011638B" w:rsidRPr="00A03848">
        <w:rPr>
          <w:szCs w:val="22"/>
          <w:lang w:val="es-ES" w:eastAsia="en-US"/>
        </w:rPr>
        <w:t>La Comisión para la Igualdad y los Derechos Humanos sigue siendo el órgano oficial independiente encargado de eliminar la discriminación, promover y vigilar los derechos humanos y fomentar la igualdad. Está patrocinado por la Oficina Gubernamental para la Igualdad y supervisa el cumplimiento de la Ley de Igualdad de 2010. La Comisión de Igualdad de Irlanda del Norte tiene, por disposición de la ley, la función de vigilar el cumplimiento del artículo 75 de la Ley de Irlanda del Norte de 1998.</w:t>
      </w:r>
      <w:bookmarkEnd w:id="92"/>
    </w:p>
    <w:p w14:paraId="568F4989" w14:textId="77777777" w:rsidR="003C54C9" w:rsidRPr="00A03848" w:rsidRDefault="003C54C9" w:rsidP="003C54C9">
      <w:pPr>
        <w:pStyle w:val="SingleTxt"/>
        <w:spacing w:after="0" w:line="120" w:lineRule="exact"/>
        <w:rPr>
          <w:sz w:val="10"/>
          <w:szCs w:val="10"/>
          <w:lang w:val="es-ES"/>
        </w:rPr>
      </w:pPr>
    </w:p>
    <w:p w14:paraId="5204ED6D" w14:textId="77777777" w:rsidR="0011638B" w:rsidRPr="00A03848" w:rsidRDefault="0011638B" w:rsidP="009F2DF3">
      <w:pPr>
        <w:pStyle w:val="H4"/>
        <w:ind w:right="1260"/>
        <w:rPr>
          <w:iCs w:val="0"/>
          <w:lang w:val="es-ES" w:eastAsia="en-US"/>
        </w:rPr>
      </w:pPr>
      <w:bookmarkStart w:id="93" w:name="bookmark_130"/>
      <w:r w:rsidRPr="00A03848">
        <w:rPr>
          <w:iCs w:val="0"/>
          <w:lang w:val="es-ES" w:eastAsia="en-US"/>
        </w:rPr>
        <w:tab/>
      </w:r>
      <w:r w:rsidRPr="00A03848">
        <w:rPr>
          <w:iCs w:val="0"/>
          <w:lang w:val="es-ES" w:eastAsia="en-US"/>
        </w:rPr>
        <w:tab/>
        <w:t>Servicio de Asesoramiento y Apoyo en cuestiones de Igualdad</w:t>
      </w:r>
      <w:bookmarkEnd w:id="93"/>
    </w:p>
    <w:p w14:paraId="22155494" w14:textId="77777777" w:rsidR="003C54C9" w:rsidRPr="00A03848" w:rsidRDefault="003C54C9" w:rsidP="003C54C9">
      <w:pPr>
        <w:pStyle w:val="SingleTxt"/>
        <w:spacing w:after="0" w:line="120" w:lineRule="exact"/>
        <w:rPr>
          <w:sz w:val="10"/>
          <w:szCs w:val="10"/>
          <w:lang w:val="es-ES"/>
        </w:rPr>
      </w:pPr>
    </w:p>
    <w:p w14:paraId="275A6D69" w14:textId="53B5C6AD" w:rsidR="0011638B" w:rsidRPr="00A03848" w:rsidRDefault="00946670" w:rsidP="00AB43B5">
      <w:pPr>
        <w:pStyle w:val="SingleTxt"/>
        <w:rPr>
          <w:szCs w:val="22"/>
          <w:lang w:val="es-ES" w:eastAsia="en-US"/>
        </w:rPr>
      </w:pPr>
      <w:bookmarkStart w:id="94" w:name="bookmark_131"/>
      <w:r w:rsidRPr="00A03848">
        <w:rPr>
          <w:szCs w:val="22"/>
          <w:lang w:val="es-ES" w:eastAsia="en-US"/>
        </w:rPr>
        <w:t>31.</w:t>
      </w:r>
      <w:r w:rsidRPr="00A03848">
        <w:rPr>
          <w:szCs w:val="22"/>
          <w:lang w:val="es-ES" w:eastAsia="en-US"/>
        </w:rPr>
        <w:tab/>
      </w:r>
      <w:r w:rsidR="0011638B" w:rsidRPr="00A03848">
        <w:rPr>
          <w:szCs w:val="22"/>
          <w:lang w:val="es-ES" w:eastAsia="en-US"/>
        </w:rPr>
        <w:t>La Oficina Gubernamental para la Igualdad patrocina el Servicio de Asesoramiento y Apoyo en cuestiones de Igualdad, que ofrece información, asesoramiento y apoyo expertos de gran calidad a las personas que tienen problemas de discriminación. Se centra especialmente en hallar soluciones tempranas e informales y en ayudar con los problemas de discriminación más complejos para los usuarios vulnerables, prestando apoyo intensivo a quienes más lo necesitan.</w:t>
      </w:r>
      <w:bookmarkEnd w:id="94"/>
    </w:p>
    <w:p w14:paraId="53241F19" w14:textId="77777777" w:rsidR="00FA1BC1" w:rsidRPr="00A03848" w:rsidRDefault="00FA1BC1" w:rsidP="00FA1BC1">
      <w:pPr>
        <w:pStyle w:val="SingleTxt"/>
        <w:spacing w:after="0" w:line="120" w:lineRule="exact"/>
        <w:rPr>
          <w:sz w:val="10"/>
          <w:szCs w:val="10"/>
          <w:lang w:val="es-ES"/>
        </w:rPr>
      </w:pPr>
    </w:p>
    <w:p w14:paraId="2BC9E6A3" w14:textId="77777777" w:rsidR="0011638B" w:rsidRPr="00A03848" w:rsidRDefault="0011638B" w:rsidP="009F2DF3">
      <w:pPr>
        <w:pStyle w:val="H4"/>
        <w:ind w:right="1260"/>
        <w:rPr>
          <w:iCs w:val="0"/>
          <w:lang w:val="es-ES" w:eastAsia="en-US"/>
        </w:rPr>
      </w:pPr>
      <w:bookmarkStart w:id="95" w:name="bookmark_132"/>
      <w:r w:rsidRPr="00A03848">
        <w:rPr>
          <w:iCs w:val="0"/>
          <w:lang w:val="es-ES" w:eastAsia="en-US"/>
        </w:rPr>
        <w:tab/>
      </w:r>
      <w:r w:rsidRPr="00A03848">
        <w:rPr>
          <w:iCs w:val="0"/>
          <w:lang w:val="es-ES" w:eastAsia="en-US"/>
        </w:rPr>
        <w:tab/>
        <w:t>Comité Especial sobre la Mujer y la Igualdad</w:t>
      </w:r>
      <w:bookmarkEnd w:id="95"/>
    </w:p>
    <w:p w14:paraId="7BA1CBE9" w14:textId="77777777" w:rsidR="00FA1BC1" w:rsidRPr="00A03848" w:rsidRDefault="00FA1BC1" w:rsidP="00FA1BC1">
      <w:pPr>
        <w:pStyle w:val="SingleTxt"/>
        <w:spacing w:after="0" w:line="120" w:lineRule="exact"/>
        <w:rPr>
          <w:sz w:val="10"/>
          <w:szCs w:val="10"/>
          <w:lang w:val="es-ES"/>
        </w:rPr>
      </w:pPr>
    </w:p>
    <w:p w14:paraId="09189B8A" w14:textId="2C157913" w:rsidR="0011638B" w:rsidRPr="00A03848" w:rsidRDefault="00946670" w:rsidP="00AB43B5">
      <w:pPr>
        <w:pStyle w:val="SingleTxt"/>
        <w:rPr>
          <w:szCs w:val="22"/>
          <w:lang w:val="es-ES" w:eastAsia="en-US"/>
        </w:rPr>
      </w:pPr>
      <w:bookmarkStart w:id="96" w:name="bookmark_133"/>
      <w:r w:rsidRPr="00A03848">
        <w:rPr>
          <w:szCs w:val="22"/>
          <w:lang w:val="es-ES" w:eastAsia="en-US"/>
        </w:rPr>
        <w:t>32.</w:t>
      </w:r>
      <w:r w:rsidRPr="00A03848">
        <w:rPr>
          <w:szCs w:val="22"/>
          <w:lang w:val="es-ES" w:eastAsia="en-US"/>
        </w:rPr>
        <w:tab/>
      </w:r>
      <w:r w:rsidR="0011638B" w:rsidRPr="00A03848">
        <w:rPr>
          <w:szCs w:val="22"/>
          <w:lang w:val="es-ES" w:eastAsia="en-US"/>
        </w:rPr>
        <w:t>El Comité Especial sobre la Mujer y la Igualdad es un comité especial de la Cámara de los Comunes del Parlamento del Reino Unido. Fue creado a raíz de las</w:t>
      </w:r>
      <w:r w:rsidR="00233A1A" w:rsidRPr="00A03848">
        <w:rPr>
          <w:szCs w:val="22"/>
          <w:lang w:val="es-ES" w:eastAsia="en-US"/>
        </w:rPr>
        <w:t xml:space="preserve"> </w:t>
      </w:r>
      <w:r w:rsidR="0011638B" w:rsidRPr="00A03848">
        <w:rPr>
          <w:szCs w:val="22"/>
          <w:lang w:val="es-ES" w:eastAsia="en-US"/>
        </w:rPr>
        <w:t>elecciones generales de 2015 para examinar los gastos, la administración y la</w:t>
      </w:r>
      <w:r w:rsidR="00FA1BC1" w:rsidRPr="00A03848">
        <w:rPr>
          <w:szCs w:val="22"/>
          <w:lang w:val="es-ES" w:eastAsia="en-US"/>
        </w:rPr>
        <w:t xml:space="preserve"> </w:t>
      </w:r>
      <w:r w:rsidR="0011638B" w:rsidRPr="00A03848">
        <w:rPr>
          <w:szCs w:val="22"/>
          <w:lang w:val="es-ES" w:eastAsia="en-US"/>
        </w:rPr>
        <w:t xml:space="preserve">política de la Oficina Gubernamental para la Igualdad en cuestiones de igualdad (género, edad, raza, orientación sexual, discapacidad y personas transgénero/identidad de género). </w:t>
      </w:r>
      <w:bookmarkEnd w:id="96"/>
    </w:p>
    <w:p w14:paraId="1013B435" w14:textId="77777777" w:rsidR="00FA1BC1" w:rsidRPr="00A03848" w:rsidRDefault="00FA1BC1" w:rsidP="00FA1BC1">
      <w:pPr>
        <w:pStyle w:val="SingleTxt"/>
        <w:spacing w:after="0" w:line="120" w:lineRule="exact"/>
        <w:rPr>
          <w:sz w:val="10"/>
          <w:szCs w:val="10"/>
          <w:lang w:val="es-ES"/>
        </w:rPr>
      </w:pPr>
    </w:p>
    <w:p w14:paraId="5EF51C22" w14:textId="77777777" w:rsidR="0011638B" w:rsidRPr="00A03848" w:rsidRDefault="0011638B" w:rsidP="009F2DF3">
      <w:pPr>
        <w:pStyle w:val="H4"/>
        <w:ind w:right="1260"/>
        <w:rPr>
          <w:iCs w:val="0"/>
          <w:lang w:val="es-ES" w:eastAsia="en-US"/>
        </w:rPr>
      </w:pPr>
      <w:bookmarkStart w:id="97" w:name="bookmark_134"/>
      <w:r w:rsidRPr="00A03848">
        <w:rPr>
          <w:iCs w:val="0"/>
          <w:lang w:val="es-ES" w:eastAsia="en-US"/>
        </w:rPr>
        <w:tab/>
      </w:r>
      <w:r w:rsidRPr="00A03848">
        <w:rPr>
          <w:iCs w:val="0"/>
          <w:lang w:val="es-ES" w:eastAsia="en-US"/>
        </w:rPr>
        <w:tab/>
        <w:t>Organizaciones no gubernamentales</w:t>
      </w:r>
      <w:r w:rsidRPr="00A03848">
        <w:rPr>
          <w:iCs w:val="0"/>
          <w:vertAlign w:val="superscript"/>
          <w:lang w:val="es-ES" w:eastAsia="en-US"/>
        </w:rPr>
        <w:endnoteReference w:id="12"/>
      </w:r>
      <w:r w:rsidRPr="00A03848">
        <w:rPr>
          <w:iCs w:val="0"/>
          <w:lang w:val="es-ES" w:eastAsia="en-US"/>
        </w:rPr>
        <w:t xml:space="preserve"> </w:t>
      </w:r>
      <w:bookmarkEnd w:id="97"/>
    </w:p>
    <w:p w14:paraId="7C453E1B" w14:textId="77777777" w:rsidR="00FA1BC1" w:rsidRPr="00A03848" w:rsidRDefault="00FA1BC1" w:rsidP="00FA1BC1">
      <w:pPr>
        <w:pStyle w:val="SingleTxt"/>
        <w:spacing w:after="0" w:line="120" w:lineRule="exact"/>
        <w:rPr>
          <w:sz w:val="10"/>
          <w:szCs w:val="10"/>
          <w:lang w:val="es-ES"/>
        </w:rPr>
      </w:pPr>
    </w:p>
    <w:p w14:paraId="076C9862" w14:textId="1B3CF220" w:rsidR="0011638B" w:rsidRPr="00A03848" w:rsidRDefault="00946670" w:rsidP="00AB43B5">
      <w:pPr>
        <w:pStyle w:val="SingleTxt"/>
        <w:rPr>
          <w:szCs w:val="22"/>
          <w:lang w:val="es-ES" w:eastAsia="en-US"/>
        </w:rPr>
      </w:pPr>
      <w:bookmarkStart w:id="99" w:name="bookmark_136"/>
      <w:r w:rsidRPr="00A03848">
        <w:rPr>
          <w:szCs w:val="22"/>
          <w:lang w:val="es-ES" w:eastAsia="en-US"/>
        </w:rPr>
        <w:t>33.</w:t>
      </w:r>
      <w:r w:rsidRPr="00A03848">
        <w:rPr>
          <w:szCs w:val="22"/>
          <w:lang w:val="es-ES" w:eastAsia="en-US"/>
        </w:rPr>
        <w:tab/>
      </w:r>
      <w:r w:rsidR="0011638B" w:rsidRPr="00A03848">
        <w:rPr>
          <w:szCs w:val="22"/>
          <w:lang w:val="es-ES" w:eastAsia="en-US"/>
        </w:rPr>
        <w:t>La reunión anual de consulta con organizaciones no gubernamentales (ONG) nacionales, celebrada en el período previo a la Comisión de la Condición Jurídica y Social de la Mujer, constituye uno de los principales vehículos para la colaboración del Gobierno del Reino Unido con las mujeres y las organizaciones de mujeres. En octubre de 2014, la Oficina Gubernamental para la Igualdad puso en marcha un programa itinerante sobre la participación de la mujer y una encuesta en línea para</w:t>
      </w:r>
      <w:r w:rsidR="00233A1A" w:rsidRPr="00A03848">
        <w:rPr>
          <w:szCs w:val="22"/>
          <w:lang w:val="es-ES" w:eastAsia="en-US"/>
        </w:rPr>
        <w:t xml:space="preserve"> </w:t>
      </w:r>
      <w:r w:rsidR="0011638B" w:rsidRPr="00A03848">
        <w:rPr>
          <w:szCs w:val="22"/>
          <w:lang w:val="es-ES" w:eastAsia="en-US"/>
        </w:rPr>
        <w:t>conmemorar el 20º aniversario de la Plataforma de Acción de Beijing. Se invitó a las organizaciones de mujeres de todo el país a compartir sus opiniones acerca</w:t>
      </w:r>
      <w:r w:rsidR="00233A1A" w:rsidRPr="00A03848">
        <w:rPr>
          <w:szCs w:val="22"/>
          <w:lang w:val="es-ES" w:eastAsia="en-US"/>
        </w:rPr>
        <w:t xml:space="preserve"> </w:t>
      </w:r>
      <w:r w:rsidR="0011638B" w:rsidRPr="00A03848">
        <w:rPr>
          <w:szCs w:val="22"/>
          <w:lang w:val="es-ES" w:eastAsia="en-US"/>
        </w:rPr>
        <w:t>de</w:t>
      </w:r>
      <w:r w:rsidR="00233A1A" w:rsidRPr="00A03848">
        <w:rPr>
          <w:szCs w:val="22"/>
          <w:lang w:val="es-ES" w:eastAsia="en-US"/>
        </w:rPr>
        <w:t xml:space="preserve"> </w:t>
      </w:r>
      <w:r w:rsidR="0011638B" w:rsidRPr="00A03848">
        <w:rPr>
          <w:szCs w:val="22"/>
          <w:lang w:val="es-ES" w:eastAsia="en-US"/>
        </w:rPr>
        <w:t>los avances que se han logrado en la lucha por la igualdad de género y</w:t>
      </w:r>
      <w:r w:rsidR="00993BE2" w:rsidRPr="00A03848">
        <w:rPr>
          <w:szCs w:val="22"/>
          <w:lang w:val="es-ES" w:eastAsia="en-US"/>
        </w:rPr>
        <w:t xml:space="preserve"> </w:t>
      </w:r>
      <w:r w:rsidR="0011638B" w:rsidRPr="00A03848">
        <w:rPr>
          <w:szCs w:val="22"/>
          <w:lang w:val="es-ES" w:eastAsia="en-US"/>
        </w:rPr>
        <w:t>las</w:t>
      </w:r>
      <w:r w:rsidR="00993BE2" w:rsidRPr="00A03848">
        <w:rPr>
          <w:szCs w:val="22"/>
          <w:lang w:val="es-ES" w:eastAsia="en-US"/>
        </w:rPr>
        <w:t xml:space="preserve"> </w:t>
      </w:r>
      <w:r w:rsidR="0011638B" w:rsidRPr="00A03848">
        <w:rPr>
          <w:szCs w:val="22"/>
          <w:lang w:val="es-ES" w:eastAsia="en-US"/>
        </w:rPr>
        <w:t>prioridades</w:t>
      </w:r>
      <w:r w:rsidR="00233A1A" w:rsidRPr="00A03848">
        <w:rPr>
          <w:szCs w:val="22"/>
          <w:lang w:val="es-ES" w:eastAsia="en-US"/>
        </w:rPr>
        <w:t xml:space="preserve"> </w:t>
      </w:r>
      <w:r w:rsidR="0011638B" w:rsidRPr="00A03848">
        <w:rPr>
          <w:szCs w:val="22"/>
          <w:lang w:val="es-ES" w:eastAsia="en-US"/>
        </w:rPr>
        <w:t>de acción en el futuro. El Gobierno de Escocia ofrece financiación</w:t>
      </w:r>
      <w:r w:rsidR="00233A1A" w:rsidRPr="00A03848">
        <w:rPr>
          <w:szCs w:val="22"/>
          <w:lang w:val="es-ES" w:eastAsia="en-US"/>
        </w:rPr>
        <w:t xml:space="preserve"> </w:t>
      </w:r>
      <w:r w:rsidR="0011638B" w:rsidRPr="00A03848">
        <w:rPr>
          <w:szCs w:val="22"/>
          <w:lang w:val="es-ES" w:eastAsia="en-US"/>
        </w:rPr>
        <w:t>a</w:t>
      </w:r>
      <w:r w:rsidR="00233A1A" w:rsidRPr="00A03848">
        <w:rPr>
          <w:szCs w:val="22"/>
          <w:lang w:val="es-ES" w:eastAsia="en-US"/>
        </w:rPr>
        <w:t xml:space="preserve"> </w:t>
      </w:r>
      <w:r w:rsidR="0011638B" w:rsidRPr="00A03848">
        <w:rPr>
          <w:szCs w:val="22"/>
          <w:lang w:val="es-ES" w:eastAsia="en-US"/>
        </w:rPr>
        <w:t>varias organizaciones y proyectos que promueven la igualdad de oportunidades</w:t>
      </w:r>
      <w:r w:rsidR="00233A1A" w:rsidRPr="00A03848">
        <w:rPr>
          <w:szCs w:val="22"/>
          <w:lang w:val="es-ES" w:eastAsia="en-US"/>
        </w:rPr>
        <w:t xml:space="preserve"> </w:t>
      </w:r>
      <w:r w:rsidR="0011638B" w:rsidRPr="00A03848">
        <w:rPr>
          <w:szCs w:val="22"/>
          <w:lang w:val="es-ES" w:eastAsia="en-US"/>
        </w:rPr>
        <w:t>para</w:t>
      </w:r>
      <w:r w:rsidR="00233A1A" w:rsidRPr="00A03848">
        <w:rPr>
          <w:szCs w:val="22"/>
          <w:lang w:val="es-ES" w:eastAsia="en-US"/>
        </w:rPr>
        <w:t xml:space="preserve"> </w:t>
      </w:r>
      <w:r w:rsidR="0011638B" w:rsidRPr="00A03848">
        <w:rPr>
          <w:szCs w:val="22"/>
          <w:lang w:val="es-ES" w:eastAsia="en-US"/>
        </w:rPr>
        <w:t>mujeres y hombres en Escocia, en particular con respecto a la incorporación</w:t>
      </w:r>
      <w:r w:rsidR="00233A1A" w:rsidRPr="00A03848">
        <w:rPr>
          <w:szCs w:val="22"/>
          <w:lang w:val="es-ES" w:eastAsia="en-US"/>
        </w:rPr>
        <w:t xml:space="preserve"> </w:t>
      </w:r>
      <w:r w:rsidR="0011638B" w:rsidRPr="00A03848">
        <w:rPr>
          <w:szCs w:val="22"/>
          <w:lang w:val="es-ES" w:eastAsia="en-US"/>
        </w:rPr>
        <w:t xml:space="preserve">de la perspectiva de género y la Convención de Mujeres de Escocia. El Programa de Financiación para la Inclusión y la Igualdad 2017-2020 del Gobierno de Gales presta apoyo a la Women’s Equality Network (WEN) Wales a fin de conseguir que los encargados de la adopción de decisiones en Gales escuchen las opiniones de las mujeres y las niñas. Durante el período de tres años que dura el programa recibirán una subvención de 120.000 libras anuales. </w:t>
      </w:r>
      <w:bookmarkEnd w:id="99"/>
    </w:p>
    <w:p w14:paraId="6C1EA3C4" w14:textId="77777777" w:rsidR="00146F4D" w:rsidRPr="00A03848" w:rsidRDefault="00146F4D" w:rsidP="00146F4D">
      <w:pPr>
        <w:pStyle w:val="SingleTxt"/>
        <w:spacing w:after="0" w:line="120" w:lineRule="exact"/>
        <w:rPr>
          <w:sz w:val="10"/>
          <w:szCs w:val="10"/>
          <w:lang w:val="es-ES"/>
        </w:rPr>
      </w:pPr>
    </w:p>
    <w:p w14:paraId="6E7D90EF" w14:textId="77777777" w:rsidR="0011638B" w:rsidRPr="00A03848" w:rsidRDefault="0011638B" w:rsidP="009F2DF3">
      <w:pPr>
        <w:pStyle w:val="H4"/>
        <w:ind w:right="1260"/>
        <w:rPr>
          <w:iCs w:val="0"/>
          <w:lang w:val="es-ES" w:eastAsia="en-US"/>
        </w:rPr>
      </w:pPr>
      <w:bookmarkStart w:id="100" w:name="bookmark_137"/>
      <w:r w:rsidRPr="00A03848">
        <w:rPr>
          <w:iCs w:val="0"/>
          <w:lang w:val="es-ES" w:eastAsia="en-US"/>
        </w:rPr>
        <w:tab/>
      </w:r>
      <w:r w:rsidRPr="00A03848">
        <w:rPr>
          <w:iCs w:val="0"/>
          <w:lang w:val="es-ES" w:eastAsia="en-US"/>
        </w:rPr>
        <w:tab/>
        <w:t>Medidas especiales para acelerar la igualdad</w:t>
      </w:r>
      <w:bookmarkEnd w:id="100"/>
    </w:p>
    <w:p w14:paraId="622E0F0B" w14:textId="77777777" w:rsidR="00146F4D" w:rsidRPr="00A03848" w:rsidRDefault="00146F4D" w:rsidP="00146F4D">
      <w:pPr>
        <w:pStyle w:val="SingleTxt"/>
        <w:spacing w:after="0" w:line="120" w:lineRule="exact"/>
        <w:rPr>
          <w:sz w:val="10"/>
          <w:szCs w:val="10"/>
          <w:lang w:val="es-ES"/>
        </w:rPr>
      </w:pPr>
    </w:p>
    <w:p w14:paraId="1C03FA55" w14:textId="0A436066" w:rsidR="0011638B" w:rsidRPr="00A03848" w:rsidRDefault="00946670" w:rsidP="00AB43B5">
      <w:pPr>
        <w:pStyle w:val="SingleTxt"/>
        <w:rPr>
          <w:szCs w:val="22"/>
          <w:lang w:val="es-ES" w:eastAsia="en-US"/>
        </w:rPr>
      </w:pPr>
      <w:bookmarkStart w:id="101" w:name="bookmark_138"/>
      <w:r w:rsidRPr="00A03848">
        <w:rPr>
          <w:szCs w:val="22"/>
          <w:lang w:val="es-ES" w:eastAsia="en-US"/>
        </w:rPr>
        <w:t>34.</w:t>
      </w:r>
      <w:r w:rsidRPr="00A03848">
        <w:rPr>
          <w:szCs w:val="22"/>
          <w:lang w:val="es-ES" w:eastAsia="en-US"/>
        </w:rPr>
        <w:tab/>
      </w:r>
      <w:r w:rsidR="0011638B" w:rsidRPr="00A03848">
        <w:rPr>
          <w:szCs w:val="22"/>
          <w:lang w:val="es-ES" w:eastAsia="en-US"/>
        </w:rPr>
        <w:t xml:space="preserve">La Ley de Igualdad de 2010 prevé la adopción de medidas dirigidas a las mujeres para, por ejemplo, permitirles encontrar empleo o acceder a los servicios de salud. Estas medidas solo pueden tomarse si son un medio proporcionado de alcanzar un objetivo legítimo. No se trata de discriminación positiva, que sería favorecer a una persona o un grupo únicamente por presentar una característica protegida, independientemente de otros factores pertinentes. Mediante la Ley de Igualdad de 2010 se amplió el período durante el cual se permiten las listas de preselección integradas solo por mujeres con el fin de ayudar a aumentar la representación de la mujer en el Parlamento y determinados órganos sujetos a elecciones. Ahora esta práctica estará permitida hasta 2030. </w:t>
      </w:r>
      <w:bookmarkEnd w:id="101"/>
    </w:p>
    <w:p w14:paraId="5FA7407B" w14:textId="1872E18B" w:rsidR="0011638B" w:rsidRPr="00A03848" w:rsidRDefault="00946670" w:rsidP="00AB43B5">
      <w:pPr>
        <w:pStyle w:val="SingleTxt"/>
        <w:rPr>
          <w:szCs w:val="22"/>
          <w:lang w:val="es-ES" w:eastAsia="en-US"/>
        </w:rPr>
      </w:pPr>
      <w:bookmarkStart w:id="102" w:name="bookmark_139"/>
      <w:r w:rsidRPr="00A03848">
        <w:rPr>
          <w:szCs w:val="22"/>
          <w:lang w:val="es-ES" w:eastAsia="en-US"/>
        </w:rPr>
        <w:t>35.</w:t>
      </w:r>
      <w:r w:rsidRPr="00A03848">
        <w:rPr>
          <w:szCs w:val="22"/>
          <w:lang w:val="es-ES" w:eastAsia="en-US"/>
        </w:rPr>
        <w:tab/>
      </w:r>
      <w:r w:rsidR="0011638B" w:rsidRPr="00A03848">
        <w:rPr>
          <w:szCs w:val="22"/>
          <w:lang w:val="es-ES" w:eastAsia="en-US"/>
        </w:rPr>
        <w:t>El Gobierno de Escocia ha adoptado medidas para afrontar las desigualdades que sufren las mujeres en relación con el trabajo; la escasa representación de la mujer en los puestos superiores y de adopción de decisiones; el desequilibrio de género en los campos de ciencia, tecnología, ingeniería y matemáticas; y la violencia contra las mujeres y las niñas. Asimismo, el Gobierno escocés se ha comprometido a establecer un Consejo Consultivo para las Mujeres y las Niñas que defienda los derechos de las mujeres y las niñas, y a actuar como defensor de los cambios que pueden efectuarse en toda la sociedad para lograr la igualdad.</w:t>
      </w:r>
      <w:bookmarkEnd w:id="102"/>
    </w:p>
    <w:p w14:paraId="2E6191F7" w14:textId="77777777" w:rsidR="00F62A68" w:rsidRPr="00A03848" w:rsidRDefault="00F62A68" w:rsidP="00F62A68">
      <w:pPr>
        <w:pStyle w:val="SingleTxt"/>
        <w:spacing w:after="0" w:line="120" w:lineRule="exact"/>
        <w:rPr>
          <w:sz w:val="10"/>
          <w:szCs w:val="10"/>
          <w:lang w:val="es-ES"/>
        </w:rPr>
      </w:pPr>
    </w:p>
    <w:p w14:paraId="70297E0E" w14:textId="7B845CB0" w:rsidR="0011638B" w:rsidRPr="00A03848" w:rsidRDefault="0011638B" w:rsidP="009F2DF3">
      <w:pPr>
        <w:pStyle w:val="H4"/>
        <w:ind w:right="1260"/>
        <w:rPr>
          <w:iCs w:val="0"/>
          <w:lang w:val="es-ES" w:eastAsia="en-US"/>
        </w:rPr>
      </w:pPr>
      <w:bookmarkStart w:id="103" w:name="bookmark_140"/>
      <w:r w:rsidRPr="00A03848">
        <w:rPr>
          <w:iCs w:val="0"/>
          <w:lang w:val="es-ES" w:eastAsia="en-US"/>
        </w:rPr>
        <w:tab/>
      </w:r>
      <w:r w:rsidRPr="00A03848">
        <w:rPr>
          <w:iCs w:val="0"/>
          <w:lang w:val="es-ES" w:eastAsia="en-US"/>
        </w:rPr>
        <w:tab/>
        <w:t>Aceleración de la igualdad de género en los territorios británicos de ultramar y en</w:t>
      </w:r>
      <w:r w:rsidR="00233A1A" w:rsidRPr="00A03848">
        <w:rPr>
          <w:iCs w:val="0"/>
          <w:lang w:val="es-ES" w:eastAsia="en-US"/>
        </w:rPr>
        <w:t xml:space="preserve"> </w:t>
      </w:r>
      <w:r w:rsidRPr="00A03848">
        <w:rPr>
          <w:iCs w:val="0"/>
          <w:lang w:val="es-ES" w:eastAsia="en-US"/>
        </w:rPr>
        <w:t>la</w:t>
      </w:r>
      <w:r w:rsidR="00233A1A" w:rsidRPr="00A03848">
        <w:rPr>
          <w:iCs w:val="0"/>
          <w:lang w:val="es-ES" w:eastAsia="en-US"/>
        </w:rPr>
        <w:t xml:space="preserve"> </w:t>
      </w:r>
      <w:r w:rsidRPr="00A03848">
        <w:rPr>
          <w:iCs w:val="0"/>
          <w:lang w:val="es-ES" w:eastAsia="en-US"/>
        </w:rPr>
        <w:t>Isla de Man</w:t>
      </w:r>
      <w:bookmarkEnd w:id="103"/>
    </w:p>
    <w:p w14:paraId="02D5CA50" w14:textId="77777777" w:rsidR="00F62A68" w:rsidRPr="00A03848" w:rsidRDefault="00F62A68" w:rsidP="00F62A68">
      <w:pPr>
        <w:pStyle w:val="SingleTxt"/>
        <w:spacing w:after="0" w:line="120" w:lineRule="exact"/>
        <w:rPr>
          <w:sz w:val="10"/>
          <w:szCs w:val="10"/>
          <w:lang w:val="es-ES"/>
        </w:rPr>
      </w:pPr>
    </w:p>
    <w:p w14:paraId="5EBF0FD7" w14:textId="236FF0BA" w:rsidR="0011638B" w:rsidRPr="00A03848" w:rsidRDefault="00946670" w:rsidP="00AB43B5">
      <w:pPr>
        <w:pStyle w:val="SingleTxt"/>
        <w:rPr>
          <w:szCs w:val="22"/>
          <w:lang w:val="es-ES" w:eastAsia="en-US"/>
        </w:rPr>
      </w:pPr>
      <w:bookmarkStart w:id="104" w:name="bookmark_141"/>
      <w:r w:rsidRPr="00A03848">
        <w:rPr>
          <w:szCs w:val="22"/>
          <w:lang w:val="es-ES" w:eastAsia="en-US"/>
        </w:rPr>
        <w:t>36.</w:t>
      </w:r>
      <w:r w:rsidRPr="00A03848">
        <w:rPr>
          <w:szCs w:val="22"/>
          <w:lang w:val="es-ES" w:eastAsia="en-US"/>
        </w:rPr>
        <w:tab/>
      </w:r>
      <w:r w:rsidR="0011638B" w:rsidRPr="00A03848">
        <w:rPr>
          <w:szCs w:val="22"/>
          <w:lang w:val="es-ES" w:eastAsia="en-US"/>
        </w:rPr>
        <w:t>En Anguila, la Ley contra la Violencia Doméstica (2014) entró en vigor para ofrecer mayor protección a las víctimas de violencia doméstica facultando al tribunal para que conceda órdenes de alejamiento y ot</w:t>
      </w:r>
      <w:r w:rsidR="00FE6B53" w:rsidRPr="00A03848">
        <w:rPr>
          <w:szCs w:val="22"/>
          <w:lang w:val="es-ES" w:eastAsia="en-US"/>
        </w:rPr>
        <w:t>ras cuestiones conexas. En 2012</w:t>
      </w:r>
      <w:r w:rsidR="0011638B" w:rsidRPr="00A03848">
        <w:rPr>
          <w:szCs w:val="22"/>
          <w:lang w:val="es-ES" w:eastAsia="en-US"/>
        </w:rPr>
        <w:t xml:space="preserve"> se introdujo legislación en materia de igualdad de género en las Islas Caimán, la cual prohíbe la discriminación directa e indirecta por motivos de sexo, estado civil, embarazo o género en el empleo y asuntos conexos. </w:t>
      </w:r>
      <w:bookmarkEnd w:id="104"/>
    </w:p>
    <w:p w14:paraId="62CF8E76" w14:textId="54C1A1FB" w:rsidR="0011638B" w:rsidRPr="00A03848" w:rsidRDefault="00946670" w:rsidP="00AB43B5">
      <w:pPr>
        <w:pStyle w:val="SingleTxt"/>
        <w:rPr>
          <w:szCs w:val="22"/>
          <w:lang w:val="es-ES" w:eastAsia="en-US"/>
        </w:rPr>
      </w:pPr>
      <w:bookmarkStart w:id="105" w:name="bookmark_142"/>
      <w:r w:rsidRPr="00A03848">
        <w:rPr>
          <w:szCs w:val="22"/>
          <w:lang w:val="es-ES" w:eastAsia="en-US"/>
        </w:rPr>
        <w:t>37.</w:t>
      </w:r>
      <w:r w:rsidRPr="00A03848">
        <w:rPr>
          <w:szCs w:val="22"/>
          <w:lang w:val="es-ES" w:eastAsia="en-US"/>
        </w:rPr>
        <w:tab/>
      </w:r>
      <w:r w:rsidR="0011638B" w:rsidRPr="00A03848">
        <w:rPr>
          <w:szCs w:val="22"/>
          <w:lang w:val="es-ES" w:eastAsia="en-US"/>
        </w:rPr>
        <w:t>Recientemente se ha aprobado la Ley de Igualdad de 2017</w:t>
      </w:r>
      <w:r w:rsidR="0011638B" w:rsidRPr="00A03848">
        <w:rPr>
          <w:szCs w:val="22"/>
          <w:vertAlign w:val="superscript"/>
          <w:lang w:val="es-ES" w:eastAsia="en-US"/>
        </w:rPr>
        <w:footnoteReference w:id="12"/>
      </w:r>
      <w:r w:rsidR="0011638B" w:rsidRPr="00A03848">
        <w:rPr>
          <w:szCs w:val="22"/>
          <w:lang w:val="es-ES" w:eastAsia="en-US"/>
        </w:rPr>
        <w:t>, y el Gobierno de la Isla de Man ha empezado a preparar la fase de aplicación de esta legislación. En virtud de la Ley de Igualdad, las autoridades públicas estarán sujetas a la obligación de igualdad en el sector público. La aplicación de esta ley es un resultado específico dentro del objetivo estratégico del Programa de Gobierno 2016-2021</w:t>
      </w:r>
      <w:r w:rsidR="0011638B" w:rsidRPr="00A03848">
        <w:rPr>
          <w:szCs w:val="22"/>
          <w:vertAlign w:val="superscript"/>
          <w:lang w:val="es-ES" w:eastAsia="en-US"/>
        </w:rPr>
        <w:footnoteReference w:id="13"/>
      </w:r>
      <w:r w:rsidR="0011638B" w:rsidRPr="00A03848">
        <w:rPr>
          <w:szCs w:val="22"/>
          <w:lang w:val="es-ES" w:eastAsia="en-US"/>
        </w:rPr>
        <w:t xml:space="preserve"> de la Isla de Man de lograr una sociedad inclusiva y solidaria. La protección existente con arreglo a la legislación de la Isla de Man contra la discriminación en el ámbito laboral se ampliará, gracias a la Ley de Igualdad, para abarcar también la discriminación en el suministro de bienes y servicios. Esta ley también exigirá que se respete plenamente la igualdad de remuneración por trabajo de igual valor.</w:t>
      </w:r>
      <w:bookmarkEnd w:id="105"/>
    </w:p>
    <w:p w14:paraId="4F99302A" w14:textId="77777777" w:rsidR="00FC0C7B" w:rsidRPr="00A03848" w:rsidRDefault="00FC0C7B" w:rsidP="00FC0C7B">
      <w:pPr>
        <w:pStyle w:val="SingleTxt"/>
        <w:spacing w:after="0" w:line="120" w:lineRule="exact"/>
        <w:rPr>
          <w:sz w:val="10"/>
          <w:szCs w:val="10"/>
          <w:lang w:val="es-ES"/>
        </w:rPr>
      </w:pPr>
    </w:p>
    <w:p w14:paraId="42D9994B" w14:textId="77777777" w:rsidR="00FC0C7B" w:rsidRPr="00A03848" w:rsidRDefault="00FC0C7B" w:rsidP="00FC0C7B">
      <w:pPr>
        <w:pStyle w:val="SingleTxt"/>
        <w:spacing w:after="0" w:line="120" w:lineRule="exact"/>
        <w:rPr>
          <w:sz w:val="10"/>
          <w:szCs w:val="10"/>
          <w:lang w:val="es-ES"/>
        </w:rPr>
      </w:pPr>
    </w:p>
    <w:p w14:paraId="4FCC3C61" w14:textId="77777777" w:rsidR="0011638B" w:rsidRPr="00A03848" w:rsidRDefault="0011638B" w:rsidP="00C01F60">
      <w:pPr>
        <w:pStyle w:val="H1"/>
        <w:ind w:right="1260"/>
        <w:rPr>
          <w:bCs w:val="0"/>
          <w:szCs w:val="20"/>
          <w:lang w:val="es-ES" w:eastAsia="en-US"/>
        </w:rPr>
      </w:pPr>
      <w:bookmarkStart w:id="109" w:name="bookmark_145"/>
      <w:r w:rsidRPr="00A03848">
        <w:rPr>
          <w:bCs w:val="0"/>
          <w:szCs w:val="20"/>
          <w:lang w:val="es-ES" w:eastAsia="en-US"/>
        </w:rPr>
        <w:tab/>
      </w:r>
      <w:r w:rsidRPr="00A03848">
        <w:rPr>
          <w:bCs w:val="0"/>
          <w:szCs w:val="20"/>
          <w:lang w:val="es-ES" w:eastAsia="en-US"/>
        </w:rPr>
        <w:tab/>
        <w:t>Artículo 5. Funciones y estereotipos característicos de cada sexo</w:t>
      </w:r>
      <w:r w:rsidRPr="00A03848">
        <w:rPr>
          <w:bCs w:val="0"/>
          <w:szCs w:val="20"/>
          <w:vertAlign w:val="superscript"/>
          <w:lang w:val="es-ES" w:eastAsia="en-US"/>
        </w:rPr>
        <w:endnoteReference w:id="13"/>
      </w:r>
      <w:bookmarkEnd w:id="109"/>
    </w:p>
    <w:p w14:paraId="69353871" w14:textId="77777777" w:rsidR="00FC0C7B" w:rsidRPr="00A03848" w:rsidRDefault="00FC0C7B" w:rsidP="00FC0C7B">
      <w:pPr>
        <w:pStyle w:val="SingleTxt"/>
        <w:spacing w:after="0" w:line="120" w:lineRule="exact"/>
        <w:rPr>
          <w:sz w:val="10"/>
          <w:szCs w:val="10"/>
          <w:lang w:val="es-ES"/>
        </w:rPr>
      </w:pPr>
    </w:p>
    <w:p w14:paraId="39C333C6" w14:textId="77777777" w:rsidR="00FC0C7B" w:rsidRPr="00A03848" w:rsidRDefault="00FC0C7B" w:rsidP="00FC0C7B">
      <w:pPr>
        <w:pStyle w:val="SingleTxt"/>
        <w:spacing w:after="0" w:line="120" w:lineRule="exact"/>
        <w:rPr>
          <w:sz w:val="10"/>
          <w:szCs w:val="10"/>
          <w:lang w:val="es-ES"/>
        </w:rPr>
      </w:pPr>
    </w:p>
    <w:p w14:paraId="10A5FBEA" w14:textId="4C14CB22" w:rsidR="0011638B" w:rsidRPr="00A03848" w:rsidRDefault="00946670" w:rsidP="00AB43B5">
      <w:pPr>
        <w:pStyle w:val="SingleTxt"/>
        <w:rPr>
          <w:szCs w:val="22"/>
          <w:lang w:val="es-ES" w:eastAsia="en-US"/>
        </w:rPr>
      </w:pPr>
      <w:bookmarkStart w:id="111" w:name="bookmark_147"/>
      <w:r w:rsidRPr="00A03848">
        <w:rPr>
          <w:szCs w:val="22"/>
          <w:lang w:val="es-ES" w:eastAsia="en-US"/>
        </w:rPr>
        <w:t>38.</w:t>
      </w:r>
      <w:r w:rsidRPr="00A03848">
        <w:rPr>
          <w:szCs w:val="22"/>
          <w:lang w:val="es-ES" w:eastAsia="en-US"/>
        </w:rPr>
        <w:tab/>
      </w:r>
      <w:r w:rsidR="0011638B" w:rsidRPr="00A03848">
        <w:rPr>
          <w:szCs w:val="22"/>
          <w:lang w:val="es-ES" w:eastAsia="en-US"/>
        </w:rPr>
        <w:t>El Gobierno del Reino Unido colabora con empresas de los medios de comunicación para impulsar la diversidad dentro y fuera de la pantalla. Por ejemplo, el Departamento del Reino Unido de Tecnología Digital, Cultura, Medios de Comunicación y Deporte respalda el Project Diamond, un ambicioso sistema de supervisión de la diversidad en toda la industria creado por las emisoras BBC, Channel 4, ITV y Sky y respaldado por Pact y Creative Skillset a través de la red Creative Diversity Network. En todas las producciones del Reino Unido, se pedirá a las personas que trabajen dentro o fuera de la pantalla que introduzcan información sobre su género, identidad de género, edad, origen étnico, orientación sexual y discapacidad en el sistema de supervisión Diamond.</w:t>
      </w:r>
      <w:bookmarkEnd w:id="111"/>
    </w:p>
    <w:p w14:paraId="4ABDF056" w14:textId="77777777" w:rsidR="00FC0C7B" w:rsidRPr="00A03848" w:rsidRDefault="00FC0C7B" w:rsidP="00FC0C7B">
      <w:pPr>
        <w:pStyle w:val="SingleTxt"/>
        <w:spacing w:after="0" w:line="120" w:lineRule="exact"/>
        <w:rPr>
          <w:sz w:val="10"/>
          <w:szCs w:val="10"/>
          <w:lang w:val="es-ES"/>
        </w:rPr>
      </w:pPr>
    </w:p>
    <w:p w14:paraId="73B9F326" w14:textId="77777777" w:rsidR="0011638B" w:rsidRPr="00A03848" w:rsidRDefault="0011638B" w:rsidP="009F2DF3">
      <w:pPr>
        <w:pStyle w:val="H23"/>
        <w:ind w:right="1260"/>
        <w:rPr>
          <w:bCs w:val="0"/>
          <w:lang w:val="es-ES" w:eastAsia="en-US"/>
        </w:rPr>
      </w:pPr>
      <w:bookmarkStart w:id="112" w:name="bookmark_148"/>
      <w:r w:rsidRPr="00A03848">
        <w:rPr>
          <w:bCs w:val="0"/>
          <w:lang w:val="es-ES" w:eastAsia="en-US"/>
        </w:rPr>
        <w:tab/>
      </w:r>
      <w:r w:rsidRPr="00A03848">
        <w:rPr>
          <w:bCs w:val="0"/>
          <w:lang w:val="es-ES" w:eastAsia="en-US"/>
        </w:rPr>
        <w:tab/>
        <w:t>Lucha contra los estereotipos de género en la publicidad</w:t>
      </w:r>
      <w:bookmarkEnd w:id="112"/>
    </w:p>
    <w:p w14:paraId="3FB1E5D3" w14:textId="77777777" w:rsidR="00FC0C7B" w:rsidRPr="00A03848" w:rsidRDefault="00FC0C7B" w:rsidP="00FC0C7B">
      <w:pPr>
        <w:pStyle w:val="SingleTxt"/>
        <w:spacing w:after="0" w:line="120" w:lineRule="exact"/>
        <w:rPr>
          <w:sz w:val="10"/>
          <w:szCs w:val="10"/>
          <w:lang w:val="es-ES"/>
        </w:rPr>
      </w:pPr>
    </w:p>
    <w:p w14:paraId="26CAB495" w14:textId="1FE4C7B9" w:rsidR="0011638B" w:rsidRPr="00A03848" w:rsidRDefault="00946670" w:rsidP="00AB43B5">
      <w:pPr>
        <w:pStyle w:val="SingleTxt"/>
        <w:rPr>
          <w:szCs w:val="22"/>
          <w:lang w:val="es-ES" w:eastAsia="en-US"/>
        </w:rPr>
      </w:pPr>
      <w:bookmarkStart w:id="113" w:name="bookmark_149"/>
      <w:r w:rsidRPr="00A03848">
        <w:rPr>
          <w:szCs w:val="22"/>
          <w:lang w:val="es-ES" w:eastAsia="en-US"/>
        </w:rPr>
        <w:t>39.</w:t>
      </w:r>
      <w:r w:rsidRPr="00A03848">
        <w:rPr>
          <w:szCs w:val="22"/>
          <w:lang w:val="es-ES" w:eastAsia="en-US"/>
        </w:rPr>
        <w:tab/>
      </w:r>
      <w:r w:rsidR="0011638B" w:rsidRPr="00A03848">
        <w:rPr>
          <w:szCs w:val="22"/>
          <w:lang w:val="es-ES" w:eastAsia="en-US"/>
        </w:rPr>
        <w:t>El Gobierno ha acogido con agrado el reciente informe</w:t>
      </w:r>
      <w:r w:rsidR="0011638B" w:rsidRPr="00A03848">
        <w:rPr>
          <w:szCs w:val="22"/>
          <w:vertAlign w:val="superscript"/>
          <w:lang w:val="es-ES" w:eastAsia="en-US"/>
        </w:rPr>
        <w:footnoteReference w:id="14"/>
      </w:r>
      <w:r w:rsidR="0011638B" w:rsidRPr="00A03848">
        <w:rPr>
          <w:szCs w:val="22"/>
          <w:lang w:val="es-ES" w:eastAsia="en-US"/>
        </w:rPr>
        <w:t xml:space="preserve"> titulado </w:t>
      </w:r>
      <w:r w:rsidR="00284834" w:rsidRPr="00A03848">
        <w:rPr>
          <w:szCs w:val="22"/>
          <w:lang w:val="es-ES" w:eastAsia="en-US"/>
        </w:rPr>
        <w:t>“</w:t>
      </w:r>
      <w:r w:rsidR="0011638B" w:rsidRPr="00A03848">
        <w:rPr>
          <w:szCs w:val="22"/>
          <w:lang w:val="es-ES" w:eastAsia="en-US"/>
        </w:rPr>
        <w:t>Depictions, Perceptions and Harm</w:t>
      </w:r>
      <w:r w:rsidR="00284834" w:rsidRPr="00A03848">
        <w:rPr>
          <w:szCs w:val="22"/>
          <w:lang w:val="es-ES" w:eastAsia="en-US"/>
        </w:rPr>
        <w:t>”</w:t>
      </w:r>
      <w:r w:rsidR="0011638B" w:rsidRPr="00A03848">
        <w:rPr>
          <w:szCs w:val="22"/>
          <w:lang w:val="es-ES" w:eastAsia="en-US"/>
        </w:rPr>
        <w:t xml:space="preserve"> del órgano regulador de la publicidad del Reino Unido (la</w:t>
      </w:r>
      <w:r w:rsidR="00233A1A" w:rsidRPr="00A03848">
        <w:rPr>
          <w:szCs w:val="22"/>
          <w:lang w:val="es-ES" w:eastAsia="en-US"/>
        </w:rPr>
        <w:t xml:space="preserve"> </w:t>
      </w:r>
      <w:r w:rsidR="0011638B" w:rsidRPr="00A03848">
        <w:rPr>
          <w:szCs w:val="22"/>
          <w:lang w:val="es-ES" w:eastAsia="en-US"/>
        </w:rPr>
        <w:t xml:space="preserve">Dirección de Normas de Publicidad), en el que se examinan los efectos de los estereotipos de género en la publicidad. En el informe se presentan datos concluyentes que demuestran que los anuncios que asignan papeles o características estereotipadas a los géneros pueden resultar perjudiciales. </w:t>
      </w:r>
      <w:bookmarkEnd w:id="113"/>
      <w:r w:rsidR="0011638B" w:rsidRPr="00A03848">
        <w:rPr>
          <w:szCs w:val="22"/>
          <w:lang w:val="es-ES" w:eastAsia="en-US"/>
        </w:rPr>
        <w:t>El Gobierno del Reino Unido está examinando opciones sobre la forma en que puede colaborar con el sector para lograr que los anuncios describan de manera positiva tanto a las mujeres como a los hombres.</w:t>
      </w:r>
    </w:p>
    <w:p w14:paraId="497E854E" w14:textId="77777777" w:rsidR="00877B8C" w:rsidRPr="00A03848" w:rsidRDefault="00877B8C" w:rsidP="00877B8C">
      <w:pPr>
        <w:pStyle w:val="SingleTxt"/>
        <w:spacing w:after="0" w:line="120" w:lineRule="exact"/>
        <w:rPr>
          <w:sz w:val="10"/>
          <w:szCs w:val="10"/>
          <w:lang w:val="es-ES"/>
        </w:rPr>
      </w:pPr>
    </w:p>
    <w:p w14:paraId="15CCDEA0" w14:textId="77777777" w:rsidR="0011638B" w:rsidRPr="00A03848" w:rsidRDefault="0011638B" w:rsidP="009F2DF3">
      <w:pPr>
        <w:pStyle w:val="H23"/>
        <w:ind w:right="1260"/>
        <w:rPr>
          <w:bCs w:val="0"/>
          <w:lang w:val="es-ES" w:eastAsia="en-US"/>
        </w:rPr>
      </w:pPr>
      <w:bookmarkStart w:id="114" w:name="bookmark_151"/>
      <w:r w:rsidRPr="00A03848">
        <w:rPr>
          <w:bCs w:val="0"/>
          <w:lang w:val="es-ES" w:eastAsia="en-US"/>
        </w:rPr>
        <w:tab/>
      </w:r>
      <w:r w:rsidRPr="00A03848">
        <w:rPr>
          <w:bCs w:val="0"/>
          <w:lang w:val="es-ES" w:eastAsia="en-US"/>
        </w:rPr>
        <w:tab/>
        <w:t>Cultura, prácticas y ética de la prensa</w:t>
      </w:r>
      <w:r w:rsidRPr="00A03848">
        <w:rPr>
          <w:bCs w:val="0"/>
          <w:vertAlign w:val="superscript"/>
          <w:lang w:val="es-ES" w:eastAsia="en-US"/>
        </w:rPr>
        <w:endnoteReference w:id="14"/>
      </w:r>
      <w:bookmarkEnd w:id="114"/>
    </w:p>
    <w:p w14:paraId="6F855911" w14:textId="77777777" w:rsidR="00877B8C" w:rsidRPr="00A03848" w:rsidRDefault="00877B8C" w:rsidP="00877B8C">
      <w:pPr>
        <w:pStyle w:val="SingleTxt"/>
        <w:spacing w:after="0" w:line="120" w:lineRule="exact"/>
        <w:rPr>
          <w:sz w:val="10"/>
          <w:szCs w:val="10"/>
          <w:lang w:val="es-ES"/>
        </w:rPr>
      </w:pPr>
    </w:p>
    <w:p w14:paraId="69B6E32D" w14:textId="2BCBBF07" w:rsidR="0011638B" w:rsidRPr="00A03848" w:rsidRDefault="00946670" w:rsidP="00AB43B5">
      <w:pPr>
        <w:pStyle w:val="SingleTxt"/>
        <w:rPr>
          <w:szCs w:val="22"/>
          <w:lang w:val="es-ES" w:eastAsia="en-US"/>
        </w:rPr>
      </w:pPr>
      <w:bookmarkStart w:id="115" w:name="bookmark_153"/>
      <w:r w:rsidRPr="00A03848">
        <w:rPr>
          <w:szCs w:val="22"/>
          <w:lang w:val="es-ES" w:eastAsia="en-US"/>
        </w:rPr>
        <w:t>40.</w:t>
      </w:r>
      <w:r w:rsidRPr="00A03848">
        <w:rPr>
          <w:szCs w:val="22"/>
          <w:lang w:val="es-ES" w:eastAsia="en-US"/>
        </w:rPr>
        <w:tab/>
      </w:r>
      <w:r w:rsidR="0011638B" w:rsidRPr="00A03848">
        <w:rPr>
          <w:szCs w:val="22"/>
          <w:lang w:val="es-ES" w:eastAsia="en-US"/>
        </w:rPr>
        <w:t>Sir Brian Leveson publicó su informe</w:t>
      </w:r>
      <w:r w:rsidR="0011638B" w:rsidRPr="00A03848">
        <w:rPr>
          <w:szCs w:val="22"/>
          <w:vertAlign w:val="superscript"/>
          <w:lang w:val="es-ES" w:eastAsia="en-US"/>
        </w:rPr>
        <w:footnoteReference w:id="15"/>
      </w:r>
      <w:r w:rsidR="0011638B" w:rsidRPr="00A03848">
        <w:rPr>
          <w:szCs w:val="22"/>
          <w:lang w:val="es-ES" w:eastAsia="en-US"/>
        </w:rPr>
        <w:t xml:space="preserve"> sobre la primera parte de su investigación el 29 de noviembre de 2012. El informe incluye 92 recomendaciones sobre esferas como la autorregulación de la prensa, la policía, las relaciones entre la prensa y los políticos, la protección de datos y la pluralidad y la propiedad de los medios de comunicación. Se han tomado medidas con respecto a la mayoría de estas recomendaciones, las cuales se están poniendo en práctica. Al objeto de establecer un nuevo sistema de autorregulación voluntaria de la prensa, se creó por cédula real el Grupo sobre Reconocimiento de la Prensa. Esta entidad es independiente del Gobierno y su función consiste en evaluar si un órgano autorregulador de la prensa cumple los criterios establecidos en la cédula real. En el marco de este sistema puede existir más de un órgano autorregulador, y los editores tienen la libertad de afiliarse o no a uno.</w:t>
      </w:r>
      <w:bookmarkEnd w:id="115"/>
    </w:p>
    <w:p w14:paraId="283614E2" w14:textId="26CEBA62" w:rsidR="0011638B" w:rsidRPr="00A03848" w:rsidRDefault="00946670" w:rsidP="00AB43B5">
      <w:pPr>
        <w:pStyle w:val="SingleTxt"/>
        <w:rPr>
          <w:szCs w:val="22"/>
          <w:lang w:val="es-ES" w:eastAsia="en-US"/>
        </w:rPr>
      </w:pPr>
      <w:bookmarkStart w:id="116" w:name="bookmark_155"/>
      <w:r w:rsidRPr="00A03848">
        <w:rPr>
          <w:szCs w:val="22"/>
          <w:lang w:val="es-ES" w:eastAsia="en-US"/>
        </w:rPr>
        <w:t>41.</w:t>
      </w:r>
      <w:r w:rsidRPr="00A03848">
        <w:rPr>
          <w:szCs w:val="22"/>
          <w:lang w:val="es-ES" w:eastAsia="en-US"/>
        </w:rPr>
        <w:tab/>
      </w:r>
      <w:r w:rsidR="0011638B" w:rsidRPr="00A03848">
        <w:rPr>
          <w:szCs w:val="22"/>
          <w:lang w:val="es-ES" w:eastAsia="en-US"/>
        </w:rPr>
        <w:t>El Gobierno del Reino Unido se ha comprometido a defender las libertades que tanto ha costado ganar y el funcionamiento de una prensa libre. El enfoque del Reino Unido en lo referente a la autorregulación de la prensa garantiza que se salvaguarde la libertad de expresión y que se procure impedir problemas como la</w:t>
      </w:r>
      <w:r w:rsidR="00233A1A" w:rsidRPr="00A03848">
        <w:rPr>
          <w:szCs w:val="22"/>
          <w:lang w:val="es-ES" w:eastAsia="en-US"/>
        </w:rPr>
        <w:t xml:space="preserve"> </w:t>
      </w:r>
      <w:r w:rsidR="0011638B" w:rsidRPr="00A03848">
        <w:rPr>
          <w:szCs w:val="22"/>
          <w:lang w:val="es-ES" w:eastAsia="en-US"/>
        </w:rPr>
        <w:t>discriminación. No obstante, el Gobierno del Reino Unido reconoce que sigue habiendo retos que afrontar.</w:t>
      </w:r>
      <w:bookmarkEnd w:id="116"/>
    </w:p>
    <w:p w14:paraId="3DCBEC48" w14:textId="0A7AD265" w:rsidR="0011638B" w:rsidRPr="00A03848" w:rsidRDefault="00946670" w:rsidP="00AB43B5">
      <w:pPr>
        <w:pStyle w:val="SingleTxt"/>
        <w:keepLines/>
        <w:rPr>
          <w:szCs w:val="22"/>
          <w:lang w:val="es-ES" w:eastAsia="en-US"/>
        </w:rPr>
      </w:pPr>
      <w:bookmarkStart w:id="117" w:name="bookmark_156"/>
      <w:r w:rsidRPr="00A03848">
        <w:rPr>
          <w:szCs w:val="22"/>
          <w:lang w:val="es-ES" w:eastAsia="en-US"/>
        </w:rPr>
        <w:t>42.</w:t>
      </w:r>
      <w:r w:rsidRPr="00A03848">
        <w:rPr>
          <w:szCs w:val="22"/>
          <w:lang w:val="es-ES" w:eastAsia="en-US"/>
        </w:rPr>
        <w:tab/>
      </w:r>
      <w:r w:rsidR="0011638B" w:rsidRPr="00A03848">
        <w:rPr>
          <w:szCs w:val="22"/>
          <w:lang w:val="es-ES" w:eastAsia="en-US"/>
        </w:rPr>
        <w:t>La Cédula Real sobre la Autorregulación de la Prensa</w:t>
      </w:r>
      <w:r w:rsidR="0011638B" w:rsidRPr="00A03848">
        <w:rPr>
          <w:szCs w:val="22"/>
          <w:vertAlign w:val="superscript"/>
          <w:lang w:val="es-ES" w:eastAsia="en-US"/>
        </w:rPr>
        <w:footnoteReference w:id="16"/>
      </w:r>
      <w:r w:rsidR="0011638B" w:rsidRPr="00A03848">
        <w:rPr>
          <w:szCs w:val="22"/>
          <w:lang w:val="es-ES" w:eastAsia="en-US"/>
        </w:rPr>
        <w:t xml:space="preserve"> fue acordada por los Gobiernos del Reino Unido y de Escocia y aprobada por unanimidad en el Parlamento escocés y por todos los partidos más importantes en Westminster. Esta cédula real establece un proceso para llevar a la práctica las recomendaciones del Informe Leveson. La estrategia del Gobierno escocés denominada Equally Safe establece acciones para prevenir y erradicar la violencia contra las mujeres y las niñas e integra la obligación de colaborar con los medios de comunicación en cuanto a la discriminación por motivos de género.</w:t>
      </w:r>
      <w:bookmarkEnd w:id="117"/>
    </w:p>
    <w:p w14:paraId="53345940" w14:textId="77777777" w:rsidR="00877B8C" w:rsidRPr="00A03848" w:rsidRDefault="00877B8C" w:rsidP="00877B8C">
      <w:pPr>
        <w:pStyle w:val="SingleTxt"/>
        <w:spacing w:after="0" w:line="120" w:lineRule="exact"/>
        <w:rPr>
          <w:sz w:val="10"/>
          <w:szCs w:val="10"/>
          <w:lang w:val="es-ES"/>
        </w:rPr>
      </w:pPr>
    </w:p>
    <w:p w14:paraId="1A50D6F3" w14:textId="77777777" w:rsidR="0011638B" w:rsidRPr="00A03848" w:rsidRDefault="0011638B" w:rsidP="009F2DF3">
      <w:pPr>
        <w:pStyle w:val="H23"/>
        <w:ind w:right="1260"/>
        <w:rPr>
          <w:bCs w:val="0"/>
          <w:lang w:val="es-ES" w:eastAsia="en-US"/>
        </w:rPr>
      </w:pPr>
      <w:bookmarkStart w:id="119" w:name="bookmark_158"/>
      <w:r w:rsidRPr="00A03848">
        <w:rPr>
          <w:bCs w:val="0"/>
          <w:lang w:val="es-ES" w:eastAsia="en-US"/>
        </w:rPr>
        <w:tab/>
      </w:r>
      <w:r w:rsidRPr="00A03848">
        <w:rPr>
          <w:bCs w:val="0"/>
          <w:lang w:val="es-ES" w:eastAsia="en-US"/>
        </w:rPr>
        <w:tab/>
        <w:t>La mujer en los ámbitos de ciencia, tecnología, ingeniería y matemáticas</w:t>
      </w:r>
      <w:r w:rsidRPr="00A03848">
        <w:rPr>
          <w:bCs w:val="0"/>
          <w:vertAlign w:val="superscript"/>
          <w:lang w:val="es-ES" w:eastAsia="en-US"/>
        </w:rPr>
        <w:endnoteReference w:id="15"/>
      </w:r>
      <w:r w:rsidRPr="00A03848">
        <w:rPr>
          <w:bCs w:val="0"/>
          <w:lang w:val="es-ES" w:eastAsia="en-US"/>
        </w:rPr>
        <w:t xml:space="preserve"> </w:t>
      </w:r>
      <w:bookmarkEnd w:id="119"/>
    </w:p>
    <w:p w14:paraId="2A52F4EE" w14:textId="77777777" w:rsidR="00877B8C" w:rsidRPr="00A03848" w:rsidRDefault="00877B8C" w:rsidP="00877B8C">
      <w:pPr>
        <w:pStyle w:val="SingleTxt"/>
        <w:spacing w:after="0" w:line="120" w:lineRule="exact"/>
        <w:rPr>
          <w:sz w:val="10"/>
          <w:szCs w:val="10"/>
          <w:lang w:val="es-ES"/>
        </w:rPr>
      </w:pPr>
    </w:p>
    <w:p w14:paraId="4B8B2155" w14:textId="40013C80" w:rsidR="0011638B" w:rsidRPr="00A03848" w:rsidRDefault="00946670" w:rsidP="00AB43B5">
      <w:pPr>
        <w:pStyle w:val="SingleTxt"/>
        <w:rPr>
          <w:szCs w:val="22"/>
          <w:lang w:val="es-ES" w:eastAsia="en-US"/>
        </w:rPr>
      </w:pPr>
      <w:bookmarkStart w:id="121" w:name="bookmark_160"/>
      <w:r w:rsidRPr="00A03848">
        <w:rPr>
          <w:szCs w:val="22"/>
          <w:lang w:val="es-ES" w:eastAsia="en-US"/>
        </w:rPr>
        <w:t>43.</w:t>
      </w:r>
      <w:r w:rsidRPr="00A03848">
        <w:rPr>
          <w:szCs w:val="22"/>
          <w:lang w:val="es-ES" w:eastAsia="en-US"/>
        </w:rPr>
        <w:tab/>
      </w:r>
      <w:r w:rsidR="0011638B" w:rsidRPr="00A03848">
        <w:rPr>
          <w:szCs w:val="22"/>
          <w:lang w:val="es-ES" w:eastAsia="en-US"/>
        </w:rPr>
        <w:t>En el Reino Unido, las niñas tienen las mismas posibilidades que los niños de prosperar en los certificados generales de enseñanza secundaria de ciencia, tecnología, ingeniería y matemáticas (CTIM). El Gobierno ha tomado medidas para aumentar la acogida de materias de CTIM entre las niñas y los niños, pero reconoce que queda mucho por hacer.</w:t>
      </w:r>
      <w:bookmarkEnd w:id="121"/>
    </w:p>
    <w:p w14:paraId="338A8FAC" w14:textId="63D10197" w:rsidR="0011638B" w:rsidRPr="00A03848" w:rsidRDefault="00946670" w:rsidP="00AB43B5">
      <w:pPr>
        <w:pStyle w:val="SingleTxt"/>
        <w:rPr>
          <w:szCs w:val="22"/>
          <w:lang w:val="es-ES" w:eastAsia="en-US"/>
        </w:rPr>
      </w:pPr>
      <w:bookmarkStart w:id="122" w:name="bookmark_161"/>
      <w:r w:rsidRPr="00A03848">
        <w:rPr>
          <w:szCs w:val="22"/>
          <w:lang w:val="es-ES" w:eastAsia="en-US"/>
        </w:rPr>
        <w:t>44.</w:t>
      </w:r>
      <w:r w:rsidRPr="00A03848">
        <w:rPr>
          <w:szCs w:val="22"/>
          <w:lang w:val="es-ES" w:eastAsia="en-US"/>
        </w:rPr>
        <w:tab/>
      </w:r>
      <w:r w:rsidR="0011638B" w:rsidRPr="00A03848">
        <w:rPr>
          <w:szCs w:val="22"/>
          <w:lang w:val="es-ES" w:eastAsia="en-US"/>
        </w:rPr>
        <w:t>El número de niñas que se matricularon en módulos de bachillerato de CTIM aumentó en un 20% entre 2010 y 2017. Por primera vez desde 2004, el número de mujeres matriculadas en Química supera al de hombres. En las carreras de CTIM se paga una prima del 19% y el Gobierno del Reino Unido está invirtiendo más de 12</w:t>
      </w:r>
      <w:r w:rsidR="00233A1A" w:rsidRPr="00A03848">
        <w:rPr>
          <w:szCs w:val="22"/>
          <w:lang w:val="es-ES" w:eastAsia="en-US"/>
        </w:rPr>
        <w:t xml:space="preserve"> </w:t>
      </w:r>
      <w:r w:rsidR="0011638B" w:rsidRPr="00A03848">
        <w:rPr>
          <w:szCs w:val="22"/>
          <w:lang w:val="es-ES" w:eastAsia="en-US"/>
        </w:rPr>
        <w:t>millones de libras al año en programas para escuelas y facultades para:</w:t>
      </w:r>
      <w:bookmarkEnd w:id="122"/>
    </w:p>
    <w:p w14:paraId="65B6927F" w14:textId="77777777" w:rsidR="0011638B" w:rsidRPr="00A03848" w:rsidRDefault="002538BA" w:rsidP="00096038">
      <w:pPr>
        <w:pStyle w:val="SingleTxt"/>
        <w:tabs>
          <w:tab w:val="right" w:pos="1685"/>
        </w:tabs>
        <w:ind w:left="1742" w:hanging="475"/>
        <w:rPr>
          <w:lang w:val="es-ES"/>
        </w:rPr>
      </w:pPr>
      <w:bookmarkStart w:id="123" w:name="bookmark_162"/>
      <w:r w:rsidRPr="00A03848">
        <w:rPr>
          <w:lang w:val="es-ES"/>
        </w:rPr>
        <w:tab/>
        <w:t>•</w:t>
      </w:r>
      <w:r w:rsidRPr="00A03848">
        <w:rPr>
          <w:lang w:val="es-ES"/>
        </w:rPr>
        <w:tab/>
      </w:r>
      <w:r w:rsidR="0011638B" w:rsidRPr="00A03848">
        <w:rPr>
          <w:lang w:val="es-ES"/>
        </w:rPr>
        <w:t>aumentar la acogida de las asignaturas de Matemáticas y Física</w:t>
      </w:r>
      <w:r w:rsidR="0011638B" w:rsidRPr="00A03848">
        <w:rPr>
          <w:vertAlign w:val="superscript"/>
          <w:lang w:val="es-ES"/>
        </w:rPr>
        <w:footnoteReference w:id="17"/>
      </w:r>
      <w:r w:rsidR="0011638B" w:rsidRPr="00A03848">
        <w:rPr>
          <w:lang w:val="es-ES"/>
        </w:rPr>
        <w:t xml:space="preserve">; </w:t>
      </w:r>
      <w:bookmarkEnd w:id="123"/>
    </w:p>
    <w:p w14:paraId="281F0A40" w14:textId="77777777" w:rsidR="0011638B" w:rsidRPr="00A03848" w:rsidRDefault="002538BA" w:rsidP="00096038">
      <w:pPr>
        <w:pStyle w:val="SingleTxt"/>
        <w:tabs>
          <w:tab w:val="right" w:pos="1685"/>
        </w:tabs>
        <w:ind w:left="1742" w:hanging="475"/>
        <w:rPr>
          <w:lang w:val="es-ES"/>
        </w:rPr>
      </w:pPr>
      <w:bookmarkStart w:id="125" w:name="bookmark_164"/>
      <w:r w:rsidRPr="00A03848">
        <w:rPr>
          <w:lang w:val="es-ES"/>
        </w:rPr>
        <w:tab/>
        <w:t>•</w:t>
      </w:r>
      <w:r w:rsidRPr="00A03848">
        <w:rPr>
          <w:lang w:val="es-ES"/>
        </w:rPr>
        <w:tab/>
      </w:r>
      <w:r w:rsidR="0011638B" w:rsidRPr="00A03848">
        <w:rPr>
          <w:lang w:val="es-ES"/>
        </w:rPr>
        <w:t>ayudar a mejorar la enseñanza de estas asignaturas en las escuelas; y</w:t>
      </w:r>
      <w:bookmarkEnd w:id="125"/>
    </w:p>
    <w:p w14:paraId="49D8F33F" w14:textId="77777777" w:rsidR="0011638B" w:rsidRPr="00A03848" w:rsidRDefault="002538BA" w:rsidP="00096038">
      <w:pPr>
        <w:pStyle w:val="SingleTxt"/>
        <w:tabs>
          <w:tab w:val="right" w:pos="1685"/>
        </w:tabs>
        <w:ind w:left="1742" w:hanging="475"/>
        <w:rPr>
          <w:lang w:val="es-ES"/>
        </w:rPr>
      </w:pPr>
      <w:bookmarkStart w:id="126" w:name="bookmark_165"/>
      <w:r w:rsidRPr="00A03848">
        <w:rPr>
          <w:lang w:val="es-ES"/>
        </w:rPr>
        <w:tab/>
        <w:t>•</w:t>
      </w:r>
      <w:r w:rsidRPr="00A03848">
        <w:rPr>
          <w:lang w:val="es-ES"/>
        </w:rPr>
        <w:tab/>
      </w:r>
      <w:r w:rsidR="0011638B" w:rsidRPr="00A03848">
        <w:rPr>
          <w:lang w:val="es-ES"/>
        </w:rPr>
        <w:t>concienciar sobre las diversas carreras profesionales que ofrecen las cualificaciones en CTIM mediante programas como, por ejemplo, el de embajadores de CTIM, donde el 42% de los embajadores son mujeres.</w:t>
      </w:r>
      <w:bookmarkEnd w:id="126"/>
    </w:p>
    <w:p w14:paraId="22F881FE" w14:textId="6170CB34" w:rsidR="0011638B" w:rsidRPr="00A03848" w:rsidRDefault="00946670" w:rsidP="00AB43B5">
      <w:pPr>
        <w:pStyle w:val="SingleTxt"/>
        <w:rPr>
          <w:szCs w:val="22"/>
          <w:lang w:val="es-ES" w:eastAsia="en-US"/>
        </w:rPr>
      </w:pPr>
      <w:bookmarkStart w:id="127" w:name="bookmark_166"/>
      <w:r w:rsidRPr="00A03848">
        <w:rPr>
          <w:szCs w:val="22"/>
          <w:lang w:val="es-ES" w:eastAsia="en-US"/>
        </w:rPr>
        <w:t>45.</w:t>
      </w:r>
      <w:r w:rsidRPr="00A03848">
        <w:rPr>
          <w:szCs w:val="22"/>
          <w:lang w:val="es-ES" w:eastAsia="en-US"/>
        </w:rPr>
        <w:tab/>
      </w:r>
      <w:r w:rsidR="0011638B" w:rsidRPr="00A03848">
        <w:rPr>
          <w:szCs w:val="22"/>
          <w:lang w:val="es-ES" w:eastAsia="en-US"/>
        </w:rPr>
        <w:t>El Gobierno del Reino Unido va a invertir 16 millones de libras durante dos años en el nuevo Programa de Apoyo a las Matemáticas de Nivel 3</w:t>
      </w:r>
      <w:r w:rsidR="0011638B" w:rsidRPr="00A03848">
        <w:rPr>
          <w:szCs w:val="22"/>
          <w:vertAlign w:val="superscript"/>
          <w:lang w:val="es-ES" w:eastAsia="en-US"/>
        </w:rPr>
        <w:footnoteReference w:id="18"/>
      </w:r>
      <w:r w:rsidR="0011638B" w:rsidRPr="00A03848">
        <w:rPr>
          <w:szCs w:val="22"/>
          <w:lang w:val="es-ES" w:eastAsia="en-US"/>
        </w:rPr>
        <w:t xml:space="preserve"> para aumentar la participación de las niñas en las materias de Matemáticas y Matemáticas avanzadas de bachillerato. Además, va a destinar 500 millones de libras al desarrollo de las competencias técnicas de los estudiantes de entre 16 y 19 años que se matriculen en el nuevo certificado de nivel T</w:t>
      </w:r>
      <w:r w:rsidR="0011638B" w:rsidRPr="00A03848">
        <w:rPr>
          <w:szCs w:val="22"/>
          <w:vertAlign w:val="superscript"/>
          <w:lang w:val="es-ES" w:eastAsia="en-US"/>
        </w:rPr>
        <w:footnoteReference w:id="19"/>
      </w:r>
      <w:r w:rsidR="0011638B" w:rsidRPr="00A03848">
        <w:rPr>
          <w:szCs w:val="22"/>
          <w:lang w:val="es-ES" w:eastAsia="en-US"/>
        </w:rPr>
        <w:t>. La oferta de niveles T (una nueva cualificación técnica) incluirá materias como Ingeniería, Manufactura y Tecnología digital. Alentar a las niñas a matricularse en estos cursos y aprovechar al máximo los valiosos conocimientos y la experiencia que ofrecen es una prioridad fundamental. El Gobierno del Reino Unido también está invirtiendo en programas orientados a mejorar la calidad de la enseñanza de las asignaturas de CTIM capacitando y actualizando a estos profesores y atrayendo a la enseñanza a los mejores graduados en Ciencia y Matemáticas, por ejemplo, mediante becas y ayudas de capacitación docente inicial.</w:t>
      </w:r>
      <w:bookmarkEnd w:id="127"/>
    </w:p>
    <w:p w14:paraId="329FB967" w14:textId="228B9F73" w:rsidR="0011638B" w:rsidRPr="00A03848" w:rsidRDefault="00946670" w:rsidP="00AB43B5">
      <w:pPr>
        <w:pStyle w:val="SingleTxt"/>
        <w:rPr>
          <w:szCs w:val="22"/>
          <w:lang w:val="es-ES" w:eastAsia="en-US"/>
        </w:rPr>
      </w:pPr>
      <w:bookmarkStart w:id="130" w:name="_Toc486494058"/>
      <w:bookmarkStart w:id="131" w:name="bookmark_169"/>
      <w:bookmarkEnd w:id="130"/>
      <w:r w:rsidRPr="00A03848">
        <w:rPr>
          <w:szCs w:val="22"/>
          <w:lang w:val="es-ES" w:eastAsia="en-US"/>
        </w:rPr>
        <w:t>46.</w:t>
      </w:r>
      <w:r w:rsidRPr="00A03848">
        <w:rPr>
          <w:szCs w:val="22"/>
          <w:lang w:val="es-ES" w:eastAsia="en-US"/>
        </w:rPr>
        <w:tab/>
      </w:r>
      <w:r w:rsidR="0011638B" w:rsidRPr="00A03848">
        <w:rPr>
          <w:szCs w:val="22"/>
          <w:lang w:val="es-ES" w:eastAsia="en-US"/>
        </w:rPr>
        <w:t>En la estrategia denominada Success through STEM se describe la forma en que, en Irlanda del Norte, los departamentos gubernamentales competentes pretenden impulsar las recomendaciones del informe de 2009 sobre el examen de los ámbitos de CTIM</w:t>
      </w:r>
      <w:r w:rsidR="0011638B" w:rsidRPr="00A03848">
        <w:rPr>
          <w:szCs w:val="22"/>
          <w:vertAlign w:val="superscript"/>
          <w:lang w:val="es-ES" w:eastAsia="en-US"/>
        </w:rPr>
        <w:footnoteReference w:id="20"/>
      </w:r>
      <w:r w:rsidR="0011638B" w:rsidRPr="00A03848">
        <w:rPr>
          <w:szCs w:val="22"/>
          <w:lang w:val="es-ES" w:eastAsia="en-US"/>
        </w:rPr>
        <w:t>, en particular haciendo frente al sesgo de género.</w:t>
      </w:r>
      <w:bookmarkEnd w:id="131"/>
    </w:p>
    <w:p w14:paraId="34986CE0" w14:textId="418EE8F4" w:rsidR="0011638B" w:rsidRPr="00A03848" w:rsidRDefault="00946670" w:rsidP="00AB43B5">
      <w:pPr>
        <w:pStyle w:val="SingleTxt"/>
        <w:rPr>
          <w:szCs w:val="22"/>
          <w:lang w:val="es-ES" w:eastAsia="en-US"/>
        </w:rPr>
      </w:pPr>
      <w:bookmarkStart w:id="133" w:name="bookmark_171"/>
      <w:r w:rsidRPr="00A03848">
        <w:rPr>
          <w:szCs w:val="22"/>
          <w:lang w:val="es-ES" w:eastAsia="en-US"/>
        </w:rPr>
        <w:t>47.</w:t>
      </w:r>
      <w:r w:rsidRPr="00A03848">
        <w:rPr>
          <w:szCs w:val="22"/>
          <w:lang w:val="es-ES" w:eastAsia="en-US"/>
        </w:rPr>
        <w:tab/>
      </w:r>
      <w:r w:rsidR="0011638B" w:rsidRPr="00A03848">
        <w:rPr>
          <w:szCs w:val="22"/>
          <w:lang w:val="es-ES" w:eastAsia="en-US"/>
        </w:rPr>
        <w:t xml:space="preserve">Skills Development Scotland publicó un plan de acción quinquenal sobre la igualdad en relación con los aprendizajes modernos en Escocia. En él se esbozan las medidas que tomarán Skills Development Scotland y sus asociados para mejorar la participación de los grupos insuficientemente representados en el programa de aprendizajes modernos. El plan de acción incluye actividades encaminadas a resolver el desequilibrio de género que existe en algunos marcos laborales de los aprendizajes modernos (p. ej., las mujeres en los aprendizajes relacionados con la CTIM). La estrategia de CTIM del Gobierno escocés se publicará en otoño de 2017 y ofrece un plan integral para mejorar el aprendizaje y la enseñanza de CTIM en los planes de estudios. </w:t>
      </w:r>
      <w:bookmarkEnd w:id="133"/>
    </w:p>
    <w:p w14:paraId="569599A7" w14:textId="66400865" w:rsidR="0011638B" w:rsidRPr="00A03848" w:rsidRDefault="00946670" w:rsidP="00AB43B5">
      <w:pPr>
        <w:pStyle w:val="SingleTxt"/>
        <w:rPr>
          <w:szCs w:val="22"/>
          <w:lang w:val="es-ES" w:eastAsia="en-US"/>
        </w:rPr>
      </w:pPr>
      <w:bookmarkStart w:id="134" w:name="bookmark_172"/>
      <w:r w:rsidRPr="00A03848">
        <w:rPr>
          <w:szCs w:val="22"/>
          <w:lang w:val="es-ES" w:eastAsia="en-US"/>
        </w:rPr>
        <w:t>48.</w:t>
      </w:r>
      <w:r w:rsidRPr="00A03848">
        <w:rPr>
          <w:szCs w:val="22"/>
          <w:lang w:val="es-ES" w:eastAsia="en-US"/>
        </w:rPr>
        <w:tab/>
      </w:r>
      <w:r w:rsidR="0011638B" w:rsidRPr="00A03848">
        <w:rPr>
          <w:szCs w:val="22"/>
          <w:lang w:val="es-ES" w:eastAsia="en-US"/>
        </w:rPr>
        <w:t xml:space="preserve">El Gobierno de Gales ha aceptado las 33 recomendaciones incluidas en el informe titulado </w:t>
      </w:r>
      <w:r w:rsidR="00284834" w:rsidRPr="00A03848">
        <w:rPr>
          <w:szCs w:val="22"/>
          <w:lang w:val="es-ES" w:eastAsia="en-US"/>
        </w:rPr>
        <w:t>“</w:t>
      </w:r>
      <w:r w:rsidR="0011638B" w:rsidRPr="00A03848">
        <w:rPr>
          <w:szCs w:val="22"/>
          <w:lang w:val="es-ES" w:eastAsia="en-US"/>
        </w:rPr>
        <w:t>Talented Women for a Successful Wales</w:t>
      </w:r>
      <w:r w:rsidR="00284834" w:rsidRPr="00A03848">
        <w:rPr>
          <w:szCs w:val="22"/>
          <w:lang w:val="es-ES" w:eastAsia="en-US"/>
        </w:rPr>
        <w:t>”</w:t>
      </w:r>
      <w:r w:rsidR="0011638B" w:rsidRPr="00A03848">
        <w:rPr>
          <w:szCs w:val="22"/>
          <w:lang w:val="es-ES" w:eastAsia="en-US"/>
        </w:rPr>
        <w:t>. En este informe se aborda la falta de representación y la baja tasa de retención de las mujeres en las carreras de CTIM en Gales.</w:t>
      </w:r>
      <w:bookmarkEnd w:id="134"/>
    </w:p>
    <w:p w14:paraId="4434720F" w14:textId="77777777" w:rsidR="00877B8C" w:rsidRPr="00A03848" w:rsidRDefault="00877B8C" w:rsidP="00877B8C">
      <w:pPr>
        <w:pStyle w:val="SingleTxt"/>
        <w:spacing w:after="0" w:line="120" w:lineRule="exact"/>
        <w:rPr>
          <w:sz w:val="10"/>
          <w:szCs w:val="10"/>
          <w:lang w:val="es-ES"/>
        </w:rPr>
      </w:pPr>
    </w:p>
    <w:p w14:paraId="2B0893D9" w14:textId="77777777" w:rsidR="0011638B" w:rsidRPr="00A03848" w:rsidRDefault="0011638B" w:rsidP="009F2DF3">
      <w:pPr>
        <w:pStyle w:val="H23"/>
        <w:ind w:right="1260"/>
        <w:rPr>
          <w:bCs w:val="0"/>
          <w:lang w:val="es-ES" w:eastAsia="en-US"/>
        </w:rPr>
      </w:pPr>
      <w:bookmarkStart w:id="135" w:name="bookmark_173"/>
      <w:r w:rsidRPr="00A03848">
        <w:rPr>
          <w:bCs w:val="0"/>
          <w:lang w:val="es-ES" w:eastAsia="en-US"/>
        </w:rPr>
        <w:tab/>
      </w:r>
      <w:r w:rsidRPr="00A03848">
        <w:rPr>
          <w:bCs w:val="0"/>
          <w:lang w:val="es-ES" w:eastAsia="en-US"/>
        </w:rPr>
        <w:tab/>
        <w:t>Códigos de vestimenta</w:t>
      </w:r>
      <w:bookmarkEnd w:id="135"/>
    </w:p>
    <w:p w14:paraId="031CC2FA" w14:textId="77777777" w:rsidR="00877B8C" w:rsidRPr="00A03848" w:rsidRDefault="00877B8C" w:rsidP="00877B8C">
      <w:pPr>
        <w:pStyle w:val="SingleTxt"/>
        <w:spacing w:after="0" w:line="120" w:lineRule="exact"/>
        <w:rPr>
          <w:sz w:val="10"/>
          <w:szCs w:val="10"/>
          <w:lang w:val="es-ES"/>
        </w:rPr>
      </w:pPr>
    </w:p>
    <w:p w14:paraId="0170ADD1" w14:textId="41153932" w:rsidR="0011638B" w:rsidRPr="00A03848" w:rsidRDefault="00946670" w:rsidP="00AB43B5">
      <w:pPr>
        <w:pStyle w:val="SingleTxt"/>
        <w:rPr>
          <w:szCs w:val="22"/>
          <w:lang w:val="es-ES" w:eastAsia="en-US"/>
        </w:rPr>
      </w:pPr>
      <w:bookmarkStart w:id="136" w:name="bookmark_174"/>
      <w:r w:rsidRPr="00A03848">
        <w:rPr>
          <w:szCs w:val="22"/>
          <w:lang w:val="es-ES" w:eastAsia="en-US"/>
        </w:rPr>
        <w:t>49.</w:t>
      </w:r>
      <w:r w:rsidRPr="00A03848">
        <w:rPr>
          <w:szCs w:val="22"/>
          <w:lang w:val="es-ES" w:eastAsia="en-US"/>
        </w:rPr>
        <w:tab/>
      </w:r>
      <w:r w:rsidR="0011638B" w:rsidRPr="00A03848">
        <w:rPr>
          <w:szCs w:val="22"/>
          <w:lang w:val="es-ES" w:eastAsia="en-US"/>
        </w:rPr>
        <w:t>El Gobierno del Reino Unido tiene claro que los códigos de vestimenta discriminatorios son ilegales, obsoletos y sexistas y no pueden tolerarse en el lugar de trabajo. Los empleadores deben cumplir sus obligaciones jurídicas con sus empleados, y el Gobierno los apoyará y alentará para que así lo hagan. La Comisión para la Igualdad y los Derechos Humanos y el Servicio de Asesoramiento, Conciliación y Arbitraje ya ofrecen orientación sobre cómo evitar la discriminación al determinar los códigos de vestimenta. El Gobierno del Reino Unido ha colaborado estrechamente con ambas organizaciones y la Junta Ejecutiva de Salud y Seguridad para producir nuevas orientaciones en torno a los códigos de vestimenta en el lugar de trabajo que se publicarán próximamente.</w:t>
      </w:r>
      <w:bookmarkEnd w:id="136"/>
    </w:p>
    <w:p w14:paraId="5AC8D8DC" w14:textId="77777777" w:rsidR="00877B8C" w:rsidRPr="00A03848" w:rsidRDefault="00877B8C" w:rsidP="00877B8C">
      <w:pPr>
        <w:pStyle w:val="SingleTxt"/>
        <w:spacing w:after="0" w:line="120" w:lineRule="exact"/>
        <w:rPr>
          <w:sz w:val="10"/>
          <w:szCs w:val="10"/>
          <w:lang w:val="es-ES"/>
        </w:rPr>
      </w:pPr>
    </w:p>
    <w:p w14:paraId="663447A8" w14:textId="77777777" w:rsidR="0011638B" w:rsidRPr="00A03848" w:rsidRDefault="0011638B" w:rsidP="009F2DF3">
      <w:pPr>
        <w:pStyle w:val="H23"/>
        <w:ind w:right="1260"/>
        <w:rPr>
          <w:bCs w:val="0"/>
          <w:lang w:val="es-ES" w:eastAsia="en-US"/>
        </w:rPr>
      </w:pPr>
      <w:bookmarkStart w:id="137" w:name="bookmark_175"/>
      <w:r w:rsidRPr="00A03848">
        <w:rPr>
          <w:bCs w:val="0"/>
          <w:lang w:val="es-ES" w:eastAsia="en-US"/>
        </w:rPr>
        <w:tab/>
      </w:r>
      <w:r w:rsidRPr="00A03848">
        <w:rPr>
          <w:bCs w:val="0"/>
          <w:lang w:val="es-ES" w:eastAsia="en-US"/>
        </w:rPr>
        <w:tab/>
        <w:t>Los hombres como agentes del cambio</w:t>
      </w:r>
      <w:bookmarkEnd w:id="137"/>
    </w:p>
    <w:p w14:paraId="7EADD9A9" w14:textId="77777777" w:rsidR="00877B8C" w:rsidRPr="00A03848" w:rsidRDefault="00877B8C" w:rsidP="00877B8C">
      <w:pPr>
        <w:pStyle w:val="SingleTxt"/>
        <w:spacing w:after="0" w:line="120" w:lineRule="exact"/>
        <w:rPr>
          <w:sz w:val="10"/>
          <w:szCs w:val="10"/>
          <w:lang w:val="es-ES"/>
        </w:rPr>
      </w:pPr>
    </w:p>
    <w:p w14:paraId="6E841C3B" w14:textId="1232C751" w:rsidR="0011638B" w:rsidRPr="00A03848" w:rsidRDefault="00946670" w:rsidP="00AB43B5">
      <w:pPr>
        <w:pStyle w:val="SingleTxt"/>
        <w:rPr>
          <w:szCs w:val="22"/>
          <w:lang w:val="es-ES" w:eastAsia="en-US"/>
        </w:rPr>
      </w:pPr>
      <w:bookmarkStart w:id="138" w:name="bookmark_176"/>
      <w:r w:rsidRPr="00A03848">
        <w:rPr>
          <w:szCs w:val="22"/>
          <w:lang w:val="es-ES" w:eastAsia="en-US"/>
        </w:rPr>
        <w:t>50.</w:t>
      </w:r>
      <w:r w:rsidRPr="00A03848">
        <w:rPr>
          <w:szCs w:val="22"/>
          <w:lang w:val="es-ES" w:eastAsia="en-US"/>
        </w:rPr>
        <w:tab/>
      </w:r>
      <w:r w:rsidR="0011638B" w:rsidRPr="00A03848">
        <w:rPr>
          <w:szCs w:val="22"/>
          <w:lang w:val="es-ES" w:eastAsia="en-US"/>
        </w:rPr>
        <w:t xml:space="preserve">La Oficina Gubernamental para la Igualdad ha iniciado un programa de trabajo para fomentar la colaboración de los hombres en la formulación de políticas y la ejecución de actividades que promuevan la igualdad de género. Esto incluyó actos de colaboración y consulta con círculos académicos y organizaciones de la sociedad civil, así como la coordinación con otros departamentos del Gobierno a fin de potenciar al máximo el aprendizaje y las oportunidades de colaboración. </w:t>
      </w:r>
      <w:bookmarkEnd w:id="138"/>
    </w:p>
    <w:p w14:paraId="5D3BFCBE" w14:textId="77777777" w:rsidR="00877B8C" w:rsidRPr="00A03848" w:rsidRDefault="00877B8C" w:rsidP="00877B8C">
      <w:pPr>
        <w:pStyle w:val="SingleTxt"/>
        <w:spacing w:after="0" w:line="120" w:lineRule="exact"/>
        <w:rPr>
          <w:sz w:val="10"/>
          <w:szCs w:val="10"/>
          <w:lang w:val="es-ES"/>
        </w:rPr>
      </w:pPr>
    </w:p>
    <w:p w14:paraId="615BE1DC" w14:textId="77777777" w:rsidR="00877B8C" w:rsidRPr="00A03848" w:rsidRDefault="00877B8C" w:rsidP="00877B8C">
      <w:pPr>
        <w:pStyle w:val="SingleTxt"/>
        <w:spacing w:after="0" w:line="120" w:lineRule="exact"/>
        <w:rPr>
          <w:sz w:val="10"/>
          <w:szCs w:val="10"/>
          <w:lang w:val="es-ES"/>
        </w:rPr>
      </w:pPr>
    </w:p>
    <w:p w14:paraId="1CF490C9" w14:textId="77777777" w:rsidR="0011638B" w:rsidRPr="00A03848" w:rsidRDefault="0011638B" w:rsidP="00C01F60">
      <w:pPr>
        <w:pStyle w:val="H1"/>
        <w:ind w:right="1260"/>
        <w:rPr>
          <w:bCs w:val="0"/>
          <w:szCs w:val="20"/>
          <w:lang w:val="es-ES" w:eastAsia="en-US"/>
        </w:rPr>
      </w:pPr>
      <w:bookmarkStart w:id="139" w:name="bookmark_177"/>
      <w:bookmarkStart w:id="140" w:name="_Toc498530724"/>
      <w:r w:rsidRPr="00A03848">
        <w:rPr>
          <w:bCs w:val="0"/>
          <w:szCs w:val="20"/>
          <w:lang w:val="es-ES" w:eastAsia="en-US"/>
        </w:rPr>
        <w:tab/>
      </w:r>
      <w:r w:rsidRPr="00A03848">
        <w:rPr>
          <w:bCs w:val="0"/>
          <w:szCs w:val="20"/>
          <w:lang w:val="es-ES" w:eastAsia="en-US"/>
        </w:rPr>
        <w:tab/>
        <w:t>Artículo 6. Explotación de la mujer</w:t>
      </w:r>
      <w:bookmarkEnd w:id="139"/>
      <w:bookmarkEnd w:id="140"/>
    </w:p>
    <w:p w14:paraId="6D633D04" w14:textId="77777777" w:rsidR="00877B8C" w:rsidRPr="00A03848" w:rsidRDefault="00877B8C" w:rsidP="00877B8C">
      <w:pPr>
        <w:pStyle w:val="SingleTxt"/>
        <w:spacing w:after="0" w:line="120" w:lineRule="exact"/>
        <w:rPr>
          <w:sz w:val="10"/>
          <w:szCs w:val="10"/>
          <w:lang w:val="es-ES"/>
        </w:rPr>
      </w:pPr>
    </w:p>
    <w:p w14:paraId="1328C608" w14:textId="77777777" w:rsidR="00877B8C" w:rsidRPr="00A03848" w:rsidRDefault="00877B8C" w:rsidP="00877B8C">
      <w:pPr>
        <w:pStyle w:val="SingleTxt"/>
        <w:spacing w:after="0" w:line="120" w:lineRule="exact"/>
        <w:rPr>
          <w:sz w:val="10"/>
          <w:szCs w:val="10"/>
          <w:lang w:val="es-ES"/>
        </w:rPr>
      </w:pPr>
    </w:p>
    <w:p w14:paraId="1E41D2E3" w14:textId="77777777" w:rsidR="0011638B" w:rsidRPr="00A03848" w:rsidRDefault="0011638B" w:rsidP="009F2DF3">
      <w:pPr>
        <w:pStyle w:val="H23"/>
        <w:ind w:right="1260"/>
        <w:rPr>
          <w:bCs w:val="0"/>
          <w:lang w:val="es-ES" w:eastAsia="en-US"/>
        </w:rPr>
      </w:pPr>
      <w:bookmarkStart w:id="141" w:name="bookmark_178"/>
      <w:r w:rsidRPr="00A03848">
        <w:rPr>
          <w:bCs w:val="0"/>
          <w:lang w:val="es-ES" w:eastAsia="en-US"/>
        </w:rPr>
        <w:tab/>
      </w:r>
      <w:r w:rsidRPr="00A03848">
        <w:rPr>
          <w:bCs w:val="0"/>
          <w:lang w:val="es-ES" w:eastAsia="en-US"/>
        </w:rPr>
        <w:tab/>
        <w:t xml:space="preserve">Maltrato en línea por razón de género </w:t>
      </w:r>
      <w:bookmarkEnd w:id="141"/>
    </w:p>
    <w:p w14:paraId="5E4407DC" w14:textId="77777777" w:rsidR="00877B8C" w:rsidRPr="00A03848" w:rsidRDefault="00877B8C" w:rsidP="00877B8C">
      <w:pPr>
        <w:pStyle w:val="SingleTxt"/>
        <w:spacing w:after="0" w:line="120" w:lineRule="exact"/>
        <w:rPr>
          <w:sz w:val="10"/>
          <w:szCs w:val="10"/>
          <w:lang w:val="es-ES"/>
        </w:rPr>
      </w:pPr>
    </w:p>
    <w:p w14:paraId="72EE6201" w14:textId="6436DC57" w:rsidR="0011638B" w:rsidRPr="00A03848" w:rsidRDefault="00946670" w:rsidP="00AB43B5">
      <w:pPr>
        <w:pStyle w:val="SingleTxt"/>
        <w:rPr>
          <w:szCs w:val="22"/>
          <w:lang w:val="es-ES" w:eastAsia="en-US"/>
        </w:rPr>
      </w:pPr>
      <w:bookmarkStart w:id="142" w:name="bookmark_179"/>
      <w:r w:rsidRPr="00A03848">
        <w:rPr>
          <w:szCs w:val="22"/>
          <w:lang w:val="es-ES" w:eastAsia="en-US"/>
        </w:rPr>
        <w:t>51.</w:t>
      </w:r>
      <w:r w:rsidRPr="00A03848">
        <w:rPr>
          <w:szCs w:val="22"/>
          <w:lang w:val="es-ES" w:eastAsia="en-US"/>
        </w:rPr>
        <w:tab/>
      </w:r>
      <w:r w:rsidR="0011638B" w:rsidRPr="00A03848">
        <w:rPr>
          <w:szCs w:val="22"/>
          <w:lang w:val="es-ES" w:eastAsia="en-US"/>
        </w:rPr>
        <w:t>El Gobierno del Reino Unido desea eliminar el acoso, la intimidación, la violencia y el hostigamiento dentro y fuera de Internet. Las mujeres y las niñas pueden sufrir malos tratos graves en línea, desde comentarios inaceptables sobre su</w:t>
      </w:r>
      <w:r w:rsidR="00233A1A" w:rsidRPr="00A03848">
        <w:rPr>
          <w:szCs w:val="22"/>
          <w:lang w:val="es-ES" w:eastAsia="en-US"/>
        </w:rPr>
        <w:t xml:space="preserve"> </w:t>
      </w:r>
      <w:r w:rsidR="0011638B" w:rsidRPr="00A03848">
        <w:rPr>
          <w:szCs w:val="22"/>
          <w:lang w:val="es-ES" w:eastAsia="en-US"/>
        </w:rPr>
        <w:t>apariencia y sus opiniones hasta fotografías íntimas compartidas sin su consentimiento e incluso amenazas de violación y muerte. Existe una sólida legislación en vigor para hacer frente a los troles, el hostigamiento criminal en Internet y el acoso, así como a los autores de conductas manifiestamente ofensivas, obscenas o amenazantes. La Ley de Economía Digital ayudará a combatir con eficacia el maltrato en línea mediante un estricto código de prácticas para las empresas de medios sociales.</w:t>
      </w:r>
      <w:bookmarkEnd w:id="142"/>
    </w:p>
    <w:p w14:paraId="3E32AD76" w14:textId="77777777" w:rsidR="002443E6" w:rsidRPr="00A03848" w:rsidRDefault="002443E6" w:rsidP="002443E6">
      <w:pPr>
        <w:pStyle w:val="SingleTxt"/>
        <w:spacing w:after="0" w:line="120" w:lineRule="exact"/>
        <w:rPr>
          <w:sz w:val="10"/>
          <w:szCs w:val="10"/>
          <w:lang w:val="es-ES"/>
        </w:rPr>
      </w:pPr>
    </w:p>
    <w:p w14:paraId="4CE4519A" w14:textId="77777777" w:rsidR="0011638B" w:rsidRPr="00A03848" w:rsidRDefault="0011638B" w:rsidP="009F2DF3">
      <w:pPr>
        <w:pStyle w:val="H23"/>
        <w:ind w:right="1260"/>
        <w:rPr>
          <w:bCs w:val="0"/>
          <w:lang w:val="es-ES" w:eastAsia="en-US"/>
        </w:rPr>
      </w:pPr>
      <w:bookmarkStart w:id="143" w:name="bookmark_180"/>
      <w:r w:rsidRPr="00A03848">
        <w:rPr>
          <w:bCs w:val="0"/>
          <w:lang w:val="es-ES" w:eastAsia="en-US"/>
        </w:rPr>
        <w:tab/>
      </w:r>
      <w:r w:rsidRPr="00A03848">
        <w:rPr>
          <w:bCs w:val="0"/>
          <w:lang w:val="es-ES" w:eastAsia="en-US"/>
        </w:rPr>
        <w:tab/>
        <w:t>Lucha contra la pornografía por venganza</w:t>
      </w:r>
      <w:bookmarkEnd w:id="143"/>
    </w:p>
    <w:p w14:paraId="6E1B62B9" w14:textId="77777777" w:rsidR="002443E6" w:rsidRPr="00A03848" w:rsidRDefault="002443E6" w:rsidP="002443E6">
      <w:pPr>
        <w:pStyle w:val="SingleTxt"/>
        <w:spacing w:after="0" w:line="120" w:lineRule="exact"/>
        <w:rPr>
          <w:sz w:val="10"/>
          <w:szCs w:val="10"/>
          <w:lang w:val="es-ES"/>
        </w:rPr>
      </w:pPr>
    </w:p>
    <w:p w14:paraId="2BA754FC" w14:textId="0056477E" w:rsidR="0011638B" w:rsidRPr="00A03848" w:rsidRDefault="00946670" w:rsidP="00AB43B5">
      <w:pPr>
        <w:pStyle w:val="SingleTxt"/>
        <w:rPr>
          <w:szCs w:val="22"/>
          <w:lang w:val="es-ES" w:eastAsia="en-US"/>
        </w:rPr>
      </w:pPr>
      <w:bookmarkStart w:id="144" w:name="bookmark_181"/>
      <w:r w:rsidRPr="00A03848">
        <w:rPr>
          <w:szCs w:val="22"/>
          <w:lang w:val="es-ES" w:eastAsia="en-US"/>
        </w:rPr>
        <w:t>52.</w:t>
      </w:r>
      <w:r w:rsidRPr="00A03848">
        <w:rPr>
          <w:szCs w:val="22"/>
          <w:lang w:val="es-ES" w:eastAsia="en-US"/>
        </w:rPr>
        <w:tab/>
      </w:r>
      <w:r w:rsidR="0011638B" w:rsidRPr="00A03848">
        <w:rPr>
          <w:szCs w:val="22"/>
          <w:lang w:val="es-ES" w:eastAsia="en-US"/>
        </w:rPr>
        <w:t>El Gobierno del Reino Unido está decidido a ayudar a las víctimas de la pornografía por venganza y durante los dos últimos años ha destinado 178.000 libras a financiar la línea telefónica de asistencia para estos casos</w:t>
      </w:r>
      <w:r w:rsidR="0011638B" w:rsidRPr="00A03848">
        <w:rPr>
          <w:szCs w:val="22"/>
          <w:vertAlign w:val="superscript"/>
          <w:lang w:val="es-ES" w:eastAsia="en-US"/>
        </w:rPr>
        <w:footnoteReference w:id="21"/>
      </w:r>
      <w:r w:rsidR="0011638B" w:rsidRPr="00A03848">
        <w:rPr>
          <w:szCs w:val="22"/>
          <w:lang w:val="es-ES" w:eastAsia="en-US"/>
        </w:rPr>
        <w:t xml:space="preserve">, que ha recibido más de 6.000 llamadas desde que se abrió en febrero de 2015. En este ejercicio económico se han asignado otras 80.000 libras a garantizar que las víctimas de la pornografía por venganza sigan recibiendo el apoyo que necesiten. Desde 2015, se han promulgado leyes específicas sobre la pornografía por venganza. En la actualidad, los tribunales de Inglaterra y Gales pueden imponer a los autores unas penas inmediatas de privación de la libertad de hasta dos años. </w:t>
      </w:r>
      <w:bookmarkEnd w:id="144"/>
    </w:p>
    <w:p w14:paraId="4D74121A" w14:textId="352FA83F" w:rsidR="0011638B" w:rsidRPr="00A03848" w:rsidRDefault="00946670" w:rsidP="00AB43B5">
      <w:pPr>
        <w:pStyle w:val="SingleTxt"/>
        <w:rPr>
          <w:szCs w:val="22"/>
          <w:lang w:val="es-ES" w:eastAsia="en-US"/>
        </w:rPr>
      </w:pPr>
      <w:bookmarkStart w:id="146" w:name="bookmark_183"/>
      <w:r w:rsidRPr="00A03848">
        <w:rPr>
          <w:szCs w:val="22"/>
          <w:lang w:val="es-ES" w:eastAsia="en-US"/>
        </w:rPr>
        <w:t>53.</w:t>
      </w:r>
      <w:r w:rsidRPr="00A03848">
        <w:rPr>
          <w:szCs w:val="22"/>
          <w:lang w:val="es-ES" w:eastAsia="en-US"/>
        </w:rPr>
        <w:tab/>
      </w:r>
      <w:r w:rsidR="0011638B" w:rsidRPr="00A03848">
        <w:rPr>
          <w:szCs w:val="22"/>
          <w:lang w:val="es-ES" w:eastAsia="en-US"/>
        </w:rPr>
        <w:t>El Gobierno de Escocia introdujo la Ley de Conductas Abusivas y Daños Sexuales (de Escocia) en 2016. En ella tipificó como delito específico el intercambio de imágenes íntimas privadas sin consentimiento con una pena máxima de cinco años de prisión, que entró en vigor el 3 de julio de 2017.</w:t>
      </w:r>
      <w:bookmarkEnd w:id="146"/>
    </w:p>
    <w:p w14:paraId="78E73F04" w14:textId="77777777" w:rsidR="002443E6" w:rsidRPr="00A03848" w:rsidRDefault="002443E6" w:rsidP="002443E6">
      <w:pPr>
        <w:pStyle w:val="SingleTxt"/>
        <w:spacing w:after="0" w:line="120" w:lineRule="exact"/>
        <w:rPr>
          <w:sz w:val="10"/>
          <w:szCs w:val="10"/>
          <w:lang w:val="es-ES"/>
        </w:rPr>
      </w:pPr>
    </w:p>
    <w:p w14:paraId="5A6978E8" w14:textId="77777777" w:rsidR="0011638B" w:rsidRPr="00A03848" w:rsidRDefault="0011638B" w:rsidP="009F2DF3">
      <w:pPr>
        <w:pStyle w:val="H23"/>
        <w:ind w:right="1260"/>
        <w:rPr>
          <w:bCs w:val="0"/>
          <w:lang w:val="es-ES" w:eastAsia="en-US"/>
        </w:rPr>
      </w:pPr>
      <w:bookmarkStart w:id="147" w:name="bookmark_184"/>
      <w:r w:rsidRPr="00A03848">
        <w:rPr>
          <w:bCs w:val="0"/>
          <w:lang w:val="es-ES" w:eastAsia="en-US"/>
        </w:rPr>
        <w:tab/>
      </w:r>
      <w:r w:rsidRPr="00A03848">
        <w:rPr>
          <w:bCs w:val="0"/>
          <w:lang w:val="es-ES" w:eastAsia="en-US"/>
        </w:rPr>
        <w:tab/>
        <w:t>Lucha contra la trata de personas y la esclavitud</w:t>
      </w:r>
      <w:bookmarkEnd w:id="147"/>
    </w:p>
    <w:p w14:paraId="1B50513F" w14:textId="77777777" w:rsidR="002443E6" w:rsidRPr="00A03848" w:rsidRDefault="002443E6" w:rsidP="002443E6">
      <w:pPr>
        <w:pStyle w:val="SingleTxt"/>
        <w:spacing w:after="0" w:line="120" w:lineRule="exact"/>
        <w:rPr>
          <w:sz w:val="10"/>
          <w:szCs w:val="10"/>
          <w:lang w:val="es-ES"/>
        </w:rPr>
      </w:pPr>
    </w:p>
    <w:p w14:paraId="7349A61D" w14:textId="0FF3EEA7" w:rsidR="0011638B" w:rsidRPr="00A03848" w:rsidRDefault="00946670" w:rsidP="00AB43B5">
      <w:pPr>
        <w:pStyle w:val="SingleTxt"/>
        <w:rPr>
          <w:szCs w:val="22"/>
          <w:lang w:val="es-ES" w:eastAsia="en-US"/>
        </w:rPr>
      </w:pPr>
      <w:bookmarkStart w:id="148" w:name="bookmark_185"/>
      <w:r w:rsidRPr="00A03848">
        <w:rPr>
          <w:szCs w:val="22"/>
          <w:lang w:val="es-ES" w:eastAsia="en-US"/>
        </w:rPr>
        <w:t>54.</w:t>
      </w:r>
      <w:r w:rsidRPr="00A03848">
        <w:rPr>
          <w:szCs w:val="22"/>
          <w:lang w:val="es-ES" w:eastAsia="en-US"/>
        </w:rPr>
        <w:tab/>
      </w:r>
      <w:r w:rsidR="0011638B" w:rsidRPr="00A03848">
        <w:rPr>
          <w:szCs w:val="22"/>
          <w:lang w:val="es-ES" w:eastAsia="en-US"/>
        </w:rPr>
        <w:t>El Gobierno del Reino Unido ha introducido la Ley de Esclavitud Contemporánea de 2015, que impone a los autores la cadena perpetua como pena máxima y amplía el apoyo y la protección para las víctimas. La Estrategia contra la Esclavitud Moderna de 2014</w:t>
      </w:r>
      <w:r w:rsidR="0011638B" w:rsidRPr="00A03848">
        <w:rPr>
          <w:szCs w:val="22"/>
          <w:vertAlign w:val="superscript"/>
          <w:lang w:val="es-ES" w:eastAsia="en-US"/>
        </w:rPr>
        <w:footnoteReference w:id="22"/>
      </w:r>
      <w:r w:rsidR="0011638B" w:rsidRPr="00A03848">
        <w:rPr>
          <w:szCs w:val="22"/>
          <w:lang w:val="es-ES" w:eastAsia="en-US"/>
        </w:rPr>
        <w:t xml:space="preserve"> presenta un enfoque integral para combatir las formas contemporáneas de esclavitud. En julio de 2016, la Primera Ministra anunció la creación de un nuevo equipo de tareas destinado a acelerar los avances en la lucha contra la esclavitud y prometió 33,5 millones de libras como financiación del desarrollo para prevenir la esclavitud, incluidos un Fondo de Innovación de 11</w:t>
      </w:r>
      <w:r w:rsidR="00233A1A" w:rsidRPr="00A03848">
        <w:rPr>
          <w:szCs w:val="22"/>
          <w:lang w:val="es-ES" w:eastAsia="en-US"/>
        </w:rPr>
        <w:t xml:space="preserve"> </w:t>
      </w:r>
      <w:r w:rsidR="0011638B" w:rsidRPr="00A03848">
        <w:rPr>
          <w:szCs w:val="22"/>
          <w:lang w:val="es-ES" w:eastAsia="en-US"/>
        </w:rPr>
        <w:t>millones de libras para apoyar nuevos planes de lucha contra la esclavitud y un Fondo de Protección frente a la Trata de Niños de 3 millones de libras. El Gobierno del Reino Unido ha prometido asignar 8,5 millones de libras a transformar la respuesta policial a este delito complejo y con múltiples facetas; defendió con éxito el establecimiento del Objetivo de Desarrollo Sostenible 8.7 de las Naciones</w:t>
      </w:r>
      <w:r w:rsidR="00233A1A" w:rsidRPr="00A03848">
        <w:rPr>
          <w:szCs w:val="22"/>
          <w:lang w:val="es-ES" w:eastAsia="en-US"/>
        </w:rPr>
        <w:t xml:space="preserve"> </w:t>
      </w:r>
      <w:r w:rsidR="0011638B" w:rsidRPr="00A03848">
        <w:rPr>
          <w:szCs w:val="22"/>
          <w:lang w:val="es-ES" w:eastAsia="en-US"/>
        </w:rPr>
        <w:t>Unidas, poner fin a la esclavitud contemporánea; y ratificó el Protocolo relativo al Convenio sobre el Trabajo Forzoso de la Organización Internacional del Trabajo (OIT).</w:t>
      </w:r>
      <w:bookmarkEnd w:id="148"/>
    </w:p>
    <w:p w14:paraId="6B76AAA2" w14:textId="1C172DE6" w:rsidR="0011638B" w:rsidRPr="00A03848" w:rsidRDefault="00946670" w:rsidP="00AB43B5">
      <w:pPr>
        <w:pStyle w:val="SingleTxt"/>
        <w:rPr>
          <w:szCs w:val="22"/>
          <w:lang w:val="es-ES" w:eastAsia="en-US"/>
        </w:rPr>
      </w:pPr>
      <w:bookmarkStart w:id="150" w:name="bookmark_187"/>
      <w:r w:rsidRPr="00A03848">
        <w:rPr>
          <w:szCs w:val="22"/>
          <w:lang w:val="es-ES" w:eastAsia="en-US"/>
        </w:rPr>
        <w:t>55.</w:t>
      </w:r>
      <w:r w:rsidRPr="00A03848">
        <w:rPr>
          <w:szCs w:val="22"/>
          <w:lang w:val="es-ES" w:eastAsia="en-US"/>
        </w:rPr>
        <w:tab/>
      </w:r>
      <w:r w:rsidR="0011638B" w:rsidRPr="00A03848">
        <w:rPr>
          <w:szCs w:val="22"/>
          <w:lang w:val="es-ES" w:eastAsia="en-US"/>
        </w:rPr>
        <w:t>En la actualidad existe en Irlanda del Norte un nuevo marco legislativo que gira en torno a la Ley de Justicia Penal y Apoyo a las Víctimas en Casos de Trata y Explotación de Personas (de Irlanda del Norte) de 2015. El artículo 12 impone la obligación de elaborar una estrategia anual sobre los delitos previstos en los artículos 1 y 2 de dicha ley (esclavitud, servidumbre, trabajo forzoso y obligatorio y trata de personas). El propósito de la estrategia es crear conciencia sobre la trata de personas y los delitos de esclavitud contemporánea y contribuir a reducir la incidencia de esos delitos. En el examen de 2014 del Mecanismo Nacional de Remisión</w:t>
      </w:r>
      <w:r w:rsidR="0011638B" w:rsidRPr="00A03848">
        <w:rPr>
          <w:szCs w:val="22"/>
          <w:vertAlign w:val="superscript"/>
          <w:lang w:val="es-ES" w:eastAsia="en-US"/>
        </w:rPr>
        <w:footnoteReference w:id="23"/>
      </w:r>
      <w:r w:rsidR="0011638B" w:rsidRPr="00A03848">
        <w:rPr>
          <w:szCs w:val="22"/>
          <w:lang w:val="es-ES" w:eastAsia="en-US"/>
        </w:rPr>
        <w:t xml:space="preserve"> se formularon varias recomendaciones sobre reformas destinadas a mejorar el proceso de adopción de decisiones con respecto a los casos y a potenciar la eficacia general del Mecanismo en cuanto a los resultados para las víctimas. A</w:t>
      </w:r>
      <w:r w:rsidR="003613DF" w:rsidRPr="00A03848">
        <w:rPr>
          <w:szCs w:val="22"/>
          <w:lang w:val="es-ES" w:eastAsia="en-US"/>
        </w:rPr>
        <w:t xml:space="preserve"> </w:t>
      </w:r>
      <w:r w:rsidR="0011638B" w:rsidRPr="00A03848">
        <w:rPr>
          <w:szCs w:val="22"/>
          <w:lang w:val="es-ES" w:eastAsia="en-US"/>
        </w:rPr>
        <w:t>finales de marzo de 2017 concluyeron varios proyectos piloto en Inglaterra y comenzó un período de evaluación. El Departamento de Justicia de Irlanda del Norte sigue colaborando con el Ministerio del Interior del Reino Unido para determinar cómo se introducirían cambios en Irlanda del Norte. El 20 de marzo de 2017, el Departamento de Justicia también celebró en Irlanda del Norte un acto de</w:t>
      </w:r>
      <w:r w:rsidR="00233A1A" w:rsidRPr="00A03848">
        <w:rPr>
          <w:szCs w:val="22"/>
          <w:lang w:val="es-ES" w:eastAsia="en-US"/>
        </w:rPr>
        <w:t xml:space="preserve"> </w:t>
      </w:r>
      <w:r w:rsidR="0011638B" w:rsidRPr="00A03848">
        <w:rPr>
          <w:szCs w:val="22"/>
          <w:lang w:val="es-ES" w:eastAsia="en-US"/>
        </w:rPr>
        <w:t xml:space="preserve">consulta dirigido al Comisionado Independiente de Lucha contra la Esclavitud sobre el futuro del Mecanismo Nacional de Remisión. </w:t>
      </w:r>
      <w:bookmarkEnd w:id="150"/>
    </w:p>
    <w:p w14:paraId="427CEBAF" w14:textId="035D35BD" w:rsidR="0011638B" w:rsidRPr="00A03848" w:rsidRDefault="00946670" w:rsidP="00AB43B5">
      <w:pPr>
        <w:pStyle w:val="SingleTxt"/>
        <w:rPr>
          <w:szCs w:val="22"/>
          <w:lang w:val="es-ES" w:eastAsia="en-US"/>
        </w:rPr>
      </w:pPr>
      <w:bookmarkStart w:id="152" w:name="bookmark_189"/>
      <w:r w:rsidRPr="00A03848">
        <w:rPr>
          <w:szCs w:val="22"/>
          <w:lang w:val="es-ES" w:eastAsia="en-US"/>
        </w:rPr>
        <w:t>56.</w:t>
      </w:r>
      <w:r w:rsidRPr="00A03848">
        <w:rPr>
          <w:szCs w:val="22"/>
          <w:lang w:val="es-ES" w:eastAsia="en-US"/>
        </w:rPr>
        <w:tab/>
      </w:r>
      <w:r w:rsidR="0011638B" w:rsidRPr="00A03848">
        <w:rPr>
          <w:szCs w:val="22"/>
          <w:lang w:val="es-ES" w:eastAsia="en-US"/>
        </w:rPr>
        <w:t>En Escocia, la Ley contra la Trata y la Explotación de Personas (de Escocia) de 2015 consolida y refuerza la legislación penal contra la trata y la explotación de personas. Los delitos tipificados en esta ley ahora conllevan una pena máxima de prisión permanente. También introduce las órdenes por motivos de prevención y riesgo ante la trata y la explotación. El Gobierno de Escocia trabaja con sus asociados con miras a aplicar su Estrategia contra la Trata y la Explotación de Personas</w:t>
      </w:r>
      <w:r w:rsidR="0011638B" w:rsidRPr="00A03848">
        <w:rPr>
          <w:szCs w:val="22"/>
          <w:vertAlign w:val="superscript"/>
          <w:lang w:val="es-ES" w:eastAsia="en-US"/>
        </w:rPr>
        <w:footnoteReference w:id="24"/>
      </w:r>
      <w:r w:rsidR="0011638B" w:rsidRPr="00A03848">
        <w:rPr>
          <w:szCs w:val="22"/>
          <w:lang w:val="es-ES" w:eastAsia="en-US"/>
        </w:rPr>
        <w:t xml:space="preserve"> publicada en mayo de 2017.</w:t>
      </w:r>
      <w:bookmarkEnd w:id="152"/>
    </w:p>
    <w:p w14:paraId="4D6A6287" w14:textId="538729D8" w:rsidR="0011638B" w:rsidRPr="00A03848" w:rsidRDefault="00946670" w:rsidP="00AB43B5">
      <w:pPr>
        <w:pStyle w:val="SingleTxt"/>
        <w:rPr>
          <w:szCs w:val="22"/>
          <w:lang w:val="es-ES" w:eastAsia="en-US"/>
        </w:rPr>
      </w:pPr>
      <w:bookmarkStart w:id="154" w:name="bookmark_191"/>
      <w:r w:rsidRPr="00A03848">
        <w:rPr>
          <w:szCs w:val="22"/>
          <w:lang w:val="es-ES" w:eastAsia="en-US"/>
        </w:rPr>
        <w:t>57.</w:t>
      </w:r>
      <w:r w:rsidRPr="00A03848">
        <w:rPr>
          <w:szCs w:val="22"/>
          <w:lang w:val="es-ES" w:eastAsia="en-US"/>
        </w:rPr>
        <w:tab/>
      </w:r>
      <w:r w:rsidR="0011638B" w:rsidRPr="00A03848">
        <w:rPr>
          <w:szCs w:val="22"/>
          <w:lang w:val="es-ES" w:eastAsia="en-US"/>
        </w:rPr>
        <w:t>El Grupo de Liderazgo contra la Esclavitud de Gales proporciona liderazgo estratégico para hacer frente a la esclavitud en Gales. El Grupo de Liderazgo coordina la colaboración entre los asociados para planificar y respaldar la ejecución de medidas, a fin de aumentar al máximo las oportunidades de solución interinstitucional para combatir la esclavitud.</w:t>
      </w:r>
      <w:bookmarkEnd w:id="154"/>
    </w:p>
    <w:p w14:paraId="0552B99A" w14:textId="77777777" w:rsidR="002443E6" w:rsidRPr="00A03848" w:rsidRDefault="002443E6" w:rsidP="002443E6">
      <w:pPr>
        <w:pStyle w:val="SingleTxt"/>
        <w:spacing w:after="0" w:line="120" w:lineRule="exact"/>
        <w:rPr>
          <w:sz w:val="10"/>
          <w:szCs w:val="10"/>
          <w:lang w:val="es-ES"/>
        </w:rPr>
      </w:pPr>
    </w:p>
    <w:p w14:paraId="51A6F347" w14:textId="77777777" w:rsidR="0011638B" w:rsidRPr="00A03848" w:rsidRDefault="0011638B" w:rsidP="009F2DF3">
      <w:pPr>
        <w:pStyle w:val="H23"/>
        <w:ind w:right="1260"/>
        <w:rPr>
          <w:bCs w:val="0"/>
          <w:lang w:val="es-ES" w:eastAsia="en-US"/>
        </w:rPr>
      </w:pPr>
      <w:bookmarkStart w:id="155" w:name="bookmark_192"/>
      <w:r w:rsidRPr="00A03848">
        <w:rPr>
          <w:bCs w:val="0"/>
          <w:lang w:val="es-ES" w:eastAsia="en-US"/>
        </w:rPr>
        <w:tab/>
      </w:r>
      <w:r w:rsidRPr="00A03848">
        <w:rPr>
          <w:bCs w:val="0"/>
          <w:lang w:val="es-ES" w:eastAsia="en-US"/>
        </w:rPr>
        <w:tab/>
        <w:t>Lucha contra la prostitución</w:t>
      </w:r>
      <w:r w:rsidRPr="00A03848">
        <w:rPr>
          <w:bCs w:val="0"/>
          <w:vertAlign w:val="superscript"/>
          <w:lang w:val="es-ES" w:eastAsia="en-US"/>
        </w:rPr>
        <w:endnoteReference w:id="16"/>
      </w:r>
      <w:bookmarkEnd w:id="155"/>
    </w:p>
    <w:p w14:paraId="0CCFDCB0" w14:textId="77777777" w:rsidR="002443E6" w:rsidRPr="00A03848" w:rsidRDefault="002443E6" w:rsidP="002443E6">
      <w:pPr>
        <w:pStyle w:val="SingleTxt"/>
        <w:spacing w:after="0" w:line="120" w:lineRule="exact"/>
        <w:rPr>
          <w:sz w:val="10"/>
          <w:szCs w:val="10"/>
          <w:lang w:val="es-ES"/>
        </w:rPr>
      </w:pPr>
    </w:p>
    <w:p w14:paraId="1D520303" w14:textId="0844D40A" w:rsidR="0011638B" w:rsidRPr="00A03848" w:rsidRDefault="00946670" w:rsidP="00AB43B5">
      <w:pPr>
        <w:pStyle w:val="SingleTxt"/>
        <w:rPr>
          <w:szCs w:val="22"/>
          <w:lang w:val="es-ES" w:eastAsia="en-US"/>
        </w:rPr>
      </w:pPr>
      <w:bookmarkStart w:id="157" w:name="bookmark_194"/>
      <w:r w:rsidRPr="00A03848">
        <w:rPr>
          <w:szCs w:val="22"/>
          <w:lang w:val="es-ES" w:eastAsia="en-US"/>
        </w:rPr>
        <w:t>58.</w:t>
      </w:r>
      <w:r w:rsidRPr="00A03848">
        <w:rPr>
          <w:szCs w:val="22"/>
          <w:lang w:val="es-ES" w:eastAsia="en-US"/>
        </w:rPr>
        <w:tab/>
      </w:r>
      <w:r w:rsidR="0011638B" w:rsidRPr="00A03848">
        <w:rPr>
          <w:szCs w:val="22"/>
          <w:lang w:val="es-ES" w:eastAsia="en-US"/>
        </w:rPr>
        <w:t>El Gobierno del Reino Unido tiene la firme determinación de hacer frente al daño y la explotación que pueden estar relacionados con la prostitución y cree que las personas que deseen abandonar la prostitución deberían tener acceso a todas las oportunidades que les permitan hacerlo. El Ministerio del Interior sigue colaborando estrechamente con la policía, el Ministerio Público de la Corona, otros organismos de primera línea y diversos asociados para garantizar que la legislación alcance estos objetivos. Como respuesta del Ministerio del Interior al informe provisional sobre la prostitución</w:t>
      </w:r>
      <w:r w:rsidR="0011638B" w:rsidRPr="00A03848">
        <w:rPr>
          <w:szCs w:val="22"/>
          <w:vertAlign w:val="superscript"/>
          <w:lang w:val="es-ES" w:eastAsia="en-US"/>
        </w:rPr>
        <w:footnoteReference w:id="25"/>
      </w:r>
      <w:r w:rsidR="0011638B" w:rsidRPr="00A03848">
        <w:rPr>
          <w:szCs w:val="22"/>
          <w:lang w:val="es-ES" w:eastAsia="en-US"/>
        </w:rPr>
        <w:t xml:space="preserve"> elaborado por el Comité Especial de Asuntos Internos, el Gobierno reconoce la necesidad de reunir una base sólida de información sobre la índole y la prevalencia del trabajo sexual en Inglaterra y Gales, y cree que no podemos evaluar adecuadamente la repercusión de las demás recomendaciones hasta que esta investigación haya concluido.</w:t>
      </w:r>
      <w:bookmarkEnd w:id="157"/>
    </w:p>
    <w:p w14:paraId="6E4A50F8" w14:textId="1E5D9C60" w:rsidR="0011638B" w:rsidRPr="00A03848" w:rsidRDefault="00946670" w:rsidP="00AB43B5">
      <w:pPr>
        <w:pStyle w:val="SingleTxt"/>
        <w:rPr>
          <w:szCs w:val="22"/>
          <w:lang w:val="es-ES" w:eastAsia="en-US"/>
        </w:rPr>
      </w:pPr>
      <w:bookmarkStart w:id="159" w:name="bookmark_196"/>
      <w:r w:rsidRPr="00A03848">
        <w:rPr>
          <w:szCs w:val="22"/>
          <w:lang w:val="es-ES" w:eastAsia="en-US"/>
        </w:rPr>
        <w:t>59.</w:t>
      </w:r>
      <w:r w:rsidRPr="00A03848">
        <w:rPr>
          <w:szCs w:val="22"/>
          <w:lang w:val="es-ES" w:eastAsia="en-US"/>
        </w:rPr>
        <w:tab/>
      </w:r>
      <w:r w:rsidR="0011638B" w:rsidRPr="00A03848">
        <w:rPr>
          <w:szCs w:val="22"/>
          <w:lang w:val="es-ES" w:eastAsia="en-US"/>
        </w:rPr>
        <w:t>El Gobierno de Escocia encargó que se realizara una evaluación nacional del alcance de los servicios de promoción relacionados con el sistema de justicia penal para las víctimas de violencia contra las mujeres y las niñas</w:t>
      </w:r>
      <w:r w:rsidR="0011638B" w:rsidRPr="00A03848">
        <w:rPr>
          <w:szCs w:val="22"/>
          <w:vertAlign w:val="superscript"/>
          <w:lang w:val="es-ES" w:eastAsia="en-US"/>
        </w:rPr>
        <w:footnoteReference w:id="26"/>
      </w:r>
      <w:r w:rsidR="0011638B" w:rsidRPr="00A03848">
        <w:rPr>
          <w:szCs w:val="22"/>
          <w:lang w:val="es-ES" w:eastAsia="en-US"/>
        </w:rPr>
        <w:t>. Dicha evaluación englobó los servicios de promoción para las víctimas de prostitución, trata de personas, violación y agresión sexual.</w:t>
      </w:r>
      <w:bookmarkEnd w:id="159"/>
    </w:p>
    <w:p w14:paraId="341133DA" w14:textId="59474637" w:rsidR="0011638B" w:rsidRPr="00A03848" w:rsidRDefault="00946670" w:rsidP="00AB43B5">
      <w:pPr>
        <w:pStyle w:val="SingleTxt"/>
        <w:rPr>
          <w:szCs w:val="22"/>
          <w:lang w:val="es-ES" w:eastAsia="en-US"/>
        </w:rPr>
      </w:pPr>
      <w:bookmarkStart w:id="161" w:name="bookmark_198"/>
      <w:r w:rsidRPr="00A03848">
        <w:rPr>
          <w:szCs w:val="22"/>
          <w:lang w:val="es-ES" w:eastAsia="en-US"/>
        </w:rPr>
        <w:t>60.</w:t>
      </w:r>
      <w:r w:rsidRPr="00A03848">
        <w:rPr>
          <w:szCs w:val="22"/>
          <w:lang w:val="es-ES" w:eastAsia="en-US"/>
        </w:rPr>
        <w:tab/>
      </w:r>
      <w:r w:rsidR="0011638B" w:rsidRPr="00A03848">
        <w:rPr>
          <w:szCs w:val="22"/>
          <w:lang w:val="es-ES" w:eastAsia="en-US"/>
        </w:rPr>
        <w:t>Se ha concedido una subvención de 150.000 libras al Comisario de Policía y Lucha contra el Delito de Gales del Sur para encargar esta investigación. Se invitará a académicos e investigadores a que presenten ofertas para desarrollar una comprensión integral e imparcial de la naturaleza, la prevalencia y la composición de la prostitución y el trabajo sexual en Inglaterra y Gales.</w:t>
      </w:r>
      <w:bookmarkEnd w:id="161"/>
    </w:p>
    <w:p w14:paraId="12FF127B" w14:textId="77777777" w:rsidR="003613DF" w:rsidRPr="00A03848" w:rsidRDefault="003613DF" w:rsidP="003613DF">
      <w:pPr>
        <w:pStyle w:val="SingleTxt"/>
        <w:spacing w:after="0" w:line="120" w:lineRule="exact"/>
        <w:rPr>
          <w:sz w:val="10"/>
          <w:szCs w:val="10"/>
          <w:lang w:val="es-ES"/>
        </w:rPr>
      </w:pPr>
    </w:p>
    <w:p w14:paraId="5E74BBD1" w14:textId="77777777" w:rsidR="003613DF" w:rsidRPr="00A03848" w:rsidRDefault="003613DF" w:rsidP="003613DF">
      <w:pPr>
        <w:pStyle w:val="SingleTxt"/>
        <w:spacing w:after="0" w:line="120" w:lineRule="exact"/>
        <w:rPr>
          <w:sz w:val="10"/>
          <w:szCs w:val="10"/>
          <w:lang w:val="es-ES"/>
        </w:rPr>
      </w:pPr>
    </w:p>
    <w:p w14:paraId="6112AD16" w14:textId="77777777" w:rsidR="007A1CF8" w:rsidRPr="00A03848" w:rsidRDefault="007A1CF8">
      <w:pPr>
        <w:suppressAutoHyphens w:val="0"/>
        <w:spacing w:line="240" w:lineRule="auto"/>
        <w:rPr>
          <w:b/>
          <w:sz w:val="24"/>
          <w:lang w:val="es-ES" w:eastAsia="en-US"/>
        </w:rPr>
      </w:pPr>
      <w:bookmarkStart w:id="162" w:name="bookmark_199"/>
      <w:bookmarkStart w:id="163" w:name="_Toc498530725"/>
      <w:r w:rsidRPr="00A03848">
        <w:rPr>
          <w:bCs/>
          <w:lang w:val="es-ES" w:eastAsia="en-US"/>
        </w:rPr>
        <w:br w:type="page"/>
      </w:r>
    </w:p>
    <w:p w14:paraId="699D7136" w14:textId="185DC9C8" w:rsidR="0011638B" w:rsidRPr="00A03848" w:rsidRDefault="0011638B" w:rsidP="00C01F60">
      <w:pPr>
        <w:pStyle w:val="H1"/>
        <w:ind w:right="1260"/>
        <w:rPr>
          <w:bCs w:val="0"/>
          <w:szCs w:val="20"/>
          <w:lang w:val="es-ES" w:eastAsia="en-US"/>
        </w:rPr>
      </w:pPr>
      <w:r w:rsidRPr="00A03848">
        <w:rPr>
          <w:bCs w:val="0"/>
          <w:szCs w:val="20"/>
          <w:lang w:val="es-ES" w:eastAsia="en-US"/>
        </w:rPr>
        <w:tab/>
      </w:r>
      <w:r w:rsidRPr="00A03848">
        <w:rPr>
          <w:bCs w:val="0"/>
          <w:szCs w:val="20"/>
          <w:lang w:val="es-ES" w:eastAsia="en-US"/>
        </w:rPr>
        <w:tab/>
        <w:t>Artículo 7. Representación de la mujer en la vida política y pública</w:t>
      </w:r>
      <w:bookmarkEnd w:id="162"/>
      <w:bookmarkEnd w:id="163"/>
    </w:p>
    <w:p w14:paraId="580D1AC7" w14:textId="77777777" w:rsidR="003613DF" w:rsidRPr="00A03848" w:rsidRDefault="003613DF" w:rsidP="003613DF">
      <w:pPr>
        <w:pStyle w:val="SingleTxt"/>
        <w:spacing w:after="0" w:line="120" w:lineRule="exact"/>
        <w:rPr>
          <w:sz w:val="10"/>
          <w:szCs w:val="10"/>
          <w:lang w:val="es-ES"/>
        </w:rPr>
      </w:pPr>
      <w:bookmarkStart w:id="164" w:name="Sample_2"/>
    </w:p>
    <w:p w14:paraId="09C92F4B" w14:textId="77777777" w:rsidR="003613DF" w:rsidRPr="00A03848" w:rsidRDefault="003613DF" w:rsidP="003613DF">
      <w:pPr>
        <w:pStyle w:val="SingleTxt"/>
        <w:spacing w:after="0" w:line="120" w:lineRule="exact"/>
        <w:rPr>
          <w:sz w:val="10"/>
          <w:szCs w:val="10"/>
          <w:lang w:val="es-ES"/>
        </w:rPr>
      </w:pPr>
    </w:p>
    <w:p w14:paraId="06281269" w14:textId="77777777" w:rsidR="0011638B" w:rsidRPr="00A03848" w:rsidRDefault="0011638B" w:rsidP="009F2DF3">
      <w:pPr>
        <w:pStyle w:val="H23"/>
        <w:ind w:right="1260"/>
        <w:rPr>
          <w:bCs w:val="0"/>
          <w:lang w:val="es-ES" w:eastAsia="en-US"/>
        </w:rPr>
      </w:pPr>
      <w:bookmarkStart w:id="165" w:name="bookmark_200"/>
      <w:r w:rsidRPr="00A03848">
        <w:rPr>
          <w:bCs w:val="0"/>
          <w:lang w:val="es-ES" w:eastAsia="en-US"/>
        </w:rPr>
        <w:tab/>
      </w:r>
      <w:r w:rsidRPr="00A03848">
        <w:rPr>
          <w:bCs w:val="0"/>
          <w:lang w:val="es-ES" w:eastAsia="en-US"/>
        </w:rPr>
        <w:tab/>
        <w:t>Diversidad en la representación política</w:t>
      </w:r>
      <w:r w:rsidRPr="00A03848">
        <w:rPr>
          <w:bCs w:val="0"/>
          <w:vertAlign w:val="superscript"/>
          <w:lang w:val="es-ES" w:eastAsia="en-US"/>
        </w:rPr>
        <w:endnoteReference w:id="17"/>
      </w:r>
      <w:bookmarkEnd w:id="165"/>
    </w:p>
    <w:p w14:paraId="4A570888" w14:textId="77777777" w:rsidR="003613DF" w:rsidRPr="00A03848" w:rsidRDefault="003613DF" w:rsidP="003613DF">
      <w:pPr>
        <w:pStyle w:val="SingleTxt"/>
        <w:spacing w:after="0" w:line="120" w:lineRule="exact"/>
        <w:rPr>
          <w:sz w:val="10"/>
          <w:szCs w:val="10"/>
          <w:lang w:val="es-ES"/>
        </w:rPr>
      </w:pPr>
    </w:p>
    <w:p w14:paraId="07EF20B4" w14:textId="07CBAE3E" w:rsidR="0011638B" w:rsidRPr="00A03848" w:rsidRDefault="00946670" w:rsidP="00AB43B5">
      <w:pPr>
        <w:pStyle w:val="SingleTxt"/>
        <w:rPr>
          <w:szCs w:val="22"/>
          <w:lang w:val="es-ES" w:eastAsia="en-US"/>
        </w:rPr>
      </w:pPr>
      <w:bookmarkStart w:id="167" w:name="bookmark_202"/>
      <w:r w:rsidRPr="00A03848">
        <w:rPr>
          <w:szCs w:val="22"/>
          <w:lang w:val="es-ES" w:eastAsia="en-US"/>
        </w:rPr>
        <w:t>61.</w:t>
      </w:r>
      <w:r w:rsidRPr="00A03848">
        <w:rPr>
          <w:szCs w:val="22"/>
          <w:lang w:val="es-ES" w:eastAsia="en-US"/>
        </w:rPr>
        <w:tab/>
      </w:r>
      <w:r w:rsidR="0011638B" w:rsidRPr="00A03848">
        <w:rPr>
          <w:szCs w:val="22"/>
          <w:lang w:val="es-ES" w:eastAsia="en-US"/>
        </w:rPr>
        <w:t>El Reino Unido actualmente dispone del Parlamento más diverso de su historia, con su segunda Primera Ministra y el mayor número de diputadas que ha tenido nunca. En las elecciones generales de junio de 2017, 208 mujeres obtuvieron escaños y ahora representan el 32% de todos los diputados del Parlamento, frente al 22% correspondiente a 2010. En las elecciones de 2017, resultaron elegidos 52 (8%) diputados del Parlamento que son de raza negra, origen asiático y minorías étnicas, frente a los 41 que había en 2015; de ellos, 26 son mujeres. En enero de 2017, 207</w:t>
      </w:r>
      <w:r w:rsidR="00233A1A" w:rsidRPr="00A03848">
        <w:rPr>
          <w:szCs w:val="22"/>
          <w:lang w:val="es-ES" w:eastAsia="en-US"/>
        </w:rPr>
        <w:t xml:space="preserve"> </w:t>
      </w:r>
      <w:r w:rsidR="0011638B" w:rsidRPr="00A03848">
        <w:rPr>
          <w:szCs w:val="22"/>
          <w:lang w:val="es-ES" w:eastAsia="en-US"/>
        </w:rPr>
        <w:t xml:space="preserve">mujeres (25,7%) son miembros de la Cámara de los Lores. En Escocia, el 35% de los diputados del Parlamento escocés son mujeres, al igual que el 42% de los miembros de la Asamblea Nacional de Gales y el 28% de los miembros de la Asamblea de Irlanda del Norte. Desde las elecciones al Parlamento Europeo de 2014, el 41% de los diputados británicos en </w:t>
      </w:r>
      <w:r w:rsidR="00C6353B" w:rsidRPr="00A03848">
        <w:rPr>
          <w:szCs w:val="22"/>
          <w:lang w:val="es-ES" w:eastAsia="en-US"/>
        </w:rPr>
        <w:t>él</w:t>
      </w:r>
      <w:r w:rsidR="0011638B" w:rsidRPr="00A03848">
        <w:rPr>
          <w:szCs w:val="22"/>
          <w:lang w:val="es-ES" w:eastAsia="en-US"/>
        </w:rPr>
        <w:t xml:space="preserve"> son mujeres. En Inglaterra</w:t>
      </w:r>
      <w:r w:rsidR="00C6353B" w:rsidRPr="00A03848">
        <w:rPr>
          <w:szCs w:val="22"/>
          <w:lang w:val="es-ES" w:eastAsia="en-US"/>
        </w:rPr>
        <w:t>, en 2017</w:t>
      </w:r>
      <w:r w:rsidR="0011638B" w:rsidRPr="00A03848">
        <w:rPr>
          <w:szCs w:val="22"/>
          <w:lang w:val="es-ES" w:eastAsia="en-US"/>
        </w:rPr>
        <w:t>, el 33% de los concejales de las autoridades locales son mujeres</w:t>
      </w:r>
      <w:r w:rsidR="00C6353B" w:rsidRPr="00A03848">
        <w:rPr>
          <w:szCs w:val="22"/>
          <w:lang w:val="es-ES" w:eastAsia="en-US"/>
        </w:rPr>
        <w:t>; e</w:t>
      </w:r>
      <w:r w:rsidR="0011638B" w:rsidRPr="00A03848">
        <w:rPr>
          <w:szCs w:val="22"/>
          <w:lang w:val="es-ES" w:eastAsia="en-US"/>
        </w:rPr>
        <w:t>n Escocia, el 24% de los concejales son mujeres. Las mujeres ocupan el 26% de los escaños de los ayuntamientos de Gales, mientras que en Irlanda del Norte el 22% de los concejales son mujeres</w:t>
      </w:r>
      <w:r w:rsidR="0011638B" w:rsidRPr="00A03848">
        <w:rPr>
          <w:szCs w:val="22"/>
          <w:vertAlign w:val="superscript"/>
          <w:lang w:val="es-ES" w:eastAsia="en-US"/>
        </w:rPr>
        <w:footnoteReference w:id="27"/>
      </w:r>
      <w:r w:rsidR="0011638B" w:rsidRPr="00A03848">
        <w:rPr>
          <w:szCs w:val="22"/>
          <w:lang w:val="es-ES" w:eastAsia="en-US"/>
        </w:rPr>
        <w:t>.</w:t>
      </w:r>
      <w:bookmarkEnd w:id="167"/>
    </w:p>
    <w:p w14:paraId="7BC63DF4" w14:textId="063955C3" w:rsidR="0011638B" w:rsidRPr="00A03848" w:rsidRDefault="00946670" w:rsidP="00AB43B5">
      <w:pPr>
        <w:pStyle w:val="SingleTxt"/>
        <w:rPr>
          <w:szCs w:val="22"/>
          <w:lang w:val="es-ES" w:eastAsia="en-US"/>
        </w:rPr>
      </w:pPr>
      <w:bookmarkStart w:id="169" w:name="bookmark_204"/>
      <w:r w:rsidRPr="00A03848">
        <w:rPr>
          <w:szCs w:val="22"/>
          <w:lang w:val="es-ES" w:eastAsia="en-US"/>
        </w:rPr>
        <w:t>62.</w:t>
      </w:r>
      <w:r w:rsidRPr="00A03848">
        <w:rPr>
          <w:szCs w:val="22"/>
          <w:lang w:val="es-ES" w:eastAsia="en-US"/>
        </w:rPr>
        <w:tab/>
      </w:r>
      <w:r w:rsidR="0011638B" w:rsidRPr="00A03848">
        <w:rPr>
          <w:szCs w:val="22"/>
          <w:lang w:val="es-ES" w:eastAsia="en-US"/>
        </w:rPr>
        <w:t>Existen iniciativas para mejorar la representación de la mujer en el Parlamento, como la campaña #AskHerToStand de la iniciativa 50:50 Parliament</w:t>
      </w:r>
      <w:r w:rsidR="0011638B" w:rsidRPr="00A03848">
        <w:rPr>
          <w:szCs w:val="22"/>
          <w:vertAlign w:val="superscript"/>
          <w:lang w:val="es-ES" w:eastAsia="en-US"/>
        </w:rPr>
        <w:footnoteReference w:id="28"/>
      </w:r>
      <w:r w:rsidR="0011638B" w:rsidRPr="00A03848">
        <w:rPr>
          <w:szCs w:val="22"/>
          <w:lang w:val="es-ES" w:eastAsia="en-US"/>
        </w:rPr>
        <w:t>, que tiene por objeto corregir el desequilibrio de género en el Parlamento, y el proyecto del Parlamento VOTE 100</w:t>
      </w:r>
      <w:r w:rsidR="0011638B" w:rsidRPr="00A03848">
        <w:rPr>
          <w:szCs w:val="22"/>
          <w:vertAlign w:val="superscript"/>
          <w:lang w:val="es-ES" w:eastAsia="en-US"/>
        </w:rPr>
        <w:footnoteReference w:id="29"/>
      </w:r>
      <w:r w:rsidR="0011638B" w:rsidRPr="00A03848">
        <w:rPr>
          <w:szCs w:val="22"/>
          <w:lang w:val="es-ES" w:eastAsia="en-US"/>
        </w:rPr>
        <w:t xml:space="preserve"> para conmemorar en 2018 el centenario </w:t>
      </w:r>
      <w:r w:rsidR="00A617BA" w:rsidRPr="00A03848">
        <w:rPr>
          <w:szCs w:val="22"/>
          <w:lang w:val="es-ES" w:eastAsia="en-US"/>
        </w:rPr>
        <w:t>del voto femenino limitado</w:t>
      </w:r>
      <w:r w:rsidR="0011638B" w:rsidRPr="00A03848">
        <w:rPr>
          <w:szCs w:val="22"/>
          <w:lang w:val="es-ES" w:eastAsia="en-US"/>
        </w:rPr>
        <w:t>, entre otros aniversarios clave. El Gobierno también ha creado un fondo de 5 millones de libras en Inglaterra, y otros fondos en las administraciones descentralizadas, para celebrar el centenario del sufragio femenino. Este fondo creará un legado para el futuro educando a los jóvenes sobre la democracia e inspirando a las mujeres para que participen en la política a todos los niveles. El Grupo de Referencia de los Comunes sobre la Representación y la Inclusión es un grupo de diputados de distintos partidos establecido por el Presidente de la Cámara de los Comunes</w:t>
      </w:r>
      <w:r w:rsidR="00A617BA" w:rsidRPr="00A03848">
        <w:rPr>
          <w:szCs w:val="22"/>
          <w:lang w:val="es-ES" w:eastAsia="en-US"/>
        </w:rPr>
        <w:t xml:space="preserve">, cuya </w:t>
      </w:r>
      <w:r w:rsidR="0011638B" w:rsidRPr="00A03848">
        <w:rPr>
          <w:szCs w:val="22"/>
          <w:lang w:val="es-ES" w:eastAsia="en-US"/>
        </w:rPr>
        <w:t xml:space="preserve">función principal es impulsar la adopción de medidas sobre las recomendaciones del informe titulado </w:t>
      </w:r>
      <w:r w:rsidR="00284834" w:rsidRPr="00A03848">
        <w:rPr>
          <w:szCs w:val="22"/>
          <w:lang w:val="es-ES" w:eastAsia="en-US"/>
        </w:rPr>
        <w:t>“</w:t>
      </w:r>
      <w:r w:rsidR="0011638B" w:rsidRPr="00A03848">
        <w:rPr>
          <w:szCs w:val="22"/>
          <w:lang w:val="es-ES" w:eastAsia="en-US"/>
        </w:rPr>
        <w:t>The Good Parliament</w:t>
      </w:r>
      <w:r w:rsidR="00284834" w:rsidRPr="00A03848">
        <w:rPr>
          <w:szCs w:val="22"/>
          <w:lang w:val="es-ES" w:eastAsia="en-US"/>
        </w:rPr>
        <w:t>”</w:t>
      </w:r>
      <w:r w:rsidR="0011638B" w:rsidRPr="00A03848">
        <w:rPr>
          <w:szCs w:val="22"/>
          <w:vertAlign w:val="superscript"/>
          <w:lang w:val="es-ES" w:eastAsia="en-US"/>
        </w:rPr>
        <w:footnoteReference w:id="30"/>
      </w:r>
      <w:r w:rsidR="0011638B" w:rsidRPr="00A03848">
        <w:rPr>
          <w:szCs w:val="22"/>
          <w:lang w:val="es-ES" w:eastAsia="en-US"/>
        </w:rPr>
        <w:t xml:space="preserve">, publicado en 2016, con vistas a lograr una Cámara de los Comunes más representativa e inclusiva. </w:t>
      </w:r>
      <w:bookmarkEnd w:id="169"/>
    </w:p>
    <w:p w14:paraId="7F43AC0D" w14:textId="15B4842F" w:rsidR="0011638B" w:rsidRPr="00A03848" w:rsidRDefault="00946670" w:rsidP="00AB43B5">
      <w:pPr>
        <w:pStyle w:val="SingleTxt"/>
        <w:rPr>
          <w:szCs w:val="22"/>
          <w:lang w:val="es-ES" w:eastAsia="en-US"/>
        </w:rPr>
      </w:pPr>
      <w:bookmarkStart w:id="173" w:name="bookmark_208"/>
      <w:bookmarkEnd w:id="164"/>
      <w:r w:rsidRPr="00A03848">
        <w:rPr>
          <w:szCs w:val="22"/>
          <w:lang w:val="es-ES" w:eastAsia="en-US"/>
        </w:rPr>
        <w:t>63.</w:t>
      </w:r>
      <w:r w:rsidRPr="00A03848">
        <w:rPr>
          <w:szCs w:val="22"/>
          <w:lang w:val="es-ES" w:eastAsia="en-US"/>
        </w:rPr>
        <w:tab/>
      </w:r>
      <w:r w:rsidR="0011638B" w:rsidRPr="00A03848">
        <w:rPr>
          <w:szCs w:val="22"/>
          <w:lang w:val="es-ES" w:eastAsia="en-US"/>
        </w:rPr>
        <w:t>El Gobierno de Escocia ha concedido financiación a la organización de mujeres Engender para que colabore con otras organizaciones dedicadas a la igualdad, y a la campaña Women 50:50 a fin de crear un instrumento en línea con base empírica que permita a quienes participan en partidos políticos a nivel nacional y local auditar a sus miembros y sus prácticas y elaborar un plan de acción a medida que mejore la accesibilidad y la diversidad.</w:t>
      </w:r>
      <w:bookmarkEnd w:id="173"/>
    </w:p>
    <w:p w14:paraId="622C7D02" w14:textId="2D544A56" w:rsidR="0011638B" w:rsidRPr="00A03848" w:rsidRDefault="00946670" w:rsidP="00AB43B5">
      <w:pPr>
        <w:pStyle w:val="SingleTxt"/>
        <w:keepLines/>
        <w:rPr>
          <w:szCs w:val="22"/>
          <w:lang w:val="es-ES" w:eastAsia="en-US"/>
        </w:rPr>
      </w:pPr>
      <w:bookmarkStart w:id="174" w:name="bookmark_209"/>
      <w:r w:rsidRPr="00A03848">
        <w:rPr>
          <w:szCs w:val="22"/>
          <w:lang w:val="es-ES" w:eastAsia="en-US"/>
        </w:rPr>
        <w:t>64.</w:t>
      </w:r>
      <w:r w:rsidRPr="00A03848">
        <w:rPr>
          <w:szCs w:val="22"/>
          <w:lang w:val="es-ES" w:eastAsia="en-US"/>
        </w:rPr>
        <w:tab/>
      </w:r>
      <w:r w:rsidR="0011638B" w:rsidRPr="00A03848">
        <w:rPr>
          <w:szCs w:val="22"/>
          <w:lang w:val="es-ES" w:eastAsia="en-US"/>
        </w:rPr>
        <w:t>El programa Diversidad en la Democracia del Gobierno de Gales pretendía aumentar la diversidad de las personas que se presentan a las elecciones del gobierno local y se ha esforzado por superar, mediante una serie de iniciativas de administración local, los obstáculos que afrontan las personas de grupos insuficientemente representados para acceder a la vida pública. El proyecto se centraba en orientar a personas interesadas en presentarse a las elecciones, aumentar la visibilidad de las autoridades locales mediante una campaña de publicidad y apoyo financiero para que las personas puedan seguir de cerca a los concejales y asistir a los plenos de los ayuntamientos.</w:t>
      </w:r>
      <w:bookmarkEnd w:id="174"/>
    </w:p>
    <w:p w14:paraId="5FC4B388" w14:textId="77777777" w:rsidR="003613DF" w:rsidRPr="00A03848" w:rsidRDefault="003613DF" w:rsidP="003613DF">
      <w:pPr>
        <w:pStyle w:val="SingleTxt"/>
        <w:spacing w:after="0" w:line="120" w:lineRule="exact"/>
        <w:rPr>
          <w:sz w:val="10"/>
          <w:szCs w:val="10"/>
          <w:lang w:val="es-ES"/>
        </w:rPr>
      </w:pPr>
    </w:p>
    <w:p w14:paraId="18284146" w14:textId="77777777" w:rsidR="0011638B" w:rsidRPr="00A03848" w:rsidRDefault="0011638B" w:rsidP="009F2DF3">
      <w:pPr>
        <w:pStyle w:val="H23"/>
        <w:ind w:right="1260"/>
        <w:rPr>
          <w:bCs w:val="0"/>
          <w:lang w:val="es-ES" w:eastAsia="en-US"/>
        </w:rPr>
      </w:pPr>
      <w:bookmarkStart w:id="175" w:name="bookmark_210"/>
      <w:r w:rsidRPr="00A03848">
        <w:rPr>
          <w:bCs w:val="0"/>
          <w:lang w:val="es-ES" w:eastAsia="en-US"/>
        </w:rPr>
        <w:tab/>
      </w:r>
      <w:r w:rsidRPr="00A03848">
        <w:rPr>
          <w:bCs w:val="0"/>
          <w:lang w:val="es-ES" w:eastAsia="en-US"/>
        </w:rPr>
        <w:tab/>
        <w:t>Apoyo a las mujeres con discapacidad para que estén representadas como funcionarias elegidas (Fondo de Acceso a los Cargos Sujetos a Elecciones)</w:t>
      </w:r>
      <w:r w:rsidRPr="00A03848">
        <w:rPr>
          <w:bCs w:val="0"/>
          <w:vertAlign w:val="superscript"/>
          <w:lang w:val="es-ES" w:eastAsia="en-US"/>
        </w:rPr>
        <w:endnoteReference w:id="18"/>
      </w:r>
      <w:bookmarkEnd w:id="175"/>
    </w:p>
    <w:p w14:paraId="5B5CDE3D" w14:textId="77777777" w:rsidR="003613DF" w:rsidRPr="00A03848" w:rsidRDefault="003613DF" w:rsidP="003613DF">
      <w:pPr>
        <w:pStyle w:val="SingleTxt"/>
        <w:spacing w:after="0" w:line="120" w:lineRule="exact"/>
        <w:rPr>
          <w:sz w:val="10"/>
          <w:szCs w:val="10"/>
          <w:lang w:val="es-ES"/>
        </w:rPr>
      </w:pPr>
    </w:p>
    <w:p w14:paraId="14C6B2C3" w14:textId="609BD87A" w:rsidR="0011638B" w:rsidRPr="00A03848" w:rsidRDefault="00946670" w:rsidP="00AB43B5">
      <w:pPr>
        <w:pStyle w:val="SingleTxt"/>
        <w:rPr>
          <w:szCs w:val="22"/>
          <w:lang w:val="es-ES" w:eastAsia="en-US"/>
        </w:rPr>
      </w:pPr>
      <w:bookmarkStart w:id="177" w:name="bookmark_212"/>
      <w:r w:rsidRPr="00A03848">
        <w:rPr>
          <w:szCs w:val="22"/>
          <w:lang w:val="es-ES" w:eastAsia="en-US"/>
        </w:rPr>
        <w:t>65.</w:t>
      </w:r>
      <w:r w:rsidRPr="00A03848">
        <w:rPr>
          <w:szCs w:val="22"/>
          <w:lang w:val="es-ES" w:eastAsia="en-US"/>
        </w:rPr>
        <w:tab/>
      </w:r>
      <w:r w:rsidR="0011638B" w:rsidRPr="00A03848">
        <w:rPr>
          <w:szCs w:val="22"/>
          <w:lang w:val="es-ES" w:eastAsia="en-US"/>
        </w:rPr>
        <w:t>En 2012, se destinaron 2,6 millones de libras a ayudar a las personas con discapacidad a superar los obstáculos para convertirse en funcionarios electos. La</w:t>
      </w:r>
      <w:r w:rsidR="00233A1A" w:rsidRPr="00A03848">
        <w:rPr>
          <w:szCs w:val="22"/>
          <w:lang w:val="es-ES" w:eastAsia="en-US"/>
        </w:rPr>
        <w:t xml:space="preserve"> </w:t>
      </w:r>
      <w:r w:rsidR="0011638B" w:rsidRPr="00A03848">
        <w:rPr>
          <w:szCs w:val="22"/>
          <w:lang w:val="es-ES" w:eastAsia="en-US"/>
        </w:rPr>
        <w:t>finalidad del Fondo era ayudar a sufragar los costos adicionales que puede afrontar un candidato con discapacidad cuando se presenta a las elecciones para ser comisionado de policía y lucha contra el delito, concejal o diputado, como el transporte extra o los intérpretes de lengua de señas. Se está llevando a cabo una evaluación del Fondo, y las decisiones adoptadas a raíz de tal evaluación se publicarán lo antes posible.</w:t>
      </w:r>
      <w:bookmarkEnd w:id="177"/>
    </w:p>
    <w:p w14:paraId="25C4AC32" w14:textId="26B09A8E" w:rsidR="0011638B" w:rsidRPr="00A03848" w:rsidRDefault="00946670" w:rsidP="00AB43B5">
      <w:pPr>
        <w:pStyle w:val="SingleTxt"/>
        <w:rPr>
          <w:szCs w:val="22"/>
          <w:lang w:val="es-ES" w:eastAsia="en-US"/>
        </w:rPr>
      </w:pPr>
      <w:bookmarkStart w:id="178" w:name="bookmark_213"/>
      <w:r w:rsidRPr="00A03848">
        <w:rPr>
          <w:szCs w:val="22"/>
          <w:lang w:val="es-ES" w:eastAsia="en-US"/>
        </w:rPr>
        <w:t>66.</w:t>
      </w:r>
      <w:r w:rsidRPr="00A03848">
        <w:rPr>
          <w:szCs w:val="22"/>
          <w:lang w:val="es-ES" w:eastAsia="en-US"/>
        </w:rPr>
        <w:tab/>
      </w:r>
      <w:r w:rsidR="0011638B" w:rsidRPr="00A03848">
        <w:rPr>
          <w:szCs w:val="22"/>
          <w:lang w:val="es-ES" w:eastAsia="en-US"/>
        </w:rPr>
        <w:t>El Gobierno de Escocia dispone de un Fondo de Acceso a los Cargos Sujetos a Elecciones de Escocia que en mayo de 2017 prestó apoyo a los candidatos de las elecciones a las autoridades locales, donde resultaron elegidos 15 candidatos con discapacidad, de los cuales 7 son mujeres. Este fondo se mantendrá hasta las elecciones al Parlamento escocés en 2021.</w:t>
      </w:r>
      <w:bookmarkEnd w:id="178"/>
    </w:p>
    <w:p w14:paraId="050ECD57" w14:textId="77777777" w:rsidR="003613DF" w:rsidRPr="00A03848" w:rsidRDefault="003613DF" w:rsidP="003613DF">
      <w:pPr>
        <w:pStyle w:val="SingleTxt"/>
        <w:spacing w:after="0" w:line="120" w:lineRule="exact"/>
        <w:rPr>
          <w:sz w:val="10"/>
          <w:szCs w:val="10"/>
          <w:lang w:val="es-ES"/>
        </w:rPr>
      </w:pPr>
    </w:p>
    <w:p w14:paraId="23E8278C" w14:textId="77777777" w:rsidR="0011638B" w:rsidRPr="00A03848" w:rsidRDefault="0011638B" w:rsidP="009F2DF3">
      <w:pPr>
        <w:pStyle w:val="H23"/>
        <w:ind w:right="1260"/>
        <w:rPr>
          <w:bCs w:val="0"/>
          <w:lang w:val="es-ES" w:eastAsia="en-US"/>
        </w:rPr>
      </w:pPr>
      <w:bookmarkStart w:id="179" w:name="bookmark_214"/>
      <w:r w:rsidRPr="00A03848">
        <w:rPr>
          <w:bCs w:val="0"/>
          <w:lang w:val="es-ES" w:eastAsia="en-US"/>
        </w:rPr>
        <w:tab/>
      </w:r>
      <w:r w:rsidRPr="00A03848">
        <w:rPr>
          <w:bCs w:val="0"/>
          <w:lang w:val="es-ES" w:eastAsia="en-US"/>
        </w:rPr>
        <w:tab/>
        <w:t>La mujer en la vida pública</w:t>
      </w:r>
      <w:bookmarkEnd w:id="179"/>
    </w:p>
    <w:p w14:paraId="1C41EE64" w14:textId="77777777" w:rsidR="003613DF" w:rsidRPr="00A03848" w:rsidRDefault="003613DF" w:rsidP="003613DF">
      <w:pPr>
        <w:pStyle w:val="SingleTxt"/>
        <w:spacing w:after="0" w:line="120" w:lineRule="exact"/>
        <w:rPr>
          <w:sz w:val="10"/>
          <w:szCs w:val="10"/>
          <w:lang w:val="es-ES"/>
        </w:rPr>
      </w:pPr>
    </w:p>
    <w:p w14:paraId="28634593" w14:textId="613AC551" w:rsidR="0011638B" w:rsidRPr="00A03848" w:rsidRDefault="00946670" w:rsidP="00AB43B5">
      <w:pPr>
        <w:pStyle w:val="SingleTxt"/>
        <w:rPr>
          <w:szCs w:val="22"/>
          <w:lang w:val="es-ES" w:eastAsia="en-US"/>
        </w:rPr>
      </w:pPr>
      <w:bookmarkStart w:id="180" w:name="bookmark_215"/>
      <w:r w:rsidRPr="00A03848">
        <w:rPr>
          <w:szCs w:val="22"/>
          <w:lang w:val="es-ES" w:eastAsia="en-US"/>
        </w:rPr>
        <w:t>67.</w:t>
      </w:r>
      <w:r w:rsidRPr="00A03848">
        <w:rPr>
          <w:szCs w:val="22"/>
          <w:lang w:val="es-ES" w:eastAsia="en-US"/>
        </w:rPr>
        <w:tab/>
      </w:r>
      <w:r w:rsidR="0011638B" w:rsidRPr="00A03848">
        <w:rPr>
          <w:szCs w:val="22"/>
          <w:lang w:val="es-ES" w:eastAsia="en-US"/>
        </w:rPr>
        <w:t>En el Reino Unido se han logrado algunos avances en lo que respecta a la representación de la mujer en la vida pública. Por ejemplo:</w:t>
      </w:r>
      <w:bookmarkEnd w:id="180"/>
    </w:p>
    <w:p w14:paraId="0370EAAD" w14:textId="77777777" w:rsidR="0011638B" w:rsidRPr="00A03848" w:rsidRDefault="002538BA" w:rsidP="00096038">
      <w:pPr>
        <w:pStyle w:val="SingleTxt"/>
        <w:tabs>
          <w:tab w:val="right" w:pos="1685"/>
        </w:tabs>
        <w:ind w:left="1742" w:hanging="475"/>
        <w:rPr>
          <w:lang w:val="es-ES"/>
        </w:rPr>
      </w:pPr>
      <w:bookmarkStart w:id="181" w:name="bookmark_216"/>
      <w:r w:rsidRPr="00A03848">
        <w:rPr>
          <w:lang w:val="es-ES"/>
        </w:rPr>
        <w:tab/>
        <w:t>•</w:t>
      </w:r>
      <w:r w:rsidRPr="00A03848">
        <w:rPr>
          <w:lang w:val="es-ES"/>
        </w:rPr>
        <w:tab/>
      </w:r>
      <w:r w:rsidR="0011638B" w:rsidRPr="00A03848">
        <w:rPr>
          <w:lang w:val="es-ES"/>
        </w:rPr>
        <w:t>En Inglaterra y Gales y órganos reservados, el 48,5% de los nuevos nombramientos públicos se destinaron a mujeres de 2016 a 2017.</w:t>
      </w:r>
      <w:bookmarkEnd w:id="181"/>
    </w:p>
    <w:p w14:paraId="1DE7B342" w14:textId="77777777" w:rsidR="0011638B" w:rsidRPr="00A03848" w:rsidRDefault="002538BA" w:rsidP="00096038">
      <w:pPr>
        <w:pStyle w:val="SingleTxt"/>
        <w:tabs>
          <w:tab w:val="right" w:pos="1685"/>
        </w:tabs>
        <w:ind w:left="1742" w:hanging="475"/>
        <w:rPr>
          <w:lang w:val="es-ES"/>
        </w:rPr>
      </w:pPr>
      <w:bookmarkStart w:id="182" w:name="bookmark_217"/>
      <w:r w:rsidRPr="00A03848">
        <w:rPr>
          <w:lang w:val="es-ES"/>
        </w:rPr>
        <w:tab/>
        <w:t>•</w:t>
      </w:r>
      <w:r w:rsidRPr="00A03848">
        <w:rPr>
          <w:lang w:val="es-ES"/>
        </w:rPr>
        <w:tab/>
      </w:r>
      <w:r w:rsidR="0011638B" w:rsidRPr="00A03848">
        <w:rPr>
          <w:lang w:val="es-ES"/>
        </w:rPr>
        <w:t>En 2016, el 59% de los nombramientos públicos en Escocia correspondieron a mujeres. No obstante, aún queda mucho por hacer para aumentar la representación de la mujer en las siguientes esferas:</w:t>
      </w:r>
      <w:bookmarkEnd w:id="182"/>
    </w:p>
    <w:p w14:paraId="5CD4BE98" w14:textId="77777777" w:rsidR="0011638B" w:rsidRPr="00A03848" w:rsidRDefault="00503AEE" w:rsidP="00503AEE">
      <w:pPr>
        <w:pStyle w:val="SingleTxt"/>
        <w:tabs>
          <w:tab w:val="clear" w:pos="1267"/>
          <w:tab w:val="clear" w:pos="1742"/>
          <w:tab w:val="clear" w:pos="2218"/>
          <w:tab w:val="left" w:pos="2070"/>
        </w:tabs>
        <w:ind w:left="2070" w:hanging="263"/>
        <w:rPr>
          <w:szCs w:val="22"/>
          <w:lang w:val="es-ES" w:eastAsia="en-US"/>
        </w:rPr>
      </w:pPr>
      <w:bookmarkStart w:id="183" w:name="bookmark_218"/>
      <w:r w:rsidRPr="00A03848">
        <w:rPr>
          <w:lang w:val="es-ES"/>
        </w:rPr>
        <w:sym w:font="Symbol" w:char="F02D"/>
      </w:r>
      <w:r w:rsidRPr="00A03848">
        <w:rPr>
          <w:lang w:val="es-ES"/>
        </w:rPr>
        <w:tab/>
      </w:r>
      <w:r w:rsidR="0011638B" w:rsidRPr="00A03848">
        <w:rPr>
          <w:szCs w:val="22"/>
          <w:lang w:val="es-ES" w:eastAsia="en-US"/>
        </w:rPr>
        <w:t>los Secretarios Permanentes de la Administración Pública (20%);</w:t>
      </w:r>
      <w:bookmarkEnd w:id="183"/>
    </w:p>
    <w:p w14:paraId="68A0C254" w14:textId="77777777" w:rsidR="0011638B" w:rsidRPr="00A03848" w:rsidRDefault="00503AEE" w:rsidP="00503AEE">
      <w:pPr>
        <w:pStyle w:val="SingleTxt"/>
        <w:tabs>
          <w:tab w:val="clear" w:pos="1267"/>
          <w:tab w:val="clear" w:pos="1742"/>
          <w:tab w:val="clear" w:pos="2218"/>
          <w:tab w:val="left" w:pos="2070"/>
        </w:tabs>
        <w:ind w:left="2070" w:hanging="263"/>
        <w:rPr>
          <w:szCs w:val="22"/>
          <w:lang w:val="es-ES" w:eastAsia="en-US"/>
        </w:rPr>
      </w:pPr>
      <w:bookmarkStart w:id="184" w:name="bookmark_219"/>
      <w:r w:rsidRPr="00A03848">
        <w:rPr>
          <w:lang w:val="es-ES"/>
        </w:rPr>
        <w:sym w:font="Symbol" w:char="F02D"/>
      </w:r>
      <w:r w:rsidRPr="00A03848">
        <w:rPr>
          <w:lang w:val="es-ES"/>
        </w:rPr>
        <w:tab/>
      </w:r>
      <w:r w:rsidR="0011638B" w:rsidRPr="00A03848">
        <w:rPr>
          <w:szCs w:val="22"/>
          <w:lang w:val="es-ES" w:eastAsia="en-US"/>
        </w:rPr>
        <w:t>los jueces, pues, aunque por primera vez una mujer ha sido nombrada Presidenta del Tribunal Supremo, aún existe solo un 27,5% de juezas en Inglaterra y Gales, un 23% en Escocia y un 25% en Irlanda del Norte;</w:t>
      </w:r>
      <w:bookmarkEnd w:id="184"/>
    </w:p>
    <w:p w14:paraId="7A4C0D0B" w14:textId="77777777" w:rsidR="0011638B" w:rsidRPr="00A03848" w:rsidRDefault="00503AEE" w:rsidP="00503AEE">
      <w:pPr>
        <w:pStyle w:val="SingleTxt"/>
        <w:tabs>
          <w:tab w:val="clear" w:pos="1267"/>
          <w:tab w:val="clear" w:pos="1742"/>
          <w:tab w:val="clear" w:pos="2218"/>
          <w:tab w:val="left" w:pos="2070"/>
        </w:tabs>
        <w:ind w:left="2070" w:hanging="263"/>
        <w:rPr>
          <w:szCs w:val="22"/>
          <w:lang w:val="es-ES" w:eastAsia="en-US"/>
        </w:rPr>
      </w:pPr>
      <w:bookmarkStart w:id="185" w:name="bookmark_220"/>
      <w:r w:rsidRPr="00A03848">
        <w:rPr>
          <w:lang w:val="es-ES"/>
        </w:rPr>
        <w:sym w:font="Symbol" w:char="F02D"/>
      </w:r>
      <w:r w:rsidRPr="00A03848">
        <w:rPr>
          <w:lang w:val="es-ES"/>
        </w:rPr>
        <w:tab/>
      </w:r>
      <w:r w:rsidR="0011638B" w:rsidRPr="00A03848">
        <w:rPr>
          <w:szCs w:val="22"/>
          <w:lang w:val="es-ES" w:eastAsia="en-US"/>
        </w:rPr>
        <w:t>el Servicio Nacional de Salud (34% de los consultores del Servicio de Hospitales y Salud Comunitaria);</w:t>
      </w:r>
      <w:bookmarkEnd w:id="185"/>
    </w:p>
    <w:p w14:paraId="529D5ADA" w14:textId="77777777" w:rsidR="0011638B" w:rsidRPr="00A03848" w:rsidRDefault="00503AEE" w:rsidP="00503AEE">
      <w:pPr>
        <w:pStyle w:val="SingleTxt"/>
        <w:tabs>
          <w:tab w:val="clear" w:pos="1267"/>
          <w:tab w:val="clear" w:pos="1742"/>
          <w:tab w:val="clear" w:pos="2218"/>
          <w:tab w:val="left" w:pos="2070"/>
        </w:tabs>
        <w:ind w:left="2070" w:hanging="263"/>
        <w:rPr>
          <w:szCs w:val="22"/>
          <w:lang w:val="es-ES" w:eastAsia="en-US"/>
        </w:rPr>
      </w:pPr>
      <w:bookmarkStart w:id="186" w:name="bookmark_221"/>
      <w:r w:rsidRPr="00A03848">
        <w:rPr>
          <w:lang w:val="es-ES"/>
        </w:rPr>
        <w:sym w:font="Symbol" w:char="F02D"/>
      </w:r>
      <w:r w:rsidRPr="00A03848">
        <w:rPr>
          <w:lang w:val="es-ES"/>
        </w:rPr>
        <w:tab/>
      </w:r>
      <w:r w:rsidR="0011638B" w:rsidRPr="00A03848">
        <w:rPr>
          <w:szCs w:val="22"/>
          <w:lang w:val="es-ES" w:eastAsia="en-US"/>
        </w:rPr>
        <w:t>el cuerpo policial, ya que si bien la Policía Metropolitana ha nombrado a su primera Comisionada de Policía, actualmente hay solo siete fuerzas policiales con una mujer en el cargo de Jefa de Policía</w:t>
      </w:r>
      <w:r w:rsidR="0011638B" w:rsidRPr="00A03848">
        <w:rPr>
          <w:szCs w:val="22"/>
          <w:vertAlign w:val="superscript"/>
          <w:lang w:val="es-ES" w:eastAsia="en-US"/>
        </w:rPr>
        <w:footnoteReference w:id="31"/>
      </w:r>
      <w:r w:rsidR="0011638B" w:rsidRPr="00A03848">
        <w:rPr>
          <w:szCs w:val="22"/>
          <w:lang w:val="es-ES" w:eastAsia="en-US"/>
        </w:rPr>
        <w:t xml:space="preserve">. </w:t>
      </w:r>
      <w:bookmarkEnd w:id="186"/>
    </w:p>
    <w:p w14:paraId="79B340C6" w14:textId="522E9C9B" w:rsidR="0011638B" w:rsidRPr="00A03848" w:rsidRDefault="00946670" w:rsidP="007A1CF8">
      <w:pPr>
        <w:pStyle w:val="SingleTxt"/>
        <w:rPr>
          <w:szCs w:val="22"/>
          <w:lang w:val="es-ES" w:eastAsia="en-US"/>
        </w:rPr>
      </w:pPr>
      <w:bookmarkStart w:id="188" w:name="bookmark_223"/>
      <w:r w:rsidRPr="00A03848">
        <w:rPr>
          <w:szCs w:val="22"/>
          <w:lang w:val="es-ES" w:eastAsia="en-US"/>
        </w:rPr>
        <w:t>68.</w:t>
      </w:r>
      <w:r w:rsidRPr="00A03848">
        <w:rPr>
          <w:szCs w:val="22"/>
          <w:lang w:val="es-ES" w:eastAsia="en-US"/>
        </w:rPr>
        <w:tab/>
      </w:r>
      <w:r w:rsidR="0011638B" w:rsidRPr="00A03848">
        <w:rPr>
          <w:szCs w:val="22"/>
          <w:lang w:val="es-ES" w:eastAsia="en-US"/>
        </w:rPr>
        <w:t>La Auditoría de Desigualdad que se realizó en el antiguo Departamento de Desarrollo Regional de Irlanda del Norte (el actual Departamento de Infraestructura desde el 9 de mayo de 2016) puso de relieve la insuficiente representación de la mujer en las juntas directivas de los órganos vinculados al Departamento. El Departamento de Infraestructura mantiene y desarrolla las infraestructuras y los servicios vitales para toda la población de Irlanda del Norte, entre ellos, las carreteras, los ríos y los caminos, las redes de abastecimiento de agua y alcantarillado y los servicios de transporte público. En el plan de acción para el Departamento de Desarrollo Regional se incluyeron medidas específicas para garantizar que se anunciaran ampliamente los futuros nombramientos entre los grupos sin suficiente representación, como los grupos de mujeres. Se están preparando una Auditoría de Desigualdad y un plan de acción para el Departamento de Infraestructura. Las obligaciones legales contempladas en el artículo 75 de la Ley de Irlanda del Norte se han integrado en el Departamento de Infraestructura y, por lo tanto, dicho departamento se ajusta a los principios de la Convención.</w:t>
      </w:r>
      <w:bookmarkEnd w:id="188"/>
    </w:p>
    <w:p w14:paraId="6CC8D520" w14:textId="15E01FBF" w:rsidR="0011638B" w:rsidRPr="00A03848" w:rsidRDefault="00946670" w:rsidP="00AB43B5">
      <w:pPr>
        <w:pStyle w:val="SingleTxt"/>
        <w:rPr>
          <w:szCs w:val="22"/>
          <w:lang w:val="es-ES" w:eastAsia="en-US"/>
        </w:rPr>
      </w:pPr>
      <w:bookmarkStart w:id="189" w:name="bookmark_224"/>
      <w:r w:rsidRPr="00A03848">
        <w:rPr>
          <w:szCs w:val="22"/>
          <w:lang w:val="es-ES" w:eastAsia="en-US"/>
        </w:rPr>
        <w:t>69.</w:t>
      </w:r>
      <w:r w:rsidRPr="00A03848">
        <w:rPr>
          <w:szCs w:val="22"/>
          <w:lang w:val="es-ES" w:eastAsia="en-US"/>
        </w:rPr>
        <w:tab/>
      </w:r>
      <w:r w:rsidR="0011638B" w:rsidRPr="00A03848">
        <w:rPr>
          <w:szCs w:val="22"/>
          <w:lang w:val="es-ES" w:eastAsia="en-US"/>
        </w:rPr>
        <w:t xml:space="preserve">En 2015 el Gobierno de Gales realizó un llamamiento para la presentación de datos sobre el aumento de la representación de las mujeres y otros grupos insuficientemente representados en las juntas directivas del sector público. El informe resumido se publicó en 2016. Estos datos fundamentarán la respuesta de Gales a la insuficiente representación de las mujeres y otros grupos en los nombramientos públicos. En 2015, 20 personas de grupos insuficientemente representados en Gales pudieron acogerse a un programa piloto de desarrollo dirigido a grupos sin suficiente representación en los nombramientos públicos. </w:t>
      </w:r>
      <w:bookmarkEnd w:id="189"/>
    </w:p>
    <w:p w14:paraId="6FA52DB9" w14:textId="77777777" w:rsidR="00D37D04" w:rsidRPr="00A03848" w:rsidRDefault="00D37D04" w:rsidP="00D37D04">
      <w:pPr>
        <w:pStyle w:val="SingleTxt"/>
        <w:spacing w:after="0" w:line="120" w:lineRule="exact"/>
        <w:rPr>
          <w:sz w:val="10"/>
          <w:szCs w:val="10"/>
          <w:lang w:val="es-ES"/>
        </w:rPr>
      </w:pPr>
    </w:p>
    <w:p w14:paraId="2ED81136" w14:textId="77777777" w:rsidR="0011638B" w:rsidRPr="00A03848" w:rsidRDefault="0011638B" w:rsidP="009F2DF3">
      <w:pPr>
        <w:pStyle w:val="H23"/>
        <w:ind w:right="1260"/>
        <w:rPr>
          <w:bCs w:val="0"/>
          <w:lang w:val="es-ES" w:eastAsia="en-US"/>
        </w:rPr>
      </w:pPr>
      <w:bookmarkStart w:id="190" w:name="bookmark_225"/>
      <w:r w:rsidRPr="00A03848">
        <w:rPr>
          <w:bCs w:val="0"/>
          <w:lang w:val="es-ES" w:eastAsia="en-US"/>
        </w:rPr>
        <w:tab/>
      </w:r>
      <w:r w:rsidRPr="00A03848">
        <w:rPr>
          <w:bCs w:val="0"/>
          <w:lang w:val="es-ES" w:eastAsia="en-US"/>
        </w:rPr>
        <w:tab/>
        <w:t>Aumento de la participación de la mujer en los órganos deportivos</w:t>
      </w:r>
      <w:bookmarkEnd w:id="190"/>
    </w:p>
    <w:p w14:paraId="321919F6" w14:textId="77777777" w:rsidR="00D37D04" w:rsidRPr="00A03848" w:rsidRDefault="00D37D04" w:rsidP="00D37D04">
      <w:pPr>
        <w:pStyle w:val="SingleTxt"/>
        <w:spacing w:after="0" w:line="120" w:lineRule="exact"/>
        <w:rPr>
          <w:sz w:val="10"/>
          <w:szCs w:val="10"/>
          <w:lang w:val="es-ES"/>
        </w:rPr>
      </w:pPr>
    </w:p>
    <w:p w14:paraId="0805C7F0" w14:textId="1A2B9AD8" w:rsidR="0011638B" w:rsidRPr="00A03848" w:rsidRDefault="00946670" w:rsidP="00AB43B5">
      <w:pPr>
        <w:pStyle w:val="SingleTxt"/>
        <w:rPr>
          <w:szCs w:val="22"/>
          <w:lang w:val="es-ES" w:eastAsia="en-US"/>
        </w:rPr>
      </w:pPr>
      <w:bookmarkStart w:id="191" w:name="bookmark_226"/>
      <w:r w:rsidRPr="00A03848">
        <w:rPr>
          <w:szCs w:val="22"/>
          <w:lang w:val="es-ES" w:eastAsia="en-US"/>
        </w:rPr>
        <w:t>70.</w:t>
      </w:r>
      <w:r w:rsidRPr="00A03848">
        <w:rPr>
          <w:szCs w:val="22"/>
          <w:lang w:val="es-ES" w:eastAsia="en-US"/>
        </w:rPr>
        <w:tab/>
      </w:r>
      <w:r w:rsidR="0011638B" w:rsidRPr="00A03848">
        <w:rPr>
          <w:szCs w:val="22"/>
          <w:lang w:val="es-ES" w:eastAsia="en-US"/>
        </w:rPr>
        <w:t xml:space="preserve">La organización Women in Sport publicó en marzo de 2017 su informe </w:t>
      </w:r>
      <w:r w:rsidR="00284834" w:rsidRPr="00A03848">
        <w:rPr>
          <w:szCs w:val="22"/>
          <w:lang w:val="es-ES" w:eastAsia="en-US"/>
        </w:rPr>
        <w:t>“</w:t>
      </w:r>
      <w:r w:rsidR="0011638B" w:rsidRPr="00A03848">
        <w:rPr>
          <w:szCs w:val="22"/>
          <w:lang w:val="es-ES" w:eastAsia="en-US"/>
        </w:rPr>
        <w:t>Beyond 30%</w:t>
      </w:r>
      <w:r w:rsidR="00284834" w:rsidRPr="00A03848">
        <w:rPr>
          <w:szCs w:val="22"/>
          <w:lang w:val="es-ES" w:eastAsia="en-US"/>
        </w:rPr>
        <w:t>”</w:t>
      </w:r>
      <w:r w:rsidR="0011638B" w:rsidRPr="00A03848">
        <w:rPr>
          <w:szCs w:val="22"/>
          <w:vertAlign w:val="superscript"/>
          <w:lang w:val="es-ES" w:eastAsia="en-US"/>
        </w:rPr>
        <w:footnoteReference w:id="32"/>
      </w:r>
      <w:r w:rsidR="0011638B" w:rsidRPr="00A03848">
        <w:rPr>
          <w:szCs w:val="22"/>
          <w:lang w:val="es-ES" w:eastAsia="en-US"/>
        </w:rPr>
        <w:t xml:space="preserve"> , en el que se detalla información relativa a la situación de la mujer en las juntas directivas y en los cargos directivos superiores de los órganos rectores nacionales de Inglaterra y Gales. En el informe se indica que todavía queda trabajo por hacer para fomentar la diversidad en los altos cargos. En 2016 se publicó en Inglaterra un Código de Gobernanza del Deporte</w:t>
      </w:r>
      <w:r w:rsidR="0011638B" w:rsidRPr="00A03848">
        <w:rPr>
          <w:szCs w:val="22"/>
          <w:vertAlign w:val="superscript"/>
          <w:lang w:val="es-ES" w:eastAsia="en-US"/>
        </w:rPr>
        <w:footnoteReference w:id="33"/>
      </w:r>
      <w:r w:rsidR="0011638B" w:rsidRPr="00A03848">
        <w:rPr>
          <w:szCs w:val="22"/>
          <w:lang w:val="es-ES" w:eastAsia="en-US"/>
        </w:rPr>
        <w:t xml:space="preserve"> en el que se pide que cada organización subvencionada adopte como meta una cuota mínima del 30% de cada género en su junta directiva.</w:t>
      </w:r>
      <w:bookmarkEnd w:id="191"/>
    </w:p>
    <w:p w14:paraId="60D4064C" w14:textId="77777777" w:rsidR="00595ADF" w:rsidRPr="00A03848" w:rsidRDefault="00595ADF" w:rsidP="00595ADF">
      <w:pPr>
        <w:pStyle w:val="SingleTxt"/>
        <w:spacing w:after="0" w:line="120" w:lineRule="exact"/>
        <w:rPr>
          <w:sz w:val="10"/>
          <w:szCs w:val="10"/>
          <w:lang w:val="es-ES"/>
        </w:rPr>
      </w:pPr>
    </w:p>
    <w:p w14:paraId="41026FB8" w14:textId="77777777" w:rsidR="0011638B" w:rsidRPr="00A03848" w:rsidRDefault="0011638B" w:rsidP="009F2DF3">
      <w:pPr>
        <w:pStyle w:val="H23"/>
        <w:ind w:right="1260"/>
        <w:rPr>
          <w:bCs w:val="0"/>
          <w:lang w:val="es-ES" w:eastAsia="en-US"/>
        </w:rPr>
      </w:pPr>
      <w:bookmarkStart w:id="194" w:name="bookmark_229"/>
      <w:r w:rsidRPr="00A03848">
        <w:rPr>
          <w:bCs w:val="0"/>
          <w:lang w:val="es-ES" w:eastAsia="en-US"/>
        </w:rPr>
        <w:tab/>
      </w:r>
      <w:r w:rsidRPr="00A03848">
        <w:rPr>
          <w:bCs w:val="0"/>
          <w:lang w:val="es-ES" w:eastAsia="en-US"/>
        </w:rPr>
        <w:tab/>
        <w:t>Mayor diversidad en los medios de difusión</w:t>
      </w:r>
      <w:bookmarkEnd w:id="194"/>
    </w:p>
    <w:p w14:paraId="1584C515" w14:textId="77777777" w:rsidR="00595ADF" w:rsidRPr="00A03848" w:rsidRDefault="00595ADF" w:rsidP="00595ADF">
      <w:pPr>
        <w:pStyle w:val="SingleTxt"/>
        <w:spacing w:after="0" w:line="120" w:lineRule="exact"/>
        <w:rPr>
          <w:sz w:val="10"/>
          <w:szCs w:val="10"/>
          <w:lang w:val="es-ES"/>
        </w:rPr>
      </w:pPr>
    </w:p>
    <w:p w14:paraId="218964F0" w14:textId="44AF7516" w:rsidR="0011638B" w:rsidRPr="00A03848" w:rsidRDefault="00946670" w:rsidP="00AB43B5">
      <w:pPr>
        <w:pStyle w:val="SingleTxt"/>
        <w:rPr>
          <w:szCs w:val="22"/>
          <w:lang w:val="es-ES" w:eastAsia="en-US"/>
        </w:rPr>
      </w:pPr>
      <w:bookmarkStart w:id="195" w:name="bookmark_230"/>
      <w:r w:rsidRPr="00A03848">
        <w:rPr>
          <w:szCs w:val="22"/>
          <w:lang w:val="es-ES" w:eastAsia="en-US"/>
        </w:rPr>
        <w:t>71.</w:t>
      </w:r>
      <w:r w:rsidRPr="00A03848">
        <w:rPr>
          <w:szCs w:val="22"/>
          <w:lang w:val="es-ES" w:eastAsia="en-US"/>
        </w:rPr>
        <w:tab/>
      </w:r>
      <w:r w:rsidR="0011638B" w:rsidRPr="00A03848">
        <w:rPr>
          <w:szCs w:val="22"/>
          <w:lang w:val="es-ES" w:eastAsia="en-US"/>
        </w:rPr>
        <w:t>El Reino Unido cuenta con un próspero sector de radio y televisión, y el Gobierno reconoce que constituye una parte importante y creciente de la economía del país y una fuente importante de empleo y exportaciones que muestra el Reino Unido al resto del mundo. Mejorar la diversidad no solo es lo correcto, sino que además las compañías de radio y televisión tienen el imperativo comercial de reflejar la población a la que sirven. El organismo regulador independiente para el sector de radio y televisión tiene la facultad de adoptar medidas para promover la igualdad de oportunidades en el empleo en dicho sector, con especial referencia a las cuestiones de género.</w:t>
      </w:r>
      <w:bookmarkEnd w:id="195"/>
    </w:p>
    <w:p w14:paraId="2EF20868" w14:textId="77777777" w:rsidR="00595ADF" w:rsidRPr="00A03848" w:rsidRDefault="00595ADF" w:rsidP="00595ADF">
      <w:pPr>
        <w:pStyle w:val="SingleTxt"/>
        <w:spacing w:after="0" w:line="120" w:lineRule="exact"/>
        <w:rPr>
          <w:sz w:val="10"/>
          <w:szCs w:val="10"/>
          <w:lang w:val="es-ES"/>
        </w:rPr>
      </w:pPr>
    </w:p>
    <w:p w14:paraId="2D70C823" w14:textId="77777777" w:rsidR="0011638B" w:rsidRPr="00A03848" w:rsidRDefault="0011638B" w:rsidP="009F2DF3">
      <w:pPr>
        <w:pStyle w:val="H23"/>
        <w:ind w:right="1260"/>
        <w:rPr>
          <w:bCs w:val="0"/>
          <w:lang w:val="es-ES" w:eastAsia="en-US"/>
        </w:rPr>
      </w:pPr>
      <w:bookmarkStart w:id="196" w:name="bookmark_231"/>
      <w:r w:rsidRPr="00A03848">
        <w:rPr>
          <w:bCs w:val="0"/>
          <w:lang w:val="es-ES" w:eastAsia="en-US"/>
        </w:rPr>
        <w:tab/>
      </w:r>
      <w:r w:rsidRPr="00A03848">
        <w:rPr>
          <w:bCs w:val="0"/>
          <w:lang w:val="es-ES" w:eastAsia="en-US"/>
        </w:rPr>
        <w:tab/>
        <w:t>Mayor diversidad en la judicatura</w:t>
      </w:r>
      <w:r w:rsidRPr="00A03848">
        <w:rPr>
          <w:bCs w:val="0"/>
          <w:vertAlign w:val="superscript"/>
          <w:lang w:val="es-ES" w:eastAsia="en-US"/>
        </w:rPr>
        <w:endnoteReference w:id="19"/>
      </w:r>
      <w:bookmarkEnd w:id="196"/>
    </w:p>
    <w:p w14:paraId="5ABABF47" w14:textId="77777777" w:rsidR="00595ADF" w:rsidRPr="00A03848" w:rsidRDefault="00595ADF" w:rsidP="00595ADF">
      <w:pPr>
        <w:pStyle w:val="SingleTxt"/>
        <w:spacing w:after="0" w:line="120" w:lineRule="exact"/>
        <w:rPr>
          <w:sz w:val="10"/>
          <w:szCs w:val="10"/>
          <w:lang w:val="es-ES"/>
        </w:rPr>
      </w:pPr>
    </w:p>
    <w:p w14:paraId="4948FB75" w14:textId="16A7F6B0" w:rsidR="0011638B" w:rsidRPr="00A03848" w:rsidRDefault="00946670" w:rsidP="00AB43B5">
      <w:pPr>
        <w:pStyle w:val="SingleTxt"/>
        <w:rPr>
          <w:szCs w:val="22"/>
          <w:lang w:val="es-ES" w:eastAsia="en-US"/>
        </w:rPr>
      </w:pPr>
      <w:bookmarkStart w:id="198" w:name="bookmark_233"/>
      <w:r w:rsidRPr="00A03848">
        <w:rPr>
          <w:szCs w:val="22"/>
          <w:lang w:val="es-ES" w:eastAsia="en-US"/>
        </w:rPr>
        <w:t>72.</w:t>
      </w:r>
      <w:r w:rsidRPr="00A03848">
        <w:rPr>
          <w:szCs w:val="22"/>
          <w:lang w:val="es-ES" w:eastAsia="en-US"/>
        </w:rPr>
        <w:tab/>
      </w:r>
      <w:r w:rsidR="0011638B" w:rsidRPr="00A03848">
        <w:rPr>
          <w:szCs w:val="22"/>
          <w:lang w:val="es-ES" w:eastAsia="en-US"/>
        </w:rPr>
        <w:t>El Gobierno del Reino Unido acoge con agrado el nombramiento de la Muy Honorable Baronesa Hale de Richmond, la primera mujer que ha ocupado la Presidencia del Tribunal Supremo del Reino Unido. El Lord Chief Justice y el Presidente Primero de los Tribunales publican de forma periódica, a través del sitio web</w:t>
      </w:r>
      <w:r w:rsidR="0011638B" w:rsidRPr="00A03848">
        <w:rPr>
          <w:szCs w:val="22"/>
          <w:vertAlign w:val="superscript"/>
          <w:lang w:val="es-ES" w:eastAsia="en-US"/>
        </w:rPr>
        <w:footnoteReference w:id="34"/>
      </w:r>
      <w:r w:rsidR="0011638B" w:rsidRPr="00A03848">
        <w:rPr>
          <w:szCs w:val="22"/>
          <w:lang w:val="es-ES" w:eastAsia="en-US"/>
        </w:rPr>
        <w:t xml:space="preserve"> de la judicatura, las cifras de diversidad judicial correspondientes a los juzgados y los tribunales del sistema judicial, siendo las más recientes del 1 de abril de 2017. Con ello se ofrece un desglose general de las cifras relativas a los nombramientos, en el que se incluyen el género y el origen étnico. Los cargos superiores de la judicatura tratan de aumentar la contratación de jueces y jueces sin competencias de abogado (procuradores y personal jurídico) de raza negra, origen asiático y minorías étnicas y formaron el Comité de Diversidad Judicial en 2013, presidido por la Sra. Juez Hallett, para supervisar los progresos. Desde 2015, la Oficina Judicial ha organizado unos programas de orientación y talleres de candidatura cada vez más populares que van dirigidos a los grupos insuficientemente representados. Estos forman parte de un programa de acción positiva, que tiene por objeto ayudar a los candidatos a reforzar su solicitud de ingreso en la judicatura. El Gobierno del Reino Unido mantiene las condiciones jurídicas en constante examen para que, si es posible, se tengan en cuenta las necesidades de los diversos grupos que componen la judicatura. </w:t>
      </w:r>
      <w:bookmarkEnd w:id="198"/>
    </w:p>
    <w:p w14:paraId="0FE38A3A" w14:textId="4913C637" w:rsidR="0011638B" w:rsidRPr="00A03848" w:rsidRDefault="00946670" w:rsidP="00AB43B5">
      <w:pPr>
        <w:pStyle w:val="SingleTxt"/>
        <w:rPr>
          <w:szCs w:val="22"/>
          <w:lang w:val="es-ES" w:eastAsia="en-US"/>
        </w:rPr>
      </w:pPr>
      <w:bookmarkStart w:id="200" w:name="bookmark_235"/>
      <w:r w:rsidRPr="00A03848">
        <w:rPr>
          <w:szCs w:val="22"/>
          <w:lang w:val="es-ES" w:eastAsia="en-US"/>
        </w:rPr>
        <w:t>73.</w:t>
      </w:r>
      <w:r w:rsidRPr="00A03848">
        <w:rPr>
          <w:szCs w:val="22"/>
          <w:lang w:val="es-ES" w:eastAsia="en-US"/>
        </w:rPr>
        <w:tab/>
      </w:r>
      <w:r w:rsidR="0011638B" w:rsidRPr="00A03848">
        <w:rPr>
          <w:szCs w:val="22"/>
          <w:lang w:val="es-ES" w:eastAsia="en-US"/>
        </w:rPr>
        <w:t>La Comisión de Nombramientos Judiciales de Irlanda del Norte se encarga de seleccionar a los candidatos para su nombramiento judicial hasta el nivel de los jueces del Tribunal Superior, inclusive. Se observa una tendencia al alza en el porcentaje de candidatas y de representación femenina en la judicatura de Irlanda del Norte. En la actualidad, el 20% de los jueces del Tribunal Superior son mujeres. Poco menos de la mitad de las oficinas jurídicas de los tribunales están ocupadas por mujeres, y la cuarta parte de los jueces de condado y de distrito (jueces de paz) de Irlanda del Norte eran mujeres.</w:t>
      </w:r>
      <w:bookmarkEnd w:id="200"/>
    </w:p>
    <w:p w14:paraId="273A9AEE" w14:textId="77777777" w:rsidR="002937DC" w:rsidRPr="00A03848" w:rsidRDefault="002937DC" w:rsidP="002937DC">
      <w:pPr>
        <w:pStyle w:val="SingleTxt"/>
        <w:spacing w:after="0" w:line="120" w:lineRule="exact"/>
        <w:rPr>
          <w:sz w:val="10"/>
          <w:szCs w:val="10"/>
          <w:lang w:val="es-ES"/>
        </w:rPr>
      </w:pPr>
    </w:p>
    <w:p w14:paraId="0E56575C" w14:textId="77777777" w:rsidR="0011638B" w:rsidRPr="00A03848" w:rsidRDefault="0011638B" w:rsidP="009F2DF3">
      <w:pPr>
        <w:pStyle w:val="H23"/>
        <w:ind w:right="1260"/>
        <w:rPr>
          <w:bCs w:val="0"/>
          <w:lang w:val="es-ES" w:eastAsia="en-US"/>
        </w:rPr>
      </w:pPr>
      <w:bookmarkStart w:id="201" w:name="bookmark_236"/>
      <w:r w:rsidRPr="00A03848">
        <w:rPr>
          <w:bCs w:val="0"/>
          <w:lang w:val="es-ES" w:eastAsia="en-US"/>
        </w:rPr>
        <w:tab/>
      </w:r>
      <w:r w:rsidRPr="00A03848">
        <w:rPr>
          <w:bCs w:val="0"/>
          <w:lang w:val="es-ES" w:eastAsia="en-US"/>
        </w:rPr>
        <w:tab/>
        <w:t>La mujer, la paz, la seguridad y el Plan de Acción Nacional</w:t>
      </w:r>
      <w:bookmarkEnd w:id="201"/>
    </w:p>
    <w:p w14:paraId="21620F0F" w14:textId="77777777" w:rsidR="002937DC" w:rsidRPr="00A03848" w:rsidRDefault="002937DC" w:rsidP="002937DC">
      <w:pPr>
        <w:pStyle w:val="SingleTxt"/>
        <w:spacing w:after="0" w:line="120" w:lineRule="exact"/>
        <w:rPr>
          <w:sz w:val="10"/>
          <w:szCs w:val="10"/>
          <w:lang w:val="es-ES"/>
        </w:rPr>
      </w:pPr>
    </w:p>
    <w:p w14:paraId="49E8737D" w14:textId="755FDECE" w:rsidR="0011638B" w:rsidRPr="00A03848" w:rsidRDefault="00946670" w:rsidP="00AB43B5">
      <w:pPr>
        <w:pStyle w:val="SingleTxt"/>
        <w:rPr>
          <w:szCs w:val="22"/>
          <w:lang w:val="es-ES" w:eastAsia="en-US"/>
        </w:rPr>
      </w:pPr>
      <w:bookmarkStart w:id="202" w:name="bookmark_237"/>
      <w:r w:rsidRPr="00A03848">
        <w:rPr>
          <w:szCs w:val="22"/>
          <w:lang w:val="es-ES" w:eastAsia="en-US"/>
        </w:rPr>
        <w:t>74.</w:t>
      </w:r>
      <w:r w:rsidRPr="00A03848">
        <w:rPr>
          <w:szCs w:val="22"/>
          <w:lang w:val="es-ES" w:eastAsia="en-US"/>
        </w:rPr>
        <w:tab/>
      </w:r>
      <w:r w:rsidR="0011638B" w:rsidRPr="00A03848">
        <w:rPr>
          <w:szCs w:val="22"/>
          <w:lang w:val="es-ES" w:eastAsia="en-US"/>
        </w:rPr>
        <w:t>El grupo parlamentario integrado por todos los partidos sobre la mujer, la paz y la seguridad sigue siendo un importante foro de debate y análisis sobre cuestiones relativas a estos temas. En el examen de alto nivel sobre la mujer, la paz y la seguridad de 2015, el Reino Unido anunció ocho nuevos compromisos del país en torno a estos asuntos. El Plan de Acción Nacional del Reino Unido para la ejecución de las resoluciones del Consejo de Seguridad de las Naciones Unidas sobre la mujer, la paz y la seguridad abarca el período de 2014 a 2017 y se está ultimando el plan que le sucederá. El Gobierno del Reino Unido está decidido a trabajar de manera específica, consultiva e inclusiva, y el grupo de trabajo intragubernamental sobre la mujer, la paz y la seguridad celebró reuniones mensuales sobre el desarrollo del Plan de Acción Nacional con asociados gubernamentales y representantes de la red de ONG llamada Gender Action for Peace and Security. El Gobierno de Escocia sigue financiando la beca para mujeres en conflictos. La iniciativa se puso en marcha en 2015 y se estableció para capacitar a las mujeres de zonas en</w:t>
      </w:r>
      <w:r w:rsidR="001E591E" w:rsidRPr="00A03848">
        <w:rPr>
          <w:szCs w:val="22"/>
          <w:lang w:val="es-ES" w:eastAsia="en-US"/>
        </w:rPr>
        <w:t xml:space="preserve"> </w:t>
      </w:r>
      <w:r w:rsidR="0011638B" w:rsidRPr="00A03848">
        <w:rPr>
          <w:szCs w:val="22"/>
          <w:lang w:val="es-ES" w:eastAsia="en-US"/>
        </w:rPr>
        <w:t>conflicto</w:t>
      </w:r>
      <w:r w:rsidR="00233A1A" w:rsidRPr="00A03848">
        <w:rPr>
          <w:szCs w:val="22"/>
          <w:lang w:val="es-ES" w:eastAsia="en-US"/>
        </w:rPr>
        <w:t xml:space="preserve"> </w:t>
      </w:r>
      <w:r w:rsidR="0011638B" w:rsidRPr="00A03848">
        <w:rPr>
          <w:szCs w:val="22"/>
          <w:lang w:val="es-ES" w:eastAsia="en-US"/>
        </w:rPr>
        <w:t>de</w:t>
      </w:r>
      <w:r w:rsidR="00233A1A" w:rsidRPr="00A03848">
        <w:rPr>
          <w:szCs w:val="22"/>
          <w:lang w:val="es-ES" w:eastAsia="en-US"/>
        </w:rPr>
        <w:t xml:space="preserve"> </w:t>
      </w:r>
      <w:r w:rsidR="0011638B" w:rsidRPr="00A03848">
        <w:rPr>
          <w:szCs w:val="22"/>
          <w:lang w:val="es-ES" w:eastAsia="en-US"/>
        </w:rPr>
        <w:t>todo el mundo a fin de que puedan desempeñar un papel integral en</w:t>
      </w:r>
      <w:r w:rsidR="00233A1A" w:rsidRPr="00A03848">
        <w:rPr>
          <w:szCs w:val="22"/>
          <w:lang w:val="es-ES" w:eastAsia="en-US"/>
        </w:rPr>
        <w:t xml:space="preserve"> </w:t>
      </w:r>
      <w:r w:rsidR="0011638B" w:rsidRPr="00A03848">
        <w:rPr>
          <w:szCs w:val="22"/>
          <w:lang w:val="es-ES" w:eastAsia="en-US"/>
        </w:rPr>
        <w:t>el</w:t>
      </w:r>
      <w:r w:rsidR="00233A1A" w:rsidRPr="00A03848">
        <w:rPr>
          <w:szCs w:val="22"/>
          <w:lang w:val="es-ES" w:eastAsia="en-US"/>
        </w:rPr>
        <w:t xml:space="preserve"> </w:t>
      </w:r>
      <w:r w:rsidR="0011638B" w:rsidRPr="00A03848">
        <w:rPr>
          <w:szCs w:val="22"/>
          <w:lang w:val="es-ES" w:eastAsia="en-US"/>
        </w:rPr>
        <w:t>proceso de</w:t>
      </w:r>
      <w:r w:rsidR="002937DC" w:rsidRPr="00A03848">
        <w:rPr>
          <w:szCs w:val="22"/>
          <w:lang w:val="es-ES" w:eastAsia="en-US"/>
        </w:rPr>
        <w:t xml:space="preserve"> </w:t>
      </w:r>
      <w:r w:rsidR="0011638B" w:rsidRPr="00A03848">
        <w:rPr>
          <w:szCs w:val="22"/>
          <w:lang w:val="es-ES" w:eastAsia="en-US"/>
        </w:rPr>
        <w:t>paz.</w:t>
      </w:r>
      <w:bookmarkEnd w:id="202"/>
    </w:p>
    <w:p w14:paraId="75A34F5C" w14:textId="77777777" w:rsidR="002937DC" w:rsidRPr="00A03848" w:rsidRDefault="002937DC" w:rsidP="002937DC">
      <w:pPr>
        <w:pStyle w:val="SingleTxt"/>
        <w:spacing w:after="0" w:line="120" w:lineRule="exact"/>
        <w:rPr>
          <w:sz w:val="10"/>
          <w:szCs w:val="10"/>
          <w:lang w:val="es-ES"/>
        </w:rPr>
      </w:pPr>
    </w:p>
    <w:p w14:paraId="4AA41614" w14:textId="77777777" w:rsidR="0011638B" w:rsidRPr="00A03848" w:rsidRDefault="0011638B" w:rsidP="009F2DF3">
      <w:pPr>
        <w:pStyle w:val="H23"/>
        <w:ind w:right="1260"/>
        <w:rPr>
          <w:bCs w:val="0"/>
          <w:lang w:val="es-ES" w:eastAsia="en-US"/>
        </w:rPr>
      </w:pPr>
      <w:bookmarkStart w:id="203" w:name="bookmark_238"/>
      <w:r w:rsidRPr="00A03848">
        <w:rPr>
          <w:bCs w:val="0"/>
          <w:lang w:val="es-ES" w:eastAsia="en-US"/>
        </w:rPr>
        <w:tab/>
      </w:r>
      <w:r w:rsidRPr="00A03848">
        <w:rPr>
          <w:bCs w:val="0"/>
          <w:lang w:val="es-ES" w:eastAsia="en-US"/>
        </w:rPr>
        <w:tab/>
        <w:t>Resolución 1325 del Consejo de Seguridad de las Naciones Unidas y participación de la mujer en el proceso posterior al conflicto en Irlanda del Norte</w:t>
      </w:r>
      <w:r w:rsidRPr="00A03848">
        <w:rPr>
          <w:bCs w:val="0"/>
          <w:vertAlign w:val="superscript"/>
          <w:lang w:val="es-ES" w:eastAsia="en-US"/>
        </w:rPr>
        <w:endnoteReference w:id="20"/>
      </w:r>
      <w:bookmarkEnd w:id="203"/>
    </w:p>
    <w:p w14:paraId="13EFE5B8" w14:textId="77777777" w:rsidR="002937DC" w:rsidRPr="00A03848" w:rsidRDefault="002937DC" w:rsidP="002937DC">
      <w:pPr>
        <w:pStyle w:val="SingleTxt"/>
        <w:spacing w:after="0" w:line="120" w:lineRule="exact"/>
        <w:rPr>
          <w:sz w:val="10"/>
          <w:szCs w:val="10"/>
          <w:lang w:val="es-ES"/>
        </w:rPr>
      </w:pPr>
    </w:p>
    <w:p w14:paraId="754C7F42" w14:textId="22E9C7F4" w:rsidR="0011638B" w:rsidRPr="00A03848" w:rsidRDefault="00946670" w:rsidP="00AB43B5">
      <w:pPr>
        <w:pStyle w:val="SingleTxt"/>
        <w:rPr>
          <w:szCs w:val="22"/>
          <w:lang w:val="es-ES" w:eastAsia="en-US"/>
        </w:rPr>
      </w:pPr>
      <w:bookmarkStart w:id="206" w:name="bookmark_240"/>
      <w:r w:rsidRPr="00A03848">
        <w:rPr>
          <w:szCs w:val="22"/>
          <w:lang w:val="es-ES" w:eastAsia="en-US"/>
        </w:rPr>
        <w:t>75.</w:t>
      </w:r>
      <w:r w:rsidRPr="00A03848">
        <w:rPr>
          <w:szCs w:val="22"/>
          <w:lang w:val="es-ES" w:eastAsia="en-US"/>
        </w:rPr>
        <w:tab/>
      </w:r>
      <w:r w:rsidR="0011638B" w:rsidRPr="00A03848">
        <w:rPr>
          <w:szCs w:val="22"/>
          <w:lang w:val="es-ES" w:eastAsia="en-US"/>
        </w:rPr>
        <w:t xml:space="preserve">No hay planes para integrar en el Plan de Acción Nacional del Reino Unido las disposiciones relativas a la ejecución de la resolución 1325 del Consejo de Seguridad en Irlanda del Norte. Sin embargo, algunos aspectos de la resolución 1325 del Consejo de Seguridad, como la participación de la mujer en la consolidación de la paz y los procesos políticos, son importantes para todos los Estados. El Gobierno del Reino Unido seguirá trabajando con todos los gobiernos descentralizados para aumentar la representación de la mujer en la vida pública y política, no solo en Irlanda del Norte sino en todo el Reino Unido. </w:t>
      </w:r>
      <w:bookmarkEnd w:id="206"/>
    </w:p>
    <w:p w14:paraId="12BB08C1" w14:textId="77777777" w:rsidR="002937DC" w:rsidRPr="00A03848" w:rsidRDefault="002937DC" w:rsidP="002937DC">
      <w:pPr>
        <w:pStyle w:val="SingleTxt"/>
        <w:spacing w:after="0" w:line="120" w:lineRule="exact"/>
        <w:rPr>
          <w:sz w:val="10"/>
          <w:szCs w:val="10"/>
          <w:lang w:val="es-ES"/>
        </w:rPr>
      </w:pPr>
    </w:p>
    <w:p w14:paraId="4C10543E" w14:textId="77777777" w:rsidR="007A1CF8" w:rsidRPr="00A03848" w:rsidRDefault="007A1CF8">
      <w:pPr>
        <w:suppressAutoHyphens w:val="0"/>
        <w:spacing w:line="240" w:lineRule="auto"/>
        <w:rPr>
          <w:b/>
          <w:spacing w:val="2"/>
          <w:lang w:val="es-ES" w:eastAsia="en-US"/>
        </w:rPr>
      </w:pPr>
      <w:bookmarkStart w:id="207" w:name="bookmark_241"/>
      <w:r w:rsidRPr="00A03848">
        <w:rPr>
          <w:bCs/>
          <w:lang w:val="es-ES" w:eastAsia="en-US"/>
        </w:rPr>
        <w:br w:type="page"/>
      </w:r>
    </w:p>
    <w:p w14:paraId="2C4B9EAB" w14:textId="3F7379B1" w:rsidR="0011638B" w:rsidRPr="00A03848" w:rsidRDefault="0011638B" w:rsidP="009F2DF3">
      <w:pPr>
        <w:pStyle w:val="H23"/>
        <w:ind w:right="1260"/>
        <w:rPr>
          <w:bCs w:val="0"/>
          <w:lang w:val="es-ES" w:eastAsia="en-US"/>
        </w:rPr>
      </w:pPr>
      <w:r w:rsidRPr="00A03848">
        <w:rPr>
          <w:bCs w:val="0"/>
          <w:lang w:val="es-ES" w:eastAsia="en-US"/>
        </w:rPr>
        <w:tab/>
      </w:r>
      <w:r w:rsidRPr="00A03848">
        <w:rPr>
          <w:bCs w:val="0"/>
          <w:lang w:val="es-ES" w:eastAsia="en-US"/>
        </w:rPr>
        <w:tab/>
        <w:t xml:space="preserve">Aumento de la diversidad en las juntas directivas de las empresas </w:t>
      </w:r>
      <w:bookmarkEnd w:id="207"/>
    </w:p>
    <w:p w14:paraId="6C12D5B1" w14:textId="77777777" w:rsidR="002937DC" w:rsidRPr="00A03848" w:rsidRDefault="002937DC" w:rsidP="002937DC">
      <w:pPr>
        <w:pStyle w:val="SingleTxt"/>
        <w:spacing w:after="0" w:line="120" w:lineRule="exact"/>
        <w:rPr>
          <w:sz w:val="10"/>
          <w:szCs w:val="10"/>
          <w:lang w:val="es-ES"/>
        </w:rPr>
      </w:pPr>
    </w:p>
    <w:p w14:paraId="299CE3C2" w14:textId="41A64675" w:rsidR="0011638B" w:rsidRPr="00A03848" w:rsidRDefault="00946670" w:rsidP="00AB43B5">
      <w:pPr>
        <w:pStyle w:val="SingleTxt"/>
        <w:rPr>
          <w:szCs w:val="22"/>
          <w:lang w:val="es-ES" w:eastAsia="en-US"/>
        </w:rPr>
      </w:pPr>
      <w:bookmarkStart w:id="208" w:name="bookmark_242"/>
      <w:r w:rsidRPr="00A03848">
        <w:rPr>
          <w:szCs w:val="22"/>
          <w:lang w:val="es-ES" w:eastAsia="en-US"/>
        </w:rPr>
        <w:t>76.</w:t>
      </w:r>
      <w:r w:rsidRPr="00A03848">
        <w:rPr>
          <w:szCs w:val="22"/>
          <w:lang w:val="es-ES" w:eastAsia="en-US"/>
        </w:rPr>
        <w:tab/>
      </w:r>
      <w:r w:rsidR="0011638B" w:rsidRPr="00A03848">
        <w:rPr>
          <w:szCs w:val="22"/>
          <w:lang w:val="es-ES" w:eastAsia="en-US"/>
        </w:rPr>
        <w:t>El examen final de Lord Davies (2015)</w:t>
      </w:r>
      <w:r w:rsidR="0011638B" w:rsidRPr="00A03848">
        <w:rPr>
          <w:szCs w:val="22"/>
          <w:vertAlign w:val="superscript"/>
          <w:lang w:val="es-ES" w:eastAsia="en-US"/>
        </w:rPr>
        <w:footnoteReference w:id="35"/>
      </w:r>
      <w:r w:rsidR="0011638B" w:rsidRPr="00A03848">
        <w:rPr>
          <w:szCs w:val="22"/>
          <w:lang w:val="es-ES" w:eastAsia="en-US"/>
        </w:rPr>
        <w:t xml:space="preserve"> celebraba que se había superado la meta del 25%, puesto que, en un plazo de cinco años, más de 500 nombramientos de las juntas directivas del índice FTSE se habían otorgado a mujeres. También recomendaba que la meta se incrementara hasta el 33% de mujeres en las juntas directivas del FTSE 350 para 2020 y que se estableciera un nuevo examen para analizar los trámites ejecutivos. En 2016, el Gobierno británico encargó a Sir Philip Hampton (Presidente de GSK) y a la difunta Dame Helen Alexander (Presidenta de UBM plc) que dirigieran el estudio sobre las mujeres directivas del FTSE</w:t>
      </w:r>
      <w:r w:rsidR="0011638B" w:rsidRPr="00A03848">
        <w:rPr>
          <w:szCs w:val="22"/>
          <w:vertAlign w:val="superscript"/>
          <w:lang w:val="es-ES" w:eastAsia="en-US"/>
        </w:rPr>
        <w:footnoteReference w:id="36"/>
      </w:r>
      <w:r w:rsidR="0011638B" w:rsidRPr="00A03848">
        <w:rPr>
          <w:szCs w:val="22"/>
          <w:lang w:val="es-ES" w:eastAsia="en-US"/>
        </w:rPr>
        <w:t>. Este estudio sigue esforzándose por aumentar el número de mujeres en las juntas directivas y aportar una nueva perspectiva del estrato ejecutivo en las empresas del FTSE. El estudio publicó su primer informe en noviembre de 2016, incluida la recomendación de dos metas respaldadas por el Gobierno británico, para que las mujeres representen:</w:t>
      </w:r>
      <w:bookmarkEnd w:id="208"/>
    </w:p>
    <w:p w14:paraId="02DA5815" w14:textId="77777777" w:rsidR="0011638B" w:rsidRPr="00A03848" w:rsidRDefault="003A481B" w:rsidP="00096038">
      <w:pPr>
        <w:pStyle w:val="SingleTxt"/>
        <w:tabs>
          <w:tab w:val="right" w:pos="1685"/>
        </w:tabs>
        <w:ind w:left="1742" w:hanging="475"/>
        <w:rPr>
          <w:lang w:val="es-ES"/>
        </w:rPr>
      </w:pPr>
      <w:bookmarkStart w:id="211" w:name="bookmark_245"/>
      <w:r w:rsidRPr="00A03848">
        <w:rPr>
          <w:lang w:val="es-ES"/>
        </w:rPr>
        <w:tab/>
        <w:t>•</w:t>
      </w:r>
      <w:r w:rsidRPr="00A03848">
        <w:rPr>
          <w:lang w:val="es-ES"/>
        </w:rPr>
        <w:tab/>
      </w:r>
      <w:r w:rsidR="0011638B" w:rsidRPr="00A03848">
        <w:rPr>
          <w:lang w:val="es-ES"/>
        </w:rPr>
        <w:t>el 33% de los directores de las juntas del FTSE 350 para 2020;</w:t>
      </w:r>
      <w:bookmarkEnd w:id="211"/>
    </w:p>
    <w:p w14:paraId="0D71BF80" w14:textId="77777777" w:rsidR="0011638B" w:rsidRPr="00A03848" w:rsidRDefault="003A481B" w:rsidP="00096038">
      <w:pPr>
        <w:pStyle w:val="SingleTxt"/>
        <w:tabs>
          <w:tab w:val="right" w:pos="1685"/>
        </w:tabs>
        <w:ind w:left="1742" w:hanging="475"/>
        <w:rPr>
          <w:lang w:val="es-ES"/>
        </w:rPr>
      </w:pPr>
      <w:bookmarkStart w:id="212" w:name="bookmark_246"/>
      <w:r w:rsidRPr="00A03848">
        <w:rPr>
          <w:lang w:val="es-ES"/>
        </w:rPr>
        <w:tab/>
        <w:t>•</w:t>
      </w:r>
      <w:r w:rsidRPr="00A03848">
        <w:rPr>
          <w:lang w:val="es-ES"/>
        </w:rPr>
        <w:tab/>
      </w:r>
      <w:r w:rsidR="0011638B" w:rsidRPr="00A03848">
        <w:rPr>
          <w:lang w:val="es-ES"/>
        </w:rPr>
        <w:t>el 33% de los comités ejecutivos y los subordinados directos a los comités ejecutivos de las empresas del FTSE 100 para 2020.</w:t>
      </w:r>
      <w:bookmarkEnd w:id="212"/>
    </w:p>
    <w:p w14:paraId="5FCC48DF" w14:textId="2AF98669" w:rsidR="0011638B" w:rsidRPr="00A03848" w:rsidRDefault="00946670" w:rsidP="00AB43B5">
      <w:pPr>
        <w:pStyle w:val="SingleTxt"/>
        <w:rPr>
          <w:szCs w:val="22"/>
          <w:lang w:val="es-ES" w:eastAsia="en-US"/>
        </w:rPr>
      </w:pPr>
      <w:bookmarkStart w:id="213" w:name="bookmark_247"/>
      <w:r w:rsidRPr="00A03848">
        <w:rPr>
          <w:szCs w:val="22"/>
          <w:lang w:val="es-ES" w:eastAsia="en-US"/>
        </w:rPr>
        <w:t>77.</w:t>
      </w:r>
      <w:r w:rsidRPr="00A03848">
        <w:rPr>
          <w:szCs w:val="22"/>
          <w:lang w:val="es-ES" w:eastAsia="en-US"/>
        </w:rPr>
        <w:tab/>
      </w:r>
      <w:r w:rsidR="0011638B" w:rsidRPr="00A03848">
        <w:rPr>
          <w:szCs w:val="22"/>
          <w:lang w:val="es-ES" w:eastAsia="en-US"/>
        </w:rPr>
        <w:t>Desde 2011 se han logrado los siguientes progresos:</w:t>
      </w:r>
      <w:bookmarkEnd w:id="213"/>
    </w:p>
    <w:p w14:paraId="3B148CC5" w14:textId="2797B13B" w:rsidR="0011638B" w:rsidRPr="00A03848" w:rsidRDefault="003A481B" w:rsidP="00096038">
      <w:pPr>
        <w:pStyle w:val="SingleTxt"/>
        <w:tabs>
          <w:tab w:val="right" w:pos="1685"/>
        </w:tabs>
        <w:ind w:left="1742" w:hanging="475"/>
        <w:rPr>
          <w:lang w:val="es-ES"/>
        </w:rPr>
      </w:pPr>
      <w:bookmarkStart w:id="214" w:name="bookmark_248"/>
      <w:r w:rsidRPr="00A03848">
        <w:rPr>
          <w:lang w:val="es-ES"/>
        </w:rPr>
        <w:tab/>
        <w:t>•</w:t>
      </w:r>
      <w:r w:rsidRPr="00A03848">
        <w:rPr>
          <w:lang w:val="es-ES"/>
        </w:rPr>
        <w:tab/>
      </w:r>
      <w:r w:rsidR="0011638B" w:rsidRPr="00A03848">
        <w:rPr>
          <w:lang w:val="es-ES"/>
        </w:rPr>
        <w:t>Se ha duplicado con creces el número de mujeres en las juntas directivas de las empresas de los índices FTSE 100 y 250.</w:t>
      </w:r>
      <w:bookmarkEnd w:id="214"/>
    </w:p>
    <w:p w14:paraId="1E6941C7" w14:textId="77777777" w:rsidR="0011638B" w:rsidRPr="00A03848" w:rsidRDefault="003A481B" w:rsidP="00096038">
      <w:pPr>
        <w:pStyle w:val="SingleTxt"/>
        <w:tabs>
          <w:tab w:val="right" w:pos="1685"/>
        </w:tabs>
        <w:ind w:left="1742" w:hanging="475"/>
        <w:rPr>
          <w:lang w:val="es-ES"/>
        </w:rPr>
      </w:pPr>
      <w:bookmarkStart w:id="215" w:name="bookmark_249"/>
      <w:r w:rsidRPr="00A03848">
        <w:rPr>
          <w:lang w:val="es-ES"/>
        </w:rPr>
        <w:tab/>
        <w:t>•</w:t>
      </w:r>
      <w:r w:rsidRPr="00A03848">
        <w:rPr>
          <w:lang w:val="es-ES"/>
        </w:rPr>
        <w:tab/>
      </w:r>
      <w:r w:rsidR="0011638B" w:rsidRPr="00A03848">
        <w:rPr>
          <w:lang w:val="es-ES"/>
        </w:rPr>
        <w:t>Solo quedan 11 juntas totalmente integradas por varones en el FTSE 350, de las 152 que había en 2011.</w:t>
      </w:r>
      <w:bookmarkEnd w:id="215"/>
    </w:p>
    <w:p w14:paraId="470D2B76" w14:textId="1210D64A" w:rsidR="0011638B" w:rsidRPr="00A03848" w:rsidRDefault="00946670" w:rsidP="00AB43B5">
      <w:pPr>
        <w:pStyle w:val="SingleTxt"/>
        <w:rPr>
          <w:szCs w:val="22"/>
          <w:lang w:val="es-ES" w:eastAsia="en-US"/>
        </w:rPr>
      </w:pPr>
      <w:bookmarkStart w:id="216" w:name="bookmark_250"/>
      <w:r w:rsidRPr="00A03848">
        <w:rPr>
          <w:szCs w:val="22"/>
          <w:lang w:val="es-ES" w:eastAsia="en-US"/>
        </w:rPr>
        <w:t>78.</w:t>
      </w:r>
      <w:r w:rsidRPr="00A03848">
        <w:rPr>
          <w:szCs w:val="22"/>
          <w:lang w:val="es-ES" w:eastAsia="en-US"/>
        </w:rPr>
        <w:tab/>
      </w:r>
      <w:r w:rsidR="0011638B" w:rsidRPr="00A03848">
        <w:rPr>
          <w:szCs w:val="22"/>
          <w:lang w:val="es-ES" w:eastAsia="en-US"/>
        </w:rPr>
        <w:t>El Gobierno del Reino Unido desea que se logren más avances que ayuden a las mujeres a abrirse camino en el escalafón, de modo que las empresas elijan a sus directivos de entre un grupo diverso de personas con talento.</w:t>
      </w:r>
      <w:bookmarkEnd w:id="216"/>
    </w:p>
    <w:p w14:paraId="5F49223C" w14:textId="0F52743F" w:rsidR="0011638B" w:rsidRPr="00A03848" w:rsidRDefault="00946670" w:rsidP="00AB43B5">
      <w:pPr>
        <w:pStyle w:val="SingleTxt"/>
        <w:rPr>
          <w:szCs w:val="22"/>
          <w:lang w:val="es-ES" w:eastAsia="en-US"/>
        </w:rPr>
      </w:pPr>
      <w:bookmarkStart w:id="217" w:name="bookmark_251"/>
      <w:r w:rsidRPr="00A03848">
        <w:rPr>
          <w:szCs w:val="22"/>
          <w:lang w:val="es-ES" w:eastAsia="en-US"/>
        </w:rPr>
        <w:t>79.</w:t>
      </w:r>
      <w:r w:rsidRPr="00A03848">
        <w:rPr>
          <w:szCs w:val="22"/>
          <w:lang w:val="es-ES" w:eastAsia="en-US"/>
        </w:rPr>
        <w:tab/>
      </w:r>
      <w:r w:rsidR="0011638B" w:rsidRPr="00A03848">
        <w:rPr>
          <w:szCs w:val="22"/>
          <w:lang w:val="es-ES" w:eastAsia="en-US"/>
        </w:rPr>
        <w:t>El 15 de junio de 2017, el Gobierno escocés introdujo el Proyecto de Ley de Representación de los Géneros en las Juntas Públicas (de Escocia). Este proyecto de ley fija un objetivo de representación por género para las juntas públicas en Escocia, según el cual el 50% de los miembros no ejecutivos de la junta han de ser mujeres, y exige que se tomen ciertas medidas en el nombramiento de los miembros no ejecutivos para alcanzar el objetivo. El proyecto de ley también exige que se adopten medidas para alentar a las mujeres a presentar su candidatura para ser miembros no ejecutivos de las juntas públicas. El Gobierno de Escocia carece de competencias para legislar en lo referente a la representación de la mujer en las</w:t>
      </w:r>
      <w:r w:rsidR="00233A1A" w:rsidRPr="00A03848">
        <w:rPr>
          <w:szCs w:val="22"/>
          <w:lang w:val="es-ES" w:eastAsia="en-US"/>
        </w:rPr>
        <w:t xml:space="preserve"> </w:t>
      </w:r>
      <w:r w:rsidR="0011638B" w:rsidRPr="00A03848">
        <w:rPr>
          <w:szCs w:val="22"/>
          <w:lang w:val="es-ES" w:eastAsia="en-US"/>
        </w:rPr>
        <w:t>juntas privadas. En junio de 2015, el Gobierno escocés puso en marcha la campaña</w:t>
      </w:r>
      <w:r w:rsidR="00233A1A" w:rsidRPr="00A03848">
        <w:rPr>
          <w:szCs w:val="22"/>
          <w:lang w:val="es-ES" w:eastAsia="en-US"/>
        </w:rPr>
        <w:t xml:space="preserve"> </w:t>
      </w:r>
      <w:r w:rsidR="0011638B" w:rsidRPr="00A03848">
        <w:rPr>
          <w:szCs w:val="22"/>
          <w:lang w:val="es-ES" w:eastAsia="en-US"/>
        </w:rPr>
        <w:t xml:space="preserve">Alianza por el Cambio </w:t>
      </w:r>
      <w:hyperlink r:id="rId16" w:history="1">
        <w:r w:rsidR="0011638B" w:rsidRPr="00A03848">
          <w:rPr>
            <w:rStyle w:val="Hyperlink"/>
            <w:szCs w:val="22"/>
            <w:lang w:val="es-ES" w:eastAsia="en-US"/>
          </w:rPr>
          <w:t>50/50</w:t>
        </w:r>
      </w:hyperlink>
      <w:r w:rsidR="0011638B" w:rsidRPr="00A03848">
        <w:rPr>
          <w:szCs w:val="22"/>
          <w:lang w:val="es-ES" w:eastAsia="en-US"/>
        </w:rPr>
        <w:t xml:space="preserve"> para 2020</w:t>
      </w:r>
      <w:r w:rsidR="0011638B" w:rsidRPr="00A03848">
        <w:rPr>
          <w:szCs w:val="22"/>
          <w:vertAlign w:val="superscript"/>
          <w:lang w:val="es-ES" w:eastAsia="en-US"/>
        </w:rPr>
        <w:footnoteReference w:id="37"/>
      </w:r>
      <w:r w:rsidR="0011638B" w:rsidRPr="00A03848">
        <w:rPr>
          <w:szCs w:val="22"/>
          <w:lang w:val="es-ES" w:eastAsia="en-US"/>
        </w:rPr>
        <w:t>, que anima a las empresas y organizaciones del sector público, el privado y el tercer sector de toda Escocia a firmar el compromiso voluntario de procurar conseguir el equilibrio entre los géneros en sus juntas para 2020.</w:t>
      </w:r>
      <w:bookmarkEnd w:id="217"/>
    </w:p>
    <w:p w14:paraId="13B345DF" w14:textId="77777777" w:rsidR="00972DEB" w:rsidRPr="00A03848" w:rsidRDefault="00972DEB" w:rsidP="00972DEB">
      <w:pPr>
        <w:pStyle w:val="SingleTxt"/>
        <w:spacing w:after="0" w:line="120" w:lineRule="exact"/>
        <w:rPr>
          <w:sz w:val="10"/>
          <w:szCs w:val="10"/>
          <w:lang w:val="es-ES"/>
        </w:rPr>
      </w:pPr>
    </w:p>
    <w:p w14:paraId="5F8C28F8" w14:textId="77777777" w:rsidR="00972DEB" w:rsidRPr="00A03848" w:rsidRDefault="00972DEB" w:rsidP="00972DEB">
      <w:pPr>
        <w:pStyle w:val="SingleTxt"/>
        <w:spacing w:after="0" w:line="120" w:lineRule="exact"/>
        <w:rPr>
          <w:sz w:val="10"/>
          <w:szCs w:val="10"/>
          <w:lang w:val="es-ES"/>
        </w:rPr>
      </w:pPr>
    </w:p>
    <w:p w14:paraId="1F0C8B56" w14:textId="77777777" w:rsidR="0011638B" w:rsidRPr="00A03848" w:rsidRDefault="0011638B" w:rsidP="00C01F60">
      <w:pPr>
        <w:pStyle w:val="H1"/>
        <w:ind w:right="1260"/>
        <w:rPr>
          <w:bCs w:val="0"/>
          <w:szCs w:val="20"/>
          <w:lang w:val="es-ES" w:eastAsia="en-US"/>
        </w:rPr>
      </w:pPr>
      <w:bookmarkStart w:id="219" w:name="bookmark_253"/>
      <w:r w:rsidRPr="00A03848">
        <w:rPr>
          <w:bCs w:val="0"/>
          <w:szCs w:val="20"/>
          <w:lang w:val="es-ES" w:eastAsia="en-US"/>
        </w:rPr>
        <w:tab/>
      </w:r>
      <w:r w:rsidRPr="00A03848">
        <w:rPr>
          <w:bCs w:val="0"/>
          <w:szCs w:val="20"/>
          <w:lang w:val="es-ES" w:eastAsia="en-US"/>
        </w:rPr>
        <w:tab/>
        <w:t xml:space="preserve">Artículo 8. Las mujeres como representantes internacionales </w:t>
      </w:r>
      <w:bookmarkEnd w:id="219"/>
    </w:p>
    <w:p w14:paraId="3F4A2288" w14:textId="77777777" w:rsidR="00972DEB" w:rsidRPr="00A03848" w:rsidRDefault="00972DEB" w:rsidP="00972DEB">
      <w:pPr>
        <w:pStyle w:val="SingleTxt"/>
        <w:spacing w:after="0" w:line="120" w:lineRule="exact"/>
        <w:rPr>
          <w:sz w:val="10"/>
          <w:szCs w:val="10"/>
          <w:lang w:val="es-ES"/>
        </w:rPr>
      </w:pPr>
    </w:p>
    <w:p w14:paraId="1A1B8F67" w14:textId="77777777" w:rsidR="00972DEB" w:rsidRPr="00A03848" w:rsidRDefault="00972DEB" w:rsidP="00972DEB">
      <w:pPr>
        <w:pStyle w:val="SingleTxt"/>
        <w:spacing w:after="0" w:line="120" w:lineRule="exact"/>
        <w:rPr>
          <w:sz w:val="10"/>
          <w:szCs w:val="10"/>
          <w:lang w:val="es-ES"/>
        </w:rPr>
      </w:pPr>
    </w:p>
    <w:p w14:paraId="2E592DA6" w14:textId="77777777" w:rsidR="0011638B" w:rsidRPr="00A03848" w:rsidRDefault="0011638B" w:rsidP="009F2DF3">
      <w:pPr>
        <w:pStyle w:val="H23"/>
        <w:ind w:right="1260"/>
        <w:rPr>
          <w:bCs w:val="0"/>
          <w:lang w:val="es-ES" w:eastAsia="en-US"/>
        </w:rPr>
      </w:pPr>
      <w:bookmarkStart w:id="220" w:name="bookmark_254"/>
      <w:r w:rsidRPr="00A03848">
        <w:rPr>
          <w:bCs w:val="0"/>
          <w:lang w:val="es-ES" w:eastAsia="en-US"/>
        </w:rPr>
        <w:tab/>
      </w:r>
      <w:r w:rsidRPr="00A03848">
        <w:rPr>
          <w:bCs w:val="0"/>
          <w:lang w:val="es-ES" w:eastAsia="en-US"/>
        </w:rPr>
        <w:tab/>
        <w:t>Ministerio de Relaciones Exteriores y Asuntos del Commonwealth</w:t>
      </w:r>
      <w:bookmarkEnd w:id="220"/>
    </w:p>
    <w:p w14:paraId="2E38FADE" w14:textId="77777777" w:rsidR="00972DEB" w:rsidRPr="00A03848" w:rsidRDefault="00972DEB" w:rsidP="00972DEB">
      <w:pPr>
        <w:pStyle w:val="SingleTxt"/>
        <w:spacing w:after="0" w:line="120" w:lineRule="exact"/>
        <w:rPr>
          <w:sz w:val="10"/>
          <w:szCs w:val="10"/>
          <w:lang w:val="es-ES"/>
        </w:rPr>
      </w:pPr>
    </w:p>
    <w:p w14:paraId="5AFCEE03" w14:textId="69FFC735" w:rsidR="0011638B" w:rsidRPr="00A03848" w:rsidRDefault="00946670" w:rsidP="00AB43B5">
      <w:pPr>
        <w:pStyle w:val="SingleTxt"/>
        <w:rPr>
          <w:szCs w:val="22"/>
          <w:lang w:val="es-ES" w:eastAsia="en-US"/>
        </w:rPr>
      </w:pPr>
      <w:bookmarkStart w:id="221" w:name="bookmark_255"/>
      <w:r w:rsidRPr="00A03848">
        <w:rPr>
          <w:szCs w:val="22"/>
          <w:lang w:val="es-ES" w:eastAsia="en-US"/>
        </w:rPr>
        <w:t>80.</w:t>
      </w:r>
      <w:r w:rsidRPr="00A03848">
        <w:rPr>
          <w:szCs w:val="22"/>
          <w:lang w:val="es-ES" w:eastAsia="en-US"/>
        </w:rPr>
        <w:tab/>
      </w:r>
      <w:r w:rsidR="0011638B" w:rsidRPr="00A03848">
        <w:rPr>
          <w:szCs w:val="22"/>
          <w:lang w:val="es-ES" w:eastAsia="en-US"/>
        </w:rPr>
        <w:t>El Ministerio de Relaciones Exteriores y Asuntos del Commonwealth del Gobierno del Reino Unido es un firme defensor de la diversidad y la inclusión en el Gobierno. En total, el 42% del personal del Ministerio son mujeres. En 2008, el Ministerio estableció un ambicioso objetivo de género para la Estructura del Personal Directivo Superior consistente en alcanzar un 39% de mujeres an</w:t>
      </w:r>
      <w:r w:rsidR="00FE6B53" w:rsidRPr="00A03848">
        <w:rPr>
          <w:szCs w:val="22"/>
          <w:lang w:val="es-ES" w:eastAsia="en-US"/>
        </w:rPr>
        <w:t>tes de octubre de 2019. En 2008</w:t>
      </w:r>
      <w:r w:rsidR="0011638B" w:rsidRPr="00A03848">
        <w:rPr>
          <w:szCs w:val="22"/>
          <w:lang w:val="es-ES" w:eastAsia="en-US"/>
        </w:rPr>
        <w:t xml:space="preserve"> solo el 17,5% de la Estructura eran mujeres; en el año 2016, la proporción de mujeres ascendió al 30%. En la actualidad hay 59 mujeres jefas de misión y puestos, frente a las 22 que había en 2008. El Ministerio ha nombrado por primera vez a varias mujeres como embajadoras en algunos países, entre ellos, Grecia e Italia. El Ministerio de Relaciones Exteriores y Asuntos del Commonwealth ha designado a su primera Enviada Especial para la Igualdad de Género. Con ello se asegurará de que la política exterior tenga en cuenta de forma consciente y sistemática a las mujeres y las niñas.</w:t>
      </w:r>
      <w:bookmarkEnd w:id="221"/>
    </w:p>
    <w:p w14:paraId="3443E15A" w14:textId="77777777" w:rsidR="00972DEB" w:rsidRPr="00A03848" w:rsidRDefault="00972DEB" w:rsidP="00972DEB">
      <w:pPr>
        <w:pStyle w:val="SingleTxt"/>
        <w:spacing w:after="0" w:line="120" w:lineRule="exact"/>
        <w:rPr>
          <w:sz w:val="10"/>
          <w:szCs w:val="10"/>
          <w:lang w:val="es-ES"/>
        </w:rPr>
      </w:pPr>
    </w:p>
    <w:p w14:paraId="2B2901A1" w14:textId="77777777" w:rsidR="0011638B" w:rsidRPr="00A03848" w:rsidRDefault="0011638B" w:rsidP="009F2DF3">
      <w:pPr>
        <w:pStyle w:val="H23"/>
        <w:ind w:right="1260"/>
        <w:rPr>
          <w:bCs w:val="0"/>
          <w:lang w:val="es-ES" w:eastAsia="en-US"/>
        </w:rPr>
      </w:pPr>
      <w:bookmarkStart w:id="222" w:name="bookmark_256"/>
      <w:r w:rsidRPr="00A03848">
        <w:rPr>
          <w:bCs w:val="0"/>
          <w:lang w:val="es-ES" w:eastAsia="en-US"/>
        </w:rPr>
        <w:tab/>
      </w:r>
      <w:r w:rsidRPr="00A03848">
        <w:rPr>
          <w:bCs w:val="0"/>
          <w:lang w:val="es-ES" w:eastAsia="en-US"/>
        </w:rPr>
        <w:tab/>
        <w:t>Departamento de Desarrollo Internacional</w:t>
      </w:r>
      <w:bookmarkEnd w:id="222"/>
    </w:p>
    <w:p w14:paraId="5F303F59" w14:textId="77777777" w:rsidR="00972DEB" w:rsidRPr="00A03848" w:rsidRDefault="00972DEB" w:rsidP="00972DEB">
      <w:pPr>
        <w:pStyle w:val="SingleTxt"/>
        <w:spacing w:after="0" w:line="120" w:lineRule="exact"/>
        <w:rPr>
          <w:sz w:val="10"/>
          <w:szCs w:val="10"/>
          <w:lang w:val="es-ES"/>
        </w:rPr>
      </w:pPr>
    </w:p>
    <w:p w14:paraId="58FB2C92" w14:textId="6FA6B878" w:rsidR="0011638B" w:rsidRPr="00A03848" w:rsidRDefault="00946670" w:rsidP="00AB43B5">
      <w:pPr>
        <w:pStyle w:val="SingleTxt"/>
        <w:rPr>
          <w:szCs w:val="22"/>
          <w:lang w:val="es-ES" w:eastAsia="en-US"/>
        </w:rPr>
      </w:pPr>
      <w:bookmarkStart w:id="223" w:name="bookmark_257"/>
      <w:r w:rsidRPr="00A03848">
        <w:rPr>
          <w:szCs w:val="22"/>
          <w:lang w:val="es-ES" w:eastAsia="en-US"/>
        </w:rPr>
        <w:t>81.</w:t>
      </w:r>
      <w:r w:rsidRPr="00A03848">
        <w:rPr>
          <w:szCs w:val="22"/>
          <w:lang w:val="es-ES" w:eastAsia="en-US"/>
        </w:rPr>
        <w:tab/>
      </w:r>
      <w:r w:rsidR="0011638B" w:rsidRPr="00A03848">
        <w:rPr>
          <w:szCs w:val="22"/>
          <w:lang w:val="es-ES" w:eastAsia="en-US"/>
        </w:rPr>
        <w:t xml:space="preserve">El Departamento de Desarrollo Internacional (DFID) mantiene su compromiso con la diversidad y la inclusión y actualmente está estudiando su estrategia para 2017 y los años siguientes tras la aplicación del Plan de Acción sobre el Talento de la Administración Pública. El DFID pretende ser uno de los lugares más inclusivos para trabajar, como apoyo al propósito de que la administración pública sea el empleador más inclusivo del Reino Unido. El DFID se ha esforzado mucho a lo largo de los años y ha logrado un adelanto notable de la mujer en toda la organización. En conjunto, el 56% del personal del DFID son mujeres. </w:t>
      </w:r>
      <w:bookmarkEnd w:id="223"/>
    </w:p>
    <w:p w14:paraId="36E9C4D1" w14:textId="77777777" w:rsidR="00972DEB" w:rsidRPr="00A03848" w:rsidRDefault="00972DEB" w:rsidP="00972DEB">
      <w:pPr>
        <w:pStyle w:val="SingleTxt"/>
        <w:spacing w:after="0" w:line="120" w:lineRule="exact"/>
        <w:rPr>
          <w:sz w:val="10"/>
          <w:szCs w:val="10"/>
          <w:lang w:val="es-ES"/>
        </w:rPr>
      </w:pPr>
      <w:bookmarkStart w:id="224" w:name="bookmark_258"/>
    </w:p>
    <w:p w14:paraId="41304F5B" w14:textId="77777777" w:rsidR="0011638B" w:rsidRPr="00A03848" w:rsidRDefault="0011638B" w:rsidP="009F2DF3">
      <w:pPr>
        <w:pStyle w:val="H23"/>
        <w:ind w:right="1260"/>
        <w:rPr>
          <w:bCs w:val="0"/>
          <w:lang w:val="es-ES" w:eastAsia="en-US"/>
        </w:rPr>
      </w:pPr>
      <w:r w:rsidRPr="00A03848">
        <w:rPr>
          <w:bCs w:val="0"/>
          <w:lang w:val="es-ES" w:eastAsia="en-US"/>
        </w:rPr>
        <w:tab/>
      </w:r>
      <w:r w:rsidRPr="00A03848">
        <w:rPr>
          <w:bCs w:val="0"/>
          <w:lang w:val="es-ES" w:eastAsia="en-US"/>
        </w:rPr>
        <w:tab/>
        <w:t>La mujer en las fuerzas armadas</w:t>
      </w:r>
      <w:bookmarkEnd w:id="224"/>
    </w:p>
    <w:p w14:paraId="75613032" w14:textId="77777777" w:rsidR="00972DEB" w:rsidRPr="00A03848" w:rsidRDefault="00972DEB" w:rsidP="00972DEB">
      <w:pPr>
        <w:pStyle w:val="SingleTxt"/>
        <w:spacing w:after="0" w:line="120" w:lineRule="exact"/>
        <w:rPr>
          <w:sz w:val="10"/>
          <w:szCs w:val="10"/>
          <w:lang w:val="es-ES"/>
        </w:rPr>
      </w:pPr>
    </w:p>
    <w:p w14:paraId="2C82DBB6" w14:textId="71C74600" w:rsidR="0011638B" w:rsidRPr="00A03848" w:rsidRDefault="00946670" w:rsidP="00AB43B5">
      <w:pPr>
        <w:pStyle w:val="SingleTxt"/>
        <w:rPr>
          <w:szCs w:val="22"/>
          <w:lang w:val="es-ES" w:eastAsia="en-US"/>
        </w:rPr>
      </w:pPr>
      <w:bookmarkStart w:id="225" w:name="bookmark_259"/>
      <w:r w:rsidRPr="00A03848">
        <w:rPr>
          <w:szCs w:val="22"/>
          <w:lang w:val="es-ES" w:eastAsia="en-US"/>
        </w:rPr>
        <w:t>82.</w:t>
      </w:r>
      <w:r w:rsidRPr="00A03848">
        <w:rPr>
          <w:szCs w:val="22"/>
          <w:lang w:val="es-ES" w:eastAsia="en-US"/>
        </w:rPr>
        <w:tab/>
      </w:r>
      <w:r w:rsidR="0011638B" w:rsidRPr="00A03848">
        <w:rPr>
          <w:szCs w:val="22"/>
          <w:lang w:val="es-ES" w:eastAsia="en-US"/>
        </w:rPr>
        <w:t>El 8 de julio de 2016, el Primer Ministro anunció que se cancelaría la exención de que las mujeres presten servicios en funciones de combate cuerpo a cuerpo sobre el terreno. Desde noviembre de 2016, las mujeres pueden ingresar en el Real Cuerpo Blindado, prestando servicio ordinario y de reserva. El resto de las funciones de combate cuerpo a cuerpo sobre el terreno serán accesibles para las mujeres a finales de 2018, una vez que se hayan aplicado más atenuantes para la salud. Las Fuerzas Armadas están exentas de cumplir determinados elementos de las disposiciones sobre empleo incluidas en la Ley de Igualdad de 2010 con motivo de preservar la</w:t>
      </w:r>
      <w:r w:rsidR="00233A1A" w:rsidRPr="00A03848">
        <w:rPr>
          <w:szCs w:val="22"/>
          <w:lang w:val="es-ES" w:eastAsia="en-US"/>
        </w:rPr>
        <w:t xml:space="preserve"> </w:t>
      </w:r>
      <w:r w:rsidR="0011638B" w:rsidRPr="00A03848">
        <w:rPr>
          <w:szCs w:val="22"/>
          <w:lang w:val="es-ES" w:eastAsia="en-US"/>
        </w:rPr>
        <w:t>eficacia en combate. En abril de 2017, la representación femenina en las Fuerzas</w:t>
      </w:r>
      <w:r w:rsidR="00233A1A" w:rsidRPr="00A03848">
        <w:rPr>
          <w:szCs w:val="22"/>
          <w:lang w:val="es-ES" w:eastAsia="en-US"/>
        </w:rPr>
        <w:t xml:space="preserve"> </w:t>
      </w:r>
      <w:r w:rsidR="0011638B" w:rsidRPr="00A03848">
        <w:rPr>
          <w:szCs w:val="22"/>
          <w:lang w:val="es-ES" w:eastAsia="en-US"/>
        </w:rPr>
        <w:t>Armadas era del 10,2%. Esto forma parte de una tendencia creciente a largo plazo. La representación femenina en las Fuerzas de Reserva también ha aumentado hasta el 14%.</w:t>
      </w:r>
      <w:bookmarkEnd w:id="225"/>
    </w:p>
    <w:p w14:paraId="33339E2C" w14:textId="77777777" w:rsidR="00972DEB" w:rsidRPr="00A03848" w:rsidRDefault="00972DEB" w:rsidP="00972DEB">
      <w:pPr>
        <w:pStyle w:val="SingleTxt"/>
        <w:spacing w:after="0" w:line="120" w:lineRule="exact"/>
        <w:rPr>
          <w:sz w:val="10"/>
          <w:szCs w:val="10"/>
          <w:lang w:val="es-ES"/>
        </w:rPr>
      </w:pPr>
    </w:p>
    <w:p w14:paraId="5E47DBA5" w14:textId="77777777" w:rsidR="00972DEB" w:rsidRPr="00A03848" w:rsidRDefault="00972DEB" w:rsidP="00972DEB">
      <w:pPr>
        <w:pStyle w:val="SingleTxt"/>
        <w:spacing w:after="0" w:line="120" w:lineRule="exact"/>
        <w:rPr>
          <w:sz w:val="10"/>
          <w:szCs w:val="10"/>
          <w:lang w:val="es-ES"/>
        </w:rPr>
      </w:pPr>
    </w:p>
    <w:p w14:paraId="0407E0F8" w14:textId="77777777" w:rsidR="0011638B" w:rsidRPr="00A03848" w:rsidRDefault="0011638B" w:rsidP="00C01F60">
      <w:pPr>
        <w:pStyle w:val="H1"/>
        <w:ind w:right="1260"/>
        <w:rPr>
          <w:bCs w:val="0"/>
          <w:szCs w:val="20"/>
          <w:lang w:val="es-ES" w:eastAsia="en-US"/>
        </w:rPr>
      </w:pPr>
      <w:bookmarkStart w:id="226" w:name="bookmark_260"/>
      <w:bookmarkStart w:id="227" w:name="_Toc498530726"/>
      <w:r w:rsidRPr="00A03848">
        <w:rPr>
          <w:bCs w:val="0"/>
          <w:szCs w:val="20"/>
          <w:lang w:val="es-ES" w:eastAsia="en-US"/>
        </w:rPr>
        <w:tab/>
      </w:r>
      <w:r w:rsidRPr="00A03848">
        <w:rPr>
          <w:bCs w:val="0"/>
          <w:szCs w:val="20"/>
          <w:lang w:val="es-ES" w:eastAsia="en-US"/>
        </w:rPr>
        <w:tab/>
        <w:t>Artículo 9. Nacionalidad</w:t>
      </w:r>
      <w:bookmarkEnd w:id="226"/>
      <w:bookmarkEnd w:id="227"/>
    </w:p>
    <w:p w14:paraId="3D4E4510" w14:textId="77777777" w:rsidR="00972DEB" w:rsidRPr="00A03848" w:rsidRDefault="00972DEB" w:rsidP="00972DEB">
      <w:pPr>
        <w:pStyle w:val="SingleTxt"/>
        <w:spacing w:after="0" w:line="120" w:lineRule="exact"/>
        <w:rPr>
          <w:sz w:val="10"/>
          <w:szCs w:val="10"/>
          <w:lang w:val="es-ES"/>
        </w:rPr>
      </w:pPr>
    </w:p>
    <w:p w14:paraId="7EBC4EC6" w14:textId="77777777" w:rsidR="00972DEB" w:rsidRPr="00A03848" w:rsidRDefault="00972DEB" w:rsidP="00972DEB">
      <w:pPr>
        <w:pStyle w:val="SingleTxt"/>
        <w:spacing w:after="0" w:line="120" w:lineRule="exact"/>
        <w:rPr>
          <w:sz w:val="10"/>
          <w:szCs w:val="10"/>
          <w:lang w:val="es-ES"/>
        </w:rPr>
      </w:pPr>
    </w:p>
    <w:p w14:paraId="19270B93" w14:textId="77777777" w:rsidR="0011638B" w:rsidRPr="00A03848" w:rsidRDefault="0011638B" w:rsidP="009F2DF3">
      <w:pPr>
        <w:pStyle w:val="H23"/>
        <w:ind w:right="1260"/>
        <w:rPr>
          <w:bCs w:val="0"/>
          <w:lang w:val="es-ES" w:eastAsia="en-US"/>
        </w:rPr>
      </w:pPr>
      <w:bookmarkStart w:id="228" w:name="bookmark_261"/>
      <w:r w:rsidRPr="00A03848">
        <w:rPr>
          <w:bCs w:val="0"/>
          <w:lang w:val="es-ES" w:eastAsia="en-US"/>
        </w:rPr>
        <w:tab/>
      </w:r>
      <w:r w:rsidRPr="00A03848">
        <w:rPr>
          <w:bCs w:val="0"/>
          <w:lang w:val="es-ES" w:eastAsia="en-US"/>
        </w:rPr>
        <w:tab/>
        <w:t>Apoyo a las mujeres refugiadas y solicitantes de asilo</w:t>
      </w:r>
      <w:r w:rsidRPr="00A03848">
        <w:rPr>
          <w:bCs w:val="0"/>
          <w:vertAlign w:val="superscript"/>
          <w:lang w:val="es-ES" w:eastAsia="en-US"/>
        </w:rPr>
        <w:endnoteReference w:id="21"/>
      </w:r>
      <w:r w:rsidRPr="00A03848">
        <w:rPr>
          <w:bCs w:val="0"/>
          <w:lang w:val="es-ES" w:eastAsia="en-US"/>
        </w:rPr>
        <w:t xml:space="preserve">, </w:t>
      </w:r>
      <w:r w:rsidRPr="00A03848">
        <w:rPr>
          <w:bCs w:val="0"/>
          <w:vertAlign w:val="superscript"/>
          <w:lang w:val="es-ES" w:eastAsia="en-US"/>
        </w:rPr>
        <w:endnoteReference w:id="22"/>
      </w:r>
      <w:bookmarkEnd w:id="228"/>
    </w:p>
    <w:p w14:paraId="09F3D3CF" w14:textId="77777777" w:rsidR="00972DEB" w:rsidRPr="00A03848" w:rsidRDefault="00972DEB" w:rsidP="00972DEB">
      <w:pPr>
        <w:pStyle w:val="SingleTxt"/>
        <w:spacing w:after="0" w:line="120" w:lineRule="exact"/>
        <w:rPr>
          <w:sz w:val="10"/>
          <w:szCs w:val="10"/>
          <w:lang w:val="es-ES"/>
        </w:rPr>
      </w:pPr>
    </w:p>
    <w:p w14:paraId="6A1151A9" w14:textId="04D56A29" w:rsidR="0011638B" w:rsidRPr="00A03848" w:rsidRDefault="00946670" w:rsidP="00AB43B5">
      <w:pPr>
        <w:pStyle w:val="SingleTxt"/>
        <w:rPr>
          <w:szCs w:val="22"/>
          <w:lang w:val="es-ES" w:eastAsia="en-US"/>
        </w:rPr>
      </w:pPr>
      <w:bookmarkStart w:id="231" w:name="bookmark_264"/>
      <w:r w:rsidRPr="00A03848">
        <w:rPr>
          <w:szCs w:val="22"/>
          <w:lang w:val="es-ES" w:eastAsia="en-US"/>
        </w:rPr>
        <w:t>83.</w:t>
      </w:r>
      <w:r w:rsidRPr="00A03848">
        <w:rPr>
          <w:szCs w:val="22"/>
          <w:lang w:val="es-ES" w:eastAsia="en-US"/>
        </w:rPr>
        <w:tab/>
      </w:r>
      <w:r w:rsidR="0011638B" w:rsidRPr="00A03848">
        <w:rPr>
          <w:szCs w:val="22"/>
          <w:lang w:val="es-ES" w:eastAsia="en-US"/>
        </w:rPr>
        <w:t>El Gobierno del Reino Unido está decidido a garantizar que el proceso de asilo tenga en cuenta las cuestiones de género y ha aplicado un plan de acción específico en materia de género para los casos de asilo. Dicho plan abarca una serie de iniciativas destinadas a ayudar a las mujeres a colaborar mejor con el proceso de asilo y evitar la discriminación. Existe un programa de formación para todos los asistentes sociales encargados de los trámites de asilo que incluye específicamente los daños por motivo de género y unos enfoques que tienen en cuenta las cuestiones de género en problemas como el trauma y la pérdida de memoria, de modo que las entrevistas se realicen con corrección y delicadeza. En la actualidad, se están poniendo al día las orientaciones de política del Ministerio del Interior relativas al asilo en lo que respecta a las cuestiones de género y la violencia doméstica. Se seguirán llevando a cabo exámenes de garantía para supervisar la calidad de las entrevistas y las decisiones en los casos de asilo a fin de lograr una sensibilidad a las cuestiones de género y la adhesión a la política actual y promover la mejora</w:t>
      </w:r>
      <w:r w:rsidR="00233A1A" w:rsidRPr="00A03848">
        <w:rPr>
          <w:szCs w:val="22"/>
          <w:lang w:val="es-ES" w:eastAsia="en-US"/>
        </w:rPr>
        <w:t xml:space="preserve"> </w:t>
      </w:r>
      <w:r w:rsidR="0011638B" w:rsidRPr="00A03848">
        <w:rPr>
          <w:szCs w:val="22"/>
          <w:lang w:val="es-ES" w:eastAsia="en-US"/>
        </w:rPr>
        <w:t>continua.</w:t>
      </w:r>
      <w:bookmarkEnd w:id="231"/>
    </w:p>
    <w:p w14:paraId="3576B9B4" w14:textId="75F35B53" w:rsidR="0011638B" w:rsidRPr="00A03848" w:rsidRDefault="00946670" w:rsidP="00AB43B5">
      <w:pPr>
        <w:pStyle w:val="SingleTxt"/>
        <w:rPr>
          <w:szCs w:val="22"/>
          <w:lang w:val="es-ES" w:eastAsia="en-US"/>
        </w:rPr>
      </w:pPr>
      <w:bookmarkStart w:id="232" w:name="bookmark_265"/>
      <w:r w:rsidRPr="00A03848">
        <w:rPr>
          <w:szCs w:val="22"/>
          <w:lang w:val="es-ES" w:eastAsia="en-US"/>
        </w:rPr>
        <w:t>84.</w:t>
      </w:r>
      <w:r w:rsidRPr="00A03848">
        <w:rPr>
          <w:szCs w:val="22"/>
          <w:lang w:val="es-ES" w:eastAsia="en-US"/>
        </w:rPr>
        <w:tab/>
      </w:r>
      <w:r w:rsidR="0011638B" w:rsidRPr="00A03848">
        <w:rPr>
          <w:szCs w:val="22"/>
          <w:lang w:val="es-ES" w:eastAsia="en-US"/>
        </w:rPr>
        <w:t xml:space="preserve">La publicación </w:t>
      </w:r>
      <w:r w:rsidR="0011638B" w:rsidRPr="00A03848">
        <w:rPr>
          <w:i/>
          <w:szCs w:val="22"/>
          <w:lang w:val="es-ES" w:eastAsia="en-US"/>
        </w:rPr>
        <w:t>New Scots: Integrating Refugees in Scotland’s Communities</w:t>
      </w:r>
      <w:r w:rsidR="0011638B" w:rsidRPr="00A03848">
        <w:rPr>
          <w:szCs w:val="22"/>
          <w:vertAlign w:val="superscript"/>
          <w:lang w:val="es-ES" w:eastAsia="en-US"/>
        </w:rPr>
        <w:footnoteReference w:id="38"/>
      </w:r>
      <w:r w:rsidR="0011638B" w:rsidRPr="00A03848">
        <w:rPr>
          <w:szCs w:val="22"/>
          <w:lang w:val="es-ES" w:eastAsia="en-US"/>
        </w:rPr>
        <w:t xml:space="preserve"> presenta un marco claro de 2014 a 2017 a todos aquellos que trabajan en pro de la integración de los refugiados en Escocia. La estrategia ha prestado asistencia para coordinar la labor del Gobierno escocés, sus organizaciones asociadas y otras entidades del sector público, el privado y el tercer sector. Se está preparando una estrategia renovada para los nuevos ciudadanos escoceses. El Servicio Nacional de Salud de Escocia presta servicios de salud a todos los solicitantes de asilo en Escocia, incluidos aquellos cuyas solicitudes hayan sido denegadas, donde además tienen acceso a servicios jurídicos y asistencia letrada para que puedan seguir defendiendo sus casos. El Gobierno escocés considera que se debe permitir que los solicitantes de asilo trabajen mientras se examinan sus solicitudes.</w:t>
      </w:r>
      <w:bookmarkEnd w:id="232"/>
    </w:p>
    <w:p w14:paraId="26BF0B27" w14:textId="61B4F3A1" w:rsidR="0011638B" w:rsidRPr="00A03848" w:rsidRDefault="00946670" w:rsidP="00AB43B5">
      <w:pPr>
        <w:pStyle w:val="SingleTxt"/>
        <w:rPr>
          <w:szCs w:val="22"/>
          <w:lang w:val="es-ES" w:eastAsia="en-US"/>
        </w:rPr>
      </w:pPr>
      <w:bookmarkStart w:id="234" w:name="bookmark_267"/>
      <w:r w:rsidRPr="00A03848">
        <w:rPr>
          <w:szCs w:val="22"/>
          <w:lang w:val="es-ES" w:eastAsia="en-US"/>
        </w:rPr>
        <w:t>85.</w:t>
      </w:r>
      <w:r w:rsidRPr="00A03848">
        <w:rPr>
          <w:szCs w:val="22"/>
          <w:lang w:val="es-ES" w:eastAsia="en-US"/>
        </w:rPr>
        <w:tab/>
      </w:r>
      <w:r w:rsidR="0011638B" w:rsidRPr="00A03848">
        <w:rPr>
          <w:szCs w:val="22"/>
          <w:lang w:val="es-ES" w:eastAsia="en-US"/>
        </w:rPr>
        <w:t>En marzo de 2016 se publicó el Plan de Prestaciones para Refugiados y Solicitantes de Asilo del Gobierno de Gales. El objetivo del plan es permitir que los solicitantes de asilo y los refugiados tengan la oportunidad de aprender, prosperar y contribuir en las esferas económica, ambiental, social y cultural de Gales. El Gobierno de Gales también ha proporcionado, a través de su subsidio de igualdad e inclusión 2014-2017, financiación para el Programa de Apoyo a las Refugiadas del Sudeste de Gales, de la Cruz Roja británica, con el fin de permitir que las refugiadas vulnerables ejerzan sus derechos de forma independiente y accedan a los servicios de apoyo locales. Desde abril de 2017, el Consejo de Refugiados de Gales prestará un nuevo servicio de apoyo para todo Gales dirigido a los refugiados, los solicitantes de asilo y los migrantes y financiado por el Gobierno galés.</w:t>
      </w:r>
      <w:bookmarkEnd w:id="234"/>
    </w:p>
    <w:p w14:paraId="0A1BAC11" w14:textId="77777777" w:rsidR="00B849BD" w:rsidRPr="00A03848" w:rsidRDefault="00B849BD" w:rsidP="00B849BD">
      <w:pPr>
        <w:pStyle w:val="SingleTxt"/>
        <w:spacing w:after="0" w:line="120" w:lineRule="exact"/>
        <w:rPr>
          <w:sz w:val="10"/>
          <w:szCs w:val="10"/>
          <w:lang w:val="es-ES"/>
        </w:rPr>
      </w:pPr>
    </w:p>
    <w:p w14:paraId="6397B4A9" w14:textId="77777777" w:rsidR="0011638B" w:rsidRPr="00A03848" w:rsidRDefault="0011638B" w:rsidP="009F2DF3">
      <w:pPr>
        <w:pStyle w:val="H23"/>
        <w:ind w:right="1260"/>
        <w:rPr>
          <w:bCs w:val="0"/>
          <w:lang w:val="es-ES" w:eastAsia="en-US"/>
        </w:rPr>
      </w:pPr>
      <w:bookmarkStart w:id="235" w:name="bookmark_268"/>
      <w:r w:rsidRPr="00A03848">
        <w:rPr>
          <w:bCs w:val="0"/>
          <w:lang w:val="es-ES" w:eastAsia="en-US"/>
        </w:rPr>
        <w:tab/>
      </w:r>
      <w:r w:rsidRPr="00A03848">
        <w:rPr>
          <w:bCs w:val="0"/>
          <w:lang w:val="es-ES" w:eastAsia="en-US"/>
        </w:rPr>
        <w:tab/>
        <w:t>Violencia doméstica y la política de no recurrir a los fondos públicos</w:t>
      </w:r>
      <w:r w:rsidRPr="00A03848">
        <w:rPr>
          <w:bCs w:val="0"/>
          <w:vertAlign w:val="superscript"/>
          <w:lang w:val="es-ES" w:eastAsia="en-US"/>
        </w:rPr>
        <w:endnoteReference w:id="23"/>
      </w:r>
      <w:bookmarkEnd w:id="235"/>
    </w:p>
    <w:p w14:paraId="4DFA9342" w14:textId="77777777" w:rsidR="00B849BD" w:rsidRPr="00A03848" w:rsidRDefault="00B849BD" w:rsidP="00B849BD">
      <w:pPr>
        <w:pStyle w:val="SingleTxt"/>
        <w:spacing w:after="0" w:line="120" w:lineRule="exact"/>
        <w:rPr>
          <w:sz w:val="10"/>
          <w:szCs w:val="10"/>
          <w:lang w:val="es-ES"/>
        </w:rPr>
      </w:pPr>
    </w:p>
    <w:p w14:paraId="20F018FB" w14:textId="08633A01" w:rsidR="0011638B" w:rsidRPr="00A03848" w:rsidRDefault="00946670" w:rsidP="00AB43B5">
      <w:pPr>
        <w:pStyle w:val="SingleTxt"/>
        <w:rPr>
          <w:szCs w:val="22"/>
          <w:lang w:val="es-ES" w:eastAsia="en-US"/>
        </w:rPr>
      </w:pPr>
      <w:bookmarkStart w:id="237" w:name="bookmark_270"/>
      <w:r w:rsidRPr="00A03848">
        <w:rPr>
          <w:szCs w:val="22"/>
          <w:lang w:val="es-ES" w:eastAsia="en-US"/>
        </w:rPr>
        <w:t>86.</w:t>
      </w:r>
      <w:r w:rsidRPr="00A03848">
        <w:rPr>
          <w:szCs w:val="22"/>
          <w:lang w:val="es-ES" w:eastAsia="en-US"/>
        </w:rPr>
        <w:tab/>
      </w:r>
      <w:r w:rsidR="0011638B" w:rsidRPr="00A03848">
        <w:rPr>
          <w:szCs w:val="22"/>
          <w:lang w:val="es-ES" w:eastAsia="en-US"/>
        </w:rPr>
        <w:t xml:space="preserve">Las personas que intentan establecer su vida familiar en el Reino Unido deben hacerlo de tal manera que se eviten cargas a los contribuyentes y se promueva la integración. La condición de no recurrir a los fondos públicos se aplica a las personas a quienes se ha concedido un permiso limitado fuera de las vías de protección, a menos que se cumpla la política de indigencia publicada. Cuando un solicitante pueda demostrar que existen razones de peso en cuanto al bienestar de un niño debido a los bajos ingresos de su progenitor, o cuando existan circunstancias excepcionales relativas a las finanzas del solicitante, la concesión de permiso no estará sujeta a la condición de no recurrir a los fondos públicos. Una vez concedido el permiso, las personas sujetas a esta condición podrán solicitar que se cancele si se produce un cambio significativo de las circunstancias de tal envergadura que se conviertan en indigentes. </w:t>
      </w:r>
      <w:bookmarkEnd w:id="237"/>
    </w:p>
    <w:p w14:paraId="35FB0C08" w14:textId="7F480135" w:rsidR="0011638B" w:rsidRPr="00A03848" w:rsidRDefault="00946670" w:rsidP="00AB43B5">
      <w:pPr>
        <w:pStyle w:val="SingleTxt"/>
        <w:rPr>
          <w:szCs w:val="22"/>
          <w:lang w:val="es-ES" w:eastAsia="en-US"/>
        </w:rPr>
      </w:pPr>
      <w:bookmarkStart w:id="238" w:name="bookmark_271"/>
      <w:r w:rsidRPr="00A03848">
        <w:rPr>
          <w:szCs w:val="22"/>
          <w:lang w:val="es-ES" w:eastAsia="en-US"/>
        </w:rPr>
        <w:t>87.</w:t>
      </w:r>
      <w:r w:rsidRPr="00A03848">
        <w:rPr>
          <w:szCs w:val="22"/>
          <w:lang w:val="es-ES" w:eastAsia="en-US"/>
        </w:rPr>
        <w:tab/>
      </w:r>
      <w:r w:rsidR="0011638B" w:rsidRPr="00A03848">
        <w:rPr>
          <w:szCs w:val="22"/>
          <w:lang w:val="es-ES" w:eastAsia="en-US"/>
        </w:rPr>
        <w:t xml:space="preserve">La política sobre indigencia se aplica valorando cada caso por separado y teniendo en cuenta los hechos específicos de la solicitud. No todas las mujeres que son víctimas de violencia de género y explotación cumplirán la política sobre indigencia y no sería adecuado aplicarla de forma generalizada. En otras solicitudes sobre derechos humanos, alegar motivos como la violencia de género y la explotación también se tendrá en cuenta al considerar si está justificada la concesión de permiso fuera del Reglamento de Inmigración. El Gobierno de Escocia acogió con agrado el informe del Comité de Igualdad y Derechos Humanos del Parlamento escocés, titulado </w:t>
      </w:r>
      <w:r w:rsidR="00284834" w:rsidRPr="00A03848">
        <w:rPr>
          <w:szCs w:val="22"/>
          <w:lang w:val="es-ES" w:eastAsia="en-US"/>
        </w:rPr>
        <w:t>“</w:t>
      </w:r>
      <w:r w:rsidR="0011638B" w:rsidRPr="00A03848">
        <w:rPr>
          <w:szCs w:val="22"/>
          <w:lang w:val="es-ES" w:eastAsia="en-US"/>
        </w:rPr>
        <w:t>Hidden Lives – New Beginnings: Destitution, asylum and insecure immigration status in Scotland</w:t>
      </w:r>
      <w:r w:rsidR="00284834" w:rsidRPr="00A03848">
        <w:rPr>
          <w:szCs w:val="22"/>
          <w:lang w:val="es-ES" w:eastAsia="en-US"/>
        </w:rPr>
        <w:t>”</w:t>
      </w:r>
      <w:r w:rsidR="0011638B" w:rsidRPr="00A03848">
        <w:rPr>
          <w:szCs w:val="22"/>
          <w:vertAlign w:val="superscript"/>
          <w:lang w:val="es-ES" w:eastAsia="en-US"/>
        </w:rPr>
        <w:footnoteReference w:id="39"/>
      </w:r>
      <w:r w:rsidR="0011638B" w:rsidRPr="00A03848">
        <w:rPr>
          <w:szCs w:val="22"/>
          <w:lang w:val="es-ES" w:eastAsia="en-US"/>
        </w:rPr>
        <w:t>. En el informe se recomienda que el alcance de la concesión por indigencia para las víctimas de violencia doméstica se amplíe para abarcar a todas las mujeres en situación irregular de inmigración, incluidas las solicitantes de asilo.</w:t>
      </w:r>
      <w:bookmarkEnd w:id="238"/>
    </w:p>
    <w:p w14:paraId="7B09673E" w14:textId="77777777" w:rsidR="00BF786A" w:rsidRPr="00A03848" w:rsidRDefault="00BF786A" w:rsidP="00BF786A">
      <w:pPr>
        <w:pStyle w:val="SingleTxt"/>
        <w:spacing w:after="0" w:line="120" w:lineRule="exact"/>
        <w:rPr>
          <w:sz w:val="10"/>
          <w:szCs w:val="10"/>
          <w:lang w:val="es-ES"/>
        </w:rPr>
      </w:pPr>
    </w:p>
    <w:p w14:paraId="32CABBA5" w14:textId="77777777" w:rsidR="00BF786A" w:rsidRPr="00A03848" w:rsidRDefault="00BF786A" w:rsidP="00BF786A">
      <w:pPr>
        <w:pStyle w:val="SingleTxt"/>
        <w:spacing w:after="0" w:line="120" w:lineRule="exact"/>
        <w:rPr>
          <w:sz w:val="10"/>
          <w:szCs w:val="10"/>
          <w:lang w:val="es-ES"/>
        </w:rPr>
      </w:pPr>
    </w:p>
    <w:p w14:paraId="268D882D" w14:textId="77777777" w:rsidR="0011638B" w:rsidRPr="00A03848" w:rsidRDefault="0011638B" w:rsidP="00C01F60">
      <w:pPr>
        <w:pStyle w:val="H1"/>
        <w:ind w:right="1260"/>
        <w:rPr>
          <w:bCs w:val="0"/>
          <w:szCs w:val="20"/>
          <w:lang w:val="es-ES" w:eastAsia="en-US"/>
        </w:rPr>
      </w:pPr>
      <w:bookmarkStart w:id="240" w:name="bookmark_273"/>
      <w:bookmarkStart w:id="241" w:name="_Toc498530727"/>
      <w:r w:rsidRPr="00A03848">
        <w:rPr>
          <w:bCs w:val="0"/>
          <w:szCs w:val="20"/>
          <w:lang w:val="es-ES" w:eastAsia="en-US"/>
        </w:rPr>
        <w:tab/>
      </w:r>
      <w:r w:rsidRPr="00A03848">
        <w:rPr>
          <w:bCs w:val="0"/>
          <w:szCs w:val="20"/>
          <w:lang w:val="es-ES" w:eastAsia="en-US"/>
        </w:rPr>
        <w:tab/>
        <w:t>Artículo 10. Educación</w:t>
      </w:r>
      <w:bookmarkEnd w:id="240"/>
      <w:bookmarkEnd w:id="241"/>
    </w:p>
    <w:p w14:paraId="1EADFB05" w14:textId="77777777" w:rsidR="00BF786A" w:rsidRPr="00A03848" w:rsidRDefault="00BF786A" w:rsidP="00BF786A">
      <w:pPr>
        <w:pStyle w:val="SingleTxt"/>
        <w:spacing w:after="0" w:line="120" w:lineRule="exact"/>
        <w:rPr>
          <w:sz w:val="10"/>
          <w:szCs w:val="10"/>
          <w:lang w:val="es-ES"/>
        </w:rPr>
      </w:pPr>
    </w:p>
    <w:p w14:paraId="1383AC09" w14:textId="77777777" w:rsidR="00BF786A" w:rsidRPr="00A03848" w:rsidRDefault="00BF786A" w:rsidP="00BF786A">
      <w:pPr>
        <w:pStyle w:val="SingleTxt"/>
        <w:spacing w:after="0" w:line="120" w:lineRule="exact"/>
        <w:rPr>
          <w:sz w:val="10"/>
          <w:szCs w:val="10"/>
          <w:lang w:val="es-ES"/>
        </w:rPr>
      </w:pPr>
    </w:p>
    <w:p w14:paraId="3D6B981B" w14:textId="77777777" w:rsidR="0011638B" w:rsidRPr="00A03848" w:rsidRDefault="0011638B" w:rsidP="009F2DF3">
      <w:pPr>
        <w:pStyle w:val="H23"/>
        <w:ind w:right="1260"/>
        <w:rPr>
          <w:bCs w:val="0"/>
          <w:lang w:val="es-ES" w:eastAsia="en-US"/>
        </w:rPr>
      </w:pPr>
      <w:bookmarkStart w:id="242" w:name="bookmark_274"/>
      <w:r w:rsidRPr="00A03848">
        <w:rPr>
          <w:bCs w:val="0"/>
          <w:lang w:val="es-ES" w:eastAsia="en-US"/>
        </w:rPr>
        <w:tab/>
      </w:r>
      <w:r w:rsidRPr="00A03848">
        <w:rPr>
          <w:bCs w:val="0"/>
          <w:lang w:val="es-ES" w:eastAsia="en-US"/>
        </w:rPr>
        <w:tab/>
        <w:t>Fortalecimiento de la orientación profesional</w:t>
      </w:r>
      <w:r w:rsidRPr="00A03848">
        <w:rPr>
          <w:bCs w:val="0"/>
          <w:vertAlign w:val="superscript"/>
          <w:lang w:val="es-ES" w:eastAsia="en-US"/>
        </w:rPr>
        <w:endnoteReference w:id="24"/>
      </w:r>
      <w:bookmarkEnd w:id="242"/>
    </w:p>
    <w:p w14:paraId="63B71E8B" w14:textId="77777777" w:rsidR="00BF786A" w:rsidRPr="00A03848" w:rsidRDefault="00BF786A" w:rsidP="00BF786A">
      <w:pPr>
        <w:pStyle w:val="SingleTxt"/>
        <w:spacing w:after="0" w:line="120" w:lineRule="exact"/>
        <w:rPr>
          <w:sz w:val="10"/>
          <w:szCs w:val="10"/>
          <w:lang w:val="es-ES"/>
        </w:rPr>
      </w:pPr>
    </w:p>
    <w:p w14:paraId="031BB96E" w14:textId="2DB9017A" w:rsidR="0011638B" w:rsidRPr="00A03848" w:rsidRDefault="00946670" w:rsidP="00AB43B5">
      <w:pPr>
        <w:pStyle w:val="SingleTxt"/>
        <w:rPr>
          <w:szCs w:val="22"/>
          <w:lang w:val="es-ES" w:eastAsia="en-US"/>
        </w:rPr>
      </w:pPr>
      <w:bookmarkStart w:id="244" w:name="bookmark_276"/>
      <w:r w:rsidRPr="00A03848">
        <w:rPr>
          <w:szCs w:val="22"/>
          <w:lang w:val="es-ES" w:eastAsia="en-US"/>
        </w:rPr>
        <w:t>88.</w:t>
      </w:r>
      <w:r w:rsidRPr="00A03848">
        <w:rPr>
          <w:szCs w:val="22"/>
          <w:lang w:val="es-ES" w:eastAsia="en-US"/>
        </w:rPr>
        <w:tab/>
      </w:r>
      <w:r w:rsidR="0011638B" w:rsidRPr="00A03848">
        <w:rPr>
          <w:szCs w:val="22"/>
          <w:lang w:val="es-ES" w:eastAsia="en-US"/>
        </w:rPr>
        <w:t>El Departamento de Educación publicará una estrategia de orientación profesional en otoño, centrada claramente en la movilidad social. Incluirá propuestas para mejorar la calidad y la cobertura de la orientación profesional en las escuelas y universidades y facilitar a las personas la información que necesiten para acceder a la formación a lo largo de su vida laboral. La estrategia de orientación profesional incluirá algunas propuestas sobre la forma en que podríamos promover la igualdad de género aumentando el contacto de los jóvenes con los empleadores —que pueden mostrar distintas funciones laborales y trayectorias profesionales para despertar aspiraciones— especialmente en relación con los campos de CTIM, donde</w:t>
      </w:r>
      <w:r w:rsidR="00233A1A" w:rsidRPr="00A03848">
        <w:rPr>
          <w:szCs w:val="22"/>
          <w:lang w:val="es-ES" w:eastAsia="en-US"/>
        </w:rPr>
        <w:t xml:space="preserve"> </w:t>
      </w:r>
      <w:r w:rsidR="0011638B" w:rsidRPr="00A03848">
        <w:rPr>
          <w:szCs w:val="22"/>
          <w:lang w:val="es-ES" w:eastAsia="en-US"/>
        </w:rPr>
        <w:t>el Departamento de Educación tiene previstos algunos proyectos piloto. La red de embajadores de CTIM promueve el disfrute de las asignaturas de estos ámbitos. El Departamento de Educación colabora con asociados para alentar a más escuelas y universidades a que aprovechen las organizaciones de embajadores y multipliquen las oportunidades para que los jóvenes conozcan a empleadores en los</w:t>
      </w:r>
      <w:r w:rsidR="00233A1A" w:rsidRPr="00A03848">
        <w:rPr>
          <w:szCs w:val="22"/>
          <w:lang w:val="es-ES" w:eastAsia="en-US"/>
        </w:rPr>
        <w:t xml:space="preserve"> </w:t>
      </w:r>
      <w:r w:rsidR="0011638B" w:rsidRPr="00A03848">
        <w:rPr>
          <w:szCs w:val="22"/>
          <w:lang w:val="es-ES" w:eastAsia="en-US"/>
        </w:rPr>
        <w:t>campos de</w:t>
      </w:r>
      <w:r w:rsidR="00BF786A" w:rsidRPr="00A03848">
        <w:rPr>
          <w:szCs w:val="22"/>
          <w:lang w:val="es-ES" w:eastAsia="en-US"/>
        </w:rPr>
        <w:t xml:space="preserve"> </w:t>
      </w:r>
      <w:r w:rsidR="0011638B" w:rsidRPr="00A03848">
        <w:rPr>
          <w:szCs w:val="22"/>
          <w:lang w:val="es-ES" w:eastAsia="en-US"/>
        </w:rPr>
        <w:t xml:space="preserve">CTIM. </w:t>
      </w:r>
      <w:bookmarkEnd w:id="244"/>
    </w:p>
    <w:p w14:paraId="59A558E5" w14:textId="77777777" w:rsidR="00BF786A" w:rsidRPr="00A03848" w:rsidRDefault="00BF786A" w:rsidP="00BF786A">
      <w:pPr>
        <w:pStyle w:val="SingleTxt"/>
        <w:spacing w:after="0" w:line="120" w:lineRule="exact"/>
        <w:rPr>
          <w:sz w:val="10"/>
          <w:szCs w:val="10"/>
          <w:lang w:val="es-ES"/>
        </w:rPr>
      </w:pPr>
    </w:p>
    <w:p w14:paraId="1D0B7CA8" w14:textId="77777777" w:rsidR="0011638B" w:rsidRPr="00A03848" w:rsidRDefault="0011638B" w:rsidP="009F2DF3">
      <w:pPr>
        <w:pStyle w:val="H23"/>
        <w:ind w:right="1260"/>
        <w:rPr>
          <w:bCs w:val="0"/>
          <w:lang w:val="es-ES" w:eastAsia="en-US"/>
        </w:rPr>
      </w:pPr>
      <w:bookmarkStart w:id="245" w:name="bookmark_277"/>
      <w:r w:rsidRPr="00A03848">
        <w:rPr>
          <w:bCs w:val="0"/>
          <w:lang w:val="es-ES" w:eastAsia="en-US"/>
        </w:rPr>
        <w:tab/>
      </w:r>
      <w:r w:rsidRPr="00A03848">
        <w:rPr>
          <w:bCs w:val="0"/>
          <w:lang w:val="es-ES" w:eastAsia="en-US"/>
        </w:rPr>
        <w:tab/>
        <w:t>Representación de los géneros en el aprendizaje de oficios</w:t>
      </w:r>
      <w:r w:rsidRPr="00A03848">
        <w:rPr>
          <w:bCs w:val="0"/>
          <w:vertAlign w:val="superscript"/>
          <w:lang w:val="es-ES" w:eastAsia="en-US"/>
        </w:rPr>
        <w:endnoteReference w:id="25"/>
      </w:r>
      <w:bookmarkEnd w:id="245"/>
    </w:p>
    <w:p w14:paraId="5CB9EADB" w14:textId="77777777" w:rsidR="00BF786A" w:rsidRPr="00A03848" w:rsidRDefault="00BF786A" w:rsidP="00BF786A">
      <w:pPr>
        <w:pStyle w:val="SingleTxt"/>
        <w:spacing w:after="0" w:line="120" w:lineRule="exact"/>
        <w:rPr>
          <w:sz w:val="10"/>
          <w:szCs w:val="10"/>
          <w:lang w:val="es-ES"/>
        </w:rPr>
      </w:pPr>
    </w:p>
    <w:p w14:paraId="6373CBBE" w14:textId="12BF10E4" w:rsidR="0011638B" w:rsidRPr="00A03848" w:rsidRDefault="00946670" w:rsidP="00AB43B5">
      <w:pPr>
        <w:pStyle w:val="SingleTxt"/>
        <w:rPr>
          <w:szCs w:val="22"/>
          <w:lang w:val="es-ES" w:eastAsia="en-US"/>
        </w:rPr>
      </w:pPr>
      <w:bookmarkStart w:id="247" w:name="bookmark_279"/>
      <w:r w:rsidRPr="00A03848">
        <w:rPr>
          <w:szCs w:val="22"/>
          <w:lang w:val="es-ES" w:eastAsia="en-US"/>
        </w:rPr>
        <w:t>89.</w:t>
      </w:r>
      <w:r w:rsidRPr="00A03848">
        <w:rPr>
          <w:szCs w:val="22"/>
          <w:lang w:val="es-ES" w:eastAsia="en-US"/>
        </w:rPr>
        <w:tab/>
      </w:r>
      <w:r w:rsidR="0011638B" w:rsidRPr="00A03848">
        <w:rPr>
          <w:szCs w:val="22"/>
          <w:lang w:val="es-ES" w:eastAsia="en-US"/>
        </w:rPr>
        <w:t>El aprendizaje de oficios constituye una vía excelente hacia el empleo cualificado para personas de todas las edades y géneros y puede ofrecer una verdadera oportunidad para que las mujeres se reincorporen al mercado laboral después de haberse tomado un tiempo sin trabajar. En el Reino Unido, las mujeres han representado la mayoría de los nuevos puestos de aprendices en cada uno de los</w:t>
      </w:r>
      <w:r w:rsidR="00FE6B53" w:rsidRPr="00A03848">
        <w:rPr>
          <w:szCs w:val="22"/>
          <w:lang w:val="es-ES" w:eastAsia="en-US"/>
        </w:rPr>
        <w:t xml:space="preserve"> últimos seis años: en 2015/</w:t>
      </w:r>
      <w:r w:rsidR="0011638B" w:rsidRPr="00A03848">
        <w:rPr>
          <w:szCs w:val="22"/>
          <w:lang w:val="es-ES" w:eastAsia="en-US"/>
        </w:rPr>
        <w:t xml:space="preserve">16 el 52,8% de ellos fueron ocupados por mujeres. Siguen existiendo disparidades en la representación por género en algunos sectores que producen algunos de los mayores beneficios, como son la construcción y la ingeniería (donde las mujeres representaron solo el 2,3% y el 8% </w:t>
      </w:r>
      <w:r w:rsidR="00FE6B53" w:rsidRPr="00A03848">
        <w:rPr>
          <w:szCs w:val="22"/>
          <w:lang w:val="es-ES" w:eastAsia="en-US"/>
        </w:rPr>
        <w:t>de los nuevos puestos en 2015/</w:t>
      </w:r>
      <w:r w:rsidR="0011638B" w:rsidRPr="00A03848">
        <w:rPr>
          <w:szCs w:val="22"/>
          <w:lang w:val="es-ES" w:eastAsia="en-US"/>
        </w:rPr>
        <w:t>16). La Red de Promotores de la Diversidad en el Aprendizaje de Oficios</w:t>
      </w:r>
      <w:r w:rsidR="0011638B" w:rsidRPr="00A03848">
        <w:rPr>
          <w:szCs w:val="22"/>
          <w:vertAlign w:val="superscript"/>
          <w:lang w:val="es-ES" w:eastAsia="en-US"/>
        </w:rPr>
        <w:footnoteReference w:id="40"/>
      </w:r>
      <w:r w:rsidR="0011638B" w:rsidRPr="00A03848">
        <w:rPr>
          <w:szCs w:val="22"/>
          <w:lang w:val="es-ES" w:eastAsia="en-US"/>
        </w:rPr>
        <w:t xml:space="preserve"> dirigida por el Departamento de Educación defenderá el aprendizaje de oficios entre los empleadores y alentará a un mayor número de personas de los grupos insuficientemente representados a optar por esta vía, lo que contribuirá, entre otras cosas, a que más mujeres puedan acceder a él en los ámbitos de CTIM. El Departamento de Educación ha relajado las normas de financiación del aprendizaje de oficios a tiempo parcial, lo que ha permitido que más alumnos, como los que tienen responsabilidades de cuidados y los progenitores sin cónyuge, accedan a este tipo de aprendizaje.</w:t>
      </w:r>
      <w:bookmarkEnd w:id="247"/>
    </w:p>
    <w:p w14:paraId="6C5C1F59" w14:textId="2D7A818F" w:rsidR="0011638B" w:rsidRPr="00A03848" w:rsidRDefault="00946670" w:rsidP="00AB43B5">
      <w:pPr>
        <w:pStyle w:val="SingleTxt"/>
        <w:rPr>
          <w:szCs w:val="22"/>
          <w:lang w:val="es-ES" w:eastAsia="en-US"/>
        </w:rPr>
      </w:pPr>
      <w:bookmarkStart w:id="249" w:name="bookmark_281"/>
      <w:r w:rsidRPr="00A03848">
        <w:rPr>
          <w:szCs w:val="22"/>
          <w:lang w:val="es-ES" w:eastAsia="en-US"/>
        </w:rPr>
        <w:t>90.</w:t>
      </w:r>
      <w:r w:rsidRPr="00A03848">
        <w:rPr>
          <w:szCs w:val="22"/>
          <w:lang w:val="es-ES" w:eastAsia="en-US"/>
        </w:rPr>
        <w:tab/>
      </w:r>
      <w:r w:rsidR="0011638B" w:rsidRPr="00A03848">
        <w:rPr>
          <w:szCs w:val="22"/>
          <w:lang w:val="es-ES" w:eastAsia="en-US"/>
        </w:rPr>
        <w:t xml:space="preserve">Con la publicación de </w:t>
      </w:r>
      <w:r w:rsidR="0011638B" w:rsidRPr="00A03848">
        <w:rPr>
          <w:i/>
          <w:szCs w:val="22"/>
          <w:lang w:val="es-ES" w:eastAsia="en-US"/>
        </w:rPr>
        <w:t>Developing the Young Workforce</w:t>
      </w:r>
      <w:r w:rsidR="0011638B" w:rsidRPr="00A03848">
        <w:rPr>
          <w:szCs w:val="22"/>
          <w:vertAlign w:val="superscript"/>
          <w:lang w:val="es-ES" w:eastAsia="en-US"/>
        </w:rPr>
        <w:footnoteReference w:id="41"/>
      </w:r>
      <w:r w:rsidR="0011638B" w:rsidRPr="00A03848">
        <w:rPr>
          <w:szCs w:val="22"/>
          <w:lang w:val="es-ES" w:eastAsia="en-US"/>
        </w:rPr>
        <w:t>, el Gobierno de Escocia estableció la forma en que abordará los desequilibrios de género y promoverá la igualdad de acceso en relación con las opciones de asignaturas y carreras, a través del Plan de Acción para la Igualdad en el Aprendizaje Moderno y el Plan de Acción en materia de Género del Consejo de Financiación Escocés para las escuelas superiores y las universidades.</w:t>
      </w:r>
      <w:bookmarkEnd w:id="249"/>
    </w:p>
    <w:p w14:paraId="252B85AE" w14:textId="77777777" w:rsidR="00FF7207" w:rsidRPr="00A03848" w:rsidRDefault="00FF7207" w:rsidP="00FF7207">
      <w:pPr>
        <w:pStyle w:val="SingleTxt"/>
        <w:spacing w:after="0" w:line="120" w:lineRule="exact"/>
        <w:rPr>
          <w:sz w:val="10"/>
          <w:szCs w:val="10"/>
          <w:lang w:val="es-ES"/>
        </w:rPr>
      </w:pPr>
    </w:p>
    <w:p w14:paraId="11B430DE" w14:textId="77777777" w:rsidR="0011638B" w:rsidRPr="00A03848" w:rsidRDefault="0011638B" w:rsidP="009F2DF3">
      <w:pPr>
        <w:pStyle w:val="H23"/>
        <w:ind w:right="1260"/>
        <w:rPr>
          <w:bCs w:val="0"/>
          <w:lang w:val="es-ES" w:eastAsia="en-US"/>
        </w:rPr>
      </w:pPr>
      <w:bookmarkStart w:id="251" w:name="bookmark_283"/>
      <w:r w:rsidRPr="00A03848">
        <w:rPr>
          <w:bCs w:val="0"/>
          <w:lang w:val="es-ES" w:eastAsia="en-US"/>
        </w:rPr>
        <w:tab/>
      </w:r>
      <w:r w:rsidRPr="00A03848">
        <w:rPr>
          <w:bCs w:val="0"/>
          <w:lang w:val="es-ES" w:eastAsia="en-US"/>
        </w:rPr>
        <w:tab/>
        <w:t>Promoción de la educación sexual y sobre relaciones</w:t>
      </w:r>
      <w:r w:rsidRPr="00A03848">
        <w:rPr>
          <w:bCs w:val="0"/>
          <w:vertAlign w:val="superscript"/>
          <w:lang w:val="es-ES" w:eastAsia="en-US"/>
        </w:rPr>
        <w:endnoteReference w:id="26"/>
      </w:r>
      <w:bookmarkEnd w:id="251"/>
    </w:p>
    <w:p w14:paraId="48C36128" w14:textId="77777777" w:rsidR="00FF7207" w:rsidRPr="00A03848" w:rsidRDefault="00FF7207" w:rsidP="00FF7207">
      <w:pPr>
        <w:pStyle w:val="SingleTxt"/>
        <w:spacing w:after="0" w:line="120" w:lineRule="exact"/>
        <w:rPr>
          <w:sz w:val="10"/>
          <w:szCs w:val="10"/>
          <w:lang w:val="es-ES"/>
        </w:rPr>
      </w:pPr>
    </w:p>
    <w:p w14:paraId="0A731154" w14:textId="4FC9156D" w:rsidR="0011638B" w:rsidRPr="00A03848" w:rsidRDefault="00946670" w:rsidP="00AB43B5">
      <w:pPr>
        <w:pStyle w:val="SingleTxt"/>
        <w:rPr>
          <w:szCs w:val="22"/>
          <w:lang w:val="es-ES" w:eastAsia="en-US"/>
        </w:rPr>
      </w:pPr>
      <w:bookmarkStart w:id="253" w:name="bookmark_285"/>
      <w:r w:rsidRPr="00A03848">
        <w:rPr>
          <w:szCs w:val="22"/>
          <w:lang w:val="es-ES" w:eastAsia="en-US"/>
        </w:rPr>
        <w:t>91.</w:t>
      </w:r>
      <w:r w:rsidRPr="00A03848">
        <w:rPr>
          <w:szCs w:val="22"/>
          <w:lang w:val="es-ES" w:eastAsia="en-US"/>
        </w:rPr>
        <w:tab/>
      </w:r>
      <w:r w:rsidR="0011638B" w:rsidRPr="00A03848">
        <w:rPr>
          <w:szCs w:val="22"/>
          <w:lang w:val="es-ES" w:eastAsia="en-US"/>
        </w:rPr>
        <w:t>El Gobierno del Reino Unido desea ayudar a las escuelas a impartir una educación sobre relaciones, una educación sexual y sobre relaciones y una educación personal, social, sanitaria y económica de gran calidad que garantice la enseñanza de relaciones saludables y respetuosas y la adquisición de los conocimientos necesarios para prepararse para la vida adulta. En Inglaterra y Gales, la Ley de Menores y Asistencia Social de 2017 exige que el Secretario de Estado imponga mediante reglamentos la obligatoriedad de la educación sobre relaciones en todas las escuelas de enseñanza primaria, y de la educación sexual y sobre relaciones en todas las escuelas de enseñanza secundaria. Esta ley también establece la facultad de imponer la obligatoriedad de la educación personal, social, sanitaria y económica, o algunos de los elementos que contiene, en todas las escuelas, con sujeción a que se examine con detenimiento. El Departamento de Educación llevará a cabo un minucioso proceso de colaboración sobre el alcance y el contenido de la educación sobre relaciones y la educación sexual y sobre relaciones, así como sobre la posición que ocupará en el futuro la educación personal, social, sanitaria y económica. Esto supondrá la colaboración con las partes interesadas, seguida de una consulta oficial sobre las regulaciones y orientaciones resultantes. El Departamento ofrecerá a su debido tiempo información más detallada sobre el proceso de colaboración y la labor de examinar los contenidos de las asignaturas en función de</w:t>
      </w:r>
      <w:r w:rsidR="00233A1A" w:rsidRPr="00A03848">
        <w:rPr>
          <w:szCs w:val="22"/>
          <w:lang w:val="es-ES" w:eastAsia="en-US"/>
        </w:rPr>
        <w:t xml:space="preserve"> </w:t>
      </w:r>
      <w:r w:rsidR="0011638B" w:rsidRPr="00A03848">
        <w:rPr>
          <w:szCs w:val="22"/>
          <w:lang w:val="es-ES" w:eastAsia="en-US"/>
        </w:rPr>
        <w:t>la edad.</w:t>
      </w:r>
      <w:bookmarkEnd w:id="253"/>
    </w:p>
    <w:p w14:paraId="7B6C762A" w14:textId="5BACFD44" w:rsidR="0011638B" w:rsidRPr="00A03848" w:rsidRDefault="00946670" w:rsidP="007A1CF8">
      <w:pPr>
        <w:pStyle w:val="SingleTxt"/>
        <w:rPr>
          <w:szCs w:val="22"/>
          <w:lang w:val="es-ES" w:eastAsia="en-US"/>
        </w:rPr>
      </w:pPr>
      <w:bookmarkStart w:id="254" w:name="bookmark_286"/>
      <w:r w:rsidRPr="00A03848">
        <w:rPr>
          <w:szCs w:val="22"/>
          <w:lang w:val="es-ES" w:eastAsia="en-US"/>
        </w:rPr>
        <w:t>92.</w:t>
      </w:r>
      <w:r w:rsidRPr="00A03848">
        <w:rPr>
          <w:szCs w:val="22"/>
          <w:lang w:val="es-ES" w:eastAsia="en-US"/>
        </w:rPr>
        <w:tab/>
      </w:r>
      <w:r w:rsidR="0011638B" w:rsidRPr="00A03848">
        <w:rPr>
          <w:szCs w:val="22"/>
          <w:lang w:val="es-ES" w:eastAsia="en-US"/>
        </w:rPr>
        <w:t>En Irlanda del Norte, el Departamento de Educación exige que cada escuela establezca por escrito su propia política sobre el modo en que impartirá la educación sexual y sobre relaciones. En 2015, el Departamento encargó al Consejo de Planes de Estudios, Exámenes y Evaluación que revisara y actualizara las directrices relativas a la educación sexual y sobre relaciones</w:t>
      </w:r>
      <w:r w:rsidR="0011638B" w:rsidRPr="00A03848">
        <w:rPr>
          <w:szCs w:val="22"/>
          <w:vertAlign w:val="superscript"/>
          <w:lang w:val="es-ES" w:eastAsia="en-US"/>
        </w:rPr>
        <w:footnoteReference w:id="42"/>
      </w:r>
      <w:r w:rsidR="0011638B" w:rsidRPr="00A03848">
        <w:rPr>
          <w:szCs w:val="22"/>
          <w:lang w:val="es-ES" w:eastAsia="en-US"/>
        </w:rPr>
        <w:t xml:space="preserve"> para las escuelas. </w:t>
      </w:r>
      <w:bookmarkEnd w:id="254"/>
    </w:p>
    <w:p w14:paraId="0AFE215F" w14:textId="75125753" w:rsidR="0011638B" w:rsidRPr="00A03848" w:rsidRDefault="00946670" w:rsidP="00AB43B5">
      <w:pPr>
        <w:pStyle w:val="SingleTxt"/>
        <w:rPr>
          <w:szCs w:val="22"/>
          <w:lang w:val="es-ES" w:eastAsia="en-US"/>
        </w:rPr>
      </w:pPr>
      <w:bookmarkStart w:id="256" w:name="bookmark_288"/>
      <w:r w:rsidRPr="00A03848">
        <w:rPr>
          <w:szCs w:val="22"/>
          <w:lang w:val="es-ES" w:eastAsia="en-US"/>
        </w:rPr>
        <w:t>93.</w:t>
      </w:r>
      <w:r w:rsidRPr="00A03848">
        <w:rPr>
          <w:szCs w:val="22"/>
          <w:lang w:val="es-ES" w:eastAsia="en-US"/>
        </w:rPr>
        <w:tab/>
      </w:r>
      <w:r w:rsidR="0011638B" w:rsidRPr="00A03848">
        <w:rPr>
          <w:szCs w:val="22"/>
          <w:lang w:val="es-ES" w:eastAsia="en-US"/>
        </w:rPr>
        <w:t xml:space="preserve">La Estrategia de Salud Mental (2017-2027) de diez años del Gobierno de Escocia se compromete a realizar un examen nacional de la educación personal y social y del papel que desempeña la orientación en las escuelas públicas, así como a evaluar los servicios de orientación y su base empírica relativa a los niños y los jóvenes. El Gobierno escocés publicó directrices actualizadas para el personal docente con respecto a la educación sobre relaciones, salud sexual y paternidad en 2014. También financia la oficina de asistencia en casos de violación en Escocia, cuyo nombre es Rape Crisis Scotland. </w:t>
      </w:r>
      <w:bookmarkEnd w:id="256"/>
    </w:p>
    <w:p w14:paraId="5252F395" w14:textId="5C81A7E1" w:rsidR="0011638B" w:rsidRPr="00A03848" w:rsidRDefault="00946670" w:rsidP="00AB43B5">
      <w:pPr>
        <w:pStyle w:val="SingleTxt"/>
        <w:rPr>
          <w:szCs w:val="22"/>
          <w:lang w:val="es-ES" w:eastAsia="en-US"/>
        </w:rPr>
      </w:pPr>
      <w:bookmarkStart w:id="257" w:name="bookmark_289"/>
      <w:r w:rsidRPr="00A03848">
        <w:rPr>
          <w:szCs w:val="22"/>
          <w:lang w:val="es-ES" w:eastAsia="en-US"/>
        </w:rPr>
        <w:t>94.</w:t>
      </w:r>
      <w:r w:rsidRPr="00A03848">
        <w:rPr>
          <w:szCs w:val="22"/>
          <w:lang w:val="es-ES" w:eastAsia="en-US"/>
        </w:rPr>
        <w:tab/>
      </w:r>
      <w:r w:rsidR="0011638B" w:rsidRPr="00A03848">
        <w:rPr>
          <w:szCs w:val="22"/>
          <w:lang w:val="es-ES" w:eastAsia="en-US"/>
        </w:rPr>
        <w:t>En Gales, la educación personal y social en las escuelas brinda la oportunidad de dotar a los niños y los jóvenes de confianza y aptitudes que les permitan tomar decisiones seguras y saludables sobre su salud sexual. La Red de Salud Sexual de Gales, en colaboración con la Asociación de Planificación Familiar, ha publicado folletos de asesoramiento para los padres que quieran hablar con sus hijos sobre sexo y relaciones.</w:t>
      </w:r>
      <w:bookmarkEnd w:id="257"/>
    </w:p>
    <w:p w14:paraId="53576C33" w14:textId="77777777" w:rsidR="00A85FA7" w:rsidRPr="00A03848" w:rsidRDefault="00A85FA7" w:rsidP="00A85FA7">
      <w:pPr>
        <w:pStyle w:val="SingleTxt"/>
        <w:spacing w:after="0" w:line="120" w:lineRule="exact"/>
        <w:rPr>
          <w:sz w:val="10"/>
          <w:szCs w:val="10"/>
          <w:lang w:val="es-ES"/>
        </w:rPr>
      </w:pPr>
    </w:p>
    <w:p w14:paraId="5BDECEE5" w14:textId="77777777" w:rsidR="0011638B" w:rsidRPr="00A03848" w:rsidRDefault="0011638B" w:rsidP="009F2DF3">
      <w:pPr>
        <w:pStyle w:val="H23"/>
        <w:ind w:right="1260"/>
        <w:rPr>
          <w:bCs w:val="0"/>
          <w:lang w:val="es-ES" w:eastAsia="en-US"/>
        </w:rPr>
      </w:pPr>
      <w:bookmarkStart w:id="258" w:name="bookmark_290"/>
      <w:r w:rsidRPr="00A03848">
        <w:rPr>
          <w:bCs w:val="0"/>
          <w:lang w:val="es-ES" w:eastAsia="en-US"/>
        </w:rPr>
        <w:tab/>
      </w:r>
      <w:r w:rsidRPr="00A03848">
        <w:rPr>
          <w:bCs w:val="0"/>
          <w:lang w:val="es-ES" w:eastAsia="en-US"/>
        </w:rPr>
        <w:tab/>
        <w:t>Lucha contra el acoso escolar</w:t>
      </w:r>
      <w:r w:rsidRPr="00A03848">
        <w:rPr>
          <w:bCs w:val="0"/>
          <w:vertAlign w:val="superscript"/>
          <w:lang w:val="es-ES" w:eastAsia="en-US"/>
        </w:rPr>
        <w:endnoteReference w:id="27"/>
      </w:r>
      <w:bookmarkEnd w:id="258"/>
    </w:p>
    <w:p w14:paraId="0DB41663" w14:textId="77777777" w:rsidR="00A85FA7" w:rsidRPr="00A03848" w:rsidRDefault="00A85FA7" w:rsidP="00A85FA7">
      <w:pPr>
        <w:pStyle w:val="SingleTxt"/>
        <w:spacing w:after="0" w:line="120" w:lineRule="exact"/>
        <w:rPr>
          <w:sz w:val="10"/>
          <w:szCs w:val="10"/>
          <w:lang w:val="es-ES"/>
        </w:rPr>
      </w:pPr>
    </w:p>
    <w:p w14:paraId="50CB9CB8" w14:textId="51CA6496" w:rsidR="0011638B" w:rsidRPr="00A03848" w:rsidRDefault="00946670" w:rsidP="00AB43B5">
      <w:pPr>
        <w:pStyle w:val="SingleTxt"/>
        <w:rPr>
          <w:szCs w:val="22"/>
          <w:lang w:val="es-ES" w:eastAsia="en-US"/>
        </w:rPr>
      </w:pPr>
      <w:bookmarkStart w:id="260" w:name="bookmark_292"/>
      <w:r w:rsidRPr="00A03848">
        <w:rPr>
          <w:szCs w:val="22"/>
          <w:lang w:val="es-ES" w:eastAsia="en-US"/>
        </w:rPr>
        <w:t>95.</w:t>
      </w:r>
      <w:r w:rsidRPr="00A03848">
        <w:rPr>
          <w:szCs w:val="22"/>
          <w:lang w:val="es-ES" w:eastAsia="en-US"/>
        </w:rPr>
        <w:tab/>
      </w:r>
      <w:r w:rsidR="0011638B" w:rsidRPr="00A03848">
        <w:rPr>
          <w:szCs w:val="22"/>
          <w:lang w:val="es-ES" w:eastAsia="en-US"/>
        </w:rPr>
        <w:t>También se han publicado nuevas orientaciones contra el ciberacoso y una guía práctica de seguridad en línea para las escuelas. Estos recursos, financiados por el Gobierno y elaborados por el Centro del Reino Unido para una Internet más Segura, contribuirán a ofrecer asesoramiento a las escuelas a fin de que comprendan, prevengan y combatan el ciberacoso.</w:t>
      </w:r>
      <w:bookmarkEnd w:id="260"/>
    </w:p>
    <w:p w14:paraId="2E4826FF" w14:textId="7047E590" w:rsidR="0011638B" w:rsidRPr="00A03848" w:rsidRDefault="00946670" w:rsidP="00AB43B5">
      <w:pPr>
        <w:pStyle w:val="SingleTxt"/>
        <w:rPr>
          <w:szCs w:val="22"/>
          <w:lang w:val="es-ES" w:eastAsia="en-US"/>
        </w:rPr>
      </w:pPr>
      <w:bookmarkStart w:id="261" w:name="bookmark_293"/>
      <w:r w:rsidRPr="00A03848">
        <w:rPr>
          <w:szCs w:val="22"/>
          <w:lang w:val="es-ES" w:eastAsia="en-US"/>
        </w:rPr>
        <w:t>96.</w:t>
      </w:r>
      <w:r w:rsidRPr="00A03848">
        <w:rPr>
          <w:szCs w:val="22"/>
          <w:lang w:val="es-ES" w:eastAsia="en-US"/>
        </w:rPr>
        <w:tab/>
      </w:r>
      <w:r w:rsidR="0011638B" w:rsidRPr="00A03848">
        <w:rPr>
          <w:szCs w:val="22"/>
          <w:lang w:val="es-ES" w:eastAsia="en-US"/>
        </w:rPr>
        <w:t>En Irlanda del Norte, el programa i-Matter</w:t>
      </w:r>
      <w:r w:rsidR="0011638B" w:rsidRPr="00A03848">
        <w:rPr>
          <w:szCs w:val="22"/>
          <w:vertAlign w:val="superscript"/>
          <w:lang w:val="es-ES" w:eastAsia="en-US"/>
        </w:rPr>
        <w:footnoteReference w:id="43"/>
      </w:r>
      <w:r w:rsidR="0011638B" w:rsidRPr="00A03848">
        <w:rPr>
          <w:szCs w:val="22"/>
          <w:lang w:val="es-ES" w:eastAsia="en-US"/>
        </w:rPr>
        <w:t xml:space="preserve"> es el vehículo global para promover el equilibrio emocional y el bienestar de los alumnos. Este programa plantea cómo debería participar toda la comunidad escolar en la promoción de una salud resiliente para todos los alumnos, qué sistemas de apoyo existen para los alumnos vulnerables y qué apoyo se ofrece a las escuelas en caso de crisis. La</w:t>
      </w:r>
      <w:r w:rsidR="00233A1A" w:rsidRPr="00A03848">
        <w:rPr>
          <w:szCs w:val="22"/>
          <w:lang w:val="es-ES" w:eastAsia="en-US"/>
        </w:rPr>
        <w:t xml:space="preserve"> </w:t>
      </w:r>
      <w:r w:rsidR="0011638B" w:rsidRPr="00A03848">
        <w:rPr>
          <w:szCs w:val="22"/>
          <w:lang w:val="es-ES" w:eastAsia="en-US"/>
        </w:rPr>
        <w:t xml:space="preserve">política de Irlanda del Norte denominada </w:t>
      </w:r>
      <w:r w:rsidR="00284834" w:rsidRPr="00A03848">
        <w:rPr>
          <w:szCs w:val="22"/>
          <w:lang w:val="es-ES" w:eastAsia="en-US"/>
        </w:rPr>
        <w:t>“</w:t>
      </w:r>
      <w:r w:rsidR="0011638B" w:rsidRPr="00A03848">
        <w:rPr>
          <w:szCs w:val="22"/>
          <w:lang w:val="es-ES" w:eastAsia="en-US"/>
        </w:rPr>
        <w:t>Every School A Good School</w:t>
      </w:r>
      <w:r w:rsidR="00284834" w:rsidRPr="00A03848">
        <w:rPr>
          <w:szCs w:val="22"/>
          <w:lang w:val="es-ES" w:eastAsia="en-US"/>
        </w:rPr>
        <w:t>”</w:t>
      </w:r>
      <w:r w:rsidR="0011638B" w:rsidRPr="00A03848">
        <w:rPr>
          <w:szCs w:val="22"/>
          <w:vertAlign w:val="superscript"/>
          <w:lang w:val="es-ES" w:eastAsia="en-US"/>
        </w:rPr>
        <w:footnoteReference w:id="44"/>
      </w:r>
      <w:r w:rsidR="0011638B" w:rsidRPr="00A03848">
        <w:rPr>
          <w:szCs w:val="22"/>
          <w:lang w:val="es-ES" w:eastAsia="en-US"/>
        </w:rPr>
        <w:t xml:space="preserve"> exige que todas las escuelas ofrezcan igualdad de acceso y prestaciones, pero con flexibilidad para distinguir y atender las diversas necesidades de los alumnos. </w:t>
      </w:r>
      <w:bookmarkEnd w:id="261"/>
    </w:p>
    <w:p w14:paraId="210CCA8C" w14:textId="4E7C12D7" w:rsidR="0011638B" w:rsidRPr="00A03848" w:rsidRDefault="00946670" w:rsidP="00AB43B5">
      <w:pPr>
        <w:pStyle w:val="SingleTxt"/>
        <w:rPr>
          <w:szCs w:val="22"/>
          <w:lang w:val="es-ES" w:eastAsia="en-US"/>
        </w:rPr>
      </w:pPr>
      <w:bookmarkStart w:id="264" w:name="bookmark_296"/>
      <w:r w:rsidRPr="00A03848">
        <w:rPr>
          <w:szCs w:val="22"/>
          <w:lang w:val="es-ES" w:eastAsia="en-US"/>
        </w:rPr>
        <w:t>97.</w:t>
      </w:r>
      <w:r w:rsidRPr="00A03848">
        <w:rPr>
          <w:szCs w:val="22"/>
          <w:lang w:val="es-ES" w:eastAsia="en-US"/>
        </w:rPr>
        <w:tab/>
      </w:r>
      <w:r w:rsidR="0011638B" w:rsidRPr="00A03848">
        <w:rPr>
          <w:szCs w:val="22"/>
          <w:lang w:val="es-ES" w:eastAsia="en-US"/>
        </w:rPr>
        <w:t>El Gobierno escocés se ha comprometido a renovar el Enfoque Nacional de Lucha contra el Acoso Escolar de los Niños y los Jóvenes de Escocia</w:t>
      </w:r>
      <w:r w:rsidR="0011638B" w:rsidRPr="00A03848">
        <w:rPr>
          <w:szCs w:val="22"/>
          <w:vertAlign w:val="superscript"/>
          <w:lang w:val="es-ES" w:eastAsia="en-US"/>
        </w:rPr>
        <w:footnoteReference w:id="45"/>
      </w:r>
      <w:r w:rsidR="0011638B" w:rsidRPr="00A03848">
        <w:rPr>
          <w:szCs w:val="22"/>
          <w:lang w:val="es-ES" w:eastAsia="en-US"/>
        </w:rPr>
        <w:t xml:space="preserve"> para que permanezca actualizado. El enfoque, que se describe en la publicación </w:t>
      </w:r>
      <w:r w:rsidR="0011638B" w:rsidRPr="00A03848">
        <w:rPr>
          <w:i/>
          <w:szCs w:val="22"/>
          <w:lang w:val="es-ES" w:eastAsia="en-US"/>
        </w:rPr>
        <w:t>Respect for All: National Approach to Anti-Bullying for Scotland’s Children and Young People</w:t>
      </w:r>
      <w:r w:rsidR="0011638B" w:rsidRPr="00A03848">
        <w:rPr>
          <w:szCs w:val="22"/>
          <w:lang w:val="es-ES" w:eastAsia="en-US"/>
        </w:rPr>
        <w:t xml:space="preserve">, ayudará a todas las personas involucradas en la vida de los niños y los jóvenes a detectar y combatir el acoso, en particular el comportamiento racista, homófobo y abusivo, tanto dentro como fuera de Internet. El Gobierno de Escocia seguirá financiando </w:t>
      </w:r>
      <w:r w:rsidR="0011638B" w:rsidRPr="00A03848">
        <w:rPr>
          <w:i/>
          <w:szCs w:val="22"/>
          <w:lang w:val="es-ES" w:eastAsia="en-US"/>
        </w:rPr>
        <w:t>respectme</w:t>
      </w:r>
      <w:r w:rsidR="0011638B" w:rsidRPr="00A03848">
        <w:rPr>
          <w:szCs w:val="22"/>
          <w:lang w:val="es-ES" w:eastAsia="en-US"/>
        </w:rPr>
        <w:t>, un servicio nacional contra el acoso, a fin de generar confianza y capacidad para afrontar con eficacia todos los tipos de acoso.</w:t>
      </w:r>
      <w:bookmarkEnd w:id="264"/>
    </w:p>
    <w:p w14:paraId="02C32266" w14:textId="77777777" w:rsidR="00A85FA7" w:rsidRPr="00A03848" w:rsidRDefault="00A85FA7" w:rsidP="00A85FA7">
      <w:pPr>
        <w:pStyle w:val="SingleTxt"/>
        <w:spacing w:after="0" w:line="120" w:lineRule="exact"/>
        <w:rPr>
          <w:sz w:val="10"/>
          <w:szCs w:val="10"/>
          <w:lang w:val="es-ES"/>
        </w:rPr>
      </w:pPr>
    </w:p>
    <w:p w14:paraId="327F8E0D" w14:textId="77777777" w:rsidR="0011638B" w:rsidRPr="00A03848" w:rsidRDefault="0011638B" w:rsidP="009F2DF3">
      <w:pPr>
        <w:pStyle w:val="H23"/>
        <w:ind w:right="1260"/>
        <w:rPr>
          <w:bCs w:val="0"/>
          <w:lang w:val="es-ES" w:eastAsia="en-US"/>
        </w:rPr>
      </w:pPr>
      <w:bookmarkStart w:id="266" w:name="bookmark_298"/>
      <w:r w:rsidRPr="00A03848">
        <w:rPr>
          <w:bCs w:val="0"/>
          <w:lang w:val="es-ES" w:eastAsia="en-US"/>
        </w:rPr>
        <w:tab/>
      </w:r>
      <w:r w:rsidRPr="00A03848">
        <w:rPr>
          <w:bCs w:val="0"/>
          <w:lang w:val="es-ES" w:eastAsia="en-US"/>
        </w:rPr>
        <w:tab/>
        <w:t>Lucha contra la violencia sexual en las escuelas</w:t>
      </w:r>
      <w:bookmarkEnd w:id="266"/>
    </w:p>
    <w:p w14:paraId="62795526" w14:textId="77777777" w:rsidR="00A85FA7" w:rsidRPr="00A03848" w:rsidRDefault="00A85FA7" w:rsidP="00A85FA7">
      <w:pPr>
        <w:pStyle w:val="SingleTxt"/>
        <w:spacing w:after="0" w:line="120" w:lineRule="exact"/>
        <w:rPr>
          <w:sz w:val="10"/>
          <w:szCs w:val="10"/>
          <w:lang w:val="es-ES"/>
        </w:rPr>
      </w:pPr>
    </w:p>
    <w:p w14:paraId="63C47722" w14:textId="4F8222C1" w:rsidR="0011638B" w:rsidRPr="00A03848" w:rsidRDefault="00946670" w:rsidP="00AB43B5">
      <w:pPr>
        <w:pStyle w:val="SingleTxt"/>
        <w:rPr>
          <w:szCs w:val="22"/>
          <w:lang w:val="es-ES" w:eastAsia="en-US"/>
        </w:rPr>
      </w:pPr>
      <w:bookmarkStart w:id="267" w:name="bookmark_299"/>
      <w:r w:rsidRPr="00A03848">
        <w:rPr>
          <w:szCs w:val="22"/>
          <w:lang w:val="es-ES" w:eastAsia="en-US"/>
        </w:rPr>
        <w:t>98.</w:t>
      </w:r>
      <w:r w:rsidRPr="00A03848">
        <w:rPr>
          <w:szCs w:val="22"/>
          <w:lang w:val="es-ES" w:eastAsia="en-US"/>
        </w:rPr>
        <w:tab/>
      </w:r>
      <w:r w:rsidR="0011638B" w:rsidRPr="00A03848">
        <w:rPr>
          <w:szCs w:val="22"/>
          <w:lang w:val="es-ES" w:eastAsia="en-US"/>
        </w:rPr>
        <w:t xml:space="preserve">En Inglaterra, las directrices de salvaguardia conforme a la ley para mantener la seguridad de los niños en la educación establecen lo que todo el personal escolar debe saber y hacer para proteger y promover el bienestar de los niños. Todo el personal de las escuelas debe recibir capacitación inicial sobre salvaguardia y protección de menores, la cual debe actualizarse periódicamente. </w:t>
      </w:r>
      <w:bookmarkEnd w:id="267"/>
    </w:p>
    <w:p w14:paraId="031B3583" w14:textId="77777777" w:rsidR="00A85FA7" w:rsidRPr="00A03848" w:rsidRDefault="00A85FA7" w:rsidP="00A85FA7">
      <w:pPr>
        <w:pStyle w:val="SingleTxt"/>
        <w:spacing w:after="0" w:line="120" w:lineRule="exact"/>
        <w:rPr>
          <w:sz w:val="10"/>
          <w:szCs w:val="10"/>
          <w:lang w:val="es-ES"/>
        </w:rPr>
      </w:pPr>
    </w:p>
    <w:p w14:paraId="45E0941E" w14:textId="77777777" w:rsidR="0011638B" w:rsidRPr="00A03848" w:rsidRDefault="0011638B" w:rsidP="009F2DF3">
      <w:pPr>
        <w:pStyle w:val="H23"/>
        <w:ind w:right="1260"/>
        <w:rPr>
          <w:bCs w:val="0"/>
          <w:lang w:val="es-ES" w:eastAsia="en-US"/>
        </w:rPr>
      </w:pPr>
      <w:bookmarkStart w:id="268" w:name="bookmark_300"/>
      <w:r w:rsidRPr="00A03848">
        <w:rPr>
          <w:bCs w:val="0"/>
          <w:lang w:val="es-ES" w:eastAsia="en-US"/>
        </w:rPr>
        <w:tab/>
      </w:r>
      <w:r w:rsidRPr="00A03848">
        <w:rPr>
          <w:bCs w:val="0"/>
          <w:lang w:val="es-ES" w:eastAsia="en-US"/>
        </w:rPr>
        <w:tab/>
        <w:t>Lucha contra el acoso sexual en las instituciones de enseñanza superior</w:t>
      </w:r>
      <w:bookmarkEnd w:id="268"/>
    </w:p>
    <w:p w14:paraId="539F1F36" w14:textId="77777777" w:rsidR="00A85FA7" w:rsidRPr="00A03848" w:rsidRDefault="00A85FA7" w:rsidP="00A85FA7">
      <w:pPr>
        <w:pStyle w:val="SingleTxt"/>
        <w:spacing w:after="0" w:line="120" w:lineRule="exact"/>
        <w:rPr>
          <w:sz w:val="10"/>
          <w:szCs w:val="10"/>
          <w:lang w:val="es-ES"/>
        </w:rPr>
      </w:pPr>
    </w:p>
    <w:p w14:paraId="1A7D4312" w14:textId="50CC26F8" w:rsidR="0011638B" w:rsidRPr="00A03848" w:rsidRDefault="00946670" w:rsidP="00AB43B5">
      <w:pPr>
        <w:pStyle w:val="SingleTxt"/>
        <w:rPr>
          <w:szCs w:val="22"/>
          <w:lang w:val="es-ES" w:eastAsia="en-US"/>
        </w:rPr>
      </w:pPr>
      <w:bookmarkStart w:id="269" w:name="bookmark_301"/>
      <w:r w:rsidRPr="00A03848">
        <w:rPr>
          <w:szCs w:val="22"/>
          <w:lang w:val="es-ES" w:eastAsia="en-US"/>
        </w:rPr>
        <w:t>99.</w:t>
      </w:r>
      <w:r w:rsidRPr="00A03848">
        <w:rPr>
          <w:szCs w:val="22"/>
          <w:lang w:val="es-ES" w:eastAsia="en-US"/>
        </w:rPr>
        <w:tab/>
      </w:r>
      <w:r w:rsidR="0011638B" w:rsidRPr="00A03848">
        <w:rPr>
          <w:szCs w:val="22"/>
          <w:lang w:val="es-ES" w:eastAsia="en-US"/>
        </w:rPr>
        <w:t>En marzo de 2017, el Consejo de Financiación de la Enseñanza Superior de Inglaterra otorgó más de 2 millones de libras a universidades y escuelas superiores</w:t>
      </w:r>
      <w:r w:rsidR="00233A1A" w:rsidRPr="00A03848">
        <w:rPr>
          <w:szCs w:val="22"/>
          <w:lang w:val="es-ES" w:eastAsia="en-US"/>
        </w:rPr>
        <w:t xml:space="preserve"> </w:t>
      </w:r>
      <w:r w:rsidR="0011638B" w:rsidRPr="00A03848">
        <w:rPr>
          <w:szCs w:val="22"/>
          <w:lang w:val="es-ES" w:eastAsia="en-US"/>
        </w:rPr>
        <w:t>de todo el país para hacer frente a la violencia sexual y el acoso en los campus. En julio, Universities UK publicó un directorio de estudios monográficos en el que se detallan proyectos innovadores que las universidades están llevando a cabo para</w:t>
      </w:r>
      <w:r w:rsidR="00D0691B" w:rsidRPr="00A03848">
        <w:rPr>
          <w:szCs w:val="22"/>
          <w:lang w:val="es-ES" w:eastAsia="en-US"/>
        </w:rPr>
        <w:t xml:space="preserve"> </w:t>
      </w:r>
      <w:r w:rsidR="0011638B" w:rsidRPr="00A03848">
        <w:rPr>
          <w:szCs w:val="22"/>
          <w:lang w:val="es-ES" w:eastAsia="en-US"/>
        </w:rPr>
        <w:t>resolver las cuestiones planteadas en el informe de 2016 titulado</w:t>
      </w:r>
      <w:r w:rsidR="00D4182D" w:rsidRPr="00A03848">
        <w:rPr>
          <w:szCs w:val="22"/>
          <w:lang w:val="es-ES" w:eastAsia="en-US"/>
        </w:rPr>
        <w:t xml:space="preserve"> </w:t>
      </w:r>
      <w:r w:rsidR="00284834" w:rsidRPr="00A03848">
        <w:rPr>
          <w:szCs w:val="22"/>
          <w:lang w:val="es-ES" w:eastAsia="en-US"/>
        </w:rPr>
        <w:t>“</w:t>
      </w:r>
      <w:r w:rsidR="0011638B" w:rsidRPr="00A03848">
        <w:rPr>
          <w:szCs w:val="22"/>
          <w:lang w:val="es-ES" w:eastAsia="en-US"/>
        </w:rPr>
        <w:t>Changing</w:t>
      </w:r>
      <w:r w:rsidR="00D4182D" w:rsidRPr="00A03848">
        <w:rPr>
          <w:szCs w:val="22"/>
          <w:lang w:val="es-ES" w:eastAsia="en-US"/>
        </w:rPr>
        <w:t xml:space="preserve"> </w:t>
      </w:r>
      <w:r w:rsidR="0011638B" w:rsidRPr="00A03848">
        <w:rPr>
          <w:szCs w:val="22"/>
          <w:lang w:val="es-ES" w:eastAsia="en-US"/>
        </w:rPr>
        <w:t>the</w:t>
      </w:r>
      <w:r w:rsidR="00D4182D" w:rsidRPr="00A03848">
        <w:rPr>
          <w:szCs w:val="22"/>
          <w:lang w:val="es-ES" w:eastAsia="en-US"/>
        </w:rPr>
        <w:t xml:space="preserve"> </w:t>
      </w:r>
      <w:r w:rsidR="0011638B" w:rsidRPr="00A03848">
        <w:rPr>
          <w:szCs w:val="22"/>
          <w:lang w:val="es-ES" w:eastAsia="en-US"/>
        </w:rPr>
        <w:t>Culture</w:t>
      </w:r>
      <w:r w:rsidR="00284834" w:rsidRPr="00A03848">
        <w:rPr>
          <w:szCs w:val="22"/>
          <w:lang w:val="es-ES" w:eastAsia="en-US"/>
        </w:rPr>
        <w:t>”</w:t>
      </w:r>
      <w:r w:rsidR="0011638B" w:rsidRPr="00A03848">
        <w:rPr>
          <w:szCs w:val="22"/>
          <w:vertAlign w:val="superscript"/>
          <w:lang w:val="es-ES" w:eastAsia="en-US"/>
        </w:rPr>
        <w:footnoteReference w:id="46"/>
      </w:r>
      <w:r w:rsidR="0011638B" w:rsidRPr="00A03848">
        <w:rPr>
          <w:szCs w:val="22"/>
          <w:lang w:val="es-ES" w:eastAsia="en-US"/>
        </w:rPr>
        <w:t xml:space="preserve"> como medio para intercambiar prácticas eficaces en todo el sector</w:t>
      </w:r>
      <w:r w:rsidR="00233A1A" w:rsidRPr="00A03848">
        <w:rPr>
          <w:szCs w:val="22"/>
          <w:lang w:val="es-ES" w:eastAsia="en-US"/>
        </w:rPr>
        <w:t xml:space="preserve"> </w:t>
      </w:r>
      <w:r w:rsidR="0011638B" w:rsidRPr="00A03848">
        <w:rPr>
          <w:szCs w:val="22"/>
          <w:lang w:val="es-ES" w:eastAsia="en-US"/>
        </w:rPr>
        <w:t xml:space="preserve">universitario. </w:t>
      </w:r>
      <w:bookmarkEnd w:id="269"/>
    </w:p>
    <w:p w14:paraId="5282C4F5" w14:textId="77777777" w:rsidR="00A85FA7" w:rsidRPr="00A03848" w:rsidRDefault="00A85FA7" w:rsidP="00A85FA7">
      <w:pPr>
        <w:pStyle w:val="SingleTxt"/>
        <w:spacing w:after="0" w:line="120" w:lineRule="exact"/>
        <w:rPr>
          <w:sz w:val="10"/>
          <w:szCs w:val="10"/>
          <w:lang w:val="es-ES"/>
        </w:rPr>
      </w:pPr>
    </w:p>
    <w:p w14:paraId="7DCAC66A" w14:textId="77777777" w:rsidR="00A85FA7" w:rsidRPr="00A03848" w:rsidRDefault="00A85FA7" w:rsidP="00A85FA7">
      <w:pPr>
        <w:pStyle w:val="SingleTxt"/>
        <w:spacing w:after="0" w:line="120" w:lineRule="exact"/>
        <w:rPr>
          <w:sz w:val="10"/>
          <w:szCs w:val="10"/>
          <w:lang w:val="es-ES"/>
        </w:rPr>
      </w:pPr>
    </w:p>
    <w:p w14:paraId="672AC16C" w14:textId="77777777" w:rsidR="0011638B" w:rsidRPr="00A03848" w:rsidRDefault="0011638B" w:rsidP="00C01F60">
      <w:pPr>
        <w:pStyle w:val="H1"/>
        <w:ind w:right="1260"/>
        <w:rPr>
          <w:bCs w:val="0"/>
          <w:szCs w:val="20"/>
          <w:lang w:val="es-ES" w:eastAsia="en-US"/>
        </w:rPr>
      </w:pPr>
      <w:bookmarkStart w:id="271" w:name="bookmark_303"/>
      <w:r w:rsidRPr="00A03848">
        <w:rPr>
          <w:bCs w:val="0"/>
          <w:szCs w:val="20"/>
          <w:lang w:val="es-ES" w:eastAsia="en-US"/>
        </w:rPr>
        <w:tab/>
      </w:r>
      <w:r w:rsidRPr="00A03848">
        <w:rPr>
          <w:bCs w:val="0"/>
          <w:szCs w:val="20"/>
          <w:lang w:val="es-ES" w:eastAsia="en-US"/>
        </w:rPr>
        <w:tab/>
        <w:t xml:space="preserve">Artículo 11. Empleo </w:t>
      </w:r>
      <w:bookmarkEnd w:id="271"/>
    </w:p>
    <w:p w14:paraId="6E4B423E" w14:textId="77777777" w:rsidR="00A85FA7" w:rsidRPr="00A03848" w:rsidRDefault="00A85FA7" w:rsidP="00A85FA7">
      <w:pPr>
        <w:pStyle w:val="SingleTxt"/>
        <w:spacing w:after="0" w:line="120" w:lineRule="exact"/>
        <w:rPr>
          <w:sz w:val="10"/>
          <w:szCs w:val="10"/>
          <w:lang w:val="es-ES"/>
        </w:rPr>
      </w:pPr>
    </w:p>
    <w:p w14:paraId="583947F2" w14:textId="77777777" w:rsidR="00A85FA7" w:rsidRPr="00A03848" w:rsidRDefault="00A85FA7" w:rsidP="00A85FA7">
      <w:pPr>
        <w:pStyle w:val="SingleTxt"/>
        <w:spacing w:after="0" w:line="120" w:lineRule="exact"/>
        <w:rPr>
          <w:sz w:val="10"/>
          <w:szCs w:val="10"/>
          <w:lang w:val="es-ES"/>
        </w:rPr>
      </w:pPr>
    </w:p>
    <w:p w14:paraId="2889FFD5" w14:textId="77777777" w:rsidR="0011638B" w:rsidRPr="00A03848" w:rsidRDefault="0011638B" w:rsidP="009F2DF3">
      <w:pPr>
        <w:pStyle w:val="H23"/>
        <w:ind w:right="1260"/>
        <w:rPr>
          <w:bCs w:val="0"/>
          <w:lang w:val="es-ES" w:eastAsia="en-US"/>
        </w:rPr>
      </w:pPr>
      <w:bookmarkStart w:id="272" w:name="bookmark_304"/>
      <w:r w:rsidRPr="00A03848">
        <w:rPr>
          <w:bCs w:val="0"/>
          <w:lang w:val="es-ES" w:eastAsia="en-US"/>
        </w:rPr>
        <w:tab/>
      </w:r>
      <w:r w:rsidRPr="00A03848">
        <w:rPr>
          <w:bCs w:val="0"/>
          <w:lang w:val="es-ES" w:eastAsia="en-US"/>
        </w:rPr>
        <w:tab/>
        <w:t>La mujer en el trabajo</w:t>
      </w:r>
      <w:bookmarkEnd w:id="272"/>
    </w:p>
    <w:p w14:paraId="51285DF4" w14:textId="77777777" w:rsidR="00A85FA7" w:rsidRPr="00A03848" w:rsidRDefault="00A85FA7" w:rsidP="00A85FA7">
      <w:pPr>
        <w:pStyle w:val="SingleTxt"/>
        <w:spacing w:after="0" w:line="120" w:lineRule="exact"/>
        <w:rPr>
          <w:sz w:val="10"/>
          <w:szCs w:val="10"/>
          <w:lang w:val="es-ES"/>
        </w:rPr>
      </w:pPr>
    </w:p>
    <w:p w14:paraId="14A92FBC" w14:textId="414A361C" w:rsidR="0011638B" w:rsidRPr="00A03848" w:rsidRDefault="00946670" w:rsidP="00AB43B5">
      <w:pPr>
        <w:pStyle w:val="SingleTxt"/>
        <w:rPr>
          <w:szCs w:val="22"/>
          <w:lang w:val="es-ES" w:eastAsia="en-US"/>
        </w:rPr>
      </w:pPr>
      <w:bookmarkStart w:id="273" w:name="bookmark_305"/>
      <w:r w:rsidRPr="00A03848">
        <w:rPr>
          <w:szCs w:val="22"/>
          <w:lang w:val="es-ES" w:eastAsia="en-US"/>
        </w:rPr>
        <w:t>100.</w:t>
      </w:r>
      <w:r w:rsidRPr="00A03848">
        <w:rPr>
          <w:szCs w:val="22"/>
          <w:lang w:val="es-ES" w:eastAsia="en-US"/>
        </w:rPr>
        <w:tab/>
      </w:r>
      <w:r w:rsidR="0011638B" w:rsidRPr="00A03848">
        <w:rPr>
          <w:szCs w:val="22"/>
          <w:lang w:val="es-ES" w:eastAsia="en-US"/>
        </w:rPr>
        <w:t xml:space="preserve">En el Reino Unido, el número de mujeres que trabajan se acerca a una cifra sin precedentes. Entre junio y agosto de 2017, había 15,1 millones de mujeres empleadas (mayores de 16 años). La cantidad de mujeres empleadas aumentó en 78.000 durante el trimestre, con lo que había 246.000 más que el año anterior. La tasa de empleo entre las mujeres (de 16 a 64 años) era del 70,7%. Esta cifra se aproxima al máximo histórico y supera en 1,1 puntos porcentuales a la del año anterior. La alta tasa de empleo femenino se debe en parte a los cambios en la edad establecida para percibir una pensión pública de jubilación en el caso de las mujeres, lo que ha provocado que menos mujeres se jubilen en edades comprendidas entre los 60 y los 65 años. Desde mayo de 2010, hay 1,47 millones más de mujeres empleadas y 1,59 millones más de hombres empleados. </w:t>
      </w:r>
      <w:bookmarkEnd w:id="273"/>
    </w:p>
    <w:p w14:paraId="39990DD3" w14:textId="69AFE04E" w:rsidR="0011638B" w:rsidRPr="00A03848" w:rsidRDefault="00946670" w:rsidP="00AB43B5">
      <w:pPr>
        <w:pStyle w:val="SingleTxt"/>
        <w:rPr>
          <w:szCs w:val="22"/>
          <w:lang w:val="es-ES" w:eastAsia="en-US"/>
        </w:rPr>
      </w:pPr>
      <w:bookmarkStart w:id="274" w:name="bookmark_306"/>
      <w:r w:rsidRPr="00A03848">
        <w:rPr>
          <w:szCs w:val="22"/>
          <w:lang w:val="es-ES" w:eastAsia="en-US"/>
        </w:rPr>
        <w:t>101.</w:t>
      </w:r>
      <w:r w:rsidRPr="00A03848">
        <w:rPr>
          <w:szCs w:val="22"/>
          <w:lang w:val="es-ES" w:eastAsia="en-US"/>
        </w:rPr>
        <w:tab/>
      </w:r>
      <w:r w:rsidR="0011638B" w:rsidRPr="00A03848">
        <w:rPr>
          <w:szCs w:val="22"/>
          <w:lang w:val="es-ES" w:eastAsia="en-US"/>
        </w:rPr>
        <w:t>En Escocia, la tasa de empleo femenino asciende al 72%, la tasa de desempleo femenino es del 3,4% y la tasa de inactividad femenina es del 25,4%. Durante el último año, el nivel de empleo femenino en Escocia ha aumentado en 26.000</w:t>
      </w:r>
      <w:r w:rsidR="00233A1A" w:rsidRPr="00A03848">
        <w:rPr>
          <w:szCs w:val="22"/>
          <w:lang w:val="es-ES" w:eastAsia="en-US"/>
        </w:rPr>
        <w:t xml:space="preserve"> </w:t>
      </w:r>
      <w:r w:rsidR="0011638B" w:rsidRPr="00A03848">
        <w:rPr>
          <w:szCs w:val="22"/>
          <w:lang w:val="es-ES" w:eastAsia="en-US"/>
        </w:rPr>
        <w:t>mujeres hasta llegar a 1.294.000</w:t>
      </w:r>
      <w:r w:rsidR="0011638B" w:rsidRPr="00A03848">
        <w:rPr>
          <w:szCs w:val="22"/>
          <w:vertAlign w:val="superscript"/>
          <w:lang w:val="es-ES" w:eastAsia="en-US"/>
        </w:rPr>
        <w:footnoteReference w:id="47"/>
      </w:r>
      <w:r w:rsidR="0011638B" w:rsidRPr="00A03848">
        <w:rPr>
          <w:szCs w:val="22"/>
          <w:lang w:val="es-ES" w:eastAsia="en-US"/>
        </w:rPr>
        <w:t>.</w:t>
      </w:r>
      <w:bookmarkEnd w:id="274"/>
    </w:p>
    <w:p w14:paraId="3FB418EA" w14:textId="77777777" w:rsidR="00A85FA7" w:rsidRPr="00A03848" w:rsidRDefault="00A85FA7" w:rsidP="00A85FA7">
      <w:pPr>
        <w:pStyle w:val="SingleTxt"/>
        <w:spacing w:after="0" w:line="120" w:lineRule="exact"/>
        <w:rPr>
          <w:sz w:val="10"/>
          <w:szCs w:val="10"/>
          <w:lang w:val="es-ES"/>
        </w:rPr>
      </w:pPr>
    </w:p>
    <w:p w14:paraId="7B2CAADC" w14:textId="77777777" w:rsidR="0011638B" w:rsidRPr="00A03848" w:rsidRDefault="0011638B" w:rsidP="009F2DF3">
      <w:pPr>
        <w:pStyle w:val="H23"/>
        <w:ind w:right="1260"/>
        <w:rPr>
          <w:bCs w:val="0"/>
          <w:lang w:val="es-ES" w:eastAsia="en-US"/>
        </w:rPr>
      </w:pPr>
      <w:bookmarkStart w:id="276" w:name="bookmark_308"/>
      <w:r w:rsidRPr="00A03848">
        <w:rPr>
          <w:bCs w:val="0"/>
          <w:lang w:val="es-ES" w:eastAsia="en-US"/>
        </w:rPr>
        <w:tab/>
      </w:r>
      <w:r w:rsidRPr="00A03848">
        <w:rPr>
          <w:bCs w:val="0"/>
          <w:lang w:val="es-ES" w:eastAsia="en-US"/>
        </w:rPr>
        <w:tab/>
        <w:t>Eliminación de la desigualdad salarial por razón de género</w:t>
      </w:r>
      <w:r w:rsidRPr="00A03848">
        <w:rPr>
          <w:bCs w:val="0"/>
          <w:vertAlign w:val="superscript"/>
          <w:lang w:val="es-ES" w:eastAsia="en-US"/>
        </w:rPr>
        <w:endnoteReference w:id="28"/>
      </w:r>
      <w:bookmarkEnd w:id="276"/>
    </w:p>
    <w:p w14:paraId="7BA3C2AA" w14:textId="77777777" w:rsidR="00A85FA7" w:rsidRPr="00A03848" w:rsidRDefault="00A85FA7" w:rsidP="00A85FA7">
      <w:pPr>
        <w:pStyle w:val="SingleTxt"/>
        <w:spacing w:after="0" w:line="120" w:lineRule="exact"/>
        <w:rPr>
          <w:sz w:val="10"/>
          <w:szCs w:val="10"/>
          <w:lang w:val="es-ES"/>
        </w:rPr>
      </w:pPr>
    </w:p>
    <w:p w14:paraId="546FE0A1" w14:textId="4F0D1544" w:rsidR="0011638B" w:rsidRPr="00A03848" w:rsidRDefault="00946670" w:rsidP="00AB43B5">
      <w:pPr>
        <w:pStyle w:val="SingleTxt"/>
        <w:rPr>
          <w:szCs w:val="22"/>
          <w:lang w:val="es-ES" w:eastAsia="en-US"/>
        </w:rPr>
      </w:pPr>
      <w:bookmarkStart w:id="278" w:name="bookmark_310"/>
      <w:r w:rsidRPr="00A03848">
        <w:rPr>
          <w:szCs w:val="22"/>
          <w:lang w:val="es-ES" w:eastAsia="en-US"/>
        </w:rPr>
        <w:t>102.</w:t>
      </w:r>
      <w:r w:rsidRPr="00A03848">
        <w:rPr>
          <w:szCs w:val="22"/>
          <w:lang w:val="es-ES" w:eastAsia="en-US"/>
        </w:rPr>
        <w:tab/>
      </w:r>
      <w:r w:rsidR="0011638B" w:rsidRPr="00A03848">
        <w:rPr>
          <w:szCs w:val="22"/>
          <w:lang w:val="es-ES" w:eastAsia="en-US"/>
        </w:rPr>
        <w:t xml:space="preserve">El Reino Unido es uno de los primeros países del mundo que introdujo la presentación de informes sobre la desigualdad salarial por razón de género. En general, la desigualdad salarial por razón de género es del 18,4%. En el caso de los empleados a jornada completa, la desigualdad salarial por razón de género ha disminuido del 9,4% al 9,1%, lo que supone el nivel más bajo que se ha alcanzado desde que se inició la encuesta en 1997. Los reglamentos contra la desigualdad salarial por razón de género entraron en vigor el 31 de marzo de 2017 para el sector público y el 6 de abril de 2017 para el sector privado. Estos reglamentos exigen que las organizaciones con un mínimo de 250 empleados publiquen y notifiquen cifras concretas sobre sus diferencias salariales por razón de género a través de su sitio web público y presenten sus datos al Gobierno mediante el servicio en línea de presentación de informes sobre la desigualdad salarial por razón de género. Las cifras que se deberán publicar anualmente incluyen: la media y la mediana de las diferencias salariales por razón de género; la media y la mediana de las diferencias por razón género en las primas salariales; la proporción de empleados y empleadas que recibieron una prima salarial; y los cuartiles salariales. </w:t>
      </w:r>
      <w:bookmarkEnd w:id="278"/>
    </w:p>
    <w:p w14:paraId="6309577A" w14:textId="03B843C9" w:rsidR="0011638B" w:rsidRPr="00A03848" w:rsidRDefault="00946670" w:rsidP="00AB43B5">
      <w:pPr>
        <w:pStyle w:val="SingleTxt"/>
        <w:rPr>
          <w:szCs w:val="22"/>
          <w:lang w:val="es-ES" w:eastAsia="en-US"/>
        </w:rPr>
      </w:pPr>
      <w:bookmarkStart w:id="279" w:name="bookmark_311"/>
      <w:r w:rsidRPr="00A03848">
        <w:rPr>
          <w:szCs w:val="22"/>
          <w:lang w:val="es-ES" w:eastAsia="en-US"/>
        </w:rPr>
        <w:t>103.</w:t>
      </w:r>
      <w:r w:rsidRPr="00A03848">
        <w:rPr>
          <w:szCs w:val="22"/>
          <w:lang w:val="es-ES" w:eastAsia="en-US"/>
        </w:rPr>
        <w:tab/>
      </w:r>
      <w:r w:rsidR="0011638B" w:rsidRPr="00A03848">
        <w:rPr>
          <w:szCs w:val="22"/>
          <w:lang w:val="es-ES" w:eastAsia="en-US"/>
        </w:rPr>
        <w:t>En Irlanda del Norte, el artículo 19 de la Ley de Empleo (de Irlanda del Norte) de 2016 establece que los empleadores deben publicar información que indique si en la remuneración de sus empleados existen disparidades por razón de género. Cuando se detecten diferencias de remuneración por razón de género, el empleador estará obligado a publicar un plan de acción para eliminarlas.</w:t>
      </w:r>
      <w:bookmarkEnd w:id="279"/>
    </w:p>
    <w:p w14:paraId="786DDF19" w14:textId="1B3D0EBE" w:rsidR="0011638B" w:rsidRPr="00A03848" w:rsidRDefault="00946670" w:rsidP="00AB43B5">
      <w:pPr>
        <w:pStyle w:val="SingleTxt"/>
        <w:rPr>
          <w:szCs w:val="22"/>
          <w:lang w:val="es-ES" w:eastAsia="en-US"/>
        </w:rPr>
      </w:pPr>
      <w:bookmarkStart w:id="280" w:name="bookmark_312"/>
      <w:r w:rsidRPr="00A03848">
        <w:rPr>
          <w:szCs w:val="22"/>
          <w:lang w:val="es-ES" w:eastAsia="en-US"/>
        </w:rPr>
        <w:t>104.</w:t>
      </w:r>
      <w:r w:rsidRPr="00A03848">
        <w:rPr>
          <w:szCs w:val="22"/>
          <w:lang w:val="es-ES" w:eastAsia="en-US"/>
        </w:rPr>
        <w:tab/>
      </w:r>
      <w:r w:rsidR="0011638B" w:rsidRPr="00A03848">
        <w:rPr>
          <w:szCs w:val="22"/>
          <w:lang w:val="es-ES" w:eastAsia="en-US"/>
        </w:rPr>
        <w:t>En Escocia, la desigualdad salarial por razón de género entre empleados a tiempo completo se redujo desde el 7,7% en 2015 hasta el 6,2% en 2016. En febrero de 2016, el Gobierno de Escocia amplió el abanico de autoridades públicas pertinentes que debían informar de las diferencias salariales por razón de género y publicar declaraciones sobre igualdad de remuneración y segregación ocupacional. Tras la adopción de esa medida, están obligadas a presentar informes todas las que tengan más de 20 empleados, en lugar de las que cuenten con más de 150, como anteriormente. El Gobierno de Escocia ha concedido una financiación de 205.000</w:t>
      </w:r>
      <w:r w:rsidR="00233A1A" w:rsidRPr="00A03848">
        <w:rPr>
          <w:szCs w:val="22"/>
          <w:lang w:val="es-ES" w:eastAsia="en-US"/>
        </w:rPr>
        <w:t xml:space="preserve"> </w:t>
      </w:r>
      <w:r w:rsidR="0011638B" w:rsidRPr="00A03848">
        <w:rPr>
          <w:szCs w:val="22"/>
          <w:lang w:val="es-ES" w:eastAsia="en-US"/>
        </w:rPr>
        <w:t>libras a la organización Close the Gap</w:t>
      </w:r>
      <w:r w:rsidR="0011638B" w:rsidRPr="00A03848">
        <w:rPr>
          <w:szCs w:val="22"/>
          <w:vertAlign w:val="superscript"/>
          <w:lang w:val="es-ES" w:eastAsia="en-US"/>
        </w:rPr>
        <w:footnoteReference w:id="48"/>
      </w:r>
      <w:r w:rsidR="0011638B" w:rsidRPr="00A03848">
        <w:rPr>
          <w:szCs w:val="22"/>
          <w:lang w:val="es-ES" w:eastAsia="en-US"/>
        </w:rPr>
        <w:t xml:space="preserve"> para cuestionar y cambiar prácticas laborales y las costumbres en el lugar de trabajo con el fin de fomentar la igualdad de género y eliminar la desigualdad salarial.</w:t>
      </w:r>
      <w:bookmarkEnd w:id="280"/>
    </w:p>
    <w:p w14:paraId="2A14C4FC" w14:textId="1416C78B" w:rsidR="0011638B" w:rsidRPr="00A03848" w:rsidRDefault="00946670" w:rsidP="00AB43B5">
      <w:pPr>
        <w:pStyle w:val="SingleTxt"/>
        <w:rPr>
          <w:szCs w:val="22"/>
          <w:lang w:val="es-ES" w:eastAsia="en-US"/>
        </w:rPr>
      </w:pPr>
      <w:bookmarkStart w:id="282" w:name="bookmark_314"/>
      <w:r w:rsidRPr="00A03848">
        <w:rPr>
          <w:szCs w:val="22"/>
          <w:lang w:val="es-ES" w:eastAsia="en-US"/>
        </w:rPr>
        <w:t>105.</w:t>
      </w:r>
      <w:r w:rsidRPr="00A03848">
        <w:rPr>
          <w:szCs w:val="22"/>
          <w:lang w:val="es-ES" w:eastAsia="en-US"/>
        </w:rPr>
        <w:tab/>
      </w:r>
      <w:r w:rsidR="0011638B" w:rsidRPr="00A03848">
        <w:rPr>
          <w:szCs w:val="22"/>
          <w:lang w:val="es-ES" w:eastAsia="en-US"/>
        </w:rPr>
        <w:t>El Gobierno de Gales introdujo en el sector público la firme obligación, destinada a promover la igualdad, de combatir las diferencias de remuneración y empleo, en particular las diferencias salariales por razón de sexo. Todos los empleadores del sector público de Gales están obligados a informar anualmente de</w:t>
      </w:r>
      <w:r w:rsidR="004C4130" w:rsidRPr="00A03848">
        <w:rPr>
          <w:szCs w:val="22"/>
          <w:lang w:val="es-ES" w:eastAsia="en-US"/>
        </w:rPr>
        <w:t xml:space="preserve"> </w:t>
      </w:r>
      <w:r w:rsidR="0011638B" w:rsidRPr="00A03848">
        <w:rPr>
          <w:szCs w:val="22"/>
          <w:lang w:val="es-ES" w:eastAsia="en-US"/>
        </w:rPr>
        <w:t>las disparidades en las remuneraciones y a combatir las diferencias de remuneración y empleo.</w:t>
      </w:r>
      <w:bookmarkEnd w:id="282"/>
    </w:p>
    <w:p w14:paraId="79D5B79B" w14:textId="77777777" w:rsidR="00780CF4" w:rsidRPr="00A03848" w:rsidRDefault="00780CF4" w:rsidP="00780CF4">
      <w:pPr>
        <w:pStyle w:val="SingleTxt"/>
        <w:spacing w:after="0" w:line="120" w:lineRule="exact"/>
        <w:rPr>
          <w:sz w:val="10"/>
          <w:szCs w:val="10"/>
          <w:lang w:val="es-ES"/>
        </w:rPr>
      </w:pPr>
    </w:p>
    <w:p w14:paraId="16F1C121" w14:textId="77777777" w:rsidR="0011638B" w:rsidRPr="00A03848" w:rsidRDefault="0011638B" w:rsidP="009F2DF3">
      <w:pPr>
        <w:pStyle w:val="H23"/>
        <w:ind w:right="1260"/>
        <w:rPr>
          <w:bCs w:val="0"/>
          <w:lang w:val="es-ES" w:eastAsia="en-US"/>
        </w:rPr>
      </w:pPr>
      <w:bookmarkStart w:id="283" w:name="bookmark_315"/>
      <w:r w:rsidRPr="00A03848">
        <w:rPr>
          <w:bCs w:val="0"/>
          <w:lang w:val="es-ES" w:eastAsia="en-US"/>
        </w:rPr>
        <w:tab/>
      </w:r>
      <w:r w:rsidRPr="00A03848">
        <w:rPr>
          <w:bCs w:val="0"/>
          <w:lang w:val="es-ES" w:eastAsia="en-US"/>
        </w:rPr>
        <w:tab/>
        <w:t>Consejo Empresarial de la Mujer</w:t>
      </w:r>
      <w:bookmarkEnd w:id="283"/>
    </w:p>
    <w:p w14:paraId="538AC05D" w14:textId="77777777" w:rsidR="00780CF4" w:rsidRPr="00A03848" w:rsidRDefault="00780CF4" w:rsidP="00780CF4">
      <w:pPr>
        <w:pStyle w:val="SingleTxt"/>
        <w:spacing w:after="0" w:line="120" w:lineRule="exact"/>
        <w:rPr>
          <w:sz w:val="10"/>
          <w:szCs w:val="10"/>
          <w:lang w:val="es-ES"/>
        </w:rPr>
      </w:pPr>
    </w:p>
    <w:p w14:paraId="0D02A487" w14:textId="30003C51" w:rsidR="0011638B" w:rsidRPr="00A03848" w:rsidRDefault="00946670" w:rsidP="00AB43B5">
      <w:pPr>
        <w:pStyle w:val="SingleTxt"/>
        <w:rPr>
          <w:szCs w:val="22"/>
          <w:lang w:val="es-ES" w:eastAsia="en-US"/>
        </w:rPr>
      </w:pPr>
      <w:bookmarkStart w:id="284" w:name="bookmark_316"/>
      <w:r w:rsidRPr="00A03848">
        <w:rPr>
          <w:szCs w:val="22"/>
          <w:lang w:val="es-ES" w:eastAsia="en-US"/>
        </w:rPr>
        <w:t>106.</w:t>
      </w:r>
      <w:r w:rsidRPr="00A03848">
        <w:rPr>
          <w:szCs w:val="22"/>
          <w:lang w:val="es-ES" w:eastAsia="en-US"/>
        </w:rPr>
        <w:tab/>
      </w:r>
      <w:r w:rsidR="0011638B" w:rsidRPr="00A03848">
        <w:rPr>
          <w:szCs w:val="22"/>
          <w:lang w:val="es-ES" w:eastAsia="en-US"/>
        </w:rPr>
        <w:t xml:space="preserve">El Consejo Empresarial de la Mujer se fundó para asesorar al Gobierno sobre la forma de maximizar la contribución económica de las mujeres a la economía. En 2013, el Consejo elaboró un informe que incluía 96 recomendaciones dirigidas al Gobierno y la comunidad empresarial. El Consejo Empresarial de la Mujer se amplió en 2016 para aumentar el número de dirigentes masculinos e incluir las industrias y los sectores donde las mujeres tienen muy poca representación. El Consejo se autofinancia, ha conseguido llegar a un público de 30 millones de personas a través de los medios sociales y ha ofrecido más de 1.000 actividades o productos para promover sus recomendaciones y aprovechar al máximo el potencial económico de las mujeres. </w:t>
      </w:r>
      <w:bookmarkEnd w:id="284"/>
    </w:p>
    <w:p w14:paraId="396E825F" w14:textId="77777777" w:rsidR="00682090" w:rsidRPr="00A03848" w:rsidRDefault="00682090" w:rsidP="00682090">
      <w:pPr>
        <w:pStyle w:val="SingleTxt"/>
        <w:spacing w:after="0" w:line="120" w:lineRule="exact"/>
        <w:rPr>
          <w:sz w:val="10"/>
          <w:szCs w:val="10"/>
          <w:lang w:val="es-ES"/>
        </w:rPr>
      </w:pPr>
    </w:p>
    <w:p w14:paraId="21A36485" w14:textId="77777777" w:rsidR="0011638B" w:rsidRPr="00A03848" w:rsidRDefault="0011638B" w:rsidP="009F2DF3">
      <w:pPr>
        <w:pStyle w:val="H23"/>
        <w:ind w:right="1260"/>
        <w:rPr>
          <w:bCs w:val="0"/>
          <w:lang w:val="es-ES" w:eastAsia="en-US"/>
        </w:rPr>
      </w:pPr>
      <w:bookmarkStart w:id="285" w:name="bookmark_317"/>
      <w:r w:rsidRPr="00A03848">
        <w:rPr>
          <w:bCs w:val="0"/>
          <w:lang w:val="es-ES" w:eastAsia="en-US"/>
        </w:rPr>
        <w:tab/>
      </w:r>
      <w:r w:rsidRPr="00A03848">
        <w:rPr>
          <w:bCs w:val="0"/>
          <w:lang w:val="es-ES" w:eastAsia="en-US"/>
        </w:rPr>
        <w:tab/>
        <w:t>La mujer en la empresa</w:t>
      </w:r>
      <w:bookmarkEnd w:id="285"/>
    </w:p>
    <w:p w14:paraId="14540FCC" w14:textId="77777777" w:rsidR="00682090" w:rsidRPr="00A03848" w:rsidRDefault="00682090" w:rsidP="00682090">
      <w:pPr>
        <w:pStyle w:val="SingleTxt"/>
        <w:spacing w:after="0" w:line="120" w:lineRule="exact"/>
        <w:rPr>
          <w:sz w:val="10"/>
          <w:szCs w:val="10"/>
          <w:lang w:val="es-ES"/>
        </w:rPr>
      </w:pPr>
    </w:p>
    <w:p w14:paraId="77EEB18A" w14:textId="79B74480" w:rsidR="0011638B" w:rsidRPr="00A03848" w:rsidRDefault="00946670" w:rsidP="00AB43B5">
      <w:pPr>
        <w:pStyle w:val="SingleTxt"/>
        <w:rPr>
          <w:szCs w:val="22"/>
          <w:lang w:val="es-ES" w:eastAsia="en-US"/>
        </w:rPr>
      </w:pPr>
      <w:bookmarkStart w:id="286" w:name="bookmark_318"/>
      <w:r w:rsidRPr="00A03848">
        <w:rPr>
          <w:szCs w:val="22"/>
          <w:lang w:val="es-ES" w:eastAsia="en-US"/>
        </w:rPr>
        <w:t>107.</w:t>
      </w:r>
      <w:r w:rsidRPr="00A03848">
        <w:rPr>
          <w:szCs w:val="22"/>
          <w:lang w:val="es-ES" w:eastAsia="en-US"/>
        </w:rPr>
        <w:tab/>
      </w:r>
      <w:r w:rsidR="0011638B" w:rsidRPr="00A03848">
        <w:rPr>
          <w:szCs w:val="22"/>
          <w:lang w:val="es-ES" w:eastAsia="en-US"/>
        </w:rPr>
        <w:t>En el Reino Unido existen actualmente alrededor de 1,2 millones de pequeñas y medianas empresas dirigidas por mujeres, que aportan en torno a 115.000 millones de libras a la economía. El Gobierno del Reino Unido desea animar a más mujeres a que creen y desarrollen sus propias empresas. Los préstamos respaldados por el Gobierno para empresas emergentes están ayudando a las mujeres a aprovechar su talento, crear puestos de trabajo e impulsar la economía local y nacional. El Gobierno de Escocia va a duplicar el apoyo g</w:t>
      </w:r>
      <w:r w:rsidR="00FE6B53" w:rsidRPr="00A03848">
        <w:rPr>
          <w:szCs w:val="22"/>
          <w:lang w:val="es-ES" w:eastAsia="en-US"/>
        </w:rPr>
        <w:t>lobal de 200.000 libras en 2016/</w:t>
      </w:r>
      <w:r w:rsidR="0011638B" w:rsidRPr="00A03848">
        <w:rPr>
          <w:szCs w:val="22"/>
          <w:lang w:val="es-ES" w:eastAsia="en-US"/>
        </w:rPr>
        <w:t>17 a 400.000 libras en 2017-2018 en medidas ofrecidas a través del Marco de Acción para Empresarias</w:t>
      </w:r>
      <w:r w:rsidR="0011638B" w:rsidRPr="00A03848">
        <w:rPr>
          <w:szCs w:val="22"/>
          <w:vertAlign w:val="superscript"/>
          <w:lang w:val="es-ES" w:eastAsia="en-US"/>
        </w:rPr>
        <w:footnoteReference w:id="49"/>
      </w:r>
      <w:r w:rsidR="0011638B" w:rsidRPr="00A03848">
        <w:rPr>
          <w:szCs w:val="22"/>
          <w:lang w:val="es-ES" w:eastAsia="en-US"/>
        </w:rPr>
        <w:t>.</w:t>
      </w:r>
      <w:bookmarkEnd w:id="286"/>
    </w:p>
    <w:p w14:paraId="1B1DF053" w14:textId="77777777" w:rsidR="004650AA" w:rsidRPr="00A03848" w:rsidRDefault="004650AA" w:rsidP="004650AA">
      <w:pPr>
        <w:pStyle w:val="SingleTxt"/>
        <w:spacing w:after="0" w:line="120" w:lineRule="exact"/>
        <w:rPr>
          <w:sz w:val="10"/>
          <w:szCs w:val="10"/>
          <w:lang w:val="es-ES"/>
        </w:rPr>
      </w:pPr>
    </w:p>
    <w:p w14:paraId="669956EC" w14:textId="77777777" w:rsidR="0011638B" w:rsidRPr="00A03848" w:rsidRDefault="0011638B" w:rsidP="009F2DF3">
      <w:pPr>
        <w:pStyle w:val="H23"/>
        <w:ind w:right="1260"/>
        <w:rPr>
          <w:bCs w:val="0"/>
          <w:lang w:val="es-ES" w:eastAsia="en-US"/>
        </w:rPr>
      </w:pPr>
      <w:bookmarkStart w:id="288" w:name="bookmark_320"/>
      <w:r w:rsidRPr="00A03848">
        <w:rPr>
          <w:bCs w:val="0"/>
          <w:lang w:val="es-ES" w:eastAsia="en-US"/>
        </w:rPr>
        <w:tab/>
      </w:r>
      <w:r w:rsidRPr="00A03848">
        <w:rPr>
          <w:bCs w:val="0"/>
          <w:lang w:val="es-ES" w:eastAsia="en-US"/>
        </w:rPr>
        <w:tab/>
        <w:t>Salario mínimo vital a escala nacional</w:t>
      </w:r>
      <w:bookmarkEnd w:id="288"/>
    </w:p>
    <w:p w14:paraId="23A89379" w14:textId="77777777" w:rsidR="004650AA" w:rsidRPr="00A03848" w:rsidRDefault="004650AA" w:rsidP="004650AA">
      <w:pPr>
        <w:pStyle w:val="SingleTxt"/>
        <w:spacing w:after="0" w:line="120" w:lineRule="exact"/>
        <w:rPr>
          <w:sz w:val="10"/>
          <w:szCs w:val="10"/>
          <w:lang w:val="es-ES"/>
        </w:rPr>
      </w:pPr>
    </w:p>
    <w:p w14:paraId="152E467A" w14:textId="20310961" w:rsidR="0011638B" w:rsidRPr="00A03848" w:rsidRDefault="00946670" w:rsidP="00AB43B5">
      <w:pPr>
        <w:pStyle w:val="SingleTxt"/>
        <w:rPr>
          <w:szCs w:val="22"/>
          <w:lang w:val="es-ES" w:eastAsia="en-US"/>
        </w:rPr>
      </w:pPr>
      <w:bookmarkStart w:id="289" w:name="bookmark_321"/>
      <w:r w:rsidRPr="00A03848">
        <w:rPr>
          <w:szCs w:val="22"/>
          <w:lang w:val="es-ES" w:eastAsia="en-US"/>
        </w:rPr>
        <w:t>108.</w:t>
      </w:r>
      <w:r w:rsidRPr="00A03848">
        <w:rPr>
          <w:szCs w:val="22"/>
          <w:lang w:val="es-ES" w:eastAsia="en-US"/>
        </w:rPr>
        <w:tab/>
      </w:r>
      <w:r w:rsidR="0011638B" w:rsidRPr="00A03848">
        <w:rPr>
          <w:szCs w:val="22"/>
          <w:lang w:val="es-ES" w:eastAsia="en-US"/>
        </w:rPr>
        <w:t>El 1 de abril de 2016, el Gobierno del Reino Unido introdujo un salario mínimo vital a escala nacional para todos los trabajadores mayores de 25 años que actualmente se sitúa en 7,50 libras por hora</w:t>
      </w:r>
      <w:r w:rsidR="0011638B" w:rsidRPr="00A03848">
        <w:rPr>
          <w:szCs w:val="22"/>
          <w:vertAlign w:val="superscript"/>
          <w:lang w:val="es-ES" w:eastAsia="en-US"/>
        </w:rPr>
        <w:footnoteReference w:id="50"/>
      </w:r>
      <w:r w:rsidR="0011638B" w:rsidRPr="00A03848">
        <w:rPr>
          <w:szCs w:val="22"/>
          <w:lang w:val="es-ES" w:eastAsia="en-US"/>
        </w:rPr>
        <w:t>, siendo las mujeres uno de los grupos que más beneficiados han salido. Alrededor de las dos terceras partes de quienes se prevé reciban el salario mínimo vital son mujeres. El Gobierno de Escocia promueve la remuneración del verdadero salario mínimo vital de 8,45 libras</w:t>
      </w:r>
      <w:r w:rsidR="0011638B" w:rsidRPr="00A03848">
        <w:rPr>
          <w:szCs w:val="22"/>
          <w:vertAlign w:val="superscript"/>
          <w:lang w:val="es-ES" w:eastAsia="en-US"/>
        </w:rPr>
        <w:footnoteReference w:id="51"/>
      </w:r>
      <w:r w:rsidR="0011638B" w:rsidRPr="00A03848">
        <w:rPr>
          <w:szCs w:val="22"/>
          <w:lang w:val="es-ES" w:eastAsia="en-US"/>
        </w:rPr>
        <w:t xml:space="preserve"> por hora, que es lo que paga a todos sus empleados mayores de 18 años.</w:t>
      </w:r>
      <w:bookmarkEnd w:id="289"/>
    </w:p>
    <w:p w14:paraId="2B526EAB" w14:textId="77777777" w:rsidR="000B3904" w:rsidRPr="00A03848" w:rsidRDefault="000B3904" w:rsidP="000B3904">
      <w:pPr>
        <w:pStyle w:val="SingleTxt"/>
        <w:spacing w:after="0" w:line="120" w:lineRule="exact"/>
        <w:rPr>
          <w:sz w:val="10"/>
          <w:szCs w:val="10"/>
          <w:lang w:val="es-ES"/>
        </w:rPr>
      </w:pPr>
    </w:p>
    <w:p w14:paraId="146C6061" w14:textId="106B52E9" w:rsidR="0011638B" w:rsidRPr="00A03848" w:rsidRDefault="0011638B" w:rsidP="009F2DF3">
      <w:pPr>
        <w:pStyle w:val="H23"/>
        <w:ind w:right="1260"/>
        <w:rPr>
          <w:bCs w:val="0"/>
          <w:lang w:val="es-ES" w:eastAsia="en-US"/>
        </w:rPr>
      </w:pPr>
      <w:bookmarkStart w:id="292" w:name="bookmark_324"/>
      <w:r w:rsidRPr="00A03848">
        <w:rPr>
          <w:bCs w:val="0"/>
          <w:lang w:val="es-ES" w:eastAsia="en-US"/>
        </w:rPr>
        <w:tab/>
      </w:r>
      <w:r w:rsidRPr="00A03848">
        <w:rPr>
          <w:bCs w:val="0"/>
          <w:lang w:val="es-ES" w:eastAsia="en-US"/>
        </w:rPr>
        <w:tab/>
        <w:t>Aumento del acceso al empleo para las mujeres de raza negra, origen asiático y</w:t>
      </w:r>
      <w:r w:rsidR="00233A1A" w:rsidRPr="00A03848">
        <w:rPr>
          <w:bCs w:val="0"/>
          <w:lang w:val="es-ES" w:eastAsia="en-US"/>
        </w:rPr>
        <w:t xml:space="preserve"> </w:t>
      </w:r>
      <w:r w:rsidRPr="00A03848">
        <w:rPr>
          <w:bCs w:val="0"/>
          <w:lang w:val="es-ES" w:eastAsia="en-US"/>
        </w:rPr>
        <w:t>minorías étnicas</w:t>
      </w:r>
      <w:r w:rsidRPr="00A03848">
        <w:rPr>
          <w:bCs w:val="0"/>
          <w:vertAlign w:val="superscript"/>
          <w:lang w:val="es-ES" w:eastAsia="en-US"/>
        </w:rPr>
        <w:endnoteReference w:id="29"/>
      </w:r>
      <w:bookmarkEnd w:id="292"/>
    </w:p>
    <w:p w14:paraId="1CBA1CF1" w14:textId="77777777" w:rsidR="000B3904" w:rsidRPr="00A03848" w:rsidRDefault="000B3904" w:rsidP="000B3904">
      <w:pPr>
        <w:pStyle w:val="SingleTxt"/>
        <w:spacing w:after="0" w:line="120" w:lineRule="exact"/>
        <w:rPr>
          <w:sz w:val="10"/>
          <w:szCs w:val="10"/>
          <w:lang w:val="es-ES"/>
        </w:rPr>
      </w:pPr>
    </w:p>
    <w:p w14:paraId="2AF509C4" w14:textId="1775E078" w:rsidR="0011638B" w:rsidRPr="00A03848" w:rsidRDefault="00946670" w:rsidP="00AB43B5">
      <w:pPr>
        <w:pStyle w:val="SingleTxt"/>
        <w:rPr>
          <w:szCs w:val="22"/>
          <w:lang w:val="es-ES" w:eastAsia="en-US"/>
        </w:rPr>
      </w:pPr>
      <w:bookmarkStart w:id="293" w:name="bookmark_326"/>
      <w:r w:rsidRPr="00A03848">
        <w:rPr>
          <w:szCs w:val="22"/>
          <w:lang w:val="es-ES" w:eastAsia="en-US"/>
        </w:rPr>
        <w:t>109.</w:t>
      </w:r>
      <w:r w:rsidRPr="00A03848">
        <w:rPr>
          <w:szCs w:val="22"/>
          <w:lang w:val="es-ES" w:eastAsia="en-US"/>
        </w:rPr>
        <w:tab/>
      </w:r>
      <w:r w:rsidR="0011638B" w:rsidRPr="00A03848">
        <w:rPr>
          <w:szCs w:val="22"/>
          <w:lang w:val="es-ES" w:eastAsia="en-US"/>
        </w:rPr>
        <w:t>El Gobierno del Reino Unido se ha comprometido a adoptar medidas para hacer frente a las disparidades destacadas en su auditoría sobre la disparidad racial</w:t>
      </w:r>
      <w:r w:rsidR="0011638B" w:rsidRPr="00A03848">
        <w:rPr>
          <w:szCs w:val="22"/>
          <w:vertAlign w:val="superscript"/>
          <w:lang w:val="es-ES" w:eastAsia="en-US"/>
        </w:rPr>
        <w:footnoteReference w:id="52"/>
      </w:r>
      <w:r w:rsidR="0011638B" w:rsidRPr="00A03848">
        <w:rPr>
          <w:szCs w:val="22"/>
          <w:lang w:val="es-ES" w:eastAsia="en-US"/>
        </w:rPr>
        <w:t>. Esto incluye un compromiso global para aumentar el nivel de empleo entre las personas de raza negra, origen asiático y minorías étnicas un 20% para 2020. Se ha registrado un incremento del número de mujeres de raza negra, origen asiático y minorías étnicas que acceden al mercado laboral, y la diferencia entre la tasa de empleo de estas mujeres de 16 a 64 años y la correspondiente a las mujeres de 16 a 64 años de la población general disminuyó del 14,2% en 2010 al 13,6% en 2015. La auditoría sirve para actualizar los materiales de formación y sensibilización sobre las personas de raza negra, origen asiático y minorías étnicas con el fin de ayudar a las mujeres de estos grupos a superar los obstáculos para obtener empleo. Los centros de colocación laboral del Reino Unido disponen de un presupuesto controlado a nivel local que puede utilizarse para adaptar las medidas de apoyo y forjar alianzas comunitarias que ayuden a las mujeres de raza negra, origen asiático y minorías étnicas a acceder al empleo. También se presta apoyo para ayudar a mejorar las competencias lingüísticas costeando íntegramente las clases de inglés a las personas que hayan residido en el Reino Unido durante al menos tres años y reciban prestaciones relacionadas con el desempleo.</w:t>
      </w:r>
      <w:bookmarkEnd w:id="293"/>
    </w:p>
    <w:p w14:paraId="1584713B" w14:textId="77777777" w:rsidR="00233CEF" w:rsidRPr="00A03848" w:rsidRDefault="00233CEF" w:rsidP="00233CEF">
      <w:pPr>
        <w:pStyle w:val="SingleTxt"/>
        <w:spacing w:after="0" w:line="120" w:lineRule="exact"/>
        <w:rPr>
          <w:sz w:val="10"/>
          <w:szCs w:val="10"/>
          <w:lang w:val="es-ES"/>
        </w:rPr>
      </w:pPr>
    </w:p>
    <w:p w14:paraId="3F541319" w14:textId="77777777" w:rsidR="007A1CF8" w:rsidRPr="00A03848" w:rsidRDefault="007A1CF8">
      <w:pPr>
        <w:suppressAutoHyphens w:val="0"/>
        <w:spacing w:line="240" w:lineRule="auto"/>
        <w:rPr>
          <w:b/>
          <w:spacing w:val="2"/>
          <w:lang w:val="es-ES" w:eastAsia="en-US"/>
        </w:rPr>
      </w:pPr>
      <w:bookmarkStart w:id="295" w:name="bookmark_328"/>
      <w:r w:rsidRPr="00A03848">
        <w:rPr>
          <w:bCs/>
          <w:lang w:val="es-ES" w:eastAsia="en-US"/>
        </w:rPr>
        <w:br w:type="page"/>
      </w:r>
    </w:p>
    <w:p w14:paraId="2415E736" w14:textId="5843E279" w:rsidR="0011638B" w:rsidRPr="00A03848" w:rsidRDefault="0011638B" w:rsidP="009F2DF3">
      <w:pPr>
        <w:pStyle w:val="H23"/>
        <w:ind w:right="1260"/>
        <w:rPr>
          <w:bCs w:val="0"/>
          <w:lang w:val="es-ES" w:eastAsia="en-US"/>
        </w:rPr>
      </w:pPr>
      <w:r w:rsidRPr="00A03848">
        <w:rPr>
          <w:bCs w:val="0"/>
          <w:lang w:val="es-ES" w:eastAsia="en-US"/>
        </w:rPr>
        <w:tab/>
      </w:r>
      <w:r w:rsidRPr="00A03848">
        <w:rPr>
          <w:bCs w:val="0"/>
          <w:lang w:val="es-ES" w:eastAsia="en-US"/>
        </w:rPr>
        <w:tab/>
        <w:t>Mejora del acceso al empleo para las mujeres con discapacidad</w:t>
      </w:r>
      <w:r w:rsidRPr="00A03848">
        <w:rPr>
          <w:bCs w:val="0"/>
          <w:vertAlign w:val="superscript"/>
          <w:lang w:val="es-ES" w:eastAsia="en-US"/>
        </w:rPr>
        <w:endnoteReference w:id="30"/>
      </w:r>
      <w:r w:rsidRPr="00A03848">
        <w:rPr>
          <w:bCs w:val="0"/>
          <w:lang w:val="es-ES" w:eastAsia="en-US"/>
        </w:rPr>
        <w:t xml:space="preserve"> </w:t>
      </w:r>
      <w:bookmarkEnd w:id="295"/>
    </w:p>
    <w:p w14:paraId="7753B724" w14:textId="77777777" w:rsidR="00233CEF" w:rsidRPr="00A03848" w:rsidRDefault="00233CEF" w:rsidP="00233CEF">
      <w:pPr>
        <w:pStyle w:val="SingleTxt"/>
        <w:spacing w:after="0" w:line="120" w:lineRule="exact"/>
        <w:rPr>
          <w:sz w:val="10"/>
          <w:szCs w:val="10"/>
          <w:lang w:val="es-ES"/>
        </w:rPr>
      </w:pPr>
    </w:p>
    <w:p w14:paraId="61A5C694" w14:textId="764385EE" w:rsidR="0011638B" w:rsidRPr="00A03848" w:rsidRDefault="00946670" w:rsidP="00AB43B5">
      <w:pPr>
        <w:pStyle w:val="SingleTxt"/>
        <w:rPr>
          <w:szCs w:val="22"/>
          <w:lang w:val="es-ES" w:eastAsia="en-US"/>
        </w:rPr>
      </w:pPr>
      <w:bookmarkStart w:id="297" w:name="bookmark_330"/>
      <w:r w:rsidRPr="00A03848">
        <w:rPr>
          <w:szCs w:val="22"/>
          <w:lang w:val="es-ES" w:eastAsia="en-US"/>
        </w:rPr>
        <w:t>110.</w:t>
      </w:r>
      <w:r w:rsidRPr="00A03848">
        <w:rPr>
          <w:szCs w:val="22"/>
          <w:lang w:val="es-ES" w:eastAsia="en-US"/>
        </w:rPr>
        <w:tab/>
      </w:r>
      <w:r w:rsidR="0011638B" w:rsidRPr="00A03848">
        <w:rPr>
          <w:szCs w:val="22"/>
          <w:lang w:val="es-ES" w:eastAsia="en-US"/>
        </w:rPr>
        <w:t>El Gobierno del Reino Unido presta apoyo a los empleadores para ayudarles a contratar y mantener en el empleo a personas con discapacidad y a mujeres y hombres con problemas de salud. En el Reino Unido hay alrededor de 4,1 millones de mujeres con discapacidad en edad de trabajar, de las cuales casi 1,9 millones tienen un empleo. La tasa de empleo entre las mujeres con discapacidad en edad de trabajar está en torno al 48%</w:t>
      </w:r>
      <w:r w:rsidR="0011638B" w:rsidRPr="00A03848">
        <w:rPr>
          <w:szCs w:val="22"/>
          <w:vertAlign w:val="superscript"/>
          <w:lang w:val="es-ES" w:eastAsia="en-US"/>
        </w:rPr>
        <w:footnoteReference w:id="53"/>
      </w:r>
      <w:r w:rsidR="0011638B" w:rsidRPr="00A03848">
        <w:rPr>
          <w:szCs w:val="22"/>
          <w:lang w:val="es-ES" w:eastAsia="en-US"/>
        </w:rPr>
        <w:t xml:space="preserve">. Las propuestas del Gobierno del Reino Unido para mejorar los resultados de trabajo y salud de las personas con discapacidad y las personas con problemas de salud de larga duración, incluida la forma en que podemos seguir impulsando y respaldando la actuación del empleador, se expusieron en la publicación titulada </w:t>
      </w:r>
      <w:r w:rsidR="0011638B" w:rsidRPr="00A03848">
        <w:rPr>
          <w:i/>
          <w:szCs w:val="22"/>
          <w:lang w:val="es-ES" w:eastAsia="en-US"/>
        </w:rPr>
        <w:t>Improving Lives - The Work, Health and Disability Green Paper</w:t>
      </w:r>
      <w:r w:rsidR="0011638B" w:rsidRPr="00A03848">
        <w:rPr>
          <w:szCs w:val="22"/>
          <w:lang w:val="es-ES" w:eastAsia="en-US"/>
        </w:rPr>
        <w:t>. El Gobierno del Reino Unido está examinando las respuestas a la consulta y decidiendo qué medidas se tomarán a continuación. Asimismo, está estudiando de nuevo las leyes relativas a la discriminación laboral contra mujeres y hombres con problemas de salud mental en el lugar de trabajo para asegurarse de que tengan el apoyo que corresponde.</w:t>
      </w:r>
      <w:bookmarkEnd w:id="297"/>
    </w:p>
    <w:p w14:paraId="2FC00830" w14:textId="235E5DDC" w:rsidR="0011638B" w:rsidRPr="00A03848" w:rsidRDefault="00946670" w:rsidP="00AB43B5">
      <w:pPr>
        <w:pStyle w:val="SingleTxt"/>
        <w:rPr>
          <w:szCs w:val="22"/>
          <w:lang w:val="es-ES" w:eastAsia="en-US"/>
        </w:rPr>
      </w:pPr>
      <w:bookmarkStart w:id="299" w:name="bookmark_332"/>
      <w:r w:rsidRPr="00A03848">
        <w:rPr>
          <w:szCs w:val="22"/>
          <w:lang w:val="es-ES" w:eastAsia="en-US"/>
        </w:rPr>
        <w:t>111.</w:t>
      </w:r>
      <w:r w:rsidRPr="00A03848">
        <w:rPr>
          <w:szCs w:val="22"/>
          <w:lang w:val="es-ES" w:eastAsia="en-US"/>
        </w:rPr>
        <w:tab/>
      </w:r>
      <w:r w:rsidR="00FE6B53" w:rsidRPr="00A03848">
        <w:rPr>
          <w:szCs w:val="22"/>
          <w:lang w:val="es-ES" w:eastAsia="en-US"/>
        </w:rPr>
        <w:t>En 2016</w:t>
      </w:r>
      <w:r w:rsidR="0011638B" w:rsidRPr="00A03848">
        <w:rPr>
          <w:szCs w:val="22"/>
          <w:lang w:val="es-ES" w:eastAsia="en-US"/>
        </w:rPr>
        <w:t xml:space="preserve"> el Gobierno de Escocia puso en marcha un plan encaminado a lograr una Escocia más justa para las personas con discapacidad y aplicar la Convención de las Naciones Unidas sobre los Derechos de las Personas con Discapacidad para 2021</w:t>
      </w:r>
      <w:r w:rsidR="0011638B" w:rsidRPr="00A03848">
        <w:rPr>
          <w:szCs w:val="22"/>
          <w:vertAlign w:val="superscript"/>
          <w:lang w:val="es-ES" w:eastAsia="en-US"/>
        </w:rPr>
        <w:footnoteReference w:id="54"/>
      </w:r>
      <w:r w:rsidR="0011638B" w:rsidRPr="00A03848">
        <w:rPr>
          <w:szCs w:val="22"/>
          <w:lang w:val="es-ES" w:eastAsia="en-US"/>
        </w:rPr>
        <w:t>. Este plan representa la culminación de un proceso minucioso de más de dos años de debate, negociación y producción conjunta con organizaciones de personas con discapacidad y con diversas personas con discapacidad. Actualmente todo el Gobierno está trabajando en la aplicación de este plan.</w:t>
      </w:r>
      <w:bookmarkEnd w:id="299"/>
    </w:p>
    <w:p w14:paraId="7506ECE8" w14:textId="77777777" w:rsidR="00515BD4" w:rsidRPr="00A03848" w:rsidRDefault="00515BD4" w:rsidP="00515BD4">
      <w:pPr>
        <w:pStyle w:val="SingleTxt"/>
        <w:spacing w:after="0" w:line="120" w:lineRule="exact"/>
        <w:rPr>
          <w:sz w:val="10"/>
          <w:szCs w:val="10"/>
          <w:lang w:val="es-ES"/>
        </w:rPr>
      </w:pPr>
    </w:p>
    <w:p w14:paraId="25BB6776" w14:textId="77777777" w:rsidR="0011638B" w:rsidRPr="00A03848" w:rsidRDefault="0011638B" w:rsidP="009F2DF3">
      <w:pPr>
        <w:pStyle w:val="H23"/>
        <w:ind w:right="1260"/>
        <w:rPr>
          <w:bCs w:val="0"/>
          <w:lang w:val="es-ES" w:eastAsia="en-US"/>
        </w:rPr>
      </w:pPr>
      <w:bookmarkStart w:id="301" w:name="bookmark_334"/>
      <w:r w:rsidRPr="00A03848">
        <w:rPr>
          <w:bCs w:val="0"/>
          <w:lang w:val="es-ES" w:eastAsia="en-US"/>
        </w:rPr>
        <w:tab/>
      </w:r>
      <w:r w:rsidRPr="00A03848">
        <w:rPr>
          <w:bCs w:val="0"/>
          <w:lang w:val="es-ES" w:eastAsia="en-US"/>
        </w:rPr>
        <w:tab/>
        <w:t>Lucha contra la discriminación en el trabajo por motivos de embarazo</w:t>
      </w:r>
      <w:bookmarkEnd w:id="301"/>
    </w:p>
    <w:p w14:paraId="217CD1FE" w14:textId="77777777" w:rsidR="00515BD4" w:rsidRPr="00A03848" w:rsidRDefault="00515BD4" w:rsidP="00515BD4">
      <w:pPr>
        <w:pStyle w:val="SingleTxt"/>
        <w:spacing w:after="0" w:line="120" w:lineRule="exact"/>
        <w:rPr>
          <w:sz w:val="10"/>
          <w:szCs w:val="10"/>
          <w:lang w:val="es-ES"/>
        </w:rPr>
      </w:pPr>
    </w:p>
    <w:p w14:paraId="4C90B29F" w14:textId="45B09C06" w:rsidR="0011638B" w:rsidRPr="00A03848" w:rsidRDefault="00946670" w:rsidP="00AB43B5">
      <w:pPr>
        <w:pStyle w:val="SingleTxt"/>
        <w:rPr>
          <w:szCs w:val="22"/>
          <w:lang w:val="es-ES" w:eastAsia="en-US"/>
        </w:rPr>
      </w:pPr>
      <w:bookmarkStart w:id="302" w:name="bookmark_335"/>
      <w:r w:rsidRPr="00A03848">
        <w:rPr>
          <w:szCs w:val="22"/>
          <w:lang w:val="es-ES" w:eastAsia="en-US"/>
        </w:rPr>
        <w:t>112.</w:t>
      </w:r>
      <w:r w:rsidRPr="00A03848">
        <w:rPr>
          <w:szCs w:val="22"/>
          <w:lang w:val="es-ES" w:eastAsia="en-US"/>
        </w:rPr>
        <w:tab/>
      </w:r>
      <w:r w:rsidR="0011638B" w:rsidRPr="00A03848">
        <w:rPr>
          <w:szCs w:val="22"/>
          <w:lang w:val="es-ES" w:eastAsia="en-US"/>
        </w:rPr>
        <w:t xml:space="preserve">En el Reino Unido, es ilegal discriminar a las mujeres en el lugar de trabajo por estar embarazadas. Existen unos reglamentos claros que todos los empleadores deben cumplir. El Departamento de Empresa, Energía y Estrategia Industrial está estudiando opciones para reforzar la protección contra el despido de las mujeres embarazadas y las mujeres que se reincorporan al trabajo después de la licencia de maternidad. La Oficina Gubernamental para la Igualdad también está financiando el Servicio de Asesoramiento y Apoyo para la Igualdad, una línea telefónica de asistencia gratuita a disposición de todos los ciudadanos de Inglaterra, Escocia y Gales que crean haber sido víctimas de discriminación ilegal, entre otros motivos, por embarazo y maternidad. El Gobierno de Escocia colabora con la Comisión para la Igualdad y los Derechos Humanos a fin de combatir la discriminación por embarazo y maternidad. </w:t>
      </w:r>
      <w:bookmarkEnd w:id="302"/>
    </w:p>
    <w:p w14:paraId="66216430" w14:textId="77777777" w:rsidR="00171DFD" w:rsidRPr="00A03848" w:rsidRDefault="00171DFD" w:rsidP="00171DFD">
      <w:pPr>
        <w:pStyle w:val="SingleTxt"/>
        <w:spacing w:after="0" w:line="120" w:lineRule="exact"/>
        <w:rPr>
          <w:sz w:val="10"/>
          <w:szCs w:val="10"/>
          <w:lang w:val="es-ES"/>
        </w:rPr>
      </w:pPr>
    </w:p>
    <w:p w14:paraId="2A0D6AE4" w14:textId="77777777" w:rsidR="0011638B" w:rsidRPr="00A03848" w:rsidRDefault="0011638B" w:rsidP="009F2DF3">
      <w:pPr>
        <w:pStyle w:val="H23"/>
        <w:ind w:right="1260"/>
        <w:rPr>
          <w:bCs w:val="0"/>
          <w:lang w:val="es-ES" w:eastAsia="en-US"/>
        </w:rPr>
      </w:pPr>
      <w:bookmarkStart w:id="303" w:name="bookmark_336"/>
      <w:r w:rsidRPr="00A03848">
        <w:rPr>
          <w:bCs w:val="0"/>
          <w:lang w:val="es-ES" w:eastAsia="en-US"/>
        </w:rPr>
        <w:tab/>
      </w:r>
      <w:r w:rsidRPr="00A03848">
        <w:rPr>
          <w:bCs w:val="0"/>
          <w:lang w:val="es-ES" w:eastAsia="en-US"/>
        </w:rPr>
        <w:tab/>
        <w:t>Apoyo a las mujeres que se reincorporan al trabajo</w:t>
      </w:r>
      <w:bookmarkEnd w:id="303"/>
    </w:p>
    <w:p w14:paraId="5FCA846B" w14:textId="77777777" w:rsidR="00171DFD" w:rsidRPr="00A03848" w:rsidRDefault="00171DFD" w:rsidP="00171DFD">
      <w:pPr>
        <w:pStyle w:val="SingleTxt"/>
        <w:spacing w:after="0" w:line="120" w:lineRule="exact"/>
        <w:rPr>
          <w:sz w:val="10"/>
          <w:szCs w:val="10"/>
          <w:lang w:val="es-ES"/>
        </w:rPr>
      </w:pPr>
    </w:p>
    <w:p w14:paraId="7746E3AB" w14:textId="16022483" w:rsidR="0011638B" w:rsidRPr="00A03848" w:rsidRDefault="00946670" w:rsidP="00AB43B5">
      <w:pPr>
        <w:pStyle w:val="SingleTxt"/>
        <w:rPr>
          <w:szCs w:val="22"/>
          <w:lang w:val="es-ES" w:eastAsia="en-US"/>
        </w:rPr>
      </w:pPr>
      <w:bookmarkStart w:id="304" w:name="bookmark_337"/>
      <w:r w:rsidRPr="00A03848">
        <w:rPr>
          <w:szCs w:val="22"/>
          <w:lang w:val="es-ES" w:eastAsia="en-US"/>
        </w:rPr>
        <w:t>113.</w:t>
      </w:r>
      <w:r w:rsidRPr="00A03848">
        <w:rPr>
          <w:szCs w:val="22"/>
          <w:lang w:val="es-ES" w:eastAsia="en-US"/>
        </w:rPr>
        <w:tab/>
      </w:r>
      <w:r w:rsidR="0011638B" w:rsidRPr="00A03848">
        <w:rPr>
          <w:szCs w:val="22"/>
          <w:lang w:val="es-ES" w:eastAsia="en-US"/>
        </w:rPr>
        <w:t>En el presupuesto de 2017 se anunció el establecimiento de un fondo de 5</w:t>
      </w:r>
      <w:r w:rsidR="00233A1A" w:rsidRPr="00A03848">
        <w:rPr>
          <w:szCs w:val="22"/>
          <w:lang w:val="es-ES" w:eastAsia="en-US"/>
        </w:rPr>
        <w:t xml:space="preserve"> </w:t>
      </w:r>
      <w:r w:rsidR="0011638B" w:rsidRPr="00A03848">
        <w:rPr>
          <w:szCs w:val="22"/>
          <w:lang w:val="es-ES" w:eastAsia="en-US"/>
        </w:rPr>
        <w:t>millones de libras para aumentar el número de programas dirigidos a las personas que regresan a los sectores público y privado. El Gobierno del Reino Unido colaborará con los empleadores del sector público y el privado para comprender cómo se puede ayudar a las personas a reincorporarse a un empleo permanente. La</w:t>
      </w:r>
      <w:r w:rsidR="00233A1A" w:rsidRPr="00A03848">
        <w:rPr>
          <w:szCs w:val="22"/>
          <w:lang w:val="es-ES" w:eastAsia="en-US"/>
        </w:rPr>
        <w:t xml:space="preserve"> </w:t>
      </w:r>
      <w:r w:rsidR="0011638B" w:rsidRPr="00A03848">
        <w:rPr>
          <w:szCs w:val="22"/>
          <w:lang w:val="es-ES" w:eastAsia="en-US"/>
        </w:rPr>
        <w:t>Oficina Gubernamental para la Igualdad está coordinando nuevos programas públicos para las personas que se reincorporan al trabajo en todo el país, en una amplia variedad de funciones. Entre estas funciones se incluyen iniciativas de apoyo</w:t>
      </w:r>
      <w:r w:rsidR="00233A1A" w:rsidRPr="00A03848">
        <w:rPr>
          <w:szCs w:val="22"/>
          <w:lang w:val="es-ES" w:eastAsia="en-US"/>
        </w:rPr>
        <w:t xml:space="preserve"> </w:t>
      </w:r>
      <w:r w:rsidR="0011638B" w:rsidRPr="00A03848">
        <w:rPr>
          <w:szCs w:val="22"/>
          <w:lang w:val="es-ES" w:eastAsia="en-US"/>
        </w:rPr>
        <w:t>a asistentes sociales, profesores, personal sanitario, profesionales de la ciberseguridad y funcionarios públicos. Al reincorporarse al trabajo, las mujeres ganan aproximadamente un 2% menos de promedio por cada año que han estado sin realizar un trabajo remunerado. Hasta la fecha, el Gobierno de Escocia ha aprobado siete proyectos con un valor total de más de 235.000 libras. Los proyectos afrontarán la falta de representación de la mujer en sectores clave como la ciencia, la tecnología, la ingeniería, las matemáticas, la manufactura, el emprendimiento financiero y la seguridad, y redoblarán el número de mujeres en cargos directivos y de hombres dedicados al cuidado de los niños.</w:t>
      </w:r>
      <w:bookmarkEnd w:id="304"/>
    </w:p>
    <w:p w14:paraId="75991F6A" w14:textId="77777777" w:rsidR="00765FFE" w:rsidRPr="00A03848" w:rsidRDefault="00765FFE" w:rsidP="00765FFE">
      <w:pPr>
        <w:pStyle w:val="SingleTxt"/>
        <w:spacing w:after="0" w:line="120" w:lineRule="exact"/>
        <w:rPr>
          <w:sz w:val="10"/>
          <w:szCs w:val="10"/>
          <w:lang w:val="es-ES"/>
        </w:rPr>
      </w:pPr>
    </w:p>
    <w:p w14:paraId="0E570EEF" w14:textId="77777777" w:rsidR="0011638B" w:rsidRPr="00A03848" w:rsidRDefault="0011638B" w:rsidP="009F2DF3">
      <w:pPr>
        <w:pStyle w:val="H23"/>
        <w:ind w:right="1260"/>
        <w:rPr>
          <w:bCs w:val="0"/>
          <w:lang w:val="es-ES" w:eastAsia="en-US"/>
        </w:rPr>
      </w:pPr>
      <w:bookmarkStart w:id="305" w:name="bookmark_338"/>
      <w:r w:rsidRPr="00A03848">
        <w:rPr>
          <w:bCs w:val="0"/>
          <w:lang w:val="es-ES" w:eastAsia="en-US"/>
        </w:rPr>
        <w:tab/>
      </w:r>
      <w:r w:rsidRPr="00A03848">
        <w:rPr>
          <w:bCs w:val="0"/>
          <w:lang w:val="es-ES" w:eastAsia="en-US"/>
        </w:rPr>
        <w:tab/>
        <w:t>Cuidado de los niños</w:t>
      </w:r>
      <w:r w:rsidRPr="00A03848">
        <w:rPr>
          <w:bCs w:val="0"/>
          <w:vertAlign w:val="superscript"/>
          <w:lang w:val="es-ES" w:eastAsia="en-US"/>
        </w:rPr>
        <w:endnoteReference w:id="31"/>
      </w:r>
      <w:bookmarkEnd w:id="305"/>
    </w:p>
    <w:p w14:paraId="3CE4B02E" w14:textId="77777777" w:rsidR="00765FFE" w:rsidRPr="00A03848" w:rsidRDefault="00765FFE" w:rsidP="00765FFE">
      <w:pPr>
        <w:pStyle w:val="SingleTxt"/>
        <w:spacing w:after="0" w:line="120" w:lineRule="exact"/>
        <w:rPr>
          <w:sz w:val="10"/>
          <w:szCs w:val="10"/>
          <w:lang w:val="es-ES"/>
        </w:rPr>
      </w:pPr>
    </w:p>
    <w:p w14:paraId="2C47A7E2" w14:textId="15147C5C" w:rsidR="0011638B" w:rsidRPr="00A03848" w:rsidRDefault="00946670" w:rsidP="00AB43B5">
      <w:pPr>
        <w:pStyle w:val="SingleTxt"/>
        <w:rPr>
          <w:szCs w:val="22"/>
          <w:lang w:val="es-ES" w:eastAsia="en-US"/>
        </w:rPr>
      </w:pPr>
      <w:bookmarkStart w:id="307" w:name="bookmark_340"/>
      <w:r w:rsidRPr="00A03848">
        <w:rPr>
          <w:szCs w:val="22"/>
          <w:lang w:val="es-ES" w:eastAsia="en-US"/>
        </w:rPr>
        <w:t>114.</w:t>
      </w:r>
      <w:r w:rsidRPr="00A03848">
        <w:rPr>
          <w:szCs w:val="22"/>
          <w:lang w:val="es-ES" w:eastAsia="en-US"/>
        </w:rPr>
        <w:tab/>
      </w:r>
      <w:r w:rsidR="0011638B" w:rsidRPr="00A03848">
        <w:rPr>
          <w:szCs w:val="22"/>
          <w:lang w:val="es-ES" w:eastAsia="en-US"/>
        </w:rPr>
        <w:t>El Gobierno del Reino Unido está prestando apoyo a las familias trabajadoras y, desde septiembre de 2017, ha duplicado las prestaciones por cuidado de los niños para los padres que trabajan y tienen hijos de 3 y 4 años, de 15 a 30 horas semanales. Alrededor de 390.000 padres que trabajan se beneficiarán de la nueva prestación de 30 horas, que les ahorrará alrededor de 5.000 libras anuales. El Gobierno también anunció una financiación sin precedentes de 1.000 millones de libras adicionales al año para 2019</w:t>
      </w:r>
      <w:r w:rsidR="00FE6B53" w:rsidRPr="00A03848">
        <w:rPr>
          <w:szCs w:val="22"/>
          <w:lang w:val="es-ES" w:eastAsia="en-US"/>
        </w:rPr>
        <w:t>/</w:t>
      </w:r>
      <w:r w:rsidR="0011638B" w:rsidRPr="00A03848">
        <w:rPr>
          <w:szCs w:val="22"/>
          <w:lang w:val="es-ES" w:eastAsia="en-US"/>
        </w:rPr>
        <w:t xml:space="preserve">20, lo que significa que el Gobierno se gastará entonces más de 6.000 millones de libras al año en el cuidado de los niños. El servicio de cuidado de los niños libre de impuestos se introdujo en abril de este año. Concede a los padres que trabajan un complemento correspondiente al 20% de los gastos derivados del cuidado de los hijos por valor de hasta 10.000 libras, que supone una prestación de hasta 2.000 libras por niño al año, o de 4.000 libras por niño si tiene alguna discapacidad. La nueva campaña Childcare Choices ofrece a los padres información sobre todas nuestras ofertas de cuidado de los niños en un solo lugar. Además, pueden preinscribirse en el sitio web tanto para la oferta de 30 horas como para el cuidado de los niños libre de impuestos. </w:t>
      </w:r>
      <w:bookmarkEnd w:id="307"/>
    </w:p>
    <w:p w14:paraId="54005467" w14:textId="6B3F6564" w:rsidR="0011638B" w:rsidRPr="00A03848" w:rsidRDefault="00946670" w:rsidP="00AB43B5">
      <w:pPr>
        <w:pStyle w:val="SingleTxt"/>
        <w:rPr>
          <w:szCs w:val="22"/>
          <w:lang w:val="es-ES" w:eastAsia="en-US"/>
        </w:rPr>
      </w:pPr>
      <w:bookmarkStart w:id="308" w:name="bookmark_341"/>
      <w:r w:rsidRPr="00A03848">
        <w:rPr>
          <w:szCs w:val="22"/>
          <w:lang w:val="es-ES" w:eastAsia="en-US"/>
        </w:rPr>
        <w:t>115.</w:t>
      </w:r>
      <w:r w:rsidRPr="00A03848">
        <w:rPr>
          <w:szCs w:val="22"/>
          <w:lang w:val="es-ES" w:eastAsia="en-US"/>
        </w:rPr>
        <w:tab/>
      </w:r>
      <w:r w:rsidR="0011638B" w:rsidRPr="00A03848">
        <w:rPr>
          <w:szCs w:val="22"/>
          <w:lang w:val="es-ES" w:eastAsia="en-US"/>
        </w:rPr>
        <w:t>La prestación financiada por el Gobierno de Escocia aumentará de 600 a 1.140</w:t>
      </w:r>
      <w:r w:rsidR="00233A1A" w:rsidRPr="00A03848">
        <w:rPr>
          <w:szCs w:val="22"/>
          <w:lang w:val="es-ES" w:eastAsia="en-US"/>
        </w:rPr>
        <w:t xml:space="preserve"> </w:t>
      </w:r>
      <w:r w:rsidR="0011638B" w:rsidRPr="00A03848">
        <w:rPr>
          <w:szCs w:val="22"/>
          <w:lang w:val="es-ES" w:eastAsia="en-US"/>
        </w:rPr>
        <w:t>horas al año para 2020, para todos los niños de 3 y 4 años y en torno a una cuarta parte de los niños de 2 años (en función de si se cumplen los requisitos necesarios). Las autoridades locales ya están empezando a introducir gradualmente esta ampliación y se les ha pedido que den prioridad a la introducción progresiva en las zonas más necesitadas. Se prevé que la inversión total del sector público en la prestación de servicios de aprendizaje temprano y cuidado de los niños alcance los 840 millones de libras para finales de esta legislatura (2021-2022).</w:t>
      </w:r>
      <w:bookmarkEnd w:id="308"/>
    </w:p>
    <w:p w14:paraId="2BB2E250" w14:textId="64190940" w:rsidR="0011638B" w:rsidRPr="00A03848" w:rsidRDefault="00946670" w:rsidP="00AB43B5">
      <w:pPr>
        <w:pStyle w:val="SingleTxt"/>
        <w:rPr>
          <w:szCs w:val="22"/>
          <w:lang w:val="es-ES" w:eastAsia="en-US"/>
        </w:rPr>
      </w:pPr>
      <w:bookmarkStart w:id="309" w:name="bookmark_342"/>
      <w:r w:rsidRPr="00A03848">
        <w:rPr>
          <w:szCs w:val="22"/>
          <w:lang w:val="es-ES" w:eastAsia="en-US"/>
        </w:rPr>
        <w:t>116.</w:t>
      </w:r>
      <w:r w:rsidRPr="00A03848">
        <w:rPr>
          <w:szCs w:val="22"/>
          <w:lang w:val="es-ES" w:eastAsia="en-US"/>
        </w:rPr>
        <w:tab/>
      </w:r>
      <w:r w:rsidR="0011638B" w:rsidRPr="00A03848">
        <w:rPr>
          <w:szCs w:val="22"/>
          <w:lang w:val="es-ES" w:eastAsia="en-US"/>
        </w:rPr>
        <w:t>La oferta del Gobierno de Gales para el cuidado de los hijos proporcionará a los padres que trabajan 30 horas de atención infantil financiadas por el Estado y hasta 48 semanas al año de educación preescolar para niños de 3 y 4 años. Esto incluye el período escolar y de vacaciones. Siete autoridades locales de Gales serán las primeras en llevar a la práctica la oferta de atención infantil a partir de septiembre de 2017, que se implantará por completo en todo Gales en 2020.</w:t>
      </w:r>
      <w:bookmarkEnd w:id="309"/>
    </w:p>
    <w:p w14:paraId="08A0EA50" w14:textId="77777777" w:rsidR="00765FFE" w:rsidRPr="00A03848" w:rsidRDefault="00765FFE" w:rsidP="00765FFE">
      <w:pPr>
        <w:pStyle w:val="SingleTxt"/>
        <w:spacing w:after="0" w:line="120" w:lineRule="exact"/>
        <w:rPr>
          <w:sz w:val="10"/>
          <w:szCs w:val="10"/>
          <w:lang w:val="es-ES"/>
        </w:rPr>
      </w:pPr>
    </w:p>
    <w:p w14:paraId="2049AAF9" w14:textId="77777777" w:rsidR="0011638B" w:rsidRPr="00A03848" w:rsidRDefault="0011638B" w:rsidP="009F2DF3">
      <w:pPr>
        <w:pStyle w:val="H23"/>
        <w:ind w:right="1260"/>
        <w:rPr>
          <w:bCs w:val="0"/>
          <w:lang w:val="es-ES" w:eastAsia="en-US"/>
        </w:rPr>
      </w:pPr>
      <w:bookmarkStart w:id="310" w:name="bookmark_343"/>
      <w:r w:rsidRPr="00A03848">
        <w:rPr>
          <w:bCs w:val="0"/>
          <w:lang w:val="es-ES" w:eastAsia="en-US"/>
        </w:rPr>
        <w:tab/>
      </w:r>
      <w:r w:rsidRPr="00A03848">
        <w:rPr>
          <w:bCs w:val="0"/>
          <w:lang w:val="es-ES" w:eastAsia="en-US"/>
        </w:rPr>
        <w:tab/>
        <w:t>Aumento de las políticas favorables a la familia: flexibilidad laboral y licencia parental compartida</w:t>
      </w:r>
      <w:r w:rsidRPr="00A03848">
        <w:rPr>
          <w:bCs w:val="0"/>
          <w:vertAlign w:val="superscript"/>
          <w:lang w:val="es-ES" w:eastAsia="en-US"/>
        </w:rPr>
        <w:endnoteReference w:id="32"/>
      </w:r>
      <w:bookmarkEnd w:id="310"/>
    </w:p>
    <w:p w14:paraId="4530D6DE" w14:textId="77777777" w:rsidR="00765FFE" w:rsidRPr="00A03848" w:rsidRDefault="00765FFE" w:rsidP="00765FFE">
      <w:pPr>
        <w:pStyle w:val="SingleTxt"/>
        <w:spacing w:after="0" w:line="120" w:lineRule="exact"/>
        <w:rPr>
          <w:sz w:val="10"/>
          <w:szCs w:val="10"/>
          <w:lang w:val="es-ES"/>
        </w:rPr>
      </w:pPr>
    </w:p>
    <w:p w14:paraId="7DAFD644" w14:textId="0BA56B7B" w:rsidR="0011638B" w:rsidRPr="00A03848" w:rsidRDefault="00946670" w:rsidP="00AB43B5">
      <w:pPr>
        <w:pStyle w:val="SingleTxt"/>
        <w:rPr>
          <w:szCs w:val="22"/>
          <w:lang w:val="es-ES" w:eastAsia="en-US"/>
        </w:rPr>
      </w:pPr>
      <w:bookmarkStart w:id="312" w:name="bookmark_345"/>
      <w:r w:rsidRPr="00A03848">
        <w:rPr>
          <w:szCs w:val="22"/>
          <w:lang w:val="es-ES" w:eastAsia="en-US"/>
        </w:rPr>
        <w:t>117.</w:t>
      </w:r>
      <w:r w:rsidRPr="00A03848">
        <w:rPr>
          <w:szCs w:val="22"/>
          <w:lang w:val="es-ES" w:eastAsia="en-US"/>
        </w:rPr>
        <w:tab/>
      </w:r>
      <w:r w:rsidR="0011638B" w:rsidRPr="00A03848">
        <w:rPr>
          <w:szCs w:val="22"/>
          <w:lang w:val="es-ES" w:eastAsia="en-US"/>
        </w:rPr>
        <w:t xml:space="preserve">El reglamento sobre flexibilidad laboral entró en vigor en 2014 y ahora otorga a todos los empleados que hayan prestado servicio durante un mínimo de 12 meses el derecho a solicitar condiciones de trabajo flexibles. Desde que el Gobierno del Reino Unido introdujo legislación al respecto, se ha duplicado el número de personas que tienen derecho a solicitar condiciones de trabajo flexibles. En la actualidad, el 97% de las empresas del Reino Unido ofrecen algún tipo de flexibilidad laboral y se estima que el beneficio que obtienen las empresas asciende a unos 55 millones de libras anuales. La administración pública del Reino Unido es pionera en su forma de concebir el trabajo flexible en las prácticas de contratación. El reglamento sobre licencia parental compartida entró en vigor en 2014 y se aplica a los padres cuando se espera el nacimiento de un hijo, o se recibe a un niño en adopción, desde el 5 de abril de 2015. Esto ofrece a los padres más flexibilidad en la manera de compartir el cuidado de sus hijos durante el primer año tras el nacimiento o la adopción. </w:t>
      </w:r>
      <w:bookmarkEnd w:id="312"/>
    </w:p>
    <w:p w14:paraId="5DBBE3D1" w14:textId="1F8D5292" w:rsidR="0011638B" w:rsidRPr="00A03848" w:rsidRDefault="00946670" w:rsidP="00AB43B5">
      <w:pPr>
        <w:pStyle w:val="SingleTxt"/>
        <w:rPr>
          <w:szCs w:val="22"/>
          <w:lang w:val="es-ES" w:eastAsia="en-US"/>
        </w:rPr>
      </w:pPr>
      <w:bookmarkStart w:id="313" w:name="bookmark_346"/>
      <w:r w:rsidRPr="00A03848">
        <w:rPr>
          <w:szCs w:val="22"/>
          <w:lang w:val="es-ES" w:eastAsia="en-US"/>
        </w:rPr>
        <w:t>118.</w:t>
      </w:r>
      <w:r w:rsidRPr="00A03848">
        <w:rPr>
          <w:szCs w:val="22"/>
          <w:lang w:val="es-ES" w:eastAsia="en-US"/>
        </w:rPr>
        <w:tab/>
      </w:r>
      <w:r w:rsidR="0011638B" w:rsidRPr="00A03848">
        <w:rPr>
          <w:szCs w:val="22"/>
          <w:lang w:val="es-ES" w:eastAsia="en-US"/>
        </w:rPr>
        <w:t>El Gobierno de Escocia concedió una financiación de 169.000 libras a la organización Family Friendly Working Scotland</w:t>
      </w:r>
      <w:r w:rsidR="0011638B" w:rsidRPr="00A03848">
        <w:rPr>
          <w:szCs w:val="22"/>
          <w:vertAlign w:val="superscript"/>
          <w:lang w:val="es-ES" w:eastAsia="en-US"/>
        </w:rPr>
        <w:footnoteReference w:id="55"/>
      </w:r>
      <w:r w:rsidR="0011638B" w:rsidRPr="00A03848">
        <w:rPr>
          <w:szCs w:val="22"/>
          <w:lang w:val="es-ES" w:eastAsia="en-US"/>
        </w:rPr>
        <w:t xml:space="preserve"> para 2017-2018 y colabora con otras organizaciones para apoyar y promover el desarrollo de lugares de trabajo favorables a la familia en toda Escocia. </w:t>
      </w:r>
      <w:bookmarkEnd w:id="313"/>
    </w:p>
    <w:p w14:paraId="0C1F9F2C" w14:textId="77777777" w:rsidR="005D4538" w:rsidRPr="00A03848" w:rsidRDefault="005D4538" w:rsidP="005D4538">
      <w:pPr>
        <w:pStyle w:val="SingleTxt"/>
        <w:spacing w:after="0" w:line="120" w:lineRule="exact"/>
        <w:rPr>
          <w:sz w:val="10"/>
          <w:szCs w:val="10"/>
          <w:lang w:val="es-ES"/>
        </w:rPr>
      </w:pPr>
    </w:p>
    <w:p w14:paraId="342A1115" w14:textId="77777777" w:rsidR="0011638B" w:rsidRPr="00A03848" w:rsidRDefault="0011638B" w:rsidP="009F2DF3">
      <w:pPr>
        <w:pStyle w:val="H23"/>
        <w:ind w:right="1260"/>
        <w:rPr>
          <w:bCs w:val="0"/>
          <w:lang w:val="es-ES" w:eastAsia="en-US"/>
        </w:rPr>
      </w:pPr>
      <w:bookmarkStart w:id="315" w:name="bookmark_348"/>
      <w:r w:rsidRPr="00A03848">
        <w:rPr>
          <w:bCs w:val="0"/>
          <w:lang w:val="es-ES" w:eastAsia="en-US"/>
        </w:rPr>
        <w:tab/>
      </w:r>
      <w:r w:rsidRPr="00A03848">
        <w:rPr>
          <w:bCs w:val="0"/>
          <w:lang w:val="es-ES" w:eastAsia="en-US"/>
        </w:rPr>
        <w:tab/>
        <w:t>Apoyo a las trabajadoras de edad</w:t>
      </w:r>
      <w:bookmarkEnd w:id="315"/>
    </w:p>
    <w:p w14:paraId="4CDE3203" w14:textId="77777777" w:rsidR="005D4538" w:rsidRPr="00A03848" w:rsidRDefault="005D4538" w:rsidP="005D4538">
      <w:pPr>
        <w:pStyle w:val="SingleTxt"/>
        <w:spacing w:after="0" w:line="120" w:lineRule="exact"/>
        <w:rPr>
          <w:sz w:val="10"/>
          <w:szCs w:val="10"/>
          <w:lang w:val="es-ES"/>
        </w:rPr>
      </w:pPr>
    </w:p>
    <w:p w14:paraId="03317FB3" w14:textId="5CD98342" w:rsidR="0011638B" w:rsidRPr="00A03848" w:rsidRDefault="00946670" w:rsidP="00AB43B5">
      <w:pPr>
        <w:pStyle w:val="SingleTxt"/>
        <w:rPr>
          <w:szCs w:val="22"/>
          <w:lang w:val="es-ES" w:eastAsia="en-US"/>
        </w:rPr>
      </w:pPr>
      <w:bookmarkStart w:id="316" w:name="bookmark_349"/>
      <w:r w:rsidRPr="00A03848">
        <w:rPr>
          <w:szCs w:val="22"/>
          <w:lang w:val="es-ES" w:eastAsia="en-US"/>
        </w:rPr>
        <w:t>119.</w:t>
      </w:r>
      <w:r w:rsidRPr="00A03848">
        <w:rPr>
          <w:szCs w:val="22"/>
          <w:lang w:val="es-ES" w:eastAsia="en-US"/>
        </w:rPr>
        <w:tab/>
      </w:r>
      <w:r w:rsidR="0011638B" w:rsidRPr="00A03848">
        <w:rPr>
          <w:szCs w:val="22"/>
          <w:lang w:val="es-ES" w:eastAsia="en-US"/>
        </w:rPr>
        <w:t xml:space="preserve">En febrero de 2017, el Gobierno del Reino Unido publicó </w:t>
      </w:r>
      <w:r w:rsidR="0011638B" w:rsidRPr="00A03848">
        <w:rPr>
          <w:i/>
          <w:szCs w:val="22"/>
          <w:lang w:val="es-ES" w:eastAsia="en-US"/>
        </w:rPr>
        <w:t>Fuller Working Lives: A Partnership Approac</w:t>
      </w:r>
      <w:r w:rsidR="0011638B" w:rsidRPr="00A03848">
        <w:rPr>
          <w:szCs w:val="22"/>
          <w:lang w:val="es-ES" w:eastAsia="en-US"/>
        </w:rPr>
        <w:t>h</w:t>
      </w:r>
      <w:r w:rsidR="0011638B" w:rsidRPr="00A03848">
        <w:rPr>
          <w:szCs w:val="22"/>
          <w:vertAlign w:val="superscript"/>
          <w:lang w:val="es-ES" w:eastAsia="en-US"/>
        </w:rPr>
        <w:footnoteReference w:id="56"/>
      </w:r>
      <w:r w:rsidR="0011638B" w:rsidRPr="00A03848">
        <w:rPr>
          <w:szCs w:val="22"/>
          <w:lang w:val="es-ES" w:eastAsia="en-US"/>
        </w:rPr>
        <w:t>, su enfoque para lograr una vida laboral más plena. En él establece cómo trabajar durante más tiempo puede beneficiar a las empresas, las personas y la economía. En ese informe también se exponen las principales medidas que está adoptando este Gobierno para ayudar a los trabajadores de edad a permanecer en el mercado laboral o regresar a él.</w:t>
      </w:r>
      <w:bookmarkEnd w:id="316"/>
    </w:p>
    <w:p w14:paraId="1CFCAB01" w14:textId="77777777" w:rsidR="005D4538" w:rsidRPr="00A03848" w:rsidRDefault="005D4538" w:rsidP="005D4538">
      <w:pPr>
        <w:pStyle w:val="SingleTxt"/>
        <w:spacing w:after="0" w:line="120" w:lineRule="exact"/>
        <w:rPr>
          <w:sz w:val="10"/>
          <w:szCs w:val="10"/>
          <w:lang w:val="es-ES"/>
        </w:rPr>
      </w:pPr>
    </w:p>
    <w:p w14:paraId="243908F4" w14:textId="77777777" w:rsidR="0011638B" w:rsidRPr="00A03848" w:rsidRDefault="0011638B" w:rsidP="009F2DF3">
      <w:pPr>
        <w:pStyle w:val="H23"/>
        <w:ind w:right="1260"/>
        <w:rPr>
          <w:bCs w:val="0"/>
          <w:lang w:val="es-ES" w:eastAsia="en-US"/>
        </w:rPr>
      </w:pPr>
      <w:bookmarkStart w:id="318" w:name="bookmark_351"/>
      <w:r w:rsidRPr="00A03848">
        <w:rPr>
          <w:bCs w:val="0"/>
          <w:lang w:val="es-ES" w:eastAsia="en-US"/>
        </w:rPr>
        <w:tab/>
      </w:r>
      <w:r w:rsidRPr="00A03848">
        <w:rPr>
          <w:bCs w:val="0"/>
          <w:lang w:val="es-ES" w:eastAsia="en-US"/>
        </w:rPr>
        <w:tab/>
        <w:t>Reforma de las pensiones públicas</w:t>
      </w:r>
      <w:bookmarkEnd w:id="318"/>
    </w:p>
    <w:p w14:paraId="3B193CFA" w14:textId="77777777" w:rsidR="005D4538" w:rsidRPr="00A03848" w:rsidRDefault="005D4538" w:rsidP="005D4538">
      <w:pPr>
        <w:pStyle w:val="SingleTxt"/>
        <w:spacing w:after="0" w:line="120" w:lineRule="exact"/>
        <w:rPr>
          <w:sz w:val="10"/>
          <w:szCs w:val="10"/>
          <w:lang w:val="es-ES"/>
        </w:rPr>
      </w:pPr>
    </w:p>
    <w:p w14:paraId="52450F79" w14:textId="7A21A92E" w:rsidR="0011638B" w:rsidRPr="00A03848" w:rsidRDefault="00946670" w:rsidP="00AB43B5">
      <w:pPr>
        <w:pStyle w:val="SingleTxt"/>
        <w:rPr>
          <w:szCs w:val="22"/>
          <w:lang w:val="es-ES" w:eastAsia="en-US"/>
        </w:rPr>
      </w:pPr>
      <w:bookmarkStart w:id="319" w:name="bookmark_352"/>
      <w:r w:rsidRPr="00A03848">
        <w:rPr>
          <w:szCs w:val="22"/>
          <w:lang w:val="es-ES" w:eastAsia="en-US"/>
        </w:rPr>
        <w:t>120.</w:t>
      </w:r>
      <w:r w:rsidRPr="00A03848">
        <w:rPr>
          <w:szCs w:val="22"/>
          <w:lang w:val="es-ES" w:eastAsia="en-US"/>
        </w:rPr>
        <w:tab/>
      </w:r>
      <w:r w:rsidR="0011638B" w:rsidRPr="00A03848">
        <w:rPr>
          <w:szCs w:val="22"/>
          <w:lang w:val="es-ES" w:eastAsia="en-US"/>
        </w:rPr>
        <w:t>El Gobierno del Reino Unido ha asumido el compromiso de igualar las pensiones públicas entre hombres y mujeres. Ha introducido varios cambios en el régimen de pensiones públicas con objeto de mejorar la cobertura, procurando al mismo tiempo que sigan siendo sostenibles y asequibles y que se tenga en cuenta el aumento de la esperanza de vida al establecer la edad de jubilación. Más recientemente, ha reformado el régimen de pensiones del Estado, ante todo introduciendo una nueva pensión pública para quienes hayan alcanzado la edad de jubilación a partir del 6 de abril de 2016. Se prevé que las nuevas reformas de las pensiones del Estado igualarán las pensiones públicas de hombres y mujeres para principios del decenio de 2040, más de diez años antes de lo que habría costado con el antiguo régimen de pensiones públicas. El nuevo régimen de pensiones públicas se basa en las reformas de la cobertura recogidas en la Ley de Pensiones de 2007, que simplificaba las condiciones de aportación y mejoraba la cobertura de la mujer</w:t>
      </w:r>
      <w:r w:rsidR="00233A1A" w:rsidRPr="00A03848">
        <w:rPr>
          <w:szCs w:val="22"/>
          <w:lang w:val="es-ES" w:eastAsia="en-US"/>
        </w:rPr>
        <w:t xml:space="preserve"> </w:t>
      </w:r>
      <w:r w:rsidR="0011638B" w:rsidRPr="00A03848">
        <w:rPr>
          <w:szCs w:val="22"/>
          <w:lang w:val="es-ES" w:eastAsia="en-US"/>
        </w:rPr>
        <w:t xml:space="preserve">en particular. </w:t>
      </w:r>
      <w:bookmarkEnd w:id="319"/>
    </w:p>
    <w:p w14:paraId="3E6F67D4" w14:textId="77777777" w:rsidR="005D4538" w:rsidRPr="00A03848" w:rsidRDefault="005D4538" w:rsidP="005D4538">
      <w:pPr>
        <w:pStyle w:val="SingleTxt"/>
        <w:spacing w:after="0" w:line="120" w:lineRule="exact"/>
        <w:rPr>
          <w:sz w:val="10"/>
          <w:szCs w:val="10"/>
          <w:lang w:val="es-ES"/>
        </w:rPr>
      </w:pPr>
    </w:p>
    <w:p w14:paraId="52EF05CF" w14:textId="77777777" w:rsidR="0011638B" w:rsidRPr="00A03848" w:rsidRDefault="0011638B" w:rsidP="009F2DF3">
      <w:pPr>
        <w:pStyle w:val="H23"/>
        <w:ind w:right="1260"/>
        <w:rPr>
          <w:bCs w:val="0"/>
          <w:lang w:val="es-ES" w:eastAsia="en-US"/>
        </w:rPr>
      </w:pPr>
      <w:bookmarkStart w:id="320" w:name="bookmark_353"/>
      <w:r w:rsidRPr="00A03848">
        <w:rPr>
          <w:bCs w:val="0"/>
          <w:lang w:val="es-ES" w:eastAsia="en-US"/>
        </w:rPr>
        <w:tab/>
      </w:r>
      <w:r w:rsidRPr="00A03848">
        <w:rPr>
          <w:bCs w:val="0"/>
          <w:lang w:val="es-ES" w:eastAsia="en-US"/>
        </w:rPr>
        <w:tab/>
        <w:t>Aumento del empoderamiento económico de las mujeres a nivel internacional</w:t>
      </w:r>
      <w:bookmarkEnd w:id="320"/>
    </w:p>
    <w:p w14:paraId="36BEAF37" w14:textId="77777777" w:rsidR="005D4538" w:rsidRPr="00A03848" w:rsidRDefault="005D4538" w:rsidP="005D4538">
      <w:pPr>
        <w:pStyle w:val="SingleTxt"/>
        <w:spacing w:after="0" w:line="120" w:lineRule="exact"/>
        <w:rPr>
          <w:sz w:val="10"/>
          <w:szCs w:val="10"/>
          <w:lang w:val="es-ES"/>
        </w:rPr>
      </w:pPr>
    </w:p>
    <w:p w14:paraId="4C54A2BA" w14:textId="68A75197" w:rsidR="0011638B" w:rsidRPr="00A03848" w:rsidRDefault="00946670" w:rsidP="00AB43B5">
      <w:pPr>
        <w:pStyle w:val="SingleTxt"/>
        <w:rPr>
          <w:szCs w:val="22"/>
          <w:lang w:val="es-ES" w:eastAsia="en-US"/>
        </w:rPr>
      </w:pPr>
      <w:bookmarkStart w:id="321" w:name="bookmark_354"/>
      <w:r w:rsidRPr="00A03848">
        <w:rPr>
          <w:szCs w:val="22"/>
          <w:lang w:val="es-ES" w:eastAsia="en-US"/>
        </w:rPr>
        <w:t>121.</w:t>
      </w:r>
      <w:r w:rsidRPr="00A03848">
        <w:rPr>
          <w:szCs w:val="22"/>
          <w:lang w:val="es-ES" w:eastAsia="en-US"/>
        </w:rPr>
        <w:tab/>
      </w:r>
      <w:r w:rsidR="0011638B" w:rsidRPr="00A03848">
        <w:rPr>
          <w:szCs w:val="22"/>
          <w:lang w:val="es-ES" w:eastAsia="en-US"/>
        </w:rPr>
        <w:t>El DFID trata de superar los obstáculos específicos a los que se enfrentan las niñas y las mujeres, tales como el menor nivel de capital humano y acceso a los bienes; conductas y leyes discriminatorias; y la distribución desigual de la prestación de cuidados. El DFID se basará en las recomendaciones del Grupo de Alto Nivel de las Naciones Unidas sobre el Empoderamiento Económico de las Mujeres</w:t>
      </w:r>
      <w:r w:rsidR="0011638B" w:rsidRPr="00A03848">
        <w:rPr>
          <w:szCs w:val="22"/>
          <w:vertAlign w:val="superscript"/>
          <w:lang w:val="es-ES" w:eastAsia="en-US"/>
        </w:rPr>
        <w:footnoteReference w:id="57"/>
      </w:r>
      <w:r w:rsidR="0011638B" w:rsidRPr="00A03848">
        <w:rPr>
          <w:szCs w:val="22"/>
          <w:lang w:val="es-ES" w:eastAsia="en-US"/>
        </w:rPr>
        <w:t>, en cuya elaboración el Reino Unido ha sido fundamental. Durante los próximos cinco años, el DFID trabajará en asociación con empresas británicas e internacionales para respaldar la aplicación de las recomendaciones del Grupo de Alto Nivel sobre el Empoderamiento Económico de las Mujeres mediante un programa de trabajo y oportunidades para la mujer.</w:t>
      </w:r>
      <w:bookmarkEnd w:id="321"/>
    </w:p>
    <w:p w14:paraId="65F399ED" w14:textId="77777777" w:rsidR="0033203D" w:rsidRPr="00A03848" w:rsidRDefault="0033203D" w:rsidP="0033203D">
      <w:pPr>
        <w:pStyle w:val="SingleTxt"/>
        <w:spacing w:after="0" w:line="120" w:lineRule="exact"/>
        <w:rPr>
          <w:sz w:val="10"/>
          <w:szCs w:val="10"/>
          <w:lang w:val="es-ES"/>
        </w:rPr>
      </w:pPr>
    </w:p>
    <w:p w14:paraId="4D650991" w14:textId="77777777" w:rsidR="0033203D" w:rsidRPr="00A03848" w:rsidRDefault="0033203D" w:rsidP="0033203D">
      <w:pPr>
        <w:pStyle w:val="SingleTxt"/>
        <w:spacing w:after="0" w:line="120" w:lineRule="exact"/>
        <w:rPr>
          <w:sz w:val="10"/>
          <w:szCs w:val="10"/>
          <w:lang w:val="es-ES"/>
        </w:rPr>
      </w:pPr>
    </w:p>
    <w:p w14:paraId="2993664B" w14:textId="77777777" w:rsidR="0011638B" w:rsidRPr="00A03848" w:rsidRDefault="0011638B" w:rsidP="00C01F60">
      <w:pPr>
        <w:pStyle w:val="H1"/>
        <w:ind w:right="1260"/>
        <w:rPr>
          <w:bCs w:val="0"/>
          <w:szCs w:val="20"/>
          <w:lang w:val="es-ES" w:eastAsia="en-US"/>
        </w:rPr>
      </w:pPr>
      <w:bookmarkStart w:id="323" w:name="bookmark_356"/>
      <w:r w:rsidRPr="00A03848">
        <w:rPr>
          <w:bCs w:val="0"/>
          <w:szCs w:val="20"/>
          <w:lang w:val="es-ES" w:eastAsia="en-US"/>
        </w:rPr>
        <w:tab/>
      </w:r>
      <w:r w:rsidRPr="00A03848">
        <w:rPr>
          <w:bCs w:val="0"/>
          <w:szCs w:val="20"/>
          <w:lang w:val="es-ES" w:eastAsia="en-US"/>
        </w:rPr>
        <w:tab/>
        <w:t>Artículo 12. Salud de las mujeres</w:t>
      </w:r>
      <w:bookmarkEnd w:id="323"/>
    </w:p>
    <w:p w14:paraId="16C81787" w14:textId="77777777" w:rsidR="00735FC1" w:rsidRPr="00A03848" w:rsidRDefault="00735FC1" w:rsidP="00735FC1">
      <w:pPr>
        <w:pStyle w:val="SingleTxt"/>
        <w:spacing w:after="0" w:line="120" w:lineRule="exact"/>
        <w:rPr>
          <w:sz w:val="10"/>
          <w:szCs w:val="10"/>
          <w:lang w:val="es-ES"/>
        </w:rPr>
      </w:pPr>
    </w:p>
    <w:p w14:paraId="153B4613" w14:textId="77777777" w:rsidR="00735FC1" w:rsidRPr="00A03848" w:rsidRDefault="00735FC1" w:rsidP="00735FC1">
      <w:pPr>
        <w:pStyle w:val="SingleTxt"/>
        <w:spacing w:after="0" w:line="120" w:lineRule="exact"/>
        <w:rPr>
          <w:sz w:val="10"/>
          <w:szCs w:val="10"/>
          <w:lang w:val="es-ES"/>
        </w:rPr>
      </w:pPr>
    </w:p>
    <w:p w14:paraId="1DFC0AF1" w14:textId="77777777" w:rsidR="0011638B" w:rsidRPr="00A03848" w:rsidRDefault="0011638B" w:rsidP="009F2DF3">
      <w:pPr>
        <w:pStyle w:val="H23"/>
        <w:ind w:right="1260"/>
        <w:rPr>
          <w:bCs w:val="0"/>
          <w:lang w:val="es-ES" w:eastAsia="en-US"/>
        </w:rPr>
      </w:pPr>
      <w:bookmarkStart w:id="324" w:name="bookmark_357"/>
      <w:r w:rsidRPr="00A03848">
        <w:rPr>
          <w:bCs w:val="0"/>
          <w:lang w:val="es-ES" w:eastAsia="en-US"/>
        </w:rPr>
        <w:tab/>
      </w:r>
      <w:r w:rsidRPr="00A03848">
        <w:rPr>
          <w:bCs w:val="0"/>
          <w:lang w:val="es-ES" w:eastAsia="en-US"/>
        </w:rPr>
        <w:tab/>
        <w:t>Lucha contra las desigualdades en materia de salud</w:t>
      </w:r>
      <w:bookmarkEnd w:id="324"/>
    </w:p>
    <w:p w14:paraId="693C7054" w14:textId="77777777" w:rsidR="00735FC1" w:rsidRPr="00A03848" w:rsidRDefault="00735FC1" w:rsidP="00735FC1">
      <w:pPr>
        <w:pStyle w:val="SingleTxt"/>
        <w:spacing w:after="0" w:line="120" w:lineRule="exact"/>
        <w:rPr>
          <w:sz w:val="10"/>
          <w:szCs w:val="10"/>
          <w:lang w:val="es-ES"/>
        </w:rPr>
      </w:pPr>
    </w:p>
    <w:p w14:paraId="4EAE29DF" w14:textId="0B842C62" w:rsidR="0011638B" w:rsidRPr="00A03848" w:rsidRDefault="00946670" w:rsidP="00AB43B5">
      <w:pPr>
        <w:pStyle w:val="SingleTxt"/>
        <w:rPr>
          <w:szCs w:val="22"/>
          <w:lang w:val="es-ES" w:eastAsia="en-US"/>
        </w:rPr>
      </w:pPr>
      <w:bookmarkStart w:id="325" w:name="bookmark_358"/>
      <w:r w:rsidRPr="00A03848">
        <w:rPr>
          <w:szCs w:val="22"/>
          <w:lang w:val="es-ES" w:eastAsia="en-US"/>
        </w:rPr>
        <w:t>122.</w:t>
      </w:r>
      <w:r w:rsidRPr="00A03848">
        <w:rPr>
          <w:szCs w:val="22"/>
          <w:lang w:val="es-ES" w:eastAsia="en-US"/>
        </w:rPr>
        <w:tab/>
      </w:r>
      <w:r w:rsidR="00FE6B53" w:rsidRPr="00A03848">
        <w:rPr>
          <w:szCs w:val="22"/>
          <w:lang w:val="es-ES" w:eastAsia="en-US"/>
        </w:rPr>
        <w:t>En 2012</w:t>
      </w:r>
      <w:r w:rsidR="0011638B" w:rsidRPr="00A03848">
        <w:rPr>
          <w:szCs w:val="22"/>
          <w:lang w:val="es-ES" w:eastAsia="en-US"/>
        </w:rPr>
        <w:t xml:space="preserve"> la Ley de Salud y Atención Social introdujo obligaciones legales para que el Secretario de Estado de Salud, el Servicio Nacional de Salud de Inglaterra y los grupos de implementación clínica tengan que considerar la necesidad de reducir las desigualdades en el acceso a los servicios de salud, los resultados sanitarios obtenidos y el trato recibido en dichos servicios. Estas obligaciones se basan en una evaluación anual y unos requisitos de presentación de informes. Con arreglo a las obligaciones específicas de Escocia (iniciadas en mayo de 2012), los ministros escoceses, las juntas de salud y otras autoridades competentes deben publicar los resultados en materia de igualdad e informar de los progresos, establecer la forma en que están integrando la igualdad en sus funciones, realizar evaluaciones de la repercusión en la igualdad y reunir y utilizar datos de los empleados. Estas actividades deben incluir todas las características protegidas, en particular el sexo y el embarazo y la maternidad.</w:t>
      </w:r>
      <w:bookmarkEnd w:id="325"/>
    </w:p>
    <w:p w14:paraId="0A89244F" w14:textId="77777777" w:rsidR="00735FC1" w:rsidRPr="00A03848" w:rsidRDefault="00735FC1" w:rsidP="00735FC1">
      <w:pPr>
        <w:pStyle w:val="SingleTxt"/>
        <w:spacing w:after="0" w:line="120" w:lineRule="exact"/>
        <w:rPr>
          <w:sz w:val="10"/>
          <w:szCs w:val="10"/>
          <w:lang w:val="es-ES"/>
        </w:rPr>
      </w:pPr>
    </w:p>
    <w:p w14:paraId="4A42AB70" w14:textId="77777777" w:rsidR="0011638B" w:rsidRPr="00A03848" w:rsidRDefault="0011638B" w:rsidP="009F2DF3">
      <w:pPr>
        <w:pStyle w:val="H23"/>
        <w:ind w:right="1260"/>
        <w:rPr>
          <w:bCs w:val="0"/>
          <w:lang w:val="es-ES" w:eastAsia="en-US"/>
        </w:rPr>
      </w:pPr>
      <w:bookmarkStart w:id="326" w:name="bookmark_359"/>
      <w:r w:rsidRPr="00A03848">
        <w:rPr>
          <w:bCs w:val="0"/>
          <w:lang w:val="es-ES" w:eastAsia="en-US"/>
        </w:rPr>
        <w:tab/>
      </w:r>
      <w:r w:rsidRPr="00A03848">
        <w:rPr>
          <w:bCs w:val="0"/>
          <w:lang w:val="es-ES" w:eastAsia="en-US"/>
        </w:rPr>
        <w:tab/>
        <w:t>Diagnóstico inicial y vacunación</w:t>
      </w:r>
      <w:bookmarkEnd w:id="326"/>
    </w:p>
    <w:p w14:paraId="7AB7BF20" w14:textId="77777777" w:rsidR="00735FC1" w:rsidRPr="00A03848" w:rsidRDefault="00735FC1" w:rsidP="00735FC1">
      <w:pPr>
        <w:pStyle w:val="SingleTxt"/>
        <w:spacing w:after="0" w:line="120" w:lineRule="exact"/>
        <w:rPr>
          <w:sz w:val="10"/>
          <w:szCs w:val="10"/>
          <w:lang w:val="es-ES"/>
        </w:rPr>
      </w:pPr>
    </w:p>
    <w:p w14:paraId="762C2DDA" w14:textId="2D1B4DCB" w:rsidR="0011638B" w:rsidRPr="00A03848" w:rsidRDefault="00946670" w:rsidP="00AB43B5">
      <w:pPr>
        <w:pStyle w:val="SingleTxt"/>
        <w:rPr>
          <w:szCs w:val="22"/>
          <w:lang w:val="es-ES" w:eastAsia="en-US"/>
        </w:rPr>
      </w:pPr>
      <w:bookmarkStart w:id="327" w:name="bookmark_360"/>
      <w:r w:rsidRPr="00A03848">
        <w:rPr>
          <w:szCs w:val="22"/>
          <w:lang w:val="es-ES" w:eastAsia="en-US"/>
        </w:rPr>
        <w:t>123.</w:t>
      </w:r>
      <w:r w:rsidRPr="00A03848">
        <w:rPr>
          <w:szCs w:val="22"/>
          <w:lang w:val="es-ES" w:eastAsia="en-US"/>
        </w:rPr>
        <w:tab/>
      </w:r>
      <w:r w:rsidR="0011638B" w:rsidRPr="00A03848">
        <w:rPr>
          <w:szCs w:val="22"/>
          <w:lang w:val="es-ES" w:eastAsia="en-US"/>
        </w:rPr>
        <w:t>Como parte del programa de detección del cáncer de cuello uterino del Servicio Nacional de Salud en Inglaterra, las mujeres de entre 25 y 49 años son citadas para realizarse pruebas gratuitas de detección del cáncer de cuello uterino cada 3 años, mientras que las mujeres de entre 50 y 64 años son citadas cada 5 años. Las mujeres mayores de 65 años son citadas para las pruebas de detección si no han sido examinadas desde que tenían 50 años o si recientemente han obtenido resultados anómalos.</w:t>
      </w:r>
      <w:bookmarkEnd w:id="327"/>
    </w:p>
    <w:p w14:paraId="17E7EE85" w14:textId="786453A7" w:rsidR="0011638B" w:rsidRPr="00A03848" w:rsidRDefault="00946670" w:rsidP="00AB43B5">
      <w:pPr>
        <w:pStyle w:val="SingleTxt"/>
        <w:rPr>
          <w:szCs w:val="22"/>
          <w:lang w:val="es-ES" w:eastAsia="en-US"/>
        </w:rPr>
      </w:pPr>
      <w:bookmarkStart w:id="328" w:name="bookmark_361"/>
      <w:r w:rsidRPr="00A03848">
        <w:rPr>
          <w:szCs w:val="22"/>
          <w:lang w:val="es-ES" w:eastAsia="en-US"/>
        </w:rPr>
        <w:t>124.</w:t>
      </w:r>
      <w:r w:rsidRPr="00A03848">
        <w:rPr>
          <w:szCs w:val="22"/>
          <w:lang w:val="es-ES" w:eastAsia="en-US"/>
        </w:rPr>
        <w:tab/>
      </w:r>
      <w:r w:rsidR="0011638B" w:rsidRPr="00A03848">
        <w:rPr>
          <w:szCs w:val="22"/>
          <w:lang w:val="es-ES" w:eastAsia="en-US"/>
        </w:rPr>
        <w:t>En el marco del programa de detección del cáncer de mama del Servicio Nacional de Salud, se ofrecen exámenes mamarios cada 3 años para todas las mujeres de Inglaterra mayores de 50 años. En la actualidad, se cita periódicamente a las mujeres de entre 50 y 70 años, y las mujeres mayores de 70 años siguen teniendo derecho a someterse a las pruebas de detección y pueden solicitarlas cada 3 años. El</w:t>
      </w:r>
      <w:r w:rsidR="00233A1A" w:rsidRPr="00A03848">
        <w:rPr>
          <w:szCs w:val="22"/>
          <w:lang w:val="es-ES" w:eastAsia="en-US"/>
        </w:rPr>
        <w:t xml:space="preserve"> </w:t>
      </w:r>
      <w:r w:rsidR="0011638B" w:rsidRPr="00A03848">
        <w:rPr>
          <w:szCs w:val="22"/>
          <w:lang w:val="es-ES" w:eastAsia="en-US"/>
        </w:rPr>
        <w:t xml:space="preserve">programa se está ampliando a modo de prueba para incluir a las mujeres de 47 a 49 años y de 71 a 73 años. </w:t>
      </w:r>
      <w:bookmarkEnd w:id="328"/>
    </w:p>
    <w:p w14:paraId="37B63491" w14:textId="5CEF326E" w:rsidR="0011638B" w:rsidRPr="00A03848" w:rsidRDefault="00946670" w:rsidP="00AB43B5">
      <w:pPr>
        <w:pStyle w:val="SingleTxt"/>
        <w:rPr>
          <w:szCs w:val="22"/>
          <w:lang w:val="es-ES" w:eastAsia="en-US"/>
        </w:rPr>
      </w:pPr>
      <w:bookmarkStart w:id="329" w:name="bookmark_362"/>
      <w:r w:rsidRPr="00A03848">
        <w:rPr>
          <w:szCs w:val="22"/>
          <w:lang w:val="es-ES" w:eastAsia="en-US"/>
        </w:rPr>
        <w:t>125.</w:t>
      </w:r>
      <w:r w:rsidRPr="00A03848">
        <w:rPr>
          <w:szCs w:val="22"/>
          <w:lang w:val="es-ES" w:eastAsia="en-US"/>
        </w:rPr>
        <w:tab/>
      </w:r>
      <w:r w:rsidR="0011638B" w:rsidRPr="00A03848">
        <w:rPr>
          <w:szCs w:val="22"/>
          <w:lang w:val="es-ES" w:eastAsia="en-US"/>
        </w:rPr>
        <w:t>El Servicio Nacional de Salud sigue ofreciendo un programa de vacunación de las niñas de 12 y 13 años contra el virus del papiloma humano (VPH), principalmente para protegerlas del cáncer de cuello uterino. Este programa tiene una gran acogida y, en la actualidad, alrededor del 85% de las niñas se acogen a él. El Departamento de Salud informa de que, desde que se introdujo este programa, ya ha disminuido el número de infecciones por el VPH entre las jóvenes de Inglaterra, y se calcula que podrían salvarse en torno a 400 vidas al año.</w:t>
      </w:r>
      <w:bookmarkEnd w:id="329"/>
    </w:p>
    <w:p w14:paraId="640B66C1" w14:textId="1E7EFD56" w:rsidR="0011638B" w:rsidRPr="00A03848" w:rsidRDefault="00946670" w:rsidP="00AB43B5">
      <w:pPr>
        <w:pStyle w:val="SingleTxt"/>
        <w:rPr>
          <w:szCs w:val="22"/>
          <w:lang w:val="es-ES" w:eastAsia="en-US"/>
        </w:rPr>
      </w:pPr>
      <w:bookmarkStart w:id="330" w:name="bookmark_363"/>
      <w:r w:rsidRPr="00A03848">
        <w:rPr>
          <w:szCs w:val="22"/>
          <w:lang w:val="es-ES" w:eastAsia="en-US"/>
        </w:rPr>
        <w:t>126.</w:t>
      </w:r>
      <w:r w:rsidRPr="00A03848">
        <w:rPr>
          <w:szCs w:val="22"/>
          <w:lang w:val="es-ES" w:eastAsia="en-US"/>
        </w:rPr>
        <w:tab/>
      </w:r>
      <w:r w:rsidR="0011638B" w:rsidRPr="00A03848">
        <w:rPr>
          <w:szCs w:val="22"/>
          <w:lang w:val="es-ES" w:eastAsia="en-US"/>
        </w:rPr>
        <w:t>Gales ha establecido programas nacionales de detección ofrecidos por el Servicio de Salud Pública de Gales: en lo que respecta a la detección del cáncer de cuello uterino, se recomienda a las mujeres que acudan a ser examinadas cada 3</w:t>
      </w:r>
      <w:r w:rsidR="00233A1A" w:rsidRPr="00A03848">
        <w:rPr>
          <w:szCs w:val="22"/>
          <w:lang w:val="es-ES" w:eastAsia="en-US"/>
        </w:rPr>
        <w:t xml:space="preserve"> </w:t>
      </w:r>
      <w:r w:rsidR="0011638B" w:rsidRPr="00A03848">
        <w:rPr>
          <w:szCs w:val="22"/>
          <w:lang w:val="es-ES" w:eastAsia="en-US"/>
        </w:rPr>
        <w:t>años si tienen entre 25 y 49 años y cada 5 años si tienen entre 50 y 64 años. Las pruebas de detección del cáncer de mama se ofrecen a las mujeres de entre 50 y 70</w:t>
      </w:r>
      <w:r w:rsidR="00233A1A" w:rsidRPr="00A03848">
        <w:rPr>
          <w:szCs w:val="22"/>
          <w:lang w:val="es-ES" w:eastAsia="en-US"/>
        </w:rPr>
        <w:t xml:space="preserve"> </w:t>
      </w:r>
      <w:r w:rsidR="0011638B" w:rsidRPr="00A03848">
        <w:rPr>
          <w:szCs w:val="22"/>
          <w:lang w:val="es-ES" w:eastAsia="en-US"/>
        </w:rPr>
        <w:t>años cada 3 años; las pruebas de detección del cáncer de colon, a las mujeres de entre 60 y 74 años cada 2 años; y las pruebas de detección de retinopatía diabética, a todas las mujeres con diabetes anualmente.</w:t>
      </w:r>
      <w:bookmarkEnd w:id="330"/>
    </w:p>
    <w:p w14:paraId="2471F047" w14:textId="77777777" w:rsidR="00306196" w:rsidRPr="00A03848" w:rsidRDefault="00306196" w:rsidP="00306196">
      <w:pPr>
        <w:pStyle w:val="SingleTxt"/>
        <w:spacing w:after="0" w:line="120" w:lineRule="exact"/>
        <w:rPr>
          <w:sz w:val="10"/>
          <w:szCs w:val="10"/>
          <w:lang w:val="es-ES"/>
        </w:rPr>
      </w:pPr>
    </w:p>
    <w:p w14:paraId="37B37620" w14:textId="77777777" w:rsidR="0011638B" w:rsidRPr="00A03848" w:rsidRDefault="0011638B" w:rsidP="007A1CF8">
      <w:pPr>
        <w:pStyle w:val="H23"/>
        <w:ind w:right="1260"/>
        <w:rPr>
          <w:lang w:val="es-ES" w:eastAsia="en-US"/>
        </w:rPr>
      </w:pPr>
      <w:bookmarkStart w:id="331" w:name="bookmark_364"/>
      <w:r w:rsidRPr="00A03848">
        <w:rPr>
          <w:lang w:val="es-ES" w:eastAsia="en-US"/>
        </w:rPr>
        <w:tab/>
      </w:r>
      <w:r w:rsidRPr="00A03848">
        <w:rPr>
          <w:lang w:val="es-ES" w:eastAsia="en-US"/>
        </w:rPr>
        <w:tab/>
        <w:t>Sensibilización sobre la salud sexual</w:t>
      </w:r>
      <w:bookmarkEnd w:id="331"/>
    </w:p>
    <w:p w14:paraId="7AC76C02" w14:textId="77777777" w:rsidR="00306196" w:rsidRPr="00A03848" w:rsidRDefault="00306196" w:rsidP="00306196">
      <w:pPr>
        <w:pStyle w:val="SingleTxt"/>
        <w:spacing w:after="0" w:line="120" w:lineRule="exact"/>
        <w:rPr>
          <w:sz w:val="10"/>
          <w:szCs w:val="10"/>
          <w:lang w:val="es-ES"/>
        </w:rPr>
      </w:pPr>
      <w:bookmarkStart w:id="332" w:name="Sample_3"/>
    </w:p>
    <w:p w14:paraId="4F878661" w14:textId="7128AF40" w:rsidR="0011638B" w:rsidRPr="00A03848" w:rsidRDefault="00946670" w:rsidP="007A1CF8">
      <w:pPr>
        <w:pStyle w:val="SingleTxt"/>
        <w:rPr>
          <w:lang w:val="es-ES" w:eastAsia="en-US"/>
        </w:rPr>
      </w:pPr>
      <w:bookmarkStart w:id="333" w:name="bookmark_365"/>
      <w:r w:rsidRPr="00A03848">
        <w:rPr>
          <w:lang w:val="es-ES" w:eastAsia="en-US"/>
        </w:rPr>
        <w:t>127.</w:t>
      </w:r>
      <w:r w:rsidRPr="00A03848">
        <w:rPr>
          <w:lang w:val="es-ES" w:eastAsia="en-US"/>
        </w:rPr>
        <w:tab/>
      </w:r>
      <w:r w:rsidR="0011638B" w:rsidRPr="00A03848">
        <w:rPr>
          <w:lang w:val="es-ES" w:eastAsia="en-US"/>
        </w:rPr>
        <w:t>El Gobierno del Reino Unido ha expuesto su ambición por mejorar la salud sexual y el bienestar en</w:t>
      </w:r>
      <w:r w:rsidR="00343F7E" w:rsidRPr="00A03848">
        <w:rPr>
          <w:lang w:val="es-ES" w:eastAsia="en-US"/>
        </w:rPr>
        <w:t xml:space="preserve"> el documento</w:t>
      </w:r>
      <w:r w:rsidR="0011638B" w:rsidRPr="00A03848">
        <w:rPr>
          <w:lang w:val="es-ES" w:eastAsia="en-US"/>
        </w:rPr>
        <w:t xml:space="preserve"> </w:t>
      </w:r>
      <w:r w:rsidR="00701A67" w:rsidRPr="00A03848">
        <w:rPr>
          <w:i/>
          <w:lang w:val="es-ES" w:eastAsia="en-US"/>
        </w:rPr>
        <w:t>A Framework for Improving Sexual Health in England</w:t>
      </w:r>
      <w:r w:rsidR="00701A67" w:rsidRPr="00A03848">
        <w:rPr>
          <w:lang w:val="es-ES" w:eastAsia="en-US"/>
        </w:rPr>
        <w:t xml:space="preserve"> </w:t>
      </w:r>
      <w:r w:rsidR="0011638B" w:rsidRPr="00A03848">
        <w:rPr>
          <w:lang w:val="es-ES" w:eastAsia="en-US"/>
        </w:rPr>
        <w:t>(marzo de 2013</w:t>
      </w:r>
      <w:r w:rsidR="00701A67" w:rsidRPr="00A03848">
        <w:rPr>
          <w:lang w:val="es-ES" w:eastAsia="en-US"/>
        </w:rPr>
        <w:t xml:space="preserve">), marco que </w:t>
      </w:r>
      <w:r w:rsidR="0011638B" w:rsidRPr="00A03848">
        <w:rPr>
          <w:lang w:val="es-ES" w:eastAsia="en-US"/>
        </w:rPr>
        <w:t xml:space="preserve">aborda todos los aspectos </w:t>
      </w:r>
      <w:r w:rsidR="00701A67" w:rsidRPr="00A03848">
        <w:rPr>
          <w:lang w:val="es-ES" w:eastAsia="en-US"/>
        </w:rPr>
        <w:t xml:space="preserve">conexos </w:t>
      </w:r>
      <w:r w:rsidR="0011638B" w:rsidRPr="00A03848">
        <w:rPr>
          <w:lang w:val="es-ES" w:eastAsia="en-US"/>
        </w:rPr>
        <w:t>a lo largo de la vida y establece los mecanismos mediante los cuales se encargan y prestan los servicios y tratamientos de salud sexual. Las tasas de embarazos en la adolescencia se encuentran entre las más bajas que se han registrado hasta ahora: la tasa de embarazos entre menores de 18 años en 2015 fue de 21 por cada 1.000 mujeres de 15 a 17 años</w:t>
      </w:r>
      <w:r w:rsidR="0011638B" w:rsidRPr="00A03848">
        <w:rPr>
          <w:vertAlign w:val="superscript"/>
          <w:lang w:val="es-ES" w:eastAsia="en-US"/>
        </w:rPr>
        <w:footnoteReference w:id="58"/>
      </w:r>
      <w:r w:rsidR="0011638B" w:rsidRPr="00A03848">
        <w:rPr>
          <w:lang w:val="es-ES" w:eastAsia="en-US"/>
        </w:rPr>
        <w:t>.</w:t>
      </w:r>
      <w:bookmarkEnd w:id="333"/>
    </w:p>
    <w:p w14:paraId="1D3B289B" w14:textId="4B5A799B" w:rsidR="0011638B" w:rsidRPr="00A03848" w:rsidRDefault="00946670" w:rsidP="00AB43B5">
      <w:pPr>
        <w:pStyle w:val="SingleTxt"/>
        <w:rPr>
          <w:szCs w:val="22"/>
          <w:lang w:val="es-ES" w:eastAsia="en-US"/>
        </w:rPr>
      </w:pPr>
      <w:bookmarkStart w:id="335" w:name="bookmark_367"/>
      <w:r w:rsidRPr="00A03848">
        <w:rPr>
          <w:szCs w:val="22"/>
          <w:lang w:val="es-ES" w:eastAsia="en-US"/>
        </w:rPr>
        <w:t>128.</w:t>
      </w:r>
      <w:r w:rsidRPr="00A03848">
        <w:rPr>
          <w:szCs w:val="22"/>
          <w:lang w:val="es-ES" w:eastAsia="en-US"/>
        </w:rPr>
        <w:tab/>
      </w:r>
      <w:r w:rsidR="0011638B" w:rsidRPr="00A03848">
        <w:rPr>
          <w:szCs w:val="22"/>
          <w:lang w:val="es-ES" w:eastAsia="en-US"/>
        </w:rPr>
        <w:t xml:space="preserve">La Autoridad de Reglamentación y Mejora de la Calidad realizó un examen de los servicios especializados de salud sexual en Irlanda del Norte en 2013. Se aceptaron las 16 recomendaciones resultantes y se ha avanzado en la aplicación de algunas de ellas a nivel local; en particular, se han logrado avances en la capacitación del </w:t>
      </w:r>
      <w:r w:rsidR="0011638B" w:rsidRPr="00A03848">
        <w:rPr>
          <w:szCs w:val="22"/>
          <w:u w:val="single"/>
          <w:lang w:val="es-ES" w:eastAsia="en-US"/>
        </w:rPr>
        <w:t>personal</w:t>
      </w:r>
      <w:r w:rsidR="0011638B" w:rsidRPr="00A03848">
        <w:rPr>
          <w:szCs w:val="22"/>
          <w:lang w:val="es-ES" w:eastAsia="en-US"/>
        </w:rPr>
        <w:t>, las disposiciones relativas a la notificación a la pareja, el suministro de información acerca del acceso a los servicios y el respaldo de la orientación del Instituto Nacional de Excelencia en Salud y Atención sobre los métodos anticonceptivos reversibles de acción prolongada</w:t>
      </w:r>
      <w:r w:rsidR="0011638B" w:rsidRPr="00A03848">
        <w:rPr>
          <w:szCs w:val="22"/>
          <w:vertAlign w:val="superscript"/>
          <w:lang w:val="es-ES" w:eastAsia="en-US"/>
        </w:rPr>
        <w:endnoteReference w:id="33"/>
      </w:r>
      <w:r w:rsidR="0011638B" w:rsidRPr="00A03848">
        <w:rPr>
          <w:szCs w:val="22"/>
          <w:lang w:val="es-ES" w:eastAsia="en-US"/>
        </w:rPr>
        <w:t xml:space="preserve">. </w:t>
      </w:r>
      <w:bookmarkEnd w:id="335"/>
    </w:p>
    <w:p w14:paraId="01919555" w14:textId="40D82E59" w:rsidR="0011638B" w:rsidRPr="00A03848" w:rsidRDefault="00946670" w:rsidP="00AB43B5">
      <w:pPr>
        <w:pStyle w:val="SingleTxt"/>
        <w:rPr>
          <w:szCs w:val="22"/>
          <w:lang w:val="es-ES" w:eastAsia="en-US"/>
        </w:rPr>
      </w:pPr>
      <w:bookmarkStart w:id="337" w:name="bookmark_369"/>
      <w:r w:rsidRPr="00A03848">
        <w:rPr>
          <w:szCs w:val="22"/>
          <w:lang w:val="es-ES" w:eastAsia="en-US"/>
        </w:rPr>
        <w:t>129.</w:t>
      </w:r>
      <w:r w:rsidRPr="00A03848">
        <w:rPr>
          <w:szCs w:val="22"/>
          <w:lang w:val="es-ES" w:eastAsia="en-US"/>
        </w:rPr>
        <w:tab/>
      </w:r>
      <w:r w:rsidR="0011638B" w:rsidRPr="00A03848">
        <w:rPr>
          <w:szCs w:val="22"/>
          <w:lang w:val="es-ES" w:eastAsia="en-US"/>
        </w:rPr>
        <w:t>En Escocia, la Estrategia sobre Embarazo y Paternidad entre los Jóvenes publicada en 2016 menciona expresamente la importancia de apoyar las relaciones positivas, la educación de alta calidad en materia de salud sexual y también la necesidad de servicios integrales de salud sexual y reproductiva en relación con los</w:t>
      </w:r>
      <w:r w:rsidR="00233A1A" w:rsidRPr="00A03848">
        <w:rPr>
          <w:szCs w:val="22"/>
          <w:lang w:val="es-ES" w:eastAsia="en-US"/>
        </w:rPr>
        <w:t xml:space="preserve"> </w:t>
      </w:r>
      <w:r w:rsidR="0011638B" w:rsidRPr="00A03848">
        <w:rPr>
          <w:szCs w:val="22"/>
          <w:lang w:val="es-ES" w:eastAsia="en-US"/>
        </w:rPr>
        <w:t xml:space="preserve">jóvenes. </w:t>
      </w:r>
      <w:bookmarkEnd w:id="337"/>
    </w:p>
    <w:p w14:paraId="491A9B3F" w14:textId="2DC1E823" w:rsidR="0011638B" w:rsidRPr="00A03848" w:rsidRDefault="00946670" w:rsidP="00AB43B5">
      <w:pPr>
        <w:pStyle w:val="SingleTxt"/>
        <w:rPr>
          <w:szCs w:val="22"/>
          <w:lang w:val="es-ES" w:eastAsia="en-US"/>
        </w:rPr>
      </w:pPr>
      <w:bookmarkStart w:id="338" w:name="bookmark_370"/>
      <w:r w:rsidRPr="00A03848">
        <w:rPr>
          <w:szCs w:val="22"/>
          <w:lang w:val="es-ES" w:eastAsia="en-US"/>
        </w:rPr>
        <w:t>130.</w:t>
      </w:r>
      <w:r w:rsidRPr="00A03848">
        <w:rPr>
          <w:szCs w:val="22"/>
          <w:lang w:val="es-ES" w:eastAsia="en-US"/>
        </w:rPr>
        <w:tab/>
      </w:r>
      <w:r w:rsidR="0011638B" w:rsidRPr="00A03848">
        <w:rPr>
          <w:szCs w:val="22"/>
          <w:lang w:val="es-ES" w:eastAsia="en-US"/>
        </w:rPr>
        <w:t xml:space="preserve">Gracias al Plan de Acción </w:t>
      </w:r>
      <w:r w:rsidR="00701A67" w:rsidRPr="00A03848">
        <w:rPr>
          <w:szCs w:val="22"/>
          <w:lang w:val="es-ES" w:eastAsia="en-US"/>
        </w:rPr>
        <w:t xml:space="preserve">de Gales </w:t>
      </w:r>
      <w:r w:rsidR="0011638B" w:rsidRPr="00A03848">
        <w:rPr>
          <w:szCs w:val="22"/>
          <w:lang w:val="es-ES" w:eastAsia="en-US"/>
        </w:rPr>
        <w:t xml:space="preserve">sobre Salud Sexual y Bienestar 2010-2015, se consiguió una serie de servicios y mejoras en </w:t>
      </w:r>
      <w:r w:rsidR="00701A67" w:rsidRPr="00A03848">
        <w:rPr>
          <w:szCs w:val="22"/>
          <w:lang w:val="es-ES" w:eastAsia="en-US"/>
        </w:rPr>
        <w:t>cuanto</w:t>
      </w:r>
      <w:r w:rsidR="0011638B" w:rsidRPr="00A03848">
        <w:rPr>
          <w:szCs w:val="22"/>
          <w:lang w:val="es-ES" w:eastAsia="en-US"/>
        </w:rPr>
        <w:t xml:space="preserve"> a la mujer, como, por ejemplo, la reducción de las tasas de embarazos en la adolescencia y la prestación de servicios integrados de salud sexual en todo Gales.</w:t>
      </w:r>
      <w:bookmarkEnd w:id="338"/>
    </w:p>
    <w:p w14:paraId="1CC290AA" w14:textId="77777777" w:rsidR="00306196" w:rsidRPr="00A03848" w:rsidRDefault="00306196" w:rsidP="00306196">
      <w:pPr>
        <w:pStyle w:val="SingleTxt"/>
        <w:spacing w:after="0" w:line="120" w:lineRule="exact"/>
        <w:rPr>
          <w:sz w:val="10"/>
          <w:szCs w:val="10"/>
          <w:lang w:val="es-ES"/>
        </w:rPr>
      </w:pPr>
    </w:p>
    <w:p w14:paraId="6F34815A" w14:textId="77777777" w:rsidR="0011638B" w:rsidRPr="00A03848" w:rsidRDefault="0011638B" w:rsidP="009F2DF3">
      <w:pPr>
        <w:pStyle w:val="H23"/>
        <w:ind w:right="1260"/>
        <w:rPr>
          <w:bCs w:val="0"/>
          <w:lang w:val="es-ES" w:eastAsia="en-US"/>
        </w:rPr>
      </w:pPr>
      <w:bookmarkStart w:id="339" w:name="bookmark_371"/>
      <w:r w:rsidRPr="00A03848">
        <w:rPr>
          <w:bCs w:val="0"/>
          <w:lang w:val="es-ES" w:eastAsia="en-US"/>
        </w:rPr>
        <w:tab/>
      </w:r>
      <w:r w:rsidRPr="00A03848">
        <w:rPr>
          <w:bCs w:val="0"/>
          <w:lang w:val="es-ES" w:eastAsia="en-US"/>
        </w:rPr>
        <w:tab/>
        <w:t>Apoyo al acceso de las mujeres a los servicios de aborto en Irlanda del Norte</w:t>
      </w:r>
      <w:bookmarkEnd w:id="339"/>
    </w:p>
    <w:p w14:paraId="4C53515B" w14:textId="77777777" w:rsidR="00306196" w:rsidRPr="00A03848" w:rsidRDefault="00306196" w:rsidP="00306196">
      <w:pPr>
        <w:pStyle w:val="SingleTxt"/>
        <w:spacing w:after="0" w:line="120" w:lineRule="exact"/>
        <w:rPr>
          <w:sz w:val="10"/>
          <w:szCs w:val="10"/>
          <w:lang w:val="es-ES"/>
        </w:rPr>
      </w:pPr>
    </w:p>
    <w:p w14:paraId="3364ED0C" w14:textId="4FBC6B98" w:rsidR="0011638B" w:rsidRPr="00A03848" w:rsidRDefault="00946670" w:rsidP="00AB43B5">
      <w:pPr>
        <w:pStyle w:val="SingleTxt"/>
        <w:rPr>
          <w:szCs w:val="22"/>
          <w:lang w:val="es-ES" w:eastAsia="en-US"/>
        </w:rPr>
      </w:pPr>
      <w:bookmarkStart w:id="340" w:name="bookmark_372"/>
      <w:r w:rsidRPr="00A03848">
        <w:rPr>
          <w:szCs w:val="22"/>
          <w:lang w:val="es-ES" w:eastAsia="en-US"/>
        </w:rPr>
        <w:t>131.</w:t>
      </w:r>
      <w:r w:rsidRPr="00A03848">
        <w:rPr>
          <w:szCs w:val="22"/>
          <w:lang w:val="es-ES" w:eastAsia="en-US"/>
        </w:rPr>
        <w:tab/>
      </w:r>
      <w:r w:rsidR="0011638B" w:rsidRPr="00A03848">
        <w:rPr>
          <w:szCs w:val="22"/>
          <w:lang w:val="es-ES" w:eastAsia="en-US"/>
        </w:rPr>
        <w:t>El aborto sigue siendo un delito penal en Irlanda del Norte, a menos que sea necesario para preservar la vida de la mujer o exista un peligro real y se pueda producir un efecto adverso grave en la salud física o mental de la mujer, ya sea a largo plazo o de forma permanente. El año pasado, 724 mujeres de Irlanda del Norte viajaron a Inglaterra y Gales para abortar, según cifras oficiales. El 29 de junio de 2017, el Gobierno del Reino Unido anunció que las mujeres de Irlanda del Norte podrían someterse a un aborto en los servicios de salud pública de Inglaterra. En Escocia, el 21 de septiembre de 2017 se presentó al Parlamento un instrumento legislativo que servirá de base jurídica para que las Juntas del Servicio Nacional de Salud ofrezcan asistencia gratuita en casos de aborto a las mujeres de Irlanda del Norte. El Gobierno de Gales se ha comprometido a estudiar cómo pueden acceder las mujeres que residen habitualmente en Irlanda del Norte a los servicios de aborto que se prestan en Gales.</w:t>
      </w:r>
      <w:bookmarkEnd w:id="340"/>
    </w:p>
    <w:p w14:paraId="41E6A8CC" w14:textId="77777777" w:rsidR="00306196" w:rsidRPr="00A03848" w:rsidRDefault="00306196" w:rsidP="00306196">
      <w:pPr>
        <w:pStyle w:val="SingleTxt"/>
        <w:spacing w:after="0" w:line="120" w:lineRule="exact"/>
        <w:rPr>
          <w:sz w:val="10"/>
          <w:szCs w:val="10"/>
          <w:lang w:val="es-ES"/>
        </w:rPr>
      </w:pPr>
    </w:p>
    <w:p w14:paraId="48F8A59C" w14:textId="77777777" w:rsidR="0011638B" w:rsidRPr="00A03848" w:rsidRDefault="0011638B" w:rsidP="009F2DF3">
      <w:pPr>
        <w:pStyle w:val="H23"/>
        <w:ind w:right="1260"/>
        <w:rPr>
          <w:bCs w:val="0"/>
          <w:lang w:val="es-ES" w:eastAsia="en-US"/>
        </w:rPr>
      </w:pPr>
      <w:bookmarkStart w:id="341" w:name="bookmark_373"/>
      <w:r w:rsidRPr="00A03848">
        <w:rPr>
          <w:bCs w:val="0"/>
          <w:lang w:val="es-ES" w:eastAsia="en-US"/>
        </w:rPr>
        <w:tab/>
      </w:r>
      <w:r w:rsidRPr="00A03848">
        <w:rPr>
          <w:bCs w:val="0"/>
          <w:lang w:val="es-ES" w:eastAsia="en-US"/>
        </w:rPr>
        <w:tab/>
        <w:t>Prestación de servicios de aborto en Irlanda del Norte</w:t>
      </w:r>
      <w:r w:rsidRPr="00A03848">
        <w:rPr>
          <w:bCs w:val="0"/>
          <w:vertAlign w:val="superscript"/>
          <w:lang w:val="es-ES" w:eastAsia="en-US"/>
        </w:rPr>
        <w:endnoteReference w:id="34"/>
      </w:r>
      <w:bookmarkEnd w:id="341"/>
    </w:p>
    <w:p w14:paraId="05F622F9" w14:textId="77777777" w:rsidR="00306196" w:rsidRPr="00A03848" w:rsidRDefault="00306196" w:rsidP="00306196">
      <w:pPr>
        <w:pStyle w:val="SingleTxt"/>
        <w:spacing w:after="0" w:line="120" w:lineRule="exact"/>
        <w:rPr>
          <w:sz w:val="10"/>
          <w:szCs w:val="10"/>
          <w:lang w:val="es-ES"/>
        </w:rPr>
      </w:pPr>
    </w:p>
    <w:p w14:paraId="4EA86101" w14:textId="02F3644E" w:rsidR="0011638B" w:rsidRPr="00A03848" w:rsidRDefault="00946670" w:rsidP="00AB43B5">
      <w:pPr>
        <w:pStyle w:val="SingleTxt"/>
        <w:rPr>
          <w:szCs w:val="22"/>
          <w:lang w:val="es-ES" w:eastAsia="en-US"/>
        </w:rPr>
      </w:pPr>
      <w:bookmarkStart w:id="343" w:name="bookmark_375"/>
      <w:r w:rsidRPr="00A03848">
        <w:rPr>
          <w:szCs w:val="22"/>
          <w:lang w:val="es-ES" w:eastAsia="en-US"/>
        </w:rPr>
        <w:t>132.</w:t>
      </w:r>
      <w:r w:rsidRPr="00A03848">
        <w:rPr>
          <w:szCs w:val="22"/>
          <w:lang w:val="es-ES" w:eastAsia="en-US"/>
        </w:rPr>
        <w:tab/>
      </w:r>
      <w:r w:rsidR="0011638B" w:rsidRPr="00A03848">
        <w:rPr>
          <w:szCs w:val="22"/>
          <w:lang w:val="es-ES" w:eastAsia="en-US"/>
        </w:rPr>
        <w:t xml:space="preserve">El Comité tiene conocimiento de que la legislación sobre el aborto debido a una anomalía mortal del feto ya se ha sometido a examen ministerial. Un documento del grupo de trabajo sobre ese asunto se presentó a los ministros en octubre del año pasado y se debían presentar propuestas al Comité Ejecutivo de Irlanda del Norte en enero para que tomara una decisión al respecto. Sin embargo, los acontecimientos políticos provocaron que el </w:t>
      </w:r>
      <w:r w:rsidR="005F6DF8" w:rsidRPr="00A03848">
        <w:rPr>
          <w:szCs w:val="22"/>
          <w:lang w:val="es-ES" w:eastAsia="en-US"/>
        </w:rPr>
        <w:t xml:space="preserve">Comité </w:t>
      </w:r>
      <w:r w:rsidR="0011638B" w:rsidRPr="00A03848">
        <w:rPr>
          <w:szCs w:val="22"/>
          <w:lang w:val="es-ES" w:eastAsia="en-US"/>
        </w:rPr>
        <w:t>Ejecutivo dejara de funcionar en enero y todavía no se ha restablecido.</w:t>
      </w:r>
      <w:bookmarkEnd w:id="343"/>
    </w:p>
    <w:p w14:paraId="2C9E4632" w14:textId="77777777" w:rsidR="00306196" w:rsidRPr="00A03848" w:rsidRDefault="00306196" w:rsidP="00306196">
      <w:pPr>
        <w:pStyle w:val="SingleTxt"/>
        <w:spacing w:after="0" w:line="120" w:lineRule="exact"/>
        <w:rPr>
          <w:sz w:val="10"/>
          <w:szCs w:val="10"/>
          <w:lang w:val="es-ES"/>
        </w:rPr>
      </w:pPr>
    </w:p>
    <w:p w14:paraId="4EF7B60B" w14:textId="77777777" w:rsidR="0011638B" w:rsidRPr="00A03848" w:rsidRDefault="0011638B" w:rsidP="009F2DF3">
      <w:pPr>
        <w:pStyle w:val="H23"/>
        <w:ind w:right="1260"/>
        <w:rPr>
          <w:bCs w:val="0"/>
          <w:lang w:val="es-ES" w:eastAsia="en-US"/>
        </w:rPr>
      </w:pPr>
      <w:bookmarkStart w:id="344" w:name="bookmark_376"/>
      <w:r w:rsidRPr="00A03848">
        <w:rPr>
          <w:bCs w:val="0"/>
          <w:lang w:val="es-ES" w:eastAsia="en-US"/>
        </w:rPr>
        <w:tab/>
      </w:r>
      <w:r w:rsidRPr="00A03848">
        <w:rPr>
          <w:bCs w:val="0"/>
          <w:lang w:val="es-ES" w:eastAsia="en-US"/>
        </w:rPr>
        <w:tab/>
        <w:t>Servicios de maternidad</w:t>
      </w:r>
      <w:bookmarkEnd w:id="344"/>
    </w:p>
    <w:p w14:paraId="100FA196" w14:textId="77777777" w:rsidR="00306196" w:rsidRPr="00A03848" w:rsidRDefault="00306196" w:rsidP="00306196">
      <w:pPr>
        <w:pStyle w:val="SingleTxt"/>
        <w:spacing w:after="0" w:line="120" w:lineRule="exact"/>
        <w:rPr>
          <w:sz w:val="10"/>
          <w:szCs w:val="10"/>
          <w:lang w:val="es-ES"/>
        </w:rPr>
      </w:pPr>
    </w:p>
    <w:p w14:paraId="42B6A5F3" w14:textId="4E5BB2CA" w:rsidR="0011638B" w:rsidRPr="00A03848" w:rsidRDefault="00946670" w:rsidP="00AB43B5">
      <w:pPr>
        <w:pStyle w:val="SingleTxt"/>
        <w:rPr>
          <w:szCs w:val="22"/>
          <w:lang w:val="es-ES" w:eastAsia="en-US"/>
        </w:rPr>
      </w:pPr>
      <w:bookmarkStart w:id="345" w:name="bookmark_377"/>
      <w:r w:rsidRPr="00A03848">
        <w:rPr>
          <w:szCs w:val="22"/>
          <w:lang w:val="es-ES" w:eastAsia="en-US"/>
        </w:rPr>
        <w:t>133.</w:t>
      </w:r>
      <w:r w:rsidRPr="00A03848">
        <w:rPr>
          <w:szCs w:val="22"/>
          <w:lang w:val="es-ES" w:eastAsia="en-US"/>
        </w:rPr>
        <w:tab/>
      </w:r>
      <w:r w:rsidR="0011638B" w:rsidRPr="00A03848">
        <w:rPr>
          <w:szCs w:val="22"/>
          <w:lang w:val="es-ES" w:eastAsia="en-US"/>
        </w:rPr>
        <w:t xml:space="preserve">En el informe del Servicio Nacional de Salud de Inglaterra se encargó el Examen Nacional de Maternidad, que se tituló </w:t>
      </w:r>
      <w:r w:rsidR="00284834" w:rsidRPr="00A03848">
        <w:rPr>
          <w:szCs w:val="22"/>
          <w:lang w:val="es-ES" w:eastAsia="en-US"/>
        </w:rPr>
        <w:t>“</w:t>
      </w:r>
      <w:r w:rsidR="0011638B" w:rsidRPr="00A03848">
        <w:rPr>
          <w:szCs w:val="22"/>
          <w:lang w:val="es-ES" w:eastAsia="en-US"/>
        </w:rPr>
        <w:t>Better Births</w:t>
      </w:r>
      <w:r w:rsidR="00284834" w:rsidRPr="00A03848">
        <w:rPr>
          <w:szCs w:val="22"/>
          <w:lang w:val="es-ES" w:eastAsia="en-US"/>
        </w:rPr>
        <w:t>”</w:t>
      </w:r>
      <w:r w:rsidR="0011638B" w:rsidRPr="00A03848">
        <w:rPr>
          <w:szCs w:val="22"/>
          <w:vertAlign w:val="superscript"/>
          <w:lang w:val="es-ES" w:eastAsia="en-US"/>
        </w:rPr>
        <w:footnoteReference w:id="59"/>
      </w:r>
      <w:r w:rsidR="0011638B" w:rsidRPr="00A03848">
        <w:rPr>
          <w:szCs w:val="22"/>
          <w:lang w:val="es-ES" w:eastAsia="en-US"/>
        </w:rPr>
        <w:t xml:space="preserve"> y fue publicado el 23 de febrero de 2016. En él se expone un objetivo claro: conseguir en toda Inglaterra unos servicios de maternidad más seguros, más personalizados, más </w:t>
      </w:r>
      <w:r w:rsidR="005F6DF8" w:rsidRPr="00A03848">
        <w:rPr>
          <w:szCs w:val="22"/>
          <w:lang w:val="es-ES" w:eastAsia="en-US"/>
        </w:rPr>
        <w:t>atentos</w:t>
      </w:r>
      <w:r w:rsidR="0011638B" w:rsidRPr="00A03848">
        <w:rPr>
          <w:szCs w:val="22"/>
          <w:lang w:val="es-ES" w:eastAsia="en-US"/>
        </w:rPr>
        <w:t xml:space="preserve">, profesionales y más favorables a la familia en los que cada mujer tenga acceso a información que le permita tomar decisiones sobre la atención que reciba, y en los que ella y su bebé puedan acceder a un apoyo centrado en sus necesidades y circunstancias personales. En el documento </w:t>
      </w:r>
      <w:r w:rsidR="00284834" w:rsidRPr="00A03848">
        <w:rPr>
          <w:szCs w:val="22"/>
          <w:lang w:val="es-ES" w:eastAsia="en-US"/>
        </w:rPr>
        <w:t>“</w:t>
      </w:r>
      <w:r w:rsidR="0011638B" w:rsidRPr="00A03848">
        <w:rPr>
          <w:szCs w:val="22"/>
          <w:lang w:val="es-ES" w:eastAsia="en-US"/>
        </w:rPr>
        <w:t>Safer Maternity Care: next steps towards the national maternity ambition</w:t>
      </w:r>
      <w:r w:rsidR="00284834" w:rsidRPr="00A03848">
        <w:rPr>
          <w:szCs w:val="22"/>
          <w:lang w:val="es-ES" w:eastAsia="en-US"/>
        </w:rPr>
        <w:t>”</w:t>
      </w:r>
      <w:r w:rsidR="0011638B" w:rsidRPr="00A03848">
        <w:rPr>
          <w:szCs w:val="22"/>
          <w:lang w:val="es-ES" w:eastAsia="en-US"/>
        </w:rPr>
        <w:t xml:space="preserve">, publicado en octubre de 2016, se describen las medidas necesarias a nivel nacional y local para consolidar los avances ya alcanzados con el fin de potenciar la seguridad de los servicios de maternidad y lograr la aspiración nacional del Reino Unido. </w:t>
      </w:r>
      <w:bookmarkEnd w:id="345"/>
    </w:p>
    <w:p w14:paraId="7409266D" w14:textId="53A7D75C" w:rsidR="0011638B" w:rsidRPr="00A03848" w:rsidRDefault="00946670" w:rsidP="00AB43B5">
      <w:pPr>
        <w:pStyle w:val="SingleTxt"/>
        <w:rPr>
          <w:szCs w:val="22"/>
          <w:lang w:val="es-ES" w:eastAsia="en-US"/>
        </w:rPr>
      </w:pPr>
      <w:bookmarkStart w:id="347" w:name="bookmark_379"/>
      <w:r w:rsidRPr="00A03848">
        <w:rPr>
          <w:szCs w:val="22"/>
          <w:lang w:val="es-ES" w:eastAsia="en-US"/>
        </w:rPr>
        <w:t>134.</w:t>
      </w:r>
      <w:r w:rsidRPr="00A03848">
        <w:rPr>
          <w:szCs w:val="22"/>
          <w:lang w:val="es-ES" w:eastAsia="en-US"/>
        </w:rPr>
        <w:tab/>
      </w:r>
      <w:r w:rsidR="0011638B" w:rsidRPr="00A03848">
        <w:rPr>
          <w:szCs w:val="22"/>
          <w:lang w:val="es-ES" w:eastAsia="en-US"/>
        </w:rPr>
        <w:t xml:space="preserve">En Escocia, el plan descrito en </w:t>
      </w:r>
      <w:r w:rsidR="0011638B" w:rsidRPr="00A03848">
        <w:rPr>
          <w:i/>
          <w:szCs w:val="22"/>
          <w:lang w:val="es-ES" w:eastAsia="en-US"/>
        </w:rPr>
        <w:t>The Best Start: A Five Year Forward Plan for Maternity and Neonatal Care in Scotland</w:t>
      </w:r>
      <w:r w:rsidR="0011638B" w:rsidRPr="00A03848">
        <w:rPr>
          <w:szCs w:val="22"/>
          <w:lang w:val="es-ES" w:eastAsia="en-US"/>
        </w:rPr>
        <w:t xml:space="preserve"> (2017) contiene 76 recomendaciones que reconfigurarán los servicios para situar a la madre, el bebé y la familia en el centro de la planificación de servicios y la atención sanitaria y mantener a la madre junto a su bebé el mayor tiempo posible. Se está trabajando en la aplicación de las recomendaciones, y uno de los primeros cambios consistirá en pasar a un modelo de atención basado en la continuidad de los cuidadores. Todos los bebés nacidos a partir del 15 de agosto de 2017 recibirán una caja de artículos esenciales</w:t>
      </w:r>
      <w:r w:rsidR="0011638B" w:rsidRPr="00A03848">
        <w:rPr>
          <w:szCs w:val="22"/>
          <w:vertAlign w:val="superscript"/>
          <w:lang w:val="es-ES" w:eastAsia="en-US"/>
        </w:rPr>
        <w:footnoteReference w:id="60"/>
      </w:r>
      <w:r w:rsidR="005F6DF8" w:rsidRPr="00A03848">
        <w:rPr>
          <w:szCs w:val="22"/>
          <w:lang w:val="es-ES" w:eastAsia="en-US"/>
        </w:rPr>
        <w:t>,</w:t>
      </w:r>
      <w:r w:rsidR="0011638B" w:rsidRPr="00A03848">
        <w:rPr>
          <w:szCs w:val="22"/>
          <w:lang w:val="es-ES" w:eastAsia="en-US"/>
        </w:rPr>
        <w:t xml:space="preserve"> </w:t>
      </w:r>
      <w:r w:rsidR="005F6DF8" w:rsidRPr="00A03848">
        <w:rPr>
          <w:szCs w:val="22"/>
          <w:lang w:val="es-ES" w:eastAsia="en-US"/>
        </w:rPr>
        <w:t>de manera</w:t>
      </w:r>
      <w:r w:rsidR="0011638B" w:rsidRPr="00A03848">
        <w:rPr>
          <w:szCs w:val="22"/>
          <w:lang w:val="es-ES" w:eastAsia="en-US"/>
        </w:rPr>
        <w:t xml:space="preserve"> que las familias tengan acceso a artículos esenciales durante los primeros meses de vida del niño. </w:t>
      </w:r>
      <w:r w:rsidR="00123B80" w:rsidRPr="00A03848">
        <w:rPr>
          <w:szCs w:val="22"/>
          <w:lang w:val="es-ES" w:eastAsia="en-US"/>
        </w:rPr>
        <w:t xml:space="preserve">Las normas de seguridad británicas han aprobado el uso de la </w:t>
      </w:r>
      <w:r w:rsidR="0011638B" w:rsidRPr="00A03848">
        <w:rPr>
          <w:szCs w:val="22"/>
          <w:lang w:val="es-ES" w:eastAsia="en-US"/>
        </w:rPr>
        <w:t xml:space="preserve">caja para bebés </w:t>
      </w:r>
      <w:r w:rsidR="00123B80" w:rsidRPr="00A03848">
        <w:rPr>
          <w:szCs w:val="22"/>
          <w:lang w:val="es-ES" w:eastAsia="en-US"/>
        </w:rPr>
        <w:t xml:space="preserve">como cuna para uso doméstico </w:t>
      </w:r>
      <w:r w:rsidR="0011638B" w:rsidRPr="00A03848">
        <w:rPr>
          <w:szCs w:val="22"/>
          <w:lang w:val="es-ES" w:eastAsia="en-US"/>
        </w:rPr>
        <w:t xml:space="preserve">y, además de los artículos sanitarios para bebés, contiene almohadillas de lactancia y compresas postparto. </w:t>
      </w:r>
      <w:bookmarkEnd w:id="347"/>
    </w:p>
    <w:p w14:paraId="1E142AEC" w14:textId="77777777" w:rsidR="00306196" w:rsidRPr="00A03848" w:rsidRDefault="00306196" w:rsidP="00306196">
      <w:pPr>
        <w:pStyle w:val="SingleTxt"/>
        <w:spacing w:after="0" w:line="120" w:lineRule="exact"/>
        <w:rPr>
          <w:sz w:val="10"/>
          <w:szCs w:val="10"/>
          <w:lang w:val="es-ES"/>
        </w:rPr>
      </w:pPr>
    </w:p>
    <w:p w14:paraId="06BF5503" w14:textId="77777777" w:rsidR="0011638B" w:rsidRPr="00A03848" w:rsidRDefault="0011638B" w:rsidP="009F2DF3">
      <w:pPr>
        <w:pStyle w:val="H23"/>
        <w:ind w:right="1260"/>
        <w:rPr>
          <w:bCs w:val="0"/>
          <w:lang w:val="es-ES" w:eastAsia="en-US"/>
        </w:rPr>
      </w:pPr>
      <w:bookmarkStart w:id="349" w:name="bookmark_381"/>
      <w:r w:rsidRPr="00A03848">
        <w:rPr>
          <w:bCs w:val="0"/>
          <w:lang w:val="es-ES" w:eastAsia="en-US"/>
        </w:rPr>
        <w:tab/>
      </w:r>
      <w:r w:rsidRPr="00A03848">
        <w:rPr>
          <w:bCs w:val="0"/>
          <w:lang w:val="es-ES" w:eastAsia="en-US"/>
        </w:rPr>
        <w:tab/>
        <w:t>Salud mental</w:t>
      </w:r>
      <w:bookmarkEnd w:id="349"/>
    </w:p>
    <w:p w14:paraId="752D0D2F" w14:textId="77777777" w:rsidR="00306196" w:rsidRPr="00A03848" w:rsidRDefault="00306196" w:rsidP="00306196">
      <w:pPr>
        <w:pStyle w:val="SingleTxt"/>
        <w:spacing w:after="0" w:line="120" w:lineRule="exact"/>
        <w:rPr>
          <w:sz w:val="10"/>
          <w:szCs w:val="10"/>
          <w:lang w:val="es-ES"/>
        </w:rPr>
      </w:pPr>
    </w:p>
    <w:p w14:paraId="5C5FADA6" w14:textId="68FDD5C9" w:rsidR="0011638B" w:rsidRPr="00A03848" w:rsidRDefault="00946670" w:rsidP="007A1CF8">
      <w:pPr>
        <w:pStyle w:val="SingleTxt"/>
        <w:rPr>
          <w:lang w:val="es-ES" w:eastAsia="en-US"/>
        </w:rPr>
      </w:pPr>
      <w:bookmarkStart w:id="350" w:name="bookmark_382"/>
      <w:r w:rsidRPr="00A03848">
        <w:rPr>
          <w:lang w:val="es-ES" w:eastAsia="en-US"/>
        </w:rPr>
        <w:t>135.</w:t>
      </w:r>
      <w:r w:rsidRPr="00A03848">
        <w:rPr>
          <w:lang w:val="es-ES" w:eastAsia="en-US"/>
        </w:rPr>
        <w:tab/>
      </w:r>
      <w:r w:rsidR="0011638B" w:rsidRPr="00A03848">
        <w:rPr>
          <w:lang w:val="es-ES" w:eastAsia="en-US"/>
        </w:rPr>
        <w:t>El marco de medidas sobre los servicios de salud mental</w:t>
      </w:r>
      <w:r w:rsidR="00CE0CD0" w:rsidRPr="00A03848">
        <w:rPr>
          <w:lang w:val="es-ES" w:eastAsia="en-US"/>
        </w:rPr>
        <w:t xml:space="preserve"> (No health without mental health: implementation framework)</w:t>
      </w:r>
      <w:r w:rsidR="0011638B" w:rsidRPr="00A03848">
        <w:rPr>
          <w:lang w:val="es-ES" w:eastAsia="en-US"/>
        </w:rPr>
        <w:t xml:space="preserve">, publicado en julio de 2012, subrayaba que el Gobierno había introducido para los órganos del Servicio Nacional de Salud la obligación de reducir las desigualdades en materia de salud con arreglo a la Ley de Salud y Atención Social de 2012, en particular las desigualdades del acceso a los servicios de salud mental y los resultados obtenidos por estos. En el informe sobre la perspectiva </w:t>
      </w:r>
      <w:r w:rsidR="00CE0CD0" w:rsidRPr="00A03848">
        <w:rPr>
          <w:lang w:val="es-ES" w:eastAsia="en-US"/>
        </w:rPr>
        <w:t xml:space="preserve">de la salud mental </w:t>
      </w:r>
      <w:r w:rsidR="0011638B" w:rsidRPr="00A03848">
        <w:rPr>
          <w:lang w:val="es-ES" w:eastAsia="en-US"/>
        </w:rPr>
        <w:t xml:space="preserve">a cinco años vista, publicado en febrero de 2016, se indicaba que 1 de cada 5 madres sufre depresión, ansiedad o, en algunos casos, psicosis durante el embarazo o en el primer año después del parto. Se está llevando a cabo un programa quinquenal de transformación gradual, dirigido por el Servicio Nacional de Salud de Inglaterra y respaldado con una financiación de 365 millones de libras. </w:t>
      </w:r>
      <w:bookmarkEnd w:id="350"/>
    </w:p>
    <w:p w14:paraId="5D959098" w14:textId="05A99E7A" w:rsidR="0011638B" w:rsidRPr="00A03848" w:rsidRDefault="00946670" w:rsidP="00AB43B5">
      <w:pPr>
        <w:pStyle w:val="SingleTxt"/>
        <w:rPr>
          <w:szCs w:val="22"/>
          <w:lang w:val="es-ES" w:eastAsia="en-US"/>
        </w:rPr>
      </w:pPr>
      <w:bookmarkStart w:id="351" w:name="bookmark_383"/>
      <w:r w:rsidRPr="00A03848">
        <w:rPr>
          <w:szCs w:val="22"/>
          <w:lang w:val="es-ES" w:eastAsia="en-US"/>
        </w:rPr>
        <w:t>136.</w:t>
      </w:r>
      <w:r w:rsidRPr="00A03848">
        <w:rPr>
          <w:szCs w:val="22"/>
          <w:lang w:val="es-ES" w:eastAsia="en-US"/>
        </w:rPr>
        <w:tab/>
      </w:r>
      <w:r w:rsidR="0011638B" w:rsidRPr="00A03848">
        <w:rPr>
          <w:szCs w:val="22"/>
          <w:lang w:val="es-ES" w:eastAsia="en-US"/>
        </w:rPr>
        <w:t xml:space="preserve">El Gobierno de Escocia dispone de un cargo ministerial dedicado a la salud mental. La Estrategia de Salud Mental 2017-2027 se publicó en marzo de 2017 y describe el propósito de lograr una Escocia donde las personas puedan recibir la ayuda adecuada en el momento oportuno, prever su recuperación y disfrutar plenamente de sus derechos, sin discriminación ni estigma. </w:t>
      </w:r>
      <w:bookmarkEnd w:id="351"/>
    </w:p>
    <w:p w14:paraId="4DD90883" w14:textId="1FE14826" w:rsidR="0011638B" w:rsidRPr="00A03848" w:rsidRDefault="00946670" w:rsidP="00AB43B5">
      <w:pPr>
        <w:pStyle w:val="SingleTxt"/>
        <w:rPr>
          <w:szCs w:val="22"/>
          <w:lang w:val="es-ES" w:eastAsia="en-US"/>
        </w:rPr>
      </w:pPr>
      <w:bookmarkStart w:id="352" w:name="bookmark_384"/>
      <w:r w:rsidRPr="00A03848">
        <w:rPr>
          <w:szCs w:val="22"/>
          <w:lang w:val="es-ES" w:eastAsia="en-US"/>
        </w:rPr>
        <w:t>137.</w:t>
      </w:r>
      <w:r w:rsidRPr="00A03848">
        <w:rPr>
          <w:szCs w:val="22"/>
          <w:lang w:val="es-ES" w:eastAsia="en-US"/>
        </w:rPr>
        <w:tab/>
      </w:r>
      <w:r w:rsidR="00284834" w:rsidRPr="00A03848">
        <w:rPr>
          <w:szCs w:val="22"/>
          <w:lang w:val="es-ES" w:eastAsia="en-US"/>
        </w:rPr>
        <w:t>“</w:t>
      </w:r>
      <w:r w:rsidR="0011638B" w:rsidRPr="00A03848">
        <w:rPr>
          <w:szCs w:val="22"/>
          <w:lang w:val="es-ES" w:eastAsia="en-US"/>
        </w:rPr>
        <w:t>Juntos por la Salud Mental</w:t>
      </w:r>
      <w:r w:rsidR="00284834" w:rsidRPr="00A03848">
        <w:rPr>
          <w:szCs w:val="22"/>
          <w:lang w:val="es-ES" w:eastAsia="en-US"/>
        </w:rPr>
        <w:t>”</w:t>
      </w:r>
      <w:r w:rsidR="0011638B" w:rsidRPr="00A03848">
        <w:rPr>
          <w:szCs w:val="22"/>
          <w:lang w:val="es-ES" w:eastAsia="en-US"/>
        </w:rPr>
        <w:t xml:space="preserve"> es la estrategia decenal del Gobierno de Gales para personas de todas las edades que tiene por objeto mejorar el bienestar y la salud mental, así como el cuidado y el tratamiento de las personas que utilizan los servicios de salud mental, sus cuidadores y sus familias. El Plan de Ejecución 2016-2019 es el segundo de una serie de tres planes en el que se establecen las medidas que deben adoptarse para garantizar la aplicación de la estrategia. Uno de los objetivos del Plan de Ejecución 2016-2019 es ofrecer mejores resultados en relación con las mujeres y las familias que corren el riesgo de padecer problemas de salud mental en el período perinatal. El Gobierno de Gales ha asignado periódicamente una financiación de 1,5 millones de libras al desarrollo de servicios comunitarios especializados de atención perinatal en todas las juntas de salud de</w:t>
      </w:r>
      <w:r w:rsidR="00233A1A" w:rsidRPr="00A03848">
        <w:rPr>
          <w:szCs w:val="22"/>
          <w:lang w:val="es-ES" w:eastAsia="en-US"/>
        </w:rPr>
        <w:t xml:space="preserve"> </w:t>
      </w:r>
      <w:r w:rsidR="0011638B" w:rsidRPr="00A03848">
        <w:rPr>
          <w:szCs w:val="22"/>
          <w:lang w:val="es-ES" w:eastAsia="en-US"/>
        </w:rPr>
        <w:t>Gales.</w:t>
      </w:r>
      <w:bookmarkEnd w:id="352"/>
    </w:p>
    <w:p w14:paraId="1A2855A5" w14:textId="77777777" w:rsidR="00D23668" w:rsidRPr="00A03848" w:rsidRDefault="00D23668" w:rsidP="00D23668">
      <w:pPr>
        <w:pStyle w:val="SingleTxt"/>
        <w:spacing w:after="0" w:line="120" w:lineRule="exact"/>
        <w:rPr>
          <w:sz w:val="10"/>
          <w:szCs w:val="10"/>
          <w:lang w:val="es-ES"/>
        </w:rPr>
      </w:pPr>
    </w:p>
    <w:p w14:paraId="186A5C6E" w14:textId="77777777" w:rsidR="0011638B" w:rsidRPr="00A03848" w:rsidRDefault="0011638B" w:rsidP="009F2DF3">
      <w:pPr>
        <w:pStyle w:val="H23"/>
        <w:ind w:right="1260"/>
        <w:rPr>
          <w:bCs w:val="0"/>
          <w:lang w:val="es-ES" w:eastAsia="en-US"/>
        </w:rPr>
      </w:pPr>
      <w:bookmarkStart w:id="353" w:name="bookmark_385"/>
      <w:r w:rsidRPr="00A03848">
        <w:rPr>
          <w:bCs w:val="0"/>
          <w:lang w:val="es-ES" w:eastAsia="en-US"/>
        </w:rPr>
        <w:tab/>
      </w:r>
      <w:r w:rsidRPr="00A03848">
        <w:rPr>
          <w:bCs w:val="0"/>
          <w:lang w:val="es-ES" w:eastAsia="en-US"/>
        </w:rPr>
        <w:tab/>
        <w:t>Salas de hospital mixtas</w:t>
      </w:r>
      <w:bookmarkEnd w:id="353"/>
    </w:p>
    <w:p w14:paraId="4368B85C" w14:textId="77777777" w:rsidR="00D23668" w:rsidRPr="00A03848" w:rsidRDefault="00D23668" w:rsidP="00D23668">
      <w:pPr>
        <w:pStyle w:val="SingleTxt"/>
        <w:spacing w:after="0" w:line="120" w:lineRule="exact"/>
        <w:rPr>
          <w:sz w:val="10"/>
          <w:szCs w:val="10"/>
          <w:lang w:val="es-ES"/>
        </w:rPr>
      </w:pPr>
    </w:p>
    <w:p w14:paraId="23757771" w14:textId="4F13E72F" w:rsidR="0011638B" w:rsidRPr="00A03848" w:rsidRDefault="00946670" w:rsidP="00AB43B5">
      <w:pPr>
        <w:pStyle w:val="SingleTxt"/>
        <w:rPr>
          <w:szCs w:val="22"/>
          <w:lang w:val="es-ES" w:eastAsia="en-US"/>
        </w:rPr>
      </w:pPr>
      <w:bookmarkStart w:id="354" w:name="bookmark_386"/>
      <w:r w:rsidRPr="00A03848">
        <w:rPr>
          <w:szCs w:val="22"/>
          <w:lang w:val="es-ES" w:eastAsia="en-US"/>
        </w:rPr>
        <w:t>138.</w:t>
      </w:r>
      <w:r w:rsidRPr="00A03848">
        <w:rPr>
          <w:szCs w:val="22"/>
          <w:lang w:val="es-ES" w:eastAsia="en-US"/>
        </w:rPr>
        <w:tab/>
      </w:r>
      <w:r w:rsidR="0011638B" w:rsidRPr="00A03848">
        <w:rPr>
          <w:szCs w:val="22"/>
          <w:lang w:val="es-ES" w:eastAsia="en-US"/>
        </w:rPr>
        <w:t>El Gobierno del Reino Unido ha dejado claro que los proveedores de asistencia financiada por el Servicio Nacional de Salud deben eliminar el alojamiento mixto, excepto cuando ello redunde en el interés superior del paciente o refleje su elección personal. Los hospitales que alojen a sus pacientes en salas mixtas podrán enfrentarse a una multa de 250 libras diarias por paciente. La Constitución del Servicio Nacional de Salud (publicada por primera vez en marzo de 2012) introdujo —en el apartado sobre respeto, consentimiento y confidencialidad— el compromiso de que cuando un paciente sea hospitalizado, no tendrá que compartir dormitorio con pacientes del sexo opuesto, salvo en los casos en que proceda, de conformidad con lo dispuesto en el manual de la Constitución del Servicio Nacional de Salud.</w:t>
      </w:r>
      <w:bookmarkEnd w:id="354"/>
    </w:p>
    <w:p w14:paraId="6C73F19B" w14:textId="77777777" w:rsidR="00D23668" w:rsidRPr="00A03848" w:rsidRDefault="00D23668" w:rsidP="00D23668">
      <w:pPr>
        <w:pStyle w:val="SingleTxt"/>
        <w:spacing w:after="0" w:line="120" w:lineRule="exact"/>
        <w:rPr>
          <w:sz w:val="10"/>
          <w:szCs w:val="10"/>
          <w:lang w:val="es-ES"/>
        </w:rPr>
      </w:pPr>
    </w:p>
    <w:p w14:paraId="3708B30E" w14:textId="4234A222" w:rsidR="0011638B" w:rsidRPr="00A03848" w:rsidRDefault="0011638B" w:rsidP="009F2DF3">
      <w:pPr>
        <w:pStyle w:val="H23"/>
        <w:ind w:right="1260"/>
        <w:rPr>
          <w:bCs w:val="0"/>
          <w:lang w:val="es-ES" w:eastAsia="en-US"/>
        </w:rPr>
      </w:pPr>
      <w:bookmarkStart w:id="355" w:name="bookmark_387"/>
      <w:r w:rsidRPr="00A03848">
        <w:rPr>
          <w:bCs w:val="0"/>
          <w:lang w:val="es-ES" w:eastAsia="en-US"/>
        </w:rPr>
        <w:tab/>
      </w:r>
      <w:r w:rsidRPr="00A03848">
        <w:rPr>
          <w:bCs w:val="0"/>
          <w:lang w:val="es-ES" w:eastAsia="en-US"/>
        </w:rPr>
        <w:tab/>
        <w:t>Aumento del acceso de las mujeres de grupos marginados a la</w:t>
      </w:r>
      <w:r w:rsidR="00233A1A" w:rsidRPr="00A03848">
        <w:rPr>
          <w:bCs w:val="0"/>
          <w:lang w:val="es-ES" w:eastAsia="en-US"/>
        </w:rPr>
        <w:t xml:space="preserve"> </w:t>
      </w:r>
      <w:r w:rsidRPr="00A03848">
        <w:rPr>
          <w:bCs w:val="0"/>
          <w:lang w:val="es-ES" w:eastAsia="en-US"/>
        </w:rPr>
        <w:t>atención</w:t>
      </w:r>
      <w:r w:rsidR="00233A1A" w:rsidRPr="00A03848">
        <w:rPr>
          <w:bCs w:val="0"/>
          <w:lang w:val="es-ES" w:eastAsia="en-US"/>
        </w:rPr>
        <w:t xml:space="preserve"> </w:t>
      </w:r>
      <w:r w:rsidRPr="00A03848">
        <w:rPr>
          <w:bCs w:val="0"/>
          <w:lang w:val="es-ES" w:eastAsia="en-US"/>
        </w:rPr>
        <w:t>sanitaria</w:t>
      </w:r>
      <w:r w:rsidRPr="00A03848">
        <w:rPr>
          <w:bCs w:val="0"/>
          <w:vertAlign w:val="superscript"/>
          <w:lang w:val="es-ES" w:eastAsia="en-US"/>
        </w:rPr>
        <w:endnoteReference w:id="35"/>
      </w:r>
      <w:bookmarkEnd w:id="355"/>
    </w:p>
    <w:p w14:paraId="63CA01B7" w14:textId="77777777" w:rsidR="00D23668" w:rsidRPr="00A03848" w:rsidRDefault="00D23668" w:rsidP="00D23668">
      <w:pPr>
        <w:pStyle w:val="SingleTxt"/>
        <w:spacing w:after="0" w:line="120" w:lineRule="exact"/>
        <w:rPr>
          <w:sz w:val="10"/>
          <w:szCs w:val="10"/>
          <w:lang w:val="es-ES"/>
        </w:rPr>
      </w:pPr>
    </w:p>
    <w:p w14:paraId="57B0BD52" w14:textId="4554537E" w:rsidR="0011638B" w:rsidRPr="00A03848" w:rsidRDefault="00946670" w:rsidP="00AB43B5">
      <w:pPr>
        <w:pStyle w:val="SingleTxt"/>
        <w:rPr>
          <w:szCs w:val="22"/>
          <w:lang w:val="es-ES" w:eastAsia="en-US"/>
        </w:rPr>
      </w:pPr>
      <w:bookmarkStart w:id="357" w:name="bookmark_389"/>
      <w:r w:rsidRPr="00A03848">
        <w:rPr>
          <w:szCs w:val="22"/>
          <w:lang w:val="es-ES" w:eastAsia="en-US"/>
        </w:rPr>
        <w:t>139.</w:t>
      </w:r>
      <w:r w:rsidRPr="00A03848">
        <w:rPr>
          <w:szCs w:val="22"/>
          <w:lang w:val="es-ES" w:eastAsia="en-US"/>
        </w:rPr>
        <w:tab/>
      </w:r>
      <w:r w:rsidR="0011638B" w:rsidRPr="00A03848">
        <w:rPr>
          <w:szCs w:val="22"/>
          <w:lang w:val="es-ES" w:eastAsia="en-US"/>
        </w:rPr>
        <w:t>El Programa de Inclusión en los Servicios de Salud elaboró una serie de informes sobre los principales problemas que afectan a los grupos desfavorecidos y vulnerables donde se incluían medidas prácticas en pro de unas evaluaciones inclusivas estratégicas de las necesidades y unas estrategias conjuntas de salud y bienestar y su puesta en funcionamiento con respecto a los gitanos, las personas itinerantes y los romaníes, las personas sin hogar, los trabajadores sexuales y los migrantes vulnerables (2013); la mejora del acceso de los gitanos, las personas itinerantes</w:t>
      </w:r>
      <w:r w:rsidR="0011638B" w:rsidRPr="00A03848">
        <w:rPr>
          <w:szCs w:val="22"/>
          <w:vertAlign w:val="superscript"/>
          <w:lang w:val="es-ES" w:eastAsia="en-US"/>
        </w:rPr>
        <w:footnoteReference w:id="61"/>
      </w:r>
      <w:r w:rsidR="0011638B" w:rsidRPr="00A03848">
        <w:rPr>
          <w:szCs w:val="22"/>
          <w:lang w:val="es-ES" w:eastAsia="en-US"/>
        </w:rPr>
        <w:t xml:space="preserve"> y los trabajadores sexuales a la atención sanitaria (2014); y la repercusión de las viviendas inseguras y las condiciones de vida de los gitanos y las personas itinerantes (2016).</w:t>
      </w:r>
      <w:bookmarkEnd w:id="357"/>
    </w:p>
    <w:p w14:paraId="325BC596" w14:textId="150D9686" w:rsidR="0011638B" w:rsidRPr="00A03848" w:rsidRDefault="00946670" w:rsidP="00AB43B5">
      <w:pPr>
        <w:pStyle w:val="SingleTxt"/>
        <w:rPr>
          <w:szCs w:val="22"/>
          <w:lang w:val="es-ES" w:eastAsia="en-US"/>
        </w:rPr>
      </w:pPr>
      <w:bookmarkStart w:id="359" w:name="bookmark_391"/>
      <w:r w:rsidRPr="00A03848">
        <w:rPr>
          <w:szCs w:val="22"/>
          <w:lang w:val="es-ES" w:eastAsia="en-US"/>
        </w:rPr>
        <w:t>140.</w:t>
      </w:r>
      <w:r w:rsidRPr="00A03848">
        <w:rPr>
          <w:szCs w:val="22"/>
          <w:lang w:val="es-ES" w:eastAsia="en-US"/>
        </w:rPr>
        <w:tab/>
      </w:r>
      <w:r w:rsidR="0011638B" w:rsidRPr="00A03848">
        <w:rPr>
          <w:szCs w:val="22"/>
          <w:lang w:val="es-ES" w:eastAsia="en-US"/>
        </w:rPr>
        <w:t>El informe de 2014 ofrece orientación para los grupos de implementación clínica, las autoridades locales, el Servicio Nacional de Salud de Inglaterra y la Oficina de Salud Pública de Inglaterra a fin de ampliar el acceso a los servicios de salud y contribuir a mejorar la salud de los grupos vulnerables y marginados, incluidos los gitanos, las personas itinerantes y los romaníes, en consonancia con el compromiso establecido en el libro blanco de salud pública de 2010 de mejorar la salud de los más pobres de la forma más rápida. El informe de 2016 establece la educación y la capacitación que los profesionales de la salud necesitan y reciben acerca de la inclusión en los servicios de salud, de modo que puedan trabajar eficazmente con personas vulnerables sin hogar, gitanos y personas itinerantes, romaníes, trabajadores sexuales y migrantes vulnerables.</w:t>
      </w:r>
      <w:bookmarkEnd w:id="359"/>
    </w:p>
    <w:p w14:paraId="05B7DA52" w14:textId="783CC78B" w:rsidR="0011638B" w:rsidRPr="00A03848" w:rsidRDefault="00946670" w:rsidP="00AB43B5">
      <w:pPr>
        <w:pStyle w:val="SingleTxt"/>
        <w:rPr>
          <w:szCs w:val="22"/>
          <w:lang w:val="es-ES" w:eastAsia="en-US"/>
        </w:rPr>
      </w:pPr>
      <w:bookmarkStart w:id="360" w:name="bookmark_392"/>
      <w:r w:rsidRPr="00A03848">
        <w:rPr>
          <w:szCs w:val="22"/>
          <w:lang w:val="es-ES" w:eastAsia="en-US"/>
        </w:rPr>
        <w:t>141.</w:t>
      </w:r>
      <w:r w:rsidRPr="00A03848">
        <w:rPr>
          <w:szCs w:val="22"/>
          <w:lang w:val="es-ES" w:eastAsia="en-US"/>
        </w:rPr>
        <w:tab/>
      </w:r>
      <w:r w:rsidR="0011638B" w:rsidRPr="00A03848">
        <w:rPr>
          <w:szCs w:val="22"/>
          <w:lang w:val="es-ES" w:eastAsia="en-US"/>
        </w:rPr>
        <w:t xml:space="preserve">Toda persona que resida legalmente en Escocia puede solicitar con un fin específico que se le asigne un médico de cabecera para recibir servicios médicos generales del Servicio Nacional de Salud. Esto incluye a los solicitantes de asilo, los refugiados, los trabajadores migrantes, los gitanos y las personas itinerantes, los estudiantes y las personas que </w:t>
      </w:r>
      <w:r w:rsidR="00CE0CD0" w:rsidRPr="00A03848">
        <w:rPr>
          <w:szCs w:val="22"/>
          <w:lang w:val="es-ES" w:eastAsia="en-US"/>
        </w:rPr>
        <w:t>participan en la reunificación familiar</w:t>
      </w:r>
      <w:r w:rsidR="0011638B" w:rsidRPr="00A03848">
        <w:rPr>
          <w:szCs w:val="22"/>
          <w:lang w:val="es-ES" w:eastAsia="en-US"/>
        </w:rPr>
        <w:t>. Los solicitantes de asilo que hayan presentado una solicitud al Ministerio del Interior para permanecer en el Reino Unido tienen derecho a recibir todos los servicios de atención sanitaria del Servicio Nacional de Salud mientras estén en Escocia, independientemente de la situación de su solicitud.</w:t>
      </w:r>
      <w:bookmarkEnd w:id="360"/>
    </w:p>
    <w:bookmarkEnd w:id="332"/>
    <w:p w14:paraId="793F328F" w14:textId="77777777" w:rsidR="00D8478C" w:rsidRPr="00A03848" w:rsidRDefault="00D8478C" w:rsidP="00D8478C">
      <w:pPr>
        <w:pStyle w:val="SingleTxt"/>
        <w:spacing w:after="0" w:line="120" w:lineRule="exact"/>
        <w:rPr>
          <w:sz w:val="10"/>
          <w:szCs w:val="10"/>
          <w:lang w:val="es-ES"/>
        </w:rPr>
      </w:pPr>
    </w:p>
    <w:p w14:paraId="380804AF" w14:textId="77777777" w:rsidR="007A1CF8" w:rsidRPr="00A03848" w:rsidRDefault="007A1CF8">
      <w:pPr>
        <w:suppressAutoHyphens w:val="0"/>
        <w:spacing w:line="240" w:lineRule="auto"/>
        <w:rPr>
          <w:b/>
          <w:spacing w:val="2"/>
          <w:lang w:val="es-ES" w:eastAsia="en-US"/>
        </w:rPr>
      </w:pPr>
      <w:bookmarkStart w:id="361" w:name="bookmark_393"/>
      <w:r w:rsidRPr="00A03848">
        <w:rPr>
          <w:bCs/>
          <w:lang w:val="es-ES" w:eastAsia="en-US"/>
        </w:rPr>
        <w:br w:type="page"/>
      </w:r>
    </w:p>
    <w:p w14:paraId="08838FB0" w14:textId="404BD3C5" w:rsidR="0011638B" w:rsidRPr="00A03848" w:rsidRDefault="0011638B" w:rsidP="009F2DF3">
      <w:pPr>
        <w:pStyle w:val="H23"/>
        <w:ind w:right="1260"/>
        <w:rPr>
          <w:bCs w:val="0"/>
          <w:lang w:val="es-ES" w:eastAsia="en-US"/>
        </w:rPr>
      </w:pPr>
      <w:r w:rsidRPr="00A03848">
        <w:rPr>
          <w:bCs w:val="0"/>
          <w:lang w:val="es-ES" w:eastAsia="en-US"/>
        </w:rPr>
        <w:tab/>
      </w:r>
      <w:r w:rsidRPr="00A03848">
        <w:rPr>
          <w:bCs w:val="0"/>
          <w:lang w:val="es-ES" w:eastAsia="en-US"/>
        </w:rPr>
        <w:tab/>
        <w:t>Mejora de la atención sanitaria y los servicios sociales para ayudar a las mujeres de raza negra, origen asiático y minorías étnicas</w:t>
      </w:r>
      <w:r w:rsidRPr="00A03848">
        <w:rPr>
          <w:bCs w:val="0"/>
          <w:vertAlign w:val="superscript"/>
          <w:lang w:val="es-ES" w:eastAsia="en-US"/>
        </w:rPr>
        <w:endnoteReference w:id="36"/>
      </w:r>
      <w:bookmarkEnd w:id="361"/>
    </w:p>
    <w:p w14:paraId="3A2C109B" w14:textId="77777777" w:rsidR="00D8478C" w:rsidRPr="00A03848" w:rsidRDefault="00D8478C" w:rsidP="00D8478C">
      <w:pPr>
        <w:pStyle w:val="SingleTxt"/>
        <w:spacing w:after="0" w:line="120" w:lineRule="exact"/>
        <w:rPr>
          <w:sz w:val="10"/>
          <w:szCs w:val="10"/>
          <w:lang w:val="es-ES"/>
        </w:rPr>
      </w:pPr>
    </w:p>
    <w:p w14:paraId="4785D097" w14:textId="55B72053" w:rsidR="0011638B" w:rsidRPr="00A03848" w:rsidRDefault="00946670" w:rsidP="00AB43B5">
      <w:pPr>
        <w:pStyle w:val="SingleTxt"/>
        <w:rPr>
          <w:szCs w:val="22"/>
          <w:lang w:val="es-ES" w:eastAsia="en-US"/>
        </w:rPr>
      </w:pPr>
      <w:bookmarkStart w:id="363" w:name="bookmark_395"/>
      <w:r w:rsidRPr="00A03848">
        <w:rPr>
          <w:szCs w:val="22"/>
          <w:lang w:val="es-ES" w:eastAsia="en-US"/>
        </w:rPr>
        <w:t>142.</w:t>
      </w:r>
      <w:r w:rsidRPr="00A03848">
        <w:rPr>
          <w:szCs w:val="22"/>
          <w:lang w:val="es-ES" w:eastAsia="en-US"/>
        </w:rPr>
        <w:tab/>
      </w:r>
      <w:r w:rsidR="0011638B" w:rsidRPr="00A03848">
        <w:rPr>
          <w:szCs w:val="22"/>
          <w:lang w:val="es-ES" w:eastAsia="en-US"/>
        </w:rPr>
        <w:t>Cada comisionado y proveedor del Servicio Nacional de Salud debe cumplir unas obligaciones legales en virtud de la ley que les prohíbe discriminar a los usuarios de los servicios por sus características protegidas. Para ayudar a las organizaciones, el Servicio Nacional de Salud de Inglaterra ha elaborado un conjunto de instrumentos del sistema de prestación de servicios en favor de la igualdad que tiene por objeto ayudar a las organizaciones locales a mejorar los servicios que prestan a sus comunidades en todos los grupos, en particular las mujeres pertenecientes a minorías étnicas. En Irlanda del Norte, el grupo establecido para supervisar la aplicación de las recomendaciones de la Estrategia de Atención Materna en Irlanda del Norte 2012-2018</w:t>
      </w:r>
      <w:r w:rsidR="0011638B" w:rsidRPr="00A03848">
        <w:rPr>
          <w:szCs w:val="22"/>
          <w:vertAlign w:val="superscript"/>
          <w:lang w:val="es-ES" w:eastAsia="en-US"/>
        </w:rPr>
        <w:footnoteReference w:id="62"/>
      </w:r>
      <w:r w:rsidR="0011638B" w:rsidRPr="00A03848">
        <w:rPr>
          <w:szCs w:val="22"/>
          <w:lang w:val="es-ES" w:eastAsia="en-US"/>
        </w:rPr>
        <w:t>elaboró en 2014 un informe que examinaba las necesidades de maternidad de las mujeres de raza negra, origen asiático y minorías étnicas de Irlanda del Norte. El informe sirve de base para una propuesta de desarrollo de los servicios regionales en relación con la población de raza negra, origen asiático y minorías étnicas para la que se están estudiando opciones de financiación.</w:t>
      </w:r>
      <w:bookmarkEnd w:id="363"/>
    </w:p>
    <w:p w14:paraId="73A0193A" w14:textId="77777777" w:rsidR="00897C9B" w:rsidRPr="00A03848" w:rsidRDefault="00897C9B" w:rsidP="00897C9B">
      <w:pPr>
        <w:pStyle w:val="SingleTxt"/>
        <w:spacing w:after="0" w:line="120" w:lineRule="exact"/>
        <w:rPr>
          <w:sz w:val="10"/>
          <w:szCs w:val="10"/>
          <w:lang w:val="es-ES"/>
        </w:rPr>
      </w:pPr>
    </w:p>
    <w:p w14:paraId="5FF4C73F" w14:textId="4EC00D7E" w:rsidR="0011638B" w:rsidRPr="00A03848" w:rsidRDefault="0011638B" w:rsidP="009F2DF3">
      <w:pPr>
        <w:pStyle w:val="H23"/>
        <w:ind w:right="1260"/>
        <w:rPr>
          <w:bCs w:val="0"/>
          <w:lang w:val="es-ES" w:eastAsia="en-US"/>
        </w:rPr>
      </w:pPr>
      <w:bookmarkStart w:id="365" w:name="bookmark_397"/>
      <w:r w:rsidRPr="00A03848">
        <w:rPr>
          <w:bCs w:val="0"/>
          <w:lang w:val="es-ES" w:eastAsia="en-US"/>
        </w:rPr>
        <w:tab/>
      </w:r>
      <w:r w:rsidRPr="00A03848">
        <w:rPr>
          <w:bCs w:val="0"/>
          <w:lang w:val="es-ES" w:eastAsia="en-US"/>
        </w:rPr>
        <w:tab/>
        <w:t>Acceso de las mujeres con discapacidad a los servicios de salud reproductiva y</w:t>
      </w:r>
      <w:r w:rsidR="00233A1A" w:rsidRPr="00A03848">
        <w:rPr>
          <w:bCs w:val="0"/>
          <w:lang w:val="es-ES" w:eastAsia="en-US"/>
        </w:rPr>
        <w:t xml:space="preserve"> </w:t>
      </w:r>
      <w:r w:rsidRPr="00A03848">
        <w:rPr>
          <w:bCs w:val="0"/>
          <w:lang w:val="es-ES" w:eastAsia="en-US"/>
        </w:rPr>
        <w:t>prenatal</w:t>
      </w:r>
      <w:r w:rsidRPr="00A03848">
        <w:rPr>
          <w:bCs w:val="0"/>
          <w:vertAlign w:val="superscript"/>
          <w:lang w:val="es-ES" w:eastAsia="en-US"/>
        </w:rPr>
        <w:endnoteReference w:id="37"/>
      </w:r>
      <w:bookmarkEnd w:id="365"/>
    </w:p>
    <w:p w14:paraId="4C8C9B6B" w14:textId="77777777" w:rsidR="00897C9B" w:rsidRPr="00A03848" w:rsidRDefault="00897C9B" w:rsidP="00897C9B">
      <w:pPr>
        <w:pStyle w:val="SingleTxt"/>
        <w:spacing w:after="0" w:line="120" w:lineRule="exact"/>
        <w:rPr>
          <w:sz w:val="10"/>
          <w:szCs w:val="10"/>
          <w:lang w:val="es-ES"/>
        </w:rPr>
      </w:pPr>
    </w:p>
    <w:p w14:paraId="4933486A" w14:textId="5BCA90D3" w:rsidR="0011638B" w:rsidRPr="00A03848" w:rsidRDefault="00946670" w:rsidP="00AB43B5">
      <w:pPr>
        <w:pStyle w:val="SingleTxt"/>
        <w:rPr>
          <w:szCs w:val="22"/>
          <w:lang w:val="es-ES" w:eastAsia="en-US"/>
        </w:rPr>
      </w:pPr>
      <w:bookmarkStart w:id="367" w:name="bookmark_399"/>
      <w:r w:rsidRPr="00A03848">
        <w:rPr>
          <w:szCs w:val="22"/>
          <w:lang w:val="es-ES" w:eastAsia="en-US"/>
        </w:rPr>
        <w:t>143.</w:t>
      </w:r>
      <w:r w:rsidRPr="00A03848">
        <w:rPr>
          <w:szCs w:val="22"/>
          <w:lang w:val="es-ES" w:eastAsia="en-US"/>
        </w:rPr>
        <w:tab/>
      </w:r>
      <w:r w:rsidR="0011638B" w:rsidRPr="00A03848">
        <w:rPr>
          <w:szCs w:val="22"/>
          <w:lang w:val="es-ES" w:eastAsia="en-US"/>
        </w:rPr>
        <w:t>En el Reino Unido, según las directrices del Real Colegio de Comadronas, todas las mujeres embarazadas deben recibir unos servicios de atención materna personalizados, seguros y de alta calidad, independientemente de su estado físico o mental. Por lo tanto, es responsabilidad de los comisionados y los proveedores de servicios de maternidad fomentar unos servicios que optimicen el control y la autonomía con respecto a la voluntad y las decisiones de las mujeres con discapacidad embarazadas a quienes atienden y sus familias. Las necesidades y la atención de las mujeres con discapacidad, sea cual sea su origen étnico, deben reconocerse explícitamente en la filosofía y la política de las unidades de maternidad. Las mismas opciones disponibles en cuanto a atención prenatal, lugar</w:t>
      </w:r>
      <w:r w:rsidR="00233A1A" w:rsidRPr="00A03848">
        <w:rPr>
          <w:szCs w:val="22"/>
          <w:lang w:val="es-ES" w:eastAsia="en-US"/>
        </w:rPr>
        <w:t xml:space="preserve"> </w:t>
      </w:r>
      <w:r w:rsidR="0011638B" w:rsidRPr="00A03848">
        <w:rPr>
          <w:szCs w:val="22"/>
          <w:lang w:val="es-ES" w:eastAsia="en-US"/>
        </w:rPr>
        <w:t>de nacimiento y analgesia deberían ponerse a disposición de las mujeres con</w:t>
      </w:r>
      <w:r w:rsidR="00233A1A" w:rsidRPr="00A03848">
        <w:rPr>
          <w:szCs w:val="22"/>
          <w:lang w:val="es-ES" w:eastAsia="en-US"/>
        </w:rPr>
        <w:t xml:space="preserve"> </w:t>
      </w:r>
      <w:r w:rsidR="0011638B" w:rsidRPr="00A03848">
        <w:rPr>
          <w:szCs w:val="22"/>
          <w:lang w:val="es-ES" w:eastAsia="en-US"/>
        </w:rPr>
        <w:t>discapacidad, a menos que estén contraindicadas por alguna enfermedad ya</w:t>
      </w:r>
      <w:r w:rsidR="00233A1A" w:rsidRPr="00A03848">
        <w:rPr>
          <w:szCs w:val="22"/>
          <w:lang w:val="es-ES" w:eastAsia="en-US"/>
        </w:rPr>
        <w:t xml:space="preserve"> </w:t>
      </w:r>
      <w:r w:rsidR="0011638B" w:rsidRPr="00A03848">
        <w:rPr>
          <w:szCs w:val="22"/>
          <w:lang w:val="es-ES" w:eastAsia="en-US"/>
        </w:rPr>
        <w:t xml:space="preserve">existente. </w:t>
      </w:r>
      <w:bookmarkEnd w:id="367"/>
    </w:p>
    <w:p w14:paraId="44DB47A5" w14:textId="0E5D899A" w:rsidR="0011638B" w:rsidRPr="00A03848" w:rsidRDefault="00946670" w:rsidP="00AB43B5">
      <w:pPr>
        <w:pStyle w:val="SingleTxt"/>
        <w:rPr>
          <w:szCs w:val="22"/>
          <w:lang w:val="es-ES" w:eastAsia="en-US"/>
        </w:rPr>
      </w:pPr>
      <w:bookmarkStart w:id="368" w:name="bookmark_400"/>
      <w:r w:rsidRPr="00A03848">
        <w:rPr>
          <w:szCs w:val="22"/>
          <w:lang w:val="es-ES" w:eastAsia="en-US"/>
        </w:rPr>
        <w:t>144.</w:t>
      </w:r>
      <w:r w:rsidRPr="00A03848">
        <w:rPr>
          <w:szCs w:val="22"/>
          <w:lang w:val="es-ES" w:eastAsia="en-US"/>
        </w:rPr>
        <w:tab/>
      </w:r>
      <w:r w:rsidR="0011638B" w:rsidRPr="00A03848">
        <w:rPr>
          <w:szCs w:val="22"/>
          <w:lang w:val="es-ES" w:eastAsia="en-US"/>
        </w:rPr>
        <w:t>En Irlanda del Norte también se ha trabajado en definir una vía regional que mejore la atención previa al embarazo y al parto en el caso de las mujeres con epilepsia, a fin de mejorar los resultados relativos a las madres y los bebés. En la actualidad, una de las fundaciones locales de salud está elaborando una propuesta de inversión para que la examinen los comisionados.</w:t>
      </w:r>
      <w:bookmarkEnd w:id="368"/>
    </w:p>
    <w:p w14:paraId="2B585198" w14:textId="77777777" w:rsidR="00561A8E" w:rsidRPr="00A03848" w:rsidRDefault="00561A8E" w:rsidP="00561A8E">
      <w:pPr>
        <w:pStyle w:val="SingleTxt"/>
        <w:spacing w:after="0" w:line="120" w:lineRule="exact"/>
        <w:rPr>
          <w:sz w:val="10"/>
          <w:szCs w:val="10"/>
          <w:lang w:val="es-ES"/>
        </w:rPr>
      </w:pPr>
    </w:p>
    <w:p w14:paraId="763F0716" w14:textId="77777777" w:rsidR="0011638B" w:rsidRPr="00A03848" w:rsidRDefault="0011638B" w:rsidP="009F2DF3">
      <w:pPr>
        <w:pStyle w:val="H23"/>
        <w:ind w:right="1260"/>
        <w:rPr>
          <w:bCs w:val="0"/>
          <w:lang w:val="es-ES" w:eastAsia="en-US"/>
        </w:rPr>
      </w:pPr>
      <w:bookmarkStart w:id="369" w:name="bookmark_401"/>
      <w:r w:rsidRPr="00A03848">
        <w:rPr>
          <w:bCs w:val="0"/>
          <w:lang w:val="es-ES" w:eastAsia="en-US"/>
        </w:rPr>
        <w:tab/>
      </w:r>
      <w:r w:rsidRPr="00A03848">
        <w:rPr>
          <w:bCs w:val="0"/>
          <w:lang w:val="es-ES" w:eastAsia="en-US"/>
        </w:rPr>
        <w:tab/>
        <w:t>Aumento de la prestación de asistencia médica en las prisiones</w:t>
      </w:r>
      <w:r w:rsidRPr="00A03848">
        <w:rPr>
          <w:bCs w:val="0"/>
          <w:vertAlign w:val="superscript"/>
          <w:lang w:val="es-ES" w:eastAsia="en-US"/>
        </w:rPr>
        <w:endnoteReference w:id="38"/>
      </w:r>
      <w:bookmarkEnd w:id="369"/>
    </w:p>
    <w:p w14:paraId="6AFFD325" w14:textId="77777777" w:rsidR="00101E5D" w:rsidRPr="00A03848" w:rsidRDefault="00101E5D" w:rsidP="00101E5D">
      <w:pPr>
        <w:pStyle w:val="SingleTxt"/>
        <w:spacing w:after="0" w:line="120" w:lineRule="exact"/>
        <w:rPr>
          <w:sz w:val="10"/>
          <w:szCs w:val="10"/>
          <w:lang w:val="es-ES"/>
        </w:rPr>
      </w:pPr>
    </w:p>
    <w:p w14:paraId="735431E4" w14:textId="378542B9" w:rsidR="0011638B" w:rsidRPr="00A03848" w:rsidRDefault="00946670" w:rsidP="00AB43B5">
      <w:pPr>
        <w:pStyle w:val="SingleTxt"/>
        <w:rPr>
          <w:szCs w:val="22"/>
          <w:lang w:val="es-ES" w:eastAsia="en-US"/>
        </w:rPr>
      </w:pPr>
      <w:bookmarkStart w:id="371" w:name="bookmark_403"/>
      <w:r w:rsidRPr="00A03848">
        <w:rPr>
          <w:szCs w:val="22"/>
          <w:lang w:val="es-ES" w:eastAsia="en-US"/>
        </w:rPr>
        <w:t>145.</w:t>
      </w:r>
      <w:r w:rsidRPr="00A03848">
        <w:rPr>
          <w:szCs w:val="22"/>
          <w:lang w:val="es-ES" w:eastAsia="en-US"/>
        </w:rPr>
        <w:tab/>
      </w:r>
      <w:r w:rsidR="0011638B" w:rsidRPr="00A03848">
        <w:rPr>
          <w:szCs w:val="22"/>
          <w:lang w:val="es-ES" w:eastAsia="en-US"/>
        </w:rPr>
        <w:t xml:space="preserve">Conforme a la Ley de Salud y Atención Social de 2012, el Servicio Nacional de Salud de Inglaterra está obligado por ley a contratar servicios o instalaciones de salud para todas las personas que estén detenidas en prisión o en otros centros de seguridad, así como para las víctimas de agresiones sexuales. Los comisionados exigirán a los proveedores de servicios que demuestren que están atendiendo adecuadamente las necesidades de las mujeres. El Servicio Nacional de Salud de Inglaterra se ha comprometido a garantizar que se preste asistencia médica de alta calidad en condiciones de igualdad dentro de los centros penitenciarios. Todos los servicios se contratan de acuerdo con las orientaciones y mejores prácticas clínicas. Los servicios de salud mental de las prisiones también son certificados por la Comisión de Calidad de la Atención, la cual vigila, inspecciona y regula la asistencia sanitaria y social en el sistema de justicia penal para garantizar que las personas que utilizan los servicios en centros de seguridad reciban la misma calidad de atención que el resto de la población. </w:t>
      </w:r>
      <w:bookmarkEnd w:id="371"/>
    </w:p>
    <w:p w14:paraId="000AF6FC" w14:textId="4DBBC51A" w:rsidR="0011638B" w:rsidRPr="00A03848" w:rsidRDefault="00946670" w:rsidP="00AB43B5">
      <w:pPr>
        <w:pStyle w:val="SingleTxt"/>
        <w:rPr>
          <w:szCs w:val="22"/>
          <w:lang w:val="es-ES" w:eastAsia="en-US"/>
        </w:rPr>
      </w:pPr>
      <w:bookmarkStart w:id="372" w:name="bookmark_404"/>
      <w:r w:rsidRPr="00A03848">
        <w:rPr>
          <w:szCs w:val="22"/>
          <w:lang w:val="es-ES" w:eastAsia="en-US"/>
        </w:rPr>
        <w:t>146.</w:t>
      </w:r>
      <w:r w:rsidRPr="00A03848">
        <w:rPr>
          <w:szCs w:val="22"/>
          <w:lang w:val="es-ES" w:eastAsia="en-US"/>
        </w:rPr>
        <w:tab/>
      </w:r>
      <w:r w:rsidR="0011638B" w:rsidRPr="00A03848">
        <w:rPr>
          <w:szCs w:val="22"/>
          <w:lang w:val="es-ES" w:eastAsia="en-US"/>
        </w:rPr>
        <w:t>El Servicio Nacional de Salud de Escocia presta servicios de atención médica a las personas detenidas y las normas del Servicio Nacional de Salud relativas a la prestación de asistencia sanitaria, incluida la atención primaria, se aplican en el ámbito penitenciario. El Gobierno escocés espera que las juntas de salud actúen adecuadamente con miras a cumplir estas normas.</w:t>
      </w:r>
      <w:bookmarkEnd w:id="372"/>
    </w:p>
    <w:p w14:paraId="3FB1DE77" w14:textId="77777777" w:rsidR="001929A2" w:rsidRPr="00A03848" w:rsidRDefault="001929A2" w:rsidP="001929A2">
      <w:pPr>
        <w:pStyle w:val="SingleTxt"/>
        <w:spacing w:after="0" w:line="120" w:lineRule="exact"/>
        <w:rPr>
          <w:sz w:val="10"/>
          <w:szCs w:val="10"/>
          <w:lang w:val="es-ES"/>
        </w:rPr>
      </w:pPr>
    </w:p>
    <w:p w14:paraId="25B0488F" w14:textId="77777777" w:rsidR="0011638B" w:rsidRPr="00A03848" w:rsidRDefault="0011638B" w:rsidP="009F2DF3">
      <w:pPr>
        <w:pStyle w:val="H23"/>
        <w:ind w:right="1260"/>
        <w:rPr>
          <w:bCs w:val="0"/>
          <w:lang w:val="es-ES" w:eastAsia="en-US"/>
        </w:rPr>
      </w:pPr>
      <w:bookmarkStart w:id="373" w:name="bookmark_405"/>
      <w:r w:rsidRPr="00A03848">
        <w:rPr>
          <w:bCs w:val="0"/>
          <w:lang w:val="es-ES" w:eastAsia="en-US"/>
        </w:rPr>
        <w:tab/>
      </w:r>
      <w:r w:rsidRPr="00A03848">
        <w:rPr>
          <w:bCs w:val="0"/>
          <w:lang w:val="es-ES" w:eastAsia="en-US"/>
        </w:rPr>
        <w:tab/>
        <w:t>Cuestiones de salud en el desarrollo internacional</w:t>
      </w:r>
      <w:bookmarkEnd w:id="373"/>
    </w:p>
    <w:p w14:paraId="76DC6871" w14:textId="77777777" w:rsidR="001929A2" w:rsidRPr="00A03848" w:rsidRDefault="001929A2" w:rsidP="001929A2">
      <w:pPr>
        <w:pStyle w:val="SingleTxt"/>
        <w:spacing w:after="0" w:line="120" w:lineRule="exact"/>
        <w:rPr>
          <w:sz w:val="10"/>
          <w:szCs w:val="10"/>
          <w:lang w:val="es-ES"/>
        </w:rPr>
      </w:pPr>
    </w:p>
    <w:p w14:paraId="009FB6BC" w14:textId="1D973AE9" w:rsidR="0011638B" w:rsidRPr="00A03848" w:rsidRDefault="00946670" w:rsidP="00AB43B5">
      <w:pPr>
        <w:pStyle w:val="SingleTxt"/>
        <w:rPr>
          <w:szCs w:val="22"/>
          <w:lang w:val="es-ES" w:eastAsia="en-US"/>
        </w:rPr>
      </w:pPr>
      <w:bookmarkStart w:id="374" w:name="bookmark_406"/>
      <w:r w:rsidRPr="00A03848">
        <w:rPr>
          <w:szCs w:val="22"/>
          <w:lang w:val="es-ES" w:eastAsia="en-US"/>
        </w:rPr>
        <w:t>147.</w:t>
      </w:r>
      <w:r w:rsidRPr="00A03848">
        <w:rPr>
          <w:szCs w:val="22"/>
          <w:lang w:val="es-ES" w:eastAsia="en-US"/>
        </w:rPr>
        <w:tab/>
      </w:r>
      <w:r w:rsidR="0011638B" w:rsidRPr="00A03848">
        <w:rPr>
          <w:szCs w:val="22"/>
          <w:lang w:val="es-ES" w:eastAsia="en-US"/>
        </w:rPr>
        <w:t>La Cumbre de Londres sobre la Planificación Familiar</w:t>
      </w:r>
      <w:r w:rsidR="0011638B" w:rsidRPr="00A03848">
        <w:rPr>
          <w:szCs w:val="22"/>
          <w:vertAlign w:val="superscript"/>
          <w:lang w:val="es-ES" w:eastAsia="en-US"/>
        </w:rPr>
        <w:footnoteReference w:id="63"/>
      </w:r>
      <w:r w:rsidR="0011638B" w:rsidRPr="00A03848">
        <w:rPr>
          <w:szCs w:val="22"/>
          <w:lang w:val="es-ES" w:eastAsia="en-US"/>
        </w:rPr>
        <w:t xml:space="preserve">, celebrada en 2012, impulsó algunos compromisos políticos y financieros a nivel mundial. Dio lugar al nuevo objetivo de ayudar a otros 120 millones de niñas adolescentes a utilizar la planificación familiar voluntaria para 2020. Entre marzo de 2011 y marzo de 2015, el Departamento para el Desarrollo Internacional del Reino Unido: </w:t>
      </w:r>
      <w:bookmarkEnd w:id="374"/>
    </w:p>
    <w:p w14:paraId="0A31EB32" w14:textId="77777777" w:rsidR="0011638B" w:rsidRPr="00A03848" w:rsidRDefault="003A481B" w:rsidP="00096038">
      <w:pPr>
        <w:pStyle w:val="SingleTxt"/>
        <w:tabs>
          <w:tab w:val="right" w:pos="1685"/>
        </w:tabs>
        <w:ind w:left="1742" w:hanging="475"/>
        <w:rPr>
          <w:lang w:val="es-ES"/>
        </w:rPr>
      </w:pPr>
      <w:bookmarkStart w:id="376" w:name="bookmark_408"/>
      <w:r w:rsidRPr="00A03848">
        <w:rPr>
          <w:lang w:val="es-ES"/>
        </w:rPr>
        <w:tab/>
        <w:t>•</w:t>
      </w:r>
      <w:r w:rsidRPr="00A03848">
        <w:rPr>
          <w:lang w:val="es-ES"/>
        </w:rPr>
        <w:tab/>
      </w:r>
      <w:r w:rsidR="0011638B" w:rsidRPr="00A03848">
        <w:rPr>
          <w:lang w:val="es-ES"/>
        </w:rPr>
        <w:t>ayudó a salvar la vida de 103.000 mujeres durante el embarazo y el parto;</w:t>
      </w:r>
      <w:bookmarkEnd w:id="376"/>
    </w:p>
    <w:p w14:paraId="381886AD" w14:textId="77777777" w:rsidR="0011638B" w:rsidRPr="00A03848" w:rsidRDefault="003A481B" w:rsidP="00096038">
      <w:pPr>
        <w:pStyle w:val="SingleTxt"/>
        <w:tabs>
          <w:tab w:val="right" w:pos="1685"/>
        </w:tabs>
        <w:ind w:left="1742" w:hanging="475"/>
        <w:rPr>
          <w:lang w:val="es-ES"/>
        </w:rPr>
      </w:pPr>
      <w:bookmarkStart w:id="377" w:name="bookmark_409"/>
      <w:r w:rsidRPr="00A03848">
        <w:rPr>
          <w:lang w:val="es-ES"/>
        </w:rPr>
        <w:tab/>
        <w:t>•</w:t>
      </w:r>
      <w:r w:rsidRPr="00A03848">
        <w:rPr>
          <w:lang w:val="es-ES"/>
        </w:rPr>
        <w:tab/>
      </w:r>
      <w:r w:rsidR="0011638B" w:rsidRPr="00A03848">
        <w:rPr>
          <w:lang w:val="es-ES"/>
        </w:rPr>
        <w:t xml:space="preserve">ayudó a salvar la vida de 187.000 bebés recién nacidos; </w:t>
      </w:r>
      <w:bookmarkEnd w:id="377"/>
    </w:p>
    <w:p w14:paraId="1FF371F4" w14:textId="77777777" w:rsidR="0011638B" w:rsidRPr="00A03848" w:rsidRDefault="003A481B" w:rsidP="00096038">
      <w:pPr>
        <w:pStyle w:val="SingleTxt"/>
        <w:tabs>
          <w:tab w:val="right" w:pos="1685"/>
        </w:tabs>
        <w:ind w:left="1742" w:hanging="475"/>
        <w:rPr>
          <w:lang w:val="es-ES"/>
        </w:rPr>
      </w:pPr>
      <w:bookmarkStart w:id="378" w:name="bookmark_410"/>
      <w:r w:rsidRPr="00A03848">
        <w:rPr>
          <w:lang w:val="es-ES"/>
        </w:rPr>
        <w:tab/>
        <w:t>•</w:t>
      </w:r>
      <w:r w:rsidRPr="00A03848">
        <w:rPr>
          <w:lang w:val="es-ES"/>
        </w:rPr>
        <w:tab/>
      </w:r>
      <w:r w:rsidR="0011638B" w:rsidRPr="00A03848">
        <w:rPr>
          <w:lang w:val="es-ES"/>
        </w:rPr>
        <w:t>hizo posible que otros 9,9 millones de mujeres utilizasen métodos modernos de planificación familiar;</w:t>
      </w:r>
      <w:bookmarkEnd w:id="378"/>
    </w:p>
    <w:p w14:paraId="59676A5E" w14:textId="77777777" w:rsidR="0011638B" w:rsidRPr="00A03848" w:rsidRDefault="003A481B" w:rsidP="00096038">
      <w:pPr>
        <w:pStyle w:val="SingleTxt"/>
        <w:tabs>
          <w:tab w:val="right" w:pos="1685"/>
        </w:tabs>
        <w:ind w:left="1742" w:hanging="475"/>
        <w:rPr>
          <w:lang w:val="es-ES"/>
        </w:rPr>
      </w:pPr>
      <w:bookmarkStart w:id="379" w:name="bookmark_411"/>
      <w:r w:rsidRPr="00A03848">
        <w:rPr>
          <w:lang w:val="es-ES"/>
        </w:rPr>
        <w:tab/>
        <w:t>•</w:t>
      </w:r>
      <w:r w:rsidRPr="00A03848">
        <w:rPr>
          <w:lang w:val="es-ES"/>
        </w:rPr>
        <w:tab/>
      </w:r>
      <w:r w:rsidR="0011638B" w:rsidRPr="00A03848">
        <w:rPr>
          <w:lang w:val="es-ES"/>
        </w:rPr>
        <w:t>ayudó al Fondo Mundial a mantener con vida a 9,2 millones de personas mediante tratamientos contra el VIH y a proteger a más de 3,6 millones de bebés de ser infectados por sus madres.</w:t>
      </w:r>
      <w:bookmarkEnd w:id="379"/>
    </w:p>
    <w:p w14:paraId="6F6871FC" w14:textId="77777777" w:rsidR="001929A2" w:rsidRPr="00A03848" w:rsidRDefault="001929A2" w:rsidP="001929A2">
      <w:pPr>
        <w:pStyle w:val="SingleTxt"/>
        <w:spacing w:after="0" w:line="120" w:lineRule="exact"/>
        <w:rPr>
          <w:sz w:val="10"/>
          <w:szCs w:val="10"/>
          <w:lang w:val="es-ES"/>
        </w:rPr>
      </w:pPr>
    </w:p>
    <w:p w14:paraId="14E9C896" w14:textId="77777777" w:rsidR="001929A2" w:rsidRPr="00A03848" w:rsidRDefault="001929A2" w:rsidP="001929A2">
      <w:pPr>
        <w:pStyle w:val="SingleTxt"/>
        <w:spacing w:after="0" w:line="120" w:lineRule="exact"/>
        <w:rPr>
          <w:sz w:val="10"/>
          <w:szCs w:val="10"/>
          <w:lang w:val="es-ES"/>
        </w:rPr>
      </w:pPr>
    </w:p>
    <w:p w14:paraId="6BD1DD48" w14:textId="77777777" w:rsidR="0011638B" w:rsidRPr="00A03848" w:rsidRDefault="0011638B" w:rsidP="00C01F60">
      <w:pPr>
        <w:pStyle w:val="H1"/>
        <w:ind w:right="1260"/>
        <w:rPr>
          <w:bCs w:val="0"/>
          <w:szCs w:val="20"/>
          <w:lang w:val="es-ES" w:eastAsia="en-US"/>
        </w:rPr>
      </w:pPr>
      <w:bookmarkStart w:id="380" w:name="bookmark_412"/>
      <w:r w:rsidRPr="00A03848">
        <w:rPr>
          <w:bCs w:val="0"/>
          <w:szCs w:val="20"/>
          <w:lang w:val="es-ES" w:eastAsia="en-US"/>
        </w:rPr>
        <w:tab/>
      </w:r>
      <w:r w:rsidRPr="00A03848">
        <w:rPr>
          <w:bCs w:val="0"/>
          <w:szCs w:val="20"/>
          <w:lang w:val="es-ES" w:eastAsia="en-US"/>
        </w:rPr>
        <w:tab/>
        <w:t>Artículo 13. Prestaciones sociales y económicas</w:t>
      </w:r>
      <w:bookmarkEnd w:id="380"/>
    </w:p>
    <w:p w14:paraId="6D22FD07" w14:textId="77777777" w:rsidR="001929A2" w:rsidRPr="00A03848" w:rsidRDefault="001929A2" w:rsidP="001929A2">
      <w:pPr>
        <w:pStyle w:val="SingleTxt"/>
        <w:spacing w:after="0" w:line="120" w:lineRule="exact"/>
        <w:rPr>
          <w:sz w:val="10"/>
          <w:szCs w:val="10"/>
          <w:lang w:val="es-ES"/>
        </w:rPr>
      </w:pPr>
    </w:p>
    <w:p w14:paraId="7251E8B4" w14:textId="77777777" w:rsidR="001929A2" w:rsidRPr="00A03848" w:rsidRDefault="001929A2" w:rsidP="001929A2">
      <w:pPr>
        <w:pStyle w:val="SingleTxt"/>
        <w:spacing w:after="0" w:line="120" w:lineRule="exact"/>
        <w:rPr>
          <w:sz w:val="10"/>
          <w:szCs w:val="10"/>
          <w:lang w:val="es-ES"/>
        </w:rPr>
      </w:pPr>
    </w:p>
    <w:p w14:paraId="4B5948A3" w14:textId="77777777" w:rsidR="0011638B" w:rsidRPr="00A03848" w:rsidRDefault="0011638B" w:rsidP="009F2DF3">
      <w:pPr>
        <w:pStyle w:val="H23"/>
        <w:ind w:right="1260"/>
        <w:rPr>
          <w:bCs w:val="0"/>
          <w:lang w:val="es-ES" w:eastAsia="en-US"/>
        </w:rPr>
      </w:pPr>
      <w:bookmarkStart w:id="381" w:name="bookmark_413"/>
      <w:r w:rsidRPr="00A03848">
        <w:rPr>
          <w:bCs w:val="0"/>
          <w:lang w:val="es-ES" w:eastAsia="en-US"/>
        </w:rPr>
        <w:tab/>
      </w:r>
      <w:r w:rsidRPr="00A03848">
        <w:rPr>
          <w:bCs w:val="0"/>
          <w:lang w:val="es-ES" w:eastAsia="en-US"/>
        </w:rPr>
        <w:tab/>
        <w:t>Aumento de la participación de las mujeres en el deporte</w:t>
      </w:r>
      <w:bookmarkEnd w:id="381"/>
    </w:p>
    <w:p w14:paraId="3B4469CF" w14:textId="77777777" w:rsidR="001929A2" w:rsidRPr="00A03848" w:rsidRDefault="001929A2" w:rsidP="001929A2">
      <w:pPr>
        <w:pStyle w:val="SingleTxt"/>
        <w:spacing w:after="0" w:line="120" w:lineRule="exact"/>
        <w:rPr>
          <w:sz w:val="10"/>
          <w:szCs w:val="10"/>
          <w:lang w:val="es-ES"/>
        </w:rPr>
      </w:pPr>
    </w:p>
    <w:p w14:paraId="4A9C06CF" w14:textId="0522C63F" w:rsidR="0011638B" w:rsidRPr="00A03848" w:rsidRDefault="00946670" w:rsidP="00AB43B5">
      <w:pPr>
        <w:pStyle w:val="SingleTxt"/>
        <w:rPr>
          <w:szCs w:val="22"/>
          <w:lang w:val="es-ES" w:eastAsia="en-US"/>
        </w:rPr>
      </w:pPr>
      <w:bookmarkStart w:id="382" w:name="bookmark_414"/>
      <w:r w:rsidRPr="00A03848">
        <w:rPr>
          <w:szCs w:val="22"/>
          <w:lang w:val="es-ES" w:eastAsia="en-US"/>
        </w:rPr>
        <w:t>148.</w:t>
      </w:r>
      <w:r w:rsidRPr="00A03848">
        <w:rPr>
          <w:szCs w:val="22"/>
          <w:lang w:val="es-ES" w:eastAsia="en-US"/>
        </w:rPr>
        <w:tab/>
      </w:r>
      <w:r w:rsidR="0011638B" w:rsidRPr="00A03848">
        <w:rPr>
          <w:szCs w:val="22"/>
          <w:lang w:val="es-ES" w:eastAsia="en-US"/>
        </w:rPr>
        <w:t xml:space="preserve">La estrategia del Gobierno del Reino Unido para el deporte denominada </w:t>
      </w:r>
      <w:r w:rsidR="00284834" w:rsidRPr="00A03848">
        <w:rPr>
          <w:szCs w:val="22"/>
          <w:lang w:val="es-ES" w:eastAsia="en-US"/>
        </w:rPr>
        <w:t>“</w:t>
      </w:r>
      <w:r w:rsidR="0011638B" w:rsidRPr="00A03848">
        <w:rPr>
          <w:szCs w:val="22"/>
          <w:lang w:val="es-ES" w:eastAsia="en-US"/>
        </w:rPr>
        <w:t>Sporting Future</w:t>
      </w:r>
      <w:r w:rsidR="00284834" w:rsidRPr="00A03848">
        <w:rPr>
          <w:szCs w:val="22"/>
          <w:lang w:val="es-ES" w:eastAsia="en-US"/>
        </w:rPr>
        <w:t>”</w:t>
      </w:r>
      <w:r w:rsidR="0011638B" w:rsidRPr="00A03848">
        <w:rPr>
          <w:szCs w:val="22"/>
          <w:lang w:val="es-ES" w:eastAsia="en-US"/>
        </w:rPr>
        <w:t xml:space="preserve"> y la estrategia </w:t>
      </w:r>
      <w:r w:rsidR="00284834" w:rsidRPr="00A03848">
        <w:rPr>
          <w:szCs w:val="22"/>
          <w:lang w:val="es-ES" w:eastAsia="en-US"/>
        </w:rPr>
        <w:t>“</w:t>
      </w:r>
      <w:r w:rsidR="0011638B" w:rsidRPr="00A03848">
        <w:rPr>
          <w:szCs w:val="22"/>
          <w:lang w:val="es-ES" w:eastAsia="en-US"/>
        </w:rPr>
        <w:t>Towards an Active Nation</w:t>
      </w:r>
      <w:r w:rsidR="00284834" w:rsidRPr="00A03848">
        <w:rPr>
          <w:szCs w:val="22"/>
          <w:lang w:val="es-ES" w:eastAsia="en-US"/>
        </w:rPr>
        <w:t>”</w:t>
      </w:r>
      <w:r w:rsidR="0011638B" w:rsidRPr="00A03848">
        <w:rPr>
          <w:szCs w:val="22"/>
          <w:lang w:val="es-ES" w:eastAsia="en-US"/>
        </w:rPr>
        <w:t xml:space="preserve">, de la entidad Sport England, establecen los planes para lograr que haya más personas activas, en particular en los grupos sin suficiente representación, como las mujeres. Existen varios obstáculos que disuaden a las mujeres de practicar deporte, y el Gobierno del Reino Unido está dispuesto a derribarlos. Sport England creó la campaña </w:t>
      </w:r>
      <w:r w:rsidR="00284834" w:rsidRPr="00A03848">
        <w:rPr>
          <w:szCs w:val="22"/>
          <w:lang w:val="es-ES" w:eastAsia="en-US"/>
        </w:rPr>
        <w:t>“</w:t>
      </w:r>
      <w:r w:rsidR="0011638B" w:rsidRPr="00A03848">
        <w:rPr>
          <w:szCs w:val="22"/>
          <w:lang w:val="es-ES" w:eastAsia="en-US"/>
        </w:rPr>
        <w:t>This Girl Can</w:t>
      </w:r>
      <w:r w:rsidR="00284834" w:rsidRPr="00A03848">
        <w:rPr>
          <w:szCs w:val="22"/>
          <w:lang w:val="es-ES" w:eastAsia="en-US"/>
        </w:rPr>
        <w:t>”</w:t>
      </w:r>
      <w:r w:rsidR="0011638B" w:rsidRPr="00A03848">
        <w:rPr>
          <w:szCs w:val="22"/>
          <w:lang w:val="es-ES" w:eastAsia="en-US"/>
        </w:rPr>
        <w:t xml:space="preserve">, orientada a transformar comportamientos, a alentar a las mujeres y las niñas a que se mantengan activas y a ayudar a reducir la brecha entre los géneros en cuanto al número de hombres y mujeres que practican deportes con regularidad y se mantienen activos físicamente. La última evaluación muestra que la campaña </w:t>
      </w:r>
      <w:r w:rsidR="00284834" w:rsidRPr="00A03848">
        <w:rPr>
          <w:szCs w:val="22"/>
          <w:lang w:val="es-ES" w:eastAsia="en-US"/>
        </w:rPr>
        <w:t>“</w:t>
      </w:r>
      <w:r w:rsidR="0011638B" w:rsidRPr="00A03848">
        <w:rPr>
          <w:szCs w:val="22"/>
          <w:lang w:val="es-ES" w:eastAsia="en-US"/>
        </w:rPr>
        <w:t>This</w:t>
      </w:r>
      <w:r w:rsidR="00233A1A" w:rsidRPr="00A03848">
        <w:rPr>
          <w:szCs w:val="22"/>
          <w:lang w:val="es-ES" w:eastAsia="en-US"/>
        </w:rPr>
        <w:t xml:space="preserve"> </w:t>
      </w:r>
      <w:r w:rsidR="0011638B" w:rsidRPr="00A03848">
        <w:rPr>
          <w:szCs w:val="22"/>
          <w:lang w:val="es-ES" w:eastAsia="en-US"/>
        </w:rPr>
        <w:t>Girl Can</w:t>
      </w:r>
      <w:r w:rsidR="00284834" w:rsidRPr="00A03848">
        <w:rPr>
          <w:szCs w:val="22"/>
          <w:lang w:val="es-ES" w:eastAsia="en-US"/>
        </w:rPr>
        <w:t>”</w:t>
      </w:r>
      <w:r w:rsidR="0011638B" w:rsidRPr="00A03848">
        <w:rPr>
          <w:szCs w:val="22"/>
          <w:lang w:val="es-ES" w:eastAsia="en-US"/>
        </w:rPr>
        <w:t xml:space="preserve"> ya está logrando resultados, pues ha animado a 2,8 millones de mujeres y niñas a mantenerse activas y, entre ellas, 1,6 millones de mujeres afirman haber iniciado o reanudado alguna actividad</w:t>
      </w:r>
      <w:r w:rsidR="0011638B" w:rsidRPr="00A03848">
        <w:rPr>
          <w:szCs w:val="22"/>
          <w:vertAlign w:val="superscript"/>
          <w:lang w:val="es-ES" w:eastAsia="en-US"/>
        </w:rPr>
        <w:footnoteReference w:id="64"/>
      </w:r>
      <w:r w:rsidR="0011638B" w:rsidRPr="00A03848">
        <w:rPr>
          <w:szCs w:val="22"/>
          <w:lang w:val="es-ES" w:eastAsia="en-US"/>
        </w:rPr>
        <w:t>. Sport England puso en marcha la segunda fase de la campaña a principios de 2017 y ha ampliado su intervalo de edades para incluir a las mujeres de entre 60 y 70 años.</w:t>
      </w:r>
      <w:bookmarkEnd w:id="382"/>
    </w:p>
    <w:p w14:paraId="5EBE2085" w14:textId="396D01B1" w:rsidR="0011638B" w:rsidRPr="00A03848" w:rsidRDefault="00946670" w:rsidP="00AB43B5">
      <w:pPr>
        <w:pStyle w:val="SingleTxt"/>
        <w:rPr>
          <w:szCs w:val="22"/>
          <w:lang w:val="es-ES" w:eastAsia="en-US"/>
        </w:rPr>
      </w:pPr>
      <w:bookmarkStart w:id="384" w:name="bookmark_416"/>
      <w:r w:rsidRPr="00A03848">
        <w:rPr>
          <w:szCs w:val="22"/>
          <w:lang w:val="es-ES" w:eastAsia="en-US"/>
        </w:rPr>
        <w:t>149.</w:t>
      </w:r>
      <w:r w:rsidRPr="00A03848">
        <w:rPr>
          <w:szCs w:val="22"/>
          <w:lang w:val="es-ES" w:eastAsia="en-US"/>
        </w:rPr>
        <w:tab/>
      </w:r>
      <w:r w:rsidR="0011638B" w:rsidRPr="00A03848">
        <w:rPr>
          <w:szCs w:val="22"/>
          <w:lang w:val="es-ES" w:eastAsia="en-US"/>
        </w:rPr>
        <w:t xml:space="preserve">El Departamento de Comunidades de Irlanda del Norte ha financiado varias iniciativas para apoyar la participación de la mujer en el deporte y contribuir al desarrollo de la capacidad en el deporte femenino. El Departamento ha destinado 250.000 libras a poner en práctica la estrategia </w:t>
      </w:r>
      <w:r w:rsidR="00284834" w:rsidRPr="00A03848">
        <w:rPr>
          <w:szCs w:val="22"/>
          <w:lang w:val="es-ES" w:eastAsia="en-US"/>
        </w:rPr>
        <w:t>“</w:t>
      </w:r>
      <w:r w:rsidR="0011638B" w:rsidRPr="00A03848">
        <w:rPr>
          <w:szCs w:val="22"/>
          <w:lang w:val="es-ES" w:eastAsia="en-US"/>
        </w:rPr>
        <w:t>Active, Fit and Sporty</w:t>
      </w:r>
      <w:r w:rsidR="00284834" w:rsidRPr="00A03848">
        <w:rPr>
          <w:szCs w:val="22"/>
          <w:lang w:val="es-ES" w:eastAsia="en-US"/>
        </w:rPr>
        <w:t>”</w:t>
      </w:r>
      <w:r w:rsidR="0011638B" w:rsidRPr="00A03848">
        <w:rPr>
          <w:szCs w:val="22"/>
          <w:vertAlign w:val="superscript"/>
          <w:lang w:val="es-ES" w:eastAsia="en-US"/>
        </w:rPr>
        <w:footnoteReference w:id="65"/>
      </w:r>
      <w:r w:rsidR="0011638B" w:rsidRPr="00A03848">
        <w:rPr>
          <w:szCs w:val="22"/>
          <w:lang w:val="es-ES" w:eastAsia="en-US"/>
        </w:rPr>
        <w:t xml:space="preserve"> dedicada a las mujeres y las niñas en el deporte. Más de 3.000 mujeres participaron en el proyecto durante un período de seis meses. También se ha garantizado una financiación adicional de 120.000 libras para ofrecer oportunidades de legado y actividades de creación de capacidad que contribuyan a aumentar la participación femenina. El Gobierno de Escocia ha creado una junta consultiva sobre las mujeres y las niñas en el deporte para que brinde asesoramiento independiente al Ministro de Salud y Deporte acerca de la participación femenina y la sensibilización en todos los ámbitos del deporte y la actividad física. Sport Wales, a través de su programa de llamamientos a la acción, ha concedido más de 1,5 millones de libras a varias organizaciones para financiar programas que hagan frente a las desigualdades y los obstáculos que dificultan la participación de las mujeres y las niñas en el deporte.</w:t>
      </w:r>
      <w:bookmarkEnd w:id="384"/>
    </w:p>
    <w:p w14:paraId="3EF268AE" w14:textId="77777777" w:rsidR="001702AB" w:rsidRPr="00A03848" w:rsidRDefault="001702AB" w:rsidP="001702AB">
      <w:pPr>
        <w:pStyle w:val="SingleTxt"/>
        <w:spacing w:after="0" w:line="120" w:lineRule="exact"/>
        <w:rPr>
          <w:sz w:val="10"/>
          <w:szCs w:val="10"/>
          <w:lang w:val="es-ES"/>
        </w:rPr>
      </w:pPr>
      <w:bookmarkStart w:id="386" w:name="bookmark_418"/>
    </w:p>
    <w:p w14:paraId="74A6B74B" w14:textId="2BEA9516" w:rsidR="0011638B" w:rsidRPr="00A03848" w:rsidRDefault="0011638B" w:rsidP="009F2DF3">
      <w:pPr>
        <w:pStyle w:val="H23"/>
        <w:ind w:right="1260"/>
        <w:rPr>
          <w:bCs w:val="0"/>
          <w:lang w:val="es-ES" w:eastAsia="en-US"/>
        </w:rPr>
      </w:pPr>
      <w:r w:rsidRPr="00A03848">
        <w:rPr>
          <w:bCs w:val="0"/>
          <w:lang w:val="es-ES" w:eastAsia="en-US"/>
        </w:rPr>
        <w:tab/>
      </w:r>
      <w:r w:rsidRPr="00A03848">
        <w:rPr>
          <w:bCs w:val="0"/>
          <w:lang w:val="es-ES" w:eastAsia="en-US"/>
        </w:rPr>
        <w:tab/>
        <w:t>Evaluación de los efectos de las medidas de austeridad en los derechos de</w:t>
      </w:r>
      <w:r w:rsidR="00233A1A" w:rsidRPr="00A03848">
        <w:rPr>
          <w:bCs w:val="0"/>
          <w:lang w:val="es-ES" w:eastAsia="en-US"/>
        </w:rPr>
        <w:t xml:space="preserve"> </w:t>
      </w:r>
      <w:r w:rsidRPr="00A03848">
        <w:rPr>
          <w:bCs w:val="0"/>
          <w:lang w:val="es-ES" w:eastAsia="en-US"/>
        </w:rPr>
        <w:t>la</w:t>
      </w:r>
      <w:r w:rsidR="00233A1A" w:rsidRPr="00A03848">
        <w:rPr>
          <w:bCs w:val="0"/>
          <w:lang w:val="es-ES" w:eastAsia="en-US"/>
        </w:rPr>
        <w:t xml:space="preserve"> </w:t>
      </w:r>
      <w:r w:rsidRPr="00A03848">
        <w:rPr>
          <w:bCs w:val="0"/>
          <w:lang w:val="es-ES" w:eastAsia="en-US"/>
        </w:rPr>
        <w:t>mujer</w:t>
      </w:r>
      <w:bookmarkEnd w:id="386"/>
    </w:p>
    <w:p w14:paraId="3AD2C184" w14:textId="77777777" w:rsidR="001702AB" w:rsidRPr="00A03848" w:rsidRDefault="001702AB" w:rsidP="001702AB">
      <w:pPr>
        <w:pStyle w:val="SingleTxt"/>
        <w:spacing w:after="0" w:line="120" w:lineRule="exact"/>
        <w:rPr>
          <w:sz w:val="10"/>
          <w:szCs w:val="10"/>
          <w:lang w:val="es-ES"/>
        </w:rPr>
      </w:pPr>
    </w:p>
    <w:p w14:paraId="4256B5CD" w14:textId="1AD59019" w:rsidR="0011638B" w:rsidRPr="00A03848" w:rsidRDefault="00946670" w:rsidP="00AB43B5">
      <w:pPr>
        <w:pStyle w:val="SingleTxt"/>
        <w:rPr>
          <w:szCs w:val="22"/>
          <w:lang w:val="es-ES" w:eastAsia="en-US"/>
        </w:rPr>
      </w:pPr>
      <w:bookmarkStart w:id="387" w:name="bookmark_419"/>
      <w:r w:rsidRPr="00A03848">
        <w:rPr>
          <w:szCs w:val="22"/>
          <w:lang w:val="es-ES" w:eastAsia="en-US"/>
        </w:rPr>
        <w:t>150.</w:t>
      </w:r>
      <w:r w:rsidRPr="00A03848">
        <w:rPr>
          <w:szCs w:val="22"/>
          <w:lang w:val="es-ES" w:eastAsia="en-US"/>
        </w:rPr>
        <w:tab/>
      </w:r>
      <w:r w:rsidR="0011638B" w:rsidRPr="00A03848">
        <w:rPr>
          <w:szCs w:val="22"/>
          <w:lang w:val="es-ES" w:eastAsia="en-US"/>
        </w:rPr>
        <w:t>El Gobierno del Reino Unido toma nota de las preocupaciones expresadas por el Comité y la sociedad civil y ha tenido en cuenta la repercusión de las medidas de política en los grupos protegidos en virtud de la igualdad, en particular las mujeres, a lo largo de todo el proceso de formulación de políticas y adopción de decisiones del examen de gastos de 2015</w:t>
      </w:r>
      <w:r w:rsidR="0011638B" w:rsidRPr="00A03848">
        <w:rPr>
          <w:szCs w:val="22"/>
          <w:vertAlign w:val="superscript"/>
          <w:lang w:val="es-ES" w:eastAsia="en-US"/>
        </w:rPr>
        <w:footnoteReference w:id="66"/>
      </w:r>
      <w:r w:rsidR="0011638B" w:rsidRPr="00A03848">
        <w:rPr>
          <w:szCs w:val="22"/>
          <w:lang w:val="es-ES" w:eastAsia="en-US"/>
        </w:rPr>
        <w:t>. Como ocurre con todos los exámenes de gastos, los departamentos del Gobierno tienen muy en cuenta las consecuencias en materia de género para las mujeres a la hora de formular y aplicar las políticas de las que se encargan</w:t>
      </w:r>
      <w:r w:rsidR="0011638B" w:rsidRPr="00A03848">
        <w:rPr>
          <w:szCs w:val="22"/>
          <w:vertAlign w:val="superscript"/>
          <w:lang w:val="es-ES" w:eastAsia="en-US"/>
        </w:rPr>
        <w:endnoteReference w:id="39"/>
      </w:r>
      <w:r w:rsidR="0011638B" w:rsidRPr="00A03848">
        <w:rPr>
          <w:szCs w:val="22"/>
          <w:lang w:val="es-ES" w:eastAsia="en-US"/>
        </w:rPr>
        <w:t xml:space="preserve">. El 29 de junio de 2017 se publicó </w:t>
      </w:r>
      <w:r w:rsidR="00284834" w:rsidRPr="00A03848">
        <w:rPr>
          <w:szCs w:val="22"/>
          <w:lang w:val="es-ES" w:eastAsia="en-US"/>
        </w:rPr>
        <w:t>“</w:t>
      </w:r>
      <w:r w:rsidR="0011638B" w:rsidRPr="00A03848">
        <w:rPr>
          <w:szCs w:val="22"/>
          <w:lang w:val="es-ES" w:eastAsia="en-US"/>
        </w:rPr>
        <w:t>Welfare Reform (Further Provision) (Scotland) Act 2012 - Annual Report – 2017</w:t>
      </w:r>
      <w:r w:rsidR="00284834" w:rsidRPr="00A03848">
        <w:rPr>
          <w:szCs w:val="22"/>
          <w:lang w:val="es-ES" w:eastAsia="en-US"/>
        </w:rPr>
        <w:t>”</w:t>
      </w:r>
      <w:r w:rsidR="0011638B" w:rsidRPr="00A03848">
        <w:rPr>
          <w:szCs w:val="22"/>
          <w:lang w:val="es-ES" w:eastAsia="en-US"/>
        </w:rPr>
        <w:t>, un informe dirigido al Parlamento escocés sobre las repercusiones para los ciudadanos de Escocia de la ley y otras medidas de bienestar aprobadas desde 2010.</w:t>
      </w:r>
      <w:bookmarkEnd w:id="387"/>
    </w:p>
    <w:p w14:paraId="0E05DC30" w14:textId="4F959914" w:rsidR="007A1CF8" w:rsidRPr="00A03848" w:rsidRDefault="007A1CF8" w:rsidP="007A1CF8">
      <w:pPr>
        <w:pStyle w:val="SingleTxt"/>
        <w:spacing w:after="0" w:line="120" w:lineRule="exact"/>
        <w:rPr>
          <w:sz w:val="10"/>
          <w:szCs w:val="22"/>
          <w:lang w:val="es-ES" w:eastAsia="en-US"/>
        </w:rPr>
      </w:pPr>
    </w:p>
    <w:p w14:paraId="138952F1" w14:textId="77777777" w:rsidR="0011638B" w:rsidRPr="00A03848" w:rsidRDefault="0011638B" w:rsidP="009F2DF3">
      <w:pPr>
        <w:pStyle w:val="H23"/>
        <w:ind w:right="1260"/>
        <w:rPr>
          <w:bCs w:val="0"/>
          <w:lang w:val="es-ES" w:eastAsia="en-US"/>
        </w:rPr>
      </w:pPr>
      <w:bookmarkStart w:id="390" w:name="bookmark_422"/>
      <w:r w:rsidRPr="00A03848">
        <w:rPr>
          <w:bCs w:val="0"/>
          <w:lang w:val="es-ES" w:eastAsia="en-US"/>
        </w:rPr>
        <w:tab/>
      </w:r>
      <w:r w:rsidRPr="00A03848">
        <w:rPr>
          <w:bCs w:val="0"/>
          <w:lang w:val="es-ES" w:eastAsia="en-US"/>
        </w:rPr>
        <w:tab/>
        <w:t>Apoyo a las familias de bajos ingresos</w:t>
      </w:r>
      <w:r w:rsidRPr="00A03848">
        <w:rPr>
          <w:bCs w:val="0"/>
          <w:vertAlign w:val="superscript"/>
          <w:lang w:val="es-ES" w:eastAsia="en-US"/>
        </w:rPr>
        <w:endnoteReference w:id="40"/>
      </w:r>
      <w:bookmarkEnd w:id="390"/>
    </w:p>
    <w:p w14:paraId="163F9662" w14:textId="77777777" w:rsidR="001702AB" w:rsidRPr="00A03848" w:rsidRDefault="001702AB" w:rsidP="001702AB">
      <w:pPr>
        <w:pStyle w:val="SingleTxt"/>
        <w:spacing w:after="0" w:line="120" w:lineRule="exact"/>
        <w:rPr>
          <w:sz w:val="10"/>
          <w:szCs w:val="10"/>
          <w:lang w:val="es-ES"/>
        </w:rPr>
      </w:pPr>
    </w:p>
    <w:p w14:paraId="2078F53C" w14:textId="35967E62" w:rsidR="0011638B" w:rsidRPr="00A03848" w:rsidRDefault="00946670" w:rsidP="00AB43B5">
      <w:pPr>
        <w:pStyle w:val="SingleTxt"/>
        <w:rPr>
          <w:szCs w:val="22"/>
          <w:lang w:val="es-ES" w:eastAsia="en-US"/>
        </w:rPr>
      </w:pPr>
      <w:bookmarkStart w:id="392" w:name="bookmark_424"/>
      <w:r w:rsidRPr="00A03848">
        <w:rPr>
          <w:szCs w:val="22"/>
          <w:lang w:val="es-ES" w:eastAsia="en-US"/>
        </w:rPr>
        <w:t>151.</w:t>
      </w:r>
      <w:r w:rsidRPr="00A03848">
        <w:rPr>
          <w:szCs w:val="22"/>
          <w:lang w:val="es-ES" w:eastAsia="en-US"/>
        </w:rPr>
        <w:tab/>
      </w:r>
      <w:r w:rsidR="0011638B" w:rsidRPr="00A03848">
        <w:rPr>
          <w:szCs w:val="22"/>
          <w:lang w:val="es-ES" w:eastAsia="en-US"/>
        </w:rPr>
        <w:t>El Gobierno del Reino Unido ha llevado a efecto varias medidas para ayudar a las familias de bajos ingresos, entre ellas, la introducción del salario mínimo vital a escala nacional, los servicios de cuidado de los niños libres de impuestos, la flexibilidad laboral y el aumento de los programas de apoyo a las mujeres que se reincorporan al trabajo.</w:t>
      </w:r>
      <w:bookmarkEnd w:id="392"/>
    </w:p>
    <w:p w14:paraId="5B64CB26" w14:textId="0B1B68F7" w:rsidR="0011638B" w:rsidRPr="00A03848" w:rsidRDefault="00946670" w:rsidP="00AB43B5">
      <w:pPr>
        <w:pStyle w:val="SingleTxt"/>
        <w:rPr>
          <w:szCs w:val="22"/>
          <w:lang w:val="es-ES" w:eastAsia="en-US"/>
        </w:rPr>
      </w:pPr>
      <w:bookmarkStart w:id="393" w:name="bookmark_425"/>
      <w:r w:rsidRPr="00A03848">
        <w:rPr>
          <w:szCs w:val="22"/>
          <w:lang w:val="es-ES" w:eastAsia="en-US"/>
        </w:rPr>
        <w:t>152.</w:t>
      </w:r>
      <w:r w:rsidRPr="00A03848">
        <w:rPr>
          <w:szCs w:val="22"/>
          <w:lang w:val="es-ES" w:eastAsia="en-US"/>
        </w:rPr>
        <w:tab/>
      </w:r>
      <w:r w:rsidR="0011638B" w:rsidRPr="00A03848">
        <w:rPr>
          <w:szCs w:val="22"/>
          <w:lang w:val="es-ES" w:eastAsia="en-US"/>
        </w:rPr>
        <w:t xml:space="preserve">El Departamento de Salud está elaborando una nueva estrategia nacional para los cuidadores. Con ella se intentará crear conciencia entre la población y los profesionales acerca de los cuidadores y sus funciones de prestación de cuidados; crear comunidades favorables a los cuidadores en las que los empleadores, las empresas y los servicios los distingan, reconozcan y apoyen; y conseguir que el Servicio Nacional de Salud de Inglaterra y los servicios de asistencia social apoyen adecuadamente a quienes asumen las funciones de cuidados más onerosas y en momentos de crisis. El Gobierno del Reino Unido incrementará considerablemente el gasto en prestaciones para cuidadores durante los próximos años, algo de lo que se beneficiarán más mujeres que hombres. En total, el 59% de los cuidadores de Escocia son mujeres. A partir del verano de 2018, con efecto retroactivo desde abril de 2018, el Gobierno escocés aumentará la prestación para cuidadores hasta el nivel de la prestación que reciben los solicitantes de empleo, lo que supone un incremento de 10,40 libras a la semana. </w:t>
      </w:r>
      <w:bookmarkEnd w:id="393"/>
    </w:p>
    <w:p w14:paraId="44D24E2A" w14:textId="61662FFA" w:rsidR="0011638B" w:rsidRPr="00A03848" w:rsidRDefault="00946670" w:rsidP="00AB43B5">
      <w:pPr>
        <w:pStyle w:val="SingleTxt"/>
        <w:rPr>
          <w:szCs w:val="22"/>
          <w:lang w:val="es-ES" w:eastAsia="en-US"/>
        </w:rPr>
      </w:pPr>
      <w:bookmarkStart w:id="394" w:name="bookmark_426"/>
      <w:r w:rsidRPr="00A03848">
        <w:rPr>
          <w:szCs w:val="22"/>
          <w:lang w:val="es-ES" w:eastAsia="en-US"/>
        </w:rPr>
        <w:t>153.</w:t>
      </w:r>
      <w:r w:rsidRPr="00A03848">
        <w:rPr>
          <w:szCs w:val="22"/>
          <w:lang w:val="es-ES" w:eastAsia="en-US"/>
        </w:rPr>
        <w:tab/>
      </w:r>
      <w:r w:rsidR="0011638B" w:rsidRPr="00A03848">
        <w:rPr>
          <w:szCs w:val="22"/>
          <w:lang w:val="es-ES" w:eastAsia="en-US"/>
        </w:rPr>
        <w:t>Los solicitantes del Crédito Universal que tengan a su cargo a uno o varios hijos podrán optar a percibir ayudas para cubrir sus gastos de cuidado del niño, lo que facilitará que quienes puedan trabajar sí que lo hagan. Un progenitor sin cónyuge o los progenitores responsables de uno o varios hijos podrán reembolsarse el 85% de aquellos gastos admisibles derivados del cuidado del niño que les permitan trabajar. Estas ayudas económicas beneficiarán a un total de hasta 500.000</w:t>
      </w:r>
      <w:r w:rsidR="00233A1A" w:rsidRPr="00A03848">
        <w:rPr>
          <w:szCs w:val="22"/>
          <w:lang w:val="es-ES" w:eastAsia="en-US"/>
        </w:rPr>
        <w:t xml:space="preserve"> </w:t>
      </w:r>
      <w:r w:rsidR="0011638B" w:rsidRPr="00A03848">
        <w:rPr>
          <w:szCs w:val="22"/>
          <w:lang w:val="es-ES" w:eastAsia="en-US"/>
        </w:rPr>
        <w:t>familias mediante unas 60 libras mensuales una vez que el Crédito Universal se haya implantado por completo, y contribuirán a que los gastos del cuidado de los hijos no sean un obstáculo para los padres que se reincorporen al trabajo o aumenten su jornada laboral.</w:t>
      </w:r>
      <w:bookmarkEnd w:id="394"/>
    </w:p>
    <w:p w14:paraId="530D8789" w14:textId="2D9DE0E8" w:rsidR="0011638B" w:rsidRPr="00A03848" w:rsidRDefault="00946670" w:rsidP="00AB43B5">
      <w:pPr>
        <w:pStyle w:val="SingleTxt"/>
        <w:rPr>
          <w:szCs w:val="22"/>
          <w:lang w:val="es-ES" w:eastAsia="en-US"/>
        </w:rPr>
      </w:pPr>
      <w:bookmarkStart w:id="395" w:name="bookmark_427"/>
      <w:r w:rsidRPr="00A03848">
        <w:rPr>
          <w:szCs w:val="22"/>
          <w:lang w:val="es-ES" w:eastAsia="en-US"/>
        </w:rPr>
        <w:t>154.</w:t>
      </w:r>
      <w:r w:rsidRPr="00A03848">
        <w:rPr>
          <w:szCs w:val="22"/>
          <w:lang w:val="es-ES" w:eastAsia="en-US"/>
        </w:rPr>
        <w:tab/>
      </w:r>
      <w:r w:rsidR="0011638B" w:rsidRPr="00A03848">
        <w:rPr>
          <w:szCs w:val="22"/>
          <w:lang w:val="es-ES" w:eastAsia="en-US"/>
        </w:rPr>
        <w:t xml:space="preserve">El Fondo de Bienestar Social de Escocia ofrece una red de seguridad para las personas de bajos ingresos mediante el suministro de ayudas de emergencia y de atención comunitaria. Desde abril de 2013 hasta el 31 de marzo de 2017, más de 254.000 hogares de Escocia recibieron ayudas del Fondo de Bienestar Social por un valor total de 132,6 millones de libras. De los 254.000 hogares de bajos ingresos, casi 137.000 eran hogares unipersonales y más de 84.000 eran familias con niños. La Ley de la Infancia y la Juventud (de Escocia) de 2014 aumentó los servicios subvencionados de aprendizaje temprano y cuidado del niño hasta 600 horas anuales para todos los niños de 3 a 4 años. Esta medida se ha ampliado para incluir a más de una cuarta parte de los niños de 2 años que tal vez sean quienes más se beneficien, en particular aquellos con un progenitor que reciba prestaciones por desempleo o tenga bajos ingresos, así como a aquellos en situación de guarda, acogimiento por familiares o tutela a cargo de una persona designada por los progenitores. La Estrategia contra la Pobreza Infantil de 2015 del Gobierno de Gales reconoce expresamente la necesidad de apoyar a los grupos que corren un mayor riesgo de vivir en la pobreza, entre ellos, los progenitores sin cónyuge. </w:t>
      </w:r>
      <w:bookmarkEnd w:id="395"/>
    </w:p>
    <w:p w14:paraId="49156A49" w14:textId="77777777" w:rsidR="00561A8E" w:rsidRPr="00A03848" w:rsidRDefault="00561A8E" w:rsidP="00561A8E">
      <w:pPr>
        <w:pStyle w:val="SingleTxt"/>
        <w:spacing w:after="0" w:line="120" w:lineRule="exact"/>
        <w:rPr>
          <w:sz w:val="10"/>
          <w:szCs w:val="10"/>
          <w:lang w:val="es-ES"/>
        </w:rPr>
      </w:pPr>
    </w:p>
    <w:p w14:paraId="42B32CBF" w14:textId="77777777" w:rsidR="0011638B" w:rsidRPr="00A03848" w:rsidRDefault="0011638B" w:rsidP="009F2DF3">
      <w:pPr>
        <w:pStyle w:val="H23"/>
        <w:ind w:right="1260"/>
        <w:rPr>
          <w:bCs w:val="0"/>
          <w:lang w:val="es-ES" w:eastAsia="en-US"/>
        </w:rPr>
      </w:pPr>
      <w:bookmarkStart w:id="396" w:name="bookmark_428"/>
      <w:r w:rsidRPr="00A03848">
        <w:rPr>
          <w:bCs w:val="0"/>
          <w:lang w:val="es-ES" w:eastAsia="en-US"/>
        </w:rPr>
        <w:tab/>
      </w:r>
      <w:r w:rsidRPr="00A03848">
        <w:rPr>
          <w:bCs w:val="0"/>
          <w:lang w:val="es-ES" w:eastAsia="en-US"/>
        </w:rPr>
        <w:tab/>
        <w:t>Reforma del sistema de bienestar: límites de las desgravaciones fiscales por hijos</w:t>
      </w:r>
      <w:bookmarkEnd w:id="396"/>
    </w:p>
    <w:p w14:paraId="6EC8845C" w14:textId="77777777" w:rsidR="00561A8E" w:rsidRPr="00A03848" w:rsidRDefault="00561A8E" w:rsidP="00561A8E">
      <w:pPr>
        <w:pStyle w:val="SingleTxt"/>
        <w:spacing w:after="0" w:line="120" w:lineRule="exact"/>
        <w:rPr>
          <w:sz w:val="10"/>
          <w:szCs w:val="10"/>
          <w:lang w:val="es-ES"/>
        </w:rPr>
      </w:pPr>
    </w:p>
    <w:p w14:paraId="1D8AA99F" w14:textId="0E7F231C" w:rsidR="0011638B" w:rsidRPr="00A03848" w:rsidRDefault="00946670" w:rsidP="00AB43B5">
      <w:pPr>
        <w:pStyle w:val="SingleTxt"/>
        <w:rPr>
          <w:szCs w:val="22"/>
          <w:lang w:val="es-ES" w:eastAsia="en-US"/>
        </w:rPr>
      </w:pPr>
      <w:bookmarkStart w:id="397" w:name="bookmark_429"/>
      <w:r w:rsidRPr="00A03848">
        <w:rPr>
          <w:szCs w:val="22"/>
          <w:lang w:val="es-ES" w:eastAsia="en-US"/>
        </w:rPr>
        <w:t>155.</w:t>
      </w:r>
      <w:r w:rsidRPr="00A03848">
        <w:rPr>
          <w:szCs w:val="22"/>
          <w:lang w:val="es-ES" w:eastAsia="en-US"/>
        </w:rPr>
        <w:tab/>
      </w:r>
      <w:r w:rsidR="0011638B" w:rsidRPr="00A03848">
        <w:rPr>
          <w:szCs w:val="22"/>
          <w:lang w:val="es-ES" w:eastAsia="en-US"/>
        </w:rPr>
        <w:t>Limitar las ayudas a dos niños en la desgravación fiscal por hijo</w:t>
      </w:r>
      <w:r w:rsidR="0011638B" w:rsidRPr="00A03848">
        <w:rPr>
          <w:szCs w:val="22"/>
          <w:vertAlign w:val="superscript"/>
          <w:lang w:val="es-ES" w:eastAsia="en-US"/>
        </w:rPr>
        <w:footnoteReference w:id="67"/>
      </w:r>
      <w:r w:rsidR="0011638B" w:rsidRPr="00A03848">
        <w:rPr>
          <w:szCs w:val="22"/>
          <w:lang w:val="es-ES" w:eastAsia="en-US"/>
        </w:rPr>
        <w:t xml:space="preserve"> y el Crédito Universal es una medida que se anunció en el presupuesto de verano de 2015</w:t>
      </w:r>
      <w:r w:rsidR="0011638B" w:rsidRPr="00A03848">
        <w:rPr>
          <w:szCs w:val="22"/>
          <w:vertAlign w:val="superscript"/>
          <w:lang w:val="es-ES" w:eastAsia="en-US"/>
        </w:rPr>
        <w:footnoteReference w:id="68"/>
      </w:r>
      <w:r w:rsidR="0011638B" w:rsidRPr="00A03848">
        <w:rPr>
          <w:szCs w:val="22"/>
          <w:lang w:val="es-ES" w:eastAsia="en-US"/>
        </w:rPr>
        <w:t xml:space="preserve"> y fue debatida y sometida a votación durante la aprobación de la Ley de Reforma del Sistema de Bienestar y Trabajo de 2016. La política ha estado en vigor desde el 6 de abril de 2017. Esta medida resulta imprescindible para restablecer las finanzas públicas del Gobierno, pero también garantiza la imparcialidad. Antes de introducir este cambio, los derechos a prestaciones se ajustaron automáticamente al tamaño de</w:t>
      </w:r>
      <w:r w:rsidR="00233A1A" w:rsidRPr="00A03848">
        <w:rPr>
          <w:szCs w:val="22"/>
          <w:lang w:val="es-ES" w:eastAsia="en-US"/>
        </w:rPr>
        <w:t xml:space="preserve"> </w:t>
      </w:r>
      <w:r w:rsidR="0011638B" w:rsidRPr="00A03848">
        <w:rPr>
          <w:szCs w:val="22"/>
          <w:lang w:val="es-ES" w:eastAsia="en-US"/>
        </w:rPr>
        <w:t xml:space="preserve">las familias. Con esta política se prevé ahorrar 1.300 millones de libras en </w:t>
      </w:r>
      <w:r w:rsidR="00FE6B53" w:rsidRPr="00A03848">
        <w:rPr>
          <w:szCs w:val="22"/>
          <w:lang w:val="es-ES" w:eastAsia="en-US"/>
        </w:rPr>
        <w:t>2020/</w:t>
      </w:r>
      <w:r w:rsidR="0011638B" w:rsidRPr="00A03848">
        <w:rPr>
          <w:szCs w:val="22"/>
          <w:lang w:val="es-ES" w:eastAsia="en-US"/>
        </w:rPr>
        <w:t xml:space="preserve">21. Los niños nacidos a consecuencia de un embarazo no consensuado estarán exentos de esta medida. El Gobierno del Reino Unido ha adoptado un </w:t>
      </w:r>
      <w:r w:rsidR="00284834" w:rsidRPr="00A03848">
        <w:rPr>
          <w:szCs w:val="22"/>
          <w:lang w:val="es-ES" w:eastAsia="en-US"/>
        </w:rPr>
        <w:t>“</w:t>
      </w:r>
      <w:r w:rsidR="0011638B" w:rsidRPr="00A03848">
        <w:rPr>
          <w:szCs w:val="22"/>
          <w:lang w:val="es-ES" w:eastAsia="en-US"/>
        </w:rPr>
        <w:t>modelo basado en terceros</w:t>
      </w:r>
      <w:r w:rsidR="00284834" w:rsidRPr="00A03848">
        <w:rPr>
          <w:szCs w:val="22"/>
          <w:lang w:val="es-ES" w:eastAsia="en-US"/>
        </w:rPr>
        <w:t>”</w:t>
      </w:r>
      <w:r w:rsidR="0011638B" w:rsidRPr="00A03848">
        <w:rPr>
          <w:szCs w:val="22"/>
          <w:lang w:val="es-ES" w:eastAsia="en-US"/>
        </w:rPr>
        <w:t xml:space="preserve"> para que las mujeres no tengan que describir los detalles de su terrible experiencia a un funcionario público, sino que, en cambio, puedan hablar con profesionales de la salud, un asistente social o una organización benéfica reconocida de ayuda a víctimas de violación. A continuación, esa tercera parte transmitirá la información pertinente a los funcionarios públicos para aliviar la carga</w:t>
      </w:r>
      <w:r w:rsidR="00233A1A" w:rsidRPr="00A03848">
        <w:rPr>
          <w:szCs w:val="22"/>
          <w:lang w:val="es-ES" w:eastAsia="en-US"/>
        </w:rPr>
        <w:t xml:space="preserve"> </w:t>
      </w:r>
      <w:r w:rsidR="0011638B" w:rsidRPr="00A03848">
        <w:rPr>
          <w:szCs w:val="22"/>
          <w:lang w:val="es-ES" w:eastAsia="en-US"/>
        </w:rPr>
        <w:t>de la mujer.</w:t>
      </w:r>
      <w:bookmarkEnd w:id="397"/>
    </w:p>
    <w:p w14:paraId="6B99F753" w14:textId="77777777" w:rsidR="00561A8E" w:rsidRPr="00A03848" w:rsidRDefault="00561A8E" w:rsidP="00561A8E">
      <w:pPr>
        <w:pStyle w:val="SingleTxt"/>
        <w:spacing w:after="0" w:line="120" w:lineRule="exact"/>
        <w:rPr>
          <w:sz w:val="10"/>
          <w:szCs w:val="10"/>
          <w:lang w:val="es-ES"/>
        </w:rPr>
      </w:pPr>
    </w:p>
    <w:p w14:paraId="0CB21EB2" w14:textId="77777777" w:rsidR="0011638B" w:rsidRPr="00A03848" w:rsidRDefault="0011638B" w:rsidP="009F2DF3">
      <w:pPr>
        <w:pStyle w:val="H23"/>
        <w:ind w:right="1260"/>
        <w:rPr>
          <w:bCs w:val="0"/>
          <w:lang w:val="es-ES" w:eastAsia="en-US"/>
        </w:rPr>
      </w:pPr>
      <w:bookmarkStart w:id="400" w:name="bookmark_432"/>
      <w:r w:rsidRPr="00A03848">
        <w:rPr>
          <w:bCs w:val="0"/>
          <w:lang w:val="es-ES" w:eastAsia="en-US"/>
        </w:rPr>
        <w:tab/>
      </w:r>
      <w:r w:rsidRPr="00A03848">
        <w:rPr>
          <w:bCs w:val="0"/>
          <w:lang w:val="es-ES" w:eastAsia="en-US"/>
        </w:rPr>
        <w:tab/>
        <w:t>Acceso de los supervivientes de la violencia doméstica a la asistencia social</w:t>
      </w:r>
      <w:r w:rsidRPr="00A03848">
        <w:rPr>
          <w:bCs w:val="0"/>
          <w:vertAlign w:val="superscript"/>
          <w:lang w:val="es-ES" w:eastAsia="en-US"/>
        </w:rPr>
        <w:endnoteReference w:id="41"/>
      </w:r>
      <w:bookmarkEnd w:id="400"/>
    </w:p>
    <w:p w14:paraId="285049BD" w14:textId="77777777" w:rsidR="00561A8E" w:rsidRPr="00A03848" w:rsidRDefault="00561A8E" w:rsidP="00561A8E">
      <w:pPr>
        <w:pStyle w:val="SingleTxt"/>
        <w:spacing w:after="0" w:line="120" w:lineRule="exact"/>
        <w:rPr>
          <w:sz w:val="10"/>
          <w:szCs w:val="10"/>
          <w:lang w:val="es-ES"/>
        </w:rPr>
      </w:pPr>
    </w:p>
    <w:p w14:paraId="2B299E8B" w14:textId="7A38788C" w:rsidR="0011638B" w:rsidRPr="00A03848" w:rsidRDefault="00946670" w:rsidP="00AB43B5">
      <w:pPr>
        <w:pStyle w:val="SingleTxt"/>
        <w:rPr>
          <w:szCs w:val="22"/>
          <w:lang w:val="es-ES" w:eastAsia="en-US"/>
        </w:rPr>
      </w:pPr>
      <w:bookmarkStart w:id="402" w:name="bookmark_434"/>
      <w:r w:rsidRPr="00A03848">
        <w:rPr>
          <w:szCs w:val="22"/>
          <w:lang w:val="es-ES" w:eastAsia="en-US"/>
        </w:rPr>
        <w:t>156.</w:t>
      </w:r>
      <w:r w:rsidRPr="00A03848">
        <w:rPr>
          <w:szCs w:val="22"/>
          <w:lang w:val="es-ES" w:eastAsia="en-US"/>
        </w:rPr>
        <w:tab/>
      </w:r>
      <w:r w:rsidR="0011638B" w:rsidRPr="00A03848">
        <w:rPr>
          <w:szCs w:val="22"/>
          <w:lang w:val="es-ES" w:eastAsia="en-US"/>
        </w:rPr>
        <w:t>Con arreglo a las condiciones del Crédito Universal, las parejas que viven en el mismo hogar presentan una solicitud conjunta de esta prestación. El Crédito Universal se abona en un solo pago mensual e incluye un elemento que cubre los gastos de vivienda. Corresponde a la familia decidir la persona en cuya cuenta se abonará el Crédito Universal o si debe ingresarse en una cuenta conjunta. Les corresponde a ellos decidir cómo gestionar sus finanzas de la manera que mejor responda a las necesidades de la familia. La decisión de abonar el Crédito Universal como pago único se basa en los datos que demuestran que solo el 7% de las parejas que cohabitan y solo el 2% de las parejas casadas mantienen sus finanzas completamente separadas. El Gobierno del Reino Unido ha establecido medidas preventivas en la política y la definición del Crédito Universal para evitar este tipo de abuso, en particular la posibilidad de dividir el pago del Crédito Universal entre ambos miembros de la pareja. El personal de los centros de colocación laboral también puede considerar la posibilidad de pagar directamente al arrendador los gastos de vivienda incluidos en un pago del Crédito Universal para reducir el riesgo de la falta de hogar en el caso de las mujeres que puedan ser víctimas de explotación por cónyuges abusivos. Otra medida que puede impedir el maltrato o prestar apoyo a sus víctimas es la capacidad de efectuar pagos más frecuentes a los solicitantes, para así ayudarles a superar períodos de dificultades financieras. Las mujeres que hayan abandonado su hogar a causa de este tipo de maltrato también pueden solicitar un adelanto del Crédito Universal a corto plazo.</w:t>
      </w:r>
      <w:bookmarkEnd w:id="402"/>
    </w:p>
    <w:p w14:paraId="76B40DE3" w14:textId="4F29308D" w:rsidR="0011638B" w:rsidRPr="00A03848" w:rsidRDefault="00946670" w:rsidP="00AB43B5">
      <w:pPr>
        <w:pStyle w:val="SingleTxt"/>
        <w:rPr>
          <w:szCs w:val="22"/>
          <w:lang w:val="es-ES" w:eastAsia="en-US"/>
        </w:rPr>
      </w:pPr>
      <w:bookmarkStart w:id="403" w:name="bookmark_435"/>
      <w:r w:rsidRPr="00A03848">
        <w:rPr>
          <w:szCs w:val="22"/>
          <w:lang w:val="es-ES" w:eastAsia="en-US"/>
        </w:rPr>
        <w:t>157.</w:t>
      </w:r>
      <w:r w:rsidRPr="00A03848">
        <w:rPr>
          <w:szCs w:val="22"/>
          <w:lang w:val="es-ES" w:eastAsia="en-US"/>
        </w:rPr>
        <w:tab/>
      </w:r>
      <w:r w:rsidR="0011638B" w:rsidRPr="00A03848">
        <w:rPr>
          <w:szCs w:val="22"/>
          <w:lang w:val="es-ES" w:eastAsia="en-US"/>
        </w:rPr>
        <w:t xml:space="preserve">Mediante la Ley de 2016, el Gobierno de Escocia recibirá flexibilidades en relación con la administración del Crédito Universal, incluida la división de los pagos entre ambos miembros de una pareja. El Gobierno escocés reconoce que el pago del Crédito Universal por hogares, y no por personas, puede perpetuar las relaciones asimétricas de poder entre las parejas y expone a las mujeres a un mayor riesgo de maltrato económico. </w:t>
      </w:r>
      <w:bookmarkEnd w:id="403"/>
    </w:p>
    <w:p w14:paraId="7485C408" w14:textId="77777777" w:rsidR="00477EB6" w:rsidRPr="00A03848" w:rsidRDefault="00477EB6" w:rsidP="00477EB6">
      <w:pPr>
        <w:pStyle w:val="SingleTxt"/>
        <w:spacing w:after="0" w:line="120" w:lineRule="exact"/>
        <w:rPr>
          <w:sz w:val="10"/>
          <w:szCs w:val="10"/>
          <w:lang w:val="es-ES"/>
        </w:rPr>
      </w:pPr>
    </w:p>
    <w:p w14:paraId="06D3DFEC" w14:textId="77777777" w:rsidR="0011638B" w:rsidRPr="00A03848" w:rsidRDefault="0011638B" w:rsidP="009F2DF3">
      <w:pPr>
        <w:pStyle w:val="H23"/>
        <w:ind w:right="1260"/>
        <w:rPr>
          <w:bCs w:val="0"/>
          <w:lang w:val="es-ES" w:eastAsia="en-US"/>
        </w:rPr>
      </w:pPr>
      <w:bookmarkStart w:id="404" w:name="bookmark_436"/>
      <w:r w:rsidRPr="00A03848">
        <w:rPr>
          <w:bCs w:val="0"/>
          <w:lang w:val="es-ES" w:eastAsia="en-US"/>
        </w:rPr>
        <w:tab/>
      </w:r>
      <w:r w:rsidRPr="00A03848">
        <w:rPr>
          <w:bCs w:val="0"/>
          <w:lang w:val="es-ES" w:eastAsia="en-US"/>
        </w:rPr>
        <w:tab/>
        <w:t>Aumento del apoyo a la población gitana e itinerante</w:t>
      </w:r>
      <w:r w:rsidRPr="00A03848">
        <w:rPr>
          <w:bCs w:val="0"/>
          <w:vertAlign w:val="superscript"/>
          <w:lang w:val="es-ES" w:eastAsia="en-US"/>
        </w:rPr>
        <w:endnoteReference w:id="42"/>
      </w:r>
      <w:bookmarkEnd w:id="404"/>
    </w:p>
    <w:p w14:paraId="0942090D" w14:textId="77777777" w:rsidR="00477EB6" w:rsidRPr="00A03848" w:rsidRDefault="00477EB6" w:rsidP="00477EB6">
      <w:pPr>
        <w:pStyle w:val="SingleTxt"/>
        <w:spacing w:after="0" w:line="120" w:lineRule="exact"/>
        <w:rPr>
          <w:sz w:val="10"/>
          <w:szCs w:val="10"/>
          <w:lang w:val="es-ES"/>
        </w:rPr>
      </w:pPr>
    </w:p>
    <w:p w14:paraId="4561E08F" w14:textId="404917F7" w:rsidR="0011638B" w:rsidRPr="00A03848" w:rsidRDefault="00946670" w:rsidP="00AB43B5">
      <w:pPr>
        <w:pStyle w:val="SingleTxt"/>
        <w:rPr>
          <w:szCs w:val="22"/>
          <w:lang w:val="es-ES" w:eastAsia="en-US"/>
        </w:rPr>
      </w:pPr>
      <w:bookmarkStart w:id="406" w:name="bookmark_438"/>
      <w:r w:rsidRPr="00A03848">
        <w:rPr>
          <w:szCs w:val="22"/>
          <w:lang w:val="es-ES" w:eastAsia="en-US"/>
        </w:rPr>
        <w:t>158.</w:t>
      </w:r>
      <w:r w:rsidRPr="00A03848">
        <w:rPr>
          <w:szCs w:val="22"/>
          <w:lang w:val="es-ES" w:eastAsia="en-US"/>
        </w:rPr>
        <w:tab/>
      </w:r>
      <w:r w:rsidR="0011638B" w:rsidRPr="00A03848">
        <w:rPr>
          <w:szCs w:val="22"/>
          <w:lang w:val="es-ES" w:eastAsia="en-US"/>
        </w:rPr>
        <w:t>Las autoridades locales son responsables de proveer un número suficiente de emplazamientos para gitanos y grupos itinerantes a través del sistema de planificación. La Política de Planificación de Emplazamientos para Itinerantes del Gobierno del Reino Unido establece que las autoridades locales deben evaluar objetivamente las necesidades de movilidad de estos grupos e indicar una oferta adecuada de emplazamientos por un período de cinco años para satisfacer esas necesidades, teniendo en cuenta la política nacional de planificación al hacerlo. Las autoridades locales están logrando progresos y, en julio de 2016, el 84% de las caravanas de grupos itinerantes se encontraban en emplazamientos autorizados, un porcentaje muy superior al de julio de 2007, cuando solo el 77% de las caravanas estaban en estos emplazamientos. En noviembre de 2016, en el marco del Programa de Propiedad Compartida y Viviendas Asequibles 2016-2021, el Gobierno anunció la aportación de 1.400 millones de libras adicionales para la construcción de otras 40.000 nuevas viviendas para 2021, con lo que el total del presupuesto de capital del Programa de Viviendas Asequibles ascenderá a 7.100 millones de libras hasta 2021. Los emplazamientos para los grupos itinerantes pueden financiarse mediante el módulo Alquiler Asequible del Programa.</w:t>
      </w:r>
      <w:bookmarkEnd w:id="406"/>
    </w:p>
    <w:p w14:paraId="56F0A790" w14:textId="64BCF67D" w:rsidR="0011638B" w:rsidRPr="00A03848" w:rsidRDefault="00946670" w:rsidP="00AB43B5">
      <w:pPr>
        <w:pStyle w:val="SingleTxt"/>
        <w:rPr>
          <w:szCs w:val="22"/>
          <w:lang w:val="es-ES" w:eastAsia="en-US"/>
        </w:rPr>
      </w:pPr>
      <w:bookmarkStart w:id="407" w:name="bookmark_439"/>
      <w:r w:rsidRPr="00A03848">
        <w:rPr>
          <w:szCs w:val="22"/>
          <w:lang w:val="es-ES" w:eastAsia="en-US"/>
        </w:rPr>
        <w:t>159.</w:t>
      </w:r>
      <w:r w:rsidRPr="00A03848">
        <w:rPr>
          <w:szCs w:val="22"/>
          <w:lang w:val="es-ES" w:eastAsia="en-US"/>
        </w:rPr>
        <w:tab/>
      </w:r>
      <w:r w:rsidR="0011638B" w:rsidRPr="00A03848">
        <w:rPr>
          <w:szCs w:val="22"/>
          <w:lang w:val="es-ES" w:eastAsia="en-US"/>
        </w:rPr>
        <w:t>En Escocia, las autoridades locales están obligadas por ley a elaborar una estrategia local de vivienda en la que se expongan sus prioridades y planes para la prestación de servicios de vivienda y servicios conexos, en particular para las comunidades gitanas e itinerantes. La Ley de Vivienda (de Gales) de 2014 del Gobierno de Gales introdujo nuevas obligaciones para que las autoridades locales evalúen adecuadamente las necesidades de las viviendas móviles de la población gitana e itinerante y procuren que dispongan de suficientes emplazamientos.</w:t>
      </w:r>
      <w:bookmarkEnd w:id="407"/>
    </w:p>
    <w:p w14:paraId="69592271" w14:textId="77777777" w:rsidR="00477EB6" w:rsidRPr="00A03848" w:rsidRDefault="00477EB6" w:rsidP="00477EB6">
      <w:pPr>
        <w:pStyle w:val="SingleTxt"/>
        <w:spacing w:after="0" w:line="120" w:lineRule="exact"/>
        <w:rPr>
          <w:sz w:val="10"/>
          <w:szCs w:val="10"/>
          <w:lang w:val="es-ES"/>
        </w:rPr>
      </w:pPr>
    </w:p>
    <w:p w14:paraId="1B8B2ECE" w14:textId="77777777" w:rsidR="00477EB6" w:rsidRPr="00A03848" w:rsidRDefault="00477EB6" w:rsidP="00477EB6">
      <w:pPr>
        <w:pStyle w:val="SingleTxt"/>
        <w:spacing w:after="0" w:line="120" w:lineRule="exact"/>
        <w:rPr>
          <w:sz w:val="10"/>
          <w:szCs w:val="10"/>
          <w:lang w:val="es-ES"/>
        </w:rPr>
      </w:pPr>
    </w:p>
    <w:p w14:paraId="458F61F0" w14:textId="77777777" w:rsidR="0011638B" w:rsidRPr="00A03848" w:rsidRDefault="0011638B" w:rsidP="00C01F60">
      <w:pPr>
        <w:pStyle w:val="H1"/>
        <w:ind w:right="1260"/>
        <w:rPr>
          <w:bCs w:val="0"/>
          <w:szCs w:val="20"/>
          <w:lang w:val="es-ES" w:eastAsia="en-US"/>
        </w:rPr>
      </w:pPr>
      <w:bookmarkStart w:id="408" w:name="bookmark_440"/>
      <w:bookmarkStart w:id="409" w:name="_Toc498530728"/>
      <w:r w:rsidRPr="00A03848">
        <w:rPr>
          <w:bCs w:val="0"/>
          <w:szCs w:val="20"/>
          <w:lang w:val="es-ES" w:eastAsia="en-US"/>
        </w:rPr>
        <w:tab/>
      </w:r>
      <w:r w:rsidRPr="00A03848">
        <w:rPr>
          <w:bCs w:val="0"/>
          <w:szCs w:val="20"/>
          <w:lang w:val="es-ES" w:eastAsia="en-US"/>
        </w:rPr>
        <w:tab/>
        <w:t>Artículo 14. La mujer rural</w:t>
      </w:r>
      <w:bookmarkEnd w:id="408"/>
      <w:bookmarkEnd w:id="409"/>
    </w:p>
    <w:p w14:paraId="28AD0A82" w14:textId="77777777" w:rsidR="00477EB6" w:rsidRPr="00A03848" w:rsidRDefault="00477EB6" w:rsidP="00477EB6">
      <w:pPr>
        <w:pStyle w:val="SingleTxt"/>
        <w:spacing w:after="0" w:line="120" w:lineRule="exact"/>
        <w:rPr>
          <w:sz w:val="10"/>
          <w:szCs w:val="10"/>
          <w:lang w:val="es-ES"/>
        </w:rPr>
      </w:pPr>
    </w:p>
    <w:p w14:paraId="1178DA4C" w14:textId="77777777" w:rsidR="00477EB6" w:rsidRPr="00A03848" w:rsidRDefault="00477EB6" w:rsidP="00477EB6">
      <w:pPr>
        <w:pStyle w:val="SingleTxt"/>
        <w:spacing w:after="0" w:line="120" w:lineRule="exact"/>
        <w:rPr>
          <w:sz w:val="10"/>
          <w:szCs w:val="10"/>
          <w:lang w:val="es-ES"/>
        </w:rPr>
      </w:pPr>
    </w:p>
    <w:p w14:paraId="645B4A82" w14:textId="77777777" w:rsidR="0011638B" w:rsidRPr="00A03848" w:rsidRDefault="0011638B" w:rsidP="009F2DF3">
      <w:pPr>
        <w:pStyle w:val="H23"/>
        <w:ind w:right="1260"/>
        <w:rPr>
          <w:bCs w:val="0"/>
          <w:lang w:val="es-ES" w:eastAsia="en-US"/>
        </w:rPr>
      </w:pPr>
      <w:bookmarkStart w:id="410" w:name="bookmark_441"/>
      <w:r w:rsidRPr="00A03848">
        <w:rPr>
          <w:bCs w:val="0"/>
          <w:lang w:val="es-ES" w:eastAsia="en-US"/>
        </w:rPr>
        <w:tab/>
      </w:r>
      <w:r w:rsidRPr="00A03848">
        <w:rPr>
          <w:bCs w:val="0"/>
          <w:lang w:val="es-ES" w:eastAsia="en-US"/>
        </w:rPr>
        <w:tab/>
        <w:t>Apoyo a las empresas de las mujeres rurales</w:t>
      </w:r>
      <w:bookmarkEnd w:id="410"/>
    </w:p>
    <w:p w14:paraId="1D464036" w14:textId="77777777" w:rsidR="00477EB6" w:rsidRPr="00A03848" w:rsidRDefault="00477EB6" w:rsidP="00477EB6">
      <w:pPr>
        <w:pStyle w:val="SingleTxt"/>
        <w:spacing w:after="0" w:line="120" w:lineRule="exact"/>
        <w:rPr>
          <w:sz w:val="10"/>
          <w:szCs w:val="10"/>
          <w:lang w:val="es-ES"/>
        </w:rPr>
      </w:pPr>
    </w:p>
    <w:p w14:paraId="2B1A0912" w14:textId="554F780A" w:rsidR="0011638B" w:rsidRPr="00A03848" w:rsidRDefault="00946670" w:rsidP="00AB43B5">
      <w:pPr>
        <w:pStyle w:val="SingleTxt"/>
        <w:rPr>
          <w:szCs w:val="22"/>
          <w:lang w:val="es-ES" w:eastAsia="en-US"/>
        </w:rPr>
      </w:pPr>
      <w:bookmarkStart w:id="411" w:name="bookmark_442"/>
      <w:r w:rsidRPr="00A03848">
        <w:rPr>
          <w:szCs w:val="22"/>
          <w:lang w:val="es-ES" w:eastAsia="en-US"/>
        </w:rPr>
        <w:t>160.</w:t>
      </w:r>
      <w:r w:rsidRPr="00A03848">
        <w:rPr>
          <w:szCs w:val="22"/>
          <w:lang w:val="es-ES" w:eastAsia="en-US"/>
        </w:rPr>
        <w:tab/>
      </w:r>
      <w:r w:rsidR="0011638B" w:rsidRPr="00A03848">
        <w:rPr>
          <w:szCs w:val="22"/>
          <w:lang w:val="es-ES" w:eastAsia="en-US"/>
        </w:rPr>
        <w:t>En 2014, el Gobierno del Reino Unido asignó 1,6 millones de libras a la financiación de proyectos que ayudaran a las mujeres a superar los problemas específicos a los que se enfrentan cuando crean una empresa en las zonas rurales. Esta medida formaba parte de una subvención de 15 millones de libras concedida a cinco redes de crecimiento rural por el Departamento de Medio Ambiente, Alimentación y Asuntos Rurales (DEFRA) y ayudó a crear más de 3.000 nuevos empleos y 700 empresas</w:t>
      </w:r>
      <w:r w:rsidR="0011638B" w:rsidRPr="00A03848">
        <w:rPr>
          <w:szCs w:val="22"/>
          <w:vertAlign w:val="superscript"/>
          <w:lang w:val="es-ES" w:eastAsia="en-US"/>
        </w:rPr>
        <w:footnoteReference w:id="69"/>
      </w:r>
      <w:r w:rsidR="0011638B" w:rsidRPr="00A03848">
        <w:rPr>
          <w:szCs w:val="22"/>
          <w:lang w:val="es-ES" w:eastAsia="en-US"/>
        </w:rPr>
        <w:t>.</w:t>
      </w:r>
      <w:bookmarkEnd w:id="411"/>
    </w:p>
    <w:p w14:paraId="20DACCE2" w14:textId="77777777" w:rsidR="00477EB6" w:rsidRPr="00A03848" w:rsidRDefault="00477EB6" w:rsidP="00477EB6">
      <w:pPr>
        <w:pStyle w:val="SingleTxt"/>
        <w:spacing w:after="0" w:line="120" w:lineRule="exact"/>
        <w:rPr>
          <w:sz w:val="10"/>
          <w:szCs w:val="10"/>
          <w:lang w:val="es-ES"/>
        </w:rPr>
      </w:pPr>
      <w:bookmarkStart w:id="413" w:name="bookmark_444"/>
    </w:p>
    <w:p w14:paraId="04F2CFAC" w14:textId="77777777" w:rsidR="0011638B" w:rsidRPr="00A03848" w:rsidRDefault="0011638B" w:rsidP="009F2DF3">
      <w:pPr>
        <w:pStyle w:val="H23"/>
        <w:ind w:right="1260"/>
        <w:rPr>
          <w:bCs w:val="0"/>
          <w:lang w:val="es-ES" w:eastAsia="en-US"/>
        </w:rPr>
      </w:pPr>
      <w:r w:rsidRPr="00A03848">
        <w:rPr>
          <w:bCs w:val="0"/>
          <w:lang w:val="es-ES" w:eastAsia="en-US"/>
        </w:rPr>
        <w:tab/>
      </w:r>
      <w:r w:rsidRPr="00A03848">
        <w:rPr>
          <w:bCs w:val="0"/>
          <w:lang w:val="es-ES" w:eastAsia="en-US"/>
        </w:rPr>
        <w:tab/>
        <w:t>Mejora del acceso a la conexión de banda ancha</w:t>
      </w:r>
      <w:bookmarkEnd w:id="413"/>
    </w:p>
    <w:p w14:paraId="7215BD97" w14:textId="77777777" w:rsidR="00477EB6" w:rsidRPr="00A03848" w:rsidRDefault="00477EB6" w:rsidP="00477EB6">
      <w:pPr>
        <w:pStyle w:val="SingleTxt"/>
        <w:spacing w:after="0" w:line="120" w:lineRule="exact"/>
        <w:rPr>
          <w:sz w:val="10"/>
          <w:szCs w:val="10"/>
          <w:lang w:val="es-ES"/>
        </w:rPr>
      </w:pPr>
    </w:p>
    <w:p w14:paraId="47174E54" w14:textId="04FC121C" w:rsidR="0011638B" w:rsidRPr="00A03848" w:rsidRDefault="00946670" w:rsidP="00AB43B5">
      <w:pPr>
        <w:pStyle w:val="SingleTxt"/>
        <w:rPr>
          <w:szCs w:val="22"/>
          <w:lang w:val="es-ES" w:eastAsia="en-US"/>
        </w:rPr>
      </w:pPr>
      <w:bookmarkStart w:id="414" w:name="bookmark_445"/>
      <w:r w:rsidRPr="00A03848">
        <w:rPr>
          <w:szCs w:val="22"/>
          <w:lang w:val="es-ES" w:eastAsia="en-US"/>
        </w:rPr>
        <w:t>161.</w:t>
      </w:r>
      <w:r w:rsidRPr="00A03848">
        <w:rPr>
          <w:szCs w:val="22"/>
          <w:lang w:val="es-ES" w:eastAsia="en-US"/>
        </w:rPr>
        <w:tab/>
      </w:r>
      <w:r w:rsidR="0011638B" w:rsidRPr="00A03848">
        <w:rPr>
          <w:szCs w:val="22"/>
          <w:lang w:val="es-ES" w:eastAsia="en-US"/>
        </w:rPr>
        <w:t>En 2014, el Gobierno del Reino Unido creó un Fondo para las Mujeres y la Conexión de Banda Ancha</w:t>
      </w:r>
      <w:r w:rsidR="0011638B" w:rsidRPr="00A03848">
        <w:rPr>
          <w:szCs w:val="22"/>
          <w:vertAlign w:val="superscript"/>
          <w:lang w:val="es-ES" w:eastAsia="en-US"/>
        </w:rPr>
        <w:footnoteReference w:id="70"/>
      </w:r>
      <w:r w:rsidR="0011638B" w:rsidRPr="00A03848">
        <w:rPr>
          <w:szCs w:val="22"/>
          <w:lang w:val="es-ES" w:eastAsia="en-US"/>
        </w:rPr>
        <w:t xml:space="preserve"> y destinó 1 millón de libras a ayudar a las mujeres a desarrollar sus negocios en línea. Este fondo facilitaba a las mujeres la ayuda práctica necesaria para introducir sus empresas en Internet y aprovechar la conexión de banda ancha de alta velocidad. El fondo formaba parte del programa del Gobierno destinado a ofrecer conexión de banda ancha de alta velocidad y tenía por objeto ayudar a las mujeres a aprovechar plenamente todas las oportunidades que este tipo de conexión puede aportar a las empresas. El Plan de Acción de Infraestructura para el Futuro Digital esboza el compromiso de Escocia con una infraestructura de primera categoría y con visión de futuro que permitirá ofrecer conectividad digital en toda Escocia para 2020. Hasta la fecha, se han destinado más de 240 millones de libras de financiación del sector público para impulsar el Plan de Acción de Infraestructura.</w:t>
      </w:r>
      <w:bookmarkEnd w:id="414"/>
    </w:p>
    <w:p w14:paraId="6424CBBF" w14:textId="77777777" w:rsidR="00477EB6" w:rsidRPr="00A03848" w:rsidRDefault="00477EB6" w:rsidP="00477EB6">
      <w:pPr>
        <w:pStyle w:val="SingleTxt"/>
        <w:spacing w:after="0" w:line="120" w:lineRule="exact"/>
        <w:rPr>
          <w:sz w:val="10"/>
          <w:szCs w:val="10"/>
          <w:lang w:val="es-ES"/>
        </w:rPr>
      </w:pPr>
    </w:p>
    <w:p w14:paraId="72A9596B" w14:textId="77777777" w:rsidR="0011638B" w:rsidRPr="00A03848" w:rsidRDefault="0011638B" w:rsidP="009F2DF3">
      <w:pPr>
        <w:pStyle w:val="H23"/>
        <w:ind w:right="1260"/>
        <w:rPr>
          <w:bCs w:val="0"/>
          <w:lang w:val="es-ES" w:eastAsia="en-US"/>
        </w:rPr>
      </w:pPr>
      <w:bookmarkStart w:id="416" w:name="bookmark_447"/>
      <w:r w:rsidRPr="00A03848">
        <w:rPr>
          <w:bCs w:val="0"/>
          <w:lang w:val="es-ES" w:eastAsia="en-US"/>
        </w:rPr>
        <w:tab/>
      </w:r>
      <w:r w:rsidRPr="00A03848">
        <w:rPr>
          <w:bCs w:val="0"/>
          <w:lang w:val="es-ES" w:eastAsia="en-US"/>
        </w:rPr>
        <w:tab/>
        <w:t>Apoyo a la mujer rural en Escocia</w:t>
      </w:r>
      <w:bookmarkEnd w:id="416"/>
    </w:p>
    <w:p w14:paraId="65D84173" w14:textId="77777777" w:rsidR="00477EB6" w:rsidRPr="00A03848" w:rsidRDefault="00477EB6" w:rsidP="00477EB6">
      <w:pPr>
        <w:pStyle w:val="SingleTxt"/>
        <w:spacing w:after="0" w:line="120" w:lineRule="exact"/>
        <w:rPr>
          <w:sz w:val="10"/>
          <w:szCs w:val="10"/>
          <w:lang w:val="es-ES"/>
        </w:rPr>
      </w:pPr>
    </w:p>
    <w:p w14:paraId="3453C20D" w14:textId="22D33E20" w:rsidR="0011638B" w:rsidRPr="00A03848" w:rsidRDefault="00946670" w:rsidP="00AB43B5">
      <w:pPr>
        <w:pStyle w:val="SingleTxt"/>
        <w:rPr>
          <w:szCs w:val="22"/>
          <w:lang w:val="es-ES" w:eastAsia="en-US"/>
        </w:rPr>
      </w:pPr>
      <w:bookmarkStart w:id="417" w:name="bookmark_448"/>
      <w:r w:rsidRPr="00A03848">
        <w:rPr>
          <w:szCs w:val="22"/>
          <w:lang w:val="es-ES" w:eastAsia="en-US"/>
        </w:rPr>
        <w:t>162.</w:t>
      </w:r>
      <w:r w:rsidRPr="00A03848">
        <w:rPr>
          <w:szCs w:val="22"/>
          <w:lang w:val="es-ES" w:eastAsia="en-US"/>
        </w:rPr>
        <w:tab/>
      </w:r>
      <w:r w:rsidR="0011638B" w:rsidRPr="00A03848">
        <w:rPr>
          <w:szCs w:val="22"/>
          <w:lang w:val="es-ES" w:eastAsia="en-US"/>
        </w:rPr>
        <w:t>El Gobierno de Escocia respondió al informe de investigación sobre las mujeres agricultoras y el sector agrícola de 2017</w:t>
      </w:r>
      <w:r w:rsidR="0011638B" w:rsidRPr="00A03848">
        <w:rPr>
          <w:szCs w:val="22"/>
          <w:vertAlign w:val="superscript"/>
          <w:lang w:val="es-ES" w:eastAsia="en-US"/>
        </w:rPr>
        <w:footnoteReference w:id="71"/>
      </w:r>
      <w:r w:rsidR="0011638B" w:rsidRPr="00A03848">
        <w:rPr>
          <w:szCs w:val="22"/>
          <w:lang w:val="es-ES" w:eastAsia="en-US"/>
        </w:rPr>
        <w:t xml:space="preserve"> y anunció la creación de un equipo de tareas para avanzar en la aplicación de las recomendaciones. Se ha creado el Foro Nacional de Salud Mental en el Ámbito Rural con el propósito de ayudar a las personas de las zonas rurales a mantener sus buenas condiciones de salud mental y bienestar. Este foro contribuirá a crear vínculos entre las comunidades de todas las zonas rurales de Escocia, de manera que las personas que viven en zonas aisladas puedan recibir apoyo cuando y donde lo necesiten. El Gobierno de Escocia ha destinado 1,85 millones de libras durante tres años a Rape Crisis Scotland para salvaguardar el puesto de Coordinador Nacional de Prevención de la Violencia Sexual, con miras a ampliar la capacidad de la red actual de 14 centros de crisis para casos de violación de toda Escocia y establecer un servicio de asistencia en casos de violación en Orkney y Shetland en colaboración con Women</w:t>
      </w:r>
      <w:r w:rsidR="00284834" w:rsidRPr="00A03848">
        <w:rPr>
          <w:szCs w:val="22"/>
          <w:lang w:val="es-ES" w:eastAsia="en-US"/>
        </w:rPr>
        <w:t>’</w:t>
      </w:r>
      <w:r w:rsidR="0011638B" w:rsidRPr="00A03848">
        <w:rPr>
          <w:szCs w:val="22"/>
          <w:lang w:val="es-ES" w:eastAsia="en-US"/>
        </w:rPr>
        <w:t>s Aid y el Centro de las</w:t>
      </w:r>
      <w:r w:rsidR="00233A1A" w:rsidRPr="00A03848">
        <w:rPr>
          <w:szCs w:val="22"/>
          <w:lang w:val="es-ES" w:eastAsia="en-US"/>
        </w:rPr>
        <w:t xml:space="preserve"> </w:t>
      </w:r>
      <w:r w:rsidR="0011638B" w:rsidRPr="00A03848">
        <w:rPr>
          <w:szCs w:val="22"/>
          <w:lang w:val="es-ES" w:eastAsia="en-US"/>
        </w:rPr>
        <w:t>Tierras Altas.</w:t>
      </w:r>
      <w:bookmarkEnd w:id="417"/>
    </w:p>
    <w:p w14:paraId="0C484E6F" w14:textId="77777777" w:rsidR="00477EB6" w:rsidRPr="00A03848" w:rsidRDefault="00477EB6" w:rsidP="00477EB6">
      <w:pPr>
        <w:pStyle w:val="SingleTxt"/>
        <w:spacing w:after="0" w:line="120" w:lineRule="exact"/>
        <w:rPr>
          <w:sz w:val="10"/>
          <w:szCs w:val="10"/>
          <w:lang w:val="es-ES"/>
        </w:rPr>
      </w:pPr>
    </w:p>
    <w:p w14:paraId="4CF5A668" w14:textId="77777777" w:rsidR="0011638B" w:rsidRPr="00A03848" w:rsidRDefault="0011638B" w:rsidP="009F2DF3">
      <w:pPr>
        <w:pStyle w:val="H23"/>
        <w:ind w:right="1260"/>
        <w:rPr>
          <w:bCs w:val="0"/>
          <w:lang w:val="es-ES" w:eastAsia="en-US"/>
        </w:rPr>
      </w:pPr>
      <w:bookmarkStart w:id="419" w:name="bookmark_450"/>
      <w:r w:rsidRPr="00A03848">
        <w:rPr>
          <w:bCs w:val="0"/>
          <w:lang w:val="es-ES" w:eastAsia="en-US"/>
        </w:rPr>
        <w:tab/>
      </w:r>
      <w:r w:rsidRPr="00A03848">
        <w:rPr>
          <w:bCs w:val="0"/>
          <w:lang w:val="es-ES" w:eastAsia="en-US"/>
        </w:rPr>
        <w:tab/>
        <w:t>Consideración de las necesidades de las mujeres al ofrecer transporte rural</w:t>
      </w:r>
      <w:bookmarkEnd w:id="419"/>
    </w:p>
    <w:p w14:paraId="06FDB276" w14:textId="77777777" w:rsidR="00477EB6" w:rsidRPr="00A03848" w:rsidRDefault="00477EB6" w:rsidP="00477EB6">
      <w:pPr>
        <w:pStyle w:val="SingleTxt"/>
        <w:spacing w:after="0" w:line="120" w:lineRule="exact"/>
        <w:rPr>
          <w:sz w:val="10"/>
          <w:szCs w:val="10"/>
          <w:lang w:val="es-ES"/>
        </w:rPr>
      </w:pPr>
    </w:p>
    <w:p w14:paraId="4DB401B4" w14:textId="1D031D9B" w:rsidR="0011638B" w:rsidRPr="00A03848" w:rsidRDefault="00946670" w:rsidP="00AB43B5">
      <w:pPr>
        <w:pStyle w:val="SingleTxt"/>
        <w:rPr>
          <w:szCs w:val="22"/>
          <w:lang w:val="es-ES" w:eastAsia="en-US"/>
        </w:rPr>
      </w:pPr>
      <w:bookmarkStart w:id="420" w:name="bookmark_451"/>
      <w:r w:rsidRPr="00A03848">
        <w:rPr>
          <w:szCs w:val="22"/>
          <w:lang w:val="es-ES" w:eastAsia="en-US"/>
        </w:rPr>
        <w:t>163.</w:t>
      </w:r>
      <w:r w:rsidRPr="00A03848">
        <w:rPr>
          <w:szCs w:val="22"/>
          <w:lang w:val="es-ES" w:eastAsia="en-US"/>
        </w:rPr>
        <w:tab/>
      </w:r>
      <w:r w:rsidR="0011638B" w:rsidRPr="00A03848">
        <w:rPr>
          <w:szCs w:val="22"/>
          <w:lang w:val="es-ES" w:eastAsia="en-US"/>
        </w:rPr>
        <w:t>El Gobierno del Reino Unido está dispuesto a promover diversas soluciones de transporte en las comunidades rurales que no consistan solo en autobuses rurales. Estas soluciones incluyen taxis y autobuses de alquiler privado y servicios de transporte comunitario como, por ejemplo, traslados que se encarguen llamando por teléfono. El Gobierno británico permite que las autoridades locales tomen las decisiones oportunas en relación con sus propias comunidades y ayuden a las autoridades locales de carreteras a elaborar sus planes de transporte local. En 2009 se elaboraron unas directrices que hacían gran hincapié en lograr una mejor conexión entre el transporte y</w:t>
      </w:r>
      <w:r w:rsidR="00FE6B53" w:rsidRPr="00A03848">
        <w:rPr>
          <w:szCs w:val="22"/>
          <w:lang w:val="es-ES" w:eastAsia="en-US"/>
        </w:rPr>
        <w:t xml:space="preserve"> los servicios locales. En 2014</w:t>
      </w:r>
      <w:r w:rsidR="0011638B" w:rsidRPr="00A03848">
        <w:rPr>
          <w:szCs w:val="22"/>
          <w:lang w:val="es-ES" w:eastAsia="en-US"/>
        </w:rPr>
        <w:t xml:space="preserve"> el Gobierno puso en marcha un Fondo para Minibuses Comunitarios de 25 millones de libras que, desde entonces, ha proporcionado más de 380 minibuses a grupos comunitarios por toda Inglaterra. El Gobierno del Reino Unido se ha comprometido a mantener las condiciones de favor en materia de transporte de pasajeros en toda Inglaterra, las cuales permiten a las personas de edad y las personas con discapacidad viajar de forma gratuita fuera de hora punta cuando utilizan autobuses de ámbito local y cuando visitan otras partes del país. Esta medida respalda la labor más amplia que realiza el Gobierno para poner fin a la exclusión social. Los autobuses siguen siendo</w:t>
      </w:r>
      <w:r w:rsidR="00233A1A" w:rsidRPr="00A03848">
        <w:rPr>
          <w:szCs w:val="22"/>
          <w:lang w:val="es-ES" w:eastAsia="en-US"/>
        </w:rPr>
        <w:t xml:space="preserve"> </w:t>
      </w:r>
      <w:r w:rsidR="0011638B" w:rsidRPr="00A03848">
        <w:rPr>
          <w:szCs w:val="22"/>
          <w:lang w:val="es-ES" w:eastAsia="en-US"/>
        </w:rPr>
        <w:t>el medio de transporte público más utilizado, especialmente por las personas de edad.</w:t>
      </w:r>
      <w:bookmarkEnd w:id="420"/>
    </w:p>
    <w:p w14:paraId="0DB23002" w14:textId="41CFD0D8" w:rsidR="0011638B" w:rsidRPr="00A03848" w:rsidRDefault="00946670" w:rsidP="00AB43B5">
      <w:pPr>
        <w:pStyle w:val="SingleTxt"/>
        <w:rPr>
          <w:szCs w:val="22"/>
          <w:lang w:val="es-ES" w:eastAsia="en-US"/>
        </w:rPr>
      </w:pPr>
      <w:bookmarkStart w:id="421" w:name="bookmark_452"/>
      <w:r w:rsidRPr="00A03848">
        <w:rPr>
          <w:szCs w:val="22"/>
          <w:lang w:val="es-ES" w:eastAsia="en-US"/>
        </w:rPr>
        <w:t>164.</w:t>
      </w:r>
      <w:r w:rsidRPr="00A03848">
        <w:rPr>
          <w:szCs w:val="22"/>
          <w:lang w:val="es-ES" w:eastAsia="en-US"/>
        </w:rPr>
        <w:tab/>
      </w:r>
      <w:r w:rsidR="0011638B" w:rsidRPr="00A03848">
        <w:rPr>
          <w:szCs w:val="22"/>
          <w:lang w:val="es-ES" w:eastAsia="en-US"/>
        </w:rPr>
        <w:t>El 25 de agosto de 2017, el Gobierno escocés inició una consulta sobre el futuro del plan nacional de viajes en condiciones favorables. El Gobierno de Escocia desea conocer opiniones sobre las posibilidades de salvaguardar la sostenibilidad a más largo plazo del actual plan de viajes gratuitos en autobús y de ofrecer viajes gratuitos en autobús a los jóvenes en prácticas para ayudarles a costear sus gastos de desplazamiento.</w:t>
      </w:r>
      <w:bookmarkEnd w:id="421"/>
    </w:p>
    <w:p w14:paraId="07E8797F" w14:textId="77777777" w:rsidR="00477EB6" w:rsidRPr="00A03848" w:rsidRDefault="00477EB6" w:rsidP="00477EB6">
      <w:pPr>
        <w:pStyle w:val="SingleTxt"/>
        <w:spacing w:after="0" w:line="120" w:lineRule="exact"/>
        <w:rPr>
          <w:sz w:val="10"/>
          <w:szCs w:val="10"/>
          <w:lang w:val="es-ES"/>
        </w:rPr>
      </w:pPr>
    </w:p>
    <w:p w14:paraId="7C89BC86" w14:textId="77777777" w:rsidR="00477EB6" w:rsidRPr="00A03848" w:rsidRDefault="00477EB6" w:rsidP="00477EB6">
      <w:pPr>
        <w:pStyle w:val="SingleTxt"/>
        <w:spacing w:after="0" w:line="120" w:lineRule="exact"/>
        <w:rPr>
          <w:sz w:val="10"/>
          <w:szCs w:val="10"/>
          <w:lang w:val="es-ES"/>
        </w:rPr>
      </w:pPr>
    </w:p>
    <w:p w14:paraId="1932E5D6" w14:textId="77777777" w:rsidR="0011638B" w:rsidRPr="00A03848" w:rsidRDefault="0011638B" w:rsidP="00C01F60">
      <w:pPr>
        <w:pStyle w:val="H1"/>
        <w:ind w:right="1260"/>
        <w:rPr>
          <w:bCs w:val="0"/>
          <w:szCs w:val="20"/>
          <w:lang w:val="es-ES" w:eastAsia="en-US"/>
        </w:rPr>
      </w:pPr>
      <w:bookmarkStart w:id="422" w:name="bookmark_453"/>
      <w:bookmarkStart w:id="423" w:name="_Toc498530729"/>
      <w:r w:rsidRPr="00A03848">
        <w:rPr>
          <w:bCs w:val="0"/>
          <w:szCs w:val="20"/>
          <w:lang w:val="es-ES" w:eastAsia="en-US"/>
        </w:rPr>
        <w:tab/>
      </w:r>
      <w:r w:rsidRPr="00A03848">
        <w:rPr>
          <w:bCs w:val="0"/>
          <w:szCs w:val="20"/>
          <w:lang w:val="es-ES" w:eastAsia="en-US"/>
        </w:rPr>
        <w:tab/>
        <w:t>Artículo 15. Igualdad ante la ley y asuntos civiles</w:t>
      </w:r>
      <w:bookmarkEnd w:id="422"/>
      <w:bookmarkEnd w:id="423"/>
    </w:p>
    <w:p w14:paraId="50A806C7" w14:textId="77777777" w:rsidR="00477EB6" w:rsidRPr="00A03848" w:rsidRDefault="00477EB6" w:rsidP="00477EB6">
      <w:pPr>
        <w:pStyle w:val="SingleTxt"/>
        <w:spacing w:after="0" w:line="120" w:lineRule="exact"/>
        <w:rPr>
          <w:sz w:val="10"/>
          <w:szCs w:val="10"/>
          <w:lang w:val="es-ES"/>
        </w:rPr>
      </w:pPr>
    </w:p>
    <w:p w14:paraId="5918D76F" w14:textId="77777777" w:rsidR="00477EB6" w:rsidRPr="00A03848" w:rsidRDefault="00477EB6" w:rsidP="00477EB6">
      <w:pPr>
        <w:pStyle w:val="SingleTxt"/>
        <w:spacing w:after="0" w:line="120" w:lineRule="exact"/>
        <w:rPr>
          <w:sz w:val="10"/>
          <w:szCs w:val="10"/>
          <w:lang w:val="es-ES"/>
        </w:rPr>
      </w:pPr>
    </w:p>
    <w:p w14:paraId="290DA0AE" w14:textId="77777777" w:rsidR="0011638B" w:rsidRPr="00A03848" w:rsidRDefault="0011638B" w:rsidP="009F2DF3">
      <w:pPr>
        <w:pStyle w:val="H23"/>
        <w:ind w:right="1260"/>
        <w:rPr>
          <w:bCs w:val="0"/>
          <w:lang w:val="es-ES" w:eastAsia="en-US"/>
        </w:rPr>
      </w:pPr>
      <w:bookmarkStart w:id="424" w:name="bookmark_454"/>
      <w:r w:rsidRPr="00A03848">
        <w:rPr>
          <w:bCs w:val="0"/>
          <w:lang w:val="es-ES" w:eastAsia="en-US"/>
        </w:rPr>
        <w:tab/>
      </w:r>
      <w:r w:rsidRPr="00A03848">
        <w:rPr>
          <w:bCs w:val="0"/>
          <w:lang w:val="es-ES" w:eastAsia="en-US"/>
        </w:rPr>
        <w:tab/>
        <w:t>Asistencia jurídica para familias: violencia doméstica</w:t>
      </w:r>
      <w:r w:rsidRPr="00A03848">
        <w:rPr>
          <w:bCs w:val="0"/>
          <w:vertAlign w:val="superscript"/>
          <w:lang w:val="es-ES" w:eastAsia="en-US"/>
        </w:rPr>
        <w:endnoteReference w:id="43"/>
      </w:r>
      <w:bookmarkEnd w:id="424"/>
    </w:p>
    <w:p w14:paraId="0ADA0782" w14:textId="77777777" w:rsidR="00477EB6" w:rsidRPr="00A03848" w:rsidRDefault="00477EB6" w:rsidP="00477EB6">
      <w:pPr>
        <w:pStyle w:val="SingleTxt"/>
        <w:spacing w:after="0" w:line="120" w:lineRule="exact"/>
        <w:rPr>
          <w:sz w:val="10"/>
          <w:szCs w:val="10"/>
          <w:lang w:val="es-ES"/>
        </w:rPr>
      </w:pPr>
    </w:p>
    <w:p w14:paraId="695EC6F6" w14:textId="133DB830" w:rsidR="0011638B" w:rsidRPr="00A03848" w:rsidRDefault="00946670" w:rsidP="00AB43B5">
      <w:pPr>
        <w:pStyle w:val="SingleTxt"/>
        <w:rPr>
          <w:szCs w:val="22"/>
          <w:lang w:val="es-ES" w:eastAsia="en-US"/>
        </w:rPr>
      </w:pPr>
      <w:bookmarkStart w:id="426" w:name="bookmark_456"/>
      <w:r w:rsidRPr="00A03848">
        <w:rPr>
          <w:szCs w:val="22"/>
          <w:lang w:val="es-ES" w:eastAsia="en-US"/>
        </w:rPr>
        <w:t>165.</w:t>
      </w:r>
      <w:r w:rsidRPr="00A03848">
        <w:rPr>
          <w:szCs w:val="22"/>
          <w:lang w:val="es-ES" w:eastAsia="en-US"/>
        </w:rPr>
        <w:tab/>
      </w:r>
      <w:r w:rsidR="0011638B" w:rsidRPr="00A03848">
        <w:rPr>
          <w:szCs w:val="22"/>
          <w:lang w:val="es-ES" w:eastAsia="en-US"/>
        </w:rPr>
        <w:t>En Inglaterra y Gales se ofrece asistencia jurídica a las personas que piden protección contra un maltratador en casos de violencia doméstica, una ayuda que se concedió en más de 12.000 casos el pasado año. También se ofrece asistencia jurídica a las víctimas de violencia doméstica con problemas de derecho de familia cuando se presentan pruebas objetivas.</w:t>
      </w:r>
      <w:bookmarkEnd w:id="426"/>
    </w:p>
    <w:p w14:paraId="7403C92B" w14:textId="2C7EB049" w:rsidR="0011638B" w:rsidRPr="00A03848" w:rsidRDefault="00946670" w:rsidP="00AB43B5">
      <w:pPr>
        <w:pStyle w:val="SingleTxt"/>
        <w:rPr>
          <w:szCs w:val="22"/>
          <w:lang w:val="es-ES" w:eastAsia="en-US"/>
        </w:rPr>
      </w:pPr>
      <w:bookmarkStart w:id="427" w:name="bookmark_457"/>
      <w:r w:rsidRPr="00A03848">
        <w:rPr>
          <w:szCs w:val="22"/>
          <w:lang w:val="es-ES" w:eastAsia="en-US"/>
        </w:rPr>
        <w:t>166.</w:t>
      </w:r>
      <w:r w:rsidRPr="00A03848">
        <w:rPr>
          <w:szCs w:val="22"/>
          <w:lang w:val="es-ES" w:eastAsia="en-US"/>
        </w:rPr>
        <w:tab/>
      </w:r>
      <w:r w:rsidR="0011638B" w:rsidRPr="00A03848">
        <w:rPr>
          <w:szCs w:val="22"/>
          <w:lang w:val="es-ES" w:eastAsia="en-US"/>
        </w:rPr>
        <w:t xml:space="preserve">En Escocia, se ofrece asistencia jurídica a las víctimas de violencia doméstica y por razón de género que solicitan protección mediante acciones civiles, cuando cumplen los requisitos legales necesarios. No hay ninguna prueba de residencia y no se exige demostrar que se haya cometido maltrato doméstico. En las causas penales, el Estado investiga los delitos y enjuicia a sus presuntos autores. Las víctimas de violencia doméstica y por razón de género tienen la condición de </w:t>
      </w:r>
      <w:r w:rsidR="00284834" w:rsidRPr="00A03848">
        <w:rPr>
          <w:szCs w:val="22"/>
          <w:lang w:val="es-ES" w:eastAsia="en-US"/>
        </w:rPr>
        <w:t>“</w:t>
      </w:r>
      <w:r w:rsidR="0011638B" w:rsidRPr="00A03848">
        <w:rPr>
          <w:szCs w:val="22"/>
          <w:lang w:val="es-ES" w:eastAsia="en-US"/>
        </w:rPr>
        <w:t>demandantes</w:t>
      </w:r>
      <w:r w:rsidR="00284834" w:rsidRPr="00A03848">
        <w:rPr>
          <w:szCs w:val="22"/>
          <w:lang w:val="es-ES" w:eastAsia="en-US"/>
        </w:rPr>
        <w:t>”</w:t>
      </w:r>
      <w:r w:rsidR="0011638B" w:rsidRPr="00A03848">
        <w:rPr>
          <w:szCs w:val="22"/>
          <w:lang w:val="es-ES" w:eastAsia="en-US"/>
        </w:rPr>
        <w:t xml:space="preserve"> y pueden recibir asistencia y asesoramiento en el proceso penal. El Gobierno de Escocia ha concedido financiación, por conducto de la Junta de Asistencia Jurídica de Escocia</w:t>
      </w:r>
      <w:r w:rsidR="0011638B" w:rsidRPr="00A03848">
        <w:rPr>
          <w:szCs w:val="22"/>
          <w:vertAlign w:val="superscript"/>
          <w:lang w:val="es-ES" w:eastAsia="en-US"/>
        </w:rPr>
        <w:footnoteReference w:id="72"/>
      </w:r>
      <w:r w:rsidR="0011638B" w:rsidRPr="00A03848">
        <w:rPr>
          <w:szCs w:val="22"/>
          <w:lang w:val="es-ES" w:eastAsia="en-US"/>
        </w:rPr>
        <w:t>, como apoyo al Centro Escocés para los Derechos de la Mujer, que ofrece servicios gratuitos de información y asesoramiento jurídicos, incluida una línea telefónica de asistencia nacional, a las mujeres que han sido víctimas de violencia de género. El Gobierno escocés también ha ofrecido asistencia jurídica con cargo a los fondos públicos para quienes soliciten representación en procesos de recuperación en los que se requieran autos confidenciales, a raíz de la sentencia dictada en la causa WF c. Ministros escoceses [2016] CSOH 27</w:t>
      </w:r>
      <w:r w:rsidR="0011638B" w:rsidRPr="00A03848">
        <w:rPr>
          <w:szCs w:val="22"/>
          <w:vertAlign w:val="superscript"/>
          <w:lang w:val="es-ES" w:eastAsia="en-US"/>
        </w:rPr>
        <w:footnoteReference w:id="73"/>
      </w:r>
      <w:r w:rsidR="0011638B" w:rsidRPr="00A03848">
        <w:rPr>
          <w:szCs w:val="22"/>
          <w:lang w:val="es-ES" w:eastAsia="en-US"/>
        </w:rPr>
        <w:t>.</w:t>
      </w:r>
      <w:bookmarkEnd w:id="427"/>
    </w:p>
    <w:p w14:paraId="504975D9" w14:textId="77777777" w:rsidR="00477EB6" w:rsidRPr="00A03848" w:rsidRDefault="00477EB6" w:rsidP="00477EB6">
      <w:pPr>
        <w:pStyle w:val="SingleTxt"/>
        <w:spacing w:after="0" w:line="120" w:lineRule="exact"/>
        <w:rPr>
          <w:sz w:val="10"/>
          <w:szCs w:val="10"/>
          <w:lang w:val="es-ES"/>
        </w:rPr>
      </w:pPr>
    </w:p>
    <w:p w14:paraId="2D3AF028" w14:textId="1B937DD5" w:rsidR="0011638B" w:rsidRPr="00A03848" w:rsidRDefault="0011638B" w:rsidP="009F2DF3">
      <w:pPr>
        <w:pStyle w:val="H23"/>
        <w:ind w:right="1260"/>
        <w:rPr>
          <w:bCs w:val="0"/>
          <w:lang w:val="es-ES" w:eastAsia="en-US"/>
        </w:rPr>
      </w:pPr>
      <w:bookmarkStart w:id="430" w:name="bookmark_460"/>
      <w:r w:rsidRPr="00A03848">
        <w:rPr>
          <w:bCs w:val="0"/>
          <w:lang w:val="es-ES" w:eastAsia="en-US"/>
        </w:rPr>
        <w:tab/>
      </w:r>
      <w:r w:rsidRPr="00A03848">
        <w:rPr>
          <w:bCs w:val="0"/>
          <w:lang w:val="es-ES" w:eastAsia="en-US"/>
        </w:rPr>
        <w:tab/>
        <w:t>Examen de la Ley de Asistencia Jurídica Gratuita, Condena y Castigo de los</w:t>
      </w:r>
      <w:r w:rsidR="00233A1A" w:rsidRPr="00A03848">
        <w:rPr>
          <w:bCs w:val="0"/>
          <w:lang w:val="es-ES" w:eastAsia="en-US"/>
        </w:rPr>
        <w:t xml:space="preserve"> </w:t>
      </w:r>
      <w:r w:rsidRPr="00A03848">
        <w:rPr>
          <w:bCs w:val="0"/>
          <w:lang w:val="es-ES" w:eastAsia="en-US"/>
        </w:rPr>
        <w:t>Delincuentes de 2012</w:t>
      </w:r>
      <w:bookmarkEnd w:id="430"/>
    </w:p>
    <w:p w14:paraId="491BFEB4" w14:textId="77777777" w:rsidR="00477EB6" w:rsidRPr="00A03848" w:rsidRDefault="00477EB6" w:rsidP="00477EB6">
      <w:pPr>
        <w:pStyle w:val="SingleTxt"/>
        <w:spacing w:after="0" w:line="120" w:lineRule="exact"/>
        <w:rPr>
          <w:sz w:val="10"/>
          <w:szCs w:val="10"/>
          <w:lang w:val="es-ES"/>
        </w:rPr>
      </w:pPr>
    </w:p>
    <w:p w14:paraId="520726DE" w14:textId="044F028A" w:rsidR="0011638B" w:rsidRPr="00A03848" w:rsidRDefault="00946670" w:rsidP="00AB43B5">
      <w:pPr>
        <w:pStyle w:val="SingleTxt"/>
        <w:rPr>
          <w:szCs w:val="22"/>
          <w:lang w:val="es-ES" w:eastAsia="en-US"/>
        </w:rPr>
      </w:pPr>
      <w:bookmarkStart w:id="431" w:name="bookmark_461"/>
      <w:r w:rsidRPr="00A03848">
        <w:rPr>
          <w:szCs w:val="22"/>
          <w:lang w:val="es-ES" w:eastAsia="en-US"/>
        </w:rPr>
        <w:t>167.</w:t>
      </w:r>
      <w:r w:rsidRPr="00A03848">
        <w:rPr>
          <w:szCs w:val="22"/>
          <w:lang w:val="es-ES" w:eastAsia="en-US"/>
        </w:rPr>
        <w:tab/>
      </w:r>
      <w:r w:rsidR="0011638B" w:rsidRPr="00A03848">
        <w:rPr>
          <w:szCs w:val="22"/>
          <w:lang w:val="es-ES" w:eastAsia="en-US"/>
        </w:rPr>
        <w:t>Los anteriores Ministros de Justicia acordaron presentar al Parlamento un memorando poslegislativo en relación con la Ley de Asistencia Jurídica Gratuita, Condena y Castigo de los Delincuentes y comenzar poco después un examen posterior a la aplicación de las últimas reformas de la asistencia jurídica. El Gobierno hace mucho tiempo que se comprometió a realizar este examen y publicarlo para abril de 2018. El Ministro de Justicia (Lord Chancellor) está sopesando los argumentos a favor del examen y comunicará su decisión a su debido</w:t>
      </w:r>
      <w:r w:rsidR="00233A1A" w:rsidRPr="00A03848">
        <w:rPr>
          <w:szCs w:val="22"/>
          <w:lang w:val="es-ES" w:eastAsia="en-US"/>
        </w:rPr>
        <w:t xml:space="preserve"> </w:t>
      </w:r>
      <w:r w:rsidR="0011638B" w:rsidRPr="00A03848">
        <w:rPr>
          <w:szCs w:val="22"/>
          <w:lang w:val="es-ES" w:eastAsia="en-US"/>
        </w:rPr>
        <w:t xml:space="preserve">tiempo. </w:t>
      </w:r>
      <w:bookmarkEnd w:id="431"/>
    </w:p>
    <w:p w14:paraId="776AE691" w14:textId="66211769" w:rsidR="0011638B" w:rsidRPr="00A03848" w:rsidRDefault="00946670" w:rsidP="00AB43B5">
      <w:pPr>
        <w:pStyle w:val="SingleTxt"/>
        <w:rPr>
          <w:szCs w:val="22"/>
          <w:lang w:val="es-ES" w:eastAsia="en-US"/>
        </w:rPr>
      </w:pPr>
      <w:bookmarkStart w:id="432" w:name="bookmark_462"/>
      <w:r w:rsidRPr="00A03848">
        <w:rPr>
          <w:szCs w:val="22"/>
          <w:lang w:val="es-ES" w:eastAsia="en-US"/>
        </w:rPr>
        <w:t>168.</w:t>
      </w:r>
      <w:r w:rsidRPr="00A03848">
        <w:rPr>
          <w:szCs w:val="22"/>
          <w:lang w:val="es-ES" w:eastAsia="en-US"/>
        </w:rPr>
        <w:tab/>
      </w:r>
      <w:r w:rsidR="0011638B" w:rsidRPr="00A03848">
        <w:rPr>
          <w:szCs w:val="22"/>
          <w:lang w:val="es-ES" w:eastAsia="en-US"/>
        </w:rPr>
        <w:t>El 1 de febrero de 2017, el Gobierno de Escocia anunció un examen independiente de la asistencia jurídica a fin de cumplir el compromiso de mantener el acceso a la financiación pública para obtener asistencia y representación jurídica en causas civiles y penales, junto con medidas orientadas a ampliar el acceso a otros métodos de solución de controversias</w:t>
      </w:r>
      <w:r w:rsidR="0011638B" w:rsidRPr="00A03848">
        <w:rPr>
          <w:szCs w:val="22"/>
          <w:vertAlign w:val="superscript"/>
          <w:lang w:val="es-ES" w:eastAsia="en-US"/>
        </w:rPr>
        <w:footnoteReference w:id="74"/>
      </w:r>
      <w:r w:rsidR="0011638B" w:rsidRPr="00A03848">
        <w:rPr>
          <w:szCs w:val="22"/>
          <w:lang w:val="es-ES" w:eastAsia="en-US"/>
        </w:rPr>
        <w:t>. A la luz de la legislación de Escocia, que se remonta a casi 30 años atrás, en el examen se estudiará cuál es la mejor manera en</w:t>
      </w:r>
      <w:r w:rsidR="00233A1A" w:rsidRPr="00A03848">
        <w:rPr>
          <w:szCs w:val="22"/>
          <w:lang w:val="es-ES" w:eastAsia="en-US"/>
        </w:rPr>
        <w:t xml:space="preserve"> </w:t>
      </w:r>
      <w:r w:rsidR="0011638B" w:rsidRPr="00A03848">
        <w:rPr>
          <w:szCs w:val="22"/>
          <w:lang w:val="es-ES" w:eastAsia="en-US"/>
        </w:rPr>
        <w:t xml:space="preserve">que el sistema de asistencia jurídica puede contribuir a mejorar la vida de las personas ahora y en el futuro. </w:t>
      </w:r>
      <w:bookmarkEnd w:id="432"/>
    </w:p>
    <w:p w14:paraId="5B1C334C" w14:textId="77777777" w:rsidR="00477EB6" w:rsidRPr="00A03848" w:rsidRDefault="00477EB6" w:rsidP="00477EB6">
      <w:pPr>
        <w:pStyle w:val="SingleTxt"/>
        <w:spacing w:after="0" w:line="120" w:lineRule="exact"/>
        <w:rPr>
          <w:sz w:val="10"/>
          <w:szCs w:val="10"/>
          <w:lang w:val="es-ES"/>
        </w:rPr>
      </w:pPr>
    </w:p>
    <w:p w14:paraId="7682A1E4" w14:textId="77777777" w:rsidR="0011638B" w:rsidRPr="00A03848" w:rsidRDefault="0011638B" w:rsidP="009F2DF3">
      <w:pPr>
        <w:pStyle w:val="H23"/>
        <w:ind w:right="1260"/>
        <w:rPr>
          <w:bCs w:val="0"/>
          <w:lang w:val="es-ES" w:eastAsia="en-US"/>
        </w:rPr>
      </w:pPr>
      <w:bookmarkStart w:id="434" w:name="bookmark_464"/>
      <w:r w:rsidRPr="00A03848">
        <w:rPr>
          <w:bCs w:val="0"/>
          <w:lang w:val="es-ES" w:eastAsia="en-US"/>
        </w:rPr>
        <w:tab/>
      </w:r>
      <w:r w:rsidRPr="00A03848">
        <w:rPr>
          <w:bCs w:val="0"/>
          <w:lang w:val="es-ES" w:eastAsia="en-US"/>
        </w:rPr>
        <w:tab/>
        <w:t>Protección de la mujer frente a los sistemas oficiosos de arbitraje comunitario</w:t>
      </w:r>
      <w:bookmarkEnd w:id="434"/>
    </w:p>
    <w:p w14:paraId="0C899F7E" w14:textId="77777777" w:rsidR="00477EB6" w:rsidRPr="00A03848" w:rsidRDefault="00477EB6" w:rsidP="00477EB6">
      <w:pPr>
        <w:pStyle w:val="SingleTxt"/>
        <w:spacing w:after="0" w:line="120" w:lineRule="exact"/>
        <w:rPr>
          <w:sz w:val="10"/>
          <w:szCs w:val="10"/>
          <w:lang w:val="es-ES"/>
        </w:rPr>
      </w:pPr>
    </w:p>
    <w:p w14:paraId="16B85B66" w14:textId="37E5D8C1" w:rsidR="0011638B" w:rsidRPr="00A03848" w:rsidRDefault="00946670" w:rsidP="00AB43B5">
      <w:pPr>
        <w:pStyle w:val="SingleTxt"/>
        <w:rPr>
          <w:szCs w:val="22"/>
          <w:lang w:val="es-ES" w:eastAsia="en-US"/>
        </w:rPr>
      </w:pPr>
      <w:bookmarkStart w:id="435" w:name="bookmark_465"/>
      <w:r w:rsidRPr="00A03848">
        <w:rPr>
          <w:szCs w:val="22"/>
          <w:lang w:val="es-ES" w:eastAsia="en-US"/>
        </w:rPr>
        <w:t>169.</w:t>
      </w:r>
      <w:r w:rsidRPr="00A03848">
        <w:rPr>
          <w:szCs w:val="22"/>
          <w:lang w:val="es-ES" w:eastAsia="en-US"/>
        </w:rPr>
        <w:tab/>
      </w:r>
      <w:r w:rsidR="0011638B" w:rsidRPr="00A03848">
        <w:rPr>
          <w:szCs w:val="22"/>
          <w:lang w:val="es-ES" w:eastAsia="en-US"/>
        </w:rPr>
        <w:t>Las medidas del Gobierno del Reino Unido para proteger a las mujeres de los sistemas oficiosos de arbitraje comunitario figuran en el informe de seguimiento presentado en noviembre de 2015</w:t>
      </w:r>
      <w:r w:rsidR="0011638B" w:rsidRPr="00A03848">
        <w:rPr>
          <w:szCs w:val="22"/>
          <w:vertAlign w:val="superscript"/>
          <w:lang w:val="es-ES" w:eastAsia="en-US"/>
        </w:rPr>
        <w:footnoteReference w:id="75"/>
      </w:r>
      <w:r w:rsidR="0011638B" w:rsidRPr="00A03848">
        <w:rPr>
          <w:szCs w:val="22"/>
          <w:lang w:val="es-ES" w:eastAsia="en-US"/>
        </w:rPr>
        <w:t>.</w:t>
      </w:r>
      <w:bookmarkEnd w:id="435"/>
    </w:p>
    <w:p w14:paraId="39971B7E" w14:textId="77777777" w:rsidR="00477EB6" w:rsidRPr="00A03848" w:rsidRDefault="00477EB6" w:rsidP="00477EB6">
      <w:pPr>
        <w:pStyle w:val="SingleTxt"/>
        <w:spacing w:after="0" w:line="120" w:lineRule="exact"/>
        <w:rPr>
          <w:sz w:val="10"/>
          <w:szCs w:val="10"/>
          <w:lang w:val="es-ES"/>
        </w:rPr>
      </w:pPr>
    </w:p>
    <w:p w14:paraId="75067687" w14:textId="77777777" w:rsidR="0011638B" w:rsidRPr="00A03848" w:rsidRDefault="0011638B" w:rsidP="009F2DF3">
      <w:pPr>
        <w:pStyle w:val="H23"/>
        <w:ind w:right="1260"/>
        <w:rPr>
          <w:bCs w:val="0"/>
          <w:lang w:val="es-ES" w:eastAsia="en-US"/>
        </w:rPr>
      </w:pPr>
      <w:bookmarkStart w:id="437" w:name="bookmark_467"/>
      <w:r w:rsidRPr="00A03848">
        <w:rPr>
          <w:bCs w:val="0"/>
          <w:lang w:val="es-ES" w:eastAsia="en-US"/>
        </w:rPr>
        <w:tab/>
      </w:r>
      <w:r w:rsidRPr="00A03848">
        <w:rPr>
          <w:bCs w:val="0"/>
          <w:lang w:val="es-ES" w:eastAsia="en-US"/>
        </w:rPr>
        <w:tab/>
        <w:t>Tasas de los tribunales de trabajo</w:t>
      </w:r>
      <w:r w:rsidRPr="00A03848">
        <w:rPr>
          <w:bCs w:val="0"/>
          <w:vertAlign w:val="superscript"/>
          <w:lang w:val="es-ES" w:eastAsia="en-US"/>
        </w:rPr>
        <w:endnoteReference w:id="44"/>
      </w:r>
      <w:bookmarkEnd w:id="437"/>
    </w:p>
    <w:p w14:paraId="13FE1D5F" w14:textId="77777777" w:rsidR="00477EB6" w:rsidRPr="00A03848" w:rsidRDefault="00477EB6" w:rsidP="00477EB6">
      <w:pPr>
        <w:pStyle w:val="SingleTxt"/>
        <w:spacing w:after="0" w:line="120" w:lineRule="exact"/>
        <w:rPr>
          <w:sz w:val="10"/>
          <w:szCs w:val="10"/>
          <w:lang w:val="es-ES"/>
        </w:rPr>
      </w:pPr>
    </w:p>
    <w:p w14:paraId="16B97099" w14:textId="160E2673" w:rsidR="0011638B" w:rsidRPr="00A03848" w:rsidRDefault="00946670" w:rsidP="00AB43B5">
      <w:pPr>
        <w:pStyle w:val="SingleTxt"/>
        <w:rPr>
          <w:szCs w:val="22"/>
          <w:lang w:val="es-ES" w:eastAsia="en-US"/>
        </w:rPr>
      </w:pPr>
      <w:bookmarkStart w:id="439" w:name="bookmark_469"/>
      <w:r w:rsidRPr="00A03848">
        <w:rPr>
          <w:szCs w:val="22"/>
          <w:lang w:val="es-ES" w:eastAsia="en-US"/>
        </w:rPr>
        <w:t>170.</w:t>
      </w:r>
      <w:r w:rsidRPr="00A03848">
        <w:rPr>
          <w:szCs w:val="22"/>
          <w:lang w:val="es-ES" w:eastAsia="en-US"/>
        </w:rPr>
        <w:tab/>
      </w:r>
      <w:r w:rsidR="0011638B" w:rsidRPr="00A03848">
        <w:rPr>
          <w:szCs w:val="22"/>
          <w:lang w:val="es-ES" w:eastAsia="en-US"/>
        </w:rPr>
        <w:t>El 26 de julio de 2017, el Tribunal Supremo dictó sentencia en la causa R (Unison) c. Lord Chancellor</w:t>
      </w:r>
      <w:r w:rsidR="0011638B" w:rsidRPr="00A03848">
        <w:rPr>
          <w:szCs w:val="22"/>
          <w:vertAlign w:val="superscript"/>
          <w:lang w:val="es-ES" w:eastAsia="en-US"/>
        </w:rPr>
        <w:footnoteReference w:id="76"/>
      </w:r>
      <w:r w:rsidR="0011638B" w:rsidRPr="00A03848">
        <w:rPr>
          <w:szCs w:val="22"/>
          <w:lang w:val="es-ES" w:eastAsia="en-US"/>
        </w:rPr>
        <w:t>, en la que se concluyó que el régimen de tasas de los tribunales de empleo era ilegal y anuló la orden de tasas correspondiente. El Gobierno del Reino Unido adoptó medidas inmediatamente para detener el cobro de las tasas y está realizando gestiones para reembolsar a quienes habían pagado las tasas anteriormente. La sentencia se está analizando más a fondo y las propuestas de futuras tasas se establecerán a su debido tiempo.</w:t>
      </w:r>
      <w:bookmarkEnd w:id="439"/>
    </w:p>
    <w:p w14:paraId="63216211" w14:textId="41C88065" w:rsidR="0011638B" w:rsidRPr="00A03848" w:rsidRDefault="00946670" w:rsidP="00AB43B5">
      <w:pPr>
        <w:pStyle w:val="SingleTxt"/>
        <w:rPr>
          <w:szCs w:val="22"/>
          <w:lang w:val="es-ES" w:eastAsia="en-US"/>
        </w:rPr>
      </w:pPr>
      <w:bookmarkStart w:id="441" w:name="bookmark_471"/>
      <w:r w:rsidRPr="00A03848">
        <w:rPr>
          <w:szCs w:val="22"/>
          <w:lang w:val="es-ES" w:eastAsia="en-US"/>
        </w:rPr>
        <w:t>171.</w:t>
      </w:r>
      <w:r w:rsidRPr="00A03848">
        <w:rPr>
          <w:szCs w:val="22"/>
          <w:lang w:val="es-ES" w:eastAsia="en-US"/>
        </w:rPr>
        <w:tab/>
      </w:r>
      <w:r w:rsidR="0011638B" w:rsidRPr="00A03848">
        <w:rPr>
          <w:szCs w:val="22"/>
          <w:lang w:val="es-ES" w:eastAsia="en-US"/>
        </w:rPr>
        <w:t>El Gobierno se comprometió en su Programa de 2015 a abolir las tasas en Escocia cuando se transfirieran la gestión y el funcionamiento de los tribunales de</w:t>
      </w:r>
      <w:r w:rsidR="00233A1A" w:rsidRPr="00A03848">
        <w:rPr>
          <w:szCs w:val="22"/>
          <w:lang w:val="es-ES" w:eastAsia="en-US"/>
        </w:rPr>
        <w:t xml:space="preserve"> </w:t>
      </w:r>
      <w:r w:rsidR="0011638B" w:rsidRPr="00A03848">
        <w:rPr>
          <w:szCs w:val="22"/>
          <w:lang w:val="es-ES" w:eastAsia="en-US"/>
        </w:rPr>
        <w:t>trabajo. El Gobierno de Escocia seguirá colaborando con las partes interesadas, a fin de que el nuevo sistema de tribunales de trabajo de Escocia ofrezca acceso a</w:t>
      </w:r>
      <w:r w:rsidR="00233A1A" w:rsidRPr="00A03848">
        <w:rPr>
          <w:szCs w:val="22"/>
          <w:lang w:val="es-ES" w:eastAsia="en-US"/>
        </w:rPr>
        <w:t xml:space="preserve"> </w:t>
      </w:r>
      <w:r w:rsidR="0011638B" w:rsidRPr="00A03848">
        <w:rPr>
          <w:szCs w:val="22"/>
          <w:lang w:val="es-ES" w:eastAsia="en-US"/>
        </w:rPr>
        <w:t>la</w:t>
      </w:r>
      <w:r w:rsidR="00233A1A" w:rsidRPr="00A03848">
        <w:rPr>
          <w:szCs w:val="22"/>
          <w:lang w:val="es-ES" w:eastAsia="en-US"/>
        </w:rPr>
        <w:t xml:space="preserve"> </w:t>
      </w:r>
      <w:r w:rsidR="0011638B" w:rsidRPr="00A03848">
        <w:rPr>
          <w:szCs w:val="22"/>
          <w:lang w:val="es-ES" w:eastAsia="en-US"/>
        </w:rPr>
        <w:t xml:space="preserve">justicia. </w:t>
      </w:r>
      <w:bookmarkEnd w:id="441"/>
    </w:p>
    <w:p w14:paraId="12BC00C4" w14:textId="77777777" w:rsidR="00477EB6" w:rsidRPr="00A03848" w:rsidRDefault="00477EB6" w:rsidP="00477EB6">
      <w:pPr>
        <w:pStyle w:val="SingleTxt"/>
        <w:spacing w:after="0" w:line="120" w:lineRule="exact"/>
        <w:rPr>
          <w:sz w:val="10"/>
          <w:szCs w:val="10"/>
          <w:lang w:val="es-ES"/>
        </w:rPr>
      </w:pPr>
    </w:p>
    <w:p w14:paraId="517629D5" w14:textId="77777777" w:rsidR="0011638B" w:rsidRPr="00A03848" w:rsidRDefault="0011638B" w:rsidP="009F2DF3">
      <w:pPr>
        <w:pStyle w:val="H23"/>
        <w:ind w:right="1260"/>
        <w:rPr>
          <w:bCs w:val="0"/>
          <w:lang w:val="es-ES" w:eastAsia="en-US"/>
        </w:rPr>
      </w:pPr>
      <w:bookmarkStart w:id="442" w:name="bookmark_472"/>
      <w:r w:rsidRPr="00A03848">
        <w:rPr>
          <w:bCs w:val="0"/>
          <w:lang w:val="es-ES" w:eastAsia="en-US"/>
        </w:rPr>
        <w:tab/>
      </w:r>
      <w:r w:rsidRPr="00A03848">
        <w:rPr>
          <w:bCs w:val="0"/>
          <w:lang w:val="es-ES" w:eastAsia="en-US"/>
        </w:rPr>
        <w:tab/>
        <w:t>Reparación de abusos institucionales históricos</w:t>
      </w:r>
      <w:r w:rsidRPr="00A03848">
        <w:rPr>
          <w:bCs w:val="0"/>
          <w:vertAlign w:val="superscript"/>
          <w:lang w:val="es-ES" w:eastAsia="en-US"/>
        </w:rPr>
        <w:endnoteReference w:id="45"/>
      </w:r>
      <w:bookmarkEnd w:id="442"/>
    </w:p>
    <w:p w14:paraId="3D2FA6EC" w14:textId="77777777" w:rsidR="00477EB6" w:rsidRPr="00A03848" w:rsidRDefault="00477EB6" w:rsidP="00477EB6">
      <w:pPr>
        <w:pStyle w:val="SingleTxt"/>
        <w:spacing w:after="0" w:line="120" w:lineRule="exact"/>
        <w:rPr>
          <w:sz w:val="10"/>
          <w:szCs w:val="10"/>
          <w:lang w:val="es-ES"/>
        </w:rPr>
      </w:pPr>
    </w:p>
    <w:p w14:paraId="68237DB4" w14:textId="469EA119" w:rsidR="0011638B" w:rsidRPr="00A03848" w:rsidRDefault="00946670" w:rsidP="00AB43B5">
      <w:pPr>
        <w:pStyle w:val="SingleTxt"/>
        <w:rPr>
          <w:szCs w:val="22"/>
          <w:lang w:val="es-ES" w:eastAsia="en-US"/>
        </w:rPr>
      </w:pPr>
      <w:bookmarkStart w:id="444" w:name="bookmark_474"/>
      <w:r w:rsidRPr="00A03848">
        <w:rPr>
          <w:szCs w:val="22"/>
          <w:lang w:val="es-ES" w:eastAsia="en-US"/>
        </w:rPr>
        <w:t>172.</w:t>
      </w:r>
      <w:r w:rsidRPr="00A03848">
        <w:rPr>
          <w:szCs w:val="22"/>
          <w:lang w:val="es-ES" w:eastAsia="en-US"/>
        </w:rPr>
        <w:tab/>
      </w:r>
      <w:r w:rsidR="0011638B" w:rsidRPr="00A03848">
        <w:rPr>
          <w:szCs w:val="22"/>
          <w:lang w:val="es-ES" w:eastAsia="en-US"/>
        </w:rPr>
        <w:t>Como se establece en su mandato, la investigación del poder ejecutivo de Irlanda del Norte sobre abusos institucionales históricos</w:t>
      </w:r>
      <w:r w:rsidR="0011638B" w:rsidRPr="00A03848">
        <w:rPr>
          <w:szCs w:val="22"/>
          <w:vertAlign w:val="superscript"/>
          <w:lang w:val="es-ES" w:eastAsia="en-US"/>
        </w:rPr>
        <w:footnoteReference w:id="77"/>
      </w:r>
      <w:r w:rsidR="0011638B" w:rsidRPr="00A03848">
        <w:rPr>
          <w:szCs w:val="22"/>
          <w:lang w:val="es-ES" w:eastAsia="en-US"/>
        </w:rPr>
        <w:t xml:space="preserve"> examinó si existieron deficiencias sistémicas por parte de las instituciones o el Estado en sus obligaciones con respecto a los niños que estuvieron bajo su custodia entre 1922 y 1995. El informe de la investigación se publicó oficialmente el 20 de enero de 2017 y en él se detallan las conclusiones del panel de investigación oficial y sus recomendaciones, conforme al mandato de la investigación. Con la publicación del informe se puso fin a la investigación sobre los abusos institucionales históricos. Observando las preocupaciones del Comité, el Ejecutivo de Irlanda del Norte acordó en octubre de 2016 crear un grupo de trabajo interdepartamental presidido de forma independiente para seguir investigando los Hogares para Madres y Bebés/Lavanderías de la Magdalena y el abuso clerical de menores. La oficina escocesa de investigación contra los abusos de menores</w:t>
      </w:r>
      <w:r w:rsidR="0011638B" w:rsidRPr="00A03848">
        <w:rPr>
          <w:szCs w:val="22"/>
          <w:vertAlign w:val="superscript"/>
          <w:lang w:val="es-ES" w:eastAsia="en-US"/>
        </w:rPr>
        <w:footnoteReference w:id="78"/>
      </w:r>
      <w:r w:rsidR="0011638B" w:rsidRPr="00A03848">
        <w:rPr>
          <w:szCs w:val="22"/>
          <w:lang w:val="es-ES" w:eastAsia="en-US"/>
        </w:rPr>
        <w:t xml:space="preserve"> está estudiando el abuso de niños en régimen de tutela y se prevé que dará a conocer los resultados en un plazo de cuatro años a partir del 1 de octubre de 2015, cuando dieron comienzo las pesquisas.</w:t>
      </w:r>
      <w:bookmarkEnd w:id="444"/>
    </w:p>
    <w:p w14:paraId="349A57A8" w14:textId="77777777" w:rsidR="00477EB6" w:rsidRPr="00A03848" w:rsidRDefault="00477EB6" w:rsidP="00477EB6">
      <w:pPr>
        <w:pStyle w:val="SingleTxt"/>
        <w:spacing w:after="0" w:line="120" w:lineRule="exact"/>
        <w:rPr>
          <w:sz w:val="10"/>
          <w:szCs w:val="10"/>
          <w:lang w:val="es-ES"/>
        </w:rPr>
      </w:pPr>
    </w:p>
    <w:p w14:paraId="202185C6" w14:textId="77777777" w:rsidR="0011638B" w:rsidRPr="00A03848" w:rsidRDefault="0011638B" w:rsidP="009F2DF3">
      <w:pPr>
        <w:pStyle w:val="H23"/>
        <w:ind w:right="1260"/>
        <w:rPr>
          <w:bCs w:val="0"/>
          <w:lang w:val="es-ES" w:eastAsia="en-US"/>
        </w:rPr>
      </w:pPr>
      <w:bookmarkStart w:id="447" w:name="bookmark_477"/>
      <w:r w:rsidRPr="00A03848">
        <w:rPr>
          <w:bCs w:val="0"/>
          <w:lang w:val="es-ES" w:eastAsia="en-US"/>
        </w:rPr>
        <w:tab/>
      </w:r>
      <w:r w:rsidRPr="00A03848">
        <w:rPr>
          <w:bCs w:val="0"/>
          <w:lang w:val="es-ES" w:eastAsia="en-US"/>
        </w:rPr>
        <w:tab/>
        <w:t>Prescripción en los casos civiles</w:t>
      </w:r>
      <w:r w:rsidRPr="00A03848">
        <w:rPr>
          <w:bCs w:val="0"/>
          <w:vertAlign w:val="superscript"/>
          <w:lang w:val="es-ES" w:eastAsia="en-US"/>
        </w:rPr>
        <w:endnoteReference w:id="46"/>
      </w:r>
      <w:bookmarkEnd w:id="447"/>
    </w:p>
    <w:p w14:paraId="4115CA2E" w14:textId="77777777" w:rsidR="00477EB6" w:rsidRPr="00A03848" w:rsidRDefault="00477EB6" w:rsidP="00477EB6">
      <w:pPr>
        <w:pStyle w:val="SingleTxt"/>
        <w:spacing w:after="0" w:line="120" w:lineRule="exact"/>
        <w:rPr>
          <w:sz w:val="10"/>
          <w:szCs w:val="10"/>
          <w:lang w:val="es-ES"/>
        </w:rPr>
      </w:pPr>
    </w:p>
    <w:p w14:paraId="7BFA2AF6" w14:textId="1F02B9CD" w:rsidR="0011638B" w:rsidRPr="00A03848" w:rsidRDefault="00946670" w:rsidP="00AB43B5">
      <w:pPr>
        <w:pStyle w:val="SingleTxt"/>
        <w:rPr>
          <w:szCs w:val="22"/>
          <w:lang w:val="es-ES" w:eastAsia="en-US"/>
        </w:rPr>
      </w:pPr>
      <w:bookmarkStart w:id="449" w:name="bookmark_479"/>
      <w:r w:rsidRPr="00A03848">
        <w:rPr>
          <w:szCs w:val="22"/>
          <w:lang w:val="es-ES" w:eastAsia="en-US"/>
        </w:rPr>
        <w:t>173.</w:t>
      </w:r>
      <w:r w:rsidRPr="00A03848">
        <w:rPr>
          <w:szCs w:val="22"/>
          <w:lang w:val="es-ES" w:eastAsia="en-US"/>
        </w:rPr>
        <w:tab/>
      </w:r>
      <w:r w:rsidR="0011638B" w:rsidRPr="00A03848">
        <w:rPr>
          <w:szCs w:val="22"/>
          <w:lang w:val="es-ES" w:eastAsia="en-US"/>
        </w:rPr>
        <w:t xml:space="preserve">El Gobierno de Escocia presentó el Proyecto de Ley de Prescripción (de los Casos de Abuso de Menores) (de Escocia) en 2016, destinado a eliminar el plazo de prescripción de tres años por los daños personales derivados del abuso de menores. En el proyecto de ley, la definición de </w:t>
      </w:r>
      <w:r w:rsidR="00284834" w:rsidRPr="00A03848">
        <w:rPr>
          <w:szCs w:val="22"/>
          <w:lang w:val="es-ES" w:eastAsia="en-US"/>
        </w:rPr>
        <w:t>“</w:t>
      </w:r>
      <w:r w:rsidR="0011638B" w:rsidRPr="00A03848">
        <w:rPr>
          <w:szCs w:val="22"/>
          <w:lang w:val="es-ES" w:eastAsia="en-US"/>
        </w:rPr>
        <w:t>abuso</w:t>
      </w:r>
      <w:r w:rsidR="00284834" w:rsidRPr="00A03848">
        <w:rPr>
          <w:szCs w:val="22"/>
          <w:lang w:val="es-ES" w:eastAsia="en-US"/>
        </w:rPr>
        <w:t>”</w:t>
      </w:r>
      <w:r w:rsidR="0011638B" w:rsidRPr="00A03848">
        <w:rPr>
          <w:szCs w:val="22"/>
          <w:lang w:val="es-ES" w:eastAsia="en-US"/>
        </w:rPr>
        <w:t xml:space="preserve"> incluye el maltrato sexual, físico y emocional. La eliminación del plazo de prescripción se aplicará independientemente de que el abuso ocurriera antes o después de que entraran en vigor las nuevas disposiciones y permite que un caso que se hubiera planteado anteriormente se reabra si el motivo de su desestimación fue el plazo de prescripción.</w:t>
      </w:r>
      <w:bookmarkEnd w:id="449"/>
    </w:p>
    <w:p w14:paraId="474F20EB" w14:textId="77777777" w:rsidR="00477EB6" w:rsidRPr="00A03848" w:rsidRDefault="00477EB6" w:rsidP="00477EB6">
      <w:pPr>
        <w:pStyle w:val="SingleTxt"/>
        <w:spacing w:after="0" w:line="120" w:lineRule="exact"/>
        <w:rPr>
          <w:sz w:val="10"/>
          <w:szCs w:val="10"/>
          <w:lang w:val="es-ES"/>
        </w:rPr>
      </w:pPr>
    </w:p>
    <w:p w14:paraId="66277268" w14:textId="77777777" w:rsidR="0011638B" w:rsidRPr="00A03848" w:rsidRDefault="0011638B" w:rsidP="009F2DF3">
      <w:pPr>
        <w:pStyle w:val="H23"/>
        <w:ind w:right="1260"/>
        <w:rPr>
          <w:bCs w:val="0"/>
          <w:lang w:val="es-ES" w:eastAsia="en-US"/>
        </w:rPr>
      </w:pPr>
      <w:bookmarkStart w:id="450" w:name="bookmark_480"/>
      <w:r w:rsidRPr="00A03848">
        <w:rPr>
          <w:bCs w:val="0"/>
          <w:lang w:val="es-ES" w:eastAsia="en-US"/>
        </w:rPr>
        <w:tab/>
      </w:r>
      <w:r w:rsidRPr="00A03848">
        <w:rPr>
          <w:bCs w:val="0"/>
          <w:lang w:val="es-ES" w:eastAsia="en-US"/>
        </w:rPr>
        <w:tab/>
        <w:t>Reforma de la corroboración</w:t>
      </w:r>
      <w:r w:rsidRPr="00A03848">
        <w:rPr>
          <w:bCs w:val="0"/>
          <w:vertAlign w:val="superscript"/>
          <w:lang w:val="es-ES" w:eastAsia="en-US"/>
        </w:rPr>
        <w:endnoteReference w:id="47"/>
      </w:r>
      <w:bookmarkEnd w:id="450"/>
    </w:p>
    <w:p w14:paraId="125CF6FF" w14:textId="77777777" w:rsidR="00477EB6" w:rsidRPr="00A03848" w:rsidRDefault="00477EB6" w:rsidP="00477EB6">
      <w:pPr>
        <w:pStyle w:val="SingleTxt"/>
        <w:spacing w:after="0" w:line="120" w:lineRule="exact"/>
        <w:rPr>
          <w:sz w:val="10"/>
          <w:szCs w:val="10"/>
          <w:lang w:val="es-ES"/>
        </w:rPr>
      </w:pPr>
    </w:p>
    <w:p w14:paraId="137C47BE" w14:textId="112A4E18" w:rsidR="0011638B" w:rsidRPr="00A03848" w:rsidRDefault="00946670" w:rsidP="00AB43B5">
      <w:pPr>
        <w:pStyle w:val="SingleTxt"/>
        <w:rPr>
          <w:szCs w:val="22"/>
          <w:lang w:val="es-ES" w:eastAsia="en-US"/>
        </w:rPr>
      </w:pPr>
      <w:bookmarkStart w:id="452" w:name="bookmark_482"/>
      <w:r w:rsidRPr="00A03848">
        <w:rPr>
          <w:szCs w:val="22"/>
          <w:lang w:val="es-ES" w:eastAsia="en-US"/>
        </w:rPr>
        <w:t>174.</w:t>
      </w:r>
      <w:r w:rsidRPr="00A03848">
        <w:rPr>
          <w:szCs w:val="22"/>
          <w:lang w:val="es-ES" w:eastAsia="en-US"/>
        </w:rPr>
        <w:tab/>
      </w:r>
      <w:r w:rsidR="0011638B" w:rsidRPr="00A03848">
        <w:rPr>
          <w:szCs w:val="22"/>
          <w:lang w:val="es-ES" w:eastAsia="en-US"/>
        </w:rPr>
        <w:t>En Escocia, el futuro examen de la reforma del requisito de corroboración debe esperar a las conclusiones de las investigaciones del jurado (una de las recomendaciones del estudio realizado por Lord Bonomy sobre las salvaguardias posteriores a la corroboración) y considerarse en el contexto más amplio de esa y las demás recomendaciones del grupo de Lord Bonomy y otras reformas conexas. El proyecto de investigaciones del jurado se inició en otoño de 2017 y se prevé que tardará dos años en llegar a su fin.</w:t>
      </w:r>
      <w:bookmarkEnd w:id="452"/>
    </w:p>
    <w:p w14:paraId="21D8F2DB" w14:textId="77777777" w:rsidR="00477EB6" w:rsidRPr="00A03848" w:rsidRDefault="00477EB6" w:rsidP="00477EB6">
      <w:pPr>
        <w:pStyle w:val="SingleTxt"/>
        <w:spacing w:after="0" w:line="120" w:lineRule="exact"/>
        <w:rPr>
          <w:sz w:val="10"/>
          <w:szCs w:val="10"/>
          <w:lang w:val="es-ES"/>
        </w:rPr>
      </w:pPr>
    </w:p>
    <w:p w14:paraId="1AE98331" w14:textId="77777777" w:rsidR="0011638B" w:rsidRPr="00A03848" w:rsidRDefault="0011638B" w:rsidP="009F2DF3">
      <w:pPr>
        <w:pStyle w:val="H23"/>
        <w:ind w:right="1260"/>
        <w:rPr>
          <w:bCs w:val="0"/>
          <w:lang w:val="es-ES" w:eastAsia="en-US"/>
        </w:rPr>
      </w:pPr>
      <w:bookmarkStart w:id="453" w:name="bookmark_483"/>
      <w:r w:rsidRPr="00A03848">
        <w:rPr>
          <w:bCs w:val="0"/>
          <w:lang w:val="es-ES" w:eastAsia="en-US"/>
        </w:rPr>
        <w:tab/>
      </w:r>
      <w:r w:rsidRPr="00A03848">
        <w:rPr>
          <w:bCs w:val="0"/>
          <w:lang w:val="es-ES" w:eastAsia="en-US"/>
        </w:rPr>
        <w:tab/>
        <w:t>Capacitación judicial en cuestiones de diversidad y trato justo</w:t>
      </w:r>
      <w:bookmarkEnd w:id="453"/>
    </w:p>
    <w:p w14:paraId="0B5ABB28" w14:textId="77777777" w:rsidR="00477EB6" w:rsidRPr="00A03848" w:rsidRDefault="00477EB6" w:rsidP="00477EB6">
      <w:pPr>
        <w:pStyle w:val="SingleTxt"/>
        <w:spacing w:after="0" w:line="120" w:lineRule="exact"/>
        <w:rPr>
          <w:sz w:val="10"/>
          <w:szCs w:val="10"/>
          <w:lang w:val="es-ES"/>
        </w:rPr>
      </w:pPr>
    </w:p>
    <w:p w14:paraId="32CAA488" w14:textId="21428D0F" w:rsidR="0011638B" w:rsidRPr="00A03848" w:rsidRDefault="00946670" w:rsidP="00AB43B5">
      <w:pPr>
        <w:pStyle w:val="SingleTxt"/>
        <w:rPr>
          <w:szCs w:val="22"/>
          <w:lang w:val="es-ES" w:eastAsia="en-US"/>
        </w:rPr>
      </w:pPr>
      <w:bookmarkStart w:id="454" w:name="bookmark_484"/>
      <w:r w:rsidRPr="00A03848">
        <w:rPr>
          <w:szCs w:val="22"/>
          <w:lang w:val="es-ES" w:eastAsia="en-US"/>
        </w:rPr>
        <w:t>175.</w:t>
      </w:r>
      <w:r w:rsidRPr="00A03848">
        <w:rPr>
          <w:szCs w:val="22"/>
          <w:lang w:val="es-ES" w:eastAsia="en-US"/>
        </w:rPr>
        <w:tab/>
      </w:r>
      <w:r w:rsidR="0011638B" w:rsidRPr="00A03848">
        <w:rPr>
          <w:szCs w:val="22"/>
          <w:lang w:val="es-ES" w:eastAsia="en-US"/>
        </w:rPr>
        <w:t>El Lord Chief Justice es el responsable de la capacitación de la judicatura en Inglaterra y Gales y ejerce esta función a través del Colegio Judicial. La oferta de capacitación va dirigida a los titulares de cargos judiciales en los juzgados (incluidos los jueces y sus asesores jurídicos), los tribunales y los jueces de instrucción. Se ofrece tanto orientación inicial como formación continua y el contexto social de impartir justicia (que incluye la igualdad de trato y la diversidad) está integrado en todos los seminarios de conformidad con la Estrategia del Colegio Judicial. El Colegio Judicial sigue ofreciendo una Guía Judicial sobre Igualdad de Trato</w:t>
      </w:r>
      <w:r w:rsidR="0011638B" w:rsidRPr="00A03848">
        <w:rPr>
          <w:szCs w:val="22"/>
          <w:vertAlign w:val="superscript"/>
          <w:lang w:val="es-ES" w:eastAsia="en-US"/>
        </w:rPr>
        <w:footnoteReference w:id="79"/>
      </w:r>
      <w:r w:rsidR="0011638B" w:rsidRPr="00A03848">
        <w:rPr>
          <w:szCs w:val="22"/>
          <w:lang w:val="es-ES" w:eastAsia="en-US"/>
        </w:rPr>
        <w:t xml:space="preserve"> que se revisa y actualiza periódicamente. Su contenido ayuda a todos los titulares de cargos judiciales a cumplir su juramento judicial y velar por que se trate igual a todas las personas que asistan a los tribunales. La Junta de Estudios Judiciales para Irlanda del Norte y el Comité de Estudios Judiciales de Escocia se encargan por separado de capacitar a los miembros profesionales del poder judicial y los jueces legos en sus respectivos territorios. Ambos órganos adoptan el mismo enfoque amplio de la diversidad y la igualdad que el Colegio Judicial, con el que mantienen una estrecha relación de trabajo.</w:t>
      </w:r>
      <w:bookmarkEnd w:id="454"/>
    </w:p>
    <w:p w14:paraId="2316B552" w14:textId="77777777" w:rsidR="00477EB6" w:rsidRPr="00A03848" w:rsidRDefault="00477EB6" w:rsidP="00477EB6">
      <w:pPr>
        <w:pStyle w:val="SingleTxt"/>
        <w:spacing w:after="0" w:line="120" w:lineRule="exact"/>
        <w:rPr>
          <w:sz w:val="10"/>
          <w:szCs w:val="10"/>
          <w:lang w:val="es-ES"/>
        </w:rPr>
      </w:pPr>
    </w:p>
    <w:p w14:paraId="3936E24E" w14:textId="77777777" w:rsidR="00477EB6" w:rsidRPr="00A03848" w:rsidRDefault="00477EB6" w:rsidP="00477EB6">
      <w:pPr>
        <w:pStyle w:val="SingleTxt"/>
        <w:spacing w:after="0" w:line="120" w:lineRule="exact"/>
        <w:rPr>
          <w:sz w:val="10"/>
          <w:szCs w:val="10"/>
          <w:lang w:val="es-ES"/>
        </w:rPr>
      </w:pPr>
    </w:p>
    <w:p w14:paraId="0994AA2C" w14:textId="77777777" w:rsidR="0011638B" w:rsidRPr="00A03848" w:rsidRDefault="0011638B" w:rsidP="00C01F60">
      <w:pPr>
        <w:pStyle w:val="H1"/>
        <w:ind w:right="1260"/>
        <w:rPr>
          <w:bCs w:val="0"/>
          <w:szCs w:val="20"/>
          <w:lang w:val="es-ES" w:eastAsia="en-US"/>
        </w:rPr>
      </w:pPr>
      <w:bookmarkStart w:id="456" w:name="bookmark_486"/>
      <w:bookmarkStart w:id="457" w:name="_Toc498530730"/>
      <w:r w:rsidRPr="00A03848">
        <w:rPr>
          <w:bCs w:val="0"/>
          <w:szCs w:val="20"/>
          <w:lang w:val="es-ES" w:eastAsia="en-US"/>
        </w:rPr>
        <w:tab/>
      </w:r>
      <w:r w:rsidRPr="00A03848">
        <w:rPr>
          <w:bCs w:val="0"/>
          <w:szCs w:val="20"/>
          <w:lang w:val="es-ES" w:eastAsia="en-US"/>
        </w:rPr>
        <w:tab/>
        <w:t>Artículo 16. Igualdad en el matrimonio y derecho de familia</w:t>
      </w:r>
      <w:bookmarkEnd w:id="456"/>
      <w:bookmarkEnd w:id="457"/>
    </w:p>
    <w:p w14:paraId="275119AD" w14:textId="77777777" w:rsidR="00477EB6" w:rsidRPr="00A03848" w:rsidRDefault="00477EB6" w:rsidP="00477EB6">
      <w:pPr>
        <w:pStyle w:val="SingleTxt"/>
        <w:spacing w:after="0" w:line="120" w:lineRule="exact"/>
        <w:rPr>
          <w:sz w:val="10"/>
          <w:szCs w:val="10"/>
          <w:lang w:val="es-ES"/>
        </w:rPr>
      </w:pPr>
    </w:p>
    <w:p w14:paraId="6D52C475" w14:textId="77777777" w:rsidR="00477EB6" w:rsidRPr="00A03848" w:rsidRDefault="00477EB6" w:rsidP="00477EB6">
      <w:pPr>
        <w:pStyle w:val="SingleTxt"/>
        <w:spacing w:after="0" w:line="120" w:lineRule="exact"/>
        <w:rPr>
          <w:sz w:val="10"/>
          <w:szCs w:val="10"/>
          <w:lang w:val="es-ES"/>
        </w:rPr>
      </w:pPr>
    </w:p>
    <w:p w14:paraId="1B47A8B4" w14:textId="77777777" w:rsidR="0011638B" w:rsidRPr="00A03848" w:rsidRDefault="0011638B" w:rsidP="009F2DF3">
      <w:pPr>
        <w:pStyle w:val="H23"/>
        <w:ind w:right="1260"/>
        <w:rPr>
          <w:bCs w:val="0"/>
          <w:lang w:val="es-ES" w:eastAsia="en-US"/>
        </w:rPr>
      </w:pPr>
      <w:bookmarkStart w:id="458" w:name="bookmark_487"/>
      <w:r w:rsidRPr="00A03848">
        <w:rPr>
          <w:bCs w:val="0"/>
          <w:lang w:val="es-ES" w:eastAsia="en-US"/>
        </w:rPr>
        <w:tab/>
      </w:r>
      <w:r w:rsidRPr="00A03848">
        <w:rPr>
          <w:bCs w:val="0"/>
          <w:lang w:val="es-ES" w:eastAsia="en-US"/>
        </w:rPr>
        <w:tab/>
        <w:t>Refuerzo de la legislación sobre el matrimonio forzado</w:t>
      </w:r>
      <w:r w:rsidRPr="00A03848">
        <w:rPr>
          <w:bCs w:val="0"/>
          <w:vertAlign w:val="superscript"/>
          <w:lang w:val="es-ES" w:eastAsia="en-US"/>
        </w:rPr>
        <w:endnoteReference w:id="48"/>
      </w:r>
      <w:bookmarkEnd w:id="458"/>
    </w:p>
    <w:p w14:paraId="271FBFF5" w14:textId="77777777" w:rsidR="00477EB6" w:rsidRPr="00A03848" w:rsidRDefault="00477EB6" w:rsidP="00477EB6">
      <w:pPr>
        <w:pStyle w:val="SingleTxt"/>
        <w:spacing w:after="0" w:line="120" w:lineRule="exact"/>
        <w:rPr>
          <w:sz w:val="10"/>
          <w:szCs w:val="10"/>
          <w:lang w:val="es-ES"/>
        </w:rPr>
      </w:pPr>
    </w:p>
    <w:p w14:paraId="0813E72F" w14:textId="4102BE12" w:rsidR="0011638B" w:rsidRPr="00A03848" w:rsidRDefault="00946670" w:rsidP="00AB43B5">
      <w:pPr>
        <w:pStyle w:val="SingleTxt"/>
        <w:rPr>
          <w:szCs w:val="22"/>
          <w:lang w:val="es-ES" w:eastAsia="en-US"/>
        </w:rPr>
      </w:pPr>
      <w:bookmarkStart w:id="460" w:name="bookmark_489"/>
      <w:r w:rsidRPr="00A03848">
        <w:rPr>
          <w:szCs w:val="22"/>
          <w:lang w:val="es-ES" w:eastAsia="en-US"/>
        </w:rPr>
        <w:t>176.</w:t>
      </w:r>
      <w:r w:rsidRPr="00A03848">
        <w:rPr>
          <w:szCs w:val="22"/>
          <w:lang w:val="es-ES" w:eastAsia="en-US"/>
        </w:rPr>
        <w:tab/>
      </w:r>
      <w:r w:rsidR="0011638B" w:rsidRPr="00A03848">
        <w:rPr>
          <w:szCs w:val="22"/>
          <w:lang w:val="es-ES" w:eastAsia="en-US"/>
        </w:rPr>
        <w:t xml:space="preserve">El Gobierno del Reino Unido ha introducido el respeto por el anonimato de las víctimas y las órdenes de protección contra el matrimonio forzado. También se han elaborado diversos materiales para ayudar a los profesionales a comprender estas cuestiones, en particular orientación interinstitucional y cursos gratuitos de aprendizaje electrónico para los profesionales de primera línea. Las dependencias de lucha contra el matrimonio forzado están llevando a cabo programas de divulgación como apoyo a las comunidades y los profesionales. </w:t>
      </w:r>
      <w:bookmarkEnd w:id="460"/>
    </w:p>
    <w:p w14:paraId="7E98ACFE" w14:textId="328C2017" w:rsidR="0011638B" w:rsidRPr="00A03848" w:rsidRDefault="00946670" w:rsidP="00AB43B5">
      <w:pPr>
        <w:pStyle w:val="SingleTxt"/>
        <w:rPr>
          <w:szCs w:val="22"/>
          <w:lang w:val="es-ES" w:eastAsia="en-US"/>
        </w:rPr>
      </w:pPr>
      <w:bookmarkStart w:id="461" w:name="bookmark_490"/>
      <w:r w:rsidRPr="00A03848">
        <w:rPr>
          <w:szCs w:val="22"/>
          <w:lang w:val="es-ES" w:eastAsia="en-US"/>
        </w:rPr>
        <w:t>177.</w:t>
      </w:r>
      <w:r w:rsidRPr="00A03848">
        <w:rPr>
          <w:szCs w:val="22"/>
          <w:lang w:val="es-ES" w:eastAsia="en-US"/>
        </w:rPr>
        <w:tab/>
      </w:r>
      <w:r w:rsidR="0011638B" w:rsidRPr="00A03848">
        <w:rPr>
          <w:szCs w:val="22"/>
          <w:lang w:val="es-ES" w:eastAsia="en-US"/>
        </w:rPr>
        <w:t>Con la Ley de Matrimonios Forzados (Protección y Jurisdicción) de Escocia de 2011 se introdujo en Escocia una orden de protección civil contra el matrimonio forzado, cuya infracción constituye un delito penal. Desde el 30 de septiembre de</w:t>
      </w:r>
      <w:r w:rsidR="00233A1A" w:rsidRPr="00A03848">
        <w:rPr>
          <w:szCs w:val="22"/>
          <w:lang w:val="es-ES" w:eastAsia="en-US"/>
        </w:rPr>
        <w:t xml:space="preserve"> </w:t>
      </w:r>
      <w:r w:rsidR="0011638B" w:rsidRPr="00A03848">
        <w:rPr>
          <w:szCs w:val="22"/>
          <w:lang w:val="es-ES" w:eastAsia="en-US"/>
        </w:rPr>
        <w:t>2014, el artículo 122 de la Ley de Conductas Antisociales, Delincuencia y Policía</w:t>
      </w:r>
      <w:r w:rsidR="00477EB6" w:rsidRPr="00A03848">
        <w:rPr>
          <w:szCs w:val="22"/>
          <w:lang w:val="es-ES" w:eastAsia="en-US"/>
        </w:rPr>
        <w:t xml:space="preserve"> </w:t>
      </w:r>
      <w:r w:rsidR="0011638B" w:rsidRPr="00A03848">
        <w:rPr>
          <w:szCs w:val="22"/>
          <w:lang w:val="es-ES" w:eastAsia="en-US"/>
        </w:rPr>
        <w:t>de 2014</w:t>
      </w:r>
      <w:r w:rsidR="0011638B" w:rsidRPr="00A03848">
        <w:rPr>
          <w:szCs w:val="22"/>
          <w:vertAlign w:val="superscript"/>
          <w:lang w:val="es-ES" w:eastAsia="en-US"/>
        </w:rPr>
        <w:footnoteReference w:id="80"/>
      </w:r>
      <w:r w:rsidR="0011638B" w:rsidRPr="00A03848">
        <w:rPr>
          <w:szCs w:val="22"/>
          <w:lang w:val="es-ES" w:eastAsia="en-US"/>
        </w:rPr>
        <w:t xml:space="preserve"> establece como delito penal que se obligue a una persona a contraer matrimonio.</w:t>
      </w:r>
      <w:bookmarkEnd w:id="461"/>
    </w:p>
    <w:p w14:paraId="44B7D2F2" w14:textId="5569E51E" w:rsidR="007A1CF8" w:rsidRPr="00A03848" w:rsidRDefault="007A1CF8" w:rsidP="007A1CF8">
      <w:pPr>
        <w:pStyle w:val="SingleTxt"/>
        <w:spacing w:after="0" w:line="120" w:lineRule="exact"/>
        <w:rPr>
          <w:sz w:val="10"/>
          <w:szCs w:val="22"/>
          <w:lang w:val="es-ES" w:eastAsia="en-US"/>
        </w:rPr>
      </w:pPr>
    </w:p>
    <w:p w14:paraId="068C1CAF" w14:textId="50BEC182" w:rsidR="0011638B" w:rsidRPr="00A03848" w:rsidRDefault="0011638B" w:rsidP="007A1CF8">
      <w:pPr>
        <w:pStyle w:val="H23"/>
        <w:ind w:right="2398"/>
        <w:rPr>
          <w:bCs w:val="0"/>
          <w:lang w:val="es-ES" w:eastAsia="en-US"/>
        </w:rPr>
      </w:pPr>
      <w:bookmarkStart w:id="463" w:name="bookmark_492"/>
      <w:r w:rsidRPr="00A03848">
        <w:rPr>
          <w:bCs w:val="0"/>
          <w:lang w:val="es-ES" w:eastAsia="en-US"/>
        </w:rPr>
        <w:tab/>
      </w:r>
      <w:r w:rsidRPr="00A03848">
        <w:rPr>
          <w:bCs w:val="0"/>
          <w:lang w:val="es-ES" w:eastAsia="en-US"/>
        </w:rPr>
        <w:tab/>
        <w:t>Igualdad de protección de los derechos de las mujeres y los hombres a la</w:t>
      </w:r>
      <w:r w:rsidR="00233A1A" w:rsidRPr="00A03848">
        <w:rPr>
          <w:bCs w:val="0"/>
          <w:lang w:val="es-ES" w:eastAsia="en-US"/>
        </w:rPr>
        <w:t xml:space="preserve"> </w:t>
      </w:r>
      <w:r w:rsidRPr="00A03848">
        <w:rPr>
          <w:bCs w:val="0"/>
          <w:lang w:val="es-ES" w:eastAsia="en-US"/>
        </w:rPr>
        <w:t>propiedad</w:t>
      </w:r>
      <w:r w:rsidRPr="00A03848">
        <w:rPr>
          <w:bCs w:val="0"/>
          <w:vertAlign w:val="superscript"/>
          <w:lang w:val="es-ES" w:eastAsia="en-US"/>
        </w:rPr>
        <w:endnoteReference w:id="49"/>
      </w:r>
      <w:bookmarkEnd w:id="463"/>
    </w:p>
    <w:p w14:paraId="483528C9" w14:textId="77777777" w:rsidR="00477EB6" w:rsidRPr="00A03848" w:rsidRDefault="00477EB6" w:rsidP="00477EB6">
      <w:pPr>
        <w:pStyle w:val="SingleTxt"/>
        <w:spacing w:after="0" w:line="120" w:lineRule="exact"/>
        <w:rPr>
          <w:sz w:val="10"/>
          <w:szCs w:val="10"/>
          <w:lang w:val="es-ES"/>
        </w:rPr>
      </w:pPr>
    </w:p>
    <w:p w14:paraId="3A6A953B" w14:textId="1BEDC36E" w:rsidR="0011638B" w:rsidRPr="00A03848" w:rsidRDefault="00946670" w:rsidP="00AB43B5">
      <w:pPr>
        <w:pStyle w:val="SingleTxt"/>
        <w:rPr>
          <w:szCs w:val="22"/>
          <w:lang w:val="es-ES" w:eastAsia="en-US"/>
        </w:rPr>
      </w:pPr>
      <w:bookmarkStart w:id="465" w:name="bookmark_494"/>
      <w:r w:rsidRPr="00A03848">
        <w:rPr>
          <w:szCs w:val="22"/>
          <w:lang w:val="es-ES" w:eastAsia="en-US"/>
        </w:rPr>
        <w:t>178.</w:t>
      </w:r>
      <w:r w:rsidRPr="00A03848">
        <w:rPr>
          <w:szCs w:val="22"/>
          <w:lang w:val="es-ES" w:eastAsia="en-US"/>
        </w:rPr>
        <w:tab/>
      </w:r>
      <w:r w:rsidR="0011638B" w:rsidRPr="00A03848">
        <w:rPr>
          <w:szCs w:val="22"/>
          <w:lang w:val="es-ES" w:eastAsia="en-US"/>
        </w:rPr>
        <w:t>La legislación sobre los derechos de propiedad es neutra en cuanto al género y brinda, por tanto, igualdad de protección con respecto a los derechos de propiedad de mujeres y hombres según la ley aplicable a una relación particular (el derecho de familia relativo al divorcio o la disolución de una unión civil, y el derecho civil en materia de propiedad, contratos y fideicomisos cuando las parejas hubieran cohabitado, pero su unión no se hubiera formalizado legalmente). El Gobierno del Reino Unido está estudiando si es necesario introducir nuevas reformas en el sistema de justicia de familia en Inglaterra y Gales para asegurar que se logren los mejores resultados para los niños y las familias y se proteja a los usuarios más vulnerables del sistema. El Gobierno escocés está valorando si se requieren cambios similares en Escocia.</w:t>
      </w:r>
      <w:bookmarkEnd w:id="465"/>
    </w:p>
    <w:p w14:paraId="25EBCA68" w14:textId="77777777" w:rsidR="00477EB6" w:rsidRPr="00A03848" w:rsidRDefault="00477EB6" w:rsidP="00477EB6">
      <w:pPr>
        <w:pStyle w:val="SingleTxt"/>
        <w:spacing w:after="0" w:line="120" w:lineRule="exact"/>
        <w:rPr>
          <w:sz w:val="10"/>
          <w:szCs w:val="10"/>
          <w:lang w:val="es-ES"/>
        </w:rPr>
      </w:pPr>
    </w:p>
    <w:p w14:paraId="61C0C6AE" w14:textId="77777777" w:rsidR="0011638B" w:rsidRPr="00A03848" w:rsidRDefault="0011638B" w:rsidP="009F2DF3">
      <w:pPr>
        <w:pStyle w:val="H23"/>
        <w:ind w:right="1260"/>
        <w:rPr>
          <w:bCs w:val="0"/>
          <w:lang w:val="es-ES" w:eastAsia="en-US"/>
        </w:rPr>
      </w:pPr>
      <w:bookmarkStart w:id="466" w:name="bookmark_495"/>
      <w:r w:rsidRPr="00A03848">
        <w:rPr>
          <w:bCs w:val="0"/>
          <w:lang w:val="es-ES" w:eastAsia="en-US"/>
        </w:rPr>
        <w:tab/>
      </w:r>
      <w:r w:rsidRPr="00A03848">
        <w:rPr>
          <w:bCs w:val="0"/>
          <w:lang w:val="es-ES" w:eastAsia="en-US"/>
        </w:rPr>
        <w:tab/>
        <w:t>Castigo corporal</w:t>
      </w:r>
      <w:r w:rsidRPr="00A03848">
        <w:rPr>
          <w:bCs w:val="0"/>
          <w:vertAlign w:val="superscript"/>
          <w:lang w:val="es-ES" w:eastAsia="en-US"/>
        </w:rPr>
        <w:endnoteReference w:id="50"/>
      </w:r>
      <w:bookmarkEnd w:id="466"/>
    </w:p>
    <w:p w14:paraId="3B92E551" w14:textId="77777777" w:rsidR="00477EB6" w:rsidRPr="00A03848" w:rsidRDefault="00477EB6" w:rsidP="00477EB6">
      <w:pPr>
        <w:pStyle w:val="SingleTxt"/>
        <w:spacing w:after="0" w:line="120" w:lineRule="exact"/>
        <w:rPr>
          <w:sz w:val="10"/>
          <w:szCs w:val="10"/>
          <w:lang w:val="es-ES"/>
        </w:rPr>
      </w:pPr>
    </w:p>
    <w:p w14:paraId="0D7421AE" w14:textId="532A6190" w:rsidR="0011638B" w:rsidRPr="00A03848" w:rsidRDefault="00946670" w:rsidP="00AB43B5">
      <w:pPr>
        <w:pStyle w:val="SingleTxt"/>
        <w:rPr>
          <w:szCs w:val="22"/>
          <w:lang w:val="es-ES" w:eastAsia="en-US"/>
        </w:rPr>
      </w:pPr>
      <w:bookmarkStart w:id="468" w:name="bookmark_497"/>
      <w:r w:rsidRPr="00A03848">
        <w:rPr>
          <w:szCs w:val="22"/>
          <w:lang w:val="es-ES" w:eastAsia="en-US"/>
        </w:rPr>
        <w:t>179.</w:t>
      </w:r>
      <w:r w:rsidRPr="00A03848">
        <w:rPr>
          <w:szCs w:val="22"/>
          <w:lang w:val="es-ES" w:eastAsia="en-US"/>
        </w:rPr>
        <w:tab/>
      </w:r>
      <w:r w:rsidR="0011638B" w:rsidRPr="00A03848">
        <w:rPr>
          <w:szCs w:val="22"/>
          <w:lang w:val="es-ES" w:eastAsia="en-US"/>
        </w:rPr>
        <w:t xml:space="preserve">En Inglaterra y Gales, no se tolera la violencia contra los niños y la legislación señala claramente cómo hacerle frente. La eximente del </w:t>
      </w:r>
      <w:r w:rsidR="00284834" w:rsidRPr="00A03848">
        <w:rPr>
          <w:szCs w:val="22"/>
          <w:lang w:val="es-ES" w:eastAsia="en-US"/>
        </w:rPr>
        <w:t>“</w:t>
      </w:r>
      <w:r w:rsidR="0011638B" w:rsidRPr="00A03848">
        <w:rPr>
          <w:szCs w:val="22"/>
          <w:lang w:val="es-ES" w:eastAsia="en-US"/>
        </w:rPr>
        <w:t>castigo razonable</w:t>
      </w:r>
      <w:r w:rsidR="00284834" w:rsidRPr="00A03848">
        <w:rPr>
          <w:szCs w:val="22"/>
          <w:lang w:val="es-ES" w:eastAsia="en-US"/>
        </w:rPr>
        <w:t>”</w:t>
      </w:r>
      <w:r w:rsidR="0011638B" w:rsidRPr="00A03848">
        <w:rPr>
          <w:szCs w:val="22"/>
          <w:lang w:val="es-ES" w:eastAsia="en-US"/>
        </w:rPr>
        <w:t xml:space="preserve"> solo procede cuando la acusación es de agresión común; no es admisible ante acusaciones de agresión con resultado de lesiones corporales graves o efectivas o con un niño. En Irlanda del Norte, la ley sobre el castigo físico está en consonancia con la de Inglaterra y Gales desde septiembre de 2006. También existen leyes y normas que prohíben los castigos corporales en los hogares infantiles, las guarderías y los hogares de guarda. La legislación vigente en Escocia prohíbe castigar a los niños zarandeándolos, golpeándolos en la cabeza o utilizando cualquier instrumento. El Gobierno de Escocia se opone al castigo físico de los niños y tiene intención de apoyar la propuesta de un proyecto de ley en el Parlamento de Escocia. Con él se eliminaría una defensa que ahora pueden utilizar los padres y cuidadores, y se prohibirían todas las formas de castigo físico de los niños.</w:t>
      </w:r>
      <w:bookmarkEnd w:id="468"/>
    </w:p>
    <w:p w14:paraId="3B3CCE1A" w14:textId="77777777" w:rsidR="00A66DE4" w:rsidRPr="00A03848" w:rsidRDefault="00A66DE4" w:rsidP="00A66DE4">
      <w:pPr>
        <w:pStyle w:val="SingleTxt"/>
        <w:spacing w:after="0" w:line="120" w:lineRule="exact"/>
        <w:rPr>
          <w:sz w:val="10"/>
          <w:szCs w:val="10"/>
          <w:lang w:val="es-ES"/>
        </w:rPr>
      </w:pPr>
    </w:p>
    <w:p w14:paraId="26BB96A3" w14:textId="77777777" w:rsidR="0011638B" w:rsidRPr="00A03848" w:rsidRDefault="0011638B" w:rsidP="009F2DF3">
      <w:pPr>
        <w:pStyle w:val="H23"/>
        <w:ind w:right="1260"/>
        <w:rPr>
          <w:bCs w:val="0"/>
          <w:lang w:val="es-ES" w:eastAsia="en-US"/>
        </w:rPr>
      </w:pPr>
      <w:bookmarkStart w:id="469" w:name="bookmark_498"/>
      <w:bookmarkStart w:id="470" w:name="_Toc498530731"/>
      <w:r w:rsidRPr="00A03848">
        <w:rPr>
          <w:bCs w:val="0"/>
          <w:lang w:val="es-ES" w:eastAsia="en-US"/>
        </w:rPr>
        <w:tab/>
      </w:r>
      <w:r w:rsidRPr="00A03848">
        <w:rPr>
          <w:bCs w:val="0"/>
          <w:lang w:val="es-ES" w:eastAsia="en-US"/>
        </w:rPr>
        <w:tab/>
        <w:t>Eliminación de la violencia contra las mujeres y las niñas:</w:t>
      </w:r>
      <w:bookmarkEnd w:id="469"/>
      <w:bookmarkEnd w:id="470"/>
    </w:p>
    <w:p w14:paraId="058EA0DE" w14:textId="77777777" w:rsidR="00A66DE4" w:rsidRPr="00A03848" w:rsidRDefault="00A66DE4" w:rsidP="00A66DE4">
      <w:pPr>
        <w:pStyle w:val="SingleTxt"/>
        <w:spacing w:after="0" w:line="120" w:lineRule="exact"/>
        <w:rPr>
          <w:sz w:val="10"/>
          <w:szCs w:val="10"/>
          <w:lang w:val="es-ES"/>
        </w:rPr>
      </w:pPr>
    </w:p>
    <w:p w14:paraId="4BBE1A39" w14:textId="77777777" w:rsidR="0011638B" w:rsidRPr="00A03848" w:rsidRDefault="0011638B" w:rsidP="009F2DF3">
      <w:pPr>
        <w:pStyle w:val="H4"/>
        <w:ind w:right="1260"/>
        <w:rPr>
          <w:iCs w:val="0"/>
          <w:lang w:val="es-ES" w:eastAsia="en-US"/>
        </w:rPr>
      </w:pPr>
      <w:bookmarkStart w:id="471" w:name="bookmark_499"/>
      <w:r w:rsidRPr="00A03848">
        <w:rPr>
          <w:iCs w:val="0"/>
          <w:lang w:val="es-ES" w:eastAsia="en-US"/>
        </w:rPr>
        <w:tab/>
      </w:r>
      <w:r w:rsidRPr="00A03848">
        <w:rPr>
          <w:iCs w:val="0"/>
          <w:lang w:val="es-ES" w:eastAsia="en-US"/>
        </w:rPr>
        <w:tab/>
        <w:t>Estrategia para Eliminar la Violencia contra las Mujeres y las Niñas</w:t>
      </w:r>
      <w:r w:rsidRPr="00A03848">
        <w:rPr>
          <w:iCs w:val="0"/>
          <w:vertAlign w:val="superscript"/>
          <w:lang w:val="es-ES" w:eastAsia="en-US"/>
        </w:rPr>
        <w:endnoteReference w:id="51"/>
      </w:r>
      <w:bookmarkEnd w:id="471"/>
    </w:p>
    <w:p w14:paraId="5700D1AD" w14:textId="77777777" w:rsidR="00A66DE4" w:rsidRPr="00A03848" w:rsidRDefault="00A66DE4" w:rsidP="00A66DE4">
      <w:pPr>
        <w:pStyle w:val="SingleTxt"/>
        <w:spacing w:after="0" w:line="120" w:lineRule="exact"/>
        <w:rPr>
          <w:sz w:val="10"/>
          <w:szCs w:val="10"/>
          <w:lang w:val="es-ES"/>
        </w:rPr>
      </w:pPr>
    </w:p>
    <w:p w14:paraId="5578B2F0" w14:textId="41127CDB" w:rsidR="0011638B" w:rsidRPr="00A03848" w:rsidRDefault="00946670" w:rsidP="00AB43B5">
      <w:pPr>
        <w:pStyle w:val="SingleTxt"/>
        <w:rPr>
          <w:szCs w:val="22"/>
          <w:lang w:val="es-ES" w:eastAsia="en-US"/>
        </w:rPr>
      </w:pPr>
      <w:bookmarkStart w:id="473" w:name="bookmark_501"/>
      <w:r w:rsidRPr="00A03848">
        <w:rPr>
          <w:szCs w:val="22"/>
          <w:lang w:val="es-ES" w:eastAsia="en-US"/>
        </w:rPr>
        <w:t>180.</w:t>
      </w:r>
      <w:r w:rsidRPr="00A03848">
        <w:rPr>
          <w:szCs w:val="22"/>
          <w:lang w:val="es-ES" w:eastAsia="en-US"/>
        </w:rPr>
        <w:tab/>
      </w:r>
      <w:r w:rsidR="0011638B" w:rsidRPr="00A03848">
        <w:rPr>
          <w:szCs w:val="22"/>
          <w:lang w:val="es-ES" w:eastAsia="en-US"/>
        </w:rPr>
        <w:t>La Estrategia para Eliminar la Violencia contra las Mujeres y las Niñas 2016-2020 del Gobierno del Reino Unido se publicó en marzo de 2016 y ofrece una visión general de la amplia gama de medidas que adoptará el Gobierno con miras a poner fin a la violencia contra las mujeres y las niñas. Asimismo, detalla el modo en que el Gobierno pretende basarse en el anterior plan de acción para eliminar la violencia contra las mujeres y las niñas. También se ha publicado una nueva Declaración Nacional de Expectativas</w:t>
      </w:r>
      <w:r w:rsidR="0011638B" w:rsidRPr="00A03848">
        <w:rPr>
          <w:szCs w:val="22"/>
          <w:vertAlign w:val="superscript"/>
          <w:lang w:val="es-ES" w:eastAsia="en-US"/>
        </w:rPr>
        <w:footnoteReference w:id="81"/>
      </w:r>
      <w:r w:rsidR="0011638B" w:rsidRPr="00A03848">
        <w:rPr>
          <w:szCs w:val="22"/>
          <w:lang w:val="es-ES" w:eastAsia="en-US"/>
        </w:rPr>
        <w:t xml:space="preserve"> que establece, por primera vez, un proyecto claro de acción local para combatir la violencia contra las mujeres y las niñas. Desde 2012, el Gobierno del Reino Unido ha introducido nuevas leyes e instrumentos para proteger a las víctimas de violencia contra las mujeres y las niñas, entre ellos: la penalización del matrimonio forzado, dos nuevas leyes contra el hostigamiento criminal, la implantación nacional de las órdenes de protección contra la violencia doméstica y el plan de divulgación de información sobre las personas con antecedentes de violencia doméstica, y un nuevo delito de maltrato doméstico que abarca las conductas de control y coacción.</w:t>
      </w:r>
      <w:bookmarkEnd w:id="473"/>
    </w:p>
    <w:p w14:paraId="127579E8" w14:textId="7D4CB539" w:rsidR="0011638B" w:rsidRPr="00A03848" w:rsidRDefault="00946670" w:rsidP="00AB43B5">
      <w:pPr>
        <w:pStyle w:val="SingleTxt"/>
        <w:keepLines/>
        <w:rPr>
          <w:szCs w:val="22"/>
          <w:lang w:val="es-ES" w:eastAsia="en-US"/>
        </w:rPr>
      </w:pPr>
      <w:bookmarkStart w:id="477" w:name="bookmark_504"/>
      <w:r w:rsidRPr="00A03848">
        <w:rPr>
          <w:szCs w:val="22"/>
          <w:lang w:val="es-ES" w:eastAsia="en-US"/>
        </w:rPr>
        <w:t>181.</w:t>
      </w:r>
      <w:r w:rsidRPr="00A03848">
        <w:rPr>
          <w:szCs w:val="22"/>
          <w:lang w:val="es-ES" w:eastAsia="en-US"/>
        </w:rPr>
        <w:tab/>
      </w:r>
      <w:r w:rsidR="0011638B" w:rsidRPr="00A03848">
        <w:rPr>
          <w:szCs w:val="22"/>
          <w:lang w:val="es-ES" w:eastAsia="en-US"/>
        </w:rPr>
        <w:t xml:space="preserve">A fin de respaldar el compromiso del Gobierno de hacer frente a la violencia contra las mujeres y las niñas, se ha prometido una asignación de 100 millones de libras de aquí a 2020. Esta financiación contribuirá a cumplir el objetivo del Gobierno del Reino Unido de colaborar con los comisionados locales para lograr un futuro seguro en el caso de los centros de apoyo a las víctimas de violación, los centros de acogida y las dependencias de lucha contra la mutilación genital femenina y el matrimonio forzado. Una campaña del Gobierno del Reino Unido contra el maltrato, </w:t>
      </w:r>
      <w:r w:rsidR="00284834" w:rsidRPr="00A03848">
        <w:rPr>
          <w:szCs w:val="22"/>
          <w:lang w:val="es-ES" w:eastAsia="en-US"/>
        </w:rPr>
        <w:t>“</w:t>
      </w:r>
      <w:r w:rsidR="0011638B" w:rsidRPr="00A03848">
        <w:rPr>
          <w:szCs w:val="22"/>
          <w:lang w:val="es-ES" w:eastAsia="en-US"/>
        </w:rPr>
        <w:t>This is Abuse</w:t>
      </w:r>
      <w:r w:rsidR="00284834" w:rsidRPr="00A03848">
        <w:rPr>
          <w:szCs w:val="22"/>
          <w:lang w:val="es-ES" w:eastAsia="en-US"/>
        </w:rPr>
        <w:t>”</w:t>
      </w:r>
      <w:r w:rsidR="0011638B" w:rsidRPr="00A03848">
        <w:rPr>
          <w:szCs w:val="22"/>
          <w:vertAlign w:val="superscript"/>
          <w:lang w:val="es-ES" w:eastAsia="en-US"/>
        </w:rPr>
        <w:footnoteReference w:id="82"/>
      </w:r>
      <w:r w:rsidR="0011638B" w:rsidRPr="00A03848">
        <w:rPr>
          <w:szCs w:val="22"/>
          <w:lang w:val="es-ES" w:eastAsia="en-US"/>
        </w:rPr>
        <w:t>, anima a los adolescentes a replantearse sus opiniones sobre la violencia, el maltrato, la conducta controladora y el consentimiento. Se concede financiación para una línea telefónica de asistencia</w:t>
      </w:r>
      <w:r w:rsidR="0011638B" w:rsidRPr="00A03848">
        <w:rPr>
          <w:szCs w:val="22"/>
          <w:vertAlign w:val="superscript"/>
          <w:lang w:val="es-ES" w:eastAsia="en-US"/>
        </w:rPr>
        <w:footnoteReference w:id="83"/>
      </w:r>
      <w:r w:rsidR="0011638B" w:rsidRPr="00A03848">
        <w:rPr>
          <w:szCs w:val="22"/>
          <w:lang w:val="es-ES" w:eastAsia="en-US"/>
        </w:rPr>
        <w:t xml:space="preserve"> de ámbito nacional que ayuda a los autores de delitos, tanto hombres como mujeres, a afrontar su conducta abusiva.</w:t>
      </w:r>
      <w:bookmarkEnd w:id="477"/>
    </w:p>
    <w:p w14:paraId="3FD26F28" w14:textId="4F7F82CB" w:rsidR="0011638B" w:rsidRPr="00A03848" w:rsidRDefault="00946670" w:rsidP="00AB43B5">
      <w:pPr>
        <w:pStyle w:val="SingleTxt"/>
        <w:rPr>
          <w:szCs w:val="22"/>
          <w:lang w:val="es-ES" w:eastAsia="en-US"/>
        </w:rPr>
      </w:pPr>
      <w:bookmarkStart w:id="480" w:name="bookmark_507"/>
      <w:r w:rsidRPr="00A03848">
        <w:rPr>
          <w:szCs w:val="22"/>
          <w:lang w:val="es-ES" w:eastAsia="en-US"/>
        </w:rPr>
        <w:t>182.</w:t>
      </w:r>
      <w:r w:rsidRPr="00A03848">
        <w:rPr>
          <w:szCs w:val="22"/>
          <w:lang w:val="es-ES" w:eastAsia="en-US"/>
        </w:rPr>
        <w:tab/>
      </w:r>
      <w:r w:rsidR="0011638B" w:rsidRPr="00A03848">
        <w:rPr>
          <w:szCs w:val="22"/>
          <w:lang w:val="es-ES" w:eastAsia="en-US"/>
        </w:rPr>
        <w:t>El Gobierno del Reino Unido también está adoptando medidas para introducir una nueva orden de protección civil contra el acoso criminal destinada a ayudar a las víctimas de este delito en una fase temprana y hacer frente a las conductas del autor antes de que se arraiguen. El nuevo Proyecto de Ley contra el Maltrato Doméstico servirá para proteger y ayudar a las víctimas, reconocer las consecuencias que tiene el maltrato doméstico en los niños durante toda su vida y garantizar que los organismos pertinentes respondan con eficacia al maltrato doméstico. Incluirá medidas que consolidarán las órdenes de protección y prevención civiles y penales con el fin de crear una vía más clara de protección de las víctimas</w:t>
      </w:r>
      <w:r w:rsidR="0011638B" w:rsidRPr="00A03848">
        <w:rPr>
          <w:szCs w:val="22"/>
          <w:vertAlign w:val="superscript"/>
          <w:lang w:val="es-ES" w:eastAsia="en-US"/>
        </w:rPr>
        <w:endnoteReference w:id="52"/>
      </w:r>
      <w:r w:rsidR="0011638B" w:rsidRPr="00A03848">
        <w:rPr>
          <w:szCs w:val="22"/>
          <w:lang w:val="es-ES" w:eastAsia="en-US"/>
        </w:rPr>
        <w:t>.</w:t>
      </w:r>
      <w:bookmarkEnd w:id="480"/>
    </w:p>
    <w:p w14:paraId="06FF1C04" w14:textId="77777777" w:rsidR="00FF55CC" w:rsidRPr="00A03848" w:rsidRDefault="00FF55CC" w:rsidP="00FF55CC">
      <w:pPr>
        <w:pStyle w:val="SingleTxt"/>
        <w:spacing w:after="0" w:line="120" w:lineRule="exact"/>
        <w:rPr>
          <w:sz w:val="10"/>
          <w:szCs w:val="10"/>
          <w:lang w:val="es-ES"/>
        </w:rPr>
      </w:pPr>
    </w:p>
    <w:p w14:paraId="03E267B3" w14:textId="77777777" w:rsidR="0011638B" w:rsidRPr="00A03848" w:rsidRDefault="0011638B" w:rsidP="009F2DF3">
      <w:pPr>
        <w:pStyle w:val="H4"/>
        <w:ind w:right="1260"/>
        <w:rPr>
          <w:iCs w:val="0"/>
          <w:lang w:val="es-ES" w:eastAsia="en-US"/>
        </w:rPr>
      </w:pPr>
      <w:bookmarkStart w:id="482" w:name="bookmark_509"/>
      <w:r w:rsidRPr="00A03848">
        <w:rPr>
          <w:iCs w:val="0"/>
          <w:lang w:val="es-ES" w:eastAsia="en-US"/>
        </w:rPr>
        <w:tab/>
      </w:r>
      <w:r w:rsidRPr="00A03848">
        <w:rPr>
          <w:iCs w:val="0"/>
          <w:lang w:val="es-ES" w:eastAsia="en-US"/>
        </w:rPr>
        <w:tab/>
        <w:t>Aplicación de leyes destinadas a eliminar la mutilación genital femenina</w:t>
      </w:r>
      <w:r w:rsidRPr="00A03848">
        <w:rPr>
          <w:iCs w:val="0"/>
          <w:vertAlign w:val="superscript"/>
          <w:lang w:val="es-ES" w:eastAsia="en-US"/>
        </w:rPr>
        <w:endnoteReference w:id="53"/>
      </w:r>
      <w:bookmarkEnd w:id="482"/>
    </w:p>
    <w:p w14:paraId="1FB0F1E1" w14:textId="77777777" w:rsidR="00FF55CC" w:rsidRPr="00A03848" w:rsidRDefault="00FF55CC" w:rsidP="00FF55CC">
      <w:pPr>
        <w:pStyle w:val="SingleTxt"/>
        <w:spacing w:after="0" w:line="120" w:lineRule="exact"/>
        <w:rPr>
          <w:sz w:val="10"/>
          <w:szCs w:val="10"/>
          <w:lang w:val="es-ES"/>
        </w:rPr>
      </w:pPr>
    </w:p>
    <w:p w14:paraId="623C12E3" w14:textId="480A5584" w:rsidR="0011638B" w:rsidRPr="00A03848" w:rsidRDefault="00946670" w:rsidP="00AB43B5">
      <w:pPr>
        <w:pStyle w:val="SingleTxt"/>
        <w:rPr>
          <w:szCs w:val="22"/>
          <w:lang w:val="es-ES" w:eastAsia="en-US"/>
        </w:rPr>
      </w:pPr>
      <w:bookmarkStart w:id="484" w:name="bookmark_511"/>
      <w:r w:rsidRPr="00A03848">
        <w:rPr>
          <w:szCs w:val="22"/>
          <w:lang w:val="es-ES" w:eastAsia="en-US"/>
        </w:rPr>
        <w:t>183.</w:t>
      </w:r>
      <w:r w:rsidRPr="00A03848">
        <w:rPr>
          <w:szCs w:val="22"/>
          <w:lang w:val="es-ES" w:eastAsia="en-US"/>
        </w:rPr>
        <w:tab/>
      </w:r>
      <w:r w:rsidR="0011638B" w:rsidRPr="00A03848">
        <w:rPr>
          <w:szCs w:val="22"/>
          <w:lang w:val="es-ES" w:eastAsia="en-US"/>
        </w:rPr>
        <w:t xml:space="preserve">En 2015, el Gobierno del Reino Unido introdujo una serie de disposiciones encaminadas a reforzar la legislación sobre la mutilación genital femenina para ayudar a eliminar los obstáculos al enjuiciamiento. Entre esas disposiciones figuran: </w:t>
      </w:r>
      <w:bookmarkEnd w:id="484"/>
    </w:p>
    <w:p w14:paraId="35AD799D" w14:textId="77777777" w:rsidR="0011638B" w:rsidRPr="00A03848" w:rsidRDefault="00503AEE" w:rsidP="00503AEE">
      <w:pPr>
        <w:pStyle w:val="SingleTxt"/>
        <w:tabs>
          <w:tab w:val="right" w:pos="1685"/>
        </w:tabs>
        <w:ind w:left="1742" w:hanging="475"/>
        <w:rPr>
          <w:szCs w:val="22"/>
          <w:lang w:val="es-ES" w:eastAsia="en-US"/>
        </w:rPr>
      </w:pPr>
      <w:bookmarkStart w:id="485" w:name="bookmark_512"/>
      <w:r w:rsidRPr="00A03848">
        <w:rPr>
          <w:lang w:val="es-ES"/>
        </w:rPr>
        <w:tab/>
        <w:t>–</w:t>
      </w:r>
      <w:r w:rsidRPr="00A03848">
        <w:rPr>
          <w:lang w:val="es-ES"/>
        </w:rPr>
        <w:tab/>
      </w:r>
      <w:r w:rsidR="0011638B" w:rsidRPr="00A03848">
        <w:rPr>
          <w:szCs w:val="22"/>
          <w:lang w:val="es-ES" w:eastAsia="en-US"/>
        </w:rPr>
        <w:t>ampliar el alcance de los delitos extraterritoriales en la Ley de Prohibición de la Mutilación Genital Femenina de 2003 para incluir a los residentes habituales (además de los permanentes) del Reino Unido;</w:t>
      </w:r>
      <w:bookmarkEnd w:id="485"/>
    </w:p>
    <w:p w14:paraId="5B1F4C22" w14:textId="3E03966D" w:rsidR="0011638B" w:rsidRPr="00A03848" w:rsidRDefault="00F465E5" w:rsidP="00F465E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zCs w:val="22"/>
          <w:lang w:val="es-ES" w:eastAsia="en-US"/>
        </w:rPr>
      </w:pPr>
      <w:bookmarkStart w:id="486" w:name="bookmark_513"/>
      <w:r w:rsidRPr="00A03848">
        <w:rPr>
          <w:szCs w:val="22"/>
          <w:lang w:val="es-ES" w:eastAsia="en-US"/>
        </w:rPr>
        <w:tab/>
        <w:t>•</w:t>
      </w:r>
      <w:r w:rsidRPr="00A03848">
        <w:rPr>
          <w:szCs w:val="22"/>
          <w:lang w:val="es-ES" w:eastAsia="en-US"/>
        </w:rPr>
        <w:tab/>
      </w:r>
      <w:r w:rsidR="0011638B" w:rsidRPr="00A03848">
        <w:rPr>
          <w:szCs w:val="22"/>
          <w:lang w:val="es-ES" w:eastAsia="en-US"/>
        </w:rPr>
        <w:t>conceder el anonimato durante toda la vida a las víctimas de presuntos delitos de mutilación genital femenina;</w:t>
      </w:r>
      <w:bookmarkEnd w:id="486"/>
    </w:p>
    <w:p w14:paraId="5AB894DC" w14:textId="0BB0AA35" w:rsidR="0011638B" w:rsidRPr="00A03848" w:rsidRDefault="00F465E5" w:rsidP="00F465E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zCs w:val="22"/>
          <w:lang w:val="es-ES" w:eastAsia="en-US"/>
        </w:rPr>
      </w:pPr>
      <w:bookmarkStart w:id="487" w:name="bookmark_514"/>
      <w:r w:rsidRPr="00A03848">
        <w:rPr>
          <w:szCs w:val="22"/>
          <w:lang w:val="es-ES" w:eastAsia="en-US"/>
        </w:rPr>
        <w:tab/>
        <w:t>•</w:t>
      </w:r>
      <w:r w:rsidRPr="00A03848">
        <w:rPr>
          <w:szCs w:val="22"/>
          <w:lang w:val="es-ES" w:eastAsia="en-US"/>
        </w:rPr>
        <w:tab/>
      </w:r>
      <w:r w:rsidR="0011638B" w:rsidRPr="00A03848">
        <w:rPr>
          <w:szCs w:val="22"/>
          <w:lang w:val="es-ES" w:eastAsia="en-US"/>
        </w:rPr>
        <w:t>establecer como nuevo delito el hecho de no proteger a una niña del riesgo de la mutilación genital femenina. En consecuencia, los responsables de una niña deberán rendir cuentas ante la ley por que se llevara a cabo la mutilación genital femenina y probablemente se reducirá la necesidad de que la niña declare ante un tribunal, algo que puede causar reticencia o temor entre las víctimas jóvenes y vulnerables;</w:t>
      </w:r>
      <w:bookmarkEnd w:id="487"/>
    </w:p>
    <w:p w14:paraId="763393F6" w14:textId="6EF62620" w:rsidR="0011638B" w:rsidRPr="00A03848" w:rsidRDefault="00F465E5" w:rsidP="00F465E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zCs w:val="22"/>
          <w:lang w:val="es-ES" w:eastAsia="en-US"/>
        </w:rPr>
      </w:pPr>
      <w:bookmarkStart w:id="488" w:name="bookmark_515"/>
      <w:r w:rsidRPr="00A03848">
        <w:rPr>
          <w:szCs w:val="22"/>
          <w:lang w:val="es-ES" w:eastAsia="en-US"/>
        </w:rPr>
        <w:tab/>
        <w:t>•</w:t>
      </w:r>
      <w:r w:rsidRPr="00A03848">
        <w:rPr>
          <w:szCs w:val="22"/>
          <w:lang w:val="es-ES" w:eastAsia="en-US"/>
        </w:rPr>
        <w:tab/>
      </w:r>
      <w:r w:rsidR="0011638B" w:rsidRPr="00A03848">
        <w:rPr>
          <w:szCs w:val="22"/>
          <w:lang w:val="es-ES" w:eastAsia="en-US"/>
        </w:rPr>
        <w:t xml:space="preserve">introducir una nueva medida de protección civil —órdenes de protección contra la mutilación genital femenina— que ofrezca un medio jurídico específico para proteger y salvaguardar a las víctimas y las posibles víctimas de la mutilación genital femenina; </w:t>
      </w:r>
      <w:bookmarkEnd w:id="488"/>
    </w:p>
    <w:p w14:paraId="33C02E9E" w14:textId="09AD2E57" w:rsidR="0011638B" w:rsidRPr="00A03848" w:rsidRDefault="00F465E5" w:rsidP="00F465E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zCs w:val="22"/>
          <w:lang w:val="es-ES" w:eastAsia="en-US"/>
        </w:rPr>
      </w:pPr>
      <w:bookmarkStart w:id="489" w:name="bookmark_516"/>
      <w:r w:rsidRPr="00A03848">
        <w:rPr>
          <w:szCs w:val="22"/>
          <w:lang w:val="es-ES" w:eastAsia="en-US"/>
        </w:rPr>
        <w:tab/>
        <w:t>•</w:t>
      </w:r>
      <w:r w:rsidRPr="00A03848">
        <w:rPr>
          <w:szCs w:val="22"/>
          <w:lang w:val="es-ES" w:eastAsia="en-US"/>
        </w:rPr>
        <w:tab/>
      </w:r>
      <w:r w:rsidR="0011638B" w:rsidRPr="00A03848">
        <w:rPr>
          <w:szCs w:val="22"/>
          <w:lang w:val="es-ES" w:eastAsia="en-US"/>
        </w:rPr>
        <w:t xml:space="preserve">introducir el deber de notificación obligatoria que obliga a los profesionales de asistencia social y sanitaria regulados y a los profesores a denunciar ante la policía los casos de mutilación genital femenina que conozcan en menores de 18 años. </w:t>
      </w:r>
      <w:bookmarkEnd w:id="489"/>
    </w:p>
    <w:p w14:paraId="6EC92CC0" w14:textId="25444B52" w:rsidR="0011638B" w:rsidRPr="00A03848" w:rsidRDefault="00946670" w:rsidP="00F465E5">
      <w:pPr>
        <w:pStyle w:val="SingleTxt"/>
        <w:rPr>
          <w:szCs w:val="22"/>
          <w:lang w:val="es-ES" w:eastAsia="en-US"/>
        </w:rPr>
      </w:pPr>
      <w:bookmarkStart w:id="490" w:name="bookmark_517"/>
      <w:r w:rsidRPr="00A03848">
        <w:rPr>
          <w:szCs w:val="22"/>
          <w:lang w:val="es-ES" w:eastAsia="en-US"/>
        </w:rPr>
        <w:t>184.</w:t>
      </w:r>
      <w:r w:rsidRPr="00A03848">
        <w:rPr>
          <w:szCs w:val="22"/>
          <w:lang w:val="es-ES" w:eastAsia="en-US"/>
        </w:rPr>
        <w:tab/>
      </w:r>
      <w:r w:rsidR="0011638B" w:rsidRPr="00A03848">
        <w:rPr>
          <w:szCs w:val="22"/>
          <w:lang w:val="es-ES" w:eastAsia="en-US"/>
        </w:rPr>
        <w:t xml:space="preserve">El Ejecutivo de Irlanda del Norte ha elaborado unas directrices prácticas interinstitucionales sobre la mutilación genital femenina que brindan asesoramiento y apoyo a los profesionales de primera línea encargados de proteger a los niños y los adultos del maltrato relacionado con la mutilación genital femenina. La Ley de Prohibición de la Mutilación Genital Femenina (de Escocia) de 2005 volvió a promulgar la Ley de Prohibición de la Circuncisión Femenina de 1985 y amplió la protección convirtiendo en delito penal la práctica de la mutilación genital femenina tanto en Escocia como en el extranjero al permitir que esos delitos tengan alcance extraterritorial. Con esta ley también se aumentó de 5 a 14 años la pena de prisión con que podrá castigarse este delito. </w:t>
      </w:r>
      <w:bookmarkEnd w:id="490"/>
    </w:p>
    <w:p w14:paraId="36C6BB49" w14:textId="77777777" w:rsidR="00FF55CC" w:rsidRPr="00A03848" w:rsidRDefault="00FF55CC" w:rsidP="00FF55CC">
      <w:pPr>
        <w:pStyle w:val="SingleTxt"/>
        <w:spacing w:after="0" w:line="120" w:lineRule="exact"/>
        <w:rPr>
          <w:sz w:val="10"/>
          <w:szCs w:val="10"/>
          <w:lang w:val="es-ES"/>
        </w:rPr>
      </w:pPr>
    </w:p>
    <w:p w14:paraId="010BAAFA" w14:textId="77777777" w:rsidR="0011638B" w:rsidRPr="00A03848" w:rsidRDefault="0011638B" w:rsidP="009F2DF3">
      <w:pPr>
        <w:pStyle w:val="H4"/>
        <w:ind w:right="1260"/>
        <w:rPr>
          <w:iCs w:val="0"/>
          <w:lang w:val="es-ES" w:eastAsia="en-US"/>
        </w:rPr>
      </w:pPr>
      <w:bookmarkStart w:id="491" w:name="bookmark_518"/>
      <w:r w:rsidRPr="00A03848">
        <w:rPr>
          <w:iCs w:val="0"/>
          <w:lang w:val="es-ES" w:eastAsia="en-US"/>
        </w:rPr>
        <w:tab/>
      </w:r>
      <w:r w:rsidRPr="00A03848">
        <w:rPr>
          <w:iCs w:val="0"/>
          <w:lang w:val="es-ES" w:eastAsia="en-US"/>
        </w:rPr>
        <w:tab/>
        <w:t>Apoyo a los grupos vulnerables</w:t>
      </w:r>
      <w:r w:rsidRPr="00A03848">
        <w:rPr>
          <w:iCs w:val="0"/>
          <w:vertAlign w:val="superscript"/>
          <w:lang w:val="es-ES" w:eastAsia="en-US"/>
        </w:rPr>
        <w:endnoteReference w:id="54"/>
      </w:r>
      <w:bookmarkEnd w:id="491"/>
    </w:p>
    <w:p w14:paraId="37AAE8ED" w14:textId="77777777" w:rsidR="00FF55CC" w:rsidRPr="00A03848" w:rsidRDefault="00FF55CC" w:rsidP="00FF55CC">
      <w:pPr>
        <w:pStyle w:val="SingleTxt"/>
        <w:spacing w:after="0" w:line="120" w:lineRule="exact"/>
        <w:rPr>
          <w:sz w:val="10"/>
          <w:szCs w:val="10"/>
          <w:lang w:val="es-ES"/>
        </w:rPr>
      </w:pPr>
    </w:p>
    <w:p w14:paraId="32B6971A" w14:textId="3151AC1B" w:rsidR="0011638B" w:rsidRPr="00A03848" w:rsidRDefault="00946670" w:rsidP="00AB43B5">
      <w:pPr>
        <w:pStyle w:val="SingleTxt"/>
        <w:rPr>
          <w:szCs w:val="22"/>
          <w:lang w:val="es-ES" w:eastAsia="en-US"/>
        </w:rPr>
      </w:pPr>
      <w:bookmarkStart w:id="493" w:name="bookmark_520"/>
      <w:r w:rsidRPr="00A03848">
        <w:rPr>
          <w:szCs w:val="22"/>
          <w:lang w:val="es-ES" w:eastAsia="en-US"/>
        </w:rPr>
        <w:t>185.</w:t>
      </w:r>
      <w:r w:rsidRPr="00A03848">
        <w:rPr>
          <w:szCs w:val="22"/>
          <w:lang w:val="es-ES" w:eastAsia="en-US"/>
        </w:rPr>
        <w:tab/>
      </w:r>
      <w:r w:rsidR="0011638B" w:rsidRPr="00A03848">
        <w:rPr>
          <w:szCs w:val="22"/>
          <w:lang w:val="es-ES" w:eastAsia="en-US"/>
        </w:rPr>
        <w:t xml:space="preserve">La estrategia del Gobierno del Reino Unido para eliminar la violencia contra las mujeres y las niñas indica que algunos sectores de la sociedad pueden sufrir múltiples formas de discriminación y desventajas u otros obstáculos para acceder a las ayudas. Estos sectores incluyen a las mujeres y las niñas de comunidades de raza negra, origen asiático y minorías étnicas, las personas con discapacidad y las víctimas LGBT. El aumento de la financiación a 100 millones de libras y el apoyo a determinados ámbitos para mejorar la puesta en funcionamiento ayudarán a garantizar que se atiendan sus necesidades mediante apoyo especializado. La Declaración Nacional de Expectativas deja en claro a las alianzas locales cómo deben ser la puesta en funcionamiento y la prestación de servicios. También establece que los comisionados deben tener acceso a una gran variedad de disposiciones, en las que se considere la forma en que los servicios serán accesibles para las víctimas y supervivientes de raza negra, origen asiático y minorías étnicas, con discapacidad, LGBT y de edad. </w:t>
      </w:r>
      <w:bookmarkEnd w:id="493"/>
    </w:p>
    <w:p w14:paraId="21CF9EEF" w14:textId="77777777" w:rsidR="00FF55CC" w:rsidRPr="00A03848" w:rsidRDefault="00FF55CC" w:rsidP="00FF55CC">
      <w:pPr>
        <w:pStyle w:val="SingleTxt"/>
        <w:spacing w:after="0" w:line="120" w:lineRule="exact"/>
        <w:rPr>
          <w:sz w:val="10"/>
          <w:szCs w:val="10"/>
          <w:lang w:val="es-ES"/>
        </w:rPr>
      </w:pPr>
    </w:p>
    <w:p w14:paraId="3510EC2D" w14:textId="77777777" w:rsidR="0011638B" w:rsidRPr="00A03848" w:rsidRDefault="0011638B" w:rsidP="009F2DF3">
      <w:pPr>
        <w:pStyle w:val="H4"/>
        <w:ind w:right="1260"/>
        <w:rPr>
          <w:iCs w:val="0"/>
          <w:lang w:val="es-ES" w:eastAsia="en-US"/>
        </w:rPr>
      </w:pPr>
      <w:bookmarkStart w:id="494" w:name="bookmark_521"/>
      <w:r w:rsidRPr="00A03848">
        <w:rPr>
          <w:iCs w:val="0"/>
          <w:lang w:val="es-ES" w:eastAsia="en-US"/>
        </w:rPr>
        <w:tab/>
      </w:r>
      <w:r w:rsidRPr="00A03848">
        <w:rPr>
          <w:iCs w:val="0"/>
          <w:lang w:val="es-ES" w:eastAsia="en-US"/>
        </w:rPr>
        <w:tab/>
        <w:t>Administraciones descentralizadas</w:t>
      </w:r>
      <w:bookmarkEnd w:id="494"/>
    </w:p>
    <w:p w14:paraId="65413A69" w14:textId="77777777" w:rsidR="00FF55CC" w:rsidRPr="00A03848" w:rsidRDefault="00FF55CC" w:rsidP="00FF55CC">
      <w:pPr>
        <w:pStyle w:val="SingleTxt"/>
        <w:spacing w:after="0" w:line="120" w:lineRule="exact"/>
        <w:rPr>
          <w:sz w:val="10"/>
          <w:szCs w:val="10"/>
          <w:lang w:val="es-ES"/>
        </w:rPr>
      </w:pPr>
    </w:p>
    <w:p w14:paraId="126AB39A" w14:textId="7A051DB5" w:rsidR="0011638B" w:rsidRPr="00A03848" w:rsidRDefault="00946670" w:rsidP="00AB43B5">
      <w:pPr>
        <w:pStyle w:val="SingleTxt"/>
        <w:rPr>
          <w:szCs w:val="22"/>
          <w:lang w:val="es-ES" w:eastAsia="en-US"/>
        </w:rPr>
      </w:pPr>
      <w:bookmarkStart w:id="495" w:name="bookmark_522"/>
      <w:r w:rsidRPr="00A03848">
        <w:rPr>
          <w:szCs w:val="22"/>
          <w:lang w:val="es-ES" w:eastAsia="en-US"/>
        </w:rPr>
        <w:t>186.</w:t>
      </w:r>
      <w:r w:rsidRPr="00A03848">
        <w:rPr>
          <w:szCs w:val="22"/>
          <w:lang w:val="es-ES" w:eastAsia="en-US"/>
        </w:rPr>
        <w:tab/>
      </w:r>
      <w:r w:rsidR="0011638B" w:rsidRPr="00A03848">
        <w:rPr>
          <w:szCs w:val="22"/>
          <w:lang w:val="es-ES" w:eastAsia="en-US"/>
        </w:rPr>
        <w:t>El Ejecutivo de Irlanda del Norte publicó en marzo de 2016 una estrategia a siete años para acabar con el abuso y la violencia doméstica y sexual en Irlanda del Norte. La Ley de Prohibición de la Mutilación Genital Femenina de 2003 prohíbe esa práctica, mientras que la Ley de Delitos Graves de 2015 prevé órdenes de protección contra la mutilación genital femenina. Los profesionales de los servicios sociales y de la salud se rigen por las directrices interinstitucionales sobre prácticas en materia de mutilación genital femenina publicadas en julio de 2014. El Programa Apoyo a las Personas, que ofrece 13 centros de acogida en toda Irlanda del Norte, cuenta con un presupuesto anual de más de 4,6 millones de libras. Hay una línea telefónica de asistencia, operativa las 24 horas del día, para víctimas de violencia doméstica y sexual.</w:t>
      </w:r>
      <w:bookmarkEnd w:id="495"/>
    </w:p>
    <w:p w14:paraId="2278CC2D" w14:textId="2F96DB35" w:rsidR="0011638B" w:rsidRPr="00A03848" w:rsidRDefault="00946670" w:rsidP="00AB43B5">
      <w:pPr>
        <w:pStyle w:val="SingleTxt"/>
        <w:rPr>
          <w:szCs w:val="22"/>
          <w:lang w:val="es-ES" w:eastAsia="en-US"/>
        </w:rPr>
      </w:pPr>
      <w:bookmarkStart w:id="496" w:name="bookmark_523"/>
      <w:r w:rsidRPr="00A03848">
        <w:rPr>
          <w:szCs w:val="22"/>
          <w:lang w:val="es-ES" w:eastAsia="en-US"/>
        </w:rPr>
        <w:t>187.</w:t>
      </w:r>
      <w:r w:rsidRPr="00A03848">
        <w:rPr>
          <w:szCs w:val="22"/>
          <w:lang w:val="es-ES" w:eastAsia="en-US"/>
        </w:rPr>
        <w:tab/>
      </w:r>
      <w:r w:rsidR="0011638B" w:rsidRPr="00A03848">
        <w:rPr>
          <w:szCs w:val="22"/>
          <w:lang w:val="es-ES" w:eastAsia="en-US"/>
        </w:rPr>
        <w:t>El Plan de Acción Nacional de Escocia para impedir y erradicar la mutilación genital femenina, publicado el 4 de febrero de 2016, establece diversas medidas acordadas y actividades conexas que el Gobierno escocés y sus asociados deberán</w:t>
      </w:r>
      <w:r w:rsidR="005E5410" w:rsidRPr="00A03848">
        <w:rPr>
          <w:szCs w:val="22"/>
          <w:lang w:val="es-ES" w:eastAsia="en-US"/>
        </w:rPr>
        <w:t xml:space="preserve"> </w:t>
      </w:r>
      <w:r w:rsidR="0011638B" w:rsidRPr="00A03848">
        <w:rPr>
          <w:szCs w:val="22"/>
          <w:lang w:val="es-ES" w:eastAsia="en-US"/>
        </w:rPr>
        <w:t>impulsar para impedir y, en última instancia, erradicar la mutilación genital</w:t>
      </w:r>
      <w:r w:rsidR="00233A1A" w:rsidRPr="00A03848">
        <w:rPr>
          <w:szCs w:val="22"/>
          <w:lang w:val="es-ES" w:eastAsia="en-US"/>
        </w:rPr>
        <w:t xml:space="preserve"> </w:t>
      </w:r>
      <w:r w:rsidR="0011638B" w:rsidRPr="00A03848">
        <w:rPr>
          <w:szCs w:val="22"/>
          <w:lang w:val="es-ES" w:eastAsia="en-US"/>
        </w:rPr>
        <w:t xml:space="preserve">femenina. </w:t>
      </w:r>
      <w:bookmarkEnd w:id="496"/>
    </w:p>
    <w:p w14:paraId="0F3D9ACA" w14:textId="34D19923" w:rsidR="0011638B" w:rsidRPr="00A03848" w:rsidRDefault="00946670" w:rsidP="00F465E5">
      <w:pPr>
        <w:pStyle w:val="SingleTxt"/>
        <w:rPr>
          <w:szCs w:val="22"/>
          <w:lang w:val="es-ES" w:eastAsia="en-US"/>
        </w:rPr>
      </w:pPr>
      <w:bookmarkStart w:id="497" w:name="bookmark_524"/>
      <w:r w:rsidRPr="00A03848">
        <w:rPr>
          <w:szCs w:val="22"/>
          <w:lang w:val="es-ES" w:eastAsia="en-US"/>
        </w:rPr>
        <w:t>188.</w:t>
      </w:r>
      <w:r w:rsidRPr="00A03848">
        <w:rPr>
          <w:szCs w:val="22"/>
          <w:lang w:val="es-ES" w:eastAsia="en-US"/>
        </w:rPr>
        <w:tab/>
      </w:r>
      <w:r w:rsidR="0011638B" w:rsidRPr="00A03848">
        <w:rPr>
          <w:szCs w:val="22"/>
          <w:lang w:val="es-ES" w:eastAsia="en-US"/>
        </w:rPr>
        <w:t xml:space="preserve">El Gobierno de Escocia está destinando importantes niveles de financiación a combatir la violencia contra las mujeres y las niñas, incluidos casi 30 millones de libras en 2017-2020 con cargo al presupuesto de igualdad para apoyar diversos proyectos e iniciativas de lucha contra este tipo de violencia. Esta financiación también se invierte directamente en los servicios de primera línea para casos de maltrato doméstico y agresión sexual y en las líneas telefónicas de asistencia de ámbito nacional para los casos de violencia doméstica, matrimonio forzado y violación. También se han asignado otros 20 millones de libras de 2015 a 2018 con cargo a los presupuestos de justicia destinadas, entre otras cosas, a aumentar el apoyo a las actividades de promoción. En la actualidad hay 477 centros de acogida en Escocia para mujeres y niños que hayan sufrido maltrato doméstico. El Proyecto de Ley sobre Violencia Doméstica (de Escocia) contemplará un delito específico de maltrato doméstico y reforzará la legislación existente al introducir la tipificación como nuevo delito de una serie de conductas abusivas hacia una pareja o expareja, el cual penalizará de manera apropiada y eficaz el tipo de conductas perniciosas de control y coacción que puedan constituir maltrato doméstico. La Ley de Conductas Abusivas y Daños Sexuales (de Escocia) de 2016 moderniza la legislación sobre el maltrato doméstico y el abuso sexual. </w:t>
      </w:r>
      <w:bookmarkEnd w:id="497"/>
    </w:p>
    <w:p w14:paraId="4967F2F3" w14:textId="6EBF1D3D" w:rsidR="0011638B" w:rsidRPr="00A03848" w:rsidRDefault="00946670" w:rsidP="00AB43B5">
      <w:pPr>
        <w:pStyle w:val="SingleTxt"/>
        <w:rPr>
          <w:szCs w:val="22"/>
          <w:lang w:val="es-ES" w:eastAsia="en-US"/>
        </w:rPr>
      </w:pPr>
      <w:bookmarkStart w:id="498" w:name="bookmark_525"/>
      <w:r w:rsidRPr="00A03848">
        <w:rPr>
          <w:szCs w:val="22"/>
          <w:lang w:val="es-ES" w:eastAsia="en-US"/>
        </w:rPr>
        <w:t>189.</w:t>
      </w:r>
      <w:r w:rsidRPr="00A03848">
        <w:rPr>
          <w:szCs w:val="22"/>
          <w:lang w:val="es-ES" w:eastAsia="en-US"/>
        </w:rPr>
        <w:tab/>
      </w:r>
      <w:r w:rsidR="0011638B" w:rsidRPr="00A03848">
        <w:rPr>
          <w:szCs w:val="22"/>
          <w:lang w:val="es-ES" w:eastAsia="en-US"/>
        </w:rPr>
        <w:t>En Gales, la Ley de Violencia contra las Mujeres, Violencia Doméstica y Violencia Sexual (de Gales) de 2015 tiene por objeto centrar la atención del sector público en la prevención de esos delitos. El Gobierno de Gales ha creado el Marco Nacional de Capacitación sobre la Violencia contra las Mujeres y las Niñas de Gales y una Estrategia Nacional sobre la Violencia contra la Mujer, el Maltrato Doméstico y la Violencia Sexual 2016-2021</w:t>
      </w:r>
      <w:r w:rsidR="0011638B" w:rsidRPr="00A03848">
        <w:rPr>
          <w:szCs w:val="22"/>
          <w:vertAlign w:val="superscript"/>
          <w:lang w:val="es-ES" w:eastAsia="en-US"/>
        </w:rPr>
        <w:footnoteReference w:id="84"/>
      </w:r>
      <w:r w:rsidR="0011638B" w:rsidRPr="00A03848">
        <w:rPr>
          <w:szCs w:val="22"/>
          <w:lang w:val="es-ES" w:eastAsia="en-US"/>
        </w:rPr>
        <w:t>, que se publicó en noviembre de 2016.</w:t>
      </w:r>
      <w:bookmarkEnd w:id="498"/>
    </w:p>
    <w:p w14:paraId="33E03DA1" w14:textId="77777777" w:rsidR="005E5410" w:rsidRPr="00A03848" w:rsidRDefault="005E5410" w:rsidP="005E5410">
      <w:pPr>
        <w:pStyle w:val="SingleTxt"/>
        <w:spacing w:after="0" w:line="120" w:lineRule="exact"/>
        <w:rPr>
          <w:sz w:val="10"/>
          <w:szCs w:val="10"/>
          <w:lang w:val="es-ES"/>
        </w:rPr>
      </w:pPr>
    </w:p>
    <w:p w14:paraId="3CA90BCD" w14:textId="49644A96" w:rsidR="0011638B" w:rsidRPr="00A03848" w:rsidRDefault="0011638B" w:rsidP="009F2DF3">
      <w:pPr>
        <w:pStyle w:val="H4"/>
        <w:ind w:right="1260"/>
        <w:rPr>
          <w:iCs w:val="0"/>
          <w:lang w:val="es-ES" w:eastAsia="en-US"/>
        </w:rPr>
      </w:pPr>
      <w:bookmarkStart w:id="500" w:name="bookmark_527"/>
      <w:r w:rsidRPr="00A03848">
        <w:rPr>
          <w:iCs w:val="0"/>
          <w:lang w:val="es-ES" w:eastAsia="en-US"/>
        </w:rPr>
        <w:tab/>
      </w:r>
      <w:r w:rsidRPr="00A03848">
        <w:rPr>
          <w:iCs w:val="0"/>
          <w:lang w:val="es-ES" w:eastAsia="en-US"/>
        </w:rPr>
        <w:tab/>
        <w:t>Convenio sobre Prevención y Lucha contra la Violencia contra la Mujer y la</w:t>
      </w:r>
      <w:r w:rsidR="00233A1A" w:rsidRPr="00A03848">
        <w:rPr>
          <w:iCs w:val="0"/>
          <w:lang w:val="es-ES" w:eastAsia="en-US"/>
        </w:rPr>
        <w:t xml:space="preserve"> </w:t>
      </w:r>
      <w:r w:rsidRPr="00A03848">
        <w:rPr>
          <w:iCs w:val="0"/>
          <w:lang w:val="es-ES" w:eastAsia="en-US"/>
        </w:rPr>
        <w:t>Violencia Doméstica (Convenio de Estambul)</w:t>
      </w:r>
      <w:r w:rsidRPr="00A03848">
        <w:rPr>
          <w:iCs w:val="0"/>
          <w:vertAlign w:val="superscript"/>
          <w:lang w:val="es-ES" w:eastAsia="en-US"/>
        </w:rPr>
        <w:endnoteReference w:id="55"/>
      </w:r>
      <w:bookmarkEnd w:id="500"/>
    </w:p>
    <w:p w14:paraId="3C3687CC" w14:textId="77777777" w:rsidR="005E5410" w:rsidRPr="00A03848" w:rsidRDefault="005E5410" w:rsidP="005E5410">
      <w:pPr>
        <w:pStyle w:val="SingleTxt"/>
        <w:spacing w:after="0" w:line="120" w:lineRule="exact"/>
        <w:rPr>
          <w:sz w:val="10"/>
          <w:szCs w:val="10"/>
          <w:lang w:val="es-ES"/>
        </w:rPr>
      </w:pPr>
    </w:p>
    <w:p w14:paraId="13046C29" w14:textId="02F0E648" w:rsidR="0011638B" w:rsidRPr="00A03848" w:rsidRDefault="00946670" w:rsidP="00AB43B5">
      <w:pPr>
        <w:pStyle w:val="SingleTxt"/>
        <w:rPr>
          <w:szCs w:val="22"/>
          <w:lang w:val="es-ES" w:eastAsia="en-US"/>
        </w:rPr>
      </w:pPr>
      <w:bookmarkStart w:id="502" w:name="bookmark_530"/>
      <w:r w:rsidRPr="00A03848">
        <w:rPr>
          <w:szCs w:val="22"/>
          <w:lang w:val="es-ES" w:eastAsia="en-US"/>
        </w:rPr>
        <w:t>190.</w:t>
      </w:r>
      <w:r w:rsidRPr="00A03848">
        <w:rPr>
          <w:szCs w:val="22"/>
          <w:lang w:val="es-ES" w:eastAsia="en-US"/>
        </w:rPr>
        <w:tab/>
      </w:r>
      <w:r w:rsidR="0011638B" w:rsidRPr="00A03848">
        <w:rPr>
          <w:szCs w:val="22"/>
          <w:lang w:val="es-ES" w:eastAsia="en-US"/>
        </w:rPr>
        <w:t xml:space="preserve">El Gobierno de coalición firmó el Convenio de Estambul el 8 de junio de 2012, lo que indica que se ha comprometido firmemente a combatir la violencia contra las mujeres y las niñas, y este Gobierno mantiene su compromiso de ratificar la Convención. La Ley de Prevención y Lucha contra la Violencia contra la Mujer y la Violencia Doméstica (Ratificación de la Convención) de 2017 obliga al Gobierno a presentar informes anuales en el Parlamento sobre las medidas que se están adoptando para que el Reino Unido ratifique el Convenio. El Gobierno del Reino Unido presentará el primer informe a más tardar el 1 de noviembre de 2017. En la mayoría de los aspectos, el Reino Unido ya cumple el Convenio, o incluso excede sus disposiciones. Pero el Gobierno no puede ratificar el Convenio hasta que el Reino Unido lo cumpla en su totalidad, y sigue habiendo cuestiones pendientes, en particular en relación con las competencias extraterritoriales, que deben abordarse antes de que pueda considerarse que el Reino Unido las cumple. El Gobierno del Reino Unido presentará las medidas necesarias sobre competencias extraterritoriales para su cumplimiento en Inglaterra y Gales en el marco del Proyecto de Ley de Maltrato Doméstico y está colaborando con las administraciones descentralizadas en lo que respecta a las medidas necesarias para garantizar el cumplimiento en Escocia e Irlanda del Norte. </w:t>
      </w:r>
      <w:bookmarkEnd w:id="502"/>
    </w:p>
    <w:p w14:paraId="2BB62C93" w14:textId="77777777" w:rsidR="005E5410" w:rsidRPr="00A03848" w:rsidRDefault="005E5410" w:rsidP="005E5410">
      <w:pPr>
        <w:pStyle w:val="SingleTxt"/>
        <w:spacing w:after="0" w:line="120" w:lineRule="exact"/>
        <w:rPr>
          <w:sz w:val="10"/>
          <w:szCs w:val="10"/>
          <w:lang w:val="es-ES"/>
        </w:rPr>
      </w:pPr>
    </w:p>
    <w:p w14:paraId="458D4926" w14:textId="77777777" w:rsidR="0011638B" w:rsidRPr="00A03848" w:rsidRDefault="0011638B" w:rsidP="009F2DF3">
      <w:pPr>
        <w:pStyle w:val="H4"/>
        <w:ind w:right="1260"/>
        <w:rPr>
          <w:iCs w:val="0"/>
          <w:lang w:val="es-ES" w:eastAsia="en-US"/>
        </w:rPr>
      </w:pPr>
      <w:bookmarkStart w:id="503" w:name="bookmark_531"/>
      <w:r w:rsidRPr="00A03848">
        <w:rPr>
          <w:iCs w:val="0"/>
          <w:lang w:val="es-ES" w:eastAsia="en-US"/>
        </w:rPr>
        <w:tab/>
      </w:r>
      <w:r w:rsidRPr="00A03848">
        <w:rPr>
          <w:iCs w:val="0"/>
          <w:lang w:val="es-ES" w:eastAsia="en-US"/>
        </w:rPr>
        <w:tab/>
        <w:t>Combatir la violencia contra las mujeres y las niñas a nivel internacional</w:t>
      </w:r>
      <w:bookmarkEnd w:id="503"/>
    </w:p>
    <w:p w14:paraId="583C0AF3" w14:textId="77777777" w:rsidR="005E5410" w:rsidRPr="00A03848" w:rsidRDefault="005E5410" w:rsidP="005E5410">
      <w:pPr>
        <w:pStyle w:val="SingleTxt"/>
        <w:spacing w:after="0" w:line="120" w:lineRule="exact"/>
        <w:rPr>
          <w:sz w:val="10"/>
          <w:szCs w:val="10"/>
          <w:lang w:val="es-ES"/>
        </w:rPr>
      </w:pPr>
    </w:p>
    <w:p w14:paraId="127CE572" w14:textId="148DDAA6" w:rsidR="0011638B" w:rsidRPr="00A03848" w:rsidRDefault="00946670" w:rsidP="00AB43B5">
      <w:pPr>
        <w:pStyle w:val="SingleTxt"/>
        <w:rPr>
          <w:szCs w:val="22"/>
          <w:lang w:val="es-ES" w:eastAsia="en-US"/>
        </w:rPr>
      </w:pPr>
      <w:bookmarkStart w:id="504" w:name="bookmark_532"/>
      <w:r w:rsidRPr="00A03848">
        <w:rPr>
          <w:szCs w:val="22"/>
          <w:lang w:val="es-ES" w:eastAsia="en-US"/>
        </w:rPr>
        <w:t>191.</w:t>
      </w:r>
      <w:r w:rsidRPr="00A03848">
        <w:rPr>
          <w:szCs w:val="22"/>
          <w:lang w:val="es-ES" w:eastAsia="en-US"/>
        </w:rPr>
        <w:tab/>
      </w:r>
      <w:r w:rsidR="0011638B" w:rsidRPr="00A03848">
        <w:rPr>
          <w:szCs w:val="22"/>
          <w:lang w:val="es-ES" w:eastAsia="en-US"/>
        </w:rPr>
        <w:t>El Reino Unido desempeñó un papel decisivo a la hora de fijar metas específicas en los Objetivos de Desarrollo Sostenible con respecto a eliminar todas las formas de violencia contra las mujeres y las niñas. El DFID casi duplicó sus programas sobre la violencia contra las mujeres y las niñas, al pasar de 64</w:t>
      </w:r>
      <w:r w:rsidR="00233A1A" w:rsidRPr="00A03848">
        <w:rPr>
          <w:szCs w:val="22"/>
          <w:lang w:val="es-ES" w:eastAsia="en-US"/>
        </w:rPr>
        <w:t xml:space="preserve"> </w:t>
      </w:r>
      <w:r w:rsidR="0011638B" w:rsidRPr="00A03848">
        <w:rPr>
          <w:szCs w:val="22"/>
          <w:lang w:val="es-ES" w:eastAsia="en-US"/>
        </w:rPr>
        <w:t>programas en 2012 a 127 en 2016. Gracias al compromiso del DFID de aportar 8</w:t>
      </w:r>
      <w:r w:rsidR="00233A1A" w:rsidRPr="00A03848">
        <w:rPr>
          <w:szCs w:val="22"/>
          <w:lang w:val="es-ES" w:eastAsia="en-US"/>
        </w:rPr>
        <w:t xml:space="preserve"> </w:t>
      </w:r>
      <w:r w:rsidR="0011638B" w:rsidRPr="00A03848">
        <w:rPr>
          <w:szCs w:val="22"/>
          <w:lang w:val="es-ES" w:eastAsia="en-US"/>
        </w:rPr>
        <w:t>millones de libras al Fondo Fiduciario de las Naciones Unidas para Eliminar la Violencia contra la Mujer, se conceden subvenciones a organizaciones que defienden los derechos de la mujer y otras pequeñas organizaciones comunitarias. El DFID ya está ayudando al Fondo a llegar a más de 110 iniciativas en todo el mundo. Solo en 2015, el Fondo benefició a más d</w:t>
      </w:r>
      <w:r w:rsidR="00FE6B53" w:rsidRPr="00A03848">
        <w:rPr>
          <w:szCs w:val="22"/>
          <w:lang w:val="es-ES" w:eastAsia="en-US"/>
        </w:rPr>
        <w:t>e 1 millón de personas. En 2013</w:t>
      </w:r>
      <w:r w:rsidR="0011638B" w:rsidRPr="00A03848">
        <w:rPr>
          <w:szCs w:val="22"/>
          <w:lang w:val="es-ES" w:eastAsia="en-US"/>
        </w:rPr>
        <w:t xml:space="preserve"> el Reino Unido asumió el mayor compromiso nunca antes realizado por un donante para hacer frente a la mutilación genital femenina, pues aportó 35 millones de libras para respaldar el movimiento dirigido por África que aspira a eliminar la mutilación genital femenina en un plazo de cinco años.</w:t>
      </w:r>
      <w:bookmarkEnd w:id="504"/>
    </w:p>
    <w:p w14:paraId="5C7AFFBC" w14:textId="4139A4C8" w:rsidR="008150E2" w:rsidRPr="00A03848" w:rsidRDefault="00946670" w:rsidP="00AB43B5">
      <w:pPr>
        <w:pStyle w:val="SingleTxt"/>
        <w:rPr>
          <w:szCs w:val="22"/>
          <w:lang w:val="es-ES" w:eastAsia="en-US"/>
        </w:rPr>
      </w:pPr>
      <w:bookmarkStart w:id="505" w:name="bookmark_533"/>
      <w:r w:rsidRPr="00A03848">
        <w:rPr>
          <w:szCs w:val="22"/>
          <w:lang w:val="es-ES" w:eastAsia="en-US"/>
        </w:rPr>
        <w:t>192.</w:t>
      </w:r>
      <w:r w:rsidRPr="00A03848">
        <w:rPr>
          <w:szCs w:val="22"/>
          <w:lang w:val="es-ES" w:eastAsia="en-US"/>
        </w:rPr>
        <w:tab/>
      </w:r>
      <w:r w:rsidR="0011638B" w:rsidRPr="00A03848">
        <w:rPr>
          <w:b/>
          <w:szCs w:val="22"/>
          <w:lang w:val="es-ES" w:eastAsia="en-US"/>
        </w:rPr>
        <w:t>Notas: recomendaciones formuladas al Reino Unido por el Comité para la Eliminación de la Discriminación contra la Mujer en 2013.</w:t>
      </w:r>
      <w:bookmarkEnd w:id="7"/>
      <w:bookmarkEnd w:id="505"/>
      <w:bookmarkEnd w:id="0"/>
    </w:p>
    <w:sectPr w:rsidR="008150E2" w:rsidRPr="00A03848" w:rsidSect="00691C0B">
      <w:endnotePr>
        <w:numFmt w:val="decimal"/>
      </w:endnotePr>
      <w:type w:val="continuous"/>
      <w:pgSz w:w="12240" w:h="15840" w:code="1"/>
      <w:pgMar w:top="1440" w:right="1195" w:bottom="1152" w:left="1195" w:header="432" w:footer="504" w:gutter="0"/>
      <w:pgNumType w:start="1"/>
      <w:cols w:space="720"/>
      <w:noEndnote/>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18-01-30T17:44:00Z" w:initials="Start">
    <w:p w14:paraId="1FB5D2EC" w14:textId="77777777" w:rsidR="00566738" w:rsidRDefault="0056673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NO&gt;&gt;N1744772S&lt;&lt;ODS JOB NO&gt;&gt;</w:t>
      </w:r>
    </w:p>
    <w:p w14:paraId="70D6B604" w14:textId="77777777" w:rsidR="00566738" w:rsidRDefault="00566738">
      <w:pPr>
        <w:pStyle w:val="CommentText"/>
      </w:pPr>
      <w:r>
        <w:t>&lt;&lt;ODS DOC SYMBOL1&gt;&gt;CEDAW/C/GBR/8&lt;&lt;ODS DOC SYMBOL1&gt;&gt;</w:t>
      </w:r>
    </w:p>
    <w:p w14:paraId="20F35B20" w14:textId="7811A54B" w:rsidR="00566738" w:rsidRDefault="0056673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F35B2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1D2AE" w14:textId="77777777" w:rsidR="00566738" w:rsidRPr="008150E2" w:rsidRDefault="00566738" w:rsidP="00EA151F">
      <w:pPr>
        <w:spacing w:after="240"/>
        <w:ind w:left="792"/>
        <w:rPr>
          <w:i/>
        </w:rPr>
      </w:pPr>
      <w:r w:rsidRPr="008150E2">
        <w:rPr>
          <w:i/>
        </w:rPr>
        <w:t>Notas</w:t>
      </w:r>
    </w:p>
  </w:endnote>
  <w:endnote w:type="continuationSeparator" w:id="0">
    <w:p w14:paraId="2178897C" w14:textId="35F49E92" w:rsidR="00566738" w:rsidRPr="009853F8" w:rsidRDefault="00566738" w:rsidP="009853F8">
      <w:pPr>
        <w:spacing w:line="240" w:lineRule="auto"/>
        <w:rPr>
          <w:sz w:val="2"/>
        </w:rPr>
      </w:pPr>
    </w:p>
  </w:endnote>
  <w:endnote w:id="1">
    <w:p w14:paraId="1B9ED981" w14:textId="77777777" w:rsidR="00566738" w:rsidRPr="002E181F" w:rsidRDefault="00566738" w:rsidP="009853F8">
      <w:pPr>
        <w:pStyle w:val="EndnoteText"/>
        <w:tabs>
          <w:tab w:val="clear" w:pos="418"/>
          <w:tab w:val="right" w:pos="1195"/>
          <w:tab w:val="left" w:pos="1267"/>
        </w:tabs>
        <w:ind w:left="1267" w:right="1453" w:hanging="576"/>
        <w:rPr>
          <w:lang w:val="es-ES"/>
        </w:rPr>
      </w:pPr>
      <w:bookmarkStart w:id="24" w:name="endnoteBookmark_63"/>
      <w:bookmarkStart w:id="25" w:name="_Toc496005586"/>
      <w:r>
        <w:rPr>
          <w:lang w:val="es-ES"/>
        </w:rPr>
        <w:tab/>
      </w:r>
      <w:r w:rsidRPr="003C54C9">
        <w:rPr>
          <w:rStyle w:val="EndnoteReference"/>
          <w:lang w:val="es-ES"/>
        </w:rPr>
        <w:endnoteRef/>
      </w:r>
      <w:r>
        <w:rPr>
          <w:lang w:val="es-ES"/>
        </w:rPr>
        <w:tab/>
        <w:t>Recomendación de 2013, párr. 11:</w:t>
      </w:r>
      <w:r w:rsidRPr="005A20EB">
        <w:rPr>
          <w:lang w:val="es-ES"/>
        </w:rPr>
        <w:t xml:space="preserve"> </w:t>
      </w:r>
      <w:r w:rsidRPr="005A20EB">
        <w:rPr>
          <w:iCs/>
          <w:lang w:val="es-ES"/>
        </w:rPr>
        <w:t>se insta al Estado parte a retirar y reducir el número de reservas actuales.</w:t>
      </w:r>
      <w:bookmarkEnd w:id="24"/>
    </w:p>
    <w:bookmarkEnd w:id="25"/>
  </w:endnote>
  <w:endnote w:id="2">
    <w:p w14:paraId="380AE775"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28" w:name="endnoteBookmark_66"/>
      <w:r>
        <w:rPr>
          <w:lang w:val="es-ES"/>
        </w:rPr>
        <w:tab/>
      </w:r>
      <w:r w:rsidRPr="003C54C9">
        <w:rPr>
          <w:rStyle w:val="EndnoteReference"/>
          <w:lang w:val="es-ES"/>
        </w:rPr>
        <w:endnoteRef/>
      </w:r>
      <w:r>
        <w:rPr>
          <w:lang w:val="es-ES"/>
        </w:rPr>
        <w:tab/>
        <w:t>Recomendación de 2013, párr. 15: se insta al Estado parte a extender la ratificación de la Convención a todos sus territorios, incluidos Guernsey y Jersey.</w:t>
      </w:r>
      <w:bookmarkEnd w:id="28"/>
    </w:p>
  </w:endnote>
  <w:endnote w:id="3">
    <w:p w14:paraId="155E32D2"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32" w:name="endnoteBookmark_69"/>
      <w:r>
        <w:rPr>
          <w:lang w:val="es-ES"/>
        </w:rPr>
        <w:tab/>
      </w:r>
      <w:r w:rsidRPr="003C54C9">
        <w:rPr>
          <w:rStyle w:val="EndnoteReference"/>
          <w:lang w:val="es-ES"/>
        </w:rPr>
        <w:endnoteRef/>
      </w:r>
      <w:r>
        <w:rPr>
          <w:lang w:val="es-ES"/>
        </w:rPr>
        <w:tab/>
        <w:t>Recomendación de 2013, párr. 29: se recomienda al Estado parte que vele por que la Oficina Gubernamental para la Igualdad tenga una sección dedicada especialmente a coordinar las actividades en materia de igualdad de género en todo el territorio del Estado parte y que el Estado parte elabore y adopte una estrategia unificada, integral y general para la aplicación de la Convención en todo su territorio.</w:t>
      </w:r>
      <w:bookmarkEnd w:id="32"/>
    </w:p>
  </w:endnote>
  <w:endnote w:id="4">
    <w:p w14:paraId="59D0686C" w14:textId="77777777" w:rsidR="00566738" w:rsidRPr="002E181F" w:rsidRDefault="00566738" w:rsidP="0011638B">
      <w:pPr>
        <w:pStyle w:val="EndnoteText"/>
        <w:tabs>
          <w:tab w:val="clear" w:pos="418"/>
          <w:tab w:val="right" w:pos="1195"/>
          <w:tab w:val="left" w:pos="1267"/>
        </w:tabs>
        <w:ind w:left="1267" w:right="1267" w:hanging="576"/>
        <w:rPr>
          <w:lang w:val="es-ES"/>
        </w:rPr>
      </w:pPr>
      <w:r>
        <w:rPr>
          <w:lang w:val="es-ES"/>
        </w:rPr>
        <w:tab/>
      </w:r>
      <w:r w:rsidRPr="003C54C9">
        <w:rPr>
          <w:rStyle w:val="EndnoteReference"/>
          <w:lang w:val="es-ES"/>
        </w:rPr>
        <w:endnoteRef/>
      </w:r>
      <w:r>
        <w:rPr>
          <w:lang w:val="es-ES"/>
        </w:rPr>
        <w:tab/>
        <w:t>Recomendación de 2013, párr. 13: se insta al Estado parte a examinar continuamente su legislación con vistas a incorporar en ella todas las disposiciones de la Convención.</w:t>
      </w:r>
    </w:p>
  </w:endnote>
  <w:endnote w:id="5">
    <w:p w14:paraId="2B42D1AD"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48" w:name="endnoteBookmark_85"/>
      <w:r>
        <w:rPr>
          <w:lang w:val="es-ES"/>
        </w:rPr>
        <w:tab/>
      </w:r>
      <w:r w:rsidRPr="003C54C9">
        <w:rPr>
          <w:rStyle w:val="EndnoteReference"/>
          <w:lang w:val="es-ES"/>
        </w:rPr>
        <w:endnoteRef/>
      </w:r>
      <w:r>
        <w:rPr>
          <w:lang w:val="es-ES"/>
        </w:rPr>
        <w:tab/>
        <w:t>Recomendación de 2013, párr. 17: se insta al Estado parte a que aproveche el examen de la Obligación sobre Igualdad para garantizar la adecuada prescripción del componente de igualdad de género de dicha Obligación para las autoridades públicas.</w:t>
      </w:r>
      <w:bookmarkEnd w:id="48"/>
    </w:p>
  </w:endnote>
  <w:endnote w:id="6">
    <w:p w14:paraId="3D72968A"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55" w:name="endnoteBookmark_92"/>
      <w:r>
        <w:rPr>
          <w:lang w:val="es-ES"/>
        </w:rPr>
        <w:tab/>
      </w:r>
      <w:r w:rsidRPr="003C54C9">
        <w:rPr>
          <w:rStyle w:val="EndnoteReference"/>
          <w:lang w:val="es-ES"/>
        </w:rPr>
        <w:endnoteRef/>
      </w:r>
      <w:r>
        <w:rPr>
          <w:lang w:val="es-ES"/>
        </w:rPr>
        <w:tab/>
        <w:t xml:space="preserve">Recomendación de 2013, párr. 19: se recomienda al Estado parte que revise su legislación en Irlanda del Norte para que esta otorgue a las mujeres la misma protección que a las demás mujeres en las distintas Administraciones del Estado parte. </w:t>
      </w:r>
      <w:bookmarkEnd w:id="55"/>
    </w:p>
  </w:endnote>
  <w:endnote w:id="7">
    <w:p w14:paraId="70060AEA" w14:textId="77777777" w:rsidR="00566738" w:rsidRPr="002E181F" w:rsidRDefault="00566738" w:rsidP="009853F8">
      <w:pPr>
        <w:pStyle w:val="EndnoteText"/>
        <w:tabs>
          <w:tab w:val="clear" w:pos="418"/>
          <w:tab w:val="right" w:pos="1195"/>
          <w:tab w:val="left" w:pos="1267"/>
        </w:tabs>
        <w:ind w:left="1267" w:right="1129" w:hanging="576"/>
        <w:rPr>
          <w:lang w:val="es-ES"/>
        </w:rPr>
      </w:pPr>
      <w:bookmarkStart w:id="60" w:name="endnoteBookmark_97"/>
      <w:r>
        <w:rPr>
          <w:lang w:val="es-ES"/>
        </w:rPr>
        <w:tab/>
      </w:r>
      <w:r w:rsidRPr="003C54C9">
        <w:rPr>
          <w:rStyle w:val="EndnoteReference"/>
          <w:lang w:val="es-ES"/>
        </w:rPr>
        <w:endnoteRef/>
      </w:r>
      <w:r>
        <w:rPr>
          <w:lang w:val="es-ES"/>
        </w:rPr>
        <w:tab/>
        <w:t>Recomendación de 2013, párr. 67: se pide al Estado parte que integre la perspectiva de género, de conformidad con las disposiciones de la Convención, en todas las actividades encaminadas al logro de los Objetivos de Desarrollo del Milenio y en el marco para el desarrollo después de 2015.</w:t>
      </w:r>
      <w:bookmarkEnd w:id="60"/>
    </w:p>
  </w:endnote>
  <w:endnote w:id="8">
    <w:p w14:paraId="32DDAA98"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65" w:name="endnoteBookmark_102"/>
      <w:r>
        <w:rPr>
          <w:lang w:val="es-ES"/>
        </w:rPr>
        <w:tab/>
      </w:r>
      <w:r w:rsidRPr="003C54C9">
        <w:rPr>
          <w:rStyle w:val="EndnoteReference"/>
          <w:lang w:val="es-ES"/>
        </w:rPr>
        <w:endnoteRef/>
      </w:r>
      <w:r>
        <w:rPr>
          <w:lang w:val="es-ES"/>
        </w:rPr>
        <w:tab/>
        <w:t>Recomendación de 2013, párr. 61 a): se recomienda al Estado parte que intensifique los esfuerzos destinados a eliminar la discriminación contra las mujeres de minorías étnicas y mejorar el acceso a los servicios sociales, incluidos la asistencia sanitaria, la educación y el empleo.</w:t>
      </w:r>
      <w:bookmarkEnd w:id="65"/>
    </w:p>
  </w:endnote>
  <w:endnote w:id="9">
    <w:p w14:paraId="7CE65F28" w14:textId="77777777" w:rsidR="00566738" w:rsidRPr="002E181F" w:rsidRDefault="00566738" w:rsidP="009853F8">
      <w:pPr>
        <w:pStyle w:val="EndnoteText"/>
        <w:tabs>
          <w:tab w:val="clear" w:pos="418"/>
          <w:tab w:val="right" w:pos="1195"/>
          <w:tab w:val="left" w:pos="1267"/>
        </w:tabs>
        <w:ind w:left="1267" w:right="1084" w:hanging="576"/>
        <w:rPr>
          <w:lang w:val="es-ES"/>
        </w:rPr>
      </w:pPr>
      <w:bookmarkStart w:id="77" w:name="endnoteBookmark_114"/>
      <w:r>
        <w:rPr>
          <w:lang w:val="es-ES"/>
        </w:rPr>
        <w:tab/>
      </w:r>
      <w:r w:rsidRPr="003C54C9">
        <w:rPr>
          <w:rStyle w:val="EndnoteReference"/>
          <w:lang w:val="es-ES"/>
        </w:rPr>
        <w:endnoteRef/>
      </w:r>
      <w:r>
        <w:rPr>
          <w:lang w:val="es-ES"/>
        </w:rPr>
        <w:tab/>
        <w:t>Recomendación de 2013, párr. 55 a): se insta al Estado parte a seguir haciendo ingentes esfuerzos para aplicar las recomendaciones formuladas en el informe Corston, incluso las que figuran en el informe de la Comisión de Justicia de la Cámara de los Comunes publicadas el 15 de julio de 2013.</w:t>
      </w:r>
      <w:bookmarkEnd w:id="77"/>
    </w:p>
  </w:endnote>
  <w:endnote w:id="10">
    <w:p w14:paraId="2CDD8ED9"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81" w:name="endnoteBookmark_119"/>
      <w:r>
        <w:rPr>
          <w:lang w:val="es-ES"/>
        </w:rPr>
        <w:tab/>
      </w:r>
      <w:r w:rsidRPr="003C54C9">
        <w:rPr>
          <w:rStyle w:val="EndnoteReference"/>
          <w:lang w:val="es-ES"/>
        </w:rPr>
        <w:endnoteRef/>
      </w:r>
      <w:r>
        <w:rPr>
          <w:lang w:val="es-ES"/>
        </w:rPr>
        <w:tab/>
        <w:t>Recomendación de 2013, párr. 55 d): se insta al Estado parte a aplicar medidas destinadas a hacer frente a las causas fundamentales de la excesiva representación de las mujeres de raza negra y etnia minoritaria en prisión.</w:t>
      </w:r>
      <w:bookmarkEnd w:id="81"/>
    </w:p>
  </w:endnote>
  <w:endnote w:id="11">
    <w:p w14:paraId="4ABDE47C"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82" w:name="endnoteBookmark_118"/>
      <w:r>
        <w:rPr>
          <w:lang w:val="es-ES"/>
        </w:rPr>
        <w:tab/>
      </w:r>
      <w:r w:rsidRPr="003C54C9">
        <w:rPr>
          <w:rStyle w:val="EndnoteReference"/>
          <w:lang w:val="es-ES"/>
        </w:rPr>
        <w:endnoteRef/>
      </w:r>
      <w:r>
        <w:rPr>
          <w:lang w:val="es-ES"/>
        </w:rPr>
        <w:tab/>
        <w:t>Recomendación de 2013, párr. 55 b): se insta al Estado Parte a seguir elaborando modalidades alternativas de penalización y privación de libertad, que incluyan intervenciones y servicios comunitarios en el caso de las mujeres condenadas por delitos de menor cuantía.</w:t>
      </w:r>
      <w:bookmarkEnd w:id="82"/>
    </w:p>
  </w:endnote>
  <w:endnote w:id="12">
    <w:p w14:paraId="71F35816"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98" w:name="endnoteBookmark_135"/>
      <w:r>
        <w:rPr>
          <w:lang w:val="es-ES"/>
        </w:rPr>
        <w:tab/>
      </w:r>
      <w:r w:rsidRPr="003C54C9">
        <w:rPr>
          <w:rStyle w:val="EndnoteReference"/>
          <w:lang w:val="es-ES"/>
        </w:rPr>
        <w:endnoteRef/>
      </w:r>
      <w:r>
        <w:rPr>
          <w:lang w:val="es-ES"/>
        </w:rPr>
        <w:tab/>
        <w:t>Recomendación de 2013, párr. 29: el Estado parte también debe evaluar los resultados de la nueva estrategia en cuanto a lograr la participación de las organizaciones de mujeres e introducir medidas para mitigar el menoscabo de la capacidad de las mujeres para participar adecuadamente.</w:t>
      </w:r>
      <w:bookmarkEnd w:id="98"/>
    </w:p>
  </w:endnote>
  <w:endnote w:id="13">
    <w:p w14:paraId="1F874B8A"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110" w:name="endnoteBookmark_146"/>
      <w:r>
        <w:rPr>
          <w:lang w:val="es-ES"/>
        </w:rPr>
        <w:tab/>
      </w:r>
      <w:r w:rsidRPr="003C54C9">
        <w:rPr>
          <w:rStyle w:val="EndnoteReference"/>
          <w:lang w:val="es-ES"/>
        </w:rPr>
        <w:endnoteRef/>
      </w:r>
      <w:r>
        <w:rPr>
          <w:lang w:val="es-ES"/>
        </w:rPr>
        <w:tab/>
        <w:t>Recomendación de 2013, párr. 33 a): se recomienda al Estado parte que colabore con los medios para eliminar las imágenes estereotípicas de las mujeres y la cosificación de estas en los medios, especialmente en la publicidad.</w:t>
      </w:r>
      <w:bookmarkEnd w:id="110"/>
    </w:p>
  </w:endnote>
  <w:endnote w:id="14">
    <w:p w14:paraId="2469B73D" w14:textId="77777777" w:rsidR="00566738" w:rsidRPr="002E181F" w:rsidRDefault="00566738" w:rsidP="0011638B">
      <w:pPr>
        <w:pStyle w:val="EndnoteText"/>
        <w:tabs>
          <w:tab w:val="clear" w:pos="418"/>
          <w:tab w:val="right" w:pos="1195"/>
          <w:tab w:val="left" w:pos="1267"/>
        </w:tabs>
        <w:ind w:left="1267" w:right="1267" w:hanging="576"/>
        <w:rPr>
          <w:lang w:val="es-ES"/>
        </w:rPr>
      </w:pPr>
      <w:r>
        <w:rPr>
          <w:lang w:val="es-ES"/>
        </w:rPr>
        <w:tab/>
      </w:r>
      <w:r w:rsidRPr="003C54C9">
        <w:rPr>
          <w:rStyle w:val="EndnoteReference"/>
          <w:lang w:val="es-ES"/>
        </w:rPr>
        <w:endnoteRef/>
      </w:r>
      <w:r>
        <w:rPr>
          <w:lang w:val="es-ES"/>
        </w:rPr>
        <w:tab/>
        <w:t>Recomendación de 2013, párr. 33 b): se insta al Estado parte a que aplique las recomendaciones de la Investigación Leveson, en particular las que tienen por finalidad otorgar facultades a un organismo regulador para intervenir en las cuestiones relacionadas con denuncias de discriminación.</w:t>
      </w:r>
    </w:p>
  </w:endnote>
  <w:endnote w:id="15">
    <w:p w14:paraId="06A76B4B"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120" w:name="endnoteBookmark_159"/>
      <w:r>
        <w:rPr>
          <w:lang w:val="es-ES"/>
        </w:rPr>
        <w:tab/>
      </w:r>
      <w:r w:rsidRPr="003C54C9">
        <w:rPr>
          <w:rStyle w:val="EndnoteReference"/>
          <w:lang w:val="es-ES"/>
        </w:rPr>
        <w:endnoteRef/>
      </w:r>
      <w:r>
        <w:rPr>
          <w:lang w:val="es-ES"/>
        </w:rPr>
        <w:tab/>
        <w:t>Recomendación de 2013, párr. 45 d): se recomienda al Estado parte que adopte medidas coordinadas para fomentar una mayor participación de las niñas en ciencia, tecnología, ingeniería y matemáticas, así como en los oficios.</w:t>
      </w:r>
      <w:bookmarkEnd w:id="120"/>
    </w:p>
  </w:endnote>
  <w:endnote w:id="16">
    <w:p w14:paraId="5FCBBE56"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156" w:name="endnoteBookmark_193"/>
      <w:r>
        <w:rPr>
          <w:lang w:val="es-ES"/>
        </w:rPr>
        <w:tab/>
      </w:r>
      <w:r w:rsidRPr="003C54C9">
        <w:rPr>
          <w:rStyle w:val="EndnoteReference"/>
          <w:lang w:val="es-ES"/>
        </w:rPr>
        <w:endnoteRef/>
      </w:r>
      <w:r>
        <w:rPr>
          <w:lang w:val="es-ES"/>
        </w:rPr>
        <w:tab/>
        <w:t>Recomendación de 2013, párr. 41: se insta al Estado parte a enmendar su legislación trasladando la carga de la prueba del Ministerio Público al comprador de servicios sexuales. El Comité recomienda que se exija a este demostrar que no creía razonablemente que el niño tuviera menos de 18 años una vez que el Ministerio Público haya probado que el niño tenía entre 13 y 18 años y que el acusado compró los servicios sexuales del niño.</w:t>
      </w:r>
      <w:bookmarkEnd w:id="156"/>
    </w:p>
  </w:endnote>
  <w:endnote w:id="17">
    <w:p w14:paraId="2651DBE2"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166" w:name="endnoteBookmark_201"/>
      <w:r>
        <w:rPr>
          <w:lang w:val="es-ES"/>
        </w:rPr>
        <w:tab/>
      </w:r>
      <w:r w:rsidRPr="003C54C9">
        <w:rPr>
          <w:rStyle w:val="EndnoteReference"/>
          <w:lang w:val="es-ES"/>
        </w:rPr>
        <w:endnoteRef/>
      </w:r>
      <w:r>
        <w:rPr>
          <w:lang w:val="es-ES"/>
        </w:rPr>
        <w:tab/>
        <w:t>Recomendación de 2013, párr. 43 a): se insta al Estado parte a seguir adoptando medidas específicas para aumentar la representación de las mujeres en el Parlamento y la judicatura, en particular de las mujeres de raza negra y etnia minoritaria y las mujeres con discapacidad.</w:t>
      </w:r>
      <w:bookmarkEnd w:id="166"/>
    </w:p>
  </w:endnote>
  <w:endnote w:id="18">
    <w:p w14:paraId="2D6D437F"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176" w:name="endnoteBookmark_211"/>
      <w:r>
        <w:rPr>
          <w:lang w:val="es-ES"/>
        </w:rPr>
        <w:tab/>
      </w:r>
      <w:r w:rsidRPr="003C54C9">
        <w:rPr>
          <w:rStyle w:val="EndnoteReference"/>
          <w:lang w:val="es-ES"/>
        </w:rPr>
        <w:endnoteRef/>
      </w:r>
      <w:r>
        <w:rPr>
          <w:lang w:val="es-ES"/>
        </w:rPr>
        <w:tab/>
        <w:t>Recomendación de 2013, párr. 43 a): se insta al Estado parte a seguir adoptando medidas específicas para aumentar la representación de las mujeres en el Parlamento y la judicatura, en particular de las mujeres de raza negra y etnia minoritaria y las mujeres con discapacidad.</w:t>
      </w:r>
      <w:bookmarkEnd w:id="176"/>
    </w:p>
  </w:endnote>
  <w:endnote w:id="19">
    <w:p w14:paraId="53C3232C" w14:textId="77777777" w:rsidR="00566738" w:rsidRPr="002E181F" w:rsidRDefault="00566738" w:rsidP="009853F8">
      <w:pPr>
        <w:pStyle w:val="EndnoteText"/>
        <w:tabs>
          <w:tab w:val="clear" w:pos="418"/>
          <w:tab w:val="right" w:pos="1195"/>
          <w:tab w:val="left" w:pos="1267"/>
        </w:tabs>
        <w:ind w:left="1267" w:right="1267" w:hanging="576"/>
        <w:rPr>
          <w:lang w:val="es-ES"/>
        </w:rPr>
      </w:pPr>
      <w:bookmarkStart w:id="197" w:name="endnoteBookmark_232"/>
      <w:r>
        <w:rPr>
          <w:lang w:val="es-ES"/>
        </w:rPr>
        <w:tab/>
      </w:r>
      <w:r w:rsidRPr="003C54C9">
        <w:rPr>
          <w:rStyle w:val="EndnoteReference"/>
          <w:lang w:val="es-ES"/>
        </w:rPr>
        <w:endnoteRef/>
      </w:r>
      <w:r>
        <w:rPr>
          <w:lang w:val="es-ES"/>
        </w:rPr>
        <w:tab/>
        <w:t>Recomendación de 2013, párr. 43 a): se insta al Estado parte a seguir adoptando medidas específicas para aumentar la representación de las mujeres en el Parlamento y la judicatura, en particular de las mujeres de raza negra y etnia minoritaria y las mujeres con discapacidad.</w:t>
      </w:r>
      <w:bookmarkEnd w:id="197"/>
    </w:p>
  </w:endnote>
  <w:endnote w:id="20">
    <w:p w14:paraId="00292621"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204" w:name="endnoteBookmark_239"/>
      <w:r>
        <w:rPr>
          <w:lang w:val="es-ES"/>
        </w:rPr>
        <w:tab/>
      </w:r>
      <w:r w:rsidRPr="003C54C9">
        <w:rPr>
          <w:rStyle w:val="EndnoteReference"/>
          <w:lang w:val="es-ES"/>
        </w:rPr>
        <w:endnoteRef/>
      </w:r>
      <w:r>
        <w:rPr>
          <w:lang w:val="es-ES"/>
        </w:rPr>
        <w:tab/>
        <w:t>Recomendación de 2013, párr. 43 b): se insta al Estado parte a garantizar la participación de la mujer en el proceso posterior al conflicto en Irlanda del Norte, de conformidad con la resolución 1325 (2000) del Consejo de Seguridad.</w:t>
      </w:r>
      <w:bookmarkStart w:id="205" w:name="_Hlk501645595"/>
      <w:bookmarkEnd w:id="204"/>
      <w:bookmarkEnd w:id="205"/>
    </w:p>
  </w:endnote>
  <w:endnote w:id="21">
    <w:p w14:paraId="45A87CFB"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229" w:name="endnoteBookmark_262"/>
      <w:r>
        <w:rPr>
          <w:lang w:val="es-ES"/>
        </w:rPr>
        <w:tab/>
      </w:r>
      <w:r w:rsidRPr="003C54C9">
        <w:rPr>
          <w:rStyle w:val="EndnoteReference"/>
          <w:lang w:val="es-ES"/>
        </w:rPr>
        <w:endnoteRef/>
      </w:r>
      <w:r>
        <w:rPr>
          <w:lang w:val="es-ES"/>
        </w:rPr>
        <w:tab/>
        <w:t>Recomendación de 2013, párr. 57 b): se recomienda al Estado parte que proporcione acceso a la justicia y a los servicios sanitarios a todas las mujeres en situación irregular de inmigración, incluidas las solicitantes de asilo, hasta su regreso al país de origen.</w:t>
      </w:r>
      <w:bookmarkEnd w:id="229"/>
    </w:p>
  </w:endnote>
  <w:endnote w:id="22">
    <w:p w14:paraId="6BCF7D7A"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230" w:name="endnoteBookmark_263"/>
      <w:r>
        <w:rPr>
          <w:lang w:val="es-ES"/>
        </w:rPr>
        <w:tab/>
      </w:r>
      <w:r w:rsidRPr="003C54C9">
        <w:rPr>
          <w:rStyle w:val="EndnoteReference"/>
          <w:lang w:val="es-ES"/>
        </w:rPr>
        <w:endnoteRef/>
      </w:r>
      <w:r>
        <w:rPr>
          <w:lang w:val="es-ES"/>
        </w:rPr>
        <w:tab/>
        <w:t>Recomendación de 2013, párr. 59 a): se insta al Estado parte a seguir ofreciendo formación sobre enfoques que tengan en cuenta las cuestiones de género en el trato a las víctimas de violencia a los agentes encargados de la inmigración y las solicitudes de asilo.</w:t>
      </w:r>
      <w:bookmarkEnd w:id="230"/>
    </w:p>
  </w:endnote>
  <w:endnote w:id="23">
    <w:p w14:paraId="120DA6D0"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236" w:name="endnoteBookmark_269"/>
      <w:r>
        <w:rPr>
          <w:lang w:val="es-ES"/>
        </w:rPr>
        <w:tab/>
      </w:r>
      <w:r w:rsidRPr="003C54C9">
        <w:rPr>
          <w:rStyle w:val="EndnoteReference"/>
          <w:lang w:val="es-ES"/>
        </w:rPr>
        <w:endnoteRef/>
      </w:r>
      <w:r>
        <w:rPr>
          <w:lang w:val="es-ES"/>
        </w:rPr>
        <w:tab/>
        <w:t>Recomendación de 2013, párr. 57 a): se recomienda al Estado parte que amplíe la exención de la política que impide el recurso a los fondos públicos.</w:t>
      </w:r>
      <w:bookmarkEnd w:id="236"/>
    </w:p>
  </w:endnote>
  <w:endnote w:id="24">
    <w:p w14:paraId="30C525D9"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243" w:name="endnoteBookmark_275"/>
      <w:r>
        <w:rPr>
          <w:lang w:val="es-ES"/>
        </w:rPr>
        <w:tab/>
      </w:r>
      <w:r w:rsidRPr="003C54C9">
        <w:rPr>
          <w:rStyle w:val="EndnoteReference"/>
          <w:lang w:val="es-ES"/>
        </w:rPr>
        <w:endnoteRef/>
      </w:r>
      <w:r>
        <w:rPr>
          <w:lang w:val="es-ES"/>
        </w:rPr>
        <w:tab/>
        <w:t>Recomendación de 2013, párr. 45 c): se recomienda al Estado parte que intensifique las actividades de orientación vocacional para alentar a las niñas a elegir carreras no tradicionales y aumentar el conocimiento del personal docente sobre las cuestiones de género en todos los niveles del sistema educativo.</w:t>
      </w:r>
      <w:bookmarkEnd w:id="243"/>
    </w:p>
  </w:endnote>
  <w:endnote w:id="25">
    <w:p w14:paraId="1649B6B9"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246" w:name="endnoteBookmark_278"/>
      <w:r>
        <w:rPr>
          <w:lang w:val="es-ES"/>
        </w:rPr>
        <w:tab/>
      </w:r>
      <w:r w:rsidRPr="003C54C9">
        <w:rPr>
          <w:rStyle w:val="EndnoteReference"/>
          <w:lang w:val="es-ES"/>
        </w:rPr>
        <w:endnoteRef/>
      </w:r>
      <w:r>
        <w:rPr>
          <w:lang w:val="es-ES"/>
        </w:rPr>
        <w:tab/>
        <w:t>Recomendación de 2013, párr. 45 d): se recomienda al Estado parte que adopte medidas coordinadas para fomentar una mayor participación de las niñas en ciencia, tecnología, ingeniería y matemáticas, así como en los oficios.</w:t>
      </w:r>
      <w:bookmarkEnd w:id="246"/>
    </w:p>
  </w:endnote>
  <w:endnote w:id="26">
    <w:p w14:paraId="24F39639"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252" w:name="endnoteBookmark_284"/>
      <w:r>
        <w:rPr>
          <w:lang w:val="es-ES"/>
        </w:rPr>
        <w:tab/>
      </w:r>
      <w:r w:rsidRPr="003C54C9">
        <w:rPr>
          <w:rStyle w:val="EndnoteReference"/>
          <w:lang w:val="es-ES"/>
        </w:rPr>
        <w:endnoteRef/>
      </w:r>
      <w:r>
        <w:rPr>
          <w:lang w:val="es-ES"/>
        </w:rPr>
        <w:tab/>
        <w:t>Recomendación de 2013, párr. 45 a): se recomienda al Estado parte que considere la posibilidad de introducir educación sobre derechos sexuales y reproductivos en función de la edad en las escuelas, incluyendo cuestiones como las relaciones de género y los comportamientos sexuales responsables, destinada particularmente a las adolescentes.</w:t>
      </w:r>
      <w:bookmarkEnd w:id="252"/>
    </w:p>
  </w:endnote>
  <w:endnote w:id="27">
    <w:p w14:paraId="2FD6D955"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259" w:name="endnoteBookmark_291"/>
      <w:r>
        <w:rPr>
          <w:lang w:val="es-ES"/>
        </w:rPr>
        <w:tab/>
      </w:r>
      <w:r w:rsidRPr="003C54C9">
        <w:rPr>
          <w:rStyle w:val="EndnoteReference"/>
          <w:lang w:val="es-ES"/>
        </w:rPr>
        <w:endnoteRef/>
      </w:r>
      <w:r>
        <w:rPr>
          <w:lang w:val="es-ES"/>
        </w:rPr>
        <w:tab/>
        <w:t>Recomendación de 2013, párr. 45 b): se recomienda al Estado parte que refuerce las medidas para prevenir, castigar y erradicar todas las formas de violencia contra mujeres y las niñas, en particular los actos de intimidación y las expresiones de sentimientos racistas, en los establecimientos educativos.</w:t>
      </w:r>
      <w:bookmarkEnd w:id="259"/>
    </w:p>
  </w:endnote>
  <w:endnote w:id="28">
    <w:p w14:paraId="605C5670"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277" w:name="endnoteBookmark_309"/>
      <w:r>
        <w:rPr>
          <w:lang w:val="es-ES"/>
        </w:rPr>
        <w:tab/>
      </w:r>
      <w:r w:rsidRPr="003C54C9">
        <w:rPr>
          <w:rStyle w:val="EndnoteReference"/>
          <w:lang w:val="es-ES"/>
        </w:rPr>
        <w:endnoteRef/>
      </w:r>
      <w:r>
        <w:rPr>
          <w:lang w:val="es-ES"/>
        </w:rPr>
        <w:tab/>
        <w:t>Recomendación de 2013, párr. 47 b): se insta al Estado parte a que siga adoptando medidas dinámicas y específicas para eliminar la segregación en el trabajo y reducir la brecha salarial entre ambos sexos.</w:t>
      </w:r>
      <w:bookmarkEnd w:id="277"/>
    </w:p>
  </w:endnote>
  <w:endnote w:id="29">
    <w:p w14:paraId="516CE83E" w14:textId="77777777" w:rsidR="00566738" w:rsidRPr="002E181F" w:rsidRDefault="00566738" w:rsidP="0011638B">
      <w:pPr>
        <w:pStyle w:val="EndnoteText"/>
        <w:tabs>
          <w:tab w:val="clear" w:pos="418"/>
          <w:tab w:val="right" w:pos="1195"/>
          <w:tab w:val="left" w:pos="1267"/>
        </w:tabs>
        <w:ind w:left="1267" w:right="1267" w:hanging="576"/>
        <w:rPr>
          <w:lang w:val="es-ES"/>
        </w:rPr>
      </w:pPr>
      <w:r>
        <w:rPr>
          <w:lang w:val="es-ES"/>
        </w:rPr>
        <w:tab/>
      </w:r>
      <w:r w:rsidRPr="003C54C9">
        <w:rPr>
          <w:rStyle w:val="EndnoteReference"/>
          <w:lang w:val="es-ES"/>
        </w:rPr>
        <w:endnoteRef/>
      </w:r>
      <w:r>
        <w:rPr>
          <w:lang w:val="es-ES"/>
        </w:rPr>
        <w:tab/>
        <w:t>Recomendación de 2013, párr. 59 b): se insta al Estado parte a adoptar medidas específicas para facilitar el acceso de las mujeres de raza negra y etnia minoritaria al mercado de trabajo con el fin de atenuar su concentración en empleos mal remunerados.</w:t>
      </w:r>
    </w:p>
  </w:endnote>
  <w:endnote w:id="30">
    <w:p w14:paraId="5A167F65"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296" w:name="endnoteBookmark_329"/>
      <w:r>
        <w:rPr>
          <w:lang w:val="es-ES"/>
        </w:rPr>
        <w:tab/>
      </w:r>
      <w:r w:rsidRPr="003C54C9">
        <w:rPr>
          <w:rStyle w:val="EndnoteReference"/>
          <w:lang w:val="es-ES"/>
        </w:rPr>
        <w:endnoteRef/>
      </w:r>
      <w:r>
        <w:rPr>
          <w:lang w:val="es-ES"/>
        </w:rPr>
        <w:tab/>
        <w:t>Recomendación de 2013, párr. 47 c): se recomienda al Estado parte que cree más oportunidades para que las mujeres con discapacidad puedan conseguir empleo.</w:t>
      </w:r>
      <w:bookmarkEnd w:id="296"/>
    </w:p>
  </w:endnote>
  <w:endnote w:id="31">
    <w:p w14:paraId="2C221C9C"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306" w:name="endnoteBookmark_339"/>
      <w:r>
        <w:rPr>
          <w:lang w:val="es-ES"/>
        </w:rPr>
        <w:tab/>
      </w:r>
      <w:r w:rsidRPr="003C54C9">
        <w:rPr>
          <w:rStyle w:val="EndnoteReference"/>
          <w:lang w:val="es-ES"/>
        </w:rPr>
        <w:endnoteRef/>
      </w:r>
      <w:r>
        <w:rPr>
          <w:lang w:val="es-ES"/>
        </w:rPr>
        <w:tab/>
        <w:t>Recomendación de 2013, párr. 49: se insta al Estado parte a favorecer unos servicios asequibles de cuidado de niños y mitigar los efectos de las reformas propuestas del sistema de bienestar en los costos del cuidado de niños en el caso de las familias de bajos ingresos y en la mayor carga que pesa sobre las mujeres por el cuidado de niños.</w:t>
      </w:r>
      <w:bookmarkEnd w:id="306"/>
    </w:p>
  </w:endnote>
  <w:endnote w:id="32">
    <w:p w14:paraId="33B05B1F" w14:textId="77777777" w:rsidR="00566738" w:rsidRPr="002E181F" w:rsidRDefault="00566738" w:rsidP="009853F8">
      <w:pPr>
        <w:pStyle w:val="EndnoteText"/>
        <w:tabs>
          <w:tab w:val="clear" w:pos="418"/>
          <w:tab w:val="right" w:pos="1195"/>
          <w:tab w:val="left" w:pos="1267"/>
        </w:tabs>
        <w:ind w:left="1267" w:right="1120" w:hanging="576"/>
        <w:rPr>
          <w:lang w:val="es-ES"/>
        </w:rPr>
      </w:pPr>
      <w:bookmarkStart w:id="311" w:name="endnoteBookmark_344"/>
      <w:r>
        <w:rPr>
          <w:lang w:val="es-ES"/>
        </w:rPr>
        <w:tab/>
      </w:r>
      <w:r w:rsidRPr="003C54C9">
        <w:rPr>
          <w:rStyle w:val="EndnoteReference"/>
          <w:lang w:val="es-ES"/>
        </w:rPr>
        <w:endnoteRef/>
      </w:r>
      <w:r>
        <w:rPr>
          <w:lang w:val="es-ES"/>
        </w:rPr>
        <w:tab/>
        <w:t>Recomendación de 2013, párr. 47 a): se recomienda al Estado parte que intensifique sus esfuerzos para promover el recurso a modalidades de trabajo flexibles e introducir la licencia parental compartida a fin de alentar a los hombres a participar por igual en el cuidado de los niños.</w:t>
      </w:r>
      <w:bookmarkEnd w:id="311"/>
    </w:p>
  </w:endnote>
  <w:endnote w:id="33">
    <w:p w14:paraId="0FA494EC"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336" w:name="endnoteBookmark_368"/>
      <w:r>
        <w:rPr>
          <w:lang w:val="es-ES"/>
        </w:rPr>
        <w:tab/>
      </w:r>
      <w:r w:rsidRPr="003C54C9">
        <w:rPr>
          <w:rStyle w:val="EndnoteReference"/>
          <w:lang w:val="es-ES"/>
        </w:rPr>
        <w:endnoteRef/>
      </w:r>
      <w:r>
        <w:rPr>
          <w:lang w:val="es-ES"/>
        </w:rPr>
        <w:tab/>
        <w:t>Recomendación de 2013, párr. 53 c): se insta al Estado parte a garantizar el acceso en pie de igualdad al tratamiento reproductivo para todas las mujeres en Irlanda del Norte sin discriminación.</w:t>
      </w:r>
      <w:bookmarkEnd w:id="336"/>
    </w:p>
  </w:endnote>
  <w:endnote w:id="34">
    <w:p w14:paraId="37F1E159"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342" w:name="endnoteBookmark_374"/>
      <w:r>
        <w:rPr>
          <w:lang w:val="es-ES"/>
        </w:rPr>
        <w:tab/>
      </w:r>
      <w:r w:rsidRPr="003C54C9">
        <w:rPr>
          <w:rStyle w:val="EndnoteReference"/>
          <w:lang w:val="es-ES"/>
        </w:rPr>
        <w:endnoteRef/>
      </w:r>
      <w:r>
        <w:rPr>
          <w:lang w:val="es-ES"/>
        </w:rPr>
        <w:tab/>
        <w:t>Recomendación de 2013, párr. 51: el Estado parte debe acelerar la enmienda de la legislación contra el aborto en Irlanda del Norte para despenalizar el aborto. El Estado parte debe garantizar además que el aborto legal no abarque únicamente los casos de riesgo para la vida de la madre, sino también otras circunstancias, como las amenazas para su salud y los casos de violación, incesto y grave malformación del feto.</w:t>
      </w:r>
      <w:bookmarkEnd w:id="342"/>
    </w:p>
  </w:endnote>
  <w:endnote w:id="35">
    <w:p w14:paraId="555EF556"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356" w:name="endnoteBookmark_388"/>
      <w:r>
        <w:rPr>
          <w:lang w:val="es-ES"/>
        </w:rPr>
        <w:tab/>
      </w:r>
      <w:r w:rsidRPr="003C54C9">
        <w:rPr>
          <w:rStyle w:val="EndnoteReference"/>
          <w:lang w:val="es-ES"/>
        </w:rPr>
        <w:endnoteRef/>
      </w:r>
      <w:r>
        <w:rPr>
          <w:lang w:val="es-ES"/>
        </w:rPr>
        <w:tab/>
        <w:t>Recomendación de 2013, párr. 53 a): se insta al Estado parte a intensificar la aplicación de los programas y políticas destinados a proporcionar a las mujeres un acceso efectivo a la atención médica, especialmente a las mujeres con discapacidad, las mujeres de edad, las solicitantes de asilo y las nómadas.</w:t>
      </w:r>
      <w:bookmarkEnd w:id="356"/>
    </w:p>
  </w:endnote>
  <w:endnote w:id="36">
    <w:p w14:paraId="36F6D490"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362" w:name="endnoteBookmark_394"/>
      <w:r>
        <w:rPr>
          <w:lang w:val="es-ES"/>
        </w:rPr>
        <w:tab/>
      </w:r>
      <w:r w:rsidRPr="003C54C9">
        <w:rPr>
          <w:rStyle w:val="EndnoteReference"/>
          <w:lang w:val="es-ES"/>
        </w:rPr>
        <w:endnoteRef/>
      </w:r>
      <w:r>
        <w:rPr>
          <w:lang w:val="es-ES"/>
        </w:rPr>
        <w:tab/>
        <w:t>Recomendación de las observaciones finales de 2013, párr. 61 a): se insta al Estado parte a que intensifique los esfuerzos destinados a eliminar la discriminación contra las mujeres de minorías étnicas y mejorar el acceso a los servicios sociales, incluidos la asistencia sanitaria, la educación y el empleo.</w:t>
      </w:r>
      <w:bookmarkEnd w:id="362"/>
    </w:p>
  </w:endnote>
  <w:endnote w:id="37">
    <w:p w14:paraId="36455681" w14:textId="77777777" w:rsidR="00566738" w:rsidRPr="002E181F" w:rsidRDefault="00566738" w:rsidP="009853F8">
      <w:pPr>
        <w:pStyle w:val="EndnoteText"/>
        <w:tabs>
          <w:tab w:val="clear" w:pos="418"/>
          <w:tab w:val="right" w:pos="1195"/>
          <w:tab w:val="left" w:pos="1267"/>
        </w:tabs>
        <w:ind w:left="1267" w:right="1267" w:hanging="576"/>
        <w:rPr>
          <w:lang w:val="es-ES"/>
        </w:rPr>
      </w:pPr>
      <w:bookmarkStart w:id="366" w:name="endnoteBookmark_398"/>
      <w:r>
        <w:rPr>
          <w:lang w:val="es-ES"/>
        </w:rPr>
        <w:tab/>
      </w:r>
      <w:r w:rsidRPr="003C54C9">
        <w:rPr>
          <w:rStyle w:val="EndnoteReference"/>
          <w:lang w:val="es-ES"/>
        </w:rPr>
        <w:endnoteRef/>
      </w:r>
      <w:r>
        <w:rPr>
          <w:lang w:val="es-ES"/>
        </w:rPr>
        <w:tab/>
        <w:t>Recomendación de 2013, párr. 53 b): se insta al Estado parte a prestar especial atención a las necesidades de las mujeres con discapacidad en materia de salud, garantizar su acceso a la atención prenatal y todos los servicios sanitarios reproductivos.</w:t>
      </w:r>
      <w:bookmarkEnd w:id="366"/>
    </w:p>
  </w:endnote>
  <w:endnote w:id="38">
    <w:p w14:paraId="1D146390"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370" w:name="endnoteBookmark_402"/>
      <w:r>
        <w:rPr>
          <w:lang w:val="es-ES"/>
        </w:rPr>
        <w:tab/>
      </w:r>
      <w:r w:rsidRPr="003C54C9">
        <w:rPr>
          <w:rStyle w:val="EndnoteReference"/>
          <w:lang w:val="es-ES"/>
        </w:rPr>
        <w:endnoteRef/>
      </w:r>
      <w:r>
        <w:rPr>
          <w:lang w:val="es-ES"/>
        </w:rPr>
        <w:tab/>
        <w:t>Recomendación de 2013, párr. 55 c): se insta al Estado parte a mejorar la prestación de atención de la salud mental en todas las prisiones.</w:t>
      </w:r>
      <w:bookmarkEnd w:id="370"/>
    </w:p>
  </w:endnote>
  <w:endnote w:id="39">
    <w:p w14:paraId="323C56D7"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389" w:name="endnoteBookmark_421"/>
      <w:r>
        <w:rPr>
          <w:lang w:val="es-ES"/>
        </w:rPr>
        <w:tab/>
      </w:r>
      <w:r w:rsidRPr="003C54C9">
        <w:rPr>
          <w:rStyle w:val="EndnoteReference"/>
          <w:lang w:val="es-ES"/>
        </w:rPr>
        <w:endnoteRef/>
      </w:r>
      <w:r>
        <w:rPr>
          <w:lang w:val="es-ES"/>
        </w:rPr>
        <w:tab/>
        <w:t>Recomendación de 2013, párr. 21: se insta al Estado parte a mitigar las consecuencias de las medidas de austeridad para las mujeres y los servicios prestados a las mujeres, especialmente para las mujeres con discapacidad y las mujeres de edad. También debe velar por que los exámenes del gasto público se centren continuamente en la necesidad de evaluar y sopesar los efectos de las medidas de austeridad en los derechos de la mujer. Debe asimismo revisar la política de tercerización de los servicios en los casos en que esta pueda menoscabar el suministro de servicios especializados a las mujeres.</w:t>
      </w:r>
      <w:bookmarkEnd w:id="389"/>
    </w:p>
  </w:endnote>
  <w:endnote w:id="40">
    <w:p w14:paraId="4FDC538A"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391" w:name="endnoteBookmark_423"/>
      <w:r>
        <w:rPr>
          <w:lang w:val="es-ES"/>
        </w:rPr>
        <w:tab/>
      </w:r>
      <w:r w:rsidRPr="003C54C9">
        <w:rPr>
          <w:rStyle w:val="EndnoteReference"/>
          <w:lang w:val="es-ES"/>
        </w:rPr>
        <w:endnoteRef/>
      </w:r>
      <w:r>
        <w:rPr>
          <w:lang w:val="es-ES"/>
        </w:rPr>
        <w:tab/>
        <w:t>Recomendación de 2013, párr. 49: se insta al Estado parte a favorecer unos servicios asequibles de cuidado de niños y mitigar los efectos de las reformas propuestas del sistema de bienestar en los costos del cuidado de niños en el caso de las familias de bajos ingresos y en la mayor carga que pesa sobre las mujeres por el cuidado de niños.</w:t>
      </w:r>
      <w:bookmarkEnd w:id="391"/>
    </w:p>
  </w:endnote>
  <w:endnote w:id="41">
    <w:p w14:paraId="527DC261"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401" w:name="endnoteBookmark_433"/>
      <w:r>
        <w:rPr>
          <w:lang w:val="es-ES"/>
        </w:rPr>
        <w:tab/>
      </w:r>
      <w:r w:rsidRPr="003C54C9">
        <w:rPr>
          <w:rStyle w:val="EndnoteReference"/>
          <w:lang w:val="es-ES"/>
        </w:rPr>
        <w:endnoteRef/>
      </w:r>
      <w:r>
        <w:rPr>
          <w:lang w:val="es-ES"/>
        </w:rPr>
        <w:tab/>
        <w:t>Recomendación de 2013, párr. 63: se insta al Estado parte a adoptar medidas para impedir la posible explotación del sistema de crédito universal por parte de un cónyuge abusivo masculino.</w:t>
      </w:r>
      <w:bookmarkEnd w:id="401"/>
    </w:p>
  </w:endnote>
  <w:endnote w:id="42">
    <w:p w14:paraId="3D96D6A2"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405" w:name="endnoteBookmark_437"/>
      <w:r>
        <w:rPr>
          <w:lang w:val="es-ES"/>
        </w:rPr>
        <w:tab/>
      </w:r>
      <w:r w:rsidRPr="003C54C9">
        <w:rPr>
          <w:rStyle w:val="EndnoteReference"/>
          <w:lang w:val="es-ES"/>
        </w:rPr>
        <w:endnoteRef/>
      </w:r>
      <w:r>
        <w:rPr>
          <w:lang w:val="es-ES"/>
        </w:rPr>
        <w:tab/>
        <w:t>Recomendación de 2013, párr. 61 b): se insta al Estado parte a que ofrezca suficientes lugares designados para su uso por parte de las mujeres nómadas y los miembros de sus familias.</w:t>
      </w:r>
      <w:bookmarkEnd w:id="405"/>
    </w:p>
  </w:endnote>
  <w:endnote w:id="43">
    <w:p w14:paraId="5EB4E50F" w14:textId="30250F3A" w:rsidR="00566738" w:rsidRPr="002E181F" w:rsidRDefault="00566738" w:rsidP="0011638B">
      <w:pPr>
        <w:pStyle w:val="EndnoteText"/>
        <w:tabs>
          <w:tab w:val="clear" w:pos="418"/>
          <w:tab w:val="right" w:pos="1195"/>
          <w:tab w:val="left" w:pos="1267"/>
        </w:tabs>
        <w:ind w:left="1267" w:right="1267" w:hanging="576"/>
        <w:rPr>
          <w:lang w:val="es-ES"/>
        </w:rPr>
      </w:pPr>
      <w:bookmarkStart w:id="425" w:name="endnoteBookmark_455"/>
      <w:r>
        <w:rPr>
          <w:lang w:val="es-ES"/>
        </w:rPr>
        <w:tab/>
      </w:r>
      <w:r w:rsidRPr="003C54C9">
        <w:rPr>
          <w:rStyle w:val="EndnoteReference"/>
          <w:lang w:val="es-ES"/>
        </w:rPr>
        <w:endnoteRef/>
      </w:r>
      <w:r>
        <w:rPr>
          <w:lang w:val="es-ES"/>
        </w:rPr>
        <w:tab/>
        <w:t>Recomendación de 2013, párr. 23: se insta al Estado parte a: a) Garantizar un acceso efectivo de las mujeres, en particular de las que han sido víctimas de actos de violencia, a los tribunales; b) Evaluar continuamente los efectos de las reformas de la asistencia letrada en la protección de los derechos de la mujer; c) Proteger a las mujeres de los sistemas oficiosos de arbitraje comunitario, especialmente de aquellos que violan sus derechos reconocidos por la Convención.</w:t>
      </w:r>
      <w:bookmarkEnd w:id="425"/>
    </w:p>
  </w:endnote>
  <w:endnote w:id="44">
    <w:p w14:paraId="5CC452FA"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438" w:name="endnoteBookmark_468"/>
      <w:r>
        <w:rPr>
          <w:lang w:val="es-ES"/>
        </w:rPr>
        <w:tab/>
      </w:r>
      <w:r w:rsidRPr="003C54C9">
        <w:rPr>
          <w:rStyle w:val="EndnoteReference"/>
          <w:lang w:val="es-ES"/>
        </w:rPr>
        <w:endnoteRef/>
      </w:r>
      <w:r>
        <w:rPr>
          <w:lang w:val="es-ES"/>
        </w:rPr>
        <w:tab/>
        <w:t>Recomendación de 2013, párr. 47 e): se insta al Estado parte a que garantice el acceso de las mujeres a la justicia en los litigios laborales, en particular aquellos referidos a la discriminación por embarazo y maternidad.</w:t>
      </w:r>
      <w:bookmarkEnd w:id="438"/>
    </w:p>
  </w:endnote>
  <w:endnote w:id="45">
    <w:p w14:paraId="72B03B8D" w14:textId="7F1DA024" w:rsidR="00566738" w:rsidRPr="002E181F" w:rsidRDefault="00566738" w:rsidP="0011638B">
      <w:pPr>
        <w:pStyle w:val="EndnoteText"/>
        <w:tabs>
          <w:tab w:val="clear" w:pos="418"/>
          <w:tab w:val="right" w:pos="1195"/>
          <w:tab w:val="left" w:pos="1267"/>
        </w:tabs>
        <w:ind w:left="1267" w:right="1267" w:hanging="576"/>
        <w:rPr>
          <w:lang w:val="es-ES"/>
        </w:rPr>
      </w:pPr>
      <w:bookmarkStart w:id="443" w:name="endnoteBookmark_473"/>
      <w:r>
        <w:rPr>
          <w:lang w:val="es-ES"/>
        </w:rPr>
        <w:tab/>
      </w:r>
      <w:r w:rsidRPr="003C54C9">
        <w:rPr>
          <w:rStyle w:val="EndnoteReference"/>
          <w:lang w:val="es-ES"/>
        </w:rPr>
        <w:endnoteRef/>
      </w:r>
      <w:r>
        <w:rPr>
          <w:lang w:val="es-ES"/>
        </w:rPr>
        <w:tab/>
        <w:t>Recomendación de 2013, párr. 25: se insta al Estado parte a: a) Ampliar el mandato de la Investigación Histórica de los Abusos cometidos en Instituciones para incluir a las mujeres que ingresaron a las lavanderías de la Magdalena cuando tenían más de 18 años de edad; b) Proporcionar recursos y reparación suficientes a todas las víctimas de malos tratos que estuvieron privadas de libertad en las lavanderías de la Magdalena e instituciones similares.</w:t>
      </w:r>
      <w:bookmarkEnd w:id="443"/>
    </w:p>
  </w:endnote>
  <w:endnote w:id="46">
    <w:p w14:paraId="6DE97E4A"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448" w:name="endnoteBookmark_478"/>
      <w:r>
        <w:rPr>
          <w:lang w:val="es-ES"/>
        </w:rPr>
        <w:tab/>
      </w:r>
      <w:r w:rsidRPr="003C54C9">
        <w:rPr>
          <w:rStyle w:val="EndnoteReference"/>
          <w:lang w:val="es-ES"/>
        </w:rPr>
        <w:endnoteRef/>
      </w:r>
      <w:r>
        <w:rPr>
          <w:lang w:val="es-ES"/>
        </w:rPr>
        <w:tab/>
        <w:t>Recomendación de 2013, párr. 27 a): se insta al Estado parte a considerar la posibilidad de aplicar las recomendaciones elaboradas por Lord Carloway relativas a la eliminación del requisito de la corroboración en las causas penales por delitos sexuales.</w:t>
      </w:r>
      <w:bookmarkEnd w:id="448"/>
    </w:p>
  </w:endnote>
  <w:endnote w:id="47">
    <w:p w14:paraId="319ED6A4"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451" w:name="endnoteBookmark_481"/>
      <w:r>
        <w:rPr>
          <w:lang w:val="es-ES"/>
        </w:rPr>
        <w:tab/>
      </w:r>
      <w:r w:rsidRPr="003C54C9">
        <w:rPr>
          <w:rStyle w:val="EndnoteReference"/>
          <w:lang w:val="es-ES"/>
        </w:rPr>
        <w:endnoteRef/>
      </w:r>
      <w:r>
        <w:rPr>
          <w:lang w:val="es-ES"/>
        </w:rPr>
        <w:tab/>
        <w:t>Recomendación de 2013, párr. 27 b): ampliar el período de prescripción para la presentación de demandas civiles que impliquen abuso sexual, especialmente de niñas, para que las víctimas puedan entablar acciones judiciales cuando sean adultas.</w:t>
      </w:r>
      <w:bookmarkEnd w:id="451"/>
    </w:p>
  </w:endnote>
  <w:endnote w:id="48">
    <w:p w14:paraId="359D31DD"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459" w:name="endnoteBookmark_488"/>
      <w:r>
        <w:rPr>
          <w:lang w:val="es-ES"/>
        </w:rPr>
        <w:tab/>
      </w:r>
      <w:r w:rsidRPr="003C54C9">
        <w:rPr>
          <w:rStyle w:val="EndnoteReference"/>
          <w:lang w:val="es-ES"/>
        </w:rPr>
        <w:endnoteRef/>
      </w:r>
      <w:r>
        <w:rPr>
          <w:lang w:val="es-ES"/>
        </w:rPr>
        <w:tab/>
        <w:t>Recomendación de 2013, párr. 35 a): se insta al Estado parte a tipificar como delito el matrimonio forzado.</w:t>
      </w:r>
      <w:bookmarkEnd w:id="459"/>
    </w:p>
  </w:endnote>
  <w:endnote w:id="49">
    <w:p w14:paraId="6A8EAE6B"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464" w:name="endnoteBookmark_493"/>
      <w:r>
        <w:rPr>
          <w:lang w:val="es-ES"/>
        </w:rPr>
        <w:tab/>
      </w:r>
      <w:r w:rsidRPr="003C54C9">
        <w:rPr>
          <w:rStyle w:val="EndnoteReference"/>
          <w:lang w:val="es-ES"/>
        </w:rPr>
        <w:endnoteRef/>
      </w:r>
      <w:r>
        <w:rPr>
          <w:lang w:val="es-ES"/>
        </w:rPr>
        <w:tab/>
        <w:t>Recomendación de 2013, párr. 65: se insta al Estado parte a acelerar los esfuerzos para emprender reformas con miras a proteger los derechos de propiedad de las mujeres en casos de disolución del matrimonio o de uniones de hecho en consonancia con la recomendación general núm. 29 sobre las consecuencias económicas del matrimonio, las relaciones familiares y su disolución y el artículo 16 de la Convención.</w:t>
      </w:r>
      <w:bookmarkEnd w:id="464"/>
    </w:p>
  </w:endnote>
  <w:endnote w:id="50">
    <w:p w14:paraId="7EC6357B"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467" w:name="endnoteBookmark_496"/>
      <w:r>
        <w:rPr>
          <w:lang w:val="es-ES"/>
        </w:rPr>
        <w:tab/>
      </w:r>
      <w:r w:rsidRPr="003C54C9">
        <w:rPr>
          <w:rStyle w:val="EndnoteReference"/>
          <w:lang w:val="es-ES"/>
        </w:rPr>
        <w:endnoteRef/>
      </w:r>
      <w:r>
        <w:rPr>
          <w:lang w:val="es-ES"/>
        </w:rPr>
        <w:tab/>
        <w:t>Recomendación de 2013, párr. 35 e): se insta al Estado parte a enmendar su legislación para prohibir el castigo corporal de niños en el hogar.</w:t>
      </w:r>
      <w:bookmarkEnd w:id="467"/>
    </w:p>
  </w:endnote>
  <w:endnote w:id="51">
    <w:p w14:paraId="14FE9E22"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472" w:name="endnoteBookmark_500"/>
      <w:r>
        <w:rPr>
          <w:lang w:val="es-ES"/>
        </w:rPr>
        <w:tab/>
      </w:r>
      <w:r w:rsidRPr="003C54C9">
        <w:rPr>
          <w:rStyle w:val="EndnoteReference"/>
          <w:lang w:val="es-ES"/>
        </w:rPr>
        <w:endnoteRef/>
      </w:r>
      <w:r>
        <w:rPr>
          <w:lang w:val="es-ES"/>
        </w:rPr>
        <w:tab/>
        <w:t>Recomendación de 2013, párr. 35 c): continuar las campañas de sensibilización pública sobre todas las formas de violencia contra las mujeres, en particular las negras y las pertenecientes a minorías étnicas.</w:t>
      </w:r>
      <w:bookmarkEnd w:id="472"/>
    </w:p>
  </w:endnote>
  <w:endnote w:id="52">
    <w:p w14:paraId="070527F1"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481" w:name="endnoteBookmark_508"/>
      <w:r>
        <w:rPr>
          <w:lang w:val="es-ES"/>
        </w:rPr>
        <w:tab/>
      </w:r>
      <w:r w:rsidRPr="003C54C9">
        <w:rPr>
          <w:rStyle w:val="EndnoteReference"/>
          <w:lang w:val="es-ES"/>
        </w:rPr>
        <w:endnoteRef/>
      </w:r>
      <w:r>
        <w:rPr>
          <w:lang w:val="es-ES"/>
        </w:rPr>
        <w:tab/>
        <w:t>Recomendación de 2013, párr. 35 d): intensificar los esfuerzos para capacitar a los policías a fin de eliminar los prejuicios relacionados con la credibilidad de las víctimas de la violencia doméstica.</w:t>
      </w:r>
      <w:bookmarkEnd w:id="481"/>
    </w:p>
  </w:endnote>
  <w:endnote w:id="53">
    <w:p w14:paraId="6BD9F4C2" w14:textId="77777777" w:rsidR="00566738" w:rsidRPr="002E181F" w:rsidRDefault="00566738" w:rsidP="009853F8">
      <w:pPr>
        <w:pStyle w:val="EndnoteText"/>
        <w:tabs>
          <w:tab w:val="clear" w:pos="418"/>
          <w:tab w:val="right" w:pos="1195"/>
          <w:tab w:val="left" w:pos="1267"/>
        </w:tabs>
        <w:ind w:left="1267" w:right="1267" w:hanging="576"/>
        <w:rPr>
          <w:lang w:val="es-ES"/>
        </w:rPr>
      </w:pPr>
      <w:bookmarkStart w:id="483" w:name="endnoteBookmark_510"/>
      <w:r>
        <w:rPr>
          <w:lang w:val="es-ES"/>
        </w:rPr>
        <w:tab/>
      </w:r>
      <w:r w:rsidRPr="003C54C9">
        <w:rPr>
          <w:rStyle w:val="EndnoteReference"/>
          <w:lang w:val="es-ES"/>
        </w:rPr>
        <w:endnoteRef/>
      </w:r>
      <w:r>
        <w:rPr>
          <w:lang w:val="es-ES"/>
        </w:rPr>
        <w:tab/>
        <w:t>Recomendación de 2013, párr. 37: el Estado parte debe garantizar la plena aplicación de su legislación en materia de mutilación genital femenina. El Comité recomienda al Estado parte que vele por que el Ministerio Público de la Corona reciba el apoyo necesario para enjuiciar eficazmente a los autores de este delito, en particular el apoyo al plan de acción para mejorar el enjuiciamiento de la mutilación genital femenina publicado en noviembre de 2012 por el Director del Ministerio Público.</w:t>
      </w:r>
      <w:bookmarkEnd w:id="483"/>
    </w:p>
  </w:endnote>
  <w:endnote w:id="54">
    <w:p w14:paraId="238F96C3" w14:textId="77777777" w:rsidR="00566738" w:rsidRPr="002E181F" w:rsidRDefault="00566738" w:rsidP="0011638B">
      <w:pPr>
        <w:pStyle w:val="EndnoteText"/>
        <w:tabs>
          <w:tab w:val="clear" w:pos="418"/>
          <w:tab w:val="right" w:pos="1195"/>
          <w:tab w:val="left" w:pos="1267"/>
        </w:tabs>
        <w:ind w:left="1267" w:right="1267" w:hanging="576"/>
        <w:rPr>
          <w:lang w:val="es-ES"/>
        </w:rPr>
      </w:pPr>
      <w:bookmarkStart w:id="492" w:name="endnoteBookmark_519"/>
      <w:r>
        <w:rPr>
          <w:lang w:val="es-ES"/>
        </w:rPr>
        <w:tab/>
      </w:r>
      <w:r w:rsidRPr="003C54C9">
        <w:rPr>
          <w:rStyle w:val="EndnoteReference"/>
          <w:lang w:val="es-ES"/>
        </w:rPr>
        <w:endnoteRef/>
      </w:r>
      <w:r>
        <w:rPr>
          <w:lang w:val="es-ES"/>
        </w:rPr>
        <w:tab/>
        <w:t xml:space="preserve">Recomendación de 2013, párr. 35 b): se insta al Estado parte a esforzarse más para proteger a las mujeres, en particular las de raza negra y las pertenecientes a minorías étnicas, contra todas las formas de violencia, incluida la doméstica, y los llamados “crímenes de honor”. </w:t>
      </w:r>
      <w:bookmarkEnd w:id="492"/>
    </w:p>
  </w:endnote>
  <w:endnote w:id="55">
    <w:p w14:paraId="48380FB2" w14:textId="3B5D98EB" w:rsidR="00566738" w:rsidRDefault="00566738" w:rsidP="006E5AD6">
      <w:pPr>
        <w:pStyle w:val="EndnoteText"/>
        <w:tabs>
          <w:tab w:val="clear" w:pos="418"/>
          <w:tab w:val="right" w:pos="1195"/>
          <w:tab w:val="left" w:pos="1267"/>
        </w:tabs>
        <w:ind w:left="1267" w:right="1267" w:hanging="576"/>
        <w:rPr>
          <w:lang w:val="es-ES_tradnl"/>
        </w:rPr>
      </w:pPr>
      <w:bookmarkStart w:id="501" w:name="endnoteBookmark_528"/>
      <w:r>
        <w:rPr>
          <w:lang w:val="es-ES"/>
        </w:rPr>
        <w:tab/>
      </w:r>
      <w:r w:rsidRPr="003C54C9">
        <w:rPr>
          <w:rStyle w:val="EndnoteReference"/>
          <w:lang w:val="es-ES"/>
        </w:rPr>
        <w:endnoteRef/>
      </w:r>
      <w:r>
        <w:rPr>
          <w:lang w:val="es-ES"/>
        </w:rPr>
        <w:tab/>
        <w:t>Recomendación de 2013, párr. 35 a): se insta al Estado parte a ratificar el Convenio de Estambul.</w:t>
      </w:r>
      <w:bookmarkEnd w:id="501"/>
      <w:r w:rsidRPr="006E5AD6">
        <w:rPr>
          <w:lang w:val="es-ES_tradnl"/>
        </w:rPr>
        <w:t xml:space="preserve"> </w:t>
      </w:r>
    </w:p>
    <w:p w14:paraId="10C04B03" w14:textId="09090B58" w:rsidR="00566738" w:rsidRPr="006E5AD6" w:rsidRDefault="00566738" w:rsidP="006E5AD6">
      <w:pPr>
        <w:pStyle w:val="EndnoteText"/>
        <w:tabs>
          <w:tab w:val="clear" w:pos="418"/>
          <w:tab w:val="right" w:pos="1195"/>
          <w:tab w:val="left" w:pos="1267"/>
        </w:tabs>
        <w:spacing w:line="120" w:lineRule="exact"/>
        <w:ind w:left="1267" w:right="1267" w:hanging="576"/>
        <w:rPr>
          <w:sz w:val="10"/>
          <w:lang w:val="es-ES_tradnl"/>
        </w:rPr>
      </w:pPr>
    </w:p>
    <w:p w14:paraId="0C321BF1" w14:textId="7353AADF" w:rsidR="00566738" w:rsidRPr="00CF656E" w:rsidRDefault="00566738" w:rsidP="006E5AD6">
      <w:pPr>
        <w:pStyle w:val="EndnoteText"/>
        <w:tabs>
          <w:tab w:val="clear" w:pos="418"/>
          <w:tab w:val="right" w:pos="1195"/>
          <w:tab w:val="left" w:pos="1267"/>
        </w:tabs>
        <w:ind w:left="1267" w:right="1267" w:hanging="576"/>
        <w:jc w:val="center"/>
        <w:rPr>
          <w:u w:val="single"/>
        </w:rPr>
      </w:pPr>
      <w:r>
        <w:rPr>
          <w:u w:val="single"/>
        </w:rPr>
        <w:t>_______________</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3" w:type="dxa"/>
      <w:tblLayout w:type="fixed"/>
      <w:tblCellMar>
        <w:left w:w="0" w:type="dxa"/>
        <w:right w:w="0" w:type="dxa"/>
      </w:tblCellMar>
      <w:tblLook w:val="0000" w:firstRow="0" w:lastRow="0" w:firstColumn="0" w:lastColumn="0" w:noHBand="0" w:noVBand="0"/>
    </w:tblPr>
    <w:tblGrid>
      <w:gridCol w:w="5028"/>
      <w:gridCol w:w="4845"/>
    </w:tblGrid>
    <w:tr w:rsidR="00566738" w14:paraId="0FA5269D" w14:textId="77777777" w:rsidTr="00AB43B5">
      <w:tc>
        <w:tcPr>
          <w:tcW w:w="5028" w:type="dxa"/>
        </w:tcPr>
        <w:p w14:paraId="7DF9833C" w14:textId="3F032089" w:rsidR="00566738" w:rsidRDefault="00566738" w:rsidP="00A744CE">
          <w:pPr>
            <w:pStyle w:val="Footer"/>
            <w:rPr>
              <w:b w:val="0"/>
              <w:bCs w:val="0"/>
              <w:w w:val="103"/>
              <w:sz w:val="14"/>
              <w:szCs w:val="14"/>
            </w:rPr>
          </w:pPr>
          <w:r>
            <w:rPr>
              <w:w w:val="103"/>
            </w:rPr>
            <w:fldChar w:fldCharType="begin"/>
          </w:r>
          <w:r>
            <w:rPr>
              <w:w w:val="103"/>
            </w:rPr>
            <w:instrText xml:space="preserve"> PAGE  \* Arabic  \* MERGEFORMAT </w:instrText>
          </w:r>
          <w:r>
            <w:rPr>
              <w:w w:val="103"/>
            </w:rPr>
            <w:fldChar w:fldCharType="separate"/>
          </w:r>
          <w:r w:rsidR="00C45A61">
            <w:rPr>
              <w:w w:val="103"/>
            </w:rPr>
            <w:t>50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45A61">
            <w:rPr>
              <w:w w:val="103"/>
            </w:rPr>
            <w:t>50</w:t>
          </w:r>
          <w:r>
            <w:rPr>
              <w:w w:val="103"/>
            </w:rPr>
            <w:fldChar w:fldCharType="end"/>
          </w:r>
        </w:p>
      </w:tc>
      <w:tc>
        <w:tcPr>
          <w:tcW w:w="4845" w:type="dxa"/>
        </w:tcPr>
        <w:p w14:paraId="682C8988" w14:textId="62A335BB" w:rsidR="00566738" w:rsidRPr="00F60BB5" w:rsidRDefault="00566738" w:rsidP="00A744CE">
          <w:pPr>
            <w:pStyle w:val="Footer"/>
            <w:jc w:val="right"/>
            <w:rPr>
              <w:b w:val="0"/>
              <w:bCs w:val="0"/>
              <w:w w:val="103"/>
              <w:sz w:val="14"/>
              <w:szCs w:val="14"/>
            </w:rPr>
          </w:pPr>
          <w:r w:rsidRPr="00F60BB5">
            <w:rPr>
              <w:b w:val="0"/>
              <w:bCs w:val="0"/>
              <w:w w:val="103"/>
              <w:sz w:val="14"/>
              <w:szCs w:val="14"/>
            </w:rPr>
            <w:t>17-22711</w:t>
          </w:r>
        </w:p>
      </w:tc>
    </w:tr>
  </w:tbl>
  <w:p w14:paraId="4DC70058" w14:textId="77777777" w:rsidR="00566738" w:rsidRDefault="00566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3" w:type="dxa"/>
      <w:tblLayout w:type="fixed"/>
      <w:tblCellMar>
        <w:left w:w="0" w:type="dxa"/>
        <w:right w:w="0" w:type="dxa"/>
      </w:tblCellMar>
      <w:tblLook w:val="0000" w:firstRow="0" w:lastRow="0" w:firstColumn="0" w:lastColumn="0" w:noHBand="0" w:noVBand="0"/>
    </w:tblPr>
    <w:tblGrid>
      <w:gridCol w:w="5028"/>
      <w:gridCol w:w="4845"/>
    </w:tblGrid>
    <w:tr w:rsidR="00566738" w14:paraId="7BA3436C" w14:textId="77777777" w:rsidTr="00AB43B5">
      <w:tc>
        <w:tcPr>
          <w:tcW w:w="5028" w:type="dxa"/>
        </w:tcPr>
        <w:p w14:paraId="4D24DCA6" w14:textId="7784410F" w:rsidR="00566738" w:rsidRPr="00F60BB5" w:rsidRDefault="00F60BB5" w:rsidP="00A744CE">
          <w:pPr>
            <w:pStyle w:val="Footer"/>
            <w:rPr>
              <w:b w:val="0"/>
              <w:bCs w:val="0"/>
              <w:w w:val="103"/>
              <w:sz w:val="14"/>
              <w:szCs w:val="14"/>
            </w:rPr>
          </w:pPr>
          <w:r w:rsidRPr="00F60BB5">
            <w:rPr>
              <w:b w:val="0"/>
              <w:bCs w:val="0"/>
              <w:w w:val="103"/>
              <w:sz w:val="14"/>
              <w:szCs w:val="14"/>
            </w:rPr>
            <w:t>17-22711</w:t>
          </w:r>
        </w:p>
      </w:tc>
      <w:tc>
        <w:tcPr>
          <w:tcW w:w="4845" w:type="dxa"/>
        </w:tcPr>
        <w:p w14:paraId="1A31980F" w14:textId="3F3BDD18" w:rsidR="00566738" w:rsidRDefault="00566738" w:rsidP="00A744CE">
          <w:pPr>
            <w:pStyle w:val="Footer"/>
            <w:jc w:val="right"/>
            <w:rPr>
              <w:b w:val="0"/>
              <w:bCs w:val="0"/>
              <w:w w:val="103"/>
              <w:sz w:val="14"/>
              <w:szCs w:val="14"/>
            </w:rPr>
          </w:pPr>
          <w:r>
            <w:rPr>
              <w:w w:val="103"/>
            </w:rPr>
            <w:fldChar w:fldCharType="begin"/>
          </w:r>
          <w:r>
            <w:rPr>
              <w:w w:val="103"/>
            </w:rPr>
            <w:instrText xml:space="preserve"> PAGE  \* Arabic  \* MERGEFORMAT </w:instrText>
          </w:r>
          <w:r>
            <w:rPr>
              <w:w w:val="103"/>
            </w:rPr>
            <w:fldChar w:fldCharType="separate"/>
          </w:r>
          <w:r w:rsidR="00C45A61">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45A61">
            <w:rPr>
              <w:w w:val="103"/>
            </w:rPr>
            <w:t>51</w:t>
          </w:r>
          <w:r>
            <w:rPr>
              <w:w w:val="103"/>
            </w:rPr>
            <w:fldChar w:fldCharType="end"/>
          </w:r>
        </w:p>
      </w:tc>
    </w:tr>
  </w:tbl>
  <w:p w14:paraId="415E8D7B" w14:textId="77777777" w:rsidR="00566738" w:rsidRDefault="005667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801"/>
      <w:gridCol w:w="5028"/>
    </w:tblGrid>
    <w:tr w:rsidR="00566738" w14:paraId="6905397C" w14:textId="77777777" w:rsidTr="00AB43B5">
      <w:tc>
        <w:tcPr>
          <w:tcW w:w="3801" w:type="dxa"/>
        </w:tcPr>
        <w:p w14:paraId="2DD8507E" w14:textId="250C61A3" w:rsidR="00566738" w:rsidRDefault="00566738">
          <w:pPr>
            <w:pStyle w:val="ReleaseDate"/>
          </w:pPr>
          <w:r>
            <w:rPr>
              <w:noProof/>
            </w:rPr>
            <w:t>17-22711X (S)</w:t>
          </w:r>
          <w:r w:rsidRPr="00F80A20">
            <w:rPr>
              <w:noProof/>
            </w:rPr>
            <w:t xml:space="preserve"> </w:t>
          </w:r>
        </w:p>
        <w:p w14:paraId="5E94AB2B" w14:textId="77777777" w:rsidR="00566738" w:rsidRDefault="00566738">
          <w:pPr>
            <w:pStyle w:val="Footer"/>
            <w:spacing w:before="80" w:line="210" w:lineRule="exact"/>
            <w:rPr>
              <w:rFonts w:ascii="Barcode 3 of 9 by request" w:hAnsi="Barcode 3 of 9 by request" w:cs="Barcode 3 of 9 by request"/>
              <w:sz w:val="24"/>
              <w:szCs w:val="24"/>
            </w:rPr>
          </w:pPr>
          <w:r>
            <w:rPr>
              <w:rFonts w:ascii="Barcode 3 of 9 by request" w:hAnsi="Barcode 3 of 9 by request" w:cs="Barcode 3 of 9 by request"/>
              <w:sz w:val="24"/>
              <w:szCs w:val="24"/>
            </w:rPr>
            <w:t>*1722711*</w:t>
          </w:r>
        </w:p>
      </w:tc>
      <w:tc>
        <w:tcPr>
          <w:tcW w:w="5028" w:type="dxa"/>
        </w:tcPr>
        <w:p w14:paraId="08776FB5" w14:textId="02F133E6" w:rsidR="00566738" w:rsidRDefault="00566738">
          <w:pPr>
            <w:pStyle w:val="Footer"/>
            <w:jc w:val="right"/>
            <w:rPr>
              <w:b w:val="0"/>
              <w:bCs w:val="0"/>
              <w:sz w:val="20"/>
              <w:szCs w:val="20"/>
            </w:rPr>
          </w:pPr>
          <w:r>
            <w:rPr>
              <w:b w:val="0"/>
              <w:sz w:val="20"/>
              <w:lang w:val="en-US" w:eastAsia="zh-CN"/>
            </w:rPr>
            <w:drawing>
              <wp:inline distT="0" distB="0" distL="0" distR="0" wp14:anchorId="413C7138" wp14:editId="6B0AC989">
                <wp:extent cx="1038225" cy="209550"/>
                <wp:effectExtent l="0" t="0" r="9525" b="0"/>
                <wp:docPr id="4" name="Picture 5" descr="Description: Description: Description: Description: Description: Description: Description: Description: Description: Description: Description: Description: 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Description: Description: Description: Description: 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209550"/>
                        </a:xfrm>
                        <a:prstGeom prst="rect">
                          <a:avLst/>
                        </a:prstGeom>
                        <a:noFill/>
                        <a:ln>
                          <a:noFill/>
                        </a:ln>
                      </pic:spPr>
                    </pic:pic>
                  </a:graphicData>
                </a:graphic>
              </wp:inline>
            </w:drawing>
          </w:r>
        </w:p>
      </w:tc>
    </w:tr>
  </w:tbl>
  <w:p w14:paraId="087B35DF" w14:textId="7A60B4F3" w:rsidR="00566738" w:rsidRDefault="00566738">
    <w:pPr>
      <w:pStyle w:val="Footer"/>
      <w:spacing w:line="56" w:lineRule="auto"/>
      <w:rPr>
        <w:b w:val="0"/>
        <w:bCs w:val="0"/>
        <w:sz w:val="20"/>
        <w:szCs w:val="20"/>
      </w:rPr>
    </w:pPr>
    <w:r>
      <w:rPr>
        <w:lang w:val="en-US" w:eastAsia="zh-CN"/>
      </w:rPr>
      <w:drawing>
        <wp:anchor distT="0" distB="0" distL="114300" distR="114300" simplePos="0" relativeHeight="251658240" behindDoc="0" locked="0" layoutInCell="1" allowOverlap="1" wp14:anchorId="7B28E576" wp14:editId="70CB65E2">
          <wp:simplePos x="0" y="0"/>
          <wp:positionH relativeFrom="column">
            <wp:posOffset>5613128</wp:posOffset>
          </wp:positionH>
          <wp:positionV relativeFrom="paragraph">
            <wp:posOffset>-693420</wp:posOffset>
          </wp:positionV>
          <wp:extent cx="694690" cy="69469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8C497" w14:textId="77777777" w:rsidR="00566738" w:rsidRDefault="00566738">
      <w:pPr>
        <w:pStyle w:val="Footer"/>
        <w:spacing w:after="80"/>
        <w:ind w:left="792"/>
        <w:rPr>
          <w:sz w:val="16"/>
          <w:szCs w:val="16"/>
        </w:rPr>
      </w:pPr>
      <w:r>
        <w:rPr>
          <w:sz w:val="16"/>
          <w:szCs w:val="16"/>
        </w:rPr>
        <w:t>__________________</w:t>
      </w:r>
    </w:p>
  </w:footnote>
  <w:footnote w:type="continuationSeparator" w:id="0">
    <w:p w14:paraId="3E1D72EE" w14:textId="77777777" w:rsidR="00566738" w:rsidRDefault="00566738">
      <w:pPr>
        <w:pStyle w:val="Footer"/>
        <w:spacing w:after="80"/>
        <w:ind w:left="792"/>
        <w:rPr>
          <w:sz w:val="16"/>
          <w:szCs w:val="16"/>
        </w:rPr>
      </w:pPr>
      <w:r>
        <w:rPr>
          <w:sz w:val="16"/>
          <w:szCs w:val="16"/>
        </w:rPr>
        <w:t>__________________</w:t>
      </w:r>
    </w:p>
  </w:footnote>
  <w:footnote w:id="1">
    <w:p w14:paraId="3F62A170"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9" w:name="footnoteBookmark_48"/>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https://www.gov.uk/government/news/restoration-of-devolution-a-priority-says-secretary-of-state.</w:t>
      </w:r>
      <w:bookmarkEnd w:id="9"/>
    </w:p>
  </w:footnote>
  <w:footnote w:id="2">
    <w:p w14:paraId="45D81496"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12" w:name="footnoteBookmark_51"/>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http://tbinternet.ohchr.org/_layouts/treatybodyexternal/Download.aspx?symbolno= CEDAW%2fC%2fGBR%2fCO%2f7&amp;Lang=es.</w:t>
      </w:r>
      <w:bookmarkEnd w:id="12"/>
    </w:p>
  </w:footnote>
  <w:footnote w:id="3">
    <w:p w14:paraId="0D9AA29A" w14:textId="2984884E"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14" w:name="footnoteBookmark_53"/>
      <w:r>
        <w:rPr>
          <w:spacing w:val="4"/>
          <w:kern w:val="0"/>
          <w:szCs w:val="22"/>
          <w:lang w:val="es-ES" w:eastAsia="en-US"/>
        </w:rPr>
        <w:tab/>
      </w:r>
      <w:r w:rsidRPr="00284834">
        <w:rPr>
          <w:spacing w:val="4"/>
          <w:kern w:val="0"/>
          <w:szCs w:val="22"/>
          <w:vertAlign w:val="superscript"/>
          <w:lang w:val="es-ES" w:eastAsia="en-US"/>
        </w:rPr>
        <w:footnoteRef/>
      </w:r>
      <w:r>
        <w:rPr>
          <w:spacing w:val="4"/>
          <w:kern w:val="0"/>
          <w:szCs w:val="22"/>
          <w:lang w:val="es-ES" w:eastAsia="en-US"/>
        </w:rPr>
        <w:tab/>
      </w:r>
      <w:r w:rsidRPr="00C01F60">
        <w:rPr>
          <w:spacing w:val="4"/>
          <w:kern w:val="0"/>
          <w:szCs w:val="22"/>
          <w:lang w:val="es-ES" w:eastAsia="en-US"/>
        </w:rPr>
        <w:t>http://tbinternet.ohchr.org/_layouts/treatybodyexternal/Download.aspx?symbolno=</w:t>
      </w:r>
      <w:r>
        <w:rPr>
          <w:spacing w:val="4"/>
          <w:kern w:val="0"/>
          <w:szCs w:val="22"/>
          <w:lang w:val="es-ES" w:eastAsia="en-US"/>
        </w:rPr>
        <w:br/>
      </w:r>
      <w:r w:rsidRPr="00C01F60">
        <w:rPr>
          <w:spacing w:val="4"/>
          <w:kern w:val="0"/>
          <w:szCs w:val="22"/>
          <w:lang w:val="es-ES" w:eastAsia="en-US"/>
        </w:rPr>
        <w:t>HRI%2fCORE%2fGBR%2f2014&amp;Lang=es.</w:t>
      </w:r>
      <w:bookmarkEnd w:id="14"/>
    </w:p>
  </w:footnote>
  <w:footnote w:id="4">
    <w:p w14:paraId="005C94D6"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34" w:name="footnoteBookmark_71"/>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http://tbinternet.ohchr.org/_layouts/treatybodyexternal/Download.aspx?symbolno= CEDAW%2fC%2fGBR%2fCO%2f7&amp;Lang=es.</w:t>
      </w:r>
      <w:bookmarkEnd w:id="34"/>
    </w:p>
  </w:footnote>
  <w:footnote w:id="5">
    <w:p w14:paraId="7AC693A1" w14:textId="578F8A03"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44" w:name="footnoteBookmark_80"/>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http://www.legislation.gov.uk/ukpga/</w:t>
      </w:r>
      <w:r w:rsidRPr="00F44A66">
        <w:rPr>
          <w:spacing w:val="4"/>
          <w:kern w:val="0"/>
          <w:szCs w:val="22"/>
          <w:lang w:val="es-ES" w:eastAsia="en-US"/>
        </w:rPr>
        <w:t>2010/15</w:t>
      </w:r>
      <w:r w:rsidRPr="00C01F60">
        <w:rPr>
          <w:spacing w:val="4"/>
          <w:kern w:val="0"/>
          <w:szCs w:val="22"/>
          <w:lang w:val="es-ES" w:eastAsia="en-US"/>
        </w:rPr>
        <w:t>/contents.</w:t>
      </w:r>
      <w:bookmarkEnd w:id="44"/>
    </w:p>
  </w:footnote>
  <w:footnote w:id="6">
    <w:p w14:paraId="2F1A890B"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47" w:name="footnoteBookmark_84"/>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https://www.equalityhumanrights.com/sites/default/files/employercode.pdf.</w:t>
      </w:r>
      <w:bookmarkEnd w:id="47"/>
    </w:p>
  </w:footnote>
  <w:footnote w:id="7">
    <w:p w14:paraId="28082F1C" w14:textId="6A1361B4"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62" w:name="footnoteBookmark_99"/>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https://www.gov.uk/government/uploads/system/uploads/attachment_data/file/603500/Agenda-2030-Report4.pdf.</w:t>
      </w:r>
      <w:bookmarkEnd w:id="62"/>
    </w:p>
  </w:footnote>
  <w:footnote w:id="8">
    <w:p w14:paraId="5D03FCEB"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67" w:name="footnoteBookmark_104"/>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https://www.gov.uk/government/news/prime-minister-orders-government-audit-to-tackle-racial-disparities-in-public-service-outcomes.</w:t>
      </w:r>
      <w:bookmarkEnd w:id="67"/>
    </w:p>
  </w:footnote>
  <w:footnote w:id="9">
    <w:p w14:paraId="7D0AA29A" w14:textId="1816BFCB"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74" w:name="footnoteBookmark_111"/>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https://www.gov.uk/government/uploads/system/uploads/attachment</w:t>
      </w:r>
      <w:r>
        <w:rPr>
          <w:spacing w:val="4"/>
          <w:kern w:val="0"/>
          <w:szCs w:val="22"/>
          <w:lang w:val="es-ES" w:eastAsia="en-US"/>
        </w:rPr>
        <w:br/>
      </w:r>
      <w:r w:rsidRPr="00C01F60">
        <w:rPr>
          <w:spacing w:val="4"/>
          <w:kern w:val="0"/>
          <w:szCs w:val="22"/>
          <w:lang w:val="es-ES" w:eastAsia="en-US"/>
        </w:rPr>
        <w:t>_data/file/574665/VAWG_National_Statement_of_Expectations_-_FINAL.PDF.</w:t>
      </w:r>
      <w:bookmarkEnd w:id="74"/>
    </w:p>
  </w:footnote>
  <w:footnote w:id="10">
    <w:p w14:paraId="1C0CE8FB"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79" w:name="footnoteBookmark_116"/>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http://www.justice.gov.uk/publications/docs/corston-report-march-2007.pdf.</w:t>
      </w:r>
      <w:bookmarkEnd w:id="79"/>
    </w:p>
  </w:footnote>
  <w:footnote w:id="11">
    <w:p w14:paraId="3652A28D" w14:textId="46D3C1F3"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86" w:name="footnoteBookmark_123"/>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r>
      <w:r w:rsidRPr="000930DE">
        <w:rPr>
          <w:spacing w:val="4"/>
          <w:kern w:val="0"/>
          <w:szCs w:val="22"/>
          <w:lang w:val="es-ES" w:eastAsia="en-US"/>
        </w:rPr>
        <w:t>https://www.gov.uk/government/statistics/children-looked-after-in-england-including-adoption-2014-to-2015</w:t>
      </w:r>
      <w:r w:rsidRPr="00C01F60">
        <w:rPr>
          <w:spacing w:val="4"/>
          <w:kern w:val="0"/>
          <w:szCs w:val="22"/>
          <w:lang w:val="es-ES" w:eastAsia="en-US"/>
        </w:rPr>
        <w:t xml:space="preserve">. </w:t>
      </w:r>
      <w:bookmarkEnd w:id="86"/>
    </w:p>
  </w:footnote>
  <w:footnote w:id="12">
    <w:p w14:paraId="1B32CBFF"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106" w:name="footnoteBookmark_143"/>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https://www.legislation.gov.im/cms/images/LEGISLATION/PRINCIPAL/2017/2017-0005/EqualityAct2017_1.pdf.</w:t>
      </w:r>
      <w:bookmarkEnd w:id="106"/>
    </w:p>
  </w:footnote>
  <w:footnote w:id="13">
    <w:p w14:paraId="06C8C823"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107" w:name="footnoteBookmark_144"/>
      <w:bookmarkStart w:id="108" w:name="footnoteBookmark_150"/>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https://www.gov.im/about-the-government/government/the-council-of-ministers/programme-for-government/.</w:t>
      </w:r>
      <w:bookmarkEnd w:id="107"/>
    </w:p>
    <w:bookmarkEnd w:id="108"/>
  </w:footnote>
  <w:footnote w:id="14">
    <w:p w14:paraId="5FB299AA" w14:textId="5D8CDCA0"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r>
      <w:r w:rsidRPr="007A1CF8">
        <w:rPr>
          <w:spacing w:val="4"/>
          <w:kern w:val="0"/>
          <w:szCs w:val="22"/>
          <w:lang w:val="es-ES" w:eastAsia="en-US"/>
        </w:rPr>
        <w:t>https://www.asa.org.uk/resource/depictions-perceptions-and-harm.html</w:t>
      </w:r>
      <w:r w:rsidRPr="00C01F60">
        <w:rPr>
          <w:spacing w:val="4"/>
          <w:kern w:val="0"/>
          <w:szCs w:val="22"/>
          <w:lang w:val="es-ES" w:eastAsia="en-US"/>
        </w:rPr>
        <w:t>.</w:t>
      </w:r>
    </w:p>
  </w:footnote>
  <w:footnote w:id="15">
    <w:p w14:paraId="61BDFC60"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https://www.gov.uk/government/publications/leveson-inquiry-report-into-the-culture-practices-and-ethics-of-the-press.</w:t>
      </w:r>
    </w:p>
  </w:footnote>
  <w:footnote w:id="16">
    <w:p w14:paraId="5087E51C" w14:textId="77777777" w:rsidR="00566738" w:rsidRPr="00FE6B53"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n-US" w:eastAsia="en-US"/>
        </w:rPr>
      </w:pPr>
      <w:bookmarkStart w:id="118" w:name="footnoteBookmark_157"/>
      <w:r w:rsidRPr="00C01F60">
        <w:rPr>
          <w:spacing w:val="4"/>
          <w:kern w:val="0"/>
          <w:szCs w:val="22"/>
          <w:lang w:val="es-ES" w:eastAsia="en-US"/>
        </w:rPr>
        <w:tab/>
      </w:r>
      <w:r w:rsidRPr="00284834">
        <w:rPr>
          <w:spacing w:val="4"/>
          <w:kern w:val="0"/>
          <w:szCs w:val="22"/>
          <w:vertAlign w:val="superscript"/>
          <w:lang w:val="es-ES" w:eastAsia="en-US"/>
        </w:rPr>
        <w:footnoteRef/>
      </w:r>
      <w:r w:rsidRPr="00FE6B53">
        <w:rPr>
          <w:spacing w:val="4"/>
          <w:kern w:val="0"/>
          <w:szCs w:val="22"/>
          <w:lang w:val="en-US" w:eastAsia="en-US"/>
        </w:rPr>
        <w:tab/>
        <w:t>https://www.gov.uk/government/uploads/system/uploads/attachment_data/file/254116 /Final_Royal_Charter_25_October_2013_clean__Final_.pdf.</w:t>
      </w:r>
      <w:bookmarkEnd w:id="118"/>
    </w:p>
  </w:footnote>
  <w:footnote w:id="17">
    <w:p w14:paraId="086D5524" w14:textId="77777777" w:rsidR="00566738" w:rsidRPr="00FE6B53"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n-US" w:eastAsia="en-US"/>
        </w:rPr>
      </w:pPr>
      <w:bookmarkStart w:id="124" w:name="footnoteBookmark_163"/>
      <w:r w:rsidRPr="00FE6B53">
        <w:rPr>
          <w:spacing w:val="4"/>
          <w:kern w:val="0"/>
          <w:szCs w:val="22"/>
          <w:lang w:val="en-US" w:eastAsia="en-US"/>
        </w:rPr>
        <w:tab/>
      </w:r>
      <w:r w:rsidRPr="00284834">
        <w:rPr>
          <w:spacing w:val="4"/>
          <w:kern w:val="0"/>
          <w:szCs w:val="22"/>
          <w:vertAlign w:val="superscript"/>
          <w:lang w:val="es-ES" w:eastAsia="en-US"/>
        </w:rPr>
        <w:footnoteRef/>
      </w:r>
      <w:r w:rsidRPr="00FE6B53">
        <w:rPr>
          <w:spacing w:val="4"/>
          <w:kern w:val="0"/>
          <w:szCs w:val="22"/>
          <w:lang w:val="en-US" w:eastAsia="en-US"/>
        </w:rPr>
        <w:tab/>
        <w:t>http://stimulatingphysics.org/.</w:t>
      </w:r>
      <w:bookmarkEnd w:id="124"/>
    </w:p>
  </w:footnote>
  <w:footnote w:id="18">
    <w:p w14:paraId="6568041E" w14:textId="77777777" w:rsidR="00566738" w:rsidRPr="00FE6B53"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n-US" w:eastAsia="en-US"/>
        </w:rPr>
      </w:pPr>
      <w:bookmarkStart w:id="128" w:name="footnoteBookmark_167"/>
      <w:r w:rsidRPr="00FE6B53">
        <w:rPr>
          <w:spacing w:val="4"/>
          <w:kern w:val="0"/>
          <w:szCs w:val="22"/>
          <w:lang w:val="en-US" w:eastAsia="en-US"/>
        </w:rPr>
        <w:tab/>
      </w:r>
      <w:r w:rsidRPr="00284834">
        <w:rPr>
          <w:spacing w:val="4"/>
          <w:kern w:val="0"/>
          <w:szCs w:val="22"/>
          <w:vertAlign w:val="superscript"/>
          <w:lang w:val="es-ES" w:eastAsia="en-US"/>
        </w:rPr>
        <w:footnoteRef/>
      </w:r>
      <w:r w:rsidRPr="00FE6B53">
        <w:rPr>
          <w:spacing w:val="4"/>
          <w:kern w:val="0"/>
          <w:szCs w:val="22"/>
          <w:lang w:val="en-US" w:eastAsia="en-US"/>
        </w:rPr>
        <w:tab/>
        <w:t>http://furthermaths.org.uk/2017.</w:t>
      </w:r>
      <w:bookmarkEnd w:id="128"/>
    </w:p>
  </w:footnote>
  <w:footnote w:id="19">
    <w:p w14:paraId="6272DC05" w14:textId="77777777" w:rsidR="00566738" w:rsidRPr="00FE6B53"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n-US" w:eastAsia="en-US"/>
        </w:rPr>
      </w:pPr>
      <w:bookmarkStart w:id="129" w:name="footnoteBookmark_168"/>
      <w:r w:rsidRPr="00FE6B53">
        <w:rPr>
          <w:spacing w:val="4"/>
          <w:kern w:val="0"/>
          <w:szCs w:val="22"/>
          <w:lang w:val="en-US" w:eastAsia="en-US"/>
        </w:rPr>
        <w:tab/>
      </w:r>
      <w:r w:rsidRPr="00284834">
        <w:rPr>
          <w:spacing w:val="4"/>
          <w:kern w:val="0"/>
          <w:szCs w:val="22"/>
          <w:vertAlign w:val="superscript"/>
          <w:lang w:val="es-ES" w:eastAsia="en-US"/>
        </w:rPr>
        <w:footnoteRef/>
      </w:r>
      <w:r w:rsidRPr="00FE6B53">
        <w:rPr>
          <w:spacing w:val="4"/>
          <w:kern w:val="0"/>
          <w:szCs w:val="22"/>
          <w:lang w:val="en-US" w:eastAsia="en-US"/>
        </w:rPr>
        <w:tab/>
        <w:t>https://www.gov.uk/government/news/education-secretary-announces-first-new-t-levels.</w:t>
      </w:r>
      <w:bookmarkEnd w:id="129"/>
    </w:p>
  </w:footnote>
  <w:footnote w:id="20">
    <w:p w14:paraId="6B6FA5F2" w14:textId="5CBB6AAD" w:rsidR="00566738" w:rsidRPr="00FE6B53"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n-US" w:eastAsia="en-US"/>
        </w:rPr>
      </w:pPr>
      <w:bookmarkStart w:id="132" w:name="footnoteBookmark_170"/>
      <w:r w:rsidRPr="00FE6B53">
        <w:rPr>
          <w:spacing w:val="4"/>
          <w:kern w:val="0"/>
          <w:szCs w:val="22"/>
          <w:lang w:val="en-US" w:eastAsia="en-US"/>
        </w:rPr>
        <w:tab/>
      </w:r>
      <w:r w:rsidRPr="00284834">
        <w:rPr>
          <w:spacing w:val="4"/>
          <w:kern w:val="0"/>
          <w:szCs w:val="22"/>
          <w:vertAlign w:val="superscript"/>
          <w:lang w:val="es-ES" w:eastAsia="en-US"/>
        </w:rPr>
        <w:footnoteRef/>
      </w:r>
      <w:r w:rsidRPr="00FE6B53">
        <w:rPr>
          <w:spacing w:val="4"/>
          <w:kern w:val="0"/>
          <w:szCs w:val="22"/>
          <w:lang w:val="en-US" w:eastAsia="en-US"/>
        </w:rPr>
        <w:tab/>
        <w:t>https://www.education-ni.gov.uk/sites/default/files/publications/de/Report%20of%20the%20STEM%20Review%202009_1.PDF.</w:t>
      </w:r>
      <w:bookmarkEnd w:id="132"/>
    </w:p>
  </w:footnote>
  <w:footnote w:id="21">
    <w:p w14:paraId="353E37F7" w14:textId="77777777" w:rsidR="00566738" w:rsidRPr="00FE6B53"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n-US" w:eastAsia="en-US"/>
        </w:rPr>
      </w:pPr>
      <w:bookmarkStart w:id="145" w:name="footnoteBookmark_182"/>
      <w:r w:rsidRPr="00FE6B53">
        <w:rPr>
          <w:spacing w:val="4"/>
          <w:kern w:val="0"/>
          <w:szCs w:val="22"/>
          <w:lang w:val="en-US" w:eastAsia="en-US"/>
        </w:rPr>
        <w:tab/>
      </w:r>
      <w:r w:rsidRPr="00284834">
        <w:rPr>
          <w:spacing w:val="4"/>
          <w:kern w:val="0"/>
          <w:szCs w:val="22"/>
          <w:vertAlign w:val="superscript"/>
          <w:lang w:val="es-ES" w:eastAsia="en-US"/>
        </w:rPr>
        <w:footnoteRef/>
      </w:r>
      <w:r w:rsidRPr="00FE6B53">
        <w:rPr>
          <w:spacing w:val="4"/>
          <w:kern w:val="0"/>
          <w:szCs w:val="22"/>
          <w:lang w:val="en-US" w:eastAsia="en-US"/>
        </w:rPr>
        <w:tab/>
        <w:t>https://www.gov.uk/government/news/revenge-porn-helpline-launched-by-government.</w:t>
      </w:r>
      <w:bookmarkEnd w:id="145"/>
    </w:p>
  </w:footnote>
  <w:footnote w:id="22">
    <w:p w14:paraId="2EF5CCBB" w14:textId="77777777" w:rsidR="00566738" w:rsidRPr="00FE6B53"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n-US" w:eastAsia="en-US"/>
        </w:rPr>
      </w:pPr>
      <w:bookmarkStart w:id="149" w:name="footnoteBookmark_186"/>
      <w:r w:rsidRPr="00FE6B53">
        <w:rPr>
          <w:spacing w:val="4"/>
          <w:kern w:val="0"/>
          <w:szCs w:val="22"/>
          <w:lang w:val="en-US" w:eastAsia="en-US"/>
        </w:rPr>
        <w:tab/>
      </w:r>
      <w:r w:rsidRPr="00284834">
        <w:rPr>
          <w:spacing w:val="4"/>
          <w:kern w:val="0"/>
          <w:szCs w:val="22"/>
          <w:vertAlign w:val="superscript"/>
          <w:lang w:val="es-ES" w:eastAsia="en-US"/>
        </w:rPr>
        <w:footnoteRef/>
      </w:r>
      <w:r w:rsidRPr="00FE6B53">
        <w:rPr>
          <w:spacing w:val="4"/>
          <w:kern w:val="0"/>
          <w:szCs w:val="22"/>
          <w:lang w:val="en-US" w:eastAsia="en-US"/>
        </w:rPr>
        <w:tab/>
        <w:t>https://www.gov.uk/government/publications/modern-slavery-strategy.</w:t>
      </w:r>
      <w:bookmarkEnd w:id="149"/>
    </w:p>
  </w:footnote>
  <w:footnote w:id="23">
    <w:p w14:paraId="26BBFF25" w14:textId="77777777" w:rsidR="00566738" w:rsidRPr="00FE6B53"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n-US" w:eastAsia="en-US"/>
        </w:rPr>
      </w:pPr>
      <w:bookmarkStart w:id="151" w:name="footnoteBookmark_188"/>
      <w:r w:rsidRPr="00FE6B53">
        <w:rPr>
          <w:spacing w:val="4"/>
          <w:kern w:val="0"/>
          <w:szCs w:val="22"/>
          <w:lang w:val="en-US" w:eastAsia="en-US"/>
        </w:rPr>
        <w:tab/>
      </w:r>
      <w:r w:rsidRPr="00284834">
        <w:rPr>
          <w:spacing w:val="4"/>
          <w:kern w:val="0"/>
          <w:szCs w:val="22"/>
          <w:vertAlign w:val="superscript"/>
          <w:lang w:val="es-ES" w:eastAsia="en-US"/>
        </w:rPr>
        <w:footnoteRef/>
      </w:r>
      <w:r w:rsidRPr="00FE6B53">
        <w:rPr>
          <w:spacing w:val="4"/>
          <w:kern w:val="0"/>
          <w:szCs w:val="22"/>
          <w:lang w:val="en-US" w:eastAsia="en-US"/>
        </w:rPr>
        <w:tab/>
        <w:t>http://www.nationalcrimeagency.gov.uk/about-us/what-we-do/specialist-capabilities/uk-human-trafficking-centre/national-referral-mechanism.</w:t>
      </w:r>
      <w:bookmarkEnd w:id="151"/>
    </w:p>
  </w:footnote>
  <w:footnote w:id="24">
    <w:p w14:paraId="153806C9" w14:textId="77777777" w:rsidR="00566738" w:rsidRPr="00FE6B53"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n-US" w:eastAsia="en-US"/>
        </w:rPr>
      </w:pPr>
      <w:bookmarkStart w:id="153" w:name="footnoteBookmark_190"/>
      <w:r w:rsidRPr="00FE6B53">
        <w:rPr>
          <w:spacing w:val="4"/>
          <w:kern w:val="0"/>
          <w:szCs w:val="22"/>
          <w:lang w:val="en-US" w:eastAsia="en-US"/>
        </w:rPr>
        <w:tab/>
      </w:r>
      <w:r w:rsidRPr="00284834">
        <w:rPr>
          <w:spacing w:val="4"/>
          <w:kern w:val="0"/>
          <w:szCs w:val="22"/>
          <w:vertAlign w:val="superscript"/>
          <w:lang w:val="es-ES" w:eastAsia="en-US"/>
        </w:rPr>
        <w:footnoteRef/>
      </w:r>
      <w:r w:rsidRPr="00FE6B53">
        <w:rPr>
          <w:spacing w:val="4"/>
          <w:kern w:val="0"/>
          <w:szCs w:val="22"/>
          <w:lang w:val="en-US" w:eastAsia="en-US"/>
        </w:rPr>
        <w:tab/>
        <w:t>https://beta.gov.scot/publications/trafficking-exploitation-strategy/.</w:t>
      </w:r>
      <w:bookmarkEnd w:id="153"/>
    </w:p>
  </w:footnote>
  <w:footnote w:id="25">
    <w:p w14:paraId="2169066B" w14:textId="77777777" w:rsidR="00566738" w:rsidRPr="00FE6B53"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n-US" w:eastAsia="en-US"/>
        </w:rPr>
      </w:pPr>
      <w:bookmarkStart w:id="158" w:name="footnoteBookmark_195"/>
      <w:r w:rsidRPr="00FE6B53">
        <w:rPr>
          <w:spacing w:val="4"/>
          <w:kern w:val="0"/>
          <w:szCs w:val="22"/>
          <w:lang w:val="en-US" w:eastAsia="en-US"/>
        </w:rPr>
        <w:tab/>
      </w:r>
      <w:r w:rsidRPr="00284834">
        <w:rPr>
          <w:spacing w:val="4"/>
          <w:kern w:val="0"/>
          <w:szCs w:val="22"/>
          <w:vertAlign w:val="superscript"/>
          <w:lang w:val="es-ES" w:eastAsia="en-US"/>
        </w:rPr>
        <w:footnoteRef/>
      </w:r>
      <w:r w:rsidRPr="00FE6B53">
        <w:rPr>
          <w:spacing w:val="4"/>
          <w:kern w:val="0"/>
          <w:szCs w:val="22"/>
          <w:lang w:val="en-US" w:eastAsia="en-US"/>
        </w:rPr>
        <w:tab/>
        <w:t>https://www.gov.uk/government/publications/prostitution-government-response-to-the-third-hasc-report-2016-to-2017.</w:t>
      </w:r>
      <w:bookmarkEnd w:id="158"/>
    </w:p>
  </w:footnote>
  <w:footnote w:id="26">
    <w:p w14:paraId="5527EF97" w14:textId="21EBC11C" w:rsidR="00566738" w:rsidRPr="00FE6B53"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n-US" w:eastAsia="en-US"/>
        </w:rPr>
      </w:pPr>
      <w:bookmarkStart w:id="160" w:name="footnoteBookmark_197"/>
      <w:r w:rsidRPr="00FE6B53">
        <w:rPr>
          <w:spacing w:val="4"/>
          <w:kern w:val="0"/>
          <w:szCs w:val="22"/>
          <w:lang w:val="en-US" w:eastAsia="en-US"/>
        </w:rPr>
        <w:tab/>
      </w:r>
      <w:r w:rsidRPr="00284834">
        <w:rPr>
          <w:spacing w:val="4"/>
          <w:kern w:val="0"/>
          <w:szCs w:val="22"/>
          <w:vertAlign w:val="superscript"/>
          <w:lang w:val="es-ES" w:eastAsia="en-US"/>
        </w:rPr>
        <w:footnoteRef/>
      </w:r>
      <w:r w:rsidRPr="00FE6B53">
        <w:rPr>
          <w:spacing w:val="4"/>
          <w:kern w:val="0"/>
          <w:szCs w:val="22"/>
          <w:lang w:val="en-US" w:eastAsia="en-US"/>
        </w:rPr>
        <w:tab/>
      </w:r>
      <w:r w:rsidRPr="007A1CF8">
        <w:rPr>
          <w:spacing w:val="4"/>
          <w:kern w:val="0"/>
          <w:szCs w:val="22"/>
          <w:lang w:val="en-US" w:eastAsia="en-US"/>
        </w:rPr>
        <w:t>https://beta.gov.scot/publications/national-scoping-exercise-advocacy-services-victims-violence-against-women-girls/documents/00523297.pdf?inline=true</w:t>
      </w:r>
      <w:r w:rsidRPr="00FE6B53">
        <w:rPr>
          <w:spacing w:val="4"/>
          <w:kern w:val="0"/>
          <w:szCs w:val="22"/>
          <w:lang w:val="en-US" w:eastAsia="en-US"/>
        </w:rPr>
        <w:t>.</w:t>
      </w:r>
      <w:bookmarkEnd w:id="160"/>
    </w:p>
  </w:footnote>
  <w:footnote w:id="27">
    <w:p w14:paraId="781F60F3" w14:textId="77777777" w:rsidR="00566738" w:rsidRPr="00FE6B53"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n-US" w:eastAsia="en-US"/>
        </w:rPr>
      </w:pPr>
      <w:bookmarkStart w:id="168" w:name="footnoteBookmark_203"/>
      <w:r w:rsidRPr="00FE6B53">
        <w:rPr>
          <w:spacing w:val="4"/>
          <w:kern w:val="0"/>
          <w:szCs w:val="22"/>
          <w:lang w:val="en-US" w:eastAsia="en-US"/>
        </w:rPr>
        <w:tab/>
      </w:r>
      <w:r w:rsidRPr="00284834">
        <w:rPr>
          <w:spacing w:val="4"/>
          <w:kern w:val="0"/>
          <w:szCs w:val="22"/>
          <w:vertAlign w:val="superscript"/>
          <w:lang w:val="es-ES" w:eastAsia="en-US"/>
        </w:rPr>
        <w:footnoteRef/>
      </w:r>
      <w:r w:rsidRPr="00FE6B53">
        <w:rPr>
          <w:spacing w:val="4"/>
          <w:kern w:val="0"/>
          <w:szCs w:val="22"/>
          <w:lang w:val="en-US" w:eastAsia="en-US"/>
        </w:rPr>
        <w:tab/>
        <w:t>http://researchbriefings.files.parliament.uk/documents/CBP-7979/CBP-7979.pdf.</w:t>
      </w:r>
      <w:bookmarkEnd w:id="168"/>
    </w:p>
  </w:footnote>
  <w:footnote w:id="28">
    <w:p w14:paraId="66D73619"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170" w:name="footnoteBookmark_205"/>
      <w:r w:rsidRPr="00FE6B53">
        <w:rPr>
          <w:spacing w:val="4"/>
          <w:kern w:val="0"/>
          <w:szCs w:val="22"/>
          <w:lang w:val="en-US" w:eastAsia="en-US"/>
        </w:rPr>
        <w:tab/>
      </w:r>
      <w:r w:rsidRPr="00284834">
        <w:rPr>
          <w:spacing w:val="4"/>
          <w:kern w:val="0"/>
          <w:szCs w:val="22"/>
          <w:vertAlign w:val="superscript"/>
          <w:lang w:val="es-ES" w:eastAsia="en-US"/>
        </w:rPr>
        <w:footnoteRef/>
      </w:r>
      <w:r w:rsidRPr="00C01F60">
        <w:rPr>
          <w:spacing w:val="4"/>
          <w:kern w:val="0"/>
          <w:szCs w:val="22"/>
          <w:lang w:val="es-ES" w:eastAsia="en-US"/>
        </w:rPr>
        <w:tab/>
        <w:t>La campaña 50:50 está organizada por diversos partidos y su objetivo es fomentar, inspirar y apoyar el compromiso político.</w:t>
      </w:r>
      <w:bookmarkEnd w:id="170"/>
    </w:p>
  </w:footnote>
  <w:footnote w:id="29">
    <w:p w14:paraId="6943459B"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171" w:name="footnoteBookmark_206"/>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https://www.parliament.uk/about/living-heritage/transformingsociety/electionsvoting/vote-100/vote-100-project/vote-100-project-info.</w:t>
      </w:r>
      <w:bookmarkEnd w:id="171"/>
    </w:p>
  </w:footnote>
  <w:footnote w:id="30">
    <w:p w14:paraId="54D2340F"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172" w:name="footnoteBookmark_207"/>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https://www.bristol.ac.uk/media-library/sites/news/2016/july/20%20Jul%20Prof%20Sarah%20Childs%20The%20Good%20Parliament%20report.pdf.</w:t>
      </w:r>
      <w:bookmarkEnd w:id="172"/>
    </w:p>
  </w:footnote>
  <w:footnote w:id="31">
    <w:p w14:paraId="1F23FABE"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187" w:name="footnoteBookmark_222"/>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https://www.gov.uk/government/publications/police-workforce-england-and-wales-31-march-2015/police-workforce-england-and-wales-31-march-2015.</w:t>
      </w:r>
      <w:bookmarkEnd w:id="187"/>
    </w:p>
  </w:footnote>
  <w:footnote w:id="32">
    <w:p w14:paraId="425715F4"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192" w:name="footnoteBookmark_227"/>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www.womeninsport.org/resources/beyond-30-report/.</w:t>
      </w:r>
      <w:bookmarkEnd w:id="192"/>
    </w:p>
  </w:footnote>
  <w:footnote w:id="33">
    <w:p w14:paraId="21F1FDB2"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193" w:name="footnoteBookmark_228"/>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https://www.sportengland.org/about-us/governance/a-code-for-sports-governance/.</w:t>
      </w:r>
      <w:bookmarkEnd w:id="193"/>
    </w:p>
  </w:footnote>
  <w:footnote w:id="34">
    <w:p w14:paraId="5B9E5726"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199" w:name="footnoteBookmark_234"/>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https://www.judiciary.gov.uk/about-the-judiciary/who-are-the-judiciary/diversity/judicial-diversity-statistics-2017/.</w:t>
      </w:r>
      <w:bookmarkEnd w:id="199"/>
    </w:p>
  </w:footnote>
  <w:footnote w:id="35">
    <w:p w14:paraId="64824390"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209" w:name="footnoteBookmark_243"/>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https://www.gov.uk/government/uploads/system/uploads/attachment_data/file/482059/BIS-15-585-women-on-boards-davies-review-5-year-summary-october-2015.pdf.</w:t>
      </w:r>
      <w:bookmarkEnd w:id="209"/>
    </w:p>
  </w:footnote>
  <w:footnote w:id="36">
    <w:p w14:paraId="7466E7B1"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210" w:name="footnoteBookmark_244"/>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https://ftsewomenleaders.com/.</w:t>
      </w:r>
      <w:bookmarkEnd w:id="210"/>
    </w:p>
  </w:footnote>
  <w:footnote w:id="37">
    <w:p w14:paraId="2AD35F39"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218" w:name="footnoteBookmark_252"/>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http://onescotland.org/equality-themes/5050-by-2020/.</w:t>
      </w:r>
      <w:bookmarkEnd w:id="218"/>
    </w:p>
  </w:footnote>
  <w:footnote w:id="38">
    <w:p w14:paraId="09F8D32B" w14:textId="2F34E8B0"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233" w:name="footnoteBookmark_266"/>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r>
      <w:r w:rsidRPr="007A1CF8">
        <w:rPr>
          <w:spacing w:val="4"/>
          <w:kern w:val="0"/>
          <w:szCs w:val="22"/>
          <w:lang w:val="es-ES" w:eastAsia="en-US"/>
        </w:rPr>
        <w:t>http://www.gov.scot/Publications/</w:t>
      </w:r>
      <w:r w:rsidRPr="00F44A66">
        <w:rPr>
          <w:spacing w:val="4"/>
          <w:kern w:val="0"/>
          <w:szCs w:val="22"/>
          <w:lang w:val="es-ES" w:eastAsia="en-US"/>
        </w:rPr>
        <w:t>2013/12</w:t>
      </w:r>
      <w:r w:rsidRPr="007A1CF8">
        <w:rPr>
          <w:spacing w:val="4"/>
          <w:kern w:val="0"/>
          <w:szCs w:val="22"/>
          <w:lang w:val="es-ES" w:eastAsia="en-US"/>
        </w:rPr>
        <w:t>/4581</w:t>
      </w:r>
      <w:r w:rsidRPr="00C01F60">
        <w:rPr>
          <w:spacing w:val="4"/>
          <w:kern w:val="0"/>
          <w:szCs w:val="22"/>
          <w:lang w:val="es-ES" w:eastAsia="en-US"/>
        </w:rPr>
        <w:t>.</w:t>
      </w:r>
      <w:bookmarkEnd w:id="233"/>
    </w:p>
  </w:footnote>
  <w:footnote w:id="39">
    <w:p w14:paraId="29C9DAB6" w14:textId="514BF0F8"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239" w:name="footnoteBookmark_272"/>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r>
      <w:r w:rsidRPr="007A1CF8">
        <w:rPr>
          <w:spacing w:val="4"/>
          <w:kern w:val="0"/>
          <w:szCs w:val="22"/>
          <w:lang w:val="es-ES" w:eastAsia="en-US"/>
        </w:rPr>
        <w:t>http://www.parliament.scot/parliamentarybusiness/CurrentCommittees/103215.aspx</w:t>
      </w:r>
      <w:r w:rsidRPr="00C01F60">
        <w:rPr>
          <w:spacing w:val="4"/>
          <w:kern w:val="0"/>
          <w:szCs w:val="22"/>
          <w:lang w:val="es-ES" w:eastAsia="en-US"/>
        </w:rPr>
        <w:t xml:space="preserve">. </w:t>
      </w:r>
      <w:bookmarkEnd w:id="239"/>
    </w:p>
  </w:footnote>
  <w:footnote w:id="40">
    <w:p w14:paraId="3FD83389"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248" w:name="footnoteBookmark_280"/>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https://www.gov.uk/government/groups/apprenticeship-diversity-champions-network.</w:t>
      </w:r>
      <w:bookmarkEnd w:id="248"/>
    </w:p>
  </w:footnote>
  <w:footnote w:id="41">
    <w:p w14:paraId="643DEA2E" w14:textId="01CFF975"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250" w:name="footnoteBookmark_282"/>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http://www.gov.scot/Publications/</w:t>
      </w:r>
      <w:r w:rsidRPr="00F44A66">
        <w:rPr>
          <w:spacing w:val="4"/>
          <w:kern w:val="0"/>
          <w:szCs w:val="22"/>
          <w:lang w:val="es-ES" w:eastAsia="en-US"/>
        </w:rPr>
        <w:t>2014/12</w:t>
      </w:r>
      <w:r w:rsidRPr="00C01F60">
        <w:rPr>
          <w:spacing w:val="4"/>
          <w:kern w:val="0"/>
          <w:szCs w:val="22"/>
          <w:lang w:val="es-ES" w:eastAsia="en-US"/>
        </w:rPr>
        <w:t>/7750.</w:t>
      </w:r>
      <w:bookmarkEnd w:id="250"/>
    </w:p>
  </w:footnote>
  <w:footnote w:id="42">
    <w:p w14:paraId="364DD7A1"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255" w:name="footnoteBookmark_287"/>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https://www.education-ni.gov.uk/articles/relationships-and-sexuality-education.</w:t>
      </w:r>
      <w:bookmarkEnd w:id="255"/>
    </w:p>
  </w:footnote>
  <w:footnote w:id="43">
    <w:p w14:paraId="63560B0F"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262" w:name="footnoteBookmark_294"/>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www.education-ni.gov.uk/articles/imatter-programme.</w:t>
      </w:r>
      <w:bookmarkEnd w:id="262"/>
    </w:p>
  </w:footnote>
  <w:footnote w:id="44">
    <w:p w14:paraId="76F33AE7"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263" w:name="footnoteBookmark_295"/>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https://www.atl.org.uk/Images/Every%20school%20a%20good%20school%20response.pdf.</w:t>
      </w:r>
      <w:bookmarkEnd w:id="263"/>
    </w:p>
  </w:footnote>
  <w:footnote w:id="45">
    <w:p w14:paraId="6C27A4CE" w14:textId="2BAF6971"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265" w:name="footnoteBookmark_297"/>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http://www.gov.scot/Publications/</w:t>
      </w:r>
      <w:r w:rsidRPr="00F44A66">
        <w:rPr>
          <w:spacing w:val="4"/>
          <w:kern w:val="0"/>
          <w:szCs w:val="22"/>
          <w:lang w:val="es-ES" w:eastAsia="en-US"/>
        </w:rPr>
        <w:t>2010/11</w:t>
      </w:r>
      <w:r w:rsidRPr="00C01F60">
        <w:rPr>
          <w:spacing w:val="4"/>
          <w:kern w:val="0"/>
          <w:szCs w:val="22"/>
          <w:lang w:val="es-ES" w:eastAsia="en-US"/>
        </w:rPr>
        <w:t>/1212</w:t>
      </w:r>
      <w:r w:rsidRPr="00F44A66">
        <w:rPr>
          <w:spacing w:val="4"/>
          <w:kern w:val="0"/>
          <w:szCs w:val="22"/>
          <w:lang w:val="es-ES" w:eastAsia="en-US"/>
        </w:rPr>
        <w:t>0420/0</w:t>
      </w:r>
      <w:r w:rsidRPr="00C01F60">
        <w:rPr>
          <w:spacing w:val="4"/>
          <w:kern w:val="0"/>
          <w:szCs w:val="22"/>
          <w:lang w:val="es-ES" w:eastAsia="en-US"/>
        </w:rPr>
        <w:t>.</w:t>
      </w:r>
      <w:bookmarkEnd w:id="265"/>
    </w:p>
  </w:footnote>
  <w:footnote w:id="46">
    <w:p w14:paraId="47EA5A76"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270" w:name="footnoteBookmark_302"/>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http://www.universitiesuk.ac.uk/policy-and-analysis/reports/Pages/changing-the-culture-final-report.aspx.</w:t>
      </w:r>
      <w:bookmarkEnd w:id="270"/>
    </w:p>
  </w:footnote>
  <w:footnote w:id="47">
    <w:p w14:paraId="049D42CD" w14:textId="62CC6B5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275" w:name="footnoteBookmark_307"/>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https://www.ons.gov.uk/employmentandlabourmarket/peopleinwork/</w:t>
      </w:r>
      <w:r>
        <w:rPr>
          <w:spacing w:val="4"/>
          <w:kern w:val="0"/>
          <w:szCs w:val="22"/>
          <w:lang w:val="es-ES" w:eastAsia="en-US"/>
        </w:rPr>
        <w:br/>
      </w:r>
      <w:r w:rsidRPr="00C01F60">
        <w:rPr>
          <w:spacing w:val="4"/>
          <w:kern w:val="0"/>
          <w:szCs w:val="22"/>
          <w:lang w:val="es-ES" w:eastAsia="en-US"/>
        </w:rPr>
        <w:t>employmentandemployeetypes/bulletins/uklabourmarket/october2017.</w:t>
      </w:r>
      <w:bookmarkEnd w:id="275"/>
    </w:p>
  </w:footnote>
  <w:footnote w:id="48">
    <w:p w14:paraId="20187576"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281" w:name="footnoteBookmark_313"/>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https://www.closethegap.org.uk/.</w:t>
      </w:r>
      <w:bookmarkEnd w:id="281"/>
    </w:p>
  </w:footnote>
  <w:footnote w:id="49">
    <w:p w14:paraId="655EF22D"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287" w:name="footnoteBookmark_319"/>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https://www.wescotland.co.uk/framework.</w:t>
      </w:r>
      <w:bookmarkEnd w:id="287"/>
    </w:p>
  </w:footnote>
  <w:footnote w:id="50">
    <w:p w14:paraId="067D9F0A"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290" w:name="footnoteBookmark_322"/>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https://www.gov.uk/government/publications/national-living-wage-nlw/national-living-wage-nlw.</w:t>
      </w:r>
      <w:bookmarkEnd w:id="290"/>
    </w:p>
  </w:footnote>
  <w:footnote w:id="51">
    <w:p w14:paraId="1C4AEB52"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291" w:name="footnoteBookmark_323"/>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https://beta.gov.scot/news/living-wage-set-at-8-45/.</w:t>
      </w:r>
      <w:bookmarkEnd w:id="291"/>
    </w:p>
  </w:footnote>
  <w:footnote w:id="52">
    <w:p w14:paraId="01327479"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294" w:name="footnoteBookmark_327"/>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https://www.gov.uk/government/publications/race-disparity-audit.</w:t>
      </w:r>
      <w:bookmarkEnd w:id="294"/>
    </w:p>
  </w:footnote>
  <w:footnote w:id="53">
    <w:p w14:paraId="07AAE49B" w14:textId="7E791D8B"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298" w:name="footnoteBookmark_331"/>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https://www.gov.uk/government/publications/disability-facts-and-figures/disability-facts-and-figures.</w:t>
      </w:r>
      <w:bookmarkEnd w:id="298"/>
    </w:p>
  </w:footnote>
  <w:footnote w:id="54">
    <w:p w14:paraId="4210CCF3" w14:textId="2371221F"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300" w:name="footnoteBookmark_333"/>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http://www.gov.scot/Publications/</w:t>
      </w:r>
      <w:r w:rsidRPr="00F44A66">
        <w:rPr>
          <w:spacing w:val="4"/>
          <w:kern w:val="0"/>
          <w:szCs w:val="22"/>
          <w:lang w:val="es-ES" w:eastAsia="en-US"/>
        </w:rPr>
        <w:t>2016/12</w:t>
      </w:r>
      <w:r w:rsidRPr="00C01F60">
        <w:rPr>
          <w:spacing w:val="4"/>
          <w:kern w:val="0"/>
          <w:szCs w:val="22"/>
          <w:lang w:val="es-ES" w:eastAsia="en-US"/>
        </w:rPr>
        <w:t>/3778/3.</w:t>
      </w:r>
      <w:bookmarkEnd w:id="300"/>
    </w:p>
  </w:footnote>
  <w:footnote w:id="55">
    <w:p w14:paraId="199365ED"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314" w:name="footnoteBookmark_347"/>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https://www.familyfriendlyworkingscotland.org.uk/.</w:t>
      </w:r>
      <w:bookmarkEnd w:id="314"/>
    </w:p>
  </w:footnote>
  <w:footnote w:id="56">
    <w:p w14:paraId="46B9F696"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317" w:name="footnoteBookmark_350"/>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https://www.gov.uk/government/publications/fuller-working-lives-a-partnership-approach.</w:t>
      </w:r>
      <w:bookmarkEnd w:id="317"/>
    </w:p>
  </w:footnote>
  <w:footnote w:id="57">
    <w:p w14:paraId="6735A8E3" w14:textId="0429C258"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322" w:name="footnoteBookmark_355"/>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http://www.unwomen.org/en/news/stories/</w:t>
      </w:r>
      <w:r w:rsidRPr="00F44A66">
        <w:rPr>
          <w:spacing w:val="4"/>
          <w:kern w:val="0"/>
          <w:szCs w:val="22"/>
          <w:lang w:val="es-ES" w:eastAsia="en-US"/>
        </w:rPr>
        <w:t>2016/1</w:t>
      </w:r>
      <w:r w:rsidRPr="00C01F60">
        <w:rPr>
          <w:spacing w:val="4"/>
          <w:kern w:val="0"/>
          <w:szCs w:val="22"/>
          <w:lang w:val="es-ES" w:eastAsia="en-US"/>
        </w:rPr>
        <w:t>/wee-high-level-panel-launch.</w:t>
      </w:r>
      <w:bookmarkEnd w:id="322"/>
    </w:p>
  </w:footnote>
  <w:footnote w:id="58">
    <w:p w14:paraId="109D08D9"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334" w:name="footnoteBookmark_366"/>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https://www.ons.gov.uk/file?.../birthsdeathsandmarriages/conceptionandfertilityrates/.../q...</w:t>
      </w:r>
      <w:bookmarkEnd w:id="334"/>
    </w:p>
  </w:footnote>
  <w:footnote w:id="59">
    <w:p w14:paraId="73693463" w14:textId="402532CB"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346" w:name="footnoteBookmark_378"/>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https://www.england.nhs.uk/wp-content/uploads/</w:t>
      </w:r>
      <w:r w:rsidRPr="00F44A66">
        <w:rPr>
          <w:spacing w:val="4"/>
          <w:kern w:val="0"/>
          <w:szCs w:val="22"/>
          <w:lang w:val="es-ES" w:eastAsia="en-US"/>
        </w:rPr>
        <w:t>2016/02</w:t>
      </w:r>
      <w:r w:rsidRPr="00C01F60">
        <w:rPr>
          <w:spacing w:val="4"/>
          <w:kern w:val="0"/>
          <w:szCs w:val="22"/>
          <w:lang w:val="es-ES" w:eastAsia="en-US"/>
        </w:rPr>
        <w:t>/national-maternity-review-report.pdf.</w:t>
      </w:r>
      <w:bookmarkEnd w:id="346"/>
    </w:p>
  </w:footnote>
  <w:footnote w:id="60">
    <w:p w14:paraId="260BA5B7"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348" w:name="footnoteBookmark_380"/>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https://www.gov.uk/government/uploads/system/uploads/attachment_data/file/216870/No-Health-Without-Mental-Health-Implementation-Framework-Report-accessible-version.pdf.</w:t>
      </w:r>
      <w:bookmarkEnd w:id="348"/>
    </w:p>
  </w:footnote>
  <w:footnote w:id="61">
    <w:p w14:paraId="27E118C0"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358" w:name="footnoteBookmark_390"/>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https://www.gov.uk/government/groups/national-inclusion-health-board.</w:t>
      </w:r>
      <w:bookmarkEnd w:id="358"/>
    </w:p>
  </w:footnote>
  <w:footnote w:id="62">
    <w:p w14:paraId="017F4B3B"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364" w:name="footnoteBookmark_396"/>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https://www.health-ni.gov.uk/publications/strategy-maternity-care-northern-ireland-2012-2018.</w:t>
      </w:r>
      <w:bookmarkEnd w:id="364"/>
    </w:p>
  </w:footnote>
  <w:footnote w:id="63">
    <w:p w14:paraId="0B75C2DF" w14:textId="77777777" w:rsidR="00566738" w:rsidRPr="00C01F60"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375" w:name="footnoteBookmark_407"/>
      <w:r w:rsidRPr="00C01F60">
        <w:rPr>
          <w:spacing w:val="4"/>
          <w:kern w:val="0"/>
          <w:szCs w:val="22"/>
          <w:lang w:val="es-ES" w:eastAsia="en-US"/>
        </w:rPr>
        <w:tab/>
      </w:r>
      <w:r w:rsidRPr="00284834">
        <w:rPr>
          <w:spacing w:val="4"/>
          <w:kern w:val="0"/>
          <w:szCs w:val="22"/>
          <w:vertAlign w:val="superscript"/>
          <w:lang w:val="es-ES" w:eastAsia="en-US"/>
        </w:rPr>
        <w:footnoteRef/>
      </w:r>
      <w:r w:rsidRPr="00C01F60">
        <w:rPr>
          <w:spacing w:val="4"/>
          <w:kern w:val="0"/>
          <w:szCs w:val="22"/>
          <w:lang w:val="es-ES" w:eastAsia="en-US"/>
        </w:rPr>
        <w:tab/>
        <w:t>https://www.gov.uk/government/news/family-planning-london-summit-11-july-2012.</w:t>
      </w:r>
      <w:bookmarkEnd w:id="375"/>
    </w:p>
  </w:footnote>
  <w:footnote w:id="64">
    <w:p w14:paraId="3FC18D79" w14:textId="77777777" w:rsidR="00566738" w:rsidRPr="00AB43B5"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383" w:name="footnoteBookmark_415"/>
      <w:r w:rsidRPr="00C01F60">
        <w:rPr>
          <w:spacing w:val="4"/>
          <w:kern w:val="0"/>
          <w:szCs w:val="22"/>
          <w:lang w:val="es-ES" w:eastAsia="en-US"/>
        </w:rPr>
        <w:tab/>
      </w:r>
      <w:r w:rsidRPr="00284834">
        <w:rPr>
          <w:spacing w:val="4"/>
          <w:kern w:val="0"/>
          <w:szCs w:val="22"/>
          <w:vertAlign w:val="superscript"/>
          <w:lang w:val="es-ES" w:eastAsia="en-US"/>
        </w:rPr>
        <w:footnoteRef/>
      </w:r>
      <w:r w:rsidRPr="00AB43B5">
        <w:rPr>
          <w:spacing w:val="4"/>
          <w:kern w:val="0"/>
          <w:szCs w:val="22"/>
          <w:lang w:val="es-ES" w:eastAsia="en-US"/>
        </w:rPr>
        <w:tab/>
        <w:t>(Sport England Evaluation 2016 -TNS BMRB).</w:t>
      </w:r>
      <w:bookmarkEnd w:id="383"/>
    </w:p>
  </w:footnote>
  <w:footnote w:id="65">
    <w:p w14:paraId="7F5D4397" w14:textId="076F5157" w:rsidR="00566738" w:rsidRPr="00AB43B5"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385" w:name="footnoteBookmark_417"/>
      <w:r w:rsidRPr="00AB43B5">
        <w:rPr>
          <w:spacing w:val="4"/>
          <w:kern w:val="0"/>
          <w:szCs w:val="22"/>
          <w:lang w:val="es-ES" w:eastAsia="en-US"/>
        </w:rPr>
        <w:tab/>
      </w:r>
      <w:r w:rsidRPr="00284834">
        <w:rPr>
          <w:spacing w:val="4"/>
          <w:kern w:val="0"/>
          <w:szCs w:val="22"/>
          <w:vertAlign w:val="superscript"/>
          <w:lang w:val="es-ES" w:eastAsia="en-US"/>
        </w:rPr>
        <w:footnoteRef/>
      </w:r>
      <w:r w:rsidRPr="00AB43B5">
        <w:rPr>
          <w:spacing w:val="4"/>
          <w:kern w:val="0"/>
          <w:szCs w:val="22"/>
          <w:lang w:val="es-ES" w:eastAsia="en-US"/>
        </w:rPr>
        <w:tab/>
        <w:t>http://www.sportni.net/news/330k-investment-announced-to-help-women-girls-get-active-fit-sporty/.</w:t>
      </w:r>
      <w:bookmarkEnd w:id="385"/>
    </w:p>
  </w:footnote>
  <w:footnote w:id="66">
    <w:p w14:paraId="37F6FE47" w14:textId="33B6DC1B" w:rsidR="00566738" w:rsidRPr="00AB43B5"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388" w:name="footnoteBookmark_420"/>
      <w:r w:rsidRPr="00AB43B5">
        <w:rPr>
          <w:spacing w:val="4"/>
          <w:kern w:val="0"/>
          <w:szCs w:val="22"/>
          <w:lang w:val="es-ES" w:eastAsia="en-US"/>
        </w:rPr>
        <w:tab/>
      </w:r>
      <w:r w:rsidRPr="00284834">
        <w:rPr>
          <w:spacing w:val="4"/>
          <w:kern w:val="0"/>
          <w:szCs w:val="22"/>
          <w:vertAlign w:val="superscript"/>
          <w:lang w:val="es-ES" w:eastAsia="en-US"/>
        </w:rPr>
        <w:footnoteRef/>
      </w:r>
      <w:r w:rsidRPr="00AB43B5">
        <w:rPr>
          <w:spacing w:val="4"/>
          <w:kern w:val="0"/>
          <w:szCs w:val="22"/>
          <w:lang w:val="es-ES" w:eastAsia="en-US"/>
        </w:rPr>
        <w:tab/>
        <w:t>https://www.gov.uk/government/uploads/system/uploads/attachment</w:t>
      </w:r>
      <w:r>
        <w:rPr>
          <w:spacing w:val="4"/>
          <w:kern w:val="0"/>
          <w:szCs w:val="22"/>
          <w:lang w:val="es-ES" w:eastAsia="en-US"/>
        </w:rPr>
        <w:br/>
      </w:r>
      <w:r w:rsidRPr="00AB43B5">
        <w:rPr>
          <w:spacing w:val="4"/>
          <w:kern w:val="0"/>
          <w:szCs w:val="22"/>
          <w:lang w:val="es-ES" w:eastAsia="en-US"/>
        </w:rPr>
        <w:t>_data/file/447101/a_country_that_lives_within_its_means.pdf.</w:t>
      </w:r>
      <w:bookmarkEnd w:id="388"/>
    </w:p>
  </w:footnote>
  <w:footnote w:id="67">
    <w:p w14:paraId="1985BE8A" w14:textId="70C36D9A" w:rsidR="00566738" w:rsidRPr="00AB43B5"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398" w:name="footnoteBookmark_430"/>
      <w:r w:rsidRPr="00AB43B5">
        <w:rPr>
          <w:spacing w:val="4"/>
          <w:kern w:val="0"/>
          <w:szCs w:val="22"/>
          <w:lang w:val="es-ES" w:eastAsia="en-US"/>
        </w:rPr>
        <w:tab/>
      </w:r>
      <w:r w:rsidRPr="00284834">
        <w:rPr>
          <w:spacing w:val="4"/>
          <w:kern w:val="0"/>
          <w:szCs w:val="22"/>
          <w:vertAlign w:val="superscript"/>
          <w:lang w:val="es-ES" w:eastAsia="en-US"/>
        </w:rPr>
        <w:footnoteRef/>
      </w:r>
      <w:r w:rsidRPr="00AB43B5">
        <w:rPr>
          <w:spacing w:val="4"/>
          <w:kern w:val="0"/>
          <w:szCs w:val="22"/>
          <w:lang w:val="es-ES" w:eastAsia="en-US"/>
        </w:rPr>
        <w:tab/>
      </w:r>
      <w:r w:rsidRPr="007A1CF8">
        <w:rPr>
          <w:spacing w:val="4"/>
          <w:kern w:val="0"/>
          <w:szCs w:val="22"/>
          <w:lang w:val="es-ES" w:eastAsia="en-US"/>
        </w:rPr>
        <w:t>https://www.gov.uk/child-tax-credit</w:t>
      </w:r>
      <w:r w:rsidRPr="00AB43B5">
        <w:rPr>
          <w:spacing w:val="4"/>
          <w:kern w:val="0"/>
          <w:szCs w:val="22"/>
          <w:lang w:val="es-ES" w:eastAsia="en-US"/>
        </w:rPr>
        <w:t>.</w:t>
      </w:r>
      <w:bookmarkEnd w:id="398"/>
    </w:p>
  </w:footnote>
  <w:footnote w:id="68">
    <w:p w14:paraId="3AEB7851" w14:textId="77777777" w:rsidR="00566738" w:rsidRPr="00AB43B5"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399" w:name="footnoteBookmark_431"/>
      <w:r w:rsidRPr="00AB43B5">
        <w:rPr>
          <w:spacing w:val="4"/>
          <w:kern w:val="0"/>
          <w:szCs w:val="22"/>
          <w:lang w:val="es-ES" w:eastAsia="en-US"/>
        </w:rPr>
        <w:tab/>
      </w:r>
      <w:r w:rsidRPr="00284834">
        <w:rPr>
          <w:spacing w:val="4"/>
          <w:kern w:val="0"/>
          <w:szCs w:val="22"/>
          <w:vertAlign w:val="superscript"/>
          <w:lang w:val="es-ES" w:eastAsia="en-US"/>
        </w:rPr>
        <w:footnoteRef/>
      </w:r>
      <w:r w:rsidRPr="00AB43B5">
        <w:rPr>
          <w:spacing w:val="4"/>
          <w:kern w:val="0"/>
          <w:szCs w:val="22"/>
          <w:lang w:val="es-ES" w:eastAsia="en-US"/>
        </w:rPr>
        <w:tab/>
        <w:t>https://www.gov.uk/government/topical-events/budget-july-2015.</w:t>
      </w:r>
      <w:bookmarkEnd w:id="399"/>
    </w:p>
  </w:footnote>
  <w:footnote w:id="69">
    <w:p w14:paraId="7673A080" w14:textId="77777777" w:rsidR="00566738" w:rsidRPr="00AB43B5"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412" w:name="footnoteBookmark_443"/>
      <w:r w:rsidRPr="00AB43B5">
        <w:rPr>
          <w:spacing w:val="4"/>
          <w:kern w:val="0"/>
          <w:szCs w:val="22"/>
          <w:lang w:val="es-ES" w:eastAsia="en-US"/>
        </w:rPr>
        <w:tab/>
      </w:r>
      <w:r w:rsidRPr="00284834">
        <w:rPr>
          <w:spacing w:val="4"/>
          <w:kern w:val="0"/>
          <w:szCs w:val="22"/>
          <w:vertAlign w:val="superscript"/>
          <w:lang w:val="es-ES" w:eastAsia="en-US"/>
        </w:rPr>
        <w:footnoteRef/>
      </w:r>
      <w:r w:rsidRPr="00AB43B5">
        <w:rPr>
          <w:spacing w:val="4"/>
          <w:kern w:val="0"/>
          <w:szCs w:val="22"/>
          <w:lang w:val="es-ES" w:eastAsia="en-US"/>
        </w:rPr>
        <w:tab/>
        <w:t>https://www.gov.uk/government/news/new-business-hubs-to-promote-rural-economic-growth.</w:t>
      </w:r>
      <w:bookmarkEnd w:id="412"/>
    </w:p>
  </w:footnote>
  <w:footnote w:id="70">
    <w:p w14:paraId="4CE14FFA" w14:textId="77777777" w:rsidR="00566738" w:rsidRPr="00FE6B53"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n-US" w:eastAsia="en-US"/>
        </w:rPr>
      </w:pPr>
      <w:bookmarkStart w:id="415" w:name="footnoteBookmark_446"/>
      <w:r w:rsidRPr="00AB43B5">
        <w:rPr>
          <w:spacing w:val="4"/>
          <w:kern w:val="0"/>
          <w:szCs w:val="22"/>
          <w:lang w:val="es-ES" w:eastAsia="en-US"/>
        </w:rPr>
        <w:tab/>
      </w:r>
      <w:r w:rsidRPr="00284834">
        <w:rPr>
          <w:spacing w:val="4"/>
          <w:kern w:val="0"/>
          <w:szCs w:val="22"/>
          <w:vertAlign w:val="superscript"/>
          <w:lang w:val="es-ES" w:eastAsia="en-US"/>
        </w:rPr>
        <w:footnoteRef/>
      </w:r>
      <w:r w:rsidRPr="00FE6B53">
        <w:rPr>
          <w:spacing w:val="4"/>
          <w:kern w:val="0"/>
          <w:szCs w:val="22"/>
          <w:lang w:val="en-US" w:eastAsia="en-US"/>
        </w:rPr>
        <w:tab/>
        <w:t>Women and Broadband Challenge Fund: https://www.gov.uk/government/news/female-entrepreneurs-set-to-benefit-from-superfast-broadband.</w:t>
      </w:r>
      <w:bookmarkEnd w:id="415"/>
    </w:p>
  </w:footnote>
  <w:footnote w:id="71">
    <w:p w14:paraId="7AC5FEDC" w14:textId="77777777" w:rsidR="00566738" w:rsidRPr="00FE6B53"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n-US" w:eastAsia="en-US"/>
        </w:rPr>
      </w:pPr>
      <w:bookmarkStart w:id="418" w:name="footnoteBookmark_449"/>
      <w:r w:rsidRPr="00FE6B53">
        <w:rPr>
          <w:spacing w:val="4"/>
          <w:kern w:val="0"/>
          <w:szCs w:val="22"/>
          <w:lang w:val="en-US" w:eastAsia="en-US"/>
        </w:rPr>
        <w:tab/>
      </w:r>
      <w:r w:rsidRPr="00284834">
        <w:rPr>
          <w:spacing w:val="4"/>
          <w:kern w:val="0"/>
          <w:szCs w:val="22"/>
          <w:vertAlign w:val="superscript"/>
          <w:lang w:val="es-ES" w:eastAsia="en-US"/>
        </w:rPr>
        <w:footnoteRef/>
      </w:r>
      <w:r w:rsidRPr="00FE6B53">
        <w:rPr>
          <w:spacing w:val="4"/>
          <w:kern w:val="0"/>
          <w:szCs w:val="22"/>
          <w:lang w:val="en-US" w:eastAsia="en-US"/>
        </w:rPr>
        <w:tab/>
        <w:t>“Women in Farming and the Agricultural Sector Research Report”, 2017: https://beta.gov.scot/publications/women-farming-agriculture-sector/pages/2/.</w:t>
      </w:r>
      <w:bookmarkEnd w:id="418"/>
    </w:p>
  </w:footnote>
  <w:footnote w:id="72">
    <w:p w14:paraId="18CF4459" w14:textId="77777777" w:rsidR="00566738" w:rsidRPr="00FE6B53"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n-US" w:eastAsia="en-US"/>
        </w:rPr>
      </w:pPr>
      <w:bookmarkStart w:id="428" w:name="footnoteBookmark_458"/>
      <w:r w:rsidRPr="00FE6B53">
        <w:rPr>
          <w:spacing w:val="4"/>
          <w:kern w:val="0"/>
          <w:szCs w:val="22"/>
          <w:lang w:val="en-US" w:eastAsia="en-US"/>
        </w:rPr>
        <w:tab/>
      </w:r>
      <w:r w:rsidRPr="00284834">
        <w:rPr>
          <w:spacing w:val="4"/>
          <w:kern w:val="0"/>
          <w:szCs w:val="22"/>
          <w:vertAlign w:val="superscript"/>
          <w:lang w:val="es-ES" w:eastAsia="en-US"/>
        </w:rPr>
        <w:footnoteRef/>
      </w:r>
      <w:r w:rsidRPr="00FE6B53">
        <w:rPr>
          <w:spacing w:val="4"/>
          <w:kern w:val="0"/>
          <w:szCs w:val="22"/>
          <w:lang w:val="en-US" w:eastAsia="en-US"/>
        </w:rPr>
        <w:tab/>
        <w:t>http://www.slab.org.uk/.</w:t>
      </w:r>
      <w:bookmarkEnd w:id="428"/>
    </w:p>
  </w:footnote>
  <w:footnote w:id="73">
    <w:p w14:paraId="627DB8B6" w14:textId="77777777" w:rsidR="00566738" w:rsidRPr="00FE6B53"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n-US" w:eastAsia="en-US"/>
        </w:rPr>
      </w:pPr>
      <w:bookmarkStart w:id="429" w:name="footnoteBookmark_459"/>
      <w:r w:rsidRPr="00FE6B53">
        <w:rPr>
          <w:spacing w:val="4"/>
          <w:kern w:val="0"/>
          <w:szCs w:val="22"/>
          <w:lang w:val="en-US" w:eastAsia="en-US"/>
        </w:rPr>
        <w:tab/>
      </w:r>
      <w:r w:rsidRPr="00284834">
        <w:rPr>
          <w:spacing w:val="4"/>
          <w:kern w:val="0"/>
          <w:szCs w:val="22"/>
          <w:vertAlign w:val="superscript"/>
          <w:lang w:val="es-ES" w:eastAsia="en-US"/>
        </w:rPr>
        <w:footnoteRef/>
      </w:r>
      <w:r w:rsidRPr="00FE6B53">
        <w:rPr>
          <w:spacing w:val="4"/>
          <w:kern w:val="0"/>
          <w:szCs w:val="22"/>
          <w:lang w:val="en-US" w:eastAsia="en-US"/>
        </w:rPr>
        <w:tab/>
        <w:t>http://www.scotcourts.gov.uk/search-judgments/judgment?id=2af906a7-8980-69d2-b500-ff0000d74aa7.</w:t>
      </w:r>
      <w:bookmarkEnd w:id="429"/>
    </w:p>
  </w:footnote>
  <w:footnote w:id="74">
    <w:p w14:paraId="0C2408AB" w14:textId="77777777" w:rsidR="00566738" w:rsidRPr="00FE6B53"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n-US" w:eastAsia="en-US"/>
        </w:rPr>
      </w:pPr>
      <w:bookmarkStart w:id="433" w:name="footnoteBookmark_463"/>
      <w:r w:rsidRPr="00FE6B53">
        <w:rPr>
          <w:spacing w:val="4"/>
          <w:kern w:val="0"/>
          <w:szCs w:val="22"/>
          <w:lang w:val="en-US" w:eastAsia="en-US"/>
        </w:rPr>
        <w:tab/>
      </w:r>
      <w:r w:rsidRPr="00284834">
        <w:rPr>
          <w:spacing w:val="4"/>
          <w:kern w:val="0"/>
          <w:szCs w:val="22"/>
          <w:vertAlign w:val="superscript"/>
          <w:lang w:val="es-ES" w:eastAsia="en-US"/>
        </w:rPr>
        <w:footnoteRef/>
      </w:r>
      <w:r w:rsidRPr="00FE6B53">
        <w:rPr>
          <w:spacing w:val="4"/>
          <w:kern w:val="0"/>
          <w:szCs w:val="22"/>
          <w:lang w:val="en-US" w:eastAsia="en-US"/>
        </w:rPr>
        <w:tab/>
        <w:t>http://www.gov.scot/About/Review/legal-aid-review.</w:t>
      </w:r>
      <w:bookmarkEnd w:id="433"/>
    </w:p>
  </w:footnote>
  <w:footnote w:id="75">
    <w:p w14:paraId="5D6D46D6" w14:textId="77777777" w:rsidR="00566738" w:rsidRPr="00FE6B53"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n-US" w:eastAsia="en-US"/>
        </w:rPr>
      </w:pPr>
      <w:bookmarkStart w:id="436" w:name="footnoteBookmark_466"/>
      <w:r w:rsidRPr="00FE6B53">
        <w:rPr>
          <w:spacing w:val="4"/>
          <w:kern w:val="0"/>
          <w:szCs w:val="22"/>
          <w:lang w:val="en-US" w:eastAsia="en-US"/>
        </w:rPr>
        <w:tab/>
      </w:r>
      <w:r w:rsidRPr="00284834">
        <w:rPr>
          <w:spacing w:val="4"/>
          <w:kern w:val="0"/>
          <w:szCs w:val="22"/>
          <w:vertAlign w:val="superscript"/>
          <w:lang w:val="es-ES" w:eastAsia="en-US"/>
        </w:rPr>
        <w:footnoteRef/>
      </w:r>
      <w:r w:rsidRPr="00FE6B53">
        <w:rPr>
          <w:spacing w:val="4"/>
          <w:kern w:val="0"/>
          <w:szCs w:val="22"/>
          <w:lang w:val="en-US" w:eastAsia="en-US"/>
        </w:rPr>
        <w:tab/>
        <w:t>http://tbinternet.ohchr.org/_layouts/treatybodyexternal/TBSearch.aspx?Lang=en.</w:t>
      </w:r>
      <w:bookmarkEnd w:id="436"/>
    </w:p>
  </w:footnote>
  <w:footnote w:id="76">
    <w:p w14:paraId="44435ADB" w14:textId="77777777" w:rsidR="00566738" w:rsidRPr="00FE6B53"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n-US" w:eastAsia="en-US"/>
        </w:rPr>
      </w:pPr>
      <w:bookmarkStart w:id="440" w:name="footnoteBookmark_470"/>
      <w:r w:rsidRPr="00FE6B53">
        <w:rPr>
          <w:spacing w:val="4"/>
          <w:kern w:val="0"/>
          <w:szCs w:val="22"/>
          <w:lang w:val="en-US" w:eastAsia="en-US"/>
        </w:rPr>
        <w:tab/>
      </w:r>
      <w:r w:rsidRPr="00284834">
        <w:rPr>
          <w:spacing w:val="4"/>
          <w:kern w:val="0"/>
          <w:szCs w:val="22"/>
          <w:vertAlign w:val="superscript"/>
          <w:lang w:val="es-ES" w:eastAsia="en-US"/>
        </w:rPr>
        <w:footnoteRef/>
      </w:r>
      <w:r w:rsidRPr="00FE6B53">
        <w:rPr>
          <w:spacing w:val="4"/>
          <w:kern w:val="0"/>
          <w:szCs w:val="22"/>
          <w:lang w:val="en-US" w:eastAsia="en-US"/>
        </w:rPr>
        <w:tab/>
        <w:t>https://www.supremecourt.uk/cases/docs/uksc-2015-0233-judgment.pdf.</w:t>
      </w:r>
      <w:bookmarkEnd w:id="440"/>
    </w:p>
  </w:footnote>
  <w:footnote w:id="77">
    <w:p w14:paraId="6701589A" w14:textId="77777777" w:rsidR="00566738" w:rsidRPr="00FE6B53"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n-US" w:eastAsia="en-US"/>
        </w:rPr>
      </w:pPr>
      <w:bookmarkStart w:id="445" w:name="footnoteBookmark_475"/>
      <w:r w:rsidRPr="00FE6B53">
        <w:rPr>
          <w:spacing w:val="4"/>
          <w:kern w:val="0"/>
          <w:szCs w:val="22"/>
          <w:lang w:val="en-US" w:eastAsia="en-US"/>
        </w:rPr>
        <w:tab/>
      </w:r>
      <w:r w:rsidRPr="00284834">
        <w:rPr>
          <w:spacing w:val="4"/>
          <w:kern w:val="0"/>
          <w:szCs w:val="22"/>
          <w:vertAlign w:val="superscript"/>
          <w:lang w:val="es-ES" w:eastAsia="en-US"/>
        </w:rPr>
        <w:footnoteRef/>
      </w:r>
      <w:r w:rsidRPr="00FE6B53">
        <w:rPr>
          <w:spacing w:val="4"/>
          <w:kern w:val="0"/>
          <w:szCs w:val="22"/>
          <w:lang w:val="en-US" w:eastAsia="en-US"/>
        </w:rPr>
        <w:tab/>
        <w:t>https://www.hiainquiry.org/.</w:t>
      </w:r>
      <w:bookmarkEnd w:id="445"/>
    </w:p>
  </w:footnote>
  <w:footnote w:id="78">
    <w:p w14:paraId="39B0EC01" w14:textId="77777777" w:rsidR="00566738" w:rsidRPr="00FE6B53"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n-US" w:eastAsia="en-US"/>
        </w:rPr>
      </w:pPr>
      <w:bookmarkStart w:id="446" w:name="footnoteBookmark_476"/>
      <w:r w:rsidRPr="00FE6B53">
        <w:rPr>
          <w:spacing w:val="4"/>
          <w:kern w:val="0"/>
          <w:szCs w:val="22"/>
          <w:lang w:val="en-US" w:eastAsia="en-US"/>
        </w:rPr>
        <w:tab/>
      </w:r>
      <w:r w:rsidRPr="00284834">
        <w:rPr>
          <w:spacing w:val="4"/>
          <w:kern w:val="0"/>
          <w:szCs w:val="22"/>
          <w:vertAlign w:val="superscript"/>
          <w:lang w:val="es-ES" w:eastAsia="en-US"/>
        </w:rPr>
        <w:footnoteRef/>
      </w:r>
      <w:r w:rsidRPr="00FE6B53">
        <w:rPr>
          <w:spacing w:val="4"/>
          <w:kern w:val="0"/>
          <w:szCs w:val="22"/>
          <w:lang w:val="en-US" w:eastAsia="en-US"/>
        </w:rPr>
        <w:tab/>
        <w:t>https://www.childabuseinquiry.scot/.</w:t>
      </w:r>
      <w:bookmarkEnd w:id="446"/>
    </w:p>
  </w:footnote>
  <w:footnote w:id="79">
    <w:p w14:paraId="535AB6F5" w14:textId="77777777" w:rsidR="00566738" w:rsidRPr="00FE6B53"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n-US" w:eastAsia="en-US"/>
        </w:rPr>
      </w:pPr>
      <w:bookmarkStart w:id="455" w:name="footnoteBookmark_485"/>
      <w:r w:rsidRPr="00FE6B53">
        <w:rPr>
          <w:spacing w:val="4"/>
          <w:kern w:val="0"/>
          <w:szCs w:val="22"/>
          <w:lang w:val="en-US" w:eastAsia="en-US"/>
        </w:rPr>
        <w:tab/>
      </w:r>
      <w:r w:rsidRPr="00284834">
        <w:rPr>
          <w:spacing w:val="4"/>
          <w:kern w:val="0"/>
          <w:szCs w:val="22"/>
          <w:vertAlign w:val="superscript"/>
          <w:lang w:val="es-ES" w:eastAsia="en-US"/>
        </w:rPr>
        <w:footnoteRef/>
      </w:r>
      <w:r w:rsidRPr="00FE6B53">
        <w:rPr>
          <w:spacing w:val="4"/>
          <w:kern w:val="0"/>
          <w:szCs w:val="22"/>
          <w:lang w:val="en-US" w:eastAsia="en-US"/>
        </w:rPr>
        <w:tab/>
        <w:t>https://www.judiciary.gov.uk/publications/equal-treatment-bench-book/.</w:t>
      </w:r>
      <w:bookmarkEnd w:id="455"/>
    </w:p>
  </w:footnote>
  <w:footnote w:id="80">
    <w:p w14:paraId="5A29B19D" w14:textId="4F257A73" w:rsidR="00566738" w:rsidRPr="00FE6B53"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n-US" w:eastAsia="en-US"/>
        </w:rPr>
      </w:pPr>
      <w:bookmarkStart w:id="462" w:name="footnoteBookmark_491"/>
      <w:r w:rsidRPr="00FE6B53">
        <w:rPr>
          <w:spacing w:val="4"/>
          <w:kern w:val="0"/>
          <w:szCs w:val="22"/>
          <w:lang w:val="en-US" w:eastAsia="en-US"/>
        </w:rPr>
        <w:tab/>
      </w:r>
      <w:r w:rsidRPr="00284834">
        <w:rPr>
          <w:spacing w:val="4"/>
          <w:kern w:val="0"/>
          <w:szCs w:val="22"/>
          <w:vertAlign w:val="superscript"/>
          <w:lang w:val="es-ES" w:eastAsia="en-US"/>
        </w:rPr>
        <w:footnoteRef/>
      </w:r>
      <w:r w:rsidRPr="00FE6B53">
        <w:rPr>
          <w:spacing w:val="4"/>
          <w:kern w:val="0"/>
          <w:szCs w:val="22"/>
          <w:lang w:val="en-US" w:eastAsia="en-US"/>
        </w:rPr>
        <w:tab/>
      </w:r>
      <w:r w:rsidRPr="007A1CF8">
        <w:rPr>
          <w:spacing w:val="4"/>
          <w:kern w:val="0"/>
          <w:szCs w:val="22"/>
          <w:lang w:val="en-US" w:eastAsia="en-US"/>
        </w:rPr>
        <w:t>http://www.legislation.gov.uk/ukpga/</w:t>
      </w:r>
      <w:r w:rsidRPr="00F44A66">
        <w:rPr>
          <w:spacing w:val="4"/>
          <w:kern w:val="0"/>
          <w:szCs w:val="22"/>
          <w:lang w:val="en-US" w:eastAsia="en-US"/>
        </w:rPr>
        <w:t>2014/12</w:t>
      </w:r>
      <w:r w:rsidRPr="007A1CF8">
        <w:rPr>
          <w:spacing w:val="4"/>
          <w:kern w:val="0"/>
          <w:szCs w:val="22"/>
          <w:lang w:val="en-US" w:eastAsia="en-US"/>
        </w:rPr>
        <w:t>/contents/enacted</w:t>
      </w:r>
      <w:r w:rsidRPr="00FE6B53">
        <w:rPr>
          <w:spacing w:val="4"/>
          <w:kern w:val="0"/>
          <w:szCs w:val="22"/>
          <w:lang w:val="en-US" w:eastAsia="en-US"/>
        </w:rPr>
        <w:t>.</w:t>
      </w:r>
      <w:bookmarkEnd w:id="462"/>
    </w:p>
  </w:footnote>
  <w:footnote w:id="81">
    <w:p w14:paraId="0C8FC15C" w14:textId="0A712146" w:rsidR="00566738" w:rsidRPr="00FE6B53"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n-US" w:eastAsia="en-US"/>
        </w:rPr>
      </w:pPr>
      <w:bookmarkStart w:id="474" w:name="footnoteBookmark_502"/>
      <w:r w:rsidRPr="00FE6B53">
        <w:rPr>
          <w:spacing w:val="4"/>
          <w:kern w:val="0"/>
          <w:szCs w:val="22"/>
          <w:lang w:val="en-US" w:eastAsia="en-US"/>
        </w:rPr>
        <w:tab/>
      </w:r>
      <w:r w:rsidRPr="00284834">
        <w:rPr>
          <w:spacing w:val="4"/>
          <w:kern w:val="0"/>
          <w:szCs w:val="22"/>
          <w:vertAlign w:val="superscript"/>
          <w:lang w:val="es-ES" w:eastAsia="en-US"/>
        </w:rPr>
        <w:footnoteRef/>
      </w:r>
      <w:r w:rsidRPr="00FE6B53">
        <w:rPr>
          <w:spacing w:val="4"/>
          <w:kern w:val="0"/>
          <w:szCs w:val="22"/>
          <w:lang w:val="en-US" w:eastAsia="en-US"/>
        </w:rPr>
        <w:tab/>
        <w:t>https://www.gov.uk/government/uploads/system/uploads/attachment_data/</w:t>
      </w:r>
      <w:r>
        <w:rPr>
          <w:spacing w:val="4"/>
          <w:kern w:val="0"/>
          <w:szCs w:val="22"/>
          <w:lang w:val="en-US" w:eastAsia="en-US"/>
        </w:rPr>
        <w:br/>
      </w:r>
      <w:r w:rsidRPr="00FE6B53">
        <w:rPr>
          <w:spacing w:val="4"/>
          <w:kern w:val="0"/>
          <w:szCs w:val="22"/>
          <w:lang w:val="en-US" w:eastAsia="en-US"/>
        </w:rPr>
        <w:t>file/574665/VAWG</w:t>
      </w:r>
      <w:bookmarkStart w:id="475" w:name="_Hlk501643853"/>
      <w:bookmarkStart w:id="476" w:name="footnoteBookmark_503"/>
      <w:bookmarkEnd w:id="474"/>
      <w:bookmarkEnd w:id="475"/>
      <w:r w:rsidRPr="00FE6B53">
        <w:rPr>
          <w:spacing w:val="4"/>
          <w:kern w:val="0"/>
          <w:szCs w:val="22"/>
          <w:lang w:val="en-US" w:eastAsia="en-US"/>
        </w:rPr>
        <w:t>_National_Statement_of_Expectations_-_FINAL.PDF.</w:t>
      </w:r>
      <w:bookmarkEnd w:id="476"/>
    </w:p>
  </w:footnote>
  <w:footnote w:id="82">
    <w:p w14:paraId="01F99A6D" w14:textId="77777777" w:rsidR="00566738" w:rsidRPr="00FE6B53"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n-US" w:eastAsia="en-US"/>
        </w:rPr>
      </w:pPr>
      <w:bookmarkStart w:id="478" w:name="footnoteBookmark_505"/>
      <w:r w:rsidRPr="00FE6B53">
        <w:rPr>
          <w:spacing w:val="4"/>
          <w:kern w:val="0"/>
          <w:szCs w:val="22"/>
          <w:lang w:val="en-US" w:eastAsia="en-US"/>
        </w:rPr>
        <w:tab/>
      </w:r>
      <w:r w:rsidRPr="00284834">
        <w:rPr>
          <w:spacing w:val="4"/>
          <w:kern w:val="0"/>
          <w:szCs w:val="22"/>
          <w:vertAlign w:val="superscript"/>
          <w:lang w:val="es-ES" w:eastAsia="en-US"/>
        </w:rPr>
        <w:footnoteRef/>
      </w:r>
      <w:r w:rsidRPr="00FE6B53">
        <w:rPr>
          <w:spacing w:val="4"/>
          <w:kern w:val="0"/>
          <w:szCs w:val="22"/>
          <w:lang w:val="en-US" w:eastAsia="en-US"/>
        </w:rPr>
        <w:tab/>
        <w:t>https://www.gov.uk/government/collections/this-is-abuse-campaign.</w:t>
      </w:r>
      <w:bookmarkEnd w:id="478"/>
    </w:p>
  </w:footnote>
  <w:footnote w:id="83">
    <w:p w14:paraId="5FA5FD52" w14:textId="77777777" w:rsidR="00566738" w:rsidRPr="00FE6B53"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n-US" w:eastAsia="en-US"/>
        </w:rPr>
      </w:pPr>
      <w:bookmarkStart w:id="479" w:name="footnoteBookmark_506"/>
      <w:r w:rsidRPr="00FE6B53">
        <w:rPr>
          <w:spacing w:val="4"/>
          <w:kern w:val="0"/>
          <w:szCs w:val="22"/>
          <w:lang w:val="en-US" w:eastAsia="en-US"/>
        </w:rPr>
        <w:tab/>
      </w:r>
      <w:r w:rsidRPr="00284834">
        <w:rPr>
          <w:spacing w:val="4"/>
          <w:kern w:val="0"/>
          <w:szCs w:val="22"/>
          <w:vertAlign w:val="superscript"/>
          <w:lang w:val="es-ES" w:eastAsia="en-US"/>
        </w:rPr>
        <w:footnoteRef/>
      </w:r>
      <w:r w:rsidRPr="00FE6B53">
        <w:rPr>
          <w:spacing w:val="4"/>
          <w:kern w:val="0"/>
          <w:szCs w:val="22"/>
          <w:lang w:val="en-US" w:eastAsia="en-US"/>
        </w:rPr>
        <w:tab/>
        <w:t>http://respect.uk.net/.</w:t>
      </w:r>
      <w:bookmarkEnd w:id="479"/>
    </w:p>
  </w:footnote>
  <w:footnote w:id="84">
    <w:p w14:paraId="7DF415B1" w14:textId="77777777" w:rsidR="00566738" w:rsidRPr="00FE6B53" w:rsidRDefault="00566738" w:rsidP="00C01F6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n-US" w:eastAsia="en-US"/>
        </w:rPr>
      </w:pPr>
      <w:bookmarkStart w:id="499" w:name="footnoteBookmark_526"/>
      <w:r w:rsidRPr="00FE6B53">
        <w:rPr>
          <w:spacing w:val="4"/>
          <w:kern w:val="0"/>
          <w:szCs w:val="22"/>
          <w:lang w:val="en-US" w:eastAsia="en-US"/>
        </w:rPr>
        <w:tab/>
      </w:r>
      <w:r w:rsidRPr="00284834">
        <w:rPr>
          <w:spacing w:val="4"/>
          <w:kern w:val="0"/>
          <w:szCs w:val="22"/>
          <w:vertAlign w:val="superscript"/>
          <w:lang w:val="es-ES" w:eastAsia="en-US"/>
        </w:rPr>
        <w:footnoteRef/>
      </w:r>
      <w:r w:rsidRPr="00FE6B53">
        <w:rPr>
          <w:spacing w:val="4"/>
          <w:kern w:val="0"/>
          <w:szCs w:val="22"/>
          <w:lang w:val="en-US" w:eastAsia="en-US"/>
        </w:rPr>
        <w:tab/>
        <w:t>http://gov.wales/docs/dsjlg/publications/commsafety/161104-national-strategy-en.pdf.</w:t>
      </w:r>
      <w:bookmarkEnd w:id="49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66738" w14:paraId="2EED849C" w14:textId="77777777">
      <w:trPr>
        <w:trHeight w:hRule="exact" w:val="864"/>
      </w:trPr>
      <w:tc>
        <w:tcPr>
          <w:tcW w:w="4838" w:type="dxa"/>
          <w:tcBorders>
            <w:bottom w:val="single" w:sz="2" w:space="0" w:color="000000"/>
          </w:tcBorders>
          <w:vAlign w:val="bottom"/>
        </w:tcPr>
        <w:p w14:paraId="3BAAA73F" w14:textId="7B2B52A1" w:rsidR="00566738" w:rsidRDefault="00566738">
          <w:pPr>
            <w:pStyle w:val="Header"/>
            <w:spacing w:after="80"/>
            <w:rPr>
              <w:b/>
              <w:bCs/>
            </w:rPr>
          </w:pPr>
          <w:r>
            <w:rPr>
              <w:b/>
              <w:bCs/>
            </w:rPr>
            <w:fldChar w:fldCharType="begin"/>
          </w:r>
          <w:r>
            <w:rPr>
              <w:b/>
              <w:bCs/>
            </w:rPr>
            <w:instrText xml:space="preserve"> DOCVARIABLE "sss1" \* MERGEFORMAT </w:instrText>
          </w:r>
          <w:r>
            <w:rPr>
              <w:b/>
              <w:bCs/>
            </w:rPr>
            <w:fldChar w:fldCharType="separate"/>
          </w:r>
          <w:r>
            <w:rPr>
              <w:b/>
              <w:bCs/>
            </w:rPr>
            <w:t>CEDAW/C/GBR/8</w:t>
          </w:r>
          <w:r>
            <w:rPr>
              <w:b/>
              <w:bCs/>
            </w:rPr>
            <w:fldChar w:fldCharType="end"/>
          </w:r>
        </w:p>
      </w:tc>
      <w:tc>
        <w:tcPr>
          <w:tcW w:w="5028" w:type="dxa"/>
          <w:tcBorders>
            <w:bottom w:val="single" w:sz="2" w:space="0" w:color="000000"/>
          </w:tcBorders>
          <w:vAlign w:val="bottom"/>
        </w:tcPr>
        <w:p w14:paraId="1CDEEB17" w14:textId="77777777" w:rsidR="00566738" w:rsidRDefault="00566738">
          <w:pPr>
            <w:pStyle w:val="Header"/>
          </w:pPr>
        </w:p>
      </w:tc>
    </w:tr>
  </w:tbl>
  <w:p w14:paraId="69051170" w14:textId="77777777" w:rsidR="00566738" w:rsidRDefault="00566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66738" w:rsidRPr="007034AD" w14:paraId="415FA87B" w14:textId="77777777">
      <w:trPr>
        <w:trHeight w:hRule="exact" w:val="864"/>
      </w:trPr>
      <w:tc>
        <w:tcPr>
          <w:tcW w:w="4838" w:type="dxa"/>
          <w:tcBorders>
            <w:bottom w:val="single" w:sz="2" w:space="0" w:color="000000"/>
          </w:tcBorders>
          <w:vAlign w:val="bottom"/>
        </w:tcPr>
        <w:p w14:paraId="3E414B27" w14:textId="77777777" w:rsidR="00566738" w:rsidRDefault="00566738">
          <w:pPr>
            <w:pStyle w:val="Header"/>
          </w:pPr>
        </w:p>
      </w:tc>
      <w:tc>
        <w:tcPr>
          <w:tcW w:w="5028" w:type="dxa"/>
          <w:tcBorders>
            <w:bottom w:val="single" w:sz="2" w:space="0" w:color="000000"/>
          </w:tcBorders>
          <w:vAlign w:val="bottom"/>
        </w:tcPr>
        <w:p w14:paraId="69ECED7C" w14:textId="56F1B111" w:rsidR="00566738" w:rsidRDefault="00566738">
          <w:pPr>
            <w:pStyle w:val="Header"/>
            <w:spacing w:after="80"/>
            <w:jc w:val="right"/>
            <w:rPr>
              <w:b/>
              <w:bCs/>
            </w:rPr>
          </w:pPr>
          <w:r>
            <w:rPr>
              <w:b/>
              <w:bCs/>
            </w:rPr>
            <w:fldChar w:fldCharType="begin"/>
          </w:r>
          <w:r>
            <w:rPr>
              <w:b/>
              <w:bCs/>
            </w:rPr>
            <w:instrText xml:space="preserve"> DOCVARIABLE "sss1" \* MERGEFORMAT </w:instrText>
          </w:r>
          <w:r>
            <w:rPr>
              <w:b/>
              <w:bCs/>
            </w:rPr>
            <w:fldChar w:fldCharType="separate"/>
          </w:r>
          <w:r>
            <w:rPr>
              <w:b/>
              <w:bCs/>
            </w:rPr>
            <w:t>CEDAW/C/GBR/8</w:t>
          </w:r>
          <w:r>
            <w:rPr>
              <w:b/>
              <w:bCs/>
            </w:rPr>
            <w:fldChar w:fldCharType="end"/>
          </w:r>
        </w:p>
      </w:tc>
    </w:tr>
  </w:tbl>
  <w:p w14:paraId="0DCF48E2" w14:textId="77777777" w:rsidR="00566738" w:rsidRDefault="005667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1267"/>
      <w:gridCol w:w="2592"/>
      <w:gridCol w:w="245"/>
      <w:gridCol w:w="2390"/>
      <w:gridCol w:w="245"/>
      <w:gridCol w:w="3140"/>
      <w:gridCol w:w="21"/>
    </w:tblGrid>
    <w:tr w:rsidR="00566738" w:rsidRPr="00B416F8" w14:paraId="5BC464A6" w14:textId="77777777" w:rsidTr="000973A0">
      <w:trPr>
        <w:trHeight w:hRule="exact" w:val="864"/>
      </w:trPr>
      <w:tc>
        <w:tcPr>
          <w:tcW w:w="1267" w:type="dxa"/>
          <w:tcBorders>
            <w:bottom w:val="single" w:sz="4" w:space="0" w:color="auto"/>
          </w:tcBorders>
          <w:vAlign w:val="bottom"/>
        </w:tcPr>
        <w:p w14:paraId="6DBA8C67" w14:textId="77777777" w:rsidR="00566738" w:rsidRDefault="00566738">
          <w:pPr>
            <w:pStyle w:val="Header"/>
            <w:spacing w:after="120"/>
          </w:pPr>
        </w:p>
      </w:tc>
      <w:tc>
        <w:tcPr>
          <w:tcW w:w="2592" w:type="dxa"/>
          <w:tcBorders>
            <w:bottom w:val="single" w:sz="4" w:space="0" w:color="auto"/>
          </w:tcBorders>
          <w:vAlign w:val="bottom"/>
        </w:tcPr>
        <w:p w14:paraId="28A938BD" w14:textId="77777777" w:rsidR="00566738" w:rsidRPr="0043124C" w:rsidRDefault="00566738" w:rsidP="0043124C">
          <w:pPr>
            <w:pStyle w:val="HCh"/>
            <w:spacing w:after="80"/>
            <w:rPr>
              <w:b w:val="0"/>
              <w:bCs w:val="0"/>
              <w:spacing w:val="2"/>
              <w:w w:val="96"/>
              <w:szCs w:val="24"/>
              <w:lang w:val="es-ES"/>
            </w:rPr>
          </w:pPr>
          <w:r w:rsidRPr="0043124C">
            <w:rPr>
              <w:b w:val="0"/>
              <w:bCs w:val="0"/>
              <w:spacing w:val="2"/>
              <w:w w:val="96"/>
              <w:szCs w:val="24"/>
              <w:lang w:val="es-ES"/>
            </w:rPr>
            <w:t>Naciones Unidas</w:t>
          </w:r>
        </w:p>
      </w:tc>
      <w:tc>
        <w:tcPr>
          <w:tcW w:w="245" w:type="dxa"/>
          <w:tcBorders>
            <w:bottom w:val="single" w:sz="4" w:space="0" w:color="auto"/>
          </w:tcBorders>
          <w:vAlign w:val="bottom"/>
        </w:tcPr>
        <w:p w14:paraId="7EF28518" w14:textId="77777777" w:rsidR="00566738" w:rsidRDefault="00566738">
          <w:pPr>
            <w:pStyle w:val="Header"/>
            <w:spacing w:after="120"/>
          </w:pPr>
        </w:p>
      </w:tc>
      <w:tc>
        <w:tcPr>
          <w:tcW w:w="5796" w:type="dxa"/>
          <w:gridSpan w:val="4"/>
          <w:tcBorders>
            <w:bottom w:val="single" w:sz="4" w:space="0" w:color="auto"/>
          </w:tcBorders>
          <w:vAlign w:val="bottom"/>
        </w:tcPr>
        <w:p w14:paraId="38E8F323" w14:textId="77777777" w:rsidR="00566738" w:rsidRPr="00ED4C2B" w:rsidRDefault="00566738" w:rsidP="00C00873">
          <w:pPr>
            <w:spacing w:after="80" w:line="240" w:lineRule="auto"/>
            <w:jc w:val="right"/>
            <w:rPr>
              <w:position w:val="-4"/>
              <w:lang w:val="es-ES"/>
            </w:rPr>
          </w:pPr>
          <w:r w:rsidRPr="00ED4C2B">
            <w:rPr>
              <w:noProof/>
              <w:position w:val="-4"/>
              <w:sz w:val="40"/>
              <w:szCs w:val="40"/>
              <w:lang w:val="es-ES"/>
            </w:rPr>
            <w:t>CEDAW</w:t>
          </w:r>
          <w:r w:rsidRPr="00ED4C2B">
            <w:rPr>
              <w:noProof/>
              <w:position w:val="-4"/>
              <w:lang w:val="es-ES"/>
            </w:rPr>
            <w:t>/C/</w:t>
          </w:r>
          <w:r>
            <w:rPr>
              <w:noProof/>
              <w:position w:val="-4"/>
              <w:lang w:val="es-ES"/>
            </w:rPr>
            <w:t>GRB</w:t>
          </w:r>
          <w:r w:rsidRPr="00ED4C2B">
            <w:rPr>
              <w:noProof/>
              <w:position w:val="-4"/>
              <w:lang w:val="es-ES"/>
            </w:rPr>
            <w:t>/</w:t>
          </w:r>
          <w:r>
            <w:rPr>
              <w:noProof/>
              <w:position w:val="-4"/>
              <w:lang w:val="es-ES"/>
            </w:rPr>
            <w:t>8</w:t>
          </w:r>
        </w:p>
      </w:tc>
    </w:tr>
    <w:tr w:rsidR="00566738" w:rsidRPr="005E107A" w14:paraId="3835B6FB" w14:textId="77777777" w:rsidTr="000973A0">
      <w:trPr>
        <w:gridAfter w:val="1"/>
        <w:wAfter w:w="21" w:type="dxa"/>
        <w:trHeight w:hRule="exact" w:val="2880"/>
      </w:trPr>
      <w:tc>
        <w:tcPr>
          <w:tcW w:w="1267" w:type="dxa"/>
          <w:tcBorders>
            <w:top w:val="single" w:sz="4" w:space="0" w:color="auto"/>
            <w:bottom w:val="single" w:sz="12" w:space="0" w:color="auto"/>
          </w:tcBorders>
        </w:tcPr>
        <w:p w14:paraId="18561377" w14:textId="77777777" w:rsidR="00566738" w:rsidRDefault="00566738">
          <w:pPr>
            <w:pStyle w:val="Header"/>
            <w:spacing w:before="120"/>
            <w:jc w:val="center"/>
          </w:pPr>
          <w:r>
            <w:rPr>
              <w:lang w:val="en-US" w:eastAsia="zh-CN"/>
            </w:rPr>
            <w:drawing>
              <wp:inline distT="0" distB="0" distL="0" distR="0" wp14:anchorId="044277C7" wp14:editId="04F9B888">
                <wp:extent cx="676275" cy="571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71500"/>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393589EF" w14:textId="3CE2AE93" w:rsidR="00566738" w:rsidRPr="00AB43B5" w:rsidRDefault="00566738" w:rsidP="00AB43B5">
          <w:pPr>
            <w:pStyle w:val="XLarge"/>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360"/>
            </w:tabs>
            <w:spacing w:before="160"/>
            <w:rPr>
              <w:rFonts w:eastAsiaTheme="minorHAnsi"/>
              <w:bCs w:val="0"/>
              <w:w w:val="103"/>
              <w:szCs w:val="22"/>
              <w:lang w:val="es-ES" w:eastAsia="zh-CN"/>
            </w:rPr>
          </w:pPr>
          <w:r w:rsidRPr="00AB43B5">
            <w:rPr>
              <w:rFonts w:eastAsiaTheme="minorHAnsi"/>
              <w:bCs w:val="0"/>
              <w:w w:val="103"/>
              <w:szCs w:val="22"/>
              <w:lang w:val="es-ES" w:eastAsia="zh-CN"/>
            </w:rPr>
            <w:t>Convención sobre la Eliminación de Todas las Formas de Discriminación contra la Mujer</w:t>
          </w:r>
        </w:p>
      </w:tc>
      <w:tc>
        <w:tcPr>
          <w:tcW w:w="245" w:type="dxa"/>
          <w:tcBorders>
            <w:top w:val="single" w:sz="4" w:space="0" w:color="auto"/>
            <w:bottom w:val="single" w:sz="12" w:space="0" w:color="auto"/>
          </w:tcBorders>
        </w:tcPr>
        <w:p w14:paraId="55F95729" w14:textId="77777777" w:rsidR="00566738" w:rsidRDefault="00566738">
          <w:pPr>
            <w:pStyle w:val="Header"/>
            <w:spacing w:before="109"/>
          </w:pPr>
        </w:p>
      </w:tc>
      <w:tc>
        <w:tcPr>
          <w:tcW w:w="3140" w:type="dxa"/>
          <w:tcBorders>
            <w:top w:val="single" w:sz="4" w:space="0" w:color="auto"/>
            <w:bottom w:val="single" w:sz="12" w:space="0" w:color="auto"/>
          </w:tcBorders>
        </w:tcPr>
        <w:p w14:paraId="5991A8B8" w14:textId="77777777" w:rsidR="00566738" w:rsidRDefault="00566738">
          <w:pPr>
            <w:pStyle w:val="Distribution"/>
            <w:rPr>
              <w:lang w:val="es-ES"/>
            </w:rPr>
          </w:pPr>
          <w:r>
            <w:rPr>
              <w:color w:val="010000"/>
              <w:lang w:val="es-ES"/>
            </w:rPr>
            <w:t>Distr. general</w:t>
          </w:r>
        </w:p>
        <w:p w14:paraId="4402791B" w14:textId="77777777" w:rsidR="00566738" w:rsidRDefault="00566738">
          <w:pPr>
            <w:pStyle w:val="Publication"/>
            <w:rPr>
              <w:color w:val="010000"/>
              <w:lang w:val="es-ES"/>
            </w:rPr>
          </w:pPr>
          <w:r>
            <w:rPr>
              <w:color w:val="010000"/>
              <w:lang w:val="es-ES"/>
            </w:rPr>
            <w:t>18</w:t>
          </w:r>
          <w:r w:rsidRPr="00691C0B">
            <w:rPr>
              <w:color w:val="010000"/>
              <w:lang w:val="es-ES"/>
            </w:rPr>
            <w:t xml:space="preserve"> de </w:t>
          </w:r>
          <w:r>
            <w:rPr>
              <w:color w:val="010000"/>
              <w:lang w:val="es-ES"/>
            </w:rPr>
            <w:t>diciembre</w:t>
          </w:r>
          <w:r w:rsidRPr="00691C0B">
            <w:rPr>
              <w:color w:val="010000"/>
              <w:lang w:val="es-ES"/>
            </w:rPr>
            <w:t xml:space="preserve"> de 2017</w:t>
          </w:r>
        </w:p>
        <w:p w14:paraId="1CADA1CE" w14:textId="5F500F99" w:rsidR="00566738" w:rsidRDefault="00566738">
          <w:pPr>
            <w:pStyle w:val="Original"/>
            <w:rPr>
              <w:color w:val="010000"/>
              <w:lang w:val="es-ES"/>
            </w:rPr>
          </w:pPr>
          <w:r>
            <w:rPr>
              <w:color w:val="010000"/>
              <w:lang w:val="es-ES"/>
            </w:rPr>
            <w:t>Español</w:t>
          </w:r>
        </w:p>
        <w:p w14:paraId="2DECC79E" w14:textId="4462C85E" w:rsidR="00566738" w:rsidRPr="00B11E0C" w:rsidRDefault="00566738">
          <w:pPr>
            <w:pStyle w:val="Original"/>
            <w:rPr>
              <w:lang w:val="es-ES"/>
            </w:rPr>
          </w:pPr>
          <w:r>
            <w:rPr>
              <w:color w:val="010000"/>
              <w:lang w:val="es-ES"/>
            </w:rPr>
            <w:t>Original:</w:t>
          </w:r>
          <w:r w:rsidRPr="00B11E0C">
            <w:rPr>
              <w:color w:val="010000"/>
              <w:lang w:val="es-ES"/>
            </w:rPr>
            <w:t xml:space="preserve"> </w:t>
          </w:r>
          <w:r>
            <w:rPr>
              <w:color w:val="010000"/>
              <w:lang w:val="es-ES"/>
            </w:rPr>
            <w:t>inglés</w:t>
          </w:r>
        </w:p>
        <w:p w14:paraId="6FB2C4D3" w14:textId="77777777" w:rsidR="00566738" w:rsidRPr="00B11E0C" w:rsidRDefault="00566738">
          <w:pPr>
            <w:rPr>
              <w:lang w:val="es-ES"/>
            </w:rPr>
          </w:pPr>
        </w:p>
      </w:tc>
    </w:tr>
  </w:tbl>
  <w:p w14:paraId="7FB99D69" w14:textId="77777777" w:rsidR="00566738" w:rsidRDefault="0056673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rPr>
        <w:rFonts w:cs="Times New Roman"/>
      </w:r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F6F73"/>
    <w:multiLevelType w:val="hybridMultilevel"/>
    <w:tmpl w:val="CCFA383C"/>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3" w15:restartNumberingAfterBreak="0">
    <w:nsid w:val="07A330DD"/>
    <w:multiLevelType w:val="hybridMultilevel"/>
    <w:tmpl w:val="ADB43E14"/>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4" w15:restartNumberingAfterBreak="0">
    <w:nsid w:val="10F41A50"/>
    <w:multiLevelType w:val="hybridMultilevel"/>
    <w:tmpl w:val="9766C430"/>
    <w:lvl w:ilvl="0" w:tplc="202CC316">
      <w:start w:val="1"/>
      <w:numFmt w:val="decimal"/>
      <w:lvlText w:val="%1."/>
      <w:lvlJc w:val="left"/>
      <w:pPr>
        <w:ind w:left="1747" w:hanging="480"/>
      </w:pPr>
      <w:rPr>
        <w:rFonts w:cs="Times New Roman" w:hint="default"/>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5" w15:restartNumberingAfterBreak="0">
    <w:nsid w:val="11B91852"/>
    <w:multiLevelType w:val="hybridMultilevel"/>
    <w:tmpl w:val="2D8E24B6"/>
    <w:lvl w:ilvl="0" w:tplc="54A46870">
      <w:start w:val="1"/>
      <w:numFmt w:val="decimal"/>
      <w:lvlText w:val="%1."/>
      <w:lvlJc w:val="left"/>
      <w:pPr>
        <w:ind w:left="1500" w:hanging="360"/>
      </w:pPr>
      <w:rPr>
        <w:rFonts w:cs="Times New Roman" w:hint="default"/>
      </w:rPr>
    </w:lvl>
    <w:lvl w:ilvl="1" w:tplc="08090019">
      <w:start w:val="1"/>
      <w:numFmt w:val="lowerLetter"/>
      <w:lvlText w:val="%2."/>
      <w:lvlJc w:val="left"/>
      <w:pPr>
        <w:ind w:left="2220" w:hanging="360"/>
      </w:pPr>
      <w:rPr>
        <w:rFonts w:cs="Times New Roman"/>
      </w:rPr>
    </w:lvl>
    <w:lvl w:ilvl="2" w:tplc="0809001B" w:tentative="1">
      <w:start w:val="1"/>
      <w:numFmt w:val="lowerRoman"/>
      <w:lvlText w:val="%3."/>
      <w:lvlJc w:val="right"/>
      <w:pPr>
        <w:ind w:left="2940" w:hanging="180"/>
      </w:pPr>
      <w:rPr>
        <w:rFonts w:cs="Times New Roman"/>
      </w:rPr>
    </w:lvl>
    <w:lvl w:ilvl="3" w:tplc="0809000F" w:tentative="1">
      <w:start w:val="1"/>
      <w:numFmt w:val="decimal"/>
      <w:lvlText w:val="%4."/>
      <w:lvlJc w:val="left"/>
      <w:pPr>
        <w:ind w:left="3660" w:hanging="360"/>
      </w:pPr>
      <w:rPr>
        <w:rFonts w:cs="Times New Roman"/>
      </w:rPr>
    </w:lvl>
    <w:lvl w:ilvl="4" w:tplc="08090019" w:tentative="1">
      <w:start w:val="1"/>
      <w:numFmt w:val="lowerLetter"/>
      <w:lvlText w:val="%5."/>
      <w:lvlJc w:val="left"/>
      <w:pPr>
        <w:ind w:left="4380" w:hanging="360"/>
      </w:pPr>
      <w:rPr>
        <w:rFonts w:cs="Times New Roman"/>
      </w:rPr>
    </w:lvl>
    <w:lvl w:ilvl="5" w:tplc="0809001B" w:tentative="1">
      <w:start w:val="1"/>
      <w:numFmt w:val="lowerRoman"/>
      <w:lvlText w:val="%6."/>
      <w:lvlJc w:val="right"/>
      <w:pPr>
        <w:ind w:left="5100" w:hanging="180"/>
      </w:pPr>
      <w:rPr>
        <w:rFonts w:cs="Times New Roman"/>
      </w:rPr>
    </w:lvl>
    <w:lvl w:ilvl="6" w:tplc="0809000F" w:tentative="1">
      <w:start w:val="1"/>
      <w:numFmt w:val="decimal"/>
      <w:lvlText w:val="%7."/>
      <w:lvlJc w:val="left"/>
      <w:pPr>
        <w:ind w:left="5820" w:hanging="360"/>
      </w:pPr>
      <w:rPr>
        <w:rFonts w:cs="Times New Roman"/>
      </w:rPr>
    </w:lvl>
    <w:lvl w:ilvl="7" w:tplc="08090019" w:tentative="1">
      <w:start w:val="1"/>
      <w:numFmt w:val="lowerLetter"/>
      <w:lvlText w:val="%8."/>
      <w:lvlJc w:val="left"/>
      <w:pPr>
        <w:ind w:left="6540" w:hanging="360"/>
      </w:pPr>
      <w:rPr>
        <w:rFonts w:cs="Times New Roman"/>
      </w:rPr>
    </w:lvl>
    <w:lvl w:ilvl="8" w:tplc="0809001B" w:tentative="1">
      <w:start w:val="1"/>
      <w:numFmt w:val="lowerRoman"/>
      <w:lvlText w:val="%9."/>
      <w:lvlJc w:val="right"/>
      <w:pPr>
        <w:ind w:left="7260" w:hanging="180"/>
      </w:pPr>
      <w:rPr>
        <w:rFonts w:cs="Times New Roman"/>
      </w:rPr>
    </w:lvl>
  </w:abstractNum>
  <w:abstractNum w:abstractNumId="6" w15:restartNumberingAfterBreak="0">
    <w:nsid w:val="147635A0"/>
    <w:multiLevelType w:val="multilevel"/>
    <w:tmpl w:val="C988F3DE"/>
    <w:name w:val="TOC"/>
    <w:lvl w:ilvl="0">
      <w:start w:val="1"/>
      <w:numFmt w:val="decimal"/>
      <w:lvlText w:val="%1."/>
      <w:lvlJc w:val="right"/>
      <w:pPr>
        <w:tabs>
          <w:tab w:val="num" w:pos="1296"/>
        </w:tabs>
        <w:ind w:left="1296" w:hanging="216"/>
      </w:pPr>
      <w:rPr>
        <w:rFonts w:cs="Times New Roman" w:hint="default"/>
      </w:rPr>
    </w:lvl>
    <w:lvl w:ilvl="1">
      <w:start w:val="1"/>
      <w:numFmt w:val="upperLetter"/>
      <w:lvlText w:val="%2."/>
      <w:lvlJc w:val="left"/>
      <w:pPr>
        <w:tabs>
          <w:tab w:val="num" w:pos="1728"/>
        </w:tabs>
        <w:ind w:left="1728" w:hanging="432"/>
      </w:pPr>
      <w:rPr>
        <w:rFonts w:cs="Times New Roman" w:hint="default"/>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7" w15:restartNumberingAfterBreak="0">
    <w:nsid w:val="157D1D42"/>
    <w:multiLevelType w:val="multilevel"/>
    <w:tmpl w:val="0550320A"/>
    <w:lvl w:ilvl="0">
      <w:start w:val="1"/>
      <w:numFmt w:val="decimal"/>
      <w:lvlText w:val="%1."/>
      <w:lvlJc w:val="right"/>
      <w:pPr>
        <w:tabs>
          <w:tab w:val="num" w:pos="1296"/>
        </w:tabs>
        <w:ind w:left="1296" w:hanging="216"/>
      </w:pPr>
      <w:rPr>
        <w:rFonts w:cs="Times New Roman" w:hint="default"/>
      </w:rPr>
    </w:lvl>
    <w:lvl w:ilvl="1">
      <w:start w:val="1"/>
      <w:numFmt w:val="upperLetter"/>
      <w:lvlText w:val="%2."/>
      <w:lvlJc w:val="left"/>
      <w:pPr>
        <w:tabs>
          <w:tab w:val="num" w:pos="1728"/>
        </w:tabs>
        <w:ind w:left="1728" w:hanging="432"/>
      </w:pPr>
      <w:rPr>
        <w:rFonts w:cs="Times New Roman" w:hint="default"/>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 w15:restartNumberingAfterBreak="0">
    <w:nsid w:val="2AC04B30"/>
    <w:multiLevelType w:val="hybridMultilevel"/>
    <w:tmpl w:val="F9D86C0E"/>
    <w:lvl w:ilvl="0" w:tplc="B968817C">
      <w:start w:val="1"/>
      <w:numFmt w:val="decimal"/>
      <w:lvlText w:val="%1."/>
      <w:lvlJc w:val="left"/>
      <w:pPr>
        <w:ind w:left="1987" w:hanging="360"/>
      </w:pPr>
      <w:rPr>
        <w:rFonts w:cs="Times New Roman"/>
        <w:b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9" w15:restartNumberingAfterBreak="0">
    <w:nsid w:val="32D14147"/>
    <w:multiLevelType w:val="multilevel"/>
    <w:tmpl w:val="BCB6260E"/>
    <w:lvl w:ilvl="0">
      <w:start w:val="1"/>
      <w:numFmt w:val="decimal"/>
      <w:lvlText w:val="%1."/>
      <w:lvlJc w:val="left"/>
      <w:pPr>
        <w:tabs>
          <w:tab w:val="num" w:pos="1134"/>
        </w:tabs>
        <w:ind w:left="1134" w:firstLine="0"/>
      </w:pPr>
      <w:rPr>
        <w:rFonts w:hint="default"/>
        <w:b w:val="0"/>
        <w:color w:val="auto"/>
        <w:sz w:val="20"/>
        <w:szCs w:val="22"/>
        <w:lang w:val="en-US"/>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558"/>
        </w:tabs>
        <w:ind w:left="2558" w:hanging="432"/>
      </w:pPr>
      <w:rPr>
        <w:rFonts w:ascii="Times New Roman" w:hAnsi="Times New Roman" w:cs="Times New Roman" w:hint="default"/>
        <w:b w:val="0"/>
        <w:color w:val="000000" w:themeColor="text1"/>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45260FC"/>
    <w:multiLevelType w:val="hybridMultilevel"/>
    <w:tmpl w:val="9FDA04FC"/>
    <w:lvl w:ilvl="0" w:tplc="ABF086FA">
      <w:start w:val="1"/>
      <w:numFmt w:val="decimal"/>
      <w:lvlText w:val="%1."/>
      <w:lvlJc w:val="left"/>
      <w:pPr>
        <w:ind w:left="1747" w:hanging="480"/>
      </w:pPr>
      <w:rPr>
        <w:rFonts w:cs="Times New Roman" w:hint="default"/>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11"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hint="default"/>
        <w:sz w:val="14"/>
      </w:rPr>
    </w:lvl>
    <w:lvl w:ilvl="1" w:tplc="04090003">
      <w:start w:val="1"/>
      <w:numFmt w:val="bullet"/>
      <w:lvlText w:val="o"/>
      <w:lvlJc w:val="left"/>
      <w:pPr>
        <w:ind w:left="3527" w:hanging="360"/>
      </w:pPr>
      <w:rPr>
        <w:rFonts w:ascii="Courier New" w:hAnsi="Courier New" w:hint="default"/>
      </w:rPr>
    </w:lvl>
    <w:lvl w:ilvl="2" w:tplc="04090005">
      <w:start w:val="1"/>
      <w:numFmt w:val="bullet"/>
      <w:lvlText w:val=""/>
      <w:lvlJc w:val="left"/>
      <w:pPr>
        <w:ind w:left="4247" w:hanging="360"/>
      </w:pPr>
      <w:rPr>
        <w:rFonts w:ascii="Wingdings" w:hAnsi="Wingdings" w:hint="default"/>
      </w:rPr>
    </w:lvl>
    <w:lvl w:ilvl="3" w:tplc="04090001">
      <w:start w:val="1"/>
      <w:numFmt w:val="bullet"/>
      <w:lvlText w:val=""/>
      <w:lvlJc w:val="left"/>
      <w:pPr>
        <w:ind w:left="4967" w:hanging="360"/>
      </w:pPr>
      <w:rPr>
        <w:rFonts w:ascii="Symbol" w:hAnsi="Symbol" w:hint="default"/>
      </w:rPr>
    </w:lvl>
    <w:lvl w:ilvl="4" w:tplc="04090003">
      <w:start w:val="1"/>
      <w:numFmt w:val="bullet"/>
      <w:lvlText w:val="o"/>
      <w:lvlJc w:val="left"/>
      <w:pPr>
        <w:ind w:left="5687" w:hanging="360"/>
      </w:pPr>
      <w:rPr>
        <w:rFonts w:ascii="Courier New" w:hAnsi="Courier New" w:hint="default"/>
      </w:rPr>
    </w:lvl>
    <w:lvl w:ilvl="5" w:tplc="04090005">
      <w:start w:val="1"/>
      <w:numFmt w:val="bullet"/>
      <w:lvlText w:val=""/>
      <w:lvlJc w:val="left"/>
      <w:pPr>
        <w:ind w:left="6407" w:hanging="360"/>
      </w:pPr>
      <w:rPr>
        <w:rFonts w:ascii="Wingdings" w:hAnsi="Wingdings" w:hint="default"/>
      </w:rPr>
    </w:lvl>
    <w:lvl w:ilvl="6" w:tplc="04090001">
      <w:start w:val="1"/>
      <w:numFmt w:val="bullet"/>
      <w:lvlText w:val=""/>
      <w:lvlJc w:val="left"/>
      <w:pPr>
        <w:ind w:left="7127" w:hanging="360"/>
      </w:pPr>
      <w:rPr>
        <w:rFonts w:ascii="Symbol" w:hAnsi="Symbol" w:hint="default"/>
      </w:rPr>
    </w:lvl>
    <w:lvl w:ilvl="7" w:tplc="04090003">
      <w:start w:val="1"/>
      <w:numFmt w:val="bullet"/>
      <w:lvlText w:val="o"/>
      <w:lvlJc w:val="left"/>
      <w:pPr>
        <w:ind w:left="7847" w:hanging="360"/>
      </w:pPr>
      <w:rPr>
        <w:rFonts w:ascii="Courier New" w:hAnsi="Courier New" w:hint="default"/>
      </w:rPr>
    </w:lvl>
    <w:lvl w:ilvl="8" w:tplc="04090005">
      <w:start w:val="1"/>
      <w:numFmt w:val="bullet"/>
      <w:lvlText w:val=""/>
      <w:lvlJc w:val="left"/>
      <w:pPr>
        <w:ind w:left="8567" w:hanging="360"/>
      </w:pPr>
      <w:rPr>
        <w:rFonts w:ascii="Wingdings" w:hAnsi="Wingdings" w:hint="default"/>
      </w:rPr>
    </w:lvl>
  </w:abstractNum>
  <w:abstractNum w:abstractNumId="12" w15:restartNumberingAfterBreak="0">
    <w:nsid w:val="39263805"/>
    <w:multiLevelType w:val="hybridMultilevel"/>
    <w:tmpl w:val="CF580928"/>
    <w:lvl w:ilvl="0" w:tplc="0C0A000F">
      <w:start w:val="1"/>
      <w:numFmt w:val="decimal"/>
      <w:lvlText w:val="%1."/>
      <w:lvlJc w:val="left"/>
      <w:pPr>
        <w:ind w:left="2460" w:hanging="360"/>
      </w:pPr>
      <w:rPr>
        <w:rFonts w:cs="Times New Roman" w:hint="default"/>
      </w:rPr>
    </w:lvl>
    <w:lvl w:ilvl="1" w:tplc="0C0A0019" w:tentative="1">
      <w:start w:val="1"/>
      <w:numFmt w:val="lowerLetter"/>
      <w:lvlText w:val="%2."/>
      <w:lvlJc w:val="left"/>
      <w:pPr>
        <w:ind w:left="3180" w:hanging="360"/>
      </w:pPr>
      <w:rPr>
        <w:rFonts w:cs="Times New Roman"/>
      </w:rPr>
    </w:lvl>
    <w:lvl w:ilvl="2" w:tplc="0C0A001B" w:tentative="1">
      <w:start w:val="1"/>
      <w:numFmt w:val="lowerRoman"/>
      <w:lvlText w:val="%3."/>
      <w:lvlJc w:val="right"/>
      <w:pPr>
        <w:ind w:left="3900" w:hanging="180"/>
      </w:pPr>
      <w:rPr>
        <w:rFonts w:cs="Times New Roman"/>
      </w:rPr>
    </w:lvl>
    <w:lvl w:ilvl="3" w:tplc="0C0A000F" w:tentative="1">
      <w:start w:val="1"/>
      <w:numFmt w:val="decimal"/>
      <w:lvlText w:val="%4."/>
      <w:lvlJc w:val="left"/>
      <w:pPr>
        <w:ind w:left="4620" w:hanging="360"/>
      </w:pPr>
      <w:rPr>
        <w:rFonts w:cs="Times New Roman"/>
      </w:rPr>
    </w:lvl>
    <w:lvl w:ilvl="4" w:tplc="0C0A0019" w:tentative="1">
      <w:start w:val="1"/>
      <w:numFmt w:val="lowerLetter"/>
      <w:lvlText w:val="%5."/>
      <w:lvlJc w:val="left"/>
      <w:pPr>
        <w:ind w:left="5340" w:hanging="360"/>
      </w:pPr>
      <w:rPr>
        <w:rFonts w:cs="Times New Roman"/>
      </w:rPr>
    </w:lvl>
    <w:lvl w:ilvl="5" w:tplc="0C0A001B" w:tentative="1">
      <w:start w:val="1"/>
      <w:numFmt w:val="lowerRoman"/>
      <w:lvlText w:val="%6."/>
      <w:lvlJc w:val="right"/>
      <w:pPr>
        <w:ind w:left="6060" w:hanging="180"/>
      </w:pPr>
      <w:rPr>
        <w:rFonts w:cs="Times New Roman"/>
      </w:rPr>
    </w:lvl>
    <w:lvl w:ilvl="6" w:tplc="0C0A000F" w:tentative="1">
      <w:start w:val="1"/>
      <w:numFmt w:val="decimal"/>
      <w:lvlText w:val="%7."/>
      <w:lvlJc w:val="left"/>
      <w:pPr>
        <w:ind w:left="6780" w:hanging="360"/>
      </w:pPr>
      <w:rPr>
        <w:rFonts w:cs="Times New Roman"/>
      </w:rPr>
    </w:lvl>
    <w:lvl w:ilvl="7" w:tplc="0C0A0019" w:tentative="1">
      <w:start w:val="1"/>
      <w:numFmt w:val="lowerLetter"/>
      <w:lvlText w:val="%8."/>
      <w:lvlJc w:val="left"/>
      <w:pPr>
        <w:ind w:left="7500" w:hanging="360"/>
      </w:pPr>
      <w:rPr>
        <w:rFonts w:cs="Times New Roman"/>
      </w:rPr>
    </w:lvl>
    <w:lvl w:ilvl="8" w:tplc="0C0A001B" w:tentative="1">
      <w:start w:val="1"/>
      <w:numFmt w:val="lowerRoman"/>
      <w:lvlText w:val="%9."/>
      <w:lvlJc w:val="right"/>
      <w:pPr>
        <w:ind w:left="8220" w:hanging="180"/>
      </w:pPr>
      <w:rPr>
        <w:rFonts w:cs="Times New Roman"/>
      </w:rPr>
    </w:lvl>
  </w:abstractNum>
  <w:abstractNum w:abstractNumId="1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hint="default"/>
        <w:sz w:val="14"/>
      </w:rPr>
    </w:lvl>
    <w:lvl w:ilvl="1" w:tplc="08090003">
      <w:start w:val="1"/>
      <w:numFmt w:val="bullet"/>
      <w:lvlText w:val="o"/>
      <w:lvlJc w:val="left"/>
      <w:pPr>
        <w:ind w:left="4003" w:hanging="360"/>
      </w:pPr>
      <w:rPr>
        <w:rFonts w:ascii="Courier New" w:hAnsi="Courier New" w:hint="default"/>
      </w:rPr>
    </w:lvl>
    <w:lvl w:ilvl="2" w:tplc="08090005">
      <w:start w:val="1"/>
      <w:numFmt w:val="bullet"/>
      <w:lvlText w:val=""/>
      <w:lvlJc w:val="left"/>
      <w:pPr>
        <w:ind w:left="4723" w:hanging="360"/>
      </w:pPr>
      <w:rPr>
        <w:rFonts w:ascii="Wingdings" w:hAnsi="Wingdings" w:hint="default"/>
      </w:rPr>
    </w:lvl>
    <w:lvl w:ilvl="3" w:tplc="08090001">
      <w:start w:val="1"/>
      <w:numFmt w:val="bullet"/>
      <w:lvlText w:val=""/>
      <w:lvlJc w:val="left"/>
      <w:pPr>
        <w:ind w:left="5443" w:hanging="360"/>
      </w:pPr>
      <w:rPr>
        <w:rFonts w:ascii="Symbol" w:hAnsi="Symbol" w:hint="default"/>
      </w:rPr>
    </w:lvl>
    <w:lvl w:ilvl="4" w:tplc="08090003">
      <w:start w:val="1"/>
      <w:numFmt w:val="bullet"/>
      <w:lvlText w:val="o"/>
      <w:lvlJc w:val="left"/>
      <w:pPr>
        <w:ind w:left="6163" w:hanging="360"/>
      </w:pPr>
      <w:rPr>
        <w:rFonts w:ascii="Courier New" w:hAnsi="Courier New" w:hint="default"/>
      </w:rPr>
    </w:lvl>
    <w:lvl w:ilvl="5" w:tplc="08090005">
      <w:start w:val="1"/>
      <w:numFmt w:val="bullet"/>
      <w:lvlText w:val=""/>
      <w:lvlJc w:val="left"/>
      <w:pPr>
        <w:ind w:left="6883" w:hanging="360"/>
      </w:pPr>
      <w:rPr>
        <w:rFonts w:ascii="Wingdings" w:hAnsi="Wingdings" w:hint="default"/>
      </w:rPr>
    </w:lvl>
    <w:lvl w:ilvl="6" w:tplc="08090001">
      <w:start w:val="1"/>
      <w:numFmt w:val="bullet"/>
      <w:lvlText w:val=""/>
      <w:lvlJc w:val="left"/>
      <w:pPr>
        <w:ind w:left="7603" w:hanging="360"/>
      </w:pPr>
      <w:rPr>
        <w:rFonts w:ascii="Symbol" w:hAnsi="Symbol" w:hint="default"/>
      </w:rPr>
    </w:lvl>
    <w:lvl w:ilvl="7" w:tplc="08090003">
      <w:start w:val="1"/>
      <w:numFmt w:val="bullet"/>
      <w:lvlText w:val="o"/>
      <w:lvlJc w:val="left"/>
      <w:pPr>
        <w:ind w:left="8323" w:hanging="360"/>
      </w:pPr>
      <w:rPr>
        <w:rFonts w:ascii="Courier New" w:hAnsi="Courier New" w:hint="default"/>
      </w:rPr>
    </w:lvl>
    <w:lvl w:ilvl="8" w:tplc="08090005">
      <w:start w:val="1"/>
      <w:numFmt w:val="bullet"/>
      <w:lvlText w:val=""/>
      <w:lvlJc w:val="left"/>
      <w:pPr>
        <w:ind w:left="9043" w:hanging="360"/>
      </w:pPr>
      <w:rPr>
        <w:rFonts w:ascii="Wingdings" w:hAnsi="Wingdings" w:hint="default"/>
      </w:rPr>
    </w:lvl>
  </w:abstractNum>
  <w:abstractNum w:abstractNumId="14" w15:restartNumberingAfterBreak="0">
    <w:nsid w:val="3DBF0852"/>
    <w:multiLevelType w:val="hybridMultilevel"/>
    <w:tmpl w:val="C27A695E"/>
    <w:lvl w:ilvl="0" w:tplc="64C8DA10">
      <w:start w:val="1"/>
      <w:numFmt w:val="decimal"/>
      <w:lvlText w:val="%1"/>
      <w:lvlJc w:val="left"/>
      <w:pPr>
        <w:ind w:left="2460" w:hanging="360"/>
      </w:pPr>
      <w:rPr>
        <w:rFonts w:cs="Times New Roman" w:hint="default"/>
      </w:rPr>
    </w:lvl>
    <w:lvl w:ilvl="1" w:tplc="0C0A0019" w:tentative="1">
      <w:start w:val="1"/>
      <w:numFmt w:val="lowerLetter"/>
      <w:lvlText w:val="%2."/>
      <w:lvlJc w:val="left"/>
      <w:pPr>
        <w:ind w:left="3180" w:hanging="360"/>
      </w:pPr>
      <w:rPr>
        <w:rFonts w:cs="Times New Roman"/>
      </w:rPr>
    </w:lvl>
    <w:lvl w:ilvl="2" w:tplc="0C0A001B" w:tentative="1">
      <w:start w:val="1"/>
      <w:numFmt w:val="lowerRoman"/>
      <w:lvlText w:val="%3."/>
      <w:lvlJc w:val="right"/>
      <w:pPr>
        <w:ind w:left="3900" w:hanging="180"/>
      </w:pPr>
      <w:rPr>
        <w:rFonts w:cs="Times New Roman"/>
      </w:rPr>
    </w:lvl>
    <w:lvl w:ilvl="3" w:tplc="0C0A000F" w:tentative="1">
      <w:start w:val="1"/>
      <w:numFmt w:val="decimal"/>
      <w:lvlText w:val="%4."/>
      <w:lvlJc w:val="left"/>
      <w:pPr>
        <w:ind w:left="4620" w:hanging="360"/>
      </w:pPr>
      <w:rPr>
        <w:rFonts w:cs="Times New Roman"/>
      </w:rPr>
    </w:lvl>
    <w:lvl w:ilvl="4" w:tplc="0C0A0019" w:tentative="1">
      <w:start w:val="1"/>
      <w:numFmt w:val="lowerLetter"/>
      <w:lvlText w:val="%5."/>
      <w:lvlJc w:val="left"/>
      <w:pPr>
        <w:ind w:left="5340" w:hanging="360"/>
      </w:pPr>
      <w:rPr>
        <w:rFonts w:cs="Times New Roman"/>
      </w:rPr>
    </w:lvl>
    <w:lvl w:ilvl="5" w:tplc="0C0A001B" w:tentative="1">
      <w:start w:val="1"/>
      <w:numFmt w:val="lowerRoman"/>
      <w:lvlText w:val="%6."/>
      <w:lvlJc w:val="right"/>
      <w:pPr>
        <w:ind w:left="6060" w:hanging="180"/>
      </w:pPr>
      <w:rPr>
        <w:rFonts w:cs="Times New Roman"/>
      </w:rPr>
    </w:lvl>
    <w:lvl w:ilvl="6" w:tplc="0C0A000F" w:tentative="1">
      <w:start w:val="1"/>
      <w:numFmt w:val="decimal"/>
      <w:lvlText w:val="%7."/>
      <w:lvlJc w:val="left"/>
      <w:pPr>
        <w:ind w:left="6780" w:hanging="360"/>
      </w:pPr>
      <w:rPr>
        <w:rFonts w:cs="Times New Roman"/>
      </w:rPr>
    </w:lvl>
    <w:lvl w:ilvl="7" w:tplc="0C0A0019" w:tentative="1">
      <w:start w:val="1"/>
      <w:numFmt w:val="lowerLetter"/>
      <w:lvlText w:val="%8."/>
      <w:lvlJc w:val="left"/>
      <w:pPr>
        <w:ind w:left="7500" w:hanging="360"/>
      </w:pPr>
      <w:rPr>
        <w:rFonts w:cs="Times New Roman"/>
      </w:rPr>
    </w:lvl>
    <w:lvl w:ilvl="8" w:tplc="0C0A001B" w:tentative="1">
      <w:start w:val="1"/>
      <w:numFmt w:val="lowerRoman"/>
      <w:lvlText w:val="%9."/>
      <w:lvlJc w:val="right"/>
      <w:pPr>
        <w:ind w:left="8220" w:hanging="180"/>
      </w:pPr>
      <w:rPr>
        <w:rFonts w:cs="Times New Roman"/>
      </w:rPr>
    </w:lvl>
  </w:abstractNum>
  <w:abstractNum w:abstractNumId="15" w15:restartNumberingAfterBreak="0">
    <w:nsid w:val="426B38DA"/>
    <w:multiLevelType w:val="hybridMultilevel"/>
    <w:tmpl w:val="F8428662"/>
    <w:lvl w:ilvl="0" w:tplc="EBDE3312">
      <w:start w:val="1"/>
      <w:numFmt w:val="decimal"/>
      <w:lvlText w:val="%1."/>
      <w:lvlJc w:val="left"/>
      <w:pPr>
        <w:ind w:left="1987" w:hanging="360"/>
      </w:pPr>
      <w:rPr>
        <w:rFonts w:cs="Times New Roman"/>
        <w:b w:val="0"/>
        <w:i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16" w15:restartNumberingAfterBreak="0">
    <w:nsid w:val="4A7B0784"/>
    <w:multiLevelType w:val="hybridMultilevel"/>
    <w:tmpl w:val="E340B160"/>
    <w:lvl w:ilvl="0" w:tplc="DA1E38FE">
      <w:numFmt w:val="bullet"/>
      <w:lvlText w:val="-"/>
      <w:lvlJc w:val="left"/>
      <w:pPr>
        <w:ind w:left="1195" w:hanging="360"/>
      </w:pPr>
      <w:rPr>
        <w:rFonts w:ascii="Arial" w:eastAsiaTheme="minorHAnsi" w:hAnsi="Arial" w:cs="Arial" w:hint="default"/>
        <w:sz w:val="24"/>
      </w:rPr>
    </w:lvl>
    <w:lvl w:ilvl="1" w:tplc="08090003">
      <w:start w:val="1"/>
      <w:numFmt w:val="bullet"/>
      <w:lvlText w:val="o"/>
      <w:lvlJc w:val="left"/>
      <w:pPr>
        <w:ind w:left="1915" w:hanging="360"/>
      </w:pPr>
      <w:rPr>
        <w:rFonts w:ascii="Courier New" w:hAnsi="Courier New" w:cs="Courier New" w:hint="default"/>
      </w:rPr>
    </w:lvl>
    <w:lvl w:ilvl="2" w:tplc="08090005">
      <w:start w:val="1"/>
      <w:numFmt w:val="bullet"/>
      <w:lvlText w:val=""/>
      <w:lvlJc w:val="left"/>
      <w:pPr>
        <w:ind w:left="2635" w:hanging="360"/>
      </w:pPr>
      <w:rPr>
        <w:rFonts w:ascii="Wingdings" w:hAnsi="Wingdings" w:hint="default"/>
      </w:rPr>
    </w:lvl>
    <w:lvl w:ilvl="3" w:tplc="08090001">
      <w:start w:val="1"/>
      <w:numFmt w:val="bullet"/>
      <w:lvlText w:val=""/>
      <w:lvlJc w:val="left"/>
      <w:pPr>
        <w:ind w:left="3355" w:hanging="360"/>
      </w:pPr>
      <w:rPr>
        <w:rFonts w:ascii="Symbol" w:hAnsi="Symbol" w:hint="default"/>
      </w:rPr>
    </w:lvl>
    <w:lvl w:ilvl="4" w:tplc="08090003">
      <w:start w:val="1"/>
      <w:numFmt w:val="bullet"/>
      <w:lvlText w:val="o"/>
      <w:lvlJc w:val="left"/>
      <w:pPr>
        <w:ind w:left="4075" w:hanging="360"/>
      </w:pPr>
      <w:rPr>
        <w:rFonts w:ascii="Courier New" w:hAnsi="Courier New" w:cs="Courier New" w:hint="default"/>
      </w:rPr>
    </w:lvl>
    <w:lvl w:ilvl="5" w:tplc="08090005">
      <w:start w:val="1"/>
      <w:numFmt w:val="bullet"/>
      <w:lvlText w:val=""/>
      <w:lvlJc w:val="left"/>
      <w:pPr>
        <w:ind w:left="4795" w:hanging="360"/>
      </w:pPr>
      <w:rPr>
        <w:rFonts w:ascii="Wingdings" w:hAnsi="Wingdings" w:hint="default"/>
      </w:rPr>
    </w:lvl>
    <w:lvl w:ilvl="6" w:tplc="08090001">
      <w:start w:val="1"/>
      <w:numFmt w:val="bullet"/>
      <w:lvlText w:val=""/>
      <w:lvlJc w:val="left"/>
      <w:pPr>
        <w:ind w:left="5515" w:hanging="360"/>
      </w:pPr>
      <w:rPr>
        <w:rFonts w:ascii="Symbol" w:hAnsi="Symbol" w:hint="default"/>
      </w:rPr>
    </w:lvl>
    <w:lvl w:ilvl="7" w:tplc="08090003">
      <w:start w:val="1"/>
      <w:numFmt w:val="bullet"/>
      <w:lvlText w:val="o"/>
      <w:lvlJc w:val="left"/>
      <w:pPr>
        <w:ind w:left="6235" w:hanging="360"/>
      </w:pPr>
      <w:rPr>
        <w:rFonts w:ascii="Courier New" w:hAnsi="Courier New" w:cs="Courier New" w:hint="default"/>
      </w:rPr>
    </w:lvl>
    <w:lvl w:ilvl="8" w:tplc="08090005">
      <w:start w:val="1"/>
      <w:numFmt w:val="bullet"/>
      <w:lvlText w:val=""/>
      <w:lvlJc w:val="left"/>
      <w:pPr>
        <w:ind w:left="6955" w:hanging="360"/>
      </w:pPr>
      <w:rPr>
        <w:rFonts w:ascii="Wingdings" w:hAnsi="Wingdings" w:hint="default"/>
      </w:rPr>
    </w:lvl>
  </w:abstractNum>
  <w:abstractNum w:abstractNumId="17" w15:restartNumberingAfterBreak="0">
    <w:nsid w:val="4AF00D84"/>
    <w:multiLevelType w:val="hybridMultilevel"/>
    <w:tmpl w:val="8A9AB0EC"/>
    <w:lvl w:ilvl="0" w:tplc="0D26C9FA">
      <w:start w:val="1"/>
      <w:numFmt w:val="decimal"/>
      <w:lvlText w:val="%1."/>
      <w:lvlJc w:val="left"/>
      <w:pPr>
        <w:ind w:left="2268"/>
      </w:pPr>
      <w:rPr>
        <w:rFonts w:cs="Times New Roman" w:hint="default"/>
        <w:b w:val="0"/>
      </w:rPr>
    </w:lvl>
    <w:lvl w:ilvl="1" w:tplc="04090019" w:tentative="1">
      <w:start w:val="1"/>
      <w:numFmt w:val="lowerLetter"/>
      <w:lvlText w:val="%2."/>
      <w:lvlJc w:val="left"/>
      <w:pPr>
        <w:ind w:left="2574" w:hanging="360"/>
      </w:pPr>
      <w:rPr>
        <w:rFonts w:cs="Times New Roman"/>
      </w:rPr>
    </w:lvl>
    <w:lvl w:ilvl="2" w:tplc="E56C0CB2">
      <w:start w:val="1"/>
      <w:numFmt w:val="decimal"/>
      <w:lvlText w:val="%3."/>
      <w:lvlJc w:val="left"/>
      <w:pPr>
        <w:ind w:left="1134"/>
      </w:pPr>
      <w:rPr>
        <w:rFonts w:cs="Times New Roman" w:hint="default"/>
        <w:b w:val="0"/>
        <w:i w:val="0"/>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8" w15:restartNumberingAfterBreak="0">
    <w:nsid w:val="4F414453"/>
    <w:multiLevelType w:val="hybridMultilevel"/>
    <w:tmpl w:val="CF580928"/>
    <w:lvl w:ilvl="0" w:tplc="0C0A000F">
      <w:start w:val="1"/>
      <w:numFmt w:val="decimal"/>
      <w:lvlText w:val="%1."/>
      <w:lvlJc w:val="left"/>
      <w:pPr>
        <w:ind w:left="2460" w:hanging="360"/>
      </w:pPr>
      <w:rPr>
        <w:rFonts w:cs="Times New Roman" w:hint="default"/>
      </w:rPr>
    </w:lvl>
    <w:lvl w:ilvl="1" w:tplc="0C0A0019" w:tentative="1">
      <w:start w:val="1"/>
      <w:numFmt w:val="lowerLetter"/>
      <w:lvlText w:val="%2."/>
      <w:lvlJc w:val="left"/>
      <w:pPr>
        <w:ind w:left="3180" w:hanging="360"/>
      </w:pPr>
      <w:rPr>
        <w:rFonts w:cs="Times New Roman"/>
      </w:rPr>
    </w:lvl>
    <w:lvl w:ilvl="2" w:tplc="0C0A001B" w:tentative="1">
      <w:start w:val="1"/>
      <w:numFmt w:val="lowerRoman"/>
      <w:lvlText w:val="%3."/>
      <w:lvlJc w:val="right"/>
      <w:pPr>
        <w:ind w:left="3900" w:hanging="180"/>
      </w:pPr>
      <w:rPr>
        <w:rFonts w:cs="Times New Roman"/>
      </w:rPr>
    </w:lvl>
    <w:lvl w:ilvl="3" w:tplc="0C0A000F" w:tentative="1">
      <w:start w:val="1"/>
      <w:numFmt w:val="decimal"/>
      <w:lvlText w:val="%4."/>
      <w:lvlJc w:val="left"/>
      <w:pPr>
        <w:ind w:left="4620" w:hanging="360"/>
      </w:pPr>
      <w:rPr>
        <w:rFonts w:cs="Times New Roman"/>
      </w:rPr>
    </w:lvl>
    <w:lvl w:ilvl="4" w:tplc="0C0A0019" w:tentative="1">
      <w:start w:val="1"/>
      <w:numFmt w:val="lowerLetter"/>
      <w:lvlText w:val="%5."/>
      <w:lvlJc w:val="left"/>
      <w:pPr>
        <w:ind w:left="5340" w:hanging="360"/>
      </w:pPr>
      <w:rPr>
        <w:rFonts w:cs="Times New Roman"/>
      </w:rPr>
    </w:lvl>
    <w:lvl w:ilvl="5" w:tplc="0C0A001B" w:tentative="1">
      <w:start w:val="1"/>
      <w:numFmt w:val="lowerRoman"/>
      <w:lvlText w:val="%6."/>
      <w:lvlJc w:val="right"/>
      <w:pPr>
        <w:ind w:left="6060" w:hanging="180"/>
      </w:pPr>
      <w:rPr>
        <w:rFonts w:cs="Times New Roman"/>
      </w:rPr>
    </w:lvl>
    <w:lvl w:ilvl="6" w:tplc="0C0A000F" w:tentative="1">
      <w:start w:val="1"/>
      <w:numFmt w:val="decimal"/>
      <w:lvlText w:val="%7."/>
      <w:lvlJc w:val="left"/>
      <w:pPr>
        <w:ind w:left="6780" w:hanging="360"/>
      </w:pPr>
      <w:rPr>
        <w:rFonts w:cs="Times New Roman"/>
      </w:rPr>
    </w:lvl>
    <w:lvl w:ilvl="7" w:tplc="0C0A0019" w:tentative="1">
      <w:start w:val="1"/>
      <w:numFmt w:val="lowerLetter"/>
      <w:lvlText w:val="%8."/>
      <w:lvlJc w:val="left"/>
      <w:pPr>
        <w:ind w:left="7500" w:hanging="360"/>
      </w:pPr>
      <w:rPr>
        <w:rFonts w:cs="Times New Roman"/>
      </w:rPr>
    </w:lvl>
    <w:lvl w:ilvl="8" w:tplc="0C0A001B" w:tentative="1">
      <w:start w:val="1"/>
      <w:numFmt w:val="lowerRoman"/>
      <w:lvlText w:val="%9."/>
      <w:lvlJc w:val="right"/>
      <w:pPr>
        <w:ind w:left="8220" w:hanging="180"/>
      </w:pPr>
      <w:rPr>
        <w:rFonts w:cs="Times New Roman"/>
      </w:rPr>
    </w:lvl>
  </w:abstractNum>
  <w:abstractNum w:abstractNumId="19" w15:restartNumberingAfterBreak="0">
    <w:nsid w:val="4FC61EC7"/>
    <w:multiLevelType w:val="hybridMultilevel"/>
    <w:tmpl w:val="C7441142"/>
    <w:lvl w:ilvl="0" w:tplc="395833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53E417AC"/>
    <w:multiLevelType w:val="hybridMultilevel"/>
    <w:tmpl w:val="CF580928"/>
    <w:lvl w:ilvl="0" w:tplc="0C0A000F">
      <w:start w:val="1"/>
      <w:numFmt w:val="decimal"/>
      <w:lvlText w:val="%1."/>
      <w:lvlJc w:val="left"/>
      <w:pPr>
        <w:ind w:left="2460" w:hanging="360"/>
      </w:pPr>
      <w:rPr>
        <w:rFonts w:cs="Times New Roman" w:hint="default"/>
      </w:rPr>
    </w:lvl>
    <w:lvl w:ilvl="1" w:tplc="0C0A0019" w:tentative="1">
      <w:start w:val="1"/>
      <w:numFmt w:val="lowerLetter"/>
      <w:lvlText w:val="%2."/>
      <w:lvlJc w:val="left"/>
      <w:pPr>
        <w:ind w:left="3180" w:hanging="360"/>
      </w:pPr>
      <w:rPr>
        <w:rFonts w:cs="Times New Roman"/>
      </w:rPr>
    </w:lvl>
    <w:lvl w:ilvl="2" w:tplc="0C0A001B" w:tentative="1">
      <w:start w:val="1"/>
      <w:numFmt w:val="lowerRoman"/>
      <w:lvlText w:val="%3."/>
      <w:lvlJc w:val="right"/>
      <w:pPr>
        <w:ind w:left="3900" w:hanging="180"/>
      </w:pPr>
      <w:rPr>
        <w:rFonts w:cs="Times New Roman"/>
      </w:rPr>
    </w:lvl>
    <w:lvl w:ilvl="3" w:tplc="0C0A000F" w:tentative="1">
      <w:start w:val="1"/>
      <w:numFmt w:val="decimal"/>
      <w:lvlText w:val="%4."/>
      <w:lvlJc w:val="left"/>
      <w:pPr>
        <w:ind w:left="4620" w:hanging="360"/>
      </w:pPr>
      <w:rPr>
        <w:rFonts w:cs="Times New Roman"/>
      </w:rPr>
    </w:lvl>
    <w:lvl w:ilvl="4" w:tplc="0C0A0019" w:tentative="1">
      <w:start w:val="1"/>
      <w:numFmt w:val="lowerLetter"/>
      <w:lvlText w:val="%5."/>
      <w:lvlJc w:val="left"/>
      <w:pPr>
        <w:ind w:left="5340" w:hanging="360"/>
      </w:pPr>
      <w:rPr>
        <w:rFonts w:cs="Times New Roman"/>
      </w:rPr>
    </w:lvl>
    <w:lvl w:ilvl="5" w:tplc="0C0A001B" w:tentative="1">
      <w:start w:val="1"/>
      <w:numFmt w:val="lowerRoman"/>
      <w:lvlText w:val="%6."/>
      <w:lvlJc w:val="right"/>
      <w:pPr>
        <w:ind w:left="6060" w:hanging="180"/>
      </w:pPr>
      <w:rPr>
        <w:rFonts w:cs="Times New Roman"/>
      </w:rPr>
    </w:lvl>
    <w:lvl w:ilvl="6" w:tplc="0C0A000F" w:tentative="1">
      <w:start w:val="1"/>
      <w:numFmt w:val="decimal"/>
      <w:lvlText w:val="%7."/>
      <w:lvlJc w:val="left"/>
      <w:pPr>
        <w:ind w:left="6780" w:hanging="360"/>
      </w:pPr>
      <w:rPr>
        <w:rFonts w:cs="Times New Roman"/>
      </w:rPr>
    </w:lvl>
    <w:lvl w:ilvl="7" w:tplc="0C0A0019" w:tentative="1">
      <w:start w:val="1"/>
      <w:numFmt w:val="lowerLetter"/>
      <w:lvlText w:val="%8."/>
      <w:lvlJc w:val="left"/>
      <w:pPr>
        <w:ind w:left="7500" w:hanging="360"/>
      </w:pPr>
      <w:rPr>
        <w:rFonts w:cs="Times New Roman"/>
      </w:rPr>
    </w:lvl>
    <w:lvl w:ilvl="8" w:tplc="0C0A001B" w:tentative="1">
      <w:start w:val="1"/>
      <w:numFmt w:val="lowerRoman"/>
      <w:lvlText w:val="%9."/>
      <w:lvlJc w:val="right"/>
      <w:pPr>
        <w:ind w:left="8220" w:hanging="180"/>
      </w:pPr>
      <w:rPr>
        <w:rFonts w:cs="Times New Roman"/>
      </w:rPr>
    </w:lvl>
  </w:abstractNum>
  <w:abstractNum w:abstractNumId="21" w15:restartNumberingAfterBreak="0">
    <w:nsid w:val="5893510D"/>
    <w:multiLevelType w:val="hybridMultilevel"/>
    <w:tmpl w:val="A404C4C4"/>
    <w:lvl w:ilvl="0" w:tplc="E2625DE6">
      <w:start w:val="1"/>
      <w:numFmt w:val="decimal"/>
      <w:lvlText w:val="%1."/>
      <w:lvlJc w:val="left"/>
      <w:pPr>
        <w:ind w:left="1747" w:hanging="480"/>
      </w:pPr>
      <w:rPr>
        <w:rFonts w:cs="Times New Roman" w:hint="default"/>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22" w15:restartNumberingAfterBreak="0">
    <w:nsid w:val="60990A32"/>
    <w:multiLevelType w:val="hybridMultilevel"/>
    <w:tmpl w:val="CF580928"/>
    <w:lvl w:ilvl="0" w:tplc="0C0A000F">
      <w:start w:val="1"/>
      <w:numFmt w:val="decimal"/>
      <w:lvlText w:val="%1."/>
      <w:lvlJc w:val="left"/>
      <w:pPr>
        <w:ind w:left="2460" w:hanging="360"/>
      </w:pPr>
      <w:rPr>
        <w:rFonts w:cs="Times New Roman" w:hint="default"/>
      </w:rPr>
    </w:lvl>
    <w:lvl w:ilvl="1" w:tplc="0C0A0019" w:tentative="1">
      <w:start w:val="1"/>
      <w:numFmt w:val="lowerLetter"/>
      <w:lvlText w:val="%2."/>
      <w:lvlJc w:val="left"/>
      <w:pPr>
        <w:ind w:left="3180" w:hanging="360"/>
      </w:pPr>
      <w:rPr>
        <w:rFonts w:cs="Times New Roman"/>
      </w:rPr>
    </w:lvl>
    <w:lvl w:ilvl="2" w:tplc="0C0A001B" w:tentative="1">
      <w:start w:val="1"/>
      <w:numFmt w:val="lowerRoman"/>
      <w:lvlText w:val="%3."/>
      <w:lvlJc w:val="right"/>
      <w:pPr>
        <w:ind w:left="3900" w:hanging="180"/>
      </w:pPr>
      <w:rPr>
        <w:rFonts w:cs="Times New Roman"/>
      </w:rPr>
    </w:lvl>
    <w:lvl w:ilvl="3" w:tplc="0C0A000F" w:tentative="1">
      <w:start w:val="1"/>
      <w:numFmt w:val="decimal"/>
      <w:lvlText w:val="%4."/>
      <w:lvlJc w:val="left"/>
      <w:pPr>
        <w:ind w:left="4620" w:hanging="360"/>
      </w:pPr>
      <w:rPr>
        <w:rFonts w:cs="Times New Roman"/>
      </w:rPr>
    </w:lvl>
    <w:lvl w:ilvl="4" w:tplc="0C0A0019" w:tentative="1">
      <w:start w:val="1"/>
      <w:numFmt w:val="lowerLetter"/>
      <w:lvlText w:val="%5."/>
      <w:lvlJc w:val="left"/>
      <w:pPr>
        <w:ind w:left="5340" w:hanging="360"/>
      </w:pPr>
      <w:rPr>
        <w:rFonts w:cs="Times New Roman"/>
      </w:rPr>
    </w:lvl>
    <w:lvl w:ilvl="5" w:tplc="0C0A001B" w:tentative="1">
      <w:start w:val="1"/>
      <w:numFmt w:val="lowerRoman"/>
      <w:lvlText w:val="%6."/>
      <w:lvlJc w:val="right"/>
      <w:pPr>
        <w:ind w:left="6060" w:hanging="180"/>
      </w:pPr>
      <w:rPr>
        <w:rFonts w:cs="Times New Roman"/>
      </w:rPr>
    </w:lvl>
    <w:lvl w:ilvl="6" w:tplc="0C0A000F" w:tentative="1">
      <w:start w:val="1"/>
      <w:numFmt w:val="decimal"/>
      <w:lvlText w:val="%7."/>
      <w:lvlJc w:val="left"/>
      <w:pPr>
        <w:ind w:left="6780" w:hanging="360"/>
      </w:pPr>
      <w:rPr>
        <w:rFonts w:cs="Times New Roman"/>
      </w:rPr>
    </w:lvl>
    <w:lvl w:ilvl="7" w:tplc="0C0A0019" w:tentative="1">
      <w:start w:val="1"/>
      <w:numFmt w:val="lowerLetter"/>
      <w:lvlText w:val="%8."/>
      <w:lvlJc w:val="left"/>
      <w:pPr>
        <w:ind w:left="7500" w:hanging="360"/>
      </w:pPr>
      <w:rPr>
        <w:rFonts w:cs="Times New Roman"/>
      </w:rPr>
    </w:lvl>
    <w:lvl w:ilvl="8" w:tplc="0C0A001B" w:tentative="1">
      <w:start w:val="1"/>
      <w:numFmt w:val="lowerRoman"/>
      <w:lvlText w:val="%9."/>
      <w:lvlJc w:val="right"/>
      <w:pPr>
        <w:ind w:left="8220" w:hanging="180"/>
      </w:pPr>
      <w:rPr>
        <w:rFonts w:cs="Times New Roman"/>
      </w:rPr>
    </w:lvl>
  </w:abstractNum>
  <w:abstractNum w:abstractNumId="23" w15:restartNumberingAfterBreak="0">
    <w:nsid w:val="61EE311B"/>
    <w:multiLevelType w:val="hybridMultilevel"/>
    <w:tmpl w:val="694E5F4A"/>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24"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start w:val="1"/>
      <w:numFmt w:val="bullet"/>
      <w:lvlText w:val="o"/>
      <w:lvlJc w:val="left"/>
      <w:pPr>
        <w:ind w:left="3056" w:hanging="360"/>
      </w:pPr>
      <w:rPr>
        <w:rFonts w:ascii="Courier New" w:hAnsi="Courier New" w:hint="default"/>
      </w:rPr>
    </w:lvl>
    <w:lvl w:ilvl="2" w:tplc="04090005">
      <w:start w:val="1"/>
      <w:numFmt w:val="bullet"/>
      <w:lvlText w:val=""/>
      <w:lvlJc w:val="left"/>
      <w:pPr>
        <w:ind w:left="3776" w:hanging="360"/>
      </w:pPr>
      <w:rPr>
        <w:rFonts w:ascii="Wingdings" w:hAnsi="Wingdings" w:hint="default"/>
      </w:rPr>
    </w:lvl>
    <w:lvl w:ilvl="3" w:tplc="04090001">
      <w:start w:val="1"/>
      <w:numFmt w:val="bullet"/>
      <w:lvlText w:val=""/>
      <w:lvlJc w:val="left"/>
      <w:pPr>
        <w:ind w:left="4496" w:hanging="360"/>
      </w:pPr>
      <w:rPr>
        <w:rFonts w:ascii="Symbol" w:hAnsi="Symbol" w:hint="default"/>
      </w:rPr>
    </w:lvl>
    <w:lvl w:ilvl="4" w:tplc="04090003">
      <w:start w:val="1"/>
      <w:numFmt w:val="bullet"/>
      <w:lvlText w:val="o"/>
      <w:lvlJc w:val="left"/>
      <w:pPr>
        <w:ind w:left="5216" w:hanging="360"/>
      </w:pPr>
      <w:rPr>
        <w:rFonts w:ascii="Courier New" w:hAnsi="Courier New" w:hint="default"/>
      </w:rPr>
    </w:lvl>
    <w:lvl w:ilvl="5" w:tplc="04090005">
      <w:start w:val="1"/>
      <w:numFmt w:val="bullet"/>
      <w:lvlText w:val=""/>
      <w:lvlJc w:val="left"/>
      <w:pPr>
        <w:ind w:left="5936" w:hanging="360"/>
      </w:pPr>
      <w:rPr>
        <w:rFonts w:ascii="Wingdings" w:hAnsi="Wingdings" w:hint="default"/>
      </w:rPr>
    </w:lvl>
    <w:lvl w:ilvl="6" w:tplc="04090001">
      <w:start w:val="1"/>
      <w:numFmt w:val="bullet"/>
      <w:lvlText w:val=""/>
      <w:lvlJc w:val="left"/>
      <w:pPr>
        <w:ind w:left="6656" w:hanging="360"/>
      </w:pPr>
      <w:rPr>
        <w:rFonts w:ascii="Symbol" w:hAnsi="Symbol" w:hint="default"/>
      </w:rPr>
    </w:lvl>
    <w:lvl w:ilvl="7" w:tplc="04090003">
      <w:start w:val="1"/>
      <w:numFmt w:val="bullet"/>
      <w:lvlText w:val="o"/>
      <w:lvlJc w:val="left"/>
      <w:pPr>
        <w:ind w:left="7376" w:hanging="360"/>
      </w:pPr>
      <w:rPr>
        <w:rFonts w:ascii="Courier New" w:hAnsi="Courier New" w:hint="default"/>
      </w:rPr>
    </w:lvl>
    <w:lvl w:ilvl="8" w:tplc="04090005">
      <w:start w:val="1"/>
      <w:numFmt w:val="bullet"/>
      <w:lvlText w:val=""/>
      <w:lvlJc w:val="left"/>
      <w:pPr>
        <w:ind w:left="8096" w:hanging="360"/>
      </w:pPr>
      <w:rPr>
        <w:rFonts w:ascii="Wingdings" w:hAnsi="Wingdings" w:hint="default"/>
      </w:rPr>
    </w:lvl>
  </w:abstractNum>
  <w:abstractNum w:abstractNumId="2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447351"/>
    <w:multiLevelType w:val="hybridMultilevel"/>
    <w:tmpl w:val="A4E2242C"/>
    <w:lvl w:ilvl="0" w:tplc="F800C600">
      <w:start w:val="1"/>
      <w:numFmt w:val="decimal"/>
      <w:lvlText w:val="%1."/>
      <w:lvlJc w:val="left"/>
      <w:pPr>
        <w:ind w:left="1134"/>
      </w:pPr>
      <w:rPr>
        <w:rFonts w:cs="Times New Roman" w:hint="default"/>
      </w:rPr>
    </w:lvl>
    <w:lvl w:ilvl="1" w:tplc="08090019" w:tentative="1">
      <w:start w:val="1"/>
      <w:numFmt w:val="lowerLetter"/>
      <w:lvlText w:val="%2."/>
      <w:lvlJc w:val="left"/>
      <w:pPr>
        <w:ind w:left="2220" w:hanging="360"/>
      </w:pPr>
      <w:rPr>
        <w:rFonts w:cs="Times New Roman"/>
      </w:rPr>
    </w:lvl>
    <w:lvl w:ilvl="2" w:tplc="0809001B" w:tentative="1">
      <w:start w:val="1"/>
      <w:numFmt w:val="lowerRoman"/>
      <w:lvlText w:val="%3."/>
      <w:lvlJc w:val="right"/>
      <w:pPr>
        <w:ind w:left="2940" w:hanging="180"/>
      </w:pPr>
      <w:rPr>
        <w:rFonts w:cs="Times New Roman"/>
      </w:rPr>
    </w:lvl>
    <w:lvl w:ilvl="3" w:tplc="0809000F" w:tentative="1">
      <w:start w:val="1"/>
      <w:numFmt w:val="decimal"/>
      <w:lvlText w:val="%4."/>
      <w:lvlJc w:val="left"/>
      <w:pPr>
        <w:ind w:left="3660" w:hanging="360"/>
      </w:pPr>
      <w:rPr>
        <w:rFonts w:cs="Times New Roman"/>
      </w:rPr>
    </w:lvl>
    <w:lvl w:ilvl="4" w:tplc="08090019" w:tentative="1">
      <w:start w:val="1"/>
      <w:numFmt w:val="lowerLetter"/>
      <w:lvlText w:val="%5."/>
      <w:lvlJc w:val="left"/>
      <w:pPr>
        <w:ind w:left="4380" w:hanging="360"/>
      </w:pPr>
      <w:rPr>
        <w:rFonts w:cs="Times New Roman"/>
      </w:rPr>
    </w:lvl>
    <w:lvl w:ilvl="5" w:tplc="0809001B" w:tentative="1">
      <w:start w:val="1"/>
      <w:numFmt w:val="lowerRoman"/>
      <w:lvlText w:val="%6."/>
      <w:lvlJc w:val="right"/>
      <w:pPr>
        <w:ind w:left="5100" w:hanging="180"/>
      </w:pPr>
      <w:rPr>
        <w:rFonts w:cs="Times New Roman"/>
      </w:rPr>
    </w:lvl>
    <w:lvl w:ilvl="6" w:tplc="0809000F" w:tentative="1">
      <w:start w:val="1"/>
      <w:numFmt w:val="decimal"/>
      <w:lvlText w:val="%7."/>
      <w:lvlJc w:val="left"/>
      <w:pPr>
        <w:ind w:left="5820" w:hanging="360"/>
      </w:pPr>
      <w:rPr>
        <w:rFonts w:cs="Times New Roman"/>
      </w:rPr>
    </w:lvl>
    <w:lvl w:ilvl="7" w:tplc="08090019" w:tentative="1">
      <w:start w:val="1"/>
      <w:numFmt w:val="lowerLetter"/>
      <w:lvlText w:val="%8."/>
      <w:lvlJc w:val="left"/>
      <w:pPr>
        <w:ind w:left="6540" w:hanging="360"/>
      </w:pPr>
      <w:rPr>
        <w:rFonts w:cs="Times New Roman"/>
      </w:rPr>
    </w:lvl>
    <w:lvl w:ilvl="8" w:tplc="0809001B" w:tentative="1">
      <w:start w:val="1"/>
      <w:numFmt w:val="lowerRoman"/>
      <w:lvlText w:val="%9."/>
      <w:lvlJc w:val="right"/>
      <w:pPr>
        <w:ind w:left="726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1"/>
  </w:num>
  <w:num w:numId="12">
    <w:abstractNumId w:val="24"/>
  </w:num>
  <w:num w:numId="13">
    <w:abstractNumId w:val="13"/>
  </w:num>
  <w:num w:numId="14">
    <w:abstractNumId w:val="15"/>
  </w:num>
  <w:num w:numId="15">
    <w:abstractNumId w:val="21"/>
  </w:num>
  <w:num w:numId="16">
    <w:abstractNumId w:val="0"/>
  </w:num>
  <w:num w:numId="17">
    <w:abstractNumId w:val="23"/>
  </w:num>
  <w:num w:numId="18">
    <w:abstractNumId w:val="6"/>
  </w:num>
  <w:num w:numId="19">
    <w:abstractNumId w:val="1"/>
    <w:lvlOverride w:ilvl="0">
      <w:lvl w:ilvl="0" w:tplc="9008FA9E">
        <w:start w:val="1"/>
        <w:numFmt w:val="bullet"/>
        <w:lvlText w:val="•"/>
        <w:lvlJc w:val="left"/>
        <w:pPr>
          <w:tabs>
            <w:tab w:val="num" w:pos="1701"/>
          </w:tabs>
          <w:ind w:left="1701" w:hanging="170"/>
        </w:pPr>
        <w:rPr>
          <w:rFonts w:ascii="Times New Roman" w:hAnsi="Times New Roman" w:hint="default"/>
        </w:rPr>
      </w:lvl>
    </w:lvlOverride>
  </w:num>
  <w:num w:numId="20">
    <w:abstractNumId w:val="19"/>
    <w:lvlOverride w:ilvl="0">
      <w:lvl w:ilvl="0" w:tplc="395833DC">
        <w:start w:val="1"/>
        <w:numFmt w:val="decimal"/>
        <w:lvlText w:val="%1."/>
        <w:lvlJc w:val="left"/>
        <w:pPr>
          <w:ind w:left="1080" w:hanging="360"/>
        </w:pPr>
        <w:rPr>
          <w:rFonts w:cs="Times New Roman" w:hint="default"/>
        </w:rPr>
      </w:lvl>
    </w:lvlOverride>
  </w:num>
  <w:num w:numId="21">
    <w:abstractNumId w:val="17"/>
    <w:lvlOverride w:ilvl="0">
      <w:lvl w:ilvl="0" w:tplc="0D26C9FA">
        <w:numFmt w:val="decimal"/>
        <w:lvlText w:val=""/>
        <w:lvlJc w:val="left"/>
        <w:rPr>
          <w:rFonts w:cs="Times New Roman"/>
        </w:rPr>
      </w:lvl>
    </w:lvlOverride>
    <w:lvlOverride w:ilvl="1">
      <w:lvl w:ilvl="1" w:tplc="04090019">
        <w:numFmt w:val="decimal"/>
        <w:lvlText w:val=""/>
        <w:lvlJc w:val="left"/>
        <w:rPr>
          <w:rFonts w:cs="Times New Roman"/>
        </w:rPr>
      </w:lvl>
    </w:lvlOverride>
    <w:lvlOverride w:ilvl="2">
      <w:lvl w:ilvl="2" w:tplc="E56C0CB2">
        <w:start w:val="1"/>
        <w:numFmt w:val="decimal"/>
        <w:lvlText w:val="%3."/>
        <w:lvlJc w:val="left"/>
        <w:pPr>
          <w:ind w:left="1134"/>
        </w:pPr>
        <w:rPr>
          <w:rFonts w:cs="Times New Roman" w:hint="default"/>
          <w:b w:val="0"/>
          <w:i w:val="0"/>
        </w:rPr>
      </w:lvl>
    </w:lvlOverride>
  </w:num>
  <w:num w:numId="22">
    <w:abstractNumId w:val="14"/>
  </w:num>
  <w:num w:numId="23">
    <w:abstractNumId w:val="12"/>
  </w:num>
  <w:num w:numId="24">
    <w:abstractNumId w:val="26"/>
  </w:num>
  <w:num w:numId="25">
    <w:abstractNumId w:val="20"/>
  </w:num>
  <w:num w:numId="26">
    <w:abstractNumId w:val="22"/>
  </w:num>
  <w:num w:numId="27">
    <w:abstractNumId w:val="5"/>
  </w:num>
  <w:num w:numId="28">
    <w:abstractNumId w:val="18"/>
  </w:num>
  <w:num w:numId="29">
    <w:abstractNumId w:val="3"/>
  </w:num>
  <w:num w:numId="30">
    <w:abstractNumId w:val="10"/>
  </w:num>
  <w:num w:numId="31">
    <w:abstractNumId w:val="8"/>
  </w:num>
  <w:num w:numId="32">
    <w:abstractNumId w:val="4"/>
  </w:num>
  <w:num w:numId="33">
    <w:abstractNumId w:val="2"/>
  </w:num>
  <w:num w:numId="34">
    <w:abstractNumId w:val="7"/>
  </w:num>
  <w:num w:numId="35">
    <w:abstractNumId w:val="25"/>
    <w:lvlOverride w:ilvl="0">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Override>
  </w:num>
  <w:num w:numId="36">
    <w:abstractNumId w:val="9"/>
    <w:lvlOverride w:ilvl="0">
      <w:lvl w:ilvl="0">
        <w:start w:val="1"/>
        <w:numFmt w:val="decimal"/>
        <w:lvlText w:val="%1."/>
        <w:lvlJc w:val="left"/>
        <w:pPr>
          <w:tabs>
            <w:tab w:val="num" w:pos="1134"/>
          </w:tabs>
          <w:ind w:left="1134" w:firstLine="0"/>
        </w:pPr>
        <w:rPr>
          <w:rFonts w:hint="default"/>
          <w:b w:val="0"/>
          <w:color w:val="auto"/>
          <w:sz w:val="20"/>
          <w:szCs w:val="22"/>
          <w:lang w:val="en-US"/>
        </w:rPr>
      </w:lvl>
    </w:lvlOverride>
  </w:num>
  <w:num w:numId="37">
    <w:abstractNumId w:val="16"/>
    <w:lvlOverride w:ilvl="0">
      <w:lvl w:ilvl="0" w:tplc="DA1E38FE">
        <w:numFmt w:val="bullet"/>
        <w:lvlText w:val="-"/>
        <w:lvlJc w:val="left"/>
        <w:pPr>
          <w:ind w:left="1195" w:hanging="360"/>
        </w:pPr>
        <w:rPr>
          <w:rFonts w:ascii="Arial" w:eastAsiaTheme="minorHAnsi" w:hAnsi="Arial" w:cs="Aria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doNotValidateAgainstSchema/>
  <w:doNotDemarcateInvalidXml/>
  <w:hdrShapeDefaults>
    <o:shapedefaults v:ext="edit" spidmax="1843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2711*"/>
    <w:docVar w:name="jobn" w:val="17-22711 (S)"/>
    <w:docVar w:name="JobNo" w:val="1722711S"/>
    <w:docVar w:name="ODSRefJobNo" w:val="1744772S"/>
    <w:docVar w:name="sss1" w:val="CEDAW/C/GBR/8"/>
    <w:docVar w:name="sss2" w:val="-"/>
  </w:docVars>
  <w:rsids>
    <w:rsidRoot w:val="0056215F"/>
    <w:rsid w:val="00000FA2"/>
    <w:rsid w:val="000015D7"/>
    <w:rsid w:val="0000301C"/>
    <w:rsid w:val="000044BD"/>
    <w:rsid w:val="00006ABE"/>
    <w:rsid w:val="0000774D"/>
    <w:rsid w:val="00010CB2"/>
    <w:rsid w:val="00011451"/>
    <w:rsid w:val="00011F66"/>
    <w:rsid w:val="000130C5"/>
    <w:rsid w:val="000134E2"/>
    <w:rsid w:val="000137FE"/>
    <w:rsid w:val="00013C9F"/>
    <w:rsid w:val="000156C9"/>
    <w:rsid w:val="0001793F"/>
    <w:rsid w:val="00017ABC"/>
    <w:rsid w:val="00021540"/>
    <w:rsid w:val="000226FD"/>
    <w:rsid w:val="00023BDE"/>
    <w:rsid w:val="000243C1"/>
    <w:rsid w:val="00024B08"/>
    <w:rsid w:val="00024E5A"/>
    <w:rsid w:val="00025848"/>
    <w:rsid w:val="000258AB"/>
    <w:rsid w:val="00027828"/>
    <w:rsid w:val="000308AA"/>
    <w:rsid w:val="00031362"/>
    <w:rsid w:val="00032100"/>
    <w:rsid w:val="0003242E"/>
    <w:rsid w:val="000329BC"/>
    <w:rsid w:val="00034259"/>
    <w:rsid w:val="000405A7"/>
    <w:rsid w:val="00041883"/>
    <w:rsid w:val="00041CAB"/>
    <w:rsid w:val="000453D3"/>
    <w:rsid w:val="00045480"/>
    <w:rsid w:val="00045DEF"/>
    <w:rsid w:val="000460A8"/>
    <w:rsid w:val="00047F6D"/>
    <w:rsid w:val="000509B8"/>
    <w:rsid w:val="00051981"/>
    <w:rsid w:val="00051D6F"/>
    <w:rsid w:val="00052994"/>
    <w:rsid w:val="00054828"/>
    <w:rsid w:val="0005594B"/>
    <w:rsid w:val="00056CC8"/>
    <w:rsid w:val="00056F73"/>
    <w:rsid w:val="00057F15"/>
    <w:rsid w:val="00057FD3"/>
    <w:rsid w:val="00060FB4"/>
    <w:rsid w:val="00062E0F"/>
    <w:rsid w:val="0006620A"/>
    <w:rsid w:val="00066C39"/>
    <w:rsid w:val="00070481"/>
    <w:rsid w:val="00070D7C"/>
    <w:rsid w:val="00073B00"/>
    <w:rsid w:val="00075E3E"/>
    <w:rsid w:val="00076050"/>
    <w:rsid w:val="00076459"/>
    <w:rsid w:val="0007729C"/>
    <w:rsid w:val="00077C68"/>
    <w:rsid w:val="00077DB0"/>
    <w:rsid w:val="00080953"/>
    <w:rsid w:val="00081CC0"/>
    <w:rsid w:val="000820B0"/>
    <w:rsid w:val="000873DA"/>
    <w:rsid w:val="0009142F"/>
    <w:rsid w:val="000930DE"/>
    <w:rsid w:val="000930EA"/>
    <w:rsid w:val="00094436"/>
    <w:rsid w:val="000950BC"/>
    <w:rsid w:val="00095653"/>
    <w:rsid w:val="00096038"/>
    <w:rsid w:val="00096611"/>
    <w:rsid w:val="000973A0"/>
    <w:rsid w:val="000A1401"/>
    <w:rsid w:val="000A1601"/>
    <w:rsid w:val="000A1DE2"/>
    <w:rsid w:val="000A455D"/>
    <w:rsid w:val="000A7FAF"/>
    <w:rsid w:val="000B2AB1"/>
    <w:rsid w:val="000B2C6A"/>
    <w:rsid w:val="000B3904"/>
    <w:rsid w:val="000B407F"/>
    <w:rsid w:val="000B5343"/>
    <w:rsid w:val="000B6F32"/>
    <w:rsid w:val="000B7349"/>
    <w:rsid w:val="000C0792"/>
    <w:rsid w:val="000C30BC"/>
    <w:rsid w:val="000C4942"/>
    <w:rsid w:val="000C49BE"/>
    <w:rsid w:val="000C676D"/>
    <w:rsid w:val="000D07EC"/>
    <w:rsid w:val="000D24F2"/>
    <w:rsid w:val="000D3616"/>
    <w:rsid w:val="000D4520"/>
    <w:rsid w:val="000D7435"/>
    <w:rsid w:val="000D7DC3"/>
    <w:rsid w:val="000E098E"/>
    <w:rsid w:val="000E3AD3"/>
    <w:rsid w:val="000E3E97"/>
    <w:rsid w:val="000E413B"/>
    <w:rsid w:val="000E454F"/>
    <w:rsid w:val="000E4DB4"/>
    <w:rsid w:val="000E578F"/>
    <w:rsid w:val="000E6736"/>
    <w:rsid w:val="000E7174"/>
    <w:rsid w:val="000E7902"/>
    <w:rsid w:val="000E7960"/>
    <w:rsid w:val="000F0681"/>
    <w:rsid w:val="000F0730"/>
    <w:rsid w:val="000F09C2"/>
    <w:rsid w:val="000F0FA4"/>
    <w:rsid w:val="000F191E"/>
    <w:rsid w:val="000F1CED"/>
    <w:rsid w:val="000F2DE4"/>
    <w:rsid w:val="000F5752"/>
    <w:rsid w:val="000F6381"/>
    <w:rsid w:val="000F6E1A"/>
    <w:rsid w:val="00100B22"/>
    <w:rsid w:val="00101E5D"/>
    <w:rsid w:val="001026A3"/>
    <w:rsid w:val="00103408"/>
    <w:rsid w:val="00103E5C"/>
    <w:rsid w:val="00104C2F"/>
    <w:rsid w:val="00104FC0"/>
    <w:rsid w:val="00105C9B"/>
    <w:rsid w:val="001065F1"/>
    <w:rsid w:val="00107D5F"/>
    <w:rsid w:val="0011019F"/>
    <w:rsid w:val="00110D7E"/>
    <w:rsid w:val="001115D1"/>
    <w:rsid w:val="00111F5A"/>
    <w:rsid w:val="0011241F"/>
    <w:rsid w:val="00112598"/>
    <w:rsid w:val="00113764"/>
    <w:rsid w:val="00114F9E"/>
    <w:rsid w:val="0011565A"/>
    <w:rsid w:val="001158C0"/>
    <w:rsid w:val="0011638B"/>
    <w:rsid w:val="00117BB8"/>
    <w:rsid w:val="0012032E"/>
    <w:rsid w:val="001208CF"/>
    <w:rsid w:val="001223CB"/>
    <w:rsid w:val="00122FEC"/>
    <w:rsid w:val="00123B80"/>
    <w:rsid w:val="00126361"/>
    <w:rsid w:val="0012652C"/>
    <w:rsid w:val="00127234"/>
    <w:rsid w:val="0012767A"/>
    <w:rsid w:val="001300B9"/>
    <w:rsid w:val="00130CCC"/>
    <w:rsid w:val="00131771"/>
    <w:rsid w:val="00131E97"/>
    <w:rsid w:val="0013254D"/>
    <w:rsid w:val="00132F77"/>
    <w:rsid w:val="0013504C"/>
    <w:rsid w:val="00135DA1"/>
    <w:rsid w:val="00136ECF"/>
    <w:rsid w:val="00145F81"/>
    <w:rsid w:val="00146E4B"/>
    <w:rsid w:val="00146F4D"/>
    <w:rsid w:val="001477DE"/>
    <w:rsid w:val="001505B6"/>
    <w:rsid w:val="00151644"/>
    <w:rsid w:val="00151777"/>
    <w:rsid w:val="00152C51"/>
    <w:rsid w:val="00152EEA"/>
    <w:rsid w:val="001531AF"/>
    <w:rsid w:val="00153789"/>
    <w:rsid w:val="00154A7D"/>
    <w:rsid w:val="00154D37"/>
    <w:rsid w:val="001575F0"/>
    <w:rsid w:val="001605CF"/>
    <w:rsid w:val="0016213B"/>
    <w:rsid w:val="00163673"/>
    <w:rsid w:val="00164BCE"/>
    <w:rsid w:val="00164D53"/>
    <w:rsid w:val="001652E9"/>
    <w:rsid w:val="001653FB"/>
    <w:rsid w:val="00165B98"/>
    <w:rsid w:val="00165CBD"/>
    <w:rsid w:val="00167972"/>
    <w:rsid w:val="001702AB"/>
    <w:rsid w:val="00171DFD"/>
    <w:rsid w:val="00172B60"/>
    <w:rsid w:val="0017380E"/>
    <w:rsid w:val="00174504"/>
    <w:rsid w:val="001745C0"/>
    <w:rsid w:val="0017468F"/>
    <w:rsid w:val="001770D1"/>
    <w:rsid w:val="001801E4"/>
    <w:rsid w:val="001809B5"/>
    <w:rsid w:val="0018127A"/>
    <w:rsid w:val="00181342"/>
    <w:rsid w:val="00182B15"/>
    <w:rsid w:val="00184193"/>
    <w:rsid w:val="00184809"/>
    <w:rsid w:val="00184C73"/>
    <w:rsid w:val="001917A6"/>
    <w:rsid w:val="00191E88"/>
    <w:rsid w:val="0019245C"/>
    <w:rsid w:val="00192845"/>
    <w:rsid w:val="001929A2"/>
    <w:rsid w:val="00192FC2"/>
    <w:rsid w:val="0019362C"/>
    <w:rsid w:val="001936F0"/>
    <w:rsid w:val="001947AD"/>
    <w:rsid w:val="00194CD0"/>
    <w:rsid w:val="00196A9E"/>
    <w:rsid w:val="00197346"/>
    <w:rsid w:val="001A06E7"/>
    <w:rsid w:val="001A077F"/>
    <w:rsid w:val="001A1DC8"/>
    <w:rsid w:val="001A3BE9"/>
    <w:rsid w:val="001A4034"/>
    <w:rsid w:val="001A527F"/>
    <w:rsid w:val="001A5D2D"/>
    <w:rsid w:val="001A5D75"/>
    <w:rsid w:val="001A6BBE"/>
    <w:rsid w:val="001B071E"/>
    <w:rsid w:val="001B0B41"/>
    <w:rsid w:val="001B1926"/>
    <w:rsid w:val="001B1FD5"/>
    <w:rsid w:val="001B2793"/>
    <w:rsid w:val="001B2AEA"/>
    <w:rsid w:val="001B3651"/>
    <w:rsid w:val="001B54FB"/>
    <w:rsid w:val="001B5845"/>
    <w:rsid w:val="001B5E9D"/>
    <w:rsid w:val="001B6CFE"/>
    <w:rsid w:val="001B7446"/>
    <w:rsid w:val="001B74B6"/>
    <w:rsid w:val="001B7AA8"/>
    <w:rsid w:val="001C0012"/>
    <w:rsid w:val="001C155E"/>
    <w:rsid w:val="001C1D0F"/>
    <w:rsid w:val="001C266D"/>
    <w:rsid w:val="001C26F7"/>
    <w:rsid w:val="001C5625"/>
    <w:rsid w:val="001C5971"/>
    <w:rsid w:val="001C7E54"/>
    <w:rsid w:val="001D1351"/>
    <w:rsid w:val="001D1798"/>
    <w:rsid w:val="001D1F8D"/>
    <w:rsid w:val="001D4790"/>
    <w:rsid w:val="001D5FF9"/>
    <w:rsid w:val="001D674D"/>
    <w:rsid w:val="001D6CB7"/>
    <w:rsid w:val="001D7216"/>
    <w:rsid w:val="001E06EC"/>
    <w:rsid w:val="001E077C"/>
    <w:rsid w:val="001E0B55"/>
    <w:rsid w:val="001E2717"/>
    <w:rsid w:val="001E3499"/>
    <w:rsid w:val="001E4D56"/>
    <w:rsid w:val="001E591E"/>
    <w:rsid w:val="001E5AE9"/>
    <w:rsid w:val="001E6CDB"/>
    <w:rsid w:val="001E6F8E"/>
    <w:rsid w:val="001E6FE2"/>
    <w:rsid w:val="001E7805"/>
    <w:rsid w:val="001E7EDF"/>
    <w:rsid w:val="001F167E"/>
    <w:rsid w:val="001F2BDA"/>
    <w:rsid w:val="001F2E45"/>
    <w:rsid w:val="001F5923"/>
    <w:rsid w:val="001F5AEA"/>
    <w:rsid w:val="001F5FE7"/>
    <w:rsid w:val="001F6452"/>
    <w:rsid w:val="001F670D"/>
    <w:rsid w:val="001F6818"/>
    <w:rsid w:val="001F6E66"/>
    <w:rsid w:val="001F78BC"/>
    <w:rsid w:val="001F7C50"/>
    <w:rsid w:val="001F7CCF"/>
    <w:rsid w:val="0020186B"/>
    <w:rsid w:val="00203422"/>
    <w:rsid w:val="00203A1A"/>
    <w:rsid w:val="00204227"/>
    <w:rsid w:val="00207D01"/>
    <w:rsid w:val="00210764"/>
    <w:rsid w:val="00210D7F"/>
    <w:rsid w:val="002119AE"/>
    <w:rsid w:val="00211F3F"/>
    <w:rsid w:val="00213104"/>
    <w:rsid w:val="002141E3"/>
    <w:rsid w:val="002148DC"/>
    <w:rsid w:val="0021651F"/>
    <w:rsid w:val="00217415"/>
    <w:rsid w:val="002179A1"/>
    <w:rsid w:val="00217D97"/>
    <w:rsid w:val="0022004C"/>
    <w:rsid w:val="002206B4"/>
    <w:rsid w:val="00221573"/>
    <w:rsid w:val="00221C16"/>
    <w:rsid w:val="00222AD1"/>
    <w:rsid w:val="00222D9B"/>
    <w:rsid w:val="0022370B"/>
    <w:rsid w:val="00223E81"/>
    <w:rsid w:val="00225B63"/>
    <w:rsid w:val="002310B7"/>
    <w:rsid w:val="00231747"/>
    <w:rsid w:val="00231B68"/>
    <w:rsid w:val="00232F19"/>
    <w:rsid w:val="00233409"/>
    <w:rsid w:val="002339E2"/>
    <w:rsid w:val="00233A1A"/>
    <w:rsid w:val="00233CEF"/>
    <w:rsid w:val="00234170"/>
    <w:rsid w:val="002346A6"/>
    <w:rsid w:val="00234C5B"/>
    <w:rsid w:val="00236DA6"/>
    <w:rsid w:val="00236E6D"/>
    <w:rsid w:val="00237ED9"/>
    <w:rsid w:val="00240E5F"/>
    <w:rsid w:val="00241229"/>
    <w:rsid w:val="00243655"/>
    <w:rsid w:val="002443E6"/>
    <w:rsid w:val="002448F7"/>
    <w:rsid w:val="002453F5"/>
    <w:rsid w:val="00246417"/>
    <w:rsid w:val="00246892"/>
    <w:rsid w:val="00247E83"/>
    <w:rsid w:val="002508E9"/>
    <w:rsid w:val="00251A44"/>
    <w:rsid w:val="00251DDD"/>
    <w:rsid w:val="002538BA"/>
    <w:rsid w:val="00253D26"/>
    <w:rsid w:val="00254277"/>
    <w:rsid w:val="002549C4"/>
    <w:rsid w:val="00255264"/>
    <w:rsid w:val="002554B9"/>
    <w:rsid w:val="00255F10"/>
    <w:rsid w:val="00256A49"/>
    <w:rsid w:val="0025759D"/>
    <w:rsid w:val="00261D48"/>
    <w:rsid w:val="00261FDB"/>
    <w:rsid w:val="00264279"/>
    <w:rsid w:val="002665CB"/>
    <w:rsid w:val="002704B6"/>
    <w:rsid w:val="002706D6"/>
    <w:rsid w:val="002713B7"/>
    <w:rsid w:val="0027290F"/>
    <w:rsid w:val="002741C3"/>
    <w:rsid w:val="00274B66"/>
    <w:rsid w:val="00274BA3"/>
    <w:rsid w:val="00275106"/>
    <w:rsid w:val="00275598"/>
    <w:rsid w:val="00276B79"/>
    <w:rsid w:val="00280FDB"/>
    <w:rsid w:val="002813E6"/>
    <w:rsid w:val="0028167B"/>
    <w:rsid w:val="00281885"/>
    <w:rsid w:val="00284834"/>
    <w:rsid w:val="00284AF2"/>
    <w:rsid w:val="002853D5"/>
    <w:rsid w:val="002877DA"/>
    <w:rsid w:val="00287926"/>
    <w:rsid w:val="00287D43"/>
    <w:rsid w:val="002901C3"/>
    <w:rsid w:val="00290C42"/>
    <w:rsid w:val="002937DC"/>
    <w:rsid w:val="002939E8"/>
    <w:rsid w:val="00293BAD"/>
    <w:rsid w:val="00294980"/>
    <w:rsid w:val="0029552C"/>
    <w:rsid w:val="00296E6C"/>
    <w:rsid w:val="002972CA"/>
    <w:rsid w:val="002A2A24"/>
    <w:rsid w:val="002A46FA"/>
    <w:rsid w:val="002A5739"/>
    <w:rsid w:val="002A5D97"/>
    <w:rsid w:val="002A5DBE"/>
    <w:rsid w:val="002A5E69"/>
    <w:rsid w:val="002A6C02"/>
    <w:rsid w:val="002A7247"/>
    <w:rsid w:val="002B0165"/>
    <w:rsid w:val="002B0DEC"/>
    <w:rsid w:val="002B1614"/>
    <w:rsid w:val="002B4B8E"/>
    <w:rsid w:val="002B649C"/>
    <w:rsid w:val="002B67EC"/>
    <w:rsid w:val="002B6C6C"/>
    <w:rsid w:val="002B77DF"/>
    <w:rsid w:val="002C0552"/>
    <w:rsid w:val="002C12A1"/>
    <w:rsid w:val="002C171C"/>
    <w:rsid w:val="002C2E6F"/>
    <w:rsid w:val="002C3AE4"/>
    <w:rsid w:val="002C53F1"/>
    <w:rsid w:val="002C69A3"/>
    <w:rsid w:val="002D0A3F"/>
    <w:rsid w:val="002D25CC"/>
    <w:rsid w:val="002D4228"/>
    <w:rsid w:val="002D4776"/>
    <w:rsid w:val="002D5B9D"/>
    <w:rsid w:val="002E1A4F"/>
    <w:rsid w:val="002E1C17"/>
    <w:rsid w:val="002E201C"/>
    <w:rsid w:val="002E5492"/>
    <w:rsid w:val="002E7009"/>
    <w:rsid w:val="002F0184"/>
    <w:rsid w:val="002F0531"/>
    <w:rsid w:val="002F0B71"/>
    <w:rsid w:val="002F0B79"/>
    <w:rsid w:val="002F5FAC"/>
    <w:rsid w:val="002F7170"/>
    <w:rsid w:val="00300297"/>
    <w:rsid w:val="00303242"/>
    <w:rsid w:val="00303400"/>
    <w:rsid w:val="00306196"/>
    <w:rsid w:val="00306640"/>
    <w:rsid w:val="0030669C"/>
    <w:rsid w:val="0031012D"/>
    <w:rsid w:val="00311EA6"/>
    <w:rsid w:val="00312D4B"/>
    <w:rsid w:val="003147FC"/>
    <w:rsid w:val="00314F83"/>
    <w:rsid w:val="00316185"/>
    <w:rsid w:val="00316C23"/>
    <w:rsid w:val="00320E1B"/>
    <w:rsid w:val="00321305"/>
    <w:rsid w:val="00321A47"/>
    <w:rsid w:val="0032200F"/>
    <w:rsid w:val="00322E87"/>
    <w:rsid w:val="00323CF9"/>
    <w:rsid w:val="00323E9C"/>
    <w:rsid w:val="003245CB"/>
    <w:rsid w:val="003268E2"/>
    <w:rsid w:val="00326A29"/>
    <w:rsid w:val="0032749A"/>
    <w:rsid w:val="00327EBA"/>
    <w:rsid w:val="003302D1"/>
    <w:rsid w:val="00331963"/>
    <w:rsid w:val="00331C78"/>
    <w:rsid w:val="0033203D"/>
    <w:rsid w:val="00332088"/>
    <w:rsid w:val="003345CC"/>
    <w:rsid w:val="00340230"/>
    <w:rsid w:val="00340C1F"/>
    <w:rsid w:val="00341AF8"/>
    <w:rsid w:val="00343E74"/>
    <w:rsid w:val="00343F7E"/>
    <w:rsid w:val="00343FEC"/>
    <w:rsid w:val="003464E2"/>
    <w:rsid w:val="003466DC"/>
    <w:rsid w:val="003471DC"/>
    <w:rsid w:val="00347A79"/>
    <w:rsid w:val="00347DD3"/>
    <w:rsid w:val="00350876"/>
    <w:rsid w:val="00352A6C"/>
    <w:rsid w:val="00353A06"/>
    <w:rsid w:val="003556E1"/>
    <w:rsid w:val="00357410"/>
    <w:rsid w:val="00357AA1"/>
    <w:rsid w:val="003613DF"/>
    <w:rsid w:val="00361ECB"/>
    <w:rsid w:val="003635B1"/>
    <w:rsid w:val="00363B13"/>
    <w:rsid w:val="003643FB"/>
    <w:rsid w:val="00364F28"/>
    <w:rsid w:val="00365017"/>
    <w:rsid w:val="00366102"/>
    <w:rsid w:val="00370AA7"/>
    <w:rsid w:val="00371892"/>
    <w:rsid w:val="00371BC1"/>
    <w:rsid w:val="00372D18"/>
    <w:rsid w:val="00375EC9"/>
    <w:rsid w:val="003769DF"/>
    <w:rsid w:val="00376C4C"/>
    <w:rsid w:val="003774A9"/>
    <w:rsid w:val="0037786A"/>
    <w:rsid w:val="00383922"/>
    <w:rsid w:val="00384763"/>
    <w:rsid w:val="0038518C"/>
    <w:rsid w:val="00387FE0"/>
    <w:rsid w:val="0039024C"/>
    <w:rsid w:val="00391F54"/>
    <w:rsid w:val="00392746"/>
    <w:rsid w:val="003928D1"/>
    <w:rsid w:val="00392946"/>
    <w:rsid w:val="003946DD"/>
    <w:rsid w:val="00395149"/>
    <w:rsid w:val="00395DFD"/>
    <w:rsid w:val="003A09C3"/>
    <w:rsid w:val="003A481B"/>
    <w:rsid w:val="003A5087"/>
    <w:rsid w:val="003A58D4"/>
    <w:rsid w:val="003A6507"/>
    <w:rsid w:val="003A7B35"/>
    <w:rsid w:val="003B05A0"/>
    <w:rsid w:val="003B0DE7"/>
    <w:rsid w:val="003B102B"/>
    <w:rsid w:val="003B6918"/>
    <w:rsid w:val="003C05E2"/>
    <w:rsid w:val="003C0D55"/>
    <w:rsid w:val="003C3A7D"/>
    <w:rsid w:val="003C42F4"/>
    <w:rsid w:val="003C43F7"/>
    <w:rsid w:val="003C54C9"/>
    <w:rsid w:val="003D0ED4"/>
    <w:rsid w:val="003D1038"/>
    <w:rsid w:val="003D157E"/>
    <w:rsid w:val="003D427B"/>
    <w:rsid w:val="003D5797"/>
    <w:rsid w:val="003D7F08"/>
    <w:rsid w:val="003E0D98"/>
    <w:rsid w:val="003E7000"/>
    <w:rsid w:val="003E72BD"/>
    <w:rsid w:val="003E78BF"/>
    <w:rsid w:val="003F1E2B"/>
    <w:rsid w:val="003F36E8"/>
    <w:rsid w:val="003F49AB"/>
    <w:rsid w:val="003F4EDB"/>
    <w:rsid w:val="003F5778"/>
    <w:rsid w:val="003F6918"/>
    <w:rsid w:val="003F6ACC"/>
    <w:rsid w:val="003F7EC3"/>
    <w:rsid w:val="00401E19"/>
    <w:rsid w:val="0040560E"/>
    <w:rsid w:val="00405629"/>
    <w:rsid w:val="00405E45"/>
    <w:rsid w:val="00406085"/>
    <w:rsid w:val="00406E34"/>
    <w:rsid w:val="00407301"/>
    <w:rsid w:val="00410A02"/>
    <w:rsid w:val="00411C7D"/>
    <w:rsid w:val="00412218"/>
    <w:rsid w:val="004125C5"/>
    <w:rsid w:val="00412ACF"/>
    <w:rsid w:val="0041341E"/>
    <w:rsid w:val="0041494A"/>
    <w:rsid w:val="00414F44"/>
    <w:rsid w:val="0041500E"/>
    <w:rsid w:val="00416E8C"/>
    <w:rsid w:val="00417309"/>
    <w:rsid w:val="004225AC"/>
    <w:rsid w:val="00423A0C"/>
    <w:rsid w:val="00425258"/>
    <w:rsid w:val="0042710E"/>
    <w:rsid w:val="004271EA"/>
    <w:rsid w:val="0043124C"/>
    <w:rsid w:val="00432CEB"/>
    <w:rsid w:val="00432FF8"/>
    <w:rsid w:val="00432FF9"/>
    <w:rsid w:val="00434183"/>
    <w:rsid w:val="00436FEA"/>
    <w:rsid w:val="004411C5"/>
    <w:rsid w:val="00441580"/>
    <w:rsid w:val="00441EF4"/>
    <w:rsid w:val="004423AB"/>
    <w:rsid w:val="00443330"/>
    <w:rsid w:val="00443A4A"/>
    <w:rsid w:val="00444725"/>
    <w:rsid w:val="004472AD"/>
    <w:rsid w:val="00447DF5"/>
    <w:rsid w:val="00452F29"/>
    <w:rsid w:val="004530B3"/>
    <w:rsid w:val="0045397A"/>
    <w:rsid w:val="00453E64"/>
    <w:rsid w:val="00455CD0"/>
    <w:rsid w:val="004567BB"/>
    <w:rsid w:val="004568CF"/>
    <w:rsid w:val="00457ADA"/>
    <w:rsid w:val="00463B57"/>
    <w:rsid w:val="004650AA"/>
    <w:rsid w:val="004659BF"/>
    <w:rsid w:val="004677E2"/>
    <w:rsid w:val="00470EE0"/>
    <w:rsid w:val="00471052"/>
    <w:rsid w:val="004715CF"/>
    <w:rsid w:val="0047515B"/>
    <w:rsid w:val="00475672"/>
    <w:rsid w:val="0047572C"/>
    <w:rsid w:val="00476313"/>
    <w:rsid w:val="004774B3"/>
    <w:rsid w:val="00477EB6"/>
    <w:rsid w:val="00477F9F"/>
    <w:rsid w:val="004814D6"/>
    <w:rsid w:val="004818A0"/>
    <w:rsid w:val="00481C51"/>
    <w:rsid w:val="004827FB"/>
    <w:rsid w:val="004831A5"/>
    <w:rsid w:val="00485B77"/>
    <w:rsid w:val="00487D0A"/>
    <w:rsid w:val="004903B1"/>
    <w:rsid w:val="004907C3"/>
    <w:rsid w:val="00492648"/>
    <w:rsid w:val="00494C70"/>
    <w:rsid w:val="00496B26"/>
    <w:rsid w:val="00497BF5"/>
    <w:rsid w:val="00497FE2"/>
    <w:rsid w:val="004A06AE"/>
    <w:rsid w:val="004A25BA"/>
    <w:rsid w:val="004A2748"/>
    <w:rsid w:val="004A36EA"/>
    <w:rsid w:val="004A47B7"/>
    <w:rsid w:val="004A492C"/>
    <w:rsid w:val="004A5068"/>
    <w:rsid w:val="004A635B"/>
    <w:rsid w:val="004A6F00"/>
    <w:rsid w:val="004A7D94"/>
    <w:rsid w:val="004B1595"/>
    <w:rsid w:val="004B6AB6"/>
    <w:rsid w:val="004B6D7B"/>
    <w:rsid w:val="004B732D"/>
    <w:rsid w:val="004B77E3"/>
    <w:rsid w:val="004B7B7A"/>
    <w:rsid w:val="004B7F75"/>
    <w:rsid w:val="004C0A4B"/>
    <w:rsid w:val="004C0DA8"/>
    <w:rsid w:val="004C17D1"/>
    <w:rsid w:val="004C2F9E"/>
    <w:rsid w:val="004C4130"/>
    <w:rsid w:val="004C5733"/>
    <w:rsid w:val="004C599F"/>
    <w:rsid w:val="004C72E0"/>
    <w:rsid w:val="004C76C5"/>
    <w:rsid w:val="004C7A38"/>
    <w:rsid w:val="004C7E05"/>
    <w:rsid w:val="004D0839"/>
    <w:rsid w:val="004D0C85"/>
    <w:rsid w:val="004D2970"/>
    <w:rsid w:val="004D3027"/>
    <w:rsid w:val="004D580C"/>
    <w:rsid w:val="004D5846"/>
    <w:rsid w:val="004D6800"/>
    <w:rsid w:val="004D7A08"/>
    <w:rsid w:val="004E3F55"/>
    <w:rsid w:val="004E4352"/>
    <w:rsid w:val="004E5426"/>
    <w:rsid w:val="004E5FF2"/>
    <w:rsid w:val="004E669B"/>
    <w:rsid w:val="004E6D44"/>
    <w:rsid w:val="004F0853"/>
    <w:rsid w:val="004F09C3"/>
    <w:rsid w:val="004F1019"/>
    <w:rsid w:val="004F269C"/>
    <w:rsid w:val="004F2B25"/>
    <w:rsid w:val="004F4085"/>
    <w:rsid w:val="004F410A"/>
    <w:rsid w:val="004F4AA8"/>
    <w:rsid w:val="004F71A8"/>
    <w:rsid w:val="00502499"/>
    <w:rsid w:val="00502739"/>
    <w:rsid w:val="00503AEE"/>
    <w:rsid w:val="00503E52"/>
    <w:rsid w:val="00504FB7"/>
    <w:rsid w:val="00505055"/>
    <w:rsid w:val="0050641A"/>
    <w:rsid w:val="00511E5A"/>
    <w:rsid w:val="00514854"/>
    <w:rsid w:val="00515323"/>
    <w:rsid w:val="00515BD4"/>
    <w:rsid w:val="00516D15"/>
    <w:rsid w:val="00516FA4"/>
    <w:rsid w:val="005200EA"/>
    <w:rsid w:val="005229CF"/>
    <w:rsid w:val="00525AF7"/>
    <w:rsid w:val="00525D70"/>
    <w:rsid w:val="005300F6"/>
    <w:rsid w:val="005312B5"/>
    <w:rsid w:val="00531F33"/>
    <w:rsid w:val="00533A03"/>
    <w:rsid w:val="00534D74"/>
    <w:rsid w:val="00537BFB"/>
    <w:rsid w:val="00537D2B"/>
    <w:rsid w:val="00541089"/>
    <w:rsid w:val="00542A9C"/>
    <w:rsid w:val="00542FE7"/>
    <w:rsid w:val="00543905"/>
    <w:rsid w:val="00544AE5"/>
    <w:rsid w:val="00546F5D"/>
    <w:rsid w:val="0055086E"/>
    <w:rsid w:val="005513EE"/>
    <w:rsid w:val="0055474C"/>
    <w:rsid w:val="00554CEC"/>
    <w:rsid w:val="00554FB4"/>
    <w:rsid w:val="00556788"/>
    <w:rsid w:val="00556945"/>
    <w:rsid w:val="0055753C"/>
    <w:rsid w:val="00560735"/>
    <w:rsid w:val="005607F2"/>
    <w:rsid w:val="00560CC9"/>
    <w:rsid w:val="005619C0"/>
    <w:rsid w:val="00561A8E"/>
    <w:rsid w:val="0056215F"/>
    <w:rsid w:val="00566738"/>
    <w:rsid w:val="00566B69"/>
    <w:rsid w:val="00567F84"/>
    <w:rsid w:val="005709A1"/>
    <w:rsid w:val="005709F9"/>
    <w:rsid w:val="00571F37"/>
    <w:rsid w:val="005729BA"/>
    <w:rsid w:val="00573299"/>
    <w:rsid w:val="005742FD"/>
    <w:rsid w:val="0057512C"/>
    <w:rsid w:val="0057797B"/>
    <w:rsid w:val="005818F0"/>
    <w:rsid w:val="005818F4"/>
    <w:rsid w:val="005827E6"/>
    <w:rsid w:val="00583963"/>
    <w:rsid w:val="00586761"/>
    <w:rsid w:val="00586902"/>
    <w:rsid w:val="00586986"/>
    <w:rsid w:val="00587482"/>
    <w:rsid w:val="0058794A"/>
    <w:rsid w:val="00590A20"/>
    <w:rsid w:val="00591C19"/>
    <w:rsid w:val="00594A53"/>
    <w:rsid w:val="00594EA7"/>
    <w:rsid w:val="00595ADF"/>
    <w:rsid w:val="00595BC5"/>
    <w:rsid w:val="00595FBF"/>
    <w:rsid w:val="00596BA4"/>
    <w:rsid w:val="0059798B"/>
    <w:rsid w:val="00597F87"/>
    <w:rsid w:val="005A18A0"/>
    <w:rsid w:val="005A1973"/>
    <w:rsid w:val="005A243E"/>
    <w:rsid w:val="005A3449"/>
    <w:rsid w:val="005A3D90"/>
    <w:rsid w:val="005A4534"/>
    <w:rsid w:val="005A49FD"/>
    <w:rsid w:val="005A4F49"/>
    <w:rsid w:val="005B0A07"/>
    <w:rsid w:val="005B0B96"/>
    <w:rsid w:val="005B1BBD"/>
    <w:rsid w:val="005B1E30"/>
    <w:rsid w:val="005B426E"/>
    <w:rsid w:val="005B500B"/>
    <w:rsid w:val="005B6440"/>
    <w:rsid w:val="005B67B6"/>
    <w:rsid w:val="005B6B7F"/>
    <w:rsid w:val="005B79C5"/>
    <w:rsid w:val="005B7AB2"/>
    <w:rsid w:val="005C0C5A"/>
    <w:rsid w:val="005C2441"/>
    <w:rsid w:val="005C311D"/>
    <w:rsid w:val="005C394D"/>
    <w:rsid w:val="005C493E"/>
    <w:rsid w:val="005C5080"/>
    <w:rsid w:val="005C5A80"/>
    <w:rsid w:val="005C6160"/>
    <w:rsid w:val="005C639D"/>
    <w:rsid w:val="005C66E3"/>
    <w:rsid w:val="005C76B7"/>
    <w:rsid w:val="005D0BE5"/>
    <w:rsid w:val="005D1801"/>
    <w:rsid w:val="005D2A61"/>
    <w:rsid w:val="005D3D41"/>
    <w:rsid w:val="005D3F3D"/>
    <w:rsid w:val="005D4538"/>
    <w:rsid w:val="005D7A0E"/>
    <w:rsid w:val="005E0744"/>
    <w:rsid w:val="005E0C30"/>
    <w:rsid w:val="005E107A"/>
    <w:rsid w:val="005E125B"/>
    <w:rsid w:val="005E16B6"/>
    <w:rsid w:val="005E360C"/>
    <w:rsid w:val="005E3697"/>
    <w:rsid w:val="005E4AC4"/>
    <w:rsid w:val="005E4B59"/>
    <w:rsid w:val="005E5410"/>
    <w:rsid w:val="005E7164"/>
    <w:rsid w:val="005F03CA"/>
    <w:rsid w:val="005F0A8C"/>
    <w:rsid w:val="005F27EC"/>
    <w:rsid w:val="005F443D"/>
    <w:rsid w:val="005F48C4"/>
    <w:rsid w:val="005F5764"/>
    <w:rsid w:val="005F5ADE"/>
    <w:rsid w:val="005F6860"/>
    <w:rsid w:val="005F6DF8"/>
    <w:rsid w:val="00600132"/>
    <w:rsid w:val="00601E37"/>
    <w:rsid w:val="0060256A"/>
    <w:rsid w:val="006034E2"/>
    <w:rsid w:val="006035F9"/>
    <w:rsid w:val="00603BDA"/>
    <w:rsid w:val="0060441D"/>
    <w:rsid w:val="00604E50"/>
    <w:rsid w:val="00605495"/>
    <w:rsid w:val="006073AB"/>
    <w:rsid w:val="00607981"/>
    <w:rsid w:val="00610819"/>
    <w:rsid w:val="00610AC8"/>
    <w:rsid w:val="0061160A"/>
    <w:rsid w:val="00612D2E"/>
    <w:rsid w:val="00613AA7"/>
    <w:rsid w:val="00614E10"/>
    <w:rsid w:val="00615073"/>
    <w:rsid w:val="006162A7"/>
    <w:rsid w:val="00616577"/>
    <w:rsid w:val="006165A5"/>
    <w:rsid w:val="00617904"/>
    <w:rsid w:val="00620726"/>
    <w:rsid w:val="006208E6"/>
    <w:rsid w:val="00620A95"/>
    <w:rsid w:val="0062207B"/>
    <w:rsid w:val="006242A5"/>
    <w:rsid w:val="00624417"/>
    <w:rsid w:val="006246A9"/>
    <w:rsid w:val="0062527E"/>
    <w:rsid w:val="006300B5"/>
    <w:rsid w:val="006300C2"/>
    <w:rsid w:val="00630BD8"/>
    <w:rsid w:val="00634617"/>
    <w:rsid w:val="00634FA8"/>
    <w:rsid w:val="00635451"/>
    <w:rsid w:val="00635760"/>
    <w:rsid w:val="006360A9"/>
    <w:rsid w:val="006365D0"/>
    <w:rsid w:val="0064046C"/>
    <w:rsid w:val="00640816"/>
    <w:rsid w:val="006412C0"/>
    <w:rsid w:val="006415B9"/>
    <w:rsid w:val="00645A2F"/>
    <w:rsid w:val="00646AE8"/>
    <w:rsid w:val="00647F62"/>
    <w:rsid w:val="00650571"/>
    <w:rsid w:val="00650EED"/>
    <w:rsid w:val="006511CB"/>
    <w:rsid w:val="00651CB9"/>
    <w:rsid w:val="006520C7"/>
    <w:rsid w:val="0065341F"/>
    <w:rsid w:val="00653B25"/>
    <w:rsid w:val="00654DE3"/>
    <w:rsid w:val="00655DC6"/>
    <w:rsid w:val="00655F4D"/>
    <w:rsid w:val="00656459"/>
    <w:rsid w:val="00657313"/>
    <w:rsid w:val="00657FD6"/>
    <w:rsid w:val="0066134F"/>
    <w:rsid w:val="0066144E"/>
    <w:rsid w:val="0066368E"/>
    <w:rsid w:val="0066426D"/>
    <w:rsid w:val="00665391"/>
    <w:rsid w:val="006675C4"/>
    <w:rsid w:val="0067014A"/>
    <w:rsid w:val="00671C4A"/>
    <w:rsid w:val="00673A86"/>
    <w:rsid w:val="00673D70"/>
    <w:rsid w:val="0067536D"/>
    <w:rsid w:val="00677800"/>
    <w:rsid w:val="00677C8D"/>
    <w:rsid w:val="00680515"/>
    <w:rsid w:val="00681FD5"/>
    <w:rsid w:val="00682090"/>
    <w:rsid w:val="006845F9"/>
    <w:rsid w:val="00684D76"/>
    <w:rsid w:val="00686BDE"/>
    <w:rsid w:val="006904DC"/>
    <w:rsid w:val="00691296"/>
    <w:rsid w:val="00691C0B"/>
    <w:rsid w:val="00694438"/>
    <w:rsid w:val="00694C40"/>
    <w:rsid w:val="00694DAB"/>
    <w:rsid w:val="006964B0"/>
    <w:rsid w:val="00696C4F"/>
    <w:rsid w:val="00696CE2"/>
    <w:rsid w:val="00696DA0"/>
    <w:rsid w:val="0069758C"/>
    <w:rsid w:val="006A012D"/>
    <w:rsid w:val="006A0C80"/>
    <w:rsid w:val="006A188B"/>
    <w:rsid w:val="006A216F"/>
    <w:rsid w:val="006A33A3"/>
    <w:rsid w:val="006A39AB"/>
    <w:rsid w:val="006A45EA"/>
    <w:rsid w:val="006A630B"/>
    <w:rsid w:val="006A7C03"/>
    <w:rsid w:val="006A7C8D"/>
    <w:rsid w:val="006A7D5D"/>
    <w:rsid w:val="006B1090"/>
    <w:rsid w:val="006B1100"/>
    <w:rsid w:val="006B2F19"/>
    <w:rsid w:val="006B4C74"/>
    <w:rsid w:val="006B4FAA"/>
    <w:rsid w:val="006B513C"/>
    <w:rsid w:val="006B5AF3"/>
    <w:rsid w:val="006B6458"/>
    <w:rsid w:val="006B6CD0"/>
    <w:rsid w:val="006B6EDE"/>
    <w:rsid w:val="006C0277"/>
    <w:rsid w:val="006C13F9"/>
    <w:rsid w:val="006C26A9"/>
    <w:rsid w:val="006C2B25"/>
    <w:rsid w:val="006C3073"/>
    <w:rsid w:val="006C3400"/>
    <w:rsid w:val="006C3723"/>
    <w:rsid w:val="006C3D8A"/>
    <w:rsid w:val="006C465B"/>
    <w:rsid w:val="006C4C17"/>
    <w:rsid w:val="006C4E6F"/>
    <w:rsid w:val="006C7E5F"/>
    <w:rsid w:val="006D077A"/>
    <w:rsid w:val="006D0C8A"/>
    <w:rsid w:val="006D217F"/>
    <w:rsid w:val="006D42DA"/>
    <w:rsid w:val="006D74B5"/>
    <w:rsid w:val="006D766E"/>
    <w:rsid w:val="006E0E18"/>
    <w:rsid w:val="006E44B8"/>
    <w:rsid w:val="006E4F42"/>
    <w:rsid w:val="006E5457"/>
    <w:rsid w:val="006E5AD6"/>
    <w:rsid w:val="006E68D5"/>
    <w:rsid w:val="006F40EA"/>
    <w:rsid w:val="006F6266"/>
    <w:rsid w:val="006F795D"/>
    <w:rsid w:val="007004CC"/>
    <w:rsid w:val="00701A67"/>
    <w:rsid w:val="00702C5A"/>
    <w:rsid w:val="007034AD"/>
    <w:rsid w:val="00704652"/>
    <w:rsid w:val="007067FB"/>
    <w:rsid w:val="00706FFC"/>
    <w:rsid w:val="00707C2F"/>
    <w:rsid w:val="00707CEE"/>
    <w:rsid w:val="00710880"/>
    <w:rsid w:val="007108C3"/>
    <w:rsid w:val="00712595"/>
    <w:rsid w:val="00716FBE"/>
    <w:rsid w:val="00717723"/>
    <w:rsid w:val="00721ADF"/>
    <w:rsid w:val="0072210F"/>
    <w:rsid w:val="007222CF"/>
    <w:rsid w:val="007224D1"/>
    <w:rsid w:val="0072272F"/>
    <w:rsid w:val="00724074"/>
    <w:rsid w:val="00724DC3"/>
    <w:rsid w:val="007273A7"/>
    <w:rsid w:val="007279DD"/>
    <w:rsid w:val="00727D64"/>
    <w:rsid w:val="00730B23"/>
    <w:rsid w:val="00731357"/>
    <w:rsid w:val="00731664"/>
    <w:rsid w:val="00734332"/>
    <w:rsid w:val="00734F84"/>
    <w:rsid w:val="00735FC1"/>
    <w:rsid w:val="00736C07"/>
    <w:rsid w:val="00736E7A"/>
    <w:rsid w:val="007417DD"/>
    <w:rsid w:val="007444A3"/>
    <w:rsid w:val="00744698"/>
    <w:rsid w:val="00744E46"/>
    <w:rsid w:val="00744F35"/>
    <w:rsid w:val="00745D11"/>
    <w:rsid w:val="00747836"/>
    <w:rsid w:val="00750A8E"/>
    <w:rsid w:val="00751725"/>
    <w:rsid w:val="00752A69"/>
    <w:rsid w:val="0075363A"/>
    <w:rsid w:val="007537A5"/>
    <w:rsid w:val="00753D40"/>
    <w:rsid w:val="00756A93"/>
    <w:rsid w:val="007579F8"/>
    <w:rsid w:val="007608D8"/>
    <w:rsid w:val="00760D7B"/>
    <w:rsid w:val="00761483"/>
    <w:rsid w:val="00761545"/>
    <w:rsid w:val="00762A8D"/>
    <w:rsid w:val="0076370D"/>
    <w:rsid w:val="0076482E"/>
    <w:rsid w:val="00764EF1"/>
    <w:rsid w:val="00765152"/>
    <w:rsid w:val="00765B72"/>
    <w:rsid w:val="00765FFE"/>
    <w:rsid w:val="007669B0"/>
    <w:rsid w:val="00767C83"/>
    <w:rsid w:val="00776168"/>
    <w:rsid w:val="0077656B"/>
    <w:rsid w:val="007772CC"/>
    <w:rsid w:val="0078007F"/>
    <w:rsid w:val="007803FE"/>
    <w:rsid w:val="00780BE7"/>
    <w:rsid w:val="00780CF4"/>
    <w:rsid w:val="0078199E"/>
    <w:rsid w:val="00781D65"/>
    <w:rsid w:val="00783F24"/>
    <w:rsid w:val="0078480B"/>
    <w:rsid w:val="007871DE"/>
    <w:rsid w:val="00787D22"/>
    <w:rsid w:val="00792C8E"/>
    <w:rsid w:val="007932C1"/>
    <w:rsid w:val="0079386A"/>
    <w:rsid w:val="00794458"/>
    <w:rsid w:val="00795305"/>
    <w:rsid w:val="007968C8"/>
    <w:rsid w:val="00796A8E"/>
    <w:rsid w:val="007A196D"/>
    <w:rsid w:val="007A1CF8"/>
    <w:rsid w:val="007A4518"/>
    <w:rsid w:val="007A4F17"/>
    <w:rsid w:val="007A4F77"/>
    <w:rsid w:val="007A5254"/>
    <w:rsid w:val="007A59BF"/>
    <w:rsid w:val="007A6B23"/>
    <w:rsid w:val="007A6CEF"/>
    <w:rsid w:val="007A6F6C"/>
    <w:rsid w:val="007A78A7"/>
    <w:rsid w:val="007B3AC6"/>
    <w:rsid w:val="007B5ECA"/>
    <w:rsid w:val="007B6885"/>
    <w:rsid w:val="007B6AD0"/>
    <w:rsid w:val="007B74E7"/>
    <w:rsid w:val="007C05FF"/>
    <w:rsid w:val="007C29F7"/>
    <w:rsid w:val="007C3EEC"/>
    <w:rsid w:val="007C5499"/>
    <w:rsid w:val="007C5AD3"/>
    <w:rsid w:val="007C78B7"/>
    <w:rsid w:val="007D0989"/>
    <w:rsid w:val="007D275C"/>
    <w:rsid w:val="007D2E6A"/>
    <w:rsid w:val="007D586B"/>
    <w:rsid w:val="007D5E0A"/>
    <w:rsid w:val="007D649F"/>
    <w:rsid w:val="007D7288"/>
    <w:rsid w:val="007D7C7B"/>
    <w:rsid w:val="007E18FA"/>
    <w:rsid w:val="007E1D71"/>
    <w:rsid w:val="007E1F6C"/>
    <w:rsid w:val="007E290A"/>
    <w:rsid w:val="007E304E"/>
    <w:rsid w:val="007E3D89"/>
    <w:rsid w:val="007E46AE"/>
    <w:rsid w:val="007E5210"/>
    <w:rsid w:val="007E5A87"/>
    <w:rsid w:val="007E697F"/>
    <w:rsid w:val="007E716C"/>
    <w:rsid w:val="007E7AFA"/>
    <w:rsid w:val="007F23CE"/>
    <w:rsid w:val="007F2954"/>
    <w:rsid w:val="007F3C8D"/>
    <w:rsid w:val="007F3E59"/>
    <w:rsid w:val="007F4A1D"/>
    <w:rsid w:val="007F5F1E"/>
    <w:rsid w:val="007F621D"/>
    <w:rsid w:val="007F6537"/>
    <w:rsid w:val="007F719E"/>
    <w:rsid w:val="00801706"/>
    <w:rsid w:val="00802C43"/>
    <w:rsid w:val="00804CB4"/>
    <w:rsid w:val="00806970"/>
    <w:rsid w:val="0080697C"/>
    <w:rsid w:val="00806BB2"/>
    <w:rsid w:val="00810655"/>
    <w:rsid w:val="00810F2C"/>
    <w:rsid w:val="00812539"/>
    <w:rsid w:val="008134C8"/>
    <w:rsid w:val="008150E2"/>
    <w:rsid w:val="00816CF9"/>
    <w:rsid w:val="00822F82"/>
    <w:rsid w:val="00826ECD"/>
    <w:rsid w:val="00827519"/>
    <w:rsid w:val="00827C33"/>
    <w:rsid w:val="00832814"/>
    <w:rsid w:val="00833093"/>
    <w:rsid w:val="00835605"/>
    <w:rsid w:val="00835A0F"/>
    <w:rsid w:val="00836679"/>
    <w:rsid w:val="00837F18"/>
    <w:rsid w:val="00843B36"/>
    <w:rsid w:val="008446CE"/>
    <w:rsid w:val="00844846"/>
    <w:rsid w:val="00844EA3"/>
    <w:rsid w:val="008470B8"/>
    <w:rsid w:val="0084786F"/>
    <w:rsid w:val="0085025D"/>
    <w:rsid w:val="00851B04"/>
    <w:rsid w:val="00852178"/>
    <w:rsid w:val="00853CD2"/>
    <w:rsid w:val="00853FF3"/>
    <w:rsid w:val="0085451D"/>
    <w:rsid w:val="00854EC8"/>
    <w:rsid w:val="008603B4"/>
    <w:rsid w:val="00861579"/>
    <w:rsid w:val="00862864"/>
    <w:rsid w:val="0086344D"/>
    <w:rsid w:val="008640BE"/>
    <w:rsid w:val="008641A7"/>
    <w:rsid w:val="008642D7"/>
    <w:rsid w:val="0086531E"/>
    <w:rsid w:val="00865C17"/>
    <w:rsid w:val="00867748"/>
    <w:rsid w:val="0086797E"/>
    <w:rsid w:val="0087030C"/>
    <w:rsid w:val="00870BAC"/>
    <w:rsid w:val="0087268C"/>
    <w:rsid w:val="00872D3A"/>
    <w:rsid w:val="00874731"/>
    <w:rsid w:val="00875539"/>
    <w:rsid w:val="00875AA2"/>
    <w:rsid w:val="00875D2D"/>
    <w:rsid w:val="00877B8C"/>
    <w:rsid w:val="0088069E"/>
    <w:rsid w:val="00880CB5"/>
    <w:rsid w:val="00880D90"/>
    <w:rsid w:val="00882652"/>
    <w:rsid w:val="0088316B"/>
    <w:rsid w:val="00884D77"/>
    <w:rsid w:val="008858E6"/>
    <w:rsid w:val="00885F41"/>
    <w:rsid w:val="0089053A"/>
    <w:rsid w:val="008915FF"/>
    <w:rsid w:val="00891DB1"/>
    <w:rsid w:val="008926F4"/>
    <w:rsid w:val="00893324"/>
    <w:rsid w:val="00895AA1"/>
    <w:rsid w:val="00896C72"/>
    <w:rsid w:val="008971FD"/>
    <w:rsid w:val="00897C9B"/>
    <w:rsid w:val="008A2623"/>
    <w:rsid w:val="008A2F69"/>
    <w:rsid w:val="008A4B89"/>
    <w:rsid w:val="008A609F"/>
    <w:rsid w:val="008A6769"/>
    <w:rsid w:val="008A7260"/>
    <w:rsid w:val="008A7B66"/>
    <w:rsid w:val="008B026E"/>
    <w:rsid w:val="008B22EF"/>
    <w:rsid w:val="008B367A"/>
    <w:rsid w:val="008B38BA"/>
    <w:rsid w:val="008B423A"/>
    <w:rsid w:val="008B4249"/>
    <w:rsid w:val="008B4A41"/>
    <w:rsid w:val="008B4E18"/>
    <w:rsid w:val="008B5960"/>
    <w:rsid w:val="008B6E0B"/>
    <w:rsid w:val="008C016E"/>
    <w:rsid w:val="008C0422"/>
    <w:rsid w:val="008C04D4"/>
    <w:rsid w:val="008C22B5"/>
    <w:rsid w:val="008C22D8"/>
    <w:rsid w:val="008C394A"/>
    <w:rsid w:val="008C3E90"/>
    <w:rsid w:val="008C4CE3"/>
    <w:rsid w:val="008C501C"/>
    <w:rsid w:val="008C6B4B"/>
    <w:rsid w:val="008C7168"/>
    <w:rsid w:val="008D006F"/>
    <w:rsid w:val="008D03CA"/>
    <w:rsid w:val="008D2331"/>
    <w:rsid w:val="008D2798"/>
    <w:rsid w:val="008D285F"/>
    <w:rsid w:val="008D73A5"/>
    <w:rsid w:val="008E05E4"/>
    <w:rsid w:val="008E0A8C"/>
    <w:rsid w:val="008E181E"/>
    <w:rsid w:val="008E2435"/>
    <w:rsid w:val="008E255A"/>
    <w:rsid w:val="008E2700"/>
    <w:rsid w:val="008E3CCE"/>
    <w:rsid w:val="008E4C20"/>
    <w:rsid w:val="008E70E9"/>
    <w:rsid w:val="008E736E"/>
    <w:rsid w:val="008E77FE"/>
    <w:rsid w:val="008E7B06"/>
    <w:rsid w:val="008F2D31"/>
    <w:rsid w:val="008F3AD2"/>
    <w:rsid w:val="008F5B48"/>
    <w:rsid w:val="008F5D1B"/>
    <w:rsid w:val="008F5F33"/>
    <w:rsid w:val="008F78FD"/>
    <w:rsid w:val="00900E88"/>
    <w:rsid w:val="00902473"/>
    <w:rsid w:val="00902717"/>
    <w:rsid w:val="00902D37"/>
    <w:rsid w:val="00902F4F"/>
    <w:rsid w:val="00902F7B"/>
    <w:rsid w:val="009036CB"/>
    <w:rsid w:val="00905226"/>
    <w:rsid w:val="0090602F"/>
    <w:rsid w:val="0091016F"/>
    <w:rsid w:val="009117E9"/>
    <w:rsid w:val="00913169"/>
    <w:rsid w:val="00913843"/>
    <w:rsid w:val="00914CC1"/>
    <w:rsid w:val="009154A1"/>
    <w:rsid w:val="0091682C"/>
    <w:rsid w:val="00916EBB"/>
    <w:rsid w:val="00917137"/>
    <w:rsid w:val="00920276"/>
    <w:rsid w:val="0092063C"/>
    <w:rsid w:val="00920F8E"/>
    <w:rsid w:val="0092264E"/>
    <w:rsid w:val="00922B54"/>
    <w:rsid w:val="00923057"/>
    <w:rsid w:val="00923331"/>
    <w:rsid w:val="00923563"/>
    <w:rsid w:val="00924CEA"/>
    <w:rsid w:val="00924DA4"/>
    <w:rsid w:val="009251E6"/>
    <w:rsid w:val="0092570A"/>
    <w:rsid w:val="00926A49"/>
    <w:rsid w:val="00926CD2"/>
    <w:rsid w:val="00926D4B"/>
    <w:rsid w:val="00927DEE"/>
    <w:rsid w:val="00930C56"/>
    <w:rsid w:val="009315C5"/>
    <w:rsid w:val="00931E72"/>
    <w:rsid w:val="00932493"/>
    <w:rsid w:val="00933F74"/>
    <w:rsid w:val="00933F9A"/>
    <w:rsid w:val="00934AED"/>
    <w:rsid w:val="00934BC8"/>
    <w:rsid w:val="00935C6C"/>
    <w:rsid w:val="00935F51"/>
    <w:rsid w:val="00936E96"/>
    <w:rsid w:val="00936F56"/>
    <w:rsid w:val="00937653"/>
    <w:rsid w:val="00937A4F"/>
    <w:rsid w:val="00940A1A"/>
    <w:rsid w:val="009416B6"/>
    <w:rsid w:val="00941EDA"/>
    <w:rsid w:val="00943BA2"/>
    <w:rsid w:val="00944452"/>
    <w:rsid w:val="00944FB6"/>
    <w:rsid w:val="00945C9B"/>
    <w:rsid w:val="009465F0"/>
    <w:rsid w:val="00946670"/>
    <w:rsid w:val="00946814"/>
    <w:rsid w:val="00946F2A"/>
    <w:rsid w:val="00947B76"/>
    <w:rsid w:val="00952A4F"/>
    <w:rsid w:val="00953BDD"/>
    <w:rsid w:val="00954097"/>
    <w:rsid w:val="00955C4C"/>
    <w:rsid w:val="009567F0"/>
    <w:rsid w:val="00956D53"/>
    <w:rsid w:val="00956E53"/>
    <w:rsid w:val="00956F40"/>
    <w:rsid w:val="00957F32"/>
    <w:rsid w:val="00961D71"/>
    <w:rsid w:val="00961E03"/>
    <w:rsid w:val="00962EFE"/>
    <w:rsid w:val="00963A67"/>
    <w:rsid w:val="009642DF"/>
    <w:rsid w:val="00965183"/>
    <w:rsid w:val="00965970"/>
    <w:rsid w:val="00966166"/>
    <w:rsid w:val="00966C76"/>
    <w:rsid w:val="00967985"/>
    <w:rsid w:val="00970662"/>
    <w:rsid w:val="0097107C"/>
    <w:rsid w:val="00972CB1"/>
    <w:rsid w:val="00972DEB"/>
    <w:rsid w:val="00974073"/>
    <w:rsid w:val="0097499C"/>
    <w:rsid w:val="009757AD"/>
    <w:rsid w:val="00976852"/>
    <w:rsid w:val="009774C1"/>
    <w:rsid w:val="00977F9F"/>
    <w:rsid w:val="009824C8"/>
    <w:rsid w:val="009853F8"/>
    <w:rsid w:val="00986111"/>
    <w:rsid w:val="00986D82"/>
    <w:rsid w:val="00987852"/>
    <w:rsid w:val="00991106"/>
    <w:rsid w:val="00993204"/>
    <w:rsid w:val="00993BE2"/>
    <w:rsid w:val="00993D19"/>
    <w:rsid w:val="00993D85"/>
    <w:rsid w:val="009943E5"/>
    <w:rsid w:val="009946BE"/>
    <w:rsid w:val="009956B4"/>
    <w:rsid w:val="0099600D"/>
    <w:rsid w:val="0099687C"/>
    <w:rsid w:val="00996DC7"/>
    <w:rsid w:val="00996F42"/>
    <w:rsid w:val="009979B6"/>
    <w:rsid w:val="00997C03"/>
    <w:rsid w:val="00997FBF"/>
    <w:rsid w:val="009A08CC"/>
    <w:rsid w:val="009A08DF"/>
    <w:rsid w:val="009A0C82"/>
    <w:rsid w:val="009A2118"/>
    <w:rsid w:val="009A2A0B"/>
    <w:rsid w:val="009A52B5"/>
    <w:rsid w:val="009A5913"/>
    <w:rsid w:val="009A64C4"/>
    <w:rsid w:val="009A6A73"/>
    <w:rsid w:val="009A7BFC"/>
    <w:rsid w:val="009A7DED"/>
    <w:rsid w:val="009B0CFA"/>
    <w:rsid w:val="009B4B38"/>
    <w:rsid w:val="009B6B79"/>
    <w:rsid w:val="009C0098"/>
    <w:rsid w:val="009C12F0"/>
    <w:rsid w:val="009C20D0"/>
    <w:rsid w:val="009C219D"/>
    <w:rsid w:val="009C2B0B"/>
    <w:rsid w:val="009C3FA5"/>
    <w:rsid w:val="009C4614"/>
    <w:rsid w:val="009C7D16"/>
    <w:rsid w:val="009C7F5B"/>
    <w:rsid w:val="009D1A10"/>
    <w:rsid w:val="009D2271"/>
    <w:rsid w:val="009D23EF"/>
    <w:rsid w:val="009D3A01"/>
    <w:rsid w:val="009D3EFA"/>
    <w:rsid w:val="009D51E6"/>
    <w:rsid w:val="009D5ECA"/>
    <w:rsid w:val="009D6159"/>
    <w:rsid w:val="009D6BCF"/>
    <w:rsid w:val="009D6CEC"/>
    <w:rsid w:val="009D7F7A"/>
    <w:rsid w:val="009E1D8F"/>
    <w:rsid w:val="009E1EC0"/>
    <w:rsid w:val="009E2D53"/>
    <w:rsid w:val="009E33FF"/>
    <w:rsid w:val="009E6C4F"/>
    <w:rsid w:val="009E70E6"/>
    <w:rsid w:val="009E7FD1"/>
    <w:rsid w:val="009F0EFA"/>
    <w:rsid w:val="009F11CF"/>
    <w:rsid w:val="009F1279"/>
    <w:rsid w:val="009F1E59"/>
    <w:rsid w:val="009F1E5F"/>
    <w:rsid w:val="009F279C"/>
    <w:rsid w:val="009F2C4D"/>
    <w:rsid w:val="009F2DF3"/>
    <w:rsid w:val="009F331F"/>
    <w:rsid w:val="009F3966"/>
    <w:rsid w:val="009F4284"/>
    <w:rsid w:val="009F607C"/>
    <w:rsid w:val="009F68B5"/>
    <w:rsid w:val="009F75F1"/>
    <w:rsid w:val="009F79AF"/>
    <w:rsid w:val="00A00D98"/>
    <w:rsid w:val="00A020B8"/>
    <w:rsid w:val="00A03848"/>
    <w:rsid w:val="00A0449E"/>
    <w:rsid w:val="00A0545A"/>
    <w:rsid w:val="00A05B1C"/>
    <w:rsid w:val="00A0627B"/>
    <w:rsid w:val="00A07847"/>
    <w:rsid w:val="00A07F2E"/>
    <w:rsid w:val="00A12857"/>
    <w:rsid w:val="00A130D7"/>
    <w:rsid w:val="00A14A18"/>
    <w:rsid w:val="00A15BC4"/>
    <w:rsid w:val="00A15C91"/>
    <w:rsid w:val="00A16DCD"/>
    <w:rsid w:val="00A16FC1"/>
    <w:rsid w:val="00A17083"/>
    <w:rsid w:val="00A224BA"/>
    <w:rsid w:val="00A231B7"/>
    <w:rsid w:val="00A236F7"/>
    <w:rsid w:val="00A24811"/>
    <w:rsid w:val="00A2503D"/>
    <w:rsid w:val="00A251C7"/>
    <w:rsid w:val="00A25D6E"/>
    <w:rsid w:val="00A2656D"/>
    <w:rsid w:val="00A26996"/>
    <w:rsid w:val="00A274FC"/>
    <w:rsid w:val="00A309AC"/>
    <w:rsid w:val="00A31A71"/>
    <w:rsid w:val="00A327BA"/>
    <w:rsid w:val="00A32842"/>
    <w:rsid w:val="00A32B20"/>
    <w:rsid w:val="00A33319"/>
    <w:rsid w:val="00A3386D"/>
    <w:rsid w:val="00A33C7F"/>
    <w:rsid w:val="00A35945"/>
    <w:rsid w:val="00A35C59"/>
    <w:rsid w:val="00A372C6"/>
    <w:rsid w:val="00A4014F"/>
    <w:rsid w:val="00A4086D"/>
    <w:rsid w:val="00A423C0"/>
    <w:rsid w:val="00A42423"/>
    <w:rsid w:val="00A42868"/>
    <w:rsid w:val="00A4417C"/>
    <w:rsid w:val="00A44A1E"/>
    <w:rsid w:val="00A4565A"/>
    <w:rsid w:val="00A46A19"/>
    <w:rsid w:val="00A5071B"/>
    <w:rsid w:val="00A50ED5"/>
    <w:rsid w:val="00A51741"/>
    <w:rsid w:val="00A517AF"/>
    <w:rsid w:val="00A52CCD"/>
    <w:rsid w:val="00A545B2"/>
    <w:rsid w:val="00A554A0"/>
    <w:rsid w:val="00A56356"/>
    <w:rsid w:val="00A568B1"/>
    <w:rsid w:val="00A5745C"/>
    <w:rsid w:val="00A615C6"/>
    <w:rsid w:val="00A617BA"/>
    <w:rsid w:val="00A649C2"/>
    <w:rsid w:val="00A653A2"/>
    <w:rsid w:val="00A662FA"/>
    <w:rsid w:val="00A6651F"/>
    <w:rsid w:val="00A66DE4"/>
    <w:rsid w:val="00A675FD"/>
    <w:rsid w:val="00A67A30"/>
    <w:rsid w:val="00A719F9"/>
    <w:rsid w:val="00A71BB0"/>
    <w:rsid w:val="00A73F78"/>
    <w:rsid w:val="00A744CE"/>
    <w:rsid w:val="00A74979"/>
    <w:rsid w:val="00A7696A"/>
    <w:rsid w:val="00A769C4"/>
    <w:rsid w:val="00A77231"/>
    <w:rsid w:val="00A7736C"/>
    <w:rsid w:val="00A77FFB"/>
    <w:rsid w:val="00A8089E"/>
    <w:rsid w:val="00A80B21"/>
    <w:rsid w:val="00A81690"/>
    <w:rsid w:val="00A822E9"/>
    <w:rsid w:val="00A83498"/>
    <w:rsid w:val="00A83C88"/>
    <w:rsid w:val="00A850B7"/>
    <w:rsid w:val="00A85B80"/>
    <w:rsid w:val="00A85FA7"/>
    <w:rsid w:val="00A90B22"/>
    <w:rsid w:val="00A90C30"/>
    <w:rsid w:val="00AA0393"/>
    <w:rsid w:val="00AA1A58"/>
    <w:rsid w:val="00AA1BFC"/>
    <w:rsid w:val="00AA4141"/>
    <w:rsid w:val="00AA4BEA"/>
    <w:rsid w:val="00AA5215"/>
    <w:rsid w:val="00AA7474"/>
    <w:rsid w:val="00AB0936"/>
    <w:rsid w:val="00AB16A4"/>
    <w:rsid w:val="00AB222F"/>
    <w:rsid w:val="00AB2280"/>
    <w:rsid w:val="00AB238A"/>
    <w:rsid w:val="00AB43B5"/>
    <w:rsid w:val="00AB542A"/>
    <w:rsid w:val="00AB546D"/>
    <w:rsid w:val="00AB664E"/>
    <w:rsid w:val="00AB71AF"/>
    <w:rsid w:val="00AB72B7"/>
    <w:rsid w:val="00AB7FA5"/>
    <w:rsid w:val="00AC1F01"/>
    <w:rsid w:val="00AC2E56"/>
    <w:rsid w:val="00AC310E"/>
    <w:rsid w:val="00AC3BFA"/>
    <w:rsid w:val="00AC6D46"/>
    <w:rsid w:val="00AD17F6"/>
    <w:rsid w:val="00AD2268"/>
    <w:rsid w:val="00AD4C00"/>
    <w:rsid w:val="00AD4D03"/>
    <w:rsid w:val="00AD64D8"/>
    <w:rsid w:val="00AD7301"/>
    <w:rsid w:val="00AE00C7"/>
    <w:rsid w:val="00AE1D5D"/>
    <w:rsid w:val="00AE3886"/>
    <w:rsid w:val="00AE3E85"/>
    <w:rsid w:val="00AE425E"/>
    <w:rsid w:val="00AE6470"/>
    <w:rsid w:val="00AE6AFF"/>
    <w:rsid w:val="00AE73CC"/>
    <w:rsid w:val="00AF0A9D"/>
    <w:rsid w:val="00AF0ED9"/>
    <w:rsid w:val="00AF5B2A"/>
    <w:rsid w:val="00AF5B60"/>
    <w:rsid w:val="00AF617D"/>
    <w:rsid w:val="00AF6C82"/>
    <w:rsid w:val="00AF7784"/>
    <w:rsid w:val="00B01632"/>
    <w:rsid w:val="00B03F84"/>
    <w:rsid w:val="00B041F5"/>
    <w:rsid w:val="00B10B5D"/>
    <w:rsid w:val="00B10EBD"/>
    <w:rsid w:val="00B11176"/>
    <w:rsid w:val="00B11E0C"/>
    <w:rsid w:val="00B124AB"/>
    <w:rsid w:val="00B12658"/>
    <w:rsid w:val="00B13D70"/>
    <w:rsid w:val="00B14126"/>
    <w:rsid w:val="00B150ED"/>
    <w:rsid w:val="00B16B46"/>
    <w:rsid w:val="00B170A3"/>
    <w:rsid w:val="00B24A17"/>
    <w:rsid w:val="00B25FD4"/>
    <w:rsid w:val="00B27C06"/>
    <w:rsid w:val="00B322D3"/>
    <w:rsid w:val="00B33EFE"/>
    <w:rsid w:val="00B35A5D"/>
    <w:rsid w:val="00B377FF"/>
    <w:rsid w:val="00B37801"/>
    <w:rsid w:val="00B37A0A"/>
    <w:rsid w:val="00B400C6"/>
    <w:rsid w:val="00B400FD"/>
    <w:rsid w:val="00B40BC7"/>
    <w:rsid w:val="00B416F8"/>
    <w:rsid w:val="00B434BE"/>
    <w:rsid w:val="00B43918"/>
    <w:rsid w:val="00B44C9A"/>
    <w:rsid w:val="00B4752D"/>
    <w:rsid w:val="00B518D4"/>
    <w:rsid w:val="00B51E41"/>
    <w:rsid w:val="00B52F52"/>
    <w:rsid w:val="00B53945"/>
    <w:rsid w:val="00B545B3"/>
    <w:rsid w:val="00B54B9F"/>
    <w:rsid w:val="00B551C0"/>
    <w:rsid w:val="00B6185B"/>
    <w:rsid w:val="00B61B0D"/>
    <w:rsid w:val="00B62DB0"/>
    <w:rsid w:val="00B636CF"/>
    <w:rsid w:val="00B63FF7"/>
    <w:rsid w:val="00B64723"/>
    <w:rsid w:val="00B64EA7"/>
    <w:rsid w:val="00B64FFD"/>
    <w:rsid w:val="00B6608A"/>
    <w:rsid w:val="00B66235"/>
    <w:rsid w:val="00B67B92"/>
    <w:rsid w:val="00B704AF"/>
    <w:rsid w:val="00B71152"/>
    <w:rsid w:val="00B72250"/>
    <w:rsid w:val="00B760BE"/>
    <w:rsid w:val="00B76E81"/>
    <w:rsid w:val="00B77BB2"/>
    <w:rsid w:val="00B8044B"/>
    <w:rsid w:val="00B804EC"/>
    <w:rsid w:val="00B81452"/>
    <w:rsid w:val="00B8270B"/>
    <w:rsid w:val="00B82AC7"/>
    <w:rsid w:val="00B849BD"/>
    <w:rsid w:val="00B84FA6"/>
    <w:rsid w:val="00B8583F"/>
    <w:rsid w:val="00B85869"/>
    <w:rsid w:val="00B85CB9"/>
    <w:rsid w:val="00B8709A"/>
    <w:rsid w:val="00B90747"/>
    <w:rsid w:val="00B93C4E"/>
    <w:rsid w:val="00B93E9A"/>
    <w:rsid w:val="00B95BBF"/>
    <w:rsid w:val="00B975D2"/>
    <w:rsid w:val="00BA0013"/>
    <w:rsid w:val="00BA0548"/>
    <w:rsid w:val="00BA06FA"/>
    <w:rsid w:val="00BA0720"/>
    <w:rsid w:val="00BA07D8"/>
    <w:rsid w:val="00BA0F90"/>
    <w:rsid w:val="00BA1398"/>
    <w:rsid w:val="00BA1EA2"/>
    <w:rsid w:val="00BA2044"/>
    <w:rsid w:val="00BA2239"/>
    <w:rsid w:val="00BA2886"/>
    <w:rsid w:val="00BA4C71"/>
    <w:rsid w:val="00BA4E0D"/>
    <w:rsid w:val="00BA76AF"/>
    <w:rsid w:val="00BB1977"/>
    <w:rsid w:val="00BB1AD4"/>
    <w:rsid w:val="00BB3145"/>
    <w:rsid w:val="00BB59DB"/>
    <w:rsid w:val="00BB5EDD"/>
    <w:rsid w:val="00BC2DFF"/>
    <w:rsid w:val="00BC41F2"/>
    <w:rsid w:val="00BC42C0"/>
    <w:rsid w:val="00BC447F"/>
    <w:rsid w:val="00BC44EE"/>
    <w:rsid w:val="00BC4536"/>
    <w:rsid w:val="00BD0908"/>
    <w:rsid w:val="00BD0DCE"/>
    <w:rsid w:val="00BD1FF5"/>
    <w:rsid w:val="00BD2782"/>
    <w:rsid w:val="00BD33F2"/>
    <w:rsid w:val="00BD54BF"/>
    <w:rsid w:val="00BD601D"/>
    <w:rsid w:val="00BD636C"/>
    <w:rsid w:val="00BD7175"/>
    <w:rsid w:val="00BD7B4E"/>
    <w:rsid w:val="00BD7C26"/>
    <w:rsid w:val="00BE0233"/>
    <w:rsid w:val="00BE0DC8"/>
    <w:rsid w:val="00BE23E9"/>
    <w:rsid w:val="00BE54EF"/>
    <w:rsid w:val="00BE79D1"/>
    <w:rsid w:val="00BF0332"/>
    <w:rsid w:val="00BF13A7"/>
    <w:rsid w:val="00BF3055"/>
    <w:rsid w:val="00BF35B3"/>
    <w:rsid w:val="00BF38EE"/>
    <w:rsid w:val="00BF3A36"/>
    <w:rsid w:val="00BF4169"/>
    <w:rsid w:val="00BF472E"/>
    <w:rsid w:val="00BF4D24"/>
    <w:rsid w:val="00BF707D"/>
    <w:rsid w:val="00BF7146"/>
    <w:rsid w:val="00BF77F0"/>
    <w:rsid w:val="00BF786A"/>
    <w:rsid w:val="00BF7DFA"/>
    <w:rsid w:val="00C00873"/>
    <w:rsid w:val="00C01A83"/>
    <w:rsid w:val="00C01F60"/>
    <w:rsid w:val="00C03A3C"/>
    <w:rsid w:val="00C03CD1"/>
    <w:rsid w:val="00C07058"/>
    <w:rsid w:val="00C11584"/>
    <w:rsid w:val="00C121EB"/>
    <w:rsid w:val="00C1252E"/>
    <w:rsid w:val="00C12789"/>
    <w:rsid w:val="00C156E3"/>
    <w:rsid w:val="00C15933"/>
    <w:rsid w:val="00C167E7"/>
    <w:rsid w:val="00C203C9"/>
    <w:rsid w:val="00C20B4C"/>
    <w:rsid w:val="00C20CC5"/>
    <w:rsid w:val="00C21D9D"/>
    <w:rsid w:val="00C2494E"/>
    <w:rsid w:val="00C24D28"/>
    <w:rsid w:val="00C262FE"/>
    <w:rsid w:val="00C26EC5"/>
    <w:rsid w:val="00C27D47"/>
    <w:rsid w:val="00C307BD"/>
    <w:rsid w:val="00C31C68"/>
    <w:rsid w:val="00C3258B"/>
    <w:rsid w:val="00C32EAC"/>
    <w:rsid w:val="00C3344D"/>
    <w:rsid w:val="00C33DA4"/>
    <w:rsid w:val="00C3525B"/>
    <w:rsid w:val="00C35789"/>
    <w:rsid w:val="00C4027D"/>
    <w:rsid w:val="00C4084D"/>
    <w:rsid w:val="00C416DD"/>
    <w:rsid w:val="00C42166"/>
    <w:rsid w:val="00C421CA"/>
    <w:rsid w:val="00C4296C"/>
    <w:rsid w:val="00C433B8"/>
    <w:rsid w:val="00C43559"/>
    <w:rsid w:val="00C4446E"/>
    <w:rsid w:val="00C44610"/>
    <w:rsid w:val="00C45A61"/>
    <w:rsid w:val="00C463AE"/>
    <w:rsid w:val="00C51E36"/>
    <w:rsid w:val="00C54CC6"/>
    <w:rsid w:val="00C604D0"/>
    <w:rsid w:val="00C608D1"/>
    <w:rsid w:val="00C61226"/>
    <w:rsid w:val="00C6353B"/>
    <w:rsid w:val="00C643AB"/>
    <w:rsid w:val="00C64C5A"/>
    <w:rsid w:val="00C65EDC"/>
    <w:rsid w:val="00C7015F"/>
    <w:rsid w:val="00C7062B"/>
    <w:rsid w:val="00C711CC"/>
    <w:rsid w:val="00C71380"/>
    <w:rsid w:val="00C72EF9"/>
    <w:rsid w:val="00C75F91"/>
    <w:rsid w:val="00C819A4"/>
    <w:rsid w:val="00C8247E"/>
    <w:rsid w:val="00C82A3E"/>
    <w:rsid w:val="00C83786"/>
    <w:rsid w:val="00C84B2D"/>
    <w:rsid w:val="00C85CCE"/>
    <w:rsid w:val="00C864BB"/>
    <w:rsid w:val="00C870AF"/>
    <w:rsid w:val="00C903D3"/>
    <w:rsid w:val="00C90AE8"/>
    <w:rsid w:val="00C91877"/>
    <w:rsid w:val="00C91CCF"/>
    <w:rsid w:val="00C926AF"/>
    <w:rsid w:val="00C93DC9"/>
    <w:rsid w:val="00C9718B"/>
    <w:rsid w:val="00CA07E4"/>
    <w:rsid w:val="00CA14BB"/>
    <w:rsid w:val="00CA605D"/>
    <w:rsid w:val="00CA72F7"/>
    <w:rsid w:val="00CA760E"/>
    <w:rsid w:val="00CA7E13"/>
    <w:rsid w:val="00CB0E45"/>
    <w:rsid w:val="00CB1B5C"/>
    <w:rsid w:val="00CB2F01"/>
    <w:rsid w:val="00CB4EE2"/>
    <w:rsid w:val="00CB5E72"/>
    <w:rsid w:val="00CB6168"/>
    <w:rsid w:val="00CB71DA"/>
    <w:rsid w:val="00CB7402"/>
    <w:rsid w:val="00CB79FC"/>
    <w:rsid w:val="00CC1C6D"/>
    <w:rsid w:val="00CC211A"/>
    <w:rsid w:val="00CC4AF3"/>
    <w:rsid w:val="00CC5B87"/>
    <w:rsid w:val="00CD07D6"/>
    <w:rsid w:val="00CD2056"/>
    <w:rsid w:val="00CD2497"/>
    <w:rsid w:val="00CD2501"/>
    <w:rsid w:val="00CD362B"/>
    <w:rsid w:val="00CD39B2"/>
    <w:rsid w:val="00CD3B11"/>
    <w:rsid w:val="00CD4E68"/>
    <w:rsid w:val="00CD5CFD"/>
    <w:rsid w:val="00CD5D29"/>
    <w:rsid w:val="00CD7F8F"/>
    <w:rsid w:val="00CE0CD0"/>
    <w:rsid w:val="00CE0ECB"/>
    <w:rsid w:val="00CE1B29"/>
    <w:rsid w:val="00CE29C5"/>
    <w:rsid w:val="00CE3C21"/>
    <w:rsid w:val="00CE6599"/>
    <w:rsid w:val="00CF08B0"/>
    <w:rsid w:val="00CF0A5E"/>
    <w:rsid w:val="00CF2576"/>
    <w:rsid w:val="00CF43A2"/>
    <w:rsid w:val="00CF5802"/>
    <w:rsid w:val="00CF5FF2"/>
    <w:rsid w:val="00CF6534"/>
    <w:rsid w:val="00CF6DDE"/>
    <w:rsid w:val="00CF6FF1"/>
    <w:rsid w:val="00CF7311"/>
    <w:rsid w:val="00CF734C"/>
    <w:rsid w:val="00CF76C2"/>
    <w:rsid w:val="00D02158"/>
    <w:rsid w:val="00D0242B"/>
    <w:rsid w:val="00D048A7"/>
    <w:rsid w:val="00D051B9"/>
    <w:rsid w:val="00D05543"/>
    <w:rsid w:val="00D05C08"/>
    <w:rsid w:val="00D0691B"/>
    <w:rsid w:val="00D10574"/>
    <w:rsid w:val="00D10A31"/>
    <w:rsid w:val="00D10B54"/>
    <w:rsid w:val="00D12107"/>
    <w:rsid w:val="00D13BFB"/>
    <w:rsid w:val="00D151CD"/>
    <w:rsid w:val="00D15F0D"/>
    <w:rsid w:val="00D16C00"/>
    <w:rsid w:val="00D16DEE"/>
    <w:rsid w:val="00D20003"/>
    <w:rsid w:val="00D23427"/>
    <w:rsid w:val="00D235F6"/>
    <w:rsid w:val="00D23668"/>
    <w:rsid w:val="00D23BCF"/>
    <w:rsid w:val="00D244DC"/>
    <w:rsid w:val="00D24660"/>
    <w:rsid w:val="00D269E0"/>
    <w:rsid w:val="00D270FD"/>
    <w:rsid w:val="00D27122"/>
    <w:rsid w:val="00D3059E"/>
    <w:rsid w:val="00D30AFD"/>
    <w:rsid w:val="00D30B9C"/>
    <w:rsid w:val="00D30EE8"/>
    <w:rsid w:val="00D33797"/>
    <w:rsid w:val="00D379B4"/>
    <w:rsid w:val="00D37D04"/>
    <w:rsid w:val="00D40316"/>
    <w:rsid w:val="00D413BF"/>
    <w:rsid w:val="00D4182D"/>
    <w:rsid w:val="00D426B1"/>
    <w:rsid w:val="00D429B7"/>
    <w:rsid w:val="00D42D47"/>
    <w:rsid w:val="00D43055"/>
    <w:rsid w:val="00D431D5"/>
    <w:rsid w:val="00D43232"/>
    <w:rsid w:val="00D43BD4"/>
    <w:rsid w:val="00D44AD6"/>
    <w:rsid w:val="00D44E66"/>
    <w:rsid w:val="00D513B3"/>
    <w:rsid w:val="00D5247A"/>
    <w:rsid w:val="00D5404C"/>
    <w:rsid w:val="00D54736"/>
    <w:rsid w:val="00D54B65"/>
    <w:rsid w:val="00D54C22"/>
    <w:rsid w:val="00D5591C"/>
    <w:rsid w:val="00D60635"/>
    <w:rsid w:val="00D60660"/>
    <w:rsid w:val="00D62A21"/>
    <w:rsid w:val="00D637D0"/>
    <w:rsid w:val="00D6383F"/>
    <w:rsid w:val="00D64039"/>
    <w:rsid w:val="00D6526E"/>
    <w:rsid w:val="00D703FE"/>
    <w:rsid w:val="00D7165F"/>
    <w:rsid w:val="00D719E5"/>
    <w:rsid w:val="00D7447B"/>
    <w:rsid w:val="00D74E0C"/>
    <w:rsid w:val="00D750EB"/>
    <w:rsid w:val="00D7639F"/>
    <w:rsid w:val="00D77944"/>
    <w:rsid w:val="00D77BBA"/>
    <w:rsid w:val="00D8041C"/>
    <w:rsid w:val="00D8478C"/>
    <w:rsid w:val="00D8487F"/>
    <w:rsid w:val="00D84F53"/>
    <w:rsid w:val="00D8517F"/>
    <w:rsid w:val="00D86D7A"/>
    <w:rsid w:val="00D86EAE"/>
    <w:rsid w:val="00D874E3"/>
    <w:rsid w:val="00D876BF"/>
    <w:rsid w:val="00D936C9"/>
    <w:rsid w:val="00D94AF5"/>
    <w:rsid w:val="00D952ED"/>
    <w:rsid w:val="00D95834"/>
    <w:rsid w:val="00D95F0F"/>
    <w:rsid w:val="00D96B8B"/>
    <w:rsid w:val="00DA2205"/>
    <w:rsid w:val="00DA26DF"/>
    <w:rsid w:val="00DA2FC4"/>
    <w:rsid w:val="00DA4772"/>
    <w:rsid w:val="00DA4FD4"/>
    <w:rsid w:val="00DA58BE"/>
    <w:rsid w:val="00DA6C9C"/>
    <w:rsid w:val="00DA6EC8"/>
    <w:rsid w:val="00DA7D84"/>
    <w:rsid w:val="00DA7E22"/>
    <w:rsid w:val="00DB0521"/>
    <w:rsid w:val="00DB237C"/>
    <w:rsid w:val="00DB32C6"/>
    <w:rsid w:val="00DB537B"/>
    <w:rsid w:val="00DB623E"/>
    <w:rsid w:val="00DC0A38"/>
    <w:rsid w:val="00DC15F1"/>
    <w:rsid w:val="00DC220C"/>
    <w:rsid w:val="00DC285B"/>
    <w:rsid w:val="00DC40E4"/>
    <w:rsid w:val="00DC4D20"/>
    <w:rsid w:val="00DD022C"/>
    <w:rsid w:val="00DD0473"/>
    <w:rsid w:val="00DD0B1F"/>
    <w:rsid w:val="00DD281C"/>
    <w:rsid w:val="00DD2E70"/>
    <w:rsid w:val="00DD3878"/>
    <w:rsid w:val="00DD53BD"/>
    <w:rsid w:val="00DD7D50"/>
    <w:rsid w:val="00DE03BF"/>
    <w:rsid w:val="00DE0C29"/>
    <w:rsid w:val="00DE0F80"/>
    <w:rsid w:val="00DE4CF1"/>
    <w:rsid w:val="00DE5C73"/>
    <w:rsid w:val="00DE64A2"/>
    <w:rsid w:val="00DE71AF"/>
    <w:rsid w:val="00DF27DD"/>
    <w:rsid w:val="00DF6642"/>
    <w:rsid w:val="00DF6E4F"/>
    <w:rsid w:val="00E02BE4"/>
    <w:rsid w:val="00E04238"/>
    <w:rsid w:val="00E049B4"/>
    <w:rsid w:val="00E0514B"/>
    <w:rsid w:val="00E05A3F"/>
    <w:rsid w:val="00E05FB1"/>
    <w:rsid w:val="00E06DAD"/>
    <w:rsid w:val="00E103B0"/>
    <w:rsid w:val="00E10D36"/>
    <w:rsid w:val="00E1107B"/>
    <w:rsid w:val="00E12716"/>
    <w:rsid w:val="00E147DD"/>
    <w:rsid w:val="00E15830"/>
    <w:rsid w:val="00E16E00"/>
    <w:rsid w:val="00E21237"/>
    <w:rsid w:val="00E2569F"/>
    <w:rsid w:val="00E2614B"/>
    <w:rsid w:val="00E268D5"/>
    <w:rsid w:val="00E26E2E"/>
    <w:rsid w:val="00E32DD6"/>
    <w:rsid w:val="00E33FE5"/>
    <w:rsid w:val="00E34A2A"/>
    <w:rsid w:val="00E35AF0"/>
    <w:rsid w:val="00E362B3"/>
    <w:rsid w:val="00E37EE7"/>
    <w:rsid w:val="00E406E4"/>
    <w:rsid w:val="00E41E3B"/>
    <w:rsid w:val="00E422E3"/>
    <w:rsid w:val="00E43688"/>
    <w:rsid w:val="00E4452B"/>
    <w:rsid w:val="00E44559"/>
    <w:rsid w:val="00E45616"/>
    <w:rsid w:val="00E456C6"/>
    <w:rsid w:val="00E46A0E"/>
    <w:rsid w:val="00E47526"/>
    <w:rsid w:val="00E47B5C"/>
    <w:rsid w:val="00E5289B"/>
    <w:rsid w:val="00E535FA"/>
    <w:rsid w:val="00E55CF2"/>
    <w:rsid w:val="00E56BA7"/>
    <w:rsid w:val="00E5771D"/>
    <w:rsid w:val="00E5772B"/>
    <w:rsid w:val="00E5794E"/>
    <w:rsid w:val="00E57C52"/>
    <w:rsid w:val="00E60187"/>
    <w:rsid w:val="00E606E9"/>
    <w:rsid w:val="00E6382D"/>
    <w:rsid w:val="00E63FCD"/>
    <w:rsid w:val="00E64F8A"/>
    <w:rsid w:val="00E65894"/>
    <w:rsid w:val="00E663C9"/>
    <w:rsid w:val="00E67750"/>
    <w:rsid w:val="00E677E7"/>
    <w:rsid w:val="00E71190"/>
    <w:rsid w:val="00E7225B"/>
    <w:rsid w:val="00E72CE7"/>
    <w:rsid w:val="00E72F35"/>
    <w:rsid w:val="00E73A7A"/>
    <w:rsid w:val="00E75CA7"/>
    <w:rsid w:val="00E763F4"/>
    <w:rsid w:val="00E76523"/>
    <w:rsid w:val="00E766F9"/>
    <w:rsid w:val="00E76A46"/>
    <w:rsid w:val="00E76B5C"/>
    <w:rsid w:val="00E7701B"/>
    <w:rsid w:val="00E80A39"/>
    <w:rsid w:val="00E81989"/>
    <w:rsid w:val="00E81B24"/>
    <w:rsid w:val="00E836AF"/>
    <w:rsid w:val="00E85601"/>
    <w:rsid w:val="00E85EF4"/>
    <w:rsid w:val="00E85EFB"/>
    <w:rsid w:val="00E85F80"/>
    <w:rsid w:val="00E86E91"/>
    <w:rsid w:val="00E90083"/>
    <w:rsid w:val="00E91E37"/>
    <w:rsid w:val="00E92B55"/>
    <w:rsid w:val="00E92CEE"/>
    <w:rsid w:val="00E94566"/>
    <w:rsid w:val="00E94800"/>
    <w:rsid w:val="00E94860"/>
    <w:rsid w:val="00E96491"/>
    <w:rsid w:val="00E97C4F"/>
    <w:rsid w:val="00EA151F"/>
    <w:rsid w:val="00EA19C9"/>
    <w:rsid w:val="00EA63A7"/>
    <w:rsid w:val="00EA659F"/>
    <w:rsid w:val="00EA739D"/>
    <w:rsid w:val="00EB02F7"/>
    <w:rsid w:val="00EB146E"/>
    <w:rsid w:val="00EB1E10"/>
    <w:rsid w:val="00EB3F54"/>
    <w:rsid w:val="00EB4B23"/>
    <w:rsid w:val="00EB61B9"/>
    <w:rsid w:val="00EB7547"/>
    <w:rsid w:val="00EB7684"/>
    <w:rsid w:val="00EC008D"/>
    <w:rsid w:val="00EC0FD6"/>
    <w:rsid w:val="00EC2B23"/>
    <w:rsid w:val="00EC4110"/>
    <w:rsid w:val="00EC49C5"/>
    <w:rsid w:val="00EC4A17"/>
    <w:rsid w:val="00EC58CC"/>
    <w:rsid w:val="00EC744D"/>
    <w:rsid w:val="00ED10BE"/>
    <w:rsid w:val="00ED1D3A"/>
    <w:rsid w:val="00ED256B"/>
    <w:rsid w:val="00ED2850"/>
    <w:rsid w:val="00ED44D2"/>
    <w:rsid w:val="00ED4C2B"/>
    <w:rsid w:val="00ED65A6"/>
    <w:rsid w:val="00ED74DD"/>
    <w:rsid w:val="00EE0440"/>
    <w:rsid w:val="00EE08E8"/>
    <w:rsid w:val="00EE1E82"/>
    <w:rsid w:val="00EE1EE0"/>
    <w:rsid w:val="00EE6196"/>
    <w:rsid w:val="00EE6349"/>
    <w:rsid w:val="00EE77A2"/>
    <w:rsid w:val="00EF0150"/>
    <w:rsid w:val="00EF0867"/>
    <w:rsid w:val="00EF09B6"/>
    <w:rsid w:val="00EF0A2F"/>
    <w:rsid w:val="00EF1536"/>
    <w:rsid w:val="00EF31CF"/>
    <w:rsid w:val="00EF478C"/>
    <w:rsid w:val="00EF4C0F"/>
    <w:rsid w:val="00EF5557"/>
    <w:rsid w:val="00EF5966"/>
    <w:rsid w:val="00EF63BE"/>
    <w:rsid w:val="00EF7692"/>
    <w:rsid w:val="00F00A6C"/>
    <w:rsid w:val="00F0224C"/>
    <w:rsid w:val="00F02806"/>
    <w:rsid w:val="00F02A49"/>
    <w:rsid w:val="00F02C16"/>
    <w:rsid w:val="00F07EF1"/>
    <w:rsid w:val="00F115B7"/>
    <w:rsid w:val="00F119AB"/>
    <w:rsid w:val="00F11F96"/>
    <w:rsid w:val="00F126CB"/>
    <w:rsid w:val="00F12DCE"/>
    <w:rsid w:val="00F12FAD"/>
    <w:rsid w:val="00F13B57"/>
    <w:rsid w:val="00F141EC"/>
    <w:rsid w:val="00F142CB"/>
    <w:rsid w:val="00F14695"/>
    <w:rsid w:val="00F16571"/>
    <w:rsid w:val="00F16A17"/>
    <w:rsid w:val="00F16E74"/>
    <w:rsid w:val="00F20BE3"/>
    <w:rsid w:val="00F20E96"/>
    <w:rsid w:val="00F21E44"/>
    <w:rsid w:val="00F245E4"/>
    <w:rsid w:val="00F25A51"/>
    <w:rsid w:val="00F260C9"/>
    <w:rsid w:val="00F272B2"/>
    <w:rsid w:val="00F27CCD"/>
    <w:rsid w:val="00F30B11"/>
    <w:rsid w:val="00F30F4A"/>
    <w:rsid w:val="00F31418"/>
    <w:rsid w:val="00F32DEE"/>
    <w:rsid w:val="00F34519"/>
    <w:rsid w:val="00F34A43"/>
    <w:rsid w:val="00F3522A"/>
    <w:rsid w:val="00F35998"/>
    <w:rsid w:val="00F41FCA"/>
    <w:rsid w:val="00F423D6"/>
    <w:rsid w:val="00F44A66"/>
    <w:rsid w:val="00F44C19"/>
    <w:rsid w:val="00F44F26"/>
    <w:rsid w:val="00F455C2"/>
    <w:rsid w:val="00F457C3"/>
    <w:rsid w:val="00F45C7C"/>
    <w:rsid w:val="00F45F79"/>
    <w:rsid w:val="00F465E5"/>
    <w:rsid w:val="00F470C5"/>
    <w:rsid w:val="00F47CAA"/>
    <w:rsid w:val="00F502BA"/>
    <w:rsid w:val="00F5059C"/>
    <w:rsid w:val="00F5362C"/>
    <w:rsid w:val="00F5385D"/>
    <w:rsid w:val="00F538CE"/>
    <w:rsid w:val="00F55B9C"/>
    <w:rsid w:val="00F573A4"/>
    <w:rsid w:val="00F57711"/>
    <w:rsid w:val="00F60BB5"/>
    <w:rsid w:val="00F615E4"/>
    <w:rsid w:val="00F6247F"/>
    <w:rsid w:val="00F62A68"/>
    <w:rsid w:val="00F630EF"/>
    <w:rsid w:val="00F64960"/>
    <w:rsid w:val="00F65186"/>
    <w:rsid w:val="00F65A4D"/>
    <w:rsid w:val="00F67987"/>
    <w:rsid w:val="00F67DD9"/>
    <w:rsid w:val="00F7009B"/>
    <w:rsid w:val="00F70C0E"/>
    <w:rsid w:val="00F7137F"/>
    <w:rsid w:val="00F71B25"/>
    <w:rsid w:val="00F71CE2"/>
    <w:rsid w:val="00F724E2"/>
    <w:rsid w:val="00F73835"/>
    <w:rsid w:val="00F73A5A"/>
    <w:rsid w:val="00F742F9"/>
    <w:rsid w:val="00F7764C"/>
    <w:rsid w:val="00F80A20"/>
    <w:rsid w:val="00F819EA"/>
    <w:rsid w:val="00F82744"/>
    <w:rsid w:val="00F828C2"/>
    <w:rsid w:val="00F82F67"/>
    <w:rsid w:val="00F83463"/>
    <w:rsid w:val="00F83F21"/>
    <w:rsid w:val="00F8507F"/>
    <w:rsid w:val="00F85329"/>
    <w:rsid w:val="00F864B6"/>
    <w:rsid w:val="00F90544"/>
    <w:rsid w:val="00F922F9"/>
    <w:rsid w:val="00F9421B"/>
    <w:rsid w:val="00F94818"/>
    <w:rsid w:val="00F94FF9"/>
    <w:rsid w:val="00F95D36"/>
    <w:rsid w:val="00F9791A"/>
    <w:rsid w:val="00FA02D8"/>
    <w:rsid w:val="00FA0BA7"/>
    <w:rsid w:val="00FA1BC1"/>
    <w:rsid w:val="00FA2355"/>
    <w:rsid w:val="00FA2933"/>
    <w:rsid w:val="00FA42E1"/>
    <w:rsid w:val="00FA5990"/>
    <w:rsid w:val="00FA59BC"/>
    <w:rsid w:val="00FA6422"/>
    <w:rsid w:val="00FA72B1"/>
    <w:rsid w:val="00FB05EA"/>
    <w:rsid w:val="00FB21F4"/>
    <w:rsid w:val="00FB2AE2"/>
    <w:rsid w:val="00FB3A54"/>
    <w:rsid w:val="00FB3D04"/>
    <w:rsid w:val="00FB43F5"/>
    <w:rsid w:val="00FB5CE8"/>
    <w:rsid w:val="00FB71FE"/>
    <w:rsid w:val="00FC0C7B"/>
    <w:rsid w:val="00FC32E5"/>
    <w:rsid w:val="00FC3370"/>
    <w:rsid w:val="00FC372B"/>
    <w:rsid w:val="00FC3C0B"/>
    <w:rsid w:val="00FC43F4"/>
    <w:rsid w:val="00FC527B"/>
    <w:rsid w:val="00FC62E0"/>
    <w:rsid w:val="00FD0195"/>
    <w:rsid w:val="00FD1831"/>
    <w:rsid w:val="00FD2AD5"/>
    <w:rsid w:val="00FD4657"/>
    <w:rsid w:val="00FD489F"/>
    <w:rsid w:val="00FD6F36"/>
    <w:rsid w:val="00FD78CF"/>
    <w:rsid w:val="00FD7E27"/>
    <w:rsid w:val="00FE0CE3"/>
    <w:rsid w:val="00FE18BF"/>
    <w:rsid w:val="00FE1BEC"/>
    <w:rsid w:val="00FE3E5B"/>
    <w:rsid w:val="00FE49B3"/>
    <w:rsid w:val="00FE5AB7"/>
    <w:rsid w:val="00FE6063"/>
    <w:rsid w:val="00FE6B53"/>
    <w:rsid w:val="00FF1A6A"/>
    <w:rsid w:val="00FF1C46"/>
    <w:rsid w:val="00FF3A79"/>
    <w:rsid w:val="00FF5537"/>
    <w:rsid w:val="00FF55CC"/>
    <w:rsid w:val="00FF6478"/>
    <w:rsid w:val="00FF7207"/>
    <w:rsid w:val="00FF7BC4"/>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CFFEB32"/>
  <w14:defaultImageDpi w14:val="96"/>
  <w15:docId w15:val="{21B29A18-6E0C-428F-9339-AB2CE359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exact"/>
    </w:pPr>
    <w:rPr>
      <w:spacing w:val="4"/>
      <w:w w:val="103"/>
      <w:kern w:val="14"/>
      <w:lang w:val="en-GB" w:eastAsia="es-ES"/>
    </w:rPr>
  </w:style>
  <w:style w:type="paragraph" w:styleId="Heading7">
    <w:name w:val="heading 7"/>
    <w:basedOn w:val="Normal"/>
    <w:next w:val="Normal"/>
    <w:link w:val="Heading7Char"/>
    <w:uiPriority w:val="9"/>
    <w:semiHidden/>
    <w:unhideWhenUsed/>
    <w:qFormat/>
    <w:rsid w:val="00603BDA"/>
    <w:pPr>
      <w:keepNext/>
      <w:keepLines/>
      <w:numPr>
        <w:ilvl w:val="6"/>
        <w:numId w:val="18"/>
      </w:numPr>
      <w:spacing w:before="200"/>
      <w:outlineLvl w:val="6"/>
    </w:pPr>
    <w:rPr>
      <w:rFonts w:ascii="Cambria" w:eastAsia="SimSun" w:hAnsi="Cambria"/>
      <w:i/>
      <w:iCs/>
      <w:color w:val="404040"/>
      <w:lang w:val="es-ES" w:eastAsia="en-US"/>
    </w:rPr>
  </w:style>
  <w:style w:type="paragraph" w:styleId="Heading8">
    <w:name w:val="heading 8"/>
    <w:basedOn w:val="Normal"/>
    <w:next w:val="Normal"/>
    <w:link w:val="Heading8Char"/>
    <w:uiPriority w:val="9"/>
    <w:semiHidden/>
    <w:unhideWhenUsed/>
    <w:qFormat/>
    <w:rsid w:val="00603BDA"/>
    <w:pPr>
      <w:keepNext/>
      <w:keepLines/>
      <w:numPr>
        <w:ilvl w:val="7"/>
        <w:numId w:val="18"/>
      </w:numPr>
      <w:spacing w:before="200"/>
      <w:outlineLvl w:val="7"/>
    </w:pPr>
    <w:rPr>
      <w:rFonts w:ascii="Cambria" w:eastAsia="SimSun" w:hAnsi="Cambria"/>
      <w:color w:val="404040"/>
      <w:lang w:val="es-ES" w:eastAsia="en-US"/>
    </w:rPr>
  </w:style>
  <w:style w:type="paragraph" w:styleId="Heading9">
    <w:name w:val="heading 9"/>
    <w:basedOn w:val="Normal"/>
    <w:next w:val="Normal"/>
    <w:link w:val="Heading9Char"/>
    <w:uiPriority w:val="9"/>
    <w:semiHidden/>
    <w:unhideWhenUsed/>
    <w:qFormat/>
    <w:rsid w:val="00603BDA"/>
    <w:pPr>
      <w:keepNext/>
      <w:keepLines/>
      <w:numPr>
        <w:ilvl w:val="8"/>
        <w:numId w:val="18"/>
      </w:numPr>
      <w:spacing w:before="200"/>
      <w:outlineLvl w:val="8"/>
    </w:pPr>
    <w:rPr>
      <w:rFonts w:ascii="Cambria" w:eastAsia="SimSun" w:hAnsi="Cambria"/>
      <w:i/>
      <w:iCs/>
      <w:color w:val="404040"/>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locked/>
    <w:rsid w:val="00603BDA"/>
    <w:rPr>
      <w:rFonts w:ascii="Cambria" w:eastAsia="SimSun" w:hAnsi="Cambria"/>
      <w:i/>
      <w:iCs/>
      <w:color w:val="404040"/>
      <w:spacing w:val="4"/>
      <w:w w:val="103"/>
      <w:kern w:val="14"/>
      <w:lang w:eastAsia="en-US"/>
    </w:rPr>
  </w:style>
  <w:style w:type="character" w:customStyle="1" w:styleId="Heading8Char">
    <w:name w:val="Heading 8 Char"/>
    <w:basedOn w:val="DefaultParagraphFont"/>
    <w:link w:val="Heading8"/>
    <w:uiPriority w:val="9"/>
    <w:semiHidden/>
    <w:locked/>
    <w:rsid w:val="00603BDA"/>
    <w:rPr>
      <w:rFonts w:ascii="Cambria" w:eastAsia="SimSun" w:hAnsi="Cambria"/>
      <w:color w:val="404040"/>
      <w:spacing w:val="4"/>
      <w:w w:val="103"/>
      <w:kern w:val="14"/>
      <w:lang w:eastAsia="en-US"/>
    </w:rPr>
  </w:style>
  <w:style w:type="character" w:customStyle="1" w:styleId="Heading9Char">
    <w:name w:val="Heading 9 Char"/>
    <w:basedOn w:val="DefaultParagraphFont"/>
    <w:link w:val="Heading9"/>
    <w:uiPriority w:val="9"/>
    <w:semiHidden/>
    <w:locked/>
    <w:rsid w:val="00603BDA"/>
    <w:rPr>
      <w:rFonts w:ascii="Cambria" w:eastAsia="SimSun" w:hAnsi="Cambria"/>
      <w:i/>
      <w:iCs/>
      <w:color w:val="404040"/>
      <w:spacing w:val="4"/>
      <w:w w:val="103"/>
      <w:kern w:val="14"/>
      <w:lang w:eastAsia="en-US"/>
    </w:rPr>
  </w:style>
  <w:style w:type="paragraph" w:customStyle="1" w:styleId="H1">
    <w:name w:val="_ H_1"/>
    <w:basedOn w:val="Normal"/>
    <w:next w:val="SingleTxt"/>
    <w:qForma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bCs/>
      <w:sz w:val="24"/>
      <w:szCs w:val="24"/>
    </w:rPr>
  </w:style>
  <w:style w:type="paragraph" w:customStyle="1" w:styleId="HCh">
    <w:name w:val="_ H _Ch"/>
    <w:basedOn w:val="H1"/>
    <w:next w:val="SingleTxt"/>
    <w:qFormat/>
    <w:pPr>
      <w:spacing w:line="300" w:lineRule="exact"/>
      <w:ind w:left="0" w:right="0" w:firstLine="0"/>
    </w:pPr>
    <w:rPr>
      <w:spacing w:val="-2"/>
      <w:sz w:val="28"/>
      <w:szCs w:val="28"/>
    </w:rPr>
  </w:style>
  <w:style w:type="paragraph" w:customStyle="1" w:styleId="HM">
    <w:name w:val="_ H __M"/>
    <w:basedOn w:val="HCh"/>
    <w:next w:val="Normal"/>
    <w:qFormat/>
    <w:pPr>
      <w:spacing w:line="360" w:lineRule="exact"/>
    </w:pPr>
    <w:rPr>
      <w:spacing w:val="-3"/>
      <w:w w:val="99"/>
      <w:sz w:val="34"/>
      <w:szCs w:val="34"/>
    </w:rPr>
  </w:style>
  <w:style w:type="paragraph" w:customStyle="1" w:styleId="H23">
    <w:name w:val="_ H_2/3"/>
    <w:basedOn w:val="H1"/>
    <w:next w:val="SingleTxt"/>
    <w:qFormat/>
    <w:pPr>
      <w:spacing w:line="240" w:lineRule="exact"/>
      <w:outlineLvl w:val="1"/>
    </w:pPr>
    <w:rPr>
      <w:spacing w:val="2"/>
      <w:sz w:val="20"/>
      <w:szCs w:val="20"/>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iCs/>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link w:val="SingleTxtChar"/>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pacing w:val="4"/>
      <w:w w:val="103"/>
      <w:kern w:val="14"/>
      <w:sz w:val="16"/>
      <w:lang w:val="en-GB" w:eastAsia="x-none"/>
    </w:rPr>
  </w:style>
  <w:style w:type="character" w:styleId="CommentReference">
    <w:name w:val="annotation reference"/>
    <w:basedOn w:val="DefaultParagraphFont"/>
    <w:semiHidden/>
    <w:rPr>
      <w:rFonts w:cs="Times New Roman"/>
      <w:sz w:val="6"/>
    </w:rPr>
  </w:style>
  <w:style w:type="character" w:styleId="FootnoteReference">
    <w:name w:val="footnote reference"/>
    <w:aliases w:val="4_G,Ref,de nota al pie,Footnote Reference Number,ftref,Footnotes refss,Footnote Reference1,16 Point,Superscript 6 Point,Times 10 Point,Exposant 3 Point,Footnote symbol,Footnote reference number,EN Footnote Reference,note TESI,сноска"/>
    <w:basedOn w:val="DefaultParagraphFont"/>
    <w:qFormat/>
    <w:rPr>
      <w:rFonts w:cs="Times New Roman"/>
      <w:color w:val="auto"/>
      <w:spacing w:val="5"/>
      <w:w w:val="103"/>
      <w:kern w:val="14"/>
      <w:position w:val="0"/>
      <w:vertAlign w:val="superscript"/>
    </w:rPr>
  </w:style>
  <w:style w:type="character" w:styleId="EndnoteReference">
    <w:name w:val="endnote reference"/>
    <w:aliases w:val="1_G"/>
    <w:basedOn w:val="DefaultParagraphFont"/>
    <w:qFormat/>
    <w:rPr>
      <w:rFonts w:cs="Times New Roman"/>
      <w:color w:val="auto"/>
      <w:spacing w:val="5"/>
      <w:w w:val="103"/>
      <w:kern w:val="14"/>
      <w:position w:val="0"/>
      <w:vertAlign w:val="superscript"/>
    </w:rPr>
  </w:style>
  <w:style w:type="paragraph" w:styleId="FootnoteText">
    <w:name w:val="footnote text"/>
    <w:aliases w:val="5_G,fn,Footnote Text Char Char Char,single space,Текст сноски Знак,Footnote Reference2,FA Fu,Footnote Text Char Char Char Char Char,Footnote Text Char Char Char Car,Footnote Text Char Char Char Car Car Car Car Car Car,Fußnote,Char,f,ADB"/>
    <w:basedOn w:val="Normal"/>
    <w:link w:val="FootnoteTextChar"/>
    <w:qFormat/>
    <w:pPr>
      <w:widowControl w:val="0"/>
      <w:tabs>
        <w:tab w:val="right" w:pos="418"/>
      </w:tabs>
      <w:spacing w:line="210" w:lineRule="exact"/>
      <w:ind w:left="475" w:hanging="475"/>
    </w:pPr>
    <w:rPr>
      <w:spacing w:val="5"/>
      <w:sz w:val="17"/>
      <w:szCs w:val="17"/>
    </w:rPr>
  </w:style>
  <w:style w:type="character" w:customStyle="1" w:styleId="FootnoteTextChar">
    <w:name w:val="Footnote Text Char"/>
    <w:aliases w:val="5_G Char,fn Char,Footnote Text Char Char Char Char,single space Char,Текст сноски Знак Char,Footnote Reference2 Char,FA Fu Char,Footnote Text Char Char Char Char Char Char,Footnote Text Char Char Char Car Char,Fußnote Char,Char Char"/>
    <w:basedOn w:val="DefaultParagraphFont"/>
    <w:link w:val="FootnoteText"/>
    <w:locked/>
    <w:rPr>
      <w:rFonts w:cs="Times New Roman"/>
      <w:spacing w:val="4"/>
      <w:w w:val="103"/>
      <w:kern w:val="14"/>
      <w:lang w:val="en-GB" w:eastAsia="x-none"/>
    </w:rPr>
  </w:style>
  <w:style w:type="paragraph" w:styleId="EndnoteText">
    <w:name w:val="endnote text"/>
    <w:aliases w:val="2_G"/>
    <w:basedOn w:val="FootnoteText"/>
    <w:link w:val="EndnoteTextChar"/>
    <w:uiPriority w:val="99"/>
    <w:qFormat/>
  </w:style>
  <w:style w:type="character" w:customStyle="1" w:styleId="EndnoteTextChar">
    <w:name w:val="Endnote Text Char"/>
    <w:aliases w:val="2_G Char"/>
    <w:basedOn w:val="DefaultParagraphFont"/>
    <w:link w:val="EndnoteText"/>
    <w:uiPriority w:val="99"/>
    <w:locked/>
    <w:rPr>
      <w:rFonts w:cs="Times New Roman"/>
      <w:spacing w:val="4"/>
      <w:w w:val="103"/>
      <w:kern w:val="14"/>
      <w:lang w:val="en-GB" w:eastAsia="x-none"/>
    </w:rPr>
  </w:style>
  <w:style w:type="paragraph" w:styleId="Footer">
    <w:name w:val="footer"/>
    <w:basedOn w:val="Normal"/>
    <w:link w:val="FooterChar"/>
    <w:uiPriority w:val="99"/>
    <w:pPr>
      <w:tabs>
        <w:tab w:val="center" w:pos="4320"/>
        <w:tab w:val="right" w:pos="8640"/>
      </w:tabs>
      <w:suppressAutoHyphens w:val="0"/>
      <w:spacing w:line="240" w:lineRule="auto"/>
    </w:pPr>
    <w:rPr>
      <w:b/>
      <w:bCs/>
      <w:noProof/>
      <w:spacing w:val="0"/>
      <w:w w:val="100"/>
      <w:kern w:val="0"/>
      <w:sz w:val="17"/>
      <w:szCs w:val="17"/>
      <w:lang w:val="es-ES"/>
    </w:rPr>
  </w:style>
  <w:style w:type="character" w:customStyle="1" w:styleId="FooterChar">
    <w:name w:val="Footer Char"/>
    <w:basedOn w:val="DefaultParagraphFont"/>
    <w:link w:val="Footer"/>
    <w:uiPriority w:val="99"/>
    <w:semiHidden/>
    <w:locked/>
    <w:rPr>
      <w:rFonts w:cs="Times New Roman"/>
      <w:spacing w:val="4"/>
      <w:w w:val="103"/>
      <w:kern w:val="14"/>
      <w:lang w:val="en-GB" w:eastAsia="x-none"/>
    </w:rPr>
  </w:style>
  <w:style w:type="paragraph" w:styleId="Header">
    <w:name w:val="header"/>
    <w:basedOn w:val="Normal"/>
    <w:link w:val="HeaderChar"/>
    <w:uiPriority w:val="99"/>
    <w:pPr>
      <w:tabs>
        <w:tab w:val="center" w:pos="4320"/>
        <w:tab w:val="right" w:pos="8640"/>
      </w:tabs>
      <w:suppressAutoHyphens w:val="0"/>
      <w:spacing w:line="240" w:lineRule="auto"/>
    </w:pPr>
    <w:rPr>
      <w:noProof/>
      <w:spacing w:val="0"/>
      <w:w w:val="100"/>
      <w:kern w:val="0"/>
      <w:sz w:val="17"/>
      <w:szCs w:val="17"/>
      <w:lang w:val="es-ES"/>
    </w:rPr>
  </w:style>
  <w:style w:type="character" w:customStyle="1" w:styleId="HeaderChar">
    <w:name w:val="Header Char"/>
    <w:basedOn w:val="DefaultParagraphFont"/>
    <w:link w:val="Header"/>
    <w:uiPriority w:val="99"/>
    <w:semiHidden/>
    <w:locked/>
    <w:rPr>
      <w:rFonts w:cs="Times New Roman"/>
      <w:spacing w:val="4"/>
      <w:w w:val="103"/>
      <w:kern w:val="14"/>
      <w:lang w:val="en-GB" w:eastAsia="x-none"/>
    </w:rPr>
  </w:style>
  <w:style w:type="character" w:styleId="LineNumber">
    <w:name w:val="line number"/>
    <w:basedOn w:val="DefaultParagraphFont"/>
    <w:uiPriority w:val="99"/>
    <w:rPr>
      <w:rFonts w:cs="Times New Roman"/>
      <w:sz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qFormat/>
    <w:pPr>
      <w:spacing w:line="390" w:lineRule="exact"/>
    </w:pPr>
    <w:rPr>
      <w:spacing w:val="-4"/>
      <w:w w:val="98"/>
      <w:sz w:val="40"/>
      <w:szCs w:val="40"/>
    </w:rPr>
  </w:style>
  <w:style w:type="paragraph" w:styleId="PlainText">
    <w:name w:val="Plain Text"/>
    <w:basedOn w:val="Normal"/>
    <w:link w:val="PlainTextChar"/>
    <w:uiPriority w:val="99"/>
    <w:pPr>
      <w:suppressAutoHyphens w:val="0"/>
      <w:spacing w:line="240" w:lineRule="auto"/>
    </w:pPr>
    <w:rPr>
      <w:rFonts w:ascii="Courier New" w:hAnsi="Courier New" w:cs="Courier New"/>
      <w:spacing w:val="0"/>
      <w:w w:val="100"/>
      <w:kern w:val="0"/>
      <w:lang w:val="en-US"/>
    </w:rPr>
  </w:style>
  <w:style w:type="character" w:customStyle="1" w:styleId="PlainTextChar">
    <w:name w:val="Plain Text Char"/>
    <w:basedOn w:val="DefaultParagraphFont"/>
    <w:link w:val="PlainText"/>
    <w:uiPriority w:val="99"/>
    <w:semiHidden/>
    <w:locked/>
    <w:rPr>
      <w:rFonts w:ascii="Courier New" w:hAnsi="Courier New" w:cs="Times New Roman"/>
      <w:spacing w:val="4"/>
      <w:w w:val="103"/>
      <w:kern w:val="14"/>
      <w:lang w:val="en-GB" w:eastAsia="x-none"/>
    </w:rPr>
  </w:style>
  <w:style w:type="table" w:styleId="TableGrid">
    <w:name w:val="Table Grid"/>
    <w:basedOn w:val="TableNormal"/>
    <w:uiPriority w:val="59"/>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rPr>
      <w:spacing w:val="4"/>
      <w:w w:val="103"/>
      <w:kern w:val="14"/>
      <w:lang w:val="en-GB" w:eastAsia="es-ES"/>
    </w:rPr>
  </w:style>
  <w:style w:type="paragraph" w:customStyle="1" w:styleId="TitleH1">
    <w:name w:val="Title_H1"/>
    <w:basedOn w:val="H1"/>
    <w:next w:val="SingleTxt"/>
    <w:qFormat/>
    <w:pPr>
      <w:keepNext w:val="0"/>
      <w:keepLines w:val="0"/>
    </w:pPr>
  </w:style>
  <w:style w:type="paragraph" w:customStyle="1" w:styleId="Session">
    <w:name w:val="Session"/>
    <w:basedOn w:val="H23"/>
    <w:pPr>
      <w:ind w:left="0" w:firstLine="0"/>
    </w:pPr>
    <w:rPr>
      <w:spacing w:val="4"/>
    </w:rPr>
  </w:style>
  <w:style w:type="paragraph" w:customStyle="1" w:styleId="AgendaTitleH2">
    <w:name w:val="Agenda_Title_H2"/>
    <w:basedOn w:val="TitleH1"/>
    <w:next w:val="Normal"/>
    <w:pPr>
      <w:keepNext/>
      <w:keepLines/>
      <w:spacing w:line="240" w:lineRule="exact"/>
      <w:ind w:left="0" w:firstLine="0"/>
      <w:outlineLvl w:val="1"/>
    </w:pPr>
    <w:rPr>
      <w:sz w:val="20"/>
      <w:szCs w:val="20"/>
    </w:rPr>
  </w:style>
  <w:style w:type="paragraph" w:customStyle="1" w:styleId="TitleHCH">
    <w:name w:val="Title_H_CH"/>
    <w:basedOn w:val="HCh"/>
    <w:next w:val="SingleTxt"/>
    <w:qFormat/>
    <w:pPr>
      <w:ind w:left="1267" w:right="1267" w:hanging="1267"/>
    </w:pPr>
  </w:style>
  <w:style w:type="paragraph" w:customStyle="1" w:styleId="TitleH2">
    <w:name w:val="Title_H2"/>
    <w:basedOn w:val="H23"/>
    <w:qFormat/>
  </w:style>
  <w:style w:type="paragraph" w:customStyle="1" w:styleId="Distribution">
    <w:name w:val="Distribution"/>
    <w:next w:val="Normal"/>
    <w:pPr>
      <w:spacing w:before="240"/>
    </w:pPr>
    <w:rPr>
      <w:spacing w:val="4"/>
      <w:w w:val="103"/>
      <w:kern w:val="14"/>
      <w:lang w:val="en-GB" w:eastAsia="es-ES"/>
    </w:rPr>
  </w:style>
  <w:style w:type="paragraph" w:customStyle="1" w:styleId="Publication">
    <w:name w:val="Publication"/>
    <w:next w:val="Normal"/>
    <w:rPr>
      <w:spacing w:val="4"/>
      <w:w w:val="103"/>
      <w:kern w:val="14"/>
      <w:lang w:val="en-GB" w:eastAsia="es-ES"/>
    </w:rPr>
  </w:style>
  <w:style w:type="paragraph" w:customStyle="1" w:styleId="Original">
    <w:name w:val="Original"/>
    <w:next w:val="Normal"/>
    <w:rPr>
      <w:spacing w:val="4"/>
      <w:w w:val="103"/>
      <w:kern w:val="14"/>
      <w:lang w:val="en-GB" w:eastAsia="es-ES"/>
    </w:rPr>
  </w:style>
  <w:style w:type="paragraph" w:customStyle="1" w:styleId="ReleaseDate">
    <w:name w:val="Release Date"/>
    <w:next w:val="Footer"/>
    <w:rPr>
      <w:spacing w:val="4"/>
      <w:w w:val="103"/>
      <w:kern w:val="14"/>
      <w:lang w:val="en-GB" w:eastAsia="es-ES"/>
    </w:rPr>
  </w:style>
  <w:style w:type="character" w:styleId="Hyperlink">
    <w:name w:val="Hyperlink"/>
    <w:basedOn w:val="DefaultParagraphFont"/>
    <w:uiPriority w:val="99"/>
    <w:rPr>
      <w:rFonts w:cs="Times New Roman"/>
      <w:color w:val="0000FF"/>
      <w:u w:val="single"/>
    </w:rPr>
  </w:style>
  <w:style w:type="paragraph" w:customStyle="1" w:styleId="Bullet1">
    <w:name w:val="Bullet 1"/>
    <w:basedOn w:val="Normal"/>
    <w:pPr>
      <w:numPr>
        <w:numId w:val="12"/>
      </w:numPr>
      <w:spacing w:after="120" w:line="240" w:lineRule="atLeast"/>
      <w:ind w:left="1743" w:right="1267" w:hanging="130"/>
      <w:jc w:val="both"/>
    </w:pPr>
  </w:style>
  <w:style w:type="paragraph" w:customStyle="1" w:styleId="Bullet2">
    <w:name w:val="Bullet 2"/>
    <w:basedOn w:val="Normal"/>
    <w:pPr>
      <w:numPr>
        <w:numId w:val="11"/>
      </w:numPr>
      <w:spacing w:after="120"/>
      <w:ind w:left="2217" w:right="1264" w:hanging="130"/>
      <w:jc w:val="both"/>
    </w:pPr>
  </w:style>
  <w:style w:type="paragraph" w:customStyle="1" w:styleId="Bullet3">
    <w:name w:val="Bullet 3"/>
    <w:basedOn w:val="SingleTxt"/>
    <w:pPr>
      <w:numPr>
        <w:numId w:val="1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locked/>
    <w:rPr>
      <w:rFonts w:cs="Times New Roman"/>
      <w:spacing w:val="4"/>
      <w:w w:val="103"/>
      <w:kern w:val="14"/>
      <w:lang w:val="en-GB" w:eastAsia="x-none"/>
    </w:rPr>
  </w:style>
  <w:style w:type="character" w:customStyle="1" w:styleId="CarCar1">
    <w:name w:val="Car Car1"/>
    <w:locked/>
    <w:rPr>
      <w:spacing w:val="4"/>
      <w:w w:val="103"/>
      <w:kern w:val="14"/>
      <w:lang w:val="en-GB" w:eastAsia="x-none"/>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spacing w:val="4"/>
      <w:w w:val="103"/>
      <w:kern w:val="14"/>
      <w:lang w:val="en-GB" w:eastAsia="x-none"/>
    </w:rPr>
  </w:style>
  <w:style w:type="character" w:customStyle="1" w:styleId="CarCar">
    <w:name w:val="Car Car"/>
    <w:locked/>
    <w:rPr>
      <w:b/>
      <w:spacing w:val="4"/>
      <w:w w:val="103"/>
      <w:kern w:val="14"/>
      <w:lang w:val="en-GB" w:eastAsia="x-none"/>
    </w:rPr>
  </w:style>
  <w:style w:type="character" w:styleId="FollowedHyperlink">
    <w:name w:val="FollowedHyperlink"/>
    <w:basedOn w:val="DefaultParagraphFont"/>
    <w:uiPriority w:val="99"/>
    <w:rPr>
      <w:rFonts w:cs="Times New Roman"/>
      <w:color w:val="0000FF"/>
      <w:u w:val="single"/>
    </w:rPr>
  </w:style>
  <w:style w:type="character" w:customStyle="1" w:styleId="tw4winMark">
    <w:name w:val="tw4winMark"/>
    <w:rPr>
      <w:rFonts w:ascii="Courier New" w:hAnsi="Courier New"/>
      <w:vanish/>
      <w:color w:val="800080"/>
      <w:sz w:val="24"/>
      <w:vertAlign w:val="subscript"/>
    </w:rPr>
  </w:style>
  <w:style w:type="character" w:customStyle="1" w:styleId="preferred">
    <w:name w:val="preferred"/>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ListNumber2">
    <w:name w:val="List Number 2"/>
    <w:basedOn w:val="Normal"/>
    <w:uiPriority w:val="99"/>
    <w:rsid w:val="00352A6C"/>
    <w:pPr>
      <w:tabs>
        <w:tab w:val="num" w:pos="643"/>
      </w:tabs>
      <w:spacing w:line="240" w:lineRule="atLeast"/>
      <w:ind w:left="643" w:hanging="360"/>
    </w:pPr>
    <w:rPr>
      <w:spacing w:val="0"/>
      <w:w w:val="100"/>
      <w:kern w:val="0"/>
      <w:lang w:eastAsia="en-US"/>
    </w:rPr>
  </w:style>
  <w:style w:type="paragraph" w:customStyle="1" w:styleId="7P">
    <w:name w:val="_ 7_ P"/>
    <w:basedOn w:val="Normal"/>
    <w:next w:val="Normal"/>
    <w:qFormat/>
    <w:rsid w:val="00BA20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sz w:val="14"/>
      <w:szCs w:val="24"/>
      <w:lang w:val="es-ES" w:eastAsia="en-US"/>
    </w:rPr>
  </w:style>
  <w:style w:type="paragraph" w:styleId="ListParagraph">
    <w:name w:val="List Paragraph"/>
    <w:basedOn w:val="Normal"/>
    <w:link w:val="ListParagraphChar"/>
    <w:uiPriority w:val="34"/>
    <w:qFormat/>
    <w:rsid w:val="00603BDA"/>
    <w:pPr>
      <w:ind w:left="720"/>
      <w:contextualSpacing/>
    </w:pPr>
    <w:rPr>
      <w:lang w:val="es-ES" w:eastAsia="en-US"/>
    </w:rPr>
  </w:style>
  <w:style w:type="character" w:customStyle="1" w:styleId="ListParagraphChar">
    <w:name w:val="List Paragraph Char"/>
    <w:link w:val="ListParagraph"/>
    <w:uiPriority w:val="34"/>
    <w:locked/>
    <w:rsid w:val="00603BDA"/>
    <w:rPr>
      <w:spacing w:val="4"/>
      <w:w w:val="103"/>
      <w:kern w:val="14"/>
      <w:lang w:val="x-none" w:eastAsia="en-US"/>
    </w:rPr>
  </w:style>
  <w:style w:type="character" w:customStyle="1" w:styleId="SingleTxtChar">
    <w:name w:val="__Single Txt Char"/>
    <w:link w:val="SingleTxt"/>
    <w:locked/>
    <w:rsid w:val="00ED74DD"/>
    <w:rPr>
      <w:spacing w:val="4"/>
      <w:w w:val="103"/>
      <w:kern w:val="14"/>
      <w:lang w:val="en-GB" w:eastAsia="es-ES"/>
    </w:rPr>
  </w:style>
  <w:style w:type="table" w:customStyle="1" w:styleId="TableGrid2">
    <w:name w:val="Table Grid2"/>
    <w:basedOn w:val="TableNormal"/>
    <w:next w:val="TableGrid"/>
    <w:uiPriority w:val="39"/>
    <w:rsid w:val="009A52B5"/>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odyA">
    <w:name w:val="Body A"/>
    <w:rsid w:val="005E4AC4"/>
    <w:pPr>
      <w:suppressAutoHyphens/>
      <w:spacing w:line="240" w:lineRule="atLeast"/>
    </w:pPr>
    <w:rPr>
      <w:rFonts w:eastAsia="Arial Unicode MS" w:cs="Arial Unicode MS"/>
      <w:color w:val="000000"/>
      <w:u w:color="000000"/>
      <w:lang w:val="en-US" w:eastAsia="en-GB"/>
    </w:rPr>
  </w:style>
  <w:style w:type="paragraph" w:styleId="Revision">
    <w:name w:val="Revision"/>
    <w:hidden/>
    <w:uiPriority w:val="99"/>
    <w:semiHidden/>
    <w:rsid w:val="007803FE"/>
    <w:rPr>
      <w:spacing w:val="4"/>
      <w:w w:val="103"/>
      <w:kern w:val="14"/>
      <w:lang w:val="en-GB" w:eastAsia="es-ES"/>
    </w:rPr>
  </w:style>
  <w:style w:type="character" w:styleId="UnresolvedMention">
    <w:name w:val="Unresolved Mention"/>
    <w:basedOn w:val="DefaultParagraphFont"/>
    <w:uiPriority w:val="99"/>
    <w:semiHidden/>
    <w:unhideWhenUsed/>
    <w:rsid w:val="00A14A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sp/A/RES/50/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EB52E-5239-406A-89A0-7FDBF03D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25697</Words>
  <Characters>132466</Characters>
  <Application>Microsoft Office Word</Application>
  <DocSecurity>0</DocSecurity>
  <Lines>1103</Lines>
  <Paragraphs>315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Etpu</vt:lpstr>
      <vt:lpstr>Etpu</vt:lpstr>
    </vt:vector>
  </TitlesOfParts>
  <Company>United Nations</Company>
  <LinksUpToDate>false</LinksUpToDate>
  <CharactersWithSpaces>157848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Morgan Greene</dc:creator>
  <cp:lastModifiedBy>Maria Cristina Arias-bal</cp:lastModifiedBy>
  <cp:revision>2</cp:revision>
  <cp:lastPrinted>2016-03-30T20:24:00Z</cp:lastPrinted>
  <dcterms:created xsi:type="dcterms:W3CDTF">2018-01-31T17:38:00Z</dcterms:created>
  <dcterms:modified xsi:type="dcterms:W3CDTF">2018-01-31T17:38:00Z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1722711S</vt:lpwstr>
  </property>
  <property fmtid="{D5CDD505-2E9C-101B-9397-08002B2CF9AE}" pid="3" name="ODSRefJobNo">
    <vt:lpwstr>1744772S</vt:lpwstr>
  </property>
  <property fmtid="{D5CDD505-2E9C-101B-9397-08002B2CF9AE}" pid="4" name="Symbol1">
    <vt:lpwstr>CEDAW/C/GBR/8</vt:lpwstr>
  </property>
  <property fmtid="{D5CDD505-2E9C-101B-9397-08002B2CF9AE}" pid="5" name="Symbol2">
    <vt:lpwstr/>
  </property>
  <property fmtid="{D5CDD505-2E9C-101B-9397-08002B2CF9AE}" pid="6" name="Category">
    <vt:lpwstr>Document</vt:lpwstr>
  </property>
  <property fmtid="{D5CDD505-2E9C-101B-9397-08002B2CF9AE}" pid="7" name="Distribution">
    <vt:lpwstr>general</vt:lpwstr>
  </property>
  <property fmtid="{D5CDD505-2E9C-101B-9397-08002B2CF9AE}" pid="8" name="Publication Date">
    <vt:lpwstr>18 de diciembre de 2017</vt:lpwstr>
  </property>
  <property fmtid="{D5CDD505-2E9C-101B-9397-08002B2CF9AE}" pid="9" name="Original">
    <vt:lpwstr>Español</vt:lpwstr>
  </property>
  <property fmtid="{D5CDD505-2E9C-101B-9397-08002B2CF9AE}" pid="10" name="Title1">
    <vt:lpwstr>		Octavo informe periódico presentado por el Reino Unido de Gran Bretaña e Irlanda del Norte en virtud del artículo 18 de la Convención, que debía presentar en 2017*_x000d_</vt:lpwstr>
  </property>
</Properties>
</file>