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70FC" w14:textId="77777777" w:rsidR="001E6891" w:rsidRPr="00A72206" w:rsidRDefault="001E6891" w:rsidP="001E6891">
      <w:pPr>
        <w:spacing w:line="240" w:lineRule="auto"/>
        <w:rPr>
          <w:sz w:val="6"/>
          <w:lang w:eastAsia="zh-CN"/>
        </w:rPr>
        <w:sectPr w:rsidR="001E6891" w:rsidRPr="00A72206" w:rsidSect="00ED0FC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A72206">
        <w:rPr>
          <w:rStyle w:val="CommentReference"/>
          <w:szCs w:val="20"/>
        </w:rPr>
        <w:commentReference w:id="0"/>
      </w:r>
      <w:bookmarkStart w:id="1" w:name="_GoBack"/>
      <w:bookmarkEnd w:id="1"/>
    </w:p>
    <w:p w14:paraId="5FD5B95A" w14:textId="739EB4BB" w:rsidR="008F0FA5" w:rsidRPr="00A72206" w:rsidRDefault="008F0FA5" w:rsidP="007058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rPr>
          <w:lang w:eastAsia="zh-CN"/>
        </w:rPr>
      </w:pPr>
      <w:r w:rsidRPr="00A72206">
        <w:rPr>
          <w:lang w:eastAsia="zh-CN"/>
        </w:rPr>
        <w:t xml:space="preserve">Comité para la Eliminación de la Discriminación contra la Mujer </w:t>
      </w:r>
    </w:p>
    <w:p w14:paraId="2A885FF3" w14:textId="4CD5A40D" w:rsidR="00705875" w:rsidRPr="00A72206" w:rsidRDefault="00705875" w:rsidP="00705875">
      <w:pPr>
        <w:pStyle w:val="SingleTxt"/>
        <w:spacing w:after="0" w:line="120" w:lineRule="exact"/>
        <w:rPr>
          <w:sz w:val="10"/>
          <w:lang w:eastAsia="zh-CN"/>
        </w:rPr>
      </w:pPr>
    </w:p>
    <w:p w14:paraId="3B035818" w14:textId="0A57749A" w:rsidR="00705875" w:rsidRPr="00A72206" w:rsidRDefault="00705875" w:rsidP="00705875">
      <w:pPr>
        <w:pStyle w:val="SingleTxt"/>
        <w:spacing w:after="0" w:line="120" w:lineRule="exact"/>
        <w:rPr>
          <w:sz w:val="10"/>
          <w:lang w:eastAsia="zh-CN"/>
        </w:rPr>
      </w:pPr>
    </w:p>
    <w:p w14:paraId="5820F04A" w14:textId="02AF3781" w:rsidR="00705875" w:rsidRPr="00A72206" w:rsidRDefault="00705875" w:rsidP="00705875">
      <w:pPr>
        <w:pStyle w:val="SingleTxt"/>
        <w:spacing w:after="0" w:line="120" w:lineRule="exact"/>
        <w:rPr>
          <w:sz w:val="10"/>
          <w:lang w:eastAsia="zh-CN"/>
        </w:rPr>
      </w:pPr>
    </w:p>
    <w:p w14:paraId="253499EC" w14:textId="758AAD34" w:rsidR="008F0FA5" w:rsidRPr="00A72206" w:rsidRDefault="00705875" w:rsidP="000D4594">
      <w:pPr>
        <w:pStyle w:val="TitleHCH"/>
        <w:ind w:right="1470"/>
        <w:rPr>
          <w:lang w:eastAsia="zh-CN"/>
        </w:rPr>
      </w:pPr>
      <w:r w:rsidRPr="00A72206">
        <w:rPr>
          <w:lang w:eastAsia="zh-CN"/>
        </w:rPr>
        <w:tab/>
      </w:r>
      <w:r w:rsidRPr="00A72206">
        <w:rPr>
          <w:lang w:eastAsia="zh-CN"/>
        </w:rPr>
        <w:tab/>
      </w:r>
      <w:r w:rsidR="008F0FA5" w:rsidRPr="00A72206">
        <w:rPr>
          <w:lang w:eastAsia="zh-CN"/>
        </w:rPr>
        <w:t>Observaciones finales sobre los informes periódicos sexto y séptimo combinados de Ghana</w:t>
      </w:r>
    </w:p>
    <w:p w14:paraId="64238C44" w14:textId="42C8E797" w:rsidR="00705875" w:rsidRPr="00A72206" w:rsidRDefault="00705875" w:rsidP="00705875">
      <w:pPr>
        <w:pStyle w:val="SingleTxt"/>
        <w:spacing w:after="0" w:line="120" w:lineRule="exact"/>
        <w:rPr>
          <w:sz w:val="10"/>
          <w:lang w:eastAsia="zh-CN"/>
        </w:rPr>
      </w:pPr>
    </w:p>
    <w:p w14:paraId="3069725C" w14:textId="5854F97B" w:rsidR="00705875" w:rsidRPr="00A72206" w:rsidRDefault="00705875" w:rsidP="00705875">
      <w:pPr>
        <w:pStyle w:val="SingleTxt"/>
        <w:spacing w:after="0" w:line="120" w:lineRule="exact"/>
        <w:rPr>
          <w:sz w:val="10"/>
          <w:lang w:eastAsia="zh-CN"/>
        </w:rPr>
      </w:pPr>
    </w:p>
    <w:p w14:paraId="6E01CB13" w14:textId="76C63A57" w:rsidR="008F0FA5" w:rsidRPr="00A72206" w:rsidRDefault="008F0FA5" w:rsidP="00705875">
      <w:pPr>
        <w:pStyle w:val="TitleH2"/>
        <w:ind w:right="1260"/>
        <w:rPr>
          <w:lang w:eastAsia="zh-CN"/>
        </w:rPr>
      </w:pPr>
      <w:r w:rsidRPr="00A72206">
        <w:rPr>
          <w:lang w:eastAsia="zh-CN"/>
        </w:rPr>
        <w:tab/>
      </w:r>
      <w:r w:rsidRPr="00A72206">
        <w:rPr>
          <w:lang w:eastAsia="zh-CN"/>
        </w:rPr>
        <w:tab/>
        <w:t>Adición</w:t>
      </w:r>
    </w:p>
    <w:p w14:paraId="2DB92061" w14:textId="321BFDFC" w:rsidR="00705875" w:rsidRPr="00A72206" w:rsidRDefault="00705875" w:rsidP="00705875">
      <w:pPr>
        <w:pStyle w:val="SingleTxt"/>
        <w:spacing w:after="0" w:line="120" w:lineRule="exact"/>
        <w:rPr>
          <w:sz w:val="10"/>
          <w:lang w:eastAsia="zh-CN"/>
        </w:rPr>
      </w:pPr>
    </w:p>
    <w:p w14:paraId="76EB70BB" w14:textId="41509B03" w:rsidR="00705875" w:rsidRPr="00A72206" w:rsidRDefault="00705875" w:rsidP="00705875">
      <w:pPr>
        <w:pStyle w:val="SingleTxt"/>
        <w:spacing w:after="0" w:line="120" w:lineRule="exact"/>
        <w:rPr>
          <w:sz w:val="10"/>
          <w:lang w:eastAsia="zh-CN"/>
        </w:rPr>
      </w:pPr>
    </w:p>
    <w:p w14:paraId="55D877A9" w14:textId="583988CE" w:rsidR="008F0FA5" w:rsidRPr="00A72206" w:rsidRDefault="008F0FA5" w:rsidP="00705875">
      <w:pPr>
        <w:pStyle w:val="TitleH1"/>
        <w:rPr>
          <w:lang w:eastAsia="zh-CN"/>
        </w:rPr>
      </w:pPr>
      <w:r w:rsidRPr="00A72206">
        <w:rPr>
          <w:lang w:eastAsia="zh-CN"/>
        </w:rPr>
        <w:tab/>
      </w:r>
      <w:r w:rsidRPr="00A72206">
        <w:rPr>
          <w:lang w:eastAsia="zh-CN"/>
        </w:rPr>
        <w:tab/>
        <w:t>Información suministrada por Ghana sobre el seguimiento de las observaciones finales</w:t>
      </w:r>
      <w:r w:rsidRPr="00A72206">
        <w:rPr>
          <w:b w:val="0"/>
          <w:snapToGrid/>
          <w:sz w:val="20"/>
        </w:rPr>
        <w:footnoteReference w:customMarkFollows="1" w:id="1"/>
        <w:t>*</w:t>
      </w:r>
    </w:p>
    <w:p w14:paraId="324222C6" w14:textId="2E3CDAE6" w:rsidR="00705875" w:rsidRPr="00A72206" w:rsidRDefault="00705875" w:rsidP="00705875">
      <w:pPr>
        <w:pStyle w:val="SingleTxt"/>
        <w:spacing w:after="0" w:line="120" w:lineRule="exact"/>
        <w:rPr>
          <w:sz w:val="10"/>
          <w:lang w:eastAsia="zh-CN"/>
        </w:rPr>
      </w:pPr>
    </w:p>
    <w:p w14:paraId="6FA682A4" w14:textId="61EECCA8" w:rsidR="00705875" w:rsidRPr="00A72206" w:rsidRDefault="00705875" w:rsidP="00705875">
      <w:pPr>
        <w:pStyle w:val="SingleTxt"/>
        <w:spacing w:after="0" w:line="120" w:lineRule="exact"/>
        <w:rPr>
          <w:sz w:val="10"/>
          <w:lang w:eastAsia="zh-CN"/>
        </w:rPr>
      </w:pPr>
    </w:p>
    <w:p w14:paraId="41AF2D81" w14:textId="2FFD8302" w:rsidR="008F0FA5" w:rsidRPr="00A72206" w:rsidRDefault="008F0FA5" w:rsidP="00705875">
      <w:pPr>
        <w:pStyle w:val="SingleTxt"/>
        <w:jc w:val="right"/>
        <w:rPr>
          <w:lang w:eastAsia="zh-CN"/>
        </w:rPr>
      </w:pPr>
      <w:r w:rsidRPr="00A72206">
        <w:rPr>
          <w:lang w:eastAsia="zh-CN"/>
        </w:rPr>
        <w:t>[Fecha de recepción: 12 de noviembre de 2018]</w:t>
      </w:r>
    </w:p>
    <w:p w14:paraId="2B979F25" w14:textId="72C129DA" w:rsidR="008F0FA5" w:rsidRPr="00A72206" w:rsidRDefault="008F0FA5">
      <w:pPr>
        <w:suppressAutoHyphens w:val="0"/>
        <w:spacing w:after="200" w:line="276" w:lineRule="auto"/>
        <w:rPr>
          <w:kern w:val="14"/>
          <w:lang w:eastAsia="zh-CN"/>
        </w:rPr>
      </w:pPr>
      <w:r w:rsidRPr="00A72206">
        <w:rPr>
          <w:lang w:eastAsia="zh-CN"/>
        </w:rPr>
        <w:br w:type="page"/>
      </w:r>
    </w:p>
    <w:p w14:paraId="06E3FBA4" w14:textId="4C75A67D" w:rsidR="00F20A4E" w:rsidRPr="00A72206" w:rsidRDefault="00705875" w:rsidP="007058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A72206">
        <w:rPr>
          <w:lang w:eastAsia="zh-CN"/>
        </w:rPr>
        <w:lastRenderedPageBreak/>
        <w:tab/>
      </w:r>
      <w:r w:rsidRPr="00A72206">
        <w:rPr>
          <w:lang w:eastAsia="zh-CN"/>
        </w:rPr>
        <w:tab/>
      </w:r>
      <w:r w:rsidR="00F20A4E" w:rsidRPr="00A72206">
        <w:rPr>
          <w:lang w:eastAsia="zh-CN"/>
        </w:rPr>
        <w:t>Estereotipos y prácticas nocivas</w:t>
      </w:r>
    </w:p>
    <w:p w14:paraId="5880DA7B" w14:textId="624A8F0D" w:rsidR="00705875" w:rsidRPr="00A72206" w:rsidRDefault="00705875" w:rsidP="00705875">
      <w:pPr>
        <w:pStyle w:val="SingleTxt"/>
        <w:spacing w:after="0" w:line="120" w:lineRule="exact"/>
        <w:rPr>
          <w:sz w:val="10"/>
          <w:lang w:eastAsia="zh-CN"/>
        </w:rPr>
      </w:pPr>
    </w:p>
    <w:p w14:paraId="615ED4EA" w14:textId="0E1B0421" w:rsidR="00705875" w:rsidRPr="00A72206" w:rsidRDefault="00705875" w:rsidP="00705875">
      <w:pPr>
        <w:pStyle w:val="SingleTxt"/>
        <w:spacing w:after="0" w:line="120" w:lineRule="exact"/>
        <w:rPr>
          <w:sz w:val="10"/>
          <w:lang w:eastAsia="zh-CN"/>
        </w:rPr>
      </w:pPr>
    </w:p>
    <w:p w14:paraId="73396D0F" w14:textId="61A6DC19" w:rsidR="00F20A4E" w:rsidRPr="00A72206" w:rsidRDefault="00F20A4E" w:rsidP="00705875">
      <w:pPr>
        <w:pStyle w:val="SingleTxt"/>
        <w:numPr>
          <w:ilvl w:val="0"/>
          <w:numId w:val="25"/>
        </w:numPr>
        <w:tabs>
          <w:tab w:val="clear" w:pos="475"/>
          <w:tab w:val="right" w:pos="1022"/>
        </w:tabs>
        <w:ind w:left="1267" w:right="1260"/>
        <w:rPr>
          <w:b/>
          <w:bCs/>
          <w:lang w:eastAsia="zh-CN"/>
        </w:rPr>
      </w:pPr>
      <w:r w:rsidRPr="00A72206">
        <w:rPr>
          <w:b/>
          <w:bCs/>
          <w:lang w:eastAsia="zh-CN"/>
        </w:rPr>
        <w:t xml:space="preserve">El Comité pide al Estado parte que garantice el cierre inmediato de todos los </w:t>
      </w:r>
      <w:r w:rsidR="00705875" w:rsidRPr="00A72206">
        <w:rPr>
          <w:b/>
          <w:bCs/>
          <w:lang w:eastAsia="zh-CN"/>
        </w:rPr>
        <w:t>“</w:t>
      </w:r>
      <w:r w:rsidRPr="00A72206">
        <w:rPr>
          <w:b/>
          <w:bCs/>
          <w:lang w:eastAsia="zh-CN"/>
        </w:rPr>
        <w:t>campamentos de brujas</w:t>
      </w:r>
      <w:r w:rsidR="00705875" w:rsidRPr="00A72206">
        <w:rPr>
          <w:b/>
          <w:bCs/>
          <w:lang w:eastAsia="zh-CN"/>
        </w:rPr>
        <w:t>”</w:t>
      </w:r>
      <w:r w:rsidRPr="00A72206">
        <w:rPr>
          <w:b/>
          <w:bCs/>
          <w:lang w:eastAsia="zh-CN"/>
        </w:rPr>
        <w:t xml:space="preserve"> existentes y vele por que se proporcionen a las supuestas brujas servicios adecuados de rehabilitación y una reinserción en sus comunidades en condiciones de seguridad o se les faciliten una vivienda y unos medios de vida alternativos. También deben adoptarse medidas concretas para proteger los derechos de todas las niñas que han crecido en esos campamentos, incluso velando por que se les proporcionen servicios de rehabilitación, puedan reincorporarse a sus familias y comunidades en condiciones de seguridad y se les ofrezca acceso a una enseñanza y una formación profesional de calidad (véase </w:t>
      </w:r>
      <w:hyperlink r:id="rId15" w:history="1">
        <w:r w:rsidRPr="00A72206">
          <w:rPr>
            <w:rStyle w:val="Hyperlink"/>
            <w:b/>
            <w:bCs/>
            <w:lang w:eastAsia="zh-CN"/>
          </w:rPr>
          <w:t>CEDAW/C/GHA/CO/6-7</w:t>
        </w:r>
      </w:hyperlink>
      <w:r w:rsidRPr="00A72206">
        <w:rPr>
          <w:b/>
          <w:bCs/>
          <w:lang w:eastAsia="zh-CN"/>
        </w:rPr>
        <w:t>, párr. 25).</w:t>
      </w:r>
    </w:p>
    <w:p w14:paraId="7D19D846" w14:textId="6DE72B54" w:rsidR="00F20A4E" w:rsidRPr="00A72206" w:rsidRDefault="00F20A4E" w:rsidP="00705875">
      <w:pPr>
        <w:pStyle w:val="SingleTxt"/>
        <w:numPr>
          <w:ilvl w:val="0"/>
          <w:numId w:val="25"/>
        </w:numPr>
        <w:tabs>
          <w:tab w:val="num" w:pos="2804"/>
        </w:tabs>
        <w:ind w:left="1267"/>
        <w:rPr>
          <w:lang w:eastAsia="zh-CN"/>
        </w:rPr>
      </w:pPr>
      <w:r w:rsidRPr="00A72206">
        <w:rPr>
          <w:lang w:eastAsia="zh-CN"/>
        </w:rPr>
        <w:t xml:space="preserve">En 2014 se creó una Comisión para la Disolución de Campamentos y la Reintegración de Supuestas Brujas dedicada a evaluar los </w:t>
      </w:r>
      <w:r w:rsidR="00705875" w:rsidRPr="00A72206">
        <w:rPr>
          <w:lang w:eastAsia="zh-CN"/>
        </w:rPr>
        <w:t>“</w:t>
      </w:r>
      <w:r w:rsidRPr="00A72206">
        <w:rPr>
          <w:lang w:eastAsia="zh-CN"/>
        </w:rPr>
        <w:t>campamentos de brujas</w:t>
      </w:r>
      <w:r w:rsidR="00705875" w:rsidRPr="00A72206">
        <w:rPr>
          <w:lang w:eastAsia="zh-CN"/>
        </w:rPr>
        <w:t>”</w:t>
      </w:r>
      <w:r w:rsidRPr="00A72206">
        <w:rPr>
          <w:lang w:eastAsia="zh-CN"/>
        </w:rPr>
        <w:t xml:space="preserve"> con el objetivo de cerrarlos y rehabilitar a las supuestas brujas y reintegrarlas en sus comunidades. A tal fin, la Comisión colaboró con la Cámara Regional de Jefes y recibió el apoyo de esta. </w:t>
      </w:r>
    </w:p>
    <w:p w14:paraId="638AF122" w14:textId="3AFD4695" w:rsidR="00F20A4E" w:rsidRPr="00A72206" w:rsidRDefault="00F20A4E" w:rsidP="00705875">
      <w:pPr>
        <w:pStyle w:val="SingleTxt"/>
        <w:numPr>
          <w:ilvl w:val="0"/>
          <w:numId w:val="25"/>
        </w:numPr>
        <w:tabs>
          <w:tab w:val="num" w:pos="2804"/>
        </w:tabs>
        <w:ind w:left="1267"/>
        <w:rPr>
          <w:lang w:eastAsia="zh-CN"/>
        </w:rPr>
      </w:pPr>
      <w:r w:rsidRPr="00A72206">
        <w:rPr>
          <w:lang w:eastAsia="zh-CN"/>
        </w:rPr>
        <w:t xml:space="preserve">La Dependencia de Violencia Doméstica y Apoyo a las Víctimas perteneciente al Cuerpo de Policía de Ghana, la Comisión de Derechos Humanos y Justicia Administrativa y la Comisión para la Disolución de Campamentos y la Reintegración de Supuestas Brujas prestaron apoyo y proporcionaron asistencia jurídica a seis mujeres acusadas que se reintegraron en comunidades de su elección. </w:t>
      </w:r>
    </w:p>
    <w:p w14:paraId="6451A15B" w14:textId="21898844" w:rsidR="00F20A4E" w:rsidRPr="00A72206" w:rsidRDefault="00F20A4E" w:rsidP="00705875">
      <w:pPr>
        <w:pStyle w:val="SingleTxt"/>
        <w:numPr>
          <w:ilvl w:val="0"/>
          <w:numId w:val="25"/>
        </w:numPr>
        <w:tabs>
          <w:tab w:val="num" w:pos="2804"/>
        </w:tabs>
        <w:ind w:left="1267"/>
        <w:rPr>
          <w:lang w:eastAsia="zh-CN"/>
        </w:rPr>
      </w:pPr>
      <w:r w:rsidRPr="00A72206">
        <w:rPr>
          <w:lang w:eastAsia="zh-CN"/>
        </w:rPr>
        <w:t xml:space="preserve">El 15 de diciembre de 2014, el Ministerio de Género, Infancia y Protección Social, en colaboración con </w:t>
      </w:r>
      <w:proofErr w:type="spellStart"/>
      <w:r w:rsidRPr="00A72206">
        <w:rPr>
          <w:lang w:eastAsia="zh-CN"/>
        </w:rPr>
        <w:t>Action</w:t>
      </w:r>
      <w:proofErr w:type="spellEnd"/>
      <w:r w:rsidRPr="00A72206">
        <w:rPr>
          <w:lang w:eastAsia="zh-CN"/>
        </w:rPr>
        <w:t xml:space="preserve"> </w:t>
      </w:r>
      <w:proofErr w:type="spellStart"/>
      <w:r w:rsidRPr="00A72206">
        <w:rPr>
          <w:lang w:eastAsia="zh-CN"/>
        </w:rPr>
        <w:t>Aid</w:t>
      </w:r>
      <w:proofErr w:type="spellEnd"/>
      <w:r w:rsidRPr="00A72206">
        <w:rPr>
          <w:lang w:eastAsia="zh-CN"/>
        </w:rPr>
        <w:t xml:space="preserve"> Ghana, consiguió cerrar el campamento de brujas de </w:t>
      </w:r>
      <w:proofErr w:type="spellStart"/>
      <w:r w:rsidRPr="00A72206">
        <w:rPr>
          <w:lang w:eastAsia="zh-CN"/>
        </w:rPr>
        <w:t>Bonyashe</w:t>
      </w:r>
      <w:proofErr w:type="spellEnd"/>
      <w:r w:rsidRPr="00A72206">
        <w:rPr>
          <w:lang w:eastAsia="zh-CN"/>
        </w:rPr>
        <w:t xml:space="preserve">, en la región Septentrional, y sus ocupantes se reintegraron en la sociedad. Al final de 2014, un total de 159 mujeres acusadas de brujería se habían reintegrado en la sociedad. En 2016 y 2017, se reincorporaron a comunidades de su elección un total de 21 mujeres acusadas de brujería procedentes del campamento de </w:t>
      </w:r>
      <w:proofErr w:type="spellStart"/>
      <w:r w:rsidRPr="00A72206">
        <w:rPr>
          <w:lang w:eastAsia="zh-CN"/>
        </w:rPr>
        <w:t>Kuluo</w:t>
      </w:r>
      <w:proofErr w:type="spellEnd"/>
      <w:r w:rsidRPr="00A72206">
        <w:rPr>
          <w:lang w:eastAsia="zh-CN"/>
        </w:rPr>
        <w:t xml:space="preserve">. </w:t>
      </w:r>
    </w:p>
    <w:p w14:paraId="2AA81180" w14:textId="343D4CC8" w:rsidR="00F20A4E" w:rsidRPr="00A72206" w:rsidRDefault="00F20A4E" w:rsidP="00705875">
      <w:pPr>
        <w:pStyle w:val="SingleTxt"/>
        <w:numPr>
          <w:ilvl w:val="0"/>
          <w:numId w:val="25"/>
        </w:numPr>
        <w:tabs>
          <w:tab w:val="num" w:pos="2804"/>
        </w:tabs>
        <w:ind w:left="1267"/>
        <w:rPr>
          <w:lang w:eastAsia="zh-CN"/>
        </w:rPr>
      </w:pPr>
      <w:r w:rsidRPr="00A72206">
        <w:rPr>
          <w:lang w:eastAsia="zh-CN"/>
        </w:rPr>
        <w:t>En 2015, la Cámara de Jefes de la región Septentrional creó en la propia Cámara una comisión encargada de profundizar en la reinserción en la sociedad de esas mujeres en situación de vulnerabilidad.</w:t>
      </w:r>
    </w:p>
    <w:p w14:paraId="0CB4357E" w14:textId="2EB75159" w:rsidR="00F20A4E" w:rsidRPr="00A72206" w:rsidRDefault="00F20A4E" w:rsidP="00705875">
      <w:pPr>
        <w:pStyle w:val="SingleTxt"/>
        <w:numPr>
          <w:ilvl w:val="0"/>
          <w:numId w:val="25"/>
        </w:numPr>
        <w:tabs>
          <w:tab w:val="num" w:pos="2804"/>
        </w:tabs>
        <w:ind w:left="1267"/>
        <w:rPr>
          <w:lang w:eastAsia="zh-CN"/>
        </w:rPr>
      </w:pPr>
      <w:r w:rsidRPr="00A72206">
        <w:rPr>
          <w:lang w:eastAsia="zh-CN"/>
        </w:rPr>
        <w:t xml:space="preserve">Desde 2015, el Ministerio de Género, Infancia y Protección Social ha proporcionado, a través del Programa de Fomento de los Medios de Subsistencia para Combatir la Pobreza, subvenciones bimensuales en efectivo a 751 mujeres acusadas de brujería residentes en los campamentos de brujas de </w:t>
      </w:r>
      <w:proofErr w:type="spellStart"/>
      <w:r w:rsidRPr="00A72206">
        <w:rPr>
          <w:lang w:eastAsia="zh-CN"/>
        </w:rPr>
        <w:t>Gambaga</w:t>
      </w:r>
      <w:proofErr w:type="spellEnd"/>
      <w:r w:rsidRPr="00A72206">
        <w:rPr>
          <w:lang w:eastAsia="zh-CN"/>
        </w:rPr>
        <w:t xml:space="preserve">, </w:t>
      </w:r>
      <w:proofErr w:type="spellStart"/>
      <w:r w:rsidRPr="00A72206">
        <w:rPr>
          <w:lang w:eastAsia="zh-CN"/>
        </w:rPr>
        <w:t>Kukuo</w:t>
      </w:r>
      <w:proofErr w:type="spellEnd"/>
      <w:r w:rsidRPr="00A72206">
        <w:rPr>
          <w:lang w:eastAsia="zh-CN"/>
        </w:rPr>
        <w:t xml:space="preserve">, </w:t>
      </w:r>
      <w:proofErr w:type="spellStart"/>
      <w:r w:rsidRPr="00A72206">
        <w:rPr>
          <w:lang w:eastAsia="zh-CN"/>
        </w:rPr>
        <w:t>Nabuli</w:t>
      </w:r>
      <w:proofErr w:type="spellEnd"/>
      <w:r w:rsidRPr="00A72206">
        <w:rPr>
          <w:lang w:eastAsia="zh-CN"/>
        </w:rPr>
        <w:t xml:space="preserve">, </w:t>
      </w:r>
      <w:proofErr w:type="spellStart"/>
      <w:r w:rsidRPr="00A72206">
        <w:rPr>
          <w:lang w:eastAsia="zh-CN"/>
        </w:rPr>
        <w:t>Kpatinga</w:t>
      </w:r>
      <w:proofErr w:type="spellEnd"/>
      <w:r w:rsidRPr="00A72206">
        <w:rPr>
          <w:lang w:eastAsia="zh-CN"/>
        </w:rPr>
        <w:t xml:space="preserve">, </w:t>
      </w:r>
      <w:proofErr w:type="spellStart"/>
      <w:r w:rsidRPr="00A72206">
        <w:rPr>
          <w:lang w:eastAsia="zh-CN"/>
        </w:rPr>
        <w:t>Leli-Daberi</w:t>
      </w:r>
      <w:proofErr w:type="spellEnd"/>
      <w:r w:rsidRPr="00A72206">
        <w:rPr>
          <w:lang w:eastAsia="zh-CN"/>
        </w:rPr>
        <w:t xml:space="preserve"> y </w:t>
      </w:r>
      <w:proofErr w:type="spellStart"/>
      <w:r w:rsidRPr="00A72206">
        <w:rPr>
          <w:lang w:eastAsia="zh-CN"/>
        </w:rPr>
        <w:t>Ngani-Yendi</w:t>
      </w:r>
      <w:proofErr w:type="spellEnd"/>
      <w:r w:rsidRPr="00A72206">
        <w:rPr>
          <w:lang w:eastAsia="zh-CN"/>
        </w:rPr>
        <w:t xml:space="preserve">, a fin de mejorar sus medios de subsistencia y facilitarles el acceso al consumo. </w:t>
      </w:r>
    </w:p>
    <w:p w14:paraId="7874DC04" w14:textId="2F878488" w:rsidR="00F20A4E" w:rsidRPr="00A72206" w:rsidRDefault="00F20A4E" w:rsidP="00705875">
      <w:pPr>
        <w:pStyle w:val="SingleTxt"/>
        <w:numPr>
          <w:ilvl w:val="0"/>
          <w:numId w:val="25"/>
        </w:numPr>
        <w:tabs>
          <w:tab w:val="num" w:pos="2804"/>
        </w:tabs>
        <w:ind w:left="1267"/>
        <w:rPr>
          <w:lang w:eastAsia="zh-CN"/>
        </w:rPr>
      </w:pPr>
      <w:r w:rsidRPr="00A72206">
        <w:rPr>
          <w:lang w:eastAsia="zh-CN"/>
        </w:rPr>
        <w:t xml:space="preserve">El Ministerio de Género, Infancia y Protección Social ha elaborado una hoja de ruta para desmantelar todos los campamentos de brujas y mantiene conversaciones con líderes religiosos, organizaciones de la sociedad civil, organizaciones no gubernamentales y otras partes interesadas para encontrar enfoques sostenibles que permitan poner fin a esta práctica en la sociedad ghanesa. </w:t>
      </w:r>
    </w:p>
    <w:p w14:paraId="7CF41132" w14:textId="3A44A96B" w:rsidR="00705875" w:rsidRPr="00A72206" w:rsidRDefault="00705875" w:rsidP="00705875">
      <w:pPr>
        <w:pStyle w:val="SingleTxt"/>
        <w:spacing w:after="0" w:line="120" w:lineRule="exact"/>
        <w:rPr>
          <w:sz w:val="10"/>
          <w:lang w:eastAsia="zh-CN"/>
        </w:rPr>
      </w:pPr>
    </w:p>
    <w:p w14:paraId="77244A41" w14:textId="46419E64" w:rsidR="00705875" w:rsidRPr="00A72206" w:rsidRDefault="00705875" w:rsidP="00705875">
      <w:pPr>
        <w:pStyle w:val="SingleTxt"/>
        <w:spacing w:after="0" w:line="120" w:lineRule="exact"/>
        <w:rPr>
          <w:sz w:val="10"/>
          <w:lang w:eastAsia="zh-CN"/>
        </w:rPr>
      </w:pPr>
    </w:p>
    <w:p w14:paraId="36297CF7" w14:textId="5FE4E350" w:rsidR="00F20A4E" w:rsidRPr="00A72206" w:rsidRDefault="00705875" w:rsidP="007058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A72206">
        <w:rPr>
          <w:lang w:eastAsia="zh-CN"/>
        </w:rPr>
        <w:tab/>
      </w:r>
      <w:r w:rsidRPr="00A72206">
        <w:rPr>
          <w:lang w:eastAsia="zh-CN"/>
        </w:rPr>
        <w:tab/>
      </w:r>
      <w:r w:rsidR="00F20A4E" w:rsidRPr="00A72206">
        <w:rPr>
          <w:lang w:eastAsia="zh-CN"/>
        </w:rPr>
        <w:t>Violencia contra la mujer</w:t>
      </w:r>
    </w:p>
    <w:p w14:paraId="6AF16E45" w14:textId="4B2030B8" w:rsidR="00705875" w:rsidRPr="00A72206" w:rsidRDefault="00705875" w:rsidP="00705875">
      <w:pPr>
        <w:pStyle w:val="SingleTxt"/>
        <w:spacing w:after="0" w:line="120" w:lineRule="exact"/>
        <w:rPr>
          <w:sz w:val="10"/>
          <w:lang w:eastAsia="zh-CN"/>
        </w:rPr>
      </w:pPr>
    </w:p>
    <w:p w14:paraId="2CF9F32A" w14:textId="0BF25074" w:rsidR="00705875" w:rsidRPr="00A72206" w:rsidRDefault="00705875" w:rsidP="00705875">
      <w:pPr>
        <w:pStyle w:val="SingleTxt"/>
        <w:spacing w:after="0" w:line="120" w:lineRule="exact"/>
        <w:rPr>
          <w:sz w:val="10"/>
          <w:lang w:eastAsia="zh-CN"/>
        </w:rPr>
      </w:pPr>
    </w:p>
    <w:p w14:paraId="70ABDEC7" w14:textId="1C4AEF7C" w:rsidR="00F20A4E" w:rsidRPr="00A72206" w:rsidRDefault="00F20A4E" w:rsidP="00705875">
      <w:pPr>
        <w:pStyle w:val="SingleTxt"/>
        <w:numPr>
          <w:ilvl w:val="0"/>
          <w:numId w:val="25"/>
        </w:numPr>
        <w:tabs>
          <w:tab w:val="num" w:pos="2804"/>
        </w:tabs>
        <w:ind w:left="1267"/>
        <w:rPr>
          <w:b/>
          <w:bCs/>
          <w:lang w:eastAsia="zh-CN"/>
        </w:rPr>
      </w:pPr>
      <w:r w:rsidRPr="00A72206">
        <w:rPr>
          <w:b/>
          <w:bCs/>
          <w:lang w:eastAsia="zh-CN"/>
        </w:rPr>
        <w:t xml:space="preserve">El Comité pide al Estado parte que garantice la aplicación efectiva de la Ley contra la Violencia Doméstica (2007), incluso adoptando lo antes posible instrumentos normativos que la desarrollen, e incremente los recursos humanos y financieros destinados a la aplicación de la Política nacional (véase </w:t>
      </w:r>
      <w:hyperlink r:id="rId16" w:history="1">
        <w:r w:rsidRPr="00A72206">
          <w:rPr>
            <w:rStyle w:val="Hyperlink"/>
            <w:b/>
            <w:bCs/>
            <w:lang w:eastAsia="zh-CN"/>
          </w:rPr>
          <w:t>CEDAW/C/GHA/CO/6-7</w:t>
        </w:r>
      </w:hyperlink>
      <w:r w:rsidRPr="00A72206">
        <w:rPr>
          <w:b/>
          <w:bCs/>
          <w:lang w:eastAsia="zh-CN"/>
        </w:rPr>
        <w:t>, párr. 27 a)).</w:t>
      </w:r>
    </w:p>
    <w:p w14:paraId="0C8E6A56" w14:textId="76835AD7" w:rsidR="00F20A4E" w:rsidRPr="00A72206" w:rsidRDefault="00F20A4E" w:rsidP="00705875">
      <w:pPr>
        <w:pStyle w:val="SingleTxt"/>
        <w:numPr>
          <w:ilvl w:val="0"/>
          <w:numId w:val="25"/>
        </w:numPr>
        <w:tabs>
          <w:tab w:val="num" w:pos="2804"/>
        </w:tabs>
        <w:ind w:left="1267"/>
        <w:rPr>
          <w:lang w:eastAsia="zh-CN"/>
        </w:rPr>
      </w:pPr>
      <w:r w:rsidRPr="00A72206">
        <w:rPr>
          <w:lang w:eastAsia="zh-CN"/>
        </w:rPr>
        <w:lastRenderedPageBreak/>
        <w:t xml:space="preserve">En aplicación de la Ley contra la Violencia Doméstica (2007), el Ministerio de Género, Infancia y Protección Social ha organizado programas de promoción y sensibilización en las comunidades. Estos programas, organizados en las lenguas locales de Ghana, se llevan a cabo en foros abiertos, debates de grupo, televisión y radio. </w:t>
      </w:r>
    </w:p>
    <w:p w14:paraId="4E922A67" w14:textId="2840D9FA" w:rsidR="00F20A4E" w:rsidRPr="00A72206" w:rsidRDefault="00F20A4E" w:rsidP="00705875">
      <w:pPr>
        <w:pStyle w:val="SingleTxt"/>
        <w:numPr>
          <w:ilvl w:val="0"/>
          <w:numId w:val="25"/>
        </w:numPr>
        <w:tabs>
          <w:tab w:val="num" w:pos="2804"/>
        </w:tabs>
        <w:ind w:left="1267"/>
        <w:rPr>
          <w:lang w:eastAsia="zh-CN"/>
        </w:rPr>
      </w:pPr>
      <w:r w:rsidRPr="00A72206">
        <w:rPr>
          <w:lang w:eastAsia="zh-CN"/>
        </w:rPr>
        <w:t xml:space="preserve">El Ministerio celebra también cada año la Campaña de 16 Días para Combatir la Violencia contra las Mujeres a fin de sensibilizar al público y prevenir esa amenaza. </w:t>
      </w:r>
    </w:p>
    <w:p w14:paraId="58717DFE" w14:textId="5AF706A3" w:rsidR="00F20A4E" w:rsidRPr="00A72206" w:rsidRDefault="00F20A4E" w:rsidP="00705875">
      <w:pPr>
        <w:pStyle w:val="SingleTxt"/>
        <w:numPr>
          <w:ilvl w:val="0"/>
          <w:numId w:val="25"/>
        </w:numPr>
        <w:tabs>
          <w:tab w:val="num" w:pos="2804"/>
        </w:tabs>
        <w:ind w:left="1267"/>
        <w:rPr>
          <w:lang w:eastAsia="zh-CN"/>
        </w:rPr>
      </w:pPr>
      <w:r w:rsidRPr="00A72206">
        <w:rPr>
          <w:lang w:eastAsia="zh-CN"/>
        </w:rPr>
        <w:t xml:space="preserve">El Ministerio de Finanzas sigue aumentando la asignación presupuestaria destinada al Ministerio de Género, Infancia y Protección Social para aplicar de forma eficaz y eficiente la Ley contra la Violencia Doméstica (2007) y el Marco Estratégico Nacional para Poner Fin al Matrimonio Infantil. </w:t>
      </w:r>
    </w:p>
    <w:p w14:paraId="14FB6B8B" w14:textId="51C68B9B" w:rsidR="00F20A4E" w:rsidRPr="00A72206" w:rsidRDefault="00F20A4E" w:rsidP="00705875">
      <w:pPr>
        <w:pStyle w:val="SingleTxt"/>
        <w:numPr>
          <w:ilvl w:val="0"/>
          <w:numId w:val="25"/>
        </w:numPr>
        <w:tabs>
          <w:tab w:val="num" w:pos="2804"/>
        </w:tabs>
        <w:ind w:left="1267"/>
        <w:rPr>
          <w:lang w:eastAsia="zh-CN"/>
        </w:rPr>
      </w:pPr>
      <w:r w:rsidRPr="00A72206">
        <w:rPr>
          <w:lang w:eastAsia="zh-CN"/>
        </w:rPr>
        <w:t xml:space="preserve">En aplicación del Marco Estratégico para Poner Fin al Matrimonio Infantil, el Ministerio de Género, Infancia y Protección Social ha trabajado con parlamentarios, jueces, funcionarios de la Comisión de Derechos Humanos y Justicia Administrativa, la Comisión Nacional de Educación Cívica, la Dependencia de Violencia Doméstica y Apoyo a las Víctimas, el Cuerpo de Policía y los Servicios de Salud y de Educación de Ghana, el Ministerio para las Jefaturas y los medios de comunicación en la definición del papel de cada uno de ellos en la erradicación del matrimonio infantil en el país. </w:t>
      </w:r>
    </w:p>
    <w:p w14:paraId="0C59670D" w14:textId="48E6A4D5" w:rsidR="00F20A4E" w:rsidRPr="00A72206" w:rsidRDefault="00F20A4E" w:rsidP="00705875">
      <w:pPr>
        <w:pStyle w:val="SingleTxt"/>
        <w:numPr>
          <w:ilvl w:val="0"/>
          <w:numId w:val="25"/>
        </w:numPr>
        <w:tabs>
          <w:tab w:val="num" w:pos="2804"/>
        </w:tabs>
        <w:ind w:left="1267"/>
        <w:rPr>
          <w:lang w:eastAsia="zh-CN"/>
        </w:rPr>
      </w:pPr>
      <w:r w:rsidRPr="00A72206">
        <w:rPr>
          <w:lang w:eastAsia="zh-CN"/>
        </w:rPr>
        <w:t xml:space="preserve">Se han imprimido y repartido al público más de 1.000 copias de fichas descriptivas sobre la mutilación genital femenina y la Ley contra la Violencia Doméstica como parte de la campaña del Ministerio para acabar con esas prácticas. </w:t>
      </w:r>
    </w:p>
    <w:p w14:paraId="5CD31000" w14:textId="534E4BF4" w:rsidR="00F20A4E" w:rsidRPr="00A72206" w:rsidRDefault="00F20A4E" w:rsidP="00705875">
      <w:pPr>
        <w:pStyle w:val="SingleTxt"/>
        <w:numPr>
          <w:ilvl w:val="0"/>
          <w:numId w:val="25"/>
        </w:numPr>
        <w:tabs>
          <w:tab w:val="num" w:pos="2804"/>
        </w:tabs>
        <w:ind w:left="1267"/>
        <w:rPr>
          <w:lang w:eastAsia="zh-CN"/>
        </w:rPr>
      </w:pPr>
      <w:r w:rsidRPr="00A72206">
        <w:rPr>
          <w:lang w:eastAsia="zh-CN"/>
        </w:rPr>
        <w:t>En sus esfuerzos por fortalecer la coordinación entre los programas de protección social, el Ministerio de Género, Infancia y Protección Social creó, en 2017, el Servicio de Ventanilla Única para la Protección Social de los Ciudadanos. En el marco de esta nueva iniciativa se estableció y puso en marcha un centro de llamadas (</w:t>
      </w:r>
      <w:proofErr w:type="spellStart"/>
      <w:r w:rsidRPr="00A72206">
        <w:rPr>
          <w:lang w:eastAsia="zh-CN"/>
        </w:rPr>
        <w:t>Helpline</w:t>
      </w:r>
      <w:proofErr w:type="spellEnd"/>
      <w:r w:rsidRPr="00A72206">
        <w:rPr>
          <w:lang w:eastAsia="zh-CN"/>
        </w:rPr>
        <w:t xml:space="preserve"> </w:t>
      </w:r>
      <w:proofErr w:type="spellStart"/>
      <w:r w:rsidRPr="00A72206">
        <w:rPr>
          <w:lang w:eastAsia="zh-CN"/>
        </w:rPr>
        <w:t>of</w:t>
      </w:r>
      <w:proofErr w:type="spellEnd"/>
      <w:r w:rsidRPr="00A72206">
        <w:rPr>
          <w:lang w:eastAsia="zh-CN"/>
        </w:rPr>
        <w:t xml:space="preserve"> Hope) para recibir y tramitar las denuncias de violencia doméstica y de otras amenazas sociales. Hasta la fecha, se han recibido 635 denuncias, de las cuales se ha dado respuesta a 532. </w:t>
      </w:r>
    </w:p>
    <w:p w14:paraId="2819A545" w14:textId="7DC4C1E7" w:rsidR="00F20A4E" w:rsidRPr="00A72206" w:rsidRDefault="00F20A4E" w:rsidP="00705875">
      <w:pPr>
        <w:pStyle w:val="SingleTxt"/>
        <w:numPr>
          <w:ilvl w:val="0"/>
          <w:numId w:val="25"/>
        </w:numPr>
        <w:tabs>
          <w:tab w:val="num" w:pos="2804"/>
        </w:tabs>
        <w:ind w:left="1267"/>
        <w:rPr>
          <w:lang w:eastAsia="zh-CN"/>
        </w:rPr>
      </w:pPr>
      <w:r w:rsidRPr="00A72206">
        <w:rPr>
          <w:lang w:eastAsia="zh-CN"/>
        </w:rPr>
        <w:t>En su esfuerzo por descentralizar la Dependencia de Violencia Doméstica y Apoyo a las Víctimas a fin de luchar eficazmente contra la violencia de género, el Cuerpo de Policía de Ghana ha abierto 107 oficinas de la Dependencia en las diez regiones del país. Esta Dependencia, integrada en el Cuerpo de Policía de Ghana, cuenta actualmente con una plantilla de 767 personas.</w:t>
      </w:r>
    </w:p>
    <w:p w14:paraId="7AE616AA" w14:textId="065422B0" w:rsidR="00F20A4E" w:rsidRPr="00A72206" w:rsidRDefault="00F20A4E" w:rsidP="00705875">
      <w:pPr>
        <w:pStyle w:val="SingleTxt"/>
        <w:numPr>
          <w:ilvl w:val="0"/>
          <w:numId w:val="25"/>
        </w:numPr>
        <w:tabs>
          <w:tab w:val="num" w:pos="2804"/>
        </w:tabs>
        <w:ind w:left="1267"/>
        <w:rPr>
          <w:b/>
          <w:bCs/>
          <w:lang w:eastAsia="zh-CN"/>
        </w:rPr>
      </w:pPr>
      <w:r w:rsidRPr="00A72206">
        <w:rPr>
          <w:b/>
          <w:bCs/>
          <w:lang w:eastAsia="zh-CN"/>
        </w:rPr>
        <w:t xml:space="preserve">El Comité pide al Estado parte que intensifique los esfuerzos para prevenir y sancionar sistemáticamente todas las formas de violencia contra las mujeres y las niñas, asegurándose de que las denuncias se investiguen de manera exhaustiva y eficaz y de que los autores de esos actos comparezcan ante la justicia (véase </w:t>
      </w:r>
      <w:hyperlink r:id="rId17" w:history="1">
        <w:r w:rsidRPr="00A72206">
          <w:rPr>
            <w:rStyle w:val="Hyperlink"/>
            <w:b/>
            <w:bCs/>
            <w:lang w:eastAsia="zh-CN"/>
          </w:rPr>
          <w:t>CEDAW/C/GHA/CO/6-7</w:t>
        </w:r>
      </w:hyperlink>
      <w:r w:rsidRPr="00A72206">
        <w:rPr>
          <w:b/>
          <w:bCs/>
          <w:lang w:eastAsia="zh-CN"/>
        </w:rPr>
        <w:t>, párr. 27 b)).</w:t>
      </w:r>
    </w:p>
    <w:p w14:paraId="6800665A" w14:textId="0DCD45CF" w:rsidR="00F20A4E" w:rsidRPr="00A72206" w:rsidRDefault="00F20A4E" w:rsidP="00705875">
      <w:pPr>
        <w:pStyle w:val="SingleTxt"/>
        <w:numPr>
          <w:ilvl w:val="0"/>
          <w:numId w:val="25"/>
        </w:numPr>
        <w:tabs>
          <w:tab w:val="num" w:pos="2804"/>
        </w:tabs>
        <w:ind w:left="1267"/>
        <w:rPr>
          <w:lang w:eastAsia="zh-CN"/>
        </w:rPr>
      </w:pPr>
      <w:r w:rsidRPr="00A72206">
        <w:rPr>
          <w:lang w:eastAsia="zh-CN"/>
        </w:rPr>
        <w:t>La Dependencia de Violencia Doméstica y Apoyo a las Víctimas, cuya capacidad ha sido ampliada, ha intensificado continuamente sus esfuerzos para hacer comparecer ante la justicia a todos los autores de delitos de violencia de género. Se impusieron 106 condenas en 2014, 139 en 2015, 140 en 2016 y 51 en 2017.</w:t>
      </w:r>
    </w:p>
    <w:p w14:paraId="7263686E" w14:textId="3AB66121" w:rsidR="00F20A4E" w:rsidRPr="00A72206" w:rsidRDefault="00F20A4E" w:rsidP="00705875">
      <w:pPr>
        <w:pStyle w:val="SingleTxt"/>
        <w:numPr>
          <w:ilvl w:val="0"/>
          <w:numId w:val="25"/>
        </w:numPr>
        <w:tabs>
          <w:tab w:val="num" w:pos="2804"/>
        </w:tabs>
        <w:ind w:left="1267"/>
        <w:rPr>
          <w:b/>
          <w:bCs/>
          <w:lang w:eastAsia="zh-CN"/>
        </w:rPr>
      </w:pPr>
      <w:r w:rsidRPr="00A72206">
        <w:rPr>
          <w:b/>
          <w:bCs/>
          <w:lang w:eastAsia="zh-CN"/>
        </w:rPr>
        <w:t xml:space="preserve">El Comité pide al Estado parte que realice actividades sistemáticas y obligatorias de desarrollo de la capacidad para jueces, fiscales, abogados, agentes de policía y trabajadores de la salud, a fin de garantizar que se trate a las víctimas de la violencia de una manera que tenga en cuenta las cuestiones de género (véase </w:t>
      </w:r>
      <w:hyperlink r:id="rId18" w:history="1">
        <w:r w:rsidRPr="00A72206">
          <w:rPr>
            <w:rStyle w:val="Hyperlink"/>
            <w:b/>
            <w:bCs/>
            <w:lang w:eastAsia="zh-CN"/>
          </w:rPr>
          <w:t>CEDAW/C/GHA/CO/6-7</w:t>
        </w:r>
      </w:hyperlink>
      <w:r w:rsidRPr="00A72206">
        <w:rPr>
          <w:b/>
          <w:bCs/>
          <w:lang w:eastAsia="zh-CN"/>
        </w:rPr>
        <w:t>, párr. 27 c)).</w:t>
      </w:r>
    </w:p>
    <w:p w14:paraId="56002D7B" w14:textId="6AAA26B7" w:rsidR="00F20A4E" w:rsidRPr="00A72206" w:rsidRDefault="00F20A4E" w:rsidP="00705875">
      <w:pPr>
        <w:pStyle w:val="SingleTxt"/>
        <w:numPr>
          <w:ilvl w:val="0"/>
          <w:numId w:val="25"/>
        </w:numPr>
        <w:tabs>
          <w:tab w:val="num" w:pos="2804"/>
        </w:tabs>
        <w:ind w:left="1267"/>
        <w:rPr>
          <w:lang w:eastAsia="zh-CN"/>
        </w:rPr>
      </w:pPr>
      <w:r w:rsidRPr="00A72206">
        <w:rPr>
          <w:lang w:eastAsia="zh-CN"/>
        </w:rPr>
        <w:t xml:space="preserve">La Dependencia de Violencia Doméstica y Apoyo a las Víctimas ha llevado a cabo, a lo largo de los años y en colaboración con el Ministerio de Género, Infancia </w:t>
      </w:r>
      <w:r w:rsidRPr="00A72206">
        <w:rPr>
          <w:lang w:eastAsia="zh-CN"/>
        </w:rPr>
        <w:lastRenderedPageBreak/>
        <w:t>y Protección Social, una serie de programas de capacitación para fiscales, abogados y agentes de policía en los ámbitos de los derechos humanos, la mujer y la paz y la seguridad, la salud reproductiva de los adolescentes, la estructura institucional, la preparación de expedientes relacionados con violencia por razón de género, la protección de la infancia y el enjuiciamiento efectivo de los casos de violencia de género, y en relación con un protocolo intrainstitucional sobre violencia doméstica.</w:t>
      </w:r>
    </w:p>
    <w:p w14:paraId="776F811C" w14:textId="2D1A4490" w:rsidR="008F0FA5" w:rsidRPr="00A72206" w:rsidRDefault="00F20A4E" w:rsidP="00F20A4E">
      <w:pPr>
        <w:pStyle w:val="SingleTxt"/>
        <w:rPr>
          <w:lang w:eastAsia="zh-CN"/>
        </w:rPr>
      </w:pPr>
      <w:r w:rsidRPr="00A72206">
        <w:rPr>
          <w:noProof/>
          <w:w w:val="100"/>
          <w:lang w:eastAsia="zh-CN"/>
        </w:rPr>
        <mc:AlternateContent>
          <mc:Choice Requires="wps">
            <w:drawing>
              <wp:anchor distT="0" distB="0" distL="114300" distR="114300" simplePos="0" relativeHeight="251659264" behindDoc="0" locked="0" layoutInCell="1" allowOverlap="1" wp14:anchorId="63C51483" wp14:editId="42477D7E">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77FA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F0FA5" w:rsidRPr="00A72206" w:rsidSect="00ED0FC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04T16:48:00Z" w:initials="Start">
    <w:p w14:paraId="2FC848FA" w14:textId="77777777" w:rsidR="001E6891" w:rsidRPr="00ED0FC1" w:rsidRDefault="001E6891">
      <w:pPr>
        <w:pStyle w:val="CommentText"/>
        <w:rPr>
          <w:lang w:val="en-US"/>
        </w:rPr>
      </w:pPr>
      <w:r>
        <w:fldChar w:fldCharType="begin"/>
      </w:r>
      <w:r w:rsidRPr="00ED0FC1">
        <w:rPr>
          <w:rStyle w:val="CommentReference"/>
          <w:lang w:val="en-US"/>
        </w:rPr>
        <w:instrText xml:space="preserve"> </w:instrText>
      </w:r>
      <w:r w:rsidRPr="00ED0FC1">
        <w:rPr>
          <w:lang w:val="en-US"/>
        </w:rPr>
        <w:instrText>PAGE \# "'Page: '#'</w:instrText>
      </w:r>
      <w:r w:rsidRPr="00ED0FC1">
        <w:rPr>
          <w:lang w:val="en-US"/>
        </w:rPr>
        <w:br/>
        <w:instrText>'"</w:instrText>
      </w:r>
      <w:r w:rsidRPr="00ED0FC1">
        <w:rPr>
          <w:rStyle w:val="CommentReference"/>
          <w:lang w:val="en-US"/>
        </w:rPr>
        <w:instrText xml:space="preserve"> </w:instrText>
      </w:r>
      <w:r>
        <w:fldChar w:fldCharType="end"/>
      </w:r>
      <w:r>
        <w:rPr>
          <w:rStyle w:val="CommentReference"/>
        </w:rPr>
        <w:annotationRef/>
      </w:r>
      <w:r w:rsidRPr="00ED0FC1">
        <w:rPr>
          <w:lang w:val="en-US"/>
        </w:rPr>
        <w:t>&lt;&lt;ODS JOB NO&gt;&gt;N1837811S&lt;&lt;ODS JOB NO&gt;&gt;</w:t>
      </w:r>
    </w:p>
    <w:p w14:paraId="31A46734" w14:textId="77777777" w:rsidR="001E6891" w:rsidRPr="00ED0FC1" w:rsidRDefault="001E6891">
      <w:pPr>
        <w:pStyle w:val="CommentText"/>
        <w:rPr>
          <w:lang w:val="en-US"/>
        </w:rPr>
      </w:pPr>
      <w:r w:rsidRPr="00ED0FC1">
        <w:rPr>
          <w:lang w:val="en-US"/>
        </w:rPr>
        <w:t>&lt;&lt;ODS DOC SYMBOL1&gt;&gt;CEDAW/C/GHA/CO/6-7/Add.1&lt;&lt;ODS DOC SYMBOL1&gt;&gt;</w:t>
      </w:r>
    </w:p>
    <w:p w14:paraId="0B17FB34" w14:textId="77777777" w:rsidR="001E6891" w:rsidRDefault="001E689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17FB3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5D730" w14:textId="77777777" w:rsidR="00EB34A0" w:rsidRDefault="00EB34A0" w:rsidP="00556720">
      <w:r>
        <w:separator/>
      </w:r>
    </w:p>
  </w:endnote>
  <w:endnote w:type="continuationSeparator" w:id="0">
    <w:p w14:paraId="3F0A5C4C" w14:textId="77777777" w:rsidR="00EB34A0" w:rsidRDefault="00EB34A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E6891" w14:paraId="0232AF3D" w14:textId="77777777" w:rsidTr="001E6891">
      <w:tc>
        <w:tcPr>
          <w:tcW w:w="4920" w:type="dxa"/>
          <w:shd w:val="clear" w:color="auto" w:fill="auto"/>
        </w:tcPr>
        <w:p w14:paraId="164A5F28" w14:textId="058EFAD4" w:rsidR="001E6891" w:rsidRPr="001E6891" w:rsidRDefault="001E6891" w:rsidP="001E6891">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515D8">
            <w:rPr>
              <w:b w:val="0"/>
              <w:color w:val="000000"/>
              <w:w w:val="103"/>
              <w:sz w:val="14"/>
            </w:rPr>
            <w:t>18-19321</w:t>
          </w:r>
          <w:r>
            <w:rPr>
              <w:b w:val="0"/>
              <w:color w:val="000000"/>
              <w:w w:val="103"/>
              <w:sz w:val="14"/>
            </w:rPr>
            <w:fldChar w:fldCharType="end"/>
          </w:r>
        </w:p>
      </w:tc>
      <w:tc>
        <w:tcPr>
          <w:tcW w:w="4920" w:type="dxa"/>
          <w:shd w:val="clear" w:color="auto" w:fill="auto"/>
        </w:tcPr>
        <w:p w14:paraId="3E313E60" w14:textId="77777777" w:rsidR="001E6891" w:rsidRPr="001E6891" w:rsidRDefault="001E6891" w:rsidP="001E6891">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6D7959C6" w14:textId="77777777" w:rsidR="001E6891" w:rsidRPr="001E6891" w:rsidRDefault="001E6891" w:rsidP="001E6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E6891" w14:paraId="334FA52F" w14:textId="77777777" w:rsidTr="001E6891">
      <w:tc>
        <w:tcPr>
          <w:tcW w:w="4920" w:type="dxa"/>
          <w:shd w:val="clear" w:color="auto" w:fill="auto"/>
        </w:tcPr>
        <w:p w14:paraId="409DA375" w14:textId="77777777" w:rsidR="001E6891" w:rsidRPr="001E6891" w:rsidRDefault="001E6891" w:rsidP="001E6891">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7A94A374" w14:textId="06A95B49" w:rsidR="001E6891" w:rsidRPr="001E6891" w:rsidRDefault="001E6891" w:rsidP="001E6891">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515D8">
            <w:rPr>
              <w:b w:val="0"/>
              <w:color w:val="000000"/>
              <w:w w:val="103"/>
              <w:sz w:val="14"/>
            </w:rPr>
            <w:t>18-19321</w:t>
          </w:r>
          <w:r>
            <w:rPr>
              <w:b w:val="0"/>
              <w:color w:val="000000"/>
              <w:w w:val="103"/>
              <w:sz w:val="14"/>
            </w:rPr>
            <w:fldChar w:fldCharType="end"/>
          </w:r>
        </w:p>
      </w:tc>
    </w:tr>
  </w:tbl>
  <w:p w14:paraId="1180C249" w14:textId="77777777" w:rsidR="001E6891" w:rsidRPr="001E6891" w:rsidRDefault="001E6891" w:rsidP="001E6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8ABC" w14:textId="77777777" w:rsidR="001E6891" w:rsidRPr="001E6891" w:rsidRDefault="001E6891" w:rsidP="001E6891">
    <w:pPr>
      <w:pStyle w:val="Footer"/>
      <w:spacing w:line="120" w:lineRule="exact"/>
      <w:rPr>
        <w:b w:val="0"/>
        <w:sz w:val="10"/>
      </w:rPr>
    </w:pPr>
    <w:r>
      <w:rPr>
        <w:b w:val="0"/>
        <w:sz w:val="10"/>
      </w:rPr>
      <w:drawing>
        <wp:anchor distT="0" distB="0" distL="114300" distR="114300" simplePos="0" relativeHeight="251658240" behindDoc="0" locked="0" layoutInCell="1" allowOverlap="1" wp14:anchorId="377F7765" wp14:editId="30142B18">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GHA/CO/6-7/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HA/CO/6-7/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1E6891" w14:paraId="44578231" w14:textId="77777777" w:rsidTr="001E6891">
      <w:tc>
        <w:tcPr>
          <w:tcW w:w="3830" w:type="dxa"/>
          <w:shd w:val="clear" w:color="auto" w:fill="auto"/>
        </w:tcPr>
        <w:p w14:paraId="4E4A3E50" w14:textId="139A997A" w:rsidR="001E6891" w:rsidRDefault="001E6891" w:rsidP="001E6891">
          <w:pPr>
            <w:pStyle w:val="ReleaseDate"/>
          </w:pPr>
          <w:r>
            <w:t>18-19321 (</w:t>
          </w:r>
          <w:proofErr w:type="gramStart"/>
          <w:r>
            <w:t xml:space="preserve">S)   </w:t>
          </w:r>
          <w:proofErr w:type="gramEnd"/>
          <w:r>
            <w:t xml:space="preserve"> 041218    </w:t>
          </w:r>
          <w:r w:rsidR="00781F23">
            <w:t>05</w:t>
          </w:r>
          <w:r>
            <w:t>1218</w:t>
          </w:r>
        </w:p>
        <w:p w14:paraId="1145722F" w14:textId="77777777" w:rsidR="001E6891" w:rsidRPr="001E6891" w:rsidRDefault="001E6891" w:rsidP="001E6891">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*1819321*</w:t>
          </w:r>
        </w:p>
      </w:tc>
      <w:tc>
        <w:tcPr>
          <w:tcW w:w="4920" w:type="dxa"/>
          <w:shd w:val="clear" w:color="auto" w:fill="auto"/>
        </w:tcPr>
        <w:p w14:paraId="303A36DD" w14:textId="77777777" w:rsidR="001E6891" w:rsidRDefault="001E6891" w:rsidP="001E6891">
          <w:pPr>
            <w:pStyle w:val="Footer"/>
            <w:jc w:val="right"/>
            <w:rPr>
              <w:b w:val="0"/>
              <w:sz w:val="20"/>
            </w:rPr>
          </w:pPr>
          <w:r>
            <w:rPr>
              <w:b w:val="0"/>
              <w:sz w:val="20"/>
            </w:rPr>
            <w:drawing>
              <wp:inline distT="0" distB="0" distL="0" distR="0" wp14:anchorId="10C6038D" wp14:editId="1782E4C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6C2A7DB2" w14:textId="77777777" w:rsidR="001E6891" w:rsidRPr="001E6891" w:rsidRDefault="001E6891" w:rsidP="001E689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D9FA8" w14:textId="1AFACD78" w:rsidR="00EB34A0" w:rsidRPr="00705875" w:rsidRDefault="00705875" w:rsidP="00705875">
      <w:pPr>
        <w:pStyle w:val="Footer"/>
        <w:spacing w:after="80"/>
        <w:ind w:left="792"/>
        <w:rPr>
          <w:sz w:val="16"/>
        </w:rPr>
      </w:pPr>
      <w:r w:rsidRPr="00705875">
        <w:rPr>
          <w:sz w:val="16"/>
        </w:rPr>
        <w:t>__________________</w:t>
      </w:r>
    </w:p>
  </w:footnote>
  <w:footnote w:type="continuationSeparator" w:id="0">
    <w:p w14:paraId="2206E043" w14:textId="4E818291" w:rsidR="00EB34A0" w:rsidRPr="00705875" w:rsidRDefault="00705875" w:rsidP="00705875">
      <w:pPr>
        <w:pStyle w:val="Footer"/>
        <w:spacing w:after="80"/>
        <w:ind w:left="792"/>
        <w:rPr>
          <w:sz w:val="16"/>
        </w:rPr>
      </w:pPr>
      <w:r w:rsidRPr="00705875">
        <w:rPr>
          <w:sz w:val="16"/>
        </w:rPr>
        <w:t>__________________</w:t>
      </w:r>
    </w:p>
  </w:footnote>
  <w:footnote w:id="1">
    <w:p w14:paraId="23418E29" w14:textId="77777777" w:rsidR="008F0FA5" w:rsidRPr="008A6FD2" w:rsidRDefault="008F0FA5" w:rsidP="00705875">
      <w:pPr>
        <w:pStyle w:val="FootnoteText"/>
        <w:tabs>
          <w:tab w:val="clear" w:pos="418"/>
          <w:tab w:val="right" w:pos="1195"/>
          <w:tab w:val="left" w:pos="1267"/>
          <w:tab w:val="left" w:pos="1742"/>
          <w:tab w:val="left" w:pos="2218"/>
          <w:tab w:val="left" w:pos="2693"/>
        </w:tabs>
        <w:ind w:left="1267" w:right="1267" w:hanging="432"/>
        <w:rPr>
          <w:szCs w:val="18"/>
          <w:lang w:val="es-ES"/>
        </w:rPr>
      </w:pPr>
      <w:r>
        <w:rPr>
          <w:lang w:val="es-ES"/>
        </w:rPr>
        <w:tab/>
        <w:t>*</w:t>
      </w:r>
      <w:r>
        <w:rPr>
          <w:lang w:val="es-ES"/>
        </w:rPr>
        <w:tab/>
        <w:t>El presente documento se publica sin revisión editorial.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1E6891" w:rsidRPr="008625D3" w14:paraId="6CE45AB2" w14:textId="77777777" w:rsidTr="001E6891">
      <w:trPr>
        <w:trHeight w:hRule="exact" w:val="864"/>
      </w:trPr>
      <w:tc>
        <w:tcPr>
          <w:tcW w:w="4939" w:type="dxa"/>
          <w:shd w:val="clear" w:color="auto" w:fill="auto"/>
          <w:vAlign w:val="bottom"/>
        </w:tcPr>
        <w:p w14:paraId="52CF4C0E" w14:textId="46491781" w:rsidR="001E6891" w:rsidRPr="001E6891" w:rsidRDefault="001E6891" w:rsidP="001E689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515D8">
            <w:rPr>
              <w:b/>
              <w:color w:val="000000"/>
            </w:rPr>
            <w:t>CEDAW/C/GHA/CO/6-7/Add.1</w:t>
          </w:r>
          <w:r>
            <w:rPr>
              <w:b/>
              <w:color w:val="000000"/>
            </w:rPr>
            <w:fldChar w:fldCharType="end"/>
          </w:r>
        </w:p>
      </w:tc>
      <w:tc>
        <w:tcPr>
          <w:tcW w:w="4920" w:type="dxa"/>
          <w:shd w:val="clear" w:color="auto" w:fill="auto"/>
          <w:vAlign w:val="bottom"/>
        </w:tcPr>
        <w:p w14:paraId="75A598D0" w14:textId="77777777" w:rsidR="001E6891" w:rsidRDefault="001E6891" w:rsidP="001E6891">
          <w:pPr>
            <w:pStyle w:val="Header"/>
          </w:pPr>
        </w:p>
      </w:tc>
    </w:tr>
  </w:tbl>
  <w:p w14:paraId="0F7857AD" w14:textId="77777777" w:rsidR="001E6891" w:rsidRPr="001E6891" w:rsidRDefault="001E6891" w:rsidP="001E689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1E6891" w:rsidRPr="008625D3" w14:paraId="5180A0B8" w14:textId="77777777" w:rsidTr="001E6891">
      <w:trPr>
        <w:trHeight w:hRule="exact" w:val="864"/>
      </w:trPr>
      <w:tc>
        <w:tcPr>
          <w:tcW w:w="4939" w:type="dxa"/>
          <w:shd w:val="clear" w:color="auto" w:fill="auto"/>
          <w:vAlign w:val="bottom"/>
        </w:tcPr>
        <w:p w14:paraId="1C9E198C" w14:textId="77777777" w:rsidR="001E6891" w:rsidRDefault="001E6891" w:rsidP="001E6891">
          <w:pPr>
            <w:pStyle w:val="Header"/>
          </w:pPr>
        </w:p>
      </w:tc>
      <w:tc>
        <w:tcPr>
          <w:tcW w:w="4920" w:type="dxa"/>
          <w:shd w:val="clear" w:color="auto" w:fill="auto"/>
          <w:vAlign w:val="bottom"/>
        </w:tcPr>
        <w:p w14:paraId="7846DC5C" w14:textId="0A191AEE" w:rsidR="001E6891" w:rsidRPr="001E6891" w:rsidRDefault="001E6891" w:rsidP="001E689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515D8">
            <w:rPr>
              <w:b/>
              <w:color w:val="000000"/>
            </w:rPr>
            <w:t>CEDAW/C/GHA/CO/6-7/Add.1</w:t>
          </w:r>
          <w:r>
            <w:rPr>
              <w:b/>
              <w:color w:val="000000"/>
            </w:rPr>
            <w:fldChar w:fldCharType="end"/>
          </w:r>
        </w:p>
      </w:tc>
    </w:tr>
  </w:tbl>
  <w:p w14:paraId="4EA290E1" w14:textId="77777777" w:rsidR="001E6891" w:rsidRPr="001E6891" w:rsidRDefault="001E6891" w:rsidP="001E689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1E6891" w:rsidRPr="000D4594" w14:paraId="34432FD8" w14:textId="77777777" w:rsidTr="001E6891">
      <w:trPr>
        <w:gridAfter w:val="1"/>
        <w:wAfter w:w="15" w:type="dxa"/>
        <w:trHeight w:hRule="exact" w:val="864"/>
      </w:trPr>
      <w:tc>
        <w:tcPr>
          <w:tcW w:w="1267" w:type="dxa"/>
          <w:tcBorders>
            <w:bottom w:val="single" w:sz="4" w:space="0" w:color="auto"/>
          </w:tcBorders>
          <w:shd w:val="clear" w:color="auto" w:fill="auto"/>
          <w:vAlign w:val="bottom"/>
        </w:tcPr>
        <w:p w14:paraId="016FE440" w14:textId="77777777" w:rsidR="001E6891" w:rsidRDefault="001E6891" w:rsidP="001E6891">
          <w:pPr>
            <w:pStyle w:val="Header"/>
            <w:spacing w:after="120"/>
          </w:pPr>
        </w:p>
      </w:tc>
      <w:tc>
        <w:tcPr>
          <w:tcW w:w="2059" w:type="dxa"/>
          <w:tcBorders>
            <w:bottom w:val="single" w:sz="4" w:space="0" w:color="auto"/>
          </w:tcBorders>
          <w:shd w:val="clear" w:color="auto" w:fill="auto"/>
          <w:vAlign w:val="bottom"/>
        </w:tcPr>
        <w:p w14:paraId="3C94240C" w14:textId="77777777" w:rsidR="001E6891" w:rsidRPr="001E6891" w:rsidRDefault="001E6891" w:rsidP="001E689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A37AE10" w14:textId="77777777" w:rsidR="001E6891" w:rsidRDefault="001E6891" w:rsidP="001E6891">
          <w:pPr>
            <w:pStyle w:val="Header"/>
            <w:spacing w:after="120"/>
          </w:pPr>
        </w:p>
      </w:tc>
      <w:tc>
        <w:tcPr>
          <w:tcW w:w="6480" w:type="dxa"/>
          <w:gridSpan w:val="3"/>
          <w:tcBorders>
            <w:bottom w:val="single" w:sz="4" w:space="0" w:color="auto"/>
          </w:tcBorders>
          <w:shd w:val="clear" w:color="auto" w:fill="auto"/>
          <w:vAlign w:val="bottom"/>
        </w:tcPr>
        <w:p w14:paraId="651D689D" w14:textId="77777777" w:rsidR="001E6891" w:rsidRPr="00ED0FC1" w:rsidRDefault="001E6891" w:rsidP="001E6891">
          <w:pPr>
            <w:spacing w:after="80" w:line="240" w:lineRule="auto"/>
            <w:jc w:val="right"/>
            <w:rPr>
              <w:position w:val="-4"/>
              <w:lang w:val="en-US"/>
            </w:rPr>
          </w:pPr>
          <w:r w:rsidRPr="00ED0FC1">
            <w:rPr>
              <w:position w:val="-4"/>
              <w:sz w:val="40"/>
              <w:lang w:val="en-US"/>
            </w:rPr>
            <w:t>CEDAW</w:t>
          </w:r>
          <w:r w:rsidRPr="00ED0FC1">
            <w:rPr>
              <w:position w:val="-4"/>
              <w:lang w:val="en-US"/>
            </w:rPr>
            <w:t>/C/GHA/CO/6-7/Add.1</w:t>
          </w:r>
        </w:p>
      </w:tc>
    </w:tr>
    <w:tr w:rsidR="001E6891" w:rsidRPr="001E6891" w14:paraId="63A79243" w14:textId="77777777" w:rsidTr="001E6891">
      <w:trPr>
        <w:trHeight w:hRule="exact" w:val="2880"/>
      </w:trPr>
      <w:tc>
        <w:tcPr>
          <w:tcW w:w="1267" w:type="dxa"/>
          <w:tcBorders>
            <w:top w:val="single" w:sz="4" w:space="0" w:color="auto"/>
            <w:bottom w:val="single" w:sz="12" w:space="0" w:color="auto"/>
          </w:tcBorders>
          <w:shd w:val="clear" w:color="auto" w:fill="auto"/>
        </w:tcPr>
        <w:p w14:paraId="108F3F06" w14:textId="77777777" w:rsidR="001E6891" w:rsidRPr="001E6891" w:rsidRDefault="001E6891" w:rsidP="001E6891">
          <w:pPr>
            <w:pStyle w:val="Header"/>
            <w:spacing w:before="120"/>
            <w:jc w:val="center"/>
          </w:pPr>
          <w:r>
            <w:t xml:space="preserve"> </w:t>
          </w:r>
          <w:r>
            <w:drawing>
              <wp:inline distT="0" distB="0" distL="0" distR="0" wp14:anchorId="623660C8" wp14:editId="5B2BB9B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2717C94" w14:textId="77777777" w:rsidR="001E6891" w:rsidRPr="001E6891" w:rsidRDefault="001E6891" w:rsidP="001E6891">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6C52AD5" w14:textId="77777777" w:rsidR="001E6891" w:rsidRPr="00ED0FC1" w:rsidRDefault="001E6891" w:rsidP="001E6891">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14:paraId="45090AE4" w14:textId="77777777" w:rsidR="001E6891" w:rsidRDefault="001E6891" w:rsidP="001E6891">
          <w:pPr>
            <w:pStyle w:val="Distribution"/>
            <w:spacing w:before="240"/>
          </w:pPr>
          <w:proofErr w:type="spellStart"/>
          <w:r>
            <w:t>Distr</w:t>
          </w:r>
          <w:proofErr w:type="spellEnd"/>
          <w:r>
            <w:t>. general</w:t>
          </w:r>
        </w:p>
        <w:p w14:paraId="06F39AAF" w14:textId="77777777" w:rsidR="001E6891" w:rsidRDefault="001E6891" w:rsidP="001E6891">
          <w:pPr>
            <w:pStyle w:val="Publication"/>
          </w:pPr>
          <w:r>
            <w:t>14 de noviembre de 2018</w:t>
          </w:r>
        </w:p>
        <w:p w14:paraId="4A81D47C" w14:textId="77777777" w:rsidR="001E6891" w:rsidRDefault="001E6891" w:rsidP="001E6891">
          <w:pPr>
            <w:rPr>
              <w:lang w:val="es-ES"/>
            </w:rPr>
          </w:pPr>
          <w:r>
            <w:rPr>
              <w:lang w:val="es-ES"/>
            </w:rPr>
            <w:t>Español</w:t>
          </w:r>
        </w:p>
        <w:p w14:paraId="71C179A0" w14:textId="0E3589E8" w:rsidR="001E6891" w:rsidRDefault="001E6891" w:rsidP="001E6891">
          <w:pPr>
            <w:pStyle w:val="Original"/>
          </w:pPr>
          <w:r>
            <w:t>Original: inglés</w:t>
          </w:r>
        </w:p>
        <w:p w14:paraId="36F834E4" w14:textId="0839B253" w:rsidR="00ED0FC1" w:rsidRPr="00ED0FC1" w:rsidRDefault="00ED0FC1" w:rsidP="00ED0FC1">
          <w:pPr>
            <w:rPr>
              <w:lang w:val="es-ES"/>
            </w:rPr>
          </w:pPr>
          <w:r>
            <w:rPr>
              <w:lang w:val="es-ES"/>
            </w:rPr>
            <w:t xml:space="preserve">Español, francés e inglés </w:t>
          </w:r>
          <w:r w:rsidR="00E515D8">
            <w:rPr>
              <w:lang w:val="es-ES"/>
            </w:rPr>
            <w:t>únicamente</w:t>
          </w:r>
        </w:p>
        <w:p w14:paraId="2663F480" w14:textId="77777777" w:rsidR="001E6891" w:rsidRPr="001E6891" w:rsidRDefault="001E6891" w:rsidP="001E6891">
          <w:pPr>
            <w:rPr>
              <w:lang w:val="es-ES"/>
            </w:rPr>
          </w:pPr>
        </w:p>
      </w:tc>
    </w:tr>
  </w:tbl>
  <w:p w14:paraId="2EA30449" w14:textId="77777777" w:rsidR="001E6891" w:rsidRPr="000D4594" w:rsidRDefault="001E6891" w:rsidP="001E6891">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E5726"/>
    <w:multiLevelType w:val="singleLevel"/>
    <w:tmpl w:val="9BB4AE62"/>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125458D0"/>
    <w:multiLevelType w:val="singleLevel"/>
    <w:tmpl w:val="B7E45732"/>
    <w:lvl w:ilvl="0">
      <w:start w:val="19"/>
      <w:numFmt w:val="decimal"/>
      <w:lvlRestart w:val="0"/>
      <w:lvlText w:val="%1."/>
      <w:lvlJc w:val="left"/>
      <w:pPr>
        <w:tabs>
          <w:tab w:val="num" w:pos="475"/>
        </w:tabs>
        <w:ind w:left="0" w:firstLine="0"/>
      </w:pPr>
      <w:rPr>
        <w:spacing w:val="0"/>
        <w:w w:val="100"/>
      </w:rPr>
    </w:lvl>
  </w:abstractNum>
  <w:abstractNum w:abstractNumId="2" w15:restartNumberingAfterBreak="0">
    <w:nsid w:val="20330AD0"/>
    <w:multiLevelType w:val="hybridMultilevel"/>
    <w:tmpl w:val="C1768704"/>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244C3A3E"/>
    <w:multiLevelType w:val="singleLevel"/>
    <w:tmpl w:val="B7E45732"/>
    <w:lvl w:ilvl="0">
      <w:start w:val="19"/>
      <w:numFmt w:val="decimal"/>
      <w:lvlRestart w:val="0"/>
      <w:lvlText w:val="%1."/>
      <w:lvlJc w:val="left"/>
      <w:pPr>
        <w:tabs>
          <w:tab w:val="num" w:pos="475"/>
        </w:tabs>
        <w:ind w:left="0" w:firstLine="0"/>
      </w:pPr>
      <w:rPr>
        <w:spacing w:val="0"/>
        <w:w w:val="100"/>
      </w:rPr>
    </w:lvl>
  </w:abstractNum>
  <w:abstractNum w:abstractNumId="4" w15:restartNumberingAfterBreak="0">
    <w:nsid w:val="4B5D0561"/>
    <w:multiLevelType w:val="hybridMultilevel"/>
    <w:tmpl w:val="59661614"/>
    <w:lvl w:ilvl="0" w:tplc="5B842AAE">
      <w:start w:val="1"/>
      <w:numFmt w:val="decimal"/>
      <w:lvlText w:val="%1."/>
      <w:lvlJc w:val="left"/>
      <w:pPr>
        <w:ind w:left="1134" w:firstLine="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4BA53DF1"/>
    <w:multiLevelType w:val="singleLevel"/>
    <w:tmpl w:val="9BB4AE62"/>
    <w:lvl w:ilvl="0">
      <w:start w:val="1"/>
      <w:numFmt w:val="decimal"/>
      <w:lvlRestart w:val="0"/>
      <w:lvlText w:val="%1."/>
      <w:lvlJc w:val="left"/>
      <w:pPr>
        <w:tabs>
          <w:tab w:val="num" w:pos="475"/>
        </w:tabs>
        <w:ind w:left="0" w:firstLine="0"/>
      </w:pPr>
      <w:rPr>
        <w:spacing w:val="0"/>
        <w:w w:val="100"/>
      </w:rPr>
    </w:lvl>
  </w:abstractNum>
  <w:abstractNum w:abstractNumId="6" w15:restartNumberingAfterBreak="0">
    <w:nsid w:val="4CE669A5"/>
    <w:multiLevelType w:val="multilevel"/>
    <w:tmpl w:val="C43CDC4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0E067B3"/>
    <w:multiLevelType w:val="singleLevel"/>
    <w:tmpl w:val="A788B3B8"/>
    <w:lvl w:ilvl="0">
      <w:start w:val="18"/>
      <w:numFmt w:val="decimal"/>
      <w:lvlRestart w:val="0"/>
      <w:lvlText w:val="%1."/>
      <w:lvlJc w:val="left"/>
      <w:pPr>
        <w:tabs>
          <w:tab w:val="num" w:pos="475"/>
        </w:tabs>
        <w:ind w:left="0" w:firstLine="0"/>
      </w:pPr>
      <w:rPr>
        <w:spacing w:val="0"/>
        <w:w w:val="100"/>
      </w:rPr>
    </w:lvl>
  </w:abstractNum>
  <w:abstractNum w:abstractNumId="8" w15:restartNumberingAfterBreak="0">
    <w:nsid w:val="51376339"/>
    <w:multiLevelType w:val="hybridMultilevel"/>
    <w:tmpl w:val="11068E7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438003CA"/>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6AF74B79"/>
    <w:multiLevelType w:val="singleLevel"/>
    <w:tmpl w:val="890AD586"/>
    <w:lvl w:ilvl="0">
      <w:start w:val="1"/>
      <w:numFmt w:val="decimal"/>
      <w:lvlRestart w:val="0"/>
      <w:lvlText w:val="%1."/>
      <w:lvlJc w:val="left"/>
      <w:pPr>
        <w:tabs>
          <w:tab w:val="num" w:pos="475"/>
        </w:tabs>
        <w:ind w:left="0" w:firstLine="0"/>
      </w:pPr>
      <w:rPr>
        <w:b w:val="0"/>
        <w:bCs w:val="0"/>
        <w:spacing w:val="0"/>
        <w:w w:val="100"/>
      </w:rPr>
    </w:lvl>
  </w:abstractNum>
  <w:abstractNum w:abstractNumId="11" w15:restartNumberingAfterBreak="0">
    <w:nsid w:val="75A17C45"/>
    <w:multiLevelType w:val="hybridMultilevel"/>
    <w:tmpl w:val="0728FB54"/>
    <w:lvl w:ilvl="0" w:tplc="05C24414">
      <w:start w:val="1"/>
      <w:numFmt w:val="decimal"/>
      <w:lvlText w:val="%1."/>
      <w:lvlJc w:val="left"/>
      <w:pPr>
        <w:ind w:left="1747" w:hanging="480"/>
      </w:pPr>
      <w:rPr>
        <w:rFonts w:hint="default"/>
      </w:rPr>
    </w:lvl>
    <w:lvl w:ilvl="1" w:tplc="040A0019" w:tentative="1">
      <w:start w:val="1"/>
      <w:numFmt w:val="lowerLetter"/>
      <w:lvlText w:val="%2."/>
      <w:lvlJc w:val="left"/>
      <w:pPr>
        <w:ind w:left="2347" w:hanging="360"/>
      </w:pPr>
    </w:lvl>
    <w:lvl w:ilvl="2" w:tplc="040A001B" w:tentative="1">
      <w:start w:val="1"/>
      <w:numFmt w:val="lowerRoman"/>
      <w:lvlText w:val="%3."/>
      <w:lvlJc w:val="right"/>
      <w:pPr>
        <w:ind w:left="3067" w:hanging="180"/>
      </w:pPr>
    </w:lvl>
    <w:lvl w:ilvl="3" w:tplc="040A000F" w:tentative="1">
      <w:start w:val="1"/>
      <w:numFmt w:val="decimal"/>
      <w:lvlText w:val="%4."/>
      <w:lvlJc w:val="left"/>
      <w:pPr>
        <w:ind w:left="3787" w:hanging="360"/>
      </w:pPr>
    </w:lvl>
    <w:lvl w:ilvl="4" w:tplc="040A0019" w:tentative="1">
      <w:start w:val="1"/>
      <w:numFmt w:val="lowerLetter"/>
      <w:lvlText w:val="%5."/>
      <w:lvlJc w:val="left"/>
      <w:pPr>
        <w:ind w:left="4507" w:hanging="360"/>
      </w:pPr>
    </w:lvl>
    <w:lvl w:ilvl="5" w:tplc="040A001B" w:tentative="1">
      <w:start w:val="1"/>
      <w:numFmt w:val="lowerRoman"/>
      <w:lvlText w:val="%6."/>
      <w:lvlJc w:val="right"/>
      <w:pPr>
        <w:ind w:left="5227" w:hanging="180"/>
      </w:pPr>
    </w:lvl>
    <w:lvl w:ilvl="6" w:tplc="040A000F" w:tentative="1">
      <w:start w:val="1"/>
      <w:numFmt w:val="decimal"/>
      <w:lvlText w:val="%7."/>
      <w:lvlJc w:val="left"/>
      <w:pPr>
        <w:ind w:left="5947" w:hanging="360"/>
      </w:pPr>
    </w:lvl>
    <w:lvl w:ilvl="7" w:tplc="040A0019" w:tentative="1">
      <w:start w:val="1"/>
      <w:numFmt w:val="lowerLetter"/>
      <w:lvlText w:val="%8."/>
      <w:lvlJc w:val="left"/>
      <w:pPr>
        <w:ind w:left="6667" w:hanging="360"/>
      </w:pPr>
    </w:lvl>
    <w:lvl w:ilvl="8" w:tplc="040A001B" w:tentative="1">
      <w:start w:val="1"/>
      <w:numFmt w:val="lowerRoman"/>
      <w:lvlText w:val="%9."/>
      <w:lvlJc w:val="right"/>
      <w:pPr>
        <w:ind w:left="7387" w:hanging="180"/>
      </w:pPr>
    </w:lvl>
  </w:abstractNum>
  <w:abstractNum w:abstractNumId="12" w15:restartNumberingAfterBreak="0">
    <w:nsid w:val="79F5790B"/>
    <w:multiLevelType w:val="singleLevel"/>
    <w:tmpl w:val="9BB4AE62"/>
    <w:lvl w:ilvl="0">
      <w:start w:val="1"/>
      <w:numFmt w:val="decimal"/>
      <w:lvlRestart w:val="0"/>
      <w:lvlText w:val="%1."/>
      <w:lvlJc w:val="left"/>
      <w:pPr>
        <w:tabs>
          <w:tab w:val="num" w:pos="475"/>
        </w:tabs>
        <w:ind w:left="0" w:firstLine="0"/>
      </w:pPr>
      <w:rPr>
        <w:spacing w:val="0"/>
        <w:w w:val="100"/>
      </w:rPr>
    </w:lvl>
  </w:abstractNum>
  <w:num w:numId="1">
    <w:abstractNumId w:val="9"/>
  </w:num>
  <w:num w:numId="2">
    <w:abstractNumId w:val="2"/>
  </w:num>
  <w:num w:numId="3">
    <w:abstractNumId w:val="8"/>
  </w:num>
  <w:num w:numId="4">
    <w:abstractNumId w:val="6"/>
  </w:num>
  <w:num w:numId="5">
    <w:abstractNumId w:val="9"/>
  </w:num>
  <w:num w:numId="6">
    <w:abstractNumId w:val="2"/>
  </w:num>
  <w:num w:numId="7">
    <w:abstractNumId w:val="8"/>
  </w:num>
  <w:num w:numId="8">
    <w:abstractNumId w:val="6"/>
  </w:num>
  <w:num w:numId="9">
    <w:abstractNumId w:val="9"/>
  </w:num>
  <w:num w:numId="10">
    <w:abstractNumId w:val="2"/>
  </w:num>
  <w:num w:numId="11">
    <w:abstractNumId w:val="8"/>
  </w:num>
  <w:num w:numId="12">
    <w:abstractNumId w:val="6"/>
  </w:num>
  <w:num w:numId="13">
    <w:abstractNumId w:val="9"/>
  </w:num>
  <w:num w:numId="14">
    <w:abstractNumId w:val="2"/>
  </w:num>
  <w:num w:numId="15">
    <w:abstractNumId w:val="8"/>
  </w:num>
  <w:num w:numId="16">
    <w:abstractNumId w:val="6"/>
  </w:num>
  <w:num w:numId="17">
    <w:abstractNumId w:val="4"/>
    <w:lvlOverride w:ilvl="0">
      <w:lvl w:ilvl="0" w:tplc="5B842AAE">
        <w:start w:val="1"/>
        <w:numFmt w:val="decimal"/>
        <w:lvlText w:val="%1."/>
        <w:lvlJc w:val="left"/>
        <w:pPr>
          <w:ind w:left="1134" w:firstLine="0"/>
        </w:pPr>
        <w:rPr>
          <w:rFonts w:hint="default"/>
          <w:b w:val="0"/>
        </w:rPr>
      </w:lvl>
    </w:lvlOverride>
  </w:num>
  <w:num w:numId="18">
    <w:abstractNumId w:val="0"/>
  </w:num>
  <w:num w:numId="19">
    <w:abstractNumId w:val="5"/>
  </w:num>
  <w:num w:numId="20">
    <w:abstractNumId w:val="12"/>
  </w:num>
  <w:num w:numId="21">
    <w:abstractNumId w:val="7"/>
  </w:num>
  <w:num w:numId="22">
    <w:abstractNumId w:val="1"/>
  </w:num>
  <w:num w:numId="23">
    <w:abstractNumId w:val="11"/>
  </w:num>
  <w:num w:numId="24">
    <w:abstractNumId w:val="3"/>
  </w:num>
  <w:num w:numId="2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21*"/>
    <w:docVar w:name="CreationDt" w:val="04/12/2018 4:48: PM"/>
    <w:docVar w:name="DocCategory" w:val="Doc"/>
    <w:docVar w:name="DocType" w:val="Final"/>
    <w:docVar w:name="DutyStation" w:val="New York"/>
    <w:docVar w:name="FooterJN" w:val="18-19321"/>
    <w:docVar w:name="jobn" w:val="18-19321 (S)"/>
    <w:docVar w:name="jobnDT" w:val="18-19321 (S)   041218"/>
    <w:docVar w:name="jobnDTDT" w:val="18-19321 (S)   041218   041218"/>
    <w:docVar w:name="JobNo" w:val="1819321S"/>
    <w:docVar w:name="JobNo2" w:val="18378114:48: PM"/>
    <w:docVar w:name="LocalDrive" w:val="0"/>
    <w:docVar w:name="OandT" w:val="NB/Xavier Gómez-Pantoja"/>
    <w:docVar w:name="sss1" w:val="CEDAW/C/GHA/CO/6-7/Add.1"/>
    <w:docVar w:name="sss2" w:val="-"/>
    <w:docVar w:name="Symbol1" w:val="CEDAW/C/GHA/CO/6-7/Add.1"/>
    <w:docVar w:name="Symbol2" w:val="-"/>
  </w:docVars>
  <w:rsids>
    <w:rsidRoot w:val="00EB34A0"/>
    <w:rsid w:val="00017FCF"/>
    <w:rsid w:val="00024D1E"/>
    <w:rsid w:val="00065018"/>
    <w:rsid w:val="000A749E"/>
    <w:rsid w:val="000C4C9C"/>
    <w:rsid w:val="000D4594"/>
    <w:rsid w:val="000F5173"/>
    <w:rsid w:val="0011115C"/>
    <w:rsid w:val="001263EE"/>
    <w:rsid w:val="00153B79"/>
    <w:rsid w:val="001D6890"/>
    <w:rsid w:val="001E6891"/>
    <w:rsid w:val="001F0FB0"/>
    <w:rsid w:val="002025C8"/>
    <w:rsid w:val="00214645"/>
    <w:rsid w:val="002540F2"/>
    <w:rsid w:val="00262329"/>
    <w:rsid w:val="002706A2"/>
    <w:rsid w:val="002A7FB3"/>
    <w:rsid w:val="002F4257"/>
    <w:rsid w:val="00300BF5"/>
    <w:rsid w:val="003C5E36"/>
    <w:rsid w:val="003C7E0F"/>
    <w:rsid w:val="003D36CF"/>
    <w:rsid w:val="003E3B08"/>
    <w:rsid w:val="003E723B"/>
    <w:rsid w:val="00420B10"/>
    <w:rsid w:val="004266CF"/>
    <w:rsid w:val="00426D65"/>
    <w:rsid w:val="004363FD"/>
    <w:rsid w:val="0044179B"/>
    <w:rsid w:val="0046630D"/>
    <w:rsid w:val="00472364"/>
    <w:rsid w:val="004B4C46"/>
    <w:rsid w:val="004D17DB"/>
    <w:rsid w:val="005279DD"/>
    <w:rsid w:val="0054233B"/>
    <w:rsid w:val="00556720"/>
    <w:rsid w:val="005832B1"/>
    <w:rsid w:val="00583D31"/>
    <w:rsid w:val="005B6F9A"/>
    <w:rsid w:val="005C49C8"/>
    <w:rsid w:val="005C6771"/>
    <w:rsid w:val="005D089B"/>
    <w:rsid w:val="005E363E"/>
    <w:rsid w:val="00630929"/>
    <w:rsid w:val="00674235"/>
    <w:rsid w:val="006B63BE"/>
    <w:rsid w:val="00705875"/>
    <w:rsid w:val="00736CED"/>
    <w:rsid w:val="007378C0"/>
    <w:rsid w:val="00781F23"/>
    <w:rsid w:val="007C5E21"/>
    <w:rsid w:val="00831D40"/>
    <w:rsid w:val="008350F0"/>
    <w:rsid w:val="00855FFA"/>
    <w:rsid w:val="008625D3"/>
    <w:rsid w:val="008723C3"/>
    <w:rsid w:val="008F0FA5"/>
    <w:rsid w:val="008F3E1E"/>
    <w:rsid w:val="008F5C2D"/>
    <w:rsid w:val="00926813"/>
    <w:rsid w:val="009273FD"/>
    <w:rsid w:val="009457D2"/>
    <w:rsid w:val="009A2038"/>
    <w:rsid w:val="009B1FF1"/>
    <w:rsid w:val="009E1969"/>
    <w:rsid w:val="00A20AC0"/>
    <w:rsid w:val="00A2279C"/>
    <w:rsid w:val="00A458DD"/>
    <w:rsid w:val="00A72206"/>
    <w:rsid w:val="00A8524E"/>
    <w:rsid w:val="00A966CD"/>
    <w:rsid w:val="00AB5A4B"/>
    <w:rsid w:val="00AF38EB"/>
    <w:rsid w:val="00B40947"/>
    <w:rsid w:val="00B565FD"/>
    <w:rsid w:val="00B95B84"/>
    <w:rsid w:val="00B9620C"/>
    <w:rsid w:val="00BB778A"/>
    <w:rsid w:val="00BF5B27"/>
    <w:rsid w:val="00BF6BE0"/>
    <w:rsid w:val="00C02934"/>
    <w:rsid w:val="00C04769"/>
    <w:rsid w:val="00C779E4"/>
    <w:rsid w:val="00CA0E8B"/>
    <w:rsid w:val="00CC2F2F"/>
    <w:rsid w:val="00CF0D9C"/>
    <w:rsid w:val="00D15D85"/>
    <w:rsid w:val="00DA119C"/>
    <w:rsid w:val="00DC7B16"/>
    <w:rsid w:val="00DF34AE"/>
    <w:rsid w:val="00E33AEC"/>
    <w:rsid w:val="00E445F9"/>
    <w:rsid w:val="00E515D8"/>
    <w:rsid w:val="00E7541B"/>
    <w:rsid w:val="00E77451"/>
    <w:rsid w:val="00EB34A0"/>
    <w:rsid w:val="00EC6195"/>
    <w:rsid w:val="00ED0FC1"/>
    <w:rsid w:val="00F20A4E"/>
    <w:rsid w:val="00F27BF6"/>
    <w:rsid w:val="00F30184"/>
    <w:rsid w:val="00F31052"/>
    <w:rsid w:val="00F32866"/>
    <w:rsid w:val="00F41482"/>
    <w:rsid w:val="00F5593E"/>
    <w:rsid w:val="00F94BC6"/>
    <w:rsid w:val="00FA0EFB"/>
    <w:rsid w:val="00FB1EC3"/>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908F9A"/>
  <w15:chartTrackingRefBased/>
  <w15:docId w15:val="{A4DAE6BC-93F7-4AFE-B8AC-038D7008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771"/>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5C677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C677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C677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C677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C677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C677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C677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C677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C677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C67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5C6771"/>
    <w:pPr>
      <w:keepNext/>
      <w:keepLines/>
      <w:spacing w:line="270" w:lineRule="exact"/>
      <w:outlineLvl w:val="0"/>
    </w:pPr>
    <w:rPr>
      <w:b/>
      <w:kern w:val="14"/>
      <w:sz w:val="24"/>
    </w:rPr>
  </w:style>
  <w:style w:type="paragraph" w:customStyle="1" w:styleId="HCh">
    <w:name w:val="_ H _Ch"/>
    <w:basedOn w:val="H1"/>
    <w:next w:val="Normal"/>
    <w:qFormat/>
    <w:rsid w:val="005C6771"/>
    <w:pPr>
      <w:spacing w:line="300" w:lineRule="exact"/>
    </w:pPr>
    <w:rPr>
      <w:spacing w:val="-2"/>
      <w:sz w:val="28"/>
    </w:rPr>
  </w:style>
  <w:style w:type="paragraph" w:customStyle="1" w:styleId="HM">
    <w:name w:val="_ H __M"/>
    <w:basedOn w:val="HCh"/>
    <w:next w:val="Normal"/>
    <w:qFormat/>
    <w:rsid w:val="005C6771"/>
    <w:pPr>
      <w:spacing w:line="360" w:lineRule="exact"/>
    </w:pPr>
    <w:rPr>
      <w:spacing w:val="-3"/>
      <w:w w:val="99"/>
      <w:sz w:val="34"/>
    </w:rPr>
  </w:style>
  <w:style w:type="paragraph" w:customStyle="1" w:styleId="H23">
    <w:name w:val="_ H_2/3"/>
    <w:basedOn w:val="H1"/>
    <w:next w:val="SingleTxt"/>
    <w:qFormat/>
    <w:rsid w:val="005C6771"/>
    <w:pPr>
      <w:spacing w:line="240" w:lineRule="exact"/>
      <w:outlineLvl w:val="1"/>
    </w:pPr>
    <w:rPr>
      <w:spacing w:val="2"/>
      <w:sz w:val="20"/>
    </w:rPr>
  </w:style>
  <w:style w:type="paragraph" w:customStyle="1" w:styleId="H4">
    <w:name w:val="_ H_4"/>
    <w:basedOn w:val="Normal"/>
    <w:next w:val="Normal"/>
    <w:qFormat/>
    <w:rsid w:val="005C6771"/>
    <w:pPr>
      <w:keepNext/>
      <w:keepLines/>
      <w:tabs>
        <w:tab w:val="right" w:pos="360"/>
      </w:tabs>
      <w:outlineLvl w:val="3"/>
    </w:pPr>
    <w:rPr>
      <w:i/>
      <w:spacing w:val="3"/>
      <w:kern w:val="14"/>
    </w:rPr>
  </w:style>
  <w:style w:type="paragraph" w:customStyle="1" w:styleId="H56">
    <w:name w:val="_ H_5/6"/>
    <w:basedOn w:val="Normal"/>
    <w:next w:val="Normal"/>
    <w:qFormat/>
    <w:rsid w:val="005C6771"/>
    <w:pPr>
      <w:keepNext/>
      <w:keepLines/>
      <w:tabs>
        <w:tab w:val="right" w:pos="360"/>
      </w:tabs>
      <w:outlineLvl w:val="4"/>
    </w:pPr>
    <w:rPr>
      <w:kern w:val="14"/>
    </w:rPr>
  </w:style>
  <w:style w:type="paragraph" w:customStyle="1" w:styleId="DualTxt">
    <w:name w:val="__Dual Txt"/>
    <w:basedOn w:val="Normal"/>
    <w:qFormat/>
    <w:rsid w:val="005C677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C677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C6771"/>
    <w:pPr>
      <w:spacing w:line="540" w:lineRule="exact"/>
    </w:pPr>
    <w:rPr>
      <w:spacing w:val="-8"/>
      <w:w w:val="96"/>
      <w:sz w:val="57"/>
    </w:rPr>
  </w:style>
  <w:style w:type="paragraph" w:customStyle="1" w:styleId="SS">
    <w:name w:val="__S_S"/>
    <w:basedOn w:val="HCh"/>
    <w:next w:val="Normal"/>
    <w:qFormat/>
    <w:rsid w:val="005C6771"/>
    <w:pPr>
      <w:ind w:left="1267" w:right="1267"/>
    </w:pPr>
  </w:style>
  <w:style w:type="paragraph" w:customStyle="1" w:styleId="SingleTxt">
    <w:name w:val="__Single Txt"/>
    <w:basedOn w:val="Normal"/>
    <w:qFormat/>
    <w:rsid w:val="005C677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C6771"/>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C677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C677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C6771"/>
    <w:rPr>
      <w:rFonts w:ascii="Tahoma" w:hAnsi="Tahoma" w:cs="Tahoma"/>
      <w:sz w:val="16"/>
      <w:szCs w:val="16"/>
    </w:rPr>
  </w:style>
  <w:style w:type="character" w:customStyle="1" w:styleId="BalloonTextChar">
    <w:name w:val="Balloon Text Char"/>
    <w:basedOn w:val="DefaultParagraphFont"/>
    <w:link w:val="BalloonText"/>
    <w:semiHidden/>
    <w:rsid w:val="005C6771"/>
    <w:rPr>
      <w:rFonts w:ascii="Tahoma" w:eastAsiaTheme="minorHAnsi" w:hAnsi="Tahoma" w:cs="Tahoma"/>
      <w:spacing w:val="4"/>
      <w:w w:val="103"/>
      <w:sz w:val="16"/>
      <w:szCs w:val="16"/>
      <w:lang w:val="es-ES" w:eastAsia="en-US"/>
    </w:rPr>
  </w:style>
  <w:style w:type="paragraph" w:customStyle="1" w:styleId="Bullet1">
    <w:name w:val="Bullet 1"/>
    <w:basedOn w:val="Normal"/>
    <w:qFormat/>
    <w:rsid w:val="005C6771"/>
    <w:pPr>
      <w:numPr>
        <w:numId w:val="13"/>
      </w:numPr>
      <w:spacing w:after="120"/>
      <w:ind w:right="1264"/>
      <w:jc w:val="both"/>
    </w:pPr>
  </w:style>
  <w:style w:type="paragraph" w:customStyle="1" w:styleId="Bullet2">
    <w:name w:val="Bullet 2"/>
    <w:basedOn w:val="Normal"/>
    <w:qFormat/>
    <w:rsid w:val="005C6771"/>
    <w:pPr>
      <w:numPr>
        <w:numId w:val="14"/>
      </w:numPr>
      <w:spacing w:after="120"/>
      <w:ind w:right="1264"/>
      <w:jc w:val="both"/>
    </w:pPr>
  </w:style>
  <w:style w:type="paragraph" w:customStyle="1" w:styleId="Bullet3">
    <w:name w:val="Bullet 3"/>
    <w:basedOn w:val="SingleTxt"/>
    <w:qFormat/>
    <w:rsid w:val="005C6771"/>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C6771"/>
    <w:pPr>
      <w:spacing w:line="240" w:lineRule="auto"/>
    </w:pPr>
    <w:rPr>
      <w:b/>
      <w:bCs/>
      <w:color w:val="4F81BD"/>
      <w:sz w:val="18"/>
      <w:szCs w:val="18"/>
    </w:rPr>
  </w:style>
  <w:style w:type="character" w:styleId="CommentReference">
    <w:name w:val="annotation reference"/>
    <w:semiHidden/>
    <w:rsid w:val="005C6771"/>
    <w:rPr>
      <w:sz w:val="6"/>
    </w:rPr>
  </w:style>
  <w:style w:type="paragraph" w:customStyle="1" w:styleId="Distribution">
    <w:name w:val="Distribution"/>
    <w:next w:val="Normal"/>
    <w:autoRedefine/>
    <w:qFormat/>
    <w:rsid w:val="005C6771"/>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5C677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C677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C6771"/>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5C6771"/>
    <w:pPr>
      <w:spacing w:after="80"/>
    </w:pPr>
  </w:style>
  <w:style w:type="character" w:customStyle="1" w:styleId="EndnoteTextChar">
    <w:name w:val="Endnote Text Char"/>
    <w:basedOn w:val="DefaultParagraphFont"/>
    <w:link w:val="EndnoteText"/>
    <w:semiHidden/>
    <w:rsid w:val="005C6771"/>
    <w:rPr>
      <w:rFonts w:ascii="Times New Roman" w:eastAsiaTheme="minorHAnsi" w:hAnsi="Times New Roman" w:cs="Times New Roman"/>
      <w:spacing w:val="5"/>
      <w:w w:val="104"/>
      <w:sz w:val="17"/>
      <w:lang w:val="es-ES" w:eastAsia="en-US"/>
    </w:rPr>
  </w:style>
  <w:style w:type="paragraph" w:styleId="Footer">
    <w:name w:val="footer"/>
    <w:link w:val="FooterChar"/>
    <w:qFormat/>
    <w:rsid w:val="005C6771"/>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5C6771"/>
    <w:rPr>
      <w:rFonts w:ascii="Times New Roman" w:eastAsiaTheme="minorHAnsi" w:hAnsi="Times New Roman" w:cs="Times New Roman"/>
      <w:b/>
      <w:noProof/>
      <w:sz w:val="17"/>
      <w:lang w:val="en-US" w:eastAsia="en-US"/>
    </w:rPr>
  </w:style>
  <w:style w:type="character" w:styleId="FootnoteReference">
    <w:name w:val="footnote reference"/>
    <w:semiHidden/>
    <w:rsid w:val="005C677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C677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C677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C6771"/>
    <w:pPr>
      <w:spacing w:before="240"/>
    </w:pPr>
    <w:rPr>
      <w:b/>
      <w:spacing w:val="-2"/>
      <w:w w:val="100"/>
    </w:rPr>
  </w:style>
  <w:style w:type="paragraph" w:customStyle="1" w:styleId="HdChapterBdLg">
    <w:name w:val="Hd Chapter Bd Lg"/>
    <w:basedOn w:val="HdChapterBD"/>
    <w:next w:val="Normal"/>
    <w:qFormat/>
    <w:rsid w:val="005C6771"/>
    <w:rPr>
      <w:spacing w:val="-3"/>
      <w:w w:val="99"/>
      <w:kern w:val="14"/>
      <w:sz w:val="34"/>
      <w:szCs w:val="34"/>
    </w:rPr>
  </w:style>
  <w:style w:type="paragraph" w:styleId="Header">
    <w:name w:val="header"/>
    <w:link w:val="HeaderChar"/>
    <w:qFormat/>
    <w:rsid w:val="005C6771"/>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5C677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5C677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C677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C677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5C677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5C677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C677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C677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C677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C6771"/>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5C6771"/>
    <w:pPr>
      <w:keepNext/>
      <w:spacing w:before="190" w:line="270" w:lineRule="exact"/>
    </w:pPr>
    <w:rPr>
      <w:b/>
      <w:kern w:val="14"/>
      <w:sz w:val="24"/>
    </w:rPr>
  </w:style>
  <w:style w:type="paragraph" w:customStyle="1" w:styleId="JournalHeading2">
    <w:name w:val="Journal_Heading2"/>
    <w:basedOn w:val="Normal"/>
    <w:next w:val="Normal"/>
    <w:qFormat/>
    <w:rsid w:val="005C6771"/>
    <w:pPr>
      <w:keepNext/>
      <w:keepLines/>
      <w:spacing w:before="240"/>
      <w:outlineLvl w:val="1"/>
    </w:pPr>
    <w:rPr>
      <w:b/>
      <w:spacing w:val="2"/>
      <w:kern w:val="14"/>
    </w:rPr>
  </w:style>
  <w:style w:type="paragraph" w:customStyle="1" w:styleId="JournalHeading4">
    <w:name w:val="Journal_Heading4"/>
    <w:basedOn w:val="Normal"/>
    <w:next w:val="Normal"/>
    <w:qFormat/>
    <w:rsid w:val="005C6771"/>
    <w:pPr>
      <w:keepNext/>
      <w:keepLines/>
      <w:spacing w:before="240"/>
      <w:outlineLvl w:val="3"/>
    </w:pPr>
    <w:rPr>
      <w:i/>
      <w:kern w:val="14"/>
    </w:rPr>
  </w:style>
  <w:style w:type="character" w:styleId="LineNumber">
    <w:name w:val="line number"/>
    <w:qFormat/>
    <w:rsid w:val="005C6771"/>
    <w:rPr>
      <w:sz w:val="14"/>
    </w:rPr>
  </w:style>
  <w:style w:type="paragraph" w:styleId="NoSpacing">
    <w:name w:val="No Spacing"/>
    <w:basedOn w:val="Normal"/>
    <w:uiPriority w:val="1"/>
    <w:rsid w:val="005C6771"/>
    <w:pPr>
      <w:spacing w:line="240" w:lineRule="auto"/>
    </w:pPr>
  </w:style>
  <w:style w:type="paragraph" w:customStyle="1" w:styleId="NormalBullet">
    <w:name w:val="Normal Bullet"/>
    <w:basedOn w:val="Normal"/>
    <w:next w:val="Normal"/>
    <w:qFormat/>
    <w:rsid w:val="005C6771"/>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5C6771"/>
    <w:pPr>
      <w:tabs>
        <w:tab w:val="left" w:leader="dot" w:pos="2218"/>
        <w:tab w:val="left" w:pos="2707"/>
        <w:tab w:val="right" w:leader="dot" w:pos="9835"/>
      </w:tabs>
    </w:pPr>
    <w:rPr>
      <w:kern w:val="14"/>
    </w:rPr>
  </w:style>
  <w:style w:type="paragraph" w:customStyle="1" w:styleId="Original">
    <w:name w:val="Original"/>
    <w:next w:val="Normal"/>
    <w:autoRedefine/>
    <w:qFormat/>
    <w:rsid w:val="005C6771"/>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5C6771"/>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5C6771"/>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5C6771"/>
    <w:pPr>
      <w:tabs>
        <w:tab w:val="right" w:pos="9965"/>
      </w:tabs>
      <w:spacing w:line="210" w:lineRule="exact"/>
    </w:pPr>
    <w:rPr>
      <w:spacing w:val="5"/>
      <w:w w:val="104"/>
      <w:kern w:val="14"/>
      <w:sz w:val="17"/>
    </w:rPr>
  </w:style>
  <w:style w:type="paragraph" w:customStyle="1" w:styleId="SmallX">
    <w:name w:val="SmallX"/>
    <w:basedOn w:val="Small"/>
    <w:next w:val="Normal"/>
    <w:qFormat/>
    <w:rsid w:val="005C6771"/>
    <w:pPr>
      <w:spacing w:line="180" w:lineRule="exact"/>
      <w:jc w:val="right"/>
    </w:pPr>
    <w:rPr>
      <w:spacing w:val="6"/>
      <w:w w:val="106"/>
      <w:sz w:val="14"/>
    </w:rPr>
  </w:style>
  <w:style w:type="paragraph" w:customStyle="1" w:styleId="TitleHCH">
    <w:name w:val="Title_H_CH"/>
    <w:basedOn w:val="HCh"/>
    <w:next w:val="SingleTxt"/>
    <w:qFormat/>
    <w:rsid w:val="005C67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5C67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C6771"/>
    <w:pPr>
      <w:outlineLvl w:val="9"/>
    </w:pPr>
    <w:rPr>
      <w:rFonts w:eastAsiaTheme="majorEastAsia" w:cstheme="majorBidi"/>
      <w:lang w:bidi="en-US"/>
    </w:rPr>
  </w:style>
  <w:style w:type="paragraph" w:customStyle="1" w:styleId="XLarge">
    <w:name w:val="XLarge"/>
    <w:basedOn w:val="HM"/>
    <w:qFormat/>
    <w:rsid w:val="005C6771"/>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1E6891"/>
    <w:pPr>
      <w:spacing w:line="240" w:lineRule="auto"/>
    </w:pPr>
    <w:rPr>
      <w:szCs w:val="20"/>
    </w:rPr>
  </w:style>
  <w:style w:type="character" w:customStyle="1" w:styleId="CommentTextChar">
    <w:name w:val="Comment Text Char"/>
    <w:basedOn w:val="DefaultParagraphFont"/>
    <w:link w:val="CommentText"/>
    <w:uiPriority w:val="99"/>
    <w:semiHidden/>
    <w:rsid w:val="001E6891"/>
    <w:rPr>
      <w:rFonts w:ascii="Times New Roman" w:eastAsiaTheme="minorHAnsi"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1E6891"/>
    <w:rPr>
      <w:b/>
      <w:bCs/>
    </w:rPr>
  </w:style>
  <w:style w:type="character" w:customStyle="1" w:styleId="CommentSubjectChar">
    <w:name w:val="Comment Subject Char"/>
    <w:basedOn w:val="CommentTextChar"/>
    <w:link w:val="CommentSubject"/>
    <w:uiPriority w:val="99"/>
    <w:semiHidden/>
    <w:rsid w:val="001E6891"/>
    <w:rPr>
      <w:rFonts w:ascii="Times New Roman" w:eastAsiaTheme="minorHAnsi" w:hAnsi="Times New Roman" w:cs="Times New Roman"/>
      <w:b/>
      <w:bCs/>
      <w:spacing w:val="4"/>
      <w:w w:val="103"/>
      <w:sz w:val="20"/>
      <w:szCs w:val="20"/>
      <w:lang w:val="es-ES_tradnl" w:eastAsia="en-US"/>
    </w:rPr>
  </w:style>
  <w:style w:type="character" w:styleId="Hyperlink">
    <w:name w:val="Hyperlink"/>
    <w:basedOn w:val="DefaultParagraphFont"/>
    <w:uiPriority w:val="99"/>
    <w:unhideWhenUsed/>
    <w:rsid w:val="00705875"/>
    <w:rPr>
      <w:color w:val="0000FF"/>
      <w:u w:val="none"/>
    </w:rPr>
  </w:style>
  <w:style w:type="character" w:styleId="FollowedHyperlink">
    <w:name w:val="FollowedHyperlink"/>
    <w:basedOn w:val="DefaultParagraphFont"/>
    <w:uiPriority w:val="99"/>
    <w:semiHidden/>
    <w:unhideWhenUsed/>
    <w:rsid w:val="00705875"/>
    <w:rPr>
      <w:color w:val="0000FF"/>
      <w:u w:val="none"/>
    </w:rPr>
  </w:style>
  <w:style w:type="character" w:styleId="UnresolvedMention">
    <w:name w:val="Unresolved Mention"/>
    <w:basedOn w:val="DefaultParagraphFont"/>
    <w:uiPriority w:val="99"/>
    <w:semiHidden/>
    <w:unhideWhenUsed/>
    <w:rsid w:val="00705875"/>
    <w:rPr>
      <w:color w:val="808080"/>
      <w:shd w:val="clear" w:color="auto" w:fill="E6E6E6"/>
    </w:rPr>
  </w:style>
  <w:style w:type="paragraph" w:styleId="Revision">
    <w:name w:val="Revision"/>
    <w:hidden/>
    <w:uiPriority w:val="99"/>
    <w:semiHidden/>
    <w:rsid w:val="008625D3"/>
    <w:pPr>
      <w:spacing w:after="0" w:line="240" w:lineRule="auto"/>
    </w:pPr>
    <w:rPr>
      <w:rFonts w:ascii="Times New Roman" w:eastAsiaTheme="minorHAnsi"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GHA/CO/6-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GHA/CO/6-7" TargetMode="External"/><Relationship Id="rId2" Type="http://schemas.openxmlformats.org/officeDocument/2006/relationships/styles" Target="styles.xml"/><Relationship Id="rId16" Type="http://schemas.openxmlformats.org/officeDocument/2006/relationships/hyperlink" Target="https://undocs.org/sp/CEDAW/C/GHA/CO/6-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GHA/CO/6-7"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Bevis</dc:creator>
  <cp:keywords/>
  <dc:description/>
  <cp:lastModifiedBy>Maria Cristina Arias-bal</cp:lastModifiedBy>
  <cp:revision>2</cp:revision>
  <dcterms:created xsi:type="dcterms:W3CDTF">2018-12-05T17:42:00Z</dcterms:created>
  <dcterms:modified xsi:type="dcterms:W3CDTF">2018-12-05T17:42:00Z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1819321</vt:lpwstr>
  </property>
  <property fmtid="{D5CDD505-2E9C-101B-9397-08002B2CF9AE}" pid="3" name="ODSRefJobNo">
    <vt:lpwstr>1837811</vt:lpwstr>
  </property>
  <property fmtid="{D5CDD505-2E9C-101B-9397-08002B2CF9AE}" pid="4" name="Symbol1">
    <vt:lpwstr>CEDAW/C/GHA/CO/6-7/Add.1</vt:lpwstr>
  </property>
  <property fmtid="{D5CDD505-2E9C-101B-9397-08002B2CF9AE}" pid="5" name="Symbol2">
    <vt:lpwstr/>
  </property>
  <property fmtid="{D5CDD505-2E9C-101B-9397-08002B2CF9AE}" pid="6" name="Translator">
    <vt:lpwstr>Xavier Gómez-Pantoja</vt:lpwstr>
  </property>
  <property fmtid="{D5CDD505-2E9C-101B-9397-08002B2CF9AE}" pid="7" name="Operator">
    <vt:lpwstr>NB</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Release Date">
    <vt:lpwstr>041218</vt:lpwstr>
  </property>
  <property fmtid="{D5CDD505-2E9C-101B-9397-08002B2CF9AE}" pid="13" name="Title1">
    <vt:lpwstr>		Observaciones finales sobre los informes periódicos sexto y séptimo combinados de Ghana_x000d_</vt:lpwstr>
  </property>
  <property fmtid="{D5CDD505-2E9C-101B-9397-08002B2CF9AE}" pid="14" name="Title2">
    <vt:lpwstr>		Adición_x000d_</vt:lpwstr>
  </property>
  <property fmtid="{D5CDD505-2E9C-101B-9397-08002B2CF9AE}" pid="15" name="Title3">
    <vt:lpwstr>		Información suministrada por Ghana sobre el seguimiento de las observaciones finales*_x000d_</vt:lpwstr>
  </property>
</Properties>
</file>