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5B03D449" w14:textId="77777777" w:rsidTr="00B456A0">
        <w:trPr>
          <w:trHeight w:hRule="exact" w:val="810"/>
        </w:trPr>
        <w:tc>
          <w:tcPr>
            <w:tcW w:w="1266" w:type="dxa"/>
            <w:tcBorders>
              <w:top w:val="nil"/>
              <w:bottom w:val="single" w:sz="4" w:space="0" w:color="auto"/>
            </w:tcBorders>
            <w:shd w:val="clear" w:color="auto" w:fill="auto"/>
          </w:tcPr>
          <w:p w14:paraId="6A4DA890" w14:textId="77777777" w:rsidR="00712059" w:rsidRPr="00CA35DF" w:rsidRDefault="00712059" w:rsidP="004310B9">
            <w:pPr>
              <w:kinsoku w:val="0"/>
              <w:overflowPunct w:val="0"/>
              <w:autoSpaceDE w:val="0"/>
              <w:autoSpaceDN w:val="0"/>
              <w:adjustRightInd w:val="0"/>
              <w:snapToGrid w:val="0"/>
              <w:spacing w:after="80" w:line="480" w:lineRule="exact"/>
              <w:rPr>
                <w:szCs w:val="40"/>
              </w:rPr>
            </w:pPr>
            <w:bookmarkStart w:id="0" w:name="_Hlk107294448"/>
          </w:p>
        </w:tc>
        <w:tc>
          <w:tcPr>
            <w:tcW w:w="4767" w:type="dxa"/>
            <w:tcBorders>
              <w:top w:val="nil"/>
              <w:bottom w:val="single" w:sz="4" w:space="0" w:color="auto"/>
            </w:tcBorders>
            <w:shd w:val="clear" w:color="auto" w:fill="auto"/>
            <w:vAlign w:val="bottom"/>
          </w:tcPr>
          <w:p w14:paraId="4048897C"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39CF2679" w14:textId="50C72502" w:rsidR="006B3E27" w:rsidRPr="00CE78C3" w:rsidRDefault="00CE78C3" w:rsidP="00CE78C3">
            <w:pPr>
              <w:bidi w:val="0"/>
              <w:rPr>
                <w:szCs w:val="20"/>
              </w:rPr>
            </w:pPr>
            <w:r w:rsidRPr="007F0913">
              <w:rPr>
                <w:sz w:val="40"/>
                <w:szCs w:val="20"/>
              </w:rPr>
              <w:t>CAT</w:t>
            </w:r>
            <w:r w:rsidRPr="007F0913">
              <w:rPr>
                <w:szCs w:val="20"/>
              </w:rPr>
              <w:t>/C/MNE/CO/</w:t>
            </w:r>
            <w:r w:rsidRPr="00CA5F1C">
              <w:rPr>
                <w:szCs w:val="20"/>
              </w:rPr>
              <w:t>3</w:t>
            </w:r>
          </w:p>
        </w:tc>
      </w:tr>
      <w:tr w:rsidR="006B3E27" w:rsidRPr="00CA35DF" w14:paraId="5412E9E7" w14:textId="77777777" w:rsidTr="00B456A0">
        <w:trPr>
          <w:trHeight w:hRule="exact" w:val="2835"/>
        </w:trPr>
        <w:tc>
          <w:tcPr>
            <w:tcW w:w="1266" w:type="dxa"/>
            <w:tcBorders>
              <w:top w:val="nil"/>
              <w:bottom w:val="single" w:sz="12" w:space="0" w:color="auto"/>
            </w:tcBorders>
            <w:shd w:val="clear" w:color="auto" w:fill="auto"/>
          </w:tcPr>
          <w:p w14:paraId="3CF3D6AD" w14:textId="77777777" w:rsidR="006B3E27" w:rsidRPr="00CA35DF" w:rsidRDefault="00261289" w:rsidP="00CA35DF">
            <w:pPr>
              <w:jc w:val="center"/>
              <w:rPr>
                <w:rtl/>
              </w:rPr>
            </w:pPr>
            <w:r w:rsidRPr="00CA35DF">
              <w:rPr>
                <w:noProof/>
                <w:rtl/>
              </w:rPr>
              <w:drawing>
                <wp:inline distT="0" distB="0" distL="0" distR="0" wp14:anchorId="597C92CA" wp14:editId="1B184074">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17F82BC" w14:textId="77777777" w:rsidR="00A67AF5" w:rsidRPr="00C472A0" w:rsidRDefault="00817373" w:rsidP="00D3653E">
            <w:pPr>
              <w:spacing w:before="120" w:after="40" w:line="580" w:lineRule="exact"/>
              <w:ind w:left="57"/>
              <w:rPr>
                <w:b/>
                <w:bCs/>
                <w:sz w:val="42"/>
                <w:szCs w:val="42"/>
              </w:rPr>
            </w:pPr>
            <w:r w:rsidRPr="00C472A0">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6DEB6F24" w14:textId="77777777" w:rsidR="006B3E27" w:rsidRDefault="00CE78C3" w:rsidP="00EE56C3">
            <w:pPr>
              <w:bidi w:val="0"/>
              <w:spacing w:before="240"/>
              <w:rPr>
                <w:szCs w:val="20"/>
              </w:rPr>
            </w:pPr>
            <w:r>
              <w:rPr>
                <w:szCs w:val="20"/>
              </w:rPr>
              <w:t>Distr.: General</w:t>
            </w:r>
          </w:p>
          <w:p w14:paraId="16952D54" w14:textId="19D615BD" w:rsidR="00CE78C3" w:rsidRDefault="005C7BBB" w:rsidP="00CE78C3">
            <w:pPr>
              <w:bidi w:val="0"/>
              <w:spacing w:line="240" w:lineRule="exact"/>
              <w:jc w:val="left"/>
              <w:rPr>
                <w:szCs w:val="20"/>
              </w:rPr>
            </w:pPr>
            <w:r w:rsidRPr="00CA5F1C">
              <w:t>2</w:t>
            </w:r>
            <w:r w:rsidRPr="005C7B12">
              <w:t xml:space="preserve"> June </w:t>
            </w:r>
            <w:r w:rsidRPr="00CA5F1C">
              <w:t>2022</w:t>
            </w:r>
          </w:p>
          <w:p w14:paraId="3B2FEBE4" w14:textId="77777777" w:rsidR="00CE78C3" w:rsidRDefault="00CE78C3" w:rsidP="00CE78C3">
            <w:pPr>
              <w:bidi w:val="0"/>
              <w:spacing w:line="240" w:lineRule="exact"/>
              <w:jc w:val="left"/>
              <w:rPr>
                <w:szCs w:val="20"/>
              </w:rPr>
            </w:pPr>
            <w:r>
              <w:rPr>
                <w:szCs w:val="20"/>
              </w:rPr>
              <w:t>Arabic</w:t>
            </w:r>
          </w:p>
          <w:p w14:paraId="43C768F9" w14:textId="207930C2" w:rsidR="00CE78C3" w:rsidRPr="00CE78C3" w:rsidRDefault="00CE78C3" w:rsidP="00CE78C3">
            <w:pPr>
              <w:bidi w:val="0"/>
              <w:spacing w:line="240" w:lineRule="exact"/>
              <w:jc w:val="left"/>
              <w:rPr>
                <w:szCs w:val="20"/>
              </w:rPr>
            </w:pPr>
            <w:r>
              <w:rPr>
                <w:szCs w:val="20"/>
              </w:rPr>
              <w:t>Original: English</w:t>
            </w:r>
          </w:p>
        </w:tc>
      </w:tr>
    </w:tbl>
    <w:p w14:paraId="05C43C7B" w14:textId="77777777" w:rsidR="00586DF9" w:rsidRPr="00C472A0" w:rsidRDefault="00586DF9" w:rsidP="00586DF9">
      <w:pPr>
        <w:spacing w:before="120" w:after="120" w:line="360" w:lineRule="exact"/>
        <w:rPr>
          <w:b/>
          <w:bCs/>
          <w:sz w:val="24"/>
          <w:szCs w:val="26"/>
        </w:rPr>
      </w:pPr>
      <w:r w:rsidRPr="00C472A0">
        <w:rPr>
          <w:b/>
          <w:bCs/>
          <w:sz w:val="24"/>
          <w:szCs w:val="26"/>
          <w:rtl/>
        </w:rPr>
        <w:t>لجنة مناهضة التعذيب</w:t>
      </w:r>
    </w:p>
    <w:p w14:paraId="5450EF48" w14:textId="77777777" w:rsidR="00586DF9" w:rsidRPr="00C472A0" w:rsidRDefault="00586DF9" w:rsidP="00586DF9">
      <w:pPr>
        <w:pStyle w:val="HChGA"/>
      </w:pPr>
      <w:r w:rsidRPr="00C472A0">
        <w:rPr>
          <w:rtl/>
        </w:rPr>
        <w:tab/>
      </w:r>
      <w:r w:rsidRPr="00C472A0">
        <w:rPr>
          <w:rtl/>
        </w:rPr>
        <w:tab/>
        <w:t>الملاحظات الختامية بشأن التقرير الدوري الثالث للجبل الأسود</w:t>
      </w:r>
      <w:r w:rsidRPr="009A5C20">
        <w:rPr>
          <w:b w:val="0"/>
          <w:bCs w:val="0"/>
          <w:sz w:val="22"/>
          <w:szCs w:val="22"/>
          <w:rtl/>
        </w:rPr>
        <w:footnoteReference w:customMarkFollows="1" w:id="1"/>
        <w:t>*</w:t>
      </w:r>
    </w:p>
    <w:p w14:paraId="3FF88AA0" w14:textId="4229F7B7" w:rsidR="00586DF9" w:rsidRPr="00586DF9" w:rsidRDefault="00586DF9" w:rsidP="00586DF9">
      <w:pPr>
        <w:pStyle w:val="SingleTxtGA"/>
      </w:pPr>
      <w:r w:rsidRPr="00CA5F1C">
        <w:rPr>
          <w:rFonts w:hint="cs"/>
          <w:rtl/>
        </w:rPr>
        <w:t>1</w:t>
      </w:r>
      <w:r w:rsidRPr="005F1D28">
        <w:rPr>
          <w:rFonts w:hint="cs"/>
          <w:rtl/>
        </w:rPr>
        <w:t>-</w:t>
      </w:r>
      <w:r w:rsidRPr="005F1D28">
        <w:rPr>
          <w:rtl/>
        </w:rPr>
        <w:tab/>
      </w:r>
      <w:r w:rsidRPr="00586DF9">
        <w:rPr>
          <w:rtl/>
        </w:rPr>
        <w:t>نظرت لجنة مناهضة التعذيب في التقرير الدوري الثالث للجبل الأسود</w:t>
      </w:r>
      <w:r w:rsidR="009A5C20" w:rsidRPr="005F1D28">
        <w:rPr>
          <w:vertAlign w:val="superscript"/>
          <w:rtl/>
        </w:rPr>
        <w:t>(</w:t>
      </w:r>
      <w:r w:rsidR="009A5C20" w:rsidRPr="00C472A0">
        <w:rPr>
          <w:vertAlign w:val="superscript"/>
          <w:lang w:val="en-US"/>
        </w:rPr>
        <w:footnoteReference w:id="2"/>
      </w:r>
      <w:r w:rsidR="009A5C20" w:rsidRPr="005F1D28">
        <w:rPr>
          <w:vertAlign w:val="superscript"/>
          <w:rtl/>
        </w:rPr>
        <w:t>)</w:t>
      </w:r>
      <w:r w:rsidRPr="00586DF9">
        <w:rPr>
          <w:rtl/>
        </w:rPr>
        <w:t xml:space="preserve"> في جلستيها</w:t>
      </w:r>
      <w:r w:rsidR="009A5C20" w:rsidRPr="005F1D28">
        <w:rPr>
          <w:vertAlign w:val="superscript"/>
          <w:rtl/>
        </w:rPr>
        <w:t>(</w:t>
      </w:r>
      <w:r w:rsidR="009A5C20" w:rsidRPr="00C472A0">
        <w:rPr>
          <w:vertAlign w:val="superscript"/>
          <w:lang w:val="en-US"/>
        </w:rPr>
        <w:footnoteReference w:id="3"/>
      </w:r>
      <w:r w:rsidR="009A5C20" w:rsidRPr="005F1D28">
        <w:rPr>
          <w:vertAlign w:val="superscript"/>
          <w:rtl/>
        </w:rPr>
        <w:t>)</w:t>
      </w:r>
      <w:r w:rsidRPr="00586DF9">
        <w:rPr>
          <w:rtl/>
        </w:rPr>
        <w:t xml:space="preserve"> </w:t>
      </w:r>
      <w:r w:rsidRPr="00CA5F1C">
        <w:rPr>
          <w:rtl/>
        </w:rPr>
        <w:t>1889</w:t>
      </w:r>
      <w:r w:rsidRPr="00586DF9">
        <w:rPr>
          <w:rtl/>
        </w:rPr>
        <w:t xml:space="preserve"> و</w:t>
      </w:r>
      <w:r w:rsidRPr="00CA5F1C">
        <w:rPr>
          <w:rtl/>
        </w:rPr>
        <w:t>1892</w:t>
      </w:r>
      <w:r w:rsidRPr="00586DF9">
        <w:rPr>
          <w:rtl/>
        </w:rPr>
        <w:t xml:space="preserve"> المعقودتين في </w:t>
      </w:r>
      <w:r w:rsidRPr="00CA5F1C">
        <w:rPr>
          <w:rtl/>
        </w:rPr>
        <w:t>27</w:t>
      </w:r>
      <w:r w:rsidRPr="00586DF9">
        <w:rPr>
          <w:rtl/>
        </w:rPr>
        <w:t xml:space="preserve"> و</w:t>
      </w:r>
      <w:r w:rsidRPr="00CA5F1C">
        <w:rPr>
          <w:rtl/>
        </w:rPr>
        <w:t>28</w:t>
      </w:r>
      <w:r w:rsidRPr="00586DF9">
        <w:rPr>
          <w:rtl/>
        </w:rPr>
        <w:t xml:space="preserve"> نيسان/أبريل </w:t>
      </w:r>
      <w:r w:rsidRPr="00CA5F1C">
        <w:rPr>
          <w:rtl/>
        </w:rPr>
        <w:t>2022</w:t>
      </w:r>
      <w:r w:rsidR="007F0913">
        <w:rPr>
          <w:rtl/>
        </w:rPr>
        <w:t>،</w:t>
      </w:r>
      <w:r w:rsidRPr="00586DF9">
        <w:rPr>
          <w:rtl/>
        </w:rPr>
        <w:t xml:space="preserve"> واعتمدت هذه الملاحظات الختامية في جلستها</w:t>
      </w:r>
      <w:r w:rsidR="006C5612">
        <w:rPr>
          <w:rFonts w:hint="cs"/>
          <w:rtl/>
        </w:rPr>
        <w:t> </w:t>
      </w:r>
      <w:r w:rsidRPr="00CA5F1C">
        <w:rPr>
          <w:rtl/>
        </w:rPr>
        <w:t>1905</w:t>
      </w:r>
      <w:r w:rsidRPr="00586DF9">
        <w:rPr>
          <w:rtl/>
        </w:rPr>
        <w:t xml:space="preserve"> المعقودة في </w:t>
      </w:r>
      <w:r w:rsidRPr="00CA5F1C">
        <w:rPr>
          <w:rtl/>
        </w:rPr>
        <w:t>10</w:t>
      </w:r>
      <w:r w:rsidRPr="00586DF9">
        <w:rPr>
          <w:rtl/>
        </w:rPr>
        <w:t xml:space="preserve"> أيار/مايو </w:t>
      </w:r>
      <w:r w:rsidRPr="00CA5F1C">
        <w:rPr>
          <w:rtl/>
        </w:rPr>
        <w:t>2022</w:t>
      </w:r>
      <w:r w:rsidRPr="00586DF9">
        <w:rPr>
          <w:rtl/>
        </w:rPr>
        <w:t>.</w:t>
      </w:r>
    </w:p>
    <w:p w14:paraId="3CEB046D" w14:textId="6B34404F" w:rsidR="00586DF9" w:rsidRPr="00C472A0" w:rsidRDefault="00586DF9" w:rsidP="00586DF9">
      <w:pPr>
        <w:pStyle w:val="H1GA"/>
      </w:pPr>
      <w:r w:rsidRPr="00C472A0">
        <w:rPr>
          <w:rtl/>
        </w:rPr>
        <w:tab/>
        <w:t>ألف-</w:t>
      </w:r>
      <w:r w:rsidRPr="00C472A0">
        <w:rPr>
          <w:rtl/>
        </w:rPr>
        <w:tab/>
        <w:t>مقدمة</w:t>
      </w:r>
      <w:r w:rsidRPr="00C472A0">
        <w:rPr>
          <w:rFonts w:hint="cs"/>
          <w:rtl/>
        </w:rPr>
        <w:t xml:space="preserve"> </w:t>
      </w:r>
    </w:p>
    <w:p w14:paraId="1F159D72" w14:textId="2B01F1BD" w:rsidR="00586DF9" w:rsidRPr="00586DF9" w:rsidRDefault="00586DF9" w:rsidP="00586DF9">
      <w:pPr>
        <w:pStyle w:val="SingleTxtGA"/>
      </w:pPr>
      <w:r w:rsidRPr="00CA5F1C">
        <w:rPr>
          <w:rtl/>
        </w:rPr>
        <w:t>2</w:t>
      </w:r>
      <w:r w:rsidRPr="005F1D28">
        <w:rPr>
          <w:rtl/>
        </w:rPr>
        <w:t>-</w:t>
      </w:r>
      <w:r w:rsidRPr="005F1D28">
        <w:rPr>
          <w:rtl/>
        </w:rPr>
        <w:tab/>
      </w:r>
      <w:r w:rsidRPr="00586DF9">
        <w:rPr>
          <w:rtl/>
        </w:rPr>
        <w:t>تعرب اللجنة عن تقديرها للدولة الطرف لقبولها الإجراء المبسَّط لتقديم التقارير وتقديم تقريرها الدوري في إطاره</w:t>
      </w:r>
      <w:r w:rsidR="007F0913">
        <w:rPr>
          <w:rtl/>
        </w:rPr>
        <w:t>،</w:t>
      </w:r>
      <w:r w:rsidRPr="00586DF9">
        <w:rPr>
          <w:rtl/>
        </w:rPr>
        <w:t xml:space="preserve"> لأن ذلك يحسِّن مستوى التعاون بين الدولة الطرف واللجنة ويُركِّز النظر في التقرير والحوار مع الوفد.</w:t>
      </w:r>
    </w:p>
    <w:p w14:paraId="1B45DBB5" w14:textId="0434BD5A" w:rsidR="00586DF9" w:rsidRPr="00586DF9" w:rsidRDefault="00586DF9" w:rsidP="00586DF9">
      <w:pPr>
        <w:pStyle w:val="SingleTxtGA"/>
      </w:pPr>
      <w:r w:rsidRPr="00CA5F1C">
        <w:rPr>
          <w:rtl/>
        </w:rPr>
        <w:t>3</w:t>
      </w:r>
      <w:r w:rsidRPr="005F1D28">
        <w:rPr>
          <w:rtl/>
        </w:rPr>
        <w:t>-</w:t>
      </w:r>
      <w:r w:rsidRPr="005F1D28">
        <w:rPr>
          <w:rtl/>
        </w:rPr>
        <w:tab/>
      </w:r>
      <w:r w:rsidRPr="00586DF9">
        <w:rPr>
          <w:rtl/>
        </w:rPr>
        <w:t xml:space="preserve">تعرب اللجنة عن تقديرها للحوار الذي أجرته مع وفد الدولة الطرف وللمعلومات </w:t>
      </w:r>
      <w:r w:rsidRPr="00586DF9">
        <w:rPr>
          <w:rFonts w:hint="cs"/>
          <w:rtl/>
        </w:rPr>
        <w:t>والتوضيحات</w:t>
      </w:r>
      <w:r w:rsidRPr="00586DF9">
        <w:rPr>
          <w:rtl/>
        </w:rPr>
        <w:t xml:space="preserve"> الإضافية المقدمة بشأن الشواغل التي أثارتها اللجنة.</w:t>
      </w:r>
      <w:r w:rsidRPr="00586DF9">
        <w:rPr>
          <w:rFonts w:hint="cs"/>
          <w:rtl/>
        </w:rPr>
        <w:t xml:space="preserve"> </w:t>
      </w:r>
    </w:p>
    <w:p w14:paraId="620A788E" w14:textId="172998D7" w:rsidR="00586DF9" w:rsidRPr="00C472A0" w:rsidRDefault="00586DF9" w:rsidP="00586DF9">
      <w:pPr>
        <w:pStyle w:val="H1GA"/>
        <w:rPr>
          <w:rtl/>
        </w:rPr>
      </w:pPr>
      <w:r w:rsidRPr="00C472A0">
        <w:rPr>
          <w:rtl/>
        </w:rPr>
        <w:tab/>
        <w:t>باء-</w:t>
      </w:r>
      <w:r w:rsidRPr="00C472A0">
        <w:rPr>
          <w:rtl/>
        </w:rPr>
        <w:tab/>
        <w:t>الجوانب الإيجابية</w:t>
      </w:r>
    </w:p>
    <w:p w14:paraId="46BFDC91" w14:textId="731CD274" w:rsidR="00586DF9" w:rsidRPr="00586DF9" w:rsidRDefault="00586DF9" w:rsidP="00586DF9">
      <w:pPr>
        <w:pStyle w:val="SingleTxtGA"/>
      </w:pPr>
      <w:r w:rsidRPr="00CA5F1C">
        <w:rPr>
          <w:rtl/>
        </w:rPr>
        <w:t>4</w:t>
      </w:r>
      <w:r w:rsidRPr="005F1D28">
        <w:rPr>
          <w:rtl/>
        </w:rPr>
        <w:t>-</w:t>
      </w:r>
      <w:r w:rsidRPr="005F1D28">
        <w:rPr>
          <w:rtl/>
        </w:rPr>
        <w:tab/>
      </w:r>
      <w:r w:rsidRPr="00586DF9">
        <w:rPr>
          <w:rtl/>
        </w:rPr>
        <w:t>ترحب اللجنة بالتدابير التشريعية والإدارية والمؤسسية التالية التي اتخذتها الدولة الطرف في المجالات ذات الصلة بالاتفاقية:</w:t>
      </w:r>
    </w:p>
    <w:p w14:paraId="497D7F9E" w14:textId="2C8C100F" w:rsidR="00586DF9" w:rsidRPr="00586DF9" w:rsidRDefault="00586DF9" w:rsidP="00586DF9">
      <w:pPr>
        <w:pStyle w:val="SingleTxtGA"/>
      </w:pPr>
      <w:r w:rsidRPr="005F1D28">
        <w:rPr>
          <w:rtl/>
        </w:rPr>
        <w:tab/>
        <w:t>(أ)</w:t>
      </w:r>
      <w:r w:rsidRPr="005F1D28">
        <w:rPr>
          <w:rtl/>
        </w:rPr>
        <w:tab/>
      </w:r>
      <w:r w:rsidRPr="00586DF9">
        <w:rPr>
          <w:rtl/>
        </w:rPr>
        <w:t xml:space="preserve">تعديل القانون الجنائي </w:t>
      </w:r>
      <w:r w:rsidRPr="00586DF9">
        <w:rPr>
          <w:rFonts w:hint="cs"/>
          <w:rtl/>
        </w:rPr>
        <w:t xml:space="preserve">بغية </w:t>
      </w:r>
      <w:r w:rsidRPr="00586DF9">
        <w:rPr>
          <w:rtl/>
        </w:rPr>
        <w:t>فرض عقوبات أكثر صرامة على جرائم العنف الأسري أو</w:t>
      </w:r>
      <w:r w:rsidR="004E47E3">
        <w:rPr>
          <w:rFonts w:hint="cs"/>
          <w:rtl/>
        </w:rPr>
        <w:t> </w:t>
      </w:r>
      <w:r w:rsidRPr="00586DF9">
        <w:rPr>
          <w:rtl/>
        </w:rPr>
        <w:t xml:space="preserve">العنف </w:t>
      </w:r>
      <w:r w:rsidRPr="00586DF9">
        <w:rPr>
          <w:rFonts w:hint="cs"/>
          <w:rtl/>
        </w:rPr>
        <w:t xml:space="preserve">على مستوى </w:t>
      </w:r>
      <w:r w:rsidRPr="00586DF9">
        <w:rPr>
          <w:rtl/>
        </w:rPr>
        <w:t>الأسر</w:t>
      </w:r>
      <w:r w:rsidRPr="00586DF9">
        <w:rPr>
          <w:rFonts w:hint="cs"/>
          <w:rtl/>
        </w:rPr>
        <w:t>ة</w:t>
      </w:r>
      <w:r w:rsidRPr="00586DF9">
        <w:rPr>
          <w:rtl/>
        </w:rPr>
        <w:t xml:space="preserve"> الممتد</w:t>
      </w:r>
      <w:r w:rsidRPr="00586DF9">
        <w:rPr>
          <w:rFonts w:hint="cs"/>
          <w:rtl/>
        </w:rPr>
        <w:t>ة</w:t>
      </w:r>
      <w:r w:rsidR="007F0913">
        <w:rPr>
          <w:rtl/>
        </w:rPr>
        <w:t>،</w:t>
      </w:r>
      <w:r w:rsidRPr="00586DF9">
        <w:rPr>
          <w:rtl/>
        </w:rPr>
        <w:t xml:space="preserve"> الذي </w:t>
      </w:r>
      <w:r w:rsidRPr="00586DF9">
        <w:rPr>
          <w:rFonts w:hint="cs"/>
          <w:rtl/>
        </w:rPr>
        <w:t>اعتمد</w:t>
      </w:r>
      <w:r w:rsidRPr="00586DF9">
        <w:rPr>
          <w:rtl/>
        </w:rPr>
        <w:t xml:space="preserve"> في كانون الأول</w:t>
      </w:r>
      <w:r w:rsidRPr="00586DF9">
        <w:rPr>
          <w:rFonts w:hint="cs"/>
          <w:rtl/>
        </w:rPr>
        <w:t>/ديسمبر</w:t>
      </w:r>
      <w:r w:rsidRPr="00586DF9">
        <w:rPr>
          <w:rtl/>
        </w:rPr>
        <w:t xml:space="preserve"> </w:t>
      </w:r>
      <w:r w:rsidRPr="00CA5F1C">
        <w:rPr>
          <w:rtl/>
        </w:rPr>
        <w:t>2021</w:t>
      </w:r>
      <w:r w:rsidRPr="00586DF9">
        <w:rPr>
          <w:rtl/>
        </w:rPr>
        <w:t>؛</w:t>
      </w:r>
    </w:p>
    <w:p w14:paraId="6E959B2D" w14:textId="4993FD0E" w:rsidR="00586DF9" w:rsidRPr="00586DF9" w:rsidRDefault="00586DF9" w:rsidP="00586DF9">
      <w:pPr>
        <w:pStyle w:val="SingleTxtGA"/>
      </w:pPr>
      <w:r w:rsidRPr="005F1D28">
        <w:rPr>
          <w:rtl/>
        </w:rPr>
        <w:tab/>
        <w:t>(ب)</w:t>
      </w:r>
      <w:r w:rsidRPr="005F1D28">
        <w:rPr>
          <w:rtl/>
        </w:rPr>
        <w:tab/>
      </w:r>
      <w:r w:rsidRPr="00586DF9">
        <w:rPr>
          <w:rtl/>
        </w:rPr>
        <w:t xml:space="preserve">التعديلات التي أدخلت على القانون الجنائي </w:t>
      </w:r>
      <w:r w:rsidRPr="00586DF9">
        <w:rPr>
          <w:rFonts w:hint="cs"/>
          <w:rtl/>
        </w:rPr>
        <w:t xml:space="preserve">بغية فرض </w:t>
      </w:r>
      <w:r w:rsidRPr="00586DF9">
        <w:rPr>
          <w:rtl/>
        </w:rPr>
        <w:t>عقوبات مشددة في حالات تعريض سلامة الصحفيين للخطر</w:t>
      </w:r>
      <w:r w:rsidR="007F0913">
        <w:rPr>
          <w:rtl/>
        </w:rPr>
        <w:t>،</w:t>
      </w:r>
      <w:r w:rsidRPr="00586DF9">
        <w:rPr>
          <w:rtl/>
        </w:rPr>
        <w:t xml:space="preserve"> والتي اعتمد</w:t>
      </w:r>
      <w:r w:rsidRPr="00586DF9">
        <w:rPr>
          <w:rFonts w:hint="cs"/>
          <w:rtl/>
        </w:rPr>
        <w:t>ت</w:t>
      </w:r>
      <w:r w:rsidRPr="00586DF9">
        <w:rPr>
          <w:rtl/>
        </w:rPr>
        <w:t xml:space="preserve"> في </w:t>
      </w:r>
      <w:r w:rsidRPr="00586DF9">
        <w:rPr>
          <w:rFonts w:hint="cs"/>
          <w:rtl/>
        </w:rPr>
        <w:t>كانون الأول/</w:t>
      </w:r>
      <w:r w:rsidRPr="00586DF9">
        <w:rPr>
          <w:rtl/>
        </w:rPr>
        <w:t xml:space="preserve">ديسمبر </w:t>
      </w:r>
      <w:r w:rsidRPr="00CA5F1C">
        <w:rPr>
          <w:rtl/>
        </w:rPr>
        <w:t>2021</w:t>
      </w:r>
      <w:r w:rsidRPr="00586DF9">
        <w:rPr>
          <w:rtl/>
        </w:rPr>
        <w:t>؛</w:t>
      </w:r>
    </w:p>
    <w:p w14:paraId="7C6EF1D3" w14:textId="6FF276DF" w:rsidR="00586DF9" w:rsidRPr="00586DF9" w:rsidRDefault="00586DF9" w:rsidP="00586DF9">
      <w:pPr>
        <w:pStyle w:val="SingleTxtGA"/>
      </w:pPr>
      <w:r w:rsidRPr="005F1D28">
        <w:rPr>
          <w:rtl/>
        </w:rPr>
        <w:tab/>
        <w:t>(ج)</w:t>
      </w:r>
      <w:r w:rsidRPr="005F1D28">
        <w:rPr>
          <w:rtl/>
        </w:rPr>
        <w:tab/>
      </w:r>
      <w:r w:rsidRPr="00586DF9">
        <w:rPr>
          <w:rtl/>
        </w:rPr>
        <w:t>تعديل القانون الجنائي لضمان تجريم أنواع معينة من العنف ضد المرأة</w:t>
      </w:r>
      <w:r w:rsidR="007F0913">
        <w:rPr>
          <w:rtl/>
        </w:rPr>
        <w:t>،</w:t>
      </w:r>
      <w:r w:rsidRPr="00586DF9">
        <w:rPr>
          <w:rtl/>
        </w:rPr>
        <w:t xml:space="preserve"> على النحو المطلوب في اتفاقية مجلس أوروبا لمنع ومكافحة العنف ضد المرأة والعنف الأسري (اتفاقية اسطنبول) – المطاردة وتشويه الأعضاء التناسلية للإناث والتعقيم القسري – المعتمدة في عام </w:t>
      </w:r>
      <w:r w:rsidRPr="00CA5F1C">
        <w:rPr>
          <w:rtl/>
        </w:rPr>
        <w:t>2017</w:t>
      </w:r>
      <w:r w:rsidRPr="00586DF9">
        <w:rPr>
          <w:rtl/>
        </w:rPr>
        <w:t>؛</w:t>
      </w:r>
    </w:p>
    <w:p w14:paraId="47401BD2" w14:textId="630C6E67" w:rsidR="00586DF9" w:rsidRPr="00586DF9" w:rsidRDefault="00586DF9" w:rsidP="00586DF9">
      <w:pPr>
        <w:pStyle w:val="SingleTxtGA"/>
      </w:pPr>
      <w:r w:rsidRPr="005F1D28">
        <w:rPr>
          <w:rtl/>
        </w:rPr>
        <w:lastRenderedPageBreak/>
        <w:tab/>
        <w:t>(د)</w:t>
      </w:r>
      <w:r w:rsidRPr="005F1D28">
        <w:rPr>
          <w:rtl/>
        </w:rPr>
        <w:tab/>
      </w:r>
      <w:r w:rsidRPr="00586DF9">
        <w:rPr>
          <w:rtl/>
        </w:rPr>
        <w:t xml:space="preserve">التعديل الذي أدخل في عام </w:t>
      </w:r>
      <w:r w:rsidRPr="00CA5F1C">
        <w:rPr>
          <w:rtl/>
        </w:rPr>
        <w:t>2016</w:t>
      </w:r>
      <w:r w:rsidRPr="00586DF9">
        <w:rPr>
          <w:rtl/>
        </w:rPr>
        <w:t xml:space="preserve"> على قانون الأسرة والذي تضمن حظرا</w:t>
      </w:r>
      <w:r w:rsidR="006C5612">
        <w:rPr>
          <w:rFonts w:hint="cs"/>
          <w:rtl/>
        </w:rPr>
        <w:t>ً</w:t>
      </w:r>
      <w:r w:rsidRPr="00586DF9">
        <w:rPr>
          <w:rtl/>
        </w:rPr>
        <w:t xml:space="preserve"> لجميع أشكال العنف ضد الأطفال</w:t>
      </w:r>
      <w:r w:rsidR="007F0913">
        <w:rPr>
          <w:rtl/>
        </w:rPr>
        <w:t>،</w:t>
      </w:r>
      <w:r w:rsidRPr="00586DF9">
        <w:rPr>
          <w:rtl/>
        </w:rPr>
        <w:t xml:space="preserve"> بما في ذلك العقاب البدني للأطفال في جميع الأماكن</w:t>
      </w:r>
      <w:r w:rsidR="007F0913">
        <w:rPr>
          <w:rtl/>
        </w:rPr>
        <w:t>،</w:t>
      </w:r>
      <w:r w:rsidRPr="00586DF9">
        <w:rPr>
          <w:rtl/>
        </w:rPr>
        <w:t xml:space="preserve"> على النحو الذي أوصت به اللجنة</w:t>
      </w:r>
      <w:r w:rsidR="009A5C20" w:rsidRPr="005F1D28">
        <w:rPr>
          <w:vertAlign w:val="superscript"/>
          <w:rtl/>
        </w:rPr>
        <w:t>(</w:t>
      </w:r>
      <w:r w:rsidR="009A5C20" w:rsidRPr="00C472A0">
        <w:rPr>
          <w:vertAlign w:val="superscript"/>
          <w:lang w:val="en-US"/>
        </w:rPr>
        <w:footnoteReference w:id="4"/>
      </w:r>
      <w:r w:rsidR="009A5C20" w:rsidRPr="005F1D28">
        <w:rPr>
          <w:vertAlign w:val="superscript"/>
          <w:rtl/>
        </w:rPr>
        <w:t>)</w:t>
      </w:r>
      <w:r w:rsidR="00F25D59">
        <w:rPr>
          <w:rFonts w:hint="cs"/>
          <w:rtl/>
        </w:rPr>
        <w:t>؛</w:t>
      </w:r>
    </w:p>
    <w:p w14:paraId="01781DFC" w14:textId="25C7D1A6" w:rsidR="00586DF9" w:rsidRPr="00586DF9" w:rsidRDefault="00586DF9" w:rsidP="00586DF9">
      <w:pPr>
        <w:pStyle w:val="SingleTxtGA"/>
      </w:pPr>
      <w:r w:rsidRPr="005F1D28">
        <w:rPr>
          <w:rtl/>
        </w:rPr>
        <w:tab/>
        <w:t>(ه)</w:t>
      </w:r>
      <w:r w:rsidRPr="005F1D28">
        <w:rPr>
          <w:rtl/>
        </w:rPr>
        <w:tab/>
      </w:r>
      <w:r w:rsidRPr="00586DF9">
        <w:rPr>
          <w:rtl/>
        </w:rPr>
        <w:t xml:space="preserve">اعتماد استراتيجية </w:t>
      </w:r>
      <w:r w:rsidRPr="00586DF9">
        <w:rPr>
          <w:rFonts w:hint="cs"/>
          <w:rtl/>
        </w:rPr>
        <w:t>ل</w:t>
      </w:r>
      <w:r w:rsidRPr="00586DF9">
        <w:rPr>
          <w:rtl/>
        </w:rPr>
        <w:t xml:space="preserve">منع العنف وحماية الأطفال منه للفترة </w:t>
      </w:r>
      <w:r w:rsidRPr="00CA5F1C">
        <w:rPr>
          <w:rtl/>
        </w:rPr>
        <w:t>2017</w:t>
      </w:r>
      <w:r w:rsidRPr="00586DF9">
        <w:rPr>
          <w:rtl/>
        </w:rPr>
        <w:t>-</w:t>
      </w:r>
      <w:r w:rsidRPr="00CA5F1C">
        <w:rPr>
          <w:rtl/>
        </w:rPr>
        <w:t>2021</w:t>
      </w:r>
      <w:r w:rsidRPr="00586DF9">
        <w:rPr>
          <w:rtl/>
        </w:rPr>
        <w:t>؛</w:t>
      </w:r>
    </w:p>
    <w:p w14:paraId="78230617" w14:textId="2D39A0FC" w:rsidR="00586DF9" w:rsidRPr="00586DF9" w:rsidRDefault="00586DF9" w:rsidP="00586DF9">
      <w:pPr>
        <w:pStyle w:val="SingleTxtGA"/>
      </w:pPr>
      <w:r w:rsidRPr="005F1D28">
        <w:rPr>
          <w:rtl/>
        </w:rPr>
        <w:tab/>
        <w:t>(و)</w:t>
      </w:r>
      <w:r w:rsidRPr="005F1D28">
        <w:rPr>
          <w:rtl/>
        </w:rPr>
        <w:tab/>
      </w:r>
      <w:r w:rsidRPr="00586DF9">
        <w:rPr>
          <w:rtl/>
        </w:rPr>
        <w:t xml:space="preserve">اعتماد استراتيجية خمسية جديدة للإدماج الاجتماعي </w:t>
      </w:r>
      <w:proofErr w:type="spellStart"/>
      <w:r w:rsidRPr="00586DF9">
        <w:rPr>
          <w:rtl/>
        </w:rPr>
        <w:t>للروما</w:t>
      </w:r>
      <w:proofErr w:type="spellEnd"/>
      <w:r w:rsidRPr="00586DF9">
        <w:rPr>
          <w:rtl/>
        </w:rPr>
        <w:t xml:space="preserve"> والمصريين في الجبل الأسود</w:t>
      </w:r>
      <w:r w:rsidR="007F0913">
        <w:rPr>
          <w:rtl/>
        </w:rPr>
        <w:t>،</w:t>
      </w:r>
      <w:r w:rsidRPr="00586DF9">
        <w:rPr>
          <w:rtl/>
        </w:rPr>
        <w:t xml:space="preserve"> للفترة </w:t>
      </w:r>
      <w:r w:rsidRPr="00CA5F1C">
        <w:rPr>
          <w:rtl/>
        </w:rPr>
        <w:t>2021</w:t>
      </w:r>
      <w:r w:rsidRPr="00586DF9">
        <w:rPr>
          <w:rtl/>
        </w:rPr>
        <w:t>-</w:t>
      </w:r>
      <w:r w:rsidRPr="00CA5F1C">
        <w:rPr>
          <w:rtl/>
        </w:rPr>
        <w:t>2025</w:t>
      </w:r>
      <w:r w:rsidRPr="00586DF9">
        <w:rPr>
          <w:rtl/>
        </w:rPr>
        <w:t>؛</w:t>
      </w:r>
    </w:p>
    <w:p w14:paraId="72AD8D60" w14:textId="69543CDD" w:rsidR="00586DF9" w:rsidRPr="00586DF9" w:rsidRDefault="00586DF9" w:rsidP="00586DF9">
      <w:pPr>
        <w:pStyle w:val="SingleTxtGA"/>
      </w:pPr>
      <w:r w:rsidRPr="005F1D28">
        <w:rPr>
          <w:rtl/>
        </w:rPr>
        <w:tab/>
        <w:t>(ز)</w:t>
      </w:r>
      <w:r w:rsidRPr="005F1D28">
        <w:rPr>
          <w:rtl/>
        </w:rPr>
        <w:tab/>
      </w:r>
      <w:r w:rsidRPr="00586DF9">
        <w:rPr>
          <w:rtl/>
        </w:rPr>
        <w:t>اعتماد استراتيجية لتحسين نوعية حياة المثليات والمثلي</w:t>
      </w:r>
      <w:r w:rsidRPr="00586DF9">
        <w:rPr>
          <w:rFonts w:hint="cs"/>
          <w:rtl/>
        </w:rPr>
        <w:t>ي</w:t>
      </w:r>
      <w:r w:rsidRPr="00586DF9">
        <w:rPr>
          <w:rtl/>
        </w:rPr>
        <w:t>ن ومزدوج</w:t>
      </w:r>
      <w:r w:rsidRPr="00586DF9">
        <w:rPr>
          <w:rFonts w:hint="cs"/>
          <w:rtl/>
        </w:rPr>
        <w:t>ي</w:t>
      </w:r>
      <w:r w:rsidRPr="00586DF9">
        <w:rPr>
          <w:rtl/>
        </w:rPr>
        <w:t xml:space="preserve"> الميل الجنسي ومغاير</w:t>
      </w:r>
      <w:r w:rsidRPr="00586DF9">
        <w:rPr>
          <w:rFonts w:hint="cs"/>
          <w:rtl/>
        </w:rPr>
        <w:t>ي</w:t>
      </w:r>
      <w:r w:rsidRPr="00586DF9">
        <w:rPr>
          <w:rtl/>
        </w:rPr>
        <w:t xml:space="preserve"> الهوية الجنسانية وحامل</w:t>
      </w:r>
      <w:r w:rsidRPr="00586DF9">
        <w:rPr>
          <w:rFonts w:hint="cs"/>
          <w:rtl/>
        </w:rPr>
        <w:t>ي</w:t>
      </w:r>
      <w:r w:rsidRPr="00586DF9">
        <w:rPr>
          <w:rtl/>
        </w:rPr>
        <w:t xml:space="preserve"> صفات الجنسين في الجبل الأسود</w:t>
      </w:r>
      <w:r w:rsidR="007F0913">
        <w:rPr>
          <w:rtl/>
        </w:rPr>
        <w:t>،</w:t>
      </w:r>
      <w:r w:rsidRPr="00586DF9">
        <w:rPr>
          <w:rtl/>
        </w:rPr>
        <w:t xml:space="preserve"> للفترة </w:t>
      </w:r>
      <w:r w:rsidRPr="00CA5F1C">
        <w:rPr>
          <w:rtl/>
        </w:rPr>
        <w:t>2019</w:t>
      </w:r>
      <w:r w:rsidRPr="00586DF9">
        <w:rPr>
          <w:rtl/>
        </w:rPr>
        <w:t>-</w:t>
      </w:r>
      <w:r w:rsidRPr="00CA5F1C">
        <w:rPr>
          <w:rtl/>
        </w:rPr>
        <w:t>2023</w:t>
      </w:r>
      <w:r w:rsidRPr="00586DF9">
        <w:rPr>
          <w:rtl/>
        </w:rPr>
        <w:t>.</w:t>
      </w:r>
    </w:p>
    <w:p w14:paraId="07158C59" w14:textId="091116F8" w:rsidR="00586DF9" w:rsidRPr="00C472A0" w:rsidRDefault="00586DF9" w:rsidP="00586DF9">
      <w:pPr>
        <w:pStyle w:val="H1GA"/>
      </w:pPr>
      <w:r w:rsidRPr="00C472A0">
        <w:rPr>
          <w:rtl/>
        </w:rPr>
        <w:tab/>
        <w:t>جيم-</w:t>
      </w:r>
      <w:r w:rsidRPr="00C472A0">
        <w:rPr>
          <w:rtl/>
        </w:rPr>
        <w:tab/>
        <w:t>دواعي القلق الرئيسية والتوصيات</w:t>
      </w:r>
    </w:p>
    <w:p w14:paraId="60B5D82B" w14:textId="77777777" w:rsidR="00586DF9" w:rsidRPr="00C472A0" w:rsidRDefault="00586DF9" w:rsidP="00586DF9">
      <w:pPr>
        <w:pStyle w:val="H23GA"/>
      </w:pPr>
      <w:r w:rsidRPr="00C472A0">
        <w:rPr>
          <w:rtl/>
        </w:rPr>
        <w:tab/>
      </w:r>
      <w:r w:rsidRPr="00C472A0">
        <w:rPr>
          <w:rtl/>
        </w:rPr>
        <w:tab/>
        <w:t>مسائل المتابعة المعلَّقة منذ الجولة السابقة</w:t>
      </w:r>
      <w:r w:rsidRPr="00C472A0">
        <w:rPr>
          <w:rFonts w:hint="cs"/>
          <w:rtl/>
        </w:rPr>
        <w:t xml:space="preserve"> </w:t>
      </w:r>
      <w:r w:rsidRPr="00C472A0">
        <w:rPr>
          <w:rFonts w:ascii="Arial" w:hAnsi="Arial" w:cs="Arial" w:hint="cs"/>
          <w:rtl/>
        </w:rPr>
        <w:t>‬</w:t>
      </w:r>
      <w:r w:rsidRPr="00C472A0">
        <w:rPr>
          <w:rFonts w:hint="cs"/>
          <w:rtl/>
        </w:rPr>
        <w:t>لتقديم</w:t>
      </w:r>
      <w:r w:rsidRPr="00C472A0">
        <w:rPr>
          <w:rtl/>
        </w:rPr>
        <w:t xml:space="preserve"> </w:t>
      </w:r>
      <w:r w:rsidRPr="00C472A0">
        <w:rPr>
          <w:rFonts w:hint="cs"/>
          <w:rtl/>
        </w:rPr>
        <w:t>التقارير</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r w:rsidRPr="00C472A0">
        <w:rPr>
          <w:rFonts w:ascii="Arial" w:hAnsi="Arial" w:cs="Arial" w:hint="cs"/>
          <w:rtl/>
        </w:rPr>
        <w:t>‬</w:t>
      </w:r>
    </w:p>
    <w:p w14:paraId="3B32DF69" w14:textId="35FBD856" w:rsidR="00586DF9" w:rsidRPr="00586DF9" w:rsidRDefault="00586DF9" w:rsidP="00586DF9">
      <w:pPr>
        <w:pStyle w:val="SingleTxtGA"/>
      </w:pPr>
      <w:r w:rsidRPr="00CA5F1C">
        <w:rPr>
          <w:rtl/>
        </w:rPr>
        <w:t>5</w:t>
      </w:r>
      <w:r w:rsidRPr="005F1D28">
        <w:rPr>
          <w:rFonts w:hint="cs"/>
          <w:rtl/>
        </w:rPr>
        <w:t>-</w:t>
      </w:r>
      <w:r w:rsidRPr="005F1D28">
        <w:rPr>
          <w:rtl/>
        </w:rPr>
        <w:tab/>
      </w:r>
      <w:r w:rsidRPr="00586DF9">
        <w:rPr>
          <w:rtl/>
        </w:rPr>
        <w:t>طلبت اللجنة إلى الدولة الطرف</w:t>
      </w:r>
      <w:r w:rsidR="007F0913">
        <w:rPr>
          <w:rtl/>
        </w:rPr>
        <w:t>،</w:t>
      </w:r>
      <w:r w:rsidRPr="00586DF9">
        <w:rPr>
          <w:rtl/>
        </w:rPr>
        <w:t xml:space="preserve"> في ملاحظاتها الختامية السابقة</w:t>
      </w:r>
      <w:r w:rsidR="009A5C20" w:rsidRPr="005F1D28">
        <w:rPr>
          <w:vertAlign w:val="superscript"/>
          <w:rtl/>
        </w:rPr>
        <w:t>(</w:t>
      </w:r>
      <w:r w:rsidR="009A5C20" w:rsidRPr="00C472A0">
        <w:rPr>
          <w:vertAlign w:val="superscript"/>
          <w:lang w:val="en-US"/>
        </w:rPr>
        <w:footnoteReference w:id="5"/>
      </w:r>
      <w:r w:rsidR="009A5C20" w:rsidRPr="005F1D28">
        <w:rPr>
          <w:vertAlign w:val="superscript"/>
          <w:rtl/>
        </w:rPr>
        <w:t>)</w:t>
      </w:r>
      <w:r w:rsidR="007F0913">
        <w:rPr>
          <w:rtl/>
        </w:rPr>
        <w:t>،</w:t>
      </w:r>
      <w:r w:rsidRPr="00586DF9">
        <w:rPr>
          <w:rtl/>
        </w:rPr>
        <w:t xml:space="preserve"> أن تقدم معلومات عن تنفيذها لتوصيات اللجنة بشأن ضمان أو تعزيز الضمانات القانونية للأشخاص المحتجزين</w:t>
      </w:r>
      <w:r w:rsidR="009A5C20" w:rsidRPr="005F1D28">
        <w:rPr>
          <w:vertAlign w:val="superscript"/>
          <w:rtl/>
        </w:rPr>
        <w:t>(</w:t>
      </w:r>
      <w:r w:rsidR="009A5C20" w:rsidRPr="00C472A0">
        <w:rPr>
          <w:vertAlign w:val="superscript"/>
          <w:lang w:val="en-US"/>
        </w:rPr>
        <w:footnoteReference w:id="6"/>
      </w:r>
      <w:r w:rsidR="009A5C20" w:rsidRPr="005F1D28">
        <w:rPr>
          <w:vertAlign w:val="superscript"/>
          <w:rtl/>
        </w:rPr>
        <w:t>)</w:t>
      </w:r>
      <w:r w:rsidR="007F0913">
        <w:rPr>
          <w:rtl/>
        </w:rPr>
        <w:t>،</w:t>
      </w:r>
      <w:r w:rsidRPr="00586DF9">
        <w:rPr>
          <w:rtl/>
        </w:rPr>
        <w:t xml:space="preserve"> وإجراء تحقيقات سريعة ونزيهة وفعالة</w:t>
      </w:r>
      <w:r w:rsidR="009A5C20" w:rsidRPr="005F1D28">
        <w:rPr>
          <w:vertAlign w:val="superscript"/>
          <w:rtl/>
        </w:rPr>
        <w:t>(</w:t>
      </w:r>
      <w:r w:rsidR="009A5C20" w:rsidRPr="00C472A0">
        <w:rPr>
          <w:vertAlign w:val="superscript"/>
          <w:lang w:val="en-US"/>
        </w:rPr>
        <w:footnoteReference w:id="7"/>
      </w:r>
      <w:r w:rsidR="009A5C20" w:rsidRPr="005F1D28">
        <w:rPr>
          <w:vertAlign w:val="superscript"/>
          <w:rtl/>
        </w:rPr>
        <w:t>)</w:t>
      </w:r>
      <w:r w:rsidR="007F0913">
        <w:rPr>
          <w:rtl/>
        </w:rPr>
        <w:t>،</w:t>
      </w:r>
      <w:r w:rsidRPr="00586DF9">
        <w:rPr>
          <w:rtl/>
        </w:rPr>
        <w:t xml:space="preserve"> ومقاضاة المشتبه فيهم ومعاقبة مرتكبي التعذيب أو سوء المعاملة</w:t>
      </w:r>
      <w:r w:rsidR="009A5C20" w:rsidRPr="005F1D28">
        <w:rPr>
          <w:vertAlign w:val="superscript"/>
          <w:rtl/>
        </w:rPr>
        <w:t>(</w:t>
      </w:r>
      <w:r w:rsidR="009A5C20" w:rsidRPr="00C472A0">
        <w:rPr>
          <w:vertAlign w:val="superscript"/>
          <w:lang w:val="en-US"/>
        </w:rPr>
        <w:footnoteReference w:id="8"/>
      </w:r>
      <w:r w:rsidR="009A5C20" w:rsidRPr="005F1D28">
        <w:rPr>
          <w:vertAlign w:val="superscript"/>
          <w:rtl/>
        </w:rPr>
        <w:t>)</w:t>
      </w:r>
      <w:r w:rsidRPr="00586DF9">
        <w:rPr>
          <w:rtl/>
        </w:rPr>
        <w:t xml:space="preserve">. وإذ تلاحظ مع التقدير الردود التي قدمتها الدولة الطرف في </w:t>
      </w:r>
      <w:r w:rsidRPr="00CA5F1C">
        <w:rPr>
          <w:rtl/>
        </w:rPr>
        <w:t>15</w:t>
      </w:r>
      <w:r w:rsidRPr="00586DF9">
        <w:rPr>
          <w:rtl/>
        </w:rPr>
        <w:t xml:space="preserve"> تموز/يوليه </w:t>
      </w:r>
      <w:r w:rsidRPr="00CA5F1C">
        <w:rPr>
          <w:rtl/>
        </w:rPr>
        <w:t>2015</w:t>
      </w:r>
      <w:r w:rsidRPr="00586DF9">
        <w:rPr>
          <w:rtl/>
        </w:rPr>
        <w:t xml:space="preserve"> بموجب إجراء المتابعة</w:t>
      </w:r>
      <w:r w:rsidR="007F0913">
        <w:rPr>
          <w:rtl/>
        </w:rPr>
        <w:t>،</w:t>
      </w:r>
      <w:r w:rsidRPr="00586DF9">
        <w:rPr>
          <w:rtl/>
        </w:rPr>
        <w:t xml:space="preserve"> وفي تقريرها الدوري الثالث</w:t>
      </w:r>
      <w:r w:rsidR="007F0913">
        <w:rPr>
          <w:rtl/>
        </w:rPr>
        <w:t>،</w:t>
      </w:r>
      <w:r w:rsidRPr="00586DF9">
        <w:rPr>
          <w:rtl/>
        </w:rPr>
        <w:t xml:space="preserve"> وإذ تشير إلى الرسالة المؤرخة </w:t>
      </w:r>
      <w:r w:rsidRPr="00CA5F1C">
        <w:rPr>
          <w:rtl/>
        </w:rPr>
        <w:t>29</w:t>
      </w:r>
      <w:r w:rsidRPr="00586DF9">
        <w:rPr>
          <w:rtl/>
        </w:rPr>
        <w:t xml:space="preserve"> آب/أغسطس </w:t>
      </w:r>
      <w:r w:rsidRPr="00CA5F1C">
        <w:rPr>
          <w:rtl/>
        </w:rPr>
        <w:t>2016</w:t>
      </w:r>
      <w:r w:rsidR="009A5C20" w:rsidRPr="005F1D28">
        <w:rPr>
          <w:vertAlign w:val="superscript"/>
          <w:rtl/>
        </w:rPr>
        <w:t>(</w:t>
      </w:r>
      <w:r w:rsidR="009A5C20" w:rsidRPr="00C472A0">
        <w:rPr>
          <w:vertAlign w:val="superscript"/>
          <w:lang w:val="en-US"/>
        </w:rPr>
        <w:footnoteReference w:id="9"/>
      </w:r>
      <w:r w:rsidR="009A5C20" w:rsidRPr="005F1D28">
        <w:rPr>
          <w:vertAlign w:val="superscript"/>
          <w:rtl/>
        </w:rPr>
        <w:t>)</w:t>
      </w:r>
      <w:r w:rsidRPr="00586DF9">
        <w:rPr>
          <w:rtl/>
        </w:rPr>
        <w:t xml:space="preserve"> الموجهة إلى الممثل الدائم للجبل الأسود لدى مكتب الأمم المتحدة والمنظمات الدولية الأخرى في جنيف من مقرر اللجنة المعني بمتابعة الملاحظات الختامية</w:t>
      </w:r>
      <w:r w:rsidR="007F0913">
        <w:rPr>
          <w:rtl/>
        </w:rPr>
        <w:t>،</w:t>
      </w:r>
      <w:r w:rsidRPr="00586DF9">
        <w:rPr>
          <w:rtl/>
        </w:rPr>
        <w:t xml:space="preserve"> ترى اللجنة أن التوصيات المذكورة أعلاه لم تنفذ إلا جزئيا</w:t>
      </w:r>
      <w:r w:rsidR="006C5612">
        <w:rPr>
          <w:rFonts w:hint="cs"/>
          <w:rtl/>
        </w:rPr>
        <w:t>ً</w:t>
      </w:r>
      <w:r w:rsidRPr="00586DF9">
        <w:rPr>
          <w:rtl/>
        </w:rPr>
        <w:t xml:space="preserve"> (انظر الفقرات </w:t>
      </w:r>
      <w:r w:rsidRPr="00CA5F1C">
        <w:rPr>
          <w:rtl/>
        </w:rPr>
        <w:t>8</w:t>
      </w:r>
      <w:r w:rsidRPr="00586DF9">
        <w:rPr>
          <w:rtl/>
        </w:rPr>
        <w:t xml:space="preserve"> </w:t>
      </w:r>
      <w:r w:rsidRPr="00586DF9">
        <w:rPr>
          <w:rFonts w:hint="cs"/>
          <w:rtl/>
        </w:rPr>
        <w:t>و</w:t>
      </w:r>
      <w:r w:rsidRPr="00CA5F1C">
        <w:rPr>
          <w:rFonts w:hint="cs"/>
          <w:rtl/>
        </w:rPr>
        <w:t>18</w:t>
      </w:r>
      <w:r w:rsidRPr="00586DF9">
        <w:rPr>
          <w:rtl/>
        </w:rPr>
        <w:t xml:space="preserve"> </w:t>
      </w:r>
      <w:r w:rsidRPr="00586DF9">
        <w:rPr>
          <w:rFonts w:hint="cs"/>
          <w:rtl/>
        </w:rPr>
        <w:t>و</w:t>
      </w:r>
      <w:r w:rsidRPr="00CA5F1C">
        <w:rPr>
          <w:rFonts w:hint="cs"/>
          <w:rtl/>
        </w:rPr>
        <w:t>22</w:t>
      </w:r>
      <w:r w:rsidRPr="00586DF9">
        <w:rPr>
          <w:rtl/>
        </w:rPr>
        <w:t xml:space="preserve"> أدناه).</w:t>
      </w:r>
    </w:p>
    <w:p w14:paraId="29B1874D" w14:textId="77777777" w:rsidR="00586DF9" w:rsidRPr="00C472A0" w:rsidRDefault="00586DF9" w:rsidP="00586DF9">
      <w:pPr>
        <w:pStyle w:val="H23GA"/>
      </w:pPr>
      <w:r w:rsidRPr="00C472A0">
        <w:rPr>
          <w:rtl/>
        </w:rPr>
        <w:tab/>
      </w:r>
      <w:r w:rsidRPr="00C472A0">
        <w:rPr>
          <w:rtl/>
        </w:rPr>
        <w:tab/>
        <w:t>تعريف التعذيب</w:t>
      </w:r>
      <w:r w:rsidRPr="00C472A0">
        <w:rPr>
          <w:rFonts w:hint="cs"/>
          <w:rtl/>
        </w:rPr>
        <w:t xml:space="preserve"> </w:t>
      </w:r>
    </w:p>
    <w:p w14:paraId="1AA06BBE" w14:textId="193F3C5B" w:rsidR="00586DF9" w:rsidRPr="00586DF9" w:rsidRDefault="00586DF9" w:rsidP="00586DF9">
      <w:pPr>
        <w:pStyle w:val="SingleTxtGA"/>
      </w:pPr>
      <w:r w:rsidRPr="00CA5F1C">
        <w:rPr>
          <w:rtl/>
        </w:rPr>
        <w:t>6</w:t>
      </w:r>
      <w:r w:rsidRPr="005F1D28">
        <w:rPr>
          <w:rtl/>
        </w:rPr>
        <w:t>-</w:t>
      </w:r>
      <w:r w:rsidRPr="005F1D28">
        <w:rPr>
          <w:rtl/>
        </w:rPr>
        <w:tab/>
      </w:r>
      <w:r w:rsidRPr="00586DF9">
        <w:rPr>
          <w:rtl/>
        </w:rPr>
        <w:t>تحيط اللجنة علما</w:t>
      </w:r>
      <w:r w:rsidR="006C5612">
        <w:rPr>
          <w:rFonts w:hint="cs"/>
          <w:rtl/>
        </w:rPr>
        <w:t>ً</w:t>
      </w:r>
      <w:r w:rsidRPr="00586DF9">
        <w:rPr>
          <w:rtl/>
        </w:rPr>
        <w:t xml:space="preserve"> ب</w:t>
      </w:r>
      <w:r w:rsidRPr="00586DF9">
        <w:rPr>
          <w:rFonts w:hint="cs"/>
          <w:rtl/>
        </w:rPr>
        <w:t xml:space="preserve">بيان </w:t>
      </w:r>
      <w:r w:rsidRPr="00586DF9">
        <w:rPr>
          <w:rtl/>
        </w:rPr>
        <w:t>الدولة الطرف أن التعديلات المقبلة على القانون الجنائي ستتناول التوصيات السابقة للجنة في هذا الصدد</w:t>
      </w:r>
      <w:r w:rsidR="007F0913">
        <w:rPr>
          <w:rtl/>
        </w:rPr>
        <w:t>،</w:t>
      </w:r>
      <w:r w:rsidRPr="00586DF9">
        <w:rPr>
          <w:rtl/>
        </w:rPr>
        <w:t xml:space="preserve"> بما يكفل </w:t>
      </w:r>
      <w:r w:rsidRPr="00586DF9">
        <w:rPr>
          <w:rFonts w:hint="cs"/>
          <w:rtl/>
        </w:rPr>
        <w:t>اتساقه</w:t>
      </w:r>
      <w:r w:rsidRPr="00586DF9">
        <w:rPr>
          <w:rtl/>
        </w:rPr>
        <w:t xml:space="preserve"> التام مع المادة </w:t>
      </w:r>
      <w:r w:rsidRPr="00CA5F1C">
        <w:rPr>
          <w:rtl/>
        </w:rPr>
        <w:t>1</w:t>
      </w:r>
      <w:r w:rsidRPr="00586DF9">
        <w:rPr>
          <w:rtl/>
        </w:rPr>
        <w:t xml:space="preserve"> من الاتفاقية </w:t>
      </w:r>
      <w:r w:rsidRPr="00586DF9">
        <w:rPr>
          <w:rFonts w:hint="cs"/>
          <w:rtl/>
        </w:rPr>
        <w:t>وإلغاء</w:t>
      </w:r>
      <w:r w:rsidRPr="00586DF9">
        <w:rPr>
          <w:rtl/>
        </w:rPr>
        <w:t xml:space="preserve"> قانون التقادم فيما يتعلق ب</w:t>
      </w:r>
      <w:r w:rsidRPr="00586DF9">
        <w:rPr>
          <w:rFonts w:hint="cs"/>
          <w:rtl/>
        </w:rPr>
        <w:t>ممارسات</w:t>
      </w:r>
      <w:r w:rsidRPr="00586DF9">
        <w:rPr>
          <w:rtl/>
        </w:rPr>
        <w:t xml:space="preserve"> التعذيب</w:t>
      </w:r>
      <w:r w:rsidR="007F0913">
        <w:rPr>
          <w:rtl/>
        </w:rPr>
        <w:t>،</w:t>
      </w:r>
      <w:r w:rsidRPr="00586DF9">
        <w:rPr>
          <w:rtl/>
        </w:rPr>
        <w:t xml:space="preserve"> </w:t>
      </w:r>
      <w:r w:rsidRPr="00586DF9">
        <w:rPr>
          <w:rFonts w:hint="cs"/>
          <w:rtl/>
        </w:rPr>
        <w:t>لكنها</w:t>
      </w:r>
      <w:r w:rsidRPr="00586DF9">
        <w:rPr>
          <w:rtl/>
        </w:rPr>
        <w:t xml:space="preserve"> تشعر بالقلق لأن تعريف التعذيب الوارد في القانون الجنائي لا يزال في الوقت الحاضر غير متسق مع المادة </w:t>
      </w:r>
      <w:r w:rsidRPr="00CA5F1C">
        <w:rPr>
          <w:rtl/>
        </w:rPr>
        <w:t>1</w:t>
      </w:r>
      <w:r w:rsidRPr="00586DF9">
        <w:rPr>
          <w:rtl/>
        </w:rPr>
        <w:t xml:space="preserve"> من الاتفاقية</w:t>
      </w:r>
      <w:r w:rsidR="007F0913">
        <w:rPr>
          <w:rtl/>
        </w:rPr>
        <w:t>،</w:t>
      </w:r>
      <w:r w:rsidRPr="00586DF9">
        <w:rPr>
          <w:rtl/>
        </w:rPr>
        <w:t xml:space="preserve"> </w:t>
      </w:r>
      <w:r w:rsidRPr="00586DF9">
        <w:rPr>
          <w:rFonts w:hint="cs"/>
          <w:rtl/>
        </w:rPr>
        <w:t>ول</w:t>
      </w:r>
      <w:r w:rsidRPr="00586DF9">
        <w:rPr>
          <w:rtl/>
        </w:rPr>
        <w:t xml:space="preserve">أن </w:t>
      </w:r>
      <w:r w:rsidRPr="00586DF9">
        <w:rPr>
          <w:rFonts w:hint="cs"/>
          <w:rtl/>
        </w:rPr>
        <w:t>ممارسات</w:t>
      </w:r>
      <w:r w:rsidRPr="00586DF9">
        <w:rPr>
          <w:rtl/>
        </w:rPr>
        <w:t xml:space="preserve"> التعذيب أو إساءة المعاملة لا ي</w:t>
      </w:r>
      <w:r w:rsidRPr="00586DF9">
        <w:rPr>
          <w:rFonts w:hint="cs"/>
          <w:rtl/>
        </w:rPr>
        <w:t>ُ</w:t>
      </w:r>
      <w:r w:rsidRPr="00586DF9">
        <w:rPr>
          <w:rtl/>
        </w:rPr>
        <w:t xml:space="preserve">عاقب عليها بعد بعقوبات تتناسب مع </w:t>
      </w:r>
      <w:r w:rsidRPr="00586DF9">
        <w:rPr>
          <w:rFonts w:hint="cs"/>
          <w:rtl/>
        </w:rPr>
        <w:t>فداحتها</w:t>
      </w:r>
      <w:r w:rsidR="007F0913">
        <w:rPr>
          <w:rtl/>
        </w:rPr>
        <w:t>،</w:t>
      </w:r>
      <w:r w:rsidRPr="00586DF9">
        <w:rPr>
          <w:rtl/>
        </w:rPr>
        <w:t xml:space="preserve"> و</w:t>
      </w:r>
      <w:r w:rsidRPr="00586DF9">
        <w:rPr>
          <w:rFonts w:hint="cs"/>
          <w:rtl/>
        </w:rPr>
        <w:t>ل</w:t>
      </w:r>
      <w:r w:rsidRPr="00586DF9">
        <w:rPr>
          <w:rtl/>
        </w:rPr>
        <w:t xml:space="preserve">أن قانون التقادم </w:t>
      </w:r>
      <w:r w:rsidRPr="00586DF9">
        <w:rPr>
          <w:rFonts w:hint="cs"/>
          <w:rtl/>
        </w:rPr>
        <w:t>فيما يتعلق ب</w:t>
      </w:r>
      <w:r w:rsidRPr="00586DF9">
        <w:rPr>
          <w:rtl/>
        </w:rPr>
        <w:t>جريمة التعذيب لا يزال ساريا</w:t>
      </w:r>
      <w:r w:rsidR="006C5612">
        <w:rPr>
          <w:rFonts w:hint="cs"/>
          <w:rtl/>
        </w:rPr>
        <w:t>ً</w:t>
      </w:r>
      <w:r w:rsidRPr="00586DF9">
        <w:rPr>
          <w:rtl/>
        </w:rPr>
        <w:t xml:space="preserve"> (المادتان </w:t>
      </w:r>
      <w:r w:rsidRPr="00CA5F1C">
        <w:rPr>
          <w:rtl/>
        </w:rPr>
        <w:t>1</w:t>
      </w:r>
      <w:r w:rsidRPr="00586DF9">
        <w:rPr>
          <w:rtl/>
        </w:rPr>
        <w:t xml:space="preserve"> و</w:t>
      </w:r>
      <w:r w:rsidRPr="00CA5F1C">
        <w:rPr>
          <w:rtl/>
        </w:rPr>
        <w:t>4</w:t>
      </w:r>
      <w:r w:rsidRPr="00586DF9">
        <w:rPr>
          <w:rtl/>
        </w:rPr>
        <w:t>).</w:t>
      </w:r>
    </w:p>
    <w:p w14:paraId="1752188A" w14:textId="2A9D392E" w:rsidR="00586DF9" w:rsidRPr="00C472A0" w:rsidRDefault="00586DF9" w:rsidP="00586DF9">
      <w:pPr>
        <w:pStyle w:val="SingleTxtGA"/>
        <w:rPr>
          <w:b/>
          <w:bCs/>
        </w:rPr>
      </w:pPr>
      <w:r w:rsidRPr="00CA5F1C">
        <w:rPr>
          <w:rtl/>
        </w:rPr>
        <w:t>7</w:t>
      </w:r>
      <w:r w:rsidRPr="005F1D28">
        <w:rPr>
          <w:rtl/>
        </w:rPr>
        <w:t>-</w:t>
      </w:r>
      <w:r w:rsidRPr="005F1D28">
        <w:rPr>
          <w:rtl/>
        </w:rPr>
        <w:tab/>
      </w:r>
      <w:r w:rsidRPr="00C472A0">
        <w:rPr>
          <w:rFonts w:hint="cs"/>
          <w:b/>
          <w:bCs/>
          <w:rtl/>
        </w:rPr>
        <w:t>تذكر</w:t>
      </w:r>
      <w:r w:rsidRPr="00C472A0">
        <w:rPr>
          <w:b/>
          <w:bCs/>
          <w:rtl/>
        </w:rPr>
        <w:t xml:space="preserve"> اللجنة </w:t>
      </w:r>
      <w:r w:rsidRPr="00C472A0">
        <w:rPr>
          <w:rFonts w:hint="cs"/>
          <w:b/>
          <w:bCs/>
          <w:rtl/>
        </w:rPr>
        <w:t>ب</w:t>
      </w:r>
      <w:r w:rsidRPr="00C472A0">
        <w:rPr>
          <w:b/>
          <w:bCs/>
          <w:rtl/>
        </w:rPr>
        <w:t>ملاحظاتها الختامية السابقة</w:t>
      </w:r>
      <w:r w:rsidR="009A5C20" w:rsidRPr="005F1D28">
        <w:rPr>
          <w:vertAlign w:val="superscript"/>
          <w:rtl/>
        </w:rPr>
        <w:t>(</w:t>
      </w:r>
      <w:r w:rsidR="009A5C20" w:rsidRPr="00C472A0">
        <w:rPr>
          <w:vertAlign w:val="superscript"/>
          <w:lang w:val="en-US"/>
        </w:rPr>
        <w:footnoteReference w:id="10"/>
      </w:r>
      <w:r w:rsidR="009A5C20" w:rsidRPr="005F1D28">
        <w:rPr>
          <w:vertAlign w:val="superscript"/>
          <w:rtl/>
        </w:rPr>
        <w:t>)</w:t>
      </w:r>
      <w:r w:rsidRPr="00C472A0">
        <w:rPr>
          <w:b/>
          <w:bCs/>
          <w:rtl/>
        </w:rPr>
        <w:t xml:space="preserve"> وتحث الدولة الطرف على التعجيل باعتماد تعديلات على الفقرة 2 من المادة 167</w:t>
      </w:r>
      <w:r w:rsidR="007F0913" w:rsidRPr="00C472A0">
        <w:rPr>
          <w:b/>
          <w:bCs/>
          <w:rtl/>
        </w:rPr>
        <w:t>،</w:t>
      </w:r>
      <w:r w:rsidRPr="00C472A0">
        <w:rPr>
          <w:b/>
          <w:bCs/>
          <w:rtl/>
        </w:rPr>
        <w:t xml:space="preserve"> مقروءة بالاقتران مع الفقرة 1 من القانون الجنائي</w:t>
      </w:r>
      <w:r w:rsidR="007F0913" w:rsidRPr="00C472A0">
        <w:rPr>
          <w:b/>
          <w:bCs/>
          <w:rtl/>
        </w:rPr>
        <w:t>،</w:t>
      </w:r>
      <w:r w:rsidRPr="00C472A0">
        <w:rPr>
          <w:b/>
          <w:bCs/>
          <w:rtl/>
        </w:rPr>
        <w:t xml:space="preserve"> بغية إدراج جميع العناصر الواردة في المادة 1 من الاتفاقية في التعريف القانوني للتعذيب وضمان أن </w:t>
      </w:r>
      <w:r w:rsidRPr="00C472A0">
        <w:rPr>
          <w:rFonts w:hint="cs"/>
          <w:b/>
          <w:bCs/>
          <w:rtl/>
        </w:rPr>
        <w:t>تتناسب</w:t>
      </w:r>
      <w:r w:rsidRPr="00C472A0">
        <w:rPr>
          <w:b/>
          <w:bCs/>
          <w:rtl/>
        </w:rPr>
        <w:t xml:space="preserve"> </w:t>
      </w:r>
      <w:r w:rsidRPr="00C472A0">
        <w:rPr>
          <w:b/>
          <w:bCs/>
          <w:rtl/>
        </w:rPr>
        <w:lastRenderedPageBreak/>
        <w:t xml:space="preserve">العقوبات المفروضة على </w:t>
      </w:r>
      <w:r w:rsidRPr="00C472A0">
        <w:rPr>
          <w:rFonts w:hint="cs"/>
          <w:b/>
          <w:bCs/>
          <w:rtl/>
        </w:rPr>
        <w:t xml:space="preserve">ممارسة </w:t>
      </w:r>
      <w:r w:rsidRPr="00C472A0">
        <w:rPr>
          <w:b/>
          <w:bCs/>
          <w:rtl/>
        </w:rPr>
        <w:t>التعذيب م</w:t>
      </w:r>
      <w:r w:rsidRPr="00C472A0">
        <w:rPr>
          <w:rFonts w:hint="cs"/>
          <w:b/>
          <w:bCs/>
          <w:rtl/>
        </w:rPr>
        <w:t>ع فداحة</w:t>
      </w:r>
      <w:r w:rsidRPr="00C472A0">
        <w:rPr>
          <w:b/>
          <w:bCs/>
          <w:rtl/>
        </w:rPr>
        <w:t xml:space="preserve"> </w:t>
      </w:r>
      <w:r w:rsidRPr="00C472A0">
        <w:rPr>
          <w:rFonts w:hint="cs"/>
          <w:b/>
          <w:bCs/>
          <w:rtl/>
        </w:rPr>
        <w:t>الجريمة</w:t>
      </w:r>
      <w:r w:rsidR="007F0913" w:rsidRPr="00C472A0">
        <w:rPr>
          <w:rFonts w:hint="cs"/>
          <w:b/>
          <w:bCs/>
          <w:rtl/>
        </w:rPr>
        <w:t>،</w:t>
      </w:r>
      <w:r w:rsidRPr="00C472A0">
        <w:rPr>
          <w:rFonts w:hint="cs"/>
          <w:b/>
          <w:bCs/>
          <w:rtl/>
        </w:rPr>
        <w:t xml:space="preserve"> على</w:t>
      </w:r>
      <w:r w:rsidRPr="00C472A0">
        <w:rPr>
          <w:b/>
          <w:bCs/>
          <w:rtl/>
        </w:rPr>
        <w:t xml:space="preserve"> النحو المبين في المادة 4(2) من الاتفاقية.</w:t>
      </w:r>
      <w:r w:rsidR="006C5612" w:rsidRPr="00C472A0">
        <w:rPr>
          <w:b/>
          <w:bCs/>
          <w:rtl/>
        </w:rPr>
        <w:t xml:space="preserve"> </w:t>
      </w:r>
      <w:r w:rsidRPr="00C472A0">
        <w:rPr>
          <w:b/>
          <w:bCs/>
          <w:rtl/>
        </w:rPr>
        <w:t xml:space="preserve">وينبغي للدولة الطرف كذلك أن تكفل عدم </w:t>
      </w:r>
      <w:r w:rsidRPr="00C472A0">
        <w:rPr>
          <w:rFonts w:hint="cs"/>
          <w:b/>
          <w:bCs/>
          <w:rtl/>
        </w:rPr>
        <w:t>ال</w:t>
      </w:r>
      <w:r w:rsidRPr="00C472A0">
        <w:rPr>
          <w:b/>
          <w:bCs/>
          <w:rtl/>
        </w:rPr>
        <w:t xml:space="preserve">تقادم </w:t>
      </w:r>
      <w:r w:rsidRPr="00C472A0">
        <w:rPr>
          <w:rFonts w:hint="cs"/>
          <w:b/>
          <w:bCs/>
          <w:rtl/>
        </w:rPr>
        <w:t>فيما يتعلق ب</w:t>
      </w:r>
      <w:r w:rsidRPr="00C472A0">
        <w:rPr>
          <w:b/>
          <w:bCs/>
          <w:rtl/>
        </w:rPr>
        <w:t>جريمة التعذيب</w:t>
      </w:r>
      <w:r w:rsidR="007F0913" w:rsidRPr="00C472A0">
        <w:rPr>
          <w:b/>
          <w:bCs/>
          <w:rtl/>
        </w:rPr>
        <w:t>،</w:t>
      </w:r>
      <w:r w:rsidRPr="00C472A0">
        <w:rPr>
          <w:b/>
          <w:bCs/>
          <w:rtl/>
        </w:rPr>
        <w:t xml:space="preserve"> بغية تفادي أي إفلات من العقاب فيما يتعلق بالتحقيق في </w:t>
      </w:r>
      <w:r w:rsidRPr="00C472A0">
        <w:rPr>
          <w:rFonts w:hint="cs"/>
          <w:b/>
          <w:bCs/>
          <w:rtl/>
        </w:rPr>
        <w:t>ممارسات</w:t>
      </w:r>
      <w:r w:rsidRPr="00C472A0">
        <w:rPr>
          <w:b/>
          <w:bCs/>
          <w:rtl/>
        </w:rPr>
        <w:t xml:space="preserve"> التعذيب ومقاضاة مرتكبيها ومعاقبتهم.</w:t>
      </w:r>
    </w:p>
    <w:p w14:paraId="438428AB" w14:textId="77777777" w:rsidR="00586DF9" w:rsidRPr="00C472A0" w:rsidRDefault="00586DF9" w:rsidP="00586DF9">
      <w:pPr>
        <w:pStyle w:val="H23GA"/>
      </w:pPr>
      <w:r w:rsidRPr="00C472A0">
        <w:rPr>
          <w:rtl/>
        </w:rPr>
        <w:tab/>
      </w:r>
      <w:r w:rsidRPr="00C472A0">
        <w:rPr>
          <w:rtl/>
        </w:rPr>
        <w:tab/>
        <w:t>الضمانات القانونية الأساسية</w:t>
      </w:r>
    </w:p>
    <w:p w14:paraId="40190D59" w14:textId="1EB7F22D" w:rsidR="00586DF9" w:rsidRPr="00586DF9" w:rsidRDefault="00586DF9" w:rsidP="00586DF9">
      <w:pPr>
        <w:pStyle w:val="SingleTxtGA"/>
      </w:pPr>
      <w:r w:rsidRPr="00CA5F1C">
        <w:rPr>
          <w:rtl/>
        </w:rPr>
        <w:t>8</w:t>
      </w:r>
      <w:r w:rsidRPr="005F1D28">
        <w:rPr>
          <w:rtl/>
        </w:rPr>
        <w:t>-</w:t>
      </w:r>
      <w:r w:rsidRPr="005F1D28">
        <w:rPr>
          <w:rtl/>
        </w:rPr>
        <w:tab/>
      </w:r>
      <w:r w:rsidRPr="00586DF9">
        <w:rPr>
          <w:rtl/>
        </w:rPr>
        <w:t xml:space="preserve">تعرب اللجنة عن تقديرها للتدابير التي اتخذتها الدولة الطرف في عام </w:t>
      </w:r>
      <w:r w:rsidRPr="00CA5F1C">
        <w:rPr>
          <w:rtl/>
        </w:rPr>
        <w:t>2015</w:t>
      </w:r>
      <w:r w:rsidRPr="00586DF9">
        <w:rPr>
          <w:rFonts w:hint="cs"/>
          <w:rtl/>
        </w:rPr>
        <w:t xml:space="preserve"> بغية </w:t>
      </w:r>
      <w:r w:rsidRPr="00586DF9">
        <w:rPr>
          <w:rtl/>
        </w:rPr>
        <w:t>تعديل المادة</w:t>
      </w:r>
      <w:r w:rsidR="007F0913">
        <w:rPr>
          <w:rFonts w:hint="cs"/>
          <w:rtl/>
        </w:rPr>
        <w:t> </w:t>
      </w:r>
      <w:r w:rsidRPr="00CA5F1C">
        <w:rPr>
          <w:rtl/>
        </w:rPr>
        <w:t>268</w:t>
      </w:r>
      <w:r w:rsidRPr="00586DF9">
        <w:rPr>
          <w:rtl/>
        </w:rPr>
        <w:t xml:space="preserve"> من قانون الإجراءات </w:t>
      </w:r>
      <w:r w:rsidRPr="00586DF9">
        <w:rPr>
          <w:rFonts w:hint="cs"/>
          <w:rtl/>
        </w:rPr>
        <w:t>الجنائية</w:t>
      </w:r>
      <w:r w:rsidR="007F0913">
        <w:rPr>
          <w:rFonts w:hint="cs"/>
          <w:rtl/>
        </w:rPr>
        <w:t>،</w:t>
      </w:r>
      <w:r w:rsidRPr="00586DF9">
        <w:rPr>
          <w:rtl/>
        </w:rPr>
        <w:t xml:space="preserve"> </w:t>
      </w:r>
      <w:r w:rsidRPr="00586DF9">
        <w:rPr>
          <w:rFonts w:hint="cs"/>
          <w:rtl/>
        </w:rPr>
        <w:t>وتنفيذ</w:t>
      </w:r>
      <w:r w:rsidRPr="00586DF9">
        <w:rPr>
          <w:rtl/>
        </w:rPr>
        <w:t xml:space="preserve"> </w:t>
      </w:r>
      <w:r w:rsidRPr="00586DF9">
        <w:rPr>
          <w:rFonts w:hint="cs"/>
          <w:rtl/>
        </w:rPr>
        <w:t>ال</w:t>
      </w:r>
      <w:r w:rsidRPr="00586DF9">
        <w:rPr>
          <w:rtl/>
        </w:rPr>
        <w:t>توصية السابقة</w:t>
      </w:r>
      <w:r w:rsidR="009A5C20" w:rsidRPr="005F1D28">
        <w:rPr>
          <w:vertAlign w:val="superscript"/>
          <w:rtl/>
        </w:rPr>
        <w:t>(</w:t>
      </w:r>
      <w:r w:rsidR="009A5C20" w:rsidRPr="00C472A0">
        <w:rPr>
          <w:vertAlign w:val="superscript"/>
          <w:lang w:val="en-US"/>
        </w:rPr>
        <w:footnoteReference w:id="11"/>
      </w:r>
      <w:r w:rsidR="009A5C20" w:rsidRPr="005F1D28">
        <w:rPr>
          <w:vertAlign w:val="superscript"/>
          <w:rtl/>
        </w:rPr>
        <w:t>)</w:t>
      </w:r>
      <w:r w:rsidRPr="00586DF9">
        <w:rPr>
          <w:rtl/>
        </w:rPr>
        <w:t xml:space="preserve"> </w:t>
      </w:r>
      <w:r w:rsidRPr="00586DF9">
        <w:rPr>
          <w:rFonts w:hint="cs"/>
          <w:rtl/>
        </w:rPr>
        <w:t xml:space="preserve">المقدمة من </w:t>
      </w:r>
      <w:r w:rsidRPr="00586DF9">
        <w:rPr>
          <w:rtl/>
        </w:rPr>
        <w:t>اللجنة ب</w:t>
      </w:r>
      <w:r w:rsidRPr="00586DF9">
        <w:rPr>
          <w:rFonts w:hint="cs"/>
          <w:rtl/>
        </w:rPr>
        <w:t xml:space="preserve">شأن </w:t>
      </w:r>
      <w:r w:rsidRPr="00586DF9">
        <w:rPr>
          <w:rtl/>
        </w:rPr>
        <w:t>إ</w:t>
      </w:r>
      <w:r w:rsidRPr="00586DF9">
        <w:rPr>
          <w:rFonts w:hint="cs"/>
          <w:rtl/>
        </w:rPr>
        <w:t xml:space="preserve">لغاء </w:t>
      </w:r>
      <w:r w:rsidRPr="00586DF9">
        <w:rPr>
          <w:rtl/>
        </w:rPr>
        <w:t xml:space="preserve">شرط </w:t>
      </w:r>
      <w:r w:rsidRPr="00586DF9">
        <w:rPr>
          <w:rFonts w:hint="cs"/>
          <w:rtl/>
        </w:rPr>
        <w:t xml:space="preserve">إخضاع </w:t>
      </w:r>
      <w:r w:rsidRPr="00586DF9">
        <w:rPr>
          <w:rtl/>
        </w:rPr>
        <w:t xml:space="preserve">المحتجزين إلى الفحص الطبي بناء على طلب </w:t>
      </w:r>
      <w:r w:rsidRPr="00586DF9">
        <w:rPr>
          <w:rFonts w:hint="cs"/>
          <w:rtl/>
        </w:rPr>
        <w:t>ي</w:t>
      </w:r>
      <w:r w:rsidRPr="00586DF9">
        <w:rPr>
          <w:rtl/>
        </w:rPr>
        <w:t>قدم</w:t>
      </w:r>
      <w:r w:rsidRPr="00586DF9">
        <w:rPr>
          <w:rFonts w:hint="cs"/>
          <w:rtl/>
        </w:rPr>
        <w:t>ه</w:t>
      </w:r>
      <w:r w:rsidRPr="00586DF9">
        <w:rPr>
          <w:rtl/>
        </w:rPr>
        <w:t xml:space="preserve"> المدعي العام</w:t>
      </w:r>
      <w:r w:rsidR="007F0913">
        <w:rPr>
          <w:rtl/>
        </w:rPr>
        <w:t>،</w:t>
      </w:r>
      <w:r w:rsidRPr="00586DF9">
        <w:rPr>
          <w:rtl/>
        </w:rPr>
        <w:t xml:space="preserve"> </w:t>
      </w:r>
      <w:r w:rsidRPr="00586DF9">
        <w:rPr>
          <w:rFonts w:hint="cs"/>
          <w:rtl/>
        </w:rPr>
        <w:t>لكنها</w:t>
      </w:r>
      <w:r w:rsidRPr="00586DF9">
        <w:rPr>
          <w:rtl/>
        </w:rPr>
        <w:t xml:space="preserve"> تشعر بالقلق إزاء التقارير التي </w:t>
      </w:r>
      <w:r w:rsidRPr="00586DF9">
        <w:rPr>
          <w:rFonts w:hint="cs"/>
          <w:rtl/>
        </w:rPr>
        <w:t>تفيد ب</w:t>
      </w:r>
      <w:r w:rsidRPr="00586DF9">
        <w:rPr>
          <w:rtl/>
        </w:rPr>
        <w:t xml:space="preserve">أن الضمانات القانونية الرئيسية للمحتجزين لا تنفذ بفعالية في الممارسة العملية منذ بداية </w:t>
      </w:r>
      <w:r w:rsidRPr="00586DF9">
        <w:rPr>
          <w:rFonts w:hint="cs"/>
          <w:rtl/>
        </w:rPr>
        <w:t>سلب حرية</w:t>
      </w:r>
      <w:r w:rsidRPr="00586DF9">
        <w:rPr>
          <w:rtl/>
        </w:rPr>
        <w:t xml:space="preserve"> المحتجزين. </w:t>
      </w:r>
      <w:r w:rsidRPr="00586DF9">
        <w:rPr>
          <w:rFonts w:hint="cs"/>
          <w:rtl/>
        </w:rPr>
        <w:t>ويجيز</w:t>
      </w:r>
      <w:r w:rsidRPr="00586DF9">
        <w:rPr>
          <w:rtl/>
        </w:rPr>
        <w:t xml:space="preserve"> القانون الجنائي للشرطة </w:t>
      </w:r>
      <w:r w:rsidRPr="00586DF9">
        <w:rPr>
          <w:rFonts w:hint="cs"/>
          <w:rtl/>
        </w:rPr>
        <w:t>أن تحتجز</w:t>
      </w:r>
      <w:r w:rsidRPr="00586DF9">
        <w:rPr>
          <w:rtl/>
        </w:rPr>
        <w:t xml:space="preserve"> المشتبه فيهم لمدة تصل إلى </w:t>
      </w:r>
      <w:r w:rsidRPr="00CA5F1C">
        <w:rPr>
          <w:rtl/>
        </w:rPr>
        <w:t>24</w:t>
      </w:r>
      <w:r w:rsidRPr="00586DF9">
        <w:rPr>
          <w:rtl/>
        </w:rPr>
        <w:t xml:space="preserve"> ساعة قبل عرضهم على </w:t>
      </w:r>
      <w:r w:rsidRPr="00586DF9">
        <w:rPr>
          <w:rFonts w:hint="cs"/>
          <w:rtl/>
        </w:rPr>
        <w:t>ال</w:t>
      </w:r>
      <w:r w:rsidRPr="00586DF9">
        <w:rPr>
          <w:rtl/>
        </w:rPr>
        <w:t>مدع</w:t>
      </w:r>
      <w:r w:rsidRPr="00586DF9">
        <w:rPr>
          <w:rFonts w:hint="cs"/>
          <w:rtl/>
        </w:rPr>
        <w:t>ي</w:t>
      </w:r>
      <w:r w:rsidRPr="00586DF9">
        <w:rPr>
          <w:rtl/>
        </w:rPr>
        <w:t xml:space="preserve"> </w:t>
      </w:r>
      <w:r w:rsidRPr="00586DF9">
        <w:rPr>
          <w:rFonts w:hint="cs"/>
          <w:rtl/>
        </w:rPr>
        <w:t>ال</w:t>
      </w:r>
      <w:r w:rsidRPr="00586DF9">
        <w:rPr>
          <w:rtl/>
        </w:rPr>
        <w:t>عام</w:t>
      </w:r>
      <w:r w:rsidR="007F0913">
        <w:rPr>
          <w:rtl/>
        </w:rPr>
        <w:t>،</w:t>
      </w:r>
      <w:r w:rsidRPr="00586DF9">
        <w:rPr>
          <w:rtl/>
        </w:rPr>
        <w:t xml:space="preserve"> </w:t>
      </w:r>
      <w:r w:rsidRPr="00586DF9">
        <w:rPr>
          <w:rFonts w:hint="cs"/>
          <w:rtl/>
        </w:rPr>
        <w:t>و</w:t>
      </w:r>
      <w:r w:rsidRPr="00586DF9">
        <w:rPr>
          <w:rtl/>
        </w:rPr>
        <w:t xml:space="preserve">تحدث غالبية الانتهاكات المزعومة </w:t>
      </w:r>
      <w:r w:rsidRPr="00586DF9">
        <w:rPr>
          <w:rFonts w:hint="cs"/>
          <w:rtl/>
        </w:rPr>
        <w:t>أثناء</w:t>
      </w:r>
      <w:r w:rsidRPr="00586DF9">
        <w:rPr>
          <w:rtl/>
        </w:rPr>
        <w:t xml:space="preserve"> هذه الفترة. و</w:t>
      </w:r>
      <w:r w:rsidRPr="00586DF9">
        <w:rPr>
          <w:rFonts w:hint="cs"/>
          <w:rtl/>
        </w:rPr>
        <w:t xml:space="preserve">يشكل ذلك </w:t>
      </w:r>
      <w:r w:rsidRPr="00586DF9">
        <w:rPr>
          <w:rtl/>
        </w:rPr>
        <w:t>مصدر قلق خاص فيما يتعلق بالوصول الفعال إلى المشورة القانونية والفحص الطبي</w:t>
      </w:r>
      <w:r w:rsidR="007F0913">
        <w:rPr>
          <w:rtl/>
        </w:rPr>
        <w:t>،</w:t>
      </w:r>
      <w:r w:rsidRPr="00586DF9">
        <w:rPr>
          <w:rtl/>
        </w:rPr>
        <w:t xml:space="preserve"> وفيما يتعلق بإخطار أحد الأقارب أو أي شخص آخر يختاره المحتجز. ويشكل </w:t>
      </w:r>
      <w:r w:rsidRPr="00586DF9">
        <w:rPr>
          <w:rFonts w:hint="cs"/>
          <w:rtl/>
        </w:rPr>
        <w:t xml:space="preserve">عدم اتساق </w:t>
      </w:r>
      <w:r w:rsidRPr="00586DF9">
        <w:rPr>
          <w:rtl/>
        </w:rPr>
        <w:t>سجلات الاحتجاز وسجلات فرادى المحتجزين مصدرا</w:t>
      </w:r>
      <w:r w:rsidR="006C5612">
        <w:rPr>
          <w:rFonts w:hint="cs"/>
          <w:rtl/>
        </w:rPr>
        <w:t>ً</w:t>
      </w:r>
      <w:r w:rsidRPr="00586DF9">
        <w:rPr>
          <w:rtl/>
        </w:rPr>
        <w:t xml:space="preserve"> آخر للقلق (المادة </w:t>
      </w:r>
      <w:r w:rsidRPr="00CA5F1C">
        <w:rPr>
          <w:rtl/>
        </w:rPr>
        <w:t>2</w:t>
      </w:r>
      <w:r w:rsidRPr="00586DF9">
        <w:rPr>
          <w:rtl/>
        </w:rPr>
        <w:t>).</w:t>
      </w:r>
    </w:p>
    <w:p w14:paraId="1C21F862" w14:textId="37860408" w:rsidR="00586DF9" w:rsidRPr="00C472A0" w:rsidRDefault="00586DF9" w:rsidP="00586DF9">
      <w:pPr>
        <w:pStyle w:val="SingleTxtGA"/>
        <w:rPr>
          <w:b/>
          <w:bCs/>
          <w:spacing w:val="-4"/>
        </w:rPr>
      </w:pPr>
      <w:r w:rsidRPr="00CA5F1C">
        <w:rPr>
          <w:spacing w:val="-4"/>
          <w:rtl/>
        </w:rPr>
        <w:t>9</w:t>
      </w:r>
      <w:r w:rsidRPr="001D69D4">
        <w:rPr>
          <w:spacing w:val="-4"/>
          <w:rtl/>
        </w:rPr>
        <w:t>-</w:t>
      </w:r>
      <w:r w:rsidRPr="001D69D4">
        <w:rPr>
          <w:spacing w:val="-4"/>
          <w:rtl/>
        </w:rPr>
        <w:tab/>
      </w:r>
      <w:r w:rsidRPr="00C472A0">
        <w:rPr>
          <w:rFonts w:hint="cs"/>
          <w:b/>
          <w:bCs/>
          <w:spacing w:val="-4"/>
          <w:rtl/>
        </w:rPr>
        <w:t>تذكر</w:t>
      </w:r>
      <w:r w:rsidRPr="00C472A0">
        <w:rPr>
          <w:b/>
          <w:bCs/>
          <w:spacing w:val="-4"/>
          <w:rtl/>
        </w:rPr>
        <w:t xml:space="preserve"> اللجنة </w:t>
      </w:r>
      <w:r w:rsidRPr="00C472A0">
        <w:rPr>
          <w:rFonts w:hint="cs"/>
          <w:b/>
          <w:bCs/>
          <w:spacing w:val="-4"/>
          <w:rtl/>
        </w:rPr>
        <w:t>ب</w:t>
      </w:r>
      <w:r w:rsidRPr="00C472A0">
        <w:rPr>
          <w:b/>
          <w:bCs/>
          <w:spacing w:val="-4"/>
          <w:rtl/>
        </w:rPr>
        <w:t>توصياتها السابقة</w:t>
      </w:r>
      <w:r w:rsidR="009A5C20" w:rsidRPr="001D69D4">
        <w:rPr>
          <w:spacing w:val="-4"/>
          <w:vertAlign w:val="superscript"/>
          <w:rtl/>
        </w:rPr>
        <w:t>(</w:t>
      </w:r>
      <w:r w:rsidR="009A5C20" w:rsidRPr="00C472A0">
        <w:rPr>
          <w:spacing w:val="-4"/>
          <w:vertAlign w:val="superscript"/>
          <w:lang w:val="en-US"/>
        </w:rPr>
        <w:footnoteReference w:id="12"/>
      </w:r>
      <w:r w:rsidR="009A5C20" w:rsidRPr="001D69D4">
        <w:rPr>
          <w:spacing w:val="-4"/>
          <w:vertAlign w:val="superscript"/>
          <w:rtl/>
        </w:rPr>
        <w:t>)</w:t>
      </w:r>
      <w:r w:rsidR="007F0913" w:rsidRPr="00C472A0">
        <w:rPr>
          <w:b/>
          <w:bCs/>
          <w:spacing w:val="-4"/>
          <w:rtl/>
        </w:rPr>
        <w:t>،</w:t>
      </w:r>
      <w:r w:rsidRPr="00C472A0">
        <w:rPr>
          <w:b/>
          <w:bCs/>
          <w:spacing w:val="-4"/>
          <w:rtl/>
        </w:rPr>
        <w:t xml:space="preserve"> </w:t>
      </w:r>
      <w:r w:rsidRPr="00C472A0">
        <w:rPr>
          <w:rFonts w:hint="cs"/>
          <w:b/>
          <w:bCs/>
          <w:spacing w:val="-4"/>
          <w:rtl/>
        </w:rPr>
        <w:t>و</w:t>
      </w:r>
      <w:r w:rsidRPr="00C472A0">
        <w:rPr>
          <w:b/>
          <w:bCs/>
          <w:spacing w:val="-4"/>
          <w:rtl/>
        </w:rPr>
        <w:t xml:space="preserve">تحث الدولة الطرف على ضمان أن تتاح لجميع الأشخاص المقبوض عليهم أو المحتجزين </w:t>
      </w:r>
      <w:r w:rsidRPr="00C472A0">
        <w:rPr>
          <w:rFonts w:hint="cs"/>
          <w:b/>
          <w:bCs/>
          <w:spacing w:val="-4"/>
          <w:rtl/>
        </w:rPr>
        <w:t>كافة</w:t>
      </w:r>
      <w:r w:rsidRPr="00C472A0">
        <w:rPr>
          <w:b/>
          <w:bCs/>
          <w:spacing w:val="-4"/>
          <w:rtl/>
        </w:rPr>
        <w:t xml:space="preserve"> الضمانات القانونية الأساسية </w:t>
      </w:r>
      <w:r w:rsidRPr="00C472A0">
        <w:rPr>
          <w:rFonts w:hint="cs"/>
          <w:b/>
          <w:bCs/>
          <w:spacing w:val="-4"/>
          <w:rtl/>
        </w:rPr>
        <w:t>للحماية من</w:t>
      </w:r>
      <w:r w:rsidRPr="00C472A0">
        <w:rPr>
          <w:b/>
          <w:bCs/>
          <w:spacing w:val="-4"/>
          <w:rtl/>
        </w:rPr>
        <w:t xml:space="preserve"> التعذيب</w:t>
      </w:r>
      <w:r w:rsidR="007F0913" w:rsidRPr="00C472A0">
        <w:rPr>
          <w:b/>
          <w:bCs/>
          <w:spacing w:val="-4"/>
          <w:rtl/>
        </w:rPr>
        <w:t>،</w:t>
      </w:r>
      <w:r w:rsidRPr="00C472A0">
        <w:rPr>
          <w:b/>
          <w:bCs/>
          <w:spacing w:val="-4"/>
          <w:rtl/>
        </w:rPr>
        <w:t xml:space="preserve"> و</w:t>
      </w:r>
      <w:r w:rsidRPr="00C472A0">
        <w:rPr>
          <w:rFonts w:hint="cs"/>
          <w:b/>
          <w:bCs/>
          <w:spacing w:val="-4"/>
          <w:rtl/>
        </w:rPr>
        <w:t>ذلك في الممارسة العملية و</w:t>
      </w:r>
      <w:r w:rsidRPr="00C472A0">
        <w:rPr>
          <w:b/>
          <w:bCs/>
          <w:spacing w:val="-4"/>
          <w:rtl/>
        </w:rPr>
        <w:t xml:space="preserve">ليس </w:t>
      </w:r>
      <w:r w:rsidRPr="00C472A0">
        <w:rPr>
          <w:rFonts w:hint="cs"/>
          <w:b/>
          <w:bCs/>
          <w:spacing w:val="-4"/>
          <w:rtl/>
        </w:rPr>
        <w:t xml:space="preserve">فقط </w:t>
      </w:r>
      <w:r w:rsidRPr="00C472A0">
        <w:rPr>
          <w:b/>
          <w:bCs/>
          <w:spacing w:val="-4"/>
          <w:rtl/>
        </w:rPr>
        <w:t xml:space="preserve">في </w:t>
      </w:r>
      <w:r w:rsidRPr="00C472A0">
        <w:rPr>
          <w:rFonts w:hint="cs"/>
          <w:b/>
          <w:bCs/>
          <w:spacing w:val="-4"/>
          <w:rtl/>
        </w:rPr>
        <w:t xml:space="preserve">نصوص </w:t>
      </w:r>
      <w:r w:rsidRPr="00C472A0">
        <w:rPr>
          <w:b/>
          <w:bCs/>
          <w:spacing w:val="-4"/>
          <w:rtl/>
        </w:rPr>
        <w:t>القانون</w:t>
      </w:r>
      <w:r w:rsidR="007F0913" w:rsidRPr="00C472A0">
        <w:rPr>
          <w:b/>
          <w:bCs/>
          <w:spacing w:val="-4"/>
          <w:rtl/>
        </w:rPr>
        <w:t>،</w:t>
      </w:r>
      <w:r w:rsidRPr="00C472A0">
        <w:rPr>
          <w:b/>
          <w:bCs/>
          <w:spacing w:val="-4"/>
          <w:rtl/>
        </w:rPr>
        <w:t xml:space="preserve"> منذ بداية </w:t>
      </w:r>
      <w:r w:rsidRPr="00C472A0">
        <w:rPr>
          <w:rFonts w:hint="cs"/>
          <w:b/>
          <w:bCs/>
          <w:spacing w:val="-4"/>
          <w:rtl/>
        </w:rPr>
        <w:t>سلب ال</w:t>
      </w:r>
      <w:r w:rsidRPr="00C472A0">
        <w:rPr>
          <w:b/>
          <w:bCs/>
          <w:spacing w:val="-4"/>
          <w:rtl/>
        </w:rPr>
        <w:t>حرية</w:t>
      </w:r>
      <w:r w:rsidR="007F0913" w:rsidRPr="00C472A0">
        <w:rPr>
          <w:b/>
          <w:bCs/>
          <w:spacing w:val="-4"/>
          <w:rtl/>
        </w:rPr>
        <w:t>،</w:t>
      </w:r>
      <w:r w:rsidRPr="00C472A0">
        <w:rPr>
          <w:b/>
          <w:bCs/>
          <w:spacing w:val="-4"/>
          <w:rtl/>
        </w:rPr>
        <w:t xml:space="preserve"> بما في ذلك الحقوق</w:t>
      </w:r>
      <w:r w:rsidRPr="00C472A0">
        <w:rPr>
          <w:rFonts w:hint="cs"/>
          <w:b/>
          <w:bCs/>
          <w:spacing w:val="-4"/>
          <w:rtl/>
        </w:rPr>
        <w:t xml:space="preserve"> التالية</w:t>
      </w:r>
      <w:r w:rsidRPr="00C472A0">
        <w:rPr>
          <w:b/>
          <w:bCs/>
          <w:spacing w:val="-4"/>
          <w:rtl/>
        </w:rPr>
        <w:t>:</w:t>
      </w:r>
    </w:p>
    <w:p w14:paraId="5E429467" w14:textId="595312C0" w:rsidR="00586DF9" w:rsidRPr="00C472A0" w:rsidRDefault="00586DF9" w:rsidP="00586DF9">
      <w:pPr>
        <w:pStyle w:val="SingleTxtGA"/>
        <w:rPr>
          <w:b/>
          <w:bCs/>
        </w:rPr>
      </w:pPr>
      <w:r w:rsidRPr="005F1D28">
        <w:rPr>
          <w:rtl/>
        </w:rPr>
        <w:tab/>
        <w:t>(أ)</w:t>
      </w:r>
      <w:r w:rsidRPr="005F1D28">
        <w:rPr>
          <w:rtl/>
        </w:rPr>
        <w:tab/>
      </w:r>
      <w:r w:rsidRPr="00C472A0">
        <w:rPr>
          <w:b/>
          <w:bCs/>
          <w:rtl/>
        </w:rPr>
        <w:t xml:space="preserve">أن يبلغوا على </w:t>
      </w:r>
      <w:r w:rsidRPr="00C472A0">
        <w:rPr>
          <w:rFonts w:hint="cs"/>
          <w:b/>
          <w:bCs/>
          <w:rtl/>
        </w:rPr>
        <w:t>الفور</w:t>
      </w:r>
      <w:r w:rsidR="007F0913" w:rsidRPr="00C472A0">
        <w:rPr>
          <w:b/>
          <w:bCs/>
          <w:rtl/>
        </w:rPr>
        <w:t>،</w:t>
      </w:r>
      <w:r w:rsidRPr="00C472A0">
        <w:rPr>
          <w:b/>
          <w:bCs/>
          <w:rtl/>
        </w:rPr>
        <w:t xml:space="preserve"> بلغة يفهمونها</w:t>
      </w:r>
      <w:r w:rsidR="007F0913" w:rsidRPr="00C472A0">
        <w:rPr>
          <w:b/>
          <w:bCs/>
          <w:rtl/>
        </w:rPr>
        <w:t>،</w:t>
      </w:r>
      <w:r w:rsidRPr="00C472A0">
        <w:rPr>
          <w:b/>
          <w:bCs/>
          <w:rtl/>
        </w:rPr>
        <w:t xml:space="preserve"> بأسباب القبض عليهم والتهم الموجهة إليهم</w:t>
      </w:r>
      <w:r w:rsidR="007F0913" w:rsidRPr="00C472A0">
        <w:rPr>
          <w:b/>
          <w:bCs/>
          <w:rtl/>
        </w:rPr>
        <w:t>،</w:t>
      </w:r>
      <w:r w:rsidRPr="00C472A0">
        <w:rPr>
          <w:b/>
          <w:bCs/>
          <w:rtl/>
        </w:rPr>
        <w:t xml:space="preserve"> وأن يوقعوا على </w:t>
      </w:r>
      <w:r w:rsidRPr="00C472A0">
        <w:rPr>
          <w:rFonts w:hint="cs"/>
          <w:b/>
          <w:bCs/>
          <w:rtl/>
        </w:rPr>
        <w:t>ال</w:t>
      </w:r>
      <w:r w:rsidRPr="00C472A0">
        <w:rPr>
          <w:b/>
          <w:bCs/>
          <w:rtl/>
        </w:rPr>
        <w:t xml:space="preserve">محضر </w:t>
      </w:r>
      <w:r w:rsidRPr="00C472A0">
        <w:rPr>
          <w:rFonts w:hint="cs"/>
          <w:b/>
          <w:bCs/>
          <w:rtl/>
        </w:rPr>
        <w:t xml:space="preserve">اللازم الذي </w:t>
      </w:r>
      <w:r w:rsidRPr="00C472A0">
        <w:rPr>
          <w:b/>
          <w:bCs/>
          <w:rtl/>
        </w:rPr>
        <w:t xml:space="preserve">يؤكد فهمهم للمعلومات المقدمة إليهم؛ </w:t>
      </w:r>
    </w:p>
    <w:p w14:paraId="3B44143A" w14:textId="5C3B7EC1" w:rsidR="00586DF9" w:rsidRPr="00C472A0" w:rsidRDefault="00586DF9" w:rsidP="00586DF9">
      <w:pPr>
        <w:pStyle w:val="SingleTxtGA"/>
        <w:rPr>
          <w:b/>
          <w:bCs/>
        </w:rPr>
      </w:pPr>
      <w:r w:rsidRPr="005F1D28">
        <w:rPr>
          <w:rtl/>
        </w:rPr>
        <w:tab/>
        <w:t>(ب)</w:t>
      </w:r>
      <w:r w:rsidRPr="005F1D28">
        <w:rPr>
          <w:rtl/>
        </w:rPr>
        <w:tab/>
      </w:r>
      <w:r w:rsidRPr="00C472A0">
        <w:rPr>
          <w:b/>
          <w:bCs/>
          <w:rtl/>
        </w:rPr>
        <w:t>إخطار أفراد الأسرة</w:t>
      </w:r>
      <w:r w:rsidR="007F0913" w:rsidRPr="00C472A0">
        <w:rPr>
          <w:b/>
          <w:bCs/>
          <w:rtl/>
        </w:rPr>
        <w:t>،</w:t>
      </w:r>
      <w:r w:rsidRPr="00C472A0">
        <w:rPr>
          <w:b/>
          <w:bCs/>
          <w:rtl/>
        </w:rPr>
        <w:t xml:space="preserve"> أو أي شخص آخر يختارونه</w:t>
      </w:r>
      <w:r w:rsidR="007F0913" w:rsidRPr="00C472A0">
        <w:rPr>
          <w:b/>
          <w:bCs/>
          <w:rtl/>
        </w:rPr>
        <w:t>،</w:t>
      </w:r>
      <w:r w:rsidRPr="00C472A0">
        <w:rPr>
          <w:b/>
          <w:bCs/>
          <w:rtl/>
        </w:rPr>
        <w:t xml:space="preserve"> بأنهم قد احتجزوا؛</w:t>
      </w:r>
    </w:p>
    <w:p w14:paraId="3DC8C29F" w14:textId="659B5C17" w:rsidR="00586DF9" w:rsidRPr="00C472A0" w:rsidRDefault="00586DF9" w:rsidP="00586DF9">
      <w:pPr>
        <w:pStyle w:val="SingleTxtGA"/>
        <w:rPr>
          <w:b/>
          <w:bCs/>
        </w:rPr>
      </w:pPr>
      <w:r w:rsidRPr="005F1D28">
        <w:rPr>
          <w:rtl/>
        </w:rPr>
        <w:tab/>
        <w:t>(ج)</w:t>
      </w:r>
      <w:r w:rsidRPr="005F1D28">
        <w:rPr>
          <w:rtl/>
        </w:rPr>
        <w:tab/>
      </w:r>
      <w:r w:rsidRPr="00C472A0">
        <w:rPr>
          <w:b/>
          <w:bCs/>
          <w:rtl/>
        </w:rPr>
        <w:t xml:space="preserve">الوصول الفوري إلى محام مستقل؛ </w:t>
      </w:r>
    </w:p>
    <w:p w14:paraId="59DF2786" w14:textId="0A1AAA7B" w:rsidR="00586DF9" w:rsidRPr="00C472A0" w:rsidRDefault="00586DF9" w:rsidP="00586DF9">
      <w:pPr>
        <w:pStyle w:val="SingleTxtGA"/>
        <w:rPr>
          <w:b/>
          <w:bCs/>
        </w:rPr>
      </w:pPr>
      <w:r w:rsidRPr="005F1D28">
        <w:rPr>
          <w:rtl/>
        </w:rPr>
        <w:tab/>
        <w:t>(د)</w:t>
      </w:r>
      <w:r w:rsidRPr="005F1D28">
        <w:rPr>
          <w:rtl/>
        </w:rPr>
        <w:tab/>
      </w:r>
      <w:r w:rsidRPr="00C472A0">
        <w:rPr>
          <w:b/>
          <w:bCs/>
          <w:rtl/>
        </w:rPr>
        <w:t xml:space="preserve">طلب وتلقي فحص طبي من قبل طبيب مستقل منذ بداية </w:t>
      </w:r>
      <w:r w:rsidRPr="00C472A0">
        <w:rPr>
          <w:rFonts w:hint="cs"/>
          <w:b/>
          <w:bCs/>
          <w:rtl/>
        </w:rPr>
        <w:t>سلب</w:t>
      </w:r>
      <w:r w:rsidRPr="00C472A0">
        <w:rPr>
          <w:b/>
          <w:bCs/>
          <w:rtl/>
        </w:rPr>
        <w:t xml:space="preserve"> الحرية؛ وإجراء هذه الفحوص الطبية بعيداً عن مسمع أفراد الشرطة وموظفي السجون ومرآهم</w:t>
      </w:r>
      <w:r w:rsidR="007F0913" w:rsidRPr="00C472A0">
        <w:rPr>
          <w:b/>
          <w:bCs/>
          <w:rtl/>
        </w:rPr>
        <w:t>،</w:t>
      </w:r>
      <w:r w:rsidRPr="00C472A0">
        <w:rPr>
          <w:b/>
          <w:bCs/>
          <w:rtl/>
        </w:rPr>
        <w:t xml:space="preserve"> ما لم </w:t>
      </w:r>
      <w:r w:rsidRPr="00C472A0">
        <w:rPr>
          <w:rFonts w:hint="cs"/>
          <w:b/>
          <w:bCs/>
          <w:rtl/>
        </w:rPr>
        <w:t>ي</w:t>
      </w:r>
      <w:r w:rsidRPr="00C472A0">
        <w:rPr>
          <w:b/>
          <w:bCs/>
          <w:rtl/>
        </w:rPr>
        <w:t>طلب المعني خلاف ذلك صراحة؛ وعرض السجل الطبي فوراً على مدع عام متى أشارت النتائج أو الادعاءات إلى حدوث تعذيب أو سوء معاملة؛ و</w:t>
      </w:r>
      <w:r w:rsidRPr="00C472A0">
        <w:rPr>
          <w:rFonts w:hint="cs"/>
          <w:b/>
          <w:bCs/>
          <w:rtl/>
        </w:rPr>
        <w:t>عدم تعرض</w:t>
      </w:r>
      <w:r w:rsidRPr="00C472A0">
        <w:rPr>
          <w:b/>
          <w:bCs/>
          <w:rtl/>
        </w:rPr>
        <w:t xml:space="preserve"> العاملين في مجال الرعاية الصحية لأي شكل من أشكال الضغط أو الأعمال الانتقامية غير المبررة عند أداء واجباتهم؛</w:t>
      </w:r>
    </w:p>
    <w:p w14:paraId="60FC30BF" w14:textId="0B6F2D15" w:rsidR="00586DF9" w:rsidRPr="00C472A0" w:rsidRDefault="00586DF9" w:rsidP="00586DF9">
      <w:pPr>
        <w:pStyle w:val="SingleTxtGA"/>
        <w:rPr>
          <w:b/>
          <w:bCs/>
        </w:rPr>
      </w:pPr>
      <w:r w:rsidRPr="005F1D28">
        <w:rPr>
          <w:rtl/>
        </w:rPr>
        <w:tab/>
        <w:t>(ه)</w:t>
      </w:r>
      <w:r w:rsidRPr="005F1D28">
        <w:rPr>
          <w:rtl/>
        </w:rPr>
        <w:tab/>
      </w:r>
      <w:r w:rsidRPr="00C472A0">
        <w:rPr>
          <w:b/>
          <w:bCs/>
          <w:rtl/>
        </w:rPr>
        <w:t>حق المحتجزين في أن تدوّن على الدوام المعلومات المتعلقة باحتجازهم في سجل في مكان الاحتجاز وفي سجل مركزي خاص بمن سُلبت حريتهم يتاح لمحاميهم وأفراد أسرهم كي يطلعوا عليه</w:t>
      </w:r>
      <w:r w:rsidR="007F0913" w:rsidRPr="00C472A0">
        <w:rPr>
          <w:b/>
          <w:bCs/>
          <w:rtl/>
        </w:rPr>
        <w:t>،</w:t>
      </w:r>
      <w:r w:rsidRPr="00C472A0">
        <w:rPr>
          <w:b/>
          <w:bCs/>
          <w:rtl/>
        </w:rPr>
        <w:t xml:space="preserve"> وفقاً لمجموعة المبادئ المتعلقة بحماية جميع الأشخاص الذين يتعرضون لأي شكل من أشكال الاحتجاز أو السجن. </w:t>
      </w:r>
    </w:p>
    <w:p w14:paraId="45E6ECE6" w14:textId="77777777" w:rsidR="00586DF9" w:rsidRPr="00C472A0" w:rsidRDefault="00586DF9" w:rsidP="00586DF9">
      <w:pPr>
        <w:pStyle w:val="H23GA"/>
        <w:rPr>
          <w:rtl/>
        </w:rPr>
      </w:pPr>
      <w:r w:rsidRPr="00C472A0">
        <w:rPr>
          <w:rtl/>
        </w:rPr>
        <w:tab/>
      </w:r>
      <w:r w:rsidRPr="00C472A0">
        <w:rPr>
          <w:rtl/>
        </w:rPr>
        <w:tab/>
      </w:r>
      <w:r w:rsidRPr="00C472A0">
        <w:rPr>
          <w:rFonts w:hint="cs"/>
          <w:rtl/>
        </w:rPr>
        <w:t>المعونة القضائية</w:t>
      </w:r>
    </w:p>
    <w:p w14:paraId="471B0168" w14:textId="05E82383" w:rsidR="00586DF9" w:rsidRPr="00586DF9" w:rsidRDefault="00586DF9" w:rsidP="00586DF9">
      <w:pPr>
        <w:pStyle w:val="SingleTxtGA"/>
      </w:pPr>
      <w:r w:rsidRPr="00CA5F1C">
        <w:rPr>
          <w:rtl/>
        </w:rPr>
        <w:t>10</w:t>
      </w:r>
      <w:r w:rsidRPr="005F1D28">
        <w:rPr>
          <w:rtl/>
        </w:rPr>
        <w:t>-</w:t>
      </w:r>
      <w:r w:rsidRPr="005F1D28">
        <w:rPr>
          <w:rtl/>
        </w:rPr>
        <w:tab/>
      </w:r>
      <w:r w:rsidRPr="00586DF9">
        <w:rPr>
          <w:rtl/>
        </w:rPr>
        <w:t xml:space="preserve">تعترف اللجنة بالجهود التي تبذلها الدولة الطرف لتوسيع نطاق الحصول على </w:t>
      </w:r>
      <w:r w:rsidRPr="00586DF9">
        <w:rPr>
          <w:rFonts w:hint="cs"/>
          <w:rtl/>
        </w:rPr>
        <w:t>المعونة القضائية</w:t>
      </w:r>
      <w:r w:rsidR="007F0913">
        <w:rPr>
          <w:rtl/>
        </w:rPr>
        <w:t>،</w:t>
      </w:r>
      <w:r w:rsidRPr="00586DF9">
        <w:rPr>
          <w:rtl/>
        </w:rPr>
        <w:t xml:space="preserve"> ولا سيما فيما يتعلق بالإجراءات الإدارية (مثل طلبات اللجوء أو البت في حالات انعدام الجنسية)</w:t>
      </w:r>
      <w:r w:rsidR="009A5C20" w:rsidRPr="005F1D28">
        <w:rPr>
          <w:vertAlign w:val="superscript"/>
          <w:rtl/>
        </w:rPr>
        <w:t>(</w:t>
      </w:r>
      <w:r w:rsidR="009A5C20" w:rsidRPr="00C472A0">
        <w:rPr>
          <w:vertAlign w:val="superscript"/>
          <w:lang w:val="en-US"/>
        </w:rPr>
        <w:footnoteReference w:id="13"/>
      </w:r>
      <w:r w:rsidR="009A5C20" w:rsidRPr="005F1D28">
        <w:rPr>
          <w:vertAlign w:val="superscript"/>
          <w:rtl/>
        </w:rPr>
        <w:t>)</w:t>
      </w:r>
      <w:r w:rsidR="007F0913">
        <w:rPr>
          <w:rtl/>
        </w:rPr>
        <w:t>،</w:t>
      </w:r>
      <w:r w:rsidRPr="00586DF9">
        <w:rPr>
          <w:rtl/>
        </w:rPr>
        <w:t xml:space="preserve"> </w:t>
      </w:r>
      <w:r w:rsidRPr="00586DF9">
        <w:rPr>
          <w:rFonts w:hint="cs"/>
          <w:rtl/>
        </w:rPr>
        <w:lastRenderedPageBreak/>
        <w:t>لكنها</w:t>
      </w:r>
      <w:r w:rsidRPr="00586DF9">
        <w:rPr>
          <w:rtl/>
        </w:rPr>
        <w:t xml:space="preserve"> لا تزال تشعر بالقلق إزاء تنفيذ قانون </w:t>
      </w:r>
      <w:r w:rsidRPr="00586DF9">
        <w:rPr>
          <w:rFonts w:hint="cs"/>
          <w:rtl/>
        </w:rPr>
        <w:t>المعونة القضائية</w:t>
      </w:r>
      <w:r w:rsidRPr="00586DF9">
        <w:rPr>
          <w:rtl/>
        </w:rPr>
        <w:t xml:space="preserve"> لعام </w:t>
      </w:r>
      <w:r w:rsidRPr="00CA5F1C">
        <w:rPr>
          <w:rtl/>
        </w:rPr>
        <w:t>2011</w:t>
      </w:r>
      <w:r w:rsidR="007F0913">
        <w:rPr>
          <w:rtl/>
        </w:rPr>
        <w:t>،</w:t>
      </w:r>
      <w:r w:rsidRPr="00586DF9">
        <w:rPr>
          <w:rtl/>
        </w:rPr>
        <w:t xml:space="preserve"> نظرا</w:t>
      </w:r>
      <w:r w:rsidR="006C5612">
        <w:rPr>
          <w:rFonts w:hint="cs"/>
          <w:rtl/>
        </w:rPr>
        <w:t>ً</w:t>
      </w:r>
      <w:r w:rsidRPr="00586DF9">
        <w:rPr>
          <w:rtl/>
        </w:rPr>
        <w:t xml:space="preserve"> لما أفيد عنه من نقص في </w:t>
      </w:r>
      <w:r w:rsidRPr="00586DF9">
        <w:rPr>
          <w:rFonts w:hint="cs"/>
          <w:rtl/>
        </w:rPr>
        <w:t>توعية</w:t>
      </w:r>
      <w:r w:rsidRPr="00586DF9">
        <w:rPr>
          <w:rtl/>
        </w:rPr>
        <w:t xml:space="preserve"> المستفيدين المحتملين</w:t>
      </w:r>
      <w:r w:rsidR="007F0913">
        <w:rPr>
          <w:rtl/>
        </w:rPr>
        <w:t>،</w:t>
      </w:r>
      <w:r w:rsidRPr="00586DF9">
        <w:rPr>
          <w:rtl/>
        </w:rPr>
        <w:t xml:space="preserve"> </w:t>
      </w:r>
      <w:r w:rsidRPr="00586DF9">
        <w:rPr>
          <w:rFonts w:hint="cs"/>
          <w:rtl/>
        </w:rPr>
        <w:t xml:space="preserve">مما </w:t>
      </w:r>
      <w:r w:rsidRPr="00586DF9">
        <w:rPr>
          <w:rtl/>
        </w:rPr>
        <w:t xml:space="preserve">ينعكس </w:t>
      </w:r>
      <w:r w:rsidRPr="00586DF9">
        <w:rPr>
          <w:rFonts w:hint="cs"/>
          <w:rtl/>
        </w:rPr>
        <w:t>على</w:t>
      </w:r>
      <w:r w:rsidRPr="00586DF9">
        <w:rPr>
          <w:rtl/>
        </w:rPr>
        <w:t xml:space="preserve"> انخفاض مستوى الإنفاق السنوي الذي أبلغت عنه الدولة الطرف بشأن هذا البند. ويساور اللجنة القلق أيضا</w:t>
      </w:r>
      <w:r w:rsidR="006C5612">
        <w:rPr>
          <w:rFonts w:hint="cs"/>
          <w:rtl/>
        </w:rPr>
        <w:t>ً</w:t>
      </w:r>
      <w:r w:rsidRPr="00586DF9">
        <w:rPr>
          <w:rtl/>
        </w:rPr>
        <w:t xml:space="preserve"> إزاء غموض الأحكام الواردة في قانون الحماية الدولية والمؤقتة للأجانب فيما يتعلق بالحصول على </w:t>
      </w:r>
      <w:r w:rsidRPr="00586DF9">
        <w:rPr>
          <w:rFonts w:hint="cs"/>
          <w:rtl/>
        </w:rPr>
        <w:t>المعونة القضائية</w:t>
      </w:r>
      <w:r w:rsidR="007F0913">
        <w:rPr>
          <w:rtl/>
        </w:rPr>
        <w:t>،</w:t>
      </w:r>
      <w:r w:rsidRPr="00586DF9">
        <w:rPr>
          <w:rtl/>
        </w:rPr>
        <w:t xml:space="preserve"> الذي ينص على أن هذه المعونة مشروطة بعدم وجود "أموال أو ممتلكات ذات قيمة عالية" وعلى أن </w:t>
      </w:r>
      <w:r w:rsidRPr="00586DF9">
        <w:rPr>
          <w:rFonts w:hint="cs"/>
          <w:rtl/>
        </w:rPr>
        <w:t>الدعوى</w:t>
      </w:r>
      <w:r w:rsidRPr="00586DF9">
        <w:rPr>
          <w:rtl/>
        </w:rPr>
        <w:t xml:space="preserve"> المقدم</w:t>
      </w:r>
      <w:r w:rsidRPr="00586DF9">
        <w:rPr>
          <w:rFonts w:hint="cs"/>
          <w:rtl/>
        </w:rPr>
        <w:t>ة</w:t>
      </w:r>
      <w:r w:rsidRPr="00586DF9">
        <w:rPr>
          <w:rtl/>
        </w:rPr>
        <w:t xml:space="preserve"> "ليس من الواضح أنه</w:t>
      </w:r>
      <w:r w:rsidRPr="00586DF9">
        <w:rPr>
          <w:rFonts w:hint="cs"/>
          <w:rtl/>
        </w:rPr>
        <w:t>ا</w:t>
      </w:r>
      <w:r w:rsidRPr="00586DF9">
        <w:rPr>
          <w:rtl/>
        </w:rPr>
        <w:t xml:space="preserve"> لا أساس له</w:t>
      </w:r>
      <w:r w:rsidRPr="00586DF9">
        <w:rPr>
          <w:rFonts w:hint="cs"/>
          <w:rtl/>
        </w:rPr>
        <w:t>ا</w:t>
      </w:r>
      <w:r w:rsidRPr="00586DF9">
        <w:rPr>
          <w:rtl/>
        </w:rPr>
        <w:t xml:space="preserve"> من الصحة" (المواد </w:t>
      </w:r>
      <w:r w:rsidRPr="00CA5F1C">
        <w:rPr>
          <w:rtl/>
        </w:rPr>
        <w:t>3</w:t>
      </w:r>
      <w:r w:rsidRPr="00586DF9">
        <w:rPr>
          <w:rtl/>
        </w:rPr>
        <w:t xml:space="preserve"> و</w:t>
      </w:r>
      <w:r w:rsidRPr="00CA5F1C">
        <w:rPr>
          <w:rtl/>
        </w:rPr>
        <w:t>11</w:t>
      </w:r>
      <w:r w:rsidRPr="00586DF9">
        <w:rPr>
          <w:rtl/>
        </w:rPr>
        <w:t xml:space="preserve"> و</w:t>
      </w:r>
      <w:r w:rsidRPr="00CA5F1C">
        <w:rPr>
          <w:rtl/>
        </w:rPr>
        <w:t>16</w:t>
      </w:r>
      <w:r w:rsidRPr="00586DF9">
        <w:rPr>
          <w:rtl/>
        </w:rPr>
        <w:t>)</w:t>
      </w:r>
      <w:r w:rsidR="009A5C20" w:rsidRPr="005F1D28">
        <w:rPr>
          <w:vertAlign w:val="superscript"/>
          <w:rtl/>
        </w:rPr>
        <w:t>(</w:t>
      </w:r>
      <w:r w:rsidR="009A5C20" w:rsidRPr="00C472A0">
        <w:rPr>
          <w:vertAlign w:val="superscript"/>
          <w:lang w:val="en-US"/>
        </w:rPr>
        <w:footnoteReference w:id="14"/>
      </w:r>
      <w:r w:rsidR="009A5C20" w:rsidRPr="005F1D28">
        <w:rPr>
          <w:vertAlign w:val="superscript"/>
          <w:rtl/>
        </w:rPr>
        <w:t>)</w:t>
      </w:r>
      <w:r w:rsidR="00F25D59">
        <w:rPr>
          <w:rFonts w:hint="cs"/>
          <w:rtl/>
        </w:rPr>
        <w:t>.</w:t>
      </w:r>
    </w:p>
    <w:p w14:paraId="7211C20D" w14:textId="61FFF6F2" w:rsidR="00586DF9" w:rsidRPr="00C472A0" w:rsidRDefault="00586DF9" w:rsidP="00586DF9">
      <w:pPr>
        <w:pStyle w:val="SingleTxtGA"/>
        <w:rPr>
          <w:b/>
          <w:bCs/>
        </w:rPr>
      </w:pPr>
      <w:r w:rsidRPr="00CA5F1C">
        <w:rPr>
          <w:rtl/>
        </w:rPr>
        <w:t>11</w:t>
      </w:r>
      <w:r w:rsidRPr="005F1D28">
        <w:rPr>
          <w:rtl/>
        </w:rPr>
        <w:t>-</w:t>
      </w:r>
      <w:r w:rsidRPr="005F1D28">
        <w:rPr>
          <w:rtl/>
        </w:rPr>
        <w:tab/>
      </w:r>
      <w:r w:rsidRPr="00C472A0">
        <w:rPr>
          <w:rFonts w:hint="cs"/>
          <w:b/>
          <w:bCs/>
          <w:rtl/>
        </w:rPr>
        <w:t>تذكر</w:t>
      </w:r>
      <w:r w:rsidRPr="00C472A0">
        <w:rPr>
          <w:b/>
          <w:bCs/>
          <w:rtl/>
        </w:rPr>
        <w:t xml:space="preserve"> اللجنة </w:t>
      </w:r>
      <w:r w:rsidRPr="00C472A0">
        <w:rPr>
          <w:rFonts w:hint="cs"/>
          <w:b/>
          <w:bCs/>
          <w:rtl/>
        </w:rPr>
        <w:t>ب</w:t>
      </w:r>
      <w:r w:rsidRPr="00C472A0">
        <w:rPr>
          <w:b/>
          <w:bCs/>
          <w:rtl/>
        </w:rPr>
        <w:t>توصياتها السابقة</w:t>
      </w:r>
      <w:r w:rsidR="007F0913" w:rsidRPr="00C472A0">
        <w:rPr>
          <w:b/>
          <w:bCs/>
          <w:rtl/>
        </w:rPr>
        <w:t>،</w:t>
      </w:r>
      <w:r w:rsidRPr="00C472A0">
        <w:rPr>
          <w:b/>
          <w:bCs/>
          <w:rtl/>
        </w:rPr>
        <w:t xml:space="preserve"> </w:t>
      </w:r>
      <w:r w:rsidRPr="00C472A0">
        <w:rPr>
          <w:rFonts w:hint="cs"/>
          <w:b/>
          <w:bCs/>
          <w:rtl/>
        </w:rPr>
        <w:t>و</w:t>
      </w:r>
      <w:r w:rsidRPr="00C472A0">
        <w:rPr>
          <w:b/>
          <w:bCs/>
          <w:rtl/>
        </w:rPr>
        <w:t xml:space="preserve">تدعو الدولة الطرف إلى </w:t>
      </w:r>
      <w:r w:rsidRPr="00C472A0">
        <w:rPr>
          <w:rFonts w:hint="cs"/>
          <w:b/>
          <w:bCs/>
          <w:rtl/>
        </w:rPr>
        <w:t>القيام ب</w:t>
      </w:r>
      <w:r w:rsidRPr="00C472A0">
        <w:rPr>
          <w:b/>
          <w:bCs/>
          <w:rtl/>
        </w:rPr>
        <w:t>ما يلي</w:t>
      </w:r>
      <w:r w:rsidR="009A5C20" w:rsidRPr="005F1D28">
        <w:rPr>
          <w:vertAlign w:val="superscript"/>
          <w:rtl/>
        </w:rPr>
        <w:t>(</w:t>
      </w:r>
      <w:r w:rsidR="009A5C20" w:rsidRPr="00C472A0">
        <w:rPr>
          <w:vertAlign w:val="superscript"/>
          <w:lang w:val="en-US"/>
        </w:rPr>
        <w:footnoteReference w:id="15"/>
      </w:r>
      <w:r w:rsidR="009A5C20" w:rsidRPr="005F1D28">
        <w:rPr>
          <w:vertAlign w:val="superscript"/>
          <w:rtl/>
        </w:rPr>
        <w:t>)</w:t>
      </w:r>
      <w:r w:rsidR="00F25D59" w:rsidRPr="00C472A0">
        <w:rPr>
          <w:rFonts w:hint="cs"/>
          <w:b/>
          <w:bCs/>
          <w:rtl/>
        </w:rPr>
        <w:t>:</w:t>
      </w:r>
    </w:p>
    <w:p w14:paraId="2E4E73AB" w14:textId="3BCE424F" w:rsidR="00586DF9" w:rsidRPr="00C472A0" w:rsidRDefault="00586DF9" w:rsidP="00586DF9">
      <w:pPr>
        <w:pStyle w:val="SingleTxtGA"/>
        <w:rPr>
          <w:b/>
          <w:bCs/>
        </w:rPr>
      </w:pPr>
      <w:r w:rsidRPr="005F1D28">
        <w:rPr>
          <w:rtl/>
        </w:rPr>
        <w:tab/>
        <w:t>(أ)</w:t>
      </w:r>
      <w:r w:rsidRPr="005F1D28">
        <w:rPr>
          <w:rtl/>
        </w:rPr>
        <w:tab/>
      </w:r>
      <w:r w:rsidRPr="00C472A0">
        <w:rPr>
          <w:b/>
          <w:bCs/>
          <w:rtl/>
        </w:rPr>
        <w:t xml:space="preserve">أن تكثف جهودها لتوفير نظام فعال </w:t>
      </w:r>
      <w:r w:rsidRPr="00C472A0">
        <w:rPr>
          <w:rFonts w:hint="cs"/>
          <w:b/>
          <w:bCs/>
          <w:rtl/>
        </w:rPr>
        <w:t>للمعونة القضائية</w:t>
      </w:r>
      <w:r w:rsidRPr="00C472A0">
        <w:rPr>
          <w:b/>
          <w:bCs/>
          <w:rtl/>
        </w:rPr>
        <w:t xml:space="preserve"> المجانية وكفالة الحماية المناسبة للأشخاص والجماعات الضعيفة وإمكانية وصولهم إلى النظام القانوني</w:t>
      </w:r>
      <w:r w:rsidR="007F0913" w:rsidRPr="00C472A0">
        <w:rPr>
          <w:b/>
          <w:bCs/>
          <w:rtl/>
        </w:rPr>
        <w:t>،</w:t>
      </w:r>
      <w:r w:rsidRPr="00C472A0">
        <w:rPr>
          <w:b/>
          <w:bCs/>
          <w:rtl/>
        </w:rPr>
        <w:t xml:space="preserve"> ولا سيما عن طريق توفير الموارد الكافية للتنفيذ الفعال لقانون الم</w:t>
      </w:r>
      <w:r w:rsidRPr="00C472A0">
        <w:rPr>
          <w:rFonts w:hint="cs"/>
          <w:b/>
          <w:bCs/>
          <w:rtl/>
        </w:rPr>
        <w:t>عونة القضائية</w:t>
      </w:r>
      <w:r w:rsidRPr="00C472A0">
        <w:rPr>
          <w:b/>
          <w:bCs/>
          <w:rtl/>
        </w:rPr>
        <w:t>؛</w:t>
      </w:r>
    </w:p>
    <w:p w14:paraId="12B84635" w14:textId="7259AFA3" w:rsidR="00586DF9" w:rsidRPr="00C472A0" w:rsidRDefault="00586DF9" w:rsidP="00586DF9">
      <w:pPr>
        <w:pStyle w:val="SingleTxtGA"/>
        <w:rPr>
          <w:b/>
          <w:bCs/>
        </w:rPr>
      </w:pPr>
      <w:r w:rsidRPr="005F1D28">
        <w:rPr>
          <w:rtl/>
        </w:rPr>
        <w:tab/>
        <w:t>(ب)</w:t>
      </w:r>
      <w:r w:rsidRPr="005F1D28">
        <w:rPr>
          <w:rtl/>
        </w:rPr>
        <w:tab/>
      </w:r>
      <w:r w:rsidRPr="00C472A0">
        <w:rPr>
          <w:b/>
          <w:bCs/>
          <w:rtl/>
        </w:rPr>
        <w:t xml:space="preserve">اتخاذ الخطوات المناسبة لضمان تحديد المعايير التي تحدد إمكانية الحصول على </w:t>
      </w:r>
      <w:r w:rsidRPr="00C472A0">
        <w:rPr>
          <w:rFonts w:hint="cs"/>
          <w:b/>
          <w:bCs/>
          <w:rtl/>
        </w:rPr>
        <w:t>المعونة القضائية</w:t>
      </w:r>
      <w:r w:rsidRPr="00C472A0">
        <w:rPr>
          <w:b/>
          <w:bCs/>
          <w:rtl/>
        </w:rPr>
        <w:t xml:space="preserve"> تحديدا</w:t>
      </w:r>
      <w:r w:rsidR="006C5612" w:rsidRPr="00C472A0">
        <w:rPr>
          <w:rFonts w:hint="cs"/>
          <w:b/>
          <w:bCs/>
          <w:rtl/>
        </w:rPr>
        <w:t>ً</w:t>
      </w:r>
      <w:r w:rsidRPr="00C472A0">
        <w:rPr>
          <w:b/>
          <w:bCs/>
          <w:rtl/>
        </w:rPr>
        <w:t xml:space="preserve"> واضحا</w:t>
      </w:r>
      <w:r w:rsidR="006C5612" w:rsidRPr="00C472A0">
        <w:rPr>
          <w:rFonts w:hint="cs"/>
          <w:b/>
          <w:bCs/>
          <w:rtl/>
        </w:rPr>
        <w:t>ً</w:t>
      </w:r>
      <w:r w:rsidRPr="00C472A0">
        <w:rPr>
          <w:b/>
          <w:bCs/>
          <w:rtl/>
        </w:rPr>
        <w:t xml:space="preserve"> وموضوعيا</w:t>
      </w:r>
      <w:r w:rsidR="006C5612" w:rsidRPr="00C472A0">
        <w:rPr>
          <w:rFonts w:hint="cs"/>
          <w:b/>
          <w:bCs/>
          <w:rtl/>
        </w:rPr>
        <w:t>ً</w:t>
      </w:r>
      <w:r w:rsidRPr="00C472A0">
        <w:rPr>
          <w:b/>
          <w:bCs/>
          <w:rtl/>
        </w:rPr>
        <w:t xml:space="preserve"> وعدم تركها مفتوحة للتأويل؛</w:t>
      </w:r>
    </w:p>
    <w:p w14:paraId="426A25FD" w14:textId="188BCECC" w:rsidR="00586DF9" w:rsidRPr="00C472A0" w:rsidRDefault="00586DF9" w:rsidP="00586DF9">
      <w:pPr>
        <w:pStyle w:val="SingleTxtGA"/>
        <w:rPr>
          <w:b/>
          <w:bCs/>
        </w:rPr>
      </w:pPr>
      <w:r w:rsidRPr="005F1D28">
        <w:rPr>
          <w:rtl/>
        </w:rPr>
        <w:tab/>
        <w:t>(ج)</w:t>
      </w:r>
      <w:r w:rsidRPr="005F1D28">
        <w:rPr>
          <w:rtl/>
        </w:rPr>
        <w:tab/>
      </w:r>
      <w:r w:rsidRPr="00C472A0">
        <w:rPr>
          <w:b/>
          <w:bCs/>
          <w:rtl/>
        </w:rPr>
        <w:t xml:space="preserve">تعديل قانون </w:t>
      </w:r>
      <w:r w:rsidRPr="00C472A0">
        <w:rPr>
          <w:rFonts w:hint="cs"/>
          <w:b/>
          <w:bCs/>
          <w:rtl/>
        </w:rPr>
        <w:t>المعونة القضائية</w:t>
      </w:r>
      <w:r w:rsidRPr="00C472A0">
        <w:rPr>
          <w:b/>
          <w:bCs/>
          <w:rtl/>
        </w:rPr>
        <w:t xml:space="preserve"> ليشمل ضحايا التعذيب وسوء المعاملة المزعومين على أيدي موظفي الدولة</w:t>
      </w:r>
      <w:r w:rsidR="007F0913" w:rsidRPr="00C472A0">
        <w:rPr>
          <w:b/>
          <w:bCs/>
          <w:rtl/>
        </w:rPr>
        <w:t>،</w:t>
      </w:r>
      <w:r w:rsidRPr="00C472A0">
        <w:rPr>
          <w:b/>
          <w:bCs/>
          <w:rtl/>
        </w:rPr>
        <w:t xml:space="preserve"> بوصفهم </w:t>
      </w:r>
      <w:r w:rsidRPr="00C472A0">
        <w:rPr>
          <w:rFonts w:hint="cs"/>
          <w:b/>
          <w:bCs/>
          <w:rtl/>
        </w:rPr>
        <w:t>ال</w:t>
      </w:r>
      <w:r w:rsidRPr="00C472A0">
        <w:rPr>
          <w:b/>
          <w:bCs/>
          <w:rtl/>
        </w:rPr>
        <w:t xml:space="preserve">مستفيدين </w:t>
      </w:r>
      <w:r w:rsidRPr="00C472A0">
        <w:rPr>
          <w:rFonts w:hint="cs"/>
          <w:b/>
          <w:bCs/>
          <w:rtl/>
        </w:rPr>
        <w:t>الأحق بالوصول إلى المعونة القضائية</w:t>
      </w:r>
      <w:r w:rsidRPr="00C472A0">
        <w:rPr>
          <w:b/>
          <w:bCs/>
          <w:rtl/>
        </w:rPr>
        <w:t>؛</w:t>
      </w:r>
    </w:p>
    <w:p w14:paraId="7D40205E" w14:textId="235153E7" w:rsidR="00586DF9" w:rsidRPr="00C472A0" w:rsidRDefault="00586DF9" w:rsidP="00586DF9">
      <w:pPr>
        <w:pStyle w:val="SingleTxtGA"/>
        <w:rPr>
          <w:b/>
          <w:bCs/>
        </w:rPr>
      </w:pPr>
      <w:r w:rsidRPr="005F1D28">
        <w:rPr>
          <w:rtl/>
        </w:rPr>
        <w:tab/>
        <w:t>(د)</w:t>
      </w:r>
      <w:r w:rsidRPr="005F1D28">
        <w:rPr>
          <w:rtl/>
        </w:rPr>
        <w:tab/>
      </w:r>
      <w:r w:rsidRPr="00C472A0">
        <w:rPr>
          <w:rFonts w:hint="cs"/>
          <w:b/>
          <w:bCs/>
          <w:rtl/>
        </w:rPr>
        <w:t>تمكين</w:t>
      </w:r>
      <w:r w:rsidRPr="00C472A0">
        <w:rPr>
          <w:b/>
          <w:bCs/>
          <w:rtl/>
        </w:rPr>
        <w:t xml:space="preserve"> </w:t>
      </w:r>
      <w:r w:rsidRPr="00C472A0">
        <w:rPr>
          <w:rFonts w:hint="cs"/>
          <w:b/>
          <w:bCs/>
          <w:rtl/>
        </w:rPr>
        <w:t>ا</w:t>
      </w:r>
      <w:r w:rsidRPr="00C472A0">
        <w:rPr>
          <w:b/>
          <w:bCs/>
          <w:rtl/>
        </w:rPr>
        <w:t xml:space="preserve">لمنظمات غير الحكومية وغيرها من الكيانات المختصة </w:t>
      </w:r>
      <w:r w:rsidRPr="00C472A0">
        <w:rPr>
          <w:rFonts w:hint="cs"/>
          <w:b/>
          <w:bCs/>
          <w:rtl/>
        </w:rPr>
        <w:t xml:space="preserve">من </w:t>
      </w:r>
      <w:r w:rsidRPr="00C472A0">
        <w:rPr>
          <w:b/>
          <w:bCs/>
          <w:rtl/>
        </w:rPr>
        <w:t>تقديم الم</w:t>
      </w:r>
      <w:r w:rsidRPr="00C472A0">
        <w:rPr>
          <w:rFonts w:hint="cs"/>
          <w:b/>
          <w:bCs/>
          <w:rtl/>
        </w:rPr>
        <w:t xml:space="preserve">عونة القضائية </w:t>
      </w:r>
      <w:r w:rsidRPr="00C472A0">
        <w:rPr>
          <w:b/>
          <w:bCs/>
          <w:rtl/>
        </w:rPr>
        <w:t xml:space="preserve">المجانية </w:t>
      </w:r>
      <w:r w:rsidRPr="00C472A0">
        <w:rPr>
          <w:rFonts w:hint="cs"/>
          <w:b/>
          <w:bCs/>
          <w:rtl/>
        </w:rPr>
        <w:t xml:space="preserve">تحت </w:t>
      </w:r>
      <w:r w:rsidRPr="00C472A0">
        <w:rPr>
          <w:b/>
          <w:bCs/>
          <w:rtl/>
        </w:rPr>
        <w:t>رعا</w:t>
      </w:r>
      <w:r w:rsidRPr="00C472A0">
        <w:rPr>
          <w:rFonts w:hint="cs"/>
          <w:b/>
          <w:bCs/>
          <w:rtl/>
        </w:rPr>
        <w:t xml:space="preserve">ية </w:t>
      </w:r>
      <w:r w:rsidRPr="00C472A0">
        <w:rPr>
          <w:b/>
          <w:bCs/>
          <w:rtl/>
        </w:rPr>
        <w:t>الدولة.</w:t>
      </w:r>
    </w:p>
    <w:p w14:paraId="20269E9A" w14:textId="77777777" w:rsidR="00586DF9" w:rsidRPr="00C472A0" w:rsidRDefault="00586DF9" w:rsidP="00586DF9">
      <w:pPr>
        <w:pStyle w:val="H23GA"/>
      </w:pPr>
      <w:r w:rsidRPr="00C472A0">
        <w:rPr>
          <w:rtl/>
        </w:rPr>
        <w:tab/>
      </w:r>
      <w:r w:rsidRPr="00C472A0">
        <w:rPr>
          <w:rtl/>
        </w:rPr>
        <w:tab/>
        <w:t xml:space="preserve">المؤسسة الوطنية لحقوق الإنسان </w:t>
      </w:r>
    </w:p>
    <w:p w14:paraId="049F3584" w14:textId="68DDC6E8" w:rsidR="00586DF9" w:rsidRPr="001D69D4" w:rsidRDefault="00586DF9" w:rsidP="00586DF9">
      <w:pPr>
        <w:pStyle w:val="SingleTxtGA"/>
        <w:rPr>
          <w:spacing w:val="-3"/>
        </w:rPr>
      </w:pPr>
      <w:r w:rsidRPr="00CA5F1C">
        <w:rPr>
          <w:spacing w:val="-3"/>
          <w:rtl/>
        </w:rPr>
        <w:t>12</w:t>
      </w:r>
      <w:r w:rsidRPr="001D69D4">
        <w:rPr>
          <w:spacing w:val="-3"/>
          <w:rtl/>
        </w:rPr>
        <w:t>-</w:t>
      </w:r>
      <w:r w:rsidRPr="001D69D4">
        <w:rPr>
          <w:spacing w:val="-3"/>
          <w:rtl/>
        </w:rPr>
        <w:tab/>
        <w:t xml:space="preserve">يساور اللجنة القلق إزاء الآثار السلبية لقانون عام </w:t>
      </w:r>
      <w:r w:rsidRPr="00CA5F1C">
        <w:rPr>
          <w:spacing w:val="-3"/>
          <w:rtl/>
        </w:rPr>
        <w:t>2018</w:t>
      </w:r>
      <w:r w:rsidRPr="001D69D4">
        <w:rPr>
          <w:spacing w:val="-3"/>
          <w:rtl/>
        </w:rPr>
        <w:t xml:space="preserve"> بشأن التعديلات المدخلة على </w:t>
      </w:r>
      <w:r w:rsidRPr="001D69D4">
        <w:rPr>
          <w:rFonts w:hint="cs"/>
          <w:spacing w:val="-3"/>
          <w:rtl/>
        </w:rPr>
        <w:t>ال</w:t>
      </w:r>
      <w:r w:rsidRPr="001D69D4">
        <w:rPr>
          <w:spacing w:val="-3"/>
          <w:rtl/>
        </w:rPr>
        <w:t xml:space="preserve">قانون </w:t>
      </w:r>
      <w:r w:rsidRPr="001D69D4">
        <w:rPr>
          <w:rFonts w:hint="cs"/>
          <w:spacing w:val="-3"/>
          <w:rtl/>
        </w:rPr>
        <w:t>المتعلق ب</w:t>
      </w:r>
      <w:r w:rsidRPr="001D69D4">
        <w:rPr>
          <w:spacing w:val="-3"/>
          <w:rtl/>
        </w:rPr>
        <w:t>مكتب أمين مظالم حقوق الإنسان والحريات في الجبل الأسود</w:t>
      </w:r>
      <w:r w:rsidR="007F0913" w:rsidRPr="001D69D4">
        <w:rPr>
          <w:spacing w:val="-3"/>
          <w:rtl/>
        </w:rPr>
        <w:t>،</w:t>
      </w:r>
      <w:r w:rsidRPr="001D69D4">
        <w:rPr>
          <w:spacing w:val="-3"/>
          <w:rtl/>
        </w:rPr>
        <w:t xml:space="preserve"> فيما يتعلق باستقلال </w:t>
      </w:r>
      <w:r w:rsidRPr="001D69D4">
        <w:rPr>
          <w:rFonts w:hint="cs"/>
          <w:spacing w:val="-3"/>
          <w:rtl/>
        </w:rPr>
        <w:t>ال</w:t>
      </w:r>
      <w:r w:rsidRPr="001D69D4">
        <w:rPr>
          <w:spacing w:val="-3"/>
          <w:rtl/>
        </w:rPr>
        <w:t>مكتب وفعاليته. ويساور اللجنة القلق كذلك لأن سرية واستقلال الزيارات التي تقوم بها الآلية الوقائية الوطنية</w:t>
      </w:r>
      <w:r w:rsidR="007F0913" w:rsidRPr="001D69D4">
        <w:rPr>
          <w:rFonts w:hint="cs"/>
          <w:spacing w:val="-3"/>
          <w:rtl/>
        </w:rPr>
        <w:t>،</w:t>
      </w:r>
      <w:r w:rsidRPr="001D69D4">
        <w:rPr>
          <w:spacing w:val="-3"/>
          <w:rtl/>
        </w:rPr>
        <w:t xml:space="preserve"> وهي كيان فرعي داخل مكتب أمين مظالم حقوق الإنسان والحريات</w:t>
      </w:r>
      <w:r w:rsidR="007F0913" w:rsidRPr="001D69D4">
        <w:rPr>
          <w:rFonts w:hint="cs"/>
          <w:spacing w:val="-3"/>
          <w:rtl/>
        </w:rPr>
        <w:t>،</w:t>
      </w:r>
      <w:r w:rsidRPr="001D69D4">
        <w:rPr>
          <w:rFonts w:hint="cs"/>
          <w:spacing w:val="-3"/>
          <w:rtl/>
        </w:rPr>
        <w:t xml:space="preserve"> </w:t>
      </w:r>
      <w:r w:rsidRPr="001D69D4">
        <w:rPr>
          <w:spacing w:val="-3"/>
          <w:rtl/>
        </w:rPr>
        <w:t>تتعرض للخطر بموجب قانون عام</w:t>
      </w:r>
      <w:r w:rsidR="001D69D4" w:rsidRPr="001D69D4">
        <w:rPr>
          <w:rFonts w:hint="cs"/>
          <w:spacing w:val="-3"/>
          <w:rtl/>
        </w:rPr>
        <w:t> </w:t>
      </w:r>
      <w:r w:rsidRPr="00CA5F1C">
        <w:rPr>
          <w:spacing w:val="-3"/>
          <w:rtl/>
        </w:rPr>
        <w:t>2018</w:t>
      </w:r>
      <w:r w:rsidRPr="001D69D4">
        <w:rPr>
          <w:spacing w:val="-3"/>
          <w:rtl/>
        </w:rPr>
        <w:t xml:space="preserve"> بسبب </w:t>
      </w:r>
      <w:r w:rsidRPr="001D69D4">
        <w:rPr>
          <w:rFonts w:hint="cs"/>
          <w:spacing w:val="-3"/>
          <w:rtl/>
        </w:rPr>
        <w:t>الإلزام</w:t>
      </w:r>
      <w:r w:rsidRPr="001D69D4">
        <w:rPr>
          <w:spacing w:val="-3"/>
          <w:rtl/>
        </w:rPr>
        <w:t xml:space="preserve"> بتوقيع تقارير الزيارات من </w:t>
      </w:r>
      <w:r w:rsidRPr="001D69D4">
        <w:rPr>
          <w:rFonts w:hint="cs"/>
          <w:spacing w:val="-3"/>
          <w:rtl/>
        </w:rPr>
        <w:t xml:space="preserve">قبل </w:t>
      </w:r>
      <w:r w:rsidRPr="001D69D4">
        <w:rPr>
          <w:spacing w:val="-3"/>
          <w:rtl/>
        </w:rPr>
        <w:t xml:space="preserve">ممثل عن المؤسسة التي تمت زيارتها. وترحب اللجنة بالتقارير التي تفيد بأن الآلية الوقائية الوطنية </w:t>
      </w:r>
      <w:r w:rsidRPr="001D69D4">
        <w:rPr>
          <w:rFonts w:hint="cs"/>
          <w:spacing w:val="-3"/>
          <w:rtl/>
        </w:rPr>
        <w:t>يمكنها</w:t>
      </w:r>
      <w:r w:rsidRPr="001D69D4">
        <w:rPr>
          <w:spacing w:val="-3"/>
          <w:rtl/>
        </w:rPr>
        <w:t xml:space="preserve"> الوصول </w:t>
      </w:r>
      <w:r w:rsidRPr="001D69D4">
        <w:rPr>
          <w:rFonts w:hint="cs"/>
          <w:spacing w:val="-3"/>
          <w:rtl/>
        </w:rPr>
        <w:t xml:space="preserve">بمستوى جيد </w:t>
      </w:r>
      <w:r w:rsidRPr="001D69D4">
        <w:rPr>
          <w:spacing w:val="-3"/>
          <w:rtl/>
        </w:rPr>
        <w:t>إلى السجون وأماكن الاحتجاز</w:t>
      </w:r>
      <w:r w:rsidR="007F0913" w:rsidRPr="001D69D4">
        <w:rPr>
          <w:spacing w:val="-3"/>
          <w:rtl/>
        </w:rPr>
        <w:t>،</w:t>
      </w:r>
      <w:r w:rsidRPr="001D69D4">
        <w:rPr>
          <w:spacing w:val="-3"/>
          <w:rtl/>
        </w:rPr>
        <w:t xml:space="preserve"> ولكنها تلاحظ أن تنفيذ السلطات لتوصيات مكتب أمين </w:t>
      </w:r>
      <w:r w:rsidRPr="001D69D4">
        <w:rPr>
          <w:rFonts w:hint="cs"/>
          <w:spacing w:val="-3"/>
          <w:rtl/>
        </w:rPr>
        <w:t>ال</w:t>
      </w:r>
      <w:r w:rsidRPr="001D69D4">
        <w:rPr>
          <w:spacing w:val="-3"/>
          <w:rtl/>
        </w:rPr>
        <w:t xml:space="preserve">مظالم ("الآراء") لا يزال يشكل مصدر قلق (المادتان </w:t>
      </w:r>
      <w:r w:rsidRPr="00CA5F1C">
        <w:rPr>
          <w:spacing w:val="-3"/>
          <w:rtl/>
        </w:rPr>
        <w:t>2</w:t>
      </w:r>
      <w:r w:rsidRPr="001D69D4">
        <w:rPr>
          <w:spacing w:val="-3"/>
          <w:rtl/>
        </w:rPr>
        <w:t xml:space="preserve"> و</w:t>
      </w:r>
      <w:r w:rsidRPr="00CA5F1C">
        <w:rPr>
          <w:spacing w:val="-3"/>
          <w:rtl/>
        </w:rPr>
        <w:t>11</w:t>
      </w:r>
      <w:r w:rsidRPr="001D69D4">
        <w:rPr>
          <w:spacing w:val="-3"/>
          <w:rtl/>
        </w:rPr>
        <w:t>).</w:t>
      </w:r>
    </w:p>
    <w:p w14:paraId="6AD4CBF0" w14:textId="62024ADF" w:rsidR="00586DF9" w:rsidRPr="00C472A0" w:rsidRDefault="00586DF9" w:rsidP="00586DF9">
      <w:pPr>
        <w:pStyle w:val="SingleTxtGA"/>
        <w:rPr>
          <w:b/>
          <w:bCs/>
        </w:rPr>
      </w:pPr>
      <w:r w:rsidRPr="00CA5F1C">
        <w:rPr>
          <w:rtl/>
        </w:rPr>
        <w:t>13</w:t>
      </w:r>
      <w:r w:rsidRPr="005F1D28">
        <w:rPr>
          <w:rtl/>
        </w:rPr>
        <w:t>-</w:t>
      </w:r>
      <w:r w:rsidRPr="005F1D28">
        <w:rPr>
          <w:rtl/>
        </w:rPr>
        <w:tab/>
      </w:r>
      <w:r w:rsidRPr="00C472A0">
        <w:rPr>
          <w:b/>
          <w:bCs/>
          <w:rtl/>
        </w:rPr>
        <w:t xml:space="preserve">ينبغي للدولة الطرف </w:t>
      </w:r>
      <w:r w:rsidRPr="00C472A0">
        <w:rPr>
          <w:rFonts w:hint="cs"/>
          <w:b/>
          <w:bCs/>
          <w:rtl/>
        </w:rPr>
        <w:t>القيام</w:t>
      </w:r>
      <w:r w:rsidRPr="00C472A0">
        <w:rPr>
          <w:b/>
          <w:bCs/>
          <w:rtl/>
        </w:rPr>
        <w:t xml:space="preserve"> بما يلي:</w:t>
      </w:r>
    </w:p>
    <w:p w14:paraId="00A09EDE" w14:textId="00CFE66A" w:rsidR="00586DF9" w:rsidRPr="00C472A0" w:rsidRDefault="00586DF9" w:rsidP="00586DF9">
      <w:pPr>
        <w:pStyle w:val="SingleTxtGA"/>
        <w:rPr>
          <w:b/>
          <w:bCs/>
        </w:rPr>
      </w:pPr>
      <w:r w:rsidRPr="005F1D28">
        <w:rPr>
          <w:rtl/>
        </w:rPr>
        <w:tab/>
        <w:t>(أ)</w:t>
      </w:r>
      <w:r w:rsidRPr="005F1D28">
        <w:rPr>
          <w:rtl/>
        </w:rPr>
        <w:tab/>
      </w:r>
      <w:r w:rsidRPr="00C472A0">
        <w:rPr>
          <w:b/>
          <w:bCs/>
          <w:rtl/>
        </w:rPr>
        <w:t>تعزيز قدرة مكتب أمين مظالم حقوق الإنسان والحريات في الجبل الأسود</w:t>
      </w:r>
      <w:r w:rsidR="007F0913" w:rsidRPr="00C472A0">
        <w:rPr>
          <w:b/>
          <w:bCs/>
          <w:rtl/>
        </w:rPr>
        <w:t>،</w:t>
      </w:r>
      <w:r w:rsidRPr="00C472A0">
        <w:rPr>
          <w:b/>
          <w:bCs/>
          <w:rtl/>
        </w:rPr>
        <w:t xml:space="preserve"> ولا سيما الآلية الوقائية </w:t>
      </w:r>
      <w:r w:rsidRPr="00C472A0">
        <w:rPr>
          <w:rFonts w:hint="cs"/>
          <w:b/>
          <w:bCs/>
          <w:rtl/>
        </w:rPr>
        <w:t>الوطنية</w:t>
      </w:r>
      <w:r w:rsidR="007F0913" w:rsidRPr="00C472A0">
        <w:rPr>
          <w:rFonts w:hint="cs"/>
          <w:b/>
          <w:bCs/>
          <w:rtl/>
        </w:rPr>
        <w:t>،</w:t>
      </w:r>
      <w:r w:rsidRPr="00C472A0">
        <w:rPr>
          <w:rFonts w:hint="cs"/>
          <w:b/>
          <w:bCs/>
          <w:rtl/>
        </w:rPr>
        <w:t xml:space="preserve"> عن طريق</w:t>
      </w:r>
      <w:r w:rsidRPr="00C472A0">
        <w:rPr>
          <w:b/>
          <w:bCs/>
          <w:rtl/>
        </w:rPr>
        <w:t>: ضمان حياد واستقلال أعضائها؛ وتوفير الموارد اللازمة لها للعمل بفعالية</w:t>
      </w:r>
      <w:r w:rsidR="007F0913" w:rsidRPr="00C472A0">
        <w:rPr>
          <w:b/>
          <w:bCs/>
          <w:rtl/>
        </w:rPr>
        <w:t>،</w:t>
      </w:r>
      <w:r w:rsidRPr="00C472A0">
        <w:rPr>
          <w:b/>
          <w:bCs/>
          <w:rtl/>
        </w:rPr>
        <w:t xml:space="preserve"> وضمان تمتعها بالاستقلال المالي والتشغيلي الكامل عند الاضطلاع بمهامها؛ وتعزيز متابعة تنفيذ توصياتها؛ وضمان تنفيذ توصيات الآلية </w:t>
      </w:r>
      <w:r w:rsidRPr="00C472A0">
        <w:rPr>
          <w:rFonts w:hint="cs"/>
          <w:b/>
          <w:bCs/>
          <w:rtl/>
        </w:rPr>
        <w:t xml:space="preserve">الوقائية الوطنية </w:t>
      </w:r>
      <w:r w:rsidRPr="00C472A0">
        <w:rPr>
          <w:b/>
          <w:bCs/>
          <w:rtl/>
        </w:rPr>
        <w:t>بكفاءة؛</w:t>
      </w:r>
    </w:p>
    <w:p w14:paraId="2CFB54AF" w14:textId="4F805715" w:rsidR="00586DF9" w:rsidRPr="00C472A0" w:rsidRDefault="00586DF9" w:rsidP="00586DF9">
      <w:pPr>
        <w:pStyle w:val="SingleTxtGA"/>
        <w:rPr>
          <w:b/>
          <w:bCs/>
          <w:spacing w:val="-2"/>
        </w:rPr>
      </w:pPr>
      <w:r w:rsidRPr="001D69D4">
        <w:rPr>
          <w:spacing w:val="-2"/>
          <w:rtl/>
        </w:rPr>
        <w:tab/>
        <w:t>(ب)</w:t>
      </w:r>
      <w:r w:rsidRPr="001D69D4">
        <w:rPr>
          <w:spacing w:val="-2"/>
          <w:rtl/>
        </w:rPr>
        <w:tab/>
      </w:r>
      <w:r w:rsidRPr="00C472A0">
        <w:rPr>
          <w:b/>
          <w:bCs/>
          <w:spacing w:val="-2"/>
          <w:rtl/>
        </w:rPr>
        <w:t xml:space="preserve">ضمان المشاركة المنتظمة لممثلي منظمات المجتمع المدني في زيارات الآلية الوقائية الوطنية إلى أماكن الاحتجاز؛ </w:t>
      </w:r>
    </w:p>
    <w:p w14:paraId="40EC9398" w14:textId="351A7B84" w:rsidR="00586DF9" w:rsidRPr="00C472A0" w:rsidRDefault="00586DF9" w:rsidP="001D69D4">
      <w:pPr>
        <w:pStyle w:val="SingleTxtGA"/>
        <w:spacing w:after="100" w:line="356" w:lineRule="exact"/>
        <w:rPr>
          <w:b/>
          <w:bCs/>
          <w:spacing w:val="-6"/>
        </w:rPr>
      </w:pPr>
      <w:r w:rsidRPr="001D69D4">
        <w:rPr>
          <w:spacing w:val="-6"/>
          <w:rtl/>
        </w:rPr>
        <w:lastRenderedPageBreak/>
        <w:tab/>
        <w:t>(ج)</w:t>
      </w:r>
      <w:r w:rsidRPr="001D69D4">
        <w:rPr>
          <w:spacing w:val="-6"/>
          <w:rtl/>
        </w:rPr>
        <w:tab/>
      </w:r>
      <w:r w:rsidRPr="00C472A0">
        <w:rPr>
          <w:b/>
          <w:bCs/>
          <w:spacing w:val="-6"/>
          <w:rtl/>
        </w:rPr>
        <w:t>تعديل الفقرة 1 من المادة 43</w:t>
      </w:r>
      <w:r w:rsidRPr="00C472A0">
        <w:rPr>
          <w:rFonts w:hint="cs"/>
          <w:b/>
          <w:bCs/>
          <w:spacing w:val="-6"/>
          <w:rtl/>
        </w:rPr>
        <w:t>-</w:t>
      </w:r>
      <w:r w:rsidRPr="00C472A0">
        <w:rPr>
          <w:b/>
          <w:bCs/>
          <w:spacing w:val="-6"/>
          <w:rtl/>
        </w:rPr>
        <w:t xml:space="preserve">أ من قانون التعديلات على </w:t>
      </w:r>
      <w:r w:rsidRPr="00C472A0">
        <w:rPr>
          <w:rFonts w:hint="cs"/>
          <w:b/>
          <w:bCs/>
          <w:spacing w:val="-6"/>
          <w:rtl/>
        </w:rPr>
        <w:t>ال</w:t>
      </w:r>
      <w:r w:rsidRPr="00C472A0">
        <w:rPr>
          <w:b/>
          <w:bCs/>
          <w:spacing w:val="-6"/>
          <w:rtl/>
        </w:rPr>
        <w:t xml:space="preserve">قانون </w:t>
      </w:r>
      <w:r w:rsidRPr="00C472A0">
        <w:rPr>
          <w:rFonts w:hint="cs"/>
          <w:b/>
          <w:bCs/>
          <w:spacing w:val="-6"/>
          <w:rtl/>
        </w:rPr>
        <w:t>المتعلق ب</w:t>
      </w:r>
      <w:r w:rsidRPr="00C472A0">
        <w:rPr>
          <w:b/>
          <w:bCs/>
          <w:spacing w:val="-6"/>
          <w:rtl/>
        </w:rPr>
        <w:t>مكتب أمين مظالم حقوق الإنسان والحريات في الجبل الأسود لعام 2018</w:t>
      </w:r>
      <w:r w:rsidR="007F0913" w:rsidRPr="00C472A0">
        <w:rPr>
          <w:b/>
          <w:bCs/>
          <w:spacing w:val="-6"/>
          <w:rtl/>
        </w:rPr>
        <w:t>،</w:t>
      </w:r>
      <w:r w:rsidRPr="00C472A0">
        <w:rPr>
          <w:b/>
          <w:bCs/>
          <w:spacing w:val="-6"/>
          <w:rtl/>
        </w:rPr>
        <w:t xml:space="preserve"> من أجل إلغاء شرط توقيع رئيس المؤسسة التي تمت زيارتها على تقارير الزيارة </w:t>
      </w:r>
      <w:r w:rsidRPr="00C472A0">
        <w:rPr>
          <w:rFonts w:hint="cs"/>
          <w:b/>
          <w:bCs/>
          <w:spacing w:val="-6"/>
          <w:rtl/>
        </w:rPr>
        <w:t xml:space="preserve">التي قامت بها </w:t>
      </w:r>
      <w:r w:rsidRPr="00C472A0">
        <w:rPr>
          <w:b/>
          <w:bCs/>
          <w:spacing w:val="-6"/>
          <w:rtl/>
        </w:rPr>
        <w:t>الآلية الوقائية الوطنية</w:t>
      </w:r>
      <w:r w:rsidR="007F0913" w:rsidRPr="00C472A0">
        <w:rPr>
          <w:b/>
          <w:bCs/>
          <w:spacing w:val="-6"/>
          <w:rtl/>
        </w:rPr>
        <w:t>،</w:t>
      </w:r>
      <w:r w:rsidRPr="00C472A0">
        <w:rPr>
          <w:b/>
          <w:bCs/>
          <w:spacing w:val="-6"/>
          <w:rtl/>
        </w:rPr>
        <w:t xml:space="preserve"> على النحو المنصوص عليه حاليا</w:t>
      </w:r>
      <w:r w:rsidR="006C5612" w:rsidRPr="00C472A0">
        <w:rPr>
          <w:rFonts w:hint="cs"/>
          <w:b/>
          <w:bCs/>
          <w:spacing w:val="-6"/>
          <w:rtl/>
        </w:rPr>
        <w:t>ً</w:t>
      </w:r>
      <w:r w:rsidRPr="00C472A0">
        <w:rPr>
          <w:b/>
          <w:bCs/>
          <w:spacing w:val="-6"/>
          <w:rtl/>
        </w:rPr>
        <w:t>.</w:t>
      </w:r>
    </w:p>
    <w:p w14:paraId="4EE70147" w14:textId="77777777" w:rsidR="00586DF9" w:rsidRPr="00C472A0" w:rsidRDefault="00586DF9" w:rsidP="00586DF9">
      <w:pPr>
        <w:pStyle w:val="H23GA"/>
      </w:pPr>
      <w:r w:rsidRPr="00C472A0">
        <w:rPr>
          <w:rtl/>
        </w:rPr>
        <w:tab/>
      </w:r>
      <w:r w:rsidRPr="00C472A0">
        <w:rPr>
          <w:rtl/>
        </w:rPr>
        <w:tab/>
        <w:t>ظروف الاحتجاز</w:t>
      </w:r>
    </w:p>
    <w:p w14:paraId="0F28D4DE" w14:textId="7F4F6015" w:rsidR="00586DF9" w:rsidRPr="00586DF9" w:rsidRDefault="00586DF9" w:rsidP="001D69D4">
      <w:pPr>
        <w:pStyle w:val="SingleTxtGA"/>
        <w:spacing w:after="100" w:line="356" w:lineRule="exact"/>
      </w:pPr>
      <w:r w:rsidRPr="00CA5F1C">
        <w:rPr>
          <w:rtl/>
        </w:rPr>
        <w:t>14</w:t>
      </w:r>
      <w:r w:rsidRPr="005F1D28">
        <w:rPr>
          <w:rtl/>
        </w:rPr>
        <w:t>-</w:t>
      </w:r>
      <w:r w:rsidRPr="005F1D28">
        <w:rPr>
          <w:rtl/>
        </w:rPr>
        <w:tab/>
      </w:r>
      <w:r w:rsidRPr="00586DF9">
        <w:rPr>
          <w:rtl/>
        </w:rPr>
        <w:t>ترحب اللجنة باستخدام الدولة الطرف بدائل للاحتجاز</w:t>
      </w:r>
      <w:r w:rsidR="007F0913">
        <w:rPr>
          <w:rtl/>
        </w:rPr>
        <w:t>،</w:t>
      </w:r>
      <w:r w:rsidRPr="00586DF9">
        <w:rPr>
          <w:rtl/>
        </w:rPr>
        <w:t xml:space="preserve"> وافتتاح إدارة متخصصة للأحداث</w:t>
      </w:r>
      <w:r w:rsidR="007F0913">
        <w:rPr>
          <w:rtl/>
        </w:rPr>
        <w:t>،</w:t>
      </w:r>
      <w:r w:rsidRPr="00586DF9">
        <w:rPr>
          <w:rtl/>
        </w:rPr>
        <w:t xml:space="preserve"> وإدخال تحسينات على بعض أماكن الاحتجاز</w:t>
      </w:r>
      <w:r w:rsidR="007F0913">
        <w:rPr>
          <w:rtl/>
        </w:rPr>
        <w:t>،</w:t>
      </w:r>
      <w:r w:rsidRPr="00586DF9">
        <w:rPr>
          <w:rtl/>
        </w:rPr>
        <w:t xml:space="preserve"> مثل مركز شرطة </w:t>
      </w:r>
      <w:proofErr w:type="spellStart"/>
      <w:r w:rsidRPr="00586DF9">
        <w:rPr>
          <w:rtl/>
        </w:rPr>
        <w:t>بودغوريتشا</w:t>
      </w:r>
      <w:proofErr w:type="spellEnd"/>
      <w:r w:rsidRPr="00586DF9">
        <w:rPr>
          <w:rtl/>
        </w:rPr>
        <w:t xml:space="preserve">. بيد أن اللجنة تأسف لعدم إحراز تقدم بوجه عام منذ </w:t>
      </w:r>
      <w:r w:rsidRPr="00586DF9">
        <w:rPr>
          <w:rFonts w:hint="cs"/>
          <w:rtl/>
        </w:rPr>
        <w:t xml:space="preserve">تقديم </w:t>
      </w:r>
      <w:r w:rsidRPr="00586DF9">
        <w:rPr>
          <w:rtl/>
        </w:rPr>
        <w:t>توصياتها السابقة في هذا الصدد</w:t>
      </w:r>
      <w:r w:rsidR="007F0913">
        <w:rPr>
          <w:rtl/>
        </w:rPr>
        <w:t>،</w:t>
      </w:r>
      <w:r w:rsidRPr="00586DF9">
        <w:rPr>
          <w:rtl/>
        </w:rPr>
        <w:t xml:space="preserve"> ولا سيما فيما يتعلق بالاكتظاظ. وتلاحظ اللجنة أن الاكتظاظ </w:t>
      </w:r>
      <w:r w:rsidRPr="00586DF9">
        <w:rPr>
          <w:rFonts w:hint="cs"/>
          <w:rtl/>
        </w:rPr>
        <w:t>ونقص الموظفين</w:t>
      </w:r>
      <w:r w:rsidRPr="00586DF9">
        <w:rPr>
          <w:rtl/>
        </w:rPr>
        <w:t xml:space="preserve"> وصل</w:t>
      </w:r>
      <w:r w:rsidRPr="00586DF9">
        <w:rPr>
          <w:rFonts w:hint="cs"/>
          <w:rtl/>
        </w:rPr>
        <w:t xml:space="preserve">ة ذلك </w:t>
      </w:r>
      <w:r w:rsidRPr="00586DF9">
        <w:rPr>
          <w:rtl/>
        </w:rPr>
        <w:t>بالعنف بين السجناء ما زالا يشكلان مصدر قلق. ومما</w:t>
      </w:r>
      <w:r w:rsidR="006C5612">
        <w:rPr>
          <w:rFonts w:hint="cs"/>
          <w:rtl/>
        </w:rPr>
        <w:t> </w:t>
      </w:r>
      <w:r w:rsidRPr="00586DF9">
        <w:rPr>
          <w:rtl/>
        </w:rPr>
        <w:t>يثير القلق أيضا</w:t>
      </w:r>
      <w:r w:rsidR="006C5612">
        <w:rPr>
          <w:rFonts w:hint="cs"/>
          <w:rtl/>
        </w:rPr>
        <w:t>ً</w:t>
      </w:r>
      <w:r w:rsidRPr="00586DF9">
        <w:rPr>
          <w:rtl/>
        </w:rPr>
        <w:t xml:space="preserve"> في بعض المرافق</w:t>
      </w:r>
      <w:r w:rsidR="007F0913">
        <w:rPr>
          <w:rFonts w:hint="cs"/>
          <w:rtl/>
        </w:rPr>
        <w:t>،</w:t>
      </w:r>
      <w:r w:rsidRPr="00586DF9">
        <w:rPr>
          <w:rtl/>
        </w:rPr>
        <w:t xml:space="preserve"> </w:t>
      </w:r>
      <w:r w:rsidRPr="00586DF9">
        <w:rPr>
          <w:rFonts w:hint="cs"/>
          <w:rtl/>
        </w:rPr>
        <w:t>مسألة توفير</w:t>
      </w:r>
      <w:r w:rsidRPr="00586DF9">
        <w:rPr>
          <w:rtl/>
        </w:rPr>
        <w:t xml:space="preserve"> الرعاية الصحية الكافية (بما في ذلك الرعاية </w:t>
      </w:r>
      <w:r w:rsidRPr="00586DF9">
        <w:rPr>
          <w:rFonts w:hint="cs"/>
          <w:rtl/>
        </w:rPr>
        <w:t xml:space="preserve">في مجال </w:t>
      </w:r>
      <w:r w:rsidRPr="00586DF9">
        <w:rPr>
          <w:rtl/>
        </w:rPr>
        <w:t>الصحة العقلية) و</w:t>
      </w:r>
      <w:r w:rsidRPr="00586DF9">
        <w:rPr>
          <w:rFonts w:hint="cs"/>
          <w:rtl/>
        </w:rPr>
        <w:t xml:space="preserve">توفير </w:t>
      </w:r>
      <w:r w:rsidRPr="00586DF9">
        <w:rPr>
          <w:rtl/>
        </w:rPr>
        <w:t>أنشطة خارج الزنزان</w:t>
      </w:r>
      <w:r w:rsidRPr="00586DF9">
        <w:rPr>
          <w:rFonts w:hint="cs"/>
          <w:rtl/>
        </w:rPr>
        <w:t>ات</w:t>
      </w:r>
      <w:r w:rsidRPr="00586DF9">
        <w:rPr>
          <w:rtl/>
        </w:rPr>
        <w:t>. و</w:t>
      </w:r>
      <w:r w:rsidRPr="00586DF9">
        <w:rPr>
          <w:rFonts w:hint="cs"/>
          <w:rtl/>
        </w:rPr>
        <w:t>ت</w:t>
      </w:r>
      <w:r w:rsidRPr="00586DF9">
        <w:rPr>
          <w:rtl/>
        </w:rPr>
        <w:t>حيط اللجنة علما</w:t>
      </w:r>
      <w:r w:rsidR="006C5612">
        <w:rPr>
          <w:rFonts w:hint="cs"/>
          <w:rtl/>
        </w:rPr>
        <w:t>ً</w:t>
      </w:r>
      <w:r w:rsidRPr="00586DF9">
        <w:rPr>
          <w:rtl/>
        </w:rPr>
        <w:t xml:space="preserve"> ببيان الدولة الطرف أن بناء</w:t>
      </w:r>
      <w:r w:rsidR="006C5612">
        <w:rPr>
          <w:rFonts w:hint="cs"/>
          <w:rtl/>
        </w:rPr>
        <w:t> </w:t>
      </w:r>
      <w:r w:rsidRPr="00586DF9">
        <w:rPr>
          <w:rtl/>
        </w:rPr>
        <w:t xml:space="preserve">مرافق الاحتجاز الجديدة المنصوص عليه في استراتيجية </w:t>
      </w:r>
      <w:r w:rsidRPr="00586DF9">
        <w:rPr>
          <w:rFonts w:hint="cs"/>
          <w:rtl/>
        </w:rPr>
        <w:t xml:space="preserve">وخطة عمل </w:t>
      </w:r>
      <w:r w:rsidRPr="00586DF9">
        <w:rPr>
          <w:rtl/>
        </w:rPr>
        <w:t>تنفيذ العقوبات الجنائية (</w:t>
      </w:r>
      <w:r w:rsidRPr="00CA5F1C">
        <w:rPr>
          <w:rtl/>
        </w:rPr>
        <w:t>2017</w:t>
      </w:r>
      <w:r w:rsidRPr="00586DF9">
        <w:rPr>
          <w:rtl/>
        </w:rPr>
        <w:t>-</w:t>
      </w:r>
      <w:r w:rsidRPr="00CA5F1C">
        <w:rPr>
          <w:rtl/>
        </w:rPr>
        <w:t>2021</w:t>
      </w:r>
      <w:r w:rsidRPr="00586DF9">
        <w:rPr>
          <w:rtl/>
        </w:rPr>
        <w:t>)</w:t>
      </w:r>
      <w:r w:rsidR="007F0913">
        <w:rPr>
          <w:rFonts w:hint="cs"/>
          <w:rtl/>
        </w:rPr>
        <w:t>،</w:t>
      </w:r>
      <w:r w:rsidRPr="00586DF9">
        <w:rPr>
          <w:rtl/>
        </w:rPr>
        <w:t xml:space="preserve"> من المقرر أن يبدأ في كانون الأول/ديسمبر </w:t>
      </w:r>
      <w:r w:rsidRPr="00CA5F1C">
        <w:rPr>
          <w:rtl/>
        </w:rPr>
        <w:t>2022</w:t>
      </w:r>
      <w:r w:rsidRPr="00586DF9">
        <w:rPr>
          <w:rtl/>
        </w:rPr>
        <w:t xml:space="preserve"> (على أن يكتمل بحلول نهاية عام</w:t>
      </w:r>
      <w:r w:rsidR="006C5612">
        <w:rPr>
          <w:rFonts w:hint="cs"/>
          <w:rtl/>
        </w:rPr>
        <w:t> </w:t>
      </w:r>
      <w:r w:rsidRPr="00CA5F1C">
        <w:rPr>
          <w:rtl/>
        </w:rPr>
        <w:t>2024</w:t>
      </w:r>
      <w:r w:rsidRPr="00586DF9">
        <w:rPr>
          <w:rtl/>
        </w:rPr>
        <w:t>)</w:t>
      </w:r>
      <w:r w:rsidR="007F0913">
        <w:rPr>
          <w:rtl/>
        </w:rPr>
        <w:t>،</w:t>
      </w:r>
      <w:r w:rsidRPr="00586DF9">
        <w:rPr>
          <w:rtl/>
        </w:rPr>
        <w:t xml:space="preserve"> </w:t>
      </w:r>
      <w:r w:rsidRPr="00586DF9">
        <w:rPr>
          <w:rFonts w:hint="cs"/>
          <w:rtl/>
        </w:rPr>
        <w:t>لكنها</w:t>
      </w:r>
      <w:r w:rsidRPr="00586DF9">
        <w:rPr>
          <w:rtl/>
        </w:rPr>
        <w:t xml:space="preserve"> تشعر بالقلق لأن الظروف لا تزال غير مرضية </w:t>
      </w:r>
      <w:r w:rsidRPr="00586DF9">
        <w:rPr>
          <w:rFonts w:hint="cs"/>
          <w:rtl/>
        </w:rPr>
        <w:t>خلال</w:t>
      </w:r>
      <w:r w:rsidRPr="00586DF9">
        <w:rPr>
          <w:rtl/>
        </w:rPr>
        <w:t xml:space="preserve"> الفترة الانتقالية.</w:t>
      </w:r>
    </w:p>
    <w:p w14:paraId="2C7AF47C" w14:textId="5C950DC0" w:rsidR="00586DF9" w:rsidRPr="00C472A0" w:rsidRDefault="00586DF9" w:rsidP="001D69D4">
      <w:pPr>
        <w:pStyle w:val="SingleTxtGA"/>
        <w:spacing w:after="100" w:line="356" w:lineRule="exact"/>
        <w:rPr>
          <w:b/>
          <w:bCs/>
        </w:rPr>
      </w:pPr>
      <w:r w:rsidRPr="00CA5F1C">
        <w:rPr>
          <w:rtl/>
        </w:rPr>
        <w:t>15</w:t>
      </w:r>
      <w:r w:rsidRPr="005F1D28">
        <w:rPr>
          <w:rtl/>
        </w:rPr>
        <w:t>-</w:t>
      </w:r>
      <w:r w:rsidRPr="005F1D28">
        <w:rPr>
          <w:rtl/>
        </w:rPr>
        <w:tab/>
      </w:r>
      <w:r w:rsidRPr="00C472A0">
        <w:rPr>
          <w:b/>
          <w:bCs/>
          <w:rtl/>
        </w:rPr>
        <w:t xml:space="preserve">ينبغي للدولة الطرف </w:t>
      </w:r>
      <w:r w:rsidRPr="00C472A0">
        <w:rPr>
          <w:rFonts w:hint="cs"/>
          <w:b/>
          <w:bCs/>
          <w:rtl/>
        </w:rPr>
        <w:t>القيام</w:t>
      </w:r>
      <w:r w:rsidRPr="00C472A0">
        <w:rPr>
          <w:b/>
          <w:bCs/>
          <w:rtl/>
        </w:rPr>
        <w:t xml:space="preserve"> بما يلي:</w:t>
      </w:r>
    </w:p>
    <w:p w14:paraId="0401F67E" w14:textId="25934E45" w:rsidR="00586DF9" w:rsidRPr="00C472A0" w:rsidRDefault="00586DF9" w:rsidP="001D69D4">
      <w:pPr>
        <w:pStyle w:val="SingleTxtGA"/>
        <w:spacing w:after="100" w:line="356" w:lineRule="exact"/>
        <w:rPr>
          <w:b/>
          <w:bCs/>
        </w:rPr>
      </w:pPr>
      <w:r w:rsidRPr="005F1D28">
        <w:rPr>
          <w:rtl/>
        </w:rPr>
        <w:tab/>
        <w:t>(أ)</w:t>
      </w:r>
      <w:r w:rsidRPr="005F1D28">
        <w:rPr>
          <w:rtl/>
        </w:rPr>
        <w:tab/>
      </w:r>
      <w:r w:rsidRPr="00C472A0">
        <w:rPr>
          <w:b/>
          <w:bCs/>
          <w:rtl/>
        </w:rPr>
        <w:t>تكثيف جهودها للقضاء على الاكتظاظ في السج</w:t>
      </w:r>
      <w:r w:rsidRPr="00C472A0">
        <w:rPr>
          <w:rFonts w:hint="cs"/>
          <w:b/>
          <w:bCs/>
          <w:rtl/>
        </w:rPr>
        <w:t>و</w:t>
      </w:r>
      <w:r w:rsidRPr="00C472A0">
        <w:rPr>
          <w:b/>
          <w:bCs/>
          <w:rtl/>
        </w:rPr>
        <w:t>ن وغيرها من مرافق الاحتجاز</w:t>
      </w:r>
      <w:r w:rsidR="007F0913" w:rsidRPr="00C472A0">
        <w:rPr>
          <w:b/>
          <w:bCs/>
          <w:rtl/>
        </w:rPr>
        <w:t>،</w:t>
      </w:r>
      <w:r w:rsidRPr="00C472A0">
        <w:rPr>
          <w:b/>
          <w:bCs/>
          <w:rtl/>
        </w:rPr>
        <w:t xml:space="preserve"> بما</w:t>
      </w:r>
      <w:r w:rsidR="006C5612" w:rsidRPr="00C472A0">
        <w:rPr>
          <w:rFonts w:hint="cs"/>
          <w:b/>
          <w:bCs/>
          <w:rtl/>
        </w:rPr>
        <w:t> </w:t>
      </w:r>
      <w:r w:rsidRPr="00C472A0">
        <w:rPr>
          <w:b/>
          <w:bCs/>
          <w:rtl/>
        </w:rPr>
        <w:t xml:space="preserve">في ذلك </w:t>
      </w:r>
      <w:r w:rsidRPr="00C472A0">
        <w:rPr>
          <w:rFonts w:hint="cs"/>
          <w:b/>
          <w:bCs/>
          <w:rtl/>
        </w:rPr>
        <w:t>عن طريق</w:t>
      </w:r>
      <w:r w:rsidRPr="00C472A0">
        <w:rPr>
          <w:b/>
          <w:bCs/>
          <w:rtl/>
        </w:rPr>
        <w:t xml:space="preserve"> تطبيق تدابير غير </w:t>
      </w:r>
      <w:proofErr w:type="spellStart"/>
      <w:r w:rsidRPr="00C472A0">
        <w:rPr>
          <w:b/>
          <w:bCs/>
          <w:rtl/>
        </w:rPr>
        <w:t>احتجازية</w:t>
      </w:r>
      <w:proofErr w:type="spellEnd"/>
      <w:r w:rsidRPr="00C472A0">
        <w:rPr>
          <w:b/>
          <w:bCs/>
          <w:rtl/>
        </w:rPr>
        <w:t>. وفي هذا الصدد</w:t>
      </w:r>
      <w:r w:rsidR="007F0913" w:rsidRPr="00C472A0">
        <w:rPr>
          <w:b/>
          <w:bCs/>
          <w:rtl/>
        </w:rPr>
        <w:t>،</w:t>
      </w:r>
      <w:r w:rsidRPr="00C472A0">
        <w:rPr>
          <w:b/>
          <w:bCs/>
          <w:rtl/>
        </w:rPr>
        <w:t xml:space="preserve"> توجه اللجنة انتباه الدولة الطرف إلى قواعد الأمم المتحدة النموذجية الدنيا للتدابير غير </w:t>
      </w:r>
      <w:proofErr w:type="spellStart"/>
      <w:r w:rsidRPr="00C472A0">
        <w:rPr>
          <w:b/>
          <w:bCs/>
          <w:rtl/>
        </w:rPr>
        <w:t>الاحتجازية</w:t>
      </w:r>
      <w:proofErr w:type="spellEnd"/>
      <w:r w:rsidRPr="00C472A0">
        <w:rPr>
          <w:b/>
          <w:bCs/>
          <w:rtl/>
        </w:rPr>
        <w:t xml:space="preserve"> (قواعد طوكيو)؛</w:t>
      </w:r>
    </w:p>
    <w:p w14:paraId="5A59F126" w14:textId="18352CF3" w:rsidR="00586DF9" w:rsidRPr="00C472A0" w:rsidRDefault="00586DF9" w:rsidP="001D69D4">
      <w:pPr>
        <w:pStyle w:val="SingleTxtGA"/>
        <w:spacing w:after="100" w:line="356" w:lineRule="exact"/>
        <w:rPr>
          <w:b/>
          <w:bCs/>
        </w:rPr>
      </w:pPr>
      <w:r w:rsidRPr="005F1D28">
        <w:rPr>
          <w:rtl/>
        </w:rPr>
        <w:tab/>
        <w:t>(ب)</w:t>
      </w:r>
      <w:r w:rsidRPr="005F1D28">
        <w:rPr>
          <w:rtl/>
        </w:rPr>
        <w:tab/>
      </w:r>
      <w:r w:rsidRPr="00C472A0">
        <w:rPr>
          <w:b/>
          <w:bCs/>
          <w:rtl/>
        </w:rPr>
        <w:t>مواصلة تجديد جميع أماكن الاحتجاز التي تحتاج إلى إصلاح بغية تحسين بنيتها التحتية وظروفها المادية وجعل ظروف السجن متماشية مع قواعد الأمم المتحدة النموذجية الدنيا لمعاملة السجناء (قواعد نيلسون مانديلا) والقواعد الأوروبية للسجون التي اعتمدها مجلس أوروبا؛</w:t>
      </w:r>
    </w:p>
    <w:p w14:paraId="4785338B" w14:textId="6261C00C" w:rsidR="00586DF9" w:rsidRPr="00C472A0" w:rsidRDefault="00586DF9" w:rsidP="001D69D4">
      <w:pPr>
        <w:pStyle w:val="SingleTxtGA"/>
        <w:spacing w:after="100" w:line="356" w:lineRule="exact"/>
        <w:rPr>
          <w:b/>
          <w:bCs/>
        </w:rPr>
      </w:pPr>
      <w:r w:rsidRPr="005F1D28">
        <w:rPr>
          <w:rtl/>
        </w:rPr>
        <w:tab/>
        <w:t>(ج)</w:t>
      </w:r>
      <w:r w:rsidRPr="005F1D28">
        <w:rPr>
          <w:rtl/>
        </w:rPr>
        <w:tab/>
      </w:r>
      <w:r w:rsidRPr="00C472A0">
        <w:rPr>
          <w:b/>
          <w:bCs/>
          <w:rtl/>
        </w:rPr>
        <w:t xml:space="preserve"> تعيين عدد كافٍ من موظفي السجون وتدريبهم لضمان معاملة لائقة للمحتجزين؛ وتعزيز منع ورصد </w:t>
      </w:r>
      <w:r w:rsidRPr="00C472A0">
        <w:rPr>
          <w:rFonts w:hint="cs"/>
          <w:b/>
          <w:bCs/>
          <w:rtl/>
        </w:rPr>
        <w:t>ومعالجة</w:t>
      </w:r>
      <w:r w:rsidRPr="00C472A0">
        <w:rPr>
          <w:b/>
          <w:bCs/>
          <w:rtl/>
        </w:rPr>
        <w:t xml:space="preserve"> العنف بين السجناء</w:t>
      </w:r>
      <w:r w:rsidR="007F0913" w:rsidRPr="00C472A0">
        <w:rPr>
          <w:b/>
          <w:bCs/>
          <w:rtl/>
        </w:rPr>
        <w:t>،</w:t>
      </w:r>
      <w:r w:rsidRPr="00C472A0">
        <w:rPr>
          <w:b/>
          <w:bCs/>
          <w:rtl/>
        </w:rPr>
        <w:t xml:space="preserve"> وحماية السجناء الضعفاء وغيرهم من السجناء المعرضين للخطر</w:t>
      </w:r>
      <w:r w:rsidR="007F0913" w:rsidRPr="00C472A0">
        <w:rPr>
          <w:b/>
          <w:bCs/>
          <w:rtl/>
        </w:rPr>
        <w:t>،</w:t>
      </w:r>
      <w:r w:rsidRPr="00C472A0">
        <w:rPr>
          <w:b/>
          <w:bCs/>
          <w:rtl/>
        </w:rPr>
        <w:t xml:space="preserve"> وفقا</w:t>
      </w:r>
      <w:r w:rsidR="006C5612" w:rsidRPr="00C472A0">
        <w:rPr>
          <w:rFonts w:hint="cs"/>
          <w:b/>
          <w:bCs/>
          <w:rtl/>
        </w:rPr>
        <w:t>ً</w:t>
      </w:r>
      <w:r w:rsidRPr="00C472A0">
        <w:rPr>
          <w:b/>
          <w:bCs/>
          <w:rtl/>
        </w:rPr>
        <w:t xml:space="preserve"> لقواعد نيلسون مانديلا وقواعد السجون الأوروبية التي اعتمدها مجلس أوروبا؛</w:t>
      </w:r>
    </w:p>
    <w:p w14:paraId="5C17352F" w14:textId="3D745089" w:rsidR="00586DF9" w:rsidRPr="00C472A0" w:rsidRDefault="00586DF9" w:rsidP="001D69D4">
      <w:pPr>
        <w:pStyle w:val="SingleTxtGA"/>
        <w:spacing w:after="100" w:line="356" w:lineRule="exact"/>
        <w:rPr>
          <w:b/>
          <w:bCs/>
        </w:rPr>
      </w:pPr>
      <w:r w:rsidRPr="005F1D28">
        <w:rPr>
          <w:rtl/>
        </w:rPr>
        <w:tab/>
        <w:t>(د)</w:t>
      </w:r>
      <w:r w:rsidRPr="005F1D28">
        <w:rPr>
          <w:rtl/>
        </w:rPr>
        <w:tab/>
      </w:r>
      <w:r w:rsidRPr="00C472A0">
        <w:rPr>
          <w:b/>
          <w:bCs/>
          <w:rtl/>
        </w:rPr>
        <w:t xml:space="preserve"> ضمان تخصيص </w:t>
      </w:r>
      <w:r w:rsidRPr="00C472A0">
        <w:rPr>
          <w:rFonts w:hint="cs"/>
          <w:b/>
          <w:bCs/>
          <w:rtl/>
        </w:rPr>
        <w:t>ال</w:t>
      </w:r>
      <w:r w:rsidRPr="00C472A0">
        <w:rPr>
          <w:b/>
          <w:bCs/>
          <w:rtl/>
        </w:rPr>
        <w:t xml:space="preserve">موارد </w:t>
      </w:r>
      <w:r w:rsidRPr="00C472A0">
        <w:rPr>
          <w:rFonts w:hint="cs"/>
          <w:b/>
          <w:bCs/>
          <w:rtl/>
        </w:rPr>
        <w:t>ال</w:t>
      </w:r>
      <w:r w:rsidRPr="00C472A0">
        <w:rPr>
          <w:b/>
          <w:bCs/>
          <w:rtl/>
        </w:rPr>
        <w:t xml:space="preserve">بشرية والمادية اللازمة </w:t>
      </w:r>
      <w:r w:rsidRPr="00C472A0">
        <w:rPr>
          <w:rFonts w:hint="cs"/>
          <w:b/>
          <w:bCs/>
          <w:rtl/>
        </w:rPr>
        <w:t>لتوفير</w:t>
      </w:r>
      <w:r w:rsidRPr="00C472A0">
        <w:rPr>
          <w:b/>
          <w:bCs/>
          <w:rtl/>
        </w:rPr>
        <w:t xml:space="preserve"> الرعاية الطبية والصحية المناسبة</w:t>
      </w:r>
      <w:r w:rsidRPr="00C472A0">
        <w:rPr>
          <w:rFonts w:hint="cs"/>
          <w:b/>
          <w:bCs/>
          <w:rtl/>
        </w:rPr>
        <w:t xml:space="preserve"> ل</w:t>
      </w:r>
      <w:r w:rsidRPr="00C472A0">
        <w:rPr>
          <w:b/>
          <w:bCs/>
          <w:rtl/>
        </w:rPr>
        <w:t>لسجناء؛</w:t>
      </w:r>
    </w:p>
    <w:p w14:paraId="0160362D" w14:textId="3AC53711" w:rsidR="00586DF9" w:rsidRPr="00C472A0" w:rsidRDefault="00586DF9" w:rsidP="001D69D4">
      <w:pPr>
        <w:pStyle w:val="SingleTxtGA"/>
        <w:spacing w:after="100" w:line="356" w:lineRule="exact"/>
        <w:rPr>
          <w:b/>
          <w:bCs/>
        </w:rPr>
      </w:pPr>
      <w:r w:rsidRPr="005F1D28">
        <w:rPr>
          <w:rtl/>
        </w:rPr>
        <w:tab/>
        <w:t>(ه)</w:t>
      </w:r>
      <w:r w:rsidRPr="005F1D28">
        <w:rPr>
          <w:rtl/>
        </w:rPr>
        <w:tab/>
      </w:r>
      <w:r w:rsidRPr="00C472A0">
        <w:rPr>
          <w:b/>
          <w:bCs/>
          <w:rtl/>
        </w:rPr>
        <w:t xml:space="preserve">الكف عن ممارسة </w:t>
      </w:r>
      <w:r w:rsidRPr="00C472A0">
        <w:rPr>
          <w:rFonts w:hint="cs"/>
          <w:b/>
          <w:bCs/>
          <w:rtl/>
        </w:rPr>
        <w:t>إيداع</w:t>
      </w:r>
      <w:r w:rsidRPr="00C472A0">
        <w:rPr>
          <w:b/>
          <w:bCs/>
          <w:rtl/>
        </w:rPr>
        <w:t xml:space="preserve"> الأحداث في السجون </w:t>
      </w:r>
      <w:r w:rsidRPr="00C472A0">
        <w:rPr>
          <w:rFonts w:hint="cs"/>
          <w:b/>
          <w:bCs/>
          <w:rtl/>
        </w:rPr>
        <w:t>عندما يحكم عليهم بتلقي</w:t>
      </w:r>
      <w:r w:rsidRPr="00C472A0">
        <w:rPr>
          <w:b/>
          <w:bCs/>
          <w:rtl/>
        </w:rPr>
        <w:t xml:space="preserve"> تدابير إصلاحية. </w:t>
      </w:r>
      <w:r w:rsidRPr="00C472A0">
        <w:rPr>
          <w:rFonts w:hint="cs"/>
          <w:b/>
          <w:bCs/>
          <w:rtl/>
        </w:rPr>
        <w:t>و</w:t>
      </w:r>
      <w:r w:rsidRPr="00C472A0">
        <w:rPr>
          <w:b/>
          <w:bCs/>
          <w:rtl/>
        </w:rPr>
        <w:t>التخطيط لبناء منشأة مخصصة لهذا الغرض.</w:t>
      </w:r>
    </w:p>
    <w:p w14:paraId="630B179D" w14:textId="77777777" w:rsidR="00586DF9" w:rsidRPr="00C472A0" w:rsidRDefault="00586DF9" w:rsidP="00586DF9">
      <w:pPr>
        <w:pStyle w:val="H23GA"/>
      </w:pPr>
      <w:r w:rsidRPr="00C472A0">
        <w:rPr>
          <w:rtl/>
        </w:rPr>
        <w:tab/>
      </w:r>
      <w:r w:rsidRPr="00C472A0">
        <w:rPr>
          <w:rtl/>
        </w:rPr>
        <w:tab/>
        <w:t xml:space="preserve">مرافق العلاج النفسي </w:t>
      </w:r>
    </w:p>
    <w:p w14:paraId="3B95D5E0" w14:textId="53F96A1E" w:rsidR="00586DF9" w:rsidRPr="00586DF9" w:rsidRDefault="00586DF9" w:rsidP="001D69D4">
      <w:pPr>
        <w:pStyle w:val="SingleTxtGA"/>
        <w:spacing w:after="100" w:line="356" w:lineRule="exact"/>
      </w:pPr>
      <w:r w:rsidRPr="00CA5F1C">
        <w:rPr>
          <w:rtl/>
        </w:rPr>
        <w:t>16</w:t>
      </w:r>
      <w:r w:rsidRPr="00586DF9">
        <w:rPr>
          <w:rtl/>
        </w:rPr>
        <w:t xml:space="preserve">- </w:t>
      </w:r>
      <w:r w:rsidRPr="00586DF9">
        <w:rPr>
          <w:rFonts w:hint="cs"/>
          <w:rtl/>
        </w:rPr>
        <w:t>تعرب</w:t>
      </w:r>
      <w:r w:rsidRPr="00586DF9">
        <w:rPr>
          <w:rtl/>
        </w:rPr>
        <w:t xml:space="preserve"> اللجنة </w:t>
      </w:r>
      <w:r w:rsidRPr="00586DF9">
        <w:rPr>
          <w:rFonts w:hint="cs"/>
          <w:rtl/>
        </w:rPr>
        <w:t xml:space="preserve">عن </w:t>
      </w:r>
      <w:r w:rsidRPr="00586DF9">
        <w:rPr>
          <w:rtl/>
        </w:rPr>
        <w:t>قلقها كذلك لأن الظروف السائدة في المؤسسات المخصصة للأشخاص ذوي الإعاقات النفسية - الاجتماعية والذهنية لا تزال غير مرضية. و</w:t>
      </w:r>
      <w:r w:rsidRPr="00586DF9">
        <w:rPr>
          <w:rFonts w:hint="cs"/>
          <w:rtl/>
        </w:rPr>
        <w:t>مع</w:t>
      </w:r>
      <w:r w:rsidRPr="00586DF9">
        <w:rPr>
          <w:rtl/>
        </w:rPr>
        <w:t xml:space="preserve"> أن "المستشفى الخاص" المقرر تشييده سيخفف في الأجل المتوسط من الاكتظاظ في مرفق </w:t>
      </w:r>
      <w:proofErr w:type="spellStart"/>
      <w:r w:rsidRPr="00586DF9">
        <w:rPr>
          <w:rtl/>
        </w:rPr>
        <w:t>دوبروتا</w:t>
      </w:r>
      <w:proofErr w:type="spellEnd"/>
      <w:r w:rsidRPr="00586DF9">
        <w:rPr>
          <w:rtl/>
        </w:rPr>
        <w:t xml:space="preserve"> الخاص للطب النفسي في كوتور</w:t>
      </w:r>
      <w:r w:rsidR="007F0913">
        <w:rPr>
          <w:rtl/>
        </w:rPr>
        <w:t>،</w:t>
      </w:r>
      <w:r w:rsidRPr="00586DF9">
        <w:rPr>
          <w:rtl/>
        </w:rPr>
        <w:t xml:space="preserve"> ويحسن الظروف المادية</w:t>
      </w:r>
      <w:r w:rsidR="007F0913">
        <w:rPr>
          <w:rtl/>
        </w:rPr>
        <w:t>،</w:t>
      </w:r>
      <w:r w:rsidRPr="00586DF9">
        <w:rPr>
          <w:rtl/>
        </w:rPr>
        <w:t xml:space="preserve"> </w:t>
      </w:r>
      <w:r w:rsidRPr="00586DF9">
        <w:rPr>
          <w:rFonts w:hint="cs"/>
          <w:rtl/>
        </w:rPr>
        <w:t xml:space="preserve">غير أن </w:t>
      </w:r>
      <w:r w:rsidRPr="00586DF9">
        <w:rPr>
          <w:rtl/>
        </w:rPr>
        <w:t>ال</w:t>
      </w:r>
      <w:r w:rsidRPr="00586DF9">
        <w:rPr>
          <w:rFonts w:hint="cs"/>
          <w:rtl/>
        </w:rPr>
        <w:t>وضع</w:t>
      </w:r>
      <w:r w:rsidRPr="00586DF9">
        <w:rPr>
          <w:rtl/>
        </w:rPr>
        <w:t xml:space="preserve"> الراهن </w:t>
      </w:r>
      <w:r w:rsidRPr="00586DF9">
        <w:rPr>
          <w:rFonts w:hint="cs"/>
          <w:rtl/>
        </w:rPr>
        <w:t>ي</w:t>
      </w:r>
      <w:r w:rsidRPr="00586DF9">
        <w:rPr>
          <w:rtl/>
        </w:rPr>
        <w:t>تطلب اتخاذ إجراء</w:t>
      </w:r>
      <w:r w:rsidRPr="00586DF9">
        <w:rPr>
          <w:rFonts w:hint="cs"/>
          <w:rtl/>
        </w:rPr>
        <w:t>ات</w:t>
      </w:r>
      <w:r w:rsidRPr="00586DF9">
        <w:rPr>
          <w:rtl/>
        </w:rPr>
        <w:t xml:space="preserve"> </w:t>
      </w:r>
      <w:r w:rsidRPr="00586DF9">
        <w:rPr>
          <w:rFonts w:hint="cs"/>
          <w:rtl/>
        </w:rPr>
        <w:t>على وجه السرعة</w:t>
      </w:r>
      <w:r w:rsidRPr="00586DF9">
        <w:rPr>
          <w:rtl/>
        </w:rPr>
        <w:t xml:space="preserve"> (المواد </w:t>
      </w:r>
      <w:r w:rsidRPr="00CA5F1C">
        <w:rPr>
          <w:rtl/>
        </w:rPr>
        <w:t>2</w:t>
      </w:r>
      <w:r w:rsidRPr="00586DF9">
        <w:rPr>
          <w:rtl/>
        </w:rPr>
        <w:t xml:space="preserve"> و</w:t>
      </w:r>
      <w:r w:rsidRPr="00CA5F1C">
        <w:rPr>
          <w:rtl/>
        </w:rPr>
        <w:t>11</w:t>
      </w:r>
      <w:r w:rsidRPr="00586DF9">
        <w:rPr>
          <w:rtl/>
        </w:rPr>
        <w:t xml:space="preserve"> و</w:t>
      </w:r>
      <w:r w:rsidRPr="00CA5F1C">
        <w:rPr>
          <w:rtl/>
        </w:rPr>
        <w:t>16</w:t>
      </w:r>
      <w:r w:rsidRPr="00586DF9">
        <w:rPr>
          <w:rtl/>
        </w:rPr>
        <w:t>).</w:t>
      </w:r>
    </w:p>
    <w:p w14:paraId="7E3AD0A2" w14:textId="7881A7AB" w:rsidR="00586DF9" w:rsidRPr="00C472A0" w:rsidRDefault="00586DF9" w:rsidP="001D69D4">
      <w:pPr>
        <w:pStyle w:val="SingleTxtGA"/>
        <w:spacing w:after="100" w:line="356" w:lineRule="exact"/>
        <w:rPr>
          <w:b/>
          <w:bCs/>
        </w:rPr>
      </w:pPr>
      <w:r w:rsidRPr="00CA5F1C">
        <w:rPr>
          <w:rtl/>
        </w:rPr>
        <w:t>17</w:t>
      </w:r>
      <w:r w:rsidRPr="005F1D28">
        <w:rPr>
          <w:rtl/>
        </w:rPr>
        <w:t>-</w:t>
      </w:r>
      <w:r w:rsidRPr="005F1D28">
        <w:rPr>
          <w:rtl/>
        </w:rPr>
        <w:tab/>
      </w:r>
      <w:r w:rsidRPr="00C472A0">
        <w:rPr>
          <w:b/>
          <w:bCs/>
          <w:rtl/>
        </w:rPr>
        <w:t xml:space="preserve">ينبغي للدولة الطرف أن تعطي الأولوية للجهود الرامية إلى تحسين </w:t>
      </w:r>
      <w:r w:rsidRPr="00C472A0">
        <w:rPr>
          <w:rFonts w:hint="cs"/>
          <w:b/>
          <w:bCs/>
          <w:rtl/>
        </w:rPr>
        <w:t>أوضاع</w:t>
      </w:r>
      <w:r w:rsidRPr="00C472A0">
        <w:rPr>
          <w:b/>
          <w:bCs/>
          <w:rtl/>
        </w:rPr>
        <w:t xml:space="preserve"> الأشخاص ذوي الإعاقة في مؤسسات الطب النفسي</w:t>
      </w:r>
      <w:r w:rsidR="007F0913" w:rsidRPr="00C472A0">
        <w:rPr>
          <w:b/>
          <w:bCs/>
          <w:rtl/>
        </w:rPr>
        <w:t>،</w:t>
      </w:r>
      <w:r w:rsidRPr="00C472A0">
        <w:rPr>
          <w:b/>
          <w:bCs/>
          <w:rtl/>
        </w:rPr>
        <w:t xml:space="preserve"> ولا سيما في مرفق الطب النفسي في كوتور. وينبغي لها أن تكثف الإجراءات الرامية إلى التعجيل بإخراج الأشخاص ذوي الإعاقات النفسية - الاجتماعية والذهنية من المؤسسات وزيادة الاستثمار في الخدمات المجتمعية</w:t>
      </w:r>
      <w:r w:rsidR="007F0913" w:rsidRPr="00C472A0">
        <w:rPr>
          <w:b/>
          <w:bCs/>
          <w:rtl/>
        </w:rPr>
        <w:t>،</w:t>
      </w:r>
      <w:r w:rsidRPr="00C472A0">
        <w:rPr>
          <w:b/>
          <w:bCs/>
          <w:rtl/>
        </w:rPr>
        <w:t xml:space="preserve"> بالتعاون مع الشركاء المعنيين.</w:t>
      </w:r>
    </w:p>
    <w:p w14:paraId="3162C406" w14:textId="77777777" w:rsidR="00586DF9" w:rsidRPr="00C472A0" w:rsidRDefault="00586DF9" w:rsidP="00586DF9">
      <w:pPr>
        <w:pStyle w:val="H23GA"/>
      </w:pPr>
      <w:r w:rsidRPr="00C472A0">
        <w:rPr>
          <w:rtl/>
        </w:rPr>
        <w:lastRenderedPageBreak/>
        <w:tab/>
      </w:r>
      <w:r w:rsidRPr="00C472A0">
        <w:rPr>
          <w:rtl/>
        </w:rPr>
        <w:tab/>
        <w:t>التحقيق في حالات التعذيب وسوء المعاملة</w:t>
      </w:r>
    </w:p>
    <w:p w14:paraId="3506E6AF" w14:textId="75571D8E" w:rsidR="00586DF9" w:rsidRPr="001D69D4" w:rsidRDefault="00586DF9" w:rsidP="00586DF9">
      <w:pPr>
        <w:pStyle w:val="SingleTxtGA"/>
        <w:rPr>
          <w:spacing w:val="-2"/>
        </w:rPr>
      </w:pPr>
      <w:r w:rsidRPr="00CA5F1C">
        <w:rPr>
          <w:spacing w:val="-2"/>
          <w:rtl/>
        </w:rPr>
        <w:t>18</w:t>
      </w:r>
      <w:r w:rsidRPr="001D69D4">
        <w:rPr>
          <w:spacing w:val="-2"/>
          <w:rtl/>
        </w:rPr>
        <w:t>-</w:t>
      </w:r>
      <w:r w:rsidRPr="001D69D4">
        <w:rPr>
          <w:spacing w:val="-2"/>
          <w:rtl/>
        </w:rPr>
        <w:tab/>
      </w:r>
      <w:r w:rsidRPr="001D69D4">
        <w:rPr>
          <w:rFonts w:hint="cs"/>
          <w:spacing w:val="-2"/>
          <w:rtl/>
        </w:rPr>
        <w:t>تذكر</w:t>
      </w:r>
      <w:r w:rsidRPr="001D69D4">
        <w:rPr>
          <w:spacing w:val="-2"/>
          <w:rtl/>
        </w:rPr>
        <w:t xml:space="preserve"> اللجنة </w:t>
      </w:r>
      <w:r w:rsidRPr="001D69D4">
        <w:rPr>
          <w:rFonts w:hint="cs"/>
          <w:spacing w:val="-2"/>
          <w:rtl/>
        </w:rPr>
        <w:t>ب</w:t>
      </w:r>
      <w:r w:rsidRPr="001D69D4">
        <w:rPr>
          <w:spacing w:val="-2"/>
          <w:rtl/>
        </w:rPr>
        <w:t>توصياتها السابقة</w:t>
      </w:r>
      <w:r w:rsidR="009A5C20" w:rsidRPr="001D69D4">
        <w:rPr>
          <w:spacing w:val="-2"/>
          <w:vertAlign w:val="superscript"/>
          <w:rtl/>
        </w:rPr>
        <w:t>(</w:t>
      </w:r>
      <w:r w:rsidR="009A5C20" w:rsidRPr="00C472A0">
        <w:rPr>
          <w:spacing w:val="-2"/>
          <w:vertAlign w:val="superscript"/>
          <w:lang w:val="en-US"/>
        </w:rPr>
        <w:footnoteReference w:id="16"/>
      </w:r>
      <w:r w:rsidR="009A5C20" w:rsidRPr="001D69D4">
        <w:rPr>
          <w:spacing w:val="-2"/>
          <w:vertAlign w:val="superscript"/>
          <w:rtl/>
        </w:rPr>
        <w:t>)</w:t>
      </w:r>
      <w:r w:rsidR="007F0913" w:rsidRPr="001D69D4">
        <w:rPr>
          <w:spacing w:val="-2"/>
          <w:rtl/>
        </w:rPr>
        <w:t>،</w:t>
      </w:r>
      <w:r w:rsidRPr="001D69D4">
        <w:rPr>
          <w:spacing w:val="-2"/>
          <w:rtl/>
        </w:rPr>
        <w:t xml:space="preserve"> </w:t>
      </w:r>
      <w:r w:rsidRPr="001D69D4">
        <w:rPr>
          <w:rFonts w:hint="cs"/>
          <w:spacing w:val="-2"/>
          <w:rtl/>
        </w:rPr>
        <w:t>وتعرب عن أنها</w:t>
      </w:r>
      <w:r w:rsidRPr="001D69D4">
        <w:rPr>
          <w:spacing w:val="-2"/>
          <w:rtl/>
        </w:rPr>
        <w:t xml:space="preserve"> لا تزال تشعر بالقلق إزاء استمرار التقارير المتعلقة </w:t>
      </w:r>
      <w:r w:rsidRPr="001D69D4">
        <w:rPr>
          <w:rFonts w:hint="cs"/>
          <w:spacing w:val="-2"/>
          <w:rtl/>
        </w:rPr>
        <w:t>بتعرض</w:t>
      </w:r>
      <w:r w:rsidRPr="001D69D4">
        <w:rPr>
          <w:spacing w:val="-2"/>
          <w:rtl/>
        </w:rPr>
        <w:t xml:space="preserve"> المحتجزين </w:t>
      </w:r>
      <w:r w:rsidRPr="001D69D4">
        <w:rPr>
          <w:rFonts w:hint="cs"/>
          <w:spacing w:val="-2"/>
          <w:rtl/>
        </w:rPr>
        <w:t>لإساءة المعاملة ال</w:t>
      </w:r>
      <w:r w:rsidRPr="001D69D4">
        <w:rPr>
          <w:spacing w:val="-2"/>
          <w:rtl/>
        </w:rPr>
        <w:t>بدني</w:t>
      </w:r>
      <w:r w:rsidRPr="001D69D4">
        <w:rPr>
          <w:rFonts w:hint="cs"/>
          <w:spacing w:val="-2"/>
          <w:rtl/>
        </w:rPr>
        <w:t>ة</w:t>
      </w:r>
      <w:r w:rsidRPr="001D69D4">
        <w:rPr>
          <w:spacing w:val="-2"/>
          <w:rtl/>
        </w:rPr>
        <w:t xml:space="preserve"> و</w:t>
      </w:r>
      <w:r w:rsidRPr="001D69D4">
        <w:rPr>
          <w:rFonts w:hint="cs"/>
          <w:spacing w:val="-2"/>
          <w:rtl/>
        </w:rPr>
        <w:t>ال</w:t>
      </w:r>
      <w:r w:rsidRPr="001D69D4">
        <w:rPr>
          <w:spacing w:val="-2"/>
          <w:rtl/>
        </w:rPr>
        <w:t>نفسي</w:t>
      </w:r>
      <w:r w:rsidRPr="001D69D4">
        <w:rPr>
          <w:rFonts w:hint="cs"/>
          <w:spacing w:val="-2"/>
          <w:rtl/>
        </w:rPr>
        <w:t>ة</w:t>
      </w:r>
      <w:r w:rsidRPr="001D69D4">
        <w:rPr>
          <w:spacing w:val="-2"/>
          <w:rtl/>
        </w:rPr>
        <w:t xml:space="preserve"> أو تعذيبهم </w:t>
      </w:r>
      <w:r w:rsidRPr="001D69D4">
        <w:rPr>
          <w:rFonts w:hint="cs"/>
          <w:spacing w:val="-2"/>
          <w:rtl/>
        </w:rPr>
        <w:t>من قبل</w:t>
      </w:r>
      <w:r w:rsidRPr="001D69D4">
        <w:rPr>
          <w:spacing w:val="-2"/>
          <w:rtl/>
        </w:rPr>
        <w:t xml:space="preserve"> الشرطة </w:t>
      </w:r>
      <w:r w:rsidRPr="001D69D4">
        <w:rPr>
          <w:rFonts w:hint="cs"/>
          <w:spacing w:val="-2"/>
          <w:rtl/>
        </w:rPr>
        <w:t>خلال</w:t>
      </w:r>
      <w:r w:rsidRPr="001D69D4">
        <w:rPr>
          <w:spacing w:val="-2"/>
          <w:rtl/>
        </w:rPr>
        <w:t xml:space="preserve"> </w:t>
      </w:r>
      <w:r w:rsidRPr="001D69D4">
        <w:rPr>
          <w:rFonts w:hint="cs"/>
          <w:spacing w:val="-2"/>
          <w:rtl/>
        </w:rPr>
        <w:t>ال</w:t>
      </w:r>
      <w:r w:rsidRPr="001D69D4">
        <w:rPr>
          <w:spacing w:val="-2"/>
          <w:rtl/>
        </w:rPr>
        <w:t>استجواب</w:t>
      </w:r>
      <w:r w:rsidRPr="001D69D4">
        <w:rPr>
          <w:rFonts w:hint="cs"/>
          <w:spacing w:val="-2"/>
          <w:rtl/>
        </w:rPr>
        <w:t xml:space="preserve"> </w:t>
      </w:r>
      <w:r w:rsidRPr="001D69D4">
        <w:rPr>
          <w:spacing w:val="-2"/>
          <w:rtl/>
        </w:rPr>
        <w:t>بهدف انتزاع اعترافات أو الحصول على معلومات. وبالإضافة إلى ذلك</w:t>
      </w:r>
      <w:r w:rsidR="007F0913" w:rsidRPr="001D69D4">
        <w:rPr>
          <w:spacing w:val="-2"/>
          <w:rtl/>
        </w:rPr>
        <w:t>،</w:t>
      </w:r>
      <w:r w:rsidRPr="001D69D4">
        <w:rPr>
          <w:spacing w:val="-2"/>
          <w:rtl/>
        </w:rPr>
        <w:t xml:space="preserve"> لا تزال اللجنة تشعر بالقلق إزاء فعالية التحقيقات (ولا سيما فيما يتعلق بتحديد هوية الجناة المزعومين)</w:t>
      </w:r>
      <w:r w:rsidR="007F0913" w:rsidRPr="001D69D4">
        <w:rPr>
          <w:spacing w:val="-2"/>
          <w:rtl/>
        </w:rPr>
        <w:t>،</w:t>
      </w:r>
      <w:r w:rsidRPr="001D69D4">
        <w:rPr>
          <w:spacing w:val="-2"/>
          <w:rtl/>
        </w:rPr>
        <w:t xml:space="preserve"> واستمرار </w:t>
      </w:r>
      <w:r w:rsidRPr="001D69D4">
        <w:rPr>
          <w:rFonts w:hint="cs"/>
          <w:spacing w:val="-2"/>
          <w:rtl/>
        </w:rPr>
        <w:t>ال</w:t>
      </w:r>
      <w:r w:rsidRPr="001D69D4">
        <w:rPr>
          <w:spacing w:val="-2"/>
          <w:rtl/>
        </w:rPr>
        <w:t xml:space="preserve">تساهل </w:t>
      </w:r>
      <w:r w:rsidRPr="001D69D4">
        <w:rPr>
          <w:rFonts w:hint="cs"/>
          <w:spacing w:val="-2"/>
          <w:rtl/>
        </w:rPr>
        <w:t xml:space="preserve">في </w:t>
      </w:r>
      <w:r w:rsidRPr="001D69D4">
        <w:rPr>
          <w:spacing w:val="-2"/>
          <w:rtl/>
        </w:rPr>
        <w:t>الأحكام الصادرة بحق موظفي الدولة المدانين بارتكاب هذه الجرائم الجسيمة</w:t>
      </w:r>
      <w:r w:rsidR="007F0913" w:rsidRPr="001D69D4">
        <w:rPr>
          <w:spacing w:val="-2"/>
          <w:rtl/>
        </w:rPr>
        <w:t>،</w:t>
      </w:r>
      <w:r w:rsidRPr="001D69D4">
        <w:rPr>
          <w:spacing w:val="-2"/>
          <w:rtl/>
        </w:rPr>
        <w:t xml:space="preserve"> بما في ذلك </w:t>
      </w:r>
      <w:r w:rsidRPr="001D69D4">
        <w:rPr>
          <w:rFonts w:hint="cs"/>
          <w:spacing w:val="-2"/>
          <w:rtl/>
        </w:rPr>
        <w:t>صدور</w:t>
      </w:r>
      <w:r w:rsidRPr="001D69D4">
        <w:rPr>
          <w:spacing w:val="-2"/>
          <w:rtl/>
        </w:rPr>
        <w:t xml:space="preserve"> أحكام مع وقف التنفيذ</w:t>
      </w:r>
      <w:r w:rsidR="007F0913" w:rsidRPr="001D69D4">
        <w:rPr>
          <w:spacing w:val="-2"/>
          <w:rtl/>
        </w:rPr>
        <w:t>،</w:t>
      </w:r>
      <w:r w:rsidRPr="001D69D4">
        <w:rPr>
          <w:spacing w:val="-2"/>
          <w:rtl/>
        </w:rPr>
        <w:t xml:space="preserve"> واستمرار عدم وقف موظفي الدولة الخاضعين للتحقيق عن العمل بسبب هذا النوع من الجرائم. ويساور اللجنة القلق إزاء التقارير التي تفيد بأن التحقيقات في </w:t>
      </w:r>
      <w:r w:rsidRPr="001D69D4">
        <w:rPr>
          <w:rFonts w:hint="cs"/>
          <w:spacing w:val="-2"/>
          <w:rtl/>
        </w:rPr>
        <w:t>ممارسات</w:t>
      </w:r>
      <w:r w:rsidRPr="001D69D4">
        <w:rPr>
          <w:spacing w:val="-2"/>
          <w:rtl/>
        </w:rPr>
        <w:t xml:space="preserve"> التعذيب أو سوء المعاملة المزعومة يمكن أن يجريها نفس المدعي العام المكلف بالتحقيق في التهم الموجهة إلى المحتجز الذي أدلى بهذه الادعاءات. وعلاوة على ذلك</w:t>
      </w:r>
      <w:r w:rsidR="007F0913" w:rsidRPr="001D69D4">
        <w:rPr>
          <w:spacing w:val="-2"/>
          <w:rtl/>
        </w:rPr>
        <w:t>،</w:t>
      </w:r>
      <w:r w:rsidRPr="001D69D4">
        <w:rPr>
          <w:spacing w:val="-2"/>
          <w:rtl/>
        </w:rPr>
        <w:t xml:space="preserve"> تأسف اللجنة للممارسة المبلغ عنها المتمثلة في نقل مسؤوليات التحقيق إلى الشرطة في حالات التعذيب أو سوء المعاملة المزعومة أثناء الاحتجاز لدى الشرطة (المواد </w:t>
      </w:r>
      <w:r w:rsidRPr="00CA5F1C">
        <w:rPr>
          <w:spacing w:val="-2"/>
          <w:rtl/>
        </w:rPr>
        <w:t>12</w:t>
      </w:r>
      <w:r w:rsidRPr="001D69D4">
        <w:rPr>
          <w:spacing w:val="-2"/>
          <w:rtl/>
        </w:rPr>
        <w:t>-</w:t>
      </w:r>
      <w:r w:rsidRPr="00CA5F1C">
        <w:rPr>
          <w:spacing w:val="-2"/>
          <w:rtl/>
        </w:rPr>
        <w:t>13</w:t>
      </w:r>
      <w:r w:rsidRPr="001D69D4">
        <w:rPr>
          <w:spacing w:val="-2"/>
          <w:rtl/>
        </w:rPr>
        <w:t>).</w:t>
      </w:r>
    </w:p>
    <w:p w14:paraId="64CC8C82" w14:textId="0A171A6F" w:rsidR="00586DF9" w:rsidRPr="00C472A0" w:rsidRDefault="00586DF9" w:rsidP="00586DF9">
      <w:pPr>
        <w:pStyle w:val="SingleTxtGA"/>
        <w:rPr>
          <w:b/>
          <w:bCs/>
        </w:rPr>
      </w:pPr>
      <w:r w:rsidRPr="00CA5F1C">
        <w:rPr>
          <w:rtl/>
        </w:rPr>
        <w:t>19</w:t>
      </w:r>
      <w:r w:rsidRPr="005F1D28">
        <w:rPr>
          <w:rtl/>
        </w:rPr>
        <w:t>-</w:t>
      </w:r>
      <w:r w:rsidRPr="005F1D28">
        <w:rPr>
          <w:rtl/>
        </w:rPr>
        <w:tab/>
      </w:r>
      <w:r w:rsidRPr="00C472A0">
        <w:rPr>
          <w:b/>
          <w:bCs/>
          <w:rtl/>
        </w:rPr>
        <w:t xml:space="preserve">ينبغي للدولة الطرف </w:t>
      </w:r>
      <w:r w:rsidRPr="00C472A0">
        <w:rPr>
          <w:rFonts w:hint="cs"/>
          <w:b/>
          <w:bCs/>
          <w:rtl/>
        </w:rPr>
        <w:t>القيام</w:t>
      </w:r>
      <w:r w:rsidRPr="00C472A0">
        <w:rPr>
          <w:b/>
          <w:bCs/>
          <w:rtl/>
        </w:rPr>
        <w:t xml:space="preserve"> بما يلي:</w:t>
      </w:r>
    </w:p>
    <w:p w14:paraId="16373544" w14:textId="210911CA" w:rsidR="00586DF9" w:rsidRPr="00C472A0" w:rsidRDefault="00586DF9" w:rsidP="00586DF9">
      <w:pPr>
        <w:pStyle w:val="SingleTxtGA"/>
        <w:rPr>
          <w:b/>
          <w:bCs/>
        </w:rPr>
      </w:pPr>
      <w:r w:rsidRPr="005F1D28">
        <w:rPr>
          <w:rtl/>
        </w:rPr>
        <w:tab/>
        <w:t>(أ)</w:t>
      </w:r>
      <w:r w:rsidRPr="005F1D28">
        <w:rPr>
          <w:rtl/>
        </w:rPr>
        <w:tab/>
      </w:r>
      <w:r w:rsidRPr="00C472A0">
        <w:rPr>
          <w:b/>
          <w:bCs/>
          <w:rtl/>
        </w:rPr>
        <w:t xml:space="preserve">ضمان قيام هيئة مستقلة بالتحقيق على وجه السرعة </w:t>
      </w:r>
      <w:r w:rsidRPr="00C472A0">
        <w:rPr>
          <w:rFonts w:hint="cs"/>
          <w:b/>
          <w:bCs/>
          <w:rtl/>
        </w:rPr>
        <w:t>و</w:t>
      </w:r>
      <w:r w:rsidRPr="00C472A0">
        <w:rPr>
          <w:b/>
          <w:bCs/>
          <w:rtl/>
        </w:rPr>
        <w:t xml:space="preserve">بطريقة </w:t>
      </w:r>
      <w:r w:rsidRPr="00C472A0">
        <w:rPr>
          <w:rFonts w:hint="cs"/>
          <w:b/>
          <w:bCs/>
          <w:rtl/>
        </w:rPr>
        <w:t>نزيهة</w:t>
      </w:r>
      <w:r w:rsidRPr="00C472A0">
        <w:rPr>
          <w:b/>
          <w:bCs/>
          <w:rtl/>
        </w:rPr>
        <w:t xml:space="preserve"> في جميع الشكاوى المتعلقة بالتعذيب وسوء المعاملة</w:t>
      </w:r>
      <w:r w:rsidR="007F0913" w:rsidRPr="00C472A0">
        <w:rPr>
          <w:b/>
          <w:bCs/>
          <w:rtl/>
        </w:rPr>
        <w:t>،</w:t>
      </w:r>
      <w:r w:rsidRPr="00C472A0">
        <w:rPr>
          <w:b/>
          <w:bCs/>
          <w:rtl/>
        </w:rPr>
        <w:t xml:space="preserve"> و</w:t>
      </w:r>
      <w:r w:rsidRPr="00C472A0">
        <w:rPr>
          <w:rFonts w:hint="cs"/>
          <w:b/>
          <w:bCs/>
          <w:rtl/>
        </w:rPr>
        <w:t xml:space="preserve">كفالة </w:t>
      </w:r>
      <w:r w:rsidRPr="00C472A0">
        <w:rPr>
          <w:b/>
          <w:bCs/>
          <w:rtl/>
        </w:rPr>
        <w:t xml:space="preserve">عدم وجود علاقة مؤسسية بين محققي تلك الهيئة والمشتبه في ارتكابهم هذه الأفعال؛ </w:t>
      </w:r>
    </w:p>
    <w:p w14:paraId="5F03239B" w14:textId="1309C6A7" w:rsidR="00586DF9" w:rsidRPr="00C472A0" w:rsidRDefault="00586DF9" w:rsidP="00586DF9">
      <w:pPr>
        <w:pStyle w:val="SingleTxtGA"/>
        <w:rPr>
          <w:b/>
          <w:bCs/>
        </w:rPr>
      </w:pPr>
      <w:r w:rsidRPr="005F1D28">
        <w:rPr>
          <w:rtl/>
        </w:rPr>
        <w:tab/>
        <w:t>(ب)</w:t>
      </w:r>
      <w:r w:rsidRPr="005F1D28">
        <w:rPr>
          <w:rtl/>
        </w:rPr>
        <w:tab/>
      </w:r>
      <w:r w:rsidRPr="00C472A0">
        <w:rPr>
          <w:b/>
          <w:bCs/>
          <w:rtl/>
        </w:rPr>
        <w:t>ضمان وقف المشتبه ب</w:t>
      </w:r>
      <w:r w:rsidRPr="00C472A0">
        <w:rPr>
          <w:rFonts w:hint="cs"/>
          <w:b/>
          <w:bCs/>
          <w:rtl/>
        </w:rPr>
        <w:t xml:space="preserve">تورطهم في </w:t>
      </w:r>
      <w:r w:rsidRPr="00C472A0">
        <w:rPr>
          <w:b/>
          <w:bCs/>
          <w:rtl/>
        </w:rPr>
        <w:t>حالات التعذيب أو سوء المعاملة المزعومة</w:t>
      </w:r>
      <w:r w:rsidR="007F0913" w:rsidRPr="00C472A0">
        <w:rPr>
          <w:b/>
          <w:bCs/>
          <w:rtl/>
        </w:rPr>
        <w:t>،</w:t>
      </w:r>
      <w:r w:rsidRPr="00C472A0">
        <w:rPr>
          <w:b/>
          <w:bCs/>
          <w:rtl/>
        </w:rPr>
        <w:t xml:space="preserve"> عن أداء واجباتهم الرسمية فورا</w:t>
      </w:r>
      <w:r w:rsidR="006C5612" w:rsidRPr="00C472A0">
        <w:rPr>
          <w:rFonts w:hint="cs"/>
          <w:b/>
          <w:bCs/>
          <w:rtl/>
        </w:rPr>
        <w:t>ً</w:t>
      </w:r>
      <w:r w:rsidRPr="00C472A0">
        <w:rPr>
          <w:b/>
          <w:bCs/>
          <w:rtl/>
        </w:rPr>
        <w:t xml:space="preserve"> وطوال فترة التحقيق</w:t>
      </w:r>
      <w:r w:rsidR="007F0913" w:rsidRPr="00C472A0">
        <w:rPr>
          <w:b/>
          <w:bCs/>
          <w:rtl/>
        </w:rPr>
        <w:t>،</w:t>
      </w:r>
      <w:r w:rsidRPr="00C472A0">
        <w:rPr>
          <w:b/>
          <w:bCs/>
          <w:rtl/>
        </w:rPr>
        <w:t xml:space="preserve"> ولا سيما عندما ي</w:t>
      </w:r>
      <w:r w:rsidRPr="00C472A0">
        <w:rPr>
          <w:rFonts w:hint="cs"/>
          <w:b/>
          <w:bCs/>
          <w:rtl/>
        </w:rPr>
        <w:t xml:space="preserve">حتمل </w:t>
      </w:r>
      <w:r w:rsidRPr="00C472A0">
        <w:rPr>
          <w:b/>
          <w:bCs/>
          <w:rtl/>
        </w:rPr>
        <w:t xml:space="preserve">أن يكونوا في وضع يمكنهم من تكرار الفعل المزعوم أو ارتكاب أعمال انتقامية ضد الضحية المزعومة أو عرقلة التحقيق؛ </w:t>
      </w:r>
    </w:p>
    <w:p w14:paraId="1679CA1A" w14:textId="755FE38F" w:rsidR="00586DF9" w:rsidRPr="00C472A0" w:rsidRDefault="00586DF9" w:rsidP="00586DF9">
      <w:pPr>
        <w:pStyle w:val="SingleTxtGA"/>
        <w:rPr>
          <w:b/>
          <w:bCs/>
        </w:rPr>
      </w:pPr>
      <w:r w:rsidRPr="005F1D28">
        <w:rPr>
          <w:rtl/>
        </w:rPr>
        <w:tab/>
        <w:t>(ج)</w:t>
      </w:r>
      <w:r w:rsidRPr="005F1D28">
        <w:rPr>
          <w:rtl/>
        </w:rPr>
        <w:tab/>
      </w:r>
      <w:r w:rsidRPr="00C472A0">
        <w:rPr>
          <w:b/>
          <w:bCs/>
          <w:rtl/>
        </w:rPr>
        <w:t>ضمان محاكمة الجناة المزعومين على النحو الواجب</w:t>
      </w:r>
      <w:r w:rsidR="007F0913" w:rsidRPr="00C472A0">
        <w:rPr>
          <w:b/>
          <w:bCs/>
          <w:rtl/>
        </w:rPr>
        <w:t>،</w:t>
      </w:r>
      <w:r w:rsidRPr="00C472A0">
        <w:rPr>
          <w:b/>
          <w:bCs/>
          <w:rtl/>
        </w:rPr>
        <w:t xml:space="preserve"> و</w:t>
      </w:r>
      <w:r w:rsidRPr="00C472A0">
        <w:rPr>
          <w:rFonts w:hint="cs"/>
          <w:b/>
          <w:bCs/>
          <w:rtl/>
        </w:rPr>
        <w:t>فرض</w:t>
      </w:r>
      <w:r w:rsidRPr="00C472A0">
        <w:rPr>
          <w:b/>
          <w:bCs/>
          <w:rtl/>
        </w:rPr>
        <w:t xml:space="preserve"> عقوبات تتناسب مع </w:t>
      </w:r>
      <w:r w:rsidRPr="00C472A0">
        <w:rPr>
          <w:rFonts w:hint="cs"/>
          <w:b/>
          <w:bCs/>
          <w:rtl/>
        </w:rPr>
        <w:t>فداح</w:t>
      </w:r>
      <w:r w:rsidRPr="00C472A0">
        <w:rPr>
          <w:b/>
          <w:bCs/>
          <w:rtl/>
        </w:rPr>
        <w:t>ة أفعالهم إذا ثبتت إدانتهم؛</w:t>
      </w:r>
    </w:p>
    <w:p w14:paraId="594B0449" w14:textId="65A52BE7" w:rsidR="00586DF9" w:rsidRPr="00C472A0" w:rsidRDefault="00586DF9" w:rsidP="00586DF9">
      <w:pPr>
        <w:pStyle w:val="SingleTxtGA"/>
        <w:rPr>
          <w:b/>
          <w:bCs/>
        </w:rPr>
      </w:pPr>
      <w:r w:rsidRPr="005F1D28">
        <w:rPr>
          <w:rtl/>
        </w:rPr>
        <w:tab/>
        <w:t>(د)</w:t>
      </w:r>
      <w:r w:rsidRPr="005F1D28">
        <w:rPr>
          <w:rtl/>
        </w:rPr>
        <w:tab/>
      </w:r>
      <w:r w:rsidRPr="00C472A0">
        <w:rPr>
          <w:rFonts w:hint="cs"/>
          <w:b/>
          <w:bCs/>
          <w:rtl/>
        </w:rPr>
        <w:t xml:space="preserve">كفالة </w:t>
      </w:r>
      <w:r w:rsidRPr="00C472A0">
        <w:rPr>
          <w:b/>
          <w:bCs/>
          <w:rtl/>
        </w:rPr>
        <w:t xml:space="preserve">إجراء فحص طبي شامل عند </w:t>
      </w:r>
      <w:r w:rsidRPr="00C472A0">
        <w:rPr>
          <w:rFonts w:hint="cs"/>
          <w:b/>
          <w:bCs/>
          <w:rtl/>
        </w:rPr>
        <w:t xml:space="preserve">وضع المحتجزين في </w:t>
      </w:r>
      <w:r w:rsidRPr="00C472A0">
        <w:rPr>
          <w:b/>
          <w:bCs/>
          <w:rtl/>
        </w:rPr>
        <w:t xml:space="preserve">السجن (ولا سيما </w:t>
      </w:r>
      <w:r w:rsidRPr="00C472A0">
        <w:rPr>
          <w:rFonts w:hint="cs"/>
          <w:b/>
          <w:bCs/>
          <w:rtl/>
        </w:rPr>
        <w:t xml:space="preserve">رهن </w:t>
      </w:r>
      <w:r w:rsidRPr="00C472A0">
        <w:rPr>
          <w:b/>
          <w:bCs/>
          <w:rtl/>
        </w:rPr>
        <w:t>الاحتجاز</w:t>
      </w:r>
      <w:r w:rsidRPr="00C472A0">
        <w:rPr>
          <w:rFonts w:hint="cs"/>
          <w:b/>
          <w:bCs/>
          <w:rtl/>
        </w:rPr>
        <w:t xml:space="preserve"> الاحتياطي</w:t>
      </w:r>
      <w:r w:rsidRPr="00C472A0">
        <w:rPr>
          <w:b/>
          <w:bCs/>
          <w:rtl/>
        </w:rPr>
        <w:t>) دون حضور الشرطة أو موظفي السجون</w:t>
      </w:r>
      <w:r w:rsidR="007F0913" w:rsidRPr="00C472A0">
        <w:rPr>
          <w:b/>
          <w:bCs/>
          <w:rtl/>
        </w:rPr>
        <w:t>،</w:t>
      </w:r>
      <w:r w:rsidRPr="00C472A0">
        <w:rPr>
          <w:b/>
          <w:bCs/>
          <w:rtl/>
        </w:rPr>
        <w:t xml:space="preserve"> </w:t>
      </w:r>
      <w:r w:rsidRPr="00C472A0">
        <w:rPr>
          <w:rFonts w:hint="cs"/>
          <w:b/>
          <w:bCs/>
          <w:rtl/>
        </w:rPr>
        <w:t>عملا</w:t>
      </w:r>
      <w:r w:rsidR="006C5612" w:rsidRPr="00C472A0">
        <w:rPr>
          <w:rFonts w:hint="cs"/>
          <w:b/>
          <w:bCs/>
          <w:rtl/>
        </w:rPr>
        <w:t>ً</w:t>
      </w:r>
      <w:r w:rsidRPr="00C472A0">
        <w:rPr>
          <w:b/>
          <w:bCs/>
          <w:rtl/>
        </w:rPr>
        <w:t xml:space="preserve"> </w:t>
      </w:r>
      <w:r w:rsidRPr="00C472A0">
        <w:rPr>
          <w:rFonts w:hint="cs"/>
          <w:b/>
          <w:bCs/>
          <w:rtl/>
        </w:rPr>
        <w:t>ب</w:t>
      </w:r>
      <w:r w:rsidRPr="00C472A0">
        <w:rPr>
          <w:b/>
          <w:bCs/>
          <w:rtl/>
        </w:rPr>
        <w:t>دليل التقصي والتوثيق الفعالين للتعذيب وغيره من ضروب المعاملة أو العقوبة القاسية أو اللاإنسانية أو المهينة (بروتوكول اسطنبول)</w:t>
      </w:r>
      <w:r w:rsidR="007F0913" w:rsidRPr="00C472A0">
        <w:rPr>
          <w:b/>
          <w:bCs/>
          <w:rtl/>
        </w:rPr>
        <w:t>،</w:t>
      </w:r>
      <w:r w:rsidRPr="00C472A0">
        <w:rPr>
          <w:b/>
          <w:bCs/>
          <w:rtl/>
        </w:rPr>
        <w:t xml:space="preserve"> وإذا كان لدى الموظفين الطبيين الذين يجرون الفحص أسباب تدعو إلى الاعتقاد بأن إساءة معاملة شخص ما قد </w:t>
      </w:r>
      <w:r w:rsidRPr="00C472A0">
        <w:rPr>
          <w:rFonts w:hint="cs"/>
          <w:b/>
          <w:bCs/>
          <w:rtl/>
        </w:rPr>
        <w:t>حدثت</w:t>
      </w:r>
      <w:r w:rsidR="007F0913" w:rsidRPr="00C472A0">
        <w:rPr>
          <w:rFonts w:hint="cs"/>
          <w:b/>
          <w:bCs/>
          <w:rtl/>
        </w:rPr>
        <w:t>،</w:t>
      </w:r>
      <w:r w:rsidRPr="00C472A0">
        <w:rPr>
          <w:rFonts w:hint="cs"/>
          <w:b/>
          <w:bCs/>
          <w:rtl/>
        </w:rPr>
        <w:t xml:space="preserve"> يتم</w:t>
      </w:r>
      <w:r w:rsidRPr="00C472A0">
        <w:rPr>
          <w:b/>
          <w:bCs/>
          <w:rtl/>
        </w:rPr>
        <w:t xml:space="preserve"> إبلاغ مكتب المدعي العام بالقضية على </w:t>
      </w:r>
      <w:r w:rsidRPr="00C472A0">
        <w:rPr>
          <w:rFonts w:hint="cs"/>
          <w:b/>
          <w:bCs/>
          <w:rtl/>
        </w:rPr>
        <w:t>الفور؛</w:t>
      </w:r>
    </w:p>
    <w:p w14:paraId="2DF0513E" w14:textId="628A9685" w:rsidR="00586DF9" w:rsidRPr="00C472A0" w:rsidRDefault="00586DF9" w:rsidP="00586DF9">
      <w:pPr>
        <w:pStyle w:val="SingleTxtGA"/>
        <w:rPr>
          <w:b/>
          <w:bCs/>
        </w:rPr>
      </w:pPr>
      <w:r w:rsidRPr="005F1D28">
        <w:rPr>
          <w:rtl/>
        </w:rPr>
        <w:tab/>
        <w:t>(ه)</w:t>
      </w:r>
      <w:r w:rsidRPr="005F1D28">
        <w:rPr>
          <w:rtl/>
        </w:rPr>
        <w:tab/>
      </w:r>
      <w:r w:rsidRPr="00C472A0">
        <w:rPr>
          <w:b/>
          <w:bCs/>
          <w:rtl/>
        </w:rPr>
        <w:t>وضع وحدات تدريب ل</w:t>
      </w:r>
      <w:r w:rsidRPr="00C472A0">
        <w:rPr>
          <w:rFonts w:hint="cs"/>
          <w:b/>
          <w:bCs/>
          <w:rtl/>
        </w:rPr>
        <w:t>أفراد ا</w:t>
      </w:r>
      <w:r w:rsidRPr="00C472A0">
        <w:rPr>
          <w:b/>
          <w:bCs/>
          <w:rtl/>
        </w:rPr>
        <w:t>لشرطة و</w:t>
      </w:r>
      <w:r w:rsidRPr="00C472A0">
        <w:rPr>
          <w:rFonts w:hint="cs"/>
          <w:b/>
          <w:bCs/>
          <w:rtl/>
        </w:rPr>
        <w:t xml:space="preserve">غيرهم من </w:t>
      </w:r>
      <w:r w:rsidRPr="00C472A0">
        <w:rPr>
          <w:b/>
          <w:bCs/>
          <w:rtl/>
        </w:rPr>
        <w:t xml:space="preserve">الموظفين المكلفين بإنفاذ القوانين </w:t>
      </w:r>
      <w:r w:rsidRPr="00C472A0">
        <w:rPr>
          <w:rFonts w:hint="cs"/>
          <w:b/>
          <w:bCs/>
          <w:rtl/>
        </w:rPr>
        <w:t>في مجال</w:t>
      </w:r>
      <w:r w:rsidRPr="00C472A0">
        <w:rPr>
          <w:b/>
          <w:bCs/>
          <w:rtl/>
        </w:rPr>
        <w:t xml:space="preserve"> تقنيات إجراء المقابلات والتحقيق غير القسرية؛ </w:t>
      </w:r>
    </w:p>
    <w:p w14:paraId="77698080" w14:textId="5C43705B" w:rsidR="00586DF9" w:rsidRPr="00C472A0" w:rsidRDefault="00586DF9" w:rsidP="00586DF9">
      <w:pPr>
        <w:pStyle w:val="SingleTxtGA"/>
        <w:rPr>
          <w:b/>
          <w:bCs/>
          <w:spacing w:val="-2"/>
        </w:rPr>
      </w:pPr>
      <w:r w:rsidRPr="001D69D4">
        <w:rPr>
          <w:spacing w:val="-2"/>
          <w:rtl/>
        </w:rPr>
        <w:tab/>
        <w:t>(و)</w:t>
      </w:r>
      <w:r w:rsidRPr="001D69D4">
        <w:rPr>
          <w:spacing w:val="-2"/>
          <w:rtl/>
        </w:rPr>
        <w:tab/>
      </w:r>
      <w:r w:rsidRPr="00C472A0">
        <w:rPr>
          <w:b/>
          <w:bCs/>
          <w:spacing w:val="-2"/>
          <w:rtl/>
        </w:rPr>
        <w:t>ضمان التنفيذ الفعال للائحة عام 2013 بشأن الزي الرسمي للشرطة والشارات والألقاب والأسلحة</w:t>
      </w:r>
      <w:r w:rsidR="007F0913" w:rsidRPr="00C472A0">
        <w:rPr>
          <w:b/>
          <w:bCs/>
          <w:spacing w:val="-2"/>
          <w:rtl/>
        </w:rPr>
        <w:t>،</w:t>
      </w:r>
      <w:r w:rsidRPr="00C472A0">
        <w:rPr>
          <w:b/>
          <w:bCs/>
          <w:spacing w:val="-2"/>
          <w:rtl/>
        </w:rPr>
        <w:t xml:space="preserve"> والتي تتطلب من جميع ضباط الشرطة الذين يرتدون الزي الرسمي (بما في ذلك قوات التدخل الخاصة) ارتداء بطاقات الأسماء أو أرقام التعريف على زيهم الرسمي أثناء ممارسة واجباتهم؛</w:t>
      </w:r>
    </w:p>
    <w:p w14:paraId="2573AB8F" w14:textId="4859896E" w:rsidR="00586DF9" w:rsidRPr="00C472A0" w:rsidRDefault="00586DF9" w:rsidP="00586DF9">
      <w:pPr>
        <w:pStyle w:val="SingleTxtGA"/>
        <w:rPr>
          <w:b/>
          <w:bCs/>
        </w:rPr>
      </w:pPr>
      <w:r w:rsidRPr="005F1D28">
        <w:rPr>
          <w:rtl/>
        </w:rPr>
        <w:tab/>
        <w:t>(ز)</w:t>
      </w:r>
      <w:r w:rsidRPr="005F1D28">
        <w:rPr>
          <w:rtl/>
        </w:rPr>
        <w:tab/>
      </w:r>
      <w:r w:rsidRPr="00C472A0">
        <w:rPr>
          <w:b/>
          <w:bCs/>
          <w:rtl/>
        </w:rPr>
        <w:t>ضمان التسجيل المنهجي بالفيديو لاستجواب المحتجزين المشتبه بهم</w:t>
      </w:r>
      <w:r w:rsidR="007F0913" w:rsidRPr="00C472A0">
        <w:rPr>
          <w:b/>
          <w:bCs/>
          <w:rtl/>
        </w:rPr>
        <w:t>،</w:t>
      </w:r>
      <w:r w:rsidRPr="00C472A0">
        <w:rPr>
          <w:b/>
          <w:bCs/>
          <w:rtl/>
        </w:rPr>
        <w:t xml:space="preserve"> ووضع تعليمات إلزامية </w:t>
      </w:r>
      <w:r w:rsidRPr="00C472A0">
        <w:rPr>
          <w:rFonts w:hint="cs"/>
          <w:b/>
          <w:bCs/>
          <w:rtl/>
        </w:rPr>
        <w:t>لحفظ</w:t>
      </w:r>
      <w:r w:rsidRPr="00C472A0">
        <w:rPr>
          <w:b/>
          <w:bCs/>
          <w:rtl/>
        </w:rPr>
        <w:t xml:space="preserve"> التسجيلات</w:t>
      </w:r>
      <w:r w:rsidR="007F0913" w:rsidRPr="00C472A0">
        <w:rPr>
          <w:b/>
          <w:bCs/>
          <w:rtl/>
        </w:rPr>
        <w:t>،</w:t>
      </w:r>
      <w:r w:rsidRPr="00C472A0">
        <w:rPr>
          <w:b/>
          <w:bCs/>
          <w:rtl/>
        </w:rPr>
        <w:t xml:space="preserve"> </w:t>
      </w:r>
      <w:r w:rsidRPr="00C472A0">
        <w:rPr>
          <w:rFonts w:hint="cs"/>
          <w:b/>
          <w:bCs/>
          <w:rtl/>
        </w:rPr>
        <w:t>تشمل تحديد المدة الزمنية</w:t>
      </w:r>
      <w:r w:rsidRPr="00C472A0">
        <w:rPr>
          <w:b/>
          <w:bCs/>
          <w:rtl/>
        </w:rPr>
        <w:t xml:space="preserve">. </w:t>
      </w:r>
    </w:p>
    <w:p w14:paraId="61894691" w14:textId="77777777" w:rsidR="00586DF9" w:rsidRPr="00C472A0" w:rsidRDefault="00586DF9" w:rsidP="00586DF9">
      <w:pPr>
        <w:pStyle w:val="H23GA"/>
      </w:pPr>
      <w:r w:rsidRPr="00C472A0">
        <w:rPr>
          <w:rtl/>
        </w:rPr>
        <w:lastRenderedPageBreak/>
        <w:tab/>
      </w:r>
      <w:r w:rsidRPr="00C472A0">
        <w:rPr>
          <w:rtl/>
        </w:rPr>
        <w:tab/>
        <w:t>نظام اللجوء وعدم الإعادة القسرية</w:t>
      </w:r>
    </w:p>
    <w:p w14:paraId="6A651CAA" w14:textId="102D21A4" w:rsidR="00586DF9" w:rsidRPr="00586DF9" w:rsidRDefault="00586DF9" w:rsidP="00586DF9">
      <w:pPr>
        <w:pStyle w:val="SingleTxtGA"/>
      </w:pPr>
      <w:r w:rsidRPr="00CA5F1C">
        <w:rPr>
          <w:rtl/>
        </w:rPr>
        <w:t>20</w:t>
      </w:r>
      <w:r w:rsidRPr="005F1D28">
        <w:rPr>
          <w:rtl/>
        </w:rPr>
        <w:t>-</w:t>
      </w:r>
      <w:r w:rsidRPr="005F1D28">
        <w:rPr>
          <w:rtl/>
        </w:rPr>
        <w:tab/>
      </w:r>
      <w:r w:rsidRPr="00586DF9">
        <w:rPr>
          <w:rtl/>
        </w:rPr>
        <w:t>تحيط اللجنة علما</w:t>
      </w:r>
      <w:r w:rsidR="006C5612">
        <w:rPr>
          <w:rFonts w:hint="cs"/>
          <w:rtl/>
        </w:rPr>
        <w:t>ً</w:t>
      </w:r>
      <w:r w:rsidRPr="00586DF9">
        <w:rPr>
          <w:rtl/>
        </w:rPr>
        <w:t xml:space="preserve"> باعتماد قانون الحماية الدولية والمؤقتة للأجانب</w:t>
      </w:r>
      <w:r w:rsidR="007F0913">
        <w:rPr>
          <w:rtl/>
        </w:rPr>
        <w:t>،</w:t>
      </w:r>
      <w:r w:rsidRPr="00586DF9">
        <w:rPr>
          <w:rtl/>
        </w:rPr>
        <w:t xml:space="preserve"> الذي دخل حيز النفاذ في </w:t>
      </w:r>
      <w:r w:rsidRPr="00CA5F1C">
        <w:rPr>
          <w:rtl/>
        </w:rPr>
        <w:t>1</w:t>
      </w:r>
      <w:r w:rsidRPr="00586DF9">
        <w:rPr>
          <w:rtl/>
        </w:rPr>
        <w:t xml:space="preserve"> كانون الثاني/يناير </w:t>
      </w:r>
      <w:r w:rsidRPr="00CA5F1C">
        <w:rPr>
          <w:rtl/>
        </w:rPr>
        <w:t>2018</w:t>
      </w:r>
      <w:r w:rsidR="007F0913">
        <w:rPr>
          <w:rtl/>
        </w:rPr>
        <w:t>،</w:t>
      </w:r>
      <w:r w:rsidRPr="00586DF9">
        <w:rPr>
          <w:rtl/>
        </w:rPr>
        <w:t xml:space="preserve"> </w:t>
      </w:r>
      <w:r w:rsidRPr="00586DF9">
        <w:rPr>
          <w:rFonts w:hint="cs"/>
          <w:rtl/>
        </w:rPr>
        <w:t>لكنها</w:t>
      </w:r>
      <w:r w:rsidRPr="00586DF9">
        <w:rPr>
          <w:rtl/>
        </w:rPr>
        <w:t xml:space="preserve"> تشعر بالقلق لأن ملتمسي اللجوء لا يتمتعون دائما</w:t>
      </w:r>
      <w:r w:rsidR="006C5612">
        <w:rPr>
          <w:rFonts w:hint="cs"/>
          <w:rtl/>
        </w:rPr>
        <w:t>ً</w:t>
      </w:r>
      <w:r w:rsidR="007F0913">
        <w:rPr>
          <w:rFonts w:hint="cs"/>
          <w:rtl/>
        </w:rPr>
        <w:t>،</w:t>
      </w:r>
      <w:r w:rsidRPr="00586DF9">
        <w:rPr>
          <w:rFonts w:hint="cs"/>
          <w:rtl/>
        </w:rPr>
        <w:t xml:space="preserve"> </w:t>
      </w:r>
      <w:r w:rsidRPr="00586DF9">
        <w:rPr>
          <w:rtl/>
        </w:rPr>
        <w:t>من الناحية العملية</w:t>
      </w:r>
      <w:r w:rsidR="007F0913">
        <w:rPr>
          <w:rFonts w:hint="cs"/>
          <w:rtl/>
        </w:rPr>
        <w:t>،</w:t>
      </w:r>
      <w:r w:rsidRPr="00586DF9">
        <w:rPr>
          <w:rtl/>
        </w:rPr>
        <w:t xml:space="preserve"> بإمكانية الوصول الفعال إلى إجراءات اللجوء</w:t>
      </w:r>
      <w:r w:rsidR="007F0913">
        <w:rPr>
          <w:rFonts w:hint="cs"/>
          <w:rtl/>
        </w:rPr>
        <w:t>،</w:t>
      </w:r>
      <w:r w:rsidRPr="00586DF9">
        <w:rPr>
          <w:rtl/>
        </w:rPr>
        <w:t xml:space="preserve"> بسبب عدم كفاية الضمانات الإجرائية. وتثير مسألة الإعادة القسرية </w:t>
      </w:r>
      <w:r w:rsidRPr="00586DF9">
        <w:rPr>
          <w:rFonts w:hint="cs"/>
          <w:rtl/>
        </w:rPr>
        <w:t>بصورة م</w:t>
      </w:r>
      <w:r w:rsidRPr="00586DF9">
        <w:rPr>
          <w:rtl/>
        </w:rPr>
        <w:t>تسلسل</w:t>
      </w:r>
      <w:r w:rsidRPr="00586DF9">
        <w:rPr>
          <w:rFonts w:hint="cs"/>
          <w:rtl/>
        </w:rPr>
        <w:t>ة</w:t>
      </w:r>
      <w:r w:rsidRPr="00586DF9">
        <w:rPr>
          <w:rtl/>
        </w:rPr>
        <w:t xml:space="preserve"> قلقا</w:t>
      </w:r>
      <w:r w:rsidR="006C5612">
        <w:rPr>
          <w:rFonts w:hint="cs"/>
          <w:rtl/>
        </w:rPr>
        <w:t>ً</w:t>
      </w:r>
      <w:r w:rsidRPr="00586DF9">
        <w:rPr>
          <w:rtl/>
        </w:rPr>
        <w:t xml:space="preserve"> خاصا</w:t>
      </w:r>
      <w:r w:rsidR="006C5612">
        <w:rPr>
          <w:rFonts w:hint="cs"/>
          <w:rtl/>
        </w:rPr>
        <w:t>ً</w:t>
      </w:r>
      <w:r w:rsidRPr="00586DF9">
        <w:rPr>
          <w:rtl/>
        </w:rPr>
        <w:t xml:space="preserve"> (المواد </w:t>
      </w:r>
      <w:r w:rsidRPr="00CA5F1C">
        <w:rPr>
          <w:rtl/>
        </w:rPr>
        <w:t>2</w:t>
      </w:r>
      <w:r w:rsidRPr="00586DF9">
        <w:rPr>
          <w:rtl/>
        </w:rPr>
        <w:t>-</w:t>
      </w:r>
      <w:r w:rsidRPr="00CA5F1C">
        <w:rPr>
          <w:rtl/>
        </w:rPr>
        <w:t>3</w:t>
      </w:r>
      <w:r w:rsidRPr="00586DF9">
        <w:rPr>
          <w:rtl/>
        </w:rPr>
        <w:t xml:space="preserve"> و</w:t>
      </w:r>
      <w:r w:rsidRPr="00CA5F1C">
        <w:rPr>
          <w:rtl/>
        </w:rPr>
        <w:t>16</w:t>
      </w:r>
      <w:r w:rsidRPr="00586DF9">
        <w:rPr>
          <w:rtl/>
        </w:rPr>
        <w:t>).</w:t>
      </w:r>
    </w:p>
    <w:p w14:paraId="4409867E" w14:textId="305ADF4A" w:rsidR="00586DF9" w:rsidRPr="00C472A0" w:rsidRDefault="00586DF9" w:rsidP="00586DF9">
      <w:pPr>
        <w:pStyle w:val="SingleTxtGA"/>
        <w:rPr>
          <w:b/>
          <w:bCs/>
        </w:rPr>
      </w:pPr>
      <w:r w:rsidRPr="00CA5F1C">
        <w:rPr>
          <w:rtl/>
        </w:rPr>
        <w:t>21</w:t>
      </w:r>
      <w:r w:rsidRPr="005F1D28">
        <w:rPr>
          <w:rtl/>
        </w:rPr>
        <w:t>-</w:t>
      </w:r>
      <w:r w:rsidRPr="005F1D28">
        <w:rPr>
          <w:rtl/>
        </w:rPr>
        <w:tab/>
      </w:r>
      <w:r w:rsidRPr="00C472A0">
        <w:rPr>
          <w:b/>
          <w:bCs/>
          <w:rtl/>
        </w:rPr>
        <w:t xml:space="preserve">ينبغي للدولة الطرف </w:t>
      </w:r>
      <w:r w:rsidRPr="00C472A0">
        <w:rPr>
          <w:rFonts w:hint="cs"/>
          <w:b/>
          <w:bCs/>
          <w:rtl/>
        </w:rPr>
        <w:t>القيام</w:t>
      </w:r>
      <w:r w:rsidRPr="00C472A0">
        <w:rPr>
          <w:b/>
          <w:bCs/>
          <w:rtl/>
        </w:rPr>
        <w:t xml:space="preserve"> بما يلي:</w:t>
      </w:r>
    </w:p>
    <w:p w14:paraId="3C79565B" w14:textId="6C96F2FC" w:rsidR="00586DF9" w:rsidRPr="00C472A0" w:rsidRDefault="00586DF9" w:rsidP="00586DF9">
      <w:pPr>
        <w:pStyle w:val="SingleTxtGA"/>
        <w:rPr>
          <w:b/>
          <w:bCs/>
        </w:rPr>
      </w:pPr>
      <w:r w:rsidRPr="005F1D28">
        <w:rPr>
          <w:rtl/>
        </w:rPr>
        <w:tab/>
        <w:t>(أ)</w:t>
      </w:r>
      <w:r w:rsidRPr="005F1D28">
        <w:rPr>
          <w:rtl/>
        </w:rPr>
        <w:tab/>
      </w:r>
      <w:r w:rsidRPr="00C472A0">
        <w:rPr>
          <w:b/>
          <w:bCs/>
          <w:rtl/>
        </w:rPr>
        <w:t>ضمان عدم القيام في الممارسة العملية بطرد أيّ شخص أو إعادته أو تسليمه إلى دولة أخرى عندما تكون هناك أسباب جوهرية تدعو إلى الاعتقاد بأنه سيكون عرضة بصورة شخصية ومتوقعة لخطر التعذيب وسوء المعاملة؛</w:t>
      </w:r>
    </w:p>
    <w:p w14:paraId="15F2BEF2" w14:textId="22ECEA66" w:rsidR="00586DF9" w:rsidRPr="00C472A0" w:rsidRDefault="00586DF9" w:rsidP="00586DF9">
      <w:pPr>
        <w:pStyle w:val="SingleTxtGA"/>
        <w:rPr>
          <w:b/>
          <w:bCs/>
          <w:spacing w:val="-4"/>
        </w:rPr>
      </w:pPr>
      <w:r w:rsidRPr="001D69D4">
        <w:rPr>
          <w:spacing w:val="-4"/>
          <w:rtl/>
        </w:rPr>
        <w:tab/>
        <w:t>(ب)</w:t>
      </w:r>
      <w:r w:rsidRPr="001D69D4">
        <w:rPr>
          <w:spacing w:val="-4"/>
          <w:rtl/>
        </w:rPr>
        <w:tab/>
      </w:r>
      <w:r w:rsidRPr="00C472A0">
        <w:rPr>
          <w:b/>
          <w:bCs/>
          <w:spacing w:val="-4"/>
          <w:rtl/>
        </w:rPr>
        <w:t xml:space="preserve">كفالة وجود ضمانات إجرائية ضد الإعادة القسرية وسبل انتصاف فعالة فيما يتعلق بشكاوى الإعادة القسرية في سياق إجراءات </w:t>
      </w:r>
      <w:r w:rsidRPr="00C472A0">
        <w:rPr>
          <w:rFonts w:hint="cs"/>
          <w:b/>
          <w:bCs/>
          <w:spacing w:val="-4"/>
          <w:rtl/>
        </w:rPr>
        <w:t>الإبعاد</w:t>
      </w:r>
      <w:r w:rsidRPr="00C472A0">
        <w:rPr>
          <w:b/>
          <w:bCs/>
          <w:spacing w:val="-4"/>
          <w:rtl/>
        </w:rPr>
        <w:t xml:space="preserve">. وينبغي أن تخضع قرارات </w:t>
      </w:r>
      <w:r w:rsidRPr="00C472A0">
        <w:rPr>
          <w:rFonts w:hint="cs"/>
          <w:b/>
          <w:bCs/>
          <w:spacing w:val="-4"/>
          <w:rtl/>
        </w:rPr>
        <w:t>ترحيل الأشخاص</w:t>
      </w:r>
      <w:r w:rsidRPr="00C472A0">
        <w:rPr>
          <w:b/>
          <w:bCs/>
          <w:spacing w:val="-4"/>
          <w:rtl/>
        </w:rPr>
        <w:t xml:space="preserve"> إلى مراجعة قضائية على أساس كل حالة على حدة</w:t>
      </w:r>
      <w:r w:rsidR="007F0913" w:rsidRPr="00C472A0">
        <w:rPr>
          <w:b/>
          <w:bCs/>
          <w:spacing w:val="-4"/>
          <w:rtl/>
        </w:rPr>
        <w:t>،</w:t>
      </w:r>
      <w:r w:rsidRPr="00C472A0">
        <w:rPr>
          <w:b/>
          <w:bCs/>
          <w:spacing w:val="-4"/>
          <w:rtl/>
        </w:rPr>
        <w:t xml:space="preserve"> </w:t>
      </w:r>
      <w:r w:rsidRPr="00C472A0">
        <w:rPr>
          <w:rFonts w:hint="cs"/>
          <w:b/>
          <w:bCs/>
          <w:spacing w:val="-4"/>
          <w:rtl/>
        </w:rPr>
        <w:t>وأن تمنح الحق في الاستئناف</w:t>
      </w:r>
      <w:r w:rsidRPr="00C472A0">
        <w:rPr>
          <w:b/>
          <w:bCs/>
          <w:spacing w:val="-4"/>
          <w:rtl/>
        </w:rPr>
        <w:t xml:space="preserve"> </w:t>
      </w:r>
      <w:r w:rsidRPr="00C472A0">
        <w:rPr>
          <w:rFonts w:hint="cs"/>
          <w:b/>
          <w:bCs/>
          <w:spacing w:val="-4"/>
          <w:rtl/>
        </w:rPr>
        <w:t>مع</w:t>
      </w:r>
      <w:r w:rsidRPr="00C472A0">
        <w:rPr>
          <w:b/>
          <w:bCs/>
          <w:spacing w:val="-4"/>
          <w:rtl/>
        </w:rPr>
        <w:t xml:space="preserve"> </w:t>
      </w:r>
      <w:r w:rsidRPr="00C472A0">
        <w:rPr>
          <w:rFonts w:hint="cs"/>
          <w:b/>
          <w:bCs/>
          <w:spacing w:val="-4"/>
          <w:rtl/>
        </w:rPr>
        <w:t>ال</w:t>
      </w:r>
      <w:r w:rsidRPr="00C472A0">
        <w:rPr>
          <w:b/>
          <w:bCs/>
          <w:spacing w:val="-4"/>
          <w:rtl/>
        </w:rPr>
        <w:t xml:space="preserve">حق </w:t>
      </w:r>
      <w:r w:rsidRPr="00C472A0">
        <w:rPr>
          <w:rFonts w:hint="cs"/>
          <w:b/>
          <w:bCs/>
          <w:spacing w:val="-4"/>
          <w:rtl/>
        </w:rPr>
        <w:t xml:space="preserve">في </w:t>
      </w:r>
      <w:r w:rsidRPr="00C472A0">
        <w:rPr>
          <w:b/>
          <w:bCs/>
          <w:spacing w:val="-4"/>
          <w:rtl/>
        </w:rPr>
        <w:t>إيقاف</w:t>
      </w:r>
      <w:r w:rsidRPr="00C472A0">
        <w:rPr>
          <w:rFonts w:hint="cs"/>
          <w:b/>
          <w:bCs/>
          <w:spacing w:val="-4"/>
          <w:rtl/>
        </w:rPr>
        <w:t xml:space="preserve"> تنفيذ</w:t>
      </w:r>
      <w:r w:rsidRPr="00C472A0">
        <w:rPr>
          <w:b/>
          <w:bCs/>
          <w:spacing w:val="-4"/>
          <w:rtl/>
        </w:rPr>
        <w:t xml:space="preserve"> </w:t>
      </w:r>
      <w:r w:rsidRPr="00C472A0">
        <w:rPr>
          <w:rFonts w:hint="cs"/>
          <w:b/>
          <w:bCs/>
          <w:spacing w:val="-4"/>
          <w:rtl/>
        </w:rPr>
        <w:t>الترحيل</w:t>
      </w:r>
      <w:r w:rsidRPr="00C472A0">
        <w:rPr>
          <w:b/>
          <w:bCs/>
          <w:spacing w:val="-4"/>
          <w:rtl/>
        </w:rPr>
        <w:t>؛</w:t>
      </w:r>
    </w:p>
    <w:p w14:paraId="1C94143F" w14:textId="0A3F4DA1" w:rsidR="00586DF9" w:rsidRPr="00C472A0" w:rsidRDefault="00586DF9" w:rsidP="00586DF9">
      <w:pPr>
        <w:pStyle w:val="SingleTxtGA"/>
        <w:rPr>
          <w:b/>
          <w:bCs/>
        </w:rPr>
      </w:pPr>
      <w:r w:rsidRPr="005F1D28">
        <w:rPr>
          <w:rtl/>
        </w:rPr>
        <w:tab/>
        <w:t>(ج)</w:t>
      </w:r>
      <w:r w:rsidRPr="005F1D28">
        <w:rPr>
          <w:rtl/>
        </w:rPr>
        <w:tab/>
      </w:r>
      <w:r w:rsidRPr="00C472A0">
        <w:rPr>
          <w:b/>
          <w:bCs/>
          <w:rtl/>
        </w:rPr>
        <w:t xml:space="preserve">ضمان الوصول إلى </w:t>
      </w:r>
      <w:r w:rsidRPr="00C472A0">
        <w:rPr>
          <w:rFonts w:hint="cs"/>
          <w:b/>
          <w:bCs/>
          <w:rtl/>
        </w:rPr>
        <w:t>الإقليم</w:t>
      </w:r>
      <w:r w:rsidRPr="00C472A0">
        <w:rPr>
          <w:b/>
          <w:bCs/>
          <w:rtl/>
        </w:rPr>
        <w:t xml:space="preserve"> والحماية الكافية والفعالة من الإعادة القسرية </w:t>
      </w:r>
      <w:r w:rsidRPr="00C472A0">
        <w:rPr>
          <w:rFonts w:hint="cs"/>
          <w:b/>
          <w:bCs/>
          <w:rtl/>
        </w:rPr>
        <w:t>عند</w:t>
      </w:r>
      <w:r w:rsidRPr="00C472A0">
        <w:rPr>
          <w:b/>
          <w:bCs/>
          <w:rtl/>
        </w:rPr>
        <w:t xml:space="preserve"> الحدود </w:t>
      </w:r>
      <w:r w:rsidRPr="00C472A0">
        <w:rPr>
          <w:rFonts w:hint="cs"/>
          <w:b/>
          <w:bCs/>
          <w:rtl/>
        </w:rPr>
        <w:t>عن طريق</w:t>
      </w:r>
      <w:r w:rsidRPr="00C472A0">
        <w:rPr>
          <w:b/>
          <w:bCs/>
          <w:rtl/>
        </w:rPr>
        <w:t xml:space="preserve"> التأكد من أن الأشخاص الذين يلتمسون اللجوء على الحدود يتلقون على الفور وبلغة يفهمونها المعلومات المناسبة عن حقوقهم</w:t>
      </w:r>
      <w:r w:rsidR="007F0913" w:rsidRPr="00C472A0">
        <w:rPr>
          <w:b/>
          <w:bCs/>
          <w:rtl/>
        </w:rPr>
        <w:t>،</w:t>
      </w:r>
      <w:r w:rsidRPr="00C472A0">
        <w:rPr>
          <w:b/>
          <w:bCs/>
          <w:rtl/>
        </w:rPr>
        <w:t xml:space="preserve"> بما في ذلك المعلومات المتعلقة بالإجراءات وآليات الاستئناف والم</w:t>
      </w:r>
      <w:r w:rsidRPr="00C472A0">
        <w:rPr>
          <w:rFonts w:hint="cs"/>
          <w:b/>
          <w:bCs/>
          <w:rtl/>
        </w:rPr>
        <w:t>عونة القضائية</w:t>
      </w:r>
      <w:r w:rsidRPr="00C472A0">
        <w:rPr>
          <w:b/>
          <w:bCs/>
          <w:rtl/>
        </w:rPr>
        <w:t>؛</w:t>
      </w:r>
    </w:p>
    <w:p w14:paraId="77D96F8D" w14:textId="0DF8828B" w:rsidR="00586DF9" w:rsidRPr="00C472A0" w:rsidRDefault="00586DF9" w:rsidP="00586DF9">
      <w:pPr>
        <w:pStyle w:val="SingleTxtGA"/>
        <w:rPr>
          <w:b/>
          <w:bCs/>
        </w:rPr>
      </w:pPr>
      <w:r w:rsidRPr="005F1D28">
        <w:rPr>
          <w:rtl/>
        </w:rPr>
        <w:tab/>
        <w:t>(د)</w:t>
      </w:r>
      <w:r w:rsidRPr="005F1D28">
        <w:rPr>
          <w:rtl/>
        </w:rPr>
        <w:tab/>
      </w:r>
      <w:r w:rsidRPr="00C472A0">
        <w:rPr>
          <w:b/>
          <w:bCs/>
          <w:rtl/>
        </w:rPr>
        <w:t xml:space="preserve">توفير التدريب </w:t>
      </w:r>
      <w:r w:rsidRPr="00C472A0">
        <w:rPr>
          <w:rFonts w:hint="cs"/>
          <w:b/>
          <w:bCs/>
          <w:rtl/>
        </w:rPr>
        <w:t>في مجال</w:t>
      </w:r>
      <w:r w:rsidRPr="00C472A0">
        <w:rPr>
          <w:b/>
          <w:bCs/>
          <w:rtl/>
        </w:rPr>
        <w:t xml:space="preserve"> القانون الدولي للاجئين والقانون الدولي لحقوق الإنسان</w:t>
      </w:r>
      <w:r w:rsidR="007F0913" w:rsidRPr="00C472A0">
        <w:rPr>
          <w:b/>
          <w:bCs/>
          <w:rtl/>
        </w:rPr>
        <w:t>،</w:t>
      </w:r>
      <w:r w:rsidRPr="00C472A0">
        <w:rPr>
          <w:b/>
          <w:bCs/>
          <w:rtl/>
        </w:rPr>
        <w:t xml:space="preserve"> وتحديدا</w:t>
      </w:r>
      <w:r w:rsidR="006C5612" w:rsidRPr="00C472A0">
        <w:rPr>
          <w:rFonts w:hint="cs"/>
          <w:b/>
          <w:bCs/>
          <w:rtl/>
        </w:rPr>
        <w:t>ً</w:t>
      </w:r>
      <w:r w:rsidRPr="00C472A0">
        <w:rPr>
          <w:b/>
          <w:bCs/>
          <w:rtl/>
        </w:rPr>
        <w:t xml:space="preserve"> بشأن مبدأ عدم الإعادة القسرية وخطر الإعادة القسرية</w:t>
      </w:r>
      <w:r w:rsidR="007F0913" w:rsidRPr="00C472A0">
        <w:rPr>
          <w:b/>
          <w:bCs/>
          <w:rtl/>
        </w:rPr>
        <w:t>،</w:t>
      </w:r>
      <w:r w:rsidRPr="00C472A0">
        <w:rPr>
          <w:b/>
          <w:bCs/>
          <w:rtl/>
        </w:rPr>
        <w:t xml:space="preserve"> لموظفي الهجرة</w:t>
      </w:r>
      <w:r w:rsidR="007F0913" w:rsidRPr="00C472A0">
        <w:rPr>
          <w:b/>
          <w:bCs/>
          <w:rtl/>
        </w:rPr>
        <w:t>،</w:t>
      </w:r>
      <w:r w:rsidRPr="00C472A0">
        <w:rPr>
          <w:b/>
          <w:bCs/>
          <w:rtl/>
        </w:rPr>
        <w:t xml:space="preserve"> </w:t>
      </w:r>
      <w:r w:rsidRPr="00C472A0">
        <w:rPr>
          <w:rFonts w:hint="cs"/>
          <w:b/>
          <w:bCs/>
          <w:rtl/>
        </w:rPr>
        <w:t>فضلا</w:t>
      </w:r>
      <w:r w:rsidR="006C5612" w:rsidRPr="00C472A0">
        <w:rPr>
          <w:rFonts w:hint="cs"/>
          <w:b/>
          <w:bCs/>
          <w:rtl/>
        </w:rPr>
        <w:t>ً</w:t>
      </w:r>
      <w:r w:rsidRPr="00C472A0">
        <w:rPr>
          <w:rFonts w:hint="cs"/>
          <w:b/>
          <w:bCs/>
          <w:rtl/>
        </w:rPr>
        <w:t xml:space="preserve"> عن كفالة</w:t>
      </w:r>
      <w:r w:rsidRPr="00C472A0">
        <w:rPr>
          <w:b/>
          <w:bCs/>
          <w:rtl/>
        </w:rPr>
        <w:t xml:space="preserve"> أن تتضمن جميع إجراءات التشغيل الموحدة ضمانات كافية </w:t>
      </w:r>
      <w:r w:rsidRPr="00C472A0">
        <w:rPr>
          <w:rFonts w:hint="cs"/>
          <w:b/>
          <w:bCs/>
          <w:rtl/>
        </w:rPr>
        <w:t>تحول دون</w:t>
      </w:r>
      <w:r w:rsidRPr="00C472A0">
        <w:rPr>
          <w:b/>
          <w:bCs/>
          <w:rtl/>
        </w:rPr>
        <w:t xml:space="preserve"> الإعادة القسرية؛</w:t>
      </w:r>
    </w:p>
    <w:p w14:paraId="6B997D0A" w14:textId="0351DB2F" w:rsidR="00586DF9" w:rsidRPr="00C472A0" w:rsidRDefault="00586DF9" w:rsidP="00586DF9">
      <w:pPr>
        <w:pStyle w:val="SingleTxtGA"/>
        <w:rPr>
          <w:b/>
          <w:bCs/>
        </w:rPr>
      </w:pPr>
      <w:r w:rsidRPr="005F1D28">
        <w:rPr>
          <w:rtl/>
        </w:rPr>
        <w:tab/>
        <w:t>(ه)</w:t>
      </w:r>
      <w:r w:rsidRPr="005F1D28">
        <w:rPr>
          <w:rtl/>
        </w:rPr>
        <w:tab/>
      </w:r>
      <w:r w:rsidRPr="00C472A0">
        <w:rPr>
          <w:b/>
          <w:bCs/>
          <w:rtl/>
        </w:rPr>
        <w:t>إنشاء آليات فعالة وسهلة المنال للإحالة والشكاوى بدءا</w:t>
      </w:r>
      <w:r w:rsidR="006C5612" w:rsidRPr="00C472A0">
        <w:rPr>
          <w:rFonts w:hint="cs"/>
          <w:b/>
          <w:bCs/>
          <w:rtl/>
        </w:rPr>
        <w:t>ً</w:t>
      </w:r>
      <w:r w:rsidRPr="00C472A0">
        <w:rPr>
          <w:b/>
          <w:bCs/>
          <w:rtl/>
        </w:rPr>
        <w:t xml:space="preserve"> من نقطة التعبير عن </w:t>
      </w:r>
      <w:r w:rsidRPr="00C472A0">
        <w:rPr>
          <w:rFonts w:hint="cs"/>
          <w:b/>
          <w:bCs/>
          <w:rtl/>
        </w:rPr>
        <w:t>الرغبة</w:t>
      </w:r>
      <w:r w:rsidRPr="00C472A0">
        <w:rPr>
          <w:b/>
          <w:bCs/>
          <w:rtl/>
        </w:rPr>
        <w:t xml:space="preserve"> في </w:t>
      </w:r>
      <w:r w:rsidRPr="00C472A0">
        <w:rPr>
          <w:rFonts w:hint="cs"/>
          <w:b/>
          <w:bCs/>
          <w:rtl/>
        </w:rPr>
        <w:t>التماس</w:t>
      </w:r>
      <w:r w:rsidRPr="00C472A0">
        <w:rPr>
          <w:b/>
          <w:bCs/>
          <w:rtl/>
        </w:rPr>
        <w:t xml:space="preserve"> اللجوء؛</w:t>
      </w:r>
    </w:p>
    <w:p w14:paraId="7A5EDC8B" w14:textId="5C7716AA" w:rsidR="00586DF9" w:rsidRPr="00C472A0" w:rsidRDefault="00586DF9" w:rsidP="00586DF9">
      <w:pPr>
        <w:pStyle w:val="SingleTxtGA"/>
        <w:rPr>
          <w:b/>
          <w:bCs/>
        </w:rPr>
      </w:pPr>
      <w:r w:rsidRPr="005F1D28">
        <w:rPr>
          <w:rtl/>
        </w:rPr>
        <w:tab/>
        <w:t>(و)</w:t>
      </w:r>
      <w:r w:rsidRPr="005F1D28">
        <w:rPr>
          <w:rtl/>
        </w:rPr>
        <w:tab/>
      </w:r>
      <w:r w:rsidRPr="00C472A0">
        <w:rPr>
          <w:b/>
          <w:bCs/>
          <w:rtl/>
        </w:rPr>
        <w:t>تعزيز الجهود الرامية إلى كفالة المساءلة الجنائية لمرتكبي الأعمال التي تعرض حياة وسلامة المهاجرين وملتمسي اللجوء للخطر</w:t>
      </w:r>
      <w:r w:rsidR="007F0913" w:rsidRPr="00C472A0">
        <w:rPr>
          <w:b/>
          <w:bCs/>
          <w:rtl/>
        </w:rPr>
        <w:t>،</w:t>
      </w:r>
      <w:r w:rsidRPr="00C472A0">
        <w:rPr>
          <w:b/>
          <w:bCs/>
          <w:rtl/>
        </w:rPr>
        <w:t xml:space="preserve"> والتأكد من أن الضحايا والشهود والمدعين يخضعون للحماية من ممارسات سوء المعاملة أو التخويف التي يمكن أن تنشأ نتيجة لشكاواهم.</w:t>
      </w:r>
    </w:p>
    <w:p w14:paraId="243FC0B3" w14:textId="77777777" w:rsidR="00586DF9" w:rsidRPr="00C472A0" w:rsidRDefault="00586DF9" w:rsidP="00586DF9">
      <w:pPr>
        <w:pStyle w:val="H23GA"/>
      </w:pPr>
      <w:r w:rsidRPr="00C472A0">
        <w:rPr>
          <w:rtl/>
        </w:rPr>
        <w:tab/>
      </w:r>
      <w:r w:rsidRPr="00C472A0">
        <w:rPr>
          <w:rtl/>
        </w:rPr>
        <w:tab/>
        <w:t>الإفلات من العقاب على جرائم الحرب وسبل الانتصاف للضحايا</w:t>
      </w:r>
    </w:p>
    <w:p w14:paraId="3CD064C6" w14:textId="3D8B9AD8" w:rsidR="00586DF9" w:rsidRPr="001D69D4" w:rsidRDefault="00586DF9" w:rsidP="00586DF9">
      <w:pPr>
        <w:pStyle w:val="SingleTxtGA"/>
        <w:rPr>
          <w:spacing w:val="-2"/>
        </w:rPr>
      </w:pPr>
      <w:r w:rsidRPr="00CA5F1C">
        <w:rPr>
          <w:spacing w:val="-2"/>
          <w:rtl/>
        </w:rPr>
        <w:t>22</w:t>
      </w:r>
      <w:r w:rsidRPr="001D69D4">
        <w:rPr>
          <w:spacing w:val="-2"/>
          <w:rtl/>
        </w:rPr>
        <w:t>-</w:t>
      </w:r>
      <w:r w:rsidRPr="001D69D4">
        <w:rPr>
          <w:spacing w:val="-2"/>
          <w:rtl/>
        </w:rPr>
        <w:tab/>
      </w:r>
      <w:r w:rsidRPr="001D69D4">
        <w:rPr>
          <w:rFonts w:hint="cs"/>
          <w:spacing w:val="-2"/>
          <w:rtl/>
        </w:rPr>
        <w:t>تذكر</w:t>
      </w:r>
      <w:r w:rsidRPr="001D69D4">
        <w:rPr>
          <w:spacing w:val="-2"/>
          <w:rtl/>
        </w:rPr>
        <w:t xml:space="preserve"> اللجنة </w:t>
      </w:r>
      <w:r w:rsidRPr="001D69D4">
        <w:rPr>
          <w:rFonts w:hint="cs"/>
          <w:spacing w:val="-2"/>
          <w:rtl/>
        </w:rPr>
        <w:t>ب</w:t>
      </w:r>
      <w:r w:rsidRPr="001D69D4">
        <w:rPr>
          <w:spacing w:val="-2"/>
          <w:rtl/>
        </w:rPr>
        <w:t>توصياتها السابقة</w:t>
      </w:r>
      <w:r w:rsidR="007F0913" w:rsidRPr="001D69D4">
        <w:rPr>
          <w:spacing w:val="-2"/>
          <w:rtl/>
        </w:rPr>
        <w:t>،</w:t>
      </w:r>
      <w:r w:rsidRPr="001D69D4">
        <w:rPr>
          <w:spacing w:val="-2"/>
          <w:rtl/>
        </w:rPr>
        <w:t xml:space="preserve"> وترحب ببعض الجهود التي بذلت مؤخرا</w:t>
      </w:r>
      <w:r w:rsidR="006C5612" w:rsidRPr="001D69D4">
        <w:rPr>
          <w:rFonts w:hint="cs"/>
          <w:spacing w:val="-2"/>
          <w:rtl/>
        </w:rPr>
        <w:t>ً</w:t>
      </w:r>
      <w:r w:rsidRPr="001D69D4">
        <w:rPr>
          <w:spacing w:val="-2"/>
          <w:rtl/>
        </w:rPr>
        <w:t xml:space="preserve"> للتصدي للإفلات من العقاب على جرائم الحرب</w:t>
      </w:r>
      <w:r w:rsidR="007F0913" w:rsidRPr="001D69D4">
        <w:rPr>
          <w:spacing w:val="-2"/>
          <w:rtl/>
        </w:rPr>
        <w:t>،</w:t>
      </w:r>
      <w:r w:rsidRPr="001D69D4">
        <w:rPr>
          <w:spacing w:val="-2"/>
          <w:rtl/>
        </w:rPr>
        <w:t xml:space="preserve"> بما في ذلك التعذيب وإساءة المعاملة</w:t>
      </w:r>
      <w:r w:rsidR="007F0913" w:rsidRPr="001D69D4">
        <w:rPr>
          <w:spacing w:val="-2"/>
          <w:rtl/>
        </w:rPr>
        <w:t>،</w:t>
      </w:r>
      <w:r w:rsidRPr="001D69D4">
        <w:rPr>
          <w:spacing w:val="-2"/>
          <w:rtl/>
        </w:rPr>
        <w:t xml:space="preserve"> </w:t>
      </w:r>
      <w:r w:rsidRPr="001D69D4">
        <w:rPr>
          <w:rFonts w:hint="cs"/>
          <w:spacing w:val="-2"/>
          <w:rtl/>
        </w:rPr>
        <w:t>وتشير إلى أنها</w:t>
      </w:r>
      <w:r w:rsidRPr="001D69D4">
        <w:rPr>
          <w:spacing w:val="-2"/>
          <w:rtl/>
        </w:rPr>
        <w:t xml:space="preserve"> لا تزال تشعر بالقلق إزاء عدم إحراز الدولة الطرف تقدما</w:t>
      </w:r>
      <w:r w:rsidR="006C5612" w:rsidRPr="001D69D4">
        <w:rPr>
          <w:rFonts w:hint="cs"/>
          <w:spacing w:val="-2"/>
          <w:rtl/>
        </w:rPr>
        <w:t>ً</w:t>
      </w:r>
      <w:r w:rsidRPr="001D69D4">
        <w:rPr>
          <w:spacing w:val="-2"/>
          <w:rtl/>
        </w:rPr>
        <w:t xml:space="preserve"> في محاكمة </w:t>
      </w:r>
      <w:r w:rsidRPr="001D69D4">
        <w:rPr>
          <w:rFonts w:hint="cs"/>
          <w:spacing w:val="-2"/>
          <w:rtl/>
        </w:rPr>
        <w:t xml:space="preserve">الأشخاص </w:t>
      </w:r>
      <w:r w:rsidRPr="001D69D4">
        <w:rPr>
          <w:spacing w:val="-2"/>
          <w:rtl/>
        </w:rPr>
        <w:t xml:space="preserve">الخاضعين لولايتها المتهمين بارتكاب جرائم حرب أثناء النزاعات في غرب البلقان في </w:t>
      </w:r>
      <w:r w:rsidRPr="001D69D4">
        <w:rPr>
          <w:rFonts w:hint="cs"/>
          <w:spacing w:val="-2"/>
          <w:rtl/>
        </w:rPr>
        <w:t>تسعينات القرن الماضي</w:t>
      </w:r>
      <w:r w:rsidR="007F0913" w:rsidRPr="001D69D4">
        <w:rPr>
          <w:rFonts w:hint="cs"/>
          <w:spacing w:val="-2"/>
          <w:rtl/>
        </w:rPr>
        <w:t>،</w:t>
      </w:r>
      <w:r w:rsidRPr="001D69D4">
        <w:rPr>
          <w:rFonts w:hint="cs"/>
          <w:spacing w:val="-2"/>
          <w:rtl/>
        </w:rPr>
        <w:t xml:space="preserve"> بما</w:t>
      </w:r>
      <w:r w:rsidRPr="001D69D4">
        <w:rPr>
          <w:spacing w:val="-2"/>
          <w:rtl/>
        </w:rPr>
        <w:t xml:space="preserve"> في ذلك عدم </w:t>
      </w:r>
      <w:r w:rsidRPr="001D69D4">
        <w:rPr>
          <w:rFonts w:hint="cs"/>
          <w:spacing w:val="-2"/>
          <w:rtl/>
        </w:rPr>
        <w:t>إصدار</w:t>
      </w:r>
      <w:r w:rsidRPr="001D69D4">
        <w:rPr>
          <w:spacing w:val="-2"/>
          <w:rtl/>
        </w:rPr>
        <w:t xml:space="preserve"> أي إدانات تنطوي على </w:t>
      </w:r>
      <w:r w:rsidRPr="001D69D4">
        <w:rPr>
          <w:rFonts w:hint="cs"/>
          <w:spacing w:val="-2"/>
          <w:rtl/>
        </w:rPr>
        <w:t>ال</w:t>
      </w:r>
      <w:r w:rsidRPr="001D69D4">
        <w:rPr>
          <w:spacing w:val="-2"/>
          <w:rtl/>
        </w:rPr>
        <w:t xml:space="preserve">مسؤولية على أساس مبادئ القيادة أو مسؤولية الرؤساء. وفي الفترة منذ عام </w:t>
      </w:r>
      <w:r w:rsidRPr="00CA5F1C">
        <w:rPr>
          <w:spacing w:val="-2"/>
          <w:rtl/>
        </w:rPr>
        <w:t>2015</w:t>
      </w:r>
      <w:r w:rsidR="007F0913" w:rsidRPr="001D69D4">
        <w:rPr>
          <w:spacing w:val="-2"/>
          <w:rtl/>
        </w:rPr>
        <w:t>،</w:t>
      </w:r>
      <w:r w:rsidRPr="001D69D4">
        <w:rPr>
          <w:spacing w:val="-2"/>
          <w:rtl/>
        </w:rPr>
        <w:t xml:space="preserve"> أدين شخص واحد فقط بارتكاب جرائم حرب بموجب قرار نهائي من محكمة في الدولة الطرف. واستنادا</w:t>
      </w:r>
      <w:r w:rsidR="006C5612" w:rsidRPr="001D69D4">
        <w:rPr>
          <w:rFonts w:hint="cs"/>
          <w:spacing w:val="-2"/>
          <w:rtl/>
        </w:rPr>
        <w:t>ً</w:t>
      </w:r>
      <w:r w:rsidRPr="001D69D4">
        <w:rPr>
          <w:spacing w:val="-2"/>
          <w:rtl/>
        </w:rPr>
        <w:t xml:space="preserve"> إلى المعلومات الواردة من الآلية الدولية لتصريف الأعمال المتبقية للمحكمتين الجنائيتين في أواخر عام </w:t>
      </w:r>
      <w:r w:rsidRPr="00CA5F1C">
        <w:rPr>
          <w:spacing w:val="-2"/>
          <w:rtl/>
        </w:rPr>
        <w:t>2020</w:t>
      </w:r>
      <w:r w:rsidR="007F0913" w:rsidRPr="001D69D4">
        <w:rPr>
          <w:spacing w:val="-2"/>
          <w:rtl/>
        </w:rPr>
        <w:t>،</w:t>
      </w:r>
      <w:r w:rsidRPr="001D69D4">
        <w:rPr>
          <w:spacing w:val="-2"/>
          <w:rtl/>
        </w:rPr>
        <w:t xml:space="preserve"> </w:t>
      </w:r>
      <w:r w:rsidRPr="001D69D4">
        <w:rPr>
          <w:rFonts w:hint="cs"/>
          <w:spacing w:val="-2"/>
          <w:rtl/>
        </w:rPr>
        <w:t>هناك</w:t>
      </w:r>
      <w:r w:rsidRPr="001D69D4">
        <w:rPr>
          <w:spacing w:val="-2"/>
          <w:rtl/>
        </w:rPr>
        <w:t xml:space="preserve"> عدد من القضايا الجديدة </w:t>
      </w:r>
      <w:r w:rsidRPr="001D69D4">
        <w:rPr>
          <w:rFonts w:hint="cs"/>
          <w:spacing w:val="-2"/>
          <w:rtl/>
        </w:rPr>
        <w:t>ال</w:t>
      </w:r>
      <w:r w:rsidRPr="001D69D4">
        <w:rPr>
          <w:spacing w:val="-2"/>
          <w:rtl/>
        </w:rPr>
        <w:t xml:space="preserve">مفتوحة للنظر فيها من جانب الدولة الطرف. ولا تزال اللجنة تشعر بالقلق لأن غالبية ضحايا انتهاكات جرائم الحرب في الجبل الأسود لم يمنحوا بعد الحق في الجبر (المواد </w:t>
      </w:r>
      <w:r w:rsidRPr="00CA5F1C">
        <w:rPr>
          <w:spacing w:val="-2"/>
          <w:rtl/>
        </w:rPr>
        <w:t>12</w:t>
      </w:r>
      <w:r w:rsidRPr="001D69D4">
        <w:rPr>
          <w:spacing w:val="-2"/>
          <w:rtl/>
        </w:rPr>
        <w:t>-</w:t>
      </w:r>
      <w:r w:rsidRPr="00CA5F1C">
        <w:rPr>
          <w:spacing w:val="-2"/>
          <w:rtl/>
        </w:rPr>
        <w:t>14</w:t>
      </w:r>
      <w:r w:rsidRPr="001D69D4">
        <w:rPr>
          <w:spacing w:val="-2"/>
          <w:rtl/>
        </w:rPr>
        <w:t>).</w:t>
      </w:r>
    </w:p>
    <w:p w14:paraId="21B6E04A" w14:textId="127888B8" w:rsidR="00586DF9" w:rsidRPr="00C472A0" w:rsidRDefault="00586DF9" w:rsidP="00586DF9">
      <w:pPr>
        <w:pStyle w:val="SingleTxtGA"/>
        <w:rPr>
          <w:b/>
          <w:bCs/>
        </w:rPr>
      </w:pPr>
      <w:r w:rsidRPr="00CA5F1C">
        <w:rPr>
          <w:rtl/>
        </w:rPr>
        <w:lastRenderedPageBreak/>
        <w:t>23</w:t>
      </w:r>
      <w:r w:rsidRPr="005F1D28">
        <w:rPr>
          <w:rtl/>
        </w:rPr>
        <w:t>-</w:t>
      </w:r>
      <w:r w:rsidRPr="005F1D28">
        <w:rPr>
          <w:rtl/>
        </w:rPr>
        <w:tab/>
      </w:r>
      <w:r w:rsidRPr="00C472A0">
        <w:rPr>
          <w:b/>
          <w:bCs/>
          <w:rtl/>
        </w:rPr>
        <w:t>ينبغي للدولة الطرف أن تكثف جهودها لمكافحة الإفلات من العقاب على جرائم الحرب عن طريق ما يلي:</w:t>
      </w:r>
    </w:p>
    <w:p w14:paraId="7FC740FC" w14:textId="15D4A2D7" w:rsidR="00586DF9" w:rsidRPr="00C472A0" w:rsidRDefault="00586DF9" w:rsidP="00586DF9">
      <w:pPr>
        <w:pStyle w:val="SingleTxtGA"/>
        <w:rPr>
          <w:b/>
          <w:bCs/>
        </w:rPr>
      </w:pPr>
      <w:r w:rsidRPr="005F1D28">
        <w:rPr>
          <w:rtl/>
        </w:rPr>
        <w:tab/>
        <w:t>(أ)</w:t>
      </w:r>
      <w:r w:rsidRPr="005F1D28">
        <w:rPr>
          <w:rtl/>
        </w:rPr>
        <w:tab/>
      </w:r>
      <w:r w:rsidRPr="00C472A0">
        <w:rPr>
          <w:b/>
          <w:bCs/>
          <w:rtl/>
        </w:rPr>
        <w:t xml:space="preserve">التحقيق الاستباقي في جميع الادعاءات والفحص الدقيق لجميع الأدلة </w:t>
      </w:r>
      <w:r w:rsidRPr="00C472A0">
        <w:rPr>
          <w:rFonts w:hint="cs"/>
          <w:b/>
          <w:bCs/>
          <w:rtl/>
        </w:rPr>
        <w:t xml:space="preserve">المقدمة </w:t>
      </w:r>
      <w:r w:rsidRPr="00C472A0">
        <w:rPr>
          <w:b/>
          <w:bCs/>
          <w:rtl/>
        </w:rPr>
        <w:t>ضد مواطنيها أو غيرهم من</w:t>
      </w:r>
      <w:r w:rsidRPr="00C472A0">
        <w:rPr>
          <w:rFonts w:hint="cs"/>
          <w:b/>
          <w:bCs/>
          <w:rtl/>
        </w:rPr>
        <w:t xml:space="preserve"> الأشخاص</w:t>
      </w:r>
      <w:r w:rsidRPr="00C472A0">
        <w:rPr>
          <w:b/>
          <w:bCs/>
          <w:rtl/>
        </w:rPr>
        <w:t xml:space="preserve"> الخاضعين لولايتها</w:t>
      </w:r>
      <w:r w:rsidR="007F0913" w:rsidRPr="00C472A0">
        <w:rPr>
          <w:b/>
          <w:bCs/>
          <w:rtl/>
        </w:rPr>
        <w:t>،</w:t>
      </w:r>
      <w:r w:rsidRPr="00C472A0">
        <w:rPr>
          <w:b/>
          <w:bCs/>
          <w:rtl/>
        </w:rPr>
        <w:t xml:space="preserve"> بما في ذلك على سبيل المثال لا الحصر الأدلة التي تم الحصول عليها من </w:t>
      </w:r>
      <w:r w:rsidRPr="00C472A0">
        <w:rPr>
          <w:rFonts w:hint="cs"/>
          <w:b/>
          <w:bCs/>
          <w:rtl/>
        </w:rPr>
        <w:t>محاكم البلدان</w:t>
      </w:r>
      <w:r w:rsidRPr="00C472A0">
        <w:rPr>
          <w:b/>
          <w:bCs/>
          <w:rtl/>
        </w:rPr>
        <w:t xml:space="preserve"> المجاورة وغيرها من ال</w:t>
      </w:r>
      <w:r w:rsidRPr="00C472A0">
        <w:rPr>
          <w:rFonts w:hint="cs"/>
          <w:b/>
          <w:bCs/>
          <w:rtl/>
        </w:rPr>
        <w:t xml:space="preserve">محاكم </w:t>
      </w:r>
      <w:r w:rsidRPr="00C472A0">
        <w:rPr>
          <w:b/>
          <w:bCs/>
          <w:rtl/>
        </w:rPr>
        <w:t>الأجنبية و</w:t>
      </w:r>
      <w:r w:rsidRPr="00C472A0">
        <w:rPr>
          <w:rFonts w:hint="cs"/>
          <w:b/>
          <w:bCs/>
          <w:rtl/>
        </w:rPr>
        <w:t xml:space="preserve">من </w:t>
      </w:r>
      <w:r w:rsidRPr="00C472A0">
        <w:rPr>
          <w:b/>
          <w:bCs/>
          <w:rtl/>
        </w:rPr>
        <w:t>الآلية الدولية لتصريف الأعمال المتبقية للمحكمتين الجنائيتين ضد الجناة المحتملين</w:t>
      </w:r>
      <w:r w:rsidR="007F0913" w:rsidRPr="00C472A0">
        <w:rPr>
          <w:b/>
          <w:bCs/>
          <w:rtl/>
        </w:rPr>
        <w:t>،</w:t>
      </w:r>
      <w:r w:rsidRPr="00C472A0">
        <w:rPr>
          <w:b/>
          <w:bCs/>
          <w:rtl/>
        </w:rPr>
        <w:t xml:space="preserve"> بما في ذلك أي دليل على مسؤولية جنائية قائمة على مبادئ مسؤولية القيادة أو الرؤسا</w:t>
      </w:r>
      <w:r w:rsidR="00C472A0" w:rsidRPr="00C472A0">
        <w:rPr>
          <w:rFonts w:hint="cs"/>
          <w:b/>
          <w:bCs/>
          <w:rtl/>
        </w:rPr>
        <w:t>ء؛</w:t>
      </w:r>
    </w:p>
    <w:p w14:paraId="1A14F60A" w14:textId="2317747A" w:rsidR="00586DF9" w:rsidRPr="00C472A0" w:rsidRDefault="00586DF9" w:rsidP="00586DF9">
      <w:pPr>
        <w:pStyle w:val="SingleTxtGA"/>
        <w:rPr>
          <w:b/>
          <w:bCs/>
        </w:rPr>
      </w:pPr>
      <w:r w:rsidRPr="005F1D28">
        <w:rPr>
          <w:rtl/>
        </w:rPr>
        <w:tab/>
        <w:t>(ب)</w:t>
      </w:r>
      <w:r w:rsidRPr="005F1D28">
        <w:rPr>
          <w:rtl/>
        </w:rPr>
        <w:tab/>
      </w:r>
      <w:r w:rsidRPr="00C472A0">
        <w:rPr>
          <w:b/>
          <w:bCs/>
          <w:rtl/>
        </w:rPr>
        <w:t xml:space="preserve">استكمال التحقيقات في جميع ادعاءات جرائم الحرب وملاحقة مرتكبيها ومعاقبتهم بالعقوبات المناسبة التي تتناسب مع </w:t>
      </w:r>
      <w:r w:rsidRPr="00C472A0">
        <w:rPr>
          <w:rFonts w:hint="cs"/>
          <w:b/>
          <w:bCs/>
          <w:rtl/>
        </w:rPr>
        <w:t>فداحة</w:t>
      </w:r>
      <w:r w:rsidRPr="00C472A0">
        <w:rPr>
          <w:b/>
          <w:bCs/>
          <w:rtl/>
        </w:rPr>
        <w:t xml:space="preserve"> الجرائم</w:t>
      </w:r>
      <w:r w:rsidR="00C472A0" w:rsidRPr="00C472A0">
        <w:rPr>
          <w:rFonts w:hint="cs"/>
          <w:b/>
          <w:bCs/>
          <w:rtl/>
        </w:rPr>
        <w:t>؛</w:t>
      </w:r>
    </w:p>
    <w:p w14:paraId="312FA617" w14:textId="1D5E6C2A" w:rsidR="00586DF9" w:rsidRPr="00C472A0" w:rsidRDefault="00586DF9" w:rsidP="00586DF9">
      <w:pPr>
        <w:pStyle w:val="SingleTxtGA"/>
        <w:rPr>
          <w:b/>
          <w:bCs/>
        </w:rPr>
      </w:pPr>
      <w:r w:rsidRPr="005F1D28">
        <w:rPr>
          <w:rtl/>
        </w:rPr>
        <w:tab/>
        <w:t>(ج)</w:t>
      </w:r>
      <w:r w:rsidRPr="005F1D28">
        <w:rPr>
          <w:rtl/>
        </w:rPr>
        <w:tab/>
      </w:r>
      <w:r w:rsidRPr="00C472A0">
        <w:rPr>
          <w:b/>
          <w:bCs/>
          <w:rtl/>
        </w:rPr>
        <w:t>ضمان حصول جميع الضحايا</w:t>
      </w:r>
      <w:r w:rsidR="007F0913" w:rsidRPr="00C472A0">
        <w:rPr>
          <w:b/>
          <w:bCs/>
          <w:rtl/>
        </w:rPr>
        <w:t>،</w:t>
      </w:r>
      <w:r w:rsidRPr="00C472A0">
        <w:rPr>
          <w:b/>
          <w:bCs/>
          <w:rtl/>
        </w:rPr>
        <w:t xml:space="preserve"> بمن فيهم أفراد أسرهم</w:t>
      </w:r>
      <w:r w:rsidR="007F0913" w:rsidRPr="00C472A0">
        <w:rPr>
          <w:b/>
          <w:bCs/>
          <w:rtl/>
        </w:rPr>
        <w:t>،</w:t>
      </w:r>
      <w:r w:rsidRPr="00C472A0">
        <w:rPr>
          <w:b/>
          <w:bCs/>
          <w:rtl/>
        </w:rPr>
        <w:t xml:space="preserve"> على الإنصاف والتعويض القضائي و/أو الإداري عن معاناتهم</w:t>
      </w:r>
      <w:r w:rsidR="007F0913" w:rsidRPr="00C472A0">
        <w:rPr>
          <w:b/>
          <w:bCs/>
          <w:rtl/>
        </w:rPr>
        <w:t>،</w:t>
      </w:r>
      <w:r w:rsidRPr="00C472A0">
        <w:rPr>
          <w:b/>
          <w:bCs/>
          <w:rtl/>
        </w:rPr>
        <w:t xml:space="preserve"> تمشيا</w:t>
      </w:r>
      <w:r w:rsidR="006C5612" w:rsidRPr="00C472A0">
        <w:rPr>
          <w:rFonts w:hint="cs"/>
          <w:b/>
          <w:bCs/>
          <w:rtl/>
        </w:rPr>
        <w:t>ً</w:t>
      </w:r>
      <w:r w:rsidRPr="00C472A0">
        <w:rPr>
          <w:b/>
          <w:bCs/>
          <w:rtl/>
        </w:rPr>
        <w:t xml:space="preserve"> مع المادة 14 من الاتفاقية؛ </w:t>
      </w:r>
    </w:p>
    <w:p w14:paraId="0C038CA3" w14:textId="355F2297" w:rsidR="00586DF9" w:rsidRPr="00C472A0" w:rsidRDefault="00586DF9" w:rsidP="00586DF9">
      <w:pPr>
        <w:pStyle w:val="SingleTxtGA"/>
        <w:rPr>
          <w:b/>
          <w:bCs/>
        </w:rPr>
      </w:pPr>
      <w:r w:rsidRPr="005F1D28">
        <w:rPr>
          <w:rtl/>
        </w:rPr>
        <w:tab/>
        <w:t>(د)</w:t>
      </w:r>
      <w:r w:rsidRPr="005F1D28">
        <w:rPr>
          <w:rtl/>
        </w:rPr>
        <w:tab/>
      </w:r>
      <w:r w:rsidRPr="00C472A0">
        <w:rPr>
          <w:rFonts w:hint="cs"/>
          <w:b/>
          <w:bCs/>
          <w:rtl/>
        </w:rPr>
        <w:t>اطلاع</w:t>
      </w:r>
      <w:r w:rsidRPr="00C472A0">
        <w:rPr>
          <w:b/>
          <w:bCs/>
          <w:rtl/>
        </w:rPr>
        <w:t xml:space="preserve"> الجمهور بانتظام </w:t>
      </w:r>
      <w:r w:rsidRPr="00C472A0">
        <w:rPr>
          <w:rFonts w:hint="cs"/>
          <w:b/>
          <w:bCs/>
          <w:rtl/>
        </w:rPr>
        <w:t>وفعالية</w:t>
      </w:r>
      <w:r w:rsidRPr="00C472A0">
        <w:rPr>
          <w:b/>
          <w:bCs/>
          <w:rtl/>
        </w:rPr>
        <w:t xml:space="preserve"> </w:t>
      </w:r>
      <w:r w:rsidRPr="00C472A0">
        <w:rPr>
          <w:rFonts w:hint="cs"/>
          <w:b/>
          <w:bCs/>
          <w:rtl/>
        </w:rPr>
        <w:t>على ال</w:t>
      </w:r>
      <w:r w:rsidRPr="00C472A0">
        <w:rPr>
          <w:b/>
          <w:bCs/>
          <w:rtl/>
        </w:rPr>
        <w:t xml:space="preserve">قضايا </w:t>
      </w:r>
      <w:r w:rsidRPr="00C472A0">
        <w:rPr>
          <w:rFonts w:hint="cs"/>
          <w:b/>
          <w:bCs/>
          <w:rtl/>
        </w:rPr>
        <w:t>المتعلقة ب</w:t>
      </w:r>
      <w:r w:rsidRPr="00C472A0">
        <w:rPr>
          <w:b/>
          <w:bCs/>
          <w:rtl/>
        </w:rPr>
        <w:t>جرائم الحرب باعتبارها مسائل ذات أهمية ومصلحة عامة.</w:t>
      </w:r>
    </w:p>
    <w:p w14:paraId="7F36F93E" w14:textId="77777777" w:rsidR="00586DF9" w:rsidRPr="00C472A0" w:rsidRDefault="00586DF9" w:rsidP="00586DF9">
      <w:pPr>
        <w:pStyle w:val="H23GA"/>
      </w:pPr>
      <w:r w:rsidRPr="00C472A0">
        <w:rPr>
          <w:rtl/>
        </w:rPr>
        <w:tab/>
      </w:r>
      <w:r w:rsidRPr="00C472A0">
        <w:rPr>
          <w:rtl/>
        </w:rPr>
        <w:tab/>
      </w:r>
      <w:r w:rsidRPr="00C472A0">
        <w:rPr>
          <w:rFonts w:hint="cs"/>
          <w:rtl/>
        </w:rPr>
        <w:t>ال</w:t>
      </w:r>
      <w:r w:rsidRPr="00C472A0">
        <w:rPr>
          <w:rtl/>
        </w:rPr>
        <w:t>تدريب</w:t>
      </w:r>
    </w:p>
    <w:p w14:paraId="7B04A9EB" w14:textId="1F4B25D0" w:rsidR="00586DF9" w:rsidRPr="00611ED5" w:rsidRDefault="00586DF9" w:rsidP="00586DF9">
      <w:pPr>
        <w:pStyle w:val="SingleTxtGA"/>
        <w:rPr>
          <w:spacing w:val="-2"/>
        </w:rPr>
      </w:pPr>
      <w:r w:rsidRPr="00CA5F1C">
        <w:rPr>
          <w:spacing w:val="-2"/>
          <w:rtl/>
        </w:rPr>
        <w:t>24</w:t>
      </w:r>
      <w:r w:rsidRPr="00611ED5">
        <w:rPr>
          <w:spacing w:val="-2"/>
          <w:rtl/>
        </w:rPr>
        <w:t>-</w:t>
      </w:r>
      <w:r w:rsidRPr="00611ED5">
        <w:rPr>
          <w:spacing w:val="-2"/>
          <w:rtl/>
        </w:rPr>
        <w:tab/>
        <w:t xml:space="preserve">تعترف اللجنة بالجهود التي تبذلها الدولة الطرف لتطوير وتنفيذ </w:t>
      </w:r>
      <w:r w:rsidRPr="00611ED5">
        <w:rPr>
          <w:rFonts w:hint="cs"/>
          <w:spacing w:val="-2"/>
          <w:rtl/>
        </w:rPr>
        <w:t>ال</w:t>
      </w:r>
      <w:r w:rsidRPr="00611ED5">
        <w:rPr>
          <w:spacing w:val="-2"/>
          <w:rtl/>
        </w:rPr>
        <w:t>تدريب في مجال حقوق الإنسان للموظفين المكلفين بإنفاذ القوانين وغيرهم من الجهات الفاعلة ذات الصلة</w:t>
      </w:r>
      <w:r w:rsidR="007F0913" w:rsidRPr="00611ED5">
        <w:rPr>
          <w:spacing w:val="-2"/>
          <w:rtl/>
        </w:rPr>
        <w:t>،</w:t>
      </w:r>
      <w:r w:rsidRPr="00611ED5">
        <w:rPr>
          <w:spacing w:val="-2"/>
          <w:rtl/>
        </w:rPr>
        <w:t xml:space="preserve"> </w:t>
      </w:r>
      <w:r w:rsidRPr="00611ED5">
        <w:rPr>
          <w:rFonts w:hint="cs"/>
          <w:spacing w:val="-2"/>
          <w:rtl/>
        </w:rPr>
        <w:t>لكنها تعرب عن الأسف</w:t>
      </w:r>
      <w:r w:rsidRPr="00611ED5">
        <w:rPr>
          <w:spacing w:val="-2"/>
          <w:rtl/>
        </w:rPr>
        <w:t xml:space="preserve"> لعدم رصد وتقييم فعالية برامج التدريب في الحد من </w:t>
      </w:r>
      <w:r w:rsidRPr="00611ED5">
        <w:rPr>
          <w:rFonts w:hint="cs"/>
          <w:spacing w:val="-2"/>
          <w:rtl/>
        </w:rPr>
        <w:t>ممارسات</w:t>
      </w:r>
      <w:r w:rsidRPr="00611ED5">
        <w:rPr>
          <w:spacing w:val="-2"/>
          <w:rtl/>
        </w:rPr>
        <w:t xml:space="preserve"> التعذيب وسوء المعاملة (المادة </w:t>
      </w:r>
      <w:r w:rsidRPr="00CA5F1C">
        <w:rPr>
          <w:spacing w:val="-2"/>
          <w:rtl/>
        </w:rPr>
        <w:t>10</w:t>
      </w:r>
      <w:r w:rsidRPr="00611ED5">
        <w:rPr>
          <w:spacing w:val="-2"/>
          <w:rtl/>
        </w:rPr>
        <w:t>).</w:t>
      </w:r>
    </w:p>
    <w:p w14:paraId="7CF799DF" w14:textId="69BEB721" w:rsidR="00586DF9" w:rsidRPr="00C472A0" w:rsidRDefault="00586DF9" w:rsidP="00586DF9">
      <w:pPr>
        <w:pStyle w:val="SingleTxtGA"/>
        <w:rPr>
          <w:b/>
          <w:bCs/>
        </w:rPr>
      </w:pPr>
      <w:r w:rsidRPr="00CA5F1C">
        <w:rPr>
          <w:rtl/>
        </w:rPr>
        <w:t>25</w:t>
      </w:r>
      <w:r w:rsidRPr="005F1D28">
        <w:rPr>
          <w:rtl/>
        </w:rPr>
        <w:t>-</w:t>
      </w:r>
      <w:r w:rsidRPr="005F1D28">
        <w:rPr>
          <w:rtl/>
        </w:rPr>
        <w:tab/>
      </w:r>
      <w:r w:rsidRPr="00C472A0">
        <w:rPr>
          <w:b/>
          <w:bCs/>
          <w:rtl/>
        </w:rPr>
        <w:t xml:space="preserve">ينبغي للدولة الطرف </w:t>
      </w:r>
      <w:r w:rsidRPr="00C472A0">
        <w:rPr>
          <w:rFonts w:hint="cs"/>
          <w:b/>
          <w:bCs/>
          <w:rtl/>
        </w:rPr>
        <w:t>القيام</w:t>
      </w:r>
      <w:r w:rsidRPr="00C472A0">
        <w:rPr>
          <w:b/>
          <w:bCs/>
          <w:rtl/>
        </w:rPr>
        <w:t xml:space="preserve"> بما يلي:</w:t>
      </w:r>
    </w:p>
    <w:p w14:paraId="41D709CE" w14:textId="24FD988E" w:rsidR="00586DF9" w:rsidRPr="00C472A0" w:rsidRDefault="00586DF9" w:rsidP="00586DF9">
      <w:pPr>
        <w:pStyle w:val="SingleTxtGA"/>
        <w:rPr>
          <w:b/>
          <w:bCs/>
          <w:rtl/>
        </w:rPr>
      </w:pPr>
      <w:r w:rsidRPr="005F1D28">
        <w:rPr>
          <w:rtl/>
        </w:rPr>
        <w:tab/>
        <w:t>(أ)</w:t>
      </w:r>
      <w:r w:rsidRPr="005F1D28">
        <w:rPr>
          <w:rtl/>
        </w:rPr>
        <w:tab/>
      </w:r>
      <w:r w:rsidRPr="00C472A0">
        <w:rPr>
          <w:b/>
          <w:bCs/>
          <w:rtl/>
        </w:rPr>
        <w:t xml:space="preserve">مواصلة وضع برامج إلزامية للتدريب الأولي وأثناء الخدمة لضمان أن يكون جميع الموظفين المكلفين بإنفاذ القوانين وجميع الجهات الفاعلة الأخرى ذات الصلة العاملة في </w:t>
      </w:r>
      <w:r w:rsidRPr="00C472A0">
        <w:rPr>
          <w:rFonts w:hint="cs"/>
          <w:b/>
          <w:bCs/>
          <w:rtl/>
        </w:rPr>
        <w:t>مرافق سلب</w:t>
      </w:r>
      <w:r w:rsidRPr="00C472A0">
        <w:rPr>
          <w:b/>
          <w:bCs/>
          <w:rtl/>
        </w:rPr>
        <w:t xml:space="preserve"> الحرية على دراية جيدة بأحكام الاتفاقية</w:t>
      </w:r>
      <w:r w:rsidR="007F0913" w:rsidRPr="00C472A0">
        <w:rPr>
          <w:b/>
          <w:bCs/>
          <w:rtl/>
        </w:rPr>
        <w:t>،</w:t>
      </w:r>
      <w:r w:rsidRPr="00C472A0">
        <w:rPr>
          <w:b/>
          <w:bCs/>
          <w:rtl/>
        </w:rPr>
        <w:t xml:space="preserve"> ولا سيما الحظر المطلق للتعذيب</w:t>
      </w:r>
      <w:r w:rsidR="007F0913" w:rsidRPr="00C472A0">
        <w:rPr>
          <w:b/>
          <w:bCs/>
          <w:rtl/>
        </w:rPr>
        <w:t>،</w:t>
      </w:r>
      <w:r w:rsidRPr="00C472A0">
        <w:rPr>
          <w:b/>
          <w:bCs/>
          <w:rtl/>
        </w:rPr>
        <w:t xml:space="preserve"> وأنهم يدركون تماماً أن الانتهاكات التي تحدث ستواجه بصرامة وسيُحقَّق فيها ويلاحَق مرتكبوها أمام القضاء ويعاقَبون بما يتناسب مع الجرم المرتكب إذا ثبتت إدانتهم</w:t>
      </w:r>
      <w:r w:rsidRPr="00C472A0">
        <w:rPr>
          <w:rFonts w:hint="cs"/>
          <w:b/>
          <w:bCs/>
          <w:rtl/>
        </w:rPr>
        <w:t>؛</w:t>
      </w:r>
    </w:p>
    <w:p w14:paraId="719FFF2C" w14:textId="2E9337C3" w:rsidR="00586DF9" w:rsidRPr="00C472A0" w:rsidRDefault="00586DF9" w:rsidP="00586DF9">
      <w:pPr>
        <w:pStyle w:val="SingleTxtGA"/>
        <w:rPr>
          <w:b/>
          <w:bCs/>
        </w:rPr>
      </w:pPr>
      <w:r w:rsidRPr="005F1D28">
        <w:rPr>
          <w:rtl/>
        </w:rPr>
        <w:tab/>
        <w:t>(ب)</w:t>
      </w:r>
      <w:r w:rsidRPr="005F1D28">
        <w:rPr>
          <w:rtl/>
        </w:rPr>
        <w:tab/>
      </w:r>
      <w:r w:rsidRPr="00C472A0">
        <w:rPr>
          <w:b/>
          <w:bCs/>
          <w:rtl/>
        </w:rPr>
        <w:t>ضمان خضوع جميع موظفي إنفاذ القانون والقضاة والمدعين العامين لدورات تدريبية إلزامية تُبرز العلاقة بين أساليب الاستجواب التي لا تقوم على الإكراه وحظر التعذيب وسوء المعاملة</w:t>
      </w:r>
      <w:r w:rsidR="007F0913" w:rsidRPr="00C472A0">
        <w:rPr>
          <w:b/>
          <w:bCs/>
          <w:rtl/>
        </w:rPr>
        <w:t>،</w:t>
      </w:r>
      <w:r w:rsidRPr="00C472A0">
        <w:rPr>
          <w:b/>
          <w:bCs/>
          <w:rtl/>
        </w:rPr>
        <w:t xml:space="preserve"> وضمان التزام السلطة القضائية برفض الاعترافات المنتزعة تحت التعذيب؛</w:t>
      </w:r>
    </w:p>
    <w:p w14:paraId="220D24EF" w14:textId="092E42FE" w:rsidR="00586DF9" w:rsidRPr="00C472A0" w:rsidRDefault="00586DF9" w:rsidP="00586DF9">
      <w:pPr>
        <w:pStyle w:val="SingleTxtGA"/>
        <w:rPr>
          <w:b/>
          <w:bCs/>
          <w:rtl/>
        </w:rPr>
      </w:pPr>
      <w:r w:rsidRPr="005F1D28">
        <w:rPr>
          <w:rtl/>
        </w:rPr>
        <w:tab/>
        <w:t>(ج)</w:t>
      </w:r>
      <w:r w:rsidRPr="005F1D28">
        <w:rPr>
          <w:rtl/>
        </w:rPr>
        <w:tab/>
      </w:r>
      <w:r w:rsidRPr="00C472A0">
        <w:rPr>
          <w:b/>
          <w:bCs/>
          <w:rtl/>
        </w:rPr>
        <w:t xml:space="preserve"> توفير تدريب شامل على دليل التقصي والتوثيق الفعالين للتعذيب وغيره من ضروب المعاملة أو العقوبة القاسية أو اللاإنسانية أو المهينة (بروتوكول اسطنبول) للموظفين الطبيين العاملين في جميع أماكن الاحتجا</w:t>
      </w:r>
      <w:r w:rsidRPr="00C472A0">
        <w:rPr>
          <w:rFonts w:hint="cs"/>
          <w:b/>
          <w:bCs/>
          <w:rtl/>
        </w:rPr>
        <w:t>ز</w:t>
      </w:r>
      <w:r w:rsidRPr="00C472A0">
        <w:rPr>
          <w:b/>
          <w:bCs/>
          <w:rtl/>
        </w:rPr>
        <w:t>؛</w:t>
      </w:r>
    </w:p>
    <w:p w14:paraId="6D4EB8AB" w14:textId="7EDD0574" w:rsidR="00586DF9" w:rsidRPr="00C472A0" w:rsidRDefault="00586DF9" w:rsidP="00586DF9">
      <w:pPr>
        <w:pStyle w:val="SingleTxtGA"/>
        <w:rPr>
          <w:b/>
          <w:bCs/>
        </w:rPr>
      </w:pPr>
      <w:r w:rsidRPr="005F1D28">
        <w:rPr>
          <w:rtl/>
        </w:rPr>
        <w:tab/>
        <w:t>(د)</w:t>
      </w:r>
      <w:r w:rsidRPr="005F1D28">
        <w:rPr>
          <w:rtl/>
        </w:rPr>
        <w:tab/>
      </w:r>
      <w:r w:rsidRPr="00C472A0">
        <w:rPr>
          <w:b/>
          <w:bCs/>
          <w:rtl/>
        </w:rPr>
        <w:t>وضع منهجية لتقييم فعالية برامج التدريب في مجال منع التعذيب وسوء المعاملة وضمان تحديد هذه الأفعال وتوثيقها والتحقيق فيها</w:t>
      </w:r>
      <w:r w:rsidR="007F0913" w:rsidRPr="00C472A0">
        <w:rPr>
          <w:b/>
          <w:bCs/>
          <w:rtl/>
        </w:rPr>
        <w:t>،</w:t>
      </w:r>
      <w:r w:rsidRPr="00C472A0">
        <w:rPr>
          <w:b/>
          <w:bCs/>
          <w:rtl/>
        </w:rPr>
        <w:t xml:space="preserve"> فضلا</w:t>
      </w:r>
      <w:r w:rsidR="006C5612" w:rsidRPr="00C472A0">
        <w:rPr>
          <w:rFonts w:hint="cs"/>
          <w:b/>
          <w:bCs/>
          <w:rtl/>
        </w:rPr>
        <w:t>ً</w:t>
      </w:r>
      <w:r w:rsidRPr="00C472A0">
        <w:rPr>
          <w:b/>
          <w:bCs/>
          <w:rtl/>
        </w:rPr>
        <w:t xml:space="preserve"> عن مقاضاة المسؤولين عنها.</w:t>
      </w:r>
    </w:p>
    <w:p w14:paraId="000F5BC8" w14:textId="77777777" w:rsidR="00586DF9" w:rsidRPr="00C472A0" w:rsidRDefault="00586DF9" w:rsidP="00586DF9">
      <w:pPr>
        <w:pStyle w:val="H23GA"/>
      </w:pPr>
      <w:r w:rsidRPr="00C472A0">
        <w:rPr>
          <w:rtl/>
        </w:rPr>
        <w:tab/>
      </w:r>
      <w:r w:rsidRPr="00C472A0">
        <w:rPr>
          <w:rtl/>
        </w:rPr>
        <w:tab/>
        <w:t xml:space="preserve">الاعتداءات على الصحفيين </w:t>
      </w:r>
    </w:p>
    <w:p w14:paraId="6840AB3F" w14:textId="28A507BE" w:rsidR="00586DF9" w:rsidRPr="00586DF9" w:rsidRDefault="00586DF9" w:rsidP="00586DF9">
      <w:pPr>
        <w:pStyle w:val="SingleTxtGA"/>
      </w:pPr>
      <w:r w:rsidRPr="00CA5F1C">
        <w:rPr>
          <w:rtl/>
        </w:rPr>
        <w:t>26</w:t>
      </w:r>
      <w:r w:rsidRPr="005F1D28">
        <w:rPr>
          <w:rtl/>
        </w:rPr>
        <w:t>-</w:t>
      </w:r>
      <w:r w:rsidRPr="005F1D28">
        <w:rPr>
          <w:rtl/>
        </w:rPr>
        <w:tab/>
      </w:r>
      <w:r w:rsidRPr="00586DF9">
        <w:rPr>
          <w:rtl/>
        </w:rPr>
        <w:t xml:space="preserve">يساور اللجنة قلق بالغ إزاء استمرار ورود تقارير عن </w:t>
      </w:r>
      <w:r w:rsidRPr="00586DF9">
        <w:rPr>
          <w:rFonts w:hint="cs"/>
          <w:rtl/>
        </w:rPr>
        <w:t>ترهيب</w:t>
      </w:r>
      <w:r w:rsidRPr="00586DF9">
        <w:rPr>
          <w:rtl/>
        </w:rPr>
        <w:t xml:space="preserve"> الصحفيين والاعتداء عليهم بدنيا. </w:t>
      </w:r>
      <w:r w:rsidRPr="00586DF9">
        <w:rPr>
          <w:rFonts w:hint="cs"/>
          <w:rtl/>
        </w:rPr>
        <w:t xml:space="preserve">وتعرب اللجنة عن </w:t>
      </w:r>
      <w:r w:rsidRPr="00586DF9">
        <w:rPr>
          <w:rtl/>
        </w:rPr>
        <w:t>تقد</w:t>
      </w:r>
      <w:r w:rsidRPr="00586DF9">
        <w:rPr>
          <w:rFonts w:hint="cs"/>
          <w:rtl/>
        </w:rPr>
        <w:t>ي</w:t>
      </w:r>
      <w:r w:rsidRPr="00586DF9">
        <w:rPr>
          <w:rtl/>
        </w:rPr>
        <w:t>ر</w:t>
      </w:r>
      <w:r w:rsidRPr="00586DF9">
        <w:rPr>
          <w:rFonts w:hint="cs"/>
          <w:rtl/>
        </w:rPr>
        <w:t>ها</w:t>
      </w:r>
      <w:r w:rsidRPr="00586DF9">
        <w:rPr>
          <w:rtl/>
        </w:rPr>
        <w:t xml:space="preserve"> </w:t>
      </w:r>
      <w:r w:rsidRPr="00586DF9">
        <w:rPr>
          <w:rFonts w:hint="cs"/>
          <w:rtl/>
        </w:rPr>
        <w:t>ل</w:t>
      </w:r>
      <w:r w:rsidRPr="00586DF9">
        <w:rPr>
          <w:rtl/>
        </w:rPr>
        <w:t>لجهود التي تبذلها الدولة الطرف لمعالجة هذه المسألة</w:t>
      </w:r>
      <w:r w:rsidR="007F0913">
        <w:rPr>
          <w:rtl/>
        </w:rPr>
        <w:t>،</w:t>
      </w:r>
      <w:r w:rsidRPr="00586DF9">
        <w:rPr>
          <w:rtl/>
        </w:rPr>
        <w:t xml:space="preserve"> مثل اعتماد تعديلات </w:t>
      </w:r>
      <w:r w:rsidRPr="00586DF9">
        <w:rPr>
          <w:rtl/>
        </w:rPr>
        <w:lastRenderedPageBreak/>
        <w:t>على القانون الجنائي مؤخرا</w:t>
      </w:r>
      <w:r w:rsidR="006C5612">
        <w:rPr>
          <w:rFonts w:hint="cs"/>
          <w:rtl/>
        </w:rPr>
        <w:t>ً</w:t>
      </w:r>
      <w:r w:rsidRPr="00586DF9">
        <w:rPr>
          <w:rtl/>
        </w:rPr>
        <w:t xml:space="preserve"> تنص على توفير حماية أ</w:t>
      </w:r>
      <w:r w:rsidRPr="00586DF9">
        <w:rPr>
          <w:rFonts w:hint="cs"/>
          <w:rtl/>
        </w:rPr>
        <w:t xml:space="preserve">كبر </w:t>
      </w:r>
      <w:r w:rsidRPr="00586DF9">
        <w:rPr>
          <w:rtl/>
        </w:rPr>
        <w:t>للصحفيين</w:t>
      </w:r>
      <w:r w:rsidR="007F0913">
        <w:rPr>
          <w:rtl/>
        </w:rPr>
        <w:t>،</w:t>
      </w:r>
      <w:r w:rsidRPr="00586DF9">
        <w:rPr>
          <w:rtl/>
        </w:rPr>
        <w:t xml:space="preserve"> </w:t>
      </w:r>
      <w:r w:rsidRPr="00586DF9">
        <w:rPr>
          <w:rFonts w:hint="cs"/>
          <w:rtl/>
        </w:rPr>
        <w:t>لكن</w:t>
      </w:r>
      <w:r w:rsidRPr="00586DF9">
        <w:rPr>
          <w:rtl/>
        </w:rPr>
        <w:t>ها لا تزال تشعر بالقلق</w:t>
      </w:r>
      <w:r w:rsidRPr="00586DF9">
        <w:rPr>
          <w:rFonts w:hint="cs"/>
          <w:rtl/>
        </w:rPr>
        <w:t xml:space="preserve"> بهذا الشأن</w:t>
      </w:r>
      <w:r w:rsidRPr="00586DF9">
        <w:rPr>
          <w:rtl/>
        </w:rPr>
        <w:t>. وعلاوة على ذلك</w:t>
      </w:r>
      <w:r w:rsidR="007F0913">
        <w:rPr>
          <w:rtl/>
        </w:rPr>
        <w:t>،</w:t>
      </w:r>
      <w:r w:rsidRPr="00586DF9">
        <w:rPr>
          <w:rtl/>
        </w:rPr>
        <w:t xml:space="preserve"> ت</w:t>
      </w:r>
      <w:r w:rsidRPr="00586DF9">
        <w:rPr>
          <w:rFonts w:hint="cs"/>
          <w:rtl/>
        </w:rPr>
        <w:t xml:space="preserve">عرب عن أسفها </w:t>
      </w:r>
      <w:r w:rsidRPr="00586DF9">
        <w:rPr>
          <w:rtl/>
        </w:rPr>
        <w:t xml:space="preserve">لاستمرار عدم تقديم المسؤولين عن مقتل الصحفي </w:t>
      </w:r>
      <w:proofErr w:type="spellStart"/>
      <w:r w:rsidRPr="00586DF9">
        <w:rPr>
          <w:rtl/>
        </w:rPr>
        <w:t>دوشكو</w:t>
      </w:r>
      <w:proofErr w:type="spellEnd"/>
      <w:r w:rsidRPr="00586DF9">
        <w:rPr>
          <w:rtl/>
        </w:rPr>
        <w:t xml:space="preserve"> </w:t>
      </w:r>
      <w:proofErr w:type="spellStart"/>
      <w:r w:rsidRPr="00586DF9">
        <w:rPr>
          <w:rtl/>
        </w:rPr>
        <w:t>يوفانوفيتش</w:t>
      </w:r>
      <w:proofErr w:type="spellEnd"/>
      <w:r w:rsidRPr="00586DF9">
        <w:rPr>
          <w:rtl/>
        </w:rPr>
        <w:t xml:space="preserve"> إلى العدالة في عام </w:t>
      </w:r>
      <w:r w:rsidRPr="00CA5F1C">
        <w:rPr>
          <w:rtl/>
        </w:rPr>
        <w:t>2004</w:t>
      </w:r>
      <w:r w:rsidR="007F0913">
        <w:rPr>
          <w:rtl/>
        </w:rPr>
        <w:t>،</w:t>
      </w:r>
      <w:r w:rsidRPr="00586DF9">
        <w:rPr>
          <w:rtl/>
        </w:rPr>
        <w:t xml:space="preserve"> أو </w:t>
      </w:r>
      <w:r w:rsidRPr="00586DF9">
        <w:rPr>
          <w:rFonts w:hint="cs"/>
          <w:rtl/>
        </w:rPr>
        <w:t>إكمال</w:t>
      </w:r>
      <w:r w:rsidRPr="00586DF9">
        <w:rPr>
          <w:rtl/>
        </w:rPr>
        <w:t xml:space="preserve"> التحقيق في الهجوم الوحشي على الصحفي</w:t>
      </w:r>
      <w:r w:rsidRPr="00586DF9">
        <w:rPr>
          <w:rFonts w:hint="cs"/>
          <w:rtl/>
        </w:rPr>
        <w:t>ة</w:t>
      </w:r>
      <w:r w:rsidRPr="00586DF9">
        <w:rPr>
          <w:rtl/>
        </w:rPr>
        <w:t xml:space="preserve"> الاستقصائي</w:t>
      </w:r>
      <w:r w:rsidRPr="00586DF9">
        <w:rPr>
          <w:rFonts w:hint="cs"/>
          <w:rtl/>
        </w:rPr>
        <w:t>ة</w:t>
      </w:r>
      <w:r w:rsidRPr="00586DF9">
        <w:rPr>
          <w:rtl/>
        </w:rPr>
        <w:t xml:space="preserve"> أوليفيرا </w:t>
      </w:r>
      <w:proofErr w:type="spellStart"/>
      <w:r w:rsidRPr="00586DF9">
        <w:rPr>
          <w:rtl/>
        </w:rPr>
        <w:t>لاكيتش</w:t>
      </w:r>
      <w:proofErr w:type="spellEnd"/>
      <w:r w:rsidRPr="00586DF9">
        <w:rPr>
          <w:rtl/>
        </w:rPr>
        <w:t xml:space="preserve"> في أيار/مايو </w:t>
      </w:r>
      <w:r w:rsidRPr="00CA5F1C">
        <w:rPr>
          <w:rtl/>
        </w:rPr>
        <w:t>2018</w:t>
      </w:r>
      <w:r w:rsidRPr="00586DF9">
        <w:rPr>
          <w:rtl/>
        </w:rPr>
        <w:t xml:space="preserve">. ويساور اللجنة القلق كذلك إزاء التقارير التي تفيد بأن بعض أعضاء لجنة رصد التحقيقات في الاعتداءات على الصحفيين </w:t>
      </w:r>
      <w:r w:rsidRPr="00586DF9">
        <w:rPr>
          <w:rFonts w:hint="cs"/>
          <w:rtl/>
        </w:rPr>
        <w:t>لم يحصلوا على</w:t>
      </w:r>
      <w:r w:rsidRPr="00586DF9">
        <w:rPr>
          <w:rtl/>
        </w:rPr>
        <w:t xml:space="preserve"> التراخيص اللازمة التي ت</w:t>
      </w:r>
      <w:r w:rsidRPr="00586DF9">
        <w:rPr>
          <w:rFonts w:hint="cs"/>
          <w:rtl/>
        </w:rPr>
        <w:t xml:space="preserve">مكنهم من </w:t>
      </w:r>
      <w:r w:rsidRPr="00586DF9">
        <w:rPr>
          <w:rtl/>
        </w:rPr>
        <w:t>الاطلاع على المعلومات السرية</w:t>
      </w:r>
      <w:r w:rsidR="007F0913">
        <w:rPr>
          <w:rtl/>
        </w:rPr>
        <w:t>،</w:t>
      </w:r>
      <w:r w:rsidRPr="00586DF9">
        <w:rPr>
          <w:rtl/>
        </w:rPr>
        <w:t xml:space="preserve"> مما يعوق عمل هذه الهيئة (المواد </w:t>
      </w:r>
      <w:r w:rsidRPr="00CA5F1C">
        <w:rPr>
          <w:rtl/>
        </w:rPr>
        <w:t>2</w:t>
      </w:r>
      <w:r w:rsidRPr="00586DF9">
        <w:rPr>
          <w:rtl/>
        </w:rPr>
        <w:t xml:space="preserve"> و</w:t>
      </w:r>
      <w:r w:rsidRPr="00CA5F1C">
        <w:rPr>
          <w:rtl/>
        </w:rPr>
        <w:t>12</w:t>
      </w:r>
      <w:r w:rsidRPr="00586DF9">
        <w:rPr>
          <w:rtl/>
        </w:rPr>
        <w:t>-</w:t>
      </w:r>
      <w:r w:rsidRPr="00CA5F1C">
        <w:rPr>
          <w:rtl/>
        </w:rPr>
        <w:t>13</w:t>
      </w:r>
      <w:r w:rsidRPr="00586DF9">
        <w:rPr>
          <w:rtl/>
        </w:rPr>
        <w:t xml:space="preserve"> و</w:t>
      </w:r>
      <w:r w:rsidRPr="00CA5F1C">
        <w:rPr>
          <w:rtl/>
        </w:rPr>
        <w:t>16</w:t>
      </w:r>
      <w:r w:rsidRPr="00586DF9">
        <w:rPr>
          <w:rtl/>
        </w:rPr>
        <w:t xml:space="preserve">). </w:t>
      </w:r>
    </w:p>
    <w:p w14:paraId="13F67472" w14:textId="14520B63" w:rsidR="00586DF9" w:rsidRPr="00C472A0" w:rsidRDefault="00586DF9" w:rsidP="00586DF9">
      <w:pPr>
        <w:pStyle w:val="SingleTxtGA"/>
        <w:rPr>
          <w:b/>
          <w:bCs/>
        </w:rPr>
      </w:pPr>
      <w:r w:rsidRPr="00CA5F1C">
        <w:rPr>
          <w:rtl/>
        </w:rPr>
        <w:t>27</w:t>
      </w:r>
      <w:r w:rsidRPr="005F1D28">
        <w:rPr>
          <w:rtl/>
        </w:rPr>
        <w:t>-</w:t>
      </w:r>
      <w:r w:rsidRPr="005F1D28">
        <w:rPr>
          <w:rtl/>
        </w:rPr>
        <w:tab/>
      </w:r>
      <w:r w:rsidRPr="00C472A0">
        <w:rPr>
          <w:b/>
          <w:bCs/>
          <w:rtl/>
        </w:rPr>
        <w:t xml:space="preserve">تدعو اللجنة الدولة الطرف إلى </w:t>
      </w:r>
      <w:r w:rsidRPr="00C472A0">
        <w:rPr>
          <w:rFonts w:hint="cs"/>
          <w:b/>
          <w:bCs/>
          <w:rtl/>
        </w:rPr>
        <w:t>القيام ب</w:t>
      </w:r>
      <w:r w:rsidRPr="00C472A0">
        <w:rPr>
          <w:b/>
          <w:bCs/>
          <w:rtl/>
        </w:rPr>
        <w:t>ما يلي:</w:t>
      </w:r>
    </w:p>
    <w:p w14:paraId="70DDF162" w14:textId="62174A87" w:rsidR="00586DF9" w:rsidRPr="00C472A0" w:rsidRDefault="00586DF9" w:rsidP="00586DF9">
      <w:pPr>
        <w:pStyle w:val="SingleTxtGA"/>
        <w:rPr>
          <w:b/>
          <w:bCs/>
        </w:rPr>
      </w:pPr>
      <w:r w:rsidRPr="005F1D28">
        <w:rPr>
          <w:rtl/>
        </w:rPr>
        <w:tab/>
        <w:t>(أ)</w:t>
      </w:r>
      <w:r w:rsidRPr="005F1D28">
        <w:rPr>
          <w:rtl/>
        </w:rPr>
        <w:tab/>
      </w:r>
      <w:r w:rsidRPr="00C472A0">
        <w:rPr>
          <w:b/>
          <w:bCs/>
          <w:rtl/>
        </w:rPr>
        <w:t>ضمان حماية الصحفيين من التهديدات والترهيب</w:t>
      </w:r>
      <w:r w:rsidR="007F0913" w:rsidRPr="00C472A0">
        <w:rPr>
          <w:b/>
          <w:bCs/>
          <w:rtl/>
        </w:rPr>
        <w:t>،</w:t>
      </w:r>
      <w:r w:rsidRPr="00C472A0">
        <w:rPr>
          <w:b/>
          <w:bCs/>
          <w:rtl/>
        </w:rPr>
        <w:t xml:space="preserve"> واتخاذ التدابير اللازمة لمنع مثل هذه الأعمال في المستقبل</w:t>
      </w:r>
      <w:r w:rsidR="007F0913" w:rsidRPr="00C472A0">
        <w:rPr>
          <w:b/>
          <w:bCs/>
          <w:rtl/>
        </w:rPr>
        <w:t>،</w:t>
      </w:r>
      <w:r w:rsidRPr="00C472A0">
        <w:rPr>
          <w:b/>
          <w:bCs/>
          <w:rtl/>
        </w:rPr>
        <w:t xml:space="preserve"> بما في ذلك عن طريق إنشاء آلية وطنية </w:t>
      </w:r>
      <w:r w:rsidRPr="00C472A0">
        <w:rPr>
          <w:rFonts w:hint="cs"/>
          <w:b/>
          <w:bCs/>
          <w:rtl/>
        </w:rPr>
        <w:t>معنية ب</w:t>
      </w:r>
      <w:r w:rsidRPr="00C472A0">
        <w:rPr>
          <w:b/>
          <w:bCs/>
          <w:rtl/>
        </w:rPr>
        <w:t>سلامة الصحفيين</w:t>
      </w:r>
      <w:r w:rsidR="007F0913" w:rsidRPr="00C472A0">
        <w:rPr>
          <w:b/>
          <w:bCs/>
          <w:rtl/>
        </w:rPr>
        <w:t>،</w:t>
      </w:r>
      <w:r w:rsidRPr="00C472A0">
        <w:rPr>
          <w:b/>
          <w:bCs/>
          <w:rtl/>
        </w:rPr>
        <w:t xml:space="preserve"> بالتنسيق مع اللجنة الحالية المسؤولة عن رصد التحقيقات في الاعتداءات على الصحفيين؛</w:t>
      </w:r>
    </w:p>
    <w:p w14:paraId="0D8230BE" w14:textId="4D943110" w:rsidR="00586DF9" w:rsidRPr="00C472A0" w:rsidRDefault="00586DF9" w:rsidP="00586DF9">
      <w:pPr>
        <w:pStyle w:val="SingleTxtGA"/>
        <w:rPr>
          <w:b/>
          <w:bCs/>
        </w:rPr>
      </w:pPr>
      <w:r w:rsidRPr="005F1D28">
        <w:rPr>
          <w:rtl/>
        </w:rPr>
        <w:tab/>
        <w:t>(ب)</w:t>
      </w:r>
      <w:r w:rsidRPr="005F1D28">
        <w:rPr>
          <w:rtl/>
        </w:rPr>
        <w:tab/>
      </w:r>
      <w:r w:rsidRPr="00C472A0">
        <w:rPr>
          <w:b/>
          <w:bCs/>
          <w:rtl/>
        </w:rPr>
        <w:t>تكثيف التحقيقات في قضايا الاعتداء</w:t>
      </w:r>
      <w:r w:rsidRPr="00C472A0">
        <w:rPr>
          <w:rFonts w:hint="cs"/>
          <w:b/>
          <w:bCs/>
          <w:rtl/>
        </w:rPr>
        <w:t>ات</w:t>
      </w:r>
      <w:r w:rsidRPr="00C472A0">
        <w:rPr>
          <w:b/>
          <w:bCs/>
          <w:rtl/>
        </w:rPr>
        <w:t xml:space="preserve"> الحالية والقديمة على الصحفيين</w:t>
      </w:r>
      <w:r w:rsidR="007F0913" w:rsidRPr="00C472A0">
        <w:rPr>
          <w:b/>
          <w:bCs/>
          <w:rtl/>
        </w:rPr>
        <w:t>،</w:t>
      </w:r>
      <w:r w:rsidRPr="00C472A0">
        <w:rPr>
          <w:b/>
          <w:bCs/>
          <w:rtl/>
        </w:rPr>
        <w:t xml:space="preserve"> وضمان تقديم الجناة إلى العدالة؛</w:t>
      </w:r>
    </w:p>
    <w:p w14:paraId="5694B17A" w14:textId="14602B08" w:rsidR="00586DF9" w:rsidRPr="00C472A0" w:rsidRDefault="00586DF9" w:rsidP="00586DF9">
      <w:pPr>
        <w:pStyle w:val="SingleTxtGA"/>
        <w:rPr>
          <w:b/>
          <w:bCs/>
        </w:rPr>
      </w:pPr>
      <w:r w:rsidRPr="005F1D28">
        <w:rPr>
          <w:rtl/>
        </w:rPr>
        <w:tab/>
        <w:t>(ج)</w:t>
      </w:r>
      <w:r w:rsidRPr="005F1D28">
        <w:rPr>
          <w:rtl/>
        </w:rPr>
        <w:tab/>
      </w:r>
      <w:r w:rsidRPr="00C472A0">
        <w:rPr>
          <w:b/>
          <w:bCs/>
          <w:rtl/>
        </w:rPr>
        <w:t>تمكين جميع أعضاء لجنة مراقبة التحقيقات في الاعتداءات على الصحفيين من الوصول إلى المعلومات السرية</w:t>
      </w:r>
      <w:r w:rsidR="007F0913" w:rsidRPr="00C472A0">
        <w:rPr>
          <w:b/>
          <w:bCs/>
          <w:rtl/>
        </w:rPr>
        <w:t>،</w:t>
      </w:r>
      <w:r w:rsidRPr="00C472A0">
        <w:rPr>
          <w:b/>
          <w:bCs/>
          <w:rtl/>
        </w:rPr>
        <w:t xml:space="preserve"> دون تأخير؛</w:t>
      </w:r>
    </w:p>
    <w:p w14:paraId="216987F6" w14:textId="3975D8C2" w:rsidR="00586DF9" w:rsidRPr="00C472A0" w:rsidRDefault="00586DF9" w:rsidP="00586DF9">
      <w:pPr>
        <w:pStyle w:val="SingleTxtGA"/>
        <w:rPr>
          <w:b/>
          <w:bCs/>
        </w:rPr>
      </w:pPr>
      <w:r w:rsidRPr="005F1D28">
        <w:rPr>
          <w:rtl/>
        </w:rPr>
        <w:tab/>
        <w:t>(د)</w:t>
      </w:r>
      <w:r w:rsidRPr="005F1D28">
        <w:rPr>
          <w:rtl/>
        </w:rPr>
        <w:tab/>
      </w:r>
      <w:r w:rsidRPr="00C472A0">
        <w:rPr>
          <w:b/>
          <w:bCs/>
          <w:rtl/>
        </w:rPr>
        <w:t>إجراء تقييم لفعالية استراتيجيتها لتحسين سلامة الصحفيين.</w:t>
      </w:r>
    </w:p>
    <w:p w14:paraId="6891BEC2" w14:textId="15028177" w:rsidR="00586DF9" w:rsidRPr="00C472A0" w:rsidRDefault="00586DF9" w:rsidP="00586DF9">
      <w:pPr>
        <w:pStyle w:val="H23GA"/>
      </w:pPr>
      <w:r w:rsidRPr="00C472A0">
        <w:rPr>
          <w:rtl/>
        </w:rPr>
        <w:tab/>
      </w:r>
      <w:r w:rsidRPr="00C472A0">
        <w:rPr>
          <w:rtl/>
        </w:rPr>
        <w:tab/>
        <w:t>العنف الجنس</w:t>
      </w:r>
      <w:r w:rsidRPr="00C472A0">
        <w:rPr>
          <w:rFonts w:hint="cs"/>
          <w:rtl/>
        </w:rPr>
        <w:t>اني</w:t>
      </w:r>
      <w:r w:rsidR="007F0913" w:rsidRPr="00C472A0">
        <w:rPr>
          <w:rtl/>
        </w:rPr>
        <w:t>،</w:t>
      </w:r>
      <w:r w:rsidRPr="00C472A0">
        <w:rPr>
          <w:rtl/>
        </w:rPr>
        <w:t xml:space="preserve"> بما في ذلك العنف ال</w:t>
      </w:r>
      <w:r w:rsidRPr="00C472A0">
        <w:rPr>
          <w:rFonts w:hint="cs"/>
          <w:rtl/>
        </w:rPr>
        <w:t xml:space="preserve">أسري </w:t>
      </w:r>
    </w:p>
    <w:p w14:paraId="3A5002E0" w14:textId="06810BC3" w:rsidR="00586DF9" w:rsidRPr="00586DF9" w:rsidRDefault="00586DF9" w:rsidP="00586DF9">
      <w:pPr>
        <w:pStyle w:val="SingleTxtGA"/>
      </w:pPr>
      <w:r w:rsidRPr="00CA5F1C">
        <w:rPr>
          <w:rtl/>
        </w:rPr>
        <w:t>28</w:t>
      </w:r>
      <w:r w:rsidRPr="005F1D28">
        <w:rPr>
          <w:rtl/>
        </w:rPr>
        <w:t>-</w:t>
      </w:r>
      <w:r w:rsidRPr="005F1D28">
        <w:rPr>
          <w:rtl/>
        </w:rPr>
        <w:tab/>
      </w:r>
      <w:r w:rsidRPr="00586DF9">
        <w:rPr>
          <w:rtl/>
        </w:rPr>
        <w:t xml:space="preserve">يساور اللجنة القلق إزاء التقارير المتعلقة بانتشار العنف </w:t>
      </w:r>
      <w:r w:rsidRPr="00586DF9">
        <w:rPr>
          <w:rFonts w:hint="cs"/>
          <w:rtl/>
        </w:rPr>
        <w:t>الأسري</w:t>
      </w:r>
      <w:r w:rsidRPr="00586DF9">
        <w:rPr>
          <w:rtl/>
        </w:rPr>
        <w:t xml:space="preserve"> في الجبل الأسود</w:t>
      </w:r>
      <w:r w:rsidR="007F0913">
        <w:rPr>
          <w:rtl/>
        </w:rPr>
        <w:t>،</w:t>
      </w:r>
      <w:r w:rsidRPr="00586DF9">
        <w:rPr>
          <w:rtl/>
        </w:rPr>
        <w:t xml:space="preserve"> وانخفاض مستوى الملاحقة القضائية وإصدار أحكام </w:t>
      </w:r>
      <w:r w:rsidRPr="00586DF9">
        <w:rPr>
          <w:rFonts w:hint="cs"/>
          <w:rtl/>
        </w:rPr>
        <w:t xml:space="preserve">مخففة </w:t>
      </w:r>
      <w:r w:rsidRPr="00586DF9">
        <w:rPr>
          <w:rtl/>
        </w:rPr>
        <w:t>على مرتكبي هذا العنف وغيره من أشكال العنف ال</w:t>
      </w:r>
      <w:r w:rsidRPr="00586DF9">
        <w:rPr>
          <w:rFonts w:hint="cs"/>
          <w:rtl/>
        </w:rPr>
        <w:t>جنساني</w:t>
      </w:r>
      <w:r w:rsidRPr="00586DF9">
        <w:rPr>
          <w:rtl/>
        </w:rPr>
        <w:t>. وفي هذا الصدد</w:t>
      </w:r>
      <w:r w:rsidR="007F0913">
        <w:rPr>
          <w:rtl/>
        </w:rPr>
        <w:t>،</w:t>
      </w:r>
      <w:r w:rsidRPr="00586DF9">
        <w:rPr>
          <w:rtl/>
        </w:rPr>
        <w:t xml:space="preserve"> تسلم اللجنة بالجهود التي تبذلها الدولة الطرف لتجريم العنف ال</w:t>
      </w:r>
      <w:r w:rsidRPr="00586DF9">
        <w:rPr>
          <w:rFonts w:hint="cs"/>
          <w:rtl/>
        </w:rPr>
        <w:t>جنساني بموجب</w:t>
      </w:r>
      <w:r w:rsidRPr="00586DF9">
        <w:rPr>
          <w:rtl/>
        </w:rPr>
        <w:t xml:space="preserve"> قانونها الجنائي</w:t>
      </w:r>
      <w:r w:rsidR="007F0913">
        <w:rPr>
          <w:rtl/>
        </w:rPr>
        <w:t>،</w:t>
      </w:r>
      <w:r w:rsidRPr="00586DF9">
        <w:rPr>
          <w:rtl/>
        </w:rPr>
        <w:t xml:space="preserve"> وترحب بعدد من المبادرات الأخيرة أو المزمع اتخاذها</w:t>
      </w:r>
      <w:r w:rsidR="007F0913">
        <w:rPr>
          <w:rtl/>
        </w:rPr>
        <w:t>،</w:t>
      </w:r>
      <w:r w:rsidRPr="00586DF9">
        <w:rPr>
          <w:rtl/>
        </w:rPr>
        <w:t xml:space="preserve"> مثل برامج الت</w:t>
      </w:r>
      <w:r w:rsidRPr="00586DF9">
        <w:rPr>
          <w:rFonts w:hint="cs"/>
          <w:rtl/>
        </w:rPr>
        <w:t xml:space="preserve">عامل </w:t>
      </w:r>
      <w:r w:rsidRPr="00586DF9">
        <w:rPr>
          <w:rtl/>
        </w:rPr>
        <w:t xml:space="preserve">مع مرتكبي العنف </w:t>
      </w:r>
      <w:r w:rsidRPr="00586DF9">
        <w:rPr>
          <w:rFonts w:hint="cs"/>
          <w:rtl/>
        </w:rPr>
        <w:t>الأسري</w:t>
      </w:r>
      <w:r w:rsidRPr="00586DF9">
        <w:rPr>
          <w:rtl/>
        </w:rPr>
        <w:t xml:space="preserve"> </w:t>
      </w:r>
      <w:r w:rsidRPr="00586DF9">
        <w:rPr>
          <w:rFonts w:hint="cs"/>
          <w:rtl/>
        </w:rPr>
        <w:t>بغية ا</w:t>
      </w:r>
      <w:r w:rsidRPr="00586DF9">
        <w:rPr>
          <w:rtl/>
        </w:rPr>
        <w:t>لحد من العود إلى الإجرام و</w:t>
      </w:r>
      <w:r w:rsidRPr="00586DF9">
        <w:rPr>
          <w:rFonts w:hint="cs"/>
          <w:rtl/>
        </w:rPr>
        <w:t>توفير ال</w:t>
      </w:r>
      <w:r w:rsidRPr="00586DF9">
        <w:rPr>
          <w:rtl/>
        </w:rPr>
        <w:t xml:space="preserve">حماية </w:t>
      </w:r>
      <w:r w:rsidRPr="00586DF9">
        <w:rPr>
          <w:rFonts w:hint="cs"/>
          <w:rtl/>
        </w:rPr>
        <w:t>ل</w:t>
      </w:r>
      <w:r w:rsidRPr="00586DF9">
        <w:rPr>
          <w:rtl/>
        </w:rPr>
        <w:t>لأسر</w:t>
      </w:r>
      <w:r w:rsidR="007F0913">
        <w:rPr>
          <w:rtl/>
        </w:rPr>
        <w:t>،</w:t>
      </w:r>
      <w:r w:rsidRPr="00586DF9">
        <w:rPr>
          <w:rtl/>
        </w:rPr>
        <w:t xml:space="preserve"> و</w:t>
      </w:r>
      <w:r w:rsidRPr="00586DF9">
        <w:rPr>
          <w:rFonts w:hint="cs"/>
          <w:rtl/>
        </w:rPr>
        <w:t xml:space="preserve">التخطيط لإنشاء </w:t>
      </w:r>
      <w:r w:rsidRPr="00586DF9">
        <w:rPr>
          <w:rtl/>
        </w:rPr>
        <w:t>مرفق خاص ل</w:t>
      </w:r>
      <w:r w:rsidRPr="00586DF9">
        <w:rPr>
          <w:rFonts w:hint="cs"/>
          <w:rtl/>
        </w:rPr>
        <w:t>إيواء ا</w:t>
      </w:r>
      <w:r w:rsidRPr="00586DF9">
        <w:rPr>
          <w:rtl/>
        </w:rPr>
        <w:t xml:space="preserve">لضحايا (المواد </w:t>
      </w:r>
      <w:r w:rsidRPr="00CA5F1C">
        <w:rPr>
          <w:rtl/>
        </w:rPr>
        <w:t>2</w:t>
      </w:r>
      <w:r w:rsidRPr="00586DF9">
        <w:rPr>
          <w:rtl/>
        </w:rPr>
        <w:t xml:space="preserve"> و</w:t>
      </w:r>
      <w:r w:rsidRPr="00CA5F1C">
        <w:rPr>
          <w:rtl/>
        </w:rPr>
        <w:t>12</w:t>
      </w:r>
      <w:r w:rsidRPr="00586DF9">
        <w:rPr>
          <w:rtl/>
        </w:rPr>
        <w:t xml:space="preserve"> و</w:t>
      </w:r>
      <w:r w:rsidRPr="00CA5F1C">
        <w:rPr>
          <w:rtl/>
        </w:rPr>
        <w:t>14</w:t>
      </w:r>
      <w:r w:rsidRPr="00586DF9">
        <w:rPr>
          <w:rtl/>
        </w:rPr>
        <w:t xml:space="preserve"> و</w:t>
      </w:r>
      <w:r w:rsidRPr="00CA5F1C">
        <w:rPr>
          <w:rtl/>
        </w:rPr>
        <w:t>16</w:t>
      </w:r>
      <w:r w:rsidRPr="00586DF9">
        <w:rPr>
          <w:rtl/>
        </w:rPr>
        <w:t xml:space="preserve">). </w:t>
      </w:r>
    </w:p>
    <w:p w14:paraId="2A8B2285" w14:textId="7B3F804B" w:rsidR="00586DF9" w:rsidRPr="00C472A0" w:rsidRDefault="00586DF9" w:rsidP="00586DF9">
      <w:pPr>
        <w:pStyle w:val="SingleTxtGA"/>
        <w:rPr>
          <w:b/>
          <w:bCs/>
        </w:rPr>
      </w:pPr>
      <w:r w:rsidRPr="00CA5F1C">
        <w:rPr>
          <w:rtl/>
        </w:rPr>
        <w:t>29</w:t>
      </w:r>
      <w:r w:rsidRPr="005F1D28">
        <w:rPr>
          <w:rtl/>
        </w:rPr>
        <w:t>-</w:t>
      </w:r>
      <w:r w:rsidRPr="005F1D28">
        <w:rPr>
          <w:rtl/>
        </w:rPr>
        <w:tab/>
      </w:r>
      <w:r w:rsidRPr="00C472A0">
        <w:rPr>
          <w:b/>
          <w:bCs/>
          <w:rtl/>
        </w:rPr>
        <w:t xml:space="preserve">ينبغي للدولة الطرف </w:t>
      </w:r>
      <w:r w:rsidRPr="00C472A0">
        <w:rPr>
          <w:rFonts w:hint="cs"/>
          <w:b/>
          <w:bCs/>
          <w:rtl/>
        </w:rPr>
        <w:t>القيام</w:t>
      </w:r>
      <w:r w:rsidRPr="00C472A0">
        <w:rPr>
          <w:b/>
          <w:bCs/>
          <w:rtl/>
        </w:rPr>
        <w:t xml:space="preserve"> بما يلي:</w:t>
      </w:r>
    </w:p>
    <w:p w14:paraId="36B8054F" w14:textId="5E770A23" w:rsidR="00586DF9" w:rsidRPr="00C472A0" w:rsidRDefault="00586DF9" w:rsidP="00586DF9">
      <w:pPr>
        <w:pStyle w:val="SingleTxtGA"/>
        <w:rPr>
          <w:b/>
          <w:bCs/>
        </w:rPr>
      </w:pPr>
      <w:r w:rsidRPr="005F1D28">
        <w:rPr>
          <w:rtl/>
        </w:rPr>
        <w:tab/>
        <w:t>(أ)</w:t>
      </w:r>
      <w:r w:rsidRPr="005F1D28">
        <w:rPr>
          <w:rtl/>
        </w:rPr>
        <w:tab/>
      </w:r>
      <w:r w:rsidRPr="00C472A0">
        <w:rPr>
          <w:b/>
          <w:bCs/>
          <w:rtl/>
        </w:rPr>
        <w:t xml:space="preserve">ضمان التحقيق الشامل </w:t>
      </w:r>
      <w:r w:rsidRPr="00C472A0">
        <w:rPr>
          <w:rFonts w:hint="cs"/>
          <w:b/>
          <w:bCs/>
          <w:rtl/>
        </w:rPr>
        <w:t xml:space="preserve">والسريع </w:t>
      </w:r>
      <w:r w:rsidRPr="00C472A0">
        <w:rPr>
          <w:b/>
          <w:bCs/>
          <w:rtl/>
        </w:rPr>
        <w:t>في جميع حالات العنف الجنساني</w:t>
      </w:r>
      <w:r w:rsidR="007F0913" w:rsidRPr="00C472A0">
        <w:rPr>
          <w:b/>
          <w:bCs/>
          <w:rtl/>
        </w:rPr>
        <w:t>،</w:t>
      </w:r>
      <w:r w:rsidRPr="00C472A0">
        <w:rPr>
          <w:b/>
          <w:bCs/>
          <w:rtl/>
        </w:rPr>
        <w:t xml:space="preserve"> وبخاصة ما</w:t>
      </w:r>
      <w:r w:rsidR="006C5612" w:rsidRPr="00C472A0">
        <w:rPr>
          <w:rFonts w:hint="cs"/>
          <w:b/>
          <w:bCs/>
          <w:rtl/>
        </w:rPr>
        <w:t> </w:t>
      </w:r>
      <w:r w:rsidRPr="00C472A0">
        <w:rPr>
          <w:b/>
          <w:bCs/>
          <w:rtl/>
        </w:rPr>
        <w:t>ينطوي منها على فعل أو تقصير من جانب سلطات الدولة أو كيان آخر من كياناتها يستتبع المسؤولية الدولية للدولة الطرف بموجب الاتفاقية</w:t>
      </w:r>
      <w:r w:rsidR="007F0913" w:rsidRPr="00C472A0">
        <w:rPr>
          <w:b/>
          <w:bCs/>
          <w:rtl/>
        </w:rPr>
        <w:t>،</w:t>
      </w:r>
      <w:r w:rsidRPr="00C472A0">
        <w:rPr>
          <w:b/>
          <w:bCs/>
          <w:rtl/>
        </w:rPr>
        <w:t xml:space="preserve"> وكفالة محاكمة </w:t>
      </w:r>
      <w:r w:rsidRPr="00C472A0">
        <w:rPr>
          <w:rFonts w:hint="cs"/>
          <w:b/>
          <w:bCs/>
          <w:rtl/>
        </w:rPr>
        <w:t xml:space="preserve">جميع </w:t>
      </w:r>
      <w:r w:rsidRPr="00C472A0">
        <w:rPr>
          <w:b/>
          <w:bCs/>
          <w:rtl/>
        </w:rPr>
        <w:t>الجناة المزعومين وإنزال العقوبات المناسبة بهم إن ثبتت إدانتهم</w:t>
      </w:r>
      <w:r w:rsidR="007F0913" w:rsidRPr="00C472A0">
        <w:rPr>
          <w:b/>
          <w:bCs/>
          <w:rtl/>
        </w:rPr>
        <w:t>،</w:t>
      </w:r>
      <w:r w:rsidRPr="00C472A0">
        <w:rPr>
          <w:b/>
          <w:bCs/>
          <w:rtl/>
        </w:rPr>
        <w:t xml:space="preserve"> والجبر الكامل للضرر </w:t>
      </w:r>
      <w:r w:rsidRPr="00C472A0">
        <w:rPr>
          <w:rFonts w:hint="cs"/>
          <w:b/>
          <w:bCs/>
          <w:rtl/>
        </w:rPr>
        <w:t>ل</w:t>
      </w:r>
      <w:r w:rsidRPr="00C472A0">
        <w:rPr>
          <w:b/>
          <w:bCs/>
          <w:rtl/>
        </w:rPr>
        <w:t>لضحايا</w:t>
      </w:r>
      <w:r w:rsidRPr="00C472A0">
        <w:rPr>
          <w:rFonts w:hint="cs"/>
          <w:b/>
          <w:bCs/>
          <w:rtl/>
        </w:rPr>
        <w:t xml:space="preserve"> أو أفراد أسرهم</w:t>
      </w:r>
      <w:r w:rsidR="007F0913" w:rsidRPr="00C472A0">
        <w:rPr>
          <w:b/>
          <w:bCs/>
          <w:rtl/>
        </w:rPr>
        <w:t>،</w:t>
      </w:r>
      <w:r w:rsidRPr="00C472A0">
        <w:rPr>
          <w:b/>
          <w:bCs/>
          <w:rtl/>
        </w:rPr>
        <w:t xml:space="preserve"> بما في ذلك منحهم تعويضاً كافياً وإعادة تأهيلهم</w:t>
      </w:r>
      <w:r w:rsidR="007F0913" w:rsidRPr="00C472A0">
        <w:rPr>
          <w:b/>
          <w:bCs/>
          <w:rtl/>
        </w:rPr>
        <w:t>،</w:t>
      </w:r>
      <w:r w:rsidRPr="00C472A0">
        <w:rPr>
          <w:b/>
          <w:bCs/>
          <w:rtl/>
        </w:rPr>
        <w:t xml:space="preserve"> و</w:t>
      </w:r>
      <w:r w:rsidRPr="00C472A0">
        <w:rPr>
          <w:rFonts w:hint="cs"/>
          <w:b/>
          <w:bCs/>
          <w:rtl/>
        </w:rPr>
        <w:t>إتاحة وصولهم إلى المعونة القضائية</w:t>
      </w:r>
      <w:r w:rsidR="007F0913" w:rsidRPr="00C472A0">
        <w:rPr>
          <w:rFonts w:hint="cs"/>
          <w:b/>
          <w:bCs/>
          <w:rtl/>
        </w:rPr>
        <w:t>،</w:t>
      </w:r>
      <w:r w:rsidRPr="00C472A0">
        <w:rPr>
          <w:b/>
          <w:bCs/>
          <w:rtl/>
        </w:rPr>
        <w:t xml:space="preserve"> و</w:t>
      </w:r>
      <w:r w:rsidRPr="00C472A0">
        <w:rPr>
          <w:rFonts w:hint="cs"/>
          <w:b/>
          <w:bCs/>
          <w:rtl/>
        </w:rPr>
        <w:t>توفير مرافق الإيواء ال</w:t>
      </w:r>
      <w:r w:rsidRPr="00C472A0">
        <w:rPr>
          <w:b/>
          <w:bCs/>
          <w:rtl/>
        </w:rPr>
        <w:t>آمنة والرعاية الطبية والدعم النفسي اللازمين؛</w:t>
      </w:r>
    </w:p>
    <w:p w14:paraId="4CB07BFE" w14:textId="27FA8D28" w:rsidR="00586DF9" w:rsidRPr="00C472A0" w:rsidRDefault="00586DF9" w:rsidP="00586DF9">
      <w:pPr>
        <w:pStyle w:val="SingleTxtGA"/>
        <w:rPr>
          <w:b/>
          <w:bCs/>
        </w:rPr>
      </w:pPr>
      <w:r w:rsidRPr="005F1D28">
        <w:rPr>
          <w:rtl/>
        </w:rPr>
        <w:tab/>
        <w:t>(ب)</w:t>
      </w:r>
      <w:r w:rsidRPr="005F1D28">
        <w:rPr>
          <w:rtl/>
        </w:rPr>
        <w:tab/>
      </w:r>
      <w:r w:rsidRPr="00C472A0">
        <w:rPr>
          <w:b/>
          <w:bCs/>
          <w:rtl/>
        </w:rPr>
        <w:t xml:space="preserve">توفير التدريب الإلزامي </w:t>
      </w:r>
      <w:r w:rsidRPr="00C472A0">
        <w:rPr>
          <w:rFonts w:hint="cs"/>
          <w:b/>
          <w:bCs/>
          <w:rtl/>
        </w:rPr>
        <w:t>في مجال</w:t>
      </w:r>
      <w:r w:rsidRPr="00C472A0">
        <w:rPr>
          <w:b/>
          <w:bCs/>
          <w:rtl/>
        </w:rPr>
        <w:t xml:space="preserve"> مقاضاة مرتكبي العنف ال</w:t>
      </w:r>
      <w:r w:rsidRPr="00C472A0">
        <w:rPr>
          <w:rFonts w:hint="cs"/>
          <w:b/>
          <w:bCs/>
          <w:rtl/>
        </w:rPr>
        <w:t xml:space="preserve">جنساني </w:t>
      </w:r>
      <w:r w:rsidRPr="00C472A0">
        <w:rPr>
          <w:b/>
          <w:bCs/>
          <w:rtl/>
        </w:rPr>
        <w:t>لجميع موظفي العدالة والموظفين المكلفين بإنفاذ القوانين</w:t>
      </w:r>
      <w:r w:rsidR="007F0913" w:rsidRPr="00C472A0">
        <w:rPr>
          <w:b/>
          <w:bCs/>
          <w:rtl/>
        </w:rPr>
        <w:t>،</w:t>
      </w:r>
      <w:r w:rsidRPr="00C472A0">
        <w:rPr>
          <w:b/>
          <w:bCs/>
          <w:rtl/>
        </w:rPr>
        <w:t xml:space="preserve"> ومواصلة حملات التوعية بجميع أشكال العنف ضد المرأة.</w:t>
      </w:r>
    </w:p>
    <w:p w14:paraId="2991A660" w14:textId="77777777" w:rsidR="00586DF9" w:rsidRPr="00C472A0" w:rsidRDefault="00586DF9" w:rsidP="00586DF9">
      <w:pPr>
        <w:pStyle w:val="H23GA"/>
      </w:pPr>
      <w:r w:rsidRPr="00C472A0">
        <w:rPr>
          <w:rtl/>
        </w:rPr>
        <w:tab/>
      </w:r>
      <w:r w:rsidRPr="00C472A0">
        <w:rPr>
          <w:rtl/>
        </w:rPr>
        <w:tab/>
        <w:t>جمع البيانات</w:t>
      </w:r>
    </w:p>
    <w:p w14:paraId="53A88851" w14:textId="2CEDC842" w:rsidR="00586DF9" w:rsidRPr="00586DF9" w:rsidRDefault="00586DF9" w:rsidP="00586DF9">
      <w:pPr>
        <w:pStyle w:val="SingleTxtGA"/>
      </w:pPr>
      <w:r w:rsidRPr="00CA5F1C">
        <w:rPr>
          <w:rtl/>
        </w:rPr>
        <w:t>30</w:t>
      </w:r>
      <w:r w:rsidRPr="005F1D28">
        <w:rPr>
          <w:rtl/>
        </w:rPr>
        <w:t>-</w:t>
      </w:r>
      <w:r w:rsidRPr="005F1D28">
        <w:rPr>
          <w:rtl/>
        </w:rPr>
        <w:tab/>
      </w:r>
      <w:r w:rsidRPr="00586DF9">
        <w:rPr>
          <w:rFonts w:hint="cs"/>
          <w:rtl/>
        </w:rPr>
        <w:t>تعرب</w:t>
      </w:r>
      <w:r w:rsidRPr="00586DF9">
        <w:rPr>
          <w:rtl/>
        </w:rPr>
        <w:t xml:space="preserve"> اللجنة </w:t>
      </w:r>
      <w:r w:rsidRPr="00586DF9">
        <w:rPr>
          <w:rFonts w:hint="cs"/>
          <w:rtl/>
        </w:rPr>
        <w:t>عن أسفها ل</w:t>
      </w:r>
      <w:r w:rsidRPr="00586DF9">
        <w:rPr>
          <w:rtl/>
        </w:rPr>
        <w:t>عدم تقديم بيانات مفصلة بالكامل في معظم الحالات</w:t>
      </w:r>
      <w:r w:rsidR="007F0913">
        <w:rPr>
          <w:rtl/>
        </w:rPr>
        <w:t>،</w:t>
      </w:r>
      <w:r w:rsidRPr="00586DF9">
        <w:rPr>
          <w:rtl/>
        </w:rPr>
        <w:t xml:space="preserve"> ولا سيما فيما</w:t>
      </w:r>
      <w:r w:rsidR="006C5612">
        <w:rPr>
          <w:rFonts w:hint="cs"/>
          <w:rtl/>
        </w:rPr>
        <w:t> </w:t>
      </w:r>
      <w:r w:rsidRPr="00586DF9">
        <w:rPr>
          <w:rtl/>
        </w:rPr>
        <w:t>يتعلق بنوع الجنس. ويساور اللجنة القلق لعدم تقديم بيانات صريحة في بعض المناطق عن عدد الشكاوى الواردة</w:t>
      </w:r>
      <w:r w:rsidR="007F0913">
        <w:rPr>
          <w:rFonts w:hint="cs"/>
          <w:rtl/>
        </w:rPr>
        <w:t>،</w:t>
      </w:r>
      <w:r w:rsidRPr="00586DF9">
        <w:rPr>
          <w:rtl/>
        </w:rPr>
        <w:t xml:space="preserve"> </w:t>
      </w:r>
      <w:r w:rsidRPr="00586DF9">
        <w:rPr>
          <w:rFonts w:hint="cs"/>
          <w:rtl/>
        </w:rPr>
        <w:t>حيث اكتفت</w:t>
      </w:r>
      <w:r w:rsidRPr="00586DF9">
        <w:rPr>
          <w:rtl/>
        </w:rPr>
        <w:t xml:space="preserve"> </w:t>
      </w:r>
      <w:r w:rsidRPr="00586DF9">
        <w:rPr>
          <w:rFonts w:hint="cs"/>
          <w:rtl/>
        </w:rPr>
        <w:t xml:space="preserve">الدولة الطرف بتقديم </w:t>
      </w:r>
      <w:r w:rsidRPr="00586DF9">
        <w:rPr>
          <w:rtl/>
        </w:rPr>
        <w:t xml:space="preserve">عدد الحالات التي </w:t>
      </w:r>
      <w:r w:rsidRPr="00586DF9">
        <w:rPr>
          <w:rFonts w:hint="cs"/>
          <w:rtl/>
        </w:rPr>
        <w:t>جرى</w:t>
      </w:r>
      <w:r w:rsidRPr="00586DF9">
        <w:rPr>
          <w:rtl/>
        </w:rPr>
        <w:t xml:space="preserve"> التحقيق فيها</w:t>
      </w:r>
      <w:r w:rsidR="007F0913">
        <w:rPr>
          <w:rtl/>
        </w:rPr>
        <w:t>،</w:t>
      </w:r>
      <w:r w:rsidRPr="00586DF9">
        <w:rPr>
          <w:rtl/>
        </w:rPr>
        <w:t xml:space="preserve"> مما </w:t>
      </w:r>
      <w:r w:rsidRPr="00586DF9">
        <w:rPr>
          <w:rFonts w:hint="cs"/>
          <w:rtl/>
        </w:rPr>
        <w:t>يعطي</w:t>
      </w:r>
      <w:r w:rsidRPr="00586DF9">
        <w:rPr>
          <w:rtl/>
        </w:rPr>
        <w:t xml:space="preserve"> </w:t>
      </w:r>
      <w:r w:rsidRPr="00586DF9">
        <w:rPr>
          <w:rtl/>
        </w:rPr>
        <w:lastRenderedPageBreak/>
        <w:t>تقييما</w:t>
      </w:r>
      <w:r w:rsidR="006C5612">
        <w:rPr>
          <w:rFonts w:hint="cs"/>
          <w:rtl/>
        </w:rPr>
        <w:t>ً</w:t>
      </w:r>
      <w:r w:rsidRPr="00586DF9">
        <w:rPr>
          <w:rtl/>
        </w:rPr>
        <w:t xml:space="preserve"> منخفضا</w:t>
      </w:r>
      <w:r w:rsidR="006C5612">
        <w:rPr>
          <w:rFonts w:hint="cs"/>
          <w:rtl/>
        </w:rPr>
        <w:t>ً</w:t>
      </w:r>
      <w:r w:rsidRPr="00586DF9">
        <w:rPr>
          <w:rtl/>
        </w:rPr>
        <w:t xml:space="preserve"> بشكل م</w:t>
      </w:r>
      <w:r w:rsidRPr="00586DF9">
        <w:rPr>
          <w:rFonts w:hint="cs"/>
          <w:rtl/>
        </w:rPr>
        <w:t>قصود بشأن عدد</w:t>
      </w:r>
      <w:r w:rsidRPr="00586DF9">
        <w:rPr>
          <w:rtl/>
        </w:rPr>
        <w:t xml:space="preserve"> الشكاوى. ويساور اللجنة القلق لأن البيانات ذات الصلة برصد تنفيذ الاتفاقية لا </w:t>
      </w:r>
      <w:r w:rsidRPr="00586DF9">
        <w:rPr>
          <w:rFonts w:hint="cs"/>
          <w:rtl/>
        </w:rPr>
        <w:t xml:space="preserve">يبدوا أنها </w:t>
      </w:r>
      <w:r w:rsidRPr="00586DF9">
        <w:rPr>
          <w:rtl/>
        </w:rPr>
        <w:t>تجمع وت</w:t>
      </w:r>
      <w:r w:rsidRPr="00586DF9">
        <w:rPr>
          <w:rFonts w:hint="cs"/>
          <w:rtl/>
        </w:rPr>
        <w:t>حفظ بطريقة منهجية</w:t>
      </w:r>
      <w:r w:rsidRPr="00586DF9">
        <w:rPr>
          <w:rtl/>
        </w:rPr>
        <w:t>.</w:t>
      </w:r>
      <w:r w:rsidR="006C5612">
        <w:rPr>
          <w:rtl/>
        </w:rPr>
        <w:t xml:space="preserve"> </w:t>
      </w:r>
    </w:p>
    <w:p w14:paraId="0382644B" w14:textId="5D7AD8BC" w:rsidR="00586DF9" w:rsidRPr="00C472A0" w:rsidRDefault="00586DF9" w:rsidP="00586DF9">
      <w:pPr>
        <w:pStyle w:val="SingleTxtGA"/>
        <w:rPr>
          <w:b/>
          <w:bCs/>
        </w:rPr>
      </w:pPr>
      <w:r w:rsidRPr="00CA5F1C">
        <w:rPr>
          <w:rtl/>
        </w:rPr>
        <w:t>31</w:t>
      </w:r>
      <w:r w:rsidRPr="005F1D28">
        <w:rPr>
          <w:rtl/>
        </w:rPr>
        <w:t>-</w:t>
      </w:r>
      <w:r w:rsidRPr="005F1D28">
        <w:rPr>
          <w:rtl/>
        </w:rPr>
        <w:tab/>
      </w:r>
      <w:r w:rsidRPr="00C472A0">
        <w:rPr>
          <w:b/>
          <w:bCs/>
          <w:rtl/>
        </w:rPr>
        <w:t xml:space="preserve">ينبغي للدولة الطرف أن تكفل جمع بيانات إحصائية مفصلة بالكامل </w:t>
      </w:r>
      <w:r w:rsidRPr="00C472A0">
        <w:rPr>
          <w:rFonts w:hint="cs"/>
          <w:b/>
          <w:bCs/>
          <w:rtl/>
        </w:rPr>
        <w:t>فيما يتعلق</w:t>
      </w:r>
      <w:r w:rsidRPr="00C472A0">
        <w:rPr>
          <w:b/>
          <w:bCs/>
          <w:rtl/>
        </w:rPr>
        <w:t xml:space="preserve"> برصد تنفيذ الاتفاقية على الصعيد الوطني</w:t>
      </w:r>
      <w:r w:rsidR="007F0913" w:rsidRPr="00C472A0">
        <w:rPr>
          <w:b/>
          <w:bCs/>
          <w:rtl/>
        </w:rPr>
        <w:t>،</w:t>
      </w:r>
      <w:r w:rsidRPr="00C472A0">
        <w:rPr>
          <w:b/>
          <w:bCs/>
          <w:rtl/>
        </w:rPr>
        <w:t xml:space="preserve"> بما في ذلك </w:t>
      </w:r>
      <w:r w:rsidRPr="00C472A0">
        <w:rPr>
          <w:rFonts w:hint="cs"/>
          <w:b/>
          <w:bCs/>
          <w:rtl/>
        </w:rPr>
        <w:t xml:space="preserve">تقديم </w:t>
      </w:r>
      <w:r w:rsidRPr="00C472A0">
        <w:rPr>
          <w:b/>
          <w:bCs/>
          <w:rtl/>
        </w:rPr>
        <w:t>بيانات عن عدد الشكاوى الواردة وعن تدابير الانتصاف الم</w:t>
      </w:r>
      <w:r w:rsidRPr="00C472A0">
        <w:rPr>
          <w:rFonts w:hint="cs"/>
          <w:b/>
          <w:bCs/>
          <w:rtl/>
        </w:rPr>
        <w:t xml:space="preserve">تاحة </w:t>
      </w:r>
      <w:r w:rsidRPr="00C472A0">
        <w:rPr>
          <w:b/>
          <w:bCs/>
          <w:rtl/>
        </w:rPr>
        <w:t>للضحايا. وينبغي للدولة الطرف أيضا</w:t>
      </w:r>
      <w:r w:rsidR="006C5612" w:rsidRPr="00C472A0">
        <w:rPr>
          <w:rFonts w:hint="cs"/>
          <w:b/>
          <w:bCs/>
          <w:rtl/>
        </w:rPr>
        <w:t>ً</w:t>
      </w:r>
      <w:r w:rsidRPr="00C472A0">
        <w:rPr>
          <w:b/>
          <w:bCs/>
          <w:rtl/>
        </w:rPr>
        <w:t xml:space="preserve"> أن تنظر في إنشاء سجل مركزي </w:t>
      </w:r>
      <w:r w:rsidRPr="00C472A0">
        <w:rPr>
          <w:rFonts w:hint="cs"/>
          <w:b/>
          <w:bCs/>
          <w:rtl/>
        </w:rPr>
        <w:t>ل</w:t>
      </w:r>
      <w:r w:rsidRPr="00C472A0">
        <w:rPr>
          <w:b/>
          <w:bCs/>
          <w:rtl/>
        </w:rPr>
        <w:t xml:space="preserve">حفظ </w:t>
      </w:r>
      <w:r w:rsidRPr="00C472A0">
        <w:rPr>
          <w:rFonts w:hint="cs"/>
          <w:b/>
          <w:bCs/>
          <w:rtl/>
        </w:rPr>
        <w:t>ال</w:t>
      </w:r>
      <w:r w:rsidRPr="00C472A0">
        <w:rPr>
          <w:b/>
          <w:bCs/>
          <w:rtl/>
        </w:rPr>
        <w:t>سجل</w:t>
      </w:r>
      <w:r w:rsidRPr="00C472A0">
        <w:rPr>
          <w:rFonts w:hint="cs"/>
          <w:b/>
          <w:bCs/>
          <w:rtl/>
        </w:rPr>
        <w:t>ات</w:t>
      </w:r>
      <w:r w:rsidRPr="00C472A0">
        <w:rPr>
          <w:b/>
          <w:bCs/>
          <w:rtl/>
        </w:rPr>
        <w:t xml:space="preserve"> </w:t>
      </w:r>
      <w:r w:rsidRPr="00C472A0">
        <w:rPr>
          <w:rFonts w:hint="cs"/>
          <w:b/>
          <w:bCs/>
          <w:rtl/>
        </w:rPr>
        <w:t>ال</w:t>
      </w:r>
      <w:r w:rsidRPr="00C472A0">
        <w:rPr>
          <w:b/>
          <w:bCs/>
          <w:rtl/>
        </w:rPr>
        <w:t>رسمي</w:t>
      </w:r>
      <w:r w:rsidRPr="00C472A0">
        <w:rPr>
          <w:rFonts w:hint="cs"/>
          <w:b/>
          <w:bCs/>
          <w:rtl/>
        </w:rPr>
        <w:t>ة</w:t>
      </w:r>
      <w:r w:rsidRPr="00C472A0">
        <w:rPr>
          <w:b/>
          <w:bCs/>
          <w:rtl/>
        </w:rPr>
        <w:t xml:space="preserve"> لضحايا التعذيب أو سوء المعاملة في جميع أماكن الاحتجاز.</w:t>
      </w:r>
    </w:p>
    <w:p w14:paraId="3C4E550F" w14:textId="77777777" w:rsidR="00586DF9" w:rsidRPr="00C472A0" w:rsidRDefault="00586DF9" w:rsidP="00586DF9">
      <w:pPr>
        <w:pStyle w:val="H23GA"/>
      </w:pPr>
      <w:r w:rsidRPr="00C472A0">
        <w:rPr>
          <w:rtl/>
        </w:rPr>
        <w:tab/>
      </w:r>
      <w:r w:rsidRPr="00C472A0">
        <w:rPr>
          <w:rtl/>
        </w:rPr>
        <w:tab/>
        <w:t>الإنصاف وإعادة التأهيل</w:t>
      </w:r>
    </w:p>
    <w:p w14:paraId="2421E2B0" w14:textId="2ACD567D" w:rsidR="00586DF9" w:rsidRPr="00611ED5" w:rsidRDefault="00586DF9" w:rsidP="00586DF9">
      <w:pPr>
        <w:pStyle w:val="SingleTxtGA"/>
        <w:rPr>
          <w:spacing w:val="-2"/>
        </w:rPr>
      </w:pPr>
      <w:r w:rsidRPr="00CA5F1C">
        <w:rPr>
          <w:spacing w:val="-2"/>
          <w:rtl/>
        </w:rPr>
        <w:t>32</w:t>
      </w:r>
      <w:r w:rsidRPr="00611ED5">
        <w:rPr>
          <w:spacing w:val="-2"/>
          <w:rtl/>
        </w:rPr>
        <w:t>-</w:t>
      </w:r>
      <w:r w:rsidRPr="00611ED5">
        <w:rPr>
          <w:spacing w:val="-2"/>
          <w:rtl/>
        </w:rPr>
        <w:tab/>
        <w:t>تحيط اللجنة علما</w:t>
      </w:r>
      <w:r w:rsidR="006C5612" w:rsidRPr="00611ED5">
        <w:rPr>
          <w:rFonts w:hint="cs"/>
          <w:spacing w:val="-2"/>
          <w:rtl/>
        </w:rPr>
        <w:t>ً</w:t>
      </w:r>
      <w:r w:rsidRPr="00611ED5">
        <w:rPr>
          <w:spacing w:val="-2"/>
          <w:rtl/>
        </w:rPr>
        <w:t xml:space="preserve"> بالمعلومات التي قدمتها الدولة الطرف بشأن سبل الانتصاف وإعادة التأهيل</w:t>
      </w:r>
      <w:r w:rsidR="007F0913" w:rsidRPr="00611ED5">
        <w:rPr>
          <w:spacing w:val="-2"/>
          <w:rtl/>
        </w:rPr>
        <w:t>،</w:t>
      </w:r>
      <w:r w:rsidRPr="00611ED5">
        <w:rPr>
          <w:spacing w:val="-2"/>
          <w:rtl/>
        </w:rPr>
        <w:t xml:space="preserve"> ولكنها تعرب عن قلقها إزاء محدودية سبل الانتصاف وإعادة التأهيل المتاحة لضحايا التعذيب وإساءة المعاملة</w:t>
      </w:r>
      <w:r w:rsidR="007F0913" w:rsidRPr="00611ED5">
        <w:rPr>
          <w:spacing w:val="-2"/>
          <w:rtl/>
        </w:rPr>
        <w:t>،</w:t>
      </w:r>
      <w:r w:rsidRPr="00611ED5">
        <w:rPr>
          <w:spacing w:val="-2"/>
          <w:rtl/>
        </w:rPr>
        <w:t xml:space="preserve"> </w:t>
      </w:r>
      <w:r w:rsidRPr="00611ED5">
        <w:rPr>
          <w:rFonts w:hint="cs"/>
          <w:spacing w:val="-2"/>
          <w:rtl/>
        </w:rPr>
        <w:t>وتعرب عن الأسف</w:t>
      </w:r>
      <w:r w:rsidRPr="00611ED5">
        <w:rPr>
          <w:spacing w:val="-2"/>
          <w:rtl/>
        </w:rPr>
        <w:t xml:space="preserve"> لعدم توافر بيانات عن التعويضات الممنوحة لضحايا التعذيب وسوء المعاملة. </w:t>
      </w:r>
    </w:p>
    <w:p w14:paraId="4302434B" w14:textId="477A3AAE" w:rsidR="00586DF9" w:rsidRPr="00C472A0" w:rsidRDefault="00586DF9" w:rsidP="00586DF9">
      <w:pPr>
        <w:pStyle w:val="SingleTxtGA"/>
        <w:rPr>
          <w:b/>
          <w:bCs/>
        </w:rPr>
      </w:pPr>
      <w:r w:rsidRPr="00CA5F1C">
        <w:rPr>
          <w:rtl/>
        </w:rPr>
        <w:t>33</w:t>
      </w:r>
      <w:r w:rsidRPr="005F1D28">
        <w:rPr>
          <w:rtl/>
        </w:rPr>
        <w:t>-</w:t>
      </w:r>
      <w:r w:rsidRPr="005F1D28">
        <w:rPr>
          <w:rtl/>
        </w:rPr>
        <w:tab/>
      </w:r>
      <w:r w:rsidRPr="00C472A0">
        <w:rPr>
          <w:rFonts w:hint="cs"/>
          <w:b/>
          <w:bCs/>
          <w:rtl/>
        </w:rPr>
        <w:t>وتذكر</w:t>
      </w:r>
      <w:r w:rsidRPr="00C472A0">
        <w:rPr>
          <w:b/>
          <w:bCs/>
          <w:rtl/>
        </w:rPr>
        <w:t xml:space="preserve"> اللجنة </w:t>
      </w:r>
      <w:r w:rsidRPr="00C472A0">
        <w:rPr>
          <w:rFonts w:hint="cs"/>
          <w:b/>
          <w:bCs/>
          <w:rtl/>
        </w:rPr>
        <w:t>ب</w:t>
      </w:r>
      <w:r w:rsidRPr="00C472A0">
        <w:rPr>
          <w:b/>
          <w:bCs/>
          <w:rtl/>
        </w:rPr>
        <w:t>تعليقها العام رقم 3(2012) بشأن تنفيذ المادة 14</w:t>
      </w:r>
      <w:r w:rsidR="007F0913" w:rsidRPr="00C472A0">
        <w:rPr>
          <w:b/>
          <w:bCs/>
          <w:rtl/>
        </w:rPr>
        <w:t>،</w:t>
      </w:r>
      <w:r w:rsidRPr="00C472A0">
        <w:rPr>
          <w:b/>
          <w:bCs/>
          <w:rtl/>
        </w:rPr>
        <w:t xml:space="preserve"> </w:t>
      </w:r>
      <w:r w:rsidRPr="00C472A0">
        <w:rPr>
          <w:rFonts w:hint="cs"/>
          <w:b/>
          <w:bCs/>
          <w:rtl/>
        </w:rPr>
        <w:t>و</w:t>
      </w:r>
      <w:r w:rsidRPr="00C472A0">
        <w:rPr>
          <w:b/>
          <w:bCs/>
          <w:rtl/>
        </w:rPr>
        <w:t xml:space="preserve">تحث الدولة الطرف على اتخاذ جميع التدابير اللازمة لتمكين ضحايا التعذيب وإساءة المعاملة في الدولة الطرف أو في الخارج من الحصول على </w:t>
      </w:r>
      <w:r w:rsidRPr="00C472A0">
        <w:rPr>
          <w:rFonts w:hint="cs"/>
          <w:b/>
          <w:bCs/>
          <w:rtl/>
        </w:rPr>
        <w:t>ال</w:t>
      </w:r>
      <w:r w:rsidRPr="00C472A0">
        <w:rPr>
          <w:b/>
          <w:bCs/>
          <w:rtl/>
        </w:rPr>
        <w:t xml:space="preserve">جبر </w:t>
      </w:r>
      <w:r w:rsidRPr="00C472A0">
        <w:rPr>
          <w:rFonts w:hint="cs"/>
          <w:b/>
          <w:bCs/>
          <w:rtl/>
        </w:rPr>
        <w:t>ال</w:t>
      </w:r>
      <w:r w:rsidRPr="00C472A0">
        <w:rPr>
          <w:b/>
          <w:bCs/>
          <w:rtl/>
        </w:rPr>
        <w:t>كامل و</w:t>
      </w:r>
      <w:r w:rsidRPr="00C472A0">
        <w:rPr>
          <w:rFonts w:hint="cs"/>
          <w:b/>
          <w:bCs/>
          <w:rtl/>
        </w:rPr>
        <w:t>ال</w:t>
      </w:r>
      <w:r w:rsidRPr="00C472A0">
        <w:rPr>
          <w:b/>
          <w:bCs/>
          <w:rtl/>
        </w:rPr>
        <w:t>فعال</w:t>
      </w:r>
      <w:r w:rsidR="007F0913" w:rsidRPr="00C472A0">
        <w:rPr>
          <w:b/>
          <w:bCs/>
          <w:rtl/>
        </w:rPr>
        <w:t>،</w:t>
      </w:r>
      <w:r w:rsidRPr="00C472A0">
        <w:rPr>
          <w:b/>
          <w:bCs/>
          <w:rtl/>
        </w:rPr>
        <w:t xml:space="preserve"> بما في ذلك وسائل إعادة التأهيل والرعاية المصممة خصيصا</w:t>
      </w:r>
      <w:r w:rsidR="006C5612" w:rsidRPr="00C472A0">
        <w:rPr>
          <w:rFonts w:hint="cs"/>
          <w:b/>
          <w:bCs/>
          <w:rtl/>
        </w:rPr>
        <w:t>ً</w:t>
      </w:r>
      <w:r w:rsidRPr="00C472A0">
        <w:rPr>
          <w:b/>
          <w:bCs/>
          <w:rtl/>
        </w:rPr>
        <w:t xml:space="preserve"> لتلبية احتياجاتهم. وينبغي أن تجمع الدولة الطرف معلومات عن تدابير الجبر والتعويض</w:t>
      </w:r>
      <w:r w:rsidR="007F0913" w:rsidRPr="00C472A0">
        <w:rPr>
          <w:b/>
          <w:bCs/>
          <w:rtl/>
        </w:rPr>
        <w:t>،</w:t>
      </w:r>
      <w:r w:rsidRPr="00C472A0">
        <w:rPr>
          <w:b/>
          <w:bCs/>
          <w:rtl/>
        </w:rPr>
        <w:t xml:space="preserve"> بما في ذلك وسائل إعادة التأهيل</w:t>
      </w:r>
      <w:r w:rsidR="007F0913" w:rsidRPr="00C472A0">
        <w:rPr>
          <w:b/>
          <w:bCs/>
          <w:rtl/>
        </w:rPr>
        <w:t>،</w:t>
      </w:r>
      <w:r w:rsidRPr="00C472A0">
        <w:rPr>
          <w:b/>
          <w:bCs/>
          <w:rtl/>
        </w:rPr>
        <w:t xml:space="preserve"> </w:t>
      </w:r>
      <w:r w:rsidRPr="00C472A0">
        <w:rPr>
          <w:rFonts w:hint="cs"/>
          <w:b/>
          <w:bCs/>
          <w:rtl/>
        </w:rPr>
        <w:t>بأمر من</w:t>
      </w:r>
      <w:r w:rsidRPr="00C472A0">
        <w:rPr>
          <w:b/>
          <w:bCs/>
          <w:rtl/>
        </w:rPr>
        <w:t xml:space="preserve"> المحاكم أو هيئات الدولة الأخرى</w:t>
      </w:r>
      <w:r w:rsidR="007F0913" w:rsidRPr="00C472A0">
        <w:rPr>
          <w:rFonts w:hint="cs"/>
          <w:b/>
          <w:bCs/>
          <w:rtl/>
        </w:rPr>
        <w:t>،</w:t>
      </w:r>
      <w:r w:rsidRPr="00C472A0">
        <w:rPr>
          <w:b/>
          <w:bCs/>
          <w:rtl/>
        </w:rPr>
        <w:t xml:space="preserve"> </w:t>
      </w:r>
      <w:r w:rsidRPr="00C472A0">
        <w:rPr>
          <w:rFonts w:hint="cs"/>
          <w:b/>
          <w:bCs/>
          <w:rtl/>
        </w:rPr>
        <w:t>التي منحت</w:t>
      </w:r>
      <w:r w:rsidRPr="00C472A0">
        <w:rPr>
          <w:b/>
          <w:bCs/>
          <w:rtl/>
        </w:rPr>
        <w:t xml:space="preserve"> بالفعل لضحايا التعذيب أو سوء المعاملة</w:t>
      </w:r>
      <w:r w:rsidR="007F0913" w:rsidRPr="00C472A0">
        <w:rPr>
          <w:rFonts w:hint="cs"/>
          <w:b/>
          <w:bCs/>
          <w:rtl/>
        </w:rPr>
        <w:t>،</w:t>
      </w:r>
      <w:r w:rsidRPr="00C472A0">
        <w:rPr>
          <w:b/>
          <w:bCs/>
          <w:rtl/>
        </w:rPr>
        <w:t xml:space="preserve"> وإ</w:t>
      </w:r>
      <w:r w:rsidRPr="00C472A0">
        <w:rPr>
          <w:rFonts w:hint="cs"/>
          <w:b/>
          <w:bCs/>
          <w:rtl/>
        </w:rPr>
        <w:t xml:space="preserve">بلاغ </w:t>
      </w:r>
      <w:r w:rsidRPr="00C472A0">
        <w:rPr>
          <w:b/>
          <w:bCs/>
          <w:rtl/>
        </w:rPr>
        <w:t xml:space="preserve">اللجنة بها. </w:t>
      </w:r>
    </w:p>
    <w:p w14:paraId="48DC676B" w14:textId="77777777" w:rsidR="00586DF9" w:rsidRPr="00C472A0" w:rsidRDefault="00586DF9" w:rsidP="00586DF9">
      <w:pPr>
        <w:pStyle w:val="H23GA"/>
      </w:pPr>
      <w:r w:rsidRPr="00C472A0">
        <w:rPr>
          <w:rtl/>
        </w:rPr>
        <w:tab/>
      </w:r>
      <w:r w:rsidRPr="00C472A0">
        <w:rPr>
          <w:rtl/>
        </w:rPr>
        <w:tab/>
        <w:t>إجراءات المتابعة</w:t>
      </w:r>
    </w:p>
    <w:p w14:paraId="4A783F2C" w14:textId="28A96E45" w:rsidR="00586DF9" w:rsidRPr="00C472A0" w:rsidRDefault="00586DF9" w:rsidP="00586DF9">
      <w:pPr>
        <w:pStyle w:val="SingleTxtGA"/>
        <w:rPr>
          <w:b/>
          <w:bCs/>
        </w:rPr>
      </w:pPr>
      <w:r w:rsidRPr="00CA5F1C">
        <w:rPr>
          <w:rtl/>
        </w:rPr>
        <w:t>34</w:t>
      </w:r>
      <w:r w:rsidRPr="005F1D28">
        <w:rPr>
          <w:rtl/>
        </w:rPr>
        <w:t>-</w:t>
      </w:r>
      <w:r w:rsidRPr="005F1D28">
        <w:rPr>
          <w:rtl/>
        </w:rPr>
        <w:tab/>
      </w:r>
      <w:r w:rsidRPr="00C472A0">
        <w:rPr>
          <w:b/>
          <w:bCs/>
          <w:rtl/>
        </w:rPr>
        <w:t>تطلب اللجنة إلى الدولة الطرف أن تقدم</w:t>
      </w:r>
      <w:r w:rsidR="007F0913" w:rsidRPr="00C472A0">
        <w:rPr>
          <w:b/>
          <w:bCs/>
          <w:rtl/>
        </w:rPr>
        <w:t>،</w:t>
      </w:r>
      <w:r w:rsidRPr="00C472A0">
        <w:rPr>
          <w:b/>
          <w:bCs/>
          <w:rtl/>
        </w:rPr>
        <w:t xml:space="preserve"> بحلول 13 أيار/مايو 2023</w:t>
      </w:r>
      <w:r w:rsidR="007F0913" w:rsidRPr="00C472A0">
        <w:rPr>
          <w:b/>
          <w:bCs/>
          <w:rtl/>
        </w:rPr>
        <w:t>،</w:t>
      </w:r>
      <w:r w:rsidRPr="00C472A0">
        <w:rPr>
          <w:b/>
          <w:bCs/>
          <w:rtl/>
        </w:rPr>
        <w:t xml:space="preserve"> معلومات عن متابعة توصيات اللجنة بشأن ظروف الاحتجاز؛ والتحقيقات في حالات التعذيب وسوء المعاملة؛ والإفلات من العقاب على جرائم الحرب</w:t>
      </w:r>
      <w:r w:rsidR="007F0913" w:rsidRPr="00C472A0">
        <w:rPr>
          <w:rFonts w:hint="cs"/>
          <w:b/>
          <w:bCs/>
          <w:rtl/>
        </w:rPr>
        <w:t>،</w:t>
      </w:r>
      <w:r w:rsidRPr="00C472A0">
        <w:rPr>
          <w:b/>
          <w:bCs/>
          <w:rtl/>
        </w:rPr>
        <w:t xml:space="preserve"> وسبل الانتصاف </w:t>
      </w:r>
      <w:r w:rsidRPr="00C472A0">
        <w:rPr>
          <w:rFonts w:hint="cs"/>
          <w:b/>
          <w:bCs/>
          <w:rtl/>
        </w:rPr>
        <w:t xml:space="preserve">المتاحة </w:t>
      </w:r>
      <w:r w:rsidRPr="00C472A0">
        <w:rPr>
          <w:b/>
          <w:bCs/>
          <w:rtl/>
        </w:rPr>
        <w:t>للضحايا (انظر الفقرات 15 و19 و23 أعلاه). وفي هذا السياق</w:t>
      </w:r>
      <w:r w:rsidR="007F0913" w:rsidRPr="00C472A0">
        <w:rPr>
          <w:b/>
          <w:bCs/>
          <w:rtl/>
        </w:rPr>
        <w:t>،</w:t>
      </w:r>
      <w:r w:rsidRPr="00C472A0">
        <w:rPr>
          <w:b/>
          <w:bCs/>
          <w:rtl/>
        </w:rPr>
        <w:t xml:space="preserve"> تدعو اللجنة الدولة الطرف إلى إعلامها بما لديها من خطط لتنفيذ بعض التوصيات المتبقية الواردة في الملاحظات الختامية أو جميعها</w:t>
      </w:r>
      <w:r w:rsidR="007F0913" w:rsidRPr="00C472A0">
        <w:rPr>
          <w:b/>
          <w:bCs/>
          <w:rtl/>
        </w:rPr>
        <w:t>،</w:t>
      </w:r>
      <w:r w:rsidRPr="00C472A0">
        <w:rPr>
          <w:b/>
          <w:bCs/>
          <w:rtl/>
        </w:rPr>
        <w:t xml:space="preserve"> خلال الفترة المشمولة بالتقرير المقبل.</w:t>
      </w:r>
    </w:p>
    <w:p w14:paraId="021C69E2" w14:textId="1674F440" w:rsidR="00586DF9" w:rsidRPr="00C472A0" w:rsidRDefault="00586DF9" w:rsidP="00586DF9">
      <w:pPr>
        <w:pStyle w:val="HChGA"/>
      </w:pPr>
      <w:r w:rsidRPr="00C472A0">
        <w:rPr>
          <w:rtl/>
        </w:rPr>
        <w:tab/>
        <w:t>رابعا</w:t>
      </w:r>
      <w:r w:rsidRPr="00C472A0">
        <w:rPr>
          <w:rFonts w:hint="cs"/>
          <w:rtl/>
        </w:rPr>
        <w:t>ً</w:t>
      </w:r>
      <w:r w:rsidRPr="00C472A0">
        <w:rPr>
          <w:rtl/>
        </w:rPr>
        <w:t>-</w:t>
      </w:r>
      <w:r w:rsidRPr="00C472A0">
        <w:rPr>
          <w:rtl/>
        </w:rPr>
        <w:tab/>
        <w:t>مسائل أخرى</w:t>
      </w:r>
    </w:p>
    <w:p w14:paraId="1716AFFD" w14:textId="788C28DD" w:rsidR="00586DF9" w:rsidRPr="00C472A0" w:rsidRDefault="00586DF9" w:rsidP="00586DF9">
      <w:pPr>
        <w:pStyle w:val="SingleTxtGA"/>
        <w:rPr>
          <w:b/>
          <w:bCs/>
        </w:rPr>
      </w:pPr>
      <w:r w:rsidRPr="00CA5F1C">
        <w:rPr>
          <w:rtl/>
        </w:rPr>
        <w:t>35</w:t>
      </w:r>
      <w:r w:rsidRPr="005F1D28">
        <w:rPr>
          <w:rtl/>
        </w:rPr>
        <w:t>-</w:t>
      </w:r>
      <w:r w:rsidRPr="005F1D28">
        <w:rPr>
          <w:rtl/>
        </w:rPr>
        <w:tab/>
      </w:r>
      <w:r w:rsidRPr="00C472A0">
        <w:rPr>
          <w:b/>
          <w:bCs/>
          <w:rtl/>
        </w:rPr>
        <w:t>يُطلب إلى الدولة الطرف أن تنشر على نطاق واسع التقرير المقدّم إلى اللجنة وهذه الملاحظات الختامية</w:t>
      </w:r>
      <w:r w:rsidR="007F0913" w:rsidRPr="00C472A0">
        <w:rPr>
          <w:b/>
          <w:bCs/>
          <w:rtl/>
        </w:rPr>
        <w:t>،</w:t>
      </w:r>
      <w:r w:rsidRPr="00C472A0">
        <w:rPr>
          <w:b/>
          <w:bCs/>
          <w:rtl/>
        </w:rPr>
        <w:t xml:space="preserve"> وذلك عن طريق المواقع الرسمية على شبكة الإنترنت ووسائط الإعلام والمنظمات غير الحكومية وأن تبلغ اللجنة بما تنجزه من أنشطة في مجال نشر</w:t>
      </w:r>
      <w:r w:rsidRPr="00C472A0">
        <w:rPr>
          <w:rFonts w:hint="cs"/>
          <w:b/>
          <w:bCs/>
          <w:rtl/>
        </w:rPr>
        <w:t xml:space="preserve"> التقرير</w:t>
      </w:r>
      <w:r w:rsidRPr="00C472A0">
        <w:rPr>
          <w:b/>
          <w:bCs/>
          <w:rtl/>
        </w:rPr>
        <w:t xml:space="preserve">. </w:t>
      </w:r>
    </w:p>
    <w:p w14:paraId="5C6A28D2" w14:textId="768221C8" w:rsidR="00586DF9" w:rsidRPr="00C472A0" w:rsidRDefault="00586DF9" w:rsidP="00586DF9">
      <w:pPr>
        <w:pStyle w:val="SingleTxtGA"/>
        <w:rPr>
          <w:b/>
          <w:bCs/>
        </w:rPr>
      </w:pPr>
      <w:r w:rsidRPr="00CA5F1C">
        <w:rPr>
          <w:rtl/>
        </w:rPr>
        <w:t>36</w:t>
      </w:r>
      <w:r w:rsidRPr="005F1D28">
        <w:rPr>
          <w:rtl/>
        </w:rPr>
        <w:t>-</w:t>
      </w:r>
      <w:r w:rsidRPr="005F1D28">
        <w:rPr>
          <w:rtl/>
        </w:rPr>
        <w:tab/>
      </w:r>
      <w:r w:rsidRPr="00C472A0">
        <w:rPr>
          <w:rFonts w:hint="cs"/>
          <w:b/>
          <w:bCs/>
          <w:rtl/>
        </w:rPr>
        <w:t>و</w:t>
      </w:r>
      <w:r w:rsidRPr="00C472A0">
        <w:rPr>
          <w:b/>
          <w:bCs/>
          <w:rtl/>
        </w:rPr>
        <w:t>تطلب اللجنة إلى الدولة الطرف أن تقدّم تقريرها الدوري المقبل</w:t>
      </w:r>
      <w:r w:rsidR="007F0913" w:rsidRPr="00C472A0">
        <w:rPr>
          <w:b/>
          <w:bCs/>
          <w:rtl/>
        </w:rPr>
        <w:t>،</w:t>
      </w:r>
      <w:r w:rsidRPr="00C472A0">
        <w:rPr>
          <w:b/>
          <w:bCs/>
          <w:rtl/>
        </w:rPr>
        <w:t xml:space="preserve"> الذي سيكون تقريرها </w:t>
      </w:r>
      <w:r w:rsidRPr="00C472A0">
        <w:rPr>
          <w:rFonts w:hint="cs"/>
          <w:b/>
          <w:bCs/>
          <w:rtl/>
        </w:rPr>
        <w:t>الرابع</w:t>
      </w:r>
      <w:r w:rsidR="007F0913" w:rsidRPr="00C472A0">
        <w:rPr>
          <w:b/>
          <w:bCs/>
          <w:rtl/>
        </w:rPr>
        <w:t>،</w:t>
      </w:r>
      <w:r w:rsidRPr="00C472A0">
        <w:rPr>
          <w:b/>
          <w:bCs/>
          <w:rtl/>
        </w:rPr>
        <w:t xml:space="preserve"> بحلول 13 أيار/مايو 2026. وتحقيقا</w:t>
      </w:r>
      <w:r w:rsidR="006C5612" w:rsidRPr="00C472A0">
        <w:rPr>
          <w:rFonts w:hint="cs"/>
          <w:b/>
          <w:bCs/>
          <w:rtl/>
        </w:rPr>
        <w:t>ً</w:t>
      </w:r>
      <w:r w:rsidRPr="00C472A0">
        <w:rPr>
          <w:b/>
          <w:bCs/>
          <w:rtl/>
        </w:rPr>
        <w:t xml:space="preserve"> لهذه الغاية</w:t>
      </w:r>
      <w:r w:rsidR="007F0913" w:rsidRPr="00C472A0">
        <w:rPr>
          <w:b/>
          <w:bCs/>
          <w:rtl/>
        </w:rPr>
        <w:t>،</w:t>
      </w:r>
      <w:r w:rsidRPr="00C472A0">
        <w:rPr>
          <w:b/>
          <w:bCs/>
          <w:rtl/>
        </w:rPr>
        <w:t xml:space="preserve"> وبالنظر إلى أن الدولة الطرف وافقت على تقديم تقاريرها إلى اللجنة عملاً بالإجراء المبسّط لتقديم التقارير</w:t>
      </w:r>
      <w:r w:rsidR="007F0913" w:rsidRPr="00C472A0">
        <w:rPr>
          <w:b/>
          <w:bCs/>
          <w:rtl/>
        </w:rPr>
        <w:t>،</w:t>
      </w:r>
      <w:r w:rsidRPr="00C472A0">
        <w:rPr>
          <w:b/>
          <w:bCs/>
          <w:rtl/>
        </w:rPr>
        <w:t xml:space="preserve"> فإن اللجنة ستحيل إليها</w:t>
      </w:r>
      <w:r w:rsidR="007F0913" w:rsidRPr="00C472A0">
        <w:rPr>
          <w:b/>
          <w:bCs/>
          <w:rtl/>
        </w:rPr>
        <w:t>،</w:t>
      </w:r>
      <w:r w:rsidRPr="00C472A0">
        <w:rPr>
          <w:b/>
          <w:bCs/>
          <w:rtl/>
        </w:rPr>
        <w:t xml:space="preserve"> في الوقت المناسب</w:t>
      </w:r>
      <w:r w:rsidR="007F0913" w:rsidRPr="00C472A0">
        <w:rPr>
          <w:b/>
          <w:bCs/>
          <w:rtl/>
        </w:rPr>
        <w:t>،</w:t>
      </w:r>
      <w:r w:rsidRPr="00C472A0">
        <w:rPr>
          <w:b/>
          <w:bCs/>
          <w:rtl/>
        </w:rPr>
        <w:t xml:space="preserve"> قائمة مسائل قبل تقديم تقريرها. وستشكّل ردود الدولة الطرف على قائمة المسائل هذه تقريرها الدوري </w:t>
      </w:r>
      <w:r w:rsidRPr="00C472A0">
        <w:rPr>
          <w:rFonts w:hint="cs"/>
          <w:b/>
          <w:bCs/>
          <w:rtl/>
        </w:rPr>
        <w:t>الرابع</w:t>
      </w:r>
      <w:r w:rsidRPr="00C472A0">
        <w:rPr>
          <w:b/>
          <w:bCs/>
          <w:rtl/>
        </w:rPr>
        <w:t xml:space="preserve"> بموجب المادة 19 من الاتفاقية.</w:t>
      </w:r>
      <w:r w:rsidRPr="00C472A0">
        <w:rPr>
          <w:rFonts w:ascii="Arial" w:hAnsi="Arial" w:cs="Arial" w:hint="cs"/>
          <w:b/>
          <w:bCs/>
          <w:rtl/>
        </w:rPr>
        <w:t>‬</w:t>
      </w:r>
    </w:p>
    <w:p w14:paraId="7C909D19" w14:textId="59CCDA8A" w:rsidR="00761849" w:rsidRPr="00586DF9" w:rsidRDefault="00586DF9" w:rsidP="00586DF9">
      <w:pPr>
        <w:pStyle w:val="SingleTxtGA"/>
        <w:jc w:val="center"/>
        <w:rPr>
          <w:u w:val="single"/>
        </w:rPr>
      </w:pPr>
      <w:r>
        <w:rPr>
          <w:u w:val="single"/>
          <w:rtl/>
        </w:rPr>
        <w:tab/>
      </w:r>
      <w:r>
        <w:rPr>
          <w:u w:val="single"/>
          <w:rtl/>
        </w:rPr>
        <w:tab/>
      </w:r>
      <w:r>
        <w:rPr>
          <w:u w:val="single"/>
          <w:rtl/>
        </w:rPr>
        <w:tab/>
      </w:r>
      <w:bookmarkEnd w:id="0"/>
    </w:p>
    <w:sectPr w:rsidR="00761849" w:rsidRPr="00586DF9" w:rsidSect="00CE78C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FFC5" w14:textId="77777777" w:rsidR="006D1482" w:rsidRPr="002901D9" w:rsidRDefault="006D1482" w:rsidP="00874514">
      <w:pPr>
        <w:spacing w:after="60" w:line="240" w:lineRule="auto"/>
        <w:ind w:left="57"/>
        <w:rPr>
          <w:i/>
          <w:iCs/>
        </w:rPr>
      </w:pPr>
      <w:r>
        <w:rPr>
          <w:rFonts w:hint="cs"/>
          <w:i/>
          <w:iCs/>
          <w:rtl/>
        </w:rPr>
        <w:t>الحواشي</w:t>
      </w:r>
    </w:p>
  </w:endnote>
  <w:endnote w:type="continuationSeparator" w:id="0">
    <w:p w14:paraId="2A1F8C3F" w14:textId="77777777" w:rsidR="006D1482" w:rsidRDefault="006D148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CDE5" w14:textId="50D9C5DA" w:rsidR="004310B9" w:rsidRPr="004310B9" w:rsidRDefault="004310B9" w:rsidP="004310B9">
    <w:pPr>
      <w:pStyle w:val="Footer"/>
      <w:tabs>
        <w:tab w:val="right" w:pos="9638"/>
      </w:tabs>
      <w:rPr>
        <w:b/>
        <w:sz w:val="18"/>
        <w:lang w:val="en-US"/>
      </w:rPr>
    </w:pPr>
    <w:r>
      <w:rPr>
        <w:lang w:val="en-US"/>
      </w:rPr>
      <w:t>GE.22-08330</w:t>
    </w:r>
    <w:r>
      <w:rPr>
        <w:lang w:val="en-US"/>
      </w:rPr>
      <w:tab/>
    </w:r>
    <w:r w:rsidRPr="004310B9">
      <w:rPr>
        <w:b/>
        <w:sz w:val="18"/>
        <w:lang w:val="en-US"/>
      </w:rPr>
      <w:fldChar w:fldCharType="begin"/>
    </w:r>
    <w:r w:rsidRPr="004310B9">
      <w:rPr>
        <w:b/>
        <w:sz w:val="18"/>
        <w:lang w:val="en-US"/>
      </w:rPr>
      <w:instrText xml:space="preserve"> PAGE  \* MERGEFORMAT </w:instrText>
    </w:r>
    <w:r w:rsidRPr="004310B9">
      <w:rPr>
        <w:b/>
        <w:sz w:val="18"/>
        <w:lang w:val="en-US"/>
      </w:rPr>
      <w:fldChar w:fldCharType="separate"/>
    </w:r>
    <w:r w:rsidRPr="004310B9">
      <w:rPr>
        <w:b/>
        <w:noProof/>
        <w:sz w:val="18"/>
        <w:lang w:val="en-US"/>
      </w:rPr>
      <w:t>2</w:t>
    </w:r>
    <w:r w:rsidRPr="004310B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E8E3" w14:textId="209B4CF1" w:rsidR="006959B0" w:rsidRPr="004310B9" w:rsidRDefault="004310B9" w:rsidP="004310B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3F54" w14:textId="067F7414" w:rsidR="00261289" w:rsidRPr="004310B9" w:rsidRDefault="004310B9" w:rsidP="004310B9">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7275047F" wp14:editId="2844C0F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22-08330 (A)</w:t>
    </w:r>
    <w:r>
      <w:rPr>
        <w:noProof/>
        <w:sz w:val="20"/>
        <w:lang w:val="en-US"/>
      </w:rPr>
      <w:drawing>
        <wp:anchor distT="0" distB="0" distL="114300" distR="114300" simplePos="0" relativeHeight="251659264" behindDoc="0" locked="0" layoutInCell="1" allowOverlap="1" wp14:anchorId="1D926DAC" wp14:editId="0E3882B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594B" w14:textId="77777777" w:rsidR="006D1482" w:rsidRPr="00C111C6" w:rsidRDefault="006D1482"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23EB092" w14:textId="77777777" w:rsidR="006D1482" w:rsidRDefault="006D1482" w:rsidP="00656392">
      <w:pPr>
        <w:spacing w:line="240" w:lineRule="auto"/>
      </w:pPr>
      <w:r>
        <w:continuationSeparator/>
      </w:r>
    </w:p>
  </w:footnote>
  <w:footnote w:id="1">
    <w:p w14:paraId="557552F1" w14:textId="6F1E6EF8" w:rsidR="00586DF9" w:rsidRPr="00F25D59" w:rsidRDefault="00586DF9" w:rsidP="00F25D59">
      <w:pPr>
        <w:pStyle w:val="FootnoteText1"/>
      </w:pPr>
      <w:r w:rsidRPr="00F25D59">
        <w:rPr>
          <w:rtl/>
        </w:rPr>
        <w:t>*</w:t>
      </w:r>
      <w:r w:rsidRPr="00F25D59">
        <w:rPr>
          <w:rtl/>
        </w:rPr>
        <w:tab/>
        <w:t>اعتمدته اللجنة في دورتها الثالثة والسبعين (</w:t>
      </w:r>
      <w:r w:rsidRPr="00CA5F1C">
        <w:rPr>
          <w:rtl/>
        </w:rPr>
        <w:t>19</w:t>
      </w:r>
      <w:r w:rsidRPr="00F25D59">
        <w:rPr>
          <w:rtl/>
        </w:rPr>
        <w:t xml:space="preserve"> نيسان/أبريل - </w:t>
      </w:r>
      <w:r w:rsidRPr="00CA5F1C">
        <w:rPr>
          <w:rtl/>
        </w:rPr>
        <w:t>13</w:t>
      </w:r>
      <w:r w:rsidRPr="00F25D59">
        <w:rPr>
          <w:rtl/>
        </w:rPr>
        <w:t xml:space="preserve"> أيار/مايو </w:t>
      </w:r>
      <w:r w:rsidRPr="00CA5F1C">
        <w:rPr>
          <w:rtl/>
        </w:rPr>
        <w:t>2022</w:t>
      </w:r>
      <w:r w:rsidRPr="00F25D59">
        <w:rPr>
          <w:rtl/>
        </w:rPr>
        <w:t>).</w:t>
      </w:r>
    </w:p>
  </w:footnote>
  <w:footnote w:id="2">
    <w:p w14:paraId="21CE0440" w14:textId="712625C6" w:rsidR="009A5C20" w:rsidRPr="00F25D59" w:rsidRDefault="009A5C20" w:rsidP="00F25D59">
      <w:pPr>
        <w:pStyle w:val="FootnoteText1"/>
        <w:rPr>
          <w:rtl/>
        </w:rPr>
      </w:pPr>
      <w:r>
        <w:rPr>
          <w:rtl/>
        </w:rPr>
        <w:t>(</w:t>
      </w:r>
      <w:r w:rsidRPr="00CA5F1C">
        <w:footnoteRef/>
      </w:r>
      <w:r>
        <w:rPr>
          <w:rtl/>
        </w:rPr>
        <w:t>)</w:t>
      </w:r>
      <w:r w:rsidRPr="00F25D59">
        <w:rPr>
          <w:rtl/>
        </w:rPr>
        <w:tab/>
      </w:r>
      <w:hyperlink r:id="rId1" w:history="1">
        <w:r w:rsidRPr="007F0913">
          <w:rPr>
            <w:rStyle w:val="Hyperlink"/>
          </w:rPr>
          <w:t>CAT/C/MNE/</w:t>
        </w:r>
        <w:r w:rsidRPr="00CA5F1C">
          <w:rPr>
            <w:rStyle w:val="Hyperlink"/>
          </w:rPr>
          <w:t>3</w:t>
        </w:r>
      </w:hyperlink>
      <w:r w:rsidRPr="00F25D59">
        <w:rPr>
          <w:rtl/>
        </w:rPr>
        <w:t>.</w:t>
      </w:r>
    </w:p>
  </w:footnote>
  <w:footnote w:id="3">
    <w:p w14:paraId="40F68266" w14:textId="4C96EEE4" w:rsidR="009A5C20" w:rsidRPr="00F25D59" w:rsidRDefault="009A5C20" w:rsidP="00F25D59">
      <w:pPr>
        <w:pStyle w:val="FootnoteText1"/>
      </w:pPr>
      <w:r>
        <w:rPr>
          <w:rtl/>
        </w:rPr>
        <w:t>(</w:t>
      </w:r>
      <w:r w:rsidRPr="00CA5F1C">
        <w:footnoteRef/>
      </w:r>
      <w:r>
        <w:rPr>
          <w:rtl/>
        </w:rPr>
        <w:t>)</w:t>
      </w:r>
      <w:r w:rsidRPr="00F25D59">
        <w:rPr>
          <w:rtl/>
        </w:rPr>
        <w:tab/>
      </w:r>
      <w:r w:rsidR="00AA3F51" w:rsidRPr="00AA3F51">
        <w:rPr>
          <w:rtl/>
        </w:rPr>
        <w:t xml:space="preserve">انظر </w:t>
      </w:r>
      <w:hyperlink r:id="rId2" w:history="1">
        <w:r w:rsidR="00AA3F51" w:rsidRPr="007F0913">
          <w:rPr>
            <w:rStyle w:val="Hyperlink"/>
          </w:rPr>
          <w:t>CAT/C/SR.</w:t>
        </w:r>
        <w:r w:rsidR="00AA3F51" w:rsidRPr="00CA5F1C">
          <w:rPr>
            <w:rStyle w:val="Hyperlink"/>
          </w:rPr>
          <w:t>1889</w:t>
        </w:r>
      </w:hyperlink>
      <w:r w:rsidR="007F0913" w:rsidRPr="00AA3F51">
        <w:rPr>
          <w:rtl/>
        </w:rPr>
        <w:t xml:space="preserve"> </w:t>
      </w:r>
      <w:r w:rsidR="007F0913" w:rsidRPr="00AE7E0F">
        <w:rPr>
          <w:rtl/>
        </w:rPr>
        <w:t>و</w:t>
      </w:r>
      <w:hyperlink r:id="rId3" w:history="1">
        <w:r w:rsidR="007F0913" w:rsidRPr="007F0913">
          <w:rPr>
            <w:rStyle w:val="Hyperlink"/>
          </w:rPr>
          <w:t>C</w:t>
        </w:r>
        <w:r w:rsidR="00AA3F51" w:rsidRPr="007F0913">
          <w:rPr>
            <w:rStyle w:val="Hyperlink"/>
          </w:rPr>
          <w:t>AT/C/SR.</w:t>
        </w:r>
        <w:r w:rsidR="00AA3F51" w:rsidRPr="00CA5F1C">
          <w:rPr>
            <w:rStyle w:val="Hyperlink"/>
          </w:rPr>
          <w:t>1892</w:t>
        </w:r>
      </w:hyperlink>
      <w:r w:rsidR="00AA3F51" w:rsidRPr="00AA3F51">
        <w:rPr>
          <w:rtl/>
        </w:rPr>
        <w:t>.</w:t>
      </w:r>
    </w:p>
  </w:footnote>
  <w:footnote w:id="4">
    <w:p w14:paraId="4AB649B4" w14:textId="1806E3ED" w:rsidR="009A5C20" w:rsidRPr="00F25D59" w:rsidRDefault="009A5C20" w:rsidP="00F25D59">
      <w:pPr>
        <w:pStyle w:val="FootnoteText1"/>
      </w:pPr>
      <w:r>
        <w:rPr>
          <w:rtl/>
        </w:rPr>
        <w:t>(</w:t>
      </w:r>
      <w:r w:rsidRPr="00CA5F1C">
        <w:footnoteRef/>
      </w:r>
      <w:r>
        <w:rPr>
          <w:rtl/>
        </w:rPr>
        <w:t>)</w:t>
      </w:r>
      <w:r w:rsidRPr="00F25D59">
        <w:rPr>
          <w:rtl/>
        </w:rPr>
        <w:tab/>
      </w:r>
      <w:hyperlink r:id="rId4" w:history="1">
        <w:r w:rsidRPr="007F0913">
          <w:rPr>
            <w:rStyle w:val="Hyperlink"/>
          </w:rPr>
          <w:t>CAT/C/MNE/CO/</w:t>
        </w:r>
        <w:r w:rsidRPr="00CA5F1C">
          <w:rPr>
            <w:rStyle w:val="Hyperlink"/>
          </w:rPr>
          <w:t>2</w:t>
        </w:r>
      </w:hyperlink>
      <w:r w:rsidR="007F0913">
        <w:rPr>
          <w:rtl/>
        </w:rPr>
        <w:t>،</w:t>
      </w:r>
      <w:r w:rsidRPr="00F25D59">
        <w:rPr>
          <w:rtl/>
        </w:rPr>
        <w:t xml:space="preserve"> الفقرة </w:t>
      </w:r>
      <w:r w:rsidRPr="00CA5F1C">
        <w:rPr>
          <w:rtl/>
        </w:rPr>
        <w:t>21</w:t>
      </w:r>
      <w:r w:rsidRPr="00F25D59">
        <w:rPr>
          <w:rtl/>
        </w:rPr>
        <w:t>.</w:t>
      </w:r>
    </w:p>
  </w:footnote>
  <w:footnote w:id="5">
    <w:p w14:paraId="2B191B42" w14:textId="1AA4CD13" w:rsidR="009A5C20" w:rsidRPr="00F25D59" w:rsidRDefault="009A5C20" w:rsidP="00F25D59">
      <w:pPr>
        <w:pStyle w:val="FootnoteText1"/>
      </w:pPr>
      <w:r>
        <w:rPr>
          <w:rtl/>
        </w:rPr>
        <w:t>(</w:t>
      </w:r>
      <w:r w:rsidRPr="00CA5F1C">
        <w:footnoteRef/>
      </w:r>
      <w:r>
        <w:rPr>
          <w:rtl/>
        </w:rPr>
        <w:t>)</w:t>
      </w:r>
      <w:r w:rsidRPr="00F25D59">
        <w:rPr>
          <w:rtl/>
        </w:rPr>
        <w:tab/>
      </w:r>
      <w:hyperlink r:id="rId5" w:history="1">
        <w:r w:rsidRPr="007F0913">
          <w:rPr>
            <w:rStyle w:val="Hyperlink"/>
          </w:rPr>
          <w:t>CAT/C/MNE/CO/</w:t>
        </w:r>
        <w:r w:rsidRPr="00CA5F1C">
          <w:rPr>
            <w:rStyle w:val="Hyperlink"/>
          </w:rPr>
          <w:t>2</w:t>
        </w:r>
      </w:hyperlink>
      <w:r w:rsidRPr="00F25D59">
        <w:rPr>
          <w:rtl/>
        </w:rPr>
        <w:t>.</w:t>
      </w:r>
    </w:p>
  </w:footnote>
  <w:footnote w:id="6">
    <w:p w14:paraId="71380E01" w14:textId="745CE8BC" w:rsidR="009A5C20" w:rsidRPr="00F25D59" w:rsidRDefault="009A5C20" w:rsidP="00F25D59">
      <w:pPr>
        <w:pStyle w:val="FootnoteText1"/>
      </w:pPr>
      <w:r>
        <w:rPr>
          <w:rtl/>
        </w:rPr>
        <w:t>(</w:t>
      </w:r>
      <w:r w:rsidRPr="00CA5F1C">
        <w:footnoteRef/>
      </w:r>
      <w:r>
        <w:rPr>
          <w:rtl/>
        </w:rPr>
        <w:t>)</w:t>
      </w:r>
      <w:r w:rsidRPr="00F25D59">
        <w:rPr>
          <w:rtl/>
        </w:rPr>
        <w:tab/>
        <w:t>المرجع نفسه</w:t>
      </w:r>
      <w:r w:rsidR="007F0913">
        <w:rPr>
          <w:rtl/>
        </w:rPr>
        <w:t>،</w:t>
      </w:r>
      <w:r w:rsidRPr="00F25D59">
        <w:rPr>
          <w:rtl/>
        </w:rPr>
        <w:t xml:space="preserve"> </w:t>
      </w:r>
      <w:r w:rsidRPr="00F25D59">
        <w:rPr>
          <w:rFonts w:hint="cs"/>
          <w:rtl/>
        </w:rPr>
        <w:t>الفقرتان</w:t>
      </w:r>
      <w:r w:rsidRPr="00F25D59">
        <w:rPr>
          <w:rtl/>
        </w:rPr>
        <w:t xml:space="preserve"> </w:t>
      </w:r>
      <w:r w:rsidRPr="00CA5F1C">
        <w:rPr>
          <w:rFonts w:hint="cs"/>
          <w:rtl/>
        </w:rPr>
        <w:t>7</w:t>
      </w:r>
      <w:r w:rsidRPr="00F25D59">
        <w:rPr>
          <w:rFonts w:hint="cs"/>
          <w:rtl/>
        </w:rPr>
        <w:t>.</w:t>
      </w:r>
    </w:p>
  </w:footnote>
  <w:footnote w:id="7">
    <w:p w14:paraId="64CDCCBA" w14:textId="2041D68F" w:rsidR="009A5C20" w:rsidRPr="00F25D59" w:rsidRDefault="009A5C20" w:rsidP="00F25D59">
      <w:pPr>
        <w:pStyle w:val="FootnoteText1"/>
      </w:pPr>
      <w:r>
        <w:rPr>
          <w:rtl/>
        </w:rPr>
        <w:t>(</w:t>
      </w:r>
      <w:r w:rsidRPr="00CA5F1C">
        <w:footnoteRef/>
      </w:r>
      <w:r>
        <w:rPr>
          <w:rtl/>
        </w:rPr>
        <w:t>)</w:t>
      </w:r>
      <w:r w:rsidRPr="00F25D59">
        <w:rPr>
          <w:rtl/>
        </w:rPr>
        <w:tab/>
        <w:t>المرجع نفسه</w:t>
      </w:r>
      <w:r w:rsidR="007F0913">
        <w:rPr>
          <w:rtl/>
        </w:rPr>
        <w:t>،</w:t>
      </w:r>
      <w:r w:rsidRPr="00F25D59">
        <w:rPr>
          <w:rtl/>
        </w:rPr>
        <w:t xml:space="preserve"> </w:t>
      </w:r>
      <w:r w:rsidRPr="00F25D59">
        <w:rPr>
          <w:rFonts w:hint="cs"/>
          <w:rtl/>
        </w:rPr>
        <w:t>الفقرتان</w:t>
      </w:r>
      <w:r w:rsidRPr="00F25D59">
        <w:rPr>
          <w:rtl/>
        </w:rPr>
        <w:t xml:space="preserve"> </w:t>
      </w:r>
      <w:r w:rsidRPr="00CA5F1C">
        <w:rPr>
          <w:rtl/>
        </w:rPr>
        <w:t>13</w:t>
      </w:r>
      <w:r w:rsidRPr="00F25D59">
        <w:rPr>
          <w:rtl/>
        </w:rPr>
        <w:t>–</w:t>
      </w:r>
      <w:r w:rsidRPr="00CA5F1C">
        <w:rPr>
          <w:rtl/>
        </w:rPr>
        <w:t>14</w:t>
      </w:r>
      <w:r w:rsidRPr="00F25D59">
        <w:rPr>
          <w:rtl/>
        </w:rPr>
        <w:t>.</w:t>
      </w:r>
    </w:p>
  </w:footnote>
  <w:footnote w:id="8">
    <w:p w14:paraId="62F7D61C" w14:textId="22F5294B" w:rsidR="009A5C20" w:rsidRPr="00F25D59" w:rsidRDefault="009A5C20" w:rsidP="00F25D59">
      <w:pPr>
        <w:pStyle w:val="FootnoteText1"/>
      </w:pPr>
      <w:r>
        <w:rPr>
          <w:rtl/>
        </w:rPr>
        <w:t>(</w:t>
      </w:r>
      <w:r w:rsidRPr="00CA5F1C">
        <w:footnoteRef/>
      </w:r>
      <w:r>
        <w:rPr>
          <w:rtl/>
        </w:rPr>
        <w:t>)</w:t>
      </w:r>
      <w:r w:rsidRPr="00F25D59">
        <w:rPr>
          <w:rtl/>
        </w:rPr>
        <w:tab/>
        <w:t>المرجع نفسه</w:t>
      </w:r>
      <w:r w:rsidR="007F0913">
        <w:rPr>
          <w:rtl/>
        </w:rPr>
        <w:t>،</w:t>
      </w:r>
      <w:r w:rsidRPr="00F25D59">
        <w:rPr>
          <w:rtl/>
        </w:rPr>
        <w:t xml:space="preserve"> </w:t>
      </w:r>
      <w:r w:rsidRPr="00F25D59">
        <w:rPr>
          <w:rFonts w:hint="cs"/>
          <w:rtl/>
        </w:rPr>
        <w:t>الفقرتان</w:t>
      </w:r>
      <w:r w:rsidRPr="00F25D59">
        <w:rPr>
          <w:rtl/>
        </w:rPr>
        <w:t xml:space="preserve"> </w:t>
      </w:r>
      <w:r w:rsidRPr="00CA5F1C">
        <w:rPr>
          <w:rtl/>
        </w:rPr>
        <w:t>13</w:t>
      </w:r>
      <w:r w:rsidRPr="00F25D59">
        <w:rPr>
          <w:rtl/>
        </w:rPr>
        <w:t>–</w:t>
      </w:r>
      <w:r w:rsidRPr="00CA5F1C">
        <w:rPr>
          <w:rtl/>
        </w:rPr>
        <w:t>14</w:t>
      </w:r>
      <w:r w:rsidRPr="00F25D59">
        <w:rPr>
          <w:rtl/>
        </w:rPr>
        <w:t>.</w:t>
      </w:r>
    </w:p>
  </w:footnote>
  <w:footnote w:id="9">
    <w:p w14:paraId="178C5D2C" w14:textId="37FC5622" w:rsidR="009A5C20" w:rsidRPr="00F25D59" w:rsidRDefault="009A5C20" w:rsidP="00F25D59">
      <w:pPr>
        <w:pStyle w:val="FootnoteText1"/>
        <w:rPr>
          <w:rFonts w:hint="cs"/>
          <w:rtl/>
        </w:rPr>
      </w:pPr>
      <w:r>
        <w:rPr>
          <w:rtl/>
        </w:rPr>
        <w:t>(</w:t>
      </w:r>
      <w:r w:rsidRPr="00CA5F1C">
        <w:footnoteRef/>
      </w:r>
      <w:r>
        <w:rPr>
          <w:rtl/>
        </w:rPr>
        <w:t>)</w:t>
      </w:r>
      <w:r w:rsidRPr="00F25D59">
        <w:rPr>
          <w:rtl/>
        </w:rPr>
        <w:tab/>
      </w:r>
      <w:hyperlink r:id="rId6" w:history="1">
        <w:r w:rsidRPr="0039076A">
          <w:rPr>
            <w:rStyle w:val="Hyperlink"/>
          </w:rPr>
          <w:t>CAT/C/MNE/CO/2/Add.1</w:t>
        </w:r>
      </w:hyperlink>
      <w:r w:rsidR="0039076A">
        <w:rPr>
          <w:rFonts w:hint="cs"/>
          <w:rtl/>
        </w:rPr>
        <w:t>.</w:t>
      </w:r>
    </w:p>
  </w:footnote>
  <w:footnote w:id="10">
    <w:p w14:paraId="36B48D81" w14:textId="0CA9A470" w:rsidR="009A5C20" w:rsidRPr="00F25D59" w:rsidRDefault="009A5C20" w:rsidP="00F25D59">
      <w:pPr>
        <w:pStyle w:val="FootnoteText1"/>
      </w:pPr>
      <w:r>
        <w:rPr>
          <w:rtl/>
        </w:rPr>
        <w:t>(</w:t>
      </w:r>
      <w:r w:rsidRPr="00CA5F1C">
        <w:footnoteRef/>
      </w:r>
      <w:r>
        <w:rPr>
          <w:rtl/>
        </w:rPr>
        <w:t>)</w:t>
      </w:r>
      <w:r w:rsidRPr="00F25D59">
        <w:rPr>
          <w:rtl/>
        </w:rPr>
        <w:tab/>
      </w:r>
      <w:hyperlink r:id="rId7" w:history="1">
        <w:r w:rsidRPr="007F0913">
          <w:rPr>
            <w:rStyle w:val="Hyperlink"/>
          </w:rPr>
          <w:t>CAT/C/MNE/CO/</w:t>
        </w:r>
        <w:r w:rsidRPr="00CA5F1C">
          <w:rPr>
            <w:rStyle w:val="Hyperlink"/>
          </w:rPr>
          <w:t>2</w:t>
        </w:r>
      </w:hyperlink>
      <w:r w:rsidR="007F0913">
        <w:rPr>
          <w:rtl/>
        </w:rPr>
        <w:t>،</w:t>
      </w:r>
      <w:r w:rsidRPr="00F25D59">
        <w:rPr>
          <w:rtl/>
        </w:rPr>
        <w:t xml:space="preserve"> الفقرة </w:t>
      </w:r>
      <w:r w:rsidRPr="00CA5F1C">
        <w:rPr>
          <w:rtl/>
        </w:rPr>
        <w:t>6</w:t>
      </w:r>
      <w:r w:rsidRPr="00F25D59">
        <w:rPr>
          <w:rtl/>
        </w:rPr>
        <w:t>.</w:t>
      </w:r>
    </w:p>
  </w:footnote>
  <w:footnote w:id="11">
    <w:p w14:paraId="6DC74BFD" w14:textId="61C17E0E" w:rsidR="009A5C20" w:rsidRPr="00F25D59" w:rsidRDefault="009A5C20" w:rsidP="00F25D59">
      <w:pPr>
        <w:pStyle w:val="FootnoteText1"/>
      </w:pPr>
      <w:r>
        <w:rPr>
          <w:rtl/>
        </w:rPr>
        <w:t>(</w:t>
      </w:r>
      <w:r w:rsidRPr="00CA5F1C">
        <w:footnoteRef/>
      </w:r>
      <w:r>
        <w:rPr>
          <w:rtl/>
        </w:rPr>
        <w:t>)</w:t>
      </w:r>
      <w:r w:rsidRPr="00F25D59">
        <w:rPr>
          <w:rtl/>
        </w:rPr>
        <w:tab/>
        <w:t>المرجع نفسه</w:t>
      </w:r>
      <w:r w:rsidR="007F0913">
        <w:rPr>
          <w:rtl/>
        </w:rPr>
        <w:t>،</w:t>
      </w:r>
      <w:r w:rsidRPr="00F25D59">
        <w:rPr>
          <w:rtl/>
        </w:rPr>
        <w:t xml:space="preserve"> </w:t>
      </w:r>
      <w:r w:rsidRPr="00F25D59">
        <w:rPr>
          <w:rFonts w:hint="cs"/>
          <w:rtl/>
        </w:rPr>
        <w:t>الفقرة</w:t>
      </w:r>
      <w:r w:rsidRPr="00F25D59">
        <w:rPr>
          <w:rtl/>
        </w:rPr>
        <w:t xml:space="preserve"> </w:t>
      </w:r>
      <w:r w:rsidRPr="00CA5F1C">
        <w:rPr>
          <w:rtl/>
        </w:rPr>
        <w:t>7</w:t>
      </w:r>
      <w:r w:rsidRPr="00F25D59">
        <w:rPr>
          <w:rtl/>
        </w:rPr>
        <w:t>.</w:t>
      </w:r>
    </w:p>
  </w:footnote>
  <w:footnote w:id="12">
    <w:p w14:paraId="10A73C28" w14:textId="24E61EA6" w:rsidR="009A5C20" w:rsidRPr="00F25D59" w:rsidRDefault="009A5C20" w:rsidP="00F25D59">
      <w:pPr>
        <w:pStyle w:val="FootnoteText1"/>
      </w:pPr>
      <w:r>
        <w:rPr>
          <w:rtl/>
        </w:rPr>
        <w:t>(</w:t>
      </w:r>
      <w:r w:rsidRPr="00CA5F1C">
        <w:footnoteRef/>
      </w:r>
      <w:r>
        <w:rPr>
          <w:rtl/>
        </w:rPr>
        <w:t>)</w:t>
      </w:r>
      <w:r w:rsidRPr="00F25D59">
        <w:rPr>
          <w:rtl/>
        </w:rPr>
        <w:tab/>
        <w:t xml:space="preserve">المرجع نفسه. </w:t>
      </w:r>
      <w:r w:rsidRPr="00F25D59">
        <w:rPr>
          <w:rFonts w:hint="cs"/>
          <w:rtl/>
        </w:rPr>
        <w:t>الفقرة</w:t>
      </w:r>
      <w:r w:rsidRPr="00F25D59">
        <w:rPr>
          <w:rtl/>
        </w:rPr>
        <w:t xml:space="preserve"> </w:t>
      </w:r>
      <w:r w:rsidRPr="00CA5F1C">
        <w:rPr>
          <w:rtl/>
        </w:rPr>
        <w:t>7</w:t>
      </w:r>
      <w:r w:rsidRPr="00F25D59">
        <w:rPr>
          <w:rtl/>
        </w:rPr>
        <w:t>.</w:t>
      </w:r>
    </w:p>
  </w:footnote>
  <w:footnote w:id="13">
    <w:p w14:paraId="305E3368" w14:textId="10AD2800" w:rsidR="009A5C20" w:rsidRPr="00F25D59" w:rsidRDefault="009A5C20" w:rsidP="00F25D59">
      <w:pPr>
        <w:pStyle w:val="FootnoteText1"/>
      </w:pPr>
      <w:r>
        <w:rPr>
          <w:rtl/>
        </w:rPr>
        <w:t>(</w:t>
      </w:r>
      <w:r w:rsidRPr="00CA5F1C">
        <w:footnoteRef/>
      </w:r>
      <w:r>
        <w:rPr>
          <w:rtl/>
        </w:rPr>
        <w:t>)</w:t>
      </w:r>
      <w:r w:rsidRPr="00F25D59">
        <w:rPr>
          <w:rtl/>
        </w:rPr>
        <w:tab/>
        <w:t xml:space="preserve">قانون الحماية الدولية والمؤقتة للأجانب في </w:t>
      </w:r>
      <w:r w:rsidRPr="00CA5F1C">
        <w:rPr>
          <w:rtl/>
        </w:rPr>
        <w:t>1</w:t>
      </w:r>
      <w:r w:rsidRPr="00F25D59">
        <w:rPr>
          <w:rtl/>
        </w:rPr>
        <w:t xml:space="preserve"> </w:t>
      </w:r>
      <w:r w:rsidRPr="00F25D59">
        <w:rPr>
          <w:rFonts w:hint="cs"/>
          <w:rtl/>
        </w:rPr>
        <w:t>كانون الثاني/</w:t>
      </w:r>
      <w:r w:rsidRPr="00F25D59">
        <w:rPr>
          <w:rtl/>
        </w:rPr>
        <w:t xml:space="preserve">يناير </w:t>
      </w:r>
      <w:r w:rsidRPr="00CA5F1C">
        <w:rPr>
          <w:rtl/>
        </w:rPr>
        <w:t>2018</w:t>
      </w:r>
      <w:r w:rsidRPr="00F25D59">
        <w:rPr>
          <w:rtl/>
        </w:rPr>
        <w:t xml:space="preserve">. </w:t>
      </w:r>
    </w:p>
  </w:footnote>
  <w:footnote w:id="14">
    <w:p w14:paraId="7A13A1DC" w14:textId="1FF85A3C" w:rsidR="009A5C20" w:rsidRPr="00F25D59" w:rsidRDefault="009A5C20" w:rsidP="00F25D59">
      <w:pPr>
        <w:pStyle w:val="FootnoteText1"/>
      </w:pPr>
      <w:r>
        <w:rPr>
          <w:rtl/>
        </w:rPr>
        <w:t>(</w:t>
      </w:r>
      <w:r w:rsidRPr="00CA5F1C">
        <w:footnoteRef/>
      </w:r>
      <w:r>
        <w:rPr>
          <w:rtl/>
        </w:rPr>
        <w:t>)</w:t>
      </w:r>
      <w:r w:rsidRPr="00F25D59">
        <w:rPr>
          <w:rtl/>
        </w:rPr>
        <w:tab/>
        <w:t>المرجع نفسه.</w:t>
      </w:r>
    </w:p>
  </w:footnote>
  <w:footnote w:id="15">
    <w:p w14:paraId="054B3571" w14:textId="482263BD" w:rsidR="009A5C20" w:rsidRPr="00F25D59" w:rsidRDefault="009A5C20" w:rsidP="00F25D59">
      <w:pPr>
        <w:pStyle w:val="FootnoteText1"/>
      </w:pPr>
      <w:r>
        <w:rPr>
          <w:rtl/>
        </w:rPr>
        <w:t>(</w:t>
      </w:r>
      <w:r w:rsidRPr="00CA5F1C">
        <w:footnoteRef/>
      </w:r>
      <w:r>
        <w:rPr>
          <w:rtl/>
        </w:rPr>
        <w:t>)</w:t>
      </w:r>
      <w:r w:rsidRPr="00F25D59">
        <w:rPr>
          <w:rtl/>
        </w:rPr>
        <w:tab/>
      </w:r>
      <w:hyperlink r:id="rId8" w:history="1">
        <w:r w:rsidRPr="007F0913">
          <w:rPr>
            <w:rStyle w:val="Hyperlink"/>
          </w:rPr>
          <w:t>CAT/C/MNE/CO/</w:t>
        </w:r>
        <w:r w:rsidRPr="00CA5F1C">
          <w:rPr>
            <w:rStyle w:val="Hyperlink"/>
          </w:rPr>
          <w:t>2</w:t>
        </w:r>
      </w:hyperlink>
      <w:r w:rsidR="007F0913">
        <w:rPr>
          <w:rtl/>
        </w:rPr>
        <w:t>،</w:t>
      </w:r>
      <w:r w:rsidRPr="00F25D59">
        <w:rPr>
          <w:rtl/>
        </w:rPr>
        <w:t xml:space="preserve"> الفقرة </w:t>
      </w:r>
      <w:r w:rsidRPr="00CA5F1C">
        <w:rPr>
          <w:rtl/>
        </w:rPr>
        <w:t>8</w:t>
      </w:r>
      <w:r w:rsidRPr="00F25D59">
        <w:rPr>
          <w:rtl/>
        </w:rPr>
        <w:t>.</w:t>
      </w:r>
    </w:p>
  </w:footnote>
  <w:footnote w:id="16">
    <w:p w14:paraId="2B164F60" w14:textId="7923D220" w:rsidR="009A5C20" w:rsidRPr="00F25D59" w:rsidRDefault="009A5C20" w:rsidP="00F25D59">
      <w:pPr>
        <w:pStyle w:val="FootnoteText1"/>
      </w:pPr>
      <w:r>
        <w:rPr>
          <w:rtl/>
        </w:rPr>
        <w:t>(</w:t>
      </w:r>
      <w:r w:rsidRPr="00CA5F1C">
        <w:footnoteRef/>
      </w:r>
      <w:r>
        <w:rPr>
          <w:rtl/>
        </w:rPr>
        <w:t>)</w:t>
      </w:r>
      <w:r w:rsidRPr="00F25D59">
        <w:rPr>
          <w:rtl/>
        </w:rPr>
        <w:tab/>
      </w:r>
      <w:hyperlink r:id="rId9" w:history="1">
        <w:r w:rsidRPr="007F0913">
          <w:rPr>
            <w:rStyle w:val="Hyperlink"/>
          </w:rPr>
          <w:t>CAT/C/MNE/CO/</w:t>
        </w:r>
        <w:r w:rsidRPr="00CA5F1C">
          <w:rPr>
            <w:rStyle w:val="Hyperlink"/>
          </w:rPr>
          <w:t>2</w:t>
        </w:r>
      </w:hyperlink>
      <w:r w:rsidR="007F0913">
        <w:rPr>
          <w:rtl/>
        </w:rPr>
        <w:t>،</w:t>
      </w:r>
      <w:r w:rsidRPr="00F25D59">
        <w:rPr>
          <w:rtl/>
        </w:rPr>
        <w:t xml:space="preserve"> الفقرة </w:t>
      </w:r>
      <w:r w:rsidRPr="00CA5F1C">
        <w:rPr>
          <w:rtl/>
        </w:rPr>
        <w:t>14</w:t>
      </w:r>
      <w:r w:rsidRPr="00F25D5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51F6" w14:textId="7C516DF0" w:rsidR="004310B9" w:rsidRPr="004310B9" w:rsidRDefault="004310B9" w:rsidP="004310B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76BF4">
      <w:t>CAT/C/MNE/CO/3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E684" w14:textId="4CF43E47" w:rsidR="004310B9" w:rsidRPr="004310B9" w:rsidRDefault="004310B9" w:rsidP="004310B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76BF4">
      <w:t>CAT/C/MNE/CO/3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6BF2"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5E7919DE"/>
    <w:multiLevelType w:val="hybridMultilevel"/>
    <w:tmpl w:val="EE4C9C5A"/>
    <w:lvl w:ilvl="0" w:tplc="C4348CE0">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2"/>
  </w:num>
  <w:num w:numId="3">
    <w:abstractNumId w:val="2"/>
  </w:num>
  <w:num w:numId="4">
    <w:abstractNumId w:val="11"/>
  </w:num>
  <w:num w:numId="5">
    <w:abstractNumId w:val="8"/>
  </w:num>
  <w:num w:numId="6">
    <w:abstractNumId w:val="5"/>
  </w:num>
  <w:num w:numId="7">
    <w:abstractNumId w:val="18"/>
  </w:num>
  <w:num w:numId="8">
    <w:abstractNumId w:val="2"/>
  </w:num>
  <w:num w:numId="9">
    <w:abstractNumId w:val="11"/>
  </w:num>
  <w:num w:numId="10">
    <w:abstractNumId w:val="5"/>
  </w:num>
  <w:num w:numId="11">
    <w:abstractNumId w:val="18"/>
  </w:num>
  <w:num w:numId="12">
    <w:abstractNumId w:val="2"/>
  </w:num>
  <w:num w:numId="13">
    <w:abstractNumId w:val="11"/>
  </w:num>
  <w:num w:numId="14">
    <w:abstractNumId w:val="8"/>
  </w:num>
  <w:num w:numId="15">
    <w:abstractNumId w:val="5"/>
  </w:num>
  <w:num w:numId="16">
    <w:abstractNumId w:val="18"/>
  </w:num>
  <w:num w:numId="17">
    <w:abstractNumId w:val="4"/>
  </w:num>
  <w:num w:numId="18">
    <w:abstractNumId w:val="3"/>
  </w:num>
  <w:num w:numId="19">
    <w:abstractNumId w:val="17"/>
  </w:num>
  <w:num w:numId="20">
    <w:abstractNumId w:val="13"/>
  </w:num>
  <w:num w:numId="21">
    <w:abstractNumId w:val="1"/>
  </w:num>
  <w:num w:numId="22">
    <w:abstractNumId w:val="15"/>
  </w:num>
  <w:num w:numId="23">
    <w:abstractNumId w:val="0"/>
  </w:num>
  <w:num w:numId="24">
    <w:abstractNumId w:val="9"/>
  </w:num>
  <w:num w:numId="25">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82"/>
    <w:rsid w:val="000076D5"/>
    <w:rsid w:val="00043663"/>
    <w:rsid w:val="000456F3"/>
    <w:rsid w:val="000505CF"/>
    <w:rsid w:val="000A2113"/>
    <w:rsid w:val="000D1EDB"/>
    <w:rsid w:val="000D701C"/>
    <w:rsid w:val="000E11D4"/>
    <w:rsid w:val="000E2A71"/>
    <w:rsid w:val="000F71D2"/>
    <w:rsid w:val="00143C39"/>
    <w:rsid w:val="00147578"/>
    <w:rsid w:val="00160263"/>
    <w:rsid w:val="00166BD2"/>
    <w:rsid w:val="00167825"/>
    <w:rsid w:val="00170EB3"/>
    <w:rsid w:val="00181F96"/>
    <w:rsid w:val="001A1371"/>
    <w:rsid w:val="001B346A"/>
    <w:rsid w:val="001D69D4"/>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9076A"/>
    <w:rsid w:val="003A5B64"/>
    <w:rsid w:val="003D1062"/>
    <w:rsid w:val="00420D7B"/>
    <w:rsid w:val="004310B9"/>
    <w:rsid w:val="00450B21"/>
    <w:rsid w:val="00453B63"/>
    <w:rsid w:val="00455780"/>
    <w:rsid w:val="00462F28"/>
    <w:rsid w:val="00472BE8"/>
    <w:rsid w:val="004811D5"/>
    <w:rsid w:val="004956DC"/>
    <w:rsid w:val="004B0A1C"/>
    <w:rsid w:val="004D2177"/>
    <w:rsid w:val="004D298E"/>
    <w:rsid w:val="004E47E3"/>
    <w:rsid w:val="00531DEA"/>
    <w:rsid w:val="0054472E"/>
    <w:rsid w:val="005662A9"/>
    <w:rsid w:val="00575E9A"/>
    <w:rsid w:val="005827D4"/>
    <w:rsid w:val="00586DF9"/>
    <w:rsid w:val="0059622A"/>
    <w:rsid w:val="005A3015"/>
    <w:rsid w:val="005C5878"/>
    <w:rsid w:val="005C7BBB"/>
    <w:rsid w:val="005C7CEA"/>
    <w:rsid w:val="005D3C0B"/>
    <w:rsid w:val="005E23DF"/>
    <w:rsid w:val="005E5217"/>
    <w:rsid w:val="005F0FA4"/>
    <w:rsid w:val="005F1D28"/>
    <w:rsid w:val="005F30EE"/>
    <w:rsid w:val="0060473A"/>
    <w:rsid w:val="00611ED5"/>
    <w:rsid w:val="00656392"/>
    <w:rsid w:val="006646E9"/>
    <w:rsid w:val="0068781D"/>
    <w:rsid w:val="006959B0"/>
    <w:rsid w:val="006B2A7F"/>
    <w:rsid w:val="006B3E27"/>
    <w:rsid w:val="006B6507"/>
    <w:rsid w:val="006C104C"/>
    <w:rsid w:val="006C5612"/>
    <w:rsid w:val="006D05CB"/>
    <w:rsid w:val="006D1482"/>
    <w:rsid w:val="00706DFD"/>
    <w:rsid w:val="00712059"/>
    <w:rsid w:val="00733704"/>
    <w:rsid w:val="0074737D"/>
    <w:rsid w:val="00761849"/>
    <w:rsid w:val="0078071A"/>
    <w:rsid w:val="007A3847"/>
    <w:rsid w:val="007D56C1"/>
    <w:rsid w:val="007F0913"/>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5C20"/>
    <w:rsid w:val="009A7E9F"/>
    <w:rsid w:val="009E4397"/>
    <w:rsid w:val="009E5018"/>
    <w:rsid w:val="009F09F5"/>
    <w:rsid w:val="00A12B37"/>
    <w:rsid w:val="00A34EA8"/>
    <w:rsid w:val="00A44D86"/>
    <w:rsid w:val="00A67AF5"/>
    <w:rsid w:val="00A94CA3"/>
    <w:rsid w:val="00AA3F51"/>
    <w:rsid w:val="00AB2C0B"/>
    <w:rsid w:val="00AB6758"/>
    <w:rsid w:val="00AE7E0F"/>
    <w:rsid w:val="00B07715"/>
    <w:rsid w:val="00B13763"/>
    <w:rsid w:val="00B456A0"/>
    <w:rsid w:val="00B477A4"/>
    <w:rsid w:val="00B54045"/>
    <w:rsid w:val="00B82677"/>
    <w:rsid w:val="00BA39D4"/>
    <w:rsid w:val="00BD0805"/>
    <w:rsid w:val="00C111C6"/>
    <w:rsid w:val="00C438D7"/>
    <w:rsid w:val="00C472A0"/>
    <w:rsid w:val="00C62476"/>
    <w:rsid w:val="00C64C7B"/>
    <w:rsid w:val="00C81B50"/>
    <w:rsid w:val="00C87F1F"/>
    <w:rsid w:val="00C96AFF"/>
    <w:rsid w:val="00CA2103"/>
    <w:rsid w:val="00CA35DF"/>
    <w:rsid w:val="00CA5F1C"/>
    <w:rsid w:val="00CD1801"/>
    <w:rsid w:val="00CE78C3"/>
    <w:rsid w:val="00CF25FC"/>
    <w:rsid w:val="00D10EF1"/>
    <w:rsid w:val="00D317F1"/>
    <w:rsid w:val="00D3653E"/>
    <w:rsid w:val="00D42810"/>
    <w:rsid w:val="00D76BF4"/>
    <w:rsid w:val="00D914A7"/>
    <w:rsid w:val="00DB712F"/>
    <w:rsid w:val="00DC1D29"/>
    <w:rsid w:val="00DD13C3"/>
    <w:rsid w:val="00DD596E"/>
    <w:rsid w:val="00DD621E"/>
    <w:rsid w:val="00DF0575"/>
    <w:rsid w:val="00DF77C8"/>
    <w:rsid w:val="00E2697F"/>
    <w:rsid w:val="00E64B72"/>
    <w:rsid w:val="00E70E04"/>
    <w:rsid w:val="00E76499"/>
    <w:rsid w:val="00EC05A7"/>
    <w:rsid w:val="00EC4B6B"/>
    <w:rsid w:val="00EE56C3"/>
    <w:rsid w:val="00EE5E63"/>
    <w:rsid w:val="00EF1EE5"/>
    <w:rsid w:val="00F158EB"/>
    <w:rsid w:val="00F1695F"/>
    <w:rsid w:val="00F25D59"/>
    <w:rsid w:val="00F40386"/>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051BD7"/>
  <w15:docId w15:val="{E3D86D36-DCA3-4E4D-8240-87CCCA5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MNE/CO/2" TargetMode="External"/><Relationship Id="rId3" Type="http://schemas.openxmlformats.org/officeDocument/2006/relationships/hyperlink" Target="http://undocs.org/ar/CAT/C/SR.1892" TargetMode="External"/><Relationship Id="rId7" Type="http://schemas.openxmlformats.org/officeDocument/2006/relationships/hyperlink" Target="http://undocs.org/ar/CAT/C/MNE/CO/2" TargetMode="External"/><Relationship Id="rId2" Type="http://schemas.openxmlformats.org/officeDocument/2006/relationships/hyperlink" Target="http://undocs.org/ar/CAT/C/SR.1889" TargetMode="External"/><Relationship Id="rId1" Type="http://schemas.openxmlformats.org/officeDocument/2006/relationships/hyperlink" Target="http://undocs.org/ar/CAT/C/MNE/3" TargetMode="External"/><Relationship Id="rId6" Type="http://schemas.openxmlformats.org/officeDocument/2006/relationships/hyperlink" Target="https://undocs.org/ar/CAT/C/MNE/CO/2/Add.1" TargetMode="External"/><Relationship Id="rId5" Type="http://schemas.openxmlformats.org/officeDocument/2006/relationships/hyperlink" Target="http://undocs.org/ar/CAT/C/MNE/CO/2" TargetMode="External"/><Relationship Id="rId4" Type="http://schemas.openxmlformats.org/officeDocument/2006/relationships/hyperlink" Target="http://undocs.org/ar/CAT/C/MNE/CO/2" TargetMode="External"/><Relationship Id="rId9" Type="http://schemas.openxmlformats.org/officeDocument/2006/relationships/hyperlink" Target="http://undocs.org/ar/CAT/C/MNE/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9</TotalTime>
  <Pages>10</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CAT/C/MNE/CO/3</vt:lpstr>
    </vt:vector>
  </TitlesOfParts>
  <Company>DCM</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CAT/C/MNE/CO/3</dc:title>
  <dc:subject>GE.2208330(A)</dc:subject>
  <dc:creator>bah - MAB</dc:creator>
  <cp:keywords>GE.2235552(A)</cp:keywords>
  <dc:description>Distr.: General
2 June 2022
Arabic
Original: English</dc:description>
  <cp:lastModifiedBy>Jamal Alkahlout</cp:lastModifiedBy>
  <cp:revision>5</cp:revision>
  <cp:lastPrinted>2022-06-27T17:12:00Z</cp:lastPrinted>
  <dcterms:created xsi:type="dcterms:W3CDTF">2022-06-27T17:12:00Z</dcterms:created>
  <dcterms:modified xsi:type="dcterms:W3CDTF">2022-06-28T05:50:00Z</dcterms:modified>
  <cp:category>Final</cp:category>
</cp:coreProperties>
</file>