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679"/>
        <w:gridCol w:w="3686"/>
      </w:tblGrid>
      <w:tr w:rsidR="006B3E27" w:rsidRPr="005445EF" w14:paraId="4D1E7BCF" w14:textId="77777777" w:rsidTr="00912700">
        <w:trPr>
          <w:trHeight w:hRule="exact" w:val="851"/>
        </w:trPr>
        <w:tc>
          <w:tcPr>
            <w:tcW w:w="1274" w:type="dxa"/>
            <w:tcBorders>
              <w:bottom w:val="single" w:sz="4" w:space="0" w:color="auto"/>
            </w:tcBorders>
          </w:tcPr>
          <w:p w14:paraId="6A39C7D3" w14:textId="77777777" w:rsidR="006B3E27" w:rsidRPr="005445EF" w:rsidRDefault="006B3E27" w:rsidP="00A74E18">
            <w:pPr>
              <w:kinsoku w:val="0"/>
              <w:overflowPunct w:val="0"/>
              <w:autoSpaceDE w:val="0"/>
              <w:autoSpaceDN w:val="0"/>
              <w:adjustRightInd w:val="0"/>
              <w:snapToGrid w:val="0"/>
              <w:spacing w:after="80" w:line="480" w:lineRule="exact"/>
              <w:jc w:val="left"/>
              <w:rPr>
                <w:rFonts w:hint="cs"/>
                <w:szCs w:val="40"/>
                <w:rtl/>
              </w:rPr>
            </w:pPr>
          </w:p>
        </w:tc>
        <w:tc>
          <w:tcPr>
            <w:tcW w:w="4679" w:type="dxa"/>
            <w:tcBorders>
              <w:bottom w:val="single" w:sz="4" w:space="0" w:color="auto"/>
            </w:tcBorders>
            <w:vAlign w:val="bottom"/>
          </w:tcPr>
          <w:p w14:paraId="45B3D1E1" w14:textId="77777777" w:rsidR="006B3E27" w:rsidRPr="005445EF" w:rsidRDefault="006B3E27" w:rsidP="00F83E84">
            <w:pPr>
              <w:spacing w:after="80" w:line="480" w:lineRule="exact"/>
              <w:ind w:left="57"/>
              <w:jc w:val="left"/>
              <w:rPr>
                <w:sz w:val="30"/>
                <w:szCs w:val="30"/>
                <w:rtl/>
              </w:rPr>
            </w:pPr>
            <w:r w:rsidRPr="005445EF">
              <w:rPr>
                <w:rFonts w:hint="cs"/>
                <w:sz w:val="30"/>
                <w:szCs w:val="30"/>
                <w:rtl/>
              </w:rPr>
              <w:t>الأمم المتحدة</w:t>
            </w:r>
          </w:p>
        </w:tc>
        <w:tc>
          <w:tcPr>
            <w:tcW w:w="3686" w:type="dxa"/>
            <w:tcBorders>
              <w:bottom w:val="single" w:sz="4" w:space="0" w:color="auto"/>
            </w:tcBorders>
            <w:vAlign w:val="bottom"/>
          </w:tcPr>
          <w:p w14:paraId="1E87719E" w14:textId="206CB82D" w:rsidR="006B3E27" w:rsidRPr="00A671A9" w:rsidRDefault="00A671A9" w:rsidP="00A671A9">
            <w:pPr>
              <w:bidi w:val="0"/>
              <w:jc w:val="left"/>
            </w:pPr>
            <w:r w:rsidRPr="00702CCC">
              <w:rPr>
                <w:sz w:val="40"/>
              </w:rPr>
              <w:t>CERD</w:t>
            </w:r>
            <w:r w:rsidRPr="00702CCC">
              <w:t>/C/CMR/CO/</w:t>
            </w:r>
            <w:r w:rsidRPr="00670A39">
              <w:t>22</w:t>
            </w:r>
            <w:r w:rsidRPr="00702CCC">
              <w:t>-</w:t>
            </w:r>
            <w:r w:rsidRPr="00670A39">
              <w:t>23</w:t>
            </w:r>
          </w:p>
        </w:tc>
      </w:tr>
      <w:tr w:rsidR="006B3E27" w:rsidRPr="005445EF" w14:paraId="513D9D35" w14:textId="77777777" w:rsidTr="00912700">
        <w:trPr>
          <w:trHeight w:hRule="exact" w:val="2835"/>
        </w:trPr>
        <w:tc>
          <w:tcPr>
            <w:tcW w:w="1274" w:type="dxa"/>
            <w:tcBorders>
              <w:top w:val="single" w:sz="4" w:space="0" w:color="auto"/>
              <w:bottom w:val="single" w:sz="12" w:space="0" w:color="auto"/>
            </w:tcBorders>
          </w:tcPr>
          <w:p w14:paraId="2580A3FF" w14:textId="77777777" w:rsidR="006B3E27" w:rsidRPr="005445EF" w:rsidRDefault="0059622A" w:rsidP="00912700">
            <w:pPr>
              <w:jc w:val="center"/>
              <w:rPr>
                <w:rtl/>
              </w:rPr>
            </w:pPr>
            <w:r w:rsidRPr="005445EF">
              <w:rPr>
                <w:noProof/>
              </w:rPr>
              <w:drawing>
                <wp:inline distT="0" distB="0" distL="0" distR="0" wp14:anchorId="6F855FD9" wp14:editId="6ABAF47A">
                  <wp:extent cx="630000" cy="612000"/>
                  <wp:effectExtent l="0" t="0" r="0" b="0"/>
                  <wp:docPr id="1"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9" w:type="dxa"/>
            <w:tcBorders>
              <w:top w:val="single" w:sz="4" w:space="0" w:color="auto"/>
              <w:bottom w:val="single" w:sz="12" w:space="0" w:color="auto"/>
            </w:tcBorders>
          </w:tcPr>
          <w:p w14:paraId="53202169" w14:textId="77777777" w:rsidR="006B3E27" w:rsidRPr="00670A39" w:rsidRDefault="001E1CAD" w:rsidP="00F83E84">
            <w:pPr>
              <w:spacing w:before="120" w:after="40" w:line="640" w:lineRule="exact"/>
              <w:ind w:left="57"/>
              <w:jc w:val="left"/>
              <w:rPr>
                <w:b/>
                <w:bCs/>
                <w:sz w:val="46"/>
                <w:szCs w:val="46"/>
                <w:rtl/>
              </w:rPr>
            </w:pPr>
            <w:r w:rsidRPr="00670A39">
              <w:rPr>
                <w:rFonts w:hint="cs"/>
                <w:b/>
                <w:bCs/>
                <w:sz w:val="46"/>
                <w:szCs w:val="46"/>
                <w:rtl/>
              </w:rPr>
              <w:t>ا</w:t>
            </w:r>
            <w:r w:rsidR="00523BAE" w:rsidRPr="00670A39">
              <w:rPr>
                <w:rFonts w:hint="cs"/>
                <w:b/>
                <w:bCs/>
                <w:sz w:val="46"/>
                <w:szCs w:val="46"/>
                <w:rtl/>
              </w:rPr>
              <w:t>لا</w:t>
            </w:r>
            <w:r w:rsidR="004A14A6" w:rsidRPr="00670A39">
              <w:rPr>
                <w:rFonts w:hint="cs"/>
                <w:b/>
                <w:bCs/>
                <w:sz w:val="46"/>
                <w:szCs w:val="46"/>
                <w:rtl/>
              </w:rPr>
              <w:t>تفاقي</w:t>
            </w:r>
            <w:r w:rsidR="00523BAE" w:rsidRPr="00670A39">
              <w:rPr>
                <w:rFonts w:hint="cs"/>
                <w:b/>
                <w:bCs/>
                <w:sz w:val="46"/>
                <w:szCs w:val="46"/>
                <w:rtl/>
              </w:rPr>
              <w:t>ـ</w:t>
            </w:r>
            <w:r w:rsidR="004A14A6" w:rsidRPr="00670A39">
              <w:rPr>
                <w:rFonts w:hint="cs"/>
                <w:b/>
                <w:bCs/>
                <w:sz w:val="46"/>
                <w:szCs w:val="46"/>
                <w:rtl/>
              </w:rPr>
              <w:t xml:space="preserve">ة </w:t>
            </w:r>
            <w:r w:rsidR="00523BAE" w:rsidRPr="00670A39">
              <w:rPr>
                <w:rFonts w:hint="cs"/>
                <w:b/>
                <w:bCs/>
                <w:sz w:val="46"/>
                <w:szCs w:val="46"/>
                <w:rtl/>
              </w:rPr>
              <w:t>الدوليـة ل</w:t>
            </w:r>
            <w:r w:rsidR="004A14A6" w:rsidRPr="00670A39">
              <w:rPr>
                <w:rFonts w:hint="cs"/>
                <w:b/>
                <w:bCs/>
                <w:sz w:val="46"/>
                <w:szCs w:val="46"/>
                <w:rtl/>
              </w:rPr>
              <w:t>لقض</w:t>
            </w:r>
            <w:r w:rsidR="00523BAE" w:rsidRPr="00670A39">
              <w:rPr>
                <w:rFonts w:hint="cs"/>
                <w:b/>
                <w:bCs/>
                <w:sz w:val="46"/>
                <w:szCs w:val="46"/>
                <w:rtl/>
              </w:rPr>
              <w:t>ــ</w:t>
            </w:r>
            <w:r w:rsidR="004A14A6" w:rsidRPr="00670A39">
              <w:rPr>
                <w:rFonts w:hint="cs"/>
                <w:b/>
                <w:bCs/>
                <w:sz w:val="46"/>
                <w:szCs w:val="46"/>
                <w:rtl/>
              </w:rPr>
              <w:t>اء عل</w:t>
            </w:r>
            <w:r w:rsidR="00523BAE" w:rsidRPr="00670A39">
              <w:rPr>
                <w:rFonts w:hint="cs"/>
                <w:b/>
                <w:bCs/>
                <w:sz w:val="46"/>
                <w:szCs w:val="46"/>
                <w:rtl/>
              </w:rPr>
              <w:t>ـ</w:t>
            </w:r>
            <w:r w:rsidR="004A14A6" w:rsidRPr="00670A39">
              <w:rPr>
                <w:rFonts w:hint="cs"/>
                <w:b/>
                <w:bCs/>
                <w:sz w:val="46"/>
                <w:szCs w:val="46"/>
                <w:rtl/>
              </w:rPr>
              <w:t xml:space="preserve">ى جميع أشكال التمييز </w:t>
            </w:r>
            <w:r w:rsidR="00523BAE" w:rsidRPr="00670A39">
              <w:rPr>
                <w:rFonts w:hint="cs"/>
                <w:b/>
                <w:bCs/>
                <w:sz w:val="46"/>
                <w:szCs w:val="46"/>
                <w:rtl/>
              </w:rPr>
              <w:t>العنصري</w:t>
            </w:r>
          </w:p>
        </w:tc>
        <w:tc>
          <w:tcPr>
            <w:tcW w:w="3686" w:type="dxa"/>
            <w:tcBorders>
              <w:top w:val="single" w:sz="4" w:space="0" w:color="auto"/>
              <w:bottom w:val="single" w:sz="12" w:space="0" w:color="auto"/>
            </w:tcBorders>
          </w:tcPr>
          <w:p w14:paraId="51B5810C" w14:textId="18A68608" w:rsidR="000B0C31" w:rsidRPr="000B0C31" w:rsidRDefault="000B0C31" w:rsidP="000B0C31">
            <w:pPr>
              <w:suppressAutoHyphens/>
              <w:bidi w:val="0"/>
              <w:spacing w:before="240"/>
              <w:jc w:val="left"/>
              <w:rPr>
                <w:rFonts w:eastAsia="Times New Roman" w:cs="Times New Roman"/>
                <w:lang w:val="en-GB"/>
              </w:rPr>
            </w:pPr>
            <w:r w:rsidRPr="000B0C31">
              <w:rPr>
                <w:rFonts w:eastAsia="Times New Roman" w:cs="Times New Roman"/>
                <w:lang w:val="en-GB"/>
              </w:rPr>
              <w:t>Dist</w:t>
            </w:r>
            <w:r w:rsidR="00702CCC" w:rsidRPr="000B0C31">
              <w:rPr>
                <w:rFonts w:eastAsia="Times New Roman" w:cs="Times New Roman"/>
                <w:color w:val="000000"/>
                <w:lang w:val="en-GB"/>
              </w:rPr>
              <w:t>r.:</w:t>
            </w:r>
            <w:r w:rsidRPr="000B0C31">
              <w:rPr>
                <w:rFonts w:eastAsia="Times New Roman" w:cs="Times New Roman"/>
                <w:lang w:val="en-GB"/>
              </w:rPr>
              <w:t xml:space="preserve"> General</w:t>
            </w:r>
          </w:p>
          <w:p w14:paraId="0273D115" w14:textId="51F6029A" w:rsidR="000B0C31" w:rsidRDefault="000B0C31" w:rsidP="000B0C31">
            <w:pPr>
              <w:bidi w:val="0"/>
              <w:jc w:val="left"/>
              <w:rPr>
                <w:rFonts w:eastAsia="Times New Roman" w:cs="Times New Roman"/>
                <w:lang w:val="en-GB"/>
              </w:rPr>
            </w:pPr>
            <w:r w:rsidRPr="000B0C31">
              <w:rPr>
                <w:rFonts w:eastAsia="Times New Roman" w:cs="Times New Roman"/>
                <w:lang w:val="en-GB"/>
              </w:rPr>
              <w:t>26 May 2022</w:t>
            </w:r>
          </w:p>
          <w:p w14:paraId="65CEB365" w14:textId="6257D28E" w:rsidR="000B0C31" w:rsidRPr="000B0C31" w:rsidRDefault="000B0C31" w:rsidP="000B0C31">
            <w:pPr>
              <w:bidi w:val="0"/>
              <w:jc w:val="left"/>
              <w:rPr>
                <w:rFonts w:eastAsia="Times New Roman" w:cs="Times New Roman"/>
                <w:lang w:val="en-GB"/>
              </w:rPr>
            </w:pPr>
            <w:r>
              <w:rPr>
                <w:rFonts w:eastAsia="Times New Roman" w:cs="Times New Roman"/>
                <w:lang w:val="en-GB"/>
              </w:rPr>
              <w:t>Arabic</w:t>
            </w:r>
          </w:p>
          <w:p w14:paraId="12AEA6B1" w14:textId="42DF4C43" w:rsidR="00A671A9" w:rsidRPr="000B0C31" w:rsidRDefault="000B0C31" w:rsidP="000B0C31">
            <w:pPr>
              <w:bidi w:val="0"/>
              <w:spacing w:line="240" w:lineRule="exact"/>
              <w:jc w:val="left"/>
              <w:rPr>
                <w:lang w:val="en-GB"/>
              </w:rPr>
            </w:pPr>
            <w:r w:rsidRPr="000B0C31">
              <w:rPr>
                <w:rFonts w:eastAsia="Times New Roman" w:cs="Times New Roman"/>
                <w:lang w:val="en-GB" w:eastAsia="en-US"/>
              </w:rPr>
              <w:t>Origina</w:t>
            </w:r>
            <w:r w:rsidR="00702CCC" w:rsidRPr="00702CCC">
              <w:rPr>
                <w:rFonts w:eastAsia="Times New Roman" w:cs="Times New Roman"/>
                <w:color w:val="000000"/>
                <w:lang w:val="en-GB" w:eastAsia="en-US"/>
              </w:rPr>
              <w:t xml:space="preserve">l: </w:t>
            </w:r>
            <w:r w:rsidRPr="000B0C31">
              <w:rPr>
                <w:rFonts w:eastAsia="Times New Roman" w:cs="Times New Roman"/>
                <w:lang w:val="en-GB" w:eastAsia="en-US"/>
              </w:rPr>
              <w:t>English</w:t>
            </w:r>
          </w:p>
        </w:tc>
      </w:tr>
    </w:tbl>
    <w:p w14:paraId="7EEAF515" w14:textId="475C99C9" w:rsidR="000B0C31" w:rsidRPr="00670A39" w:rsidRDefault="000B0C31" w:rsidP="000B0C31">
      <w:pPr>
        <w:pStyle w:val="SingleTxtGA"/>
        <w:spacing w:before="120"/>
        <w:ind w:left="0"/>
        <w:rPr>
          <w:b/>
          <w:bCs/>
          <w:sz w:val="26"/>
          <w:szCs w:val="26"/>
          <w:lang w:val="en-US"/>
        </w:rPr>
      </w:pPr>
      <w:r w:rsidRPr="00670A39">
        <w:rPr>
          <w:b/>
          <w:bCs/>
          <w:sz w:val="26"/>
          <w:szCs w:val="26"/>
          <w:rtl/>
          <w:lang w:val="en-US"/>
        </w:rPr>
        <w:t>لجنة القضاء على التمييز العنصري</w:t>
      </w:r>
    </w:p>
    <w:p w14:paraId="16C92017" w14:textId="1D5C65B3" w:rsidR="000B0C31" w:rsidRPr="00670A39" w:rsidRDefault="000B0C31" w:rsidP="000B0C31">
      <w:pPr>
        <w:pStyle w:val="HChGA"/>
      </w:pPr>
      <w:r w:rsidRPr="00670A39">
        <w:rPr>
          <w:rFonts w:ascii="Times New Roman Bold" w:hAnsi="Times New Roman Bold"/>
          <w:spacing w:val="-2"/>
          <w:rtl/>
        </w:rPr>
        <w:tab/>
      </w:r>
      <w:r w:rsidRPr="00670A39">
        <w:rPr>
          <w:rFonts w:ascii="Times New Roman Bold" w:hAnsi="Times New Roman Bold"/>
          <w:spacing w:val="-2"/>
          <w:rtl/>
        </w:rPr>
        <w:tab/>
        <w:t xml:space="preserve">الملاحظات الختامية بشأن التقرير الجامع للتقريريْن الدوريّيْن الثاني والعشرين </w:t>
      </w:r>
      <w:r w:rsidRPr="00670A39">
        <w:rPr>
          <w:rtl/>
        </w:rPr>
        <w:t>والثالث والعشرين للكاميرون</w:t>
      </w:r>
      <w:r w:rsidR="00702CCC" w:rsidRPr="00670A39">
        <w:rPr>
          <w:rStyle w:val="FootnoteReference"/>
          <w:sz w:val="22"/>
          <w:szCs w:val="22"/>
          <w:vertAlign w:val="baseline"/>
          <w:rtl/>
        </w:rPr>
        <w:footnoteReference w:customMarkFollows="1" w:id="1"/>
        <w:t>*</w:t>
      </w:r>
    </w:p>
    <w:p w14:paraId="4745AFAA" w14:textId="374A382C" w:rsidR="00702CCC" w:rsidRPr="00702CCC" w:rsidRDefault="000B0C31" w:rsidP="000B0C31">
      <w:pPr>
        <w:pStyle w:val="SingleTxtGA"/>
        <w:rPr>
          <w:color w:val="000000"/>
          <w:lang w:val="en-US"/>
        </w:rPr>
      </w:pPr>
      <w:r w:rsidRPr="00670A39">
        <w:rPr>
          <w:rtl/>
          <w:lang w:val="en-US"/>
        </w:rPr>
        <w:t>1</w:t>
      </w:r>
      <w:r w:rsidRPr="000B0C31">
        <w:rPr>
          <w:rtl/>
          <w:lang w:val="en-US"/>
        </w:rPr>
        <w:t>-</w:t>
      </w:r>
      <w:r w:rsidRPr="000B0C31">
        <w:rPr>
          <w:rtl/>
          <w:lang w:val="en-US"/>
        </w:rPr>
        <w:tab/>
      </w:r>
      <w:r w:rsidRPr="00702CCC">
        <w:rPr>
          <w:spacing w:val="-2"/>
          <w:rtl/>
          <w:lang w:val="en-US"/>
        </w:rPr>
        <w:t>نظرت اللجنة في التقرير الجامع للتقريريْن الدوريّيْن الثاني والعشرين والثالث والعشرين للكاميرون</w:t>
      </w:r>
      <w:r w:rsidR="00702CCC" w:rsidRPr="00702CCC">
        <w:rPr>
          <w:rStyle w:val="FootnoteReference"/>
          <w:spacing w:val="-2"/>
          <w:szCs w:val="22"/>
          <w:rtl/>
          <w:lang w:val="en-US"/>
        </w:rPr>
        <w:t>(</w:t>
      </w:r>
      <w:r w:rsidR="00702CCC" w:rsidRPr="00670A39">
        <w:rPr>
          <w:rStyle w:val="FootnoteReference"/>
          <w:spacing w:val="-2"/>
          <w:szCs w:val="22"/>
          <w:lang w:val="en-US"/>
        </w:rPr>
        <w:footnoteReference w:id="2"/>
      </w:r>
      <w:r w:rsidR="00702CCC" w:rsidRPr="00702CCC">
        <w:rPr>
          <w:color w:val="000000"/>
          <w:spacing w:val="-2"/>
          <w:vertAlign w:val="superscript"/>
          <w:rtl/>
          <w:lang w:val="en-US"/>
        </w:rPr>
        <w:t>)</w:t>
      </w:r>
      <w:r w:rsidR="00702CCC" w:rsidRPr="00702CCC">
        <w:rPr>
          <w:color w:val="000000"/>
          <w:spacing w:val="-2"/>
          <w:rtl/>
          <w:lang w:val="en-US"/>
        </w:rPr>
        <w:t>،</w:t>
      </w:r>
      <w:r w:rsidR="00702CCC" w:rsidRPr="00702CCC">
        <w:rPr>
          <w:color w:val="000000"/>
          <w:rtl/>
          <w:lang w:val="en-US"/>
        </w:rPr>
        <w:t xml:space="preserve"> </w:t>
      </w:r>
      <w:r w:rsidRPr="000B0C31">
        <w:rPr>
          <w:rtl/>
          <w:lang w:val="en-US"/>
        </w:rPr>
        <w:t xml:space="preserve">المقدميْن في وثيقة واحدة، في جلستيها </w:t>
      </w:r>
      <w:r w:rsidRPr="00670A39">
        <w:rPr>
          <w:rtl/>
          <w:lang w:val="en-US"/>
        </w:rPr>
        <w:t>2871</w:t>
      </w:r>
      <w:r w:rsidRPr="000B0C31">
        <w:rPr>
          <w:rtl/>
          <w:lang w:val="en-US"/>
        </w:rPr>
        <w:t xml:space="preserve"> و</w:t>
      </w:r>
      <w:r w:rsidRPr="00670A39">
        <w:rPr>
          <w:rtl/>
          <w:lang w:val="en-US"/>
        </w:rPr>
        <w:t>2872</w:t>
      </w:r>
      <w:r w:rsidR="00702CCC">
        <w:rPr>
          <w:rStyle w:val="FootnoteReference"/>
          <w:szCs w:val="22"/>
          <w:rtl/>
          <w:lang w:val="en-US"/>
        </w:rPr>
        <w:t>(</w:t>
      </w:r>
      <w:r w:rsidR="00702CCC" w:rsidRPr="00670A39">
        <w:rPr>
          <w:rStyle w:val="FootnoteReference"/>
          <w:szCs w:val="22"/>
          <w:lang w:val="en-US"/>
        </w:rPr>
        <w:footnoteReference w:id="3"/>
      </w:r>
      <w:r w:rsidR="00702CCC" w:rsidRPr="00702CCC">
        <w:rPr>
          <w:color w:val="000000"/>
          <w:vertAlign w:val="superscript"/>
          <w:rtl/>
          <w:lang w:val="en-US"/>
        </w:rPr>
        <w:t>)</w:t>
      </w:r>
      <w:r w:rsidR="00702CCC" w:rsidRPr="00702CCC">
        <w:rPr>
          <w:color w:val="000000"/>
          <w:rtl/>
          <w:lang w:val="en-US"/>
        </w:rPr>
        <w:t>،</w:t>
      </w:r>
      <w:r w:rsidR="00702CCC" w:rsidRPr="00702CCC">
        <w:rPr>
          <w:color w:val="000000"/>
          <w:rtl/>
          <w:lang w:val="en-US"/>
        </w:rPr>
        <w:t xml:space="preserve"> </w:t>
      </w:r>
      <w:r w:rsidRPr="000B0C31">
        <w:rPr>
          <w:rtl/>
          <w:lang w:val="en-US"/>
        </w:rPr>
        <w:t xml:space="preserve">المعقودتيْن في </w:t>
      </w:r>
      <w:r w:rsidRPr="00670A39">
        <w:rPr>
          <w:rtl/>
          <w:lang w:val="en-US"/>
        </w:rPr>
        <w:t>13</w:t>
      </w:r>
      <w:r w:rsidRPr="000B0C31">
        <w:rPr>
          <w:rtl/>
          <w:lang w:val="en-US"/>
        </w:rPr>
        <w:t xml:space="preserve"> و</w:t>
      </w:r>
      <w:r w:rsidRPr="00670A39">
        <w:rPr>
          <w:rtl/>
          <w:lang w:val="en-US"/>
        </w:rPr>
        <w:t>14</w:t>
      </w:r>
      <w:r w:rsidRPr="000B0C31">
        <w:rPr>
          <w:rtl/>
          <w:lang w:val="en-US"/>
        </w:rPr>
        <w:t xml:space="preserve"> نيسان/أبريل </w:t>
      </w:r>
      <w:r w:rsidRPr="00670A39">
        <w:rPr>
          <w:rtl/>
          <w:lang w:val="en-US"/>
        </w:rPr>
        <w:t>202</w:t>
      </w:r>
      <w:r w:rsidR="00702CCC" w:rsidRPr="00670A39">
        <w:rPr>
          <w:color w:val="000000"/>
          <w:rtl/>
          <w:lang w:val="en-US"/>
        </w:rPr>
        <w:t>2</w:t>
      </w:r>
      <w:r w:rsidR="00702CCC" w:rsidRPr="00702CCC">
        <w:rPr>
          <w:color w:val="000000"/>
          <w:rtl/>
          <w:lang w:val="en-US"/>
        </w:rPr>
        <w:t xml:space="preserve">. </w:t>
      </w:r>
      <w:r w:rsidRPr="000B0C31">
        <w:rPr>
          <w:rtl/>
          <w:lang w:val="en-US"/>
        </w:rPr>
        <w:t xml:space="preserve">واعتمدت هذه الملاحظات الختامية في جلستها </w:t>
      </w:r>
      <w:r w:rsidRPr="00670A39">
        <w:rPr>
          <w:rtl/>
          <w:lang w:val="en-US"/>
        </w:rPr>
        <w:t>2885</w:t>
      </w:r>
      <w:r w:rsidRPr="000B0C31">
        <w:rPr>
          <w:rtl/>
          <w:lang w:val="en-US"/>
        </w:rPr>
        <w:t xml:space="preserve">، المعقودة في </w:t>
      </w:r>
      <w:r w:rsidRPr="00670A39">
        <w:rPr>
          <w:rtl/>
          <w:lang w:val="en-US"/>
        </w:rPr>
        <w:t>26</w:t>
      </w:r>
      <w:r w:rsidRPr="000B0C31">
        <w:rPr>
          <w:rtl/>
          <w:lang w:val="en-US"/>
        </w:rPr>
        <w:t xml:space="preserve"> نيسان/أبريل </w:t>
      </w:r>
      <w:r w:rsidRPr="00670A39">
        <w:rPr>
          <w:rtl/>
          <w:lang w:val="en-US"/>
        </w:rPr>
        <w:t>202</w:t>
      </w:r>
      <w:r w:rsidR="00702CCC" w:rsidRPr="00670A39">
        <w:rPr>
          <w:color w:val="000000"/>
          <w:rtl/>
          <w:lang w:val="en-US"/>
        </w:rPr>
        <w:t>2</w:t>
      </w:r>
      <w:r w:rsidR="00702CCC" w:rsidRPr="00702CCC">
        <w:rPr>
          <w:color w:val="000000"/>
          <w:rtl/>
          <w:lang w:val="en-US"/>
        </w:rPr>
        <w:t>.</w:t>
      </w:r>
    </w:p>
    <w:p w14:paraId="189BF0D3" w14:textId="5770E16D" w:rsidR="000B0C31" w:rsidRPr="00670A39" w:rsidRDefault="000B0C31" w:rsidP="000B0C31">
      <w:pPr>
        <w:pStyle w:val="H1GA"/>
      </w:pPr>
      <w:r w:rsidRPr="00670A39">
        <w:rPr>
          <w:rtl/>
        </w:rPr>
        <w:tab/>
        <w:t>ألف-</w:t>
      </w:r>
      <w:r w:rsidRPr="00670A39">
        <w:rPr>
          <w:rtl/>
        </w:rPr>
        <w:tab/>
        <w:t>مقدمة</w:t>
      </w:r>
    </w:p>
    <w:p w14:paraId="31729D67" w14:textId="3626036F" w:rsidR="000B0C31" w:rsidRPr="000B0C31" w:rsidRDefault="000B0C31" w:rsidP="000B0C31">
      <w:pPr>
        <w:pStyle w:val="SingleTxtGA"/>
        <w:rPr>
          <w:lang w:val="en-US"/>
        </w:rPr>
      </w:pPr>
      <w:r w:rsidRPr="00670A39">
        <w:rPr>
          <w:rtl/>
          <w:lang w:val="en-US"/>
        </w:rPr>
        <w:t>2</w:t>
      </w:r>
      <w:r w:rsidRPr="000B0C31">
        <w:rPr>
          <w:rtl/>
          <w:lang w:val="en-US"/>
        </w:rPr>
        <w:t>-</w:t>
      </w:r>
      <w:r w:rsidRPr="000B0C31">
        <w:rPr>
          <w:rtl/>
          <w:lang w:val="en-US"/>
        </w:rPr>
        <w:tab/>
        <w:t xml:space="preserve">ترحّب اللجنة بتقديم التقرير الجامع للتقريريْن الدوريّيْن الثاني والعشرين والثالث والعشرين للدولة الطرف. </w:t>
      </w:r>
      <w:r w:rsidRPr="000B0C31">
        <w:rPr>
          <w:rFonts w:ascii="Simplified Arabic" w:hAnsi="Simplified Arabic" w:hint="cs"/>
          <w:rtl/>
          <w:lang w:val="en-US"/>
        </w:rPr>
        <w:t>وترحب</w:t>
      </w:r>
      <w:r w:rsidR="00FB7A57">
        <w:rPr>
          <w:rtl/>
          <w:lang w:val="en-US"/>
        </w:rPr>
        <w:t xml:space="preserve"> أيضاً </w:t>
      </w:r>
      <w:r w:rsidRPr="000B0C31">
        <w:rPr>
          <w:rFonts w:ascii="Simplified Arabic" w:hAnsi="Simplified Arabic" w:hint="cs"/>
          <w:rtl/>
          <w:lang w:val="en-US"/>
        </w:rPr>
        <w:t>بالحوار</w:t>
      </w:r>
      <w:r w:rsidRPr="000B0C31">
        <w:rPr>
          <w:rtl/>
          <w:lang w:val="en-US"/>
        </w:rPr>
        <w:t xml:space="preserve"> </w:t>
      </w:r>
      <w:r w:rsidRPr="000B0C31">
        <w:rPr>
          <w:rFonts w:ascii="Simplified Arabic" w:hAnsi="Simplified Arabic" w:hint="cs"/>
          <w:rtl/>
          <w:lang w:val="en-US"/>
        </w:rPr>
        <w:t>البناء</w:t>
      </w:r>
      <w:r w:rsidRPr="000B0C31">
        <w:rPr>
          <w:rtl/>
          <w:lang w:val="en-US"/>
        </w:rPr>
        <w:t xml:space="preserve"> </w:t>
      </w:r>
      <w:r w:rsidRPr="000B0C31">
        <w:rPr>
          <w:rFonts w:ascii="Simplified Arabic" w:hAnsi="Simplified Arabic" w:hint="cs"/>
          <w:rtl/>
          <w:lang w:val="en-US"/>
        </w:rPr>
        <w:t>الذي</w:t>
      </w:r>
      <w:r w:rsidRPr="000B0C31">
        <w:rPr>
          <w:rtl/>
          <w:lang w:val="en-US"/>
        </w:rPr>
        <w:t xml:space="preserve"> </w:t>
      </w:r>
      <w:r w:rsidRPr="000B0C31">
        <w:rPr>
          <w:rFonts w:ascii="Simplified Arabic" w:hAnsi="Simplified Arabic" w:hint="cs"/>
          <w:rtl/>
          <w:lang w:val="en-US"/>
        </w:rPr>
        <w:t>أجرته</w:t>
      </w:r>
      <w:r w:rsidRPr="000B0C31">
        <w:rPr>
          <w:rtl/>
          <w:lang w:val="en-US"/>
        </w:rPr>
        <w:t xml:space="preserve"> </w:t>
      </w:r>
      <w:r w:rsidRPr="000B0C31">
        <w:rPr>
          <w:rFonts w:ascii="Simplified Arabic" w:hAnsi="Simplified Arabic" w:hint="cs"/>
          <w:rtl/>
          <w:lang w:val="en-US"/>
        </w:rPr>
        <w:t>مع</w:t>
      </w:r>
      <w:r w:rsidRPr="000B0C31">
        <w:rPr>
          <w:rtl/>
          <w:lang w:val="en-US"/>
        </w:rPr>
        <w:t xml:space="preserve"> </w:t>
      </w:r>
      <w:r w:rsidRPr="000B0C31">
        <w:rPr>
          <w:rFonts w:ascii="Simplified Arabic" w:hAnsi="Simplified Arabic" w:hint="cs"/>
          <w:rtl/>
          <w:lang w:val="en-US"/>
        </w:rPr>
        <w:t>وفد</w:t>
      </w:r>
      <w:r w:rsidRPr="000B0C31">
        <w:rPr>
          <w:rtl/>
          <w:lang w:val="en-US"/>
        </w:rPr>
        <w:t xml:space="preserve"> </w:t>
      </w:r>
      <w:r w:rsidRPr="000B0C31">
        <w:rPr>
          <w:rFonts w:ascii="Simplified Arabic" w:hAnsi="Simplified Arabic" w:hint="cs"/>
          <w:rtl/>
          <w:lang w:val="en-US"/>
        </w:rPr>
        <w:t>الدولة</w:t>
      </w:r>
      <w:r w:rsidRPr="000B0C31">
        <w:rPr>
          <w:rtl/>
          <w:lang w:val="en-US"/>
        </w:rPr>
        <w:t xml:space="preserve"> </w:t>
      </w:r>
      <w:r w:rsidRPr="000B0C31">
        <w:rPr>
          <w:rFonts w:ascii="Simplified Arabic" w:hAnsi="Simplified Arabic" w:hint="cs"/>
          <w:rtl/>
          <w:lang w:val="en-US"/>
        </w:rPr>
        <w:t>الطرف،</w:t>
      </w:r>
      <w:r w:rsidRPr="000B0C31">
        <w:rPr>
          <w:rtl/>
          <w:lang w:val="en-US"/>
        </w:rPr>
        <w:t xml:space="preserve"> </w:t>
      </w:r>
      <w:r w:rsidRPr="000B0C31">
        <w:rPr>
          <w:rFonts w:ascii="Simplified Arabic" w:hAnsi="Simplified Arabic" w:hint="cs"/>
          <w:rtl/>
          <w:lang w:val="en-US"/>
        </w:rPr>
        <w:t>وتشكر</w:t>
      </w:r>
      <w:r w:rsidRPr="000B0C31">
        <w:rPr>
          <w:rtl/>
          <w:lang w:val="en-US"/>
        </w:rPr>
        <w:t xml:space="preserve"> </w:t>
      </w:r>
      <w:r w:rsidRPr="000B0C31">
        <w:rPr>
          <w:rFonts w:ascii="Simplified Arabic" w:hAnsi="Simplified Arabic" w:hint="cs"/>
          <w:rtl/>
          <w:lang w:val="en-US"/>
        </w:rPr>
        <w:t>الوفد</w:t>
      </w:r>
      <w:r w:rsidRPr="000B0C31">
        <w:rPr>
          <w:rtl/>
          <w:lang w:val="en-US"/>
        </w:rPr>
        <w:t xml:space="preserve"> </w:t>
      </w:r>
      <w:r w:rsidRPr="000B0C31">
        <w:rPr>
          <w:rFonts w:ascii="Simplified Arabic" w:hAnsi="Simplified Arabic" w:hint="cs"/>
          <w:rtl/>
          <w:lang w:val="en-US"/>
        </w:rPr>
        <w:t>على</w:t>
      </w:r>
      <w:r w:rsidRPr="000B0C31">
        <w:rPr>
          <w:rtl/>
          <w:lang w:val="en-US"/>
        </w:rPr>
        <w:t xml:space="preserve"> </w:t>
      </w:r>
      <w:r w:rsidRPr="000B0C31">
        <w:rPr>
          <w:rFonts w:ascii="Simplified Arabic" w:hAnsi="Simplified Arabic" w:hint="cs"/>
          <w:rtl/>
          <w:lang w:val="en-US"/>
        </w:rPr>
        <w:t>المعلومات</w:t>
      </w:r>
      <w:r w:rsidRPr="000B0C31">
        <w:rPr>
          <w:rtl/>
          <w:lang w:val="en-US"/>
        </w:rPr>
        <w:t xml:space="preserve"> </w:t>
      </w:r>
      <w:r w:rsidRPr="000B0C31">
        <w:rPr>
          <w:rFonts w:ascii="Simplified Arabic" w:hAnsi="Simplified Arabic" w:hint="cs"/>
          <w:rtl/>
          <w:lang w:val="en-US"/>
        </w:rPr>
        <w:t>التي</w:t>
      </w:r>
      <w:r w:rsidRPr="000B0C31">
        <w:rPr>
          <w:rtl/>
          <w:lang w:val="en-US"/>
        </w:rPr>
        <w:t xml:space="preserve"> </w:t>
      </w:r>
      <w:r w:rsidRPr="000B0C31">
        <w:rPr>
          <w:rFonts w:ascii="Simplified Arabic" w:hAnsi="Simplified Arabic" w:hint="cs"/>
          <w:rtl/>
          <w:lang w:val="en-US"/>
        </w:rPr>
        <w:t>قدمها</w:t>
      </w:r>
      <w:r w:rsidRPr="000B0C31">
        <w:rPr>
          <w:rtl/>
          <w:lang w:val="en-US"/>
        </w:rPr>
        <w:t xml:space="preserve"> </w:t>
      </w:r>
      <w:r w:rsidRPr="000B0C31">
        <w:rPr>
          <w:rFonts w:ascii="Simplified Arabic" w:hAnsi="Simplified Arabic" w:hint="cs"/>
          <w:rtl/>
          <w:lang w:val="en-US"/>
        </w:rPr>
        <w:t>أثناء</w:t>
      </w:r>
      <w:r w:rsidRPr="000B0C31">
        <w:rPr>
          <w:rtl/>
          <w:lang w:val="en-US"/>
        </w:rPr>
        <w:t xml:space="preserve"> </w:t>
      </w:r>
      <w:r w:rsidRPr="000B0C31">
        <w:rPr>
          <w:rFonts w:ascii="Simplified Arabic" w:hAnsi="Simplified Arabic" w:hint="cs"/>
          <w:rtl/>
          <w:lang w:val="en-US"/>
        </w:rPr>
        <w:t>النظر</w:t>
      </w:r>
      <w:r w:rsidRPr="000B0C31">
        <w:rPr>
          <w:rtl/>
          <w:lang w:val="en-US"/>
        </w:rPr>
        <w:t xml:space="preserve"> </w:t>
      </w:r>
      <w:r w:rsidRPr="000B0C31">
        <w:rPr>
          <w:rFonts w:ascii="Simplified Arabic" w:hAnsi="Simplified Arabic" w:hint="cs"/>
          <w:rtl/>
          <w:lang w:val="en-US"/>
        </w:rPr>
        <w:t>في</w:t>
      </w:r>
      <w:r w:rsidRPr="000B0C31">
        <w:rPr>
          <w:rtl/>
          <w:lang w:val="en-US"/>
        </w:rPr>
        <w:t xml:space="preserve"> </w:t>
      </w:r>
      <w:r w:rsidRPr="000B0C31">
        <w:rPr>
          <w:rFonts w:ascii="Simplified Arabic" w:hAnsi="Simplified Arabic" w:hint="cs"/>
          <w:rtl/>
          <w:lang w:val="en-US"/>
        </w:rPr>
        <w:t>التقرير،</w:t>
      </w:r>
      <w:r w:rsidRPr="000B0C31">
        <w:rPr>
          <w:rtl/>
          <w:lang w:val="en-US"/>
        </w:rPr>
        <w:t xml:space="preserve"> </w:t>
      </w:r>
      <w:r w:rsidRPr="000B0C31">
        <w:rPr>
          <w:rFonts w:ascii="Simplified Arabic" w:hAnsi="Simplified Arabic" w:hint="cs"/>
          <w:rtl/>
          <w:lang w:val="en-US"/>
        </w:rPr>
        <w:t>وعلى</w:t>
      </w:r>
      <w:r w:rsidRPr="000B0C31">
        <w:rPr>
          <w:rtl/>
          <w:lang w:val="en-US"/>
        </w:rPr>
        <w:t xml:space="preserve"> </w:t>
      </w:r>
      <w:r w:rsidRPr="000B0C31">
        <w:rPr>
          <w:rFonts w:ascii="Simplified Arabic" w:hAnsi="Simplified Arabic" w:hint="cs"/>
          <w:rtl/>
          <w:lang w:val="en-US"/>
        </w:rPr>
        <w:t>المعلومات</w:t>
      </w:r>
      <w:r w:rsidRPr="000B0C31">
        <w:rPr>
          <w:rtl/>
          <w:lang w:val="en-US"/>
        </w:rPr>
        <w:t xml:space="preserve"> </w:t>
      </w:r>
      <w:r w:rsidRPr="000B0C31">
        <w:rPr>
          <w:rFonts w:ascii="Simplified Arabic" w:hAnsi="Simplified Arabic" w:hint="cs"/>
          <w:rtl/>
          <w:lang w:val="en-US"/>
        </w:rPr>
        <w:t>الإضافية</w:t>
      </w:r>
      <w:r w:rsidRPr="000B0C31">
        <w:rPr>
          <w:rtl/>
          <w:lang w:val="en-US"/>
        </w:rPr>
        <w:t xml:space="preserve"> </w:t>
      </w:r>
      <w:r w:rsidRPr="000B0C31">
        <w:rPr>
          <w:rFonts w:ascii="Simplified Arabic" w:hAnsi="Simplified Arabic" w:hint="cs"/>
          <w:rtl/>
          <w:lang w:val="en-US"/>
        </w:rPr>
        <w:t>التي</w:t>
      </w:r>
      <w:r w:rsidRPr="000B0C31">
        <w:rPr>
          <w:rtl/>
          <w:lang w:val="en-US"/>
        </w:rPr>
        <w:t xml:space="preserve"> </w:t>
      </w:r>
      <w:r w:rsidRPr="000B0C31">
        <w:rPr>
          <w:rFonts w:ascii="Simplified Arabic" w:hAnsi="Simplified Arabic" w:hint="cs"/>
          <w:rtl/>
          <w:lang w:val="en-US"/>
        </w:rPr>
        <w:t>قدمها</w:t>
      </w:r>
      <w:r w:rsidRPr="000B0C31">
        <w:rPr>
          <w:rtl/>
          <w:lang w:val="en-US"/>
        </w:rPr>
        <w:t xml:space="preserve"> </w:t>
      </w:r>
      <w:r w:rsidRPr="000B0C31">
        <w:rPr>
          <w:rFonts w:ascii="Simplified Arabic" w:hAnsi="Simplified Arabic" w:hint="cs"/>
          <w:rtl/>
          <w:lang w:val="en-US"/>
        </w:rPr>
        <w:t>بعد</w:t>
      </w:r>
      <w:r w:rsidRPr="000B0C31">
        <w:rPr>
          <w:rtl/>
          <w:lang w:val="en-US"/>
        </w:rPr>
        <w:t xml:space="preserve"> </w:t>
      </w:r>
      <w:r w:rsidRPr="000B0C31">
        <w:rPr>
          <w:rFonts w:ascii="Simplified Arabic" w:hAnsi="Simplified Arabic" w:hint="cs"/>
          <w:rtl/>
          <w:lang w:val="en-US"/>
        </w:rPr>
        <w:t>الحوار</w:t>
      </w:r>
      <w:r w:rsidRPr="000B0C31">
        <w:rPr>
          <w:rtl/>
          <w:lang w:val="en-US"/>
        </w:rPr>
        <w:t>.</w:t>
      </w:r>
    </w:p>
    <w:p w14:paraId="150D4E97" w14:textId="77777777" w:rsidR="000B0C31" w:rsidRPr="00670A39" w:rsidRDefault="000B0C31" w:rsidP="000B0C31">
      <w:pPr>
        <w:pStyle w:val="H1GA"/>
      </w:pPr>
      <w:r w:rsidRPr="00670A39">
        <w:rPr>
          <w:rtl/>
        </w:rPr>
        <w:tab/>
        <w:t>باء-</w:t>
      </w:r>
      <w:r w:rsidRPr="00670A39">
        <w:rPr>
          <w:rtl/>
        </w:rPr>
        <w:tab/>
        <w:t>الجوانب الإيجابية</w:t>
      </w:r>
    </w:p>
    <w:p w14:paraId="3A8CA5FC" w14:textId="06DFB44B" w:rsidR="000B0C31" w:rsidRPr="000B0C31" w:rsidRDefault="000B0C31" w:rsidP="000B0C31">
      <w:pPr>
        <w:pStyle w:val="SingleTxtGA"/>
        <w:rPr>
          <w:lang w:val="en-US"/>
        </w:rPr>
      </w:pPr>
      <w:r w:rsidRPr="00670A39">
        <w:rPr>
          <w:rtl/>
          <w:lang w:val="en-US"/>
        </w:rPr>
        <w:t>3</w:t>
      </w:r>
      <w:r w:rsidRPr="000B0C31">
        <w:rPr>
          <w:rtl/>
          <w:lang w:val="en-US"/>
        </w:rPr>
        <w:t>-</w:t>
      </w:r>
      <w:r w:rsidRPr="000B0C31">
        <w:rPr>
          <w:rtl/>
          <w:lang w:val="en-US"/>
        </w:rPr>
        <w:tab/>
        <w:t xml:space="preserve">ترحّب اللجنة بالتدابير التشريعية والمؤسسية </w:t>
      </w:r>
      <w:proofErr w:type="spellStart"/>
      <w:r w:rsidRPr="000B0C31">
        <w:rPr>
          <w:rtl/>
          <w:lang w:val="en-US"/>
        </w:rPr>
        <w:t>والسياساتية</w:t>
      </w:r>
      <w:proofErr w:type="spellEnd"/>
      <w:r w:rsidRPr="000B0C31">
        <w:rPr>
          <w:rtl/>
          <w:lang w:val="en-US"/>
        </w:rPr>
        <w:t xml:space="preserve"> التالية التي اتخذتها الدولة الطرف: </w:t>
      </w:r>
    </w:p>
    <w:p w14:paraId="40C8980D" w14:textId="503E0C81" w:rsidR="000B0C31" w:rsidRPr="00702CCC" w:rsidRDefault="000B0C31" w:rsidP="000B0C31">
      <w:pPr>
        <w:pStyle w:val="SingleTxtGA"/>
        <w:rPr>
          <w:spacing w:val="-2"/>
          <w:lang w:val="en-US"/>
        </w:rPr>
      </w:pPr>
      <w:r>
        <w:rPr>
          <w:rtl/>
          <w:lang w:val="en-US"/>
        </w:rPr>
        <w:tab/>
      </w:r>
      <w:r w:rsidRPr="000B0C31">
        <w:rPr>
          <w:rtl/>
          <w:lang w:val="en-US"/>
        </w:rPr>
        <w:t>(أ)</w:t>
      </w:r>
      <w:r w:rsidRPr="000B0C31">
        <w:rPr>
          <w:rtl/>
          <w:lang w:val="en-US"/>
        </w:rPr>
        <w:tab/>
      </w:r>
      <w:r w:rsidRPr="00702CCC">
        <w:rPr>
          <w:spacing w:val="-2"/>
          <w:rtl/>
          <w:lang w:val="en-US"/>
        </w:rPr>
        <w:t xml:space="preserve">اعتماد خطة العمل الوطنية لتنمية الشعوب الأصلية في </w:t>
      </w:r>
      <w:r w:rsidRPr="00670A39">
        <w:rPr>
          <w:spacing w:val="-2"/>
          <w:rtl/>
          <w:lang w:val="en-US"/>
        </w:rPr>
        <w:t>9</w:t>
      </w:r>
      <w:r w:rsidRPr="00702CCC">
        <w:rPr>
          <w:spacing w:val="-2"/>
          <w:rtl/>
          <w:lang w:val="en-US"/>
        </w:rPr>
        <w:t xml:space="preserve"> كانون الأول/ديسمبر </w:t>
      </w:r>
      <w:r w:rsidRPr="00670A39">
        <w:rPr>
          <w:spacing w:val="-2"/>
          <w:rtl/>
          <w:lang w:val="en-US"/>
        </w:rPr>
        <w:t>2020</w:t>
      </w:r>
      <w:r w:rsidRPr="00702CCC">
        <w:rPr>
          <w:spacing w:val="-2"/>
          <w:rtl/>
          <w:lang w:val="en-US"/>
        </w:rPr>
        <w:t>؛</w:t>
      </w:r>
    </w:p>
    <w:p w14:paraId="59758B5E" w14:textId="36B8F038" w:rsidR="00702CCC" w:rsidRPr="00702CCC" w:rsidRDefault="000B0C31" w:rsidP="000B0C31">
      <w:pPr>
        <w:pStyle w:val="SingleTxtGA"/>
        <w:rPr>
          <w:color w:val="000000"/>
          <w:lang w:val="en-US"/>
        </w:rPr>
      </w:pPr>
      <w:r>
        <w:rPr>
          <w:rtl/>
          <w:lang w:val="en-US"/>
        </w:rPr>
        <w:tab/>
      </w:r>
      <w:r w:rsidRPr="000B0C31">
        <w:rPr>
          <w:rtl/>
          <w:lang w:val="en-US"/>
        </w:rPr>
        <w:t>(ب)</w:t>
      </w:r>
      <w:r w:rsidRPr="000B0C31">
        <w:rPr>
          <w:rtl/>
          <w:lang w:val="en-US"/>
        </w:rPr>
        <w:tab/>
        <w:t>اعتماد استراتيجية التنمية الوطنية (</w:t>
      </w:r>
      <w:r w:rsidRPr="00670A39">
        <w:rPr>
          <w:rtl/>
          <w:lang w:val="en-US"/>
        </w:rPr>
        <w:t>2020</w:t>
      </w:r>
      <w:r w:rsidRPr="000B0C31">
        <w:rPr>
          <w:rtl/>
          <w:lang w:val="en-US"/>
        </w:rPr>
        <w:t>-</w:t>
      </w:r>
      <w:r w:rsidRPr="00670A39">
        <w:rPr>
          <w:rtl/>
          <w:lang w:val="en-US"/>
        </w:rPr>
        <w:t>2030</w:t>
      </w:r>
      <w:r w:rsidR="00702CCC" w:rsidRPr="00702CCC">
        <w:rPr>
          <w:color w:val="000000"/>
          <w:rtl/>
          <w:lang w:val="en-US"/>
        </w:rPr>
        <w:t>)؛</w:t>
      </w:r>
    </w:p>
    <w:p w14:paraId="00C3CB81" w14:textId="0D706F24" w:rsidR="000B0C31" w:rsidRPr="000B0C31" w:rsidRDefault="000B0C31" w:rsidP="000B0C31">
      <w:pPr>
        <w:pStyle w:val="SingleTxtGA"/>
        <w:rPr>
          <w:lang w:val="en-US"/>
        </w:rPr>
      </w:pPr>
      <w:r>
        <w:rPr>
          <w:rtl/>
          <w:lang w:val="en-US"/>
        </w:rPr>
        <w:tab/>
      </w:r>
      <w:r w:rsidRPr="000B0C31">
        <w:rPr>
          <w:rtl/>
          <w:lang w:val="en-US"/>
        </w:rPr>
        <w:t>(ج)</w:t>
      </w:r>
      <w:r w:rsidRPr="000B0C31">
        <w:rPr>
          <w:rtl/>
          <w:lang w:val="en-US"/>
        </w:rPr>
        <w:tab/>
        <w:t xml:space="preserve">اعتماد القانون رقم </w:t>
      </w:r>
      <w:r w:rsidRPr="00670A39">
        <w:rPr>
          <w:rtl/>
          <w:lang w:val="en-US"/>
        </w:rPr>
        <w:t>2019</w:t>
      </w:r>
      <w:r w:rsidRPr="000B0C31">
        <w:rPr>
          <w:rtl/>
          <w:lang w:val="en-US"/>
        </w:rPr>
        <w:t>/</w:t>
      </w:r>
      <w:r w:rsidRPr="00670A39">
        <w:rPr>
          <w:rtl/>
          <w:lang w:val="en-US"/>
        </w:rPr>
        <w:t>019</w:t>
      </w:r>
      <w:r w:rsidRPr="000B0C31">
        <w:rPr>
          <w:rtl/>
          <w:lang w:val="en-US"/>
        </w:rPr>
        <w:t xml:space="preserve"> المؤرخ </w:t>
      </w:r>
      <w:r w:rsidRPr="00670A39">
        <w:rPr>
          <w:rtl/>
          <w:lang w:val="en-US"/>
        </w:rPr>
        <w:t>24</w:t>
      </w:r>
      <w:r w:rsidRPr="000B0C31">
        <w:rPr>
          <w:rtl/>
          <w:lang w:val="en-US"/>
        </w:rPr>
        <w:t xml:space="preserve"> كانون الأول/ديسمبر </w:t>
      </w:r>
      <w:r w:rsidRPr="00670A39">
        <w:rPr>
          <w:rtl/>
          <w:lang w:val="en-US"/>
        </w:rPr>
        <w:t>2019</w:t>
      </w:r>
      <w:r w:rsidRPr="000B0C31">
        <w:rPr>
          <w:rtl/>
          <w:lang w:val="en-US"/>
        </w:rPr>
        <w:t xml:space="preserve"> بشأن تعزيز اللغات الرسمية في الكاميرون؛</w:t>
      </w:r>
    </w:p>
    <w:p w14:paraId="7262C5B0" w14:textId="0D286B96" w:rsidR="000B0C31" w:rsidRPr="000B0C31" w:rsidRDefault="000B0C31" w:rsidP="000B0C31">
      <w:pPr>
        <w:pStyle w:val="SingleTxtGA"/>
        <w:rPr>
          <w:lang w:val="en-US"/>
        </w:rPr>
      </w:pPr>
      <w:r>
        <w:rPr>
          <w:rtl/>
          <w:lang w:val="en-US"/>
        </w:rPr>
        <w:tab/>
      </w:r>
      <w:r w:rsidRPr="000B0C31">
        <w:rPr>
          <w:rtl/>
          <w:lang w:val="en-US"/>
        </w:rPr>
        <w:t>(د)</w:t>
      </w:r>
      <w:r w:rsidRPr="000B0C31">
        <w:rPr>
          <w:rtl/>
          <w:lang w:val="en-US"/>
        </w:rPr>
        <w:tab/>
        <w:t xml:space="preserve">إنشاء اللجنة الوطنية لثنائية اللغة والتعددية الثقافية في عام </w:t>
      </w:r>
      <w:r w:rsidRPr="00670A39">
        <w:rPr>
          <w:rtl/>
          <w:lang w:val="en-US"/>
        </w:rPr>
        <w:t>2017</w:t>
      </w:r>
      <w:r w:rsidRPr="000B0C31">
        <w:rPr>
          <w:rtl/>
          <w:lang w:val="en-US"/>
        </w:rPr>
        <w:t xml:space="preserve">، </w:t>
      </w:r>
      <w:r w:rsidR="00FB7A57">
        <w:rPr>
          <w:rtl/>
          <w:lang w:val="en-US"/>
        </w:rPr>
        <w:t xml:space="preserve">وفقاً </w:t>
      </w:r>
      <w:r w:rsidRPr="000B0C31">
        <w:rPr>
          <w:rtl/>
          <w:lang w:val="en-US"/>
        </w:rPr>
        <w:t>للقانون رقم</w:t>
      </w:r>
      <w:r w:rsidR="00702CCC">
        <w:rPr>
          <w:rFonts w:hint="cs"/>
          <w:rtl/>
          <w:lang w:val="en-US"/>
        </w:rPr>
        <w:t> </w:t>
      </w:r>
      <w:r w:rsidRPr="00670A39">
        <w:rPr>
          <w:rtl/>
          <w:lang w:val="en-US"/>
        </w:rPr>
        <w:t>2017</w:t>
      </w:r>
      <w:r w:rsidRPr="000B0C31">
        <w:rPr>
          <w:rtl/>
          <w:lang w:val="en-US"/>
        </w:rPr>
        <w:t>/</w:t>
      </w:r>
      <w:r w:rsidRPr="00670A39">
        <w:rPr>
          <w:rtl/>
          <w:lang w:val="en-US"/>
        </w:rPr>
        <w:t>13</w:t>
      </w:r>
      <w:r w:rsidRPr="000B0C31">
        <w:rPr>
          <w:rtl/>
          <w:lang w:val="en-US"/>
        </w:rPr>
        <w:t xml:space="preserve"> المؤرخ </w:t>
      </w:r>
      <w:r w:rsidRPr="00670A39">
        <w:rPr>
          <w:rtl/>
          <w:lang w:val="en-US"/>
        </w:rPr>
        <w:t>23</w:t>
      </w:r>
      <w:r w:rsidRPr="000B0C31">
        <w:rPr>
          <w:rtl/>
          <w:lang w:val="en-US"/>
        </w:rPr>
        <w:t xml:space="preserve"> كانون الثاني/يناير </w:t>
      </w:r>
      <w:r w:rsidRPr="00670A39">
        <w:rPr>
          <w:rtl/>
          <w:lang w:val="en-US"/>
        </w:rPr>
        <w:t>2017</w:t>
      </w:r>
      <w:r w:rsidRPr="000B0C31">
        <w:rPr>
          <w:rtl/>
          <w:lang w:val="en-US"/>
        </w:rPr>
        <w:t>؛</w:t>
      </w:r>
    </w:p>
    <w:p w14:paraId="5246E91F" w14:textId="2FCCDE7E" w:rsidR="000B0C31" w:rsidRPr="000B0C31" w:rsidRDefault="000B0C31" w:rsidP="00702CCC">
      <w:pPr>
        <w:pStyle w:val="SingleTxtGA"/>
        <w:rPr>
          <w:lang w:val="en-US"/>
        </w:rPr>
      </w:pPr>
      <w:r>
        <w:rPr>
          <w:rtl/>
          <w:lang w:val="en-US"/>
        </w:rPr>
        <w:tab/>
      </w:r>
      <w:r w:rsidRPr="000B0C31">
        <w:rPr>
          <w:rtl/>
          <w:lang w:val="en-US"/>
        </w:rPr>
        <w:t>(هـ)</w:t>
      </w:r>
      <w:r w:rsidRPr="000B0C31">
        <w:rPr>
          <w:rtl/>
          <w:lang w:val="en-US"/>
        </w:rPr>
        <w:tab/>
        <w:t xml:space="preserve">إنشاء لجنة مشتركة بين القطاعات لمتابعة البرامج والمشاريع التي تشمل الشعوب الأصلية الضعيفة، </w:t>
      </w:r>
      <w:r w:rsidR="00FB7A57">
        <w:rPr>
          <w:rtl/>
          <w:lang w:val="en-US"/>
        </w:rPr>
        <w:t xml:space="preserve">وفقاً </w:t>
      </w:r>
      <w:r w:rsidRPr="000B0C31">
        <w:rPr>
          <w:rtl/>
          <w:lang w:val="en-US"/>
        </w:rPr>
        <w:t>للمرسوم رقم</w:t>
      </w:r>
      <w:r w:rsidR="00702CCC">
        <w:rPr>
          <w:rFonts w:hint="cs"/>
          <w:rtl/>
          <w:lang w:val="en-US"/>
        </w:rPr>
        <w:t xml:space="preserve"> </w:t>
      </w:r>
      <w:r w:rsidR="00702CCC" w:rsidRPr="00670A39">
        <w:t>22</w:t>
      </w:r>
      <w:r w:rsidR="00702CCC" w:rsidRPr="003B0F05">
        <w:t>/A/MINAS/SG/DSN</w:t>
      </w:r>
      <w:r w:rsidRPr="000B0C31">
        <w:rPr>
          <w:rtl/>
          <w:lang w:val="en-US"/>
        </w:rPr>
        <w:t xml:space="preserve"> المؤرخ </w:t>
      </w:r>
      <w:r w:rsidRPr="00670A39">
        <w:rPr>
          <w:rtl/>
          <w:lang w:val="en-US"/>
        </w:rPr>
        <w:t>6</w:t>
      </w:r>
      <w:r w:rsidRPr="000B0C31">
        <w:rPr>
          <w:rtl/>
          <w:lang w:val="en-US"/>
        </w:rPr>
        <w:t xml:space="preserve"> آب/أغسطس </w:t>
      </w:r>
      <w:r w:rsidRPr="00670A39">
        <w:rPr>
          <w:rtl/>
          <w:lang w:val="en-US"/>
        </w:rPr>
        <w:t>2013</w:t>
      </w:r>
      <w:r w:rsidRPr="000B0C31">
        <w:rPr>
          <w:rtl/>
          <w:lang w:val="en-US"/>
        </w:rPr>
        <w:t>؛</w:t>
      </w:r>
    </w:p>
    <w:p w14:paraId="056A3D21" w14:textId="191F08BE" w:rsidR="000B0C31" w:rsidRPr="000B0C31" w:rsidRDefault="000B0C31" w:rsidP="002C4C39">
      <w:pPr>
        <w:pStyle w:val="SingleTxtGA"/>
        <w:spacing w:line="340" w:lineRule="exact"/>
        <w:rPr>
          <w:lang w:val="en-US"/>
        </w:rPr>
      </w:pPr>
      <w:r>
        <w:rPr>
          <w:rtl/>
          <w:lang w:val="en-US"/>
        </w:rPr>
        <w:lastRenderedPageBreak/>
        <w:tab/>
      </w:r>
      <w:r w:rsidRPr="000B0C31">
        <w:rPr>
          <w:rtl/>
          <w:lang w:val="en-US"/>
        </w:rPr>
        <w:t>(و)</w:t>
      </w:r>
      <w:r w:rsidRPr="000B0C31">
        <w:rPr>
          <w:rtl/>
          <w:lang w:val="en-US"/>
        </w:rPr>
        <w:tab/>
      </w:r>
      <w:r w:rsidRPr="00D5311C">
        <w:rPr>
          <w:spacing w:val="-4"/>
          <w:rtl/>
          <w:lang w:val="en-US"/>
        </w:rPr>
        <w:t xml:space="preserve">اعتماد القانون رقم </w:t>
      </w:r>
      <w:r w:rsidRPr="00670A39">
        <w:rPr>
          <w:spacing w:val="-4"/>
          <w:rtl/>
          <w:lang w:val="en-US"/>
        </w:rPr>
        <w:t>2016</w:t>
      </w:r>
      <w:r w:rsidRPr="00D5311C">
        <w:rPr>
          <w:spacing w:val="-4"/>
          <w:rtl/>
          <w:lang w:val="en-US"/>
        </w:rPr>
        <w:t>/</w:t>
      </w:r>
      <w:r w:rsidRPr="00670A39">
        <w:rPr>
          <w:spacing w:val="-4"/>
          <w:rtl/>
          <w:lang w:val="en-US"/>
        </w:rPr>
        <w:t>17</w:t>
      </w:r>
      <w:r w:rsidRPr="00D5311C">
        <w:rPr>
          <w:spacing w:val="-4"/>
          <w:rtl/>
          <w:lang w:val="en-US"/>
        </w:rPr>
        <w:t xml:space="preserve"> المؤرخ </w:t>
      </w:r>
      <w:r w:rsidRPr="00670A39">
        <w:rPr>
          <w:spacing w:val="-4"/>
          <w:rtl/>
          <w:lang w:val="en-US"/>
        </w:rPr>
        <w:t>14</w:t>
      </w:r>
      <w:r w:rsidRPr="00D5311C">
        <w:rPr>
          <w:spacing w:val="-4"/>
          <w:rtl/>
          <w:lang w:val="en-US"/>
        </w:rPr>
        <w:t xml:space="preserve"> كانون الأول/ديسمبر </w:t>
      </w:r>
      <w:r w:rsidRPr="00670A39">
        <w:rPr>
          <w:spacing w:val="-4"/>
          <w:rtl/>
          <w:lang w:val="en-US"/>
        </w:rPr>
        <w:t>2016</w:t>
      </w:r>
      <w:r w:rsidRPr="00D5311C">
        <w:rPr>
          <w:spacing w:val="-4"/>
          <w:rtl/>
          <w:lang w:val="en-US"/>
        </w:rPr>
        <w:t>، المُحدِث لقانون</w:t>
      </w:r>
      <w:r w:rsidRPr="000B0C31">
        <w:rPr>
          <w:rtl/>
          <w:lang w:val="en-US"/>
        </w:rPr>
        <w:t xml:space="preserve"> التعدين، والذي ينص على واجب التشاور المسبق مع السكان المتضررين ويضمن التعويض في</w:t>
      </w:r>
      <w:r w:rsidR="002C4C39">
        <w:rPr>
          <w:rFonts w:hint="cs"/>
          <w:rtl/>
          <w:lang w:val="en-US"/>
        </w:rPr>
        <w:t> </w:t>
      </w:r>
      <w:r w:rsidRPr="000B0C31">
        <w:rPr>
          <w:rtl/>
          <w:lang w:val="en-US"/>
        </w:rPr>
        <w:t>حالة نزع الملكية من أجل المنفعة العامة.</w:t>
      </w:r>
    </w:p>
    <w:p w14:paraId="57B7DFEC" w14:textId="77777777" w:rsidR="000B0C31" w:rsidRPr="00670A39" w:rsidRDefault="000B0C31" w:rsidP="000B0C31">
      <w:pPr>
        <w:pStyle w:val="H1GA"/>
      </w:pPr>
      <w:r w:rsidRPr="00670A39">
        <w:rPr>
          <w:rtl/>
        </w:rPr>
        <w:tab/>
        <w:t>جيم-</w:t>
      </w:r>
      <w:r w:rsidRPr="00670A39">
        <w:rPr>
          <w:rtl/>
        </w:rPr>
        <w:tab/>
        <w:t>دواعي القلق والتوصيات</w:t>
      </w:r>
    </w:p>
    <w:p w14:paraId="44163EC5" w14:textId="77777777" w:rsidR="000B0C31" w:rsidRPr="00670A39" w:rsidRDefault="000B0C31" w:rsidP="002C4C39">
      <w:pPr>
        <w:pStyle w:val="H23GA"/>
        <w:spacing w:line="340" w:lineRule="exact"/>
      </w:pPr>
      <w:r w:rsidRPr="00670A39">
        <w:rPr>
          <w:rtl/>
        </w:rPr>
        <w:tab/>
      </w:r>
      <w:r w:rsidRPr="00670A39">
        <w:rPr>
          <w:rtl/>
        </w:rPr>
        <w:tab/>
        <w:t>الإحصاءات</w:t>
      </w:r>
    </w:p>
    <w:p w14:paraId="134DBB8D" w14:textId="45A0D01B" w:rsidR="00702CCC" w:rsidRPr="00702CCC" w:rsidRDefault="000B0C31" w:rsidP="002C4C39">
      <w:pPr>
        <w:pStyle w:val="SingleTxtGA"/>
        <w:spacing w:line="340" w:lineRule="exact"/>
        <w:rPr>
          <w:color w:val="000000"/>
          <w:lang w:val="en-US"/>
        </w:rPr>
      </w:pPr>
      <w:r w:rsidRPr="00670A39">
        <w:rPr>
          <w:rtl/>
          <w:lang w:val="en-US"/>
        </w:rPr>
        <w:t>4</w:t>
      </w:r>
      <w:r w:rsidRPr="000B0C31">
        <w:rPr>
          <w:rtl/>
          <w:lang w:val="en-US"/>
        </w:rPr>
        <w:t>-</w:t>
      </w:r>
      <w:r w:rsidRPr="000B0C31">
        <w:rPr>
          <w:rtl/>
          <w:lang w:val="en-US"/>
        </w:rPr>
        <w:tab/>
        <w:t>تعرب اللجنة عن قلقها من عدم وجود إحصاءات شاملة عن التكوين الديمغرافي للسكان، مصنفة حسب الأصل الإثني أو القومي واللغة المنطوقة، بما في ذلك ما يتعلق بالشعوب الأصلية والمشردين داخلي</w:t>
      </w:r>
      <w:r w:rsidR="00FB7A57">
        <w:rPr>
          <w:rtl/>
          <w:lang w:val="en-US"/>
        </w:rPr>
        <w:t xml:space="preserve">اً </w:t>
      </w:r>
      <w:r w:rsidRPr="000B0C31">
        <w:rPr>
          <w:rtl/>
          <w:lang w:val="en-US"/>
        </w:rPr>
        <w:t>والمهاجرين واللاجئين وعديمي الجنسية، وعن الوضع الاجتماعي والاقتصادي لمختلف الفئات السكانية. وبينما تحيط اللجنة</w:t>
      </w:r>
      <w:r w:rsidR="00FB7A57">
        <w:rPr>
          <w:rtl/>
          <w:lang w:val="en-US"/>
        </w:rPr>
        <w:t xml:space="preserve"> علماً </w:t>
      </w:r>
      <w:r w:rsidRPr="000B0C31">
        <w:rPr>
          <w:rtl/>
          <w:lang w:val="en-US"/>
        </w:rPr>
        <w:t xml:space="preserve">بالمعلومات المتعلقة بالأعمال التحضيرية لإجراء التعداد العام الرابع للسكان والمساكن، </w:t>
      </w:r>
      <w:r w:rsidR="00FB7A57">
        <w:rPr>
          <w:rtl/>
          <w:lang w:val="en-US"/>
        </w:rPr>
        <w:t xml:space="preserve">وفقاً </w:t>
      </w:r>
      <w:r w:rsidRPr="000B0C31">
        <w:rPr>
          <w:rtl/>
          <w:lang w:val="en-US"/>
        </w:rPr>
        <w:t xml:space="preserve">للمرسوم رقم </w:t>
      </w:r>
      <w:r w:rsidRPr="00670A39">
        <w:rPr>
          <w:rtl/>
          <w:lang w:val="en-US"/>
        </w:rPr>
        <w:t>2015</w:t>
      </w:r>
      <w:r w:rsidRPr="000B0C31">
        <w:rPr>
          <w:rtl/>
          <w:lang w:val="en-US"/>
        </w:rPr>
        <w:t>/</w:t>
      </w:r>
      <w:r w:rsidRPr="00670A39">
        <w:rPr>
          <w:rtl/>
          <w:lang w:val="en-US"/>
        </w:rPr>
        <w:t>397</w:t>
      </w:r>
      <w:r w:rsidRPr="000B0C31">
        <w:rPr>
          <w:rtl/>
          <w:lang w:val="en-US"/>
        </w:rPr>
        <w:t xml:space="preserve"> المؤرخ </w:t>
      </w:r>
      <w:r w:rsidRPr="00670A39">
        <w:rPr>
          <w:rtl/>
          <w:lang w:val="en-US"/>
        </w:rPr>
        <w:t>15</w:t>
      </w:r>
      <w:r w:rsidRPr="000B0C31">
        <w:rPr>
          <w:rtl/>
          <w:lang w:val="en-US"/>
        </w:rPr>
        <w:t xml:space="preserve"> أيلول/سبتمبر </w:t>
      </w:r>
      <w:r w:rsidRPr="00670A39">
        <w:rPr>
          <w:rtl/>
          <w:lang w:val="en-US"/>
        </w:rPr>
        <w:t>2015</w:t>
      </w:r>
      <w:r w:rsidRPr="000B0C31">
        <w:rPr>
          <w:rtl/>
          <w:lang w:val="en-US"/>
        </w:rPr>
        <w:t xml:space="preserve">، والمعلومات التي </w:t>
      </w:r>
      <w:r w:rsidRPr="002C4C39">
        <w:rPr>
          <w:spacing w:val="-2"/>
          <w:rtl/>
          <w:lang w:val="en-US"/>
        </w:rPr>
        <w:t xml:space="preserve">قدمها الوفد ومفادها أن هناك أكثر من </w:t>
      </w:r>
      <w:r w:rsidRPr="00670A39">
        <w:rPr>
          <w:spacing w:val="-2"/>
          <w:rtl/>
          <w:lang w:val="en-US"/>
        </w:rPr>
        <w:t>250</w:t>
      </w:r>
      <w:r w:rsidRPr="002C4C39">
        <w:rPr>
          <w:spacing w:val="-2"/>
          <w:rtl/>
          <w:lang w:val="en-US"/>
        </w:rPr>
        <w:t xml:space="preserve"> مجموعة إثنية في الدولة الطرف، فإنها تأسف للتأخير في إجراء التعداد</w:t>
      </w:r>
      <w:r w:rsidRPr="000B0C31">
        <w:rPr>
          <w:rtl/>
          <w:lang w:val="en-US"/>
        </w:rPr>
        <w:t xml:space="preserve"> ولأن التعداد لن يتضمن بيانات عن التكوين الإثني للسكان (المواد </w:t>
      </w:r>
      <w:r w:rsidRPr="00670A39">
        <w:rPr>
          <w:rtl/>
          <w:lang w:val="en-US"/>
        </w:rPr>
        <w:t>1</w:t>
      </w:r>
      <w:r w:rsidR="00FB7A57">
        <w:rPr>
          <w:rFonts w:hint="cs"/>
          <w:rtl/>
          <w:lang w:val="en-US"/>
        </w:rPr>
        <w:t xml:space="preserve"> </w:t>
      </w:r>
      <w:r w:rsidRPr="000B0C31">
        <w:rPr>
          <w:rtl/>
          <w:lang w:val="en-US"/>
        </w:rPr>
        <w:t>و</w:t>
      </w:r>
      <w:r w:rsidRPr="00670A39">
        <w:rPr>
          <w:rtl/>
          <w:lang w:val="en-US"/>
        </w:rPr>
        <w:t>2</w:t>
      </w:r>
      <w:r w:rsidRPr="000B0C31">
        <w:rPr>
          <w:rtl/>
          <w:lang w:val="en-US"/>
        </w:rPr>
        <w:t xml:space="preserve"> و</w:t>
      </w:r>
      <w:r w:rsidR="00702CCC" w:rsidRPr="00670A39">
        <w:rPr>
          <w:color w:val="000000"/>
          <w:rtl/>
          <w:lang w:val="en-US"/>
        </w:rPr>
        <w:t>5</w:t>
      </w:r>
      <w:r w:rsidR="00702CCC" w:rsidRPr="00702CCC">
        <w:rPr>
          <w:color w:val="000000"/>
          <w:rtl/>
          <w:lang w:val="en-US"/>
        </w:rPr>
        <w:t>).</w:t>
      </w:r>
    </w:p>
    <w:p w14:paraId="669B3B2B" w14:textId="41CD0B56" w:rsidR="000B0C31" w:rsidRPr="00670A39" w:rsidRDefault="000B0C31" w:rsidP="002C4C39">
      <w:pPr>
        <w:pStyle w:val="SingleTxtGA"/>
        <w:spacing w:line="340" w:lineRule="exact"/>
        <w:rPr>
          <w:rFonts w:ascii="Times New Roman Bold" w:hAnsi="Times New Roman Bold"/>
          <w:b/>
          <w:bCs/>
          <w:lang w:val="en-US"/>
        </w:rPr>
      </w:pPr>
      <w:r w:rsidRPr="00670A39">
        <w:rPr>
          <w:spacing w:val="-4"/>
          <w:rtl/>
          <w:lang w:val="en-US"/>
        </w:rPr>
        <w:t>5</w:t>
      </w:r>
      <w:r w:rsidRPr="002C4C39">
        <w:rPr>
          <w:spacing w:val="-4"/>
          <w:rtl/>
          <w:lang w:val="en-US"/>
        </w:rPr>
        <w:t>-</w:t>
      </w:r>
      <w:r w:rsidRPr="002C4C39">
        <w:rPr>
          <w:spacing w:val="-4"/>
          <w:rtl/>
          <w:lang w:val="en-US"/>
        </w:rPr>
        <w:tab/>
      </w:r>
      <w:r w:rsidRPr="00670A39">
        <w:rPr>
          <w:b/>
          <w:bCs/>
          <w:spacing w:val="-4"/>
          <w:rtl/>
          <w:lang w:val="en-US"/>
        </w:rPr>
        <w:t>إذ تشير اللجنة إلى الفقرات من 10 إلى 12 من مبادئها التوجيهية المتعلقة بتقديم التقارير بموجب الاتفاقية</w:t>
      </w:r>
      <w:r w:rsidR="00702CCC" w:rsidRPr="002C4C39">
        <w:rPr>
          <w:rStyle w:val="FootnoteReference"/>
          <w:spacing w:val="-4"/>
          <w:szCs w:val="22"/>
          <w:rtl/>
          <w:lang w:val="en-US"/>
        </w:rPr>
        <w:t>(</w:t>
      </w:r>
      <w:r w:rsidR="00702CCC" w:rsidRPr="00670A39">
        <w:rPr>
          <w:rStyle w:val="FootnoteReference"/>
          <w:spacing w:val="-4"/>
          <w:szCs w:val="22"/>
          <w:lang w:val="en-US"/>
        </w:rPr>
        <w:footnoteReference w:id="4"/>
      </w:r>
      <w:r w:rsidR="00702CCC" w:rsidRPr="002C4C39">
        <w:rPr>
          <w:spacing w:val="-4"/>
          <w:vertAlign w:val="superscript"/>
          <w:rtl/>
          <w:lang w:val="en-US"/>
        </w:rPr>
        <w:t>)</w:t>
      </w:r>
      <w:r w:rsidRPr="00670A39">
        <w:rPr>
          <w:b/>
          <w:bCs/>
          <w:spacing w:val="-4"/>
          <w:rtl/>
          <w:lang w:val="en-US"/>
        </w:rPr>
        <w:t xml:space="preserve"> </w:t>
      </w:r>
      <w:r w:rsidRPr="00670A39">
        <w:rPr>
          <w:b/>
          <w:bCs/>
          <w:spacing w:val="-4"/>
          <w:rtl/>
          <w:lang w:val="en-US"/>
        </w:rPr>
        <w:t>وتوصيتها السابقة</w:t>
      </w:r>
      <w:r w:rsidR="00702CCC" w:rsidRPr="002C4C39">
        <w:rPr>
          <w:rStyle w:val="FootnoteReference"/>
          <w:spacing w:val="-4"/>
          <w:szCs w:val="22"/>
          <w:rtl/>
          <w:lang w:val="en-US"/>
        </w:rPr>
        <w:t>(</w:t>
      </w:r>
      <w:r w:rsidR="00702CCC" w:rsidRPr="00670A39">
        <w:rPr>
          <w:rStyle w:val="FootnoteReference"/>
          <w:spacing w:val="-4"/>
          <w:szCs w:val="22"/>
          <w:lang w:val="en-US"/>
        </w:rPr>
        <w:footnoteReference w:id="5"/>
      </w:r>
      <w:r w:rsidR="00702CCC" w:rsidRPr="002C4C39">
        <w:rPr>
          <w:color w:val="000000"/>
          <w:spacing w:val="-4"/>
          <w:vertAlign w:val="superscript"/>
          <w:rtl/>
          <w:lang w:val="en-US"/>
        </w:rPr>
        <w:t>)</w:t>
      </w:r>
      <w:r w:rsidR="00702CCC" w:rsidRPr="00670A39">
        <w:rPr>
          <w:b/>
          <w:bCs/>
          <w:color w:val="000000"/>
          <w:spacing w:val="-4"/>
          <w:rtl/>
          <w:lang w:val="en-US"/>
        </w:rPr>
        <w:t>،</w:t>
      </w:r>
      <w:r w:rsidR="00702CCC" w:rsidRPr="00670A39">
        <w:rPr>
          <w:b/>
          <w:bCs/>
          <w:color w:val="000000"/>
          <w:spacing w:val="-4"/>
          <w:rtl/>
          <w:lang w:val="en-US"/>
        </w:rPr>
        <w:t xml:space="preserve"> </w:t>
      </w:r>
      <w:r w:rsidRPr="00670A39">
        <w:rPr>
          <w:b/>
          <w:bCs/>
          <w:spacing w:val="-4"/>
          <w:rtl/>
          <w:lang w:val="en-US"/>
        </w:rPr>
        <w:t xml:space="preserve">توصي الدولة الطرف بأن تجمع وتقدم إلى اللجنة بيانات إحصائية موثوقة </w:t>
      </w:r>
      <w:r w:rsidRPr="00670A39">
        <w:rPr>
          <w:rFonts w:ascii="Times New Roman Bold" w:hAnsi="Times New Roman Bold"/>
          <w:b/>
          <w:bCs/>
          <w:rtl/>
          <w:lang w:val="en-US"/>
        </w:rPr>
        <w:t>ومستكملة وشاملة عن التكوين الديمغرافي للسكان، استناد</w:t>
      </w:r>
      <w:r w:rsidR="00FB7A57" w:rsidRPr="00670A39">
        <w:rPr>
          <w:rFonts w:ascii="Times New Roman Bold" w:hAnsi="Times New Roman Bold"/>
          <w:b/>
          <w:bCs/>
          <w:rtl/>
          <w:lang w:val="en-US"/>
        </w:rPr>
        <w:t xml:space="preserve">اً </w:t>
      </w:r>
      <w:r w:rsidRPr="00670A39">
        <w:rPr>
          <w:rFonts w:ascii="Times New Roman Bold" w:hAnsi="Times New Roman Bold"/>
          <w:b/>
          <w:bCs/>
          <w:rtl/>
          <w:lang w:val="en-US"/>
        </w:rPr>
        <w:t>إلى مبدأ التحديد الذاتي للهوية، بما في ذلك عن الجماعات الإثنية والإثنية</w:t>
      </w:r>
      <w:r w:rsidR="00686F7F" w:rsidRPr="00670A39">
        <w:rPr>
          <w:rFonts w:ascii="Times New Roman Bold" w:hAnsi="Times New Roman Bold" w:hint="cs"/>
          <w:b/>
          <w:bCs/>
          <w:rtl/>
          <w:lang w:val="en-US"/>
        </w:rPr>
        <w:t xml:space="preserve"> </w:t>
      </w:r>
      <w:r w:rsidRPr="00670A39">
        <w:rPr>
          <w:rFonts w:ascii="Times New Roman Bold" w:hAnsi="Times New Roman Bold"/>
          <w:b/>
          <w:bCs/>
          <w:rtl/>
          <w:lang w:val="en-US"/>
        </w:rPr>
        <w:t>-</w:t>
      </w:r>
      <w:r w:rsidR="00686F7F" w:rsidRPr="00670A39">
        <w:rPr>
          <w:rFonts w:ascii="Times New Roman Bold" w:hAnsi="Times New Roman Bold" w:hint="cs"/>
          <w:b/>
          <w:bCs/>
          <w:rtl/>
          <w:lang w:val="en-US"/>
        </w:rPr>
        <w:t xml:space="preserve"> </w:t>
      </w:r>
      <w:r w:rsidRPr="00670A39">
        <w:rPr>
          <w:rFonts w:ascii="Times New Roman Bold" w:hAnsi="Times New Roman Bold"/>
          <w:b/>
          <w:bCs/>
          <w:rtl/>
          <w:lang w:val="en-US"/>
        </w:rPr>
        <w:t>اللغوية والإثنية</w:t>
      </w:r>
      <w:r w:rsidR="00686F7F" w:rsidRPr="00670A39">
        <w:rPr>
          <w:rFonts w:ascii="Times New Roman Bold" w:hAnsi="Times New Roman Bold" w:hint="cs"/>
          <w:b/>
          <w:bCs/>
          <w:rtl/>
          <w:lang w:val="en-US"/>
        </w:rPr>
        <w:t xml:space="preserve"> </w:t>
      </w:r>
      <w:r w:rsidRPr="00670A39">
        <w:rPr>
          <w:rFonts w:ascii="Times New Roman Bold" w:hAnsi="Times New Roman Bold"/>
          <w:b/>
          <w:bCs/>
          <w:rtl/>
          <w:lang w:val="en-US"/>
        </w:rPr>
        <w:t>-</w:t>
      </w:r>
      <w:r w:rsidR="00686F7F" w:rsidRPr="00670A39">
        <w:rPr>
          <w:rFonts w:ascii="Times New Roman Bold" w:hAnsi="Times New Roman Bold" w:hint="cs"/>
          <w:b/>
          <w:bCs/>
          <w:rtl/>
          <w:lang w:val="en-US"/>
        </w:rPr>
        <w:t xml:space="preserve"> </w:t>
      </w:r>
      <w:r w:rsidRPr="00670A39">
        <w:rPr>
          <w:rFonts w:ascii="Times New Roman Bold" w:hAnsi="Times New Roman Bold"/>
          <w:b/>
          <w:bCs/>
          <w:rtl/>
          <w:lang w:val="en-US"/>
        </w:rPr>
        <w:t>الدينية، والشعوب الأصلية، والمشردين داخلي</w:t>
      </w:r>
      <w:r w:rsidR="00686F7F" w:rsidRPr="00670A39">
        <w:rPr>
          <w:rFonts w:ascii="Times New Roman Bold" w:hAnsi="Times New Roman Bold"/>
          <w:b/>
          <w:bCs/>
          <w:rtl/>
          <w:lang w:val="en-US"/>
        </w:rPr>
        <w:t>اً،</w:t>
      </w:r>
      <w:r w:rsidRPr="00670A39">
        <w:rPr>
          <w:rFonts w:ascii="Times New Roman Bold" w:hAnsi="Times New Roman Bold"/>
          <w:b/>
          <w:bCs/>
          <w:rtl/>
          <w:lang w:val="en-US"/>
        </w:rPr>
        <w:t xml:space="preserve"> وغير المواطنين، بمن فيهم اللاجئون وملتمسو اللجوء وعديمو الجنسية، إلى جانب مؤشرات اجتماعية واقتصادية، مصنفة حسب الأصل العرقي والنوع الاجتماعي والعمر والمنطقة واللغات المنطوقة.</w:t>
      </w:r>
    </w:p>
    <w:p w14:paraId="60821932" w14:textId="77777777" w:rsidR="000B0C31" w:rsidRPr="00670A39" w:rsidRDefault="000B0C31" w:rsidP="002C4C39">
      <w:pPr>
        <w:pStyle w:val="H23GA"/>
        <w:spacing w:line="340" w:lineRule="exact"/>
      </w:pPr>
      <w:r w:rsidRPr="00670A39">
        <w:rPr>
          <w:rtl/>
        </w:rPr>
        <w:tab/>
      </w:r>
      <w:r w:rsidRPr="00670A39">
        <w:rPr>
          <w:rtl/>
        </w:rPr>
        <w:tab/>
        <w:t>الاتفاقية في النظام القانوني الداخلي</w:t>
      </w:r>
    </w:p>
    <w:p w14:paraId="3B839DD4" w14:textId="24CAD4BE" w:rsidR="00702CCC" w:rsidRPr="00702CCC" w:rsidRDefault="000B0C31" w:rsidP="002C4C39">
      <w:pPr>
        <w:pStyle w:val="SingleTxtGA"/>
        <w:spacing w:line="340" w:lineRule="exact"/>
        <w:rPr>
          <w:color w:val="000000"/>
          <w:lang w:val="en-US"/>
        </w:rPr>
      </w:pPr>
      <w:r w:rsidRPr="00670A39">
        <w:rPr>
          <w:rtl/>
          <w:lang w:val="en-US"/>
        </w:rPr>
        <w:t>6</w:t>
      </w:r>
      <w:r w:rsidRPr="000B0C31">
        <w:rPr>
          <w:rtl/>
          <w:lang w:val="en-US"/>
        </w:rPr>
        <w:t>-</w:t>
      </w:r>
      <w:r w:rsidRPr="000B0C31">
        <w:rPr>
          <w:rtl/>
          <w:lang w:val="en-US"/>
        </w:rPr>
        <w:tab/>
        <w:t>تحيط اللجنة</w:t>
      </w:r>
      <w:r w:rsidR="00FB7A57">
        <w:rPr>
          <w:rtl/>
          <w:lang w:val="en-US"/>
        </w:rPr>
        <w:t xml:space="preserve"> علماً </w:t>
      </w:r>
      <w:r w:rsidRPr="000B0C31">
        <w:rPr>
          <w:rtl/>
          <w:lang w:val="en-US"/>
        </w:rPr>
        <w:t xml:space="preserve">بأن المعاهدات التي تصدق عليها الدولة الطرف لها الأسبقية على القوانين الوطنية </w:t>
      </w:r>
      <w:r w:rsidR="00FB7A57">
        <w:rPr>
          <w:rtl/>
          <w:lang w:val="en-US"/>
        </w:rPr>
        <w:t xml:space="preserve">وفقاً </w:t>
      </w:r>
      <w:r w:rsidRPr="000B0C31">
        <w:rPr>
          <w:rtl/>
          <w:lang w:val="en-US"/>
        </w:rPr>
        <w:t xml:space="preserve">للمادة </w:t>
      </w:r>
      <w:r w:rsidRPr="00670A39">
        <w:rPr>
          <w:rtl/>
          <w:lang w:val="en-US"/>
        </w:rPr>
        <w:t>45</w:t>
      </w:r>
      <w:r w:rsidRPr="000B0C31">
        <w:rPr>
          <w:rtl/>
          <w:lang w:val="en-US"/>
        </w:rPr>
        <w:t xml:space="preserve"> من الدستور، لكنها تعرب عن أسفها لعدم توافر معلومات عن القضايا التي اعتُد فيها بأحكام الاتفاقية أمام المحاكم المحلية أو طَبقت فيها هذه المحاكم أحكام الاتفاقية (المادة </w:t>
      </w:r>
      <w:r w:rsidR="00702CCC" w:rsidRPr="00670A39">
        <w:rPr>
          <w:color w:val="000000"/>
          <w:rtl/>
          <w:lang w:val="en-US"/>
        </w:rPr>
        <w:t>2</w:t>
      </w:r>
      <w:r w:rsidR="00702CCC" w:rsidRPr="00702CCC">
        <w:rPr>
          <w:color w:val="000000"/>
          <w:rtl/>
          <w:lang w:val="en-US"/>
        </w:rPr>
        <w:t>).</w:t>
      </w:r>
    </w:p>
    <w:p w14:paraId="7171A1A5" w14:textId="434A9499" w:rsidR="000B0C31" w:rsidRPr="00670A39" w:rsidRDefault="000B0C31" w:rsidP="002C4C39">
      <w:pPr>
        <w:pStyle w:val="SingleTxtGA"/>
        <w:spacing w:line="340" w:lineRule="exact"/>
        <w:rPr>
          <w:b/>
          <w:bCs/>
          <w:lang w:val="en-US"/>
        </w:rPr>
      </w:pPr>
      <w:r w:rsidRPr="00670A39">
        <w:rPr>
          <w:rtl/>
          <w:lang w:val="en-US"/>
        </w:rPr>
        <w:t>7</w:t>
      </w:r>
      <w:r w:rsidRPr="000B0C31">
        <w:rPr>
          <w:rtl/>
          <w:lang w:val="en-US"/>
        </w:rPr>
        <w:t>-</w:t>
      </w:r>
      <w:r w:rsidRPr="000B0C31">
        <w:rPr>
          <w:rtl/>
          <w:lang w:val="en-US"/>
        </w:rPr>
        <w:tab/>
      </w:r>
      <w:r w:rsidRPr="00670A39">
        <w:rPr>
          <w:b/>
          <w:bCs/>
          <w:rtl/>
          <w:lang w:val="en-US"/>
        </w:rPr>
        <w:t>توصي اللجنة بأن تنفذ الدولة الطرف دورات تدريبية وتنظم حملات توعية للقضاة والمدعين العامين والمحامين وموظفي إنفاذ القانون، وكذلك لعامة السكان، لضمان الاحتجاج بأحكام الاتفاقية أمام المحاكم المحلية. وتطلب إلى الدولة الطرف أن تضمّن تقريرها الدوري المقبل أمثلة محددة على تطبيق الاتفاقية في المحاكم المحلية.</w:t>
      </w:r>
    </w:p>
    <w:p w14:paraId="2F5318B9" w14:textId="77777777" w:rsidR="000B0C31" w:rsidRPr="00670A39" w:rsidRDefault="000B0C31" w:rsidP="002C4C39">
      <w:pPr>
        <w:pStyle w:val="H23GA"/>
        <w:spacing w:line="340" w:lineRule="exact"/>
      </w:pPr>
      <w:r w:rsidRPr="00670A39">
        <w:rPr>
          <w:rtl/>
        </w:rPr>
        <w:tab/>
      </w:r>
      <w:r w:rsidRPr="00670A39">
        <w:rPr>
          <w:rtl/>
        </w:rPr>
        <w:tab/>
        <w:t>حظر التمييز العنصري</w:t>
      </w:r>
    </w:p>
    <w:p w14:paraId="0F7174F1" w14:textId="26E28BC6" w:rsidR="00702CCC" w:rsidRPr="00702CCC" w:rsidRDefault="000B0C31" w:rsidP="002C4C39">
      <w:pPr>
        <w:pStyle w:val="SingleTxtGA"/>
        <w:spacing w:line="340" w:lineRule="exact"/>
        <w:rPr>
          <w:color w:val="000000"/>
          <w:lang w:val="en-US"/>
        </w:rPr>
      </w:pPr>
      <w:r w:rsidRPr="00670A39">
        <w:rPr>
          <w:rtl/>
          <w:lang w:val="en-US"/>
        </w:rPr>
        <w:t>8</w:t>
      </w:r>
      <w:r w:rsidRPr="000B0C31">
        <w:rPr>
          <w:rtl/>
          <w:lang w:val="en-US"/>
        </w:rPr>
        <w:t>-</w:t>
      </w:r>
      <w:r w:rsidRPr="000B0C31">
        <w:rPr>
          <w:rtl/>
          <w:lang w:val="en-US"/>
        </w:rPr>
        <w:tab/>
        <w:t>تحيط اللجنة</w:t>
      </w:r>
      <w:r w:rsidR="00FB7A57">
        <w:rPr>
          <w:rtl/>
          <w:lang w:val="en-US"/>
        </w:rPr>
        <w:t xml:space="preserve"> علماً </w:t>
      </w:r>
      <w:r w:rsidRPr="000B0C31">
        <w:rPr>
          <w:rtl/>
          <w:lang w:val="en-US"/>
        </w:rPr>
        <w:t xml:space="preserve">بالمعلومات المتعلقة بالقانون رقم </w:t>
      </w:r>
      <w:r w:rsidRPr="00670A39">
        <w:rPr>
          <w:rtl/>
          <w:lang w:val="en-US"/>
        </w:rPr>
        <w:t>2019</w:t>
      </w:r>
      <w:r w:rsidRPr="000B0C31">
        <w:rPr>
          <w:rtl/>
          <w:lang w:val="en-US"/>
        </w:rPr>
        <w:t>/</w:t>
      </w:r>
      <w:r w:rsidRPr="00670A39">
        <w:rPr>
          <w:rtl/>
          <w:lang w:val="en-US"/>
        </w:rPr>
        <w:t>020</w:t>
      </w:r>
      <w:r w:rsidRPr="000B0C31">
        <w:rPr>
          <w:rtl/>
          <w:lang w:val="en-US"/>
        </w:rPr>
        <w:t xml:space="preserve"> المؤرخ </w:t>
      </w:r>
      <w:r w:rsidRPr="00670A39">
        <w:rPr>
          <w:rtl/>
          <w:lang w:val="en-US"/>
        </w:rPr>
        <w:t>24</w:t>
      </w:r>
      <w:r w:rsidRPr="000B0C31">
        <w:rPr>
          <w:rtl/>
          <w:lang w:val="en-US"/>
        </w:rPr>
        <w:t xml:space="preserve"> كانون الأول/</w:t>
      </w:r>
      <w:r w:rsidR="002C4C39">
        <w:rPr>
          <w:rFonts w:hint="cs"/>
          <w:rtl/>
          <w:lang w:val="en-US"/>
        </w:rPr>
        <w:t xml:space="preserve"> </w:t>
      </w:r>
      <w:r w:rsidRPr="000B0C31">
        <w:rPr>
          <w:rtl/>
          <w:lang w:val="en-US"/>
        </w:rPr>
        <w:t xml:space="preserve">ديسمبر </w:t>
      </w:r>
      <w:r w:rsidRPr="00670A39">
        <w:rPr>
          <w:rtl/>
          <w:lang w:val="en-US"/>
        </w:rPr>
        <w:t>2019</w:t>
      </w:r>
      <w:r w:rsidRPr="000B0C31">
        <w:rPr>
          <w:rtl/>
          <w:lang w:val="en-US"/>
        </w:rPr>
        <w:t xml:space="preserve"> المعدِّل والمكمِّل لبعض أحكام القانون رقم </w:t>
      </w:r>
      <w:r w:rsidRPr="00670A39">
        <w:rPr>
          <w:rtl/>
          <w:lang w:val="en-US"/>
        </w:rPr>
        <w:t>2016</w:t>
      </w:r>
      <w:r w:rsidRPr="000B0C31">
        <w:rPr>
          <w:rtl/>
          <w:lang w:val="en-US"/>
        </w:rPr>
        <w:t>/</w:t>
      </w:r>
      <w:r w:rsidRPr="00670A39">
        <w:rPr>
          <w:rtl/>
          <w:lang w:val="en-US"/>
        </w:rPr>
        <w:t>7</w:t>
      </w:r>
      <w:r w:rsidRPr="000B0C31">
        <w:rPr>
          <w:rtl/>
          <w:lang w:val="en-US"/>
        </w:rPr>
        <w:t xml:space="preserve"> المؤرخ </w:t>
      </w:r>
      <w:r w:rsidRPr="00670A39">
        <w:rPr>
          <w:rtl/>
          <w:lang w:val="en-US"/>
        </w:rPr>
        <w:t>12</w:t>
      </w:r>
      <w:r w:rsidRPr="000B0C31">
        <w:rPr>
          <w:rtl/>
          <w:lang w:val="en-US"/>
        </w:rPr>
        <w:t xml:space="preserve"> تموز/يوليه </w:t>
      </w:r>
      <w:r w:rsidRPr="00670A39">
        <w:rPr>
          <w:rtl/>
          <w:lang w:val="en-US"/>
        </w:rPr>
        <w:t>2016</w:t>
      </w:r>
      <w:r w:rsidRPr="000B0C31">
        <w:rPr>
          <w:rtl/>
          <w:lang w:val="en-US"/>
        </w:rPr>
        <w:t xml:space="preserve"> المتعلق بقانون العقوبات، وكذلك المعلومات التي مفادها أن القانون ينص على تشديد العقوبات على "أفعال ازدراء العرق أو الدين". ومع ذلك، لا تزال اللجنة تشعر بالقلق لأن الإطار التشريعي الوطني لا</w:t>
      </w:r>
      <w:r w:rsidR="002C4C39">
        <w:rPr>
          <w:rFonts w:hint="cs"/>
          <w:rtl/>
          <w:lang w:val="en-US"/>
        </w:rPr>
        <w:t> </w:t>
      </w:r>
      <w:r w:rsidRPr="000B0C31">
        <w:rPr>
          <w:rtl/>
          <w:lang w:val="en-US"/>
        </w:rPr>
        <w:t>يتضمن تعريف</w:t>
      </w:r>
      <w:r w:rsidR="00FB7A57">
        <w:rPr>
          <w:rtl/>
          <w:lang w:val="en-US"/>
        </w:rPr>
        <w:t xml:space="preserve">اً </w:t>
      </w:r>
      <w:r w:rsidRPr="000B0C31">
        <w:rPr>
          <w:rtl/>
          <w:lang w:val="en-US"/>
        </w:rPr>
        <w:t>صريح</w:t>
      </w:r>
      <w:r w:rsidR="00FB7A57">
        <w:rPr>
          <w:rtl/>
          <w:lang w:val="en-US"/>
        </w:rPr>
        <w:t xml:space="preserve">اً </w:t>
      </w:r>
      <w:r w:rsidRPr="000B0C31">
        <w:rPr>
          <w:rtl/>
          <w:lang w:val="en-US"/>
        </w:rPr>
        <w:t xml:space="preserve">للتمييز العنصري على جميع الأسس المذكورة في المادة </w:t>
      </w:r>
      <w:r w:rsidRPr="00670A39">
        <w:rPr>
          <w:rtl/>
          <w:lang w:val="en-US"/>
        </w:rPr>
        <w:t>1</w:t>
      </w:r>
      <w:r w:rsidRPr="000B0C31">
        <w:rPr>
          <w:rtl/>
          <w:lang w:val="en-US"/>
        </w:rPr>
        <w:t xml:space="preserve"> من الاتفاقية، ولا</w:t>
      </w:r>
      <w:r w:rsidR="00FB7A57">
        <w:rPr>
          <w:rFonts w:hint="cs"/>
          <w:rtl/>
          <w:lang w:val="en-US"/>
        </w:rPr>
        <w:t> </w:t>
      </w:r>
      <w:r w:rsidRPr="000B0C31">
        <w:rPr>
          <w:rtl/>
          <w:lang w:val="en-US"/>
        </w:rPr>
        <w:t xml:space="preserve">سيما على أساس </w:t>
      </w:r>
      <w:proofErr w:type="gramStart"/>
      <w:r w:rsidRPr="000B0C31">
        <w:rPr>
          <w:rtl/>
          <w:lang w:val="en-US"/>
        </w:rPr>
        <w:t>اللون</w:t>
      </w:r>
      <w:proofErr w:type="gramEnd"/>
      <w:r w:rsidRPr="000B0C31">
        <w:rPr>
          <w:rtl/>
          <w:lang w:val="en-US"/>
        </w:rPr>
        <w:t xml:space="preserve"> أو النسب أو الأصل القومي أو الإثني، ولأنه لا يحظر صراحةً التمييز العنصري المباشر وغير المباشر في المجالين العام والخاص (المواد </w:t>
      </w:r>
      <w:r w:rsidRPr="00670A39">
        <w:rPr>
          <w:rtl/>
          <w:lang w:val="en-US"/>
        </w:rPr>
        <w:t>1</w:t>
      </w:r>
      <w:r w:rsidR="00FB7A57">
        <w:rPr>
          <w:rFonts w:hint="cs"/>
          <w:rtl/>
          <w:lang w:val="en-US"/>
        </w:rPr>
        <w:t xml:space="preserve"> </w:t>
      </w:r>
      <w:r w:rsidRPr="000B0C31">
        <w:rPr>
          <w:rtl/>
          <w:lang w:val="en-US"/>
        </w:rPr>
        <w:t>و</w:t>
      </w:r>
      <w:r w:rsidRPr="00670A39">
        <w:rPr>
          <w:rtl/>
          <w:lang w:val="en-US"/>
        </w:rPr>
        <w:t>2</w:t>
      </w:r>
      <w:r w:rsidRPr="000B0C31">
        <w:rPr>
          <w:rtl/>
          <w:lang w:val="en-US"/>
        </w:rPr>
        <w:t xml:space="preserve"> و</w:t>
      </w:r>
      <w:r w:rsidR="00702CCC" w:rsidRPr="00670A39">
        <w:rPr>
          <w:color w:val="000000"/>
          <w:rtl/>
          <w:lang w:val="en-US"/>
        </w:rPr>
        <w:t>5</w:t>
      </w:r>
      <w:r w:rsidR="00702CCC" w:rsidRPr="00702CCC">
        <w:rPr>
          <w:color w:val="000000"/>
          <w:rtl/>
          <w:lang w:val="en-US"/>
        </w:rPr>
        <w:t>).</w:t>
      </w:r>
    </w:p>
    <w:p w14:paraId="67D31A2F" w14:textId="44C7E309" w:rsidR="000B0C31" w:rsidRPr="00670A39" w:rsidRDefault="000B0C31" w:rsidP="000B0C31">
      <w:pPr>
        <w:pStyle w:val="SingleTxtGA"/>
        <w:rPr>
          <w:b/>
          <w:bCs/>
          <w:lang w:val="en-US"/>
        </w:rPr>
      </w:pPr>
      <w:r w:rsidRPr="00670A39">
        <w:rPr>
          <w:rtl/>
          <w:lang w:val="en-US"/>
        </w:rPr>
        <w:lastRenderedPageBreak/>
        <w:t>9</w:t>
      </w:r>
      <w:r w:rsidRPr="000B0C31">
        <w:rPr>
          <w:rtl/>
          <w:lang w:val="en-US"/>
        </w:rPr>
        <w:t>-</w:t>
      </w:r>
      <w:r w:rsidRPr="000B0C31">
        <w:rPr>
          <w:rtl/>
          <w:lang w:val="en-US"/>
        </w:rPr>
        <w:tab/>
      </w:r>
      <w:r w:rsidRPr="00670A39">
        <w:rPr>
          <w:b/>
          <w:bCs/>
          <w:rtl/>
          <w:lang w:val="en-US"/>
        </w:rPr>
        <w:t>توصي اللجنة الدولة الطرف باستعراض قوانينها وسياساتها لكي تدرج صراحةً مبدأ المساواة وحظر التمييز العنصري على جميع الأسس المحظورة، تمشي</w:t>
      </w:r>
      <w:r w:rsidR="00FB7A57" w:rsidRPr="00670A39">
        <w:rPr>
          <w:b/>
          <w:bCs/>
          <w:rtl/>
          <w:lang w:val="en-US"/>
        </w:rPr>
        <w:t xml:space="preserve">اً </w:t>
      </w:r>
      <w:r w:rsidRPr="00670A39">
        <w:rPr>
          <w:b/>
          <w:bCs/>
          <w:rtl/>
          <w:lang w:val="en-US"/>
        </w:rPr>
        <w:t>مع المادة 1 من الاتفاقية، وأن تلغي المفاهيم التي تتعارض مع أحكام هذه المادة، مثل مفهوم "الاستيعاب". وتوصي كذلك بأن تعتمد الدولة الطرف قانوناً لمكافحة التمييز يهدف إلى منع التمييز العنصري ومحاربته ويحوي جميع أسس التمييز المحظورة ويشمل التمييز المباشر وغير المباشر في المجالين العام والخاص على حد سواء.</w:t>
      </w:r>
    </w:p>
    <w:p w14:paraId="28A06EE4" w14:textId="77777777" w:rsidR="000B0C31" w:rsidRPr="00670A39" w:rsidRDefault="000B0C31" w:rsidP="000B0C31">
      <w:pPr>
        <w:pStyle w:val="H23GA"/>
      </w:pPr>
      <w:r w:rsidRPr="00670A39">
        <w:rPr>
          <w:rtl/>
        </w:rPr>
        <w:tab/>
      </w:r>
      <w:r w:rsidRPr="00670A39">
        <w:rPr>
          <w:rtl/>
        </w:rPr>
        <w:tab/>
        <w:t>المؤسسة الوطنية لحقوق الإنسان</w:t>
      </w:r>
    </w:p>
    <w:p w14:paraId="35B597B8" w14:textId="79E99623" w:rsidR="00702CCC" w:rsidRPr="00702CCC" w:rsidRDefault="000B0C31" w:rsidP="00FB7A57">
      <w:pPr>
        <w:pStyle w:val="SingleTxtGA"/>
        <w:spacing w:line="354" w:lineRule="exact"/>
        <w:rPr>
          <w:color w:val="000000"/>
          <w:lang w:val="en-US"/>
        </w:rPr>
      </w:pPr>
      <w:r w:rsidRPr="00670A39">
        <w:rPr>
          <w:rtl/>
          <w:lang w:val="en-US"/>
        </w:rPr>
        <w:t>10</w:t>
      </w:r>
      <w:r w:rsidRPr="000B0C31">
        <w:rPr>
          <w:rtl/>
          <w:lang w:val="en-US"/>
        </w:rPr>
        <w:t>-</w:t>
      </w:r>
      <w:r w:rsidRPr="000B0C31">
        <w:rPr>
          <w:rtl/>
          <w:lang w:val="en-US"/>
        </w:rPr>
        <w:tab/>
        <w:t>تحيط اللجنة</w:t>
      </w:r>
      <w:r w:rsidR="00FB7A57">
        <w:rPr>
          <w:rtl/>
          <w:lang w:val="en-US"/>
        </w:rPr>
        <w:t xml:space="preserve"> علماً </w:t>
      </w:r>
      <w:r w:rsidRPr="000B0C31">
        <w:rPr>
          <w:rtl/>
          <w:lang w:val="en-US"/>
        </w:rPr>
        <w:t xml:space="preserve">بالمعلومات المتعلقة بإنشاء لجنة الكاميرون لحقوق الإنسان في عام </w:t>
      </w:r>
      <w:r w:rsidRPr="00670A39">
        <w:rPr>
          <w:rtl/>
          <w:lang w:val="en-US"/>
        </w:rPr>
        <w:t>2019</w:t>
      </w:r>
      <w:r w:rsidRPr="000B0C31">
        <w:rPr>
          <w:rtl/>
          <w:lang w:val="en-US"/>
        </w:rPr>
        <w:t xml:space="preserve"> بوصفها المؤسسة الوطنية المستقلة لتعزيز وحماية حقوق الإنسان، لتحل محل اللجنة الوطنية لحقوق الإنسان والحريات. وبينما تحيط اللجنة</w:t>
      </w:r>
      <w:r w:rsidR="00FB7A57">
        <w:rPr>
          <w:rtl/>
          <w:lang w:val="en-US"/>
        </w:rPr>
        <w:t xml:space="preserve"> علماً </w:t>
      </w:r>
      <w:r w:rsidRPr="000B0C31">
        <w:rPr>
          <w:rtl/>
          <w:lang w:val="en-US"/>
        </w:rPr>
        <w:t>بالمعلومات المتعلقة بإعداد لائحة داخلية بشأن أمانة اللجنة، يساورها القلق لأن اللجنة تفتقر إلى الاستقلال المؤسسي، حيث إن رئيس الكاميرون هو من يختار أعضاءها ال</w:t>
      </w:r>
      <w:r w:rsidR="00FB7A57">
        <w:rPr>
          <w:rFonts w:hint="cs"/>
          <w:rtl/>
          <w:lang w:val="en-US"/>
        </w:rPr>
        <w:t>‍</w:t>
      </w:r>
      <w:r w:rsidRPr="000B0C31">
        <w:rPr>
          <w:rtl/>
          <w:lang w:val="en-US"/>
        </w:rPr>
        <w:t xml:space="preserve"> </w:t>
      </w:r>
      <w:r w:rsidRPr="00670A39">
        <w:rPr>
          <w:rtl/>
          <w:lang w:val="en-US"/>
        </w:rPr>
        <w:t>15</w:t>
      </w:r>
      <w:r w:rsidRPr="000B0C31">
        <w:rPr>
          <w:rtl/>
          <w:lang w:val="en-US"/>
        </w:rPr>
        <w:t xml:space="preserve"> ويعيّنهم خارج إطار أي عملية شفافة وتشاركية وقائمة على أساس الجدارة. ويساورها القلق</w:t>
      </w:r>
      <w:r w:rsidR="00FB7A57">
        <w:rPr>
          <w:rtl/>
          <w:lang w:val="en-US"/>
        </w:rPr>
        <w:t xml:space="preserve"> أيضاً </w:t>
      </w:r>
      <w:r w:rsidRPr="000B0C31">
        <w:rPr>
          <w:rtl/>
          <w:lang w:val="en-US"/>
        </w:rPr>
        <w:t xml:space="preserve">إزاء عدم كفاية مستوى التمويل والموارد البشرية (المادة </w:t>
      </w:r>
      <w:r w:rsidR="00702CCC" w:rsidRPr="00670A39">
        <w:rPr>
          <w:color w:val="000000"/>
          <w:rtl/>
          <w:lang w:val="en-US"/>
        </w:rPr>
        <w:t>2</w:t>
      </w:r>
      <w:r w:rsidR="00702CCC" w:rsidRPr="00702CCC">
        <w:rPr>
          <w:color w:val="000000"/>
          <w:rtl/>
          <w:lang w:val="en-US"/>
        </w:rPr>
        <w:t>).</w:t>
      </w:r>
    </w:p>
    <w:p w14:paraId="5E7DE99C" w14:textId="128A4B0F" w:rsidR="000B0C31" w:rsidRPr="00670A39" w:rsidRDefault="000B0C31" w:rsidP="00FB7A57">
      <w:pPr>
        <w:pStyle w:val="SingleTxtGA"/>
        <w:spacing w:line="354" w:lineRule="exact"/>
        <w:rPr>
          <w:b/>
          <w:bCs/>
          <w:spacing w:val="-2"/>
          <w:lang w:val="en-US"/>
        </w:rPr>
      </w:pPr>
      <w:r w:rsidRPr="00670A39">
        <w:rPr>
          <w:spacing w:val="-2"/>
          <w:rtl/>
          <w:lang w:val="en-US"/>
        </w:rPr>
        <w:t>11</w:t>
      </w:r>
      <w:r w:rsidRPr="00FB7A57">
        <w:rPr>
          <w:spacing w:val="-2"/>
          <w:rtl/>
          <w:lang w:val="en-US"/>
        </w:rPr>
        <w:t>-</w:t>
      </w:r>
      <w:r w:rsidRPr="00FB7A57">
        <w:rPr>
          <w:spacing w:val="-2"/>
          <w:rtl/>
          <w:lang w:val="en-US"/>
        </w:rPr>
        <w:tab/>
      </w:r>
      <w:r w:rsidRPr="00670A39">
        <w:rPr>
          <w:b/>
          <w:bCs/>
          <w:spacing w:val="-2"/>
          <w:rtl/>
          <w:lang w:val="en-US"/>
        </w:rPr>
        <w:t>توصي اللجنة الدولة الطرف بأن تعتمد تدابير تشريعية لاستحداث وتنفيذ عملية شفافة وتشاركية وقائمة على أساس الجدارة لاختيار أعضاء اللجنة، تحترم التوازن بين الجنسين وتعكس تكوين السكان، وأن تزود اللجنة بما يكفي من الموارد البشرية والمالية اللازمة للوفاء بولايتها بفعالية واستقلالية.</w:t>
      </w:r>
    </w:p>
    <w:p w14:paraId="1F77FF0F" w14:textId="77777777" w:rsidR="000B0C31" w:rsidRPr="00670A39" w:rsidRDefault="000B0C31" w:rsidP="000B0C31">
      <w:pPr>
        <w:pStyle w:val="H23GA"/>
      </w:pPr>
      <w:r w:rsidRPr="00670A39">
        <w:rPr>
          <w:rtl/>
        </w:rPr>
        <w:tab/>
      </w:r>
      <w:r w:rsidRPr="00670A39">
        <w:rPr>
          <w:rtl/>
        </w:rPr>
        <w:tab/>
        <w:t>الشكاوى المتعلقة بالتمييز العنصري</w:t>
      </w:r>
    </w:p>
    <w:p w14:paraId="2A22FF4A" w14:textId="6209E880" w:rsidR="00702CCC" w:rsidRPr="00702CCC" w:rsidRDefault="000B0C31" w:rsidP="00FB7A57">
      <w:pPr>
        <w:pStyle w:val="SingleTxtGA"/>
        <w:spacing w:line="354" w:lineRule="exact"/>
        <w:rPr>
          <w:color w:val="000000"/>
          <w:lang w:val="en-US"/>
        </w:rPr>
      </w:pPr>
      <w:r w:rsidRPr="00670A39">
        <w:rPr>
          <w:rtl/>
          <w:lang w:val="en-US"/>
        </w:rPr>
        <w:t>12</w:t>
      </w:r>
      <w:r w:rsidRPr="000B0C31">
        <w:rPr>
          <w:rtl/>
          <w:lang w:val="en-US"/>
        </w:rPr>
        <w:t>-</w:t>
      </w:r>
      <w:r w:rsidRPr="000B0C31">
        <w:rPr>
          <w:rtl/>
          <w:lang w:val="en-US"/>
        </w:rPr>
        <w:tab/>
        <w:t>تحيط اللجنة</w:t>
      </w:r>
      <w:r w:rsidR="00FB7A57">
        <w:rPr>
          <w:rtl/>
          <w:lang w:val="en-US"/>
        </w:rPr>
        <w:t xml:space="preserve"> علماً </w:t>
      </w:r>
      <w:r w:rsidRPr="000B0C31">
        <w:rPr>
          <w:rtl/>
          <w:lang w:val="en-US"/>
        </w:rPr>
        <w:t xml:space="preserve">بالمعلومات التي قدمتها الدولة الطرف بشأن قضيتي تمييز عنصري رُفعتا ضد عمال وطنيين أمام المحاكم المحلية في عامي </w:t>
      </w:r>
      <w:r w:rsidRPr="00670A39">
        <w:rPr>
          <w:rtl/>
          <w:lang w:val="en-US"/>
        </w:rPr>
        <w:t>2012</w:t>
      </w:r>
      <w:r w:rsidRPr="000B0C31">
        <w:rPr>
          <w:rtl/>
          <w:lang w:val="en-US"/>
        </w:rPr>
        <w:t xml:space="preserve"> و</w:t>
      </w:r>
      <w:r w:rsidRPr="00670A39">
        <w:rPr>
          <w:rtl/>
          <w:lang w:val="en-US"/>
        </w:rPr>
        <w:t>201</w:t>
      </w:r>
      <w:r w:rsidR="00702CCC" w:rsidRPr="00670A39">
        <w:rPr>
          <w:color w:val="000000"/>
          <w:rtl/>
          <w:lang w:val="en-US"/>
        </w:rPr>
        <w:t>3</w:t>
      </w:r>
      <w:r w:rsidR="00702CCC" w:rsidRPr="00702CCC">
        <w:rPr>
          <w:color w:val="000000"/>
          <w:rtl/>
          <w:lang w:val="en-US"/>
        </w:rPr>
        <w:t xml:space="preserve">. </w:t>
      </w:r>
      <w:r w:rsidRPr="000B0C31">
        <w:rPr>
          <w:rtl/>
          <w:lang w:val="en-US"/>
        </w:rPr>
        <w:t xml:space="preserve">بيد أن اللجنة تأسف لعدم وجود معلومات مستكملة عن الشكاوى المتعلقة بالتمييز العنصري التي تلقتها لجنة الكاميرون لحقوق الإنسان، وكذلك عن التحقيقات والملاحقات القضائية والإدانات والجزاءات التي فرضتها المحاكم المحلية، وعن التعويضات وأشكال الجبر الأخرى المقدمة للضحايا (المادتان </w:t>
      </w:r>
      <w:r w:rsidRPr="00670A39">
        <w:rPr>
          <w:rtl/>
          <w:lang w:val="en-US"/>
        </w:rPr>
        <w:t>6</w:t>
      </w:r>
      <w:r w:rsidRPr="000B0C31">
        <w:rPr>
          <w:rtl/>
          <w:lang w:val="en-US"/>
        </w:rPr>
        <w:t>-</w:t>
      </w:r>
      <w:r w:rsidR="00702CCC" w:rsidRPr="00670A39">
        <w:rPr>
          <w:color w:val="000000"/>
          <w:rtl/>
          <w:lang w:val="en-US"/>
        </w:rPr>
        <w:t>7</w:t>
      </w:r>
      <w:r w:rsidR="00702CCC" w:rsidRPr="00702CCC">
        <w:rPr>
          <w:color w:val="000000"/>
          <w:rtl/>
          <w:lang w:val="en-US"/>
        </w:rPr>
        <w:t>).</w:t>
      </w:r>
    </w:p>
    <w:p w14:paraId="367FE5B3" w14:textId="31405EE8" w:rsidR="000B0C31" w:rsidRPr="00670A39" w:rsidRDefault="000B0C31" w:rsidP="00FB7A57">
      <w:pPr>
        <w:pStyle w:val="SingleTxtGA"/>
        <w:spacing w:line="354" w:lineRule="exact"/>
        <w:rPr>
          <w:b/>
          <w:bCs/>
          <w:lang w:val="en-US"/>
        </w:rPr>
      </w:pPr>
      <w:r w:rsidRPr="00670A39">
        <w:rPr>
          <w:rtl/>
          <w:lang w:val="en-US"/>
        </w:rPr>
        <w:t>13</w:t>
      </w:r>
      <w:r w:rsidRPr="000B0C31">
        <w:rPr>
          <w:rtl/>
          <w:lang w:val="en-US"/>
        </w:rPr>
        <w:t>-</w:t>
      </w:r>
      <w:r w:rsidRPr="000B0C31">
        <w:rPr>
          <w:rtl/>
          <w:lang w:val="en-US"/>
        </w:rPr>
        <w:tab/>
      </w:r>
      <w:r w:rsidRPr="00670A39">
        <w:rPr>
          <w:b/>
          <w:bCs/>
          <w:rtl/>
          <w:lang w:val="en-US"/>
        </w:rPr>
        <w:t>توجِّه اللجنة انتباه الدولة الطرف إلى توصيتها العامة رقم 31(200</w:t>
      </w:r>
      <w:r w:rsidR="00702CCC" w:rsidRPr="00670A39">
        <w:rPr>
          <w:b/>
          <w:bCs/>
          <w:color w:val="000000"/>
          <w:rtl/>
          <w:lang w:val="en-US"/>
        </w:rPr>
        <w:t xml:space="preserve">5) </w:t>
      </w:r>
      <w:r w:rsidRPr="00670A39">
        <w:rPr>
          <w:b/>
          <w:bCs/>
          <w:rtl/>
          <w:lang w:val="en-US"/>
        </w:rPr>
        <w:t>بشأن منع التمييز العنصري في إدارة وسير عمل نظام العدالة الجنائية، وتذكِّر بأن عدم وجود شكاوى ودعاوى تمييز عنصري قد يدل على عدم وجود تشريعات مناسبة، وضعف الوعي بسبل الانتصاف القانوني المتاحة، وعدم الثقة في النظام القضائي، والخوف من الانتقام، أو على افتقار السلطات إلى الإرادة اللازمة لمقاضاة مرتكبي هذه الأفعال. وتوصي الدولة الطرف بما يلي:</w:t>
      </w:r>
    </w:p>
    <w:p w14:paraId="639BD686" w14:textId="4897B374" w:rsidR="000B0C31" w:rsidRPr="00670A39" w:rsidRDefault="000B0C31" w:rsidP="00FB7A57">
      <w:pPr>
        <w:pStyle w:val="SingleTxtGA"/>
        <w:spacing w:line="354" w:lineRule="exact"/>
        <w:rPr>
          <w:b/>
          <w:bCs/>
          <w:lang w:val="en-US"/>
        </w:rPr>
      </w:pPr>
      <w:r>
        <w:rPr>
          <w:rtl/>
          <w:lang w:val="en-US"/>
        </w:rPr>
        <w:tab/>
      </w:r>
      <w:r w:rsidRPr="000B0C31">
        <w:rPr>
          <w:rtl/>
          <w:lang w:val="en-US"/>
        </w:rPr>
        <w:t>(أ)</w:t>
      </w:r>
      <w:r w:rsidRPr="000B0C31">
        <w:rPr>
          <w:rtl/>
          <w:lang w:val="en-US"/>
        </w:rPr>
        <w:tab/>
      </w:r>
      <w:r w:rsidRPr="00670A39">
        <w:rPr>
          <w:b/>
          <w:bCs/>
          <w:rtl/>
          <w:lang w:val="en-US"/>
        </w:rPr>
        <w:t>تيسير نظام تقديم الشكاوى المتعلقة بالتمييز العنصري وضمان إمكانية الوصول إليه وإتاحته للضحايا؛</w:t>
      </w:r>
    </w:p>
    <w:p w14:paraId="6C81ABFE" w14:textId="7ECC36FD" w:rsidR="000B0C31" w:rsidRPr="00670A39" w:rsidRDefault="000B0C31" w:rsidP="00FB7A57">
      <w:pPr>
        <w:pStyle w:val="SingleTxtGA"/>
        <w:spacing w:line="354" w:lineRule="exact"/>
        <w:rPr>
          <w:b/>
          <w:bCs/>
          <w:lang w:val="en-US"/>
        </w:rPr>
      </w:pPr>
      <w:r>
        <w:rPr>
          <w:rtl/>
          <w:lang w:val="en-US"/>
        </w:rPr>
        <w:tab/>
      </w:r>
      <w:r w:rsidRPr="000B0C31">
        <w:rPr>
          <w:rtl/>
          <w:lang w:val="en-US"/>
        </w:rPr>
        <w:t>(ب)</w:t>
      </w:r>
      <w:r w:rsidRPr="000B0C31">
        <w:rPr>
          <w:rtl/>
          <w:lang w:val="en-US"/>
        </w:rPr>
        <w:tab/>
      </w:r>
      <w:r w:rsidRPr="00670A39">
        <w:rPr>
          <w:b/>
          <w:bCs/>
          <w:rtl/>
          <w:lang w:val="en-US"/>
        </w:rPr>
        <w:t>تنفيذ برامج تدريب لموظفي الشرطة والمدعين العامين وغيرهم من موظفي إنفاذ القانون على التعرف على حوادث التمييز العنصري وتسجيلها؛</w:t>
      </w:r>
    </w:p>
    <w:p w14:paraId="45B01CE5" w14:textId="7B667D8B" w:rsidR="000B0C31" w:rsidRPr="00670A39" w:rsidRDefault="000B0C31" w:rsidP="00FB7A57">
      <w:pPr>
        <w:pStyle w:val="SingleTxtGA"/>
        <w:spacing w:line="354" w:lineRule="exact"/>
        <w:rPr>
          <w:b/>
          <w:bCs/>
          <w:lang w:val="en-US"/>
        </w:rPr>
      </w:pPr>
      <w:r>
        <w:rPr>
          <w:rtl/>
          <w:lang w:val="en-US"/>
        </w:rPr>
        <w:tab/>
      </w:r>
      <w:r w:rsidRPr="000B0C31">
        <w:rPr>
          <w:rtl/>
          <w:lang w:val="en-US"/>
        </w:rPr>
        <w:t>(ج)</w:t>
      </w:r>
      <w:r w:rsidRPr="000B0C31">
        <w:rPr>
          <w:rtl/>
          <w:lang w:val="en-US"/>
        </w:rPr>
        <w:tab/>
      </w:r>
      <w:r w:rsidRPr="00670A39">
        <w:rPr>
          <w:b/>
          <w:bCs/>
          <w:rtl/>
          <w:lang w:val="en-US"/>
        </w:rPr>
        <w:t>تنفيذ حملات تثقيف عامة بشأن الحقوق المنصوص عليها في الاتفاقية وكيفية إيداع الشكاوى المتعلقة بالتمييز العنصري؛</w:t>
      </w:r>
    </w:p>
    <w:p w14:paraId="10514D25" w14:textId="25EB4498" w:rsidR="000B0C31" w:rsidRPr="00670A39" w:rsidRDefault="000B0C31" w:rsidP="00FB7A57">
      <w:pPr>
        <w:pStyle w:val="SingleTxtGA"/>
        <w:spacing w:line="354" w:lineRule="exact"/>
        <w:rPr>
          <w:b/>
          <w:bCs/>
          <w:lang w:val="en-US"/>
        </w:rPr>
      </w:pPr>
      <w:r>
        <w:rPr>
          <w:rtl/>
          <w:lang w:val="en-US"/>
        </w:rPr>
        <w:tab/>
      </w:r>
      <w:r w:rsidRPr="000B0C31">
        <w:rPr>
          <w:rtl/>
          <w:lang w:val="en-US"/>
        </w:rPr>
        <w:t>(د)</w:t>
      </w:r>
      <w:r w:rsidRPr="000B0C31">
        <w:rPr>
          <w:rtl/>
          <w:lang w:val="en-US"/>
        </w:rPr>
        <w:tab/>
      </w:r>
      <w:r w:rsidRPr="00670A39">
        <w:rPr>
          <w:b/>
          <w:bCs/>
          <w:rtl/>
          <w:lang w:val="en-US"/>
        </w:rPr>
        <w:t>إنشاء آلية لجمع الإحصاءات بشأن شكاوى التمييز العنصري المقدمة إلى لجنة الكاميرون لحقوق الإنسان، وعن التحقيقات والمحاكمات والإدانات والعقوبات المفروضة على الجناة، وعن التعويضات المقدمة إلى الضحايا، على أن تكون هذه الإحصاءات مصنفة حسب العمر والنوع الاجتماعي والأصل الإثني.</w:t>
      </w:r>
    </w:p>
    <w:p w14:paraId="1A0930A7" w14:textId="77777777" w:rsidR="000B0C31" w:rsidRPr="00670A39" w:rsidRDefault="000B0C31" w:rsidP="000B0C31">
      <w:pPr>
        <w:pStyle w:val="H23GA"/>
      </w:pPr>
      <w:r w:rsidRPr="00670A39">
        <w:rPr>
          <w:rtl/>
        </w:rPr>
        <w:lastRenderedPageBreak/>
        <w:tab/>
      </w:r>
      <w:r w:rsidRPr="00670A39">
        <w:rPr>
          <w:rtl/>
        </w:rPr>
        <w:tab/>
        <w:t>جرائم الكراهية وخطاب الكراهية</w:t>
      </w:r>
    </w:p>
    <w:p w14:paraId="45AD86E9" w14:textId="670A60A1" w:rsidR="00702CCC" w:rsidRPr="00702CCC" w:rsidRDefault="000B0C31" w:rsidP="000B0C31">
      <w:pPr>
        <w:pStyle w:val="SingleTxtGA"/>
        <w:rPr>
          <w:color w:val="000000"/>
          <w:lang w:val="en-US"/>
        </w:rPr>
      </w:pPr>
      <w:r w:rsidRPr="00670A39">
        <w:rPr>
          <w:rtl/>
          <w:lang w:val="en-US"/>
        </w:rPr>
        <w:t>14</w:t>
      </w:r>
      <w:r w:rsidRPr="000B0C31">
        <w:rPr>
          <w:rtl/>
          <w:lang w:val="en-US"/>
        </w:rPr>
        <w:t>-</w:t>
      </w:r>
      <w:r w:rsidRPr="000B0C31">
        <w:rPr>
          <w:rtl/>
          <w:lang w:val="en-US"/>
        </w:rPr>
        <w:tab/>
        <w:t>تحيط اللجنة</w:t>
      </w:r>
      <w:r w:rsidR="00FB7A57">
        <w:rPr>
          <w:rtl/>
          <w:lang w:val="en-US"/>
        </w:rPr>
        <w:t xml:space="preserve"> علماً </w:t>
      </w:r>
      <w:r w:rsidRPr="000B0C31">
        <w:rPr>
          <w:rtl/>
          <w:lang w:val="en-US"/>
        </w:rPr>
        <w:t xml:space="preserve">بالمعلومات المتعلقة بتجريم خطاب الكراهية والتحريض على العنف ضد الأفراد والجماعات على أساس "القبيلة" و"الأصل الإثني" بموجب المادة </w:t>
      </w:r>
      <w:r w:rsidRPr="00670A39">
        <w:rPr>
          <w:rtl/>
          <w:lang w:val="en-US"/>
        </w:rPr>
        <w:t>241</w:t>
      </w:r>
      <w:r w:rsidRPr="000B0C31">
        <w:rPr>
          <w:rtl/>
          <w:lang w:val="en-US"/>
        </w:rPr>
        <w:t>(</w:t>
      </w:r>
      <w:r w:rsidR="00702CCC" w:rsidRPr="00670A39">
        <w:rPr>
          <w:color w:val="000000"/>
          <w:rtl/>
          <w:lang w:val="en-US"/>
        </w:rPr>
        <w:t>1</w:t>
      </w:r>
      <w:r w:rsidR="00702CCC" w:rsidRPr="00702CCC">
        <w:rPr>
          <w:color w:val="000000"/>
          <w:rtl/>
          <w:lang w:val="en-US"/>
        </w:rPr>
        <w:t xml:space="preserve">) </w:t>
      </w:r>
      <w:r w:rsidRPr="000B0C31">
        <w:rPr>
          <w:rtl/>
          <w:lang w:val="en-US"/>
        </w:rPr>
        <w:t xml:space="preserve">من قانون العقوبات. بيد أنها تلاحظ بقلق أن تشريعات الدولة الطرف لا تتضمن أحكاماً تجرم صراحةً خطاب الكراهية العنصري وجرائم الكراهية </w:t>
      </w:r>
      <w:r w:rsidR="00FB7A57">
        <w:rPr>
          <w:rtl/>
          <w:lang w:val="en-US"/>
        </w:rPr>
        <w:t xml:space="preserve">وفقاً </w:t>
      </w:r>
      <w:r w:rsidRPr="000B0C31">
        <w:rPr>
          <w:rtl/>
          <w:lang w:val="en-US"/>
        </w:rPr>
        <w:t xml:space="preserve">للمادة </w:t>
      </w:r>
      <w:r w:rsidRPr="00670A39">
        <w:rPr>
          <w:rtl/>
          <w:lang w:val="en-US"/>
        </w:rPr>
        <w:t>4</w:t>
      </w:r>
      <w:r w:rsidRPr="000B0C31">
        <w:rPr>
          <w:rtl/>
          <w:lang w:val="en-US"/>
        </w:rPr>
        <w:t xml:space="preserve"> من الاتفاقية. وتأسف اللجنة</w:t>
      </w:r>
      <w:r w:rsidR="00FB7A57">
        <w:rPr>
          <w:rtl/>
          <w:lang w:val="en-US"/>
        </w:rPr>
        <w:t xml:space="preserve"> أيضاً </w:t>
      </w:r>
      <w:r w:rsidRPr="000B0C31">
        <w:rPr>
          <w:rtl/>
          <w:lang w:val="en-US"/>
        </w:rPr>
        <w:t>لعدم وجود معلومات عن الجهود المبذولة لرصد انتشار خطاب الكراهية على شبكة الإنترنت ووسائل التواصل الاجتماعي، فضل</w:t>
      </w:r>
      <w:r w:rsidR="00FB7A57">
        <w:rPr>
          <w:rtl/>
          <w:lang w:val="en-US"/>
        </w:rPr>
        <w:t xml:space="preserve">اً </w:t>
      </w:r>
      <w:r w:rsidRPr="000B0C31">
        <w:rPr>
          <w:rtl/>
          <w:lang w:val="en-US"/>
        </w:rPr>
        <w:t>عن الافتقار إلى المعلومات، بما في ذلك الإحصاءات، عن الشكاوى المقدمة، والتحقيقات والملاحقات القضائية، والجزاءات المفروضة على الجناة. ويساورها القلق</w:t>
      </w:r>
      <w:r w:rsidR="00FB7A57">
        <w:rPr>
          <w:rtl/>
          <w:lang w:val="en-US"/>
        </w:rPr>
        <w:t xml:space="preserve"> أيضاً </w:t>
      </w:r>
      <w:r w:rsidRPr="000B0C31">
        <w:rPr>
          <w:rtl/>
          <w:lang w:val="en-US"/>
        </w:rPr>
        <w:t xml:space="preserve">إزاء التقارير التي تتحدث عن موظفين عموميين وحكوميين يحرضون على الكراهية العنصرية (المواد </w:t>
      </w:r>
      <w:r w:rsidRPr="00670A39">
        <w:rPr>
          <w:rtl/>
          <w:lang w:val="en-US"/>
        </w:rPr>
        <w:t>4</w:t>
      </w:r>
      <w:r w:rsidRPr="000B0C31">
        <w:rPr>
          <w:rtl/>
          <w:lang w:val="en-US"/>
        </w:rPr>
        <w:t xml:space="preserve"> و</w:t>
      </w:r>
      <w:r w:rsidRPr="00670A39">
        <w:rPr>
          <w:rtl/>
          <w:lang w:val="en-US"/>
        </w:rPr>
        <w:t>6</w:t>
      </w:r>
      <w:r w:rsidRPr="000B0C31">
        <w:rPr>
          <w:rtl/>
          <w:lang w:val="en-US"/>
        </w:rPr>
        <w:t xml:space="preserve"> و</w:t>
      </w:r>
      <w:r w:rsidR="00702CCC" w:rsidRPr="00670A39">
        <w:rPr>
          <w:color w:val="000000"/>
          <w:rtl/>
          <w:lang w:val="en-US"/>
        </w:rPr>
        <w:t>7</w:t>
      </w:r>
      <w:r w:rsidR="00702CCC" w:rsidRPr="00702CCC">
        <w:rPr>
          <w:color w:val="000000"/>
          <w:rtl/>
          <w:lang w:val="en-US"/>
        </w:rPr>
        <w:t>).</w:t>
      </w:r>
    </w:p>
    <w:p w14:paraId="1C00D3FE" w14:textId="249B110D" w:rsidR="000B0C31" w:rsidRPr="00670A39" w:rsidRDefault="000B0C31" w:rsidP="000B0C31">
      <w:pPr>
        <w:pStyle w:val="SingleTxtGA"/>
        <w:rPr>
          <w:b/>
          <w:bCs/>
          <w:lang w:val="en-US"/>
        </w:rPr>
      </w:pPr>
      <w:r w:rsidRPr="00670A39">
        <w:rPr>
          <w:rtl/>
          <w:lang w:val="en-US"/>
        </w:rPr>
        <w:t>15</w:t>
      </w:r>
      <w:r w:rsidRPr="000B0C31">
        <w:rPr>
          <w:rtl/>
          <w:lang w:val="en-US"/>
        </w:rPr>
        <w:t>-</w:t>
      </w:r>
      <w:r w:rsidRPr="000B0C31">
        <w:rPr>
          <w:rtl/>
          <w:lang w:val="en-US"/>
        </w:rPr>
        <w:tab/>
      </w:r>
      <w:r w:rsidR="00FB7A57" w:rsidRPr="00670A39">
        <w:rPr>
          <w:rFonts w:ascii="Times New Roman Bold" w:hAnsi="Times New Roman Bold"/>
          <w:b/>
          <w:bCs/>
          <w:spacing w:val="-4"/>
          <w:rtl/>
          <w:lang w:val="en-US"/>
        </w:rPr>
        <w:t xml:space="preserve">وفقاً </w:t>
      </w:r>
      <w:r w:rsidRPr="00670A39">
        <w:rPr>
          <w:rFonts w:ascii="Times New Roman Bold" w:hAnsi="Times New Roman Bold"/>
          <w:b/>
          <w:bCs/>
          <w:spacing w:val="-4"/>
          <w:rtl/>
          <w:lang w:val="en-US"/>
        </w:rPr>
        <w:t>لتوصياتها العامة رقم 7(198</w:t>
      </w:r>
      <w:r w:rsidR="00702CCC" w:rsidRPr="00670A39">
        <w:rPr>
          <w:rFonts w:ascii="Times New Roman Bold" w:hAnsi="Times New Roman Bold"/>
          <w:b/>
          <w:bCs/>
          <w:color w:val="000000"/>
          <w:spacing w:val="-4"/>
          <w:rtl/>
          <w:lang w:val="en-US"/>
        </w:rPr>
        <w:t xml:space="preserve">5) </w:t>
      </w:r>
      <w:r w:rsidRPr="00670A39">
        <w:rPr>
          <w:rFonts w:ascii="Times New Roman Bold" w:hAnsi="Times New Roman Bold"/>
          <w:b/>
          <w:bCs/>
          <w:spacing w:val="-4"/>
          <w:rtl/>
          <w:lang w:val="en-US"/>
        </w:rPr>
        <w:t>المتعلقة بتنفيذ المادة 4 من الاتفاقية، ورقم 15(199</w:t>
      </w:r>
      <w:r w:rsidR="00702CCC" w:rsidRPr="00670A39">
        <w:rPr>
          <w:rFonts w:ascii="Times New Roman Bold" w:hAnsi="Times New Roman Bold"/>
          <w:b/>
          <w:bCs/>
          <w:color w:val="000000"/>
          <w:spacing w:val="-4"/>
          <w:rtl/>
          <w:lang w:val="en-US"/>
        </w:rPr>
        <w:t>3)</w:t>
      </w:r>
      <w:r w:rsidR="00702CCC" w:rsidRPr="00670A39">
        <w:rPr>
          <w:b/>
          <w:bCs/>
          <w:color w:val="000000"/>
          <w:rtl/>
          <w:lang w:val="en-US"/>
        </w:rPr>
        <w:t xml:space="preserve"> </w:t>
      </w:r>
      <w:r w:rsidRPr="00670A39">
        <w:rPr>
          <w:b/>
          <w:bCs/>
          <w:rtl/>
          <w:lang w:val="en-US"/>
        </w:rPr>
        <w:t>بشأن المادة 4 من الاتفاقية، ورقم 35(201</w:t>
      </w:r>
      <w:r w:rsidR="00702CCC" w:rsidRPr="00670A39">
        <w:rPr>
          <w:b/>
          <w:bCs/>
          <w:color w:val="000000"/>
          <w:rtl/>
          <w:lang w:val="en-US"/>
        </w:rPr>
        <w:t xml:space="preserve">3) </w:t>
      </w:r>
      <w:r w:rsidRPr="00670A39">
        <w:rPr>
          <w:b/>
          <w:bCs/>
          <w:rtl/>
          <w:lang w:val="en-US"/>
        </w:rPr>
        <w:t>بشأن مكافحة خطاب الكراهية العنصري، توصي اللجنة</w:t>
      </w:r>
      <w:r w:rsidR="00FB7A57" w:rsidRPr="00670A39">
        <w:rPr>
          <w:b/>
          <w:bCs/>
          <w:rtl/>
          <w:lang w:val="en-US"/>
        </w:rPr>
        <w:t xml:space="preserve"> أيضاً </w:t>
      </w:r>
      <w:r w:rsidRPr="00670A39">
        <w:rPr>
          <w:b/>
          <w:bCs/>
          <w:rtl/>
          <w:lang w:val="en-US"/>
        </w:rPr>
        <w:t xml:space="preserve">الدولة الطرف بما يلي: </w:t>
      </w:r>
    </w:p>
    <w:p w14:paraId="66D18785" w14:textId="4DB341E0" w:rsidR="000B0C31" w:rsidRPr="00670A39" w:rsidRDefault="000B0C31" w:rsidP="000B0C31">
      <w:pPr>
        <w:pStyle w:val="SingleTxtGA"/>
        <w:rPr>
          <w:b/>
          <w:bCs/>
          <w:lang w:val="en-US"/>
        </w:rPr>
      </w:pPr>
      <w:r>
        <w:rPr>
          <w:rtl/>
          <w:lang w:val="en-US"/>
        </w:rPr>
        <w:tab/>
      </w:r>
      <w:r w:rsidRPr="000B0C31">
        <w:rPr>
          <w:rtl/>
          <w:lang w:val="en-US"/>
        </w:rPr>
        <w:t>(أ)</w:t>
      </w:r>
      <w:r w:rsidRPr="000B0C31">
        <w:rPr>
          <w:rtl/>
          <w:lang w:val="en-US"/>
        </w:rPr>
        <w:tab/>
      </w:r>
      <w:r w:rsidRPr="00670A39">
        <w:rPr>
          <w:b/>
          <w:bCs/>
          <w:rtl/>
          <w:lang w:val="en-US"/>
        </w:rPr>
        <w:t xml:space="preserve">مراجعة إطارها القانوني، ولا سيما قانون العقوبات، لتجريم خطاب الكراهية العنصري، بما في ذلك عبر الإنترنت، وجرائم الكراهية بما يتماشى مع المادة 4 من الاتفاقية؛ </w:t>
      </w:r>
    </w:p>
    <w:p w14:paraId="0F48E7C4" w14:textId="70F3133A" w:rsidR="000B0C31" w:rsidRPr="00670A39" w:rsidRDefault="000B0C31" w:rsidP="000B0C31">
      <w:pPr>
        <w:pStyle w:val="SingleTxtGA"/>
        <w:rPr>
          <w:b/>
          <w:bCs/>
          <w:lang w:val="en-US"/>
        </w:rPr>
      </w:pPr>
      <w:r>
        <w:rPr>
          <w:rtl/>
          <w:lang w:val="en-US"/>
        </w:rPr>
        <w:tab/>
      </w:r>
      <w:r w:rsidRPr="000B0C31">
        <w:rPr>
          <w:rtl/>
          <w:lang w:val="en-US"/>
        </w:rPr>
        <w:t>(ب)</w:t>
      </w:r>
      <w:r w:rsidRPr="000B0C31">
        <w:rPr>
          <w:rtl/>
          <w:lang w:val="en-US"/>
        </w:rPr>
        <w:tab/>
      </w:r>
      <w:r w:rsidRPr="00670A39">
        <w:rPr>
          <w:b/>
          <w:bCs/>
          <w:rtl/>
          <w:lang w:val="en-US"/>
        </w:rPr>
        <w:t xml:space="preserve">اتخاذ تدابير فعالة لتشجيع الإبلاغ عن خطاب الكراهية العنصري وجرائم الكراهية، وضمان توافر قنوات الإبلاغ وإمكانية الوصول إليها، وجمع البيانات عن الشكاوى المتعلقة بخطاب </w:t>
      </w:r>
      <w:r w:rsidRPr="00670A39">
        <w:rPr>
          <w:rFonts w:ascii="Times New Roman Bold" w:hAnsi="Times New Roman Bold"/>
          <w:b/>
          <w:bCs/>
          <w:spacing w:val="-2"/>
          <w:rtl/>
          <w:lang w:val="en-US"/>
        </w:rPr>
        <w:t>الكراهية العنصري والجرائم ذات الدوافع العنصرية، والملاحقات القضائية، والإدانات، والعقوبات المفروضة</w:t>
      </w:r>
      <w:r w:rsidRPr="00670A39">
        <w:rPr>
          <w:b/>
          <w:bCs/>
          <w:rtl/>
          <w:lang w:val="en-US"/>
        </w:rPr>
        <w:t xml:space="preserve"> في إطار هذه الشكاوى، وإدراج تلك البيانات في تقريرها الدوري المقبل؛ </w:t>
      </w:r>
    </w:p>
    <w:p w14:paraId="7AEFF3A3" w14:textId="383584A4" w:rsidR="000B0C31" w:rsidRPr="00670A39" w:rsidRDefault="000B0C31" w:rsidP="000B0C31">
      <w:pPr>
        <w:pStyle w:val="SingleTxtGA"/>
        <w:rPr>
          <w:b/>
          <w:bCs/>
          <w:lang w:val="en-US"/>
        </w:rPr>
      </w:pPr>
      <w:r>
        <w:rPr>
          <w:rtl/>
          <w:lang w:val="en-US"/>
        </w:rPr>
        <w:tab/>
      </w:r>
      <w:r w:rsidRPr="000B0C31">
        <w:rPr>
          <w:rtl/>
          <w:lang w:val="en-US"/>
        </w:rPr>
        <w:t>(ج)</w:t>
      </w:r>
      <w:r w:rsidRPr="000B0C31">
        <w:rPr>
          <w:rtl/>
          <w:lang w:val="en-US"/>
        </w:rPr>
        <w:tab/>
      </w:r>
      <w:r w:rsidRPr="00670A39">
        <w:rPr>
          <w:b/>
          <w:bCs/>
          <w:rtl/>
          <w:lang w:val="en-US"/>
        </w:rPr>
        <w:t>وضع وتنفيذ برامج تدريبية بشأن جرائم الكراهية وخطاب الكراهية لضباط الشرطة والمدعين العامين والقضاة وغيرهم من موظفي إنفاذ القانون، بما في ذلك بشأن أساليب تحديد جرائم الكراهية العنصرية وحالات خطاب الكراهية وتسجيلها والتحقيق فيها ومقاضاة المسؤولين عنها؛</w:t>
      </w:r>
    </w:p>
    <w:p w14:paraId="62629F36" w14:textId="025D0B74" w:rsidR="000B0C31" w:rsidRPr="00670A39" w:rsidRDefault="000B0C31" w:rsidP="000B0C31">
      <w:pPr>
        <w:pStyle w:val="SingleTxtGA"/>
        <w:rPr>
          <w:b/>
          <w:bCs/>
          <w:lang w:val="en-US"/>
        </w:rPr>
      </w:pPr>
      <w:r w:rsidRPr="000B0C31">
        <w:rPr>
          <w:rtl/>
          <w:lang w:val="en-US"/>
        </w:rPr>
        <w:tab/>
        <w:t>(د)</w:t>
      </w:r>
      <w:r>
        <w:rPr>
          <w:rtl/>
          <w:lang w:val="en-US"/>
        </w:rPr>
        <w:tab/>
      </w:r>
      <w:r w:rsidRPr="00670A39">
        <w:rPr>
          <w:b/>
          <w:bCs/>
          <w:rtl/>
          <w:lang w:val="en-US"/>
        </w:rPr>
        <w:t>اتخاذ تدابير لرصد انتشار خطاب الكراهية العنصري على شبكة الإنترنت ووسائل التواصل الاجتماعي، بالتعاون الوثيق مع مقدمي خدمات الإنترنت ومنابر التواصل الاجتماعي؛</w:t>
      </w:r>
    </w:p>
    <w:p w14:paraId="7C82C324" w14:textId="468D1657" w:rsidR="000B0C31" w:rsidRPr="00670A39" w:rsidRDefault="000B0C31" w:rsidP="000B0C31">
      <w:pPr>
        <w:pStyle w:val="SingleTxtGA"/>
        <w:rPr>
          <w:b/>
          <w:bCs/>
          <w:lang w:val="en-US"/>
        </w:rPr>
      </w:pPr>
      <w:r>
        <w:rPr>
          <w:rtl/>
          <w:lang w:val="en-US"/>
        </w:rPr>
        <w:tab/>
      </w:r>
      <w:r w:rsidRPr="000B0C31">
        <w:rPr>
          <w:rtl/>
          <w:lang w:val="en-US"/>
        </w:rPr>
        <w:t>(هـ)</w:t>
      </w:r>
      <w:r w:rsidRPr="000B0C31">
        <w:rPr>
          <w:rtl/>
          <w:lang w:val="en-US"/>
        </w:rPr>
        <w:tab/>
      </w:r>
      <w:r w:rsidRPr="00670A39">
        <w:rPr>
          <w:b/>
          <w:bCs/>
          <w:rtl/>
          <w:lang w:val="en-US"/>
        </w:rPr>
        <w:t>اعتماد تدابير فعالة لضمان الإدانة العلنية لخطاب الكراهية العنصري والنأي بنفسها عن خطاب الكراهية العنصري من قبل الشخصيات العامة، بما في ذلك السياسيون.</w:t>
      </w:r>
    </w:p>
    <w:p w14:paraId="3F8524D4" w14:textId="77777777" w:rsidR="000B0C31" w:rsidRPr="00670A39" w:rsidRDefault="000B0C31" w:rsidP="000B0C31">
      <w:pPr>
        <w:pStyle w:val="H23GA"/>
      </w:pPr>
      <w:r w:rsidRPr="00670A39">
        <w:rPr>
          <w:rtl/>
        </w:rPr>
        <w:tab/>
      </w:r>
      <w:r w:rsidRPr="00670A39">
        <w:rPr>
          <w:rtl/>
        </w:rPr>
        <w:tab/>
        <w:t>المدافعون عن حقوق الإنسان ومنظمات المجتمع المدني</w:t>
      </w:r>
    </w:p>
    <w:p w14:paraId="6E37CD5E" w14:textId="4B9D93BB" w:rsidR="00702CCC" w:rsidRPr="00702CCC" w:rsidRDefault="000B0C31" w:rsidP="000B0C31">
      <w:pPr>
        <w:pStyle w:val="SingleTxtGA"/>
        <w:rPr>
          <w:color w:val="000000"/>
          <w:lang w:val="en-US"/>
        </w:rPr>
      </w:pPr>
      <w:r w:rsidRPr="00670A39">
        <w:rPr>
          <w:rtl/>
          <w:lang w:val="en-US"/>
        </w:rPr>
        <w:t>16</w:t>
      </w:r>
      <w:r w:rsidRPr="000B0C31">
        <w:rPr>
          <w:rtl/>
          <w:lang w:val="en-US"/>
        </w:rPr>
        <w:t>-</w:t>
      </w:r>
      <w:r w:rsidRPr="000B0C31">
        <w:rPr>
          <w:rtl/>
          <w:lang w:val="en-US"/>
        </w:rPr>
        <w:tab/>
        <w:t>بينما تحيط اللجنة</w:t>
      </w:r>
      <w:r w:rsidR="00FB7A57">
        <w:rPr>
          <w:rtl/>
          <w:lang w:val="en-US"/>
        </w:rPr>
        <w:t xml:space="preserve"> علماً </w:t>
      </w:r>
      <w:r w:rsidRPr="000B0C31">
        <w:rPr>
          <w:rtl/>
          <w:lang w:val="en-US"/>
        </w:rPr>
        <w:t>بالتقارير المتعلقة بالجهود التي بُذلت مؤخر</w:t>
      </w:r>
      <w:r w:rsidR="00FB7A57">
        <w:rPr>
          <w:rtl/>
          <w:lang w:val="en-US"/>
        </w:rPr>
        <w:t xml:space="preserve">اً </w:t>
      </w:r>
      <w:r w:rsidRPr="000B0C31">
        <w:rPr>
          <w:rtl/>
          <w:lang w:val="en-US"/>
        </w:rPr>
        <w:t>للتعاون مع منظمات المجتمع المدني، فإنها تشعر بالقلق إزاء التقارير التي تفيد بأن المدافعين عن حقوق الإنسان وأعضاء منظمات المجتمع المدني والصحفيين، ولا سيما أولئك الذين ينشطون في مجال رصد حقوق الجماعات الإثنية والإثنية</w:t>
      </w:r>
      <w:r w:rsidR="00FB7A57">
        <w:rPr>
          <w:rFonts w:hint="cs"/>
          <w:rtl/>
          <w:lang w:val="en-US"/>
        </w:rPr>
        <w:t xml:space="preserve"> </w:t>
      </w:r>
      <w:r w:rsidRPr="000B0C31">
        <w:rPr>
          <w:rtl/>
          <w:lang w:val="en-US"/>
        </w:rPr>
        <w:t>-</w:t>
      </w:r>
      <w:r w:rsidR="00FB7A57">
        <w:rPr>
          <w:rFonts w:hint="cs"/>
          <w:rtl/>
          <w:lang w:val="en-US"/>
        </w:rPr>
        <w:t xml:space="preserve"> </w:t>
      </w:r>
      <w:r w:rsidRPr="000B0C31">
        <w:rPr>
          <w:rtl/>
          <w:lang w:val="en-US"/>
        </w:rPr>
        <w:t>اللغوية والإثنية</w:t>
      </w:r>
      <w:r w:rsidR="00FB7A57">
        <w:rPr>
          <w:rFonts w:hint="cs"/>
          <w:rtl/>
          <w:lang w:val="en-US"/>
        </w:rPr>
        <w:t xml:space="preserve"> </w:t>
      </w:r>
      <w:r w:rsidRPr="000B0C31">
        <w:rPr>
          <w:rtl/>
          <w:lang w:val="en-US"/>
        </w:rPr>
        <w:t>-</w:t>
      </w:r>
      <w:r w:rsidR="00FB7A57">
        <w:rPr>
          <w:rFonts w:hint="cs"/>
          <w:rtl/>
          <w:lang w:val="en-US"/>
        </w:rPr>
        <w:t xml:space="preserve"> </w:t>
      </w:r>
      <w:r w:rsidRPr="000B0C31">
        <w:rPr>
          <w:rtl/>
          <w:lang w:val="en-US"/>
        </w:rPr>
        <w:t>الدينية والشعوب الأصلية ويبلغون عنها، أصبحوا بصورة متزايدة أهداف</w:t>
      </w:r>
      <w:r w:rsidR="00FB7A57">
        <w:rPr>
          <w:rtl/>
          <w:lang w:val="en-US"/>
        </w:rPr>
        <w:t xml:space="preserve">اً </w:t>
      </w:r>
      <w:r w:rsidRPr="000B0C31">
        <w:rPr>
          <w:rtl/>
          <w:lang w:val="en-US"/>
        </w:rPr>
        <w:t xml:space="preserve">للقتل، والاختفاء القسري، والتهديد، والترهيب، والانتقام، والمضايقة، نتيجة لعملهم في مجال حقوق الإنسان (المادة </w:t>
      </w:r>
      <w:r w:rsidR="00702CCC" w:rsidRPr="00670A39">
        <w:rPr>
          <w:color w:val="000000"/>
          <w:rtl/>
          <w:lang w:val="en-US"/>
        </w:rPr>
        <w:t>5</w:t>
      </w:r>
      <w:r w:rsidR="00702CCC" w:rsidRPr="00702CCC">
        <w:rPr>
          <w:color w:val="000000"/>
          <w:rtl/>
          <w:lang w:val="en-US"/>
        </w:rPr>
        <w:t>).</w:t>
      </w:r>
    </w:p>
    <w:p w14:paraId="2098515F" w14:textId="6DCE7B1E" w:rsidR="000B0C31" w:rsidRPr="00670A39" w:rsidRDefault="000B0C31" w:rsidP="000B0C31">
      <w:pPr>
        <w:pStyle w:val="SingleTxtGA"/>
        <w:rPr>
          <w:b/>
          <w:bCs/>
          <w:lang w:val="en-US"/>
        </w:rPr>
      </w:pPr>
      <w:r w:rsidRPr="00670A39">
        <w:rPr>
          <w:rtl/>
          <w:lang w:val="en-US"/>
        </w:rPr>
        <w:t>17</w:t>
      </w:r>
      <w:r w:rsidRPr="000B0C31">
        <w:rPr>
          <w:rtl/>
          <w:lang w:val="en-US"/>
        </w:rPr>
        <w:t>-</w:t>
      </w:r>
      <w:r w:rsidRPr="000B0C31">
        <w:rPr>
          <w:rtl/>
          <w:lang w:val="en-US"/>
        </w:rPr>
        <w:tab/>
      </w:r>
      <w:r w:rsidRPr="00670A39">
        <w:rPr>
          <w:rFonts w:ascii="Times New Roman Bold" w:hAnsi="Times New Roman Bold"/>
          <w:b/>
          <w:bCs/>
          <w:spacing w:val="-5"/>
          <w:rtl/>
          <w:lang w:val="en-US"/>
        </w:rPr>
        <w:t xml:space="preserve">توصي اللجنة الدولة الطرف بأن تجري تحقيقات فعالة وشاملة ونزيهة في جميع حالات القتل والاختفاء القسري والترهيب والمضايقة والتهديد وأعمال الانتقام التي يتعرض لها المدافعون عن حقوق الإنسان </w:t>
      </w:r>
      <w:r w:rsidRPr="00670A39">
        <w:rPr>
          <w:rFonts w:ascii="Times New Roman Bold" w:hAnsi="Times New Roman Bold"/>
          <w:b/>
          <w:bCs/>
          <w:rtl/>
          <w:lang w:val="en-US"/>
        </w:rPr>
        <w:t>والصحفيون وأعضاء منظمات المجتمع المدني. وتوصي اللجنة كذلك بأن تتخذ الدولة الطرف تدابير،</w:t>
      </w:r>
      <w:r w:rsidRPr="00670A39">
        <w:rPr>
          <w:b/>
          <w:bCs/>
          <w:rtl/>
          <w:lang w:val="en-US"/>
        </w:rPr>
        <w:t xml:space="preserve"> </w:t>
      </w:r>
      <w:r w:rsidRPr="00670A39">
        <w:rPr>
          <w:b/>
          <w:bCs/>
          <w:rtl/>
          <w:lang w:val="en-US"/>
        </w:rPr>
        <w:lastRenderedPageBreak/>
        <w:t>بما في ذلك التدابير التشريعية، لضمان تمكين منظمات المجتمع المدني والمدافعين عن حقوق الإنسان والصحفيين، بمن فيهم العاملون في مجال حقوق الأقليات الإثنية والشعوب الأصلية، من الاضطلاع بعملهم بفعالية ودون خوف من الانتقام.</w:t>
      </w:r>
    </w:p>
    <w:p w14:paraId="0E766D7A" w14:textId="774BABAC" w:rsidR="000B0C31" w:rsidRPr="00670A39" w:rsidRDefault="000B0C31" w:rsidP="00D5311C">
      <w:pPr>
        <w:pStyle w:val="H23GA"/>
        <w:spacing w:line="350" w:lineRule="exact"/>
      </w:pPr>
      <w:r w:rsidRPr="00670A39">
        <w:rPr>
          <w:rtl/>
        </w:rPr>
        <w:tab/>
      </w:r>
      <w:r w:rsidRPr="00670A39">
        <w:rPr>
          <w:rtl/>
        </w:rPr>
        <w:tab/>
        <w:t>حالة الأقلّيات والشعوب الأصلية</w:t>
      </w:r>
    </w:p>
    <w:p w14:paraId="70528B21" w14:textId="76FA41A0" w:rsidR="000B0C31" w:rsidRPr="000B0C31" w:rsidRDefault="000B0C31" w:rsidP="00D5311C">
      <w:pPr>
        <w:pStyle w:val="SingleTxtGA"/>
        <w:spacing w:line="350" w:lineRule="exact"/>
        <w:rPr>
          <w:lang w:val="en-US"/>
        </w:rPr>
      </w:pPr>
      <w:r w:rsidRPr="00670A39">
        <w:rPr>
          <w:rtl/>
          <w:lang w:val="en-US"/>
        </w:rPr>
        <w:t>18</w:t>
      </w:r>
      <w:r w:rsidRPr="000B0C31">
        <w:rPr>
          <w:rtl/>
          <w:lang w:val="en-US"/>
        </w:rPr>
        <w:t>-</w:t>
      </w:r>
      <w:r w:rsidRPr="000B0C31">
        <w:rPr>
          <w:rtl/>
          <w:lang w:val="en-US"/>
        </w:rPr>
        <w:tab/>
        <w:t xml:space="preserve">بينما تلاحظ اللجنة اعتماد خطة العمل الوطنية لتنمية الشعوب الأصلية، فإنها تأسف لعدم وجود معلومات عن التقدم المحرز في وضع اللمسات الأخيرة على الدراسات المتعلقة بالأقليات القومية والإثنية والشعوب الأصلية، التي يجري إعدادها منذ عام </w:t>
      </w:r>
      <w:r w:rsidRPr="00670A39">
        <w:rPr>
          <w:rtl/>
          <w:lang w:val="en-US"/>
        </w:rPr>
        <w:t>201</w:t>
      </w:r>
      <w:r w:rsidR="00702CCC" w:rsidRPr="00670A39">
        <w:rPr>
          <w:color w:val="000000"/>
          <w:rtl/>
          <w:lang w:val="en-US"/>
        </w:rPr>
        <w:t>3</w:t>
      </w:r>
      <w:r w:rsidR="00702CCC" w:rsidRPr="00702CCC">
        <w:rPr>
          <w:color w:val="000000"/>
          <w:rtl/>
          <w:lang w:val="en-US"/>
        </w:rPr>
        <w:t xml:space="preserve">. </w:t>
      </w:r>
      <w:r w:rsidRPr="000B0C31">
        <w:rPr>
          <w:rtl/>
          <w:lang w:val="en-US"/>
        </w:rPr>
        <w:t>ويساورها القلق</w:t>
      </w:r>
      <w:r w:rsidR="00FB7A57">
        <w:rPr>
          <w:rtl/>
          <w:lang w:val="en-US"/>
        </w:rPr>
        <w:t xml:space="preserve"> أيضاً </w:t>
      </w:r>
      <w:r w:rsidRPr="000B0C31">
        <w:rPr>
          <w:rtl/>
          <w:lang w:val="en-US"/>
        </w:rPr>
        <w:t xml:space="preserve">إزاء نقص المعلومات عن إعداد واعتماد مشروع القانون المتعلق بحقوق الشعوب الأصلية (المواد </w:t>
      </w:r>
      <w:r w:rsidRPr="00670A39">
        <w:rPr>
          <w:rtl/>
          <w:lang w:val="en-US"/>
        </w:rPr>
        <w:t>1</w:t>
      </w:r>
      <w:r w:rsidRPr="000B0C31">
        <w:rPr>
          <w:rtl/>
          <w:lang w:val="en-US"/>
        </w:rPr>
        <w:t>-</w:t>
      </w:r>
      <w:r w:rsidR="00702CCC" w:rsidRPr="00670A39">
        <w:rPr>
          <w:color w:val="000000"/>
          <w:rtl/>
          <w:lang w:val="en-US"/>
        </w:rPr>
        <w:t>7</w:t>
      </w:r>
      <w:r w:rsidR="00702CCC" w:rsidRPr="00702CCC">
        <w:rPr>
          <w:color w:val="000000"/>
          <w:rtl/>
          <w:lang w:val="en-US"/>
        </w:rPr>
        <w:t xml:space="preserve">). </w:t>
      </w:r>
    </w:p>
    <w:p w14:paraId="29B05877" w14:textId="6AB912F9" w:rsidR="000B0C31" w:rsidRPr="00670A39" w:rsidRDefault="000B0C31" w:rsidP="00D5311C">
      <w:pPr>
        <w:pStyle w:val="SingleTxtGA"/>
        <w:spacing w:line="350" w:lineRule="exact"/>
        <w:rPr>
          <w:b/>
          <w:bCs/>
          <w:lang w:val="en-US"/>
        </w:rPr>
      </w:pPr>
      <w:r w:rsidRPr="00670A39">
        <w:rPr>
          <w:rtl/>
          <w:lang w:val="en-US"/>
        </w:rPr>
        <w:t>19</w:t>
      </w:r>
      <w:r w:rsidRPr="000B0C31">
        <w:rPr>
          <w:rtl/>
          <w:lang w:val="en-US"/>
        </w:rPr>
        <w:t>-</w:t>
      </w:r>
      <w:r w:rsidRPr="000B0C31">
        <w:rPr>
          <w:rtl/>
          <w:lang w:val="en-US"/>
        </w:rPr>
        <w:tab/>
      </w:r>
      <w:r w:rsidRPr="00670A39">
        <w:rPr>
          <w:b/>
          <w:bCs/>
          <w:rtl/>
          <w:lang w:val="en-US"/>
        </w:rPr>
        <w:t>إذ تشير اللجنة إلى توصيتها العامة رقم 23(199</w:t>
      </w:r>
      <w:r w:rsidR="00702CCC" w:rsidRPr="00670A39">
        <w:rPr>
          <w:b/>
          <w:bCs/>
          <w:color w:val="000000"/>
          <w:rtl/>
          <w:lang w:val="en-US"/>
        </w:rPr>
        <w:t xml:space="preserve">7) </w:t>
      </w:r>
      <w:r w:rsidRPr="00670A39">
        <w:rPr>
          <w:b/>
          <w:bCs/>
          <w:rtl/>
          <w:lang w:val="en-US"/>
        </w:rPr>
        <w:t>بشأن حقوق الشعوب الأصلية وتوصيتها السابقة بشأن هذه المسألة</w:t>
      </w:r>
      <w:r w:rsidR="00702CCC">
        <w:rPr>
          <w:rStyle w:val="FootnoteReference"/>
          <w:szCs w:val="22"/>
          <w:rtl/>
          <w:lang w:val="en-US"/>
        </w:rPr>
        <w:t>(</w:t>
      </w:r>
      <w:r w:rsidR="00702CCC" w:rsidRPr="00670A39">
        <w:rPr>
          <w:rStyle w:val="FootnoteReference"/>
          <w:szCs w:val="22"/>
          <w:lang w:val="en-US"/>
        </w:rPr>
        <w:footnoteReference w:id="6"/>
      </w:r>
      <w:r w:rsidR="00702CCC" w:rsidRPr="00702CCC">
        <w:rPr>
          <w:color w:val="000000"/>
          <w:vertAlign w:val="superscript"/>
          <w:rtl/>
          <w:lang w:val="en-US"/>
        </w:rPr>
        <w:t>)</w:t>
      </w:r>
      <w:r w:rsidR="00702CCC" w:rsidRPr="00670A39">
        <w:rPr>
          <w:b/>
          <w:bCs/>
          <w:color w:val="000000"/>
          <w:rtl/>
          <w:lang w:val="en-US"/>
        </w:rPr>
        <w:t>،</w:t>
      </w:r>
      <w:r w:rsidR="00702CCC" w:rsidRPr="00670A39">
        <w:rPr>
          <w:b/>
          <w:bCs/>
          <w:color w:val="000000"/>
          <w:rtl/>
          <w:lang w:val="en-US"/>
        </w:rPr>
        <w:t xml:space="preserve"> </w:t>
      </w:r>
      <w:r w:rsidRPr="00670A39">
        <w:rPr>
          <w:b/>
          <w:bCs/>
          <w:rtl/>
          <w:lang w:val="en-US"/>
        </w:rPr>
        <w:t>توصي الدولة الطرف بأن تستكمل، في إطار زمني واضح، عملية اعتماد إطار قانوني شامل بشأن الأقليات والشعوب الأصلية، بما في ذلك الحماية الدستورية، بمشاركة فعالة ومجدية من جانب الشعوب الأصلية والجماعات الإثنية فضل</w:t>
      </w:r>
      <w:r w:rsidR="00FB7A57" w:rsidRPr="00670A39">
        <w:rPr>
          <w:b/>
          <w:bCs/>
          <w:rtl/>
          <w:lang w:val="en-US"/>
        </w:rPr>
        <w:t xml:space="preserve">اً </w:t>
      </w:r>
      <w:r w:rsidRPr="00670A39">
        <w:rPr>
          <w:b/>
          <w:bCs/>
          <w:rtl/>
          <w:lang w:val="en-US"/>
        </w:rPr>
        <w:t>عن منظمات المجتمع المدني ولجنة الكاميرون لحقوق الإنسان بغية توفير تدابير خاصة وملموسة لحماية هذه الجماعات.</w:t>
      </w:r>
    </w:p>
    <w:p w14:paraId="6D3EA139" w14:textId="77777777" w:rsidR="000B0C31" w:rsidRPr="00670A39" w:rsidRDefault="000B0C31" w:rsidP="00D5311C">
      <w:pPr>
        <w:pStyle w:val="H23GA"/>
        <w:spacing w:line="350" w:lineRule="exact"/>
      </w:pPr>
      <w:r w:rsidRPr="00670A39">
        <w:rPr>
          <w:rtl/>
        </w:rPr>
        <w:tab/>
      </w:r>
      <w:r w:rsidRPr="00670A39">
        <w:rPr>
          <w:rtl/>
        </w:rPr>
        <w:tab/>
        <w:t>التدابير الخاصة الرامية إلى معالجة أوجه عدم المساواة في منطقتيْ الشمال الغربي والجنوب الغربي</w:t>
      </w:r>
    </w:p>
    <w:p w14:paraId="16BBF94D" w14:textId="7962D7EF" w:rsidR="000B0C31" w:rsidRPr="000B0C31" w:rsidRDefault="000B0C31" w:rsidP="00D5311C">
      <w:pPr>
        <w:pStyle w:val="SingleTxtGA"/>
        <w:spacing w:line="350" w:lineRule="exact"/>
        <w:rPr>
          <w:lang w:val="en-US"/>
        </w:rPr>
      </w:pPr>
      <w:r w:rsidRPr="00670A39">
        <w:rPr>
          <w:rtl/>
          <w:lang w:val="en-US"/>
        </w:rPr>
        <w:t>20</w:t>
      </w:r>
      <w:r w:rsidRPr="000B0C31">
        <w:rPr>
          <w:rtl/>
          <w:lang w:val="en-US"/>
        </w:rPr>
        <w:t>-</w:t>
      </w:r>
      <w:r w:rsidRPr="000B0C31">
        <w:rPr>
          <w:rtl/>
          <w:lang w:val="en-US"/>
        </w:rPr>
        <w:tab/>
        <w:t>تحيط اللجنة</w:t>
      </w:r>
      <w:r w:rsidR="00FB7A57">
        <w:rPr>
          <w:rtl/>
          <w:lang w:val="en-US"/>
        </w:rPr>
        <w:t xml:space="preserve"> علماً </w:t>
      </w:r>
      <w:r w:rsidRPr="000B0C31">
        <w:rPr>
          <w:rtl/>
          <w:lang w:val="en-US"/>
        </w:rPr>
        <w:t>بالتدابير التي اتخذتها الدولة الطرف لمعالجة أوجه عدم المساواة التي تواجهها مجموعات الأقليات الإثنية والإثنية</w:t>
      </w:r>
      <w:r w:rsidR="00FB7A57">
        <w:rPr>
          <w:rFonts w:hint="cs"/>
          <w:rtl/>
          <w:lang w:val="en-US"/>
        </w:rPr>
        <w:t xml:space="preserve"> </w:t>
      </w:r>
      <w:r w:rsidRPr="000B0C31">
        <w:rPr>
          <w:rtl/>
          <w:lang w:val="en-US"/>
        </w:rPr>
        <w:t>-</w:t>
      </w:r>
      <w:r w:rsidR="00FB7A57">
        <w:rPr>
          <w:rFonts w:hint="cs"/>
          <w:rtl/>
          <w:lang w:val="en-US"/>
        </w:rPr>
        <w:t xml:space="preserve"> </w:t>
      </w:r>
      <w:r w:rsidRPr="000B0C31">
        <w:rPr>
          <w:rtl/>
          <w:lang w:val="en-US"/>
        </w:rPr>
        <w:t xml:space="preserve">اللغوية في منطقتي الشمال الغربي والجنوب الغربي، مثل إنشاء اللجنة الوطنية المعنية بتعزيز ثنائية اللغة والتعددية الثقافية في عام </w:t>
      </w:r>
      <w:r w:rsidRPr="00670A39">
        <w:rPr>
          <w:rtl/>
          <w:lang w:val="en-US"/>
        </w:rPr>
        <w:t>2017</w:t>
      </w:r>
      <w:r w:rsidRPr="000B0C31">
        <w:rPr>
          <w:rtl/>
          <w:lang w:val="en-US"/>
        </w:rPr>
        <w:t>، واعتماد القانون رقم</w:t>
      </w:r>
      <w:r w:rsidR="00FB7A57">
        <w:rPr>
          <w:rFonts w:hint="cs"/>
          <w:rtl/>
          <w:lang w:val="en-US"/>
        </w:rPr>
        <w:t> </w:t>
      </w:r>
      <w:r w:rsidRPr="00670A39">
        <w:rPr>
          <w:rtl/>
          <w:lang w:val="en-US"/>
        </w:rPr>
        <w:t>2019</w:t>
      </w:r>
      <w:r w:rsidRPr="000B0C31">
        <w:rPr>
          <w:rtl/>
          <w:lang w:val="en-US"/>
        </w:rPr>
        <w:t>/</w:t>
      </w:r>
      <w:r w:rsidRPr="00670A39">
        <w:rPr>
          <w:rtl/>
          <w:lang w:val="en-US"/>
        </w:rPr>
        <w:t>019</w:t>
      </w:r>
      <w:r w:rsidRPr="000B0C31">
        <w:rPr>
          <w:rtl/>
          <w:lang w:val="en-US"/>
        </w:rPr>
        <w:t xml:space="preserve"> بشأن تعزيز اللغات الرسمية في الكاميرون، وزيادة عدد الموظفين العموميين الناطقين باللغة الإنجليزية، ولا سيما في قطاعي التعليم والعدالة. غير أن اللجنة لا تزال تشعر بالقلق إزاء ما يلي:</w:t>
      </w:r>
    </w:p>
    <w:p w14:paraId="4457C089" w14:textId="4307FD6B" w:rsidR="000B0C31" w:rsidRPr="000B0C31" w:rsidRDefault="000B0C31" w:rsidP="00D5311C">
      <w:pPr>
        <w:pStyle w:val="SingleTxtGA"/>
        <w:spacing w:line="350" w:lineRule="exact"/>
        <w:rPr>
          <w:lang w:val="en-US"/>
        </w:rPr>
      </w:pPr>
      <w:r w:rsidRPr="000B0C31">
        <w:rPr>
          <w:rtl/>
          <w:lang w:val="en-US"/>
        </w:rPr>
        <w:tab/>
        <w:t>(أ)</w:t>
      </w:r>
      <w:r>
        <w:rPr>
          <w:rtl/>
          <w:lang w:val="en-US"/>
        </w:rPr>
        <w:tab/>
      </w:r>
      <w:r w:rsidRPr="00FB7A57">
        <w:rPr>
          <w:spacing w:val="-2"/>
          <w:rtl/>
          <w:lang w:val="en-US"/>
        </w:rPr>
        <w:t>عدم كفاية الموارد المخصصة للجنة للاضطلاع بولايتها، ونقص المعلومات عن أدوارها</w:t>
      </w:r>
      <w:r w:rsidRPr="000B0C31">
        <w:rPr>
          <w:rtl/>
          <w:lang w:val="en-US"/>
        </w:rPr>
        <w:t xml:space="preserve"> </w:t>
      </w:r>
      <w:r w:rsidRPr="00FB7A57">
        <w:rPr>
          <w:spacing w:val="-2"/>
          <w:rtl/>
          <w:lang w:val="en-US"/>
        </w:rPr>
        <w:t>وأنشطتها، ولا سيما فيما يتعلق بتلقي الشكاوى المتعلقة بعدم الامتثال للإطار التشريعي الوطني بشأن ثنائية</w:t>
      </w:r>
      <w:r w:rsidRPr="000B0C31">
        <w:rPr>
          <w:rtl/>
          <w:lang w:val="en-US"/>
        </w:rPr>
        <w:t xml:space="preserve"> اللغة والتعددية الثقافية؛ </w:t>
      </w:r>
    </w:p>
    <w:p w14:paraId="75821F22" w14:textId="21E61B71" w:rsidR="000B0C31" w:rsidRPr="000B0C31" w:rsidRDefault="000B0C31" w:rsidP="00D5311C">
      <w:pPr>
        <w:pStyle w:val="SingleTxtGA"/>
        <w:spacing w:line="350" w:lineRule="exact"/>
        <w:rPr>
          <w:lang w:val="en-US"/>
        </w:rPr>
      </w:pPr>
      <w:r>
        <w:rPr>
          <w:rtl/>
          <w:lang w:val="en-US"/>
        </w:rPr>
        <w:tab/>
      </w:r>
      <w:r w:rsidRPr="000B0C31">
        <w:rPr>
          <w:rtl/>
          <w:lang w:val="en-US"/>
        </w:rPr>
        <w:t>(ب)</w:t>
      </w:r>
      <w:r w:rsidRPr="000B0C31">
        <w:rPr>
          <w:rtl/>
          <w:lang w:val="en-US"/>
        </w:rPr>
        <w:tab/>
        <w:t xml:space="preserve">التقارير التي تفيد بأن مجموعات الأقليات الإثنية والإثنية-اللغوية في منطقتي الشمال الغربي والجنوب الغربي لا تزال عرضة للاستبعاد والتمييز مما يؤدي إلى عدم المساواة، ولا سيما في الحصول على الخدمات العامة، بسبب التنفيذ المحدود للتدابير المتعلقة بتشجيع ثنائية اللغة (المواد </w:t>
      </w:r>
      <w:r w:rsidRPr="00670A39">
        <w:rPr>
          <w:rtl/>
          <w:lang w:val="en-US"/>
        </w:rPr>
        <w:t>1</w:t>
      </w:r>
      <w:r w:rsidRPr="000B0C31">
        <w:rPr>
          <w:rtl/>
          <w:lang w:val="en-US"/>
        </w:rPr>
        <w:t>-</w:t>
      </w:r>
      <w:r w:rsidR="00702CCC" w:rsidRPr="00670A39">
        <w:rPr>
          <w:color w:val="000000"/>
          <w:rtl/>
          <w:lang w:val="en-US"/>
        </w:rPr>
        <w:t>7</w:t>
      </w:r>
      <w:r w:rsidR="00702CCC" w:rsidRPr="00702CCC">
        <w:rPr>
          <w:color w:val="000000"/>
          <w:rtl/>
          <w:lang w:val="en-US"/>
        </w:rPr>
        <w:t xml:space="preserve">). </w:t>
      </w:r>
    </w:p>
    <w:p w14:paraId="1BF1539D" w14:textId="77777777" w:rsidR="000B0C31" w:rsidRPr="00670A39" w:rsidRDefault="000B0C31" w:rsidP="00D5311C">
      <w:pPr>
        <w:pStyle w:val="SingleTxtGA"/>
        <w:spacing w:line="350" w:lineRule="exact"/>
        <w:rPr>
          <w:b/>
          <w:bCs/>
          <w:lang w:val="en-US"/>
        </w:rPr>
      </w:pPr>
      <w:r w:rsidRPr="00670A39">
        <w:rPr>
          <w:rtl/>
          <w:lang w:val="en-US"/>
        </w:rPr>
        <w:t>21</w:t>
      </w:r>
      <w:r w:rsidRPr="000B0C31">
        <w:rPr>
          <w:rtl/>
          <w:lang w:val="en-US"/>
        </w:rPr>
        <w:t>-</w:t>
      </w:r>
      <w:r w:rsidRPr="000B0C31">
        <w:rPr>
          <w:rtl/>
          <w:lang w:val="en-US"/>
        </w:rPr>
        <w:tab/>
      </w:r>
      <w:r w:rsidRPr="00670A39">
        <w:rPr>
          <w:b/>
          <w:bCs/>
          <w:rtl/>
          <w:lang w:val="en-US"/>
        </w:rPr>
        <w:t>توصي اللجنة الدولة الطرف بما يلي:</w:t>
      </w:r>
    </w:p>
    <w:p w14:paraId="1421760B" w14:textId="5AEA65E0" w:rsidR="000B0C31" w:rsidRPr="00670A39" w:rsidRDefault="000B0C31" w:rsidP="00D5311C">
      <w:pPr>
        <w:pStyle w:val="SingleTxtGA"/>
        <w:spacing w:line="350" w:lineRule="exact"/>
        <w:rPr>
          <w:b/>
          <w:bCs/>
          <w:lang w:val="en-US"/>
        </w:rPr>
      </w:pPr>
      <w:r>
        <w:rPr>
          <w:rtl/>
          <w:lang w:val="en-US"/>
        </w:rPr>
        <w:tab/>
      </w:r>
      <w:r>
        <w:rPr>
          <w:rFonts w:hint="cs"/>
          <w:rtl/>
          <w:lang w:val="en-US"/>
        </w:rPr>
        <w:t>(أ)</w:t>
      </w:r>
      <w:r w:rsidRPr="000B0C31">
        <w:rPr>
          <w:rtl/>
          <w:lang w:val="en-US"/>
        </w:rPr>
        <w:tab/>
      </w:r>
      <w:r w:rsidRPr="00670A39">
        <w:rPr>
          <w:b/>
          <w:bCs/>
          <w:rtl/>
          <w:lang w:val="en-US"/>
        </w:rPr>
        <w:t xml:space="preserve">تعزيز جهودها الرامية إلى معالجة عدم المساواة وزيادة فرص حصول السكان في منطقتي الشمال الغربي والجنوب الغربي على الخدمات العامة، وتمثيلهم في القطاع العام، ولا سيما في المناصب العليا ومناصب صنع القرار؛ </w:t>
      </w:r>
    </w:p>
    <w:p w14:paraId="62BA4CD3" w14:textId="6D53208F" w:rsidR="000B0C31" w:rsidRPr="00670A39" w:rsidRDefault="000B0C31" w:rsidP="00D5311C">
      <w:pPr>
        <w:pStyle w:val="SingleTxtGA"/>
        <w:spacing w:line="350" w:lineRule="exact"/>
        <w:rPr>
          <w:b/>
          <w:bCs/>
          <w:lang w:val="en-US"/>
        </w:rPr>
      </w:pPr>
      <w:r>
        <w:rPr>
          <w:rtl/>
          <w:lang w:val="en-US"/>
        </w:rPr>
        <w:tab/>
      </w:r>
      <w:r w:rsidRPr="000B0C31">
        <w:rPr>
          <w:rtl/>
          <w:lang w:val="en-US"/>
        </w:rPr>
        <w:t>(ب)</w:t>
      </w:r>
      <w:r w:rsidRPr="000B0C31">
        <w:rPr>
          <w:rtl/>
          <w:lang w:val="en-US"/>
        </w:rPr>
        <w:tab/>
      </w:r>
      <w:r w:rsidRPr="00670A39">
        <w:rPr>
          <w:b/>
          <w:bCs/>
          <w:rtl/>
          <w:lang w:val="en-US"/>
        </w:rPr>
        <w:t xml:space="preserve">تخصيص موارد بشرية ومالية كافية للجنة الوطنية لتعزيز ثنائية اللغة والتعددية الثقافية، وتقديم معلومات مفصلة عن أنشطتها في التقرير الدوري المقبل؛ </w:t>
      </w:r>
    </w:p>
    <w:p w14:paraId="202229C6" w14:textId="2914F427" w:rsidR="000B0C31" w:rsidRPr="00670A39" w:rsidRDefault="000B0C31" w:rsidP="00D5311C">
      <w:pPr>
        <w:pStyle w:val="SingleTxtGA"/>
        <w:spacing w:line="350" w:lineRule="exact"/>
        <w:rPr>
          <w:b/>
          <w:bCs/>
          <w:lang w:val="en-US"/>
        </w:rPr>
      </w:pPr>
      <w:r>
        <w:rPr>
          <w:rtl/>
          <w:lang w:val="en-US"/>
        </w:rPr>
        <w:tab/>
      </w:r>
      <w:r w:rsidRPr="000B0C31">
        <w:rPr>
          <w:rtl/>
          <w:lang w:val="en-US"/>
        </w:rPr>
        <w:t>(ج)</w:t>
      </w:r>
      <w:r w:rsidRPr="000B0C31">
        <w:rPr>
          <w:rtl/>
          <w:lang w:val="en-US"/>
        </w:rPr>
        <w:tab/>
      </w:r>
      <w:r w:rsidRPr="00670A39">
        <w:rPr>
          <w:b/>
          <w:bCs/>
          <w:rtl/>
          <w:lang w:val="en-US"/>
        </w:rPr>
        <w:t>إجراء تقييم لتدابيرها الرامية إلى معالجة أوجه عدم المساواة، بغية تعزيز تلك التدابير، بمشاركة مجدية من ممثلي المجتمعات المحلية ومنظمات المجتمع المدني ولجنة الكاميرون لحقوق الإنسان.</w:t>
      </w:r>
    </w:p>
    <w:p w14:paraId="59A952B7" w14:textId="04EBC6B6" w:rsidR="000B0C31" w:rsidRPr="00670A39" w:rsidRDefault="000B0C31" w:rsidP="000B0C31">
      <w:pPr>
        <w:pStyle w:val="H23GA"/>
      </w:pPr>
      <w:r w:rsidRPr="00670A39">
        <w:rPr>
          <w:rtl/>
        </w:rPr>
        <w:lastRenderedPageBreak/>
        <w:tab/>
      </w:r>
      <w:r w:rsidRPr="00670A39">
        <w:rPr>
          <w:rtl/>
        </w:rPr>
        <w:tab/>
        <w:t>حالة الجماعات الإثنية والإثنية</w:t>
      </w:r>
      <w:r w:rsidR="00D5311C" w:rsidRPr="00670A39">
        <w:rPr>
          <w:rFonts w:hint="cs"/>
          <w:rtl/>
        </w:rPr>
        <w:t xml:space="preserve"> </w:t>
      </w:r>
      <w:r w:rsidRPr="00670A39">
        <w:rPr>
          <w:rtl/>
        </w:rPr>
        <w:t>-</w:t>
      </w:r>
      <w:r w:rsidR="00D5311C" w:rsidRPr="00670A39">
        <w:rPr>
          <w:rFonts w:hint="cs"/>
          <w:rtl/>
        </w:rPr>
        <w:t xml:space="preserve"> </w:t>
      </w:r>
      <w:r w:rsidRPr="00670A39">
        <w:rPr>
          <w:rtl/>
        </w:rPr>
        <w:t>اللغوية والإثنية</w:t>
      </w:r>
      <w:r w:rsidR="00D5311C" w:rsidRPr="00670A39">
        <w:rPr>
          <w:rFonts w:hint="cs"/>
          <w:rtl/>
        </w:rPr>
        <w:t xml:space="preserve"> </w:t>
      </w:r>
      <w:r w:rsidRPr="00670A39">
        <w:rPr>
          <w:rtl/>
        </w:rPr>
        <w:t>-</w:t>
      </w:r>
      <w:r w:rsidR="00D5311C" w:rsidRPr="00670A39">
        <w:rPr>
          <w:rFonts w:hint="cs"/>
          <w:rtl/>
        </w:rPr>
        <w:t xml:space="preserve"> </w:t>
      </w:r>
      <w:r w:rsidRPr="00670A39">
        <w:rPr>
          <w:rtl/>
        </w:rPr>
        <w:t>الدينية والشعوب الأصلية في سياق الأزمات والحالة الأمنية</w:t>
      </w:r>
    </w:p>
    <w:p w14:paraId="67F86548" w14:textId="3143131A" w:rsidR="00702CCC" w:rsidRPr="00FB7A57" w:rsidRDefault="000B0C31" w:rsidP="000B0C31">
      <w:pPr>
        <w:pStyle w:val="SingleTxtGA"/>
        <w:rPr>
          <w:color w:val="000000"/>
          <w:spacing w:val="-2"/>
          <w:lang w:val="en-US"/>
        </w:rPr>
      </w:pPr>
      <w:r w:rsidRPr="00670A39">
        <w:rPr>
          <w:rtl/>
          <w:lang w:val="en-US"/>
        </w:rPr>
        <w:t>22</w:t>
      </w:r>
      <w:r w:rsidRPr="000B0C31">
        <w:rPr>
          <w:rtl/>
          <w:lang w:val="en-US"/>
        </w:rPr>
        <w:t>-</w:t>
      </w:r>
      <w:r w:rsidRPr="000B0C31">
        <w:rPr>
          <w:rtl/>
          <w:lang w:val="en-US"/>
        </w:rPr>
        <w:tab/>
        <w:t xml:space="preserve">يساور اللجنة بالغ القلق إزاء انتشار العنف وانعدام الأمن على نطاق واسع في منطقتي الشمال الغربي والجنوب الغربي منذ عام </w:t>
      </w:r>
      <w:r w:rsidRPr="00670A39">
        <w:rPr>
          <w:rtl/>
          <w:lang w:val="en-US"/>
        </w:rPr>
        <w:t>2016</w:t>
      </w:r>
      <w:r w:rsidRPr="000B0C31">
        <w:rPr>
          <w:rtl/>
          <w:lang w:val="en-US"/>
        </w:rPr>
        <w:t xml:space="preserve">، وذلك بسبب الهجمات والاشتباكات بين قوات الأمن والجماعات الانفصالية المسلحة، وكذلك في منطقة الشمال الأقصى، حيث تشن جماعات مسلحة غير تابعة للدولة، </w:t>
      </w:r>
      <w:r w:rsidRPr="00FB7A57">
        <w:rPr>
          <w:spacing w:val="-2"/>
          <w:rtl/>
          <w:lang w:val="en-US"/>
        </w:rPr>
        <w:t>بما فيها بوكو حرام، هجمات إرهابية ضد المدنيين. ويساورها القلق</w:t>
      </w:r>
      <w:r w:rsidR="00FB7A57" w:rsidRPr="00FB7A57">
        <w:rPr>
          <w:spacing w:val="-2"/>
          <w:rtl/>
          <w:lang w:val="en-US"/>
        </w:rPr>
        <w:t xml:space="preserve"> أيضاً </w:t>
      </w:r>
      <w:r w:rsidRPr="00FB7A57">
        <w:rPr>
          <w:spacing w:val="-2"/>
          <w:rtl/>
          <w:lang w:val="en-US"/>
        </w:rPr>
        <w:t xml:space="preserve">إزاء التقارير التي تفيد بوقوع أعمال عنف بين جماعات عرقية في </w:t>
      </w:r>
      <w:proofErr w:type="spellStart"/>
      <w:r w:rsidRPr="00FB7A57">
        <w:rPr>
          <w:spacing w:val="-2"/>
          <w:rtl/>
          <w:lang w:val="en-US"/>
        </w:rPr>
        <w:t>لوغون</w:t>
      </w:r>
      <w:proofErr w:type="spellEnd"/>
      <w:r w:rsidRPr="00FB7A57">
        <w:rPr>
          <w:spacing w:val="-2"/>
          <w:rtl/>
          <w:lang w:val="en-US"/>
        </w:rPr>
        <w:t xml:space="preserve"> - إي - شاري. وبينما تسلم اللجنة بالتزام الدولة الطرف بحماية كل شخص يخضع لولايتها القضائية من الإرهاب، فإنها تشعر بالقلق إزاء التقارير التي تفيد بأن الجماعات الإثنية والإثنية</w:t>
      </w:r>
      <w:r w:rsidR="00FB7A57" w:rsidRPr="00FB7A57">
        <w:rPr>
          <w:rFonts w:hint="cs"/>
          <w:spacing w:val="-2"/>
          <w:rtl/>
          <w:lang w:val="en-US"/>
        </w:rPr>
        <w:t xml:space="preserve"> </w:t>
      </w:r>
      <w:r w:rsidRPr="00FB7A57">
        <w:rPr>
          <w:spacing w:val="-2"/>
          <w:rtl/>
          <w:lang w:val="en-US"/>
        </w:rPr>
        <w:t>-</w:t>
      </w:r>
      <w:r w:rsidR="00FB7A57" w:rsidRPr="00FB7A57">
        <w:rPr>
          <w:rFonts w:hint="cs"/>
          <w:spacing w:val="-2"/>
          <w:rtl/>
          <w:lang w:val="en-US"/>
        </w:rPr>
        <w:t xml:space="preserve"> </w:t>
      </w:r>
      <w:r w:rsidRPr="00FB7A57">
        <w:rPr>
          <w:spacing w:val="-2"/>
          <w:rtl/>
          <w:lang w:val="en-US"/>
        </w:rPr>
        <w:t>اللغوية والإثنية</w:t>
      </w:r>
      <w:r w:rsidR="00FB7A57" w:rsidRPr="00FB7A57">
        <w:rPr>
          <w:rFonts w:hint="cs"/>
          <w:spacing w:val="-2"/>
          <w:rtl/>
          <w:lang w:val="en-US"/>
        </w:rPr>
        <w:t xml:space="preserve"> </w:t>
      </w:r>
      <w:r w:rsidRPr="00FB7A57">
        <w:rPr>
          <w:spacing w:val="-2"/>
          <w:rtl/>
          <w:lang w:val="en-US"/>
        </w:rPr>
        <w:t>-</w:t>
      </w:r>
      <w:r w:rsidR="00FB7A57" w:rsidRPr="00FB7A57">
        <w:rPr>
          <w:rFonts w:hint="cs"/>
          <w:spacing w:val="-2"/>
          <w:rtl/>
          <w:lang w:val="en-US"/>
        </w:rPr>
        <w:t xml:space="preserve"> </w:t>
      </w:r>
      <w:r w:rsidRPr="00FB7A57">
        <w:rPr>
          <w:spacing w:val="-2"/>
          <w:rtl/>
          <w:lang w:val="en-US"/>
        </w:rPr>
        <w:t>الدينية والشعوب الأصلية تتعرض لانتهاكات وتجاوزات جسيمة لحقوق الإنسان ترتكبها قوات الأمن بموجب تدابير مكافحة الإرهاب والجماعات المسلحة غير التابعة للدولة، بما في ذلك القتل غير المشروع، والاغتصاب وغيره من أشكال العنف القائم على النوع الاجتماعي، والتعذيب، والاحتجاز التعسفي، والاختطاف، والتشريد القسري، والهجمات، وتدمير الممتلكات، بما في ذلك المستشفيات والمدارس. وبينما تلاحظ اللجنة الجهود التي تبذلها الدولة الطرف لضمان المساءلة عن هذه الانتهاكات والتجاوزات، بما في ذلك التحقيق في بعض الحوادث، فإنها تشعر بالقلق إزاء عدم وجود آلية مستقلة وشاملة للتحقيق في هذه التقارير عن الانتهاكات والتجاوزات وتوفير الجبر والدعم للضحايا. وبينما تلاحظ اللجنة أن عقوبات الإعدام لا تنفَّذ، فإنها تشعر بالقلق</w:t>
      </w:r>
      <w:r w:rsidR="00FB7A57" w:rsidRPr="00FB7A57">
        <w:rPr>
          <w:spacing w:val="-2"/>
          <w:rtl/>
          <w:lang w:val="en-US"/>
        </w:rPr>
        <w:t xml:space="preserve"> أيضاً </w:t>
      </w:r>
      <w:r w:rsidRPr="00FB7A57">
        <w:rPr>
          <w:spacing w:val="-2"/>
          <w:rtl/>
          <w:lang w:val="en-US"/>
        </w:rPr>
        <w:t>إزاء التقارير التي تفيد بفرض عقوبة الإعدام على أفراد الجماعات الإثنية والإثنية</w:t>
      </w:r>
      <w:r w:rsidR="00686F7F">
        <w:rPr>
          <w:rFonts w:hint="cs"/>
          <w:spacing w:val="-2"/>
          <w:rtl/>
          <w:lang w:val="en-US"/>
        </w:rPr>
        <w:t xml:space="preserve"> </w:t>
      </w:r>
      <w:r w:rsidRPr="00FB7A57">
        <w:rPr>
          <w:spacing w:val="-2"/>
          <w:rtl/>
          <w:lang w:val="en-US"/>
        </w:rPr>
        <w:t>-</w:t>
      </w:r>
      <w:r w:rsidR="00686F7F">
        <w:rPr>
          <w:rFonts w:hint="cs"/>
          <w:spacing w:val="-2"/>
          <w:rtl/>
          <w:lang w:val="en-US"/>
        </w:rPr>
        <w:t xml:space="preserve"> </w:t>
      </w:r>
      <w:r w:rsidRPr="00FB7A57">
        <w:rPr>
          <w:spacing w:val="-2"/>
          <w:rtl/>
          <w:lang w:val="en-US"/>
        </w:rPr>
        <w:t>اللغوية والإثنية</w:t>
      </w:r>
      <w:r w:rsidR="00686F7F">
        <w:rPr>
          <w:rFonts w:hint="cs"/>
          <w:spacing w:val="-2"/>
          <w:rtl/>
          <w:lang w:val="en-US"/>
        </w:rPr>
        <w:t xml:space="preserve"> </w:t>
      </w:r>
      <w:r w:rsidRPr="00FB7A57">
        <w:rPr>
          <w:spacing w:val="-2"/>
          <w:rtl/>
          <w:lang w:val="en-US"/>
        </w:rPr>
        <w:t>-</w:t>
      </w:r>
      <w:r w:rsidR="00686F7F">
        <w:rPr>
          <w:rFonts w:hint="cs"/>
          <w:spacing w:val="-2"/>
          <w:rtl/>
          <w:lang w:val="en-US"/>
        </w:rPr>
        <w:t xml:space="preserve"> </w:t>
      </w:r>
      <w:r w:rsidRPr="00FB7A57">
        <w:rPr>
          <w:spacing w:val="-2"/>
          <w:rtl/>
          <w:lang w:val="en-US"/>
        </w:rPr>
        <w:t xml:space="preserve">الدينية بموجب القانون رقم </w:t>
      </w:r>
      <w:r w:rsidRPr="00670A39">
        <w:rPr>
          <w:spacing w:val="-2"/>
          <w:rtl/>
          <w:lang w:val="en-US"/>
        </w:rPr>
        <w:t>2014</w:t>
      </w:r>
      <w:r w:rsidRPr="00FB7A57">
        <w:rPr>
          <w:spacing w:val="-2"/>
          <w:rtl/>
          <w:lang w:val="en-US"/>
        </w:rPr>
        <w:t>/</w:t>
      </w:r>
      <w:r w:rsidRPr="00670A39">
        <w:rPr>
          <w:spacing w:val="-2"/>
          <w:rtl/>
          <w:lang w:val="en-US"/>
        </w:rPr>
        <w:t>028</w:t>
      </w:r>
      <w:r w:rsidRPr="00FB7A57">
        <w:rPr>
          <w:spacing w:val="-2"/>
          <w:rtl/>
          <w:lang w:val="en-US"/>
        </w:rPr>
        <w:t xml:space="preserve"> المؤرخ </w:t>
      </w:r>
      <w:r w:rsidRPr="00670A39">
        <w:rPr>
          <w:spacing w:val="-2"/>
          <w:rtl/>
          <w:lang w:val="en-US"/>
        </w:rPr>
        <w:t>23</w:t>
      </w:r>
      <w:r w:rsidRPr="00FB7A57">
        <w:rPr>
          <w:spacing w:val="-2"/>
          <w:rtl/>
          <w:lang w:val="en-US"/>
        </w:rPr>
        <w:t xml:space="preserve"> كانون الأول/ديسمبر </w:t>
      </w:r>
      <w:r w:rsidRPr="00670A39">
        <w:rPr>
          <w:spacing w:val="-2"/>
          <w:rtl/>
          <w:lang w:val="en-US"/>
        </w:rPr>
        <w:t>2014</w:t>
      </w:r>
      <w:r w:rsidRPr="00FB7A57">
        <w:rPr>
          <w:spacing w:val="-2"/>
          <w:rtl/>
          <w:lang w:val="en-US"/>
        </w:rPr>
        <w:t xml:space="preserve"> أمام المحاكم العسكرية ودون تقديم تفسير كاف (المواد </w:t>
      </w:r>
      <w:r w:rsidRPr="00670A39">
        <w:rPr>
          <w:spacing w:val="-2"/>
          <w:rtl/>
          <w:lang w:val="en-US"/>
        </w:rPr>
        <w:t>1</w:t>
      </w:r>
      <w:r w:rsidRPr="00FB7A57">
        <w:rPr>
          <w:spacing w:val="-2"/>
          <w:rtl/>
          <w:lang w:val="en-US"/>
        </w:rPr>
        <w:t>-</w:t>
      </w:r>
      <w:r w:rsidR="00702CCC" w:rsidRPr="00670A39">
        <w:rPr>
          <w:color w:val="000000"/>
          <w:spacing w:val="-2"/>
          <w:rtl/>
          <w:lang w:val="en-US"/>
        </w:rPr>
        <w:t>7</w:t>
      </w:r>
      <w:r w:rsidR="00702CCC" w:rsidRPr="00FB7A57">
        <w:rPr>
          <w:color w:val="000000"/>
          <w:spacing w:val="-2"/>
          <w:rtl/>
          <w:lang w:val="en-US"/>
        </w:rPr>
        <w:t>).</w:t>
      </w:r>
    </w:p>
    <w:p w14:paraId="0B5D0BA6" w14:textId="3F527AAF" w:rsidR="000B0C31" w:rsidRPr="00670A39" w:rsidRDefault="000B0C31" w:rsidP="000B0C31">
      <w:pPr>
        <w:pStyle w:val="SingleTxtGA"/>
        <w:rPr>
          <w:b/>
          <w:bCs/>
          <w:lang w:val="en-US"/>
        </w:rPr>
      </w:pPr>
      <w:r w:rsidRPr="00670A39">
        <w:rPr>
          <w:rtl/>
          <w:lang w:val="en-US"/>
        </w:rPr>
        <w:t>23</w:t>
      </w:r>
      <w:r w:rsidRPr="000B0C31">
        <w:rPr>
          <w:rtl/>
          <w:lang w:val="en-US"/>
        </w:rPr>
        <w:t>-</w:t>
      </w:r>
      <w:r w:rsidRPr="000B0C31">
        <w:rPr>
          <w:rtl/>
          <w:lang w:val="en-US"/>
        </w:rPr>
        <w:tab/>
      </w:r>
      <w:r w:rsidRPr="00670A39">
        <w:rPr>
          <w:b/>
          <w:bCs/>
          <w:rtl/>
          <w:lang w:val="en-US"/>
        </w:rPr>
        <w:t xml:space="preserve">توصي اللجنة الدولة الطرف بتعزيز جهودها واعتماد تدابير للتوصل إلى حل سلمي للأزمات وانتشار العنف، بوسائل منها ما يلي: </w:t>
      </w:r>
    </w:p>
    <w:p w14:paraId="0B94A85D" w14:textId="3A967BE9" w:rsidR="000B0C31" w:rsidRPr="00670A39" w:rsidRDefault="000B0C31" w:rsidP="000B0C31">
      <w:pPr>
        <w:pStyle w:val="SingleTxtGA"/>
        <w:rPr>
          <w:b/>
          <w:bCs/>
          <w:lang w:val="en-US"/>
        </w:rPr>
      </w:pPr>
      <w:r>
        <w:rPr>
          <w:rtl/>
          <w:lang w:val="en-US"/>
        </w:rPr>
        <w:tab/>
      </w:r>
      <w:r>
        <w:rPr>
          <w:rFonts w:hint="cs"/>
          <w:rtl/>
          <w:lang w:val="en-US"/>
        </w:rPr>
        <w:t>(أ)</w:t>
      </w:r>
      <w:r w:rsidRPr="000B0C31">
        <w:rPr>
          <w:rtl/>
          <w:lang w:val="en-US"/>
        </w:rPr>
        <w:tab/>
      </w:r>
      <w:r w:rsidRPr="00670A39">
        <w:rPr>
          <w:b/>
          <w:bCs/>
          <w:rtl/>
          <w:lang w:val="en-US"/>
        </w:rPr>
        <w:t>إعطاء الأولوية لعمليتيْ المصالحة الوطنية والعدالة الانتقالية في مناطق الشمال الغربي والجنوب الغربي وأقصى الشمال، لضمان حماية الجماعات الإثنية والإثنية</w:t>
      </w:r>
      <w:r w:rsidR="00D5311C" w:rsidRPr="00670A39">
        <w:rPr>
          <w:rFonts w:hint="cs"/>
          <w:b/>
          <w:bCs/>
          <w:rtl/>
          <w:lang w:val="en-US"/>
        </w:rPr>
        <w:t xml:space="preserve"> </w:t>
      </w:r>
      <w:r w:rsidRPr="00670A39">
        <w:rPr>
          <w:b/>
          <w:bCs/>
          <w:rtl/>
          <w:lang w:val="en-US"/>
        </w:rPr>
        <w:t>-</w:t>
      </w:r>
      <w:r w:rsidR="00D5311C" w:rsidRPr="00670A39">
        <w:rPr>
          <w:rFonts w:hint="cs"/>
          <w:b/>
          <w:bCs/>
          <w:rtl/>
          <w:lang w:val="en-US"/>
        </w:rPr>
        <w:t xml:space="preserve"> </w:t>
      </w:r>
      <w:r w:rsidRPr="00670A39">
        <w:rPr>
          <w:b/>
          <w:bCs/>
          <w:rtl/>
          <w:lang w:val="en-US"/>
        </w:rPr>
        <w:t>اللغوية والإثنية</w:t>
      </w:r>
      <w:r w:rsidR="00D5311C" w:rsidRPr="00670A39">
        <w:rPr>
          <w:rFonts w:hint="cs"/>
          <w:b/>
          <w:bCs/>
          <w:rtl/>
          <w:lang w:val="en-US"/>
        </w:rPr>
        <w:t xml:space="preserve"> </w:t>
      </w:r>
      <w:r w:rsidRPr="00670A39">
        <w:rPr>
          <w:b/>
          <w:bCs/>
          <w:rtl/>
          <w:lang w:val="en-US"/>
        </w:rPr>
        <w:t>-</w:t>
      </w:r>
      <w:r w:rsidR="00D5311C" w:rsidRPr="00670A39">
        <w:rPr>
          <w:rFonts w:hint="cs"/>
          <w:b/>
          <w:bCs/>
          <w:rtl/>
          <w:lang w:val="en-US"/>
        </w:rPr>
        <w:t xml:space="preserve"> </w:t>
      </w:r>
      <w:r w:rsidRPr="00670A39">
        <w:rPr>
          <w:b/>
          <w:bCs/>
          <w:rtl/>
          <w:lang w:val="en-US"/>
        </w:rPr>
        <w:t xml:space="preserve">الدينية وجماعات السكان الأصليين، بمشاركة فعالة ومجدية من ممثلي هذه الجماعات الإثنية والشعوب الأصلية، ومنظمات المجتمع المدني، ولجنة الكاميرون لحقوق الإنسان؛ </w:t>
      </w:r>
    </w:p>
    <w:p w14:paraId="610BAF15" w14:textId="3F875DE3" w:rsidR="000B0C31" w:rsidRPr="00670A39" w:rsidRDefault="000B0C31" w:rsidP="000B0C31">
      <w:pPr>
        <w:pStyle w:val="SingleTxtGA"/>
        <w:rPr>
          <w:b/>
          <w:bCs/>
          <w:lang w:val="en-US"/>
        </w:rPr>
      </w:pPr>
      <w:r>
        <w:rPr>
          <w:rtl/>
          <w:lang w:val="en-US"/>
        </w:rPr>
        <w:tab/>
      </w:r>
      <w:r w:rsidRPr="000B0C31">
        <w:rPr>
          <w:rtl/>
          <w:lang w:val="en-US"/>
        </w:rPr>
        <w:t>(ب)</w:t>
      </w:r>
      <w:r w:rsidRPr="000B0C31">
        <w:rPr>
          <w:rtl/>
          <w:lang w:val="en-US"/>
        </w:rPr>
        <w:tab/>
      </w:r>
      <w:r w:rsidRPr="00670A39">
        <w:rPr>
          <w:b/>
          <w:bCs/>
          <w:rtl/>
          <w:lang w:val="en-US"/>
        </w:rPr>
        <w:t>تعزيز جهودها الرامية إلى ضمان المساءلة ووضع حد للإفلات من العقاب، بما في ذلك عن طريق إجراء تحقيقات فعالة وشاملة ونزيهة في التقارير التي تفيد بانتهاكات حقوق الإنسان التي ترتكبها قوات الأمن في سياق تدابيرها لمكافحة الإرهاب، فضل</w:t>
      </w:r>
      <w:r w:rsidR="00FB7A57" w:rsidRPr="00670A39">
        <w:rPr>
          <w:b/>
          <w:bCs/>
          <w:rtl/>
          <w:lang w:val="en-US"/>
        </w:rPr>
        <w:t xml:space="preserve">اً </w:t>
      </w:r>
      <w:r w:rsidRPr="00670A39">
        <w:rPr>
          <w:b/>
          <w:bCs/>
          <w:rtl/>
          <w:lang w:val="en-US"/>
        </w:rPr>
        <w:t xml:space="preserve">عن انتهاكات حقوق الإنسان التي ترتكبها الجماعات المسلحة غير التابعة الدولة، ومقاضاة المسؤولين عنها، ومعاقبة المدانين على النحو الواجب؛ </w:t>
      </w:r>
    </w:p>
    <w:p w14:paraId="1848946B" w14:textId="51CA0E59" w:rsidR="000B0C31" w:rsidRPr="00670A39" w:rsidRDefault="000B0C31" w:rsidP="000B0C31">
      <w:pPr>
        <w:pStyle w:val="SingleTxtGA"/>
        <w:rPr>
          <w:b/>
          <w:bCs/>
          <w:lang w:val="en-US"/>
        </w:rPr>
      </w:pPr>
      <w:r>
        <w:rPr>
          <w:rtl/>
          <w:lang w:val="en-US"/>
        </w:rPr>
        <w:tab/>
      </w:r>
      <w:r w:rsidRPr="000B0C31">
        <w:rPr>
          <w:rtl/>
          <w:lang w:val="en-US"/>
        </w:rPr>
        <w:t>(ج)</w:t>
      </w:r>
      <w:r w:rsidRPr="000B0C31">
        <w:rPr>
          <w:rtl/>
          <w:lang w:val="en-US"/>
        </w:rPr>
        <w:tab/>
      </w:r>
      <w:r w:rsidRPr="00670A39">
        <w:rPr>
          <w:rFonts w:ascii="Times New Roman Bold" w:hAnsi="Times New Roman Bold"/>
          <w:b/>
          <w:bCs/>
          <w:spacing w:val="-2"/>
          <w:rtl/>
          <w:lang w:val="en-US"/>
        </w:rPr>
        <w:t>اتخاذ خطوات فورية لتوفير الدعم الطبي والاجتماعي الفعال للضحايا، ولا سيما النساء</w:t>
      </w:r>
      <w:r w:rsidRPr="00670A39">
        <w:rPr>
          <w:b/>
          <w:bCs/>
          <w:rtl/>
          <w:lang w:val="en-US"/>
        </w:rPr>
        <w:t xml:space="preserve"> والفتيات ضحايا العنف القائم على النوع الاجتماعي؛ </w:t>
      </w:r>
    </w:p>
    <w:p w14:paraId="337293E7" w14:textId="31A18601" w:rsidR="000B0C31" w:rsidRPr="00670A39" w:rsidRDefault="000B0C31" w:rsidP="000B0C31">
      <w:pPr>
        <w:pStyle w:val="SingleTxtGA"/>
        <w:rPr>
          <w:b/>
          <w:bCs/>
          <w:lang w:val="en-US"/>
        </w:rPr>
      </w:pPr>
      <w:r>
        <w:rPr>
          <w:rtl/>
          <w:lang w:val="en-US"/>
        </w:rPr>
        <w:tab/>
      </w:r>
      <w:r w:rsidRPr="000B0C31">
        <w:rPr>
          <w:rtl/>
          <w:lang w:val="en-US"/>
        </w:rPr>
        <w:t>(د)</w:t>
      </w:r>
      <w:r w:rsidRPr="000B0C31">
        <w:rPr>
          <w:rtl/>
          <w:lang w:val="en-US"/>
        </w:rPr>
        <w:tab/>
      </w:r>
      <w:r w:rsidRPr="00670A39">
        <w:rPr>
          <w:b/>
          <w:bCs/>
          <w:rtl/>
          <w:lang w:val="en-US"/>
        </w:rPr>
        <w:t>اعتماد تدابير فعالة للتحقق من أن تدابير مكافحة الإرهاب لا تميز ضد الجماعات الإثنية والإثنية</w:t>
      </w:r>
      <w:r w:rsidRPr="00670A39">
        <w:rPr>
          <w:rFonts w:hint="cs"/>
          <w:b/>
          <w:bCs/>
          <w:rtl/>
          <w:lang w:val="en-US"/>
        </w:rPr>
        <w:t xml:space="preserve"> </w:t>
      </w:r>
      <w:r w:rsidRPr="00670A39">
        <w:rPr>
          <w:b/>
          <w:bCs/>
          <w:rtl/>
          <w:lang w:val="en-US"/>
        </w:rPr>
        <w:t>-</w:t>
      </w:r>
      <w:r w:rsidRPr="00670A39">
        <w:rPr>
          <w:rFonts w:hint="cs"/>
          <w:b/>
          <w:bCs/>
          <w:rtl/>
          <w:lang w:val="en-US"/>
        </w:rPr>
        <w:t xml:space="preserve"> </w:t>
      </w:r>
      <w:r w:rsidRPr="00670A39">
        <w:rPr>
          <w:b/>
          <w:bCs/>
          <w:rtl/>
          <w:lang w:val="en-US"/>
        </w:rPr>
        <w:t>اللغوية والإثنية</w:t>
      </w:r>
      <w:r w:rsidR="00FB7A57" w:rsidRPr="00670A39">
        <w:rPr>
          <w:rFonts w:hint="cs"/>
          <w:b/>
          <w:bCs/>
          <w:rtl/>
          <w:lang w:val="en-US"/>
        </w:rPr>
        <w:t xml:space="preserve"> </w:t>
      </w:r>
      <w:r w:rsidRPr="00670A39">
        <w:rPr>
          <w:b/>
          <w:bCs/>
          <w:rtl/>
          <w:lang w:val="en-US"/>
        </w:rPr>
        <w:t>-</w:t>
      </w:r>
      <w:r w:rsidR="00FB7A57" w:rsidRPr="00670A39">
        <w:rPr>
          <w:rFonts w:hint="cs"/>
          <w:b/>
          <w:bCs/>
          <w:rtl/>
          <w:lang w:val="en-US"/>
        </w:rPr>
        <w:t xml:space="preserve"> </w:t>
      </w:r>
      <w:r w:rsidRPr="00670A39">
        <w:rPr>
          <w:b/>
          <w:bCs/>
          <w:rtl/>
          <w:lang w:val="en-US"/>
        </w:rPr>
        <w:t>الدينية والشعوب الأصلية، وضمان حق المحتجزين في الإجراءات القانونية الواجبة والحق في الطعن في قرارات احتجازهم وإدانتهم بموجب القانون رقم 2014/028، تمشي</w:t>
      </w:r>
      <w:r w:rsidR="00FB7A57" w:rsidRPr="00670A39">
        <w:rPr>
          <w:b/>
          <w:bCs/>
          <w:rtl/>
          <w:lang w:val="en-US"/>
        </w:rPr>
        <w:t xml:space="preserve">اً </w:t>
      </w:r>
      <w:r w:rsidRPr="00670A39">
        <w:rPr>
          <w:b/>
          <w:bCs/>
          <w:rtl/>
          <w:lang w:val="en-US"/>
        </w:rPr>
        <w:t>مع التوصية العامة للجنة رقم 31(200</w:t>
      </w:r>
      <w:r w:rsidR="00702CCC" w:rsidRPr="00670A39">
        <w:rPr>
          <w:b/>
          <w:bCs/>
          <w:color w:val="000000"/>
          <w:rtl/>
          <w:lang w:val="en-US"/>
        </w:rPr>
        <w:t xml:space="preserve">5) </w:t>
      </w:r>
      <w:r w:rsidRPr="00670A39">
        <w:rPr>
          <w:b/>
          <w:bCs/>
          <w:rtl/>
          <w:lang w:val="en-US"/>
        </w:rPr>
        <w:t xml:space="preserve">بشأن منع التمييز العنصري في إدارة وسير عمل نظام العدالة الجنائية؛ </w:t>
      </w:r>
    </w:p>
    <w:p w14:paraId="4DA0E640" w14:textId="7A8A07D1" w:rsidR="000B0C31" w:rsidRPr="00670A39" w:rsidRDefault="000B0C31" w:rsidP="000B0C31">
      <w:pPr>
        <w:pStyle w:val="SingleTxtGA"/>
        <w:rPr>
          <w:b/>
          <w:bCs/>
          <w:lang w:val="en-US"/>
        </w:rPr>
      </w:pPr>
      <w:r>
        <w:rPr>
          <w:rtl/>
          <w:lang w:val="en-US"/>
        </w:rPr>
        <w:tab/>
      </w:r>
      <w:r w:rsidRPr="000B0C31">
        <w:rPr>
          <w:rtl/>
          <w:lang w:val="en-US"/>
        </w:rPr>
        <w:t>(هـ)</w:t>
      </w:r>
      <w:r w:rsidRPr="000B0C31">
        <w:rPr>
          <w:rtl/>
          <w:lang w:val="en-US"/>
        </w:rPr>
        <w:tab/>
      </w:r>
      <w:r w:rsidRPr="00670A39">
        <w:rPr>
          <w:b/>
          <w:bCs/>
          <w:rtl/>
          <w:lang w:val="en-US"/>
        </w:rPr>
        <w:t xml:space="preserve">النظر في مسألة إلغاء عقوبة الإعدام. </w:t>
      </w:r>
    </w:p>
    <w:p w14:paraId="30ADFD38" w14:textId="2B610780" w:rsidR="000B0C31" w:rsidRPr="00670A39" w:rsidRDefault="000B0C31" w:rsidP="000B0C31">
      <w:pPr>
        <w:pStyle w:val="H23GA"/>
      </w:pPr>
      <w:r w:rsidRPr="00670A39">
        <w:rPr>
          <w:rtl/>
        </w:rPr>
        <w:lastRenderedPageBreak/>
        <w:tab/>
      </w:r>
      <w:r w:rsidRPr="00670A39">
        <w:rPr>
          <w:rtl/>
        </w:rPr>
        <w:tab/>
        <w:t xml:space="preserve">حالة الجماعات الإثنية </w:t>
      </w:r>
      <w:r w:rsidR="00D5311C" w:rsidRPr="00670A39">
        <w:rPr>
          <w:rtl/>
        </w:rPr>
        <w:t>والإثنية - اللغوية والإثنية - الدينية</w:t>
      </w:r>
      <w:r w:rsidRPr="00670A39">
        <w:rPr>
          <w:rtl/>
        </w:rPr>
        <w:t xml:space="preserve"> والشعوب الأصلية</w:t>
      </w:r>
    </w:p>
    <w:p w14:paraId="1DD80A43" w14:textId="30C28F93" w:rsidR="000B0C31" w:rsidRPr="000B0C31" w:rsidRDefault="000B0C31" w:rsidP="00895D86">
      <w:pPr>
        <w:pStyle w:val="SingleTxtGA"/>
        <w:spacing w:line="350" w:lineRule="exact"/>
        <w:rPr>
          <w:lang w:val="en-US"/>
        </w:rPr>
      </w:pPr>
      <w:r w:rsidRPr="00670A39">
        <w:rPr>
          <w:rtl/>
          <w:lang w:val="en-US"/>
        </w:rPr>
        <w:t>24</w:t>
      </w:r>
      <w:r w:rsidRPr="000B0C31">
        <w:rPr>
          <w:rtl/>
          <w:lang w:val="en-US"/>
        </w:rPr>
        <w:t>-</w:t>
      </w:r>
      <w:r w:rsidRPr="000B0C31">
        <w:rPr>
          <w:rtl/>
          <w:lang w:val="en-US"/>
        </w:rPr>
        <w:tab/>
        <w:t>تلاحظ اللجنة اعتماد استراتيجية التنمية الوطنية (</w:t>
      </w:r>
      <w:r w:rsidRPr="00670A39">
        <w:rPr>
          <w:rtl/>
          <w:lang w:val="en-US"/>
        </w:rPr>
        <w:t>2020</w:t>
      </w:r>
      <w:r w:rsidRPr="000B0C31">
        <w:rPr>
          <w:rtl/>
          <w:lang w:val="en-US"/>
        </w:rPr>
        <w:t>-</w:t>
      </w:r>
      <w:r w:rsidRPr="00670A39">
        <w:rPr>
          <w:rtl/>
          <w:lang w:val="en-US"/>
        </w:rPr>
        <w:t>203</w:t>
      </w:r>
      <w:r w:rsidR="00702CCC" w:rsidRPr="00670A39">
        <w:rPr>
          <w:color w:val="000000"/>
          <w:rtl/>
          <w:lang w:val="en-US"/>
        </w:rPr>
        <w:t>0</w:t>
      </w:r>
      <w:r w:rsidR="00702CCC" w:rsidRPr="00702CCC">
        <w:rPr>
          <w:color w:val="000000"/>
          <w:rtl/>
          <w:lang w:val="en-US"/>
        </w:rPr>
        <w:t xml:space="preserve">). </w:t>
      </w:r>
      <w:r w:rsidRPr="000B0C31">
        <w:rPr>
          <w:rtl/>
          <w:lang w:val="en-US"/>
        </w:rPr>
        <w:t>ومع ذلك، يساور اللجنة القلق إزاء التقارير التي تفيد بأن الجماعات الإثنية والإثنية</w:t>
      </w:r>
      <w:r w:rsidR="00FB7A57">
        <w:rPr>
          <w:rFonts w:hint="cs"/>
          <w:rtl/>
          <w:lang w:val="en-US"/>
        </w:rPr>
        <w:t xml:space="preserve"> </w:t>
      </w:r>
      <w:r w:rsidRPr="000B0C31">
        <w:rPr>
          <w:rtl/>
          <w:lang w:val="en-US"/>
        </w:rPr>
        <w:t>-</w:t>
      </w:r>
      <w:r w:rsidR="00FB7A57">
        <w:rPr>
          <w:rFonts w:hint="cs"/>
          <w:rtl/>
          <w:lang w:val="en-US"/>
        </w:rPr>
        <w:t xml:space="preserve"> </w:t>
      </w:r>
      <w:r w:rsidRPr="000B0C31">
        <w:rPr>
          <w:rtl/>
          <w:lang w:val="en-US"/>
        </w:rPr>
        <w:t>اللغوية والإثنية</w:t>
      </w:r>
      <w:r w:rsidR="00FB7A57">
        <w:rPr>
          <w:rFonts w:hint="cs"/>
          <w:rtl/>
          <w:lang w:val="en-US"/>
        </w:rPr>
        <w:t xml:space="preserve"> </w:t>
      </w:r>
      <w:r w:rsidRPr="000B0C31">
        <w:rPr>
          <w:rtl/>
          <w:lang w:val="en-US"/>
        </w:rPr>
        <w:t>-</w:t>
      </w:r>
      <w:r w:rsidR="00FB7A57">
        <w:rPr>
          <w:rFonts w:hint="cs"/>
          <w:rtl/>
          <w:lang w:val="en-US"/>
        </w:rPr>
        <w:t xml:space="preserve"> </w:t>
      </w:r>
      <w:r w:rsidRPr="000B0C31">
        <w:rPr>
          <w:rtl/>
          <w:lang w:val="en-US"/>
        </w:rPr>
        <w:t xml:space="preserve">الدينية والشعوب الأصلية تتعرض لأشكال تمييز مباشرة وغير مباشرة ومتعددة ومتداخلة، مما يحد من تمتعها بحقوق الإنسان. وتشعر اللجنة بالقلق بصفة خاصة إزاء ما يلي: </w:t>
      </w:r>
    </w:p>
    <w:p w14:paraId="040E79AB" w14:textId="5FB487F4" w:rsidR="000B0C31" w:rsidRPr="000B0C31" w:rsidRDefault="000B0C31" w:rsidP="00895D86">
      <w:pPr>
        <w:pStyle w:val="SingleTxtGA"/>
        <w:spacing w:line="350" w:lineRule="exact"/>
        <w:rPr>
          <w:lang w:val="en-US"/>
        </w:rPr>
      </w:pPr>
      <w:r w:rsidRPr="000B0C31">
        <w:rPr>
          <w:rtl/>
          <w:lang w:val="en-US"/>
        </w:rPr>
        <w:tab/>
        <w:t>(أ)</w:t>
      </w:r>
      <w:r>
        <w:rPr>
          <w:rtl/>
          <w:lang w:val="en-US"/>
        </w:rPr>
        <w:tab/>
      </w:r>
      <w:r w:rsidRPr="000B0C31">
        <w:rPr>
          <w:rtl/>
          <w:lang w:val="en-US"/>
        </w:rPr>
        <w:t xml:space="preserve">التقارير عن انخفاض تمثيل بعض الجماعات الإثنية </w:t>
      </w:r>
      <w:r w:rsidR="00D5311C">
        <w:rPr>
          <w:rtl/>
          <w:lang w:val="en-US"/>
        </w:rPr>
        <w:t>والإثنية - اللغوية والإثنية - الدينية</w:t>
      </w:r>
      <w:r w:rsidRPr="000B0C31">
        <w:rPr>
          <w:rtl/>
          <w:lang w:val="en-US"/>
        </w:rPr>
        <w:t xml:space="preserve"> والشعوب الأصلية في القطاع العام وفي عملية صنع القرار والمناصب الرفيعة، ولا سيما بين النساء المنتميات إلى هذه الجماعات؛ </w:t>
      </w:r>
    </w:p>
    <w:p w14:paraId="3A5E59FB" w14:textId="6532586D" w:rsidR="000B0C31" w:rsidRPr="000B0C31" w:rsidRDefault="000B0C31" w:rsidP="00895D86">
      <w:pPr>
        <w:pStyle w:val="SingleTxtGA"/>
        <w:spacing w:line="350" w:lineRule="exact"/>
        <w:rPr>
          <w:lang w:val="en-US"/>
        </w:rPr>
      </w:pPr>
      <w:r>
        <w:rPr>
          <w:rtl/>
          <w:lang w:val="en-US"/>
        </w:rPr>
        <w:tab/>
      </w:r>
      <w:r w:rsidRPr="000B0C31">
        <w:rPr>
          <w:rtl/>
          <w:lang w:val="en-US"/>
        </w:rPr>
        <w:t>(ب)</w:t>
      </w:r>
      <w:r w:rsidRPr="000B0C31">
        <w:rPr>
          <w:rtl/>
          <w:lang w:val="en-US"/>
        </w:rPr>
        <w:tab/>
        <w:t xml:space="preserve">عدم وجود معلومات عن العملية الجارية لاستعراض قانون العمل، والتقارير المتعلقة بدفع أجور غير متساوية على أساس الأصول الإثنية في القطاع الخاص، وعن السخرة واستغلال الشعوب الأصلية في العمل؛ </w:t>
      </w:r>
    </w:p>
    <w:p w14:paraId="50AEC940" w14:textId="57772BA2" w:rsidR="000B0C31" w:rsidRPr="000B0C31" w:rsidRDefault="000B0C31" w:rsidP="00895D86">
      <w:pPr>
        <w:pStyle w:val="SingleTxtGA"/>
        <w:spacing w:line="350" w:lineRule="exact"/>
        <w:rPr>
          <w:lang w:val="en-US"/>
        </w:rPr>
      </w:pPr>
      <w:r>
        <w:rPr>
          <w:rtl/>
          <w:lang w:val="en-US"/>
        </w:rPr>
        <w:tab/>
      </w:r>
      <w:r w:rsidRPr="000B0C31">
        <w:rPr>
          <w:rtl/>
          <w:lang w:val="en-US"/>
        </w:rPr>
        <w:t>(ج)</w:t>
      </w:r>
      <w:r w:rsidRPr="000B0C31">
        <w:rPr>
          <w:rtl/>
          <w:lang w:val="en-US"/>
        </w:rPr>
        <w:tab/>
      </w:r>
      <w:r w:rsidRPr="00FB7A57">
        <w:rPr>
          <w:spacing w:val="-4"/>
          <w:rtl/>
          <w:lang w:val="en-US"/>
        </w:rPr>
        <w:t>عدم توافر معلومات عن التدابير الرامية إلى ضمان حصول السكان الأصليين والجماعات</w:t>
      </w:r>
      <w:r w:rsidRPr="000B0C31">
        <w:rPr>
          <w:rtl/>
          <w:lang w:val="en-US"/>
        </w:rPr>
        <w:t xml:space="preserve"> الإثنية على الخدمات العامة الكافية في المناطق المتضررة من العنف، ولا سيما في ضوء الهجمات على المستشفيات والمدارس؛</w:t>
      </w:r>
    </w:p>
    <w:p w14:paraId="5C6B78A3" w14:textId="7AFE8252" w:rsidR="000B0C31" w:rsidRPr="000B0C31" w:rsidRDefault="000B0C31" w:rsidP="00895D86">
      <w:pPr>
        <w:pStyle w:val="SingleTxtGA"/>
        <w:spacing w:line="350" w:lineRule="exact"/>
        <w:rPr>
          <w:lang w:val="en-US"/>
        </w:rPr>
      </w:pPr>
      <w:r>
        <w:rPr>
          <w:rtl/>
          <w:lang w:val="en-US"/>
        </w:rPr>
        <w:tab/>
      </w:r>
      <w:r w:rsidRPr="000B0C31">
        <w:rPr>
          <w:rtl/>
          <w:lang w:val="en-US"/>
        </w:rPr>
        <w:t>(د)</w:t>
      </w:r>
      <w:r w:rsidRPr="000B0C31">
        <w:rPr>
          <w:rtl/>
          <w:lang w:val="en-US"/>
        </w:rPr>
        <w:tab/>
      </w:r>
      <w:r w:rsidRPr="00FB7A57">
        <w:rPr>
          <w:spacing w:val="-2"/>
          <w:rtl/>
          <w:lang w:val="en-US"/>
        </w:rPr>
        <w:t>عدم وجود معلومات مستكملة عن تنفيذ برامج لتكييف النظام التعليمي مع ثقافة الشعوب</w:t>
      </w:r>
      <w:r w:rsidRPr="000B0C31">
        <w:rPr>
          <w:rtl/>
          <w:lang w:val="en-US"/>
        </w:rPr>
        <w:t xml:space="preserve"> الأصلية (المواد </w:t>
      </w:r>
      <w:r w:rsidRPr="00670A39">
        <w:rPr>
          <w:rtl/>
          <w:lang w:val="en-US"/>
        </w:rPr>
        <w:t>1</w:t>
      </w:r>
      <w:r w:rsidRPr="000B0C31">
        <w:rPr>
          <w:rtl/>
          <w:lang w:val="en-US"/>
        </w:rPr>
        <w:t>-</w:t>
      </w:r>
      <w:r w:rsidR="00702CCC" w:rsidRPr="00670A39">
        <w:rPr>
          <w:color w:val="000000"/>
          <w:rtl/>
          <w:lang w:val="en-US"/>
        </w:rPr>
        <w:t>7</w:t>
      </w:r>
      <w:r w:rsidR="00702CCC" w:rsidRPr="00702CCC">
        <w:rPr>
          <w:color w:val="000000"/>
          <w:rtl/>
          <w:lang w:val="en-US"/>
        </w:rPr>
        <w:t xml:space="preserve">). </w:t>
      </w:r>
    </w:p>
    <w:p w14:paraId="21FFDDA2" w14:textId="77777777" w:rsidR="000B0C31" w:rsidRPr="00670A39" w:rsidRDefault="000B0C31" w:rsidP="00895D86">
      <w:pPr>
        <w:pStyle w:val="SingleTxtGA"/>
        <w:spacing w:line="350" w:lineRule="exact"/>
        <w:rPr>
          <w:b/>
          <w:bCs/>
          <w:lang w:val="en-US"/>
        </w:rPr>
      </w:pPr>
      <w:r w:rsidRPr="00670A39">
        <w:rPr>
          <w:rtl/>
          <w:lang w:val="en-US"/>
        </w:rPr>
        <w:t>25</w:t>
      </w:r>
      <w:r w:rsidRPr="000B0C31">
        <w:rPr>
          <w:rtl/>
          <w:lang w:val="en-US"/>
        </w:rPr>
        <w:t>-</w:t>
      </w:r>
      <w:r w:rsidRPr="000B0C31">
        <w:rPr>
          <w:rtl/>
          <w:lang w:val="en-US"/>
        </w:rPr>
        <w:tab/>
      </w:r>
      <w:r w:rsidRPr="00670A39">
        <w:rPr>
          <w:b/>
          <w:bCs/>
          <w:rtl/>
          <w:lang w:val="en-US"/>
        </w:rPr>
        <w:t xml:space="preserve">توصي اللجنة الدولة الطرف بما يلي: </w:t>
      </w:r>
    </w:p>
    <w:p w14:paraId="6FE65036" w14:textId="418E5F6B" w:rsidR="000B0C31" w:rsidRPr="00670A39" w:rsidRDefault="000B0C31" w:rsidP="00895D86">
      <w:pPr>
        <w:pStyle w:val="SingleTxtGA"/>
        <w:spacing w:line="350" w:lineRule="exact"/>
        <w:rPr>
          <w:b/>
          <w:bCs/>
          <w:lang w:val="en-US"/>
        </w:rPr>
      </w:pPr>
      <w:r>
        <w:rPr>
          <w:rtl/>
          <w:lang w:val="en-US"/>
        </w:rPr>
        <w:tab/>
      </w:r>
      <w:r>
        <w:rPr>
          <w:rFonts w:hint="cs"/>
          <w:rtl/>
          <w:lang w:val="en-US"/>
        </w:rPr>
        <w:t>(أ)</w:t>
      </w:r>
      <w:r w:rsidRPr="000B0C31">
        <w:rPr>
          <w:rtl/>
          <w:lang w:val="en-US"/>
        </w:rPr>
        <w:tab/>
      </w:r>
      <w:r w:rsidRPr="00670A39">
        <w:rPr>
          <w:b/>
          <w:bCs/>
          <w:rtl/>
          <w:lang w:val="en-US"/>
        </w:rPr>
        <w:t>تعزيز التدابير الرامية إلى ضمان المشاركة الفعالة لجميع الجماعات الإثنية والإثنية</w:t>
      </w:r>
      <w:r w:rsidR="00FB7A57" w:rsidRPr="00670A39">
        <w:rPr>
          <w:rFonts w:hint="eastAsia"/>
          <w:b/>
          <w:bCs/>
          <w:rtl/>
          <w:lang w:val="en-US"/>
        </w:rPr>
        <w:t> </w:t>
      </w:r>
      <w:r w:rsidRPr="00670A39">
        <w:rPr>
          <w:b/>
          <w:bCs/>
          <w:rtl/>
          <w:lang w:val="en-US"/>
        </w:rPr>
        <w:t>-</w:t>
      </w:r>
      <w:r w:rsidRPr="00670A39">
        <w:rPr>
          <w:rFonts w:hint="cs"/>
          <w:b/>
          <w:bCs/>
          <w:rtl/>
          <w:lang w:val="en-US"/>
        </w:rPr>
        <w:t xml:space="preserve"> </w:t>
      </w:r>
      <w:r w:rsidRPr="00670A39">
        <w:rPr>
          <w:b/>
          <w:bCs/>
          <w:rtl/>
          <w:lang w:val="en-US"/>
        </w:rPr>
        <w:t>اللغوية والإثنية</w:t>
      </w:r>
      <w:r w:rsidRPr="00670A39">
        <w:rPr>
          <w:rFonts w:hint="cs"/>
          <w:b/>
          <w:bCs/>
          <w:rtl/>
          <w:lang w:val="en-US"/>
        </w:rPr>
        <w:t xml:space="preserve"> </w:t>
      </w:r>
      <w:r w:rsidRPr="00670A39">
        <w:rPr>
          <w:b/>
          <w:bCs/>
          <w:rtl/>
          <w:lang w:val="en-US"/>
        </w:rPr>
        <w:t>-</w:t>
      </w:r>
      <w:r w:rsidRPr="00670A39">
        <w:rPr>
          <w:rFonts w:hint="cs"/>
          <w:b/>
          <w:bCs/>
          <w:rtl/>
          <w:lang w:val="en-US"/>
        </w:rPr>
        <w:t xml:space="preserve"> </w:t>
      </w:r>
      <w:r w:rsidRPr="00670A39">
        <w:rPr>
          <w:b/>
          <w:bCs/>
          <w:rtl/>
          <w:lang w:val="en-US"/>
        </w:rPr>
        <w:t xml:space="preserve">الدينية والشعوب الأصلية في الحياة السياسية والعامة وزيادة تمثيل هذه الجماعات، بما في ذلك المرأة، في القطاع العام، وفي عملية صنع القرار وفي المناصب الرفيعة؛ </w:t>
      </w:r>
    </w:p>
    <w:p w14:paraId="71A028F1" w14:textId="08A9F236" w:rsidR="000B0C31" w:rsidRPr="00670A39" w:rsidRDefault="000B0C31" w:rsidP="00895D86">
      <w:pPr>
        <w:pStyle w:val="SingleTxtGA"/>
        <w:spacing w:line="350" w:lineRule="exact"/>
        <w:rPr>
          <w:b/>
          <w:bCs/>
          <w:lang w:val="en-US"/>
        </w:rPr>
      </w:pPr>
      <w:r>
        <w:rPr>
          <w:rtl/>
          <w:lang w:val="en-US"/>
        </w:rPr>
        <w:tab/>
      </w:r>
      <w:r w:rsidRPr="000B0C31">
        <w:rPr>
          <w:rtl/>
          <w:lang w:val="en-US"/>
        </w:rPr>
        <w:t>(ب)</w:t>
      </w:r>
      <w:r w:rsidRPr="000B0C31">
        <w:rPr>
          <w:rtl/>
          <w:lang w:val="en-US"/>
        </w:rPr>
        <w:tab/>
      </w:r>
      <w:r w:rsidRPr="00670A39">
        <w:rPr>
          <w:b/>
          <w:bCs/>
          <w:rtl/>
          <w:lang w:val="en-US"/>
        </w:rPr>
        <w:t>التعجيل باستعراض قانون العمل واعتماد تدابير لضمان التنفيذ الفعال لحظر التمييز</w:t>
      </w:r>
      <w:r w:rsidR="00FB7A57" w:rsidRPr="00670A39">
        <w:rPr>
          <w:rFonts w:hint="cs"/>
          <w:b/>
          <w:bCs/>
          <w:rtl/>
          <w:lang w:val="en-US"/>
        </w:rPr>
        <w:t> </w:t>
      </w:r>
      <w:r w:rsidRPr="00670A39">
        <w:rPr>
          <w:b/>
          <w:bCs/>
          <w:rtl/>
          <w:lang w:val="en-US"/>
        </w:rPr>
        <w:t>العنصري في العمالة، ومنع حالات العمل القسري للشعوب الأصلية والتحقيق فيها، ومقاضاة المسؤولين عنها؛</w:t>
      </w:r>
    </w:p>
    <w:p w14:paraId="284F932C" w14:textId="5F4FCD5C" w:rsidR="000B0C31" w:rsidRPr="00670A39" w:rsidRDefault="000B0C31" w:rsidP="00895D86">
      <w:pPr>
        <w:pStyle w:val="SingleTxtGA"/>
        <w:spacing w:line="350" w:lineRule="exact"/>
        <w:rPr>
          <w:b/>
          <w:bCs/>
          <w:lang w:val="en-US"/>
        </w:rPr>
      </w:pPr>
      <w:r>
        <w:rPr>
          <w:rtl/>
          <w:lang w:val="en-US"/>
        </w:rPr>
        <w:tab/>
      </w:r>
      <w:r w:rsidRPr="000B0C31">
        <w:rPr>
          <w:rtl/>
          <w:lang w:val="en-US"/>
        </w:rPr>
        <w:t>(ج)</w:t>
      </w:r>
      <w:r w:rsidRPr="000B0C31">
        <w:rPr>
          <w:rtl/>
          <w:lang w:val="en-US"/>
        </w:rPr>
        <w:tab/>
      </w:r>
      <w:r w:rsidRPr="00670A39">
        <w:rPr>
          <w:b/>
          <w:bCs/>
          <w:rtl/>
          <w:lang w:val="en-US"/>
        </w:rPr>
        <w:t xml:space="preserve">اعتماد تدابير لضمان توافر خدمات التعليم والرعاية الصحية لجميع المجموعات الإثنية والشعوب الأصلية وإمكانية الوصول إليها على قدم المساواة، بما في ذلك عن طريق تعزيز الهياكل الأساسية للمرافق القائمة وزيادة توافر المدارس ومرافق الرعاية الصحية، ولا سيما في المناطق المتأثرة بالعنف والمناطق النائية؛ </w:t>
      </w:r>
    </w:p>
    <w:p w14:paraId="0FCDCEF0" w14:textId="1386366A" w:rsidR="000B0C31" w:rsidRPr="00670A39" w:rsidRDefault="000B0C31" w:rsidP="00895D86">
      <w:pPr>
        <w:pStyle w:val="SingleTxtGA"/>
        <w:spacing w:line="350" w:lineRule="exact"/>
        <w:rPr>
          <w:b/>
          <w:bCs/>
          <w:lang w:val="en-US"/>
        </w:rPr>
      </w:pPr>
      <w:r>
        <w:rPr>
          <w:rtl/>
          <w:lang w:val="en-US"/>
        </w:rPr>
        <w:tab/>
      </w:r>
      <w:r w:rsidRPr="000B0C31">
        <w:rPr>
          <w:rtl/>
          <w:lang w:val="en-US"/>
        </w:rPr>
        <w:t>(د)</w:t>
      </w:r>
      <w:r w:rsidRPr="000B0C31">
        <w:rPr>
          <w:rtl/>
          <w:lang w:val="en-US"/>
        </w:rPr>
        <w:tab/>
      </w:r>
      <w:r w:rsidRPr="00670A39">
        <w:rPr>
          <w:b/>
          <w:bCs/>
          <w:rtl/>
          <w:lang w:val="en-US"/>
        </w:rPr>
        <w:t xml:space="preserve">تعزيز جهودها الرامية إلى تكييف النظام التعليمي مع ثقافات الشعوب الأصلية والجماعات الإثنية والتشديد على التبادل بين الثقافات والأعراق. </w:t>
      </w:r>
    </w:p>
    <w:p w14:paraId="65887965" w14:textId="77777777" w:rsidR="000B0C31" w:rsidRPr="00670A39" w:rsidRDefault="000B0C31" w:rsidP="000B0C31">
      <w:pPr>
        <w:pStyle w:val="H23GA"/>
      </w:pPr>
      <w:r w:rsidRPr="00670A39">
        <w:rPr>
          <w:rtl/>
        </w:rPr>
        <w:tab/>
      </w:r>
      <w:r w:rsidRPr="00670A39">
        <w:rPr>
          <w:rtl/>
        </w:rPr>
        <w:tab/>
        <w:t>الحقوق المتعلقة بالأراضي</w:t>
      </w:r>
    </w:p>
    <w:p w14:paraId="3FA5F7F9" w14:textId="5901C099" w:rsidR="000B0C31" w:rsidRPr="00D5311C" w:rsidRDefault="000B0C31" w:rsidP="00895D86">
      <w:pPr>
        <w:pStyle w:val="SingleTxtGA"/>
        <w:spacing w:line="350" w:lineRule="exact"/>
        <w:rPr>
          <w:spacing w:val="-4"/>
          <w:lang w:val="en-US"/>
        </w:rPr>
      </w:pPr>
      <w:r w:rsidRPr="00670A39">
        <w:rPr>
          <w:spacing w:val="-4"/>
          <w:rtl/>
          <w:lang w:val="en-US"/>
        </w:rPr>
        <w:t>26</w:t>
      </w:r>
      <w:r w:rsidRPr="00D5311C">
        <w:rPr>
          <w:spacing w:val="-4"/>
          <w:rtl/>
          <w:lang w:val="en-US"/>
        </w:rPr>
        <w:t>-</w:t>
      </w:r>
      <w:r w:rsidRPr="00D5311C">
        <w:rPr>
          <w:spacing w:val="-4"/>
          <w:rtl/>
          <w:lang w:val="en-US"/>
        </w:rPr>
        <w:tab/>
        <w:t>بينما تحيط اللجنة</w:t>
      </w:r>
      <w:r w:rsidR="00FB7A57" w:rsidRPr="00D5311C">
        <w:rPr>
          <w:spacing w:val="-4"/>
          <w:rtl/>
          <w:lang w:val="en-US"/>
        </w:rPr>
        <w:t xml:space="preserve"> علماً </w:t>
      </w:r>
      <w:r w:rsidRPr="00D5311C">
        <w:rPr>
          <w:spacing w:val="-4"/>
          <w:rtl/>
          <w:lang w:val="en-US"/>
        </w:rPr>
        <w:t>بالمعلومات التي قدمتها الدولة الطرف عن عملية إصلاح إطار ملكية الأراضي، فإنها لا تزال تشعر بالقلق إزاء عدم كفاية الإطار التشريعي المتعلق بملكية الأراضي والتعويضات ذات الصلة، الذي لا يأخذ في الحسبان تقاليد الشعوب الأصلية وعاداتها ونظم حيازتها للأراضي أو أساليب حياتها، لا سيما وأنه يجعل الاعتراف بملكية الأراضي والتعويض مشروط</w:t>
      </w:r>
      <w:r w:rsidR="00FB7A57" w:rsidRPr="00D5311C">
        <w:rPr>
          <w:spacing w:val="-4"/>
          <w:rtl/>
          <w:lang w:val="en-US"/>
        </w:rPr>
        <w:t xml:space="preserve">اً </w:t>
      </w:r>
      <w:r w:rsidRPr="00D5311C">
        <w:rPr>
          <w:spacing w:val="-4"/>
          <w:rtl/>
          <w:lang w:val="en-US"/>
        </w:rPr>
        <w:t>بتنمية الأراضي. وتشعر اللجنة بالقلق</w:t>
      </w:r>
      <w:r w:rsidR="00FB7A57" w:rsidRPr="00D5311C">
        <w:rPr>
          <w:spacing w:val="-4"/>
          <w:rtl/>
          <w:lang w:val="en-US"/>
        </w:rPr>
        <w:t xml:space="preserve"> أيضاً </w:t>
      </w:r>
      <w:r w:rsidRPr="00D5311C">
        <w:rPr>
          <w:spacing w:val="-4"/>
          <w:rtl/>
          <w:lang w:val="en-US"/>
        </w:rPr>
        <w:t xml:space="preserve">إزاء التقارير التي تفيد بأن السلطات لا تستشير الشعوب الأصلية قصد الحصول على موافقتها الحرة والمسبقة والمستنيرة قبل تنفيذ مشاريع إنمائية على أراضيها وأقاليمها (المادة </w:t>
      </w:r>
      <w:r w:rsidR="00702CCC" w:rsidRPr="00670A39">
        <w:rPr>
          <w:color w:val="000000"/>
          <w:spacing w:val="-4"/>
          <w:rtl/>
          <w:lang w:val="en-US"/>
        </w:rPr>
        <w:t>5</w:t>
      </w:r>
      <w:r w:rsidR="00702CCC" w:rsidRPr="00D5311C">
        <w:rPr>
          <w:color w:val="000000"/>
          <w:spacing w:val="-4"/>
          <w:rtl/>
          <w:lang w:val="en-US"/>
        </w:rPr>
        <w:t xml:space="preserve">). </w:t>
      </w:r>
    </w:p>
    <w:p w14:paraId="5D26F4F4" w14:textId="63216203" w:rsidR="000B0C31" w:rsidRPr="00670A39" w:rsidRDefault="000B0C31" w:rsidP="000B0C31">
      <w:pPr>
        <w:pStyle w:val="SingleTxtGA"/>
        <w:rPr>
          <w:b/>
          <w:bCs/>
          <w:lang w:val="en-US"/>
        </w:rPr>
      </w:pPr>
      <w:r w:rsidRPr="00670A39">
        <w:rPr>
          <w:rtl/>
          <w:lang w:val="en-US"/>
        </w:rPr>
        <w:lastRenderedPageBreak/>
        <w:t>27</w:t>
      </w:r>
      <w:r w:rsidRPr="000B0C31">
        <w:rPr>
          <w:rtl/>
          <w:lang w:val="en-US"/>
        </w:rPr>
        <w:t>-</w:t>
      </w:r>
      <w:r w:rsidRPr="000B0C31">
        <w:rPr>
          <w:rtl/>
          <w:lang w:val="en-US"/>
        </w:rPr>
        <w:tab/>
      </w:r>
      <w:r w:rsidRPr="00670A39">
        <w:rPr>
          <w:b/>
          <w:bCs/>
          <w:rtl/>
          <w:lang w:val="en-US"/>
        </w:rPr>
        <w:t>إذ تشير اللجنة إلى التوصية ذات الصلة الواردة في ملاحظاتها الختامية السابقة</w:t>
      </w:r>
      <w:r w:rsidR="00702CCC">
        <w:rPr>
          <w:rStyle w:val="FootnoteReference"/>
          <w:szCs w:val="22"/>
          <w:rtl/>
          <w:lang w:val="en-US"/>
        </w:rPr>
        <w:t>(</w:t>
      </w:r>
      <w:r w:rsidR="00702CCC" w:rsidRPr="00670A39">
        <w:rPr>
          <w:rStyle w:val="FootnoteReference"/>
          <w:szCs w:val="22"/>
          <w:lang w:val="en-US"/>
        </w:rPr>
        <w:footnoteReference w:id="7"/>
      </w:r>
      <w:r w:rsidR="00702CCC" w:rsidRPr="00702CCC">
        <w:rPr>
          <w:vertAlign w:val="superscript"/>
          <w:rtl/>
          <w:lang w:val="en-US"/>
        </w:rPr>
        <w:t>)</w:t>
      </w:r>
      <w:r w:rsidRPr="00670A39">
        <w:rPr>
          <w:b/>
          <w:bCs/>
          <w:rtl/>
          <w:lang w:val="en-US"/>
        </w:rPr>
        <w:t xml:space="preserve"> </w:t>
      </w:r>
      <w:r w:rsidRPr="00670A39">
        <w:rPr>
          <w:b/>
          <w:bCs/>
          <w:rtl/>
          <w:lang w:val="en-US"/>
        </w:rPr>
        <w:t>وإعلان الأمم المتحدة بشأن حقوق الشعوب الأصلية، توصي الدولة الطرف بما يلي:</w:t>
      </w:r>
    </w:p>
    <w:p w14:paraId="3A902B41" w14:textId="1EE23AE1" w:rsidR="000B0C31" w:rsidRPr="00670A39" w:rsidRDefault="000B0C31" w:rsidP="000B0C31">
      <w:pPr>
        <w:pStyle w:val="SingleTxtGA"/>
        <w:rPr>
          <w:b/>
          <w:bCs/>
          <w:lang w:val="en-US"/>
        </w:rPr>
      </w:pPr>
      <w:r>
        <w:rPr>
          <w:rtl/>
          <w:lang w:val="en-US"/>
        </w:rPr>
        <w:tab/>
      </w:r>
      <w:r w:rsidRPr="000B0C31">
        <w:rPr>
          <w:rtl/>
          <w:lang w:val="en-US"/>
        </w:rPr>
        <w:t>(أ)</w:t>
      </w:r>
      <w:r w:rsidRPr="000B0C31">
        <w:rPr>
          <w:rtl/>
          <w:lang w:val="en-US"/>
        </w:rPr>
        <w:tab/>
      </w:r>
      <w:r w:rsidRPr="00670A39">
        <w:rPr>
          <w:b/>
          <w:bCs/>
          <w:rtl/>
          <w:lang w:val="en-US"/>
        </w:rPr>
        <w:t xml:space="preserve">التعجيل باستعراض الإطار التشريعي لملكية الأراضي، بما في ذلك المراسيم الصادرة في عام 1974، وقانون الغابات لعام 1994، وقانون عام 2016 المحدِث لقانون التعدين، لضمان حماية حق الشعوب الأصلية في امتلاك أراضيها وأقاليمها ومواردها واستخدامها وتنميتها والتحكم فيها، مع ضمان مشاركتها الفعالة والهادفة في عملية الاستعراض؛ </w:t>
      </w:r>
    </w:p>
    <w:p w14:paraId="47D824B2" w14:textId="67F99052" w:rsidR="000B0C31" w:rsidRPr="00670A39" w:rsidRDefault="000B0C31" w:rsidP="000B0C31">
      <w:pPr>
        <w:pStyle w:val="SingleTxtGA"/>
        <w:rPr>
          <w:b/>
          <w:bCs/>
          <w:lang w:val="en-US"/>
        </w:rPr>
      </w:pPr>
      <w:r>
        <w:rPr>
          <w:rtl/>
          <w:lang w:val="en-US"/>
        </w:rPr>
        <w:tab/>
      </w:r>
      <w:r w:rsidRPr="000B0C31">
        <w:rPr>
          <w:rtl/>
          <w:lang w:val="en-US"/>
        </w:rPr>
        <w:t>(ب)</w:t>
      </w:r>
      <w:r w:rsidRPr="000B0C31">
        <w:rPr>
          <w:rtl/>
          <w:lang w:val="en-US"/>
        </w:rPr>
        <w:tab/>
      </w:r>
      <w:r w:rsidRPr="00670A39">
        <w:rPr>
          <w:b/>
          <w:bCs/>
          <w:rtl/>
          <w:lang w:val="en-US"/>
        </w:rPr>
        <w:t xml:space="preserve">اعتماد تدابير لضمان التشاور مع الشعوب الأصلية بشأن أي مشاريع أو تدابير تشريعية أو إدارية قد تؤثر على أراضيها وأقاليمها ومواردها وبغية الحصول على موافقتها الحرة والمسبقة والمستنيرة؛ </w:t>
      </w:r>
    </w:p>
    <w:p w14:paraId="4A049076" w14:textId="3746E38F" w:rsidR="000B0C31" w:rsidRPr="00670A39" w:rsidRDefault="000B0C31" w:rsidP="000B0C31">
      <w:pPr>
        <w:pStyle w:val="SingleTxtGA"/>
        <w:rPr>
          <w:b/>
          <w:bCs/>
          <w:lang w:val="en-US"/>
        </w:rPr>
      </w:pPr>
      <w:r>
        <w:rPr>
          <w:rtl/>
          <w:lang w:val="en-US"/>
        </w:rPr>
        <w:tab/>
      </w:r>
      <w:r w:rsidRPr="000B0C31">
        <w:rPr>
          <w:rtl/>
          <w:lang w:val="en-US"/>
        </w:rPr>
        <w:t>(ج)</w:t>
      </w:r>
      <w:r w:rsidRPr="000B0C31">
        <w:rPr>
          <w:rtl/>
          <w:lang w:val="en-US"/>
        </w:rPr>
        <w:tab/>
      </w:r>
      <w:r w:rsidRPr="00670A39">
        <w:rPr>
          <w:b/>
          <w:bCs/>
          <w:rtl/>
          <w:lang w:val="en-US"/>
        </w:rPr>
        <w:t>اتخاذ تدابير لضمان وصول الشعوب الأصلية إلى سبل انتصاف فعالة ومنحها تعويضاً عادلاً ومنصفاً عن الأراضي والأقاليم والموارد التي كانت تمتلكها أو تستخدمها تقليدي</w:t>
      </w:r>
      <w:r w:rsidR="00FB7A57" w:rsidRPr="00670A39">
        <w:rPr>
          <w:b/>
          <w:bCs/>
          <w:rtl/>
          <w:lang w:val="en-US"/>
        </w:rPr>
        <w:t xml:space="preserve">اً </w:t>
      </w:r>
      <w:r w:rsidRPr="00670A39">
        <w:rPr>
          <w:b/>
          <w:bCs/>
          <w:rtl/>
          <w:lang w:val="en-US"/>
        </w:rPr>
        <w:t xml:space="preserve">والتي صودِرت أو احتُلت أو استُخدمت دون موافقتها الحرة والمسبقة والمستنيرة أو تعرضت للضرر؛ </w:t>
      </w:r>
    </w:p>
    <w:p w14:paraId="2C26E9DE" w14:textId="0155F22E" w:rsidR="000B0C31" w:rsidRPr="00670A39" w:rsidRDefault="000B0C31" w:rsidP="000B0C31">
      <w:pPr>
        <w:pStyle w:val="SingleTxtGA"/>
        <w:rPr>
          <w:b/>
          <w:bCs/>
          <w:lang w:val="en-US"/>
        </w:rPr>
      </w:pPr>
      <w:r>
        <w:rPr>
          <w:rtl/>
          <w:lang w:val="en-US"/>
        </w:rPr>
        <w:tab/>
      </w:r>
      <w:r w:rsidRPr="000B0C31">
        <w:rPr>
          <w:rtl/>
          <w:lang w:val="en-US"/>
        </w:rPr>
        <w:t>(د)</w:t>
      </w:r>
      <w:r w:rsidRPr="000B0C31">
        <w:rPr>
          <w:rtl/>
          <w:lang w:val="en-US"/>
        </w:rPr>
        <w:tab/>
      </w:r>
      <w:r w:rsidRPr="00670A39">
        <w:rPr>
          <w:b/>
          <w:bCs/>
          <w:rtl/>
          <w:lang w:val="en-US"/>
        </w:rPr>
        <w:t xml:space="preserve">اعتماد تدابير لضمان توافر مكاتب إدارة الأراضي وإمكانية وصول الشعوب الأصلية إليها، وضمان احترام الإطار الإجرائي القانوني لتسجيل الأراضي لعادات الشعوب الأصلية وتقاليدها ونظم حيازتها للأراضي، دون تمييز؛ </w:t>
      </w:r>
    </w:p>
    <w:p w14:paraId="6BE6ABCF" w14:textId="59388961" w:rsidR="000B0C31" w:rsidRPr="00670A39" w:rsidRDefault="000B0C31" w:rsidP="000B0C31">
      <w:pPr>
        <w:pStyle w:val="SingleTxtGA"/>
        <w:rPr>
          <w:b/>
          <w:bCs/>
          <w:lang w:val="en-US"/>
        </w:rPr>
      </w:pPr>
      <w:r>
        <w:rPr>
          <w:rtl/>
          <w:lang w:val="en-US"/>
        </w:rPr>
        <w:tab/>
      </w:r>
      <w:r w:rsidRPr="000B0C31">
        <w:rPr>
          <w:rtl/>
          <w:lang w:val="en-US"/>
        </w:rPr>
        <w:t>(هـ)</w:t>
      </w:r>
      <w:r w:rsidRPr="000B0C31">
        <w:rPr>
          <w:rtl/>
          <w:lang w:val="en-US"/>
        </w:rPr>
        <w:tab/>
      </w:r>
      <w:r w:rsidRPr="00670A39">
        <w:rPr>
          <w:b/>
          <w:bCs/>
          <w:rtl/>
          <w:lang w:val="en-US"/>
        </w:rPr>
        <w:t xml:space="preserve">اعتماد تدابير للتخفيف من أثر تغير المناخ على أراضي الشعوب الأصلية وأقاليمها ومواردها بغية حماية عاداتها وأساليب حياتها التقليدية، مع منع نشوب النزاعات بين الطوائف. </w:t>
      </w:r>
    </w:p>
    <w:p w14:paraId="0B5A0CF4" w14:textId="77777777" w:rsidR="000B0C31" w:rsidRPr="00670A39" w:rsidRDefault="000B0C31" w:rsidP="000B0C31">
      <w:pPr>
        <w:pStyle w:val="H23GA"/>
      </w:pPr>
      <w:r w:rsidRPr="00670A39">
        <w:rPr>
          <w:rtl/>
        </w:rPr>
        <w:tab/>
      </w:r>
      <w:r w:rsidRPr="00670A39">
        <w:rPr>
          <w:rtl/>
        </w:rPr>
        <w:tab/>
        <w:t>المشردون داخلياً.</w:t>
      </w:r>
    </w:p>
    <w:p w14:paraId="18AF9DB9" w14:textId="4F9E5D46" w:rsidR="000B0C31" w:rsidRPr="000B0C31" w:rsidRDefault="000B0C31" w:rsidP="000B0C31">
      <w:pPr>
        <w:pStyle w:val="SingleTxtGA"/>
        <w:rPr>
          <w:lang w:val="en-US"/>
        </w:rPr>
      </w:pPr>
      <w:r w:rsidRPr="00670A39">
        <w:rPr>
          <w:rtl/>
          <w:lang w:val="en-US"/>
        </w:rPr>
        <w:t>28</w:t>
      </w:r>
      <w:r w:rsidRPr="000B0C31">
        <w:rPr>
          <w:rtl/>
          <w:lang w:val="en-US"/>
        </w:rPr>
        <w:t>-</w:t>
      </w:r>
      <w:r w:rsidRPr="000B0C31">
        <w:rPr>
          <w:rtl/>
          <w:lang w:val="en-US"/>
        </w:rPr>
        <w:tab/>
        <w:t>يساور اللجنة القلق إزاء ارتفاع عدد المشردين داخلي</w:t>
      </w:r>
      <w:r w:rsidR="00FB7A57">
        <w:rPr>
          <w:rtl/>
          <w:lang w:val="en-US"/>
        </w:rPr>
        <w:t xml:space="preserve">اً </w:t>
      </w:r>
      <w:r w:rsidRPr="000B0C31">
        <w:rPr>
          <w:rtl/>
          <w:lang w:val="en-US"/>
        </w:rPr>
        <w:t>في الدولة الطرف من الأقليات الإثنية والإثنية</w:t>
      </w:r>
      <w:r w:rsidR="00FB7A57">
        <w:rPr>
          <w:rFonts w:hint="cs"/>
          <w:rtl/>
          <w:lang w:val="en-US"/>
        </w:rPr>
        <w:t xml:space="preserve"> </w:t>
      </w:r>
      <w:r w:rsidRPr="000B0C31">
        <w:rPr>
          <w:rtl/>
          <w:lang w:val="en-US"/>
        </w:rPr>
        <w:t>-</w:t>
      </w:r>
      <w:r w:rsidR="00FB7A57">
        <w:rPr>
          <w:rFonts w:hint="cs"/>
          <w:rtl/>
          <w:lang w:val="en-US"/>
        </w:rPr>
        <w:t xml:space="preserve"> </w:t>
      </w:r>
      <w:r w:rsidRPr="000B0C31">
        <w:rPr>
          <w:rtl/>
          <w:lang w:val="en-US"/>
        </w:rPr>
        <w:t>اللغوية والإثنية</w:t>
      </w:r>
      <w:r w:rsidR="00FB7A57">
        <w:rPr>
          <w:rFonts w:hint="cs"/>
          <w:rtl/>
          <w:lang w:val="en-US"/>
        </w:rPr>
        <w:t xml:space="preserve"> </w:t>
      </w:r>
      <w:r w:rsidRPr="000B0C31">
        <w:rPr>
          <w:rtl/>
          <w:lang w:val="en-US"/>
        </w:rPr>
        <w:t>-</w:t>
      </w:r>
      <w:r w:rsidR="00FB7A57">
        <w:rPr>
          <w:rFonts w:hint="cs"/>
          <w:rtl/>
          <w:lang w:val="en-US"/>
        </w:rPr>
        <w:t xml:space="preserve"> </w:t>
      </w:r>
      <w:r w:rsidRPr="000B0C31">
        <w:rPr>
          <w:rtl/>
          <w:lang w:val="en-US"/>
        </w:rPr>
        <w:t>الدينية والشعوب الأصلية الفارين من المناطق المتضررة من العنف، والذين ما زالوا مشردين ويواجهون عقبات في الحصول على الخدمات العامة مثل خدمات الرعاية الصحية والتعليم، ولا سيما أولئك الذين فقدوا وثائق هويتهم أو لم يتمكنوا من الوصول إلى نظام تسجيل المواليد. ويساور اللجنة القلق</w:t>
      </w:r>
      <w:r w:rsidR="00FB7A57">
        <w:rPr>
          <w:rtl/>
          <w:lang w:val="en-US"/>
        </w:rPr>
        <w:t xml:space="preserve"> أيضاً </w:t>
      </w:r>
      <w:r w:rsidRPr="000B0C31">
        <w:rPr>
          <w:rtl/>
          <w:lang w:val="en-US"/>
        </w:rPr>
        <w:t xml:space="preserve">إزاء التقارير التي تفيد بأن الأطفال الذين لا يحملون شهادة ميلاد لا يمكنهم الالتحاق بالنظام المدرسي الرسمي، ولا سيما نظام الامتحانات الرسمي (المادة </w:t>
      </w:r>
      <w:r w:rsidR="00702CCC" w:rsidRPr="00670A39">
        <w:rPr>
          <w:color w:val="000000"/>
          <w:rtl/>
          <w:lang w:val="en-US"/>
        </w:rPr>
        <w:t>5</w:t>
      </w:r>
      <w:r w:rsidR="00702CCC" w:rsidRPr="00702CCC">
        <w:rPr>
          <w:color w:val="000000"/>
          <w:rtl/>
          <w:lang w:val="en-US"/>
        </w:rPr>
        <w:t xml:space="preserve">). </w:t>
      </w:r>
    </w:p>
    <w:p w14:paraId="244274B6" w14:textId="096D2046" w:rsidR="000B0C31" w:rsidRPr="00670A39" w:rsidRDefault="000B0C31" w:rsidP="000B0C31">
      <w:pPr>
        <w:pStyle w:val="SingleTxtGA"/>
        <w:rPr>
          <w:b/>
          <w:bCs/>
          <w:lang w:val="en-US"/>
        </w:rPr>
      </w:pPr>
      <w:r w:rsidRPr="00670A39">
        <w:rPr>
          <w:rtl/>
          <w:lang w:val="en-US"/>
        </w:rPr>
        <w:t>29</w:t>
      </w:r>
      <w:r w:rsidRPr="000B0C31">
        <w:rPr>
          <w:rtl/>
          <w:lang w:val="en-US"/>
        </w:rPr>
        <w:t>-</w:t>
      </w:r>
      <w:r w:rsidRPr="000B0C31">
        <w:rPr>
          <w:rtl/>
          <w:lang w:val="en-US"/>
        </w:rPr>
        <w:tab/>
      </w:r>
      <w:r w:rsidRPr="00670A39">
        <w:rPr>
          <w:b/>
          <w:bCs/>
          <w:rtl/>
          <w:lang w:val="en-US"/>
        </w:rPr>
        <w:t xml:space="preserve">توصي اللجنة الدولة الطرف بما يلي: </w:t>
      </w:r>
    </w:p>
    <w:p w14:paraId="24842DEE" w14:textId="1B63C4F3" w:rsidR="000B0C31" w:rsidRPr="00670A39" w:rsidRDefault="000B0C31" w:rsidP="000B0C31">
      <w:pPr>
        <w:pStyle w:val="SingleTxtGA"/>
        <w:rPr>
          <w:b/>
          <w:bCs/>
          <w:lang w:val="en-US"/>
        </w:rPr>
      </w:pPr>
      <w:r>
        <w:rPr>
          <w:rtl/>
          <w:lang w:val="en-US"/>
        </w:rPr>
        <w:tab/>
      </w:r>
      <w:r>
        <w:rPr>
          <w:rFonts w:hint="cs"/>
          <w:rtl/>
          <w:lang w:val="en-US"/>
        </w:rPr>
        <w:t>(أ)</w:t>
      </w:r>
      <w:r w:rsidRPr="000B0C31">
        <w:rPr>
          <w:rtl/>
          <w:lang w:val="en-US"/>
        </w:rPr>
        <w:tab/>
      </w:r>
      <w:r w:rsidRPr="00670A39">
        <w:rPr>
          <w:b/>
          <w:bCs/>
          <w:rtl/>
          <w:lang w:val="en-US"/>
        </w:rPr>
        <w:t>وضع واعتماد أطر سياسية وقانونية بشأن حماية المشردين داخلي</w:t>
      </w:r>
      <w:r w:rsidR="00FB7A57" w:rsidRPr="00670A39">
        <w:rPr>
          <w:b/>
          <w:bCs/>
          <w:rtl/>
          <w:lang w:val="en-US"/>
        </w:rPr>
        <w:t xml:space="preserve">اً </w:t>
      </w:r>
      <w:r w:rsidRPr="00670A39">
        <w:rPr>
          <w:b/>
          <w:bCs/>
          <w:rtl/>
          <w:lang w:val="en-US"/>
        </w:rPr>
        <w:t>لضمان حصولهم على الخدمات العامة، بما في ذلك خدمات الرعاية الصحية والسكن اللائق والتعليم، وإنشاء آلية وطنية تُعنى بمنع التشرد الداخلي والحماية منه؛</w:t>
      </w:r>
    </w:p>
    <w:p w14:paraId="7DE2C5B2" w14:textId="2EFB80E3" w:rsidR="000B0C31" w:rsidRPr="00670A39" w:rsidRDefault="000B0C31" w:rsidP="000B0C31">
      <w:pPr>
        <w:pStyle w:val="SingleTxtGA"/>
        <w:rPr>
          <w:b/>
          <w:bCs/>
          <w:lang w:val="en-US"/>
        </w:rPr>
      </w:pPr>
      <w:r>
        <w:rPr>
          <w:rtl/>
          <w:lang w:val="en-US"/>
        </w:rPr>
        <w:tab/>
      </w:r>
      <w:r w:rsidRPr="000B0C31">
        <w:rPr>
          <w:rtl/>
          <w:lang w:val="en-US"/>
        </w:rPr>
        <w:t>(ب)</w:t>
      </w:r>
      <w:r w:rsidRPr="000B0C31">
        <w:rPr>
          <w:rtl/>
          <w:lang w:val="en-US"/>
        </w:rPr>
        <w:tab/>
      </w:r>
      <w:r w:rsidRPr="00670A39">
        <w:rPr>
          <w:b/>
          <w:bCs/>
          <w:rtl/>
          <w:lang w:val="en-US"/>
        </w:rPr>
        <w:t>اعتماد تدابير لتيسير تسجيل المشردين داخلي</w:t>
      </w:r>
      <w:r w:rsidR="00FB7A57" w:rsidRPr="00670A39">
        <w:rPr>
          <w:b/>
          <w:bCs/>
          <w:rtl/>
          <w:lang w:val="en-US"/>
        </w:rPr>
        <w:t xml:space="preserve">اً </w:t>
      </w:r>
      <w:r w:rsidRPr="00670A39">
        <w:rPr>
          <w:b/>
          <w:bCs/>
          <w:rtl/>
          <w:lang w:val="en-US"/>
        </w:rPr>
        <w:t>ومساعدتهم في الحصول على الوثائق الرسمية؛</w:t>
      </w:r>
    </w:p>
    <w:p w14:paraId="7FC72D61" w14:textId="7C591E10" w:rsidR="000B0C31" w:rsidRPr="00670A39" w:rsidRDefault="000B0C31" w:rsidP="000B0C31">
      <w:pPr>
        <w:pStyle w:val="SingleTxtGA"/>
        <w:rPr>
          <w:b/>
          <w:bCs/>
          <w:lang w:val="en-US"/>
        </w:rPr>
      </w:pPr>
      <w:r>
        <w:rPr>
          <w:rtl/>
          <w:lang w:val="en-US"/>
        </w:rPr>
        <w:tab/>
      </w:r>
      <w:r w:rsidRPr="000B0C31">
        <w:rPr>
          <w:rtl/>
          <w:lang w:val="en-US"/>
        </w:rPr>
        <w:t>(ج)</w:t>
      </w:r>
      <w:r w:rsidRPr="000B0C31">
        <w:rPr>
          <w:rtl/>
          <w:lang w:val="en-US"/>
        </w:rPr>
        <w:tab/>
      </w:r>
      <w:r w:rsidRPr="00670A39">
        <w:rPr>
          <w:b/>
          <w:bCs/>
          <w:rtl/>
          <w:lang w:val="en-US"/>
        </w:rPr>
        <w:t>النظر في إلغاء شرط تقديم شهادة ميلاد من أجل تسجيل الأطفال المشردين داخلي</w:t>
      </w:r>
      <w:r w:rsidR="00FB7A57" w:rsidRPr="00670A39">
        <w:rPr>
          <w:b/>
          <w:bCs/>
          <w:rtl/>
          <w:lang w:val="en-US"/>
        </w:rPr>
        <w:t xml:space="preserve">اً </w:t>
      </w:r>
      <w:r w:rsidRPr="00670A39">
        <w:rPr>
          <w:b/>
          <w:bCs/>
          <w:rtl/>
          <w:lang w:val="en-US"/>
        </w:rPr>
        <w:t>في النظاميْن الرسمييْن للتعليم والامتحانات.</w:t>
      </w:r>
    </w:p>
    <w:p w14:paraId="1724DBDA" w14:textId="77777777" w:rsidR="000B0C31" w:rsidRPr="00670A39" w:rsidRDefault="000B0C31" w:rsidP="000B0C31">
      <w:pPr>
        <w:pStyle w:val="H23GA"/>
      </w:pPr>
      <w:r w:rsidRPr="00670A39">
        <w:rPr>
          <w:rtl/>
        </w:rPr>
        <w:lastRenderedPageBreak/>
        <w:tab/>
      </w:r>
      <w:r w:rsidRPr="00670A39">
        <w:rPr>
          <w:rtl/>
        </w:rPr>
        <w:tab/>
        <w:t>تسجيل المواليد ووثائق الهوية</w:t>
      </w:r>
    </w:p>
    <w:p w14:paraId="7C12E62D" w14:textId="563D805E" w:rsidR="000B0C31" w:rsidRPr="000B0C31" w:rsidRDefault="000B0C31" w:rsidP="00895D86">
      <w:pPr>
        <w:pStyle w:val="SingleTxtGA"/>
        <w:spacing w:line="346" w:lineRule="exact"/>
        <w:rPr>
          <w:lang w:val="en-US"/>
        </w:rPr>
      </w:pPr>
      <w:r w:rsidRPr="00670A39">
        <w:rPr>
          <w:rtl/>
          <w:lang w:val="en-US"/>
        </w:rPr>
        <w:t>30</w:t>
      </w:r>
      <w:r w:rsidRPr="000B0C31">
        <w:rPr>
          <w:rtl/>
          <w:lang w:val="en-US"/>
        </w:rPr>
        <w:t>-</w:t>
      </w:r>
      <w:r w:rsidRPr="000B0C31">
        <w:rPr>
          <w:rtl/>
          <w:lang w:val="en-US"/>
        </w:rPr>
        <w:tab/>
        <w:t>تحيط اللجنة</w:t>
      </w:r>
      <w:r w:rsidR="00FB7A57">
        <w:rPr>
          <w:rtl/>
          <w:lang w:val="en-US"/>
        </w:rPr>
        <w:t xml:space="preserve"> علماً </w:t>
      </w:r>
      <w:r w:rsidRPr="000B0C31">
        <w:rPr>
          <w:rtl/>
          <w:lang w:val="en-US"/>
        </w:rPr>
        <w:t>بالمعلومات التي قدمتها الدولة الطرف بشأن التدابير المتخذة لتشجيع تسجيل المواليد وزيادة توافر وثائق الهوية، بما في ذلك في إطار برنامج إصلاح نظام الحالة المدنية. ومع ذلك، يساور اللجنة القلق إزاء التقارير التي تفيد بارتفاع عدد الأطفال الذين لا يحملون شهادات ميلاد والأشخاص الذين لا يحملون وثائق هوية، فضل</w:t>
      </w:r>
      <w:r w:rsidR="00FB7A57">
        <w:rPr>
          <w:rtl/>
          <w:lang w:val="en-US"/>
        </w:rPr>
        <w:t xml:space="preserve">اً </w:t>
      </w:r>
      <w:r w:rsidRPr="000B0C31">
        <w:rPr>
          <w:rtl/>
          <w:lang w:val="en-US"/>
        </w:rPr>
        <w:t>عن أوجه القصور في إدارة نظام السجل المدني، بما في ذلك الفساد وارتفاع التكاليف والإجراءات المعقدة للحصول على هذه الوثائق. ويساور اللجنة القلق</w:t>
      </w:r>
      <w:r w:rsidR="00FB7A57">
        <w:rPr>
          <w:rtl/>
          <w:lang w:val="en-US"/>
        </w:rPr>
        <w:t xml:space="preserve"> أيضاً </w:t>
      </w:r>
      <w:r w:rsidRPr="000B0C31">
        <w:rPr>
          <w:rtl/>
          <w:lang w:val="en-US"/>
        </w:rPr>
        <w:t>لأن العديد من المشردين داخلي</w:t>
      </w:r>
      <w:r w:rsidR="00FB7A57">
        <w:rPr>
          <w:rtl/>
          <w:lang w:val="en-US"/>
        </w:rPr>
        <w:t xml:space="preserve">اً </w:t>
      </w:r>
      <w:r w:rsidRPr="000B0C31">
        <w:rPr>
          <w:rtl/>
          <w:lang w:val="en-US"/>
        </w:rPr>
        <w:t>يواجهون خطر انعدام الجنسية، لأنهم فقدوا وثائق هويتهم ولا يستطيعون الحصول على وثائق هوية جديدة بسبب الإجراءات والمتطلبات المعقدة، مما يؤدي</w:t>
      </w:r>
      <w:r w:rsidR="00FB7A57">
        <w:rPr>
          <w:rtl/>
          <w:lang w:val="en-US"/>
        </w:rPr>
        <w:t xml:space="preserve"> أيضاً </w:t>
      </w:r>
      <w:r w:rsidRPr="000B0C31">
        <w:rPr>
          <w:rtl/>
          <w:lang w:val="en-US"/>
        </w:rPr>
        <w:t xml:space="preserve">إلى التمييز في الحصول على العمل والتعليم والرعاية الصحية وغيرها من الخدمات الأساسية (المادة </w:t>
      </w:r>
      <w:r w:rsidR="00702CCC" w:rsidRPr="00670A39">
        <w:rPr>
          <w:color w:val="000000"/>
          <w:rtl/>
          <w:lang w:val="en-US"/>
        </w:rPr>
        <w:t>5</w:t>
      </w:r>
      <w:r w:rsidR="00702CCC" w:rsidRPr="00702CCC">
        <w:rPr>
          <w:color w:val="000000"/>
          <w:rtl/>
          <w:lang w:val="en-US"/>
        </w:rPr>
        <w:t xml:space="preserve">). </w:t>
      </w:r>
    </w:p>
    <w:p w14:paraId="7C153E16" w14:textId="04F62A6B" w:rsidR="000B0C31" w:rsidRPr="00670A39" w:rsidRDefault="000B0C31" w:rsidP="00895D86">
      <w:pPr>
        <w:pStyle w:val="SingleTxtGA"/>
        <w:spacing w:line="346" w:lineRule="exact"/>
        <w:rPr>
          <w:b/>
          <w:bCs/>
          <w:lang w:val="en-US"/>
        </w:rPr>
      </w:pPr>
      <w:r w:rsidRPr="00670A39">
        <w:rPr>
          <w:rtl/>
          <w:lang w:val="en-US"/>
        </w:rPr>
        <w:t>31</w:t>
      </w:r>
      <w:r w:rsidRPr="000B0C31">
        <w:rPr>
          <w:rtl/>
          <w:lang w:val="en-US"/>
        </w:rPr>
        <w:t>-</w:t>
      </w:r>
      <w:r w:rsidRPr="000B0C31">
        <w:rPr>
          <w:rtl/>
          <w:lang w:val="en-US"/>
        </w:rPr>
        <w:tab/>
      </w:r>
      <w:r w:rsidRPr="00670A39">
        <w:rPr>
          <w:b/>
          <w:bCs/>
          <w:rtl/>
          <w:lang w:val="en-US"/>
        </w:rPr>
        <w:t>توصي اللجنة الدولة الطرف بأن تعزز جهودها الرامية إلى معالجة أوجه القصور الإدارية في نظام السجل المدني والإجراءات والمتطلبات المعقدة. وتوصي اللجنة</w:t>
      </w:r>
      <w:r w:rsidR="00FB7A57" w:rsidRPr="00670A39">
        <w:rPr>
          <w:b/>
          <w:bCs/>
          <w:rtl/>
          <w:lang w:val="en-US"/>
        </w:rPr>
        <w:t xml:space="preserve"> أيضاً </w:t>
      </w:r>
      <w:r w:rsidRPr="00670A39">
        <w:rPr>
          <w:b/>
          <w:bCs/>
          <w:rtl/>
          <w:lang w:val="en-US"/>
        </w:rPr>
        <w:t>بأن تعتمد الدولة الطرف تدابير لضمان إمكانية الاستفادة من خدمات تسجيل المواليد ووثائق الهوية اللازمة للحصول على الجنسية لمنع حالات انعدام الجنسية، ولا سيما بين المشردين داخلي</w:t>
      </w:r>
      <w:r w:rsidR="00686F7F" w:rsidRPr="00670A39">
        <w:rPr>
          <w:b/>
          <w:bCs/>
          <w:rtl/>
          <w:lang w:val="en-US"/>
        </w:rPr>
        <w:t>اً،</w:t>
      </w:r>
      <w:r w:rsidRPr="00670A39">
        <w:rPr>
          <w:b/>
          <w:bCs/>
          <w:rtl/>
          <w:lang w:val="en-US"/>
        </w:rPr>
        <w:t xml:space="preserve"> بوسائل منها توفير هذه الخدمات بالمجان. وتوصي</w:t>
      </w:r>
      <w:r w:rsidR="00FB7A57" w:rsidRPr="00670A39">
        <w:rPr>
          <w:b/>
          <w:bCs/>
          <w:rtl/>
          <w:lang w:val="en-US"/>
        </w:rPr>
        <w:t xml:space="preserve"> أيضاً </w:t>
      </w:r>
      <w:r w:rsidRPr="00670A39">
        <w:rPr>
          <w:b/>
          <w:bCs/>
          <w:rtl/>
          <w:lang w:val="en-US"/>
        </w:rPr>
        <w:t xml:space="preserve">الدولة الطرف بأن تصدّق على الاتفاقية المتعلقة بوضع الأشخاص عديمي الجنسية، والاتفاقية لمتعلقة بخفض حالات انعدام الجنسية. </w:t>
      </w:r>
    </w:p>
    <w:p w14:paraId="55FBC801" w14:textId="77777777" w:rsidR="000B0C31" w:rsidRPr="00670A39" w:rsidRDefault="000B0C31" w:rsidP="000B0C31">
      <w:pPr>
        <w:pStyle w:val="H23GA"/>
      </w:pPr>
      <w:r w:rsidRPr="00670A39">
        <w:rPr>
          <w:rtl/>
        </w:rPr>
        <w:tab/>
      </w:r>
      <w:r w:rsidRPr="00670A39">
        <w:rPr>
          <w:rtl/>
        </w:rPr>
        <w:tab/>
        <w:t xml:space="preserve">اللاجئون وملتمسو اللجوء </w:t>
      </w:r>
    </w:p>
    <w:p w14:paraId="57546DC9" w14:textId="06FEB745" w:rsidR="00702CCC" w:rsidRPr="00702CCC" w:rsidRDefault="000B0C31" w:rsidP="00895D86">
      <w:pPr>
        <w:pStyle w:val="SingleTxtGA"/>
        <w:spacing w:line="346" w:lineRule="exact"/>
        <w:rPr>
          <w:color w:val="000000"/>
          <w:lang w:val="en-US"/>
        </w:rPr>
      </w:pPr>
      <w:r w:rsidRPr="00670A39">
        <w:rPr>
          <w:rtl/>
          <w:lang w:val="en-US"/>
        </w:rPr>
        <w:t>32</w:t>
      </w:r>
      <w:r w:rsidRPr="000B0C31">
        <w:rPr>
          <w:rtl/>
          <w:lang w:val="en-US"/>
        </w:rPr>
        <w:t>-</w:t>
      </w:r>
      <w:r w:rsidRPr="000B0C31">
        <w:rPr>
          <w:rtl/>
          <w:lang w:val="en-US"/>
        </w:rPr>
        <w:tab/>
        <w:t>تثني اللجنة على الدولة الطرف لاستضافتها عدد</w:t>
      </w:r>
      <w:r w:rsidR="00FB7A57">
        <w:rPr>
          <w:rtl/>
          <w:lang w:val="en-US"/>
        </w:rPr>
        <w:t xml:space="preserve">اً </w:t>
      </w:r>
      <w:r w:rsidRPr="000B0C31">
        <w:rPr>
          <w:rtl/>
          <w:lang w:val="en-US"/>
        </w:rPr>
        <w:t>كبير</w:t>
      </w:r>
      <w:r w:rsidR="00FB7A57">
        <w:rPr>
          <w:rtl/>
          <w:lang w:val="en-US"/>
        </w:rPr>
        <w:t xml:space="preserve">اً </w:t>
      </w:r>
      <w:r w:rsidRPr="000B0C31">
        <w:rPr>
          <w:rtl/>
          <w:lang w:val="en-US"/>
        </w:rPr>
        <w:t xml:space="preserve">من اللاجئين الذين فروا من النزاعات دون الإقليمية. ومع ذلك، تأسف اللجنة لعدم وجود معلومات عن ضمانات عدم الإعادة القسرية بموجب الإطار القانوني للدولة الطرف ولعدم توافر معلومات مستكملة عن قدرة اللاجئين وملتمسي اللجوء على الحصول على الخدمات الأساسية، بما في ذلك خدمات الرعاية الصحية والتعليم (المادة </w:t>
      </w:r>
      <w:r w:rsidR="00702CCC" w:rsidRPr="00670A39">
        <w:rPr>
          <w:color w:val="000000"/>
          <w:rtl/>
          <w:lang w:val="en-US"/>
        </w:rPr>
        <w:t>5</w:t>
      </w:r>
      <w:r w:rsidR="00702CCC" w:rsidRPr="00702CCC">
        <w:rPr>
          <w:color w:val="000000"/>
          <w:rtl/>
          <w:lang w:val="en-US"/>
        </w:rPr>
        <w:t>).</w:t>
      </w:r>
    </w:p>
    <w:p w14:paraId="7AA41EDE" w14:textId="350BAE23" w:rsidR="000B0C31" w:rsidRPr="00670A39" w:rsidRDefault="000B0C31" w:rsidP="00895D86">
      <w:pPr>
        <w:pStyle w:val="SingleTxtGA"/>
        <w:spacing w:line="346" w:lineRule="exact"/>
        <w:rPr>
          <w:b/>
          <w:bCs/>
          <w:lang w:val="en-US"/>
        </w:rPr>
      </w:pPr>
      <w:r w:rsidRPr="00670A39">
        <w:rPr>
          <w:rtl/>
          <w:lang w:val="en-US"/>
        </w:rPr>
        <w:t>33</w:t>
      </w:r>
      <w:r w:rsidRPr="000B0C31">
        <w:rPr>
          <w:rtl/>
          <w:lang w:val="en-US"/>
        </w:rPr>
        <w:t>-</w:t>
      </w:r>
      <w:r w:rsidRPr="000B0C31">
        <w:rPr>
          <w:rtl/>
          <w:lang w:val="en-US"/>
        </w:rPr>
        <w:tab/>
      </w:r>
      <w:r w:rsidRPr="00670A39">
        <w:rPr>
          <w:b/>
          <w:bCs/>
          <w:rtl/>
          <w:lang w:val="en-US"/>
        </w:rPr>
        <w:t>توصي اللجنة الدولة الطرف بأن تعتمد تدابير تشريعية لحماية اللاجئين وملتمسي اللجوء، وأن تكفل في القانون والممارسة الاحترام الكامل لمبدأ عدم الإعادة القسرية. وتوصي اللجنة</w:t>
      </w:r>
      <w:r w:rsidR="00FB7A57" w:rsidRPr="00670A39">
        <w:rPr>
          <w:b/>
          <w:bCs/>
          <w:rtl/>
          <w:lang w:val="en-US"/>
        </w:rPr>
        <w:t xml:space="preserve"> أيضاً </w:t>
      </w:r>
      <w:r w:rsidRPr="00670A39">
        <w:rPr>
          <w:b/>
          <w:bCs/>
          <w:rtl/>
          <w:lang w:val="en-US"/>
        </w:rPr>
        <w:t>بأن تعتمد الدولة الطرف تدابير لضمان تمتع اللاجئين وملتمسي اللجوء بحقوقهم الاقتصادية والاجتماعية، وتيسير إدماجهم في المجتمع.</w:t>
      </w:r>
    </w:p>
    <w:p w14:paraId="054134E5" w14:textId="77777777" w:rsidR="000B0C31" w:rsidRPr="00670A39" w:rsidRDefault="000B0C31" w:rsidP="000B0C31">
      <w:pPr>
        <w:pStyle w:val="H23GA"/>
      </w:pPr>
      <w:r w:rsidRPr="00670A39">
        <w:rPr>
          <w:rtl/>
        </w:rPr>
        <w:tab/>
      </w:r>
      <w:r w:rsidRPr="00670A39">
        <w:rPr>
          <w:rtl/>
        </w:rPr>
        <w:tab/>
        <w:t xml:space="preserve">التدريب والتثقيف وغير ذلك من التدابير الرامية إلى مكافحة التحيز والتعصب </w:t>
      </w:r>
    </w:p>
    <w:p w14:paraId="6DEF7813" w14:textId="5E6122BD" w:rsidR="00702CCC" w:rsidRPr="00895D86" w:rsidRDefault="000B0C31" w:rsidP="00895D86">
      <w:pPr>
        <w:pStyle w:val="SingleTxtGA"/>
        <w:spacing w:line="350" w:lineRule="exact"/>
        <w:rPr>
          <w:color w:val="000000"/>
          <w:spacing w:val="-4"/>
          <w:lang w:val="en-US"/>
        </w:rPr>
      </w:pPr>
      <w:r w:rsidRPr="00670A39">
        <w:rPr>
          <w:spacing w:val="-4"/>
          <w:rtl/>
          <w:lang w:val="en-US"/>
        </w:rPr>
        <w:t>34</w:t>
      </w:r>
      <w:r w:rsidRPr="00895D86">
        <w:rPr>
          <w:spacing w:val="-4"/>
          <w:rtl/>
          <w:lang w:val="en-US"/>
        </w:rPr>
        <w:t>-</w:t>
      </w:r>
      <w:r w:rsidRPr="00895D86">
        <w:rPr>
          <w:spacing w:val="-4"/>
          <w:rtl/>
          <w:lang w:val="en-US"/>
        </w:rPr>
        <w:tab/>
        <w:t xml:space="preserve">تأسف اللجنة لعدم وجود معلومات عن التدابير التي اتخذتها الدولة الطرف لمكافحة مختلف أشكال التحيز والتعصب، بما في ذلك إدماج مبادئ حقوق الإنسان في المناهج الدراسية والبرامج الجامعية (المادة </w:t>
      </w:r>
      <w:r w:rsidR="00702CCC" w:rsidRPr="00670A39">
        <w:rPr>
          <w:color w:val="000000"/>
          <w:spacing w:val="-4"/>
          <w:rtl/>
          <w:lang w:val="en-US"/>
        </w:rPr>
        <w:t>7</w:t>
      </w:r>
      <w:r w:rsidR="00702CCC" w:rsidRPr="00895D86">
        <w:rPr>
          <w:color w:val="000000"/>
          <w:spacing w:val="-4"/>
          <w:rtl/>
          <w:lang w:val="en-US"/>
        </w:rPr>
        <w:t>).</w:t>
      </w:r>
    </w:p>
    <w:p w14:paraId="06267143" w14:textId="16DE62CC" w:rsidR="000B0C31" w:rsidRPr="00670A39" w:rsidRDefault="000B0C31" w:rsidP="00895D86">
      <w:pPr>
        <w:pStyle w:val="SingleTxtGA"/>
        <w:spacing w:line="350" w:lineRule="exact"/>
        <w:rPr>
          <w:b/>
          <w:bCs/>
          <w:lang w:val="en-US"/>
        </w:rPr>
      </w:pPr>
      <w:r w:rsidRPr="00670A39">
        <w:rPr>
          <w:rtl/>
          <w:lang w:val="en-US"/>
        </w:rPr>
        <w:t>35</w:t>
      </w:r>
      <w:r w:rsidRPr="000B0C31">
        <w:rPr>
          <w:rtl/>
          <w:lang w:val="en-US"/>
        </w:rPr>
        <w:t>-</w:t>
      </w:r>
      <w:r w:rsidRPr="000B0C31">
        <w:rPr>
          <w:rtl/>
          <w:lang w:val="en-US"/>
        </w:rPr>
        <w:tab/>
      </w:r>
      <w:r w:rsidRPr="00670A39">
        <w:rPr>
          <w:b/>
          <w:bCs/>
          <w:rtl/>
          <w:lang w:val="en-US"/>
        </w:rPr>
        <w:t>توصي اللجنة بأن تعزز الدولة الطرف جهودها من أجل التوعية بأهمية التنوع العرقي والثقافي ومكافحة التمييز العنصري، وإدماج هذه القيم في المناهج الدراسية من أجل تعزيز الصداقة والتضامن فيما بين الأعراق.</w:t>
      </w:r>
    </w:p>
    <w:p w14:paraId="0BD3C6EC" w14:textId="77777777" w:rsidR="000B0C31" w:rsidRPr="00670A39" w:rsidRDefault="000B0C31" w:rsidP="000B0C31">
      <w:pPr>
        <w:pStyle w:val="H1GA"/>
      </w:pPr>
      <w:r w:rsidRPr="00670A39">
        <w:rPr>
          <w:rtl/>
        </w:rPr>
        <w:tab/>
        <w:t>دال-</w:t>
      </w:r>
      <w:r w:rsidRPr="00670A39">
        <w:rPr>
          <w:rtl/>
        </w:rPr>
        <w:tab/>
        <w:t>توصيات أخرى</w:t>
      </w:r>
    </w:p>
    <w:p w14:paraId="56830C52" w14:textId="77777777" w:rsidR="000B0C31" w:rsidRPr="00670A39" w:rsidRDefault="000B0C31" w:rsidP="000B0C31">
      <w:pPr>
        <w:pStyle w:val="H23GA"/>
      </w:pPr>
      <w:r w:rsidRPr="00670A39">
        <w:rPr>
          <w:rtl/>
        </w:rPr>
        <w:tab/>
      </w:r>
      <w:r w:rsidRPr="00670A39">
        <w:rPr>
          <w:rtl/>
        </w:rPr>
        <w:tab/>
        <w:t xml:space="preserve">التصديق على المعاهدات الأخرى </w:t>
      </w:r>
    </w:p>
    <w:p w14:paraId="7C7C95A7" w14:textId="75D60C8C" w:rsidR="000B0C31" w:rsidRPr="00670A39" w:rsidRDefault="000B0C31" w:rsidP="00895D86">
      <w:pPr>
        <w:pStyle w:val="SingleTxtGA"/>
        <w:spacing w:line="350" w:lineRule="exact"/>
        <w:rPr>
          <w:rFonts w:ascii="Times New Roman Bold" w:hAnsi="Times New Roman Bold"/>
          <w:b/>
          <w:bCs/>
          <w:spacing w:val="-2"/>
          <w:lang w:val="en-US"/>
        </w:rPr>
      </w:pPr>
      <w:r w:rsidRPr="00670A39">
        <w:rPr>
          <w:rtl/>
          <w:lang w:val="en-US"/>
        </w:rPr>
        <w:t>36</w:t>
      </w:r>
      <w:r w:rsidRPr="000B0C31">
        <w:rPr>
          <w:rtl/>
          <w:lang w:val="en-US"/>
        </w:rPr>
        <w:t>-</w:t>
      </w:r>
      <w:r w:rsidRPr="000B0C31">
        <w:rPr>
          <w:rtl/>
          <w:lang w:val="en-US"/>
        </w:rPr>
        <w:tab/>
      </w:r>
      <w:r w:rsidRPr="00670A39">
        <w:rPr>
          <w:b/>
          <w:bCs/>
          <w:rtl/>
          <w:lang w:val="en-US"/>
        </w:rPr>
        <w:t xml:space="preserve">إذ تضع اللجنة في اعتبارها عدم قابلية جميع حقوق الإنسان للتجزئة، تشجع الدولة الطرف على النظر في التصديق على المعاهدات الدولية لحقوق الإنسان التي لم تصدق عليها بعدُ، ولا سيما </w:t>
      </w:r>
      <w:r w:rsidRPr="00670A39">
        <w:rPr>
          <w:rFonts w:ascii="Times New Roman Bold" w:hAnsi="Times New Roman Bold"/>
          <w:b/>
          <w:bCs/>
          <w:spacing w:val="-2"/>
          <w:rtl/>
          <w:lang w:val="en-US"/>
        </w:rPr>
        <w:t>المعاهدات التي تتضمن أحكام</w:t>
      </w:r>
      <w:r w:rsidR="00FB7A57" w:rsidRPr="00670A39">
        <w:rPr>
          <w:rFonts w:ascii="Times New Roman Bold" w:hAnsi="Times New Roman Bold"/>
          <w:b/>
          <w:bCs/>
          <w:spacing w:val="-2"/>
          <w:rtl/>
          <w:lang w:val="en-US"/>
        </w:rPr>
        <w:t xml:space="preserve">اً </w:t>
      </w:r>
      <w:r w:rsidRPr="00670A39">
        <w:rPr>
          <w:rFonts w:ascii="Times New Roman Bold" w:hAnsi="Times New Roman Bold"/>
          <w:b/>
          <w:bCs/>
          <w:spacing w:val="-2"/>
          <w:rtl/>
          <w:lang w:val="en-US"/>
        </w:rPr>
        <w:t>ذات صلة مباشرة بالمجتمعات المحلية التي قد تتعرض للتمييز العنصري</w:t>
      </w:r>
      <w:r w:rsidRPr="00670A39">
        <w:rPr>
          <w:b/>
          <w:bCs/>
          <w:rtl/>
          <w:lang w:val="en-US"/>
        </w:rPr>
        <w:t xml:space="preserve">، </w:t>
      </w:r>
      <w:r w:rsidRPr="00670A39">
        <w:rPr>
          <w:b/>
          <w:bCs/>
          <w:rtl/>
          <w:lang w:val="en-US"/>
        </w:rPr>
        <w:lastRenderedPageBreak/>
        <w:t>بما في ذلك الاتفاقية الدولية لحماية حقوق جميع العمال المهاجرين وأفراد أسرهم، واتفاقية منظمة العمل الدولية</w:t>
      </w:r>
      <w:r w:rsidRPr="00670A39">
        <w:rPr>
          <w:b/>
          <w:bCs/>
          <w:rtl/>
          <w:lang w:val="en-US"/>
        </w:rPr>
        <w:t xml:space="preserve"> </w:t>
      </w:r>
      <w:r w:rsidRPr="00670A39">
        <w:rPr>
          <w:b/>
          <w:bCs/>
          <w:rtl/>
          <w:lang w:val="en-US"/>
        </w:rPr>
        <w:t>لعام 2011 (رقم 18</w:t>
      </w:r>
      <w:r w:rsidR="00702CCC" w:rsidRPr="00670A39">
        <w:rPr>
          <w:b/>
          <w:bCs/>
          <w:color w:val="000000"/>
          <w:rtl/>
          <w:lang w:val="en-US"/>
        </w:rPr>
        <w:t xml:space="preserve">9) </w:t>
      </w:r>
      <w:r w:rsidRPr="00670A39">
        <w:rPr>
          <w:b/>
          <w:bCs/>
          <w:rtl/>
          <w:lang w:val="en-US"/>
        </w:rPr>
        <w:t>بشأن العمال المنزليين، واتفاقية منظمة العمل الدولية</w:t>
      </w:r>
      <w:r w:rsidRPr="00670A39">
        <w:rPr>
          <w:b/>
          <w:bCs/>
          <w:rtl/>
          <w:lang w:val="en-US"/>
        </w:rPr>
        <w:t xml:space="preserve"> </w:t>
      </w:r>
      <w:r w:rsidRPr="00670A39">
        <w:rPr>
          <w:b/>
          <w:bCs/>
          <w:rtl/>
          <w:lang w:val="en-US"/>
        </w:rPr>
        <w:t>لعام 1989 (رقم 16</w:t>
      </w:r>
      <w:r w:rsidR="00702CCC" w:rsidRPr="00670A39">
        <w:rPr>
          <w:b/>
          <w:bCs/>
          <w:color w:val="000000"/>
          <w:rtl/>
          <w:lang w:val="en-US"/>
        </w:rPr>
        <w:t xml:space="preserve">9) </w:t>
      </w:r>
      <w:r w:rsidRPr="00670A39">
        <w:rPr>
          <w:rFonts w:ascii="Times New Roman Bold" w:hAnsi="Times New Roman Bold"/>
          <w:b/>
          <w:bCs/>
          <w:spacing w:val="-5"/>
          <w:rtl/>
          <w:lang w:val="en-US"/>
        </w:rPr>
        <w:t>بشأن الشعوب الأصلية والقبلية، فضل</w:t>
      </w:r>
      <w:r w:rsidR="00FB7A57" w:rsidRPr="00670A39">
        <w:rPr>
          <w:rFonts w:ascii="Times New Roman Bold" w:hAnsi="Times New Roman Bold"/>
          <w:b/>
          <w:bCs/>
          <w:spacing w:val="-5"/>
          <w:rtl/>
          <w:lang w:val="en-US"/>
        </w:rPr>
        <w:t xml:space="preserve">اً </w:t>
      </w:r>
      <w:r w:rsidRPr="00670A39">
        <w:rPr>
          <w:rFonts w:ascii="Times New Roman Bold" w:hAnsi="Times New Roman Bold"/>
          <w:b/>
          <w:bCs/>
          <w:spacing w:val="-5"/>
          <w:rtl/>
          <w:lang w:val="en-US"/>
        </w:rPr>
        <w:t xml:space="preserve">عن الاتفاقية الدولية لحماية جميع الأشخاص من الاختفاء القسري، واتفاقية حقوق الأشخاص ذوي الإعاقة، والبروتوكول الاختياري لاتفاقية مناهضة </w:t>
      </w:r>
      <w:r w:rsidRPr="00670A39">
        <w:rPr>
          <w:rFonts w:ascii="Times New Roman Bold" w:hAnsi="Times New Roman Bold"/>
          <w:b/>
          <w:bCs/>
          <w:spacing w:val="-2"/>
          <w:rtl/>
          <w:lang w:val="en-US"/>
        </w:rPr>
        <w:t xml:space="preserve">التعذيب وغيره من ضروب المعاملة أو العقوبة القاسية أو اللاإنسانية أو المهينة، والبروتوكول الاختياري الثاني الملحق بالعهد الدولي الخاص بالحقوق المدنية والسياسية، الهادف إلى إلغاء عقوبة الإعدام. </w:t>
      </w:r>
    </w:p>
    <w:p w14:paraId="52862F23" w14:textId="77777777" w:rsidR="000B0C31" w:rsidRPr="00670A39" w:rsidRDefault="000B0C31" w:rsidP="000B0C31">
      <w:pPr>
        <w:pStyle w:val="H23GA"/>
      </w:pPr>
      <w:r w:rsidRPr="00670A39">
        <w:rPr>
          <w:rtl/>
        </w:rPr>
        <w:tab/>
      </w:r>
      <w:r w:rsidRPr="00670A39">
        <w:rPr>
          <w:rtl/>
        </w:rPr>
        <w:tab/>
        <w:t>تنفيذ المادة 8 من الاتفاقية</w:t>
      </w:r>
    </w:p>
    <w:p w14:paraId="00CB3B25" w14:textId="58F77FA4" w:rsidR="000B0C31" w:rsidRPr="00670A39" w:rsidRDefault="000B0C31" w:rsidP="000B0C31">
      <w:pPr>
        <w:pStyle w:val="SingleTxtGA"/>
        <w:rPr>
          <w:b/>
          <w:bCs/>
          <w:lang w:val="en-US"/>
        </w:rPr>
      </w:pPr>
      <w:r w:rsidRPr="00670A39">
        <w:rPr>
          <w:rtl/>
          <w:lang w:val="en-US"/>
        </w:rPr>
        <w:t>37</w:t>
      </w:r>
      <w:r w:rsidRPr="000B0C31">
        <w:rPr>
          <w:rtl/>
          <w:lang w:val="en-US"/>
        </w:rPr>
        <w:t>-</w:t>
      </w:r>
      <w:r w:rsidRPr="000B0C31">
        <w:rPr>
          <w:rtl/>
          <w:lang w:val="en-US"/>
        </w:rPr>
        <w:tab/>
      </w:r>
      <w:r w:rsidRPr="00670A39">
        <w:rPr>
          <w:b/>
          <w:bCs/>
          <w:rtl/>
          <w:lang w:val="en-US"/>
        </w:rPr>
        <w:t>توصي اللجنة بأن تصدّق الدولة الطرف على التعديل المُدخل على الفقرة 6 من المادة 8 من الاتفاقية، الذي اعتُمد في 15 كانون الثاني/يناير 1992 في الاجتماع الرابع عشر للدول الأطراف في الاتفاقية، وأيدته الجمعية العامة في قرارها 47/11</w:t>
      </w:r>
      <w:r w:rsidR="00702CCC" w:rsidRPr="00670A39">
        <w:rPr>
          <w:b/>
          <w:bCs/>
          <w:color w:val="000000"/>
          <w:rtl/>
          <w:lang w:val="en-US"/>
        </w:rPr>
        <w:t xml:space="preserve">1. </w:t>
      </w:r>
    </w:p>
    <w:p w14:paraId="0FA89D5C" w14:textId="5B294F1F" w:rsidR="000B0C31" w:rsidRPr="00670A39" w:rsidRDefault="000B0C31" w:rsidP="000B0C31">
      <w:pPr>
        <w:pStyle w:val="H23GA"/>
      </w:pPr>
      <w:r w:rsidRPr="00670A39">
        <w:rPr>
          <w:rtl/>
        </w:rPr>
        <w:tab/>
      </w:r>
      <w:r w:rsidRPr="00670A39">
        <w:rPr>
          <w:rtl/>
        </w:rPr>
        <w:tab/>
        <w:t>الإعلان المنصوص عليه في المادة 14 من الاتفاقية</w:t>
      </w:r>
    </w:p>
    <w:p w14:paraId="52A99EA0" w14:textId="20A15B0F" w:rsidR="000B0C31" w:rsidRPr="00670A39" w:rsidRDefault="000B0C31" w:rsidP="000B0C31">
      <w:pPr>
        <w:pStyle w:val="SingleTxtGA"/>
        <w:rPr>
          <w:b/>
          <w:bCs/>
          <w:lang w:val="en-US"/>
        </w:rPr>
      </w:pPr>
      <w:r w:rsidRPr="00670A39">
        <w:rPr>
          <w:rtl/>
          <w:lang w:val="en-US"/>
        </w:rPr>
        <w:t>38</w:t>
      </w:r>
      <w:r w:rsidRPr="000B0C31">
        <w:rPr>
          <w:rtl/>
          <w:lang w:val="en-US"/>
        </w:rPr>
        <w:t>-</w:t>
      </w:r>
      <w:r w:rsidRPr="000B0C31">
        <w:rPr>
          <w:rtl/>
          <w:lang w:val="en-US"/>
        </w:rPr>
        <w:tab/>
      </w:r>
      <w:r w:rsidRPr="00670A39">
        <w:rPr>
          <w:b/>
          <w:bCs/>
          <w:rtl/>
          <w:lang w:val="en-US"/>
        </w:rPr>
        <w:t>تشجّع اللجنة الدولة الطرف على إصدار الإعلان الاختياري المنصوص عليه في المادة 14 من الاتفاقية اعترافاً باختصاص اللجنة بتلقّي الشكاوى الفردية والنظر فيها.</w:t>
      </w:r>
    </w:p>
    <w:p w14:paraId="50373B0D" w14:textId="77777777" w:rsidR="000B0C31" w:rsidRPr="00670A39" w:rsidRDefault="000B0C31" w:rsidP="000B0C31">
      <w:pPr>
        <w:pStyle w:val="H23GA"/>
      </w:pPr>
      <w:r w:rsidRPr="00670A39">
        <w:rPr>
          <w:rtl/>
        </w:rPr>
        <w:tab/>
      </w:r>
      <w:r w:rsidRPr="00670A39">
        <w:rPr>
          <w:rtl/>
        </w:rPr>
        <w:tab/>
        <w:t>متابعة إعلان وبرنامج عمل ديربان</w:t>
      </w:r>
    </w:p>
    <w:p w14:paraId="71E1387D" w14:textId="48325F71" w:rsidR="000B0C31" w:rsidRPr="00670A39" w:rsidRDefault="000B0C31" w:rsidP="000B0C31">
      <w:pPr>
        <w:pStyle w:val="SingleTxtGA"/>
        <w:rPr>
          <w:b/>
          <w:bCs/>
          <w:lang w:val="en-US"/>
        </w:rPr>
      </w:pPr>
      <w:r w:rsidRPr="00670A39">
        <w:rPr>
          <w:rtl/>
          <w:lang w:val="en-US"/>
        </w:rPr>
        <w:t>39</w:t>
      </w:r>
      <w:r w:rsidRPr="000B0C31">
        <w:rPr>
          <w:rtl/>
          <w:lang w:val="en-US"/>
        </w:rPr>
        <w:t>-</w:t>
      </w:r>
      <w:r w:rsidRPr="000B0C31">
        <w:rPr>
          <w:rtl/>
          <w:lang w:val="en-US"/>
        </w:rPr>
        <w:tab/>
      </w:r>
      <w:r w:rsidRPr="00670A39">
        <w:rPr>
          <w:b/>
          <w:bCs/>
          <w:rtl/>
          <w:lang w:val="en-US"/>
        </w:rPr>
        <w:t>توصي اللجنة، في ضوء توصيتها العامة رقم 33(200</w:t>
      </w:r>
      <w:r w:rsidR="00702CCC" w:rsidRPr="00670A39">
        <w:rPr>
          <w:b/>
          <w:bCs/>
          <w:color w:val="000000"/>
          <w:rtl/>
          <w:lang w:val="en-US"/>
        </w:rPr>
        <w:t xml:space="preserve">9) </w:t>
      </w:r>
      <w:r w:rsidRPr="00670A39">
        <w:rPr>
          <w:b/>
          <w:bCs/>
          <w:rtl/>
          <w:lang w:val="en-US"/>
        </w:rPr>
        <w:t xml:space="preserve">بشأن متابعة مؤتمر استعراض نتائج ديربان، بأن تنفّذ الدولة الطرف، عند تطبيق أحكام الاتفاقية في نظامها القانوني الداخلي، إعلانَ </w:t>
      </w:r>
      <w:r w:rsidRPr="00670A39">
        <w:rPr>
          <w:rFonts w:ascii="Times New Roman Bold" w:hAnsi="Times New Roman Bold"/>
          <w:b/>
          <w:bCs/>
          <w:spacing w:val="-2"/>
          <w:rtl/>
          <w:lang w:val="en-US"/>
        </w:rPr>
        <w:t>وبرنامج عمل ديربان اللذيْن اعتمدهما المؤتمر العالمي لمكافحة العنصرية والتمييز العنصري وكره الأجانب</w:t>
      </w:r>
      <w:r w:rsidRPr="00670A39">
        <w:rPr>
          <w:b/>
          <w:bCs/>
          <w:rtl/>
          <w:lang w:val="en-US"/>
        </w:rPr>
        <w:t xml:space="preserve"> وما يتصل بذلك من تعصب في أيلول/سبتمبر 2001، مع مراعاة الوثيقة الختامية لمؤتمر استعراض نتائج ديربان المعقود في جنيف في نيسان/أبريل 200</w:t>
      </w:r>
      <w:r w:rsidR="00702CCC" w:rsidRPr="00670A39">
        <w:rPr>
          <w:b/>
          <w:bCs/>
          <w:color w:val="000000"/>
          <w:rtl/>
          <w:lang w:val="en-US"/>
        </w:rPr>
        <w:t xml:space="preserve">9. </w:t>
      </w:r>
      <w:r w:rsidRPr="00670A39">
        <w:rPr>
          <w:rFonts w:ascii="Simplified Arabic" w:hAnsi="Simplified Arabic" w:hint="cs"/>
          <w:b/>
          <w:bCs/>
          <w:rtl/>
          <w:lang w:val="en-US"/>
        </w:rPr>
        <w:t>وتطلب</w:t>
      </w:r>
      <w:r w:rsidRPr="00670A39">
        <w:rPr>
          <w:b/>
          <w:bCs/>
          <w:rtl/>
          <w:lang w:val="en-US"/>
        </w:rPr>
        <w:t xml:space="preserve"> </w:t>
      </w:r>
      <w:r w:rsidRPr="00670A39">
        <w:rPr>
          <w:rFonts w:ascii="Simplified Arabic" w:hAnsi="Simplified Arabic" w:hint="cs"/>
          <w:b/>
          <w:bCs/>
          <w:rtl/>
          <w:lang w:val="en-US"/>
        </w:rPr>
        <w:t>اللجنة</w:t>
      </w:r>
      <w:r w:rsidRPr="00670A39">
        <w:rPr>
          <w:b/>
          <w:bCs/>
          <w:rtl/>
          <w:lang w:val="en-US"/>
        </w:rPr>
        <w:t xml:space="preserve"> </w:t>
      </w:r>
      <w:r w:rsidRPr="00670A39">
        <w:rPr>
          <w:rFonts w:ascii="Simplified Arabic" w:hAnsi="Simplified Arabic" w:hint="cs"/>
          <w:b/>
          <w:bCs/>
          <w:rtl/>
          <w:lang w:val="en-US"/>
        </w:rPr>
        <w:t>إلى</w:t>
      </w:r>
      <w:r w:rsidRPr="00670A39">
        <w:rPr>
          <w:b/>
          <w:bCs/>
          <w:rtl/>
          <w:lang w:val="en-US"/>
        </w:rPr>
        <w:t xml:space="preserve"> </w:t>
      </w:r>
      <w:r w:rsidRPr="00670A39">
        <w:rPr>
          <w:rFonts w:ascii="Simplified Arabic" w:hAnsi="Simplified Arabic" w:hint="cs"/>
          <w:b/>
          <w:bCs/>
          <w:rtl/>
          <w:lang w:val="en-US"/>
        </w:rPr>
        <w:t>الدولة</w:t>
      </w:r>
      <w:r w:rsidRPr="00670A39">
        <w:rPr>
          <w:b/>
          <w:bCs/>
          <w:rtl/>
          <w:lang w:val="en-US"/>
        </w:rPr>
        <w:t xml:space="preserve"> </w:t>
      </w:r>
      <w:r w:rsidRPr="00670A39">
        <w:rPr>
          <w:rFonts w:ascii="Simplified Arabic" w:hAnsi="Simplified Arabic" w:hint="cs"/>
          <w:b/>
          <w:bCs/>
          <w:rtl/>
          <w:lang w:val="en-US"/>
        </w:rPr>
        <w:t>الطرف</w:t>
      </w:r>
      <w:r w:rsidRPr="00670A39">
        <w:rPr>
          <w:b/>
          <w:bCs/>
          <w:rtl/>
          <w:lang w:val="en-US"/>
        </w:rPr>
        <w:t xml:space="preserve"> </w:t>
      </w:r>
      <w:r w:rsidRPr="00670A39">
        <w:rPr>
          <w:rFonts w:ascii="Simplified Arabic" w:hAnsi="Simplified Arabic" w:hint="cs"/>
          <w:b/>
          <w:bCs/>
          <w:rtl/>
          <w:lang w:val="en-US"/>
        </w:rPr>
        <w:t>أن</w:t>
      </w:r>
      <w:r w:rsidRPr="00670A39">
        <w:rPr>
          <w:b/>
          <w:bCs/>
          <w:rtl/>
          <w:lang w:val="en-US"/>
        </w:rPr>
        <w:t xml:space="preserve"> </w:t>
      </w:r>
      <w:r w:rsidRPr="00670A39">
        <w:rPr>
          <w:rFonts w:ascii="Simplified Arabic" w:hAnsi="Simplified Arabic" w:hint="cs"/>
          <w:b/>
          <w:bCs/>
          <w:rtl/>
          <w:lang w:val="en-US"/>
        </w:rPr>
        <w:t>تدرج</w:t>
      </w:r>
      <w:r w:rsidRPr="00670A39">
        <w:rPr>
          <w:b/>
          <w:bCs/>
          <w:rtl/>
          <w:lang w:val="en-US"/>
        </w:rPr>
        <w:t xml:space="preserve"> </w:t>
      </w:r>
      <w:r w:rsidRPr="00670A39">
        <w:rPr>
          <w:rFonts w:ascii="Simplified Arabic" w:hAnsi="Simplified Arabic" w:hint="cs"/>
          <w:b/>
          <w:bCs/>
          <w:rtl/>
          <w:lang w:val="en-US"/>
        </w:rPr>
        <w:t>في</w:t>
      </w:r>
      <w:r w:rsidRPr="00670A39">
        <w:rPr>
          <w:b/>
          <w:bCs/>
          <w:rtl/>
          <w:lang w:val="en-US"/>
        </w:rPr>
        <w:t xml:space="preserve"> </w:t>
      </w:r>
      <w:r w:rsidRPr="00670A39">
        <w:rPr>
          <w:rFonts w:ascii="Simplified Arabic" w:hAnsi="Simplified Arabic" w:hint="cs"/>
          <w:b/>
          <w:bCs/>
          <w:rtl/>
          <w:lang w:val="en-US"/>
        </w:rPr>
        <w:t>تقريرها</w:t>
      </w:r>
      <w:r w:rsidRPr="00670A39">
        <w:rPr>
          <w:b/>
          <w:bCs/>
          <w:rtl/>
          <w:lang w:val="en-US"/>
        </w:rPr>
        <w:t xml:space="preserve"> </w:t>
      </w:r>
      <w:r w:rsidRPr="00670A39">
        <w:rPr>
          <w:rFonts w:ascii="Simplified Arabic" w:hAnsi="Simplified Arabic" w:hint="cs"/>
          <w:b/>
          <w:bCs/>
          <w:rtl/>
          <w:lang w:val="en-US"/>
        </w:rPr>
        <w:t>الدوري</w:t>
      </w:r>
      <w:r w:rsidRPr="00670A39">
        <w:rPr>
          <w:b/>
          <w:bCs/>
          <w:rtl/>
          <w:lang w:val="en-US"/>
        </w:rPr>
        <w:t xml:space="preserve"> </w:t>
      </w:r>
      <w:r w:rsidRPr="00670A39">
        <w:rPr>
          <w:rFonts w:ascii="Simplified Arabic" w:hAnsi="Simplified Arabic" w:hint="cs"/>
          <w:b/>
          <w:bCs/>
          <w:rtl/>
          <w:lang w:val="en-US"/>
        </w:rPr>
        <w:t>المقبل</w:t>
      </w:r>
      <w:r w:rsidRPr="00670A39">
        <w:rPr>
          <w:b/>
          <w:bCs/>
          <w:rtl/>
          <w:lang w:val="en-US"/>
        </w:rPr>
        <w:t xml:space="preserve"> </w:t>
      </w:r>
      <w:r w:rsidRPr="00670A39">
        <w:rPr>
          <w:rFonts w:ascii="Simplified Arabic" w:hAnsi="Simplified Arabic" w:hint="cs"/>
          <w:b/>
          <w:bCs/>
          <w:rtl/>
          <w:lang w:val="en-US"/>
        </w:rPr>
        <w:t>معلومات</w:t>
      </w:r>
      <w:r w:rsidRPr="00670A39">
        <w:rPr>
          <w:b/>
          <w:bCs/>
          <w:rtl/>
          <w:lang w:val="en-US"/>
        </w:rPr>
        <w:t xml:space="preserve"> </w:t>
      </w:r>
      <w:r w:rsidRPr="00670A39">
        <w:rPr>
          <w:rFonts w:ascii="Simplified Arabic" w:hAnsi="Simplified Arabic" w:hint="cs"/>
          <w:b/>
          <w:bCs/>
          <w:rtl/>
          <w:lang w:val="en-US"/>
        </w:rPr>
        <w:t>محددة</w:t>
      </w:r>
      <w:r w:rsidRPr="00670A39">
        <w:rPr>
          <w:b/>
          <w:bCs/>
          <w:rtl/>
          <w:lang w:val="en-US"/>
        </w:rPr>
        <w:t xml:space="preserve"> </w:t>
      </w:r>
      <w:r w:rsidRPr="00670A39">
        <w:rPr>
          <w:rFonts w:ascii="Simplified Arabic" w:hAnsi="Simplified Arabic" w:hint="cs"/>
          <w:b/>
          <w:bCs/>
          <w:rtl/>
          <w:lang w:val="en-US"/>
        </w:rPr>
        <w:t>عن</w:t>
      </w:r>
      <w:r w:rsidRPr="00670A39">
        <w:rPr>
          <w:b/>
          <w:bCs/>
          <w:rtl/>
          <w:lang w:val="en-US"/>
        </w:rPr>
        <w:t xml:space="preserve"> </w:t>
      </w:r>
      <w:r w:rsidRPr="00670A39">
        <w:rPr>
          <w:rFonts w:ascii="Simplified Arabic" w:hAnsi="Simplified Arabic" w:hint="cs"/>
          <w:b/>
          <w:bCs/>
          <w:rtl/>
          <w:lang w:val="en-US"/>
        </w:rPr>
        <w:t>خطط</w:t>
      </w:r>
      <w:r w:rsidRPr="00670A39">
        <w:rPr>
          <w:b/>
          <w:bCs/>
          <w:rtl/>
          <w:lang w:val="en-US"/>
        </w:rPr>
        <w:t xml:space="preserve"> </w:t>
      </w:r>
      <w:r w:rsidRPr="00670A39">
        <w:rPr>
          <w:rFonts w:ascii="Simplified Arabic" w:hAnsi="Simplified Arabic" w:hint="cs"/>
          <w:b/>
          <w:bCs/>
          <w:rtl/>
          <w:lang w:val="en-US"/>
        </w:rPr>
        <w:t>العمل</w:t>
      </w:r>
      <w:r w:rsidRPr="00670A39">
        <w:rPr>
          <w:b/>
          <w:bCs/>
          <w:rtl/>
          <w:lang w:val="en-US"/>
        </w:rPr>
        <w:t xml:space="preserve"> </w:t>
      </w:r>
      <w:r w:rsidRPr="00670A39">
        <w:rPr>
          <w:rFonts w:ascii="Simplified Arabic" w:hAnsi="Simplified Arabic" w:hint="cs"/>
          <w:b/>
          <w:bCs/>
          <w:rtl/>
          <w:lang w:val="en-US"/>
        </w:rPr>
        <w:t>والتدابير</w:t>
      </w:r>
      <w:r w:rsidRPr="00670A39">
        <w:rPr>
          <w:b/>
          <w:bCs/>
          <w:rtl/>
          <w:lang w:val="en-US"/>
        </w:rPr>
        <w:t xml:space="preserve"> </w:t>
      </w:r>
      <w:r w:rsidRPr="00670A39">
        <w:rPr>
          <w:rFonts w:ascii="Simplified Arabic" w:hAnsi="Simplified Arabic" w:hint="cs"/>
          <w:b/>
          <w:bCs/>
          <w:rtl/>
          <w:lang w:val="en-US"/>
        </w:rPr>
        <w:t>الأخرى</w:t>
      </w:r>
      <w:r w:rsidRPr="00670A39">
        <w:rPr>
          <w:b/>
          <w:bCs/>
          <w:rtl/>
          <w:lang w:val="en-US"/>
        </w:rPr>
        <w:t xml:space="preserve"> </w:t>
      </w:r>
      <w:r w:rsidRPr="00670A39">
        <w:rPr>
          <w:rFonts w:ascii="Simplified Arabic" w:hAnsi="Simplified Arabic" w:hint="cs"/>
          <w:b/>
          <w:bCs/>
          <w:rtl/>
          <w:lang w:val="en-US"/>
        </w:rPr>
        <w:t>المتّ</w:t>
      </w:r>
      <w:r w:rsidRPr="00670A39">
        <w:rPr>
          <w:b/>
          <w:bCs/>
          <w:rtl/>
          <w:lang w:val="en-US"/>
        </w:rPr>
        <w:t>خذة لتنفيذ إعلان وبرنامج عمل ديربان على الصعيد الوطني.</w:t>
      </w:r>
      <w:r w:rsidRPr="00670A39">
        <w:rPr>
          <w:b/>
          <w:bCs/>
          <w:rtl/>
          <w:lang w:val="en-US"/>
        </w:rPr>
        <w:t xml:space="preserve"> </w:t>
      </w:r>
    </w:p>
    <w:p w14:paraId="6840FA49" w14:textId="77777777" w:rsidR="000B0C31" w:rsidRPr="00670A39" w:rsidRDefault="000B0C31" w:rsidP="000B0C31">
      <w:pPr>
        <w:pStyle w:val="H23GA"/>
      </w:pPr>
      <w:r w:rsidRPr="00670A39">
        <w:rPr>
          <w:rtl/>
        </w:rPr>
        <w:tab/>
      </w:r>
      <w:r w:rsidRPr="00670A39">
        <w:rPr>
          <w:rtl/>
        </w:rPr>
        <w:tab/>
        <w:t xml:space="preserve">العقد الدولي للمنحدرين من أصل أفريقي </w:t>
      </w:r>
    </w:p>
    <w:p w14:paraId="1FCEAB7F" w14:textId="7E04B770" w:rsidR="000B0C31" w:rsidRPr="00670A39" w:rsidRDefault="000B0C31" w:rsidP="000B0C31">
      <w:pPr>
        <w:pStyle w:val="SingleTxtGA"/>
        <w:rPr>
          <w:b/>
          <w:bCs/>
          <w:lang w:val="en-US"/>
        </w:rPr>
      </w:pPr>
      <w:r w:rsidRPr="00670A39">
        <w:rPr>
          <w:rtl/>
          <w:lang w:val="en-US"/>
        </w:rPr>
        <w:t>40</w:t>
      </w:r>
      <w:r w:rsidRPr="000B0C31">
        <w:rPr>
          <w:rtl/>
          <w:lang w:val="en-US"/>
        </w:rPr>
        <w:t>-</w:t>
      </w:r>
      <w:r w:rsidRPr="000B0C31">
        <w:rPr>
          <w:rtl/>
          <w:lang w:val="en-US"/>
        </w:rPr>
        <w:tab/>
      </w:r>
      <w:r w:rsidRPr="00670A39">
        <w:rPr>
          <w:b/>
          <w:bCs/>
          <w:rtl/>
          <w:lang w:val="en-US"/>
        </w:rPr>
        <w:t>في ضوء قرار الجمعية العامة 68/237 الذي أعلنت فيه الجمعية الفترة 2015-2024 عقداً دولياً للمنحدرين من أصل أفريقي، وقرار الجمعية 69/16 بشأن برنامج الأنشطة لتنفيذ العقد، توصي اللجنة الدولة الطرف بأن تعدَّ وتنفذ برنامج تدابير وسياسات مناسباً. وتطلب اللجنة إلى الدولة الطرف أن تدرج في تقريرها المقبل معلومات دقيقة عن التدابير الملموسة المعتمدة في ذلك الإطار، مع مراعاة توصيتها العامة رقم 34(201</w:t>
      </w:r>
      <w:r w:rsidR="00702CCC" w:rsidRPr="00670A39">
        <w:rPr>
          <w:b/>
          <w:bCs/>
          <w:color w:val="000000"/>
          <w:rtl/>
          <w:lang w:val="en-US"/>
        </w:rPr>
        <w:t xml:space="preserve">1) </w:t>
      </w:r>
      <w:r w:rsidRPr="00670A39">
        <w:rPr>
          <w:b/>
          <w:bCs/>
          <w:rtl/>
          <w:lang w:val="en-US"/>
        </w:rPr>
        <w:t xml:space="preserve">بشأن التمييز العنصري ضد السكان المنحدرين من أصل أفريقي. </w:t>
      </w:r>
    </w:p>
    <w:p w14:paraId="5695ECF8" w14:textId="77777777" w:rsidR="000B0C31" w:rsidRPr="00670A39" w:rsidRDefault="000B0C31" w:rsidP="000B0C31">
      <w:pPr>
        <w:pStyle w:val="H23GA"/>
      </w:pPr>
      <w:r w:rsidRPr="00670A39">
        <w:rPr>
          <w:rtl/>
        </w:rPr>
        <w:tab/>
      </w:r>
      <w:r w:rsidRPr="00670A39">
        <w:rPr>
          <w:rtl/>
        </w:rPr>
        <w:tab/>
        <w:t>التعاون مع المجتمع الدولي</w:t>
      </w:r>
    </w:p>
    <w:p w14:paraId="50B0CB05" w14:textId="7B829D9C" w:rsidR="000B0C31" w:rsidRPr="00670A39" w:rsidRDefault="000B0C31" w:rsidP="000B0C31">
      <w:pPr>
        <w:pStyle w:val="SingleTxtGA"/>
        <w:rPr>
          <w:b/>
          <w:bCs/>
          <w:lang w:val="en-US"/>
        </w:rPr>
      </w:pPr>
      <w:r w:rsidRPr="00670A39">
        <w:rPr>
          <w:rtl/>
          <w:lang w:val="en-US"/>
        </w:rPr>
        <w:t>41</w:t>
      </w:r>
      <w:r w:rsidRPr="000B0C31">
        <w:rPr>
          <w:rtl/>
          <w:lang w:val="en-US"/>
        </w:rPr>
        <w:t>-</w:t>
      </w:r>
      <w:r w:rsidRPr="000B0C31">
        <w:rPr>
          <w:rtl/>
          <w:lang w:val="en-US"/>
        </w:rPr>
        <w:tab/>
      </w:r>
      <w:r w:rsidRPr="00670A39">
        <w:rPr>
          <w:b/>
          <w:bCs/>
          <w:rtl/>
          <w:lang w:val="en-US"/>
        </w:rPr>
        <w:t>توصي اللجنة الدولة الطرف بمواصلة التشاور وزيادة التحاور مع منظّمات المجتمع المدني العاملة في مجال حماية حقوق الإنسان، ولا سيما المنظّمات التي تعمل على مكافحة التمييز العنصري، بما في ذلك المنظمات التي تمثل الفئات الأكثر عرضةً للتمييز العنصري، في سياق إعداد التقرير الدوري المقبل ومتابعة هذه الملاحظات الختامية.</w:t>
      </w:r>
    </w:p>
    <w:p w14:paraId="2969725C" w14:textId="77777777" w:rsidR="000B0C31" w:rsidRPr="00670A39" w:rsidRDefault="000B0C31" w:rsidP="000B0C31">
      <w:pPr>
        <w:pStyle w:val="H23GA"/>
      </w:pPr>
      <w:r w:rsidRPr="00670A39">
        <w:rPr>
          <w:rtl/>
        </w:rPr>
        <w:lastRenderedPageBreak/>
        <w:tab/>
      </w:r>
      <w:r w:rsidRPr="00670A39">
        <w:rPr>
          <w:rtl/>
        </w:rPr>
        <w:tab/>
        <w:t>نشر المعلومات</w:t>
      </w:r>
    </w:p>
    <w:p w14:paraId="4D54EA58" w14:textId="5CE55651" w:rsidR="000B0C31" w:rsidRPr="00670A39" w:rsidRDefault="000B0C31" w:rsidP="000B0C31">
      <w:pPr>
        <w:pStyle w:val="SingleTxtGA"/>
        <w:rPr>
          <w:b/>
          <w:bCs/>
          <w:lang w:val="en-US"/>
        </w:rPr>
      </w:pPr>
      <w:r w:rsidRPr="00670A39">
        <w:rPr>
          <w:rtl/>
          <w:lang w:val="en-US"/>
        </w:rPr>
        <w:t>42</w:t>
      </w:r>
      <w:r w:rsidRPr="000B0C31">
        <w:rPr>
          <w:rtl/>
          <w:lang w:val="en-US"/>
        </w:rPr>
        <w:t>-</w:t>
      </w:r>
      <w:r w:rsidRPr="000B0C31">
        <w:rPr>
          <w:rtl/>
          <w:lang w:val="en-US"/>
        </w:rPr>
        <w:tab/>
      </w:r>
      <w:r w:rsidRPr="00670A39">
        <w:rPr>
          <w:b/>
          <w:bCs/>
          <w:rtl/>
          <w:lang w:val="en-US"/>
        </w:rPr>
        <w:t>توصي اللجنة الدولة الطرف بإتاحة تقاريرها لعامة الجمهور وتيسير الاطلاع عليها وقت تقديمها، وبإتاحة الملاحظات الختامية للجنة المتعلقة بتلك التقارير لجميع الهيئات الحكومية المكلّفة بتنفيذ الاتفاقية، بما فيها البلديات، باللغات الرسمية وغيرها من اللغات الشائع استخدامها في البلد، حسب الاقتضاء.</w:t>
      </w:r>
    </w:p>
    <w:p w14:paraId="4DAF1147" w14:textId="77777777" w:rsidR="000B0C31" w:rsidRPr="00670A39" w:rsidRDefault="000B0C31" w:rsidP="000B0C31">
      <w:pPr>
        <w:pStyle w:val="H23GA"/>
      </w:pPr>
      <w:r w:rsidRPr="00670A39">
        <w:rPr>
          <w:rtl/>
        </w:rPr>
        <w:tab/>
      </w:r>
      <w:r w:rsidRPr="00670A39">
        <w:rPr>
          <w:rtl/>
        </w:rPr>
        <w:tab/>
        <w:t>الوثيقة الأساسية الموحدة</w:t>
      </w:r>
    </w:p>
    <w:p w14:paraId="5036AC6E" w14:textId="092665DA" w:rsidR="000B0C31" w:rsidRPr="00670A39" w:rsidRDefault="000B0C31" w:rsidP="000B0C31">
      <w:pPr>
        <w:pStyle w:val="SingleTxtGA"/>
        <w:rPr>
          <w:b/>
          <w:bCs/>
          <w:lang w:val="en-US"/>
        </w:rPr>
      </w:pPr>
      <w:r w:rsidRPr="00670A39">
        <w:rPr>
          <w:rtl/>
          <w:lang w:val="en-US"/>
        </w:rPr>
        <w:t>43</w:t>
      </w:r>
      <w:r w:rsidRPr="000B0C31">
        <w:rPr>
          <w:rtl/>
          <w:lang w:val="en-US"/>
        </w:rPr>
        <w:t>-</w:t>
      </w:r>
      <w:r w:rsidRPr="000B0C31">
        <w:rPr>
          <w:rtl/>
          <w:lang w:val="en-US"/>
        </w:rPr>
        <w:tab/>
      </w:r>
      <w:r w:rsidRPr="00670A39">
        <w:rPr>
          <w:b/>
          <w:bCs/>
          <w:rtl/>
          <w:lang w:val="en-US"/>
        </w:rPr>
        <w:t xml:space="preserve">تشجّع اللجنة الدولة الطرف على تحديث وثيقتها الأساسية الموحدة، التي يرجع تاريخها إلى عام 2013، </w:t>
      </w:r>
      <w:r w:rsidR="00FB7A57" w:rsidRPr="00670A39">
        <w:rPr>
          <w:b/>
          <w:bCs/>
          <w:rtl/>
          <w:lang w:val="en-US"/>
        </w:rPr>
        <w:t xml:space="preserve">وفقاً </w:t>
      </w:r>
      <w:r w:rsidRPr="00670A39">
        <w:rPr>
          <w:b/>
          <w:bCs/>
          <w:rtl/>
          <w:lang w:val="en-US"/>
        </w:rPr>
        <w:t>للمبادئ التوجيهية المنسقة لتقديم التقارير بموجب المعاهدات الدولية لحقوق الإنسان، ولا سيما المبادئ التوجيهية لتقديم وثيقة أساسية موحدة، التي اعتُمدت في الاجتماع الخامس المشترك بين لجان هيئات معاهدات حقوق الإنسان المعقود في حزيران/</w:t>
      </w:r>
      <w:proofErr w:type="gramStart"/>
      <w:r w:rsidRPr="00670A39">
        <w:rPr>
          <w:b/>
          <w:bCs/>
          <w:rtl/>
          <w:lang w:val="en-US"/>
        </w:rPr>
        <w:t>يونيه</w:t>
      </w:r>
      <w:proofErr w:type="gramEnd"/>
      <w:r w:rsidRPr="00670A39">
        <w:rPr>
          <w:b/>
          <w:bCs/>
          <w:rtl/>
          <w:lang w:val="en-US"/>
        </w:rPr>
        <w:t xml:space="preserve"> 2006</w:t>
      </w:r>
      <w:r w:rsidR="00702CCC">
        <w:rPr>
          <w:rStyle w:val="FootnoteReference"/>
          <w:szCs w:val="22"/>
          <w:rtl/>
          <w:lang w:val="en-US"/>
        </w:rPr>
        <w:t>(</w:t>
      </w:r>
      <w:r w:rsidR="00702CCC" w:rsidRPr="00670A39">
        <w:rPr>
          <w:rStyle w:val="FootnoteReference"/>
          <w:szCs w:val="22"/>
          <w:lang w:val="en-US"/>
        </w:rPr>
        <w:footnoteReference w:id="8"/>
      </w:r>
      <w:r w:rsidR="00702CCC" w:rsidRPr="00702CCC">
        <w:rPr>
          <w:color w:val="000000"/>
          <w:vertAlign w:val="superscript"/>
          <w:rtl/>
          <w:lang w:val="en-US"/>
        </w:rPr>
        <w:t>)</w:t>
      </w:r>
      <w:r w:rsidR="00702CCC" w:rsidRPr="00670A39">
        <w:rPr>
          <w:b/>
          <w:bCs/>
          <w:color w:val="000000"/>
          <w:rtl/>
          <w:lang w:val="en-US"/>
        </w:rPr>
        <w:t>.</w:t>
      </w:r>
      <w:r w:rsidR="00702CCC" w:rsidRPr="00670A39">
        <w:rPr>
          <w:b/>
          <w:bCs/>
          <w:color w:val="000000"/>
          <w:rtl/>
          <w:lang w:val="en-US"/>
        </w:rPr>
        <w:t xml:space="preserve"> </w:t>
      </w:r>
      <w:r w:rsidRPr="00670A39">
        <w:rPr>
          <w:rFonts w:ascii="Simplified Arabic" w:hAnsi="Simplified Arabic" w:hint="cs"/>
          <w:b/>
          <w:bCs/>
          <w:rtl/>
          <w:lang w:val="en-US"/>
        </w:rPr>
        <w:t>وفي</w:t>
      </w:r>
      <w:r w:rsidRPr="00670A39">
        <w:rPr>
          <w:b/>
          <w:bCs/>
          <w:rtl/>
          <w:lang w:val="en-US"/>
        </w:rPr>
        <w:t xml:space="preserve"> </w:t>
      </w:r>
      <w:r w:rsidRPr="00670A39">
        <w:rPr>
          <w:rFonts w:ascii="Simplified Arabic" w:hAnsi="Simplified Arabic" w:hint="cs"/>
          <w:b/>
          <w:bCs/>
          <w:rtl/>
          <w:lang w:val="en-US"/>
        </w:rPr>
        <w:t>ضوء</w:t>
      </w:r>
      <w:r w:rsidRPr="00670A39">
        <w:rPr>
          <w:b/>
          <w:bCs/>
          <w:rtl/>
          <w:lang w:val="en-US"/>
        </w:rPr>
        <w:t xml:space="preserve"> </w:t>
      </w:r>
      <w:r w:rsidRPr="00670A39">
        <w:rPr>
          <w:rFonts w:ascii="Simplified Arabic" w:hAnsi="Simplified Arabic" w:hint="cs"/>
          <w:b/>
          <w:bCs/>
          <w:rtl/>
          <w:lang w:val="en-US"/>
        </w:rPr>
        <w:t>قرار</w:t>
      </w:r>
      <w:r w:rsidRPr="00670A39">
        <w:rPr>
          <w:b/>
          <w:bCs/>
          <w:rtl/>
          <w:lang w:val="en-US"/>
        </w:rPr>
        <w:t xml:space="preserve"> </w:t>
      </w:r>
      <w:r w:rsidRPr="00670A39">
        <w:rPr>
          <w:rFonts w:ascii="Simplified Arabic" w:hAnsi="Simplified Arabic" w:hint="cs"/>
          <w:b/>
          <w:bCs/>
          <w:rtl/>
          <w:lang w:val="en-US"/>
        </w:rPr>
        <w:t>الجمعية</w:t>
      </w:r>
      <w:r w:rsidRPr="00670A39">
        <w:rPr>
          <w:b/>
          <w:bCs/>
          <w:rtl/>
          <w:lang w:val="en-US"/>
        </w:rPr>
        <w:t xml:space="preserve"> </w:t>
      </w:r>
      <w:r w:rsidRPr="00670A39">
        <w:rPr>
          <w:rFonts w:ascii="Simplified Arabic" w:hAnsi="Simplified Arabic" w:hint="cs"/>
          <w:b/>
          <w:bCs/>
          <w:rtl/>
          <w:lang w:val="en-US"/>
        </w:rPr>
        <w:t>العامة</w:t>
      </w:r>
      <w:r w:rsidRPr="00670A39">
        <w:rPr>
          <w:b/>
          <w:bCs/>
          <w:rtl/>
          <w:lang w:val="en-US"/>
        </w:rPr>
        <w:t xml:space="preserve"> 68/268</w:t>
      </w:r>
      <w:r w:rsidRPr="00670A39">
        <w:rPr>
          <w:rFonts w:ascii="Simplified Arabic" w:hAnsi="Simplified Arabic" w:hint="cs"/>
          <w:b/>
          <w:bCs/>
          <w:rtl/>
          <w:lang w:val="en-US"/>
        </w:rPr>
        <w:t>،</w:t>
      </w:r>
      <w:r w:rsidRPr="00670A39">
        <w:rPr>
          <w:b/>
          <w:bCs/>
          <w:rtl/>
          <w:lang w:val="en-US"/>
        </w:rPr>
        <w:t xml:space="preserve"> </w:t>
      </w:r>
      <w:r w:rsidRPr="00670A39">
        <w:rPr>
          <w:rFonts w:ascii="Simplified Arabic" w:hAnsi="Simplified Arabic" w:hint="cs"/>
          <w:b/>
          <w:bCs/>
          <w:rtl/>
          <w:lang w:val="en-US"/>
        </w:rPr>
        <w:t>تحث</w:t>
      </w:r>
      <w:r w:rsidRPr="00670A39">
        <w:rPr>
          <w:b/>
          <w:bCs/>
          <w:rtl/>
          <w:lang w:val="en-US"/>
        </w:rPr>
        <w:t xml:space="preserve"> </w:t>
      </w:r>
      <w:r w:rsidRPr="00670A39">
        <w:rPr>
          <w:rFonts w:ascii="Simplified Arabic" w:hAnsi="Simplified Arabic" w:hint="cs"/>
          <w:b/>
          <w:bCs/>
          <w:rtl/>
          <w:lang w:val="en-US"/>
        </w:rPr>
        <w:t>اللجنة</w:t>
      </w:r>
      <w:r w:rsidRPr="00670A39">
        <w:rPr>
          <w:b/>
          <w:bCs/>
          <w:rtl/>
          <w:lang w:val="en-US"/>
        </w:rPr>
        <w:t xml:space="preserve"> </w:t>
      </w:r>
      <w:r w:rsidRPr="00670A39">
        <w:rPr>
          <w:rFonts w:ascii="Simplified Arabic" w:hAnsi="Simplified Arabic" w:hint="cs"/>
          <w:b/>
          <w:bCs/>
          <w:rtl/>
          <w:lang w:val="en-US"/>
        </w:rPr>
        <w:t>الدولة</w:t>
      </w:r>
      <w:r w:rsidRPr="00670A39">
        <w:rPr>
          <w:b/>
          <w:bCs/>
          <w:rtl/>
          <w:lang w:val="en-US"/>
        </w:rPr>
        <w:t xml:space="preserve"> </w:t>
      </w:r>
      <w:r w:rsidRPr="00670A39">
        <w:rPr>
          <w:rFonts w:ascii="Simplified Arabic" w:hAnsi="Simplified Arabic" w:hint="cs"/>
          <w:b/>
          <w:bCs/>
          <w:rtl/>
          <w:lang w:val="en-US"/>
        </w:rPr>
        <w:t>الطرف</w:t>
      </w:r>
      <w:r w:rsidRPr="00670A39">
        <w:rPr>
          <w:b/>
          <w:bCs/>
          <w:rtl/>
          <w:lang w:val="en-US"/>
        </w:rPr>
        <w:t xml:space="preserve"> </w:t>
      </w:r>
      <w:r w:rsidRPr="00670A39">
        <w:rPr>
          <w:rFonts w:ascii="Simplified Arabic" w:hAnsi="Simplified Arabic" w:hint="cs"/>
          <w:b/>
          <w:bCs/>
          <w:rtl/>
          <w:lang w:val="en-US"/>
        </w:rPr>
        <w:t>على</w:t>
      </w:r>
      <w:r w:rsidRPr="00670A39">
        <w:rPr>
          <w:b/>
          <w:bCs/>
          <w:rtl/>
          <w:lang w:val="en-US"/>
        </w:rPr>
        <w:t xml:space="preserve"> </w:t>
      </w:r>
      <w:r w:rsidRPr="00670A39">
        <w:rPr>
          <w:rFonts w:ascii="Simplified Arabic" w:hAnsi="Simplified Arabic" w:hint="cs"/>
          <w:b/>
          <w:bCs/>
          <w:rtl/>
          <w:lang w:val="en-US"/>
        </w:rPr>
        <w:t>التقيد</w:t>
      </w:r>
      <w:r w:rsidRPr="00670A39">
        <w:rPr>
          <w:b/>
          <w:bCs/>
          <w:rtl/>
          <w:lang w:val="en-US"/>
        </w:rPr>
        <w:t xml:space="preserve"> </w:t>
      </w:r>
      <w:r w:rsidRPr="00670A39">
        <w:rPr>
          <w:rFonts w:ascii="Simplified Arabic" w:hAnsi="Simplified Arabic" w:hint="cs"/>
          <w:b/>
          <w:bCs/>
          <w:rtl/>
          <w:lang w:val="en-US"/>
        </w:rPr>
        <w:t>بالحد</w:t>
      </w:r>
      <w:r w:rsidRPr="00670A39">
        <w:rPr>
          <w:b/>
          <w:bCs/>
          <w:rtl/>
          <w:lang w:val="en-US"/>
        </w:rPr>
        <w:t xml:space="preserve"> </w:t>
      </w:r>
      <w:r w:rsidRPr="00670A39">
        <w:rPr>
          <w:rFonts w:ascii="Simplified Arabic" w:hAnsi="Simplified Arabic" w:hint="cs"/>
          <w:b/>
          <w:bCs/>
          <w:rtl/>
          <w:lang w:val="en-US"/>
        </w:rPr>
        <w:t>الأقصى</w:t>
      </w:r>
      <w:r w:rsidRPr="00670A39">
        <w:rPr>
          <w:b/>
          <w:bCs/>
          <w:rtl/>
          <w:lang w:val="en-US"/>
        </w:rPr>
        <w:t xml:space="preserve"> </w:t>
      </w:r>
      <w:r w:rsidRPr="00670A39">
        <w:rPr>
          <w:rFonts w:ascii="Simplified Arabic" w:hAnsi="Simplified Arabic" w:hint="cs"/>
          <w:b/>
          <w:bCs/>
          <w:rtl/>
          <w:lang w:val="en-US"/>
        </w:rPr>
        <w:t>لعدد</w:t>
      </w:r>
      <w:r w:rsidRPr="00670A39">
        <w:rPr>
          <w:b/>
          <w:bCs/>
          <w:rtl/>
          <w:lang w:val="en-US"/>
        </w:rPr>
        <w:t xml:space="preserve"> </w:t>
      </w:r>
      <w:r w:rsidRPr="00670A39">
        <w:rPr>
          <w:rFonts w:ascii="Simplified Arabic" w:hAnsi="Simplified Arabic" w:hint="cs"/>
          <w:b/>
          <w:bCs/>
          <w:rtl/>
          <w:lang w:val="en-US"/>
        </w:rPr>
        <w:t>الكلمات</w:t>
      </w:r>
      <w:r w:rsidRPr="00670A39">
        <w:rPr>
          <w:b/>
          <w:bCs/>
          <w:rtl/>
          <w:lang w:val="en-US"/>
        </w:rPr>
        <w:t xml:space="preserve"> </w:t>
      </w:r>
      <w:r w:rsidRPr="00670A39">
        <w:rPr>
          <w:rFonts w:ascii="Simplified Arabic" w:hAnsi="Simplified Arabic" w:hint="cs"/>
          <w:b/>
          <w:bCs/>
          <w:rtl/>
          <w:lang w:val="en-US"/>
        </w:rPr>
        <w:t>في</w:t>
      </w:r>
      <w:r w:rsidRPr="00670A39">
        <w:rPr>
          <w:b/>
          <w:bCs/>
          <w:rtl/>
          <w:lang w:val="en-US"/>
        </w:rPr>
        <w:t xml:space="preserve"> </w:t>
      </w:r>
      <w:r w:rsidRPr="00670A39">
        <w:rPr>
          <w:rFonts w:ascii="Simplified Arabic" w:hAnsi="Simplified Arabic" w:hint="cs"/>
          <w:b/>
          <w:bCs/>
          <w:rtl/>
          <w:lang w:val="en-US"/>
        </w:rPr>
        <w:t>هذه</w:t>
      </w:r>
      <w:r w:rsidRPr="00670A39">
        <w:rPr>
          <w:b/>
          <w:bCs/>
          <w:rtl/>
          <w:lang w:val="en-US"/>
        </w:rPr>
        <w:t xml:space="preserve"> </w:t>
      </w:r>
      <w:r w:rsidRPr="00670A39">
        <w:rPr>
          <w:rFonts w:ascii="Simplified Arabic" w:hAnsi="Simplified Arabic" w:hint="cs"/>
          <w:b/>
          <w:bCs/>
          <w:rtl/>
          <w:lang w:val="en-US"/>
        </w:rPr>
        <w:t>الوثائق،</w:t>
      </w:r>
      <w:r w:rsidRPr="00670A39">
        <w:rPr>
          <w:b/>
          <w:bCs/>
          <w:rtl/>
          <w:lang w:val="en-US"/>
        </w:rPr>
        <w:t xml:space="preserve"> </w:t>
      </w:r>
      <w:r w:rsidRPr="00670A39">
        <w:rPr>
          <w:rFonts w:ascii="Simplified Arabic" w:hAnsi="Simplified Arabic" w:hint="cs"/>
          <w:b/>
          <w:bCs/>
          <w:rtl/>
          <w:lang w:val="en-US"/>
        </w:rPr>
        <w:t>وهو</w:t>
      </w:r>
      <w:r w:rsidRPr="00670A39">
        <w:rPr>
          <w:b/>
          <w:bCs/>
          <w:rtl/>
          <w:lang w:val="en-US"/>
        </w:rPr>
        <w:t xml:space="preserve"> 400 42 </w:t>
      </w:r>
      <w:r w:rsidRPr="00670A39">
        <w:rPr>
          <w:rFonts w:ascii="Simplified Arabic" w:hAnsi="Simplified Arabic" w:hint="cs"/>
          <w:b/>
          <w:bCs/>
          <w:rtl/>
          <w:lang w:val="en-US"/>
        </w:rPr>
        <w:t>كلمة</w:t>
      </w:r>
      <w:r w:rsidRPr="00670A39">
        <w:rPr>
          <w:b/>
          <w:bCs/>
          <w:rtl/>
          <w:lang w:val="en-US"/>
        </w:rPr>
        <w:t>.</w:t>
      </w:r>
    </w:p>
    <w:p w14:paraId="5C81D76B" w14:textId="32B5D3C0" w:rsidR="000B0C31" w:rsidRPr="00670A39" w:rsidRDefault="000B0C31" w:rsidP="000B0C31">
      <w:pPr>
        <w:pStyle w:val="H23GA"/>
      </w:pPr>
      <w:r w:rsidRPr="00670A39">
        <w:rPr>
          <w:rtl/>
        </w:rPr>
        <w:tab/>
      </w:r>
      <w:r w:rsidRPr="00670A39">
        <w:rPr>
          <w:rtl/>
        </w:rPr>
        <w:tab/>
        <w:t>متابعة هذه الملاحظات الختامية</w:t>
      </w:r>
    </w:p>
    <w:p w14:paraId="7C320D71" w14:textId="19630A20" w:rsidR="000B0C31" w:rsidRPr="00670A39" w:rsidRDefault="000B0C31" w:rsidP="000B0C31">
      <w:pPr>
        <w:pStyle w:val="SingleTxtGA"/>
        <w:rPr>
          <w:b/>
          <w:bCs/>
          <w:lang w:val="en-US"/>
        </w:rPr>
      </w:pPr>
      <w:r w:rsidRPr="00670A39">
        <w:rPr>
          <w:rtl/>
          <w:lang w:val="en-US"/>
        </w:rPr>
        <w:t>44</w:t>
      </w:r>
      <w:r w:rsidRPr="000B0C31">
        <w:rPr>
          <w:rtl/>
          <w:lang w:val="en-US"/>
        </w:rPr>
        <w:t>-</w:t>
      </w:r>
      <w:r w:rsidRPr="000B0C31">
        <w:rPr>
          <w:rtl/>
          <w:lang w:val="en-US"/>
        </w:rPr>
        <w:tab/>
      </w:r>
      <w:r w:rsidRPr="00670A39">
        <w:rPr>
          <w:b/>
          <w:bCs/>
          <w:rtl/>
          <w:lang w:val="en-US"/>
        </w:rPr>
        <w:t xml:space="preserve">تطلب اللجنة إلى الدولة الطرف، </w:t>
      </w:r>
      <w:r w:rsidR="00FB7A57" w:rsidRPr="00670A39">
        <w:rPr>
          <w:b/>
          <w:bCs/>
          <w:rtl/>
          <w:lang w:val="en-US"/>
        </w:rPr>
        <w:t xml:space="preserve">وفقاً </w:t>
      </w:r>
      <w:r w:rsidRPr="00670A39">
        <w:rPr>
          <w:b/>
          <w:bCs/>
          <w:rtl/>
          <w:lang w:val="en-US"/>
        </w:rPr>
        <w:t>للفقرة (</w:t>
      </w:r>
      <w:r w:rsidR="00702CCC" w:rsidRPr="00670A39">
        <w:rPr>
          <w:b/>
          <w:bCs/>
          <w:color w:val="000000"/>
          <w:rtl/>
          <w:lang w:val="en-US"/>
        </w:rPr>
        <w:t xml:space="preserve">1) </w:t>
      </w:r>
      <w:r w:rsidRPr="00670A39">
        <w:rPr>
          <w:b/>
          <w:bCs/>
          <w:rtl/>
          <w:lang w:val="en-US"/>
        </w:rPr>
        <w:t>من المادة 9 من الاتفاقية والمادة 65 من نظامها الداخلي، أن تقدّم، في غضون سنة واحدة من اعتماد هذه الملاحظات الختامية، معلومات عن تنفيذها التوصيات الواردة في الفقرتين 19 (حالة الأقليات والشعوب الأصلية) و31 (تسجيل المواليد ووثائق الهوية) أعلاه.</w:t>
      </w:r>
    </w:p>
    <w:p w14:paraId="273AA5A2" w14:textId="7BF598D0" w:rsidR="000B0C31" w:rsidRPr="00670A39" w:rsidRDefault="000B0C31" w:rsidP="000B0C31">
      <w:pPr>
        <w:pStyle w:val="H23GA"/>
      </w:pPr>
      <w:r w:rsidRPr="00670A39">
        <w:rPr>
          <w:rtl/>
        </w:rPr>
        <w:tab/>
      </w:r>
      <w:r w:rsidRPr="00670A39">
        <w:rPr>
          <w:rtl/>
        </w:rPr>
        <w:tab/>
        <w:t>الفقرات ذات الأهمية الخاصة</w:t>
      </w:r>
    </w:p>
    <w:p w14:paraId="0FF0FBD1" w14:textId="76CD6623" w:rsidR="000B0C31" w:rsidRPr="00670A39" w:rsidRDefault="000B0C31" w:rsidP="000B0C31">
      <w:pPr>
        <w:pStyle w:val="SingleTxtGA"/>
        <w:rPr>
          <w:b/>
          <w:bCs/>
          <w:lang w:val="en-US"/>
        </w:rPr>
      </w:pPr>
      <w:r w:rsidRPr="00670A39">
        <w:rPr>
          <w:rtl/>
          <w:lang w:val="en-US"/>
        </w:rPr>
        <w:t>45</w:t>
      </w:r>
      <w:r w:rsidRPr="000B0C31">
        <w:rPr>
          <w:rtl/>
          <w:lang w:val="en-US"/>
        </w:rPr>
        <w:t>-</w:t>
      </w:r>
      <w:r w:rsidRPr="000B0C31">
        <w:rPr>
          <w:rtl/>
          <w:lang w:val="en-US"/>
        </w:rPr>
        <w:tab/>
      </w:r>
      <w:r w:rsidRPr="00670A39">
        <w:rPr>
          <w:b/>
          <w:bCs/>
          <w:rtl/>
          <w:lang w:val="en-US"/>
        </w:rPr>
        <w:t xml:space="preserve">تود اللجنة أن توجه انتباه الدولة الطرف إلى الأهمية الخاصة للتوصيات الواردة في الفقرات 21 (التدابير الخاصة الرامية إلى معالجة أوجه عدم المساواة في منطقتيْ الشمال الغربي والجنوب الغربي) و23 (حالة الجماعات الإثنية </w:t>
      </w:r>
      <w:r w:rsidR="00D5311C" w:rsidRPr="00670A39">
        <w:rPr>
          <w:b/>
          <w:bCs/>
          <w:rtl/>
          <w:lang w:val="en-US"/>
        </w:rPr>
        <w:t>والإثنية - اللغوية والإثنية - الدينية</w:t>
      </w:r>
      <w:r w:rsidRPr="00670A39">
        <w:rPr>
          <w:b/>
          <w:bCs/>
          <w:rtl/>
          <w:lang w:val="en-US"/>
        </w:rPr>
        <w:t xml:space="preserve"> والشعوب الأصلية في سياق الأزمات والحالة الأمنية) و27 (الحقوق المتعلقة بالأراضي) و29 (المشردون داخلياً) أعلاه، وأن تطلب إلى الدولة الطرف تضمين تقريرها الدوري المقبل معلومات مفصّلة عن التدابير الملموسة المتخذة لتنفيذ تلك التوصيات.</w:t>
      </w:r>
    </w:p>
    <w:p w14:paraId="2AF92ABD" w14:textId="74930610" w:rsidR="000B0C31" w:rsidRPr="00670A39" w:rsidRDefault="000B0C31" w:rsidP="000B0C31">
      <w:pPr>
        <w:pStyle w:val="H23GA"/>
      </w:pPr>
      <w:r w:rsidRPr="00670A39">
        <w:rPr>
          <w:rtl/>
        </w:rPr>
        <w:tab/>
      </w:r>
      <w:r w:rsidRPr="00670A39">
        <w:rPr>
          <w:rtl/>
        </w:rPr>
        <w:tab/>
        <w:t>إعداد التقرير الدوري المقبل</w:t>
      </w:r>
    </w:p>
    <w:p w14:paraId="33E955C6" w14:textId="2BDC9C9E" w:rsidR="000B0C31" w:rsidRPr="00670A39" w:rsidRDefault="000B0C31" w:rsidP="000B0C31">
      <w:pPr>
        <w:pStyle w:val="SingleTxtGA"/>
        <w:rPr>
          <w:b/>
          <w:bCs/>
          <w:lang w:val="en-US"/>
        </w:rPr>
      </w:pPr>
      <w:r w:rsidRPr="00670A39">
        <w:rPr>
          <w:rtl/>
          <w:lang w:val="en-US"/>
        </w:rPr>
        <w:t>46</w:t>
      </w:r>
      <w:r w:rsidRPr="000B0C31">
        <w:rPr>
          <w:rtl/>
          <w:lang w:val="en-US"/>
        </w:rPr>
        <w:t>-</w:t>
      </w:r>
      <w:r w:rsidRPr="000B0C31">
        <w:rPr>
          <w:rtl/>
          <w:lang w:val="en-US"/>
        </w:rPr>
        <w:tab/>
      </w:r>
      <w:r w:rsidRPr="00670A39">
        <w:rPr>
          <w:b/>
          <w:bCs/>
          <w:rtl/>
          <w:lang w:val="en-US"/>
        </w:rPr>
        <w:t>توصي اللجنة الدولة الطرف بأن تقدم تقريرها الجامع للتقارير الدورية من الرابع والعشرين إلى</w:t>
      </w:r>
      <w:r w:rsidR="00895D86" w:rsidRPr="00670A39">
        <w:rPr>
          <w:rFonts w:hint="cs"/>
          <w:b/>
          <w:bCs/>
          <w:rtl/>
          <w:lang w:val="en-US"/>
        </w:rPr>
        <w:t> </w:t>
      </w:r>
      <w:r w:rsidRPr="00670A39">
        <w:rPr>
          <w:b/>
          <w:bCs/>
          <w:rtl/>
          <w:lang w:val="en-US"/>
        </w:rPr>
        <w:t>السابع والعشرين بحلول 24 حزيران/</w:t>
      </w:r>
      <w:proofErr w:type="gramStart"/>
      <w:r w:rsidRPr="00670A39">
        <w:rPr>
          <w:b/>
          <w:bCs/>
          <w:rtl/>
          <w:lang w:val="en-US"/>
        </w:rPr>
        <w:t>يونيه</w:t>
      </w:r>
      <w:proofErr w:type="gramEnd"/>
      <w:r w:rsidRPr="00670A39">
        <w:rPr>
          <w:b/>
          <w:bCs/>
          <w:rtl/>
          <w:lang w:val="en-US"/>
        </w:rPr>
        <w:t xml:space="preserve"> 2025، مع مراعاة المبادئ التوجيهية لإعداد الوثيقة الخاصة بالاتفاقية التي اعتمدتها اللجنة في دورتها الحادية والسبعين</w:t>
      </w:r>
      <w:r w:rsidR="00702CCC">
        <w:rPr>
          <w:rStyle w:val="FootnoteReference"/>
          <w:szCs w:val="22"/>
          <w:rtl/>
          <w:lang w:val="en-US"/>
        </w:rPr>
        <w:t>(</w:t>
      </w:r>
      <w:r w:rsidR="00702CCC" w:rsidRPr="00670A39">
        <w:rPr>
          <w:rStyle w:val="FootnoteReference"/>
          <w:szCs w:val="22"/>
          <w:lang w:val="en-US"/>
        </w:rPr>
        <w:footnoteReference w:id="9"/>
      </w:r>
      <w:r w:rsidR="00702CCC" w:rsidRPr="00702CCC">
        <w:rPr>
          <w:vertAlign w:val="superscript"/>
          <w:rtl/>
          <w:lang w:val="en-US"/>
        </w:rPr>
        <w:t>)</w:t>
      </w:r>
      <w:r w:rsidRPr="00670A39">
        <w:rPr>
          <w:b/>
          <w:bCs/>
          <w:rtl/>
          <w:lang w:val="en-US"/>
        </w:rPr>
        <w:t xml:space="preserve"> </w:t>
      </w:r>
      <w:r w:rsidRPr="00670A39">
        <w:rPr>
          <w:b/>
          <w:bCs/>
          <w:rtl/>
          <w:lang w:val="en-US"/>
        </w:rPr>
        <w:t>ومع معالجة جميع النقاط التي أثيرت في هذه الملاحظات الختامية. وفي ضوء قرار الجمعية العامة 68/268، تحث اللجنة الدولة الطرف على التقيد بالحد الأقصى لعدد الكلمات البالغ 200 21 كلمة للتقارير الدورية.</w:t>
      </w:r>
    </w:p>
    <w:p w14:paraId="6BA092B9" w14:textId="0A29BD32" w:rsidR="000B0C31" w:rsidRPr="000B0C31" w:rsidRDefault="000B0C31" w:rsidP="000B0C31">
      <w:pPr>
        <w:pStyle w:val="SingleTxtGA"/>
        <w:jc w:val="center"/>
        <w:rPr>
          <w:rFonts w:hint="cs"/>
          <w:u w:val="single"/>
          <w:rtl/>
        </w:rPr>
      </w:pPr>
      <w:r>
        <w:rPr>
          <w:u w:val="single"/>
          <w:rtl/>
        </w:rPr>
        <w:tab/>
      </w:r>
      <w:r>
        <w:rPr>
          <w:u w:val="single"/>
          <w:rtl/>
        </w:rPr>
        <w:tab/>
      </w:r>
      <w:r>
        <w:rPr>
          <w:u w:val="single"/>
          <w:rtl/>
        </w:rPr>
        <w:tab/>
      </w:r>
    </w:p>
    <w:sectPr w:rsidR="000B0C31" w:rsidRPr="000B0C31" w:rsidSect="00A671A9">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9595E" w14:textId="77777777" w:rsidR="00087FE9" w:rsidRPr="002901D9" w:rsidRDefault="00087FE9" w:rsidP="007E37DC">
      <w:pPr>
        <w:spacing w:after="60" w:line="240" w:lineRule="auto"/>
        <w:ind w:left="57"/>
        <w:rPr>
          <w:i/>
          <w:iCs/>
        </w:rPr>
      </w:pPr>
      <w:r>
        <w:rPr>
          <w:rFonts w:hint="cs"/>
          <w:i/>
          <w:iCs/>
          <w:rtl/>
        </w:rPr>
        <w:t>الحواشي</w:t>
      </w:r>
    </w:p>
  </w:endnote>
  <w:endnote w:type="continuationSeparator" w:id="0">
    <w:p w14:paraId="3ABD20BB" w14:textId="77777777" w:rsidR="00087FE9" w:rsidRDefault="00087FE9"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8AB7" w14:textId="2D4BD82B" w:rsidR="00A74E18" w:rsidRPr="00A74E18" w:rsidRDefault="00A74E18" w:rsidP="00A74E18">
    <w:pPr>
      <w:pStyle w:val="Footer"/>
      <w:tabs>
        <w:tab w:val="right" w:pos="9638"/>
      </w:tabs>
      <w:rPr>
        <w:b/>
        <w:sz w:val="18"/>
        <w:lang w:val="en-US"/>
      </w:rPr>
    </w:pPr>
    <w:r>
      <w:rPr>
        <w:lang w:val="en-US"/>
      </w:rPr>
      <w:t>GE.22-07924</w:t>
    </w:r>
    <w:r>
      <w:rPr>
        <w:lang w:val="en-US"/>
      </w:rPr>
      <w:tab/>
    </w:r>
    <w:r w:rsidRPr="00A74E18">
      <w:rPr>
        <w:b/>
        <w:sz w:val="18"/>
        <w:lang w:val="en-US"/>
      </w:rPr>
      <w:fldChar w:fldCharType="begin"/>
    </w:r>
    <w:r w:rsidRPr="00A74E18">
      <w:rPr>
        <w:b/>
        <w:sz w:val="18"/>
        <w:lang w:val="en-US"/>
      </w:rPr>
      <w:instrText xml:space="preserve"> PAGE  \* MERGEFORMAT </w:instrText>
    </w:r>
    <w:r w:rsidRPr="00A74E18">
      <w:rPr>
        <w:b/>
        <w:sz w:val="18"/>
        <w:lang w:val="en-US"/>
      </w:rPr>
      <w:fldChar w:fldCharType="separate"/>
    </w:r>
    <w:r w:rsidRPr="00A74E18">
      <w:rPr>
        <w:b/>
        <w:noProof/>
        <w:sz w:val="18"/>
        <w:lang w:val="en-US"/>
      </w:rPr>
      <w:t>2</w:t>
    </w:r>
    <w:r w:rsidRPr="00A74E18">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4A7CA" w14:textId="34008922" w:rsidR="006959B0" w:rsidRPr="00A74E18" w:rsidRDefault="00A74E18" w:rsidP="00A74E18">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GE.22-07924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27D08" w14:textId="315CB1AF" w:rsidR="00156D54" w:rsidRPr="00A74E18" w:rsidRDefault="00A74E18" w:rsidP="00A74E18">
    <w:pPr>
      <w:pStyle w:val="Footer"/>
      <w:spacing w:before="600"/>
      <w:ind w:left="567"/>
      <w:jc w:val="right"/>
      <w:rPr>
        <w:sz w:val="20"/>
        <w:lang w:val="en-US"/>
      </w:rPr>
    </w:pPr>
    <w:r>
      <w:rPr>
        <w:sz w:val="20"/>
        <w:lang w:val="en-US"/>
      </w:rPr>
      <w:t>GE.</w:t>
    </w:r>
    <w:r w:rsidR="000A3229">
      <w:rPr>
        <w:noProof/>
      </w:rPr>
      <w:drawing>
        <wp:anchor distT="0" distB="0" distL="114300" distR="114300" simplePos="0" relativeHeight="251658240" behindDoc="1" locked="1" layoutInCell="0" allowOverlap="1" wp14:anchorId="1353F3C9" wp14:editId="675BC37F">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2" name="Picture 2"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22-07924 (A)</w:t>
    </w:r>
    <w:r>
      <w:rPr>
        <w:noProof/>
        <w:sz w:val="20"/>
        <w:lang w:val="en-US"/>
      </w:rPr>
      <w:drawing>
        <wp:anchor distT="0" distB="0" distL="114300" distR="114300" simplePos="0" relativeHeight="251659264" behindDoc="0" locked="0" layoutInCell="1" allowOverlap="1" wp14:anchorId="6F70A41E" wp14:editId="25DB71D4">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1D4D9" w14:textId="77777777" w:rsidR="00087FE9" w:rsidRPr="00F46702" w:rsidRDefault="00087FE9" w:rsidP="00F46702">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15457AA3" w14:textId="77777777" w:rsidR="00087FE9" w:rsidRDefault="00087FE9" w:rsidP="00656392">
      <w:pPr>
        <w:spacing w:line="240" w:lineRule="auto"/>
      </w:pPr>
      <w:r>
        <w:continuationSeparator/>
      </w:r>
    </w:p>
  </w:footnote>
  <w:footnote w:id="1">
    <w:p w14:paraId="7CB64F1A" w14:textId="755CE050" w:rsidR="00702CCC" w:rsidRPr="00702CCC" w:rsidRDefault="00702CCC" w:rsidP="00702CCC">
      <w:pPr>
        <w:pStyle w:val="FootnoteText1"/>
        <w:rPr>
          <w:rFonts w:hint="cs"/>
          <w:rtl/>
        </w:rPr>
      </w:pPr>
      <w:r>
        <w:rPr>
          <w:rtl/>
        </w:rPr>
        <w:t>*</w:t>
      </w:r>
      <w:r>
        <w:rPr>
          <w:rtl/>
        </w:rPr>
        <w:tab/>
      </w:r>
      <w:r w:rsidRPr="00702CCC">
        <w:rPr>
          <w:rtl/>
        </w:rPr>
        <w:t xml:space="preserve">اعتمدتها اللجنة في دورتها </w:t>
      </w:r>
      <w:r w:rsidRPr="00670A39">
        <w:rPr>
          <w:rtl/>
        </w:rPr>
        <w:t>106</w:t>
      </w:r>
      <w:r w:rsidRPr="00702CCC">
        <w:rPr>
          <w:rtl/>
        </w:rPr>
        <w:t xml:space="preserve"> (</w:t>
      </w:r>
      <w:r w:rsidRPr="00670A39">
        <w:rPr>
          <w:rtl/>
        </w:rPr>
        <w:t>11</w:t>
      </w:r>
      <w:r w:rsidRPr="00702CCC">
        <w:rPr>
          <w:rtl/>
        </w:rPr>
        <w:t>-</w:t>
      </w:r>
      <w:r w:rsidRPr="00670A39">
        <w:rPr>
          <w:rtl/>
        </w:rPr>
        <w:t>29</w:t>
      </w:r>
      <w:r w:rsidRPr="00702CCC">
        <w:rPr>
          <w:rtl/>
        </w:rPr>
        <w:t xml:space="preserve"> نيسان/أبريل </w:t>
      </w:r>
      <w:r w:rsidRPr="00670A39">
        <w:rPr>
          <w:rtl/>
        </w:rPr>
        <w:t>2022</w:t>
      </w:r>
      <w:r w:rsidRPr="00702CCC">
        <w:rPr>
          <w:rtl/>
        </w:rPr>
        <w:t>).</w:t>
      </w:r>
      <w:r>
        <w:rPr>
          <w:rFonts w:hint="cs"/>
          <w:rtl/>
        </w:rPr>
        <w:t>.</w:t>
      </w:r>
    </w:p>
  </w:footnote>
  <w:footnote w:id="2">
    <w:p w14:paraId="288A3DAF" w14:textId="77777777" w:rsidR="00702CCC" w:rsidRPr="000B0C31" w:rsidRDefault="00702CCC" w:rsidP="00702CCC">
      <w:pPr>
        <w:pStyle w:val="FootnoteText1"/>
        <w:rPr>
          <w:rFonts w:hint="cs"/>
          <w:rtl/>
        </w:rPr>
      </w:pPr>
      <w:r w:rsidRPr="00702CCC">
        <w:rPr>
          <w:rtl/>
        </w:rPr>
        <w:t>(</w:t>
      </w:r>
      <w:r w:rsidRPr="00670A39">
        <w:rPr>
          <w:rStyle w:val="FootnoteReference"/>
          <w:vertAlign w:val="baseline"/>
        </w:rPr>
        <w:footnoteRef/>
      </w:r>
      <w:r w:rsidRPr="00702CCC">
        <w:rPr>
          <w:rtl/>
        </w:rPr>
        <w:t>)</w:t>
      </w:r>
      <w:r>
        <w:tab/>
      </w:r>
      <w:hyperlink r:id="rId1" w:history="1">
        <w:r w:rsidRPr="00702CCC">
          <w:rPr>
            <w:rStyle w:val="Hyperlink"/>
            <w:lang w:val="en-AU"/>
          </w:rPr>
          <w:t>CERD/C/CMR/</w:t>
        </w:r>
        <w:r w:rsidRPr="00670A39">
          <w:rPr>
            <w:rStyle w:val="Hyperlink"/>
            <w:lang w:val="en-AU"/>
          </w:rPr>
          <w:t>22</w:t>
        </w:r>
        <w:r w:rsidRPr="00702CCC">
          <w:rPr>
            <w:rStyle w:val="Hyperlink"/>
            <w:lang w:val="en-AU"/>
          </w:rPr>
          <w:t>-</w:t>
        </w:r>
        <w:r w:rsidRPr="00670A39">
          <w:rPr>
            <w:rStyle w:val="Hyperlink"/>
            <w:lang w:val="en-AU"/>
          </w:rPr>
          <w:t>23</w:t>
        </w:r>
      </w:hyperlink>
      <w:r w:rsidRPr="00702CCC">
        <w:rPr>
          <w:color w:val="000000"/>
          <w:rtl/>
        </w:rPr>
        <w:t xml:space="preserve">. </w:t>
      </w:r>
    </w:p>
  </w:footnote>
  <w:footnote w:id="3">
    <w:p w14:paraId="3559D1D7" w14:textId="77777777" w:rsidR="00702CCC" w:rsidRPr="000B0C31" w:rsidRDefault="00702CCC" w:rsidP="00702CCC">
      <w:pPr>
        <w:pStyle w:val="FootnoteText1"/>
        <w:rPr>
          <w:rFonts w:hint="cs"/>
          <w:rtl/>
        </w:rPr>
      </w:pPr>
      <w:r w:rsidRPr="00702CCC">
        <w:rPr>
          <w:rtl/>
        </w:rPr>
        <w:t>(</w:t>
      </w:r>
      <w:r w:rsidRPr="00670A39">
        <w:rPr>
          <w:rStyle w:val="FootnoteReference"/>
          <w:vertAlign w:val="baseline"/>
        </w:rPr>
        <w:footnoteRef/>
      </w:r>
      <w:r w:rsidRPr="00702CCC">
        <w:rPr>
          <w:rtl/>
        </w:rPr>
        <w:t>)</w:t>
      </w:r>
      <w:r>
        <w:tab/>
      </w:r>
      <w:r>
        <w:rPr>
          <w:rFonts w:hint="cs"/>
          <w:rtl/>
        </w:rPr>
        <w:t xml:space="preserve">انظر </w:t>
      </w:r>
      <w:hyperlink r:id="rId2" w:history="1">
        <w:r w:rsidRPr="00702CCC">
          <w:rPr>
            <w:rStyle w:val="Hyperlink"/>
            <w:lang w:val="en-AU"/>
          </w:rPr>
          <w:t>CERD/C/SR.</w:t>
        </w:r>
        <w:r w:rsidRPr="00670A39">
          <w:rPr>
            <w:rStyle w:val="Hyperlink"/>
            <w:lang w:val="en-AU"/>
          </w:rPr>
          <w:t>2871</w:t>
        </w:r>
      </w:hyperlink>
      <w:r w:rsidRPr="00702CCC">
        <w:rPr>
          <w:rtl/>
        </w:rPr>
        <w:t xml:space="preserve"> </w:t>
      </w:r>
      <w:r>
        <w:rPr>
          <w:rFonts w:hint="cs"/>
          <w:rtl/>
        </w:rPr>
        <w:t>و</w:t>
      </w:r>
      <w:hyperlink r:id="rId3" w:history="1">
        <w:r w:rsidRPr="00702CCC">
          <w:rPr>
            <w:rStyle w:val="Hyperlink"/>
            <w:lang w:val="en-AU"/>
          </w:rPr>
          <w:t>CERD/C/SR.</w:t>
        </w:r>
        <w:r w:rsidRPr="00670A39">
          <w:rPr>
            <w:rStyle w:val="Hyperlink"/>
            <w:lang w:val="en-AU"/>
          </w:rPr>
          <w:t>2872</w:t>
        </w:r>
      </w:hyperlink>
      <w:r w:rsidRPr="00702CCC">
        <w:rPr>
          <w:color w:val="000000"/>
          <w:rtl/>
        </w:rPr>
        <w:t xml:space="preserve">. </w:t>
      </w:r>
    </w:p>
  </w:footnote>
  <w:footnote w:id="4">
    <w:p w14:paraId="03A5FF5C" w14:textId="77777777" w:rsidR="00702CCC" w:rsidRPr="00702CCC" w:rsidRDefault="00702CCC" w:rsidP="002C4C39">
      <w:pPr>
        <w:pStyle w:val="FootnoteText1"/>
        <w:spacing w:line="260" w:lineRule="exact"/>
        <w:rPr>
          <w:rFonts w:hint="cs"/>
          <w:rtl/>
        </w:rPr>
      </w:pPr>
      <w:r w:rsidRPr="00702CCC">
        <w:rPr>
          <w:rtl/>
        </w:rPr>
        <w:t>(</w:t>
      </w:r>
      <w:r w:rsidRPr="00670A39">
        <w:rPr>
          <w:rStyle w:val="FootnoteReference"/>
          <w:vertAlign w:val="baseline"/>
        </w:rPr>
        <w:footnoteRef/>
      </w:r>
      <w:r w:rsidRPr="00702CCC">
        <w:rPr>
          <w:rtl/>
        </w:rPr>
        <w:t>)</w:t>
      </w:r>
      <w:r>
        <w:rPr>
          <w:rtl/>
        </w:rPr>
        <w:tab/>
      </w:r>
      <w:hyperlink r:id="rId4" w:history="1">
        <w:r w:rsidRPr="00702CCC">
          <w:rPr>
            <w:rStyle w:val="Hyperlink"/>
            <w:lang w:val="en-AU"/>
          </w:rPr>
          <w:t>CERD/C/</w:t>
        </w:r>
        <w:r w:rsidRPr="00670A39">
          <w:rPr>
            <w:rStyle w:val="Hyperlink"/>
            <w:lang w:val="en-AU"/>
          </w:rPr>
          <w:t>2007</w:t>
        </w:r>
        <w:r w:rsidRPr="00702CCC">
          <w:rPr>
            <w:rStyle w:val="Hyperlink"/>
            <w:lang w:val="en-AU"/>
          </w:rPr>
          <w:t>/</w:t>
        </w:r>
        <w:r w:rsidRPr="00670A39">
          <w:rPr>
            <w:rStyle w:val="Hyperlink"/>
            <w:lang w:val="en-AU"/>
          </w:rPr>
          <w:t>1</w:t>
        </w:r>
      </w:hyperlink>
      <w:r w:rsidRPr="00702CCC">
        <w:rPr>
          <w:color w:val="000000"/>
          <w:rtl/>
        </w:rPr>
        <w:t xml:space="preserve">. </w:t>
      </w:r>
    </w:p>
  </w:footnote>
  <w:footnote w:id="5">
    <w:p w14:paraId="4E8627B0" w14:textId="77777777" w:rsidR="00702CCC" w:rsidRPr="00702CCC" w:rsidRDefault="00702CCC" w:rsidP="002C4C39">
      <w:pPr>
        <w:pStyle w:val="FootnoteText1"/>
        <w:spacing w:line="260" w:lineRule="exact"/>
        <w:rPr>
          <w:rFonts w:hint="cs"/>
          <w:rtl/>
        </w:rPr>
      </w:pPr>
      <w:r w:rsidRPr="00702CCC">
        <w:rPr>
          <w:rtl/>
        </w:rPr>
        <w:t>(</w:t>
      </w:r>
      <w:r w:rsidRPr="00670A39">
        <w:rPr>
          <w:rStyle w:val="FootnoteReference"/>
          <w:vertAlign w:val="baseline"/>
        </w:rPr>
        <w:footnoteRef/>
      </w:r>
      <w:r w:rsidRPr="00702CCC">
        <w:rPr>
          <w:rtl/>
        </w:rPr>
        <w:t>)</w:t>
      </w:r>
      <w:r>
        <w:rPr>
          <w:rtl/>
        </w:rPr>
        <w:tab/>
      </w:r>
      <w:hyperlink r:id="rId5" w:history="1">
        <w:r w:rsidRPr="00702CCC">
          <w:rPr>
            <w:rStyle w:val="Hyperlink"/>
            <w:lang w:val="en-AU"/>
          </w:rPr>
          <w:t>CERD/C/CMR/CO/</w:t>
        </w:r>
        <w:r w:rsidRPr="00670A39">
          <w:rPr>
            <w:rStyle w:val="Hyperlink"/>
            <w:lang w:val="en-AU"/>
          </w:rPr>
          <w:t>19</w:t>
        </w:r>
        <w:r w:rsidRPr="00702CCC">
          <w:rPr>
            <w:rStyle w:val="Hyperlink"/>
            <w:lang w:val="en-AU"/>
          </w:rPr>
          <w:t>-</w:t>
        </w:r>
        <w:r w:rsidRPr="00670A39">
          <w:rPr>
            <w:rStyle w:val="Hyperlink"/>
            <w:lang w:val="en-AU"/>
          </w:rPr>
          <w:t>21</w:t>
        </w:r>
      </w:hyperlink>
      <w:r>
        <w:rPr>
          <w:rFonts w:hint="cs"/>
          <w:rtl/>
        </w:rPr>
        <w:t xml:space="preserve">، الفقرة </w:t>
      </w:r>
      <w:r w:rsidRPr="00670A39">
        <w:rPr>
          <w:rFonts w:hint="cs"/>
          <w:color w:val="000000"/>
          <w:rtl/>
        </w:rPr>
        <w:t>6</w:t>
      </w:r>
      <w:r w:rsidRPr="00702CCC">
        <w:rPr>
          <w:color w:val="000000"/>
          <w:rtl/>
        </w:rPr>
        <w:t xml:space="preserve">. </w:t>
      </w:r>
    </w:p>
  </w:footnote>
  <w:footnote w:id="6">
    <w:p w14:paraId="433E4691" w14:textId="77777777" w:rsidR="00702CCC" w:rsidRPr="00702CCC" w:rsidRDefault="00702CCC" w:rsidP="00702CCC">
      <w:pPr>
        <w:pStyle w:val="FootnoteText1"/>
        <w:rPr>
          <w:rFonts w:hint="cs"/>
          <w:rtl/>
        </w:rPr>
      </w:pPr>
      <w:r w:rsidRPr="00702CCC">
        <w:rPr>
          <w:rtl/>
        </w:rPr>
        <w:t>(</w:t>
      </w:r>
      <w:r w:rsidRPr="00670A39">
        <w:rPr>
          <w:rStyle w:val="FootnoteReference"/>
          <w:vertAlign w:val="baseline"/>
        </w:rPr>
        <w:footnoteRef/>
      </w:r>
      <w:r w:rsidRPr="00702CCC">
        <w:rPr>
          <w:rtl/>
        </w:rPr>
        <w:t>)</w:t>
      </w:r>
      <w:r>
        <w:rPr>
          <w:rtl/>
        </w:rPr>
        <w:tab/>
      </w:r>
      <w:hyperlink r:id="rId6" w:history="1">
        <w:r w:rsidRPr="00702CCC">
          <w:rPr>
            <w:rStyle w:val="Hyperlink"/>
            <w:lang w:val="en-AU"/>
          </w:rPr>
          <w:t>CERD/C/CMR/CO/</w:t>
        </w:r>
        <w:r w:rsidRPr="00670A39">
          <w:rPr>
            <w:rStyle w:val="Hyperlink"/>
            <w:lang w:val="en-AU"/>
          </w:rPr>
          <w:t>19</w:t>
        </w:r>
        <w:r w:rsidRPr="00702CCC">
          <w:rPr>
            <w:rStyle w:val="Hyperlink"/>
            <w:lang w:val="en-AU"/>
          </w:rPr>
          <w:t>-</w:t>
        </w:r>
        <w:r w:rsidRPr="00670A39">
          <w:rPr>
            <w:rStyle w:val="Hyperlink"/>
            <w:lang w:val="en-AU"/>
          </w:rPr>
          <w:t>21</w:t>
        </w:r>
      </w:hyperlink>
      <w:r w:rsidRPr="00702CCC">
        <w:rPr>
          <w:color w:val="000000"/>
          <w:rtl/>
        </w:rPr>
        <w:t xml:space="preserve">. </w:t>
      </w:r>
    </w:p>
  </w:footnote>
  <w:footnote w:id="7">
    <w:p w14:paraId="12BA0281" w14:textId="77777777" w:rsidR="00702CCC" w:rsidRPr="00702CCC" w:rsidRDefault="00702CCC" w:rsidP="00702CCC">
      <w:pPr>
        <w:pStyle w:val="FootnoteText1"/>
        <w:rPr>
          <w:rFonts w:hint="cs"/>
          <w:rtl/>
        </w:rPr>
      </w:pPr>
      <w:r w:rsidRPr="00702CCC">
        <w:rPr>
          <w:rtl/>
        </w:rPr>
        <w:t>(</w:t>
      </w:r>
      <w:r w:rsidRPr="00670A39">
        <w:rPr>
          <w:rStyle w:val="FootnoteReference"/>
          <w:vertAlign w:val="baseline"/>
        </w:rPr>
        <w:footnoteRef/>
      </w:r>
      <w:r w:rsidRPr="00702CCC">
        <w:rPr>
          <w:rtl/>
        </w:rPr>
        <w:t>)</w:t>
      </w:r>
      <w:r>
        <w:rPr>
          <w:rtl/>
        </w:rPr>
        <w:tab/>
      </w:r>
      <w:hyperlink r:id="rId7" w:history="1">
        <w:r w:rsidRPr="00702CCC">
          <w:rPr>
            <w:rStyle w:val="Hyperlink"/>
            <w:lang w:val="en-AU"/>
          </w:rPr>
          <w:t>CERD/C/CMR/CO/</w:t>
        </w:r>
        <w:r w:rsidRPr="00670A39">
          <w:rPr>
            <w:rStyle w:val="Hyperlink"/>
            <w:lang w:val="en-AU"/>
          </w:rPr>
          <w:t>19</w:t>
        </w:r>
        <w:r w:rsidRPr="00702CCC">
          <w:rPr>
            <w:rStyle w:val="Hyperlink"/>
            <w:lang w:val="en-AU"/>
          </w:rPr>
          <w:t>-</w:t>
        </w:r>
        <w:r w:rsidRPr="00670A39">
          <w:rPr>
            <w:rStyle w:val="Hyperlink"/>
            <w:lang w:val="en-AU"/>
          </w:rPr>
          <w:t>21</w:t>
        </w:r>
      </w:hyperlink>
      <w:r>
        <w:rPr>
          <w:rFonts w:hint="cs"/>
          <w:rtl/>
        </w:rPr>
        <w:t xml:space="preserve">، الفقرة </w:t>
      </w:r>
      <w:r w:rsidRPr="00670A39">
        <w:rPr>
          <w:rFonts w:hint="cs"/>
          <w:rtl/>
        </w:rPr>
        <w:t>1</w:t>
      </w:r>
      <w:r w:rsidRPr="00670A39">
        <w:rPr>
          <w:rFonts w:hint="cs"/>
          <w:color w:val="000000"/>
          <w:rtl/>
        </w:rPr>
        <w:t>7</w:t>
      </w:r>
      <w:r w:rsidRPr="00702CCC">
        <w:rPr>
          <w:color w:val="000000"/>
          <w:rtl/>
        </w:rPr>
        <w:t xml:space="preserve">. </w:t>
      </w:r>
    </w:p>
  </w:footnote>
  <w:footnote w:id="8">
    <w:p w14:paraId="3CFC24A2" w14:textId="77777777" w:rsidR="00702CCC" w:rsidRPr="00702CCC" w:rsidRDefault="00702CCC" w:rsidP="00702CCC">
      <w:pPr>
        <w:pStyle w:val="FootnoteText1"/>
        <w:rPr>
          <w:rFonts w:hint="cs"/>
          <w:rtl/>
        </w:rPr>
      </w:pPr>
      <w:r w:rsidRPr="00702CCC">
        <w:rPr>
          <w:rtl/>
        </w:rPr>
        <w:t>(</w:t>
      </w:r>
      <w:r w:rsidRPr="00670A39">
        <w:rPr>
          <w:rStyle w:val="FootnoteReference"/>
          <w:vertAlign w:val="baseline"/>
        </w:rPr>
        <w:footnoteRef/>
      </w:r>
      <w:r w:rsidRPr="00702CCC">
        <w:rPr>
          <w:rtl/>
        </w:rPr>
        <w:t>)</w:t>
      </w:r>
      <w:r>
        <w:rPr>
          <w:rtl/>
        </w:rPr>
        <w:tab/>
      </w:r>
      <w:hyperlink r:id="rId8" w:history="1">
        <w:r w:rsidRPr="00702CCC">
          <w:rPr>
            <w:rStyle w:val="Hyperlink"/>
            <w:lang w:val="en-AU"/>
          </w:rPr>
          <w:t>HRI/GEN/</w:t>
        </w:r>
        <w:r w:rsidRPr="00670A39">
          <w:rPr>
            <w:rStyle w:val="Hyperlink"/>
            <w:lang w:val="en-AU"/>
          </w:rPr>
          <w:t>2</w:t>
        </w:r>
        <w:r w:rsidRPr="00702CCC">
          <w:rPr>
            <w:rStyle w:val="Hyperlink"/>
            <w:lang w:val="en-AU"/>
          </w:rPr>
          <w:t>/Rev.</w:t>
        </w:r>
        <w:r w:rsidRPr="00670A39">
          <w:rPr>
            <w:rStyle w:val="Hyperlink"/>
            <w:lang w:val="en-AU"/>
          </w:rPr>
          <w:t>6</w:t>
        </w:r>
      </w:hyperlink>
      <w:r>
        <w:rPr>
          <w:rFonts w:hint="cs"/>
          <w:rtl/>
        </w:rPr>
        <w:t>، الفصل الأول</w:t>
      </w:r>
      <w:r>
        <w:rPr>
          <w:rtl/>
        </w:rPr>
        <w:t xml:space="preserve">. </w:t>
      </w:r>
    </w:p>
  </w:footnote>
  <w:footnote w:id="9">
    <w:p w14:paraId="2C8CDEA4" w14:textId="77777777" w:rsidR="00702CCC" w:rsidRPr="00702CCC" w:rsidRDefault="00702CCC" w:rsidP="00702CCC">
      <w:pPr>
        <w:pStyle w:val="FootnoteText1"/>
        <w:rPr>
          <w:rFonts w:hint="cs"/>
          <w:rtl/>
        </w:rPr>
      </w:pPr>
      <w:r w:rsidRPr="00702CCC">
        <w:rPr>
          <w:rtl/>
        </w:rPr>
        <w:t>(</w:t>
      </w:r>
      <w:r w:rsidRPr="00670A39">
        <w:rPr>
          <w:rStyle w:val="FootnoteReference"/>
          <w:vertAlign w:val="baseline"/>
        </w:rPr>
        <w:footnoteRef/>
      </w:r>
      <w:r w:rsidRPr="00702CCC">
        <w:rPr>
          <w:rtl/>
        </w:rPr>
        <w:t>)</w:t>
      </w:r>
      <w:r>
        <w:rPr>
          <w:rtl/>
        </w:rPr>
        <w:tab/>
      </w:r>
      <w:hyperlink r:id="rId9" w:history="1">
        <w:r w:rsidRPr="00702CCC">
          <w:rPr>
            <w:rStyle w:val="Hyperlink"/>
            <w:lang w:val="en-AU"/>
          </w:rPr>
          <w:t>CERD/C/</w:t>
        </w:r>
        <w:r w:rsidRPr="00670A39">
          <w:rPr>
            <w:rStyle w:val="Hyperlink"/>
            <w:lang w:val="en-AU"/>
          </w:rPr>
          <w:t>2007</w:t>
        </w:r>
        <w:r w:rsidRPr="00702CCC">
          <w:rPr>
            <w:rStyle w:val="Hyperlink"/>
            <w:lang w:val="en-AU"/>
          </w:rPr>
          <w:t>/</w:t>
        </w:r>
        <w:r w:rsidRPr="00670A39">
          <w:rPr>
            <w:rStyle w:val="Hyperlink"/>
            <w:lang w:val="en-AU"/>
          </w:rPr>
          <w:t>1</w:t>
        </w:r>
      </w:hyperlink>
      <w:r w:rsidRPr="00702CCC">
        <w:rPr>
          <w:color w:val="000000"/>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D99AC" w14:textId="4E4A904B" w:rsidR="00A74E18" w:rsidRPr="00A74E18" w:rsidRDefault="00A74E18" w:rsidP="00A74E18">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CERD/C/CMR/CO/22-23</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59EEA" w14:textId="1AC112D1" w:rsidR="00A74E18" w:rsidRPr="00A74E18" w:rsidRDefault="00A74E18" w:rsidP="00A74E18">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CERD/C/CMR/CO/22-23</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4"/>
  </w:num>
  <w:num w:numId="13">
    <w:abstractNumId w:val="3"/>
  </w:num>
  <w:num w:numId="14">
    <w:abstractNumId w:val="16"/>
  </w:num>
  <w:num w:numId="15">
    <w:abstractNumId w:val="13"/>
  </w:num>
  <w:num w:numId="16">
    <w:abstractNumId w:val="1"/>
  </w:num>
  <w:num w:numId="17">
    <w:abstractNumId w:val="14"/>
  </w:num>
  <w:num w:numId="18">
    <w:abstractNumId w:val="0"/>
  </w:num>
  <w:num w:numId="19">
    <w:abstractNumId w:val="9"/>
  </w:num>
  <w:num w:numId="20">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4">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25">
    <w:abstractNumId w:val="7"/>
  </w:num>
  <w:num w:numId="26">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FE9"/>
    <w:rsid w:val="000076D5"/>
    <w:rsid w:val="00043663"/>
    <w:rsid w:val="000505CF"/>
    <w:rsid w:val="00061207"/>
    <w:rsid w:val="00087FE9"/>
    <w:rsid w:val="000A3229"/>
    <w:rsid w:val="000B0C31"/>
    <w:rsid w:val="000D5F55"/>
    <w:rsid w:val="000D701C"/>
    <w:rsid w:val="000E2A71"/>
    <w:rsid w:val="00156D54"/>
    <w:rsid w:val="00160263"/>
    <w:rsid w:val="00181F96"/>
    <w:rsid w:val="00186F74"/>
    <w:rsid w:val="001A1371"/>
    <w:rsid w:val="001B346A"/>
    <w:rsid w:val="001E1CAD"/>
    <w:rsid w:val="001E290D"/>
    <w:rsid w:val="002144FA"/>
    <w:rsid w:val="0023469A"/>
    <w:rsid w:val="00243C8A"/>
    <w:rsid w:val="0026057C"/>
    <w:rsid w:val="00263543"/>
    <w:rsid w:val="00267A0E"/>
    <w:rsid w:val="00276D72"/>
    <w:rsid w:val="002901D9"/>
    <w:rsid w:val="002976C2"/>
    <w:rsid w:val="002C4C39"/>
    <w:rsid w:val="002D2D42"/>
    <w:rsid w:val="002E002F"/>
    <w:rsid w:val="003110CF"/>
    <w:rsid w:val="003260FF"/>
    <w:rsid w:val="00326A5E"/>
    <w:rsid w:val="00343D95"/>
    <w:rsid w:val="00374341"/>
    <w:rsid w:val="0039392F"/>
    <w:rsid w:val="003A0060"/>
    <w:rsid w:val="003B1799"/>
    <w:rsid w:val="003C67DF"/>
    <w:rsid w:val="003D1062"/>
    <w:rsid w:val="003E0437"/>
    <w:rsid w:val="004024CE"/>
    <w:rsid w:val="00420D7B"/>
    <w:rsid w:val="00450B21"/>
    <w:rsid w:val="00453B63"/>
    <w:rsid w:val="00455780"/>
    <w:rsid w:val="004714DA"/>
    <w:rsid w:val="004A14A6"/>
    <w:rsid w:val="004B0A1C"/>
    <w:rsid w:val="004B1A56"/>
    <w:rsid w:val="004D298E"/>
    <w:rsid w:val="00523BAE"/>
    <w:rsid w:val="005445EF"/>
    <w:rsid w:val="0054472E"/>
    <w:rsid w:val="005662A9"/>
    <w:rsid w:val="005827D4"/>
    <w:rsid w:val="0059622A"/>
    <w:rsid w:val="005A09E8"/>
    <w:rsid w:val="005C5878"/>
    <w:rsid w:val="005C7CEA"/>
    <w:rsid w:val="005D3C0B"/>
    <w:rsid w:val="005E5217"/>
    <w:rsid w:val="005F0FA4"/>
    <w:rsid w:val="005F30EE"/>
    <w:rsid w:val="0060473A"/>
    <w:rsid w:val="00656392"/>
    <w:rsid w:val="00670A39"/>
    <w:rsid w:val="00686F7F"/>
    <w:rsid w:val="0068781D"/>
    <w:rsid w:val="006959B0"/>
    <w:rsid w:val="006B3E27"/>
    <w:rsid w:val="006B6507"/>
    <w:rsid w:val="006C104C"/>
    <w:rsid w:val="006D5294"/>
    <w:rsid w:val="00702CCC"/>
    <w:rsid w:val="00733704"/>
    <w:rsid w:val="00735C55"/>
    <w:rsid w:val="0078071A"/>
    <w:rsid w:val="007E37DC"/>
    <w:rsid w:val="007E5F40"/>
    <w:rsid w:val="008315F0"/>
    <w:rsid w:val="008357B8"/>
    <w:rsid w:val="00852A9A"/>
    <w:rsid w:val="00895D86"/>
    <w:rsid w:val="008B0BF2"/>
    <w:rsid w:val="008F49E1"/>
    <w:rsid w:val="00903458"/>
    <w:rsid w:val="0090370F"/>
    <w:rsid w:val="00912700"/>
    <w:rsid w:val="009269D2"/>
    <w:rsid w:val="00942135"/>
    <w:rsid w:val="009521B0"/>
    <w:rsid w:val="00983BB0"/>
    <w:rsid w:val="00994130"/>
    <w:rsid w:val="009A7E9F"/>
    <w:rsid w:val="009E5018"/>
    <w:rsid w:val="00A12B37"/>
    <w:rsid w:val="00A50591"/>
    <w:rsid w:val="00A570BE"/>
    <w:rsid w:val="00A6367F"/>
    <w:rsid w:val="00A671A9"/>
    <w:rsid w:val="00A74E18"/>
    <w:rsid w:val="00AB6758"/>
    <w:rsid w:val="00AD677C"/>
    <w:rsid w:val="00B13763"/>
    <w:rsid w:val="00B14382"/>
    <w:rsid w:val="00B176FF"/>
    <w:rsid w:val="00B44E12"/>
    <w:rsid w:val="00B455EE"/>
    <w:rsid w:val="00B477A4"/>
    <w:rsid w:val="00B54045"/>
    <w:rsid w:val="00BA2567"/>
    <w:rsid w:val="00C05EB3"/>
    <w:rsid w:val="00C438D7"/>
    <w:rsid w:val="00C47A45"/>
    <w:rsid w:val="00C81B50"/>
    <w:rsid w:val="00CB28F9"/>
    <w:rsid w:val="00CD1801"/>
    <w:rsid w:val="00CF2B82"/>
    <w:rsid w:val="00D10EF1"/>
    <w:rsid w:val="00D36601"/>
    <w:rsid w:val="00D412EA"/>
    <w:rsid w:val="00D42810"/>
    <w:rsid w:val="00D5311C"/>
    <w:rsid w:val="00D81286"/>
    <w:rsid w:val="00D914A7"/>
    <w:rsid w:val="00D952E6"/>
    <w:rsid w:val="00DB79BF"/>
    <w:rsid w:val="00DD0800"/>
    <w:rsid w:val="00DD13C3"/>
    <w:rsid w:val="00DD596E"/>
    <w:rsid w:val="00DD621E"/>
    <w:rsid w:val="00DF0575"/>
    <w:rsid w:val="00E70E04"/>
    <w:rsid w:val="00E76499"/>
    <w:rsid w:val="00EC05A7"/>
    <w:rsid w:val="00EC4B6B"/>
    <w:rsid w:val="00EF1EE5"/>
    <w:rsid w:val="00F33749"/>
    <w:rsid w:val="00F4361D"/>
    <w:rsid w:val="00F46702"/>
    <w:rsid w:val="00F763B4"/>
    <w:rsid w:val="00F83E84"/>
    <w:rsid w:val="00F900C3"/>
    <w:rsid w:val="00FA7FFE"/>
    <w:rsid w:val="00FB7A57"/>
    <w:rsid w:val="00FD2424"/>
    <w:rsid w:val="00FF01EF"/>
    <w:rsid w:val="00FF2AB2"/>
    <w:rsid w:val="00FF2B13"/>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BE444E"/>
  <w15:docId w15:val="{CE485A0F-68E0-4DD8-9701-74AECCE29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5F0"/>
    <w:pPr>
      <w:bidi/>
      <w:spacing w:after="0" w:line="240" w:lineRule="atLeast"/>
      <w:jc w:val="lowKashida"/>
    </w:pPr>
    <w:rPr>
      <w:rFonts w:ascii="Times New Roman" w:eastAsia="PMingLiU" w:hAnsi="Times New Roman" w:cs="Simplified Arabic"/>
      <w:sz w:val="20"/>
    </w:rPr>
  </w:style>
  <w:style w:type="paragraph" w:styleId="Heading1">
    <w:name w:val="heading 1"/>
    <w:aliases w:val="Table_GA,Table_G"/>
    <w:basedOn w:val="SingleTxtGA"/>
    <w:next w:val="Normal"/>
    <w:link w:val="Heading1Char"/>
    <w:qFormat/>
    <w:rsid w:val="008315F0"/>
    <w:pPr>
      <w:bidi w:val="0"/>
      <w:outlineLvl w:val="0"/>
    </w:pPr>
  </w:style>
  <w:style w:type="paragraph" w:styleId="Heading2">
    <w:name w:val="heading 2"/>
    <w:basedOn w:val="Normal"/>
    <w:next w:val="Normal"/>
    <w:link w:val="Heading2Char"/>
    <w:uiPriority w:val="9"/>
    <w:unhideWhenUsed/>
    <w:rsid w:val="008315F0"/>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8315F0"/>
    <w:pPr>
      <w:keepNext/>
      <w:keepLines/>
      <w:spacing w:before="200"/>
      <w:outlineLvl w:val="2"/>
    </w:pPr>
    <w:rPr>
      <w:b/>
      <w:bCs/>
      <w:color w:val="4F81BD"/>
    </w:rPr>
  </w:style>
  <w:style w:type="paragraph" w:styleId="Heading4">
    <w:name w:val="heading 4"/>
    <w:basedOn w:val="Normal"/>
    <w:next w:val="Normal"/>
    <w:link w:val="Heading4Char"/>
    <w:uiPriority w:val="9"/>
    <w:unhideWhenUsed/>
    <w:rsid w:val="008315F0"/>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8315F0"/>
    <w:pPr>
      <w:keepNext/>
      <w:keepLines/>
      <w:spacing w:before="200"/>
      <w:outlineLvl w:val="4"/>
    </w:pPr>
    <w:rPr>
      <w:color w:val="243F60"/>
    </w:rPr>
  </w:style>
  <w:style w:type="paragraph" w:styleId="Heading6">
    <w:name w:val="heading 6"/>
    <w:basedOn w:val="Normal"/>
    <w:next w:val="Normal"/>
    <w:link w:val="Heading6Char"/>
    <w:uiPriority w:val="9"/>
    <w:unhideWhenUsed/>
    <w:rsid w:val="008315F0"/>
    <w:pPr>
      <w:keepNext/>
      <w:keepLines/>
      <w:spacing w:before="200"/>
      <w:outlineLvl w:val="5"/>
    </w:pPr>
    <w:rPr>
      <w:i/>
      <w:iCs/>
      <w:color w:val="243F60"/>
    </w:rPr>
  </w:style>
  <w:style w:type="paragraph" w:styleId="Heading7">
    <w:name w:val="heading 7"/>
    <w:basedOn w:val="Normal"/>
    <w:next w:val="Normal"/>
    <w:link w:val="Heading7Char"/>
    <w:uiPriority w:val="9"/>
    <w:unhideWhenUsed/>
    <w:rsid w:val="008315F0"/>
    <w:pPr>
      <w:keepNext/>
      <w:keepLines/>
      <w:spacing w:before="200"/>
      <w:outlineLvl w:val="6"/>
    </w:pPr>
    <w:rPr>
      <w:i/>
      <w:iCs/>
      <w:color w:val="404040"/>
    </w:rPr>
  </w:style>
  <w:style w:type="paragraph" w:styleId="Heading8">
    <w:name w:val="heading 8"/>
    <w:basedOn w:val="Normal"/>
    <w:next w:val="Normal"/>
    <w:link w:val="Heading8Char"/>
    <w:uiPriority w:val="9"/>
    <w:unhideWhenUsed/>
    <w:rsid w:val="008315F0"/>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8315F0"/>
    <w:pPr>
      <w:keepNext/>
      <w:keepLines/>
      <w:spacing w:before="200"/>
      <w:outlineLvl w:val="8"/>
    </w:pPr>
    <w:rPr>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8315F0"/>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8315F0"/>
    <w:rPr>
      <w:rFonts w:ascii="Times New Roman" w:eastAsia="PMingLiU" w:hAnsi="Times New Roman" w:cs="Simplified Arabic"/>
      <w:sz w:val="18"/>
      <w:szCs w:val="20"/>
    </w:rPr>
  </w:style>
  <w:style w:type="character" w:styleId="FootnoteReference">
    <w:name w:val="footnote reference"/>
    <w:aliases w:val="4_GA,4_G,ftref,footnote ref,16 Point,Superscript 6 Point,Fußnotenzeichen DISS,fr,BVI fnr,(NECG) Footnote Reference,Char Char Char Char Car Char,ب"/>
    <w:link w:val="Char2"/>
    <w:qFormat/>
    <w:rsid w:val="008315F0"/>
    <w:rPr>
      <w:szCs w:val="18"/>
      <w:vertAlign w:val="superscript"/>
    </w:rPr>
  </w:style>
  <w:style w:type="paragraph" w:customStyle="1" w:styleId="HMGA">
    <w:name w:val="_ H __M_GA"/>
    <w:basedOn w:val="Normal"/>
    <w:next w:val="SingleTxtGA"/>
    <w:qFormat/>
    <w:rsid w:val="008315F0"/>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8315F0"/>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8315F0"/>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8315F0"/>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8315F0"/>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8315F0"/>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8315F0"/>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8315F0"/>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8315F0"/>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8315F0"/>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8315F0"/>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8315F0"/>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8315F0"/>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8315F0"/>
    <w:pPr>
      <w:numPr>
        <w:numId w:val="5"/>
      </w:numPr>
      <w:bidi w:val="0"/>
    </w:pPr>
    <w:rPr>
      <w:lang w:val="en-US"/>
    </w:rPr>
  </w:style>
  <w:style w:type="paragraph" w:customStyle="1" w:styleId="Roman1GA">
    <w:name w:val="_Roman 1_GA"/>
    <w:basedOn w:val="Bullet1GA"/>
    <w:qFormat/>
    <w:rsid w:val="008315F0"/>
    <w:pPr>
      <w:numPr>
        <w:numId w:val="6"/>
      </w:numPr>
      <w:tabs>
        <w:tab w:val="clear" w:pos="2310"/>
        <w:tab w:val="left" w:pos="2486"/>
      </w:tabs>
      <w:ind w:left="2486" w:hanging="378"/>
    </w:pPr>
  </w:style>
  <w:style w:type="paragraph" w:customStyle="1" w:styleId="Roman2GA">
    <w:name w:val="_Roman 2_GA"/>
    <w:basedOn w:val="Bullet2GA"/>
    <w:qFormat/>
    <w:rsid w:val="008315F0"/>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8315F0"/>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8315F0"/>
    <w:rPr>
      <w:rFonts w:ascii="Times New Roman" w:eastAsia="PMingLiU" w:hAnsi="Times New Roman" w:cs="Simplified Arabic"/>
      <w:sz w:val="18"/>
      <w:szCs w:val="20"/>
      <w:lang w:val="en-GB"/>
    </w:rPr>
  </w:style>
  <w:style w:type="character" w:customStyle="1" w:styleId="EndtnoteReference">
    <w:name w:val="Endtnote Reference"/>
    <w:aliases w:val="1_GA"/>
    <w:qFormat/>
    <w:rsid w:val="008315F0"/>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8315F0"/>
    <w:pPr>
      <w:suppressAutoHyphens/>
      <w:bidi w:val="0"/>
      <w:spacing w:line="240" w:lineRule="auto"/>
    </w:pPr>
    <w:rPr>
      <w:sz w:val="16"/>
      <w:lang w:val="en-GB"/>
    </w:rPr>
  </w:style>
  <w:style w:type="character" w:customStyle="1" w:styleId="FooterChar">
    <w:name w:val="Footer Char"/>
    <w:aliases w:val="3_GA Char,3_G Char"/>
    <w:link w:val="Footer"/>
    <w:rsid w:val="008315F0"/>
    <w:rPr>
      <w:rFonts w:ascii="Times New Roman" w:eastAsia="PMingLiU" w:hAnsi="Times New Roman" w:cs="Simplified Arabic"/>
      <w:sz w:val="16"/>
      <w:lang w:val="en-GB"/>
    </w:rPr>
  </w:style>
  <w:style w:type="paragraph" w:customStyle="1" w:styleId="FootnoteText1">
    <w:name w:val="Footnote Text1"/>
    <w:aliases w:val="5_GA"/>
    <w:basedOn w:val="Normal"/>
    <w:qFormat/>
    <w:rsid w:val="008315F0"/>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8315F0"/>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8315F0"/>
    <w:rPr>
      <w:rFonts w:ascii="Times New Roman" w:eastAsia="PMingLiU" w:hAnsi="Times New Roman" w:cs="Simplified Arabic"/>
      <w:b/>
      <w:bCs/>
      <w:sz w:val="18"/>
      <w:szCs w:val="18"/>
    </w:rPr>
  </w:style>
  <w:style w:type="character" w:customStyle="1" w:styleId="Heading1Char">
    <w:name w:val="Heading 1 Char"/>
    <w:aliases w:val="Table_GA Char,Table_G Char"/>
    <w:link w:val="Heading1"/>
    <w:rsid w:val="008315F0"/>
    <w:rPr>
      <w:rFonts w:ascii="Times New Roman" w:eastAsia="PMingLiU" w:hAnsi="Times New Roman" w:cs="Simplified Arabic"/>
      <w:lang w:val="en-GB"/>
    </w:rPr>
  </w:style>
  <w:style w:type="character" w:styleId="PageNumber">
    <w:name w:val="page number"/>
    <w:aliases w:val="7_GA,7_G"/>
    <w:qFormat/>
    <w:rsid w:val="008315F0"/>
    <w:rPr>
      <w:rFonts w:ascii="Times New Roman Bold" w:hAnsi="Times New Roman Bold"/>
      <w:b/>
      <w:i w:val="0"/>
      <w:sz w:val="18"/>
      <w:szCs w:val="18"/>
    </w:rPr>
  </w:style>
  <w:style w:type="paragraph" w:customStyle="1" w:styleId="XXLargeGA">
    <w:name w:val="XXLarge_GA"/>
    <w:basedOn w:val="Normal"/>
    <w:next w:val="SingleTxtGA"/>
    <w:qFormat/>
    <w:rsid w:val="008315F0"/>
    <w:pPr>
      <w:suppressAutoHyphens/>
      <w:spacing w:line="820" w:lineRule="exact"/>
    </w:pPr>
    <w:rPr>
      <w:spacing w:val="-8"/>
      <w:w w:val="96"/>
      <w:sz w:val="57"/>
      <w:szCs w:val="86"/>
      <w:lang w:val="en-GB"/>
    </w:rPr>
  </w:style>
  <w:style w:type="character" w:customStyle="1" w:styleId="Heading2Char">
    <w:name w:val="Heading 2 Char"/>
    <w:link w:val="Heading2"/>
    <w:uiPriority w:val="9"/>
    <w:rsid w:val="008315F0"/>
    <w:rPr>
      <w:rFonts w:ascii="Times New Roman" w:eastAsia="PMingLiU" w:hAnsi="Times New Roman" w:cs="Simplified Arabic"/>
      <w:b/>
      <w:bCs/>
      <w:color w:val="4F81BD"/>
      <w:sz w:val="26"/>
      <w:szCs w:val="26"/>
    </w:rPr>
  </w:style>
  <w:style w:type="character" w:styleId="BookTitle">
    <w:name w:val="Book Title"/>
    <w:uiPriority w:val="33"/>
    <w:rsid w:val="008315F0"/>
    <w:rPr>
      <w:b/>
      <w:bCs/>
      <w:smallCaps/>
      <w:spacing w:val="5"/>
    </w:rPr>
  </w:style>
  <w:style w:type="character" w:customStyle="1" w:styleId="Heading3Char">
    <w:name w:val="Heading 3 Char"/>
    <w:link w:val="Heading3"/>
    <w:uiPriority w:val="9"/>
    <w:rsid w:val="008315F0"/>
    <w:rPr>
      <w:rFonts w:ascii="Times New Roman" w:eastAsia="PMingLiU" w:hAnsi="Times New Roman" w:cs="Simplified Arabic"/>
      <w:b/>
      <w:bCs/>
      <w:color w:val="4F81BD"/>
      <w:sz w:val="20"/>
    </w:rPr>
  </w:style>
  <w:style w:type="character" w:customStyle="1" w:styleId="Heading4Char">
    <w:name w:val="Heading 4 Char"/>
    <w:link w:val="Heading4"/>
    <w:uiPriority w:val="9"/>
    <w:rsid w:val="008315F0"/>
    <w:rPr>
      <w:rFonts w:ascii="Times New Roman" w:eastAsia="PMingLiU" w:hAnsi="Times New Roman" w:cs="Simplified Arabic"/>
      <w:b/>
      <w:bCs/>
      <w:i/>
      <w:iCs/>
      <w:color w:val="4F81BD"/>
      <w:sz w:val="20"/>
    </w:rPr>
  </w:style>
  <w:style w:type="character" w:customStyle="1" w:styleId="Heading5Char">
    <w:name w:val="Heading 5 Char"/>
    <w:link w:val="Heading5"/>
    <w:uiPriority w:val="9"/>
    <w:rsid w:val="008315F0"/>
    <w:rPr>
      <w:rFonts w:ascii="Times New Roman" w:eastAsia="PMingLiU" w:hAnsi="Times New Roman" w:cs="Simplified Arabic"/>
      <w:color w:val="243F60"/>
      <w:sz w:val="20"/>
    </w:rPr>
  </w:style>
  <w:style w:type="character" w:customStyle="1" w:styleId="Heading6Char">
    <w:name w:val="Heading 6 Char"/>
    <w:link w:val="Heading6"/>
    <w:uiPriority w:val="9"/>
    <w:rsid w:val="008315F0"/>
    <w:rPr>
      <w:rFonts w:ascii="Times New Roman" w:eastAsia="PMingLiU" w:hAnsi="Times New Roman" w:cs="Simplified Arabic"/>
      <w:i/>
      <w:iCs/>
      <w:color w:val="243F60"/>
      <w:sz w:val="20"/>
    </w:rPr>
  </w:style>
  <w:style w:type="character" w:customStyle="1" w:styleId="Heading7Char">
    <w:name w:val="Heading 7 Char"/>
    <w:link w:val="Heading7"/>
    <w:uiPriority w:val="9"/>
    <w:rsid w:val="008315F0"/>
    <w:rPr>
      <w:rFonts w:ascii="Times New Roman" w:eastAsia="PMingLiU" w:hAnsi="Times New Roman" w:cs="Simplified Arabic"/>
      <w:i/>
      <w:iCs/>
      <w:color w:val="404040"/>
      <w:sz w:val="20"/>
    </w:rPr>
  </w:style>
  <w:style w:type="character" w:customStyle="1" w:styleId="Heading8Char">
    <w:name w:val="Heading 8 Char"/>
    <w:link w:val="Heading8"/>
    <w:uiPriority w:val="9"/>
    <w:rsid w:val="008315F0"/>
    <w:rPr>
      <w:rFonts w:ascii="Times New Roman" w:eastAsia="PMingLiU" w:hAnsi="Times New Roman" w:cs="Simplified Arabic"/>
      <w:color w:val="404040"/>
      <w:sz w:val="20"/>
      <w:szCs w:val="20"/>
    </w:rPr>
  </w:style>
  <w:style w:type="character" w:customStyle="1" w:styleId="Heading9Char">
    <w:name w:val="Heading 9 Char"/>
    <w:link w:val="Heading9"/>
    <w:uiPriority w:val="9"/>
    <w:rsid w:val="008315F0"/>
    <w:rPr>
      <w:rFonts w:ascii="Times New Roman" w:eastAsia="PMingLiU" w:hAnsi="Times New Roman" w:cs="Simplified Arabic"/>
      <w:i/>
      <w:iCs/>
      <w:color w:val="404040"/>
      <w:sz w:val="20"/>
      <w:szCs w:val="20"/>
    </w:rPr>
  </w:style>
  <w:style w:type="paragraph" w:styleId="Title">
    <w:name w:val="Title"/>
    <w:basedOn w:val="Normal"/>
    <w:next w:val="Normal"/>
    <w:link w:val="TitleChar"/>
    <w:uiPriority w:val="10"/>
    <w:rsid w:val="008315F0"/>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8315F0"/>
    <w:rPr>
      <w:rFonts w:ascii="Times New Roman" w:eastAsia="PMingLiU" w:hAnsi="Times New Roman" w:cs="Simplified Arabic"/>
      <w:color w:val="17365D"/>
      <w:spacing w:val="5"/>
      <w:kern w:val="28"/>
      <w:sz w:val="52"/>
      <w:szCs w:val="52"/>
    </w:rPr>
  </w:style>
  <w:style w:type="paragraph" w:styleId="Subtitle">
    <w:name w:val="Subtitle"/>
    <w:basedOn w:val="Normal"/>
    <w:next w:val="Normal"/>
    <w:link w:val="SubtitleChar"/>
    <w:uiPriority w:val="11"/>
    <w:rsid w:val="008315F0"/>
    <w:pPr>
      <w:numPr>
        <w:ilvl w:val="1"/>
      </w:numPr>
    </w:pPr>
    <w:rPr>
      <w:i/>
      <w:iCs/>
      <w:color w:val="4F81BD"/>
      <w:spacing w:val="15"/>
      <w:sz w:val="24"/>
      <w:szCs w:val="24"/>
    </w:rPr>
  </w:style>
  <w:style w:type="character" w:customStyle="1" w:styleId="SubtitleChar">
    <w:name w:val="Subtitle Char"/>
    <w:link w:val="Subtitle"/>
    <w:uiPriority w:val="11"/>
    <w:rsid w:val="008315F0"/>
    <w:rPr>
      <w:rFonts w:ascii="Times New Roman" w:eastAsia="PMingLiU" w:hAnsi="Times New Roman" w:cs="Simplified Arabic"/>
      <w:i/>
      <w:iCs/>
      <w:color w:val="4F81BD"/>
      <w:spacing w:val="15"/>
      <w:sz w:val="24"/>
      <w:szCs w:val="24"/>
    </w:rPr>
  </w:style>
  <w:style w:type="character" w:styleId="SubtleEmphasis">
    <w:name w:val="Subtle Emphasis"/>
    <w:uiPriority w:val="19"/>
    <w:rsid w:val="008315F0"/>
    <w:rPr>
      <w:i/>
      <w:iCs/>
      <w:color w:val="808080"/>
    </w:rPr>
  </w:style>
  <w:style w:type="table" w:styleId="ColorfulGrid-Accent6">
    <w:name w:val="Colorful Grid Accent 6"/>
    <w:basedOn w:val="TableNormal"/>
    <w:uiPriority w:val="73"/>
    <w:rsid w:val="008315F0"/>
    <w:pPr>
      <w:spacing w:after="0" w:line="240" w:lineRule="auto"/>
    </w:pPr>
    <w:rPr>
      <w:rFonts w:ascii="Calibri" w:eastAsia="PMingLiU" w:hAnsi="Calibri" w:cs="Arial"/>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8315F0"/>
    <w:rPr>
      <w:i/>
      <w:iCs/>
    </w:rPr>
  </w:style>
  <w:style w:type="character" w:styleId="IntenseEmphasis">
    <w:name w:val="Intense Emphasis"/>
    <w:uiPriority w:val="21"/>
    <w:rsid w:val="008315F0"/>
    <w:rPr>
      <w:b/>
      <w:bCs/>
      <w:i/>
      <w:iCs/>
      <w:color w:val="4F81BD"/>
    </w:rPr>
  </w:style>
  <w:style w:type="character" w:styleId="Strong">
    <w:name w:val="Strong"/>
    <w:uiPriority w:val="22"/>
    <w:rsid w:val="008315F0"/>
    <w:rPr>
      <w:b/>
      <w:bCs/>
    </w:rPr>
  </w:style>
  <w:style w:type="paragraph" w:styleId="Quote">
    <w:name w:val="Quote"/>
    <w:basedOn w:val="Normal"/>
    <w:next w:val="Normal"/>
    <w:link w:val="QuoteChar"/>
    <w:uiPriority w:val="29"/>
    <w:rsid w:val="008315F0"/>
    <w:rPr>
      <w:i/>
      <w:iCs/>
      <w:color w:val="000000"/>
    </w:rPr>
  </w:style>
  <w:style w:type="character" w:customStyle="1" w:styleId="QuoteChar">
    <w:name w:val="Quote Char"/>
    <w:link w:val="Quote"/>
    <w:uiPriority w:val="29"/>
    <w:rsid w:val="008315F0"/>
    <w:rPr>
      <w:rFonts w:ascii="Times New Roman" w:eastAsia="PMingLiU" w:hAnsi="Times New Roman" w:cs="Simplified Arabic"/>
      <w:i/>
      <w:iCs/>
      <w:color w:val="000000"/>
      <w:sz w:val="20"/>
    </w:rPr>
  </w:style>
  <w:style w:type="paragraph" w:styleId="IntenseQuote">
    <w:name w:val="Intense Quote"/>
    <w:basedOn w:val="Normal"/>
    <w:next w:val="Normal"/>
    <w:link w:val="IntenseQuoteChar"/>
    <w:uiPriority w:val="30"/>
    <w:rsid w:val="008315F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8315F0"/>
    <w:rPr>
      <w:rFonts w:ascii="Times New Roman" w:eastAsia="PMingLiU" w:hAnsi="Times New Roman" w:cs="Simplified Arabic"/>
      <w:b/>
      <w:bCs/>
      <w:i/>
      <w:iCs/>
      <w:color w:val="4F81BD"/>
      <w:sz w:val="20"/>
    </w:rPr>
  </w:style>
  <w:style w:type="character" w:styleId="SubtleReference">
    <w:name w:val="Subtle Reference"/>
    <w:uiPriority w:val="31"/>
    <w:rsid w:val="008315F0"/>
    <w:rPr>
      <w:smallCaps/>
      <w:color w:val="C0504D"/>
      <w:u w:val="single"/>
    </w:rPr>
  </w:style>
  <w:style w:type="character" w:styleId="IntenseReference">
    <w:name w:val="Intense Reference"/>
    <w:uiPriority w:val="32"/>
    <w:rsid w:val="008315F0"/>
    <w:rPr>
      <w:b/>
      <w:bCs/>
      <w:smallCaps/>
      <w:color w:val="C0504D"/>
      <w:spacing w:val="5"/>
      <w:u w:val="single"/>
    </w:rPr>
  </w:style>
  <w:style w:type="paragraph" w:styleId="ListParagraph">
    <w:name w:val="List Paragraph"/>
    <w:basedOn w:val="Normal"/>
    <w:uiPriority w:val="34"/>
    <w:rsid w:val="008315F0"/>
    <w:pPr>
      <w:ind w:left="720"/>
      <w:contextualSpacing/>
    </w:pPr>
  </w:style>
  <w:style w:type="table" w:styleId="MediumShading1-Accent4">
    <w:name w:val="Medium Shading 1 Accent 4"/>
    <w:basedOn w:val="TableNormal"/>
    <w:uiPriority w:val="63"/>
    <w:rsid w:val="008315F0"/>
    <w:pPr>
      <w:spacing w:after="0" w:line="240" w:lineRule="auto"/>
    </w:pPr>
    <w:rPr>
      <w:rFonts w:ascii="Calibri" w:eastAsia="PMingLiU" w:hAnsi="Calibri" w:cs="Arial"/>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8315F0"/>
    <w:rPr>
      <w:rFonts w:eastAsia="MS Mincho"/>
      <w:sz w:val="18"/>
      <w:vertAlign w:val="superscript"/>
    </w:rPr>
  </w:style>
  <w:style w:type="table" w:styleId="TableGrid">
    <w:name w:val="Table Grid"/>
    <w:basedOn w:val="TableNormal"/>
    <w:rsid w:val="008315F0"/>
    <w:pPr>
      <w:bidi/>
      <w:spacing w:after="0" w:line="240" w:lineRule="auto"/>
      <w:jc w:val="lowKashida"/>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15F0"/>
    <w:pPr>
      <w:spacing w:line="240" w:lineRule="auto"/>
    </w:pPr>
    <w:rPr>
      <w:sz w:val="16"/>
      <w:szCs w:val="16"/>
    </w:rPr>
  </w:style>
  <w:style w:type="character" w:customStyle="1" w:styleId="BalloonTextChar">
    <w:name w:val="Balloon Text Char"/>
    <w:link w:val="BalloonText"/>
    <w:uiPriority w:val="99"/>
    <w:semiHidden/>
    <w:rsid w:val="008315F0"/>
    <w:rPr>
      <w:rFonts w:ascii="Times New Roman" w:eastAsia="PMingLiU" w:hAnsi="Times New Roman" w:cs="Simplified Arabic"/>
      <w:sz w:val="16"/>
      <w:szCs w:val="16"/>
    </w:rPr>
  </w:style>
  <w:style w:type="character" w:styleId="Hyperlink">
    <w:name w:val="Hyperlink"/>
    <w:uiPriority w:val="99"/>
    <w:unhideWhenUsed/>
    <w:rsid w:val="008315F0"/>
    <w:rPr>
      <w:color w:val="0000FF"/>
      <w:u w:val="none"/>
    </w:rPr>
  </w:style>
  <w:style w:type="paragraph" w:styleId="TOC1">
    <w:name w:val="toc 1"/>
    <w:basedOn w:val="Normal"/>
    <w:link w:val="TOC1Char"/>
    <w:autoRedefine/>
    <w:uiPriority w:val="39"/>
    <w:unhideWhenUsed/>
    <w:rsid w:val="008315F0"/>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8315F0"/>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8315F0"/>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8315F0"/>
    <w:rPr>
      <w:rFonts w:eastAsia="DengXian"/>
      <w:color w:val="auto"/>
      <w:sz w:val="20"/>
      <w:szCs w:val="20"/>
      <w:u w:val="none"/>
      <w:lang w:eastAsia="zh-CN" w:bidi="ar-EG"/>
    </w:rPr>
  </w:style>
  <w:style w:type="paragraph" w:styleId="TOC4">
    <w:name w:val="toc 4"/>
    <w:basedOn w:val="Normal"/>
    <w:link w:val="TOC4Char"/>
    <w:autoRedefine/>
    <w:uiPriority w:val="39"/>
    <w:unhideWhenUsed/>
    <w:rsid w:val="008315F0"/>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8315F0"/>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8315F0"/>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8315F0"/>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 w:val="20"/>
      <w:szCs w:val="28"/>
    </w:rPr>
  </w:style>
  <w:style w:type="table" w:customStyle="1" w:styleId="TABLEA">
    <w:name w:val="TABLE_A"/>
    <w:basedOn w:val="TableNormal"/>
    <w:uiPriority w:val="99"/>
    <w:rsid w:val="008315F0"/>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8315F0"/>
    <w:rPr>
      <w:rFonts w:ascii="Times New Roman" w:eastAsia="PMingLiU" w:hAnsi="Times New Roman" w:cs="Simplified Arabic"/>
      <w:lang w:val="en-GB"/>
    </w:rPr>
  </w:style>
  <w:style w:type="character" w:styleId="UnresolvedMention">
    <w:name w:val="Unresolved Mention"/>
    <w:basedOn w:val="DefaultParagraphFont"/>
    <w:uiPriority w:val="99"/>
    <w:semiHidden/>
    <w:unhideWhenUsed/>
    <w:rsid w:val="008315F0"/>
    <w:rPr>
      <w:color w:val="605E5C"/>
      <w:shd w:val="clear" w:color="auto" w:fill="E1DFDD"/>
    </w:rPr>
  </w:style>
  <w:style w:type="character" w:customStyle="1" w:styleId="TOC1Char">
    <w:name w:val="TOC 1 Char"/>
    <w:basedOn w:val="DefaultParagraphFont"/>
    <w:link w:val="TOC1"/>
    <w:uiPriority w:val="39"/>
    <w:rsid w:val="008315F0"/>
    <w:rPr>
      <w:rFonts w:ascii="Times New Roman" w:eastAsia="PMingLiU" w:hAnsi="Times New Roman" w:cs="Simplified Arabic"/>
      <w:noProof/>
      <w:sz w:val="20"/>
      <w:szCs w:val="20"/>
      <w:lang w:val="fr-CH" w:eastAsia="zh-TW" w:bidi="ar-EG"/>
    </w:rPr>
  </w:style>
  <w:style w:type="character" w:customStyle="1" w:styleId="TOC2Char">
    <w:name w:val="TOC 2 Char"/>
    <w:basedOn w:val="DefaultParagraphFont"/>
    <w:link w:val="TOC2"/>
    <w:uiPriority w:val="39"/>
    <w:rsid w:val="008315F0"/>
    <w:rPr>
      <w:rFonts w:ascii="Times New Roman" w:eastAsia="PMingLiU" w:hAnsi="Times New Roman" w:cs="Simplified Arabic"/>
      <w:noProof/>
      <w:sz w:val="20"/>
      <w:szCs w:val="20"/>
      <w:lang w:val="fr-CH"/>
    </w:rPr>
  </w:style>
  <w:style w:type="character" w:customStyle="1" w:styleId="TOC3Char">
    <w:name w:val="TOC 3 Char"/>
    <w:basedOn w:val="TOC2Char"/>
    <w:link w:val="TOC3"/>
    <w:uiPriority w:val="39"/>
    <w:rsid w:val="008315F0"/>
    <w:rPr>
      <w:rFonts w:ascii="Times New Roman" w:eastAsia="PMingLiU" w:hAnsi="Times New Roman" w:cs="Simplified Arabic"/>
      <w:noProof/>
      <w:sz w:val="20"/>
      <w:szCs w:val="20"/>
      <w:lang w:val="fr-CH" w:bidi="ar-EG"/>
    </w:rPr>
  </w:style>
  <w:style w:type="character" w:customStyle="1" w:styleId="TOC4Char">
    <w:name w:val="TOC 4 Char"/>
    <w:basedOn w:val="DefaultParagraphFont"/>
    <w:link w:val="TOC4"/>
    <w:uiPriority w:val="39"/>
    <w:rsid w:val="008315F0"/>
    <w:rPr>
      <w:rFonts w:ascii="Times New Roman" w:eastAsia="PMingLiU" w:hAnsi="Times New Roman" w:cs="Simplified Arabic"/>
      <w:noProof/>
      <w:sz w:val="20"/>
      <w:szCs w:val="20"/>
      <w:lang w:val="en-GB"/>
    </w:rPr>
  </w:style>
  <w:style w:type="character" w:customStyle="1" w:styleId="TOC5Char">
    <w:name w:val="TOC 5 Char"/>
    <w:basedOn w:val="DefaultParagraphFont"/>
    <w:link w:val="TOC5"/>
    <w:uiPriority w:val="39"/>
    <w:rsid w:val="008315F0"/>
    <w:rPr>
      <w:rFonts w:ascii="Times New Roman" w:eastAsia="PMingLiU" w:hAnsi="Times New Roman" w:cs="Simplified Arabic"/>
      <w:noProof/>
      <w:sz w:val="20"/>
      <w:szCs w:val="20"/>
      <w:lang w:val="en-GB"/>
    </w:rPr>
  </w:style>
  <w:style w:type="character" w:customStyle="1" w:styleId="TOC6Char">
    <w:name w:val="TOC 6 Char"/>
    <w:basedOn w:val="DefaultParagraphFont"/>
    <w:link w:val="TOC6"/>
    <w:uiPriority w:val="39"/>
    <w:rsid w:val="008315F0"/>
    <w:rPr>
      <w:rFonts w:ascii="Times New Roman" w:eastAsia="PMingLiU" w:hAnsi="Times New Roman" w:cs="Simplified Arabic"/>
      <w:sz w:val="20"/>
      <w:szCs w:val="20"/>
      <w:lang w:val="en-GB"/>
    </w:rPr>
  </w:style>
  <w:style w:type="paragraph" w:customStyle="1" w:styleId="SessionDate">
    <w:name w:val="Session_Date"/>
    <w:basedOn w:val="Normal"/>
    <w:qFormat/>
    <w:rsid w:val="008315F0"/>
    <w:pPr>
      <w:spacing w:before="240" w:after="240" w:line="460" w:lineRule="exact"/>
      <w:ind w:left="1247"/>
    </w:pPr>
    <w:rPr>
      <w:b/>
      <w:bCs/>
      <w:sz w:val="32"/>
      <w:szCs w:val="44"/>
    </w:rPr>
  </w:style>
  <w:style w:type="paragraph" w:customStyle="1" w:styleId="SessionNumber">
    <w:name w:val="Session_Number"/>
    <w:basedOn w:val="Normal"/>
    <w:qFormat/>
    <w:rsid w:val="008315F0"/>
    <w:pPr>
      <w:spacing w:line="480" w:lineRule="exact"/>
      <w:ind w:left="1247"/>
    </w:pPr>
    <w:rPr>
      <w:b/>
      <w:bCs/>
      <w:sz w:val="28"/>
      <w:szCs w:val="38"/>
    </w:rPr>
  </w:style>
  <w:style w:type="paragraph" w:customStyle="1" w:styleId="CityandYear">
    <w:name w:val="City and Year"/>
    <w:basedOn w:val="SingleTxtGA"/>
    <w:qFormat/>
    <w:rsid w:val="008315F0"/>
    <w:pPr>
      <w:spacing w:line="480" w:lineRule="exact"/>
    </w:pPr>
    <w:rPr>
      <w:b/>
      <w:bCs/>
      <w:sz w:val="30"/>
      <w:szCs w:val="38"/>
      <w:lang w:eastAsia="ar-SA"/>
    </w:rPr>
  </w:style>
  <w:style w:type="paragraph" w:customStyle="1" w:styleId="NormalA">
    <w:name w:val="Normal_A"/>
    <w:basedOn w:val="Normal"/>
    <w:qFormat/>
    <w:rsid w:val="008315F0"/>
  </w:style>
  <w:style w:type="paragraph" w:customStyle="1" w:styleId="H1G">
    <w:name w:val="_ H_1_G"/>
    <w:basedOn w:val="Normal"/>
    <w:next w:val="Normal"/>
    <w:qFormat/>
    <w:rsid w:val="008315F0"/>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8315F0"/>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8315F0"/>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8315F0"/>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8315F0"/>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8315F0"/>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8315F0"/>
    <w:rPr>
      <w:sz w:val="44"/>
      <w:szCs w:val="44"/>
      <w:lang w:val="en-US" w:bidi="ar-DZ"/>
    </w:rPr>
  </w:style>
  <w:style w:type="paragraph" w:customStyle="1" w:styleId="FootnoteGA0">
    <w:name w:val="Footnote_GA"/>
    <w:basedOn w:val="Normal"/>
    <w:qFormat/>
    <w:rsid w:val="008315F0"/>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8315F0"/>
    <w:pPr>
      <w:keepNext/>
      <w:keepLines/>
      <w:spacing w:after="120" w:line="400" w:lineRule="exact"/>
      <w:outlineLvl w:val="0"/>
    </w:pPr>
    <w:rPr>
      <w:b/>
      <w:bCs/>
      <w:kern w:val="14"/>
      <w:sz w:val="24"/>
      <w:szCs w:val="32"/>
    </w:rPr>
  </w:style>
  <w:style w:type="paragraph" w:customStyle="1" w:styleId="HCh">
    <w:name w:val="_ H _Ch"/>
    <w:basedOn w:val="H1"/>
    <w:next w:val="SingleTxt"/>
    <w:qFormat/>
    <w:rsid w:val="008315F0"/>
    <w:pPr>
      <w:spacing w:line="440" w:lineRule="exact"/>
    </w:pPr>
    <w:rPr>
      <w:spacing w:val="-2"/>
      <w:sz w:val="28"/>
      <w:szCs w:val="36"/>
    </w:rPr>
  </w:style>
  <w:style w:type="character" w:styleId="CommentReference">
    <w:name w:val="annotation reference"/>
    <w:uiPriority w:val="99"/>
    <w:semiHidden/>
    <w:rsid w:val="008315F0"/>
    <w:rPr>
      <w:sz w:val="6"/>
      <w:szCs w:val="9"/>
    </w:rPr>
  </w:style>
  <w:style w:type="paragraph" w:customStyle="1" w:styleId="HM">
    <w:name w:val="_ H __M"/>
    <w:basedOn w:val="HCh"/>
    <w:next w:val="Normal"/>
    <w:qFormat/>
    <w:rsid w:val="008315F0"/>
    <w:pPr>
      <w:suppressAutoHyphens/>
      <w:spacing w:line="520" w:lineRule="exact"/>
    </w:pPr>
    <w:rPr>
      <w:spacing w:val="-3"/>
      <w:sz w:val="34"/>
      <w:szCs w:val="48"/>
    </w:rPr>
  </w:style>
  <w:style w:type="paragraph" w:customStyle="1" w:styleId="SingleTxt">
    <w:name w:val="__Single Txt"/>
    <w:basedOn w:val="Normal"/>
    <w:qFormat/>
    <w:rsid w:val="008315F0"/>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8315F0"/>
    <w:pPr>
      <w:suppressAutoHyphens/>
      <w:spacing w:line="360" w:lineRule="exact"/>
      <w:outlineLvl w:val="1"/>
    </w:pPr>
    <w:rPr>
      <w:spacing w:val="2"/>
      <w:sz w:val="20"/>
      <w:szCs w:val="28"/>
    </w:rPr>
  </w:style>
  <w:style w:type="paragraph" w:customStyle="1" w:styleId="H4">
    <w:name w:val="_ H_4"/>
    <w:basedOn w:val="Normal"/>
    <w:next w:val="Normal"/>
    <w:qFormat/>
    <w:rsid w:val="008315F0"/>
    <w:pPr>
      <w:keepNext/>
      <w:keepLines/>
      <w:spacing w:after="120" w:line="360" w:lineRule="exact"/>
      <w:outlineLvl w:val="3"/>
    </w:pPr>
    <w:rPr>
      <w:i/>
      <w:iCs/>
      <w:kern w:val="14"/>
      <w:szCs w:val="28"/>
    </w:rPr>
  </w:style>
  <w:style w:type="paragraph" w:customStyle="1" w:styleId="H56">
    <w:name w:val="_ H_5/6"/>
    <w:basedOn w:val="Normal"/>
    <w:next w:val="Normal"/>
    <w:qFormat/>
    <w:rsid w:val="008315F0"/>
    <w:pPr>
      <w:keepNext/>
      <w:keepLines/>
      <w:spacing w:after="120" w:line="360" w:lineRule="exact"/>
      <w:outlineLvl w:val="4"/>
    </w:pPr>
    <w:rPr>
      <w:kern w:val="14"/>
      <w:szCs w:val="28"/>
    </w:rPr>
  </w:style>
  <w:style w:type="paragraph" w:customStyle="1" w:styleId="DualTxt">
    <w:name w:val="__Dual Txt"/>
    <w:basedOn w:val="Normal"/>
    <w:qFormat/>
    <w:rsid w:val="008315F0"/>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8315F0"/>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8315F0"/>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8315F0"/>
    <w:pPr>
      <w:spacing w:after="120" w:line="440" w:lineRule="exact"/>
      <w:jc w:val="center"/>
    </w:pPr>
    <w:rPr>
      <w:b/>
      <w:bCs/>
      <w:sz w:val="25"/>
      <w:szCs w:val="38"/>
    </w:rPr>
  </w:style>
  <w:style w:type="paragraph" w:customStyle="1" w:styleId="JH1">
    <w:name w:val="J_H_1"/>
    <w:basedOn w:val="JCH"/>
    <w:qFormat/>
    <w:rsid w:val="008315F0"/>
    <w:pPr>
      <w:spacing w:line="420" w:lineRule="exact"/>
    </w:pPr>
    <w:rPr>
      <w:sz w:val="23"/>
      <w:szCs w:val="34"/>
    </w:rPr>
  </w:style>
  <w:style w:type="paragraph" w:customStyle="1" w:styleId="JH2">
    <w:name w:val="J_H_2"/>
    <w:basedOn w:val="JH1"/>
    <w:qFormat/>
    <w:rsid w:val="008315F0"/>
    <w:pPr>
      <w:spacing w:line="400" w:lineRule="exact"/>
    </w:pPr>
    <w:rPr>
      <w:sz w:val="20"/>
      <w:szCs w:val="30"/>
    </w:rPr>
  </w:style>
  <w:style w:type="paragraph" w:customStyle="1" w:styleId="JSmall">
    <w:name w:val="J_Small"/>
    <w:basedOn w:val="JSingleTxt"/>
    <w:next w:val="JSingleTxt"/>
    <w:qFormat/>
    <w:rsid w:val="008315F0"/>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8315F0"/>
    <w:pPr>
      <w:tabs>
        <w:tab w:val="right" w:leader="dot" w:pos="360"/>
      </w:tabs>
      <w:spacing w:line="310" w:lineRule="exact"/>
      <w:jc w:val="right"/>
    </w:pPr>
    <w:rPr>
      <w:spacing w:val="5"/>
      <w:w w:val="104"/>
      <w:kern w:val="14"/>
      <w:sz w:val="17"/>
      <w:szCs w:val="25"/>
    </w:rPr>
  </w:style>
  <w:style w:type="character" w:styleId="LineNumber">
    <w:name w:val="line number"/>
    <w:qFormat/>
    <w:rsid w:val="008315F0"/>
    <w:rPr>
      <w:sz w:val="14"/>
      <w:szCs w:val="16"/>
    </w:rPr>
  </w:style>
  <w:style w:type="paragraph" w:customStyle="1" w:styleId="SmallX">
    <w:name w:val="SmallX"/>
    <w:basedOn w:val="Small"/>
    <w:next w:val="Normal"/>
    <w:qFormat/>
    <w:rsid w:val="008315F0"/>
    <w:pPr>
      <w:spacing w:line="240" w:lineRule="exact"/>
    </w:pPr>
    <w:rPr>
      <w:spacing w:val="6"/>
      <w:w w:val="106"/>
      <w:sz w:val="14"/>
      <w:szCs w:val="21"/>
    </w:rPr>
  </w:style>
  <w:style w:type="paragraph" w:customStyle="1" w:styleId="XLarge">
    <w:name w:val="XLarge"/>
    <w:basedOn w:val="HM"/>
    <w:qFormat/>
    <w:rsid w:val="008315F0"/>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8315F0"/>
    <w:pPr>
      <w:spacing w:line="820" w:lineRule="exact"/>
    </w:pPr>
    <w:rPr>
      <w:spacing w:val="-8"/>
      <w:w w:val="96"/>
      <w:sz w:val="57"/>
      <w:szCs w:val="86"/>
    </w:rPr>
  </w:style>
  <w:style w:type="paragraph" w:customStyle="1" w:styleId="Distribution">
    <w:name w:val="Distribution"/>
    <w:basedOn w:val="Normal"/>
    <w:next w:val="Normal"/>
    <w:qFormat/>
    <w:rsid w:val="008315F0"/>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8315F0"/>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8315F0"/>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8315F0"/>
    <w:pPr>
      <w:tabs>
        <w:tab w:val="center" w:pos="4320"/>
        <w:tab w:val="right" w:pos="8640"/>
      </w:tabs>
      <w:spacing w:after="0" w:line="210" w:lineRule="exact"/>
      <w:jc w:val="right"/>
    </w:pPr>
    <w:rPr>
      <w:rFonts w:ascii="Times New Roman" w:eastAsia="PMingLiU" w:hAnsi="Times New Roman" w:cs="Simplified Arabic"/>
      <w:w w:val="103"/>
      <w:kern w:val="14"/>
      <w:sz w:val="20"/>
      <w:szCs w:val="30"/>
    </w:rPr>
  </w:style>
  <w:style w:type="paragraph" w:customStyle="1" w:styleId="Session">
    <w:name w:val="Session"/>
    <w:basedOn w:val="H23"/>
    <w:qFormat/>
    <w:rsid w:val="008315F0"/>
    <w:pPr>
      <w:tabs>
        <w:tab w:val="left" w:pos="662"/>
        <w:tab w:val="left" w:pos="1267"/>
        <w:tab w:val="left" w:pos="1987"/>
        <w:tab w:val="left" w:pos="2650"/>
      </w:tabs>
      <w:spacing w:after="0"/>
      <w:ind w:left="662" w:hanging="662"/>
    </w:pPr>
  </w:style>
  <w:style w:type="paragraph" w:customStyle="1" w:styleId="Committee">
    <w:name w:val="Committee"/>
    <w:basedOn w:val="H1"/>
    <w:qFormat/>
    <w:rsid w:val="008315F0"/>
    <w:pPr>
      <w:tabs>
        <w:tab w:val="left" w:pos="662"/>
        <w:tab w:val="left" w:pos="1267"/>
        <w:tab w:val="left" w:pos="1987"/>
        <w:tab w:val="left" w:pos="2650"/>
      </w:tabs>
      <w:ind w:right="1264"/>
    </w:pPr>
  </w:style>
  <w:style w:type="paragraph" w:customStyle="1" w:styleId="AgendaItemNormal">
    <w:name w:val="Agenda_Item_Normal"/>
    <w:next w:val="Normal"/>
    <w:qFormat/>
    <w:rsid w:val="008315F0"/>
    <w:pPr>
      <w:spacing w:after="0" w:line="360" w:lineRule="exact"/>
      <w:jc w:val="both"/>
    </w:pPr>
    <w:rPr>
      <w:rFonts w:ascii="Times New Roman" w:eastAsia="PMingLiU" w:hAnsi="Times New Roman" w:cs="Simplified Arabic"/>
      <w:w w:val="103"/>
      <w:kern w:val="14"/>
      <w:sz w:val="20"/>
      <w:szCs w:val="28"/>
    </w:rPr>
  </w:style>
  <w:style w:type="paragraph" w:customStyle="1" w:styleId="Sponsors">
    <w:name w:val="Sponsors"/>
    <w:basedOn w:val="H23"/>
    <w:next w:val="Normal"/>
    <w:qFormat/>
    <w:rsid w:val="008315F0"/>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8315F0"/>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8315F0"/>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8315F0"/>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8315F0"/>
    <w:rPr>
      <w:i w:val="0"/>
      <w:color w:val="0000FF"/>
      <w:u w:val="none"/>
    </w:rPr>
  </w:style>
  <w:style w:type="paragraph" w:customStyle="1" w:styleId="Bullet1">
    <w:name w:val="Bullet 1"/>
    <w:basedOn w:val="Normal"/>
    <w:qFormat/>
    <w:rsid w:val="008315F0"/>
    <w:pPr>
      <w:numPr>
        <w:numId w:val="13"/>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8315F0"/>
    <w:pPr>
      <w:numPr>
        <w:numId w:val="14"/>
      </w:numPr>
      <w:spacing w:after="120" w:line="360" w:lineRule="exact"/>
      <w:ind w:right="1264"/>
    </w:pPr>
    <w:rPr>
      <w:kern w:val="14"/>
      <w:szCs w:val="28"/>
    </w:rPr>
  </w:style>
  <w:style w:type="paragraph" w:customStyle="1" w:styleId="Bullet3">
    <w:name w:val="Bullet 3"/>
    <w:basedOn w:val="SingleTxt"/>
    <w:qFormat/>
    <w:rsid w:val="008315F0"/>
    <w:pPr>
      <w:numPr>
        <w:numId w:val="15"/>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8315F0"/>
    <w:pPr>
      <w:ind w:right="5760"/>
      <w:outlineLvl w:val="1"/>
    </w:pPr>
    <w:rPr>
      <w:spacing w:val="2"/>
      <w:sz w:val="20"/>
      <w:szCs w:val="28"/>
    </w:rPr>
  </w:style>
  <w:style w:type="paragraph" w:customStyle="1" w:styleId="STitleM">
    <w:name w:val="S_Title_M"/>
    <w:basedOn w:val="Normal"/>
    <w:next w:val="Normal"/>
    <w:qFormat/>
    <w:rsid w:val="008315F0"/>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8315F0"/>
    <w:pPr>
      <w:spacing w:line="600" w:lineRule="exact"/>
      <w:ind w:left="1267" w:right="1267"/>
    </w:pPr>
    <w:rPr>
      <w:w w:val="103"/>
      <w:sz w:val="60"/>
      <w:szCs w:val="60"/>
    </w:rPr>
  </w:style>
  <w:style w:type="paragraph" w:customStyle="1" w:styleId="STitleL">
    <w:name w:val="S_Title_L"/>
    <w:basedOn w:val="XLarge"/>
    <w:next w:val="Normal"/>
    <w:qFormat/>
    <w:rsid w:val="008315F0"/>
    <w:rPr>
      <w:spacing w:val="-8"/>
      <w:w w:val="96"/>
      <w:sz w:val="57"/>
    </w:rPr>
  </w:style>
  <w:style w:type="paragraph" w:styleId="CommentText">
    <w:name w:val="annotation text"/>
    <w:basedOn w:val="Normal"/>
    <w:link w:val="CommentTextChar"/>
    <w:uiPriority w:val="99"/>
    <w:semiHidden/>
    <w:unhideWhenUsed/>
    <w:rsid w:val="008315F0"/>
    <w:pPr>
      <w:spacing w:line="240" w:lineRule="auto"/>
    </w:pPr>
    <w:rPr>
      <w:kern w:val="14"/>
    </w:rPr>
  </w:style>
  <w:style w:type="character" w:customStyle="1" w:styleId="CommentTextChar">
    <w:name w:val="Comment Text Char"/>
    <w:basedOn w:val="DefaultParagraphFont"/>
    <w:link w:val="CommentText"/>
    <w:uiPriority w:val="99"/>
    <w:semiHidden/>
    <w:rsid w:val="008315F0"/>
    <w:rPr>
      <w:rFonts w:ascii="Times New Roman" w:eastAsia="PMingLiU" w:hAnsi="Times New Roman" w:cs="Simplified Arabic"/>
      <w:kern w:val="14"/>
      <w:sz w:val="20"/>
    </w:rPr>
  </w:style>
  <w:style w:type="paragraph" w:styleId="CommentSubject">
    <w:name w:val="annotation subject"/>
    <w:basedOn w:val="CommentText"/>
    <w:next w:val="CommentText"/>
    <w:link w:val="CommentSubjectChar"/>
    <w:uiPriority w:val="99"/>
    <w:semiHidden/>
    <w:unhideWhenUsed/>
    <w:rsid w:val="008315F0"/>
    <w:rPr>
      <w:b/>
      <w:bCs/>
    </w:rPr>
  </w:style>
  <w:style w:type="character" w:customStyle="1" w:styleId="CommentSubjectChar">
    <w:name w:val="Comment Subject Char"/>
    <w:basedOn w:val="CommentTextChar"/>
    <w:link w:val="CommentSubject"/>
    <w:uiPriority w:val="99"/>
    <w:semiHidden/>
    <w:rsid w:val="008315F0"/>
    <w:rPr>
      <w:rFonts w:ascii="Times New Roman" w:eastAsia="PMingLiU" w:hAnsi="Times New Roman" w:cs="Simplified Arabic"/>
      <w:b/>
      <w:bCs/>
      <w:kern w:val="14"/>
      <w:sz w:val="20"/>
    </w:rPr>
  </w:style>
  <w:style w:type="paragraph" w:customStyle="1" w:styleId="Bullet1G">
    <w:name w:val="_Bullet 1_G"/>
    <w:basedOn w:val="Normal"/>
    <w:qFormat/>
    <w:rsid w:val="008315F0"/>
    <w:pPr>
      <w:numPr>
        <w:numId w:val="16"/>
      </w:numPr>
      <w:bidi w:val="0"/>
      <w:spacing w:after="120"/>
      <w:ind w:right="1134"/>
      <w:jc w:val="both"/>
    </w:pPr>
    <w:rPr>
      <w:sz w:val="22"/>
    </w:rPr>
  </w:style>
  <w:style w:type="character" w:customStyle="1" w:styleId="SingleTxtGChar">
    <w:name w:val="_ Single Txt_G Char"/>
    <w:link w:val="SingleTxtG"/>
    <w:rsid w:val="008315F0"/>
    <w:rPr>
      <w:rFonts w:ascii="Times New Roman" w:eastAsia="PMingLiU" w:hAnsi="Times New Roman" w:cs="Simplified Arabic"/>
      <w:sz w:val="20"/>
      <w:szCs w:val="20"/>
      <w:lang w:val="en-GB"/>
    </w:rPr>
  </w:style>
  <w:style w:type="paragraph" w:customStyle="1" w:styleId="Preparedby">
    <w:name w:val="Prepared by:"/>
    <w:basedOn w:val="H23GA"/>
    <w:qFormat/>
    <w:rsid w:val="008315F0"/>
    <w:rPr>
      <w:sz w:val="32"/>
      <w:szCs w:val="32"/>
    </w:rPr>
  </w:style>
  <w:style w:type="paragraph" w:customStyle="1" w:styleId="ParaNoG">
    <w:name w:val="_ParaNo._G"/>
    <w:basedOn w:val="SingleTxtG"/>
    <w:rsid w:val="008315F0"/>
    <w:pPr>
      <w:numPr>
        <w:numId w:val="23"/>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8315F0"/>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8315F0"/>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8315F0"/>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8315F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8315F0"/>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8315F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8315F0"/>
    <w:pPr>
      <w:numPr>
        <w:numId w:val="19"/>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8315F0"/>
    <w:pPr>
      <w:spacing w:after="0" w:line="240" w:lineRule="auto"/>
    </w:pPr>
    <w:rPr>
      <w:rFonts w:eastAsiaTheme="minorEastAsia"/>
      <w:sz w:val="24"/>
      <w:szCs w:val="24"/>
      <w:lang w:val="fr-FR" w:eastAsia="fr-FR"/>
    </w:rPr>
  </w:style>
  <w:style w:type="paragraph" w:customStyle="1" w:styleId="Default">
    <w:name w:val="Default"/>
    <w:semiHidden/>
    <w:rsid w:val="008315F0"/>
    <w:pPr>
      <w:autoSpaceDE w:val="0"/>
      <w:autoSpaceDN w:val="0"/>
      <w:adjustRightInd w:val="0"/>
      <w:spacing w:after="0" w:line="240" w:lineRule="auto"/>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8315F0"/>
  </w:style>
  <w:style w:type="character" w:customStyle="1" w:styleId="preferred">
    <w:name w:val="preferred"/>
    <w:basedOn w:val="DefaultParagraphFont"/>
    <w:rsid w:val="008315F0"/>
  </w:style>
  <w:style w:type="character" w:customStyle="1" w:styleId="admitted">
    <w:name w:val="admitted"/>
    <w:basedOn w:val="DefaultParagraphFont"/>
    <w:rsid w:val="008315F0"/>
  </w:style>
  <w:style w:type="paragraph" w:styleId="TOC7">
    <w:name w:val="toc 7"/>
    <w:basedOn w:val="Normal"/>
    <w:next w:val="Normal"/>
    <w:autoRedefine/>
    <w:uiPriority w:val="39"/>
    <w:unhideWhenUsed/>
    <w:rsid w:val="00FA7FFE"/>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FA7FFE"/>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FA7FFE"/>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rsid w:val="008315F0"/>
    <w:pPr>
      <w:bidi w:val="0"/>
      <w:spacing w:after="160" w:line="240" w:lineRule="exact"/>
      <w:jc w:val="both"/>
    </w:pPr>
    <w:rPr>
      <w:rFonts w:asciiTheme="minorHAnsi" w:eastAsia="Times New Roman" w:hAnsiTheme="minorHAnsi" w:cstheme="minorBidi"/>
      <w:sz w:val="22"/>
      <w:szCs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ar/HRI/GEN/2/Rev.6" TargetMode="External"/><Relationship Id="rId3" Type="http://schemas.openxmlformats.org/officeDocument/2006/relationships/hyperlink" Target="https://undocs.org/ar/CERD/C/SR.2872" TargetMode="External"/><Relationship Id="rId7" Type="http://schemas.openxmlformats.org/officeDocument/2006/relationships/hyperlink" Target="https://undocs.org/ar/CERD/C/CMR/CO/19-21" TargetMode="External"/><Relationship Id="rId2" Type="http://schemas.openxmlformats.org/officeDocument/2006/relationships/hyperlink" Target="https://undocs.org/ar/CERD/C/SR.2871" TargetMode="External"/><Relationship Id="rId1" Type="http://schemas.openxmlformats.org/officeDocument/2006/relationships/hyperlink" Target="https://undocs.org/ar/CERD/C/CMR/22-23" TargetMode="External"/><Relationship Id="rId6" Type="http://schemas.openxmlformats.org/officeDocument/2006/relationships/hyperlink" Target="https://undocs.org/ar/CERD/C/CMR/CO/19-21" TargetMode="External"/><Relationship Id="rId5" Type="http://schemas.openxmlformats.org/officeDocument/2006/relationships/hyperlink" Target="https://undocs.org/ar/CERD/C/CMR/CO/19-21" TargetMode="External"/><Relationship Id="rId4" Type="http://schemas.openxmlformats.org/officeDocument/2006/relationships/hyperlink" Target="https://undocs.org/ar/CERD/C/2007/1" TargetMode="External"/><Relationship Id="rId9" Type="http://schemas.openxmlformats.org/officeDocument/2006/relationships/hyperlink" Target="https://undocs.org/ar/CERD/C/2007/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10D20-6174-4D23-81F9-BC4A807D0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11</Pages>
  <Words>3243</Words>
  <Characters>24554</Characters>
  <Application>Microsoft Office Word</Application>
  <DocSecurity>0</DocSecurity>
  <Lines>2455</Lines>
  <Paragraphs>1544</Paragraphs>
  <ScaleCrop>false</ScaleCrop>
  <HeadingPairs>
    <vt:vector size="2" baseType="variant">
      <vt:variant>
        <vt:lpstr>Title</vt:lpstr>
      </vt:variant>
      <vt:variant>
        <vt:i4>1</vt:i4>
      </vt:variant>
    </vt:vector>
  </HeadingPairs>
  <TitlesOfParts>
    <vt:vector size="1" baseType="lpstr">
      <vt:lpstr>CERD/C/CMR/CO/22-23</vt:lpstr>
    </vt:vector>
  </TitlesOfParts>
  <Company>DCM</Company>
  <LinksUpToDate>false</LinksUpToDate>
  <CharactersWithSpaces>26253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CERD/C/CMR/CO/22-23</dc:title>
  <dc:subject>GE.2207924(A)</dc:subject>
  <dc:creator>Gamal MAHMOUD - MBOU21</dc:creator>
  <cp:keywords>GE.2235105(A)</cp:keywords>
  <dc:description>Distr.: General_x000d_
26 May 2022_x000d_
Original: English</dc:description>
  <cp:lastModifiedBy>Gamal Mohamed Abdelhamid Mahmoud</cp:lastModifiedBy>
  <cp:revision>2</cp:revision>
  <dcterms:created xsi:type="dcterms:W3CDTF">2022-06-14T19:46:00Z</dcterms:created>
  <dcterms:modified xsi:type="dcterms:W3CDTF">2022-06-14T19:46:00Z</dcterms:modified>
  <cp:category>Final</cp:category>
</cp:coreProperties>
</file>