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679"/>
        <w:gridCol w:w="3686"/>
      </w:tblGrid>
      <w:tr w:rsidR="006B3E27" w:rsidRPr="008F729B" w14:paraId="04617B9C" w14:textId="77777777" w:rsidTr="00E866BF">
        <w:trPr>
          <w:trHeight w:hRule="exact" w:val="851"/>
        </w:trPr>
        <w:tc>
          <w:tcPr>
            <w:tcW w:w="1274" w:type="dxa"/>
            <w:tcBorders>
              <w:bottom w:val="single" w:sz="4" w:space="0" w:color="auto"/>
            </w:tcBorders>
          </w:tcPr>
          <w:p w14:paraId="159342C8" w14:textId="77777777" w:rsidR="006B3E27" w:rsidRPr="008F729B" w:rsidRDefault="006B3E27" w:rsidP="00283BC9">
            <w:pPr>
              <w:kinsoku w:val="0"/>
              <w:overflowPunct w:val="0"/>
              <w:autoSpaceDE w:val="0"/>
              <w:autoSpaceDN w:val="0"/>
              <w:adjustRightInd w:val="0"/>
              <w:snapToGrid w:val="0"/>
              <w:spacing w:after="80" w:line="480" w:lineRule="exact"/>
              <w:jc w:val="left"/>
              <w:rPr>
                <w:rFonts w:hint="cs"/>
                <w:szCs w:val="40"/>
                <w:rtl/>
              </w:rPr>
            </w:pPr>
          </w:p>
        </w:tc>
        <w:tc>
          <w:tcPr>
            <w:tcW w:w="4679" w:type="dxa"/>
            <w:tcBorders>
              <w:bottom w:val="single" w:sz="4" w:space="0" w:color="auto"/>
            </w:tcBorders>
            <w:vAlign w:val="bottom"/>
          </w:tcPr>
          <w:p w14:paraId="4D75B112" w14:textId="77777777" w:rsidR="006B3E27" w:rsidRPr="008F729B" w:rsidRDefault="006B3E27" w:rsidP="00E866BF">
            <w:pPr>
              <w:spacing w:after="80" w:line="480" w:lineRule="exact"/>
              <w:ind w:left="57"/>
              <w:jc w:val="left"/>
              <w:rPr>
                <w:sz w:val="30"/>
                <w:szCs w:val="30"/>
                <w:rtl/>
              </w:rPr>
            </w:pPr>
            <w:r w:rsidRPr="008F729B">
              <w:rPr>
                <w:rFonts w:hint="cs"/>
                <w:sz w:val="30"/>
                <w:szCs w:val="30"/>
                <w:rtl/>
              </w:rPr>
              <w:t>الأمم المتحدة</w:t>
            </w:r>
          </w:p>
        </w:tc>
        <w:tc>
          <w:tcPr>
            <w:tcW w:w="3686" w:type="dxa"/>
            <w:tcBorders>
              <w:bottom w:val="single" w:sz="4" w:space="0" w:color="auto"/>
            </w:tcBorders>
            <w:vAlign w:val="bottom"/>
          </w:tcPr>
          <w:p w14:paraId="3716E525" w14:textId="078828BC" w:rsidR="006B3E27" w:rsidRPr="008C007D" w:rsidRDefault="008C007D" w:rsidP="008C007D">
            <w:pPr>
              <w:bidi w:val="0"/>
              <w:jc w:val="left"/>
            </w:pPr>
            <w:r w:rsidRPr="008C007D">
              <w:rPr>
                <w:sz w:val="40"/>
              </w:rPr>
              <w:t>CED</w:t>
            </w:r>
            <w:r>
              <w:t>/C/</w:t>
            </w:r>
            <w:r w:rsidRPr="000C07C9">
              <w:t>21</w:t>
            </w:r>
            <w:r>
              <w:t>/</w:t>
            </w:r>
            <w:r w:rsidRPr="000C07C9">
              <w:t>4</w:t>
            </w:r>
          </w:p>
        </w:tc>
      </w:tr>
      <w:tr w:rsidR="006B3E27" w:rsidRPr="008F729B" w14:paraId="6CCB781E" w14:textId="77777777" w:rsidTr="00E866BF">
        <w:trPr>
          <w:trHeight w:hRule="exact" w:val="2835"/>
        </w:trPr>
        <w:tc>
          <w:tcPr>
            <w:tcW w:w="1274" w:type="dxa"/>
            <w:tcBorders>
              <w:top w:val="single" w:sz="4" w:space="0" w:color="auto"/>
              <w:bottom w:val="single" w:sz="12" w:space="0" w:color="auto"/>
            </w:tcBorders>
          </w:tcPr>
          <w:p w14:paraId="2ACFC7DF" w14:textId="77777777" w:rsidR="006B3E27" w:rsidRPr="008F729B" w:rsidRDefault="0059622A" w:rsidP="008F729B">
            <w:pPr>
              <w:jc w:val="center"/>
              <w:rPr>
                <w:rtl/>
              </w:rPr>
            </w:pPr>
            <w:r w:rsidRPr="008F729B">
              <w:rPr>
                <w:noProof/>
              </w:rPr>
              <w:drawing>
                <wp:inline distT="0" distB="0" distL="0" distR="0" wp14:anchorId="3029E59C" wp14:editId="525A6B6F">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9" w:type="dxa"/>
            <w:tcBorders>
              <w:top w:val="single" w:sz="4" w:space="0" w:color="auto"/>
              <w:bottom w:val="single" w:sz="12" w:space="0" w:color="auto"/>
            </w:tcBorders>
          </w:tcPr>
          <w:p w14:paraId="00337255" w14:textId="77777777" w:rsidR="006B3E27" w:rsidRPr="000C07C9" w:rsidRDefault="004E1586" w:rsidP="00E866BF">
            <w:pPr>
              <w:spacing w:before="160" w:after="40" w:line="560" w:lineRule="exact"/>
              <w:ind w:left="57"/>
              <w:jc w:val="left"/>
              <w:rPr>
                <w:b/>
                <w:bCs/>
                <w:sz w:val="44"/>
                <w:szCs w:val="44"/>
                <w:rtl/>
              </w:rPr>
            </w:pPr>
            <w:r w:rsidRPr="000C07C9">
              <w:rPr>
                <w:rFonts w:hint="cs"/>
                <w:b/>
                <w:bCs/>
                <w:sz w:val="44"/>
                <w:szCs w:val="44"/>
                <w:rtl/>
              </w:rPr>
              <w:t>الاتفاقيـة الدوليــة لحمـايـة جمـيـع الأشخاص من الاختفاء القسري</w:t>
            </w:r>
          </w:p>
        </w:tc>
        <w:tc>
          <w:tcPr>
            <w:tcW w:w="3686" w:type="dxa"/>
            <w:tcBorders>
              <w:top w:val="single" w:sz="4" w:space="0" w:color="auto"/>
              <w:bottom w:val="single" w:sz="12" w:space="0" w:color="auto"/>
            </w:tcBorders>
          </w:tcPr>
          <w:p w14:paraId="762193BB" w14:textId="77777777" w:rsidR="00AB4559" w:rsidRPr="00AB4559" w:rsidRDefault="00AB4559" w:rsidP="00AB4559">
            <w:pPr>
              <w:bidi w:val="0"/>
              <w:spacing w:before="240" w:line="240" w:lineRule="auto"/>
              <w:jc w:val="left"/>
              <w:rPr>
                <w:rFonts w:eastAsia="SimSun" w:cs="Times New Roman"/>
                <w:lang w:val="en-GB"/>
              </w:rPr>
            </w:pPr>
            <w:r w:rsidRPr="00AB4559">
              <w:rPr>
                <w:rFonts w:eastAsia="SimSun" w:cs="Times New Roman"/>
                <w:lang w:val="en-GB"/>
              </w:rPr>
              <w:t>Distr.: General</w:t>
            </w:r>
          </w:p>
          <w:p w14:paraId="012D56D0" w14:textId="77777777" w:rsidR="00AB4559" w:rsidRPr="00AB4559" w:rsidRDefault="00AB4559" w:rsidP="00AB4559">
            <w:pPr>
              <w:bidi w:val="0"/>
              <w:spacing w:line="240" w:lineRule="auto"/>
              <w:jc w:val="left"/>
              <w:rPr>
                <w:rFonts w:eastAsia="SimSun" w:cs="Times New Roman"/>
                <w:lang w:val="en-GB"/>
              </w:rPr>
            </w:pPr>
            <w:r w:rsidRPr="00AB4559">
              <w:rPr>
                <w:rFonts w:eastAsia="SimSun" w:cs="Times New Roman"/>
                <w:lang w:val="en-GB"/>
              </w:rPr>
              <w:t>2 November 2021</w:t>
            </w:r>
          </w:p>
          <w:p w14:paraId="43681000" w14:textId="2719D113" w:rsidR="00AB4559" w:rsidRPr="00AB4559" w:rsidRDefault="00AB4559" w:rsidP="00AB4559">
            <w:pPr>
              <w:bidi w:val="0"/>
              <w:spacing w:line="240" w:lineRule="auto"/>
              <w:jc w:val="left"/>
              <w:rPr>
                <w:rFonts w:eastAsia="SimSun" w:cs="Times New Roman"/>
                <w:lang w:val="en-GB"/>
              </w:rPr>
            </w:pPr>
            <w:r>
              <w:rPr>
                <w:rFonts w:eastAsia="SimSun" w:cs="Times New Roman"/>
                <w:lang w:val="en-GB"/>
              </w:rPr>
              <w:t>Arabic</w:t>
            </w:r>
          </w:p>
          <w:p w14:paraId="50B5E2D2" w14:textId="0A3AB0D0" w:rsidR="008C007D" w:rsidRPr="00AB4559" w:rsidRDefault="00AB4559" w:rsidP="00AB4559">
            <w:pPr>
              <w:bidi w:val="0"/>
              <w:spacing w:line="240" w:lineRule="exact"/>
              <w:jc w:val="left"/>
              <w:rPr>
                <w:lang w:val="en-GB"/>
              </w:rPr>
            </w:pPr>
            <w:r w:rsidRPr="00AB4559">
              <w:rPr>
                <w:rFonts w:eastAsia="SimSun" w:cs="Times New Roman"/>
                <w:lang w:val="en-GB"/>
              </w:rPr>
              <w:t>Original: English</w:t>
            </w:r>
          </w:p>
        </w:tc>
      </w:tr>
    </w:tbl>
    <w:p w14:paraId="2BBE6523" w14:textId="77777777" w:rsidR="0078659B" w:rsidRPr="000C07C9" w:rsidRDefault="0078659B" w:rsidP="0078659B">
      <w:pPr>
        <w:pStyle w:val="SingleTxtGA"/>
        <w:spacing w:before="120" w:after="0"/>
        <w:ind w:left="0" w:right="4252"/>
        <w:jc w:val="left"/>
        <w:rPr>
          <w:b/>
          <w:bCs/>
          <w:sz w:val="26"/>
          <w:szCs w:val="26"/>
        </w:rPr>
      </w:pPr>
      <w:r w:rsidRPr="000C07C9">
        <w:rPr>
          <w:b/>
          <w:bCs/>
          <w:sz w:val="26"/>
          <w:szCs w:val="26"/>
          <w:rtl/>
        </w:rPr>
        <w:t>اللجنة المعنية بحالات الاختفاء القسري</w:t>
      </w:r>
    </w:p>
    <w:p w14:paraId="423AB805" w14:textId="77777777" w:rsidR="0078659B" w:rsidRPr="000C07C9" w:rsidRDefault="0078659B" w:rsidP="0078659B">
      <w:pPr>
        <w:pStyle w:val="HChGA"/>
        <w:rPr>
          <w:rFonts w:ascii="Times New Roman Bold" w:hAnsi="Times New Roman Bold" w:hint="cs"/>
          <w:spacing w:val="-4"/>
          <w:rtl/>
        </w:rPr>
      </w:pPr>
      <w:r w:rsidRPr="000C07C9">
        <w:rPr>
          <w:rFonts w:ascii="Times New Roman Bold" w:hAnsi="Times New Roman Bold"/>
          <w:spacing w:val="-4"/>
          <w:rtl/>
        </w:rPr>
        <w:tab/>
      </w:r>
      <w:r w:rsidRPr="000C07C9">
        <w:rPr>
          <w:rFonts w:ascii="Times New Roman Bold" w:hAnsi="Times New Roman Bold"/>
          <w:spacing w:val="-4"/>
          <w:rtl/>
        </w:rPr>
        <w:tab/>
        <w:t>تقرير عن متابعة الملاحظات الختامية للجنة المعنية بحالات الاختفاء القسري</w:t>
      </w:r>
      <w:r w:rsidRPr="000C07C9">
        <w:rPr>
          <w:rStyle w:val="FootnoteReference"/>
          <w:rFonts w:ascii="Times New Roman Bold" w:hAnsi="Times New Roman Bold"/>
          <w:spacing w:val="-4"/>
          <w:sz w:val="28"/>
          <w:szCs w:val="26"/>
          <w:vertAlign w:val="baseline"/>
          <w:rtl/>
        </w:rPr>
        <w:footnoteReference w:customMarkFollows="1" w:id="1"/>
        <w:t>*</w:t>
      </w:r>
    </w:p>
    <w:p w14:paraId="61B27C85" w14:textId="77777777" w:rsidR="0078659B" w:rsidRPr="000C07C9" w:rsidRDefault="0078659B" w:rsidP="0078659B">
      <w:pPr>
        <w:pStyle w:val="HChGA"/>
      </w:pPr>
      <w:r w:rsidRPr="000C07C9">
        <w:rPr>
          <w:rtl/>
        </w:rPr>
        <w:tab/>
        <w:t>أولا</w:t>
      </w:r>
      <w:r w:rsidRPr="000C07C9">
        <w:rPr>
          <w:rFonts w:hint="cs"/>
          <w:rtl/>
        </w:rPr>
        <w:t>ً</w:t>
      </w:r>
      <w:r w:rsidRPr="000C07C9">
        <w:rPr>
          <w:rtl/>
        </w:rPr>
        <w:t>-</w:t>
      </w:r>
      <w:r w:rsidRPr="000C07C9">
        <w:rPr>
          <w:rtl/>
        </w:rPr>
        <w:tab/>
        <w:t>مقدمة</w:t>
      </w:r>
    </w:p>
    <w:p w14:paraId="175FD8F4" w14:textId="77777777" w:rsidR="0078659B" w:rsidRPr="00C4406A" w:rsidRDefault="0078659B" w:rsidP="0078659B">
      <w:pPr>
        <w:pStyle w:val="SingleTxtGA"/>
        <w:rPr>
          <w:lang w:val="en-US"/>
        </w:rPr>
      </w:pPr>
      <w:r w:rsidRPr="000C07C9">
        <w:rPr>
          <w:rtl/>
          <w:lang w:val="en-US"/>
        </w:rPr>
        <w:t>1</w:t>
      </w:r>
      <w:r w:rsidRPr="00C4406A">
        <w:rPr>
          <w:rtl/>
          <w:lang w:val="en-US"/>
        </w:rPr>
        <w:t>-</w:t>
      </w:r>
      <w:r w:rsidRPr="00C4406A">
        <w:rPr>
          <w:rtl/>
          <w:lang w:val="en-US"/>
        </w:rPr>
        <w:tab/>
        <w:t xml:space="preserve">يتضمن هذا التقرير المعلومات التي تلقتها اللجنة بين دورتيها التاسعة عشرة والحادية والعشرين </w:t>
      </w:r>
      <w:r w:rsidRPr="00495DF0">
        <w:rPr>
          <w:spacing w:val="-4"/>
          <w:rtl/>
          <w:lang w:val="en-US"/>
        </w:rPr>
        <w:t>متابعةً لملاحظاتها الختامية بشأن بوليفيا (دولة -</w:t>
      </w:r>
      <w:r w:rsidRPr="00495DF0">
        <w:rPr>
          <w:rFonts w:hint="cs"/>
          <w:spacing w:val="-4"/>
          <w:rtl/>
          <w:lang w:val="en-US"/>
        </w:rPr>
        <w:t xml:space="preserve"> </w:t>
      </w:r>
      <w:r w:rsidRPr="00495DF0">
        <w:rPr>
          <w:spacing w:val="-4"/>
          <w:rtl/>
          <w:lang w:val="en-US"/>
        </w:rPr>
        <w:t xml:space="preserve">المتعددة </w:t>
      </w:r>
      <w:proofErr w:type="gramStart"/>
      <w:r w:rsidRPr="00495DF0">
        <w:rPr>
          <w:spacing w:val="-4"/>
          <w:rtl/>
          <w:lang w:val="en-US"/>
        </w:rPr>
        <w:t>القوميات)</w:t>
      </w:r>
      <w:r w:rsidRPr="00495DF0">
        <w:rPr>
          <w:spacing w:val="-4"/>
          <w:vertAlign w:val="superscript"/>
          <w:rtl/>
          <w:lang w:val="en-US"/>
        </w:rPr>
        <w:t>(</w:t>
      </w:r>
      <w:proofErr w:type="gramEnd"/>
      <w:r w:rsidRPr="000C07C9">
        <w:rPr>
          <w:rStyle w:val="FootnoteReference"/>
          <w:spacing w:val="-4"/>
          <w:szCs w:val="22"/>
          <w:lang w:val="en-US"/>
        </w:rPr>
        <w:footnoteReference w:id="2"/>
      </w:r>
      <w:r w:rsidRPr="00495DF0">
        <w:rPr>
          <w:spacing w:val="-4"/>
          <w:vertAlign w:val="superscript"/>
          <w:rtl/>
          <w:lang w:val="en-US"/>
        </w:rPr>
        <w:t>)</w:t>
      </w:r>
      <w:r w:rsidRPr="00495DF0">
        <w:rPr>
          <w:spacing w:val="-4"/>
          <w:rtl/>
          <w:lang w:val="en-US"/>
        </w:rPr>
        <w:t xml:space="preserve"> وسلوفاكيا</w:t>
      </w:r>
      <w:r w:rsidRPr="00495DF0">
        <w:rPr>
          <w:spacing w:val="-4"/>
          <w:vertAlign w:val="superscript"/>
          <w:rtl/>
          <w:lang w:val="en-US"/>
        </w:rPr>
        <w:t>(</w:t>
      </w:r>
      <w:r w:rsidRPr="000C07C9">
        <w:rPr>
          <w:rStyle w:val="FootnoteReference"/>
          <w:spacing w:val="-4"/>
          <w:szCs w:val="22"/>
          <w:lang w:val="en-US"/>
        </w:rPr>
        <w:footnoteReference w:id="3"/>
      </w:r>
      <w:r w:rsidRPr="00495DF0">
        <w:rPr>
          <w:spacing w:val="-4"/>
          <w:vertAlign w:val="superscript"/>
          <w:rtl/>
          <w:lang w:val="en-US"/>
        </w:rPr>
        <w:t>)</w:t>
      </w:r>
      <w:r w:rsidRPr="00495DF0">
        <w:rPr>
          <w:spacing w:val="-4"/>
          <w:rtl/>
          <w:lang w:val="en-US"/>
        </w:rPr>
        <w:t>، وكذلك التقييمات والقرارات</w:t>
      </w:r>
      <w:r w:rsidRPr="00C4406A">
        <w:rPr>
          <w:rtl/>
          <w:lang w:val="en-US"/>
        </w:rPr>
        <w:t xml:space="preserve"> التي اعتمدتها في دورتها الحادية والعشرين.</w:t>
      </w:r>
    </w:p>
    <w:p w14:paraId="5312CBED" w14:textId="77777777" w:rsidR="0078659B" w:rsidRPr="00C4406A" w:rsidRDefault="0078659B" w:rsidP="0078659B">
      <w:pPr>
        <w:pStyle w:val="SingleTxtGA"/>
        <w:rPr>
          <w:lang w:val="en-US"/>
        </w:rPr>
      </w:pPr>
      <w:r w:rsidRPr="000C07C9">
        <w:rPr>
          <w:rtl/>
          <w:lang w:val="en-US"/>
        </w:rPr>
        <w:t>2</w:t>
      </w:r>
      <w:r w:rsidRPr="00C4406A">
        <w:rPr>
          <w:rtl/>
          <w:lang w:val="en-US"/>
        </w:rPr>
        <w:t>-</w:t>
      </w:r>
      <w:r w:rsidRPr="00C4406A">
        <w:rPr>
          <w:rtl/>
          <w:lang w:val="en-US"/>
        </w:rPr>
        <w:tab/>
      </w:r>
      <w:r w:rsidRPr="00C57D41">
        <w:rPr>
          <w:spacing w:val="-4"/>
          <w:rtl/>
          <w:lang w:val="en-US"/>
        </w:rPr>
        <w:t>وخلال الدورة السابعة عشرة، دار حوار بنّاء مع الدولتين الطرفين المعنيتين، واعتُمدت الملاحظات</w:t>
      </w:r>
      <w:r w:rsidRPr="00C4406A">
        <w:rPr>
          <w:rtl/>
          <w:lang w:val="en-US"/>
        </w:rPr>
        <w:t xml:space="preserve"> </w:t>
      </w:r>
      <w:r w:rsidRPr="00C57D41">
        <w:rPr>
          <w:spacing w:val="-4"/>
          <w:rtl/>
          <w:lang w:val="en-US"/>
        </w:rPr>
        <w:t>الختامية. ولا تشير التقييمات الواردة في هذا التقرير إلا إلى توصيات محددة اختيرت لإجراء المتابعة وطُلب</w:t>
      </w:r>
      <w:r w:rsidRPr="00C4406A">
        <w:rPr>
          <w:rtl/>
          <w:lang w:val="en-US"/>
        </w:rPr>
        <w:t xml:space="preserve"> إلى </w:t>
      </w:r>
      <w:r w:rsidRPr="00C57D41">
        <w:rPr>
          <w:spacing w:val="-4"/>
          <w:rtl/>
          <w:lang w:val="en-US"/>
        </w:rPr>
        <w:t>الدولتين الطرفين تقديم معلومات عنها في غضون سنة واحدة من اعتماد الملاحظات الختامية. ولا يعد هذا</w:t>
      </w:r>
      <w:r w:rsidRPr="00C4406A">
        <w:rPr>
          <w:rtl/>
          <w:lang w:val="en-US"/>
        </w:rPr>
        <w:t xml:space="preserve"> التقرير بمثابة تقييم لتنفيذ جميع التوصيات المقدمة إلى الدولة الطرف في الملاحظات الختامية، أو مقارنة فيما بين الدولتين الطرفين. </w:t>
      </w:r>
    </w:p>
    <w:p w14:paraId="13262149" w14:textId="6CBCA0DC" w:rsidR="0078659B" w:rsidRDefault="0078659B" w:rsidP="0078659B">
      <w:pPr>
        <w:pStyle w:val="SingleTxtGA"/>
        <w:rPr>
          <w:rtl/>
          <w:lang w:val="en-US"/>
        </w:rPr>
      </w:pPr>
      <w:r w:rsidRPr="000C07C9">
        <w:rPr>
          <w:rtl/>
          <w:lang w:val="en-US"/>
        </w:rPr>
        <w:t>3</w:t>
      </w:r>
      <w:r w:rsidRPr="00C4406A">
        <w:rPr>
          <w:rtl/>
          <w:lang w:val="en-US"/>
        </w:rPr>
        <w:t>-</w:t>
      </w:r>
      <w:r w:rsidRPr="00C4406A">
        <w:rPr>
          <w:rtl/>
          <w:lang w:val="en-US"/>
        </w:rPr>
        <w:tab/>
        <w:t>وتستخدم اللجنة في تقييم المعلومات المقدمة من الدول الأطراف المعنية، المعايير المبينة أدناه:</w:t>
      </w:r>
    </w:p>
    <w:tbl>
      <w:tblPr>
        <w:tblStyle w:val="TableGrid"/>
        <w:bidiVisual/>
        <w:tblW w:w="0" w:type="auto"/>
        <w:tblInd w:w="1247" w:type="dxa"/>
        <w:tblBorders>
          <w:left w:val="none" w:sz="0" w:space="0" w:color="auto"/>
          <w:bottom w:val="single" w:sz="12" w:space="0" w:color="auto"/>
          <w:right w:val="none" w:sz="0" w:space="0" w:color="auto"/>
          <w:insideH w:val="single" w:sz="12" w:space="0" w:color="auto"/>
          <w:insideV w:val="none" w:sz="0" w:space="0" w:color="auto"/>
        </w:tblBorders>
        <w:tblLook w:val="04A0" w:firstRow="1" w:lastRow="0" w:firstColumn="1" w:lastColumn="0" w:noHBand="0" w:noVBand="1"/>
      </w:tblPr>
      <w:tblGrid>
        <w:gridCol w:w="7116"/>
      </w:tblGrid>
      <w:tr w:rsidR="008960D1" w14:paraId="651E5662" w14:textId="77777777" w:rsidTr="00555E4A">
        <w:trPr>
          <w:cantSplit/>
          <w:tblHeader/>
        </w:trPr>
        <w:tc>
          <w:tcPr>
            <w:tcW w:w="7116" w:type="dxa"/>
          </w:tcPr>
          <w:p w14:paraId="07911D51" w14:textId="55CD2AA0" w:rsidR="008960D1" w:rsidRPr="000C07C9" w:rsidRDefault="008960D1" w:rsidP="00555E4A">
            <w:pPr>
              <w:pStyle w:val="SingleTxtGA"/>
              <w:ind w:left="0" w:right="0"/>
              <w:rPr>
                <w:i/>
                <w:iCs/>
                <w:rtl/>
                <w:lang w:val="en-US"/>
              </w:rPr>
            </w:pPr>
            <w:r w:rsidRPr="000C07C9">
              <w:rPr>
                <w:i/>
                <w:iCs/>
                <w:rtl/>
                <w:lang w:val="en-US"/>
              </w:rPr>
              <w:t>تقييم الردود</w:t>
            </w:r>
          </w:p>
        </w:tc>
      </w:tr>
      <w:tr w:rsidR="008960D1" w14:paraId="02E5DC22" w14:textId="77777777" w:rsidTr="00555E4A">
        <w:tc>
          <w:tcPr>
            <w:tcW w:w="7116" w:type="dxa"/>
          </w:tcPr>
          <w:p w14:paraId="152B8FB4" w14:textId="12E92465" w:rsidR="008960D1" w:rsidRPr="000C07C9" w:rsidRDefault="008960D1" w:rsidP="00555E4A">
            <w:pPr>
              <w:pStyle w:val="SingleTxtGA"/>
              <w:tabs>
                <w:tab w:val="clear" w:pos="1928"/>
                <w:tab w:val="left" w:pos="777"/>
              </w:tabs>
              <w:ind w:left="0" w:right="0"/>
              <w:rPr>
                <w:b/>
                <w:bCs/>
                <w:lang w:val="en-US"/>
              </w:rPr>
            </w:pPr>
            <w:r w:rsidRPr="000C07C9">
              <w:rPr>
                <w:rFonts w:hint="cs"/>
                <w:b/>
                <w:bCs/>
                <w:rtl/>
                <w:lang w:val="en-US"/>
              </w:rPr>
              <w:t>ألف</w:t>
            </w:r>
            <w:r w:rsidRPr="000C07C9">
              <w:rPr>
                <w:b/>
                <w:bCs/>
                <w:rtl/>
                <w:lang w:val="en-US"/>
              </w:rPr>
              <w:tab/>
              <w:t>رد/إجراء مُرض</w:t>
            </w:r>
          </w:p>
          <w:p w14:paraId="43349E5E" w14:textId="32316618" w:rsidR="008960D1" w:rsidRPr="00C4406A" w:rsidRDefault="00E4289F" w:rsidP="00555E4A">
            <w:pPr>
              <w:pStyle w:val="SingleTxtGA"/>
              <w:tabs>
                <w:tab w:val="clear" w:pos="1928"/>
                <w:tab w:val="left" w:pos="801"/>
              </w:tabs>
              <w:ind w:left="801" w:right="0" w:hanging="801"/>
              <w:rPr>
                <w:lang w:val="en-US"/>
              </w:rPr>
            </w:pPr>
            <w:r>
              <w:rPr>
                <w:rtl/>
                <w:lang w:val="en-US"/>
              </w:rPr>
              <w:tab/>
            </w:r>
            <w:r w:rsidR="008960D1" w:rsidRPr="00C4406A">
              <w:rPr>
                <w:rtl/>
                <w:lang w:val="en-US"/>
              </w:rPr>
              <w:t>قدمت الدولة الطرف أدلة على اتخاذ إجراءات هامة لتنفيذ توصية اللجنة.</w:t>
            </w:r>
          </w:p>
          <w:p w14:paraId="54AC5BE8" w14:textId="77777777" w:rsidR="008960D1" w:rsidRPr="000C07C9" w:rsidRDefault="008960D1" w:rsidP="00555E4A">
            <w:pPr>
              <w:pStyle w:val="SingleTxtGA"/>
              <w:tabs>
                <w:tab w:val="clear" w:pos="1928"/>
                <w:tab w:val="left" w:pos="777"/>
              </w:tabs>
              <w:ind w:left="0" w:right="0"/>
              <w:rPr>
                <w:b/>
                <w:bCs/>
                <w:lang w:val="en-US"/>
              </w:rPr>
            </w:pPr>
            <w:r w:rsidRPr="000C07C9">
              <w:rPr>
                <w:b/>
                <w:bCs/>
                <w:rtl/>
                <w:lang w:val="en-US"/>
              </w:rPr>
              <w:t>باء</w:t>
            </w:r>
            <w:r w:rsidRPr="000C07C9">
              <w:rPr>
                <w:b/>
                <w:bCs/>
                <w:rtl/>
                <w:lang w:val="en-US"/>
              </w:rPr>
              <w:tab/>
              <w:t>رد/إجراء مُرض جزئياً</w:t>
            </w:r>
          </w:p>
          <w:p w14:paraId="734EB25D" w14:textId="734C2BB5" w:rsidR="008960D1" w:rsidRPr="00C4406A" w:rsidRDefault="00E4289F" w:rsidP="00555E4A">
            <w:pPr>
              <w:pStyle w:val="SingleTxtGA"/>
              <w:tabs>
                <w:tab w:val="clear" w:pos="1928"/>
                <w:tab w:val="left" w:pos="801"/>
              </w:tabs>
              <w:ind w:left="801" w:right="0" w:hanging="801"/>
              <w:rPr>
                <w:lang w:val="en-US"/>
              </w:rPr>
            </w:pPr>
            <w:r>
              <w:rPr>
                <w:rtl/>
                <w:lang w:val="en-US"/>
              </w:rPr>
              <w:tab/>
            </w:r>
            <w:r w:rsidR="008960D1" w:rsidRPr="00C4406A">
              <w:rPr>
                <w:rtl/>
                <w:lang w:val="en-US"/>
              </w:rPr>
              <w:t>اتخذت الدولة الطرف خطوات لتنفيذ التوصية، ولكن لا يزال يتعين عليها أن تقدّم معلومات إضافية أو تتخذ مزيداً من الإجراءات.</w:t>
            </w:r>
          </w:p>
          <w:p w14:paraId="2D1D86E2" w14:textId="77777777" w:rsidR="008960D1" w:rsidRPr="000C07C9" w:rsidRDefault="008960D1" w:rsidP="00555E4A">
            <w:pPr>
              <w:pStyle w:val="SingleTxtGA"/>
              <w:tabs>
                <w:tab w:val="clear" w:pos="1928"/>
                <w:tab w:val="left" w:pos="777"/>
              </w:tabs>
              <w:ind w:left="0" w:right="0"/>
              <w:rPr>
                <w:b/>
                <w:bCs/>
                <w:lang w:val="en-US"/>
              </w:rPr>
            </w:pPr>
            <w:r w:rsidRPr="000C07C9">
              <w:rPr>
                <w:b/>
                <w:bCs/>
                <w:rtl/>
                <w:lang w:val="en-US"/>
              </w:rPr>
              <w:t>جيم</w:t>
            </w:r>
            <w:r w:rsidRPr="000C07C9">
              <w:rPr>
                <w:b/>
                <w:bCs/>
                <w:rtl/>
                <w:lang w:val="en-US"/>
              </w:rPr>
              <w:tab/>
              <w:t>رد/إجراء غير مُرض</w:t>
            </w:r>
          </w:p>
          <w:p w14:paraId="60CC518F" w14:textId="0F22EA99" w:rsidR="008960D1" w:rsidRPr="00C4406A" w:rsidRDefault="00E4289F" w:rsidP="00555E4A">
            <w:pPr>
              <w:pStyle w:val="SingleTxtGA"/>
              <w:tabs>
                <w:tab w:val="clear" w:pos="1928"/>
                <w:tab w:val="left" w:pos="801"/>
              </w:tabs>
              <w:ind w:left="801" w:right="0" w:hanging="801"/>
              <w:rPr>
                <w:lang w:val="en-US"/>
              </w:rPr>
            </w:pPr>
            <w:r>
              <w:rPr>
                <w:rtl/>
                <w:lang w:val="en-US"/>
              </w:rPr>
              <w:tab/>
            </w:r>
            <w:r w:rsidR="008960D1" w:rsidRPr="00E4289F">
              <w:rPr>
                <w:spacing w:val="-4"/>
                <w:rtl/>
                <w:lang w:val="en-US"/>
              </w:rPr>
              <w:t>أرسلت الدولة الطرف رداً، لكن الإجراءات المتخذة أو المعلومات المقدمة لا تتعلق بالتوصية أو لا تؤدي</w:t>
            </w:r>
            <w:r w:rsidR="008960D1" w:rsidRPr="00C4406A">
              <w:rPr>
                <w:rtl/>
                <w:lang w:val="en-US"/>
              </w:rPr>
              <w:t xml:space="preserve"> إلى تنفيذها.</w:t>
            </w:r>
          </w:p>
          <w:p w14:paraId="1961C367" w14:textId="77777777" w:rsidR="008960D1" w:rsidRPr="000C07C9" w:rsidRDefault="008960D1" w:rsidP="00555E4A">
            <w:pPr>
              <w:pStyle w:val="SingleTxtGA"/>
              <w:tabs>
                <w:tab w:val="clear" w:pos="1928"/>
                <w:tab w:val="left" w:pos="777"/>
              </w:tabs>
              <w:ind w:left="0" w:right="0"/>
              <w:rPr>
                <w:b/>
                <w:bCs/>
                <w:lang w:val="en-US"/>
              </w:rPr>
            </w:pPr>
            <w:r w:rsidRPr="000C07C9">
              <w:rPr>
                <w:b/>
                <w:bCs/>
                <w:rtl/>
                <w:lang w:val="en-US"/>
              </w:rPr>
              <w:lastRenderedPageBreak/>
              <w:t>دال</w:t>
            </w:r>
            <w:r w:rsidRPr="000C07C9">
              <w:rPr>
                <w:b/>
                <w:bCs/>
                <w:rtl/>
                <w:lang w:val="en-US"/>
              </w:rPr>
              <w:tab/>
              <w:t>لم يقدَّم رد بشأن التوصية</w:t>
            </w:r>
          </w:p>
          <w:p w14:paraId="569201D6" w14:textId="77777777" w:rsidR="008960D1" w:rsidRPr="00C4406A" w:rsidRDefault="008960D1" w:rsidP="00555E4A">
            <w:pPr>
              <w:pStyle w:val="SingleTxtGA"/>
              <w:tabs>
                <w:tab w:val="clear" w:pos="1928"/>
                <w:tab w:val="left" w:pos="777"/>
              </w:tabs>
              <w:ind w:left="801" w:right="0" w:hanging="801"/>
              <w:rPr>
                <w:lang w:val="en-US"/>
              </w:rPr>
            </w:pPr>
            <w:r w:rsidRPr="00C4406A">
              <w:rPr>
                <w:rtl/>
                <w:lang w:val="en-US"/>
              </w:rPr>
              <w:tab/>
              <w:t>لم تقدم الدولة الطرف أي معلومات عن تنفيذ التوصية.</w:t>
            </w:r>
          </w:p>
          <w:p w14:paraId="3A5D4A28" w14:textId="77777777" w:rsidR="008960D1" w:rsidRPr="000C07C9" w:rsidRDefault="008960D1" w:rsidP="00555E4A">
            <w:pPr>
              <w:pStyle w:val="SingleTxtGA"/>
              <w:tabs>
                <w:tab w:val="clear" w:pos="1928"/>
                <w:tab w:val="left" w:pos="777"/>
              </w:tabs>
              <w:ind w:left="0" w:right="0"/>
              <w:rPr>
                <w:b/>
                <w:bCs/>
                <w:lang w:val="en-US"/>
              </w:rPr>
            </w:pPr>
            <w:r w:rsidRPr="000C07C9">
              <w:rPr>
                <w:b/>
                <w:bCs/>
                <w:rtl/>
                <w:lang w:val="en-US"/>
              </w:rPr>
              <w:t>هاء</w:t>
            </w:r>
            <w:r w:rsidRPr="000C07C9">
              <w:rPr>
                <w:b/>
                <w:bCs/>
                <w:rtl/>
                <w:lang w:val="en-US"/>
              </w:rPr>
              <w:tab/>
              <w:t>المعلومات المقدمة أو التدابير المتخذة تتنافى مع توصية اللجنة أو تنم عن رفضها</w:t>
            </w:r>
          </w:p>
          <w:p w14:paraId="57E4E303" w14:textId="152603CC" w:rsidR="008960D1" w:rsidRPr="008960D1" w:rsidRDefault="008960D1" w:rsidP="00555E4A">
            <w:pPr>
              <w:pStyle w:val="SingleTxtGA"/>
              <w:tabs>
                <w:tab w:val="clear" w:pos="1928"/>
                <w:tab w:val="left" w:pos="777"/>
              </w:tabs>
              <w:ind w:left="801" w:right="0" w:hanging="801"/>
              <w:rPr>
                <w:rtl/>
                <w:lang w:val="en-US"/>
              </w:rPr>
            </w:pPr>
            <w:r w:rsidRPr="00C4406A">
              <w:rPr>
                <w:rtl/>
                <w:lang w:val="en-US"/>
              </w:rPr>
              <w:tab/>
            </w:r>
            <w:r w:rsidRPr="00C57D41">
              <w:rPr>
                <w:spacing w:val="-2"/>
                <w:rtl/>
                <w:lang w:val="en-US"/>
              </w:rPr>
              <w:t>يكشف الرد أن التدابير المتخذة تتنافى مع توصية اللجنة أو تترتب عليها نتائج أو عواقب تنافي توصية</w:t>
            </w:r>
            <w:r w:rsidRPr="00C4406A">
              <w:rPr>
                <w:rtl/>
                <w:lang w:val="en-US"/>
              </w:rPr>
              <w:t xml:space="preserve"> اللجنة أو تنم عن رفضها.</w:t>
            </w:r>
          </w:p>
        </w:tc>
      </w:tr>
    </w:tbl>
    <w:p w14:paraId="23A4BE8F" w14:textId="58AA861C" w:rsidR="0078659B" w:rsidRPr="000C07C9" w:rsidRDefault="00E4289F" w:rsidP="00E4289F">
      <w:pPr>
        <w:pStyle w:val="HChGA"/>
      </w:pPr>
      <w:r w:rsidRPr="000C07C9">
        <w:rPr>
          <w:rtl/>
        </w:rPr>
        <w:lastRenderedPageBreak/>
        <w:tab/>
      </w:r>
      <w:r w:rsidR="0078659B" w:rsidRPr="000C07C9">
        <w:rPr>
          <w:rtl/>
        </w:rPr>
        <w:t>ثانيا</w:t>
      </w:r>
      <w:r w:rsidRPr="000C07C9">
        <w:rPr>
          <w:rFonts w:hint="cs"/>
          <w:rtl/>
        </w:rPr>
        <w:t>ً</w:t>
      </w:r>
      <w:r w:rsidR="0078659B" w:rsidRPr="000C07C9">
        <w:rPr>
          <w:rtl/>
        </w:rPr>
        <w:t>-</w:t>
      </w:r>
      <w:r w:rsidR="0078659B" w:rsidRPr="000C07C9">
        <w:rPr>
          <w:rtl/>
        </w:rPr>
        <w:tab/>
        <w:t>تقييم معلومات المتابعة</w:t>
      </w:r>
    </w:p>
    <w:p w14:paraId="022F2EC6" w14:textId="63AFC1F0" w:rsidR="0078659B" w:rsidRPr="000C07C9" w:rsidRDefault="00E4289F" w:rsidP="00E4289F">
      <w:pPr>
        <w:pStyle w:val="H1GA"/>
      </w:pPr>
      <w:r w:rsidRPr="000C07C9">
        <w:rPr>
          <w:rtl/>
        </w:rPr>
        <w:tab/>
      </w:r>
      <w:r w:rsidR="0078659B" w:rsidRPr="000C07C9">
        <w:rPr>
          <w:rtl/>
        </w:rPr>
        <w:t>ألف-</w:t>
      </w:r>
      <w:r w:rsidR="0078659B" w:rsidRPr="000C07C9">
        <w:rPr>
          <w:rtl/>
        </w:rPr>
        <w:tab/>
        <w:t>بوليفيا (دولة - المتعددة القوميات)</w:t>
      </w:r>
    </w:p>
    <w:p w14:paraId="67220598" w14:textId="77777777" w:rsidR="0078659B" w:rsidRPr="000C07C9" w:rsidRDefault="0078659B" w:rsidP="00E4289F">
      <w:pPr>
        <w:pStyle w:val="H23GA"/>
      </w:pPr>
      <w:r w:rsidRPr="000C07C9">
        <w:rPr>
          <w:rtl/>
        </w:rPr>
        <w:tab/>
      </w:r>
      <w:r w:rsidRPr="000C07C9">
        <w:rPr>
          <w:rtl/>
        </w:rPr>
        <w:tab/>
        <w:t>الدورة السابعة عشرة (أيلول/سبتمبر - تشرين الأول/أكتوبر 2019)</w:t>
      </w:r>
    </w:p>
    <w:tbl>
      <w:tblPr>
        <w:tblStyle w:val="TableGrid"/>
        <w:bidiVisual/>
        <w:tblW w:w="0" w:type="auto"/>
        <w:tblInd w:w="1247" w:type="dxa"/>
        <w:tblBorders>
          <w:left w:val="none" w:sz="0" w:space="0" w:color="auto"/>
          <w:bottom w:val="single" w:sz="12" w:space="0" w:color="auto"/>
          <w:right w:val="none" w:sz="0" w:space="0" w:color="auto"/>
          <w:insideH w:val="single" w:sz="12" w:space="0" w:color="auto"/>
          <w:insideV w:val="none" w:sz="0" w:space="0" w:color="auto"/>
        </w:tblBorders>
        <w:tblLook w:val="04A0" w:firstRow="1" w:lastRow="0" w:firstColumn="1" w:lastColumn="0" w:noHBand="0" w:noVBand="1"/>
      </w:tblPr>
      <w:tblGrid>
        <w:gridCol w:w="7196"/>
      </w:tblGrid>
      <w:tr w:rsidR="00E4289F" w14:paraId="133EE8F6" w14:textId="77777777" w:rsidTr="00555E4A">
        <w:trPr>
          <w:cantSplit/>
          <w:tblHeader/>
        </w:trPr>
        <w:tc>
          <w:tcPr>
            <w:tcW w:w="7196" w:type="dxa"/>
          </w:tcPr>
          <w:p w14:paraId="0C89884F" w14:textId="6C5F95D3" w:rsidR="00E4289F" w:rsidRPr="000C07C9" w:rsidRDefault="00E4289F" w:rsidP="00555E4A">
            <w:pPr>
              <w:pStyle w:val="SingleTxtGA"/>
              <w:ind w:left="0" w:right="0"/>
              <w:rPr>
                <w:i/>
                <w:iCs/>
                <w:rtl/>
                <w:lang w:val="en-US"/>
              </w:rPr>
            </w:pPr>
            <w:r w:rsidRPr="000C07C9">
              <w:rPr>
                <w:i/>
                <w:iCs/>
                <w:rtl/>
                <w:lang w:val="en-US"/>
              </w:rPr>
              <w:t>بوليفيا (دولة - المتعددة القوميات)</w:t>
            </w:r>
          </w:p>
        </w:tc>
      </w:tr>
      <w:tr w:rsidR="00E4289F" w14:paraId="3309015A" w14:textId="77777777" w:rsidTr="00555E4A">
        <w:tc>
          <w:tcPr>
            <w:tcW w:w="7196" w:type="dxa"/>
          </w:tcPr>
          <w:p w14:paraId="63AC8316" w14:textId="7B928A75" w:rsidR="00E4289F" w:rsidRPr="00E4289F" w:rsidRDefault="00E4289F" w:rsidP="00555E4A">
            <w:pPr>
              <w:pStyle w:val="SingleTxtGA"/>
              <w:tabs>
                <w:tab w:val="left" w:pos="777"/>
              </w:tabs>
              <w:ind w:left="0" w:right="0"/>
              <w:rPr>
                <w:rtl/>
                <w:lang w:val="en-US"/>
              </w:rPr>
            </w:pPr>
            <w:r w:rsidRPr="000C07C9">
              <w:rPr>
                <w:b/>
                <w:bCs/>
                <w:rtl/>
                <w:lang w:val="en-US"/>
              </w:rPr>
              <w:t>الملاحظات الختامية:</w:t>
            </w:r>
            <w:r w:rsidRPr="000C07C9">
              <w:rPr>
                <w:b/>
                <w:bCs/>
                <w:rtl/>
                <w:lang w:val="en-US"/>
              </w:rPr>
              <w:tab/>
            </w:r>
            <w:hyperlink r:id="rId9" w:history="1">
              <w:r w:rsidR="00601670" w:rsidRPr="00F817E0">
                <w:rPr>
                  <w:rStyle w:val="Hyperlink"/>
                </w:rPr>
                <w:t>CED/C/BOL/CO/</w:t>
              </w:r>
              <w:r w:rsidR="00601670" w:rsidRPr="000C07C9">
                <w:rPr>
                  <w:rStyle w:val="Hyperlink"/>
                </w:rPr>
                <w:t>1</w:t>
              </w:r>
            </w:hyperlink>
            <w:r w:rsidRPr="00E4289F">
              <w:rPr>
                <w:rtl/>
                <w:lang w:val="en-US"/>
              </w:rPr>
              <w:t xml:space="preserve">، اعتُمدت في </w:t>
            </w:r>
            <w:r w:rsidRPr="000C07C9">
              <w:rPr>
                <w:rtl/>
                <w:lang w:val="en-US"/>
              </w:rPr>
              <w:t>10</w:t>
            </w:r>
            <w:r w:rsidRPr="00E4289F">
              <w:rPr>
                <w:rtl/>
                <w:lang w:val="en-US"/>
              </w:rPr>
              <w:t xml:space="preserve"> تشرين الأول/أكتوبر </w:t>
            </w:r>
            <w:r w:rsidRPr="000C07C9">
              <w:rPr>
                <w:rtl/>
                <w:lang w:val="en-US"/>
              </w:rPr>
              <w:t>2019</w:t>
            </w:r>
          </w:p>
          <w:p w14:paraId="34416B91" w14:textId="77777777" w:rsidR="00E4289F" w:rsidRPr="00E4289F" w:rsidRDefault="00E4289F" w:rsidP="00555E4A">
            <w:pPr>
              <w:pStyle w:val="SingleTxtGA"/>
              <w:tabs>
                <w:tab w:val="left" w:pos="777"/>
              </w:tabs>
              <w:ind w:left="1928" w:right="0" w:hanging="1928"/>
              <w:rPr>
                <w:rtl/>
                <w:lang w:val="en-US"/>
              </w:rPr>
            </w:pPr>
            <w:r w:rsidRPr="000C07C9">
              <w:rPr>
                <w:b/>
                <w:bCs/>
                <w:rtl/>
                <w:lang w:val="en-US"/>
              </w:rPr>
              <w:t xml:space="preserve">التوصيات موضوع المتابعة: </w:t>
            </w:r>
            <w:r w:rsidRPr="000C07C9">
              <w:rPr>
                <w:b/>
                <w:bCs/>
                <w:rtl/>
                <w:lang w:val="en-US"/>
              </w:rPr>
              <w:tab/>
            </w:r>
            <w:r w:rsidRPr="00E4289F">
              <w:rPr>
                <w:rtl/>
                <w:lang w:val="en-US"/>
              </w:rPr>
              <w:t xml:space="preserve">الفقرات </w:t>
            </w:r>
            <w:r w:rsidRPr="000C07C9">
              <w:rPr>
                <w:rtl/>
                <w:lang w:val="en-US"/>
              </w:rPr>
              <w:t>27</w:t>
            </w:r>
            <w:r w:rsidRPr="00E4289F">
              <w:rPr>
                <w:rtl/>
                <w:lang w:val="en-US"/>
              </w:rPr>
              <w:t xml:space="preserve"> (الضمانات الأساسية)، و</w:t>
            </w:r>
            <w:r w:rsidRPr="000C07C9">
              <w:rPr>
                <w:rtl/>
                <w:lang w:val="en-US"/>
              </w:rPr>
              <w:t>29</w:t>
            </w:r>
            <w:r w:rsidRPr="00E4289F">
              <w:rPr>
                <w:rtl/>
                <w:lang w:val="en-US"/>
              </w:rPr>
              <w:t xml:space="preserve"> (السجلات)، و</w:t>
            </w:r>
            <w:r w:rsidRPr="000C07C9">
              <w:rPr>
                <w:rtl/>
                <w:lang w:val="en-US"/>
              </w:rPr>
              <w:t>39</w:t>
            </w:r>
            <w:r w:rsidRPr="00E4289F">
              <w:rPr>
                <w:rtl/>
                <w:lang w:val="en-US"/>
              </w:rPr>
              <w:t xml:space="preserve"> (البحث عن الأشخاص المختفين) </w:t>
            </w:r>
          </w:p>
          <w:p w14:paraId="4CC86055" w14:textId="761825E0" w:rsidR="00E4289F" w:rsidRPr="00601670" w:rsidRDefault="00E4289F" w:rsidP="00555E4A">
            <w:pPr>
              <w:pStyle w:val="SingleTxtGA"/>
              <w:tabs>
                <w:tab w:val="clear" w:pos="1928"/>
                <w:tab w:val="left" w:pos="1911"/>
              </w:tabs>
              <w:ind w:left="1911" w:right="0" w:hanging="1911"/>
              <w:rPr>
                <w:spacing w:val="-4"/>
                <w:rtl/>
                <w:lang w:val="en-US"/>
              </w:rPr>
            </w:pPr>
            <w:r w:rsidRPr="000C07C9">
              <w:rPr>
                <w:b/>
                <w:bCs/>
                <w:spacing w:val="-4"/>
                <w:rtl/>
                <w:lang w:val="en-US"/>
              </w:rPr>
              <w:t>الرد:</w:t>
            </w:r>
            <w:r w:rsidRPr="000C07C9">
              <w:rPr>
                <w:b/>
                <w:bCs/>
                <w:spacing w:val="-4"/>
                <w:rtl/>
                <w:lang w:val="en-US"/>
              </w:rPr>
              <w:tab/>
            </w:r>
            <w:hyperlink r:id="rId10" w:history="1">
              <w:r w:rsidR="00601670" w:rsidRPr="00601670">
                <w:rPr>
                  <w:rStyle w:val="Hyperlink"/>
                  <w:spacing w:val="-4"/>
                </w:rPr>
                <w:t>CED/C/BOL/FCO/</w:t>
              </w:r>
              <w:r w:rsidR="00601670" w:rsidRPr="000C07C9">
                <w:rPr>
                  <w:rStyle w:val="Hyperlink"/>
                  <w:spacing w:val="-4"/>
                </w:rPr>
                <w:t>1</w:t>
              </w:r>
            </w:hyperlink>
            <w:r w:rsidRPr="00601670">
              <w:rPr>
                <w:spacing w:val="-4"/>
                <w:rtl/>
                <w:lang w:val="en-US"/>
              </w:rPr>
              <w:t xml:space="preserve">، حل موعد تقديمه في </w:t>
            </w:r>
            <w:r w:rsidRPr="000C07C9">
              <w:rPr>
                <w:spacing w:val="-4"/>
                <w:rtl/>
                <w:lang w:val="en-US"/>
              </w:rPr>
              <w:t>11</w:t>
            </w:r>
            <w:r w:rsidRPr="00601670">
              <w:rPr>
                <w:spacing w:val="-4"/>
                <w:rtl/>
                <w:lang w:val="en-US"/>
              </w:rPr>
              <w:t xml:space="preserve"> تشرين الأول/أكتوبر </w:t>
            </w:r>
            <w:r w:rsidRPr="000C07C9">
              <w:rPr>
                <w:spacing w:val="-4"/>
                <w:rtl/>
                <w:lang w:val="en-US"/>
              </w:rPr>
              <w:t>2020</w:t>
            </w:r>
            <w:r w:rsidRPr="00601670">
              <w:rPr>
                <w:spacing w:val="-4"/>
                <w:rtl/>
                <w:lang w:val="en-US"/>
              </w:rPr>
              <w:t xml:space="preserve">، وورد في </w:t>
            </w:r>
            <w:r w:rsidRPr="000C07C9">
              <w:rPr>
                <w:spacing w:val="-4"/>
                <w:rtl/>
                <w:lang w:val="en-US"/>
              </w:rPr>
              <w:t>12</w:t>
            </w:r>
            <w:r w:rsidRPr="00601670">
              <w:rPr>
                <w:spacing w:val="-4"/>
                <w:rtl/>
                <w:lang w:val="en-US"/>
              </w:rPr>
              <w:t xml:space="preserve"> تشرين الأول/أكتوبر </w:t>
            </w:r>
            <w:r w:rsidRPr="000C07C9">
              <w:rPr>
                <w:spacing w:val="-4"/>
                <w:rtl/>
                <w:lang w:val="en-US"/>
              </w:rPr>
              <w:t>2020</w:t>
            </w:r>
          </w:p>
          <w:p w14:paraId="1991CF82" w14:textId="77777777" w:rsidR="00E4289F" w:rsidRPr="00E4289F" w:rsidRDefault="00E4289F" w:rsidP="00555E4A">
            <w:pPr>
              <w:pStyle w:val="SingleTxtGA"/>
              <w:tabs>
                <w:tab w:val="left" w:pos="777"/>
              </w:tabs>
              <w:ind w:left="1928" w:right="0" w:hanging="1928"/>
              <w:rPr>
                <w:rtl/>
                <w:lang w:val="en-US"/>
              </w:rPr>
            </w:pPr>
            <w:r w:rsidRPr="000C07C9">
              <w:rPr>
                <w:b/>
                <w:bCs/>
                <w:rtl/>
                <w:lang w:val="en-US"/>
              </w:rPr>
              <w:t>المساهمات الخارجية:</w:t>
            </w:r>
            <w:r w:rsidRPr="000C07C9">
              <w:rPr>
                <w:b/>
                <w:bCs/>
                <w:rtl/>
                <w:lang w:val="en-US"/>
              </w:rPr>
              <w:tab/>
            </w:r>
            <w:r w:rsidRPr="00E4289F">
              <w:rPr>
                <w:rtl/>
                <w:lang w:val="en-US"/>
              </w:rPr>
              <w:t xml:space="preserve">تقرير مقدم من جمعية أقارب المحتجزين المختفين والشهداء من أجل التحرر الوطني، ورد في </w:t>
            </w:r>
            <w:r w:rsidRPr="000C07C9">
              <w:rPr>
                <w:rtl/>
                <w:lang w:val="en-US"/>
              </w:rPr>
              <w:t>14</w:t>
            </w:r>
            <w:r w:rsidRPr="00E4289F">
              <w:rPr>
                <w:rtl/>
                <w:lang w:val="en-US"/>
              </w:rPr>
              <w:t xml:space="preserve"> حزيران/</w:t>
            </w:r>
            <w:proofErr w:type="gramStart"/>
            <w:r w:rsidRPr="00E4289F">
              <w:rPr>
                <w:rtl/>
                <w:lang w:val="en-US"/>
              </w:rPr>
              <w:t>يونيه</w:t>
            </w:r>
            <w:proofErr w:type="gramEnd"/>
            <w:r w:rsidRPr="00E4289F">
              <w:rPr>
                <w:rtl/>
                <w:lang w:val="en-US"/>
              </w:rPr>
              <w:t xml:space="preserve"> </w:t>
            </w:r>
            <w:r w:rsidRPr="000C07C9">
              <w:rPr>
                <w:rtl/>
                <w:lang w:val="en-US"/>
              </w:rPr>
              <w:t>2021</w:t>
            </w:r>
            <w:r w:rsidRPr="00E4289F">
              <w:rPr>
                <w:rtl/>
                <w:lang w:val="en-US"/>
              </w:rPr>
              <w:t>.</w:t>
            </w:r>
          </w:p>
          <w:p w14:paraId="09D26946" w14:textId="7897EB90" w:rsidR="00E4289F" w:rsidRPr="000C07C9" w:rsidRDefault="00E4289F" w:rsidP="00555E4A">
            <w:pPr>
              <w:pStyle w:val="SingleTxtGA"/>
              <w:tabs>
                <w:tab w:val="left" w:pos="777"/>
              </w:tabs>
              <w:ind w:left="0" w:right="0"/>
              <w:rPr>
                <w:b/>
                <w:bCs/>
                <w:rtl/>
                <w:lang w:val="en-US"/>
              </w:rPr>
            </w:pPr>
            <w:r w:rsidRPr="000C07C9">
              <w:rPr>
                <w:b/>
                <w:bCs/>
                <w:rtl/>
                <w:lang w:val="en-US"/>
              </w:rPr>
              <w:t>الفقرة 27: توصي اللجنة بأن تتخذ الدولة الطرف التدابير اللازمة لضمان تمكين جميع الأشخاص المحرومين من الحرية، منذ بدء الحرمان من الحرية، من الاتصال فوراً بمحام حتى عندما يكونون رهن الحبس الانفرادي، ومن التواصل مع أقاربهم أو أي أشخاص آخرين من اختيارهم وبأن تخطر أفراد أسرهم وأقاربهم بحرمانهم من</w:t>
            </w:r>
            <w:r w:rsidR="00CA55F0" w:rsidRPr="000C07C9">
              <w:rPr>
                <w:rFonts w:hint="cs"/>
                <w:b/>
                <w:bCs/>
                <w:rtl/>
                <w:lang w:val="en-US"/>
              </w:rPr>
              <w:t> </w:t>
            </w:r>
            <w:r w:rsidRPr="000C07C9">
              <w:rPr>
                <w:b/>
                <w:bCs/>
                <w:rtl/>
                <w:lang w:val="en-US"/>
              </w:rPr>
              <w:t>الحرية وبالأماكن التي يُحتجزون فيها.</w:t>
            </w:r>
          </w:p>
          <w:p w14:paraId="681D5B00" w14:textId="77777777" w:rsidR="00E4289F" w:rsidRPr="000C07C9" w:rsidRDefault="00E4289F" w:rsidP="00555E4A">
            <w:pPr>
              <w:pStyle w:val="SingleTxtGA"/>
              <w:tabs>
                <w:tab w:val="left" w:pos="777"/>
              </w:tabs>
              <w:ind w:left="0" w:right="0"/>
              <w:rPr>
                <w:b/>
                <w:bCs/>
                <w:rtl/>
                <w:lang w:val="en-US"/>
              </w:rPr>
            </w:pPr>
            <w:r w:rsidRPr="000C07C9">
              <w:rPr>
                <w:b/>
                <w:bCs/>
                <w:rtl/>
                <w:lang w:val="en-US"/>
              </w:rPr>
              <w:t>رد الدولة الطرف</w:t>
            </w:r>
          </w:p>
          <w:p w14:paraId="4938EE29" w14:textId="379D628E" w:rsidR="00E4289F" w:rsidRPr="00E4289F" w:rsidRDefault="00E4289F" w:rsidP="00555E4A">
            <w:pPr>
              <w:pStyle w:val="SingleTxtGA"/>
              <w:tabs>
                <w:tab w:val="left" w:pos="777"/>
              </w:tabs>
              <w:ind w:left="0" w:right="0"/>
              <w:rPr>
                <w:rtl/>
                <w:lang w:val="en-US"/>
              </w:rPr>
            </w:pPr>
            <w:r w:rsidRPr="00E4289F">
              <w:rPr>
                <w:rtl/>
                <w:lang w:val="en-US"/>
              </w:rPr>
              <w:t xml:space="preserve">يرد رد الدولة الطرف في الوثيقة </w:t>
            </w:r>
            <w:hyperlink r:id="rId11" w:history="1">
              <w:r w:rsidR="00601670" w:rsidRPr="00F817E0">
                <w:rPr>
                  <w:rStyle w:val="Hyperlink"/>
                </w:rPr>
                <w:t>CED/C/BOL/FCO/</w:t>
              </w:r>
              <w:r w:rsidR="00601670" w:rsidRPr="000C07C9">
                <w:rPr>
                  <w:rStyle w:val="Hyperlink"/>
                </w:rPr>
                <w:t>1</w:t>
              </w:r>
            </w:hyperlink>
            <w:r w:rsidRPr="00E4289F">
              <w:rPr>
                <w:rtl/>
                <w:lang w:val="en-US"/>
              </w:rPr>
              <w:t xml:space="preserve">، الفقرات من </w:t>
            </w:r>
            <w:r w:rsidRPr="000C07C9">
              <w:rPr>
                <w:rtl/>
                <w:lang w:val="en-US"/>
              </w:rPr>
              <w:t>3</w:t>
            </w:r>
            <w:r w:rsidRPr="00E4289F">
              <w:rPr>
                <w:rtl/>
                <w:lang w:val="en-US"/>
              </w:rPr>
              <w:t xml:space="preserve"> إلى </w:t>
            </w:r>
            <w:r w:rsidRPr="000C07C9">
              <w:rPr>
                <w:rtl/>
                <w:lang w:val="en-US"/>
              </w:rPr>
              <w:t>12</w:t>
            </w:r>
            <w:r w:rsidRPr="00E4289F">
              <w:rPr>
                <w:rtl/>
                <w:lang w:val="en-US"/>
              </w:rPr>
              <w:t>.</w:t>
            </w:r>
          </w:p>
          <w:p w14:paraId="28156899" w14:textId="77777777" w:rsidR="00E4289F" w:rsidRPr="000C07C9" w:rsidRDefault="00E4289F" w:rsidP="00555E4A">
            <w:pPr>
              <w:pStyle w:val="SingleTxtGA"/>
              <w:tabs>
                <w:tab w:val="left" w:pos="777"/>
              </w:tabs>
              <w:ind w:left="0" w:right="0"/>
              <w:rPr>
                <w:b/>
                <w:bCs/>
                <w:rtl/>
                <w:lang w:val="en-US"/>
              </w:rPr>
            </w:pPr>
            <w:r w:rsidRPr="000C07C9">
              <w:rPr>
                <w:b/>
                <w:bCs/>
                <w:rtl/>
                <w:lang w:val="en-US"/>
              </w:rPr>
              <w:t>تقييم اللجنة:</w:t>
            </w:r>
          </w:p>
          <w:p w14:paraId="585A76EB" w14:textId="6AE81CB3" w:rsidR="00E4289F" w:rsidRPr="00601670" w:rsidRDefault="00E4289F" w:rsidP="00555E4A">
            <w:pPr>
              <w:pStyle w:val="SingleTxtGA"/>
              <w:tabs>
                <w:tab w:val="left" w:pos="777"/>
              </w:tabs>
              <w:ind w:left="0" w:right="0"/>
              <w:rPr>
                <w:spacing w:val="-2"/>
                <w:rtl/>
                <w:lang w:val="en-US"/>
              </w:rPr>
            </w:pPr>
            <w:r w:rsidRPr="000C07C9">
              <w:rPr>
                <w:b/>
                <w:bCs/>
                <w:spacing w:val="-2"/>
                <w:rtl/>
                <w:lang w:val="en-US"/>
              </w:rPr>
              <w:t xml:space="preserve">[جيم]: </w:t>
            </w:r>
            <w:r w:rsidRPr="00601670">
              <w:rPr>
                <w:spacing w:val="-2"/>
                <w:rtl/>
                <w:lang w:val="en-US"/>
              </w:rPr>
              <w:t>تحيط اللجنة</w:t>
            </w:r>
            <w:r w:rsidR="00601670" w:rsidRPr="00601670">
              <w:rPr>
                <w:spacing w:val="-2"/>
                <w:rtl/>
                <w:lang w:val="en-US"/>
              </w:rPr>
              <w:t xml:space="preserve"> علماً </w:t>
            </w:r>
            <w:r w:rsidRPr="00601670">
              <w:rPr>
                <w:spacing w:val="-2"/>
                <w:rtl/>
                <w:lang w:val="en-US"/>
              </w:rPr>
              <w:t xml:space="preserve">بما تنص عليه أحكام الدستور وقانون الإجراءات الجنائية فيما يتعلق بالضمانات اللازمة </w:t>
            </w:r>
            <w:r w:rsidRPr="00C57D41">
              <w:rPr>
                <w:spacing w:val="-5"/>
                <w:rtl/>
                <w:lang w:val="en-US"/>
              </w:rPr>
              <w:t xml:space="preserve">لمراعاة الأصول القانونية. وقد كانت هذه الأحكام سارية المفعول وقت نظر اللجنة في تقرير الدولة الطرف. وتذكِّر اللجنة بأن القلق الذي أعربت عنه في الفقرة </w:t>
            </w:r>
            <w:r w:rsidRPr="000C07C9">
              <w:rPr>
                <w:spacing w:val="-5"/>
                <w:rtl/>
                <w:lang w:val="en-US"/>
              </w:rPr>
              <w:t>26</w:t>
            </w:r>
            <w:r w:rsidRPr="00C57D41">
              <w:rPr>
                <w:spacing w:val="-5"/>
                <w:rtl/>
                <w:lang w:val="en-US"/>
              </w:rPr>
              <w:t xml:space="preserve"> وفي التوصية الواردة في الفقرة </w:t>
            </w:r>
            <w:r w:rsidRPr="000C07C9">
              <w:rPr>
                <w:spacing w:val="-5"/>
                <w:rtl/>
                <w:lang w:val="en-US"/>
              </w:rPr>
              <w:t>27</w:t>
            </w:r>
            <w:r w:rsidRPr="00C57D41">
              <w:rPr>
                <w:spacing w:val="-5"/>
                <w:rtl/>
                <w:lang w:val="en-US"/>
              </w:rPr>
              <w:t xml:space="preserve"> من ملاحظاتها الختامية يتعلق بالممارسة التي تتبعها سلطات الدولة الطرف في ضوء مزاعم حدوث حالات اعتقال غير قانوني واحتجازٍ مع منع الاتصال بالعالم </w:t>
            </w:r>
            <w:r w:rsidRPr="00C57D41">
              <w:rPr>
                <w:spacing w:val="-2"/>
                <w:rtl/>
                <w:lang w:val="en-US"/>
              </w:rPr>
              <w:t>الخارجي وعدم احترام الأصول القانونية الواجبة المنصوص عليها في الاتفاقية وفي التشريع الوطني. وتلاحظ اللجنة أن رد الدولة الطرف لا يتضمن أي معلومات عن هذه المسألة، وتعرب عن أسفها لأنها تلقت ادعاءات جديدة بوقوع انتهاكات من هذا القبيل، لا سيما في سياق النزاع الذي أعقب الانتخابات التي جرت في</w:t>
            </w:r>
            <w:r w:rsidR="00601670" w:rsidRPr="00C57D41">
              <w:rPr>
                <w:rFonts w:hint="cs"/>
                <w:spacing w:val="-2"/>
                <w:rtl/>
                <w:lang w:val="en-US"/>
              </w:rPr>
              <w:t> </w:t>
            </w:r>
            <w:r w:rsidRPr="00C57D41">
              <w:rPr>
                <w:spacing w:val="-2"/>
                <w:rtl/>
                <w:lang w:val="en-US"/>
              </w:rPr>
              <w:t xml:space="preserve">تشرين الأول/أكتوبر </w:t>
            </w:r>
            <w:r w:rsidRPr="000C07C9">
              <w:rPr>
                <w:spacing w:val="-2"/>
                <w:rtl/>
                <w:lang w:val="en-US"/>
              </w:rPr>
              <w:t>2019</w:t>
            </w:r>
            <w:r w:rsidRPr="00C57D41">
              <w:rPr>
                <w:spacing w:val="-2"/>
                <w:rtl/>
                <w:lang w:val="en-US"/>
              </w:rPr>
              <w:t>.</w:t>
            </w:r>
            <w:r w:rsidRPr="00601670">
              <w:rPr>
                <w:spacing w:val="-2"/>
                <w:rtl/>
                <w:lang w:val="en-US"/>
              </w:rPr>
              <w:t xml:space="preserve"> </w:t>
            </w:r>
            <w:r w:rsidRPr="00601670">
              <w:rPr>
                <w:spacing w:val="-2"/>
                <w:rtl/>
                <w:lang w:val="en-US"/>
              </w:rPr>
              <w:lastRenderedPageBreak/>
              <w:t xml:space="preserve">وبناءً على ذلك، تكرر اللجنة توصيتها الواردة في الفقرة </w:t>
            </w:r>
            <w:r w:rsidRPr="000C07C9">
              <w:rPr>
                <w:spacing w:val="-2"/>
                <w:rtl/>
                <w:lang w:val="en-US"/>
              </w:rPr>
              <w:t>27</w:t>
            </w:r>
            <w:r w:rsidRPr="00601670">
              <w:rPr>
                <w:spacing w:val="-2"/>
                <w:rtl/>
                <w:lang w:val="en-US"/>
              </w:rPr>
              <w:t xml:space="preserve"> من ملاحظاتها الختامية. وتطلب </w:t>
            </w:r>
            <w:r w:rsidRPr="00601670">
              <w:rPr>
                <w:spacing w:val="-4"/>
                <w:rtl/>
                <w:lang w:val="en-US"/>
              </w:rPr>
              <w:t>كذلك إلى الدولة الطرف أن تقدم معلومات إضافية عن الادعاءات المذكورة أعلاه، وعن الطريقة التي تكفل بها السلطات</w:t>
            </w:r>
            <w:r w:rsidRPr="00601670">
              <w:rPr>
                <w:spacing w:val="-2"/>
                <w:rtl/>
                <w:lang w:val="en-US"/>
              </w:rPr>
              <w:t xml:space="preserve"> الامتثال الكامل </w:t>
            </w:r>
            <w:r w:rsidRPr="00C57D41">
              <w:rPr>
                <w:spacing w:val="-4"/>
                <w:rtl/>
                <w:lang w:val="en-US"/>
              </w:rPr>
              <w:t>لالتزامات الواقعة على عاتق الدولة الطرف بموجب الدستور والتشريعات الوطنية الأخرى والاتفاقية فيما يتعلق بالاحترام</w:t>
            </w:r>
            <w:r w:rsidRPr="00601670">
              <w:rPr>
                <w:spacing w:val="-2"/>
                <w:rtl/>
                <w:lang w:val="en-US"/>
              </w:rPr>
              <w:t xml:space="preserve"> الكامل لضمانات الأصول القانونية الواجبة للمحتجزين في الممارسة العملية، أي</w:t>
            </w:r>
            <w:r w:rsidR="00C57D41">
              <w:rPr>
                <w:spacing w:val="-2"/>
                <w:rtl/>
                <w:lang w:val="en-US"/>
              </w:rPr>
              <w:t xml:space="preserve">اً </w:t>
            </w:r>
            <w:r w:rsidRPr="00601670">
              <w:rPr>
                <w:spacing w:val="-2"/>
                <w:rtl/>
                <w:lang w:val="en-US"/>
              </w:rPr>
              <w:t xml:space="preserve">كانت الظروف. </w:t>
            </w:r>
          </w:p>
          <w:p w14:paraId="2190FE33" w14:textId="77777777" w:rsidR="00E4289F" w:rsidRPr="000C07C9" w:rsidRDefault="00E4289F" w:rsidP="00555E4A">
            <w:pPr>
              <w:pStyle w:val="SingleTxtGA"/>
              <w:tabs>
                <w:tab w:val="left" w:pos="777"/>
              </w:tabs>
              <w:ind w:left="0" w:right="0"/>
              <w:rPr>
                <w:b/>
                <w:bCs/>
                <w:rtl/>
                <w:lang w:val="en-US"/>
              </w:rPr>
            </w:pPr>
            <w:r w:rsidRPr="000C07C9">
              <w:rPr>
                <w:b/>
                <w:bCs/>
                <w:rtl/>
                <w:lang w:val="en-US"/>
              </w:rPr>
              <w:t>الفقرة 29: توصي اللجنة بأن تتخذ الدولة الطرف التدابير اللازمة كفالةً لما يلي:</w:t>
            </w:r>
          </w:p>
          <w:p w14:paraId="5274A26C" w14:textId="2ECC2465" w:rsidR="00E4289F" w:rsidRPr="000C07C9" w:rsidRDefault="00E4289F" w:rsidP="00555E4A">
            <w:pPr>
              <w:pStyle w:val="SingleTxtGA"/>
              <w:tabs>
                <w:tab w:val="clear" w:pos="1928"/>
                <w:tab w:val="left" w:pos="630"/>
                <w:tab w:val="left" w:pos="1339"/>
              </w:tabs>
              <w:ind w:left="0" w:right="0"/>
              <w:rPr>
                <w:b/>
                <w:bCs/>
                <w:rtl/>
                <w:lang w:val="en-US"/>
              </w:rPr>
            </w:pPr>
            <w:r w:rsidRPr="000C07C9">
              <w:rPr>
                <w:b/>
                <w:bCs/>
                <w:rtl/>
                <w:lang w:val="en-US"/>
              </w:rPr>
              <w:tab/>
            </w:r>
            <w:r w:rsidRPr="00E4289F">
              <w:rPr>
                <w:rtl/>
                <w:lang w:val="en-US"/>
              </w:rPr>
              <w:t>(أ)</w:t>
            </w:r>
            <w:r w:rsidRPr="000C07C9">
              <w:rPr>
                <w:b/>
                <w:bCs/>
                <w:rtl/>
                <w:lang w:val="en-US"/>
              </w:rPr>
              <w:tab/>
            </w:r>
            <w:r w:rsidRPr="000C07C9">
              <w:rPr>
                <w:rFonts w:ascii="Times New Roman Bold" w:hAnsi="Times New Roman Bold"/>
                <w:b/>
                <w:bCs/>
                <w:spacing w:val="-4"/>
                <w:rtl/>
                <w:lang w:val="en-US"/>
              </w:rPr>
              <w:t>تسجيل كل حالة من حالات الحرمان من الحرية دون استثناء في سجلات رسمية و/أو ملفات</w:t>
            </w:r>
            <w:r w:rsidRPr="000C07C9">
              <w:rPr>
                <w:b/>
                <w:bCs/>
                <w:rtl/>
                <w:lang w:val="en-US"/>
              </w:rPr>
              <w:t xml:space="preserve"> محدَّثة، وأن يتضمن التسجيل، كحد أدنى، المعلومات المطلوبة في الفقرة 3 من المادة 17 من الاتفاقية؛ </w:t>
            </w:r>
          </w:p>
          <w:p w14:paraId="5F87F667" w14:textId="53286314" w:rsidR="00E4289F" w:rsidRPr="000C07C9" w:rsidRDefault="00E4289F" w:rsidP="00555E4A">
            <w:pPr>
              <w:pStyle w:val="SingleTxtGA"/>
              <w:tabs>
                <w:tab w:val="clear" w:pos="1928"/>
                <w:tab w:val="left" w:pos="630"/>
                <w:tab w:val="left" w:pos="1339"/>
              </w:tabs>
              <w:ind w:left="0" w:right="0"/>
              <w:rPr>
                <w:b/>
                <w:bCs/>
                <w:rtl/>
                <w:lang w:val="en-US"/>
              </w:rPr>
            </w:pPr>
            <w:r w:rsidRPr="000C07C9">
              <w:rPr>
                <w:b/>
                <w:bCs/>
                <w:rtl/>
                <w:lang w:val="en-US"/>
              </w:rPr>
              <w:tab/>
            </w:r>
            <w:r w:rsidRPr="00E4289F">
              <w:rPr>
                <w:rtl/>
                <w:lang w:val="en-US"/>
              </w:rPr>
              <w:t>(ب)</w:t>
            </w:r>
            <w:r w:rsidRPr="000C07C9">
              <w:rPr>
                <w:b/>
                <w:bCs/>
                <w:rtl/>
                <w:lang w:val="en-US"/>
              </w:rPr>
              <w:tab/>
              <w:t>المعاقبة على الإخلال بواجب تسجيل كل حالة من حالات حرمان أي شخص من الحرية، أو تسجيل معلومات غير دقيقة أو مغلوطة، أو رفض تقديم معلومات عن إحدى حالات الحرمان من الحرية، أو</w:t>
            </w:r>
            <w:r w:rsidR="00555E4A" w:rsidRPr="000C07C9">
              <w:rPr>
                <w:rFonts w:hint="cs"/>
                <w:b/>
                <w:bCs/>
                <w:rtl/>
                <w:lang w:val="en-US"/>
              </w:rPr>
              <w:t> </w:t>
            </w:r>
            <w:r w:rsidRPr="000C07C9">
              <w:rPr>
                <w:b/>
                <w:bCs/>
                <w:rtl/>
                <w:lang w:val="en-US"/>
              </w:rPr>
              <w:t>تقديم معلومات مغلوطة عنها.</w:t>
            </w:r>
          </w:p>
          <w:p w14:paraId="7E04C034" w14:textId="77777777" w:rsidR="00E4289F" w:rsidRPr="000C07C9" w:rsidRDefault="00E4289F" w:rsidP="00555E4A">
            <w:pPr>
              <w:pStyle w:val="SingleTxtGA"/>
              <w:tabs>
                <w:tab w:val="left" w:pos="777"/>
              </w:tabs>
              <w:ind w:left="0" w:right="0"/>
              <w:rPr>
                <w:b/>
                <w:bCs/>
                <w:rtl/>
                <w:lang w:val="en-US"/>
              </w:rPr>
            </w:pPr>
            <w:r w:rsidRPr="000C07C9">
              <w:rPr>
                <w:b/>
                <w:bCs/>
                <w:rtl/>
                <w:lang w:val="en-US"/>
              </w:rPr>
              <w:t>رد الدولة الطرف</w:t>
            </w:r>
          </w:p>
          <w:p w14:paraId="174E9596" w14:textId="2C7354AD" w:rsidR="00E4289F" w:rsidRPr="00E4289F" w:rsidRDefault="00E4289F" w:rsidP="00555E4A">
            <w:pPr>
              <w:pStyle w:val="SingleTxtGA"/>
              <w:tabs>
                <w:tab w:val="left" w:pos="777"/>
              </w:tabs>
              <w:ind w:left="0" w:right="0"/>
              <w:rPr>
                <w:rtl/>
                <w:lang w:val="en-US"/>
              </w:rPr>
            </w:pPr>
            <w:r w:rsidRPr="00E4289F">
              <w:rPr>
                <w:rtl/>
                <w:lang w:val="en-US"/>
              </w:rPr>
              <w:t xml:space="preserve">يرد رد الدولة الطرف في الوثيقة </w:t>
            </w:r>
            <w:hyperlink r:id="rId12" w:history="1">
              <w:r w:rsidR="00601670" w:rsidRPr="00F817E0">
                <w:rPr>
                  <w:rStyle w:val="Hyperlink"/>
                </w:rPr>
                <w:t>CED/C/BOL/FCO/</w:t>
              </w:r>
              <w:r w:rsidR="00601670" w:rsidRPr="000C07C9">
                <w:rPr>
                  <w:rStyle w:val="Hyperlink"/>
                </w:rPr>
                <w:t>1</w:t>
              </w:r>
            </w:hyperlink>
            <w:r w:rsidRPr="00E4289F">
              <w:rPr>
                <w:rtl/>
                <w:lang w:val="en-US"/>
              </w:rPr>
              <w:t xml:space="preserve">، الفقرات من </w:t>
            </w:r>
            <w:r w:rsidRPr="000C07C9">
              <w:rPr>
                <w:rtl/>
                <w:lang w:val="en-US"/>
              </w:rPr>
              <w:t>13</w:t>
            </w:r>
            <w:r w:rsidRPr="00E4289F">
              <w:rPr>
                <w:rtl/>
                <w:lang w:val="en-US"/>
              </w:rPr>
              <w:t xml:space="preserve"> إلى </w:t>
            </w:r>
            <w:r w:rsidRPr="000C07C9">
              <w:rPr>
                <w:rtl/>
                <w:lang w:val="en-US"/>
              </w:rPr>
              <w:t>15</w:t>
            </w:r>
            <w:r w:rsidRPr="00E4289F">
              <w:rPr>
                <w:rtl/>
                <w:lang w:val="en-US"/>
              </w:rPr>
              <w:t>.</w:t>
            </w:r>
          </w:p>
          <w:p w14:paraId="3CCD575C" w14:textId="77777777" w:rsidR="00E4289F" w:rsidRPr="000C07C9" w:rsidRDefault="00E4289F" w:rsidP="00555E4A">
            <w:pPr>
              <w:pStyle w:val="SingleTxtGA"/>
              <w:tabs>
                <w:tab w:val="left" w:pos="777"/>
              </w:tabs>
              <w:ind w:left="0" w:right="0"/>
              <w:rPr>
                <w:b/>
                <w:bCs/>
                <w:rtl/>
                <w:lang w:val="en-US"/>
              </w:rPr>
            </w:pPr>
            <w:r w:rsidRPr="000C07C9">
              <w:rPr>
                <w:b/>
                <w:bCs/>
                <w:rtl/>
                <w:lang w:val="en-US"/>
              </w:rPr>
              <w:t>تقييم اللجنة:</w:t>
            </w:r>
          </w:p>
          <w:p w14:paraId="2C9D4348" w14:textId="64EED508" w:rsidR="00E4289F" w:rsidRPr="00601670" w:rsidRDefault="00E4289F" w:rsidP="00555E4A">
            <w:pPr>
              <w:pStyle w:val="SingleTxtGA"/>
              <w:tabs>
                <w:tab w:val="left" w:pos="777"/>
              </w:tabs>
              <w:ind w:left="0" w:right="0"/>
              <w:rPr>
                <w:spacing w:val="-4"/>
                <w:rtl/>
                <w:lang w:val="en-US"/>
              </w:rPr>
            </w:pPr>
            <w:r w:rsidRPr="000C07C9">
              <w:rPr>
                <w:b/>
                <w:bCs/>
                <w:spacing w:val="-2"/>
                <w:rtl/>
                <w:lang w:val="en-US"/>
              </w:rPr>
              <w:t xml:space="preserve">[باء]: </w:t>
            </w:r>
            <w:r w:rsidRPr="00555E4A">
              <w:rPr>
                <w:spacing w:val="-2"/>
                <w:rtl/>
                <w:lang w:val="en-US"/>
              </w:rPr>
              <w:t>تحيط اللجنة</w:t>
            </w:r>
            <w:r w:rsidR="00601670" w:rsidRPr="00555E4A">
              <w:rPr>
                <w:spacing w:val="-2"/>
                <w:rtl/>
                <w:lang w:val="en-US"/>
              </w:rPr>
              <w:t xml:space="preserve"> علماً </w:t>
            </w:r>
            <w:r w:rsidRPr="00555E4A">
              <w:rPr>
                <w:spacing w:val="-2"/>
                <w:rtl/>
                <w:lang w:val="en-US"/>
              </w:rPr>
              <w:t xml:space="preserve">بالمعلومات المقدمة عن الأحكام القانونية التي تنظم وجوب تسجيل كل حالة من حالات الحرمان من الحرية. بيد أنها تأسف لعدم تقديم الدولة الطرف أي معلومات عن وجود سجلات بأسماء الأشخاص المحرومين من حريتهم خارج نظام السجون، ولا عن إدراج جميع المعلومات المطلوبة بموجب الفقرة </w:t>
            </w:r>
            <w:r w:rsidRPr="000C07C9">
              <w:rPr>
                <w:spacing w:val="-2"/>
                <w:rtl/>
                <w:lang w:val="en-US"/>
              </w:rPr>
              <w:t>3</w:t>
            </w:r>
            <w:r w:rsidRPr="00555E4A">
              <w:rPr>
                <w:spacing w:val="-2"/>
                <w:rtl/>
                <w:lang w:val="en-US"/>
              </w:rPr>
              <w:t xml:space="preserve"> من المادة </w:t>
            </w:r>
            <w:r w:rsidRPr="000C07C9">
              <w:rPr>
                <w:spacing w:val="-2"/>
                <w:rtl/>
                <w:lang w:val="en-US"/>
              </w:rPr>
              <w:t>17</w:t>
            </w:r>
            <w:r w:rsidRPr="00555E4A">
              <w:rPr>
                <w:spacing w:val="-2"/>
                <w:rtl/>
                <w:lang w:val="en-US"/>
              </w:rPr>
              <w:t xml:space="preserve"> من الاتفاقية في السجلات الموجودة. وتأسف اللجنة </w:t>
            </w:r>
            <w:r w:rsidR="00601670" w:rsidRPr="00555E4A">
              <w:rPr>
                <w:spacing w:val="-2"/>
                <w:rtl/>
                <w:lang w:val="en-US"/>
              </w:rPr>
              <w:t xml:space="preserve">أيضاً </w:t>
            </w:r>
            <w:r w:rsidRPr="00555E4A">
              <w:rPr>
                <w:spacing w:val="-2"/>
                <w:rtl/>
                <w:lang w:val="en-US"/>
              </w:rPr>
              <w:t>لعدم تقديم الدولة الطرف أي معلومات عن الجزاءات</w:t>
            </w:r>
            <w:r w:rsidRPr="00601670">
              <w:rPr>
                <w:spacing w:val="-4"/>
                <w:rtl/>
                <w:lang w:val="en-US"/>
              </w:rPr>
              <w:t xml:space="preserve"> المنصوص عليها في الحالات التي لا يقوم فيها الموظف بتسجيل إحدى حالات الحرمان من الحرية، أو التي يقوم فيها بتسجيل معلومات غير دقيقة أو مغلوطة، أو يرفض فيها تقديم معلومات عن إحدى حالات الحرمان من الحرية، أو يقدم معلومات مغلوطة عنها. وبناءً على ذلك، تكرر اللجنة توصياتها الواردة في الفقرة </w:t>
            </w:r>
            <w:r w:rsidRPr="000C07C9">
              <w:rPr>
                <w:spacing w:val="-4"/>
                <w:rtl/>
                <w:lang w:val="en-US"/>
              </w:rPr>
              <w:t>29</w:t>
            </w:r>
            <w:r w:rsidRPr="00601670">
              <w:rPr>
                <w:spacing w:val="-4"/>
                <w:rtl/>
                <w:lang w:val="en-US"/>
              </w:rPr>
              <w:t xml:space="preserve"> من ملاحظاتها الختامية، وتطلب إلى الدولة الطرف موافاتها بالمعلومات الناقصة وكذلك بمعلومات إضافية عن التدابير المتخذة كفالةً لما يلي: </w:t>
            </w:r>
          </w:p>
          <w:p w14:paraId="282AF959" w14:textId="47ECD5E3" w:rsidR="00E4289F" w:rsidRPr="000C07C9" w:rsidRDefault="00E4289F" w:rsidP="00555E4A">
            <w:pPr>
              <w:pStyle w:val="SingleTxtGA"/>
              <w:tabs>
                <w:tab w:val="clear" w:pos="1928"/>
                <w:tab w:val="left" w:pos="630"/>
                <w:tab w:val="left" w:pos="1339"/>
              </w:tabs>
              <w:ind w:left="0" w:right="0"/>
              <w:rPr>
                <w:rtl/>
                <w:lang w:val="en-US"/>
              </w:rPr>
            </w:pPr>
            <w:r w:rsidRPr="000C07C9">
              <w:rPr>
                <w:rtl/>
                <w:lang w:val="en-US"/>
              </w:rPr>
              <w:tab/>
            </w:r>
            <w:r w:rsidRPr="00555E4A">
              <w:rPr>
                <w:rtl/>
                <w:lang w:val="en-US"/>
              </w:rPr>
              <w:t>(أ)</w:t>
            </w:r>
            <w:r w:rsidRPr="00555E4A">
              <w:rPr>
                <w:rtl/>
                <w:lang w:val="en-US"/>
              </w:rPr>
              <w:tab/>
            </w:r>
            <w:r w:rsidRPr="000C07C9">
              <w:rPr>
                <w:rtl/>
                <w:lang w:val="en-US"/>
              </w:rPr>
              <w:t xml:space="preserve">تعزيز وضمان حسن تعهد السجلات الرسمية و/أو سجلات جميع الأشخاص المحرومين من حريتهم، أياً كانت طبيعة مكان الحرمان من الحرية؛ </w:t>
            </w:r>
          </w:p>
          <w:p w14:paraId="13AC9D28" w14:textId="63D6308B" w:rsidR="00E4289F" w:rsidRPr="000C07C9" w:rsidRDefault="00E4289F" w:rsidP="00555E4A">
            <w:pPr>
              <w:pStyle w:val="SingleTxtGA"/>
              <w:tabs>
                <w:tab w:val="clear" w:pos="1928"/>
                <w:tab w:val="left" w:pos="630"/>
                <w:tab w:val="left" w:pos="1339"/>
              </w:tabs>
              <w:ind w:left="0" w:right="0"/>
              <w:rPr>
                <w:rtl/>
                <w:lang w:val="en-US"/>
              </w:rPr>
            </w:pPr>
            <w:r w:rsidRPr="000C07C9">
              <w:rPr>
                <w:rtl/>
                <w:lang w:val="en-US"/>
              </w:rPr>
              <w:tab/>
            </w:r>
            <w:r w:rsidRPr="00555E4A">
              <w:rPr>
                <w:rtl/>
                <w:lang w:val="en-US"/>
              </w:rPr>
              <w:t>(ب)</w:t>
            </w:r>
            <w:r w:rsidRPr="000C07C9">
              <w:rPr>
                <w:rtl/>
                <w:lang w:val="en-US"/>
              </w:rPr>
              <w:tab/>
              <w:t xml:space="preserve">ضمان إدراج جميع المعلومات المطلوبة بموجب الفقرة 3 من المادة 17 من الاتفاقية، على الأقل، بانتظام في السجلات الرسمية و/أو سجلات أسماء جميع الأشخاص المحرومين من حريتهم. </w:t>
            </w:r>
          </w:p>
          <w:p w14:paraId="6015C87E" w14:textId="77777777" w:rsidR="00E4289F" w:rsidRPr="000C07C9" w:rsidRDefault="00E4289F" w:rsidP="00555E4A">
            <w:pPr>
              <w:pStyle w:val="SingleTxtGA"/>
              <w:tabs>
                <w:tab w:val="left" w:pos="777"/>
              </w:tabs>
              <w:ind w:left="0" w:right="0"/>
              <w:rPr>
                <w:b/>
                <w:bCs/>
                <w:rtl/>
                <w:lang w:val="en-US"/>
              </w:rPr>
            </w:pPr>
            <w:r w:rsidRPr="000C07C9">
              <w:rPr>
                <w:b/>
                <w:bCs/>
                <w:rtl/>
                <w:lang w:val="en-US"/>
              </w:rPr>
              <w:t xml:space="preserve">الفقرة 39: توصي اللجنة بأن تضاعف الدولة الطرف جهودها للبحث عن الأشخاص المختفين ولتحديد </w:t>
            </w:r>
            <w:r w:rsidRPr="000C07C9">
              <w:rPr>
                <w:rFonts w:ascii="Times New Roman Bold" w:hAnsi="Times New Roman Bold"/>
                <w:b/>
                <w:bCs/>
                <w:spacing w:val="-2"/>
                <w:rtl/>
                <w:lang w:val="en-US"/>
              </w:rPr>
              <w:t>أماكنهم وإخلاء سبيلهم، وللبحث عن رفاتهم في حال وفاتهم وإعادته إلى ذويهم معزَّزاً مكرّماً. ويتعيّن على الدولة</w:t>
            </w:r>
            <w:r w:rsidRPr="000C07C9">
              <w:rPr>
                <w:b/>
                <w:bCs/>
                <w:rtl/>
                <w:lang w:val="en-US"/>
              </w:rPr>
              <w:t xml:space="preserve"> الطرف خصوصاً القيام بما يلي:</w:t>
            </w:r>
          </w:p>
          <w:p w14:paraId="3EB9761F" w14:textId="7661B02D" w:rsidR="00E4289F" w:rsidRPr="000C07C9" w:rsidRDefault="00E4289F" w:rsidP="00555E4A">
            <w:pPr>
              <w:pStyle w:val="SingleTxtGA"/>
              <w:tabs>
                <w:tab w:val="clear" w:pos="1928"/>
                <w:tab w:val="left" w:pos="630"/>
                <w:tab w:val="left" w:pos="1339"/>
              </w:tabs>
              <w:ind w:left="0" w:right="0"/>
              <w:rPr>
                <w:b/>
                <w:bCs/>
                <w:rtl/>
                <w:lang w:val="en-US"/>
              </w:rPr>
            </w:pPr>
            <w:r w:rsidRPr="000C07C9">
              <w:rPr>
                <w:b/>
                <w:bCs/>
                <w:rtl/>
                <w:lang w:val="en-US"/>
              </w:rPr>
              <w:tab/>
            </w:r>
            <w:r w:rsidRPr="00E4289F">
              <w:rPr>
                <w:rtl/>
                <w:lang w:val="en-US"/>
              </w:rPr>
              <w:t>(أ)</w:t>
            </w:r>
            <w:r w:rsidRPr="00E4289F">
              <w:rPr>
                <w:rtl/>
                <w:lang w:val="en-US"/>
              </w:rPr>
              <w:tab/>
            </w:r>
            <w:r w:rsidRPr="000C07C9">
              <w:rPr>
                <w:b/>
                <w:bCs/>
                <w:rtl/>
                <w:lang w:val="en-US"/>
              </w:rPr>
              <w:t xml:space="preserve">أن تكفل في الممارسة العملية الشروع رسمياً ومن دون تأخير في عمليات البحث عن الأشخاص المختفين بمجرد تلقي إشعار باختفائهم؛ </w:t>
            </w:r>
          </w:p>
          <w:p w14:paraId="6BF54FC3" w14:textId="1CB0A3B0" w:rsidR="00E4289F" w:rsidRPr="000C07C9" w:rsidRDefault="00E4289F" w:rsidP="00555E4A">
            <w:pPr>
              <w:pStyle w:val="SingleTxtGA"/>
              <w:tabs>
                <w:tab w:val="clear" w:pos="1928"/>
                <w:tab w:val="left" w:pos="630"/>
                <w:tab w:val="left" w:pos="1339"/>
              </w:tabs>
              <w:ind w:left="0" w:right="0"/>
              <w:rPr>
                <w:b/>
                <w:bCs/>
                <w:rtl/>
                <w:lang w:val="en-US"/>
              </w:rPr>
            </w:pPr>
            <w:r w:rsidRPr="000C07C9">
              <w:rPr>
                <w:b/>
                <w:bCs/>
                <w:rtl/>
                <w:lang w:val="en-US"/>
              </w:rPr>
              <w:tab/>
            </w:r>
            <w:r w:rsidRPr="00E4289F">
              <w:rPr>
                <w:rtl/>
                <w:lang w:val="en-US"/>
              </w:rPr>
              <w:t>(ب)</w:t>
            </w:r>
            <w:r w:rsidRPr="000C07C9">
              <w:rPr>
                <w:b/>
                <w:bCs/>
                <w:rtl/>
                <w:lang w:val="en-US"/>
              </w:rPr>
              <w:tab/>
            </w:r>
            <w:r w:rsidRPr="000C07C9">
              <w:rPr>
                <w:rFonts w:ascii="Times New Roman Bold" w:hAnsi="Times New Roman Bold"/>
                <w:b/>
                <w:bCs/>
                <w:spacing w:val="-2"/>
                <w:rtl/>
                <w:lang w:val="en-US"/>
              </w:rPr>
              <w:t xml:space="preserve">أن تضمن قيام السلطات المختصة بتنفيذ عمليات البحث، بمشاركة ذوي الشخص المختفي </w:t>
            </w:r>
            <w:r w:rsidRPr="000C07C9">
              <w:rPr>
                <w:b/>
                <w:bCs/>
                <w:rtl/>
                <w:lang w:val="en-US"/>
              </w:rPr>
              <w:t>إنْ رغبوا في ذلك؛</w:t>
            </w:r>
          </w:p>
          <w:p w14:paraId="3D01D723" w14:textId="17F5B457" w:rsidR="00E4289F" w:rsidRPr="000C07C9" w:rsidRDefault="00E4289F" w:rsidP="00555E4A">
            <w:pPr>
              <w:pStyle w:val="SingleTxtGA"/>
              <w:tabs>
                <w:tab w:val="clear" w:pos="1928"/>
                <w:tab w:val="left" w:pos="630"/>
                <w:tab w:val="left" w:pos="1339"/>
              </w:tabs>
              <w:ind w:left="0" w:right="0"/>
              <w:rPr>
                <w:b/>
                <w:bCs/>
                <w:rtl/>
                <w:lang w:val="en-US"/>
              </w:rPr>
            </w:pPr>
            <w:r w:rsidRPr="000C07C9">
              <w:rPr>
                <w:b/>
                <w:bCs/>
                <w:rtl/>
                <w:lang w:val="en-US"/>
              </w:rPr>
              <w:lastRenderedPageBreak/>
              <w:tab/>
            </w:r>
            <w:r w:rsidRPr="00E4289F">
              <w:rPr>
                <w:rtl/>
                <w:lang w:val="en-US"/>
              </w:rPr>
              <w:t>(ج)</w:t>
            </w:r>
            <w:r w:rsidRPr="000C07C9">
              <w:rPr>
                <w:b/>
                <w:bCs/>
                <w:rtl/>
                <w:lang w:val="en-US"/>
              </w:rPr>
              <w:tab/>
              <w:t xml:space="preserve">أن تواصل بذل الجهود لأجل إنشاء قاعدة بيانات جينية تمكّن من الاحتفاظ بالمعلومات الجينية الخاصة برفات المختفين الذي يُعثر عليه لمقارنتها بجينات أقاربهم ولتيسير التعرف على أصحابها من الأشخاص المختفين؛ </w:t>
            </w:r>
          </w:p>
          <w:p w14:paraId="0AA737C1" w14:textId="7B4D67F0" w:rsidR="00E4289F" w:rsidRPr="000C07C9" w:rsidRDefault="00E4289F" w:rsidP="00555E4A">
            <w:pPr>
              <w:pStyle w:val="SingleTxtGA"/>
              <w:tabs>
                <w:tab w:val="clear" w:pos="1928"/>
                <w:tab w:val="left" w:pos="630"/>
                <w:tab w:val="left" w:pos="1339"/>
              </w:tabs>
              <w:ind w:left="0" w:right="0"/>
              <w:rPr>
                <w:b/>
                <w:bCs/>
                <w:rtl/>
                <w:lang w:val="en-US"/>
              </w:rPr>
            </w:pPr>
            <w:r w:rsidRPr="000C07C9">
              <w:rPr>
                <w:b/>
                <w:bCs/>
                <w:rtl/>
                <w:lang w:val="en-US"/>
              </w:rPr>
              <w:tab/>
            </w:r>
            <w:r w:rsidRPr="00E4289F">
              <w:rPr>
                <w:rtl/>
                <w:lang w:val="en-US"/>
              </w:rPr>
              <w:t>(د)</w:t>
            </w:r>
            <w:r w:rsidRPr="000C07C9">
              <w:rPr>
                <w:b/>
                <w:bCs/>
                <w:rtl/>
                <w:lang w:val="en-US"/>
              </w:rPr>
              <w:tab/>
              <w:t xml:space="preserve">أن تكفل فعالية التنسيق والتعاون وتبادل البيانات بين الهيئات المختصة بالبحث عن الأشخاص المختفين وبتحديد هوية الرفات، في حال العثور عليهم متوفّين، وتسليم الرفات إلى ذويهم. </w:t>
            </w:r>
          </w:p>
          <w:p w14:paraId="4C129904" w14:textId="77777777" w:rsidR="00E4289F" w:rsidRPr="000C07C9" w:rsidRDefault="00E4289F" w:rsidP="00555E4A">
            <w:pPr>
              <w:pStyle w:val="SingleTxtGA"/>
              <w:tabs>
                <w:tab w:val="left" w:pos="777"/>
              </w:tabs>
              <w:ind w:left="0" w:right="0"/>
              <w:rPr>
                <w:b/>
                <w:bCs/>
                <w:rtl/>
                <w:lang w:val="en-US"/>
              </w:rPr>
            </w:pPr>
            <w:r w:rsidRPr="000C07C9">
              <w:rPr>
                <w:b/>
                <w:bCs/>
                <w:rtl/>
                <w:lang w:val="en-US"/>
              </w:rPr>
              <w:t>رد الدولة الطرف</w:t>
            </w:r>
          </w:p>
          <w:p w14:paraId="0085073F" w14:textId="71A50E6F" w:rsidR="00E4289F" w:rsidRPr="00E4289F" w:rsidRDefault="00E4289F" w:rsidP="00555E4A">
            <w:pPr>
              <w:pStyle w:val="SingleTxtGA"/>
              <w:tabs>
                <w:tab w:val="left" w:pos="777"/>
              </w:tabs>
              <w:ind w:left="0" w:right="0"/>
              <w:rPr>
                <w:rtl/>
                <w:lang w:val="en-US"/>
              </w:rPr>
            </w:pPr>
            <w:r w:rsidRPr="00E4289F">
              <w:rPr>
                <w:rtl/>
                <w:lang w:val="en-US"/>
              </w:rPr>
              <w:t xml:space="preserve">يرد رد الدولة الطرف في الوثيقة </w:t>
            </w:r>
            <w:hyperlink r:id="rId13" w:history="1">
              <w:r w:rsidR="00601670" w:rsidRPr="00F817E0">
                <w:rPr>
                  <w:rStyle w:val="Hyperlink"/>
                </w:rPr>
                <w:t>CED/C/BOL/FCO/</w:t>
              </w:r>
              <w:r w:rsidR="00601670" w:rsidRPr="000C07C9">
                <w:rPr>
                  <w:rStyle w:val="Hyperlink"/>
                </w:rPr>
                <w:t>1</w:t>
              </w:r>
            </w:hyperlink>
            <w:r w:rsidRPr="00E4289F">
              <w:rPr>
                <w:rtl/>
                <w:lang w:val="en-US"/>
              </w:rPr>
              <w:t xml:space="preserve">، الفقرتان </w:t>
            </w:r>
            <w:r w:rsidRPr="000C07C9">
              <w:rPr>
                <w:rtl/>
                <w:lang w:val="en-US"/>
              </w:rPr>
              <w:t>16</w:t>
            </w:r>
            <w:r w:rsidRPr="00E4289F">
              <w:rPr>
                <w:rtl/>
                <w:lang w:val="en-US"/>
              </w:rPr>
              <w:t xml:space="preserve"> و</w:t>
            </w:r>
            <w:r w:rsidRPr="000C07C9">
              <w:rPr>
                <w:rtl/>
                <w:lang w:val="en-US"/>
              </w:rPr>
              <w:t>17</w:t>
            </w:r>
            <w:r w:rsidRPr="00E4289F">
              <w:rPr>
                <w:rtl/>
                <w:lang w:val="en-US"/>
              </w:rPr>
              <w:t>.</w:t>
            </w:r>
          </w:p>
          <w:p w14:paraId="0A73B8BB" w14:textId="77777777" w:rsidR="00E4289F" w:rsidRPr="000C07C9" w:rsidRDefault="00E4289F" w:rsidP="00555E4A">
            <w:pPr>
              <w:pStyle w:val="SingleTxtGA"/>
              <w:tabs>
                <w:tab w:val="left" w:pos="777"/>
              </w:tabs>
              <w:ind w:left="0" w:right="0"/>
              <w:rPr>
                <w:b/>
                <w:bCs/>
                <w:rtl/>
                <w:lang w:val="en-US"/>
              </w:rPr>
            </w:pPr>
            <w:r w:rsidRPr="000C07C9">
              <w:rPr>
                <w:b/>
                <w:bCs/>
                <w:rtl/>
                <w:lang w:val="en-US"/>
              </w:rPr>
              <w:t>تقييم اللجنة:</w:t>
            </w:r>
          </w:p>
          <w:p w14:paraId="1482A44C" w14:textId="03FFDC7C" w:rsidR="00E4289F" w:rsidRPr="00E4289F" w:rsidRDefault="00E4289F" w:rsidP="00555E4A">
            <w:pPr>
              <w:pStyle w:val="SingleTxtGA"/>
              <w:tabs>
                <w:tab w:val="left" w:pos="777"/>
              </w:tabs>
              <w:ind w:left="0" w:right="0"/>
              <w:rPr>
                <w:rtl/>
                <w:lang w:val="en-US"/>
              </w:rPr>
            </w:pPr>
            <w:r w:rsidRPr="000C07C9">
              <w:rPr>
                <w:b/>
                <w:bCs/>
                <w:rtl/>
                <w:lang w:val="en-US"/>
              </w:rPr>
              <w:t xml:space="preserve">[هاء]: </w:t>
            </w:r>
            <w:r w:rsidRPr="00E4289F">
              <w:rPr>
                <w:rtl/>
                <w:lang w:val="en-US"/>
              </w:rPr>
              <w:t>تحيط اللجنة</w:t>
            </w:r>
            <w:r w:rsidR="00601670">
              <w:rPr>
                <w:rtl/>
                <w:lang w:val="en-US"/>
              </w:rPr>
              <w:t xml:space="preserve"> علماً </w:t>
            </w:r>
            <w:r w:rsidRPr="00E4289F">
              <w:rPr>
                <w:rtl/>
                <w:lang w:val="en-US"/>
              </w:rPr>
              <w:t xml:space="preserve">بما ورد في رد الدولة الطرف من معلومات عن لجنة تقصي الحقائق. بيد أن اللجنة </w:t>
            </w:r>
            <w:r w:rsidRPr="00C57D41">
              <w:rPr>
                <w:spacing w:val="-2"/>
                <w:rtl/>
                <w:lang w:val="en-US"/>
              </w:rPr>
              <w:t xml:space="preserve">تأسف لعدم احتواء تقرير الدولة عما طلبته من معلومات عن التدابير المتخذة لتنفيذ الفقرة </w:t>
            </w:r>
            <w:r w:rsidRPr="000C07C9">
              <w:rPr>
                <w:spacing w:val="-2"/>
                <w:rtl/>
                <w:lang w:val="en-US"/>
              </w:rPr>
              <w:t>39</w:t>
            </w:r>
            <w:r w:rsidRPr="00C57D41">
              <w:rPr>
                <w:spacing w:val="-2"/>
                <w:rtl/>
                <w:lang w:val="en-US"/>
              </w:rPr>
              <w:t xml:space="preserve"> من الملاحظات الختامية</w:t>
            </w:r>
            <w:r w:rsidRPr="00E4289F">
              <w:rPr>
                <w:rtl/>
                <w:lang w:val="en-US"/>
              </w:rPr>
              <w:t xml:space="preserve">، المتعلقة بالبحث عن الأشخاص المختفين في حال وفاتهم وإعادته إلى ذويهم. </w:t>
            </w:r>
          </w:p>
          <w:p w14:paraId="72E5A5BA" w14:textId="77777777" w:rsidR="00E4289F" w:rsidRPr="00ED555C" w:rsidRDefault="00E4289F" w:rsidP="00555E4A">
            <w:pPr>
              <w:pStyle w:val="SingleTxtGA"/>
              <w:tabs>
                <w:tab w:val="clear" w:pos="1928"/>
                <w:tab w:val="left" w:pos="630"/>
                <w:tab w:val="left" w:pos="1339"/>
              </w:tabs>
              <w:ind w:left="0" w:right="0"/>
              <w:rPr>
                <w:rtl/>
                <w:lang w:val="en-US"/>
              </w:rPr>
            </w:pPr>
            <w:r w:rsidRPr="00C57D41">
              <w:rPr>
                <w:spacing w:val="-2"/>
                <w:rtl/>
                <w:lang w:val="en-US"/>
              </w:rPr>
              <w:t>وبالإضافة إلى ذلك، تعرب اللجنة عن قلقها لأن المعلومات التي تلقتها تفيد بأن التأخيرات الناجمة عن الممارسات</w:t>
            </w:r>
            <w:r w:rsidRPr="00ED555C">
              <w:rPr>
                <w:rtl/>
                <w:lang w:val="en-US"/>
              </w:rPr>
              <w:t xml:space="preserve"> التالية تؤثر سلباً على نتائج عمليات البحث: </w:t>
            </w:r>
          </w:p>
          <w:p w14:paraId="6F13B5E9" w14:textId="1E025FCF" w:rsidR="00E4289F" w:rsidRPr="00ED555C" w:rsidRDefault="00ED555C" w:rsidP="00555E4A">
            <w:pPr>
              <w:pStyle w:val="SingleTxtGA"/>
              <w:tabs>
                <w:tab w:val="clear" w:pos="1928"/>
                <w:tab w:val="left" w:pos="630"/>
                <w:tab w:val="left" w:pos="1339"/>
              </w:tabs>
              <w:ind w:left="0" w:right="0"/>
              <w:rPr>
                <w:rtl/>
                <w:lang w:val="en-US"/>
              </w:rPr>
            </w:pPr>
            <w:r>
              <w:rPr>
                <w:rtl/>
                <w:lang w:val="en-US"/>
              </w:rPr>
              <w:tab/>
            </w:r>
            <w:r w:rsidR="00E4289F" w:rsidRPr="00ED555C">
              <w:rPr>
                <w:rtl/>
                <w:lang w:val="en-US"/>
              </w:rPr>
              <w:t>(أ)</w:t>
            </w:r>
            <w:r w:rsidR="00E4289F" w:rsidRPr="00ED555C">
              <w:rPr>
                <w:rtl/>
                <w:lang w:val="en-US"/>
              </w:rPr>
              <w:tab/>
              <w:t xml:space="preserve">لا يعتبر الأشخاص المختفون مختفين إلا بعد مرور </w:t>
            </w:r>
            <w:r w:rsidR="00E4289F" w:rsidRPr="000C07C9">
              <w:rPr>
                <w:rtl/>
                <w:lang w:val="en-US"/>
              </w:rPr>
              <w:t>72</w:t>
            </w:r>
            <w:r w:rsidR="00E4289F" w:rsidRPr="00ED555C">
              <w:rPr>
                <w:rtl/>
                <w:lang w:val="en-US"/>
              </w:rPr>
              <w:t xml:space="preserve"> ساعة على اختفائهم؛</w:t>
            </w:r>
          </w:p>
          <w:p w14:paraId="62368C13" w14:textId="5C2249FC" w:rsidR="00E4289F" w:rsidRPr="00ED555C" w:rsidRDefault="00ED555C" w:rsidP="00555E4A">
            <w:pPr>
              <w:pStyle w:val="SingleTxtGA"/>
              <w:tabs>
                <w:tab w:val="clear" w:pos="1928"/>
                <w:tab w:val="left" w:pos="630"/>
                <w:tab w:val="left" w:pos="1339"/>
              </w:tabs>
              <w:ind w:left="0" w:right="0"/>
              <w:rPr>
                <w:rtl/>
                <w:lang w:val="en-US"/>
              </w:rPr>
            </w:pPr>
            <w:r>
              <w:rPr>
                <w:rtl/>
                <w:lang w:val="en-US"/>
              </w:rPr>
              <w:tab/>
            </w:r>
            <w:r w:rsidR="00E4289F" w:rsidRPr="00ED555C">
              <w:rPr>
                <w:rtl/>
                <w:lang w:val="en-US"/>
              </w:rPr>
              <w:t>(ب)</w:t>
            </w:r>
            <w:r w:rsidR="00E4289F" w:rsidRPr="005F7FCA">
              <w:rPr>
                <w:spacing w:val="-4"/>
                <w:rtl/>
                <w:lang w:val="en-US"/>
              </w:rPr>
              <w:tab/>
              <w:t xml:space="preserve">إلزام الشرطة بأن تطلب من المدعي العام إذناً بالاطلاع على سجلات هاتف الشخص المختفي، </w:t>
            </w:r>
            <w:r w:rsidR="00E4289F" w:rsidRPr="00ED555C">
              <w:rPr>
                <w:rtl/>
                <w:lang w:val="en-US"/>
              </w:rPr>
              <w:t xml:space="preserve">وهي عملية تستغرق ما متوسطه </w:t>
            </w:r>
            <w:r w:rsidR="00E4289F" w:rsidRPr="000C07C9">
              <w:rPr>
                <w:rtl/>
                <w:lang w:val="en-US"/>
              </w:rPr>
              <w:t>21</w:t>
            </w:r>
            <w:r w:rsidR="00E4289F" w:rsidRPr="00ED555C">
              <w:rPr>
                <w:rtl/>
                <w:lang w:val="en-US"/>
              </w:rPr>
              <w:t xml:space="preserve"> يوماً وتنطوي على إجراءات بيروقراطية مرهقة ومهدرة للوقت.</w:t>
            </w:r>
          </w:p>
          <w:p w14:paraId="61A8AC69" w14:textId="77777777" w:rsidR="00E4289F" w:rsidRPr="00ED555C" w:rsidRDefault="00E4289F" w:rsidP="00555E4A">
            <w:pPr>
              <w:pStyle w:val="SingleTxtGA"/>
              <w:tabs>
                <w:tab w:val="clear" w:pos="1928"/>
                <w:tab w:val="left" w:pos="630"/>
                <w:tab w:val="left" w:pos="1339"/>
              </w:tabs>
              <w:ind w:left="0" w:right="0"/>
              <w:rPr>
                <w:rtl/>
                <w:lang w:val="en-US"/>
              </w:rPr>
            </w:pPr>
            <w:r w:rsidRPr="00ED555C">
              <w:rPr>
                <w:rtl/>
                <w:lang w:val="en-US"/>
              </w:rPr>
              <w:t xml:space="preserve">وفي ضوء ما تقدم، فإن اللجنة: </w:t>
            </w:r>
          </w:p>
          <w:p w14:paraId="1EEB2D7C" w14:textId="2E4E8214" w:rsidR="00E4289F" w:rsidRPr="00ED555C" w:rsidRDefault="00ED555C" w:rsidP="00555E4A">
            <w:pPr>
              <w:pStyle w:val="SingleTxtGA"/>
              <w:tabs>
                <w:tab w:val="clear" w:pos="1928"/>
                <w:tab w:val="left" w:pos="630"/>
                <w:tab w:val="left" w:pos="1339"/>
              </w:tabs>
              <w:ind w:left="0" w:right="0"/>
              <w:rPr>
                <w:rtl/>
                <w:lang w:val="en-US"/>
              </w:rPr>
            </w:pPr>
            <w:r>
              <w:rPr>
                <w:rtl/>
                <w:lang w:val="en-US"/>
              </w:rPr>
              <w:tab/>
            </w:r>
            <w:r w:rsidR="00E4289F" w:rsidRPr="00ED555C">
              <w:rPr>
                <w:rtl/>
                <w:lang w:val="en-US"/>
              </w:rPr>
              <w:t>(أ)</w:t>
            </w:r>
            <w:r w:rsidR="00E4289F" w:rsidRPr="00ED555C">
              <w:rPr>
                <w:rtl/>
                <w:lang w:val="en-US"/>
              </w:rPr>
              <w:tab/>
              <w:t xml:space="preserve">تذكّر الدولة الطرف بالمبدأ </w:t>
            </w:r>
            <w:r w:rsidR="00E4289F" w:rsidRPr="000C07C9">
              <w:rPr>
                <w:rtl/>
                <w:lang w:val="en-US"/>
              </w:rPr>
              <w:t>6</w:t>
            </w:r>
            <w:r w:rsidR="00E4289F" w:rsidRPr="00ED555C">
              <w:rPr>
                <w:rtl/>
                <w:lang w:val="en-US"/>
              </w:rPr>
              <w:t xml:space="preserve"> من مبادئها التوجيهية للبحث عن الأشخاص المختفين، الذي ينص على أن يبدأ البحث عن الشخص المختفي </w:t>
            </w:r>
            <w:proofErr w:type="gramStart"/>
            <w:r w:rsidR="00E4289F" w:rsidRPr="00ED555C">
              <w:rPr>
                <w:rtl/>
                <w:lang w:val="en-US"/>
              </w:rPr>
              <w:t>فوراً</w:t>
            </w:r>
            <w:r w:rsidR="00601670" w:rsidRPr="00C57D41">
              <w:rPr>
                <w:szCs w:val="22"/>
                <w:vertAlign w:val="superscript"/>
                <w:rtl/>
                <w:lang w:val="en-US"/>
              </w:rPr>
              <w:t>(</w:t>
            </w:r>
            <w:proofErr w:type="gramEnd"/>
            <w:r w:rsidR="00601670" w:rsidRPr="000C07C9">
              <w:rPr>
                <w:rStyle w:val="FootnoteReference"/>
                <w:szCs w:val="22"/>
                <w:lang w:val="en-US"/>
              </w:rPr>
              <w:footnoteReference w:id="4"/>
            </w:r>
            <w:r w:rsidR="00601670" w:rsidRPr="00C57D41">
              <w:rPr>
                <w:szCs w:val="22"/>
                <w:vertAlign w:val="superscript"/>
                <w:rtl/>
                <w:lang w:val="en-US"/>
              </w:rPr>
              <w:t>)</w:t>
            </w:r>
            <w:r w:rsidR="00E4289F" w:rsidRPr="00ED555C">
              <w:rPr>
                <w:rtl/>
                <w:lang w:val="en-US"/>
              </w:rPr>
              <w:t>.</w:t>
            </w:r>
          </w:p>
          <w:p w14:paraId="3F3CB2C2" w14:textId="206021D3" w:rsidR="00E4289F" w:rsidRPr="00ED555C" w:rsidRDefault="00ED555C" w:rsidP="00555E4A">
            <w:pPr>
              <w:pStyle w:val="SingleTxtGA"/>
              <w:tabs>
                <w:tab w:val="clear" w:pos="1928"/>
                <w:tab w:val="left" w:pos="630"/>
                <w:tab w:val="left" w:pos="1339"/>
              </w:tabs>
              <w:ind w:left="0" w:right="0"/>
              <w:rPr>
                <w:rtl/>
                <w:lang w:val="en-US"/>
              </w:rPr>
            </w:pPr>
            <w:r>
              <w:rPr>
                <w:rtl/>
                <w:lang w:val="en-US"/>
              </w:rPr>
              <w:tab/>
            </w:r>
            <w:r w:rsidR="00E4289F" w:rsidRPr="00ED555C">
              <w:rPr>
                <w:rtl/>
                <w:lang w:val="en-US"/>
              </w:rPr>
              <w:t>(ب)</w:t>
            </w:r>
            <w:r w:rsidR="00E4289F" w:rsidRPr="00ED555C">
              <w:rPr>
                <w:rtl/>
                <w:lang w:val="en-US"/>
              </w:rPr>
              <w:tab/>
            </w:r>
            <w:r w:rsidR="00E4289F" w:rsidRPr="005F7FCA">
              <w:rPr>
                <w:spacing w:val="-4"/>
                <w:rtl/>
                <w:lang w:val="en-US"/>
              </w:rPr>
              <w:t xml:space="preserve">تكرر توصيتها وطلبها الحصول على معلومات عن جميع المسائل التي أثيرت في الفقرة </w:t>
            </w:r>
            <w:r w:rsidR="00E4289F" w:rsidRPr="000C07C9">
              <w:rPr>
                <w:spacing w:val="-4"/>
                <w:rtl/>
                <w:lang w:val="en-US"/>
              </w:rPr>
              <w:t>39</w:t>
            </w:r>
            <w:r w:rsidR="00E4289F" w:rsidRPr="005F7FCA">
              <w:rPr>
                <w:spacing w:val="-4"/>
                <w:rtl/>
                <w:lang w:val="en-US"/>
              </w:rPr>
              <w:t xml:space="preserve"> من</w:t>
            </w:r>
            <w:r w:rsidR="00E4289F" w:rsidRPr="00ED555C">
              <w:rPr>
                <w:rtl/>
                <w:lang w:val="en-US"/>
              </w:rPr>
              <w:t xml:space="preserve"> ملاحظاتها الختامية.</w:t>
            </w:r>
          </w:p>
          <w:p w14:paraId="16A2859C" w14:textId="77777777" w:rsidR="00E4289F" w:rsidRPr="000C07C9" w:rsidRDefault="00E4289F" w:rsidP="00555E4A">
            <w:pPr>
              <w:pStyle w:val="SingleTxtGA"/>
              <w:tabs>
                <w:tab w:val="left" w:pos="777"/>
              </w:tabs>
              <w:ind w:left="0" w:right="0"/>
              <w:rPr>
                <w:b/>
                <w:bCs/>
                <w:rtl/>
                <w:lang w:val="en-US"/>
              </w:rPr>
            </w:pPr>
            <w:r w:rsidRPr="000C07C9">
              <w:rPr>
                <w:b/>
                <w:bCs/>
                <w:rtl/>
                <w:lang w:val="en-US"/>
              </w:rPr>
              <w:t>قرار اللجنة:</w:t>
            </w:r>
          </w:p>
          <w:p w14:paraId="73EC6FEF" w14:textId="28034EF7" w:rsidR="00E4289F" w:rsidRPr="00ED555C" w:rsidRDefault="00E4289F" w:rsidP="00555E4A">
            <w:pPr>
              <w:pStyle w:val="SingleTxtGA"/>
              <w:tabs>
                <w:tab w:val="left" w:pos="777"/>
              </w:tabs>
              <w:ind w:left="0" w:right="0"/>
              <w:rPr>
                <w:rtl/>
                <w:lang w:val="en-US"/>
              </w:rPr>
            </w:pPr>
            <w:r w:rsidRPr="00ED555C">
              <w:rPr>
                <w:rtl/>
                <w:lang w:val="en-US"/>
              </w:rPr>
              <w:t>تقرر اللجنة أن توجه إلى الدولة الطرف رسالةً تبلغها فيها بتقييمها. وستشدد الرسالة على أهمية أن تراعي الدولة الطرف الإرشادات المحددة وطلب المعلومات الوارد في هذا التقرير، وكذلك المبادئ التوجيهية للجنة للبحث عن</w:t>
            </w:r>
            <w:r w:rsidR="00C57D41">
              <w:rPr>
                <w:lang w:val="en-US"/>
              </w:rPr>
              <w:t> </w:t>
            </w:r>
            <w:r w:rsidRPr="00ED555C">
              <w:rPr>
                <w:rtl/>
                <w:lang w:val="en-US"/>
              </w:rPr>
              <w:t xml:space="preserve">الأشخاص المختفين، عند تنفيذ توصيات اللجنة وتقديم معلوماتها الإضافية بموجب الفقرة </w:t>
            </w:r>
            <w:r w:rsidRPr="000C07C9">
              <w:rPr>
                <w:rtl/>
                <w:lang w:val="en-US"/>
              </w:rPr>
              <w:t>4</w:t>
            </w:r>
            <w:r w:rsidRPr="00ED555C">
              <w:rPr>
                <w:rtl/>
                <w:lang w:val="en-US"/>
              </w:rPr>
              <w:t xml:space="preserve"> من المادة </w:t>
            </w:r>
            <w:r w:rsidRPr="000C07C9">
              <w:rPr>
                <w:rtl/>
                <w:lang w:val="en-US"/>
              </w:rPr>
              <w:t>29</w:t>
            </w:r>
            <w:r w:rsidRPr="00ED555C">
              <w:rPr>
                <w:rtl/>
                <w:lang w:val="en-US"/>
              </w:rPr>
              <w:t xml:space="preserve"> من الاتفاقية.</w:t>
            </w:r>
          </w:p>
          <w:p w14:paraId="3295AC8A" w14:textId="551C8846" w:rsidR="00E4289F" w:rsidRPr="00E4289F" w:rsidRDefault="00E4289F" w:rsidP="00555E4A">
            <w:pPr>
              <w:pStyle w:val="SingleTxtGA"/>
              <w:tabs>
                <w:tab w:val="clear" w:pos="1928"/>
                <w:tab w:val="left" w:pos="630"/>
                <w:tab w:val="left" w:pos="1339"/>
              </w:tabs>
              <w:ind w:left="0" w:right="0"/>
              <w:rPr>
                <w:rtl/>
                <w:lang w:val="en-US"/>
              </w:rPr>
            </w:pPr>
            <w:r w:rsidRPr="000C07C9">
              <w:rPr>
                <w:b/>
                <w:bCs/>
                <w:rtl/>
                <w:lang w:val="en-US"/>
              </w:rPr>
              <w:t xml:space="preserve">الموعد النهائي لتقديم الدولة الطرف معلومات إضافية بموجب الفقرة 4 من المادة 29 من </w:t>
            </w:r>
            <w:proofErr w:type="gramStart"/>
            <w:r w:rsidRPr="000C07C9">
              <w:rPr>
                <w:b/>
                <w:bCs/>
                <w:rtl/>
                <w:lang w:val="en-US"/>
              </w:rPr>
              <w:t>الاتفاقية:</w:t>
            </w:r>
            <w:r w:rsidR="00555E4A" w:rsidRPr="000C07C9">
              <w:rPr>
                <w:rFonts w:hint="cs"/>
                <w:b/>
                <w:bCs/>
                <w:rtl/>
                <w:lang w:val="en-US"/>
              </w:rPr>
              <w:t xml:space="preserve">   </w:t>
            </w:r>
            <w:proofErr w:type="gramEnd"/>
            <w:r w:rsidR="00555E4A" w:rsidRPr="000C07C9">
              <w:rPr>
                <w:rFonts w:hint="cs"/>
                <w:b/>
                <w:bCs/>
                <w:rtl/>
                <w:lang w:val="en-US"/>
              </w:rPr>
              <w:t xml:space="preserve">      </w:t>
            </w:r>
            <w:r w:rsidRPr="000C07C9">
              <w:rPr>
                <w:rtl/>
                <w:lang w:val="en-US"/>
              </w:rPr>
              <w:t xml:space="preserve"> 11 تشرين الأول/أكتوبر 2025</w:t>
            </w:r>
          </w:p>
        </w:tc>
      </w:tr>
    </w:tbl>
    <w:p w14:paraId="5145DC67" w14:textId="4DC22B4B" w:rsidR="0078659B" w:rsidRPr="000C07C9" w:rsidRDefault="00ED555C" w:rsidP="00C57D41">
      <w:pPr>
        <w:pStyle w:val="H1GA"/>
        <w:spacing w:before="120"/>
      </w:pPr>
      <w:r w:rsidRPr="000C07C9">
        <w:rPr>
          <w:rtl/>
        </w:rPr>
        <w:lastRenderedPageBreak/>
        <w:tab/>
      </w:r>
      <w:r w:rsidR="0078659B" w:rsidRPr="000C07C9">
        <w:rPr>
          <w:rtl/>
        </w:rPr>
        <w:t>باء-</w:t>
      </w:r>
      <w:r w:rsidR="0078659B" w:rsidRPr="000C07C9">
        <w:rPr>
          <w:rtl/>
        </w:rPr>
        <w:tab/>
        <w:t>سلوفاكيا</w:t>
      </w:r>
    </w:p>
    <w:p w14:paraId="00253629" w14:textId="77777777" w:rsidR="0078659B" w:rsidRPr="000C07C9" w:rsidRDefault="0078659B" w:rsidP="00555E4A">
      <w:pPr>
        <w:pStyle w:val="H23GA"/>
        <w:spacing w:after="240"/>
      </w:pPr>
      <w:r w:rsidRPr="000C07C9">
        <w:rPr>
          <w:rtl/>
        </w:rPr>
        <w:tab/>
      </w:r>
      <w:r w:rsidRPr="000C07C9">
        <w:rPr>
          <w:rtl/>
        </w:rPr>
        <w:tab/>
        <w:t>الدورة السابعة عشرة (أيلول/سبتمبر - تشرين الأول/أكتوبر 2019)</w:t>
      </w:r>
    </w:p>
    <w:tbl>
      <w:tblPr>
        <w:tblStyle w:val="TableGrid"/>
        <w:bidiVisual/>
        <w:tblW w:w="0" w:type="auto"/>
        <w:tblInd w:w="1247" w:type="dxa"/>
        <w:tblBorders>
          <w:left w:val="none" w:sz="0" w:space="0" w:color="auto"/>
          <w:bottom w:val="single" w:sz="12" w:space="0" w:color="auto"/>
          <w:right w:val="none" w:sz="0" w:space="0" w:color="auto"/>
          <w:insideH w:val="single" w:sz="12" w:space="0" w:color="auto"/>
          <w:insideV w:val="none" w:sz="0" w:space="0" w:color="auto"/>
        </w:tblBorders>
        <w:tblLook w:val="04A0" w:firstRow="1" w:lastRow="0" w:firstColumn="1" w:lastColumn="0" w:noHBand="0" w:noVBand="1"/>
      </w:tblPr>
      <w:tblGrid>
        <w:gridCol w:w="7200"/>
      </w:tblGrid>
      <w:tr w:rsidR="00601670" w14:paraId="0F0144ED" w14:textId="77777777" w:rsidTr="00555E4A">
        <w:trPr>
          <w:cantSplit/>
          <w:tblHeader/>
        </w:trPr>
        <w:tc>
          <w:tcPr>
            <w:tcW w:w="7200" w:type="dxa"/>
          </w:tcPr>
          <w:p w14:paraId="4B0EB9F8" w14:textId="701D7F7B" w:rsidR="00601670" w:rsidRPr="000C07C9" w:rsidRDefault="00601670" w:rsidP="00555E4A">
            <w:pPr>
              <w:pStyle w:val="SingleTxtGA"/>
              <w:spacing w:line="370" w:lineRule="exact"/>
              <w:ind w:left="0" w:right="0"/>
              <w:rPr>
                <w:i/>
                <w:iCs/>
                <w:rtl/>
                <w:lang w:val="en-US"/>
              </w:rPr>
            </w:pPr>
            <w:r w:rsidRPr="000C07C9">
              <w:rPr>
                <w:i/>
                <w:iCs/>
                <w:rtl/>
                <w:lang w:val="en-US"/>
              </w:rPr>
              <w:t>سلوفاكيا</w:t>
            </w:r>
          </w:p>
        </w:tc>
      </w:tr>
      <w:tr w:rsidR="00601670" w14:paraId="53F0C71B" w14:textId="77777777" w:rsidTr="00555E4A">
        <w:tc>
          <w:tcPr>
            <w:tcW w:w="7200" w:type="dxa"/>
          </w:tcPr>
          <w:p w14:paraId="7DEA6352" w14:textId="1D6CF35A" w:rsidR="00601670" w:rsidRPr="00601670" w:rsidRDefault="00601670" w:rsidP="00555E4A">
            <w:pPr>
              <w:pStyle w:val="SingleTxtGA"/>
              <w:tabs>
                <w:tab w:val="left" w:pos="777"/>
              </w:tabs>
              <w:spacing w:line="370" w:lineRule="exact"/>
              <w:ind w:left="0" w:right="0"/>
              <w:rPr>
                <w:rtl/>
                <w:lang w:val="en-US"/>
              </w:rPr>
            </w:pPr>
            <w:r w:rsidRPr="000C07C9">
              <w:rPr>
                <w:b/>
                <w:bCs/>
                <w:rtl/>
                <w:lang w:val="en-US"/>
              </w:rPr>
              <w:t>الملاحظات الختامية:</w:t>
            </w:r>
            <w:r w:rsidRPr="000C07C9">
              <w:rPr>
                <w:b/>
                <w:bCs/>
                <w:rtl/>
                <w:lang w:val="en-US"/>
              </w:rPr>
              <w:tab/>
            </w:r>
            <w:hyperlink r:id="rId14" w:history="1">
              <w:r w:rsidR="00C57D41" w:rsidRPr="00F817E0">
                <w:rPr>
                  <w:rStyle w:val="Hyperlink"/>
                </w:rPr>
                <w:t>CED/C/SVK/CO/</w:t>
              </w:r>
              <w:r w:rsidR="00C57D41" w:rsidRPr="000C07C9">
                <w:rPr>
                  <w:rStyle w:val="Hyperlink"/>
                </w:rPr>
                <w:t>1</w:t>
              </w:r>
            </w:hyperlink>
            <w:r w:rsidRPr="00601670">
              <w:rPr>
                <w:rtl/>
                <w:lang w:val="en-US"/>
              </w:rPr>
              <w:t xml:space="preserve">، اعتُمدت في </w:t>
            </w:r>
            <w:r w:rsidRPr="000C07C9">
              <w:rPr>
                <w:rtl/>
                <w:lang w:val="en-US"/>
              </w:rPr>
              <w:t>10</w:t>
            </w:r>
            <w:r w:rsidRPr="00601670">
              <w:rPr>
                <w:rtl/>
                <w:lang w:val="en-US"/>
              </w:rPr>
              <w:t xml:space="preserve"> تشرين الأول/أكتوبر </w:t>
            </w:r>
            <w:r w:rsidRPr="000C07C9">
              <w:rPr>
                <w:rtl/>
                <w:lang w:val="en-US"/>
              </w:rPr>
              <w:t>2019</w:t>
            </w:r>
          </w:p>
          <w:p w14:paraId="762C867D" w14:textId="36E78754" w:rsidR="00601670" w:rsidRPr="00601670" w:rsidRDefault="00601670" w:rsidP="00555E4A">
            <w:pPr>
              <w:pStyle w:val="SingleTxtGA"/>
              <w:tabs>
                <w:tab w:val="left" w:pos="777"/>
              </w:tabs>
              <w:spacing w:line="370" w:lineRule="exact"/>
              <w:ind w:left="1928" w:right="0" w:hanging="1928"/>
              <w:rPr>
                <w:rtl/>
                <w:lang w:val="en-US"/>
              </w:rPr>
            </w:pPr>
            <w:r w:rsidRPr="000C07C9">
              <w:rPr>
                <w:b/>
                <w:bCs/>
                <w:rtl/>
                <w:lang w:val="en-US"/>
              </w:rPr>
              <w:t>التوصيات موضوع المتابعة:</w:t>
            </w:r>
            <w:r w:rsidRPr="000C07C9">
              <w:rPr>
                <w:b/>
                <w:bCs/>
                <w:rtl/>
                <w:lang w:val="en-US"/>
              </w:rPr>
              <w:tab/>
            </w:r>
            <w:r w:rsidRPr="00495DF0">
              <w:rPr>
                <w:spacing w:val="-4"/>
                <w:rtl/>
                <w:lang w:val="en-US"/>
              </w:rPr>
              <w:t xml:space="preserve">الفقرات </w:t>
            </w:r>
            <w:r w:rsidRPr="000C07C9">
              <w:rPr>
                <w:spacing w:val="-4"/>
                <w:rtl/>
                <w:lang w:val="en-US"/>
              </w:rPr>
              <w:t>11</w:t>
            </w:r>
            <w:r w:rsidRPr="00495DF0">
              <w:rPr>
                <w:spacing w:val="-4"/>
                <w:rtl/>
                <w:lang w:val="en-US"/>
              </w:rPr>
              <w:t xml:space="preserve"> (المؤسسة الوطنية لحقوق الإنسان)، و</w:t>
            </w:r>
            <w:r w:rsidRPr="000C07C9">
              <w:rPr>
                <w:spacing w:val="-4"/>
                <w:rtl/>
                <w:lang w:val="en-US"/>
              </w:rPr>
              <w:t>23</w:t>
            </w:r>
            <w:r w:rsidRPr="00495DF0">
              <w:rPr>
                <w:spacing w:val="-4"/>
                <w:rtl/>
                <w:lang w:val="en-US"/>
              </w:rPr>
              <w:t xml:space="preserve"> (التدريب)،</w:t>
            </w:r>
            <w:r w:rsidR="00C57D41" w:rsidRPr="00495DF0">
              <w:rPr>
                <w:spacing w:val="-4"/>
                <w:rtl/>
                <w:lang w:val="en-US"/>
              </w:rPr>
              <w:t xml:space="preserve"> و</w:t>
            </w:r>
            <w:r w:rsidRPr="000C07C9">
              <w:rPr>
                <w:spacing w:val="-4"/>
                <w:rtl/>
                <w:lang w:val="en-US"/>
              </w:rPr>
              <w:t>25</w:t>
            </w:r>
            <w:r w:rsidRPr="00495DF0">
              <w:rPr>
                <w:spacing w:val="-4"/>
                <w:rtl/>
                <w:lang w:val="en-US"/>
              </w:rPr>
              <w:t xml:space="preserve"> (الحق في</w:t>
            </w:r>
            <w:r w:rsidRPr="00601670">
              <w:rPr>
                <w:rtl/>
                <w:lang w:val="en-US"/>
              </w:rPr>
              <w:t xml:space="preserve"> الجبر والتعويض الفوري والعادل والكافي)</w:t>
            </w:r>
          </w:p>
          <w:p w14:paraId="25305502" w14:textId="2FFD706B" w:rsidR="00601670" w:rsidRPr="00C57D41" w:rsidRDefault="00601670" w:rsidP="00555E4A">
            <w:pPr>
              <w:pStyle w:val="SingleTxtGA"/>
              <w:spacing w:line="370" w:lineRule="exact"/>
              <w:ind w:left="1928" w:right="0" w:hanging="1928"/>
              <w:rPr>
                <w:spacing w:val="-4"/>
                <w:rtl/>
                <w:lang w:val="en-US"/>
              </w:rPr>
            </w:pPr>
            <w:r w:rsidRPr="000C07C9">
              <w:rPr>
                <w:b/>
                <w:bCs/>
                <w:spacing w:val="-4"/>
                <w:rtl/>
                <w:lang w:val="en-US"/>
              </w:rPr>
              <w:t>الرد:</w:t>
            </w:r>
            <w:r w:rsidRPr="000C07C9">
              <w:rPr>
                <w:b/>
                <w:bCs/>
                <w:spacing w:val="-4"/>
                <w:rtl/>
                <w:lang w:val="en-US"/>
              </w:rPr>
              <w:tab/>
            </w:r>
            <w:hyperlink r:id="rId15" w:history="1">
              <w:r w:rsidR="00C57D41" w:rsidRPr="00C57D41">
                <w:rPr>
                  <w:rStyle w:val="Hyperlink"/>
                  <w:spacing w:val="-4"/>
                </w:rPr>
                <w:t>CED/C/SVK/FCO/</w:t>
              </w:r>
              <w:r w:rsidR="00C57D41" w:rsidRPr="000C07C9">
                <w:rPr>
                  <w:rStyle w:val="Hyperlink"/>
                  <w:spacing w:val="-4"/>
                </w:rPr>
                <w:t>1</w:t>
              </w:r>
            </w:hyperlink>
            <w:r w:rsidRPr="00C57D41">
              <w:rPr>
                <w:spacing w:val="-4"/>
                <w:rtl/>
                <w:lang w:val="en-US"/>
              </w:rPr>
              <w:t xml:space="preserve">، حل موعد تقديمه في </w:t>
            </w:r>
            <w:r w:rsidRPr="000C07C9">
              <w:rPr>
                <w:spacing w:val="-4"/>
                <w:rtl/>
                <w:lang w:val="en-US"/>
              </w:rPr>
              <w:t>11</w:t>
            </w:r>
            <w:r w:rsidRPr="00C57D41">
              <w:rPr>
                <w:spacing w:val="-4"/>
                <w:rtl/>
                <w:lang w:val="en-US"/>
              </w:rPr>
              <w:t xml:space="preserve"> تشرين الأول/أكتوبر </w:t>
            </w:r>
            <w:r w:rsidRPr="000C07C9">
              <w:rPr>
                <w:spacing w:val="-4"/>
                <w:rtl/>
                <w:lang w:val="en-US"/>
              </w:rPr>
              <w:t>2020</w:t>
            </w:r>
            <w:r w:rsidRPr="00C57D41">
              <w:rPr>
                <w:spacing w:val="-4"/>
                <w:rtl/>
                <w:lang w:val="en-US"/>
              </w:rPr>
              <w:t xml:space="preserve">؛ وورد في </w:t>
            </w:r>
            <w:r w:rsidRPr="000C07C9">
              <w:rPr>
                <w:spacing w:val="-4"/>
                <w:rtl/>
                <w:lang w:val="en-US"/>
              </w:rPr>
              <w:t>9</w:t>
            </w:r>
            <w:r w:rsidRPr="00C57D41">
              <w:rPr>
                <w:spacing w:val="-4"/>
                <w:rtl/>
                <w:lang w:val="en-US"/>
              </w:rPr>
              <w:t xml:space="preserve"> تشرين الأول/أكتوبر </w:t>
            </w:r>
            <w:r w:rsidRPr="000C07C9">
              <w:rPr>
                <w:spacing w:val="-4"/>
                <w:rtl/>
                <w:lang w:val="en-US"/>
              </w:rPr>
              <w:t>2020</w:t>
            </w:r>
            <w:r w:rsidRPr="00C57D41">
              <w:rPr>
                <w:spacing w:val="-4"/>
                <w:rtl/>
                <w:lang w:val="en-US"/>
              </w:rPr>
              <w:t xml:space="preserve"> </w:t>
            </w:r>
          </w:p>
          <w:p w14:paraId="2E4FA236" w14:textId="6BD18FB6" w:rsidR="00601670" w:rsidRPr="000C07C9" w:rsidRDefault="00601670" w:rsidP="00555E4A">
            <w:pPr>
              <w:pStyle w:val="SingleTxtGA"/>
              <w:tabs>
                <w:tab w:val="left" w:pos="777"/>
              </w:tabs>
              <w:spacing w:line="370" w:lineRule="exact"/>
              <w:ind w:left="0" w:right="0"/>
              <w:rPr>
                <w:b/>
                <w:bCs/>
                <w:rtl/>
                <w:lang w:val="en-US"/>
              </w:rPr>
            </w:pPr>
            <w:r w:rsidRPr="000C07C9">
              <w:rPr>
                <w:b/>
                <w:bCs/>
                <w:rtl/>
                <w:lang w:val="en-US"/>
              </w:rPr>
              <w:t xml:space="preserve">الفقرة 11: توصي اللجنة الدولة الطرف بمواصلة وتكثيف جهودها الرامية إلى جعل المركز الوطني السلوفاكي لحقوق الإنسان ممتثلاً امتثالاً تاماً لمبادئ </w:t>
            </w:r>
            <w:proofErr w:type="gramStart"/>
            <w:r w:rsidRPr="000C07C9">
              <w:rPr>
                <w:b/>
                <w:bCs/>
                <w:rtl/>
                <w:lang w:val="en-US"/>
              </w:rPr>
              <w:t>باريس</w:t>
            </w:r>
            <w:r w:rsidR="00C57D41" w:rsidRPr="000C07C9">
              <w:rPr>
                <w:szCs w:val="22"/>
                <w:vertAlign w:val="superscript"/>
                <w:rtl/>
                <w:lang w:val="en-US"/>
              </w:rPr>
              <w:t>(</w:t>
            </w:r>
            <w:proofErr w:type="gramEnd"/>
            <w:r w:rsidR="00C57D41" w:rsidRPr="000C07C9">
              <w:rPr>
                <w:rStyle w:val="FootnoteReference"/>
                <w:szCs w:val="22"/>
                <w:lang w:val="en-US"/>
              </w:rPr>
              <w:footnoteReference w:id="5"/>
            </w:r>
            <w:r w:rsidR="00C57D41" w:rsidRPr="000C07C9">
              <w:rPr>
                <w:szCs w:val="22"/>
                <w:vertAlign w:val="superscript"/>
                <w:rtl/>
                <w:lang w:val="en-US"/>
              </w:rPr>
              <w:t>)</w:t>
            </w:r>
            <w:r w:rsidRPr="000C07C9">
              <w:rPr>
                <w:b/>
                <w:bCs/>
                <w:rtl/>
                <w:lang w:val="en-US"/>
              </w:rPr>
              <w:t>، لا سيما من خلال الإسراع في اعتماد الإصلاحات التشريعية اللازمة لتحسين إطاره المعياري.</w:t>
            </w:r>
          </w:p>
          <w:p w14:paraId="400ECBE8" w14:textId="77777777" w:rsidR="00601670" w:rsidRPr="000C07C9" w:rsidRDefault="00601670" w:rsidP="00555E4A">
            <w:pPr>
              <w:pStyle w:val="SingleTxtGA"/>
              <w:tabs>
                <w:tab w:val="left" w:pos="777"/>
              </w:tabs>
              <w:spacing w:line="370" w:lineRule="exact"/>
              <w:ind w:left="0" w:right="0"/>
              <w:rPr>
                <w:b/>
                <w:bCs/>
                <w:rtl/>
                <w:lang w:val="en-US"/>
              </w:rPr>
            </w:pPr>
            <w:r w:rsidRPr="000C07C9">
              <w:rPr>
                <w:b/>
                <w:bCs/>
                <w:rtl/>
                <w:lang w:val="en-US"/>
              </w:rPr>
              <w:t>رد الدولة الطرف</w:t>
            </w:r>
          </w:p>
          <w:p w14:paraId="12B15867" w14:textId="55FA7F67" w:rsidR="00601670" w:rsidRPr="00601670" w:rsidRDefault="00601670" w:rsidP="00555E4A">
            <w:pPr>
              <w:pStyle w:val="SingleTxtGA"/>
              <w:tabs>
                <w:tab w:val="left" w:pos="777"/>
              </w:tabs>
              <w:spacing w:line="370" w:lineRule="exact"/>
              <w:ind w:left="0" w:right="0"/>
              <w:rPr>
                <w:rtl/>
                <w:lang w:val="en-US"/>
              </w:rPr>
            </w:pPr>
            <w:r w:rsidRPr="00601670">
              <w:rPr>
                <w:rtl/>
                <w:lang w:val="en-US"/>
              </w:rPr>
              <w:t xml:space="preserve">يرد رد الدولة الطرف في الوثيقة </w:t>
            </w:r>
            <w:hyperlink r:id="rId16" w:history="1">
              <w:r w:rsidR="00C57D41" w:rsidRPr="00F817E0">
                <w:rPr>
                  <w:rStyle w:val="Hyperlink"/>
                </w:rPr>
                <w:t>CED/C/SVK/FCO/</w:t>
              </w:r>
              <w:r w:rsidR="00C57D41" w:rsidRPr="000C07C9">
                <w:rPr>
                  <w:rStyle w:val="Hyperlink"/>
                </w:rPr>
                <w:t>1</w:t>
              </w:r>
            </w:hyperlink>
            <w:r w:rsidRPr="00601670">
              <w:rPr>
                <w:rtl/>
                <w:lang w:val="en-US"/>
              </w:rPr>
              <w:t xml:space="preserve">، الفقرة </w:t>
            </w:r>
            <w:r w:rsidRPr="000C07C9">
              <w:rPr>
                <w:rtl/>
                <w:lang w:val="en-US"/>
              </w:rPr>
              <w:t>8</w:t>
            </w:r>
            <w:r w:rsidRPr="00601670">
              <w:rPr>
                <w:rtl/>
                <w:lang w:val="en-US"/>
              </w:rPr>
              <w:t>.</w:t>
            </w:r>
          </w:p>
          <w:p w14:paraId="38992815" w14:textId="77777777" w:rsidR="00601670" w:rsidRPr="000C07C9" w:rsidRDefault="00601670" w:rsidP="00555E4A">
            <w:pPr>
              <w:pStyle w:val="SingleTxtGA"/>
              <w:tabs>
                <w:tab w:val="left" w:pos="777"/>
              </w:tabs>
              <w:spacing w:line="370" w:lineRule="exact"/>
              <w:ind w:left="0" w:right="0"/>
              <w:rPr>
                <w:b/>
                <w:bCs/>
                <w:rtl/>
                <w:lang w:val="en-US"/>
              </w:rPr>
            </w:pPr>
            <w:r w:rsidRPr="000C07C9">
              <w:rPr>
                <w:b/>
                <w:bCs/>
                <w:rtl/>
                <w:lang w:val="en-US"/>
              </w:rPr>
              <w:t>تقييم اللجنة:</w:t>
            </w:r>
          </w:p>
          <w:p w14:paraId="66A37E1A" w14:textId="45D17D9F" w:rsidR="00601670" w:rsidRPr="00601670" w:rsidRDefault="00601670" w:rsidP="00555E4A">
            <w:pPr>
              <w:pStyle w:val="SingleTxtGA"/>
              <w:tabs>
                <w:tab w:val="left" w:pos="777"/>
              </w:tabs>
              <w:spacing w:after="140" w:line="370" w:lineRule="exact"/>
              <w:ind w:left="0" w:right="0"/>
              <w:rPr>
                <w:rtl/>
                <w:lang w:val="en-US"/>
              </w:rPr>
            </w:pPr>
            <w:r w:rsidRPr="000C07C9">
              <w:rPr>
                <w:b/>
                <w:bCs/>
                <w:rtl/>
                <w:lang w:val="en-US"/>
              </w:rPr>
              <w:t xml:space="preserve">[جيم]: </w:t>
            </w:r>
            <w:r w:rsidRPr="00601670">
              <w:rPr>
                <w:rtl/>
                <w:lang w:val="en-US"/>
              </w:rPr>
              <w:t>تحيط اللجنة</w:t>
            </w:r>
            <w:r>
              <w:rPr>
                <w:rtl/>
                <w:lang w:val="en-US"/>
              </w:rPr>
              <w:t xml:space="preserve"> علماً </w:t>
            </w:r>
            <w:r w:rsidRPr="00601670">
              <w:rPr>
                <w:rtl/>
                <w:lang w:val="en-US"/>
              </w:rPr>
              <w:t xml:space="preserve">بالمعلومات التي قدمتها الدولة الطرف والتي تفيد بأن توصية اللجنة بشأن المركز الوطني السلوفاكي لحقوق الإنسان لم تنفذ بعد بسبب الجائحة الراهنة؛ وتعكف وزارة العدل على إعداد التعديلات التشريعية اللازمة فيما يتصل بالتصديق على البروتوكول الاختياري لاتفاقية مناهضة التعذيب وغيره من ضروب المعاملة أو العقوبة القاسية أو اللاإنسانية أو المهينة؛ ويتوقع أن تكون هذه التعديلات التشريعية جاهزة بحلول نهاية كانون الأول/ديسمبر </w:t>
            </w:r>
            <w:r w:rsidRPr="000C07C9">
              <w:rPr>
                <w:rtl/>
                <w:lang w:val="en-US"/>
              </w:rPr>
              <w:t>2020</w:t>
            </w:r>
            <w:r w:rsidRPr="00601670">
              <w:rPr>
                <w:rtl/>
                <w:lang w:val="en-US"/>
              </w:rPr>
              <w:t xml:space="preserve">. وبناء على ذلك، تكرر اللجنة توصياتها الواردة في الفقرة </w:t>
            </w:r>
            <w:r w:rsidRPr="000C07C9">
              <w:rPr>
                <w:rtl/>
                <w:lang w:val="en-US"/>
              </w:rPr>
              <w:t>11</w:t>
            </w:r>
            <w:r w:rsidRPr="00601670">
              <w:rPr>
                <w:rtl/>
                <w:lang w:val="en-US"/>
              </w:rPr>
              <w:t xml:space="preserve"> من ملاحظاتها الختامية، وتطلب إلى الدولة الطرف موافاتها بمعلومات محدّثة في هذا الصدد.</w:t>
            </w:r>
          </w:p>
          <w:p w14:paraId="2929886F" w14:textId="7EBF5477" w:rsidR="00601670" w:rsidRPr="000C07C9" w:rsidRDefault="00601670" w:rsidP="00555E4A">
            <w:pPr>
              <w:pStyle w:val="SingleTxtGA"/>
              <w:tabs>
                <w:tab w:val="left" w:pos="777"/>
              </w:tabs>
              <w:spacing w:after="140" w:line="370" w:lineRule="exact"/>
              <w:ind w:left="0" w:right="0"/>
              <w:rPr>
                <w:rFonts w:ascii="Times New Roman Bold" w:hAnsi="Times New Roman Bold"/>
                <w:b/>
                <w:bCs/>
                <w:spacing w:val="-2"/>
                <w:rtl/>
                <w:lang w:val="en-US"/>
              </w:rPr>
            </w:pPr>
            <w:r w:rsidRPr="000C07C9">
              <w:rPr>
                <w:rFonts w:ascii="Times New Roman Bold" w:hAnsi="Times New Roman Bold"/>
                <w:b/>
                <w:bCs/>
                <w:spacing w:val="-2"/>
                <w:rtl/>
                <w:lang w:val="en-US"/>
              </w:rPr>
              <w:t>الفقرة 23: توصي اللجنة الدولة الطرف بأن تكفل لجميع موظفي إنفاذ القانون والعاملين في قطاع الأمن، سواء أكانوا من المدنيين أو العسكريين، والعاملين في المجال الطبي، والموظفين الحكوميين وسائر الأشخاص الذين يمكن أن يشاركوا في حراسة أو معاملة أشخاص سلبت حريتهم، بمن في ذلك القضاة والمدعون العامون وسواهم من الموظفين المسؤولين عن إقامة العدل، الحصول على تدريب محدد ومنتظم بشأن أحكام الاتفاقية وفقاً للفقرة</w:t>
            </w:r>
            <w:r w:rsidR="00C57D41" w:rsidRPr="000C07C9">
              <w:rPr>
                <w:rFonts w:ascii="Times New Roman Bold" w:hAnsi="Times New Roman Bold" w:hint="eastAsia"/>
                <w:b/>
                <w:bCs/>
                <w:spacing w:val="-2"/>
                <w:rtl/>
                <w:lang w:val="en-US"/>
              </w:rPr>
              <w:t> </w:t>
            </w:r>
            <w:r w:rsidRPr="000C07C9">
              <w:rPr>
                <w:rFonts w:ascii="Times New Roman Bold" w:hAnsi="Times New Roman Bold"/>
                <w:b/>
                <w:bCs/>
                <w:spacing w:val="-2"/>
                <w:rtl/>
                <w:lang w:val="en-US"/>
              </w:rPr>
              <w:t>1 من المادة 23 منها. وبالإضافة إلى ذلك، تشجع اللجنة الدولة الطرف على توفير التدريب للقضاة بشأن جريمة الاختفاء القسري، لا سيما من أجل كفالة التطبيق السليم، وكفالة دوام اعتبار عبارة " مما يجعل ممارسة الحماية القانونية أمراً مستحيلاً"، الواردة في المادة 420</w:t>
            </w:r>
            <w:proofErr w:type="gramStart"/>
            <w:r w:rsidRPr="000C07C9">
              <w:rPr>
                <w:rFonts w:ascii="Times New Roman Bold" w:hAnsi="Times New Roman Bold"/>
                <w:b/>
                <w:bCs/>
                <w:spacing w:val="-2"/>
                <w:rtl/>
                <w:lang w:val="en-US"/>
              </w:rPr>
              <w:t>أ(</w:t>
            </w:r>
            <w:proofErr w:type="gramEnd"/>
            <w:r w:rsidRPr="000C07C9">
              <w:rPr>
                <w:rFonts w:ascii="Times New Roman Bold" w:hAnsi="Times New Roman Bold"/>
                <w:b/>
                <w:bCs/>
                <w:spacing w:val="-2"/>
                <w:rtl/>
                <w:lang w:val="en-US"/>
              </w:rPr>
              <w:t>1) من القانون الجنائي، نتيجة للعناصر المكونة لجريمة الاختفاء القسري وليست عنصر قصد.</w:t>
            </w:r>
          </w:p>
          <w:p w14:paraId="3963CDC3" w14:textId="77777777" w:rsidR="00601670" w:rsidRPr="000C07C9" w:rsidRDefault="00601670" w:rsidP="00555E4A">
            <w:pPr>
              <w:pStyle w:val="SingleTxtGA"/>
              <w:tabs>
                <w:tab w:val="left" w:pos="777"/>
              </w:tabs>
              <w:spacing w:after="140" w:line="370" w:lineRule="exact"/>
              <w:ind w:left="0" w:right="0"/>
              <w:rPr>
                <w:b/>
                <w:bCs/>
                <w:rtl/>
                <w:lang w:val="en-US"/>
              </w:rPr>
            </w:pPr>
            <w:r w:rsidRPr="000C07C9">
              <w:rPr>
                <w:b/>
                <w:bCs/>
                <w:rtl/>
                <w:lang w:val="en-US"/>
              </w:rPr>
              <w:t>رد الدولة الطرف</w:t>
            </w:r>
          </w:p>
          <w:p w14:paraId="44D97799" w14:textId="02C3D852" w:rsidR="00601670" w:rsidRPr="00601670" w:rsidRDefault="00601670" w:rsidP="00555E4A">
            <w:pPr>
              <w:pStyle w:val="SingleTxtGA"/>
              <w:tabs>
                <w:tab w:val="left" w:pos="777"/>
              </w:tabs>
              <w:spacing w:after="140" w:line="370" w:lineRule="exact"/>
              <w:ind w:left="0" w:right="0"/>
              <w:rPr>
                <w:rtl/>
                <w:lang w:val="en-US"/>
              </w:rPr>
            </w:pPr>
            <w:r w:rsidRPr="00601670">
              <w:rPr>
                <w:rtl/>
                <w:lang w:val="en-US"/>
              </w:rPr>
              <w:t xml:space="preserve">يرد رد الدولة الطرف في الوثيقة </w:t>
            </w:r>
            <w:hyperlink r:id="rId17" w:history="1">
              <w:r w:rsidR="00495DF0" w:rsidRPr="00F817E0">
                <w:rPr>
                  <w:rStyle w:val="Hyperlink"/>
                </w:rPr>
                <w:t>CED/C/SVK/FCO/</w:t>
              </w:r>
              <w:r w:rsidR="00495DF0" w:rsidRPr="000C07C9">
                <w:rPr>
                  <w:rStyle w:val="Hyperlink"/>
                </w:rPr>
                <w:t>1</w:t>
              </w:r>
            </w:hyperlink>
            <w:r w:rsidRPr="00601670">
              <w:rPr>
                <w:rtl/>
                <w:lang w:val="en-US"/>
              </w:rPr>
              <w:t xml:space="preserve">، الفقرات من </w:t>
            </w:r>
            <w:r w:rsidRPr="000C07C9">
              <w:rPr>
                <w:rtl/>
                <w:lang w:val="en-US"/>
              </w:rPr>
              <w:t>9</w:t>
            </w:r>
            <w:r w:rsidRPr="00601670">
              <w:rPr>
                <w:rtl/>
                <w:lang w:val="en-US"/>
              </w:rPr>
              <w:t xml:space="preserve"> إلى </w:t>
            </w:r>
            <w:r w:rsidRPr="000C07C9">
              <w:rPr>
                <w:rtl/>
                <w:lang w:val="en-US"/>
              </w:rPr>
              <w:t>14</w:t>
            </w:r>
            <w:r w:rsidRPr="00601670">
              <w:rPr>
                <w:rtl/>
                <w:lang w:val="en-US"/>
              </w:rPr>
              <w:t>.</w:t>
            </w:r>
          </w:p>
          <w:p w14:paraId="65CE068A" w14:textId="77777777" w:rsidR="00601670" w:rsidRPr="000C07C9" w:rsidRDefault="00601670" w:rsidP="00555E4A">
            <w:pPr>
              <w:pStyle w:val="SingleTxtGA"/>
              <w:tabs>
                <w:tab w:val="left" w:pos="777"/>
              </w:tabs>
              <w:spacing w:line="350" w:lineRule="exact"/>
              <w:ind w:left="0" w:right="0"/>
              <w:rPr>
                <w:b/>
                <w:bCs/>
                <w:rtl/>
                <w:lang w:val="en-US"/>
              </w:rPr>
            </w:pPr>
            <w:r w:rsidRPr="000C07C9">
              <w:rPr>
                <w:b/>
                <w:bCs/>
                <w:rtl/>
                <w:lang w:val="en-US"/>
              </w:rPr>
              <w:lastRenderedPageBreak/>
              <w:t>تقييم اللجنة:</w:t>
            </w:r>
          </w:p>
          <w:p w14:paraId="2BDDD3CB" w14:textId="55630F22" w:rsidR="00601670" w:rsidRPr="00601670" w:rsidRDefault="00601670" w:rsidP="00555E4A">
            <w:pPr>
              <w:pStyle w:val="SingleTxtGA"/>
              <w:tabs>
                <w:tab w:val="left" w:pos="777"/>
              </w:tabs>
              <w:spacing w:line="350" w:lineRule="exact"/>
              <w:ind w:left="0" w:right="0"/>
              <w:rPr>
                <w:rtl/>
                <w:lang w:val="en-US"/>
              </w:rPr>
            </w:pPr>
            <w:r w:rsidRPr="000C07C9">
              <w:rPr>
                <w:b/>
                <w:bCs/>
                <w:rtl/>
                <w:lang w:val="en-US"/>
              </w:rPr>
              <w:t xml:space="preserve">[باء]: </w:t>
            </w:r>
            <w:r w:rsidRPr="00601670">
              <w:rPr>
                <w:rtl/>
                <w:lang w:val="en-US"/>
              </w:rPr>
              <w:t>تلاحظ اللجنة أن معظم أنشطة التدريب التي كان مقرراً الاضطلاع بها إبان الفترة المشمولة بالتقرير قد حُددت لها مواعيد جديدة او نُظمت عبر الإنترنت في سياق جائحة كوفيد-</w:t>
            </w:r>
            <w:r w:rsidRPr="000C07C9">
              <w:rPr>
                <w:rtl/>
                <w:lang w:val="en-US"/>
              </w:rPr>
              <w:t>19</w:t>
            </w:r>
            <w:r w:rsidRPr="00601670">
              <w:rPr>
                <w:rtl/>
                <w:lang w:val="en-US"/>
              </w:rPr>
              <w:t xml:space="preserve">. وترحب اللجنة بالمعلومات المقدمة </w:t>
            </w:r>
            <w:r w:rsidRPr="00495DF0">
              <w:rPr>
                <w:spacing w:val="-4"/>
                <w:rtl/>
                <w:lang w:val="en-US"/>
              </w:rPr>
              <w:t xml:space="preserve">عن التدريب الذي أجرته وزارة الدفاع لما عدده </w:t>
            </w:r>
            <w:r w:rsidRPr="000C07C9">
              <w:rPr>
                <w:spacing w:val="-4"/>
                <w:rtl/>
                <w:lang w:val="en-US"/>
              </w:rPr>
              <w:t>69</w:t>
            </w:r>
            <w:r w:rsidRPr="00495DF0">
              <w:rPr>
                <w:spacing w:val="-4"/>
                <w:rtl/>
                <w:lang w:val="en-US"/>
              </w:rPr>
              <w:t xml:space="preserve"> فرداً من أفراد الشرطة العسكرية و</w:t>
            </w:r>
            <w:r w:rsidRPr="000C07C9">
              <w:rPr>
                <w:spacing w:val="-4"/>
                <w:rtl/>
                <w:lang w:val="en-US"/>
              </w:rPr>
              <w:t>267</w:t>
            </w:r>
            <w:r w:rsidRPr="00495DF0">
              <w:rPr>
                <w:spacing w:val="-4"/>
                <w:rtl/>
                <w:lang w:val="en-US"/>
              </w:rPr>
              <w:t xml:space="preserve"> فرداً من الأفراد العسكريين؛</w:t>
            </w:r>
            <w:r w:rsidRPr="00601670">
              <w:rPr>
                <w:rtl/>
                <w:lang w:val="en-US"/>
              </w:rPr>
              <w:t xml:space="preserve"> والتدريب الذي أجرته وزارة الداخلية لضباط الشرطة؛ والتدريب الذي أجرته أكاديمية الشرطة؛ والتدريب الذي أجرته أكاديمية القضاء، والذي تألف من دورتين تدريبيتين في عام </w:t>
            </w:r>
            <w:r w:rsidRPr="000C07C9">
              <w:rPr>
                <w:rtl/>
                <w:lang w:val="en-US"/>
              </w:rPr>
              <w:t>2019</w:t>
            </w:r>
            <w:r w:rsidRPr="00601670">
              <w:rPr>
                <w:rtl/>
                <w:lang w:val="en-US"/>
              </w:rPr>
              <w:t xml:space="preserve"> عن احتياجات الضحايا والضحايا المعرضين للخطر بوجه خاص، والذي تضمن معلومات عن خدمات دعم الضحايا وعن مدى توافر العدالة التصالحية للضحايا وعن سبل توفير المعلومات للضحايا بطريقة يسهل عليهم فهمها. وتلاحظ اللجنة </w:t>
            </w:r>
            <w:r>
              <w:rPr>
                <w:rtl/>
                <w:lang w:val="en-US"/>
              </w:rPr>
              <w:t xml:space="preserve">أيضاً </w:t>
            </w:r>
            <w:r w:rsidRPr="00601670">
              <w:rPr>
                <w:rtl/>
                <w:lang w:val="en-US"/>
              </w:rPr>
              <w:t xml:space="preserve">أن </w:t>
            </w:r>
            <w:r w:rsidRPr="00495DF0">
              <w:rPr>
                <w:spacing w:val="-4"/>
                <w:rtl/>
                <w:lang w:val="en-US"/>
              </w:rPr>
              <w:t>وزارة الصحة أعربت عن تأييدها لتوفير تدريب عن الاختفاء القسري لفائدة العاملين في القطاع الطبي، وتعتزم الوزارة</w:t>
            </w:r>
            <w:r w:rsidRPr="00601670">
              <w:rPr>
                <w:rtl/>
                <w:lang w:val="en-US"/>
              </w:rPr>
              <w:t xml:space="preserve"> إدراج هذا التدريب في المعايير الدنيا لبرامج الدراسة المتخصصة رغم أن ذلك سيتطلب استعراض التشريعات ذات الصلة. وفي ضوء ما تقدم، تطلب اللجنة إلى الدولة الطرف أن تبين ما يلي: </w:t>
            </w:r>
          </w:p>
          <w:p w14:paraId="7812EFA7" w14:textId="4F71353D" w:rsidR="00601670" w:rsidRPr="000C07C9" w:rsidRDefault="00601670" w:rsidP="00555E4A">
            <w:pPr>
              <w:pStyle w:val="SingleTxtGA"/>
              <w:tabs>
                <w:tab w:val="clear" w:pos="1928"/>
                <w:tab w:val="left" w:pos="630"/>
                <w:tab w:val="left" w:pos="1339"/>
              </w:tabs>
              <w:spacing w:line="350" w:lineRule="exact"/>
              <w:ind w:left="0" w:right="0"/>
              <w:rPr>
                <w:rtl/>
                <w:lang w:val="en-US"/>
              </w:rPr>
            </w:pPr>
            <w:r w:rsidRPr="000C07C9">
              <w:rPr>
                <w:rtl/>
                <w:lang w:val="en-US"/>
              </w:rPr>
              <w:tab/>
            </w:r>
            <w:r w:rsidRPr="00555E4A">
              <w:rPr>
                <w:rtl/>
                <w:lang w:val="en-US"/>
              </w:rPr>
              <w:t>(أ)</w:t>
            </w:r>
            <w:r w:rsidRPr="000C07C9">
              <w:rPr>
                <w:rtl/>
                <w:lang w:val="en-US"/>
              </w:rPr>
              <w:tab/>
              <w:t xml:space="preserve">وتيرة توفير برامج تدريبية من هذا القبيل عن الاختفاء القسري والاتفاقية والتشريعات الوطنية ذات الصلة لجميع القضاة والمدعين العامين وغيرهم من الموظفين المسؤولين عن إقامة العدل؛ </w:t>
            </w:r>
          </w:p>
          <w:p w14:paraId="0980E2DE" w14:textId="615103F7" w:rsidR="00601670" w:rsidRPr="000C07C9" w:rsidRDefault="00601670" w:rsidP="00555E4A">
            <w:pPr>
              <w:pStyle w:val="SingleTxtGA"/>
              <w:tabs>
                <w:tab w:val="clear" w:pos="1928"/>
                <w:tab w:val="left" w:pos="630"/>
                <w:tab w:val="left" w:pos="1339"/>
              </w:tabs>
              <w:spacing w:line="350" w:lineRule="exact"/>
              <w:ind w:left="0" w:right="0"/>
              <w:rPr>
                <w:rtl/>
                <w:lang w:val="en-US"/>
              </w:rPr>
            </w:pPr>
            <w:r w:rsidRPr="000C07C9">
              <w:rPr>
                <w:rtl/>
                <w:lang w:val="en-US"/>
              </w:rPr>
              <w:tab/>
            </w:r>
            <w:r w:rsidRPr="00555E4A">
              <w:rPr>
                <w:rtl/>
                <w:lang w:val="en-US"/>
              </w:rPr>
              <w:t>(ب)</w:t>
            </w:r>
            <w:r w:rsidRPr="000C07C9">
              <w:rPr>
                <w:rtl/>
                <w:lang w:val="en-US"/>
              </w:rPr>
              <w:tab/>
              <w:t>ما إذا كانت هذه البرامج إلزامية أم لا؛</w:t>
            </w:r>
          </w:p>
          <w:p w14:paraId="308C023E" w14:textId="7C120BA5" w:rsidR="00601670" w:rsidRPr="000C07C9" w:rsidRDefault="00601670" w:rsidP="00555E4A">
            <w:pPr>
              <w:pStyle w:val="SingleTxtGA"/>
              <w:tabs>
                <w:tab w:val="clear" w:pos="1928"/>
                <w:tab w:val="left" w:pos="630"/>
                <w:tab w:val="left" w:pos="1339"/>
              </w:tabs>
              <w:spacing w:line="350" w:lineRule="exact"/>
              <w:ind w:left="0" w:right="0"/>
              <w:rPr>
                <w:rtl/>
                <w:lang w:val="en-US"/>
              </w:rPr>
            </w:pPr>
            <w:r w:rsidRPr="000C07C9">
              <w:rPr>
                <w:rtl/>
                <w:lang w:val="en-US"/>
              </w:rPr>
              <w:tab/>
            </w:r>
            <w:r w:rsidRPr="00555E4A">
              <w:rPr>
                <w:rtl/>
                <w:lang w:val="en-US"/>
              </w:rPr>
              <w:t>(ج)</w:t>
            </w:r>
            <w:r w:rsidRPr="000C07C9">
              <w:rPr>
                <w:rtl/>
                <w:lang w:val="en-US"/>
              </w:rPr>
              <w:tab/>
              <w:t>حالة الاستعراض التشريعي الذي ذكرته الدولة الطرف كشرط مسبق لشروع وزارة الصحة في تنظيم برنامج تدريب العاملين في القطاع الطبي؛</w:t>
            </w:r>
          </w:p>
          <w:p w14:paraId="063EC2B8" w14:textId="5B55AEE1" w:rsidR="00601670" w:rsidRPr="000C07C9" w:rsidRDefault="00601670" w:rsidP="00555E4A">
            <w:pPr>
              <w:pStyle w:val="SingleTxtGA"/>
              <w:tabs>
                <w:tab w:val="clear" w:pos="1928"/>
                <w:tab w:val="left" w:pos="630"/>
                <w:tab w:val="left" w:pos="1339"/>
              </w:tabs>
              <w:spacing w:line="350" w:lineRule="exact"/>
              <w:ind w:left="0" w:right="0"/>
              <w:rPr>
                <w:rtl/>
                <w:lang w:val="en-US"/>
              </w:rPr>
            </w:pPr>
            <w:r w:rsidRPr="000C07C9">
              <w:rPr>
                <w:rtl/>
                <w:lang w:val="en-US"/>
              </w:rPr>
              <w:tab/>
            </w:r>
            <w:r w:rsidRPr="000C07C9">
              <w:rPr>
                <w:rtl/>
                <w:lang w:val="en-US"/>
              </w:rPr>
              <w:t>(د)</w:t>
            </w:r>
            <w:r w:rsidRPr="000C07C9">
              <w:rPr>
                <w:rtl/>
                <w:lang w:val="en-US"/>
              </w:rPr>
              <w:tab/>
              <w:t>ما إذا كانت هناك خطط ترمي إلى ضمان تنظيم برامج التدريب المذكورة.</w:t>
            </w:r>
          </w:p>
          <w:p w14:paraId="30C0B72E" w14:textId="7861BA57" w:rsidR="00601670" w:rsidRPr="000C07C9" w:rsidRDefault="00601670" w:rsidP="00555E4A">
            <w:pPr>
              <w:pStyle w:val="SingleTxtGA"/>
              <w:tabs>
                <w:tab w:val="left" w:pos="777"/>
              </w:tabs>
              <w:spacing w:line="350" w:lineRule="exact"/>
              <w:ind w:left="0" w:right="0"/>
              <w:rPr>
                <w:rtl/>
                <w:lang w:val="en-US"/>
              </w:rPr>
            </w:pPr>
            <w:r w:rsidRPr="000C07C9">
              <w:rPr>
                <w:rFonts w:ascii="Times New Roman Bold" w:hAnsi="Times New Roman Bold"/>
                <w:spacing w:val="-2"/>
                <w:rtl/>
                <w:lang w:val="en-US"/>
              </w:rPr>
              <w:t xml:space="preserve">وتدعو اللجنة </w:t>
            </w:r>
            <w:r w:rsidRPr="000C07C9">
              <w:rPr>
                <w:rFonts w:ascii="Times New Roman Bold" w:hAnsi="Times New Roman Bold"/>
                <w:spacing w:val="-2"/>
                <w:rtl/>
                <w:lang w:val="en-US"/>
              </w:rPr>
              <w:t xml:space="preserve">أيضاً </w:t>
            </w:r>
            <w:r w:rsidRPr="000C07C9">
              <w:rPr>
                <w:rFonts w:ascii="Times New Roman Bold" w:hAnsi="Times New Roman Bold"/>
                <w:spacing w:val="-2"/>
                <w:rtl/>
                <w:lang w:val="en-US"/>
              </w:rPr>
              <w:t>الدولة الطرف إلى بيان ما قد تحتاجه من دعم من اللجنة في نهاية المطاف من أجل وضع</w:t>
            </w:r>
            <w:r w:rsidRPr="000C07C9">
              <w:rPr>
                <w:rtl/>
                <w:lang w:val="en-US"/>
              </w:rPr>
              <w:t xml:space="preserve"> بعض هذه البرامج التدريبية أو تعزيزها. </w:t>
            </w:r>
          </w:p>
          <w:p w14:paraId="6C402B3C" w14:textId="77777777" w:rsidR="00601670" w:rsidRPr="000C07C9" w:rsidRDefault="00601670" w:rsidP="00555E4A">
            <w:pPr>
              <w:pStyle w:val="SingleTxtGA"/>
              <w:tabs>
                <w:tab w:val="left" w:pos="777"/>
              </w:tabs>
              <w:spacing w:line="350" w:lineRule="exact"/>
              <w:ind w:left="0" w:right="0"/>
              <w:rPr>
                <w:b/>
                <w:bCs/>
                <w:rtl/>
                <w:lang w:val="en-US"/>
              </w:rPr>
            </w:pPr>
            <w:r w:rsidRPr="000C07C9">
              <w:rPr>
                <w:b/>
                <w:bCs/>
                <w:rtl/>
                <w:lang w:val="en-US"/>
              </w:rPr>
              <w:t xml:space="preserve">الفقرة 25: ينبغي أن تضمن الدولة الطرف الحق في جبر الضرر وفي تعويض فوري وعادل ومناسب لجميع الأشخاص الذين لحق بهم ضرر مباشر من جراء اختفاء قسري، بغض النظر عن جنسيتهم. وفي هذا الصدد، توصي اللجنة الدولة الطرف باعتماد التدابير اللازمة، بما في ذلك تنقيح قانون الضحايا، لضمان أن تنص </w:t>
            </w:r>
            <w:r w:rsidRPr="000C07C9">
              <w:rPr>
                <w:rFonts w:ascii="Times New Roman Bold" w:hAnsi="Times New Roman Bold"/>
                <w:b/>
                <w:bCs/>
                <w:spacing w:val="-2"/>
                <w:rtl/>
                <w:lang w:val="en-US"/>
              </w:rPr>
              <w:t>تشريعاتها المحلية على نظام شامل للتعويض والجبر يتوافق تماماً مع المادة 24(4) و(5) من الاتفاقية وغيرها</w:t>
            </w:r>
            <w:r w:rsidRPr="000C07C9">
              <w:rPr>
                <w:b/>
                <w:bCs/>
                <w:rtl/>
                <w:lang w:val="en-US"/>
              </w:rPr>
              <w:t xml:space="preserve"> من المعايير الدولية ذات الصلة، ويرتب مسؤولية على الدولة؛ وينطبق حتى إذا لم يُشرع في أي إجراءات جنائية؛ ويراعي الظروف الفردية للضحايا بحيث يأخذ في الاعتبار، على سبيل المثال، الجنس والميل الجنسي والهوية الجنسانية والعمر والأصل الإثني والحالة الاجتماعية والإعاقة.</w:t>
            </w:r>
          </w:p>
          <w:p w14:paraId="74C7A098" w14:textId="77777777" w:rsidR="00601670" w:rsidRPr="000C07C9" w:rsidRDefault="00601670" w:rsidP="00555E4A">
            <w:pPr>
              <w:pStyle w:val="SingleTxtGA"/>
              <w:tabs>
                <w:tab w:val="left" w:pos="777"/>
              </w:tabs>
              <w:spacing w:line="350" w:lineRule="exact"/>
              <w:ind w:left="0" w:right="0"/>
              <w:rPr>
                <w:b/>
                <w:bCs/>
                <w:rtl/>
                <w:lang w:val="en-US"/>
              </w:rPr>
            </w:pPr>
            <w:r w:rsidRPr="000C07C9">
              <w:rPr>
                <w:b/>
                <w:bCs/>
                <w:rtl/>
                <w:lang w:val="en-US"/>
              </w:rPr>
              <w:t>رد الدولة الطرف</w:t>
            </w:r>
          </w:p>
          <w:p w14:paraId="2968D48A" w14:textId="45AF125D" w:rsidR="00601670" w:rsidRPr="00601670" w:rsidRDefault="00601670" w:rsidP="00555E4A">
            <w:pPr>
              <w:pStyle w:val="SingleTxtGA"/>
              <w:tabs>
                <w:tab w:val="left" w:pos="777"/>
              </w:tabs>
              <w:spacing w:line="350" w:lineRule="exact"/>
              <w:ind w:left="0" w:right="0"/>
              <w:rPr>
                <w:rtl/>
                <w:lang w:val="en-US"/>
              </w:rPr>
            </w:pPr>
            <w:r w:rsidRPr="00601670">
              <w:rPr>
                <w:rtl/>
                <w:lang w:val="en-US"/>
              </w:rPr>
              <w:t xml:space="preserve">يرد رد الدولة الطرف في الوثيقة </w:t>
            </w:r>
            <w:hyperlink r:id="rId18" w:history="1">
              <w:r w:rsidR="00C57D41" w:rsidRPr="00F817E0">
                <w:rPr>
                  <w:rStyle w:val="Hyperlink"/>
                </w:rPr>
                <w:t>CED/C/SVK/FCO/</w:t>
              </w:r>
              <w:r w:rsidR="00C57D41" w:rsidRPr="000C07C9">
                <w:rPr>
                  <w:rStyle w:val="Hyperlink"/>
                </w:rPr>
                <w:t>1</w:t>
              </w:r>
            </w:hyperlink>
            <w:r w:rsidRPr="00601670">
              <w:rPr>
                <w:rtl/>
                <w:lang w:val="en-US"/>
              </w:rPr>
              <w:t xml:space="preserve">، الفقرات من </w:t>
            </w:r>
            <w:r w:rsidRPr="000C07C9">
              <w:rPr>
                <w:rtl/>
                <w:lang w:val="en-US"/>
              </w:rPr>
              <w:t>15</w:t>
            </w:r>
            <w:r w:rsidRPr="00601670">
              <w:rPr>
                <w:rtl/>
                <w:lang w:val="en-US"/>
              </w:rPr>
              <w:t xml:space="preserve"> إلى </w:t>
            </w:r>
            <w:r w:rsidRPr="000C07C9">
              <w:rPr>
                <w:rtl/>
                <w:lang w:val="en-US"/>
              </w:rPr>
              <w:t>20</w:t>
            </w:r>
            <w:r w:rsidRPr="00601670">
              <w:rPr>
                <w:rtl/>
                <w:lang w:val="en-US"/>
              </w:rPr>
              <w:t>.</w:t>
            </w:r>
          </w:p>
          <w:p w14:paraId="35AE8C92" w14:textId="77777777" w:rsidR="00601670" w:rsidRPr="000C07C9" w:rsidRDefault="00601670" w:rsidP="00555E4A">
            <w:pPr>
              <w:pStyle w:val="SingleTxtGA"/>
              <w:tabs>
                <w:tab w:val="left" w:pos="777"/>
              </w:tabs>
              <w:spacing w:line="350" w:lineRule="exact"/>
              <w:ind w:left="0" w:right="0"/>
              <w:rPr>
                <w:b/>
                <w:bCs/>
                <w:rtl/>
                <w:lang w:val="en-US"/>
              </w:rPr>
            </w:pPr>
            <w:r w:rsidRPr="000C07C9">
              <w:rPr>
                <w:b/>
                <w:bCs/>
                <w:rtl/>
                <w:lang w:val="en-US"/>
              </w:rPr>
              <w:t>تقييم اللجنة:</w:t>
            </w:r>
          </w:p>
          <w:p w14:paraId="0453A019" w14:textId="3F72A3B2" w:rsidR="00601670" w:rsidRPr="00601670" w:rsidRDefault="00601670" w:rsidP="00555E4A">
            <w:pPr>
              <w:pStyle w:val="SingleTxtGA"/>
              <w:tabs>
                <w:tab w:val="left" w:pos="777"/>
              </w:tabs>
              <w:spacing w:line="350" w:lineRule="exact"/>
              <w:ind w:left="0" w:right="0"/>
              <w:rPr>
                <w:spacing w:val="-2"/>
                <w:rtl/>
                <w:lang w:val="en-US"/>
              </w:rPr>
            </w:pPr>
            <w:r w:rsidRPr="000C07C9">
              <w:rPr>
                <w:b/>
                <w:bCs/>
                <w:rtl/>
                <w:lang w:val="en-US"/>
              </w:rPr>
              <w:t xml:space="preserve">[باء]: </w:t>
            </w:r>
            <w:r w:rsidRPr="00601670">
              <w:rPr>
                <w:spacing w:val="-2"/>
                <w:rtl/>
                <w:lang w:val="en-US"/>
              </w:rPr>
              <w:t>تحيط اللجنة</w:t>
            </w:r>
            <w:r>
              <w:rPr>
                <w:spacing w:val="-2"/>
                <w:rtl/>
                <w:lang w:val="en-US"/>
              </w:rPr>
              <w:t xml:space="preserve"> علماً </w:t>
            </w:r>
            <w:r w:rsidRPr="00601670">
              <w:rPr>
                <w:spacing w:val="-2"/>
                <w:rtl/>
                <w:lang w:val="en-US"/>
              </w:rPr>
              <w:t xml:space="preserve">بالمعلومات المقدمة عن أشكال الجبر الأخرى التي يجوز توفيرها في إطار حماية الحقوق الشخصية بموجب القانون الدستوري والمدني. وترحب كذلك بما تفيد به المعلومات المقدمة من الدولة الطرف من أن وزارة العدل تعكف على تقييم نظام التعويض الحالي لضحايا الجرائم المرتكبة عمداً وعلى إعداد مقترح يقضي بإدخال تعديل تشريعي على القانون رقم </w:t>
            </w:r>
            <w:r w:rsidRPr="000C07C9">
              <w:rPr>
                <w:spacing w:val="-2"/>
                <w:rtl/>
                <w:lang w:val="en-US"/>
              </w:rPr>
              <w:t>274</w:t>
            </w:r>
            <w:r w:rsidR="00495DF0">
              <w:rPr>
                <w:rFonts w:hint="cs"/>
                <w:spacing w:val="-2"/>
                <w:rtl/>
                <w:lang w:val="en-US"/>
              </w:rPr>
              <w:t>/</w:t>
            </w:r>
            <w:r w:rsidR="00495DF0" w:rsidRPr="000C07C9">
              <w:rPr>
                <w:spacing w:val="-2"/>
                <w:rtl/>
                <w:lang w:val="en-US"/>
              </w:rPr>
              <w:t>2017</w:t>
            </w:r>
            <w:r w:rsidR="00495DF0">
              <w:rPr>
                <w:rFonts w:hint="cs"/>
                <w:spacing w:val="-2"/>
                <w:rtl/>
                <w:lang w:val="en-US"/>
              </w:rPr>
              <w:t xml:space="preserve"> </w:t>
            </w:r>
            <w:r w:rsidRPr="00601670">
              <w:rPr>
                <w:spacing w:val="-2"/>
                <w:lang w:val="en-US"/>
              </w:rPr>
              <w:t>Coll</w:t>
            </w:r>
            <w:r w:rsidRPr="00601670">
              <w:rPr>
                <w:spacing w:val="-2"/>
                <w:rtl/>
                <w:lang w:val="en-US"/>
              </w:rPr>
              <w:t xml:space="preserve">. المتعلق بحقوق الضحايا، بما يشمل ما يلي: </w:t>
            </w:r>
          </w:p>
          <w:p w14:paraId="17319781" w14:textId="3BC35BC4" w:rsidR="00601670" w:rsidRPr="00601670" w:rsidRDefault="00601670" w:rsidP="00555E4A">
            <w:pPr>
              <w:pStyle w:val="SingleTxtGA"/>
              <w:tabs>
                <w:tab w:val="clear" w:pos="1928"/>
                <w:tab w:val="left" w:pos="630"/>
                <w:tab w:val="left" w:pos="1339"/>
              </w:tabs>
              <w:spacing w:line="370" w:lineRule="exact"/>
              <w:ind w:left="0" w:right="0"/>
              <w:rPr>
                <w:rtl/>
                <w:lang w:val="en-US"/>
              </w:rPr>
            </w:pPr>
            <w:r w:rsidRPr="00601670">
              <w:rPr>
                <w:rtl/>
                <w:lang w:val="en-US"/>
              </w:rPr>
              <w:tab/>
            </w:r>
            <w:r w:rsidRPr="00601670">
              <w:rPr>
                <w:rtl/>
                <w:lang w:val="en-US"/>
              </w:rPr>
              <w:t>(أ)</w:t>
            </w:r>
            <w:r w:rsidRPr="00601670">
              <w:rPr>
                <w:rtl/>
                <w:lang w:val="en-US"/>
              </w:rPr>
              <w:tab/>
              <w:t>تعديلات ذات صلة بضحايا الاختفاء القسري؛</w:t>
            </w:r>
          </w:p>
          <w:p w14:paraId="648E0115" w14:textId="50A44558" w:rsidR="00601670" w:rsidRPr="00601670" w:rsidRDefault="00601670" w:rsidP="00555E4A">
            <w:pPr>
              <w:pStyle w:val="SingleTxtGA"/>
              <w:tabs>
                <w:tab w:val="clear" w:pos="1928"/>
                <w:tab w:val="left" w:pos="630"/>
                <w:tab w:val="left" w:pos="1339"/>
              </w:tabs>
              <w:spacing w:line="370" w:lineRule="exact"/>
              <w:ind w:left="0" w:right="0"/>
              <w:rPr>
                <w:spacing w:val="-4"/>
                <w:rtl/>
                <w:lang w:val="en-US"/>
              </w:rPr>
            </w:pPr>
            <w:r w:rsidRPr="00601670">
              <w:rPr>
                <w:spacing w:val="-4"/>
                <w:rtl/>
                <w:lang w:val="en-US"/>
              </w:rPr>
              <w:lastRenderedPageBreak/>
              <w:tab/>
            </w:r>
            <w:r w:rsidRPr="00601670">
              <w:rPr>
                <w:spacing w:val="-4"/>
                <w:rtl/>
                <w:lang w:val="en-US"/>
              </w:rPr>
              <w:t>(ب)</w:t>
            </w:r>
            <w:r w:rsidRPr="00601670">
              <w:rPr>
                <w:spacing w:val="-4"/>
                <w:rtl/>
                <w:lang w:val="en-US"/>
              </w:rPr>
              <w:tab/>
              <w:t xml:space="preserve">أحكام عامة بشأن تدريب الموظفين القضائيين والقضاة والمدعين العامين وضباط الشرطة وغيرهم من ممارسي المهن القانونية على حقوق الضحايا واحتياجاتهم، بما في ذلك فيما يخص ضحايا الاختفاء القسري. </w:t>
            </w:r>
          </w:p>
          <w:p w14:paraId="36CC7EF0" w14:textId="5A7307DB" w:rsidR="00601670" w:rsidRPr="000C07C9" w:rsidRDefault="00601670" w:rsidP="00555E4A">
            <w:pPr>
              <w:pStyle w:val="SingleTxtGA"/>
              <w:tabs>
                <w:tab w:val="left" w:pos="777"/>
              </w:tabs>
              <w:spacing w:line="370" w:lineRule="exact"/>
              <w:ind w:left="0" w:right="0"/>
              <w:rPr>
                <w:b/>
                <w:bCs/>
                <w:rtl/>
                <w:lang w:val="en-US"/>
              </w:rPr>
            </w:pPr>
            <w:r w:rsidRPr="000C07C9">
              <w:rPr>
                <w:rFonts w:ascii="Times New Roman Bold" w:hAnsi="Times New Roman Bold"/>
                <w:b/>
                <w:bCs/>
                <w:spacing w:val="-4"/>
                <w:rtl/>
                <w:lang w:val="en-US"/>
              </w:rPr>
              <w:t xml:space="preserve">وتلاحظ اللجنة </w:t>
            </w:r>
            <w:r w:rsidRPr="000C07C9">
              <w:rPr>
                <w:rFonts w:ascii="Times New Roman Bold" w:hAnsi="Times New Roman Bold"/>
                <w:b/>
                <w:bCs/>
                <w:spacing w:val="-4"/>
                <w:rtl/>
                <w:lang w:val="en-US"/>
              </w:rPr>
              <w:t xml:space="preserve">أيضاً </w:t>
            </w:r>
            <w:r w:rsidRPr="000C07C9">
              <w:rPr>
                <w:rFonts w:ascii="Times New Roman Bold" w:hAnsi="Times New Roman Bold"/>
                <w:b/>
                <w:bCs/>
                <w:spacing w:val="-4"/>
                <w:rtl/>
                <w:lang w:val="en-US"/>
              </w:rPr>
              <w:t>أن المجلس الوطني لم يكن قد نظر في ذلك المقترح بعد عندما قدمت الدولة الطرف معلومات</w:t>
            </w:r>
            <w:r w:rsidRPr="000C07C9">
              <w:rPr>
                <w:b/>
                <w:bCs/>
                <w:rtl/>
                <w:lang w:val="en-US"/>
              </w:rPr>
              <w:t xml:space="preserve"> المتابعة. وفي ضوء ما تقدم، تطلب اللجنة إلى الدولة الطرف ما يلي: </w:t>
            </w:r>
          </w:p>
          <w:p w14:paraId="5E2E7DC6" w14:textId="654F5872" w:rsidR="00601670" w:rsidRPr="00601670" w:rsidRDefault="00601670" w:rsidP="00555E4A">
            <w:pPr>
              <w:pStyle w:val="SingleTxtGA"/>
              <w:tabs>
                <w:tab w:val="clear" w:pos="1928"/>
                <w:tab w:val="left" w:pos="630"/>
                <w:tab w:val="left" w:pos="1339"/>
              </w:tabs>
              <w:spacing w:line="370" w:lineRule="exact"/>
              <w:ind w:left="0" w:right="0"/>
              <w:rPr>
                <w:rtl/>
                <w:lang w:val="en-US"/>
              </w:rPr>
            </w:pPr>
            <w:r w:rsidRPr="00601670">
              <w:rPr>
                <w:rtl/>
                <w:lang w:val="en-US"/>
              </w:rPr>
              <w:tab/>
            </w:r>
            <w:r w:rsidRPr="00601670">
              <w:rPr>
                <w:rtl/>
                <w:lang w:val="en-US"/>
              </w:rPr>
              <w:t>(أ)</w:t>
            </w:r>
            <w:r w:rsidRPr="00601670">
              <w:rPr>
                <w:rtl/>
                <w:lang w:val="en-US"/>
              </w:rPr>
              <w:tab/>
              <w:t>تقديم معلومات محدّثة عن حالة المقترح، بما في ذلك تاريخ اعتماده؛</w:t>
            </w:r>
          </w:p>
          <w:p w14:paraId="389C04CC" w14:textId="3000F484" w:rsidR="00601670" w:rsidRPr="00601670" w:rsidRDefault="00601670" w:rsidP="00555E4A">
            <w:pPr>
              <w:pStyle w:val="SingleTxtGA"/>
              <w:tabs>
                <w:tab w:val="clear" w:pos="1928"/>
                <w:tab w:val="left" w:pos="630"/>
                <w:tab w:val="left" w:pos="1339"/>
              </w:tabs>
              <w:spacing w:line="370" w:lineRule="exact"/>
              <w:ind w:left="0" w:right="0"/>
              <w:rPr>
                <w:rtl/>
                <w:lang w:val="en-US"/>
              </w:rPr>
            </w:pPr>
            <w:r w:rsidRPr="00495DF0">
              <w:rPr>
                <w:spacing w:val="-4"/>
                <w:rtl/>
                <w:lang w:val="en-US"/>
              </w:rPr>
              <w:tab/>
            </w:r>
            <w:r w:rsidRPr="00495DF0">
              <w:rPr>
                <w:spacing w:val="-4"/>
                <w:rtl/>
                <w:lang w:val="en-US"/>
              </w:rPr>
              <w:t>(ب)</w:t>
            </w:r>
            <w:r w:rsidRPr="00495DF0">
              <w:rPr>
                <w:spacing w:val="-4"/>
                <w:rtl/>
                <w:lang w:val="en-US"/>
              </w:rPr>
              <w:tab/>
              <w:t>توضيح الطريقة التي يكفل بها المقترح، بصيغته الحالية، امتثال نظام التعويض الجديد امتثالاً</w:t>
            </w:r>
            <w:r w:rsidRPr="00601670">
              <w:rPr>
                <w:rtl/>
                <w:lang w:val="en-US"/>
              </w:rPr>
              <w:t xml:space="preserve"> تاماً لأحكام الفقرة </w:t>
            </w:r>
            <w:r w:rsidRPr="000C07C9">
              <w:rPr>
                <w:rtl/>
                <w:lang w:val="en-US"/>
              </w:rPr>
              <w:t>2</w:t>
            </w:r>
            <w:r w:rsidRPr="00601670">
              <w:rPr>
                <w:rtl/>
                <w:lang w:val="en-US"/>
              </w:rPr>
              <w:t xml:space="preserve"> من المادة </w:t>
            </w:r>
            <w:r w:rsidRPr="000C07C9">
              <w:rPr>
                <w:rtl/>
                <w:lang w:val="en-US"/>
              </w:rPr>
              <w:t>24</w:t>
            </w:r>
            <w:r w:rsidRPr="00601670">
              <w:rPr>
                <w:rtl/>
                <w:lang w:val="en-US"/>
              </w:rPr>
              <w:t xml:space="preserve"> من الاتفاقية. </w:t>
            </w:r>
          </w:p>
          <w:p w14:paraId="5470E737" w14:textId="77777777" w:rsidR="00601670" w:rsidRPr="000C07C9" w:rsidRDefault="00601670" w:rsidP="00555E4A">
            <w:pPr>
              <w:pStyle w:val="SingleTxtGA"/>
              <w:tabs>
                <w:tab w:val="left" w:pos="777"/>
              </w:tabs>
              <w:spacing w:line="370" w:lineRule="exact"/>
              <w:ind w:left="0" w:right="0"/>
              <w:rPr>
                <w:b/>
                <w:bCs/>
                <w:rtl/>
                <w:lang w:val="en-US"/>
              </w:rPr>
            </w:pPr>
            <w:r w:rsidRPr="000C07C9">
              <w:rPr>
                <w:b/>
                <w:bCs/>
                <w:rtl/>
                <w:lang w:val="en-US"/>
              </w:rPr>
              <w:t>قرار اللجنة:</w:t>
            </w:r>
          </w:p>
          <w:p w14:paraId="0A631268" w14:textId="77777777" w:rsidR="00601670" w:rsidRPr="00601670" w:rsidRDefault="00601670" w:rsidP="00555E4A">
            <w:pPr>
              <w:pStyle w:val="SingleTxtGA"/>
              <w:tabs>
                <w:tab w:val="left" w:pos="777"/>
              </w:tabs>
              <w:spacing w:line="370" w:lineRule="exact"/>
              <w:ind w:left="0" w:right="0"/>
              <w:rPr>
                <w:spacing w:val="-4"/>
                <w:rtl/>
                <w:lang w:val="en-US"/>
              </w:rPr>
            </w:pPr>
            <w:r w:rsidRPr="00601670">
              <w:rPr>
                <w:spacing w:val="-4"/>
                <w:rtl/>
                <w:lang w:val="en-US"/>
              </w:rPr>
              <w:t xml:space="preserve">تقرر اللجنة أن توجه إلى الدولة الطرف رسالةً تبلغها فيها بتقييمها. وستشدد الرسالة على أهمية أن تراعي الدولة الطرف </w:t>
            </w:r>
            <w:r w:rsidRPr="00CA55F0">
              <w:rPr>
                <w:spacing w:val="-2"/>
                <w:rtl/>
                <w:lang w:val="en-US"/>
              </w:rPr>
              <w:t>الإرشادات المحددة وطلب المعلومات الوارد في هذا التقرير، وكذلك المبادئ التوجيهية للجنة للبحث عن الأشخاص المختفين،</w:t>
            </w:r>
            <w:r w:rsidRPr="00601670">
              <w:rPr>
                <w:spacing w:val="-4"/>
                <w:rtl/>
                <w:lang w:val="en-US"/>
              </w:rPr>
              <w:t xml:space="preserve"> عند تنفيذ توصيات اللجنة وتقديم معلوماتها الإضافية بموجب الفقرة </w:t>
            </w:r>
            <w:r w:rsidRPr="000C07C9">
              <w:rPr>
                <w:spacing w:val="-4"/>
                <w:rtl/>
                <w:lang w:val="en-US"/>
              </w:rPr>
              <w:t>4</w:t>
            </w:r>
            <w:r w:rsidRPr="00601670">
              <w:rPr>
                <w:spacing w:val="-4"/>
                <w:rtl/>
                <w:lang w:val="en-US"/>
              </w:rPr>
              <w:t xml:space="preserve"> من المادة </w:t>
            </w:r>
            <w:r w:rsidRPr="000C07C9">
              <w:rPr>
                <w:spacing w:val="-4"/>
                <w:rtl/>
                <w:lang w:val="en-US"/>
              </w:rPr>
              <w:t>29</w:t>
            </w:r>
            <w:r w:rsidRPr="00601670">
              <w:rPr>
                <w:spacing w:val="-4"/>
                <w:rtl/>
                <w:lang w:val="en-US"/>
              </w:rPr>
              <w:t xml:space="preserve"> من الاتفاقية. </w:t>
            </w:r>
          </w:p>
          <w:p w14:paraId="43955BD5" w14:textId="632A30CC" w:rsidR="00601670" w:rsidRPr="00601670" w:rsidRDefault="00601670" w:rsidP="00555E4A">
            <w:pPr>
              <w:pStyle w:val="SingleTxtGA"/>
              <w:tabs>
                <w:tab w:val="clear" w:pos="1928"/>
                <w:tab w:val="left" w:pos="630"/>
                <w:tab w:val="left" w:pos="1339"/>
              </w:tabs>
              <w:spacing w:line="370" w:lineRule="exact"/>
              <w:ind w:left="0" w:right="0"/>
              <w:rPr>
                <w:rtl/>
                <w:lang w:val="en-US"/>
              </w:rPr>
            </w:pPr>
            <w:r w:rsidRPr="000C07C9">
              <w:rPr>
                <w:b/>
                <w:bCs/>
                <w:rtl/>
                <w:lang w:val="en-US"/>
              </w:rPr>
              <w:t xml:space="preserve">الموعد النهائي لتقديم الدولة الطرف معلومات إضافية بموجب الفقرة 4 من المادة 29 من </w:t>
            </w:r>
            <w:proofErr w:type="gramStart"/>
            <w:r w:rsidRPr="000C07C9">
              <w:rPr>
                <w:b/>
                <w:bCs/>
                <w:rtl/>
                <w:lang w:val="en-US"/>
              </w:rPr>
              <w:t>الاتفاقية:</w:t>
            </w:r>
            <w:r w:rsidR="00CA55F0" w:rsidRPr="000C07C9">
              <w:rPr>
                <w:rFonts w:hint="cs"/>
                <w:b/>
                <w:bCs/>
                <w:rtl/>
                <w:lang w:val="en-US"/>
              </w:rPr>
              <w:t xml:space="preserve">  </w:t>
            </w:r>
            <w:r w:rsidR="00555E4A" w:rsidRPr="000C07C9">
              <w:rPr>
                <w:rFonts w:hint="cs"/>
                <w:b/>
                <w:bCs/>
                <w:rtl/>
                <w:lang w:val="en-US"/>
              </w:rPr>
              <w:t xml:space="preserve"> </w:t>
            </w:r>
            <w:proofErr w:type="gramEnd"/>
            <w:r w:rsidR="00555E4A" w:rsidRPr="000C07C9">
              <w:rPr>
                <w:rFonts w:hint="cs"/>
                <w:b/>
                <w:bCs/>
                <w:rtl/>
                <w:lang w:val="en-US"/>
              </w:rPr>
              <w:t xml:space="preserve"> </w:t>
            </w:r>
            <w:r w:rsidR="00CA55F0" w:rsidRPr="000C07C9">
              <w:rPr>
                <w:rFonts w:hint="cs"/>
                <w:b/>
                <w:bCs/>
                <w:rtl/>
                <w:lang w:val="en-US"/>
              </w:rPr>
              <w:t xml:space="preserve">      </w:t>
            </w:r>
            <w:r w:rsidRPr="000C07C9">
              <w:rPr>
                <w:b/>
                <w:bCs/>
                <w:rtl/>
                <w:lang w:val="en-US"/>
              </w:rPr>
              <w:t xml:space="preserve"> </w:t>
            </w:r>
            <w:r w:rsidRPr="000C07C9">
              <w:rPr>
                <w:rtl/>
                <w:lang w:val="en-US"/>
              </w:rPr>
              <w:t>11 تشرين الأول/أكتوبر 2025</w:t>
            </w:r>
          </w:p>
        </w:tc>
      </w:tr>
    </w:tbl>
    <w:p w14:paraId="10CD71D9" w14:textId="77777777" w:rsidR="0078659B" w:rsidRPr="00BC3720" w:rsidRDefault="0078659B" w:rsidP="0078659B">
      <w:pPr>
        <w:pStyle w:val="SingleTxtGA"/>
        <w:jc w:val="center"/>
        <w:rPr>
          <w:u w:val="single"/>
          <w:rtl/>
        </w:rPr>
      </w:pPr>
      <w:r>
        <w:rPr>
          <w:u w:val="single"/>
          <w:rtl/>
        </w:rPr>
        <w:lastRenderedPageBreak/>
        <w:tab/>
      </w:r>
      <w:r>
        <w:rPr>
          <w:u w:val="single"/>
          <w:rtl/>
        </w:rPr>
        <w:tab/>
      </w:r>
      <w:r>
        <w:rPr>
          <w:u w:val="single"/>
          <w:rtl/>
        </w:rPr>
        <w:tab/>
      </w:r>
    </w:p>
    <w:sectPr w:rsidR="0078659B" w:rsidRPr="00BC3720" w:rsidSect="008C007D">
      <w:headerReference w:type="even" r:id="rId19"/>
      <w:headerReference w:type="default" r:id="rId20"/>
      <w:footerReference w:type="even" r:id="rId21"/>
      <w:footerReference w:type="default" r:id="rId22"/>
      <w:footerReference w:type="first" r:id="rId2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96E61" w14:textId="77777777" w:rsidR="008F7F75" w:rsidRPr="002901D9" w:rsidRDefault="008F7F75" w:rsidP="00DF5E71">
      <w:pPr>
        <w:spacing w:after="60" w:line="240" w:lineRule="auto"/>
        <w:ind w:left="57"/>
        <w:rPr>
          <w:i/>
          <w:iCs/>
        </w:rPr>
      </w:pPr>
      <w:r>
        <w:rPr>
          <w:rFonts w:hint="cs"/>
          <w:i/>
          <w:iCs/>
          <w:rtl/>
        </w:rPr>
        <w:t>الحواشي</w:t>
      </w:r>
    </w:p>
  </w:endnote>
  <w:endnote w:type="continuationSeparator" w:id="0">
    <w:p w14:paraId="73F8BF3A" w14:textId="77777777" w:rsidR="008F7F75" w:rsidRDefault="008F7F75"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C8C67" w14:textId="4AEF2602" w:rsidR="00283BC9" w:rsidRPr="00283BC9" w:rsidRDefault="00283BC9" w:rsidP="00283BC9">
    <w:pPr>
      <w:pStyle w:val="Footer"/>
      <w:tabs>
        <w:tab w:val="right" w:pos="9638"/>
      </w:tabs>
      <w:rPr>
        <w:b/>
        <w:sz w:val="18"/>
        <w:lang w:val="en-US"/>
      </w:rPr>
    </w:pPr>
    <w:r>
      <w:rPr>
        <w:lang w:val="en-US"/>
      </w:rPr>
      <w:t>GE.21-15897</w:t>
    </w:r>
    <w:r>
      <w:rPr>
        <w:lang w:val="en-US"/>
      </w:rPr>
      <w:tab/>
    </w:r>
    <w:r w:rsidRPr="00283BC9">
      <w:rPr>
        <w:b/>
        <w:sz w:val="18"/>
        <w:lang w:val="en-US"/>
      </w:rPr>
      <w:fldChar w:fldCharType="begin"/>
    </w:r>
    <w:r w:rsidRPr="00283BC9">
      <w:rPr>
        <w:b/>
        <w:sz w:val="18"/>
        <w:lang w:val="en-US"/>
      </w:rPr>
      <w:instrText xml:space="preserve"> PAGE  \* MERGEFORMAT </w:instrText>
    </w:r>
    <w:r w:rsidRPr="00283BC9">
      <w:rPr>
        <w:b/>
        <w:sz w:val="18"/>
        <w:lang w:val="en-US"/>
      </w:rPr>
      <w:fldChar w:fldCharType="separate"/>
    </w:r>
    <w:r w:rsidRPr="00283BC9">
      <w:rPr>
        <w:b/>
        <w:noProof/>
        <w:sz w:val="18"/>
        <w:lang w:val="en-US"/>
      </w:rPr>
      <w:t>2</w:t>
    </w:r>
    <w:r w:rsidRPr="00283BC9">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2AF1C" w14:textId="1A8B5818" w:rsidR="006959B0" w:rsidRPr="00283BC9" w:rsidRDefault="00283BC9" w:rsidP="00283BC9">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GE.21-15897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A0F0F" w14:textId="277090FB" w:rsidR="00AB4F93" w:rsidRPr="00283BC9" w:rsidRDefault="00283BC9" w:rsidP="00283BC9">
    <w:pPr>
      <w:pStyle w:val="Footer"/>
      <w:spacing w:before="600"/>
      <w:ind w:left="567"/>
      <w:jc w:val="right"/>
      <w:rPr>
        <w:sz w:val="20"/>
        <w:lang w:val="en-US"/>
      </w:rPr>
    </w:pPr>
    <w:r>
      <w:rPr>
        <w:sz w:val="20"/>
        <w:lang w:val="en-US"/>
      </w:rPr>
      <w:t>GE.</w:t>
    </w:r>
    <w:r w:rsidR="007F55ED">
      <w:rPr>
        <w:noProof/>
      </w:rPr>
      <w:drawing>
        <wp:anchor distT="0" distB="0" distL="114300" distR="114300" simplePos="0" relativeHeight="251659264" behindDoc="1" locked="1" layoutInCell="0" allowOverlap="1" wp14:anchorId="079504A1" wp14:editId="1CE7C6A6">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21-15897 (A)</w:t>
    </w:r>
    <w:r>
      <w:rPr>
        <w:noProof/>
        <w:sz w:val="20"/>
        <w:lang w:val="en-US"/>
      </w:rPr>
      <w:drawing>
        <wp:anchor distT="0" distB="0" distL="114300" distR="114300" simplePos="0" relativeHeight="251660288" behindDoc="0" locked="0" layoutInCell="1" allowOverlap="1" wp14:anchorId="79D2D96B" wp14:editId="6FF6EC1E">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87263" w14:textId="77777777" w:rsidR="008F7F75" w:rsidRPr="002804D6" w:rsidRDefault="008F7F75" w:rsidP="002804D6">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539C5CF5" w14:textId="77777777" w:rsidR="008F7F75" w:rsidRDefault="008F7F75" w:rsidP="00656392">
      <w:pPr>
        <w:spacing w:line="240" w:lineRule="auto"/>
      </w:pPr>
      <w:r>
        <w:continuationSeparator/>
      </w:r>
    </w:p>
  </w:footnote>
  <w:footnote w:id="1">
    <w:p w14:paraId="3495562B" w14:textId="77777777" w:rsidR="0078659B" w:rsidRPr="00C4406A" w:rsidRDefault="0078659B" w:rsidP="0078659B">
      <w:pPr>
        <w:pStyle w:val="FootnoteText1"/>
        <w:rPr>
          <w:rtl/>
        </w:rPr>
      </w:pPr>
      <w:r>
        <w:rPr>
          <w:rtl/>
        </w:rPr>
        <w:t>*</w:t>
      </w:r>
      <w:r>
        <w:rPr>
          <w:rtl/>
        </w:rPr>
        <w:tab/>
      </w:r>
      <w:r w:rsidRPr="00C4406A">
        <w:rPr>
          <w:rtl/>
        </w:rPr>
        <w:t>اعتمدته اللجنة في دورتها الحادية والعشرين (</w:t>
      </w:r>
      <w:r w:rsidRPr="000C07C9">
        <w:rPr>
          <w:rtl/>
        </w:rPr>
        <w:t>13</w:t>
      </w:r>
      <w:r w:rsidRPr="00C4406A">
        <w:rPr>
          <w:rtl/>
        </w:rPr>
        <w:t>-</w:t>
      </w:r>
      <w:r w:rsidRPr="000C07C9">
        <w:rPr>
          <w:rtl/>
        </w:rPr>
        <w:t>24</w:t>
      </w:r>
      <w:r w:rsidRPr="00C4406A">
        <w:rPr>
          <w:rtl/>
        </w:rPr>
        <w:t xml:space="preserve"> أيلول/سبتمبر </w:t>
      </w:r>
      <w:r w:rsidRPr="000C07C9">
        <w:rPr>
          <w:rtl/>
        </w:rPr>
        <w:t>2021</w:t>
      </w:r>
      <w:r w:rsidRPr="00C4406A">
        <w:rPr>
          <w:rtl/>
        </w:rPr>
        <w:t>).</w:t>
      </w:r>
    </w:p>
  </w:footnote>
  <w:footnote w:id="2">
    <w:p w14:paraId="60177C45" w14:textId="2E328CEB" w:rsidR="0078659B" w:rsidRPr="00C4406A" w:rsidRDefault="0078659B" w:rsidP="0078659B">
      <w:pPr>
        <w:pStyle w:val="FootnoteText1"/>
        <w:rPr>
          <w:rtl/>
        </w:rPr>
      </w:pPr>
      <w:r w:rsidRPr="00C57D41">
        <w:rPr>
          <w:rtl/>
        </w:rPr>
        <w:t>(</w:t>
      </w:r>
      <w:r w:rsidRPr="000C07C9">
        <w:rPr>
          <w:rStyle w:val="FootnoteReference"/>
          <w:vertAlign w:val="baseline"/>
        </w:rPr>
        <w:footnoteRef/>
      </w:r>
      <w:r w:rsidRPr="00C57D41">
        <w:rPr>
          <w:rtl/>
        </w:rPr>
        <w:t>)</w:t>
      </w:r>
      <w:r>
        <w:rPr>
          <w:rtl/>
        </w:rPr>
        <w:tab/>
      </w:r>
      <w:hyperlink r:id="rId1" w:history="1">
        <w:r w:rsidR="008960D1" w:rsidRPr="00F817E0">
          <w:rPr>
            <w:rStyle w:val="Hyperlink"/>
          </w:rPr>
          <w:t>CED/C/BOL/FCO/</w:t>
        </w:r>
        <w:r w:rsidR="008960D1" w:rsidRPr="000C07C9">
          <w:rPr>
            <w:rStyle w:val="Hyperlink"/>
          </w:rPr>
          <w:t>1</w:t>
        </w:r>
      </w:hyperlink>
      <w:r w:rsidR="008960D1">
        <w:rPr>
          <w:rFonts w:hint="cs"/>
          <w:rtl/>
        </w:rPr>
        <w:t>.</w:t>
      </w:r>
    </w:p>
  </w:footnote>
  <w:footnote w:id="3">
    <w:p w14:paraId="00075C4E" w14:textId="6383DCF1" w:rsidR="0078659B" w:rsidRPr="00C4406A" w:rsidRDefault="0078659B" w:rsidP="0078659B">
      <w:pPr>
        <w:pStyle w:val="FootnoteText1"/>
        <w:rPr>
          <w:rtl/>
        </w:rPr>
      </w:pPr>
      <w:r w:rsidRPr="00C57D41">
        <w:rPr>
          <w:rtl/>
        </w:rPr>
        <w:t>(</w:t>
      </w:r>
      <w:r w:rsidRPr="000C07C9">
        <w:rPr>
          <w:rStyle w:val="FootnoteReference"/>
          <w:vertAlign w:val="baseline"/>
        </w:rPr>
        <w:footnoteRef/>
      </w:r>
      <w:r w:rsidRPr="00C57D41">
        <w:rPr>
          <w:rtl/>
        </w:rPr>
        <w:t>)</w:t>
      </w:r>
      <w:r>
        <w:rPr>
          <w:rtl/>
        </w:rPr>
        <w:tab/>
      </w:r>
      <w:hyperlink r:id="rId2" w:history="1">
        <w:r w:rsidR="008960D1" w:rsidRPr="00F817E0">
          <w:rPr>
            <w:rStyle w:val="Hyperlink"/>
          </w:rPr>
          <w:t>CED/C/SVK/FCO/</w:t>
        </w:r>
        <w:r w:rsidR="008960D1" w:rsidRPr="000C07C9">
          <w:rPr>
            <w:rStyle w:val="Hyperlink"/>
          </w:rPr>
          <w:t>1</w:t>
        </w:r>
      </w:hyperlink>
      <w:r w:rsidR="008960D1">
        <w:rPr>
          <w:rFonts w:hint="cs"/>
          <w:rtl/>
        </w:rPr>
        <w:t>.</w:t>
      </w:r>
    </w:p>
  </w:footnote>
  <w:footnote w:id="4">
    <w:p w14:paraId="30609245" w14:textId="4642525F" w:rsidR="00601670" w:rsidRPr="00601670" w:rsidRDefault="00601670" w:rsidP="00601670">
      <w:pPr>
        <w:pStyle w:val="FootnoteText1"/>
        <w:rPr>
          <w:rFonts w:hint="cs"/>
          <w:rtl/>
        </w:rPr>
      </w:pPr>
      <w:r w:rsidRPr="00C57D41">
        <w:rPr>
          <w:rtl/>
        </w:rPr>
        <w:t>(</w:t>
      </w:r>
      <w:r w:rsidRPr="000C07C9">
        <w:rPr>
          <w:rStyle w:val="FootnoteReference"/>
          <w:vertAlign w:val="baseline"/>
        </w:rPr>
        <w:footnoteRef/>
      </w:r>
      <w:r w:rsidRPr="00C57D41">
        <w:rPr>
          <w:rtl/>
        </w:rPr>
        <w:t>)</w:t>
      </w:r>
      <w:r>
        <w:tab/>
      </w:r>
      <w:hyperlink r:id="rId3" w:history="1">
        <w:r w:rsidR="00C57D41" w:rsidRPr="00F817E0">
          <w:rPr>
            <w:rStyle w:val="Hyperlink"/>
          </w:rPr>
          <w:t>CED/C/</w:t>
        </w:r>
        <w:r w:rsidR="00C57D41" w:rsidRPr="000C07C9">
          <w:rPr>
            <w:rStyle w:val="Hyperlink"/>
          </w:rPr>
          <w:t>7</w:t>
        </w:r>
      </w:hyperlink>
      <w:r w:rsidR="00C57D41">
        <w:rPr>
          <w:rFonts w:hint="cs"/>
          <w:rtl/>
        </w:rPr>
        <w:t>، المرفق.</w:t>
      </w:r>
    </w:p>
  </w:footnote>
  <w:footnote w:id="5">
    <w:p w14:paraId="6183235D" w14:textId="66699E74" w:rsidR="00C57D41" w:rsidRPr="00C57D41" w:rsidRDefault="00C57D41" w:rsidP="00C57D41">
      <w:pPr>
        <w:pStyle w:val="FootnoteText1"/>
        <w:rPr>
          <w:rFonts w:hint="cs"/>
          <w:rtl/>
        </w:rPr>
      </w:pPr>
      <w:r w:rsidRPr="00C57D41">
        <w:rPr>
          <w:rtl/>
        </w:rPr>
        <w:t>(</w:t>
      </w:r>
      <w:r w:rsidRPr="000C07C9">
        <w:rPr>
          <w:rStyle w:val="FootnoteReference"/>
          <w:vertAlign w:val="baseline"/>
        </w:rPr>
        <w:footnoteRef/>
      </w:r>
      <w:r w:rsidRPr="00C57D41">
        <w:rPr>
          <w:rtl/>
        </w:rPr>
        <w:t>)</w:t>
      </w:r>
      <w:r>
        <w:tab/>
      </w:r>
      <w:r w:rsidRPr="00C57D41">
        <w:rPr>
          <w:rtl/>
        </w:rPr>
        <w:t>المبادئ المتعلقة بمركز المؤسسات الوطنية لتعزيز حقوق الإنسان وحمايتهـــا (مبـــادئ باريــس).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2E687" w14:textId="5EC5D5F9" w:rsidR="00283BC9" w:rsidRPr="00283BC9" w:rsidRDefault="00283BC9" w:rsidP="00283BC9">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5148E9">
      <w:t>CED/C/21/4</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A9013" w14:textId="50A9F9B6" w:rsidR="00283BC9" w:rsidRPr="00283BC9" w:rsidRDefault="00283BC9" w:rsidP="00283BC9">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5148E9">
      <w:t>CED/C/21/4</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4"/>
  </w:num>
  <w:num w:numId="13">
    <w:abstractNumId w:val="3"/>
  </w:num>
  <w:num w:numId="14">
    <w:abstractNumId w:val="16"/>
  </w:num>
  <w:num w:numId="15">
    <w:abstractNumId w:val="13"/>
  </w:num>
  <w:num w:numId="16">
    <w:abstractNumId w:val="1"/>
  </w:num>
  <w:num w:numId="17">
    <w:abstractNumId w:val="14"/>
  </w:num>
  <w:num w:numId="18">
    <w:abstractNumId w:val="0"/>
  </w:num>
  <w:num w:numId="19">
    <w:abstractNumId w:val="9"/>
  </w:num>
  <w:num w:numId="20">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4">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5">
    <w:abstractNumId w:val="7"/>
  </w:num>
  <w:num w:numId="26">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F75"/>
    <w:rsid w:val="00001E1B"/>
    <w:rsid w:val="000076D5"/>
    <w:rsid w:val="00027F2D"/>
    <w:rsid w:val="00043663"/>
    <w:rsid w:val="000505CF"/>
    <w:rsid w:val="000A1B1A"/>
    <w:rsid w:val="000C07C9"/>
    <w:rsid w:val="000D701C"/>
    <w:rsid w:val="000E2A71"/>
    <w:rsid w:val="000F4E15"/>
    <w:rsid w:val="0010772C"/>
    <w:rsid w:val="00160263"/>
    <w:rsid w:val="00176DB4"/>
    <w:rsid w:val="00181F96"/>
    <w:rsid w:val="001A1371"/>
    <w:rsid w:val="001A5338"/>
    <w:rsid w:val="001B346A"/>
    <w:rsid w:val="001E1CAD"/>
    <w:rsid w:val="001E290D"/>
    <w:rsid w:val="002144FA"/>
    <w:rsid w:val="0021768C"/>
    <w:rsid w:val="0023469A"/>
    <w:rsid w:val="00243C8A"/>
    <w:rsid w:val="002456E8"/>
    <w:rsid w:val="00267A0E"/>
    <w:rsid w:val="002804D6"/>
    <w:rsid w:val="00283BC9"/>
    <w:rsid w:val="002901D9"/>
    <w:rsid w:val="002976C2"/>
    <w:rsid w:val="002C11AF"/>
    <w:rsid w:val="00317B22"/>
    <w:rsid w:val="003260FF"/>
    <w:rsid w:val="00343D95"/>
    <w:rsid w:val="00374341"/>
    <w:rsid w:val="003D1062"/>
    <w:rsid w:val="00420D7B"/>
    <w:rsid w:val="00450B21"/>
    <w:rsid w:val="00453B63"/>
    <w:rsid w:val="00455780"/>
    <w:rsid w:val="00495DF0"/>
    <w:rsid w:val="004A52AC"/>
    <w:rsid w:val="004B0A1C"/>
    <w:rsid w:val="004D298E"/>
    <w:rsid w:val="004E1586"/>
    <w:rsid w:val="005148E9"/>
    <w:rsid w:val="00534020"/>
    <w:rsid w:val="0054472E"/>
    <w:rsid w:val="00555E4A"/>
    <w:rsid w:val="005662A9"/>
    <w:rsid w:val="005827D4"/>
    <w:rsid w:val="0059622A"/>
    <w:rsid w:val="005C5878"/>
    <w:rsid w:val="005C7CEA"/>
    <w:rsid w:val="005D3C0B"/>
    <w:rsid w:val="005E5217"/>
    <w:rsid w:val="005E5C33"/>
    <w:rsid w:val="005E67F5"/>
    <w:rsid w:val="005F0FA4"/>
    <w:rsid w:val="005F2681"/>
    <w:rsid w:val="005F30EE"/>
    <w:rsid w:val="005F7FCA"/>
    <w:rsid w:val="00601670"/>
    <w:rsid w:val="0060473A"/>
    <w:rsid w:val="00622130"/>
    <w:rsid w:val="00656392"/>
    <w:rsid w:val="0068781D"/>
    <w:rsid w:val="006959B0"/>
    <w:rsid w:val="006A69CA"/>
    <w:rsid w:val="006B3E27"/>
    <w:rsid w:val="006B6507"/>
    <w:rsid w:val="006C104C"/>
    <w:rsid w:val="006D39EA"/>
    <w:rsid w:val="006D698E"/>
    <w:rsid w:val="00733704"/>
    <w:rsid w:val="00774AF4"/>
    <w:rsid w:val="0078071A"/>
    <w:rsid w:val="0078659B"/>
    <w:rsid w:val="007B718D"/>
    <w:rsid w:val="007F55ED"/>
    <w:rsid w:val="00807312"/>
    <w:rsid w:val="008313E3"/>
    <w:rsid w:val="00852A9A"/>
    <w:rsid w:val="008960D1"/>
    <w:rsid w:val="008C007D"/>
    <w:rsid w:val="008C2897"/>
    <w:rsid w:val="008C6E7E"/>
    <w:rsid w:val="008D6989"/>
    <w:rsid w:val="008F49E1"/>
    <w:rsid w:val="008F729B"/>
    <w:rsid w:val="008F7F75"/>
    <w:rsid w:val="0090370F"/>
    <w:rsid w:val="009269D2"/>
    <w:rsid w:val="009305F0"/>
    <w:rsid w:val="00942135"/>
    <w:rsid w:val="009521B0"/>
    <w:rsid w:val="00980103"/>
    <w:rsid w:val="00987935"/>
    <w:rsid w:val="00994130"/>
    <w:rsid w:val="009A7E9F"/>
    <w:rsid w:val="009E5018"/>
    <w:rsid w:val="009F515B"/>
    <w:rsid w:val="00A12B37"/>
    <w:rsid w:val="00A20FF4"/>
    <w:rsid w:val="00A4027E"/>
    <w:rsid w:val="00AB4559"/>
    <w:rsid w:val="00AB4F93"/>
    <w:rsid w:val="00AB6758"/>
    <w:rsid w:val="00B13614"/>
    <w:rsid w:val="00B13763"/>
    <w:rsid w:val="00B27391"/>
    <w:rsid w:val="00B33568"/>
    <w:rsid w:val="00B40C02"/>
    <w:rsid w:val="00B477A4"/>
    <w:rsid w:val="00B54045"/>
    <w:rsid w:val="00B62784"/>
    <w:rsid w:val="00B65387"/>
    <w:rsid w:val="00BB449E"/>
    <w:rsid w:val="00BD2E35"/>
    <w:rsid w:val="00C05EA5"/>
    <w:rsid w:val="00C438D7"/>
    <w:rsid w:val="00C57D41"/>
    <w:rsid w:val="00C81B50"/>
    <w:rsid w:val="00C92253"/>
    <w:rsid w:val="00CA55F0"/>
    <w:rsid w:val="00CB28F9"/>
    <w:rsid w:val="00CC276B"/>
    <w:rsid w:val="00CD1801"/>
    <w:rsid w:val="00CF7E4E"/>
    <w:rsid w:val="00D10EF1"/>
    <w:rsid w:val="00D42810"/>
    <w:rsid w:val="00D914A7"/>
    <w:rsid w:val="00DD13C3"/>
    <w:rsid w:val="00DD596E"/>
    <w:rsid w:val="00DD621E"/>
    <w:rsid w:val="00DF0575"/>
    <w:rsid w:val="00DF5E71"/>
    <w:rsid w:val="00E4289F"/>
    <w:rsid w:val="00E50E71"/>
    <w:rsid w:val="00E70E04"/>
    <w:rsid w:val="00E76499"/>
    <w:rsid w:val="00E866BF"/>
    <w:rsid w:val="00EB6F59"/>
    <w:rsid w:val="00EC05A7"/>
    <w:rsid w:val="00EC4B6B"/>
    <w:rsid w:val="00ED555C"/>
    <w:rsid w:val="00EE2A27"/>
    <w:rsid w:val="00EF1EE5"/>
    <w:rsid w:val="00F156CA"/>
    <w:rsid w:val="00F52C23"/>
    <w:rsid w:val="00F6781A"/>
    <w:rsid w:val="00F763B4"/>
    <w:rsid w:val="00F900C3"/>
    <w:rsid w:val="00F91FDC"/>
    <w:rsid w:val="00FD3946"/>
    <w:rsid w:val="00FF2AB2"/>
    <w:rsid w:val="00FF4EA6"/>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B529F7"/>
  <w15:docId w15:val="{B0D5E4EB-6DB3-4B13-ADE2-B57FC76C3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130"/>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622130"/>
    <w:pPr>
      <w:bidi w:val="0"/>
      <w:outlineLvl w:val="0"/>
    </w:pPr>
  </w:style>
  <w:style w:type="paragraph" w:styleId="Heading2">
    <w:name w:val="heading 2"/>
    <w:basedOn w:val="Normal"/>
    <w:next w:val="Normal"/>
    <w:link w:val="Heading2Char"/>
    <w:uiPriority w:val="9"/>
    <w:unhideWhenUsed/>
    <w:rsid w:val="00622130"/>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622130"/>
    <w:pPr>
      <w:keepNext/>
      <w:keepLines/>
      <w:spacing w:before="200"/>
      <w:outlineLvl w:val="2"/>
    </w:pPr>
    <w:rPr>
      <w:b/>
      <w:bCs/>
      <w:color w:val="4F81BD"/>
    </w:rPr>
  </w:style>
  <w:style w:type="paragraph" w:styleId="Heading4">
    <w:name w:val="heading 4"/>
    <w:basedOn w:val="Normal"/>
    <w:next w:val="Normal"/>
    <w:link w:val="Heading4Char"/>
    <w:uiPriority w:val="9"/>
    <w:unhideWhenUsed/>
    <w:rsid w:val="00622130"/>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622130"/>
    <w:pPr>
      <w:keepNext/>
      <w:keepLines/>
      <w:spacing w:before="200"/>
      <w:outlineLvl w:val="4"/>
    </w:pPr>
    <w:rPr>
      <w:color w:val="243F60"/>
    </w:rPr>
  </w:style>
  <w:style w:type="paragraph" w:styleId="Heading6">
    <w:name w:val="heading 6"/>
    <w:basedOn w:val="Normal"/>
    <w:next w:val="Normal"/>
    <w:link w:val="Heading6Char"/>
    <w:uiPriority w:val="9"/>
    <w:unhideWhenUsed/>
    <w:rsid w:val="00622130"/>
    <w:pPr>
      <w:keepNext/>
      <w:keepLines/>
      <w:spacing w:before="200"/>
      <w:outlineLvl w:val="5"/>
    </w:pPr>
    <w:rPr>
      <w:i/>
      <w:iCs/>
      <w:color w:val="243F60"/>
    </w:rPr>
  </w:style>
  <w:style w:type="paragraph" w:styleId="Heading7">
    <w:name w:val="heading 7"/>
    <w:basedOn w:val="Normal"/>
    <w:next w:val="Normal"/>
    <w:link w:val="Heading7Char"/>
    <w:uiPriority w:val="9"/>
    <w:unhideWhenUsed/>
    <w:rsid w:val="00622130"/>
    <w:pPr>
      <w:keepNext/>
      <w:keepLines/>
      <w:spacing w:before="200"/>
      <w:outlineLvl w:val="6"/>
    </w:pPr>
    <w:rPr>
      <w:i/>
      <w:iCs/>
      <w:color w:val="404040"/>
    </w:rPr>
  </w:style>
  <w:style w:type="paragraph" w:styleId="Heading8">
    <w:name w:val="heading 8"/>
    <w:basedOn w:val="Normal"/>
    <w:next w:val="Normal"/>
    <w:link w:val="Heading8Char"/>
    <w:uiPriority w:val="9"/>
    <w:unhideWhenUsed/>
    <w:rsid w:val="00622130"/>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622130"/>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622130"/>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622130"/>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Ref,de nota al pie,Appel note de bas de page,number,Footnote text,Footnote symbol,SUPERS"/>
    <w:link w:val="Char2"/>
    <w:qFormat/>
    <w:rsid w:val="00622130"/>
    <w:rPr>
      <w:szCs w:val="18"/>
      <w:vertAlign w:val="superscript"/>
    </w:rPr>
  </w:style>
  <w:style w:type="paragraph" w:customStyle="1" w:styleId="HMGA">
    <w:name w:val="_ H __M_GA"/>
    <w:basedOn w:val="Normal"/>
    <w:next w:val="SingleTxtGA"/>
    <w:qFormat/>
    <w:rsid w:val="00622130"/>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622130"/>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622130"/>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622130"/>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622130"/>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622130"/>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622130"/>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622130"/>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622130"/>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622130"/>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622130"/>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622130"/>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622130"/>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622130"/>
    <w:pPr>
      <w:numPr>
        <w:numId w:val="5"/>
      </w:numPr>
      <w:bidi w:val="0"/>
    </w:pPr>
    <w:rPr>
      <w:lang w:val="en-US"/>
    </w:rPr>
  </w:style>
  <w:style w:type="paragraph" w:customStyle="1" w:styleId="Roman1GA">
    <w:name w:val="_Roman 1_GA"/>
    <w:basedOn w:val="Bullet1GA"/>
    <w:qFormat/>
    <w:rsid w:val="00622130"/>
    <w:pPr>
      <w:numPr>
        <w:numId w:val="6"/>
      </w:numPr>
      <w:tabs>
        <w:tab w:val="clear" w:pos="2310"/>
        <w:tab w:val="left" w:pos="2486"/>
      </w:tabs>
      <w:ind w:left="2486" w:hanging="378"/>
    </w:pPr>
  </w:style>
  <w:style w:type="paragraph" w:customStyle="1" w:styleId="Roman2GA">
    <w:name w:val="_Roman 2_GA"/>
    <w:basedOn w:val="Bullet2GA"/>
    <w:qFormat/>
    <w:rsid w:val="00622130"/>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622130"/>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622130"/>
    <w:rPr>
      <w:rFonts w:ascii="Times New Roman" w:eastAsia="PMingLiU" w:hAnsi="Times New Roman" w:cs="Simplified Arabic"/>
      <w:sz w:val="18"/>
      <w:szCs w:val="20"/>
      <w:lang w:val="en-GB"/>
    </w:rPr>
  </w:style>
  <w:style w:type="character" w:customStyle="1" w:styleId="EndtnoteReference">
    <w:name w:val="Endtnote Reference"/>
    <w:aliases w:val="1_GA"/>
    <w:qFormat/>
    <w:rsid w:val="00622130"/>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622130"/>
    <w:pPr>
      <w:suppressAutoHyphens/>
      <w:bidi w:val="0"/>
      <w:spacing w:line="240" w:lineRule="auto"/>
    </w:pPr>
    <w:rPr>
      <w:sz w:val="16"/>
      <w:lang w:val="en-GB"/>
    </w:rPr>
  </w:style>
  <w:style w:type="character" w:customStyle="1" w:styleId="FooterChar">
    <w:name w:val="Footer Char"/>
    <w:aliases w:val="3_GA Char,3_G Char"/>
    <w:link w:val="Footer"/>
    <w:rsid w:val="00622130"/>
    <w:rPr>
      <w:rFonts w:ascii="Times New Roman" w:eastAsia="PMingLiU" w:hAnsi="Times New Roman" w:cs="Simplified Arabic"/>
      <w:sz w:val="16"/>
      <w:lang w:val="en-GB"/>
    </w:rPr>
  </w:style>
  <w:style w:type="paragraph" w:customStyle="1" w:styleId="FootnoteText1">
    <w:name w:val="Footnote Text1"/>
    <w:aliases w:val="5_GA"/>
    <w:basedOn w:val="Normal"/>
    <w:qFormat/>
    <w:rsid w:val="00622130"/>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622130"/>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622130"/>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622130"/>
    <w:rPr>
      <w:rFonts w:ascii="Times New Roman" w:eastAsia="PMingLiU" w:hAnsi="Times New Roman" w:cs="Simplified Arabic"/>
      <w:lang w:val="en-GB"/>
    </w:rPr>
  </w:style>
  <w:style w:type="character" w:styleId="PageNumber">
    <w:name w:val="page number"/>
    <w:aliases w:val="7_GA,7_G"/>
    <w:qFormat/>
    <w:rsid w:val="00622130"/>
    <w:rPr>
      <w:rFonts w:ascii="Times New Roman Bold" w:hAnsi="Times New Roman Bold"/>
      <w:b/>
      <w:i w:val="0"/>
      <w:sz w:val="18"/>
      <w:szCs w:val="18"/>
    </w:rPr>
  </w:style>
  <w:style w:type="paragraph" w:customStyle="1" w:styleId="XXLargeGA">
    <w:name w:val="XXLarge_GA"/>
    <w:basedOn w:val="Normal"/>
    <w:next w:val="SingleTxtGA"/>
    <w:qFormat/>
    <w:rsid w:val="00622130"/>
    <w:pPr>
      <w:suppressAutoHyphens/>
      <w:spacing w:line="820" w:lineRule="exact"/>
    </w:pPr>
    <w:rPr>
      <w:spacing w:val="-8"/>
      <w:w w:val="96"/>
      <w:sz w:val="57"/>
      <w:szCs w:val="86"/>
      <w:lang w:val="en-GB"/>
    </w:rPr>
  </w:style>
  <w:style w:type="character" w:customStyle="1" w:styleId="Heading2Char">
    <w:name w:val="Heading 2 Char"/>
    <w:link w:val="Heading2"/>
    <w:uiPriority w:val="9"/>
    <w:rsid w:val="00622130"/>
    <w:rPr>
      <w:rFonts w:ascii="Times New Roman" w:eastAsia="PMingLiU" w:hAnsi="Times New Roman" w:cs="Simplified Arabic"/>
      <w:b/>
      <w:bCs/>
      <w:color w:val="4F81BD"/>
      <w:sz w:val="26"/>
      <w:szCs w:val="26"/>
    </w:rPr>
  </w:style>
  <w:style w:type="character" w:styleId="BookTitle">
    <w:name w:val="Book Title"/>
    <w:uiPriority w:val="33"/>
    <w:rsid w:val="00622130"/>
    <w:rPr>
      <w:b/>
      <w:bCs/>
      <w:smallCaps/>
      <w:spacing w:val="5"/>
    </w:rPr>
  </w:style>
  <w:style w:type="character" w:customStyle="1" w:styleId="Heading3Char">
    <w:name w:val="Heading 3 Char"/>
    <w:link w:val="Heading3"/>
    <w:uiPriority w:val="9"/>
    <w:rsid w:val="00622130"/>
    <w:rPr>
      <w:rFonts w:ascii="Times New Roman" w:eastAsia="PMingLiU" w:hAnsi="Times New Roman" w:cs="Simplified Arabic"/>
      <w:b/>
      <w:bCs/>
      <w:color w:val="4F81BD"/>
      <w:sz w:val="20"/>
    </w:rPr>
  </w:style>
  <w:style w:type="character" w:customStyle="1" w:styleId="Heading4Char">
    <w:name w:val="Heading 4 Char"/>
    <w:link w:val="Heading4"/>
    <w:uiPriority w:val="9"/>
    <w:rsid w:val="00622130"/>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622130"/>
    <w:rPr>
      <w:rFonts w:ascii="Times New Roman" w:eastAsia="PMingLiU" w:hAnsi="Times New Roman" w:cs="Simplified Arabic"/>
      <w:color w:val="243F60"/>
      <w:sz w:val="20"/>
    </w:rPr>
  </w:style>
  <w:style w:type="character" w:customStyle="1" w:styleId="Heading6Char">
    <w:name w:val="Heading 6 Char"/>
    <w:link w:val="Heading6"/>
    <w:uiPriority w:val="9"/>
    <w:rsid w:val="00622130"/>
    <w:rPr>
      <w:rFonts w:ascii="Times New Roman" w:eastAsia="PMingLiU" w:hAnsi="Times New Roman" w:cs="Simplified Arabic"/>
      <w:i/>
      <w:iCs/>
      <w:color w:val="243F60"/>
      <w:sz w:val="20"/>
    </w:rPr>
  </w:style>
  <w:style w:type="character" w:customStyle="1" w:styleId="Heading7Char">
    <w:name w:val="Heading 7 Char"/>
    <w:link w:val="Heading7"/>
    <w:uiPriority w:val="9"/>
    <w:rsid w:val="00622130"/>
    <w:rPr>
      <w:rFonts w:ascii="Times New Roman" w:eastAsia="PMingLiU" w:hAnsi="Times New Roman" w:cs="Simplified Arabic"/>
      <w:i/>
      <w:iCs/>
      <w:color w:val="404040"/>
      <w:sz w:val="20"/>
    </w:rPr>
  </w:style>
  <w:style w:type="character" w:customStyle="1" w:styleId="Heading8Char">
    <w:name w:val="Heading 8 Char"/>
    <w:link w:val="Heading8"/>
    <w:uiPriority w:val="9"/>
    <w:rsid w:val="00622130"/>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622130"/>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622130"/>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622130"/>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622130"/>
    <w:pPr>
      <w:numPr>
        <w:ilvl w:val="1"/>
      </w:numPr>
    </w:pPr>
    <w:rPr>
      <w:i/>
      <w:iCs/>
      <w:color w:val="4F81BD"/>
      <w:spacing w:val="15"/>
      <w:sz w:val="24"/>
      <w:szCs w:val="24"/>
    </w:rPr>
  </w:style>
  <w:style w:type="character" w:customStyle="1" w:styleId="SubtitleChar">
    <w:name w:val="Subtitle Char"/>
    <w:link w:val="Subtitle"/>
    <w:uiPriority w:val="11"/>
    <w:rsid w:val="00622130"/>
    <w:rPr>
      <w:rFonts w:ascii="Times New Roman" w:eastAsia="PMingLiU" w:hAnsi="Times New Roman" w:cs="Simplified Arabic"/>
      <w:i/>
      <w:iCs/>
      <w:color w:val="4F81BD"/>
      <w:spacing w:val="15"/>
      <w:sz w:val="24"/>
      <w:szCs w:val="24"/>
    </w:rPr>
  </w:style>
  <w:style w:type="character" w:styleId="SubtleEmphasis">
    <w:name w:val="Subtle Emphasis"/>
    <w:uiPriority w:val="19"/>
    <w:rsid w:val="00622130"/>
    <w:rPr>
      <w:i/>
      <w:iCs/>
      <w:color w:val="808080"/>
    </w:rPr>
  </w:style>
  <w:style w:type="table" w:styleId="ColorfulGrid-Accent6">
    <w:name w:val="Colorful Grid Accent 6"/>
    <w:basedOn w:val="TableNormal"/>
    <w:uiPriority w:val="73"/>
    <w:rsid w:val="00622130"/>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622130"/>
    <w:rPr>
      <w:i/>
      <w:iCs/>
    </w:rPr>
  </w:style>
  <w:style w:type="character" w:styleId="IntenseEmphasis">
    <w:name w:val="Intense Emphasis"/>
    <w:uiPriority w:val="21"/>
    <w:rsid w:val="00622130"/>
    <w:rPr>
      <w:b/>
      <w:bCs/>
      <w:i/>
      <w:iCs/>
      <w:color w:val="4F81BD"/>
    </w:rPr>
  </w:style>
  <w:style w:type="character" w:styleId="Strong">
    <w:name w:val="Strong"/>
    <w:uiPriority w:val="22"/>
    <w:rsid w:val="00622130"/>
    <w:rPr>
      <w:b/>
      <w:bCs/>
    </w:rPr>
  </w:style>
  <w:style w:type="paragraph" w:styleId="Quote">
    <w:name w:val="Quote"/>
    <w:basedOn w:val="Normal"/>
    <w:next w:val="Normal"/>
    <w:link w:val="QuoteChar"/>
    <w:uiPriority w:val="29"/>
    <w:rsid w:val="00622130"/>
    <w:rPr>
      <w:i/>
      <w:iCs/>
      <w:color w:val="000000"/>
    </w:rPr>
  </w:style>
  <w:style w:type="character" w:customStyle="1" w:styleId="QuoteChar">
    <w:name w:val="Quote Char"/>
    <w:link w:val="Quote"/>
    <w:uiPriority w:val="29"/>
    <w:rsid w:val="00622130"/>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62213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2130"/>
    <w:rPr>
      <w:rFonts w:ascii="Times New Roman" w:eastAsia="PMingLiU" w:hAnsi="Times New Roman" w:cs="Simplified Arabic"/>
      <w:b/>
      <w:bCs/>
      <w:i/>
      <w:iCs/>
      <w:color w:val="4F81BD"/>
      <w:sz w:val="20"/>
    </w:rPr>
  </w:style>
  <w:style w:type="character" w:styleId="SubtleReference">
    <w:name w:val="Subtle Reference"/>
    <w:uiPriority w:val="31"/>
    <w:rsid w:val="00622130"/>
    <w:rPr>
      <w:smallCaps/>
      <w:color w:val="C0504D"/>
      <w:u w:val="single"/>
    </w:rPr>
  </w:style>
  <w:style w:type="character" w:styleId="IntenseReference">
    <w:name w:val="Intense Reference"/>
    <w:uiPriority w:val="32"/>
    <w:rsid w:val="00622130"/>
    <w:rPr>
      <w:b/>
      <w:bCs/>
      <w:smallCaps/>
      <w:color w:val="C0504D"/>
      <w:spacing w:val="5"/>
      <w:u w:val="single"/>
    </w:rPr>
  </w:style>
  <w:style w:type="paragraph" w:styleId="ListParagraph">
    <w:name w:val="List Paragraph"/>
    <w:basedOn w:val="Normal"/>
    <w:uiPriority w:val="34"/>
    <w:rsid w:val="00622130"/>
    <w:pPr>
      <w:ind w:left="720"/>
      <w:contextualSpacing/>
    </w:pPr>
  </w:style>
  <w:style w:type="table" w:styleId="MediumShading1-Accent4">
    <w:name w:val="Medium Shading 1 Accent 4"/>
    <w:basedOn w:val="TableNormal"/>
    <w:uiPriority w:val="63"/>
    <w:rsid w:val="00622130"/>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622130"/>
    <w:rPr>
      <w:rFonts w:eastAsia="MS Mincho"/>
      <w:sz w:val="18"/>
      <w:vertAlign w:val="superscript"/>
    </w:rPr>
  </w:style>
  <w:style w:type="table" w:styleId="TableGrid">
    <w:name w:val="Table Grid"/>
    <w:basedOn w:val="TableNormal"/>
    <w:rsid w:val="00622130"/>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2130"/>
    <w:pPr>
      <w:spacing w:line="240" w:lineRule="auto"/>
    </w:pPr>
    <w:rPr>
      <w:sz w:val="16"/>
      <w:szCs w:val="16"/>
    </w:rPr>
  </w:style>
  <w:style w:type="character" w:customStyle="1" w:styleId="BalloonTextChar">
    <w:name w:val="Balloon Text Char"/>
    <w:link w:val="BalloonText"/>
    <w:uiPriority w:val="99"/>
    <w:semiHidden/>
    <w:rsid w:val="00622130"/>
    <w:rPr>
      <w:rFonts w:ascii="Times New Roman" w:eastAsia="PMingLiU" w:hAnsi="Times New Roman" w:cs="Simplified Arabic"/>
      <w:sz w:val="16"/>
      <w:szCs w:val="16"/>
    </w:rPr>
  </w:style>
  <w:style w:type="character" w:styleId="Hyperlink">
    <w:name w:val="Hyperlink"/>
    <w:uiPriority w:val="99"/>
    <w:unhideWhenUsed/>
    <w:rsid w:val="00622130"/>
    <w:rPr>
      <w:color w:val="0000FF"/>
      <w:u w:val="none"/>
    </w:rPr>
  </w:style>
  <w:style w:type="paragraph" w:styleId="TOC1">
    <w:name w:val="toc 1"/>
    <w:basedOn w:val="Normal"/>
    <w:link w:val="TOC1Char"/>
    <w:autoRedefine/>
    <w:uiPriority w:val="39"/>
    <w:unhideWhenUsed/>
    <w:rsid w:val="00622130"/>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622130"/>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622130"/>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622130"/>
    <w:rPr>
      <w:rFonts w:eastAsia="DengXian"/>
      <w:color w:val="auto"/>
      <w:sz w:val="20"/>
      <w:szCs w:val="20"/>
      <w:u w:val="none"/>
      <w:lang w:eastAsia="zh-CN" w:bidi="ar-EG"/>
    </w:rPr>
  </w:style>
  <w:style w:type="paragraph" w:styleId="TOC4">
    <w:name w:val="toc 4"/>
    <w:basedOn w:val="Normal"/>
    <w:link w:val="TOC4Char"/>
    <w:autoRedefine/>
    <w:uiPriority w:val="39"/>
    <w:unhideWhenUsed/>
    <w:rsid w:val="00622130"/>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622130"/>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622130"/>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622130"/>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622130"/>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622130"/>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622130"/>
    <w:rPr>
      <w:color w:val="605E5C"/>
      <w:shd w:val="clear" w:color="auto" w:fill="E1DFDD"/>
    </w:rPr>
  </w:style>
  <w:style w:type="character" w:customStyle="1" w:styleId="TOC1Char">
    <w:name w:val="TOC 1 Char"/>
    <w:basedOn w:val="DefaultParagraphFont"/>
    <w:link w:val="TOC1"/>
    <w:uiPriority w:val="39"/>
    <w:rsid w:val="00622130"/>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622130"/>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622130"/>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622130"/>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622130"/>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622130"/>
    <w:rPr>
      <w:rFonts w:ascii="Times New Roman" w:eastAsia="PMingLiU" w:hAnsi="Times New Roman" w:cs="Simplified Arabic"/>
      <w:sz w:val="20"/>
      <w:szCs w:val="20"/>
      <w:lang w:val="en-GB"/>
    </w:rPr>
  </w:style>
  <w:style w:type="paragraph" w:customStyle="1" w:styleId="SessionDate">
    <w:name w:val="Session_Date"/>
    <w:basedOn w:val="Normal"/>
    <w:qFormat/>
    <w:rsid w:val="00622130"/>
    <w:pPr>
      <w:spacing w:before="240" w:after="240" w:line="460" w:lineRule="exact"/>
      <w:ind w:left="1247"/>
    </w:pPr>
    <w:rPr>
      <w:b/>
      <w:bCs/>
      <w:sz w:val="32"/>
      <w:szCs w:val="44"/>
    </w:rPr>
  </w:style>
  <w:style w:type="paragraph" w:customStyle="1" w:styleId="SessionNumber">
    <w:name w:val="Session_Number"/>
    <w:basedOn w:val="Normal"/>
    <w:qFormat/>
    <w:rsid w:val="00622130"/>
    <w:pPr>
      <w:spacing w:line="480" w:lineRule="exact"/>
      <w:ind w:left="1247"/>
    </w:pPr>
    <w:rPr>
      <w:b/>
      <w:bCs/>
      <w:sz w:val="28"/>
      <w:szCs w:val="38"/>
    </w:rPr>
  </w:style>
  <w:style w:type="paragraph" w:customStyle="1" w:styleId="CityandYear">
    <w:name w:val="City and Year"/>
    <w:basedOn w:val="SingleTxtGA"/>
    <w:qFormat/>
    <w:rsid w:val="00622130"/>
    <w:pPr>
      <w:spacing w:line="480" w:lineRule="exact"/>
    </w:pPr>
    <w:rPr>
      <w:b/>
      <w:bCs/>
      <w:sz w:val="30"/>
      <w:szCs w:val="38"/>
      <w:lang w:eastAsia="ar-SA"/>
    </w:rPr>
  </w:style>
  <w:style w:type="paragraph" w:customStyle="1" w:styleId="NormalA">
    <w:name w:val="Normal_A"/>
    <w:basedOn w:val="Normal"/>
    <w:qFormat/>
    <w:rsid w:val="00622130"/>
  </w:style>
  <w:style w:type="paragraph" w:customStyle="1" w:styleId="H1G">
    <w:name w:val="_ H_1_G"/>
    <w:basedOn w:val="Normal"/>
    <w:next w:val="Normal"/>
    <w:qFormat/>
    <w:rsid w:val="00622130"/>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622130"/>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622130"/>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622130"/>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622130"/>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622130"/>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622130"/>
    <w:rPr>
      <w:sz w:val="44"/>
      <w:szCs w:val="44"/>
      <w:lang w:val="en-US" w:bidi="ar-DZ"/>
    </w:rPr>
  </w:style>
  <w:style w:type="paragraph" w:customStyle="1" w:styleId="FootnoteGA0">
    <w:name w:val="Footnote_GA"/>
    <w:basedOn w:val="Normal"/>
    <w:qFormat/>
    <w:rsid w:val="00622130"/>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622130"/>
    <w:pPr>
      <w:keepNext/>
      <w:keepLines/>
      <w:spacing w:after="120" w:line="400" w:lineRule="exact"/>
      <w:outlineLvl w:val="0"/>
    </w:pPr>
    <w:rPr>
      <w:b/>
      <w:bCs/>
      <w:kern w:val="14"/>
      <w:sz w:val="24"/>
      <w:szCs w:val="32"/>
    </w:rPr>
  </w:style>
  <w:style w:type="paragraph" w:customStyle="1" w:styleId="HCh">
    <w:name w:val="_ H _Ch"/>
    <w:basedOn w:val="H1"/>
    <w:next w:val="SingleTxt"/>
    <w:qFormat/>
    <w:rsid w:val="00622130"/>
    <w:pPr>
      <w:spacing w:line="440" w:lineRule="exact"/>
    </w:pPr>
    <w:rPr>
      <w:spacing w:val="-2"/>
      <w:sz w:val="28"/>
      <w:szCs w:val="36"/>
    </w:rPr>
  </w:style>
  <w:style w:type="character" w:styleId="CommentReference">
    <w:name w:val="annotation reference"/>
    <w:uiPriority w:val="99"/>
    <w:semiHidden/>
    <w:rsid w:val="00622130"/>
    <w:rPr>
      <w:sz w:val="6"/>
      <w:szCs w:val="9"/>
    </w:rPr>
  </w:style>
  <w:style w:type="paragraph" w:customStyle="1" w:styleId="HM">
    <w:name w:val="_ H __M"/>
    <w:basedOn w:val="HCh"/>
    <w:next w:val="Normal"/>
    <w:qFormat/>
    <w:rsid w:val="00622130"/>
    <w:pPr>
      <w:suppressAutoHyphens/>
      <w:spacing w:line="520" w:lineRule="exact"/>
    </w:pPr>
    <w:rPr>
      <w:spacing w:val="-3"/>
      <w:sz w:val="34"/>
      <w:szCs w:val="48"/>
    </w:rPr>
  </w:style>
  <w:style w:type="paragraph" w:customStyle="1" w:styleId="SingleTxt">
    <w:name w:val="__Single Txt"/>
    <w:basedOn w:val="Normal"/>
    <w:qFormat/>
    <w:rsid w:val="00622130"/>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622130"/>
    <w:pPr>
      <w:suppressAutoHyphens/>
      <w:spacing w:line="360" w:lineRule="exact"/>
      <w:outlineLvl w:val="1"/>
    </w:pPr>
    <w:rPr>
      <w:spacing w:val="2"/>
      <w:sz w:val="20"/>
      <w:szCs w:val="28"/>
    </w:rPr>
  </w:style>
  <w:style w:type="paragraph" w:customStyle="1" w:styleId="H4">
    <w:name w:val="_ H_4"/>
    <w:basedOn w:val="Normal"/>
    <w:next w:val="Normal"/>
    <w:qFormat/>
    <w:rsid w:val="00622130"/>
    <w:pPr>
      <w:keepNext/>
      <w:keepLines/>
      <w:spacing w:after="120" w:line="360" w:lineRule="exact"/>
      <w:outlineLvl w:val="3"/>
    </w:pPr>
    <w:rPr>
      <w:i/>
      <w:iCs/>
      <w:kern w:val="14"/>
      <w:szCs w:val="28"/>
    </w:rPr>
  </w:style>
  <w:style w:type="paragraph" w:customStyle="1" w:styleId="H56">
    <w:name w:val="_ H_5/6"/>
    <w:basedOn w:val="Normal"/>
    <w:next w:val="Normal"/>
    <w:qFormat/>
    <w:rsid w:val="00622130"/>
    <w:pPr>
      <w:keepNext/>
      <w:keepLines/>
      <w:spacing w:after="120" w:line="360" w:lineRule="exact"/>
      <w:outlineLvl w:val="4"/>
    </w:pPr>
    <w:rPr>
      <w:kern w:val="14"/>
      <w:szCs w:val="28"/>
    </w:rPr>
  </w:style>
  <w:style w:type="paragraph" w:customStyle="1" w:styleId="DualTxt">
    <w:name w:val="__Dual Txt"/>
    <w:basedOn w:val="Normal"/>
    <w:qFormat/>
    <w:rsid w:val="00622130"/>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622130"/>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622130"/>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622130"/>
    <w:pPr>
      <w:spacing w:after="120" w:line="440" w:lineRule="exact"/>
      <w:jc w:val="center"/>
    </w:pPr>
    <w:rPr>
      <w:b/>
      <w:bCs/>
      <w:sz w:val="25"/>
      <w:szCs w:val="38"/>
    </w:rPr>
  </w:style>
  <w:style w:type="paragraph" w:customStyle="1" w:styleId="JH1">
    <w:name w:val="J_H_1"/>
    <w:basedOn w:val="JCH"/>
    <w:qFormat/>
    <w:rsid w:val="00622130"/>
    <w:pPr>
      <w:spacing w:line="420" w:lineRule="exact"/>
    </w:pPr>
    <w:rPr>
      <w:sz w:val="23"/>
      <w:szCs w:val="34"/>
    </w:rPr>
  </w:style>
  <w:style w:type="paragraph" w:customStyle="1" w:styleId="JH2">
    <w:name w:val="J_H_2"/>
    <w:basedOn w:val="JH1"/>
    <w:qFormat/>
    <w:rsid w:val="00622130"/>
    <w:pPr>
      <w:spacing w:line="400" w:lineRule="exact"/>
    </w:pPr>
    <w:rPr>
      <w:sz w:val="20"/>
      <w:szCs w:val="30"/>
    </w:rPr>
  </w:style>
  <w:style w:type="paragraph" w:customStyle="1" w:styleId="JSmall">
    <w:name w:val="J_Small"/>
    <w:basedOn w:val="JSingleTxt"/>
    <w:next w:val="JSingleTxt"/>
    <w:qFormat/>
    <w:rsid w:val="00622130"/>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622130"/>
    <w:pPr>
      <w:tabs>
        <w:tab w:val="right" w:leader="dot" w:pos="360"/>
      </w:tabs>
      <w:spacing w:line="310" w:lineRule="exact"/>
      <w:jc w:val="right"/>
    </w:pPr>
    <w:rPr>
      <w:spacing w:val="5"/>
      <w:w w:val="104"/>
      <w:kern w:val="14"/>
      <w:sz w:val="17"/>
      <w:szCs w:val="25"/>
    </w:rPr>
  </w:style>
  <w:style w:type="character" w:styleId="LineNumber">
    <w:name w:val="line number"/>
    <w:qFormat/>
    <w:rsid w:val="00622130"/>
    <w:rPr>
      <w:sz w:val="14"/>
      <w:szCs w:val="16"/>
    </w:rPr>
  </w:style>
  <w:style w:type="paragraph" w:customStyle="1" w:styleId="SmallX">
    <w:name w:val="SmallX"/>
    <w:basedOn w:val="Small"/>
    <w:next w:val="Normal"/>
    <w:qFormat/>
    <w:rsid w:val="00622130"/>
    <w:pPr>
      <w:spacing w:line="240" w:lineRule="exact"/>
    </w:pPr>
    <w:rPr>
      <w:spacing w:val="6"/>
      <w:w w:val="106"/>
      <w:sz w:val="14"/>
      <w:szCs w:val="21"/>
    </w:rPr>
  </w:style>
  <w:style w:type="paragraph" w:customStyle="1" w:styleId="XLarge">
    <w:name w:val="XLarge"/>
    <w:basedOn w:val="HM"/>
    <w:qFormat/>
    <w:rsid w:val="00622130"/>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622130"/>
    <w:pPr>
      <w:spacing w:line="820" w:lineRule="exact"/>
    </w:pPr>
    <w:rPr>
      <w:spacing w:val="-8"/>
      <w:w w:val="96"/>
      <w:sz w:val="57"/>
      <w:szCs w:val="86"/>
    </w:rPr>
  </w:style>
  <w:style w:type="paragraph" w:customStyle="1" w:styleId="Distribution">
    <w:name w:val="Distribution"/>
    <w:basedOn w:val="Normal"/>
    <w:next w:val="Normal"/>
    <w:qFormat/>
    <w:rsid w:val="00622130"/>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622130"/>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622130"/>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622130"/>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622130"/>
    <w:pPr>
      <w:tabs>
        <w:tab w:val="left" w:pos="662"/>
        <w:tab w:val="left" w:pos="1267"/>
        <w:tab w:val="left" w:pos="1987"/>
        <w:tab w:val="left" w:pos="2650"/>
      </w:tabs>
      <w:spacing w:after="0"/>
      <w:ind w:left="662" w:hanging="662"/>
    </w:pPr>
  </w:style>
  <w:style w:type="paragraph" w:customStyle="1" w:styleId="Committee">
    <w:name w:val="Committee"/>
    <w:basedOn w:val="H1"/>
    <w:qFormat/>
    <w:rsid w:val="00622130"/>
    <w:pPr>
      <w:tabs>
        <w:tab w:val="left" w:pos="662"/>
        <w:tab w:val="left" w:pos="1267"/>
        <w:tab w:val="left" w:pos="1987"/>
        <w:tab w:val="left" w:pos="2650"/>
      </w:tabs>
      <w:ind w:right="1264"/>
    </w:pPr>
  </w:style>
  <w:style w:type="paragraph" w:customStyle="1" w:styleId="AgendaItemNormal">
    <w:name w:val="Agenda_Item_Normal"/>
    <w:next w:val="Normal"/>
    <w:qFormat/>
    <w:rsid w:val="00622130"/>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622130"/>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622130"/>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622130"/>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62213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622130"/>
    <w:rPr>
      <w:i w:val="0"/>
      <w:color w:val="0000FF"/>
      <w:u w:val="none"/>
    </w:rPr>
  </w:style>
  <w:style w:type="paragraph" w:customStyle="1" w:styleId="Bullet1">
    <w:name w:val="Bullet 1"/>
    <w:basedOn w:val="Normal"/>
    <w:qFormat/>
    <w:rsid w:val="00622130"/>
    <w:pPr>
      <w:numPr>
        <w:numId w:val="13"/>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622130"/>
    <w:pPr>
      <w:numPr>
        <w:numId w:val="14"/>
      </w:numPr>
      <w:spacing w:after="120" w:line="360" w:lineRule="exact"/>
      <w:ind w:right="1264"/>
    </w:pPr>
    <w:rPr>
      <w:kern w:val="14"/>
      <w:szCs w:val="28"/>
    </w:rPr>
  </w:style>
  <w:style w:type="paragraph" w:customStyle="1" w:styleId="Bullet3">
    <w:name w:val="Bullet 3"/>
    <w:basedOn w:val="SingleTxt"/>
    <w:qFormat/>
    <w:rsid w:val="00622130"/>
    <w:pPr>
      <w:numPr>
        <w:numId w:val="15"/>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622130"/>
    <w:pPr>
      <w:ind w:right="5760"/>
      <w:outlineLvl w:val="1"/>
    </w:pPr>
    <w:rPr>
      <w:spacing w:val="2"/>
      <w:sz w:val="20"/>
      <w:szCs w:val="28"/>
    </w:rPr>
  </w:style>
  <w:style w:type="paragraph" w:customStyle="1" w:styleId="STitleM">
    <w:name w:val="S_Title_M"/>
    <w:basedOn w:val="Normal"/>
    <w:next w:val="Normal"/>
    <w:qFormat/>
    <w:rsid w:val="00622130"/>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622130"/>
    <w:pPr>
      <w:spacing w:line="600" w:lineRule="exact"/>
      <w:ind w:left="1267" w:right="1267"/>
    </w:pPr>
    <w:rPr>
      <w:w w:val="103"/>
      <w:sz w:val="60"/>
      <w:szCs w:val="60"/>
    </w:rPr>
  </w:style>
  <w:style w:type="paragraph" w:customStyle="1" w:styleId="STitleL">
    <w:name w:val="S_Title_L"/>
    <w:basedOn w:val="XLarge"/>
    <w:next w:val="Normal"/>
    <w:qFormat/>
    <w:rsid w:val="00622130"/>
    <w:rPr>
      <w:spacing w:val="-8"/>
      <w:w w:val="96"/>
      <w:sz w:val="57"/>
    </w:rPr>
  </w:style>
  <w:style w:type="paragraph" w:styleId="CommentText">
    <w:name w:val="annotation text"/>
    <w:basedOn w:val="Normal"/>
    <w:link w:val="CommentTextChar"/>
    <w:uiPriority w:val="99"/>
    <w:semiHidden/>
    <w:unhideWhenUsed/>
    <w:rsid w:val="00622130"/>
    <w:pPr>
      <w:spacing w:line="240" w:lineRule="auto"/>
    </w:pPr>
    <w:rPr>
      <w:kern w:val="14"/>
    </w:rPr>
  </w:style>
  <w:style w:type="character" w:customStyle="1" w:styleId="CommentTextChar">
    <w:name w:val="Comment Text Char"/>
    <w:basedOn w:val="DefaultParagraphFont"/>
    <w:link w:val="CommentText"/>
    <w:uiPriority w:val="99"/>
    <w:semiHidden/>
    <w:rsid w:val="00622130"/>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622130"/>
    <w:rPr>
      <w:b/>
      <w:bCs/>
    </w:rPr>
  </w:style>
  <w:style w:type="character" w:customStyle="1" w:styleId="CommentSubjectChar">
    <w:name w:val="Comment Subject Char"/>
    <w:basedOn w:val="CommentTextChar"/>
    <w:link w:val="CommentSubject"/>
    <w:uiPriority w:val="99"/>
    <w:semiHidden/>
    <w:rsid w:val="00622130"/>
    <w:rPr>
      <w:rFonts w:ascii="Times New Roman" w:eastAsia="PMingLiU" w:hAnsi="Times New Roman" w:cs="Simplified Arabic"/>
      <w:b/>
      <w:bCs/>
      <w:kern w:val="14"/>
      <w:sz w:val="20"/>
    </w:rPr>
  </w:style>
  <w:style w:type="paragraph" w:customStyle="1" w:styleId="Bullet1G">
    <w:name w:val="_Bullet 1_G"/>
    <w:basedOn w:val="Normal"/>
    <w:qFormat/>
    <w:rsid w:val="00622130"/>
    <w:pPr>
      <w:numPr>
        <w:numId w:val="16"/>
      </w:numPr>
      <w:bidi w:val="0"/>
      <w:spacing w:after="120"/>
      <w:ind w:right="1134"/>
      <w:jc w:val="both"/>
    </w:pPr>
    <w:rPr>
      <w:sz w:val="22"/>
    </w:rPr>
  </w:style>
  <w:style w:type="character" w:customStyle="1" w:styleId="SingleTxtGChar">
    <w:name w:val="_ Single Txt_G Char"/>
    <w:link w:val="SingleTxtG"/>
    <w:rsid w:val="00622130"/>
    <w:rPr>
      <w:rFonts w:ascii="Times New Roman" w:eastAsia="PMingLiU" w:hAnsi="Times New Roman" w:cs="Simplified Arabic"/>
      <w:sz w:val="20"/>
      <w:szCs w:val="20"/>
      <w:lang w:val="en-GB"/>
    </w:rPr>
  </w:style>
  <w:style w:type="paragraph" w:customStyle="1" w:styleId="Preparedby">
    <w:name w:val="Prepared by:"/>
    <w:basedOn w:val="H23GA"/>
    <w:qFormat/>
    <w:rsid w:val="00622130"/>
    <w:rPr>
      <w:sz w:val="32"/>
      <w:szCs w:val="32"/>
    </w:rPr>
  </w:style>
  <w:style w:type="paragraph" w:customStyle="1" w:styleId="ParaNoG">
    <w:name w:val="_ParaNo._G"/>
    <w:basedOn w:val="SingleTxtG"/>
    <w:rsid w:val="00622130"/>
    <w:pPr>
      <w:numPr>
        <w:numId w:val="23"/>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622130"/>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622130"/>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622130"/>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62213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622130"/>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62213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622130"/>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622130"/>
    <w:pPr>
      <w:spacing w:after="0" w:line="240" w:lineRule="auto"/>
    </w:pPr>
    <w:rPr>
      <w:rFonts w:eastAsiaTheme="minorEastAsia"/>
      <w:sz w:val="24"/>
      <w:szCs w:val="24"/>
      <w:lang w:val="fr-FR" w:eastAsia="fr-FR"/>
    </w:rPr>
  </w:style>
  <w:style w:type="paragraph" w:customStyle="1" w:styleId="Default">
    <w:name w:val="Default"/>
    <w:semiHidden/>
    <w:rsid w:val="00622130"/>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622130"/>
  </w:style>
  <w:style w:type="character" w:customStyle="1" w:styleId="preferred">
    <w:name w:val="preferred"/>
    <w:basedOn w:val="DefaultParagraphFont"/>
    <w:rsid w:val="00622130"/>
  </w:style>
  <w:style w:type="character" w:customStyle="1" w:styleId="admitted">
    <w:name w:val="admitted"/>
    <w:basedOn w:val="DefaultParagraphFont"/>
    <w:rsid w:val="00622130"/>
  </w:style>
  <w:style w:type="paragraph" w:styleId="TOC7">
    <w:name w:val="toc 7"/>
    <w:basedOn w:val="Normal"/>
    <w:next w:val="Normal"/>
    <w:autoRedefine/>
    <w:uiPriority w:val="39"/>
    <w:unhideWhenUsed/>
    <w:rsid w:val="007B718D"/>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7B718D"/>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7B718D"/>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622130"/>
    <w:pPr>
      <w:bidi w:val="0"/>
      <w:spacing w:after="160" w:line="240" w:lineRule="exact"/>
      <w:jc w:val="both"/>
    </w:pPr>
    <w:rPr>
      <w:rFonts w:asciiTheme="minorHAnsi" w:eastAsia="Times New Roman" w:hAnsiTheme="minorHAnsi" w:cstheme="minorBidi"/>
      <w:sz w:val="22"/>
      <w:szCs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ndocs.org/ar/CED/C/BOL/FCO/1" TargetMode="External"/><Relationship Id="rId18" Type="http://schemas.openxmlformats.org/officeDocument/2006/relationships/hyperlink" Target="http://undocs.org/ar/CED/C/SVK/FCO/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undocs.org/ar/CED/C/BOL/FCO/1" TargetMode="External"/><Relationship Id="rId17" Type="http://schemas.openxmlformats.org/officeDocument/2006/relationships/hyperlink" Target="http://undocs.org/ar/CED/C/SVK/FCO/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ndocs.org/ar/CED/C/SVK/FCO/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ar/CED/C/BOL/FCO/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undocs.org/ar/CED/C/SVK/FCO/1" TargetMode="External"/><Relationship Id="rId23" Type="http://schemas.openxmlformats.org/officeDocument/2006/relationships/footer" Target="footer3.xml"/><Relationship Id="rId10" Type="http://schemas.openxmlformats.org/officeDocument/2006/relationships/hyperlink" Target="http://undocs.org/ar/CED/C/BOL/FCO/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ndocs.org/ar/CED/C/BOL/CO/1" TargetMode="External"/><Relationship Id="rId14" Type="http://schemas.openxmlformats.org/officeDocument/2006/relationships/hyperlink" Target="http://undocs.org/ar/CED/C/SVK/CO/1"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ar/CED/C/7" TargetMode="External"/><Relationship Id="rId2" Type="http://schemas.openxmlformats.org/officeDocument/2006/relationships/hyperlink" Target="http://undocs.org/ar/CED/C/SVK/FCO/1" TargetMode="External"/><Relationship Id="rId1" Type="http://schemas.openxmlformats.org/officeDocument/2006/relationships/hyperlink" Target="http://undocs.org/ar/CED/C/BOL/FCO/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CF3B9-0B75-4878-BFDE-A936202DC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3</TotalTime>
  <Pages>7</Pages>
  <Words>1758</Words>
  <Characters>12555</Characters>
  <Application>Microsoft Office Word</Application>
  <DocSecurity>0</DocSecurity>
  <Lines>1255</Lines>
  <Paragraphs>841</Paragraphs>
  <ScaleCrop>false</ScaleCrop>
  <HeadingPairs>
    <vt:vector size="2" baseType="variant">
      <vt:variant>
        <vt:lpstr>Title</vt:lpstr>
      </vt:variant>
      <vt:variant>
        <vt:i4>1</vt:i4>
      </vt:variant>
    </vt:vector>
  </HeadingPairs>
  <TitlesOfParts>
    <vt:vector size="1" baseType="lpstr">
      <vt:lpstr>CED/C/21/4</vt:lpstr>
    </vt:vector>
  </TitlesOfParts>
  <Company>DCM</Company>
  <LinksUpToDate>false</LinksUpToDate>
  <CharactersWithSpaces>13472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CED/C/21/4</dc:title>
  <dc:subject>GE.2115897(A)</dc:subject>
  <dc:creator>Gamal MAHMOUD - SDAHAB</dc:creator>
  <cp:keywords>GE.2131384(A)</cp:keywords>
  <dc:description>Distr.: General_x000d_
2 November 2021_x000d_
Original: English</dc:description>
  <cp:lastModifiedBy>Gamal MAHMOUD</cp:lastModifiedBy>
  <cp:revision>3</cp:revision>
  <cp:lastPrinted>2021-11-25T10:04:00Z</cp:lastPrinted>
  <dcterms:created xsi:type="dcterms:W3CDTF">2021-11-25T10:04:00Z</dcterms:created>
  <dcterms:modified xsi:type="dcterms:W3CDTF">2021-11-25T10:07:00Z</dcterms:modified>
</cp:coreProperties>
</file>