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34C404E6" w14:textId="77777777" w:rsidTr="0087760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FAA37CA" w14:textId="77777777" w:rsidR="002D5AAC" w:rsidRDefault="002D5AAC" w:rsidP="007803C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002B09BE" w14:textId="77777777" w:rsidR="002D5AAC" w:rsidRPr="00BD33EE" w:rsidRDefault="00DF71B9" w:rsidP="008776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0E21764C" w14:textId="2A84F3FB" w:rsidR="002D5AAC" w:rsidRDefault="007803C9" w:rsidP="007803C9">
            <w:pPr>
              <w:jc w:val="right"/>
            </w:pPr>
            <w:r w:rsidRPr="007803C9">
              <w:rPr>
                <w:sz w:val="40"/>
              </w:rPr>
              <w:t>CED</w:t>
            </w:r>
            <w:r>
              <w:t>/C/BRA/CO/1</w:t>
            </w:r>
          </w:p>
        </w:tc>
      </w:tr>
      <w:tr w:rsidR="002D5AAC" w:rsidRPr="00947CD6" w14:paraId="34376FDF" w14:textId="77777777" w:rsidTr="008776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FCB1BE" w14:textId="77777777" w:rsidR="002D5AAC" w:rsidRDefault="002E5067" w:rsidP="008776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E10B24" wp14:editId="1875175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3BAF4D" w14:textId="77777777" w:rsidR="002D5AAC" w:rsidRPr="00033EE1" w:rsidRDefault="00B36DF7" w:rsidP="00877609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34"/>
              </w:rPr>
              <w:t>Международная к</w:t>
            </w:r>
            <w:r w:rsidRPr="008B759B">
              <w:rPr>
                <w:b/>
                <w:spacing w:val="-4"/>
                <w:sz w:val="34"/>
                <w:szCs w:val="34"/>
              </w:rPr>
              <w:t>онвенция</w:t>
            </w:r>
            <w:r w:rsidRPr="00566BAD">
              <w:rPr>
                <w:b/>
                <w:spacing w:val="-4"/>
                <w:sz w:val="34"/>
                <w:szCs w:val="34"/>
              </w:rPr>
              <w:t xml:space="preserve"> </w:t>
            </w:r>
            <w:r>
              <w:rPr>
                <w:b/>
                <w:spacing w:val="-4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AA7E1A0" w14:textId="77777777" w:rsidR="002D5AAC" w:rsidRPr="008412B4" w:rsidRDefault="007803C9" w:rsidP="00877609">
            <w:pPr>
              <w:spacing w:before="240"/>
              <w:rPr>
                <w:lang w:val="en-US"/>
              </w:rPr>
            </w:pPr>
            <w:r w:rsidRPr="008412B4">
              <w:rPr>
                <w:lang w:val="en-US"/>
              </w:rPr>
              <w:t>Distr.: General</w:t>
            </w:r>
          </w:p>
          <w:p w14:paraId="0D73F9D3" w14:textId="77777777" w:rsidR="007803C9" w:rsidRPr="008412B4" w:rsidRDefault="007803C9" w:rsidP="007803C9">
            <w:pPr>
              <w:spacing w:line="240" w:lineRule="exact"/>
              <w:rPr>
                <w:lang w:val="en-US"/>
              </w:rPr>
            </w:pPr>
            <w:r w:rsidRPr="008412B4">
              <w:rPr>
                <w:lang w:val="en-US"/>
              </w:rPr>
              <w:t>3 November 2021</w:t>
            </w:r>
          </w:p>
          <w:p w14:paraId="3B3C2DD2" w14:textId="77777777" w:rsidR="007803C9" w:rsidRPr="008412B4" w:rsidRDefault="007803C9" w:rsidP="007803C9">
            <w:pPr>
              <w:spacing w:line="240" w:lineRule="exact"/>
              <w:rPr>
                <w:lang w:val="en-US"/>
              </w:rPr>
            </w:pPr>
            <w:r w:rsidRPr="008412B4">
              <w:rPr>
                <w:lang w:val="en-US"/>
              </w:rPr>
              <w:t>Russian</w:t>
            </w:r>
          </w:p>
          <w:p w14:paraId="4FC0D851" w14:textId="0DED23E6" w:rsidR="007803C9" w:rsidRPr="008412B4" w:rsidRDefault="007803C9" w:rsidP="007803C9">
            <w:pPr>
              <w:spacing w:line="240" w:lineRule="exact"/>
              <w:rPr>
                <w:lang w:val="en-US"/>
              </w:rPr>
            </w:pPr>
            <w:r w:rsidRPr="008412B4">
              <w:rPr>
                <w:lang w:val="en-US"/>
              </w:rPr>
              <w:t>Original: English</w:t>
            </w:r>
          </w:p>
        </w:tc>
      </w:tr>
    </w:tbl>
    <w:p w14:paraId="5927FFD9" w14:textId="77777777" w:rsidR="007803C9" w:rsidRPr="007803C9" w:rsidRDefault="007803C9" w:rsidP="007803C9">
      <w:pPr>
        <w:spacing w:before="120"/>
        <w:rPr>
          <w:b/>
          <w:sz w:val="24"/>
          <w:szCs w:val="24"/>
        </w:rPr>
      </w:pPr>
      <w:r w:rsidRPr="007803C9">
        <w:rPr>
          <w:b/>
          <w:bCs/>
          <w:sz w:val="24"/>
          <w:szCs w:val="24"/>
        </w:rPr>
        <w:t>Комитет по насильственным исчезновениям</w:t>
      </w:r>
    </w:p>
    <w:p w14:paraId="6E8F0C62" w14:textId="1C545BEB" w:rsidR="007803C9" w:rsidRPr="0012588C" w:rsidRDefault="007803C9" w:rsidP="007803C9">
      <w:pPr>
        <w:pStyle w:val="HChG"/>
      </w:pPr>
      <w:r>
        <w:tab/>
      </w:r>
      <w:r>
        <w:tab/>
        <w:t xml:space="preserve">Заключительные замечания по докладу, представленному Бразилией в соответствии </w:t>
      </w:r>
      <w:r>
        <w:br/>
        <w:t>с</w:t>
      </w:r>
      <w:r>
        <w:rPr>
          <w:lang w:val="en-US"/>
        </w:rPr>
        <w:t> </w:t>
      </w:r>
      <w:r>
        <w:t>пунктом 1 статьи 29 Конвенции</w:t>
      </w:r>
      <w:r w:rsidRPr="00375C5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00DB02AB" w14:textId="4E7F0B56" w:rsidR="007803C9" w:rsidRPr="0012588C" w:rsidRDefault="007803C9" w:rsidP="007803C9">
      <w:pPr>
        <w:pStyle w:val="SingleTxtG"/>
      </w:pPr>
      <w:r>
        <w:t>1.</w:t>
      </w:r>
      <w:r>
        <w:tab/>
        <w:t>Комитет по насильственным исчезновениям рассмотрел доклад, представленный Бразилией в соответствии с пунктом 1 статьи 29 Конвенции</w:t>
      </w:r>
      <w:r w:rsidRPr="00C035DC">
        <w:rPr>
          <w:rStyle w:val="aa"/>
        </w:rPr>
        <w:footnoteReference w:id="2"/>
      </w:r>
      <w:r w:rsidR="00582364">
        <w:t>,</w:t>
      </w:r>
      <w:r>
        <w:t xml:space="preserve"> на своих 362-м и 364-м заседаниях</w:t>
      </w:r>
      <w:r w:rsidRPr="00C035DC">
        <w:rPr>
          <w:rStyle w:val="aa"/>
        </w:rPr>
        <w:footnoteReference w:id="3"/>
      </w:r>
      <w:r w:rsidR="00582364">
        <w:t>,</w:t>
      </w:r>
      <w:r>
        <w:t xml:space="preserve"> состоявшихся 13 и 14 сентября 2021 года в смешанном формате в связи с пандемией коронавирусного заболевания (COVID-19). На своем </w:t>
      </w:r>
      <w:r w:rsidR="00582364">
        <w:br/>
      </w:r>
      <w:r>
        <w:t>379-м заседании, состоявшемся 23 сентября 2021 года, Комитет принял настоящие заключительные замечания.</w:t>
      </w:r>
    </w:p>
    <w:p w14:paraId="6D01FF5C" w14:textId="6B56F499" w:rsidR="007803C9" w:rsidRPr="0012588C" w:rsidRDefault="007803C9" w:rsidP="007803C9">
      <w:pPr>
        <w:pStyle w:val="H1G"/>
      </w:pPr>
      <w:r>
        <w:tab/>
        <w:t>A.</w:t>
      </w:r>
      <w:r>
        <w:tab/>
      </w:r>
      <w:r>
        <w:rPr>
          <w:bCs/>
        </w:rPr>
        <w:t>Введение</w:t>
      </w:r>
      <w:r>
        <w:t xml:space="preserve"> </w:t>
      </w:r>
    </w:p>
    <w:p w14:paraId="00AE50D5" w14:textId="471AE62B" w:rsidR="007803C9" w:rsidRPr="0012588C" w:rsidRDefault="007803C9" w:rsidP="007803C9">
      <w:pPr>
        <w:pStyle w:val="SingleTxtG"/>
        <w:rPr>
          <w:rStyle w:val="aa"/>
        </w:rPr>
      </w:pPr>
      <w:r>
        <w:t>2.</w:t>
      </w:r>
      <w:r>
        <w:tab/>
        <w:t>Комитет приветствует представление Бразилией, хотя и с семилетним опозданием, своего доклада в соответствии с пунктом 1 статьи 29 Конвенции. Он</w:t>
      </w:r>
      <w:r w:rsidR="00582364">
        <w:rPr>
          <w:lang w:val="en-US"/>
        </w:rPr>
        <w:t> </w:t>
      </w:r>
      <w:r>
        <w:t>также приветствует сообщение государства-участника о том, что оно опубликовало проект доклада в Интернете и провело онлайн-консультацию с общественностью, с тем чтобы гражданское общество имело возможность высказать свои замечания и предложения по тексту</w:t>
      </w:r>
      <w:r w:rsidRPr="00C035DC">
        <w:rPr>
          <w:rStyle w:val="aa"/>
        </w:rPr>
        <w:footnoteReference w:id="4"/>
      </w:r>
      <w:r w:rsidR="00582364">
        <w:t>.</w:t>
      </w:r>
      <w:r>
        <w:t xml:space="preserve"> Кроме того, Комитет благодарит государство-участник за письменные ответы</w:t>
      </w:r>
      <w:r w:rsidRPr="00C035DC">
        <w:rPr>
          <w:rStyle w:val="aa"/>
        </w:rPr>
        <w:footnoteReference w:id="5"/>
      </w:r>
      <w:r>
        <w:t xml:space="preserve"> на перечень вопросов</w:t>
      </w:r>
      <w:r w:rsidRPr="00C035DC">
        <w:rPr>
          <w:rStyle w:val="aa"/>
        </w:rPr>
        <w:footnoteReference w:id="6"/>
      </w:r>
      <w:r w:rsidR="00582364">
        <w:t>.</w:t>
      </w:r>
    </w:p>
    <w:p w14:paraId="3A5FA351" w14:textId="77777777" w:rsidR="007803C9" w:rsidRPr="0012588C" w:rsidRDefault="007803C9" w:rsidP="007803C9">
      <w:pPr>
        <w:pStyle w:val="SingleTxtG"/>
      </w:pPr>
      <w:r>
        <w:t>3.</w:t>
      </w:r>
      <w:r>
        <w:tab/>
        <w:t>Комитет приветствует возможность проведения конструктивного диалога с делегацией государства-участника по вопросу о мерах, принятых для осуществления Конвенции.</w:t>
      </w:r>
    </w:p>
    <w:p w14:paraId="02092D27" w14:textId="01F29490" w:rsidR="007803C9" w:rsidRPr="0012588C" w:rsidRDefault="007803C9" w:rsidP="007803C9">
      <w:pPr>
        <w:pStyle w:val="H1G"/>
      </w:pPr>
      <w:r>
        <w:tab/>
        <w:t>B.</w:t>
      </w:r>
      <w:r>
        <w:tab/>
      </w:r>
      <w:r>
        <w:rPr>
          <w:bCs/>
        </w:rPr>
        <w:t>Позитивные аспекты</w:t>
      </w:r>
      <w:r>
        <w:t xml:space="preserve"> </w:t>
      </w:r>
    </w:p>
    <w:p w14:paraId="3515DE20" w14:textId="77777777" w:rsidR="007803C9" w:rsidRPr="0012588C" w:rsidRDefault="007803C9" w:rsidP="007803C9">
      <w:pPr>
        <w:pStyle w:val="SingleTxtG"/>
      </w:pPr>
      <w:r>
        <w:t>4.</w:t>
      </w:r>
      <w:r>
        <w:tab/>
        <w:t xml:space="preserve">Комитет приветствует ратификацию государством-участником практически всех основных договоров Организации Объединенных Наций по правам человека и факультативных протоколов к ним, а также Межамериканской конвенции о насильственном исчезновении лиц и Римского статута Международного уголовного суда или присоединение к ним. </w:t>
      </w:r>
    </w:p>
    <w:p w14:paraId="22F74ADE" w14:textId="17B60491" w:rsidR="007803C9" w:rsidRPr="0012588C" w:rsidRDefault="007803C9" w:rsidP="007803C9">
      <w:pPr>
        <w:pStyle w:val="SingleTxtG"/>
      </w:pPr>
      <w:r>
        <w:t>5.</w:t>
      </w:r>
      <w:r>
        <w:tab/>
        <w:t xml:space="preserve">Комитет приветствует меры, принятые государством-участником в областях, имеющих отношение к Конвенции, включая утверждение в законодательном порядке Национальной политики по розыску исчезнувших лиц, создание на основании </w:t>
      </w:r>
      <w:r w:rsidR="004508CF">
        <w:br/>
      </w:r>
      <w:r>
        <w:lastRenderedPageBreak/>
        <w:t>Закона</w:t>
      </w:r>
      <w:r w:rsidR="004508CF">
        <w:t xml:space="preserve"> </w:t>
      </w:r>
      <w:r>
        <w:t>№ 13812/2019 Национального реестра исчезнувших лиц и учреждение на основании Закона № 12528/2011 Национальной комиссии по установлению истины.</w:t>
      </w:r>
    </w:p>
    <w:p w14:paraId="03FFFDF2" w14:textId="77777777" w:rsidR="007803C9" w:rsidRPr="0012588C" w:rsidRDefault="007803C9" w:rsidP="007803C9">
      <w:pPr>
        <w:pStyle w:val="SingleTxtG"/>
      </w:pPr>
      <w:r>
        <w:t>6.</w:t>
      </w:r>
      <w:r>
        <w:tab/>
        <w:t>Комитет приветствует тот факт, что государство-участник направило постоянное приглашение посетить страну мандатариям всех специальных процедур Совета по правам человека, и призывает его положительно рассмотреть просьбу о посещении страны, с которой 8 апреля 2020 года обратилась Рабочая группа по насильственным или недобровольным исчезновениям.</w:t>
      </w:r>
    </w:p>
    <w:p w14:paraId="0EBDD17B" w14:textId="028B2C83" w:rsidR="007803C9" w:rsidRPr="0012588C" w:rsidRDefault="007803C9" w:rsidP="007803C9">
      <w:pPr>
        <w:pStyle w:val="H1G"/>
      </w:pPr>
      <w:r>
        <w:tab/>
        <w:t>C.</w:t>
      </w:r>
      <w:r>
        <w:tab/>
      </w:r>
      <w:r>
        <w:rPr>
          <w:bCs/>
        </w:rPr>
        <w:t>Основные вопросы, вызывающие обеспокоенность, и</w:t>
      </w:r>
      <w:r w:rsidR="00582364">
        <w:rPr>
          <w:bCs/>
        </w:rPr>
        <w:t> </w:t>
      </w:r>
      <w:r>
        <w:rPr>
          <w:bCs/>
        </w:rPr>
        <w:t>рекомендации</w:t>
      </w:r>
      <w:r>
        <w:t xml:space="preserve"> </w:t>
      </w:r>
    </w:p>
    <w:p w14:paraId="231A27BD" w14:textId="77777777" w:rsidR="007803C9" w:rsidRPr="0012588C" w:rsidRDefault="007803C9" w:rsidP="007803C9">
      <w:pPr>
        <w:pStyle w:val="SingleTxtG"/>
      </w:pPr>
      <w:r>
        <w:t>7.</w:t>
      </w:r>
      <w:r>
        <w:tab/>
        <w:t>Комитет считает, что на момент принятия настоящих заключительных замечаний действующее в государстве-участнике законодательство, направленное на предупреждение насильственных исчезновений и наказание за них, гарантирование прав жертв и обеспечение деятельности определенных органов власти, не в полной мере соответствовало Конвенции. Комитет призывает государство-участник выполнить его рекомендации, которые были вынесены в духе конструктивного сотрудничества, для обеспечения того, чтобы существующие нормативные рамки и действия органов власти по их соблюдению в полной мере соответствовали Конвенции. Он предлагает государству-участнику воспользоваться процессом, осуществляемым в отношении законопроекта № 6240/2013, для целей выполнения соответствующих рекомендаций, содержащихся в настоящем документе.</w:t>
      </w:r>
    </w:p>
    <w:p w14:paraId="3D733F26" w14:textId="5FB14A1E" w:rsidR="007803C9" w:rsidRPr="0012588C" w:rsidRDefault="007803C9" w:rsidP="007803C9">
      <w:pPr>
        <w:pStyle w:val="H23G"/>
      </w:pPr>
      <w:r>
        <w:tab/>
        <w:t>1.</w:t>
      </w:r>
      <w:r>
        <w:tab/>
      </w:r>
      <w:r>
        <w:rPr>
          <w:bCs/>
        </w:rPr>
        <w:t>Общая информация</w:t>
      </w:r>
    </w:p>
    <w:p w14:paraId="094A6535" w14:textId="77777777" w:rsidR="007803C9" w:rsidRPr="0012588C" w:rsidRDefault="007803C9" w:rsidP="007803C9">
      <w:pPr>
        <w:pStyle w:val="H23G"/>
        <w:rPr>
          <w:b w:val="0"/>
          <w:bCs/>
        </w:rPr>
      </w:pPr>
      <w:r>
        <w:tab/>
      </w:r>
      <w:r>
        <w:tab/>
      </w:r>
      <w:r>
        <w:rPr>
          <w:bCs/>
        </w:rPr>
        <w:t>Процедура принятия срочных мер</w:t>
      </w:r>
      <w:r>
        <w:t xml:space="preserve"> </w:t>
      </w:r>
    </w:p>
    <w:p w14:paraId="061951EA" w14:textId="77777777" w:rsidR="007803C9" w:rsidRPr="0012588C" w:rsidRDefault="007803C9" w:rsidP="007803C9">
      <w:pPr>
        <w:pStyle w:val="SingleTxtG"/>
      </w:pPr>
      <w:r>
        <w:t>8.</w:t>
      </w:r>
      <w:r>
        <w:tab/>
        <w:t xml:space="preserve">Комитет отмечает, что государству-участнику был направлен только один запрос о принятии срочных мер, но сожалеет о регулярных задержках с представлением государством-участником ответов на его сообщения о последующих мерах в связи с этим запросом (статья 30). </w:t>
      </w:r>
    </w:p>
    <w:p w14:paraId="14681F34" w14:textId="77777777" w:rsidR="007803C9" w:rsidRPr="0012588C" w:rsidRDefault="007803C9" w:rsidP="007803C9">
      <w:pPr>
        <w:pStyle w:val="SingleTxtG"/>
      </w:pPr>
      <w:r>
        <w:t>9.</w:t>
      </w:r>
      <w:r>
        <w:tab/>
      </w:r>
      <w:r>
        <w:rPr>
          <w:b/>
          <w:bCs/>
        </w:rPr>
        <w:t>Комитет призывает государство-участник активизировать свое сотрудничество в рамках процедуры принятия срочных мер и принять все необходимые меры, чтобы гарантировать незамедлительную обработку его сообщений в связи с препровожденным запросом о незамедлительных действиях и своевременное принятие последующих мер в их отношении.</w:t>
      </w:r>
      <w:r>
        <w:t xml:space="preserve"> </w:t>
      </w:r>
      <w:r>
        <w:rPr>
          <w:b/>
          <w:bCs/>
        </w:rPr>
        <w:t>Он также предлагает государству-участнику распространить информацию о процедуре принятия срочных мер среди представителей гражданского общества и широкой общественности.</w:t>
      </w:r>
      <w:r>
        <w:t xml:space="preserve"> </w:t>
      </w:r>
    </w:p>
    <w:p w14:paraId="7981D345" w14:textId="77777777" w:rsidR="007803C9" w:rsidRPr="0012588C" w:rsidRDefault="007803C9" w:rsidP="007803C9">
      <w:pPr>
        <w:pStyle w:val="H23G"/>
        <w:rPr>
          <w:b w:val="0"/>
          <w:bCs/>
        </w:rPr>
      </w:pPr>
      <w:r>
        <w:tab/>
      </w:r>
      <w:r>
        <w:tab/>
      </w:r>
      <w:r>
        <w:rPr>
          <w:bCs/>
        </w:rPr>
        <w:t>Индивидуальные и межгосударственные сообщения</w:t>
      </w:r>
    </w:p>
    <w:p w14:paraId="049305EA" w14:textId="2F01E122" w:rsidR="007803C9" w:rsidRPr="0012588C" w:rsidRDefault="007803C9" w:rsidP="007803C9">
      <w:pPr>
        <w:pStyle w:val="SingleTxtG"/>
      </w:pPr>
      <w:r>
        <w:t>10.</w:t>
      </w:r>
      <w:r>
        <w:tab/>
        <w:t>Комитет отмечает, что государство-участник еще не признало компетенцию Комитета получать и рассматривать индивидуальные и межгосударственные сообщения согласно соответственно статьям 31 и 32 Конвенции. Комитет отмечает проведение широких внутренних консультаций по этому вопросу, но сожалеет по поводу заявления государства-участника о том, что нет никаких признаков того, что государство-участник признает эту компетенцию в ближайшем будущем (статьи 31 и</w:t>
      </w:r>
      <w:r w:rsidR="00582364">
        <w:t> </w:t>
      </w:r>
      <w:r>
        <w:t>32).</w:t>
      </w:r>
    </w:p>
    <w:p w14:paraId="1756A1A0" w14:textId="40FCCBEF" w:rsidR="007803C9" w:rsidRPr="0012588C" w:rsidRDefault="007803C9" w:rsidP="007803C9">
      <w:pPr>
        <w:pStyle w:val="SingleTxtG"/>
      </w:pPr>
      <w:r>
        <w:t>11.</w:t>
      </w:r>
      <w:r>
        <w:tab/>
      </w:r>
      <w:r>
        <w:rPr>
          <w:b/>
          <w:bCs/>
        </w:rPr>
        <w:t>Комитет призывает государство-участник признать компетенцию Комитета получать и рассматривать индивидуальные и межгосударственные сообщения согласно соответственно статьям 31 и 32 Конвенции в целях укрепления предусмотренного ею режима защиты от насильственных исчезновений.</w:t>
      </w:r>
    </w:p>
    <w:p w14:paraId="718332C4" w14:textId="2F7543A8" w:rsidR="007803C9" w:rsidRPr="0012588C" w:rsidRDefault="007803C9" w:rsidP="007803C9">
      <w:pPr>
        <w:pStyle w:val="H23G"/>
      </w:pPr>
      <w:r>
        <w:lastRenderedPageBreak/>
        <w:tab/>
        <w:t>2.</w:t>
      </w:r>
      <w:r>
        <w:tab/>
      </w:r>
      <w:r>
        <w:rPr>
          <w:bCs/>
        </w:rPr>
        <w:t>Определение насильственного исчезновения и его квалификация в качестве уголовно наказуемого деяния (статьи 1–7)</w:t>
      </w:r>
    </w:p>
    <w:p w14:paraId="513F7985" w14:textId="77777777" w:rsidR="007803C9" w:rsidRPr="0012588C" w:rsidRDefault="007803C9" w:rsidP="007803C9">
      <w:pPr>
        <w:pStyle w:val="H23G"/>
      </w:pPr>
      <w:r>
        <w:tab/>
      </w:r>
      <w:r>
        <w:tab/>
      </w:r>
      <w:r>
        <w:rPr>
          <w:bCs/>
        </w:rPr>
        <w:t>Статистическая информация</w:t>
      </w:r>
    </w:p>
    <w:p w14:paraId="0B25C7F3" w14:textId="484852B7" w:rsidR="007803C9" w:rsidRPr="0012588C" w:rsidRDefault="007803C9" w:rsidP="007803C9">
      <w:pPr>
        <w:pStyle w:val="SingleTxtG"/>
      </w:pPr>
      <w:r>
        <w:t>12.</w:t>
      </w:r>
      <w:r>
        <w:tab/>
        <w:t xml:space="preserve">Комитет сожалеет, что государство-участник не представило дезагрегированную статистическую информацию об исчезнувших лицах, в том числе о случаях насильственного исчезновения по смыслу статьи 2 Конвенции. В этой связи он с интересом отмечает полученную в ходе диалога информацию о создании на основании Закона № 13812/2019 Национального реестра исчезнувших лиц, который в настоящее время находится в стадии разработки и должен </w:t>
      </w:r>
      <w:r w:rsidR="004508CF">
        <w:t xml:space="preserve">быть </w:t>
      </w:r>
      <w:r>
        <w:t>введен в действие в ближайшие месяцы. В частности, он приветствует заявление государства-участника о том, что Национальный реестр будет охватывать все возможные формы исчезновений, включая насильственное исчезновение, и будет связан, в частности, с Национальной системой поиска и идентификации исчезнувших лиц (статьи 1, 3 и 12).</w:t>
      </w:r>
    </w:p>
    <w:p w14:paraId="43746695" w14:textId="45209A98" w:rsidR="007803C9" w:rsidRPr="0012588C" w:rsidRDefault="007803C9" w:rsidP="007803C9">
      <w:pPr>
        <w:pStyle w:val="SingleTxtG"/>
      </w:pPr>
      <w:r>
        <w:t>13.</w:t>
      </w:r>
      <w:r>
        <w:tab/>
      </w:r>
      <w:r>
        <w:rPr>
          <w:b/>
          <w:bCs/>
        </w:rPr>
        <w:t>Государству-участнику следует предпринять необходимые шаги для оперативной подготовки точной и актуальной статистической информации об исчезнувших лицах в разбивке по полу, возрасту, гражданству, месту происхождения и расовой или этнической принадлежности.</w:t>
      </w:r>
      <w:r>
        <w:t xml:space="preserve"> </w:t>
      </w:r>
      <w:r>
        <w:rPr>
          <w:b/>
          <w:bCs/>
        </w:rPr>
        <w:t>Такая статистическая информация должна включать дату исчезновения;</w:t>
      </w:r>
      <w:r>
        <w:t xml:space="preserve"> </w:t>
      </w:r>
      <w:r>
        <w:rPr>
          <w:b/>
          <w:bCs/>
        </w:rPr>
        <w:t>количество лиц, местонахождение которых было установлено, как живых, так и умерших;</w:t>
      </w:r>
      <w:r>
        <w:t xml:space="preserve"> </w:t>
      </w:r>
      <w:r>
        <w:rPr>
          <w:b/>
          <w:bCs/>
        </w:rPr>
        <w:t>и количество случаев, в которых, возможно, имело место участие государства в той или иной форме по смыслу статьи 2 Конвенции.</w:t>
      </w:r>
      <w:r>
        <w:t xml:space="preserve"> </w:t>
      </w:r>
      <w:r>
        <w:rPr>
          <w:b/>
          <w:bCs/>
        </w:rPr>
        <w:t>В этой связи Комитет рекомендует государству-участнику ускорить процесс создания Национального реестра исчезнувших лиц, обеспечив, чтобы он содержал как минимум всю информацию, упомянутую в настоящей рекомендации.</w:t>
      </w:r>
    </w:p>
    <w:p w14:paraId="63902989" w14:textId="77777777" w:rsidR="007803C9" w:rsidRPr="0012588C" w:rsidRDefault="007803C9" w:rsidP="007803C9">
      <w:pPr>
        <w:pStyle w:val="H23G"/>
      </w:pPr>
      <w:r>
        <w:tab/>
      </w:r>
      <w:r>
        <w:tab/>
      </w:r>
      <w:r>
        <w:rPr>
          <w:bCs/>
        </w:rPr>
        <w:t>Преступление насильственного исчезновения</w:t>
      </w:r>
    </w:p>
    <w:p w14:paraId="2C964A95" w14:textId="3012D481" w:rsidR="007803C9" w:rsidRPr="0012588C" w:rsidRDefault="007803C9" w:rsidP="004508CF">
      <w:pPr>
        <w:pStyle w:val="SingleTxtG"/>
      </w:pPr>
      <w:r>
        <w:t>14.</w:t>
      </w:r>
      <w:r>
        <w:tab/>
        <w:t xml:space="preserve">Комитет обеспокоен тем, что государство-участник до сих пор не приняло нормативного акта, в соответствии с которым насильственное исчезновение квалифицировалось бы в качестве самостоятельного преступления. Комитет отмечает, что законопроект № 6240/2013 еще не утвержден и что, хотя он и содержит положения об отягчающих обстоятельствах, предусмотренное наказание в виде лишения свободы на срок от 6 до 10 лет не отражает всей тяжести этого преступления, особенно в случае наличия смягчающих обстоятельств. Комитет также принимает к сведению сделанное государством-участником в ходе диалога заявление о том, что Конвенция не может быть применена к делам, на которые распространяется Закон об амнистии </w:t>
      </w:r>
      <w:r w:rsidR="00582364">
        <w:br/>
      </w:r>
      <w:r>
        <w:t>(№ 6683/1979), поскольку они были начаты до вступления Конвенции в силу. Тем не менее, принимая во внимание длящийся характер насильственных исчезновений, Комитет обеспокоен ограничениями на применение положений о преступлении насильственного исчезновения, которые будут введены после принятия Закона об амнистии (статьи 2, 4, 7 и 8).</w:t>
      </w:r>
    </w:p>
    <w:p w14:paraId="1CB7F97E" w14:textId="77777777" w:rsidR="007803C9" w:rsidRPr="0012588C" w:rsidRDefault="007803C9" w:rsidP="007803C9">
      <w:pPr>
        <w:pStyle w:val="SingleTxtG"/>
        <w:rPr>
          <w:b/>
        </w:rPr>
      </w:pPr>
      <w:r>
        <w:t>15.</w:t>
      </w:r>
      <w:r>
        <w:tab/>
      </w:r>
      <w:r>
        <w:rPr>
          <w:b/>
          <w:bCs/>
        </w:rPr>
        <w:t>Комитет рекомендует государству-участнику принять необходимые меры для:</w:t>
      </w:r>
    </w:p>
    <w:p w14:paraId="58EB1590" w14:textId="5A8A8535" w:rsidR="007803C9" w:rsidRPr="00582364" w:rsidRDefault="00582364" w:rsidP="007803C9">
      <w:pPr>
        <w:pStyle w:val="SingleTxtG"/>
        <w:rPr>
          <w:b/>
          <w:bCs/>
        </w:rPr>
      </w:pPr>
      <w:r>
        <w:rPr>
          <w:b/>
          <w:bCs/>
        </w:rPr>
        <w:tab/>
      </w:r>
      <w:r w:rsidR="007803C9" w:rsidRPr="00582364">
        <w:rPr>
          <w:b/>
          <w:bCs/>
        </w:rPr>
        <w:t>a)</w:t>
      </w:r>
      <w:r w:rsidR="007803C9" w:rsidRPr="00582364">
        <w:rPr>
          <w:b/>
          <w:bCs/>
        </w:rPr>
        <w:tab/>
        <w:t>ускорения процесса принятия нормативного акта, в соответствии с которым насильственное исчезновение квалифицировалось бы в качестве самостоятельного преступления, обеспечив при этом, чтобы его определение полностью соответствовало статье 2 Конвенции и предусматривало соответствующие меры наказания с учетом чрезвычайной серьезности этого преступления;</w:t>
      </w:r>
    </w:p>
    <w:p w14:paraId="4DA71765" w14:textId="0F253100" w:rsidR="007803C9" w:rsidRPr="0012588C" w:rsidRDefault="00582364" w:rsidP="007803C9">
      <w:pPr>
        <w:pStyle w:val="SingleTxtG"/>
        <w:rPr>
          <w:b/>
        </w:rPr>
      </w:pPr>
      <w:r>
        <w:rPr>
          <w:b/>
          <w:bCs/>
        </w:rPr>
        <w:tab/>
      </w:r>
      <w:r w:rsidR="007803C9" w:rsidRPr="00582364">
        <w:rPr>
          <w:b/>
          <w:bCs/>
        </w:rPr>
        <w:t>b)</w:t>
      </w:r>
      <w:r w:rsidR="007803C9" w:rsidRPr="00582364">
        <w:rPr>
          <w:b/>
          <w:bCs/>
        </w:rPr>
        <w:tab/>
        <w:t>обеспечения того, чтобы в отношении применения принятого нормативного акта в случаях насильственных исчезновений, начавшихся до его вступле</w:t>
      </w:r>
      <w:r w:rsidR="007803C9">
        <w:rPr>
          <w:b/>
          <w:bCs/>
        </w:rPr>
        <w:t>ния в силу, но продолжавшихся в последующий период, не действовало никаких ограничений, включая те, которые могут быть введены на основании Закона об амнистии.</w:t>
      </w:r>
      <w:r w:rsidR="007803C9">
        <w:t xml:space="preserve"> </w:t>
      </w:r>
    </w:p>
    <w:p w14:paraId="1E394E9E" w14:textId="77777777" w:rsidR="007803C9" w:rsidRPr="0012588C" w:rsidRDefault="007803C9" w:rsidP="007803C9">
      <w:pPr>
        <w:pStyle w:val="H23G"/>
      </w:pPr>
      <w:r>
        <w:lastRenderedPageBreak/>
        <w:tab/>
      </w:r>
      <w:r>
        <w:tab/>
      </w:r>
      <w:r>
        <w:rPr>
          <w:bCs/>
        </w:rPr>
        <w:t>Насильственное исчезновение как преступление против человечности</w:t>
      </w:r>
    </w:p>
    <w:p w14:paraId="1789BD78" w14:textId="516D5525" w:rsidR="007803C9" w:rsidRPr="0012588C" w:rsidRDefault="007803C9" w:rsidP="007803C9">
      <w:pPr>
        <w:pStyle w:val="SingleTxtG"/>
        <w:rPr>
          <w:b/>
          <w:bCs/>
        </w:rPr>
      </w:pPr>
      <w:r>
        <w:t>16.</w:t>
      </w:r>
      <w:r>
        <w:tab/>
        <w:t xml:space="preserve">Комитет принимает к сведению утверждение государства-участника о </w:t>
      </w:r>
      <w:r w:rsidR="00582364">
        <w:t>«</w:t>
      </w:r>
      <w:r>
        <w:t>полном признании</w:t>
      </w:r>
      <w:r w:rsidR="00582364">
        <w:t>»</w:t>
      </w:r>
      <w:r>
        <w:t xml:space="preserve"> Римского статута в его судебной системе</w:t>
      </w:r>
      <w:r w:rsidR="004C4655" w:rsidRPr="00C035DC">
        <w:rPr>
          <w:rStyle w:val="aa"/>
        </w:rPr>
        <w:footnoteReference w:id="7"/>
      </w:r>
      <w:r>
        <w:t>, т</w:t>
      </w:r>
      <w:r w:rsidR="004508CF">
        <w:t>. </w:t>
      </w:r>
      <w:r>
        <w:t>е</w:t>
      </w:r>
      <w:r w:rsidR="004508CF">
        <w:t>.</w:t>
      </w:r>
      <w:r>
        <w:t xml:space="preserve"> о его применении судами, а также о том, что, поскольку в соответствии со Статутом насильственное исчезновение квалифицируется как преступление против человечности, когда оно совершается в рамках широкомасштабного или систематического нападения на гражданское население, во внутренней правовой системе оно рассматривается таким же образом</w:t>
      </w:r>
      <w:r w:rsidR="004508CF">
        <w:t>.</w:t>
      </w:r>
      <w:r>
        <w:t xml:space="preserve"> Однако Комитет сожалеет по поводу отсутствия ясности в вопросе о том, могут ли национальные уголовные суды напрямую применять Статут, включая предусмотренные в нем меры наказания, для обеспечения судебного преследования и наказания лиц, подозреваемых в совершении преступлений против человечности (статья 5). </w:t>
      </w:r>
    </w:p>
    <w:p w14:paraId="1A3675AB" w14:textId="73FAFE80" w:rsidR="007803C9" w:rsidRPr="004C4655" w:rsidRDefault="007803C9" w:rsidP="007803C9">
      <w:pPr>
        <w:pStyle w:val="SingleTxtG"/>
      </w:pPr>
      <w:r>
        <w:t>17.</w:t>
      </w:r>
      <w:r>
        <w:tab/>
      </w:r>
      <w:r>
        <w:rPr>
          <w:b/>
          <w:bCs/>
        </w:rPr>
        <w:t>Комитет рекомендует государству-участнику принять необходимые меры с целью эксплицитного признания насильственного исчезновения преступлением против человечности в своем внутреннем законодательстве.</w:t>
      </w:r>
      <w:r w:rsidR="004C4655" w:rsidRPr="004C4655">
        <w:rPr>
          <w:b/>
          <w:bCs/>
        </w:rPr>
        <w:t xml:space="preserve"> </w:t>
      </w:r>
    </w:p>
    <w:p w14:paraId="364CE921" w14:textId="7FCCF0A3" w:rsidR="007803C9" w:rsidRPr="0012588C" w:rsidRDefault="00582364" w:rsidP="007803C9">
      <w:pPr>
        <w:pStyle w:val="H23G"/>
      </w:pPr>
      <w:r>
        <w:tab/>
      </w:r>
      <w:r w:rsidR="007803C9">
        <w:t>3.</w:t>
      </w:r>
      <w:r w:rsidR="007803C9">
        <w:tab/>
      </w:r>
      <w:r w:rsidR="007803C9">
        <w:rPr>
          <w:bCs/>
        </w:rPr>
        <w:t>Уголовная ответственность и сотрудничество судебных органов в связи с</w:t>
      </w:r>
      <w:r>
        <w:rPr>
          <w:bCs/>
          <w:lang w:val="en-US"/>
        </w:rPr>
        <w:t> </w:t>
      </w:r>
      <w:r w:rsidR="007803C9">
        <w:rPr>
          <w:bCs/>
        </w:rPr>
        <w:t>насильственными исчезновениями (статьи 8–15)</w:t>
      </w:r>
      <w:r w:rsidR="007803C9">
        <w:t xml:space="preserve"> </w:t>
      </w:r>
    </w:p>
    <w:p w14:paraId="3F985FD2" w14:textId="77777777" w:rsidR="007803C9" w:rsidRPr="0012588C" w:rsidRDefault="007803C9" w:rsidP="007803C9">
      <w:pPr>
        <w:pStyle w:val="H23G"/>
      </w:pPr>
      <w:r>
        <w:tab/>
      </w:r>
      <w:r>
        <w:tab/>
      </w:r>
      <w:r>
        <w:rPr>
          <w:bCs/>
        </w:rPr>
        <w:t>Военная юрисдикция</w:t>
      </w:r>
    </w:p>
    <w:p w14:paraId="53A0C40B" w14:textId="6ED78B43" w:rsidR="007803C9" w:rsidRPr="0012588C" w:rsidRDefault="007803C9" w:rsidP="007803C9">
      <w:pPr>
        <w:pStyle w:val="SingleTxtG"/>
      </w:pPr>
      <w:r>
        <w:t>18.</w:t>
      </w:r>
      <w:r>
        <w:tab/>
        <w:t>Комитет принимает к сведению утверждение государства-участника о том, что существующая правовая база, в том числе Закон № 13491/2017, исключает дела о насильственном исчезновении из юрисдикции военных судов</w:t>
      </w:r>
      <w:r w:rsidRPr="00C035DC">
        <w:rPr>
          <w:rStyle w:val="aa"/>
        </w:rPr>
        <w:footnoteReference w:id="8"/>
      </w:r>
      <w:r w:rsidR="00582364">
        <w:t>.</w:t>
      </w:r>
      <w:r>
        <w:t xml:space="preserve"> Однако Комитет отмечает, что при определенных обстоятельствах, указанных в этом законе, в случаях умышленных преступлений против жизни гражданских лиц, совершенных военнослужащими, гражданские суды передают юрисдикцию военным судам. Комитет также отмечает, что, согласно информации государства-участника, случаи насильственного исчезновения, поскольку оно не квалифицируется в качестве самостоятельного преступления, подвергаются уголовному преследованию по статьям о других уголовных преступлениях, включая умышленное убийство. Поэтому Комитет обеспокоен тем, что дела, в рамках которых насильственное исчезновение расследуется в качестве, например, такого преступления, как умышленное убийство, могут попасть под юрисдикцию военных судов. В этой связи он обеспокоен информацией о том, что в 2018 году суд штата Баия постановил, причем именно на основании Закона № 13491/2017, что дело о предполагаемом насильственном исчезновении Давида Фиузы в штате Баия в 2014 году подпадает под юрисдикцию военных судов. Комитет подтверждает свою позицию, что в принципе все случаи насильственного исчезновения должны рассматриваться только компетентными обычными гражданскими властями (статья 11).</w:t>
      </w:r>
    </w:p>
    <w:p w14:paraId="598DC225" w14:textId="6E819533" w:rsidR="007803C9" w:rsidRPr="004C4655" w:rsidRDefault="007803C9" w:rsidP="007803C9">
      <w:pPr>
        <w:pStyle w:val="SingleTxtG"/>
      </w:pPr>
      <w:r>
        <w:t>19.</w:t>
      </w:r>
      <w:r>
        <w:tab/>
      </w:r>
      <w:r w:rsidRPr="004C4655">
        <w:rPr>
          <w:b/>
          <w:bCs/>
        </w:rPr>
        <w:t>Комитет, ссылаясь на свое заявление о насильственных исчезновениях и военной юрисдикции</w:t>
      </w:r>
      <w:r w:rsidRPr="00C035DC">
        <w:rPr>
          <w:rStyle w:val="aa"/>
        </w:rPr>
        <w:footnoteReference w:id="9"/>
      </w:r>
      <w:r w:rsidR="00947CD6" w:rsidRPr="004C4655">
        <w:rPr>
          <w:b/>
          <w:bCs/>
        </w:rPr>
        <w:t>, рекомендует государству-участнику оперативно принять необходимые меры, с тем чтобы эксплицитно исключить расследование и судебное преследование по делам о насильственных исчезновениях из компетенции военных судов</w:t>
      </w:r>
      <w:r w:rsidR="00582364">
        <w:t>.</w:t>
      </w:r>
      <w:r w:rsidR="004C4655" w:rsidRPr="004C4655">
        <w:t xml:space="preserve"> </w:t>
      </w:r>
    </w:p>
    <w:p w14:paraId="2E5DF1B7" w14:textId="77777777" w:rsidR="007803C9" w:rsidRPr="0012588C" w:rsidRDefault="007803C9" w:rsidP="007803C9">
      <w:pPr>
        <w:pStyle w:val="H23G"/>
      </w:pPr>
      <w:r>
        <w:tab/>
      </w:r>
      <w:r>
        <w:tab/>
      </w:r>
      <w:r>
        <w:rPr>
          <w:bCs/>
        </w:rPr>
        <w:t>Предупреждение действий, которые могут помешать проведению расследования</w:t>
      </w:r>
    </w:p>
    <w:p w14:paraId="650EBF03" w14:textId="028F9C2D" w:rsidR="007803C9" w:rsidRPr="0012588C" w:rsidRDefault="007803C9" w:rsidP="007803C9">
      <w:pPr>
        <w:pStyle w:val="SingleTxtG"/>
      </w:pPr>
      <w:r>
        <w:t>20.</w:t>
      </w:r>
      <w:r>
        <w:tab/>
        <w:t>Комитет принимает к сведению утверждение государства-участника о том, что лица, обвиняемые в совершении преступления, не могут участвовать в расследовании этого преступления и отстраняются от своей должности на время его проведения</w:t>
      </w:r>
      <w:r w:rsidRPr="00C035DC">
        <w:rPr>
          <w:rStyle w:val="aa"/>
        </w:rPr>
        <w:footnoteReference w:id="10"/>
      </w:r>
      <w:r w:rsidR="00582364">
        <w:t>.</w:t>
      </w:r>
      <w:r>
        <w:t xml:space="preserve"> Однако он сожалеет, что не получил никаких разъяснений относительно правовой основы для создания механизма, обеспечивающего, чтобы правоохранительные органы или силы безопасности не участвовали в расследовании заявления о </w:t>
      </w:r>
      <w:r>
        <w:lastRenderedPageBreak/>
        <w:t>насильственном исчезновении, когда одно или несколько их должностных лиц подозреваются в причастности к совершению преступления (статья 12).</w:t>
      </w:r>
    </w:p>
    <w:p w14:paraId="01C2C583" w14:textId="77777777" w:rsidR="007803C9" w:rsidRPr="0012588C" w:rsidRDefault="007803C9" w:rsidP="007803C9">
      <w:pPr>
        <w:pStyle w:val="SingleTxtG"/>
      </w:pPr>
      <w:r>
        <w:t>21.</w:t>
      </w:r>
      <w:r>
        <w:tab/>
      </w:r>
      <w:r>
        <w:rPr>
          <w:b/>
          <w:bCs/>
        </w:rPr>
        <w:t>Комитет рекомендует государству-участнику создать механизм, обеспечивающий, чтобы правоохранительным органам или силам безопасности, как гражданским, так и военным, должностные лица которых подозреваются в совершении насильственного исчезновения, запрещалось участвовать в расследовании на любом его этапе.</w:t>
      </w:r>
      <w:r>
        <w:t xml:space="preserve"> </w:t>
      </w:r>
    </w:p>
    <w:p w14:paraId="281FE9E4" w14:textId="77777777" w:rsidR="007803C9" w:rsidRPr="0012588C" w:rsidRDefault="007803C9" w:rsidP="007803C9">
      <w:pPr>
        <w:pStyle w:val="H23G"/>
      </w:pPr>
      <w:r>
        <w:tab/>
      </w:r>
      <w:r>
        <w:tab/>
      </w:r>
      <w:r>
        <w:rPr>
          <w:bCs/>
        </w:rPr>
        <w:t>Сообщения о насильственных исчезновениях</w:t>
      </w:r>
    </w:p>
    <w:p w14:paraId="6B5C8541" w14:textId="67031DA6" w:rsidR="007803C9" w:rsidRPr="0012588C" w:rsidRDefault="007803C9" w:rsidP="007803C9">
      <w:pPr>
        <w:pStyle w:val="SingleTxtG"/>
      </w:pPr>
      <w:r>
        <w:t>22.</w:t>
      </w:r>
      <w:r>
        <w:tab/>
        <w:t>Комитет принимает к сведению сделанное государством-участником в ходе диалога заявление об отсутствии четких доказательств, указывающих на то, что случаи насильственных исчезновений имели место, по крайней мере, в сколько-нибудь значительных масштабах, в условиях бразильской демократии. Однако Комитет обеспокоен полученными сообщениями о насильственных исчезновениях, предположительно совершенных в последнее время, в основном в отношении лиц африканского происхождения и лиц, проживающих в трущобах или на окраинах крупных городов. Он также обеспокоен утверждениями о том, что прогресс в расследовании случаев насильственного исчезновения является ограниченным, что способствует безнаказанности за такие преступления. Кроме того, Комитет обеспокоен сообщениями о случаях насильственных исчезновений, которые предположительно начались до вступления Конвенции в силу для государства-участника в декабре 2010 года, в частности в период 1964</w:t>
      </w:r>
      <w:r w:rsidR="003000B1" w:rsidRPr="003000B1">
        <w:t>–</w:t>
      </w:r>
      <w:r>
        <w:t>1985 годов, и которые продолжаются, поскольку местонахождение исчезнувших лиц не установлено. Комитет сожалеет, что государство-участник не предприняло в процессе подготовки доклада никаких действий в отношении этих случаев. В этой связи Комитет напоминает о своем заявлении по вопросу об элемент</w:t>
      </w:r>
      <w:r w:rsidRPr="00582364">
        <w:t>е ratione temporis в расс</w:t>
      </w:r>
      <w:r>
        <w:t>мотрении докладов, представляемых государствами-участниками в соответствии с Конвенцией</w:t>
      </w:r>
      <w:r w:rsidRPr="00C035DC">
        <w:rPr>
          <w:rStyle w:val="aa"/>
        </w:rPr>
        <w:footnoteReference w:id="11"/>
      </w:r>
      <w:r w:rsidR="003000B1" w:rsidRPr="003000B1">
        <w:t>.</w:t>
      </w:r>
      <w:r>
        <w:t xml:space="preserve"> Что касается случаев насильственных исчезновений, предположительно совершенных в период 1964</w:t>
      </w:r>
      <w:r w:rsidR="003000B1" w:rsidRPr="003000B1">
        <w:t>–</w:t>
      </w:r>
      <w:r>
        <w:t>1985 годов, то Комитет приветствует создание Национальной комиссии по установлению истины и Специальной комиссии по политическим убийствам и исчезновениям людей, а также их важную работу. Однако он обеспокоен сообщениями о том, что никто не несет ответственности за такие случаи насильственного исчезновения, в основном из-за применения Закона об амнистии, и сожалеет, что не получил достаточной информации о достигнутом на сегодняшний день прогрессе в части усилий по установлению местонахождения, а в случае смерти, идентификации лиц, исчезнувших в этот период (статьи 1, 2, 8, 12 и</w:t>
      </w:r>
      <w:r w:rsidR="00582364">
        <w:t> </w:t>
      </w:r>
      <w:r>
        <w:t>24).</w:t>
      </w:r>
    </w:p>
    <w:p w14:paraId="5770ECA6" w14:textId="77777777" w:rsidR="007803C9" w:rsidRPr="0012588C" w:rsidRDefault="007803C9" w:rsidP="007803C9">
      <w:pPr>
        <w:pStyle w:val="SingleTxtG"/>
        <w:rPr>
          <w:b/>
        </w:rPr>
      </w:pPr>
      <w:r>
        <w:t>23.</w:t>
      </w:r>
      <w:r>
        <w:tab/>
      </w:r>
      <w:r>
        <w:rPr>
          <w:b/>
          <w:bCs/>
        </w:rPr>
        <w:t>Комитет рекомендует государству-участнику принять необходимые меры, с тем чтобы гарантировать всем жертвам насильственных исчезновений, независимо от того, когда началось исчезновение, прав на правосудие, установление истины и получение возмещения.</w:t>
      </w:r>
      <w:r>
        <w:t xml:space="preserve"> </w:t>
      </w:r>
      <w:r>
        <w:rPr>
          <w:b/>
          <w:bCs/>
        </w:rPr>
        <w:t>В этой связи он рекомендует государству-участнику:</w:t>
      </w:r>
    </w:p>
    <w:p w14:paraId="223374A6" w14:textId="63FCC7BC" w:rsidR="007803C9" w:rsidRPr="00582364" w:rsidRDefault="00582364" w:rsidP="007803C9">
      <w:pPr>
        <w:pStyle w:val="SingleTxtG"/>
        <w:rPr>
          <w:b/>
          <w:bCs/>
        </w:rPr>
      </w:pPr>
      <w:r>
        <w:rPr>
          <w:b/>
          <w:bCs/>
        </w:rPr>
        <w:tab/>
      </w:r>
      <w:r w:rsidR="007803C9" w:rsidRPr="00582364">
        <w:rPr>
          <w:b/>
          <w:bCs/>
        </w:rPr>
        <w:t>a)</w:t>
      </w:r>
      <w:r w:rsidR="007803C9" w:rsidRPr="00582364">
        <w:rPr>
          <w:b/>
          <w:bCs/>
        </w:rPr>
        <w:tab/>
        <w:t>обеспечить оперативное, тщательное и беспристрастное расследование всех случаев насильственных исчезновений, даже при отсутствии официального заявления о возбуждении уголовного дела, судебное преследование предполагаемых правонарушителей и в случае признания их виновными назначение им мер наказания сообразно тяжести совершенных ими деяний;</w:t>
      </w:r>
    </w:p>
    <w:p w14:paraId="2B0EBDB4" w14:textId="3B1B8245" w:rsidR="007803C9" w:rsidRPr="0012588C" w:rsidRDefault="00582364" w:rsidP="007803C9">
      <w:pPr>
        <w:pStyle w:val="SingleTxtG"/>
        <w:rPr>
          <w:b/>
          <w:bCs/>
        </w:rPr>
      </w:pPr>
      <w:r>
        <w:rPr>
          <w:b/>
          <w:bCs/>
        </w:rPr>
        <w:tab/>
      </w:r>
      <w:r w:rsidR="007803C9" w:rsidRPr="00582364">
        <w:rPr>
          <w:b/>
          <w:bCs/>
        </w:rPr>
        <w:t>b)</w:t>
      </w:r>
      <w:r w:rsidR="007803C9" w:rsidRPr="00582364">
        <w:rPr>
          <w:b/>
          <w:bCs/>
        </w:rPr>
        <w:tab/>
        <w:t>устранить любые юридические препятствия на пути расследования преступлений насильственного исчезновения, которые были совершены во врем</w:t>
      </w:r>
      <w:r w:rsidR="007803C9">
        <w:rPr>
          <w:b/>
          <w:bCs/>
        </w:rPr>
        <w:t>я военного режима, но еще не прекратились, в частности, препятствия, обусловленные применением Закона об амнистии;</w:t>
      </w:r>
    </w:p>
    <w:p w14:paraId="6F905B1C" w14:textId="16B7B37B" w:rsidR="007803C9" w:rsidRPr="00582364" w:rsidRDefault="00582364" w:rsidP="007803C9">
      <w:pPr>
        <w:pStyle w:val="SingleTxtG"/>
        <w:rPr>
          <w:b/>
          <w:bCs/>
        </w:rPr>
      </w:pPr>
      <w:r>
        <w:rPr>
          <w:b/>
          <w:bCs/>
        </w:rPr>
        <w:lastRenderedPageBreak/>
        <w:tab/>
      </w:r>
      <w:r w:rsidR="007803C9" w:rsidRPr="00582364">
        <w:rPr>
          <w:b/>
          <w:bCs/>
        </w:rPr>
        <w:t>c)</w:t>
      </w:r>
      <w:r w:rsidR="007803C9" w:rsidRPr="00582364">
        <w:rPr>
          <w:b/>
          <w:bCs/>
        </w:rPr>
        <w:tab/>
        <w:t>активизировать усилия по борьбе с дискриминацией определенных целевых уязвимых групп для предотвращения их исчезновения и обеспечения им полного доступа к праву на правосудие;</w:t>
      </w:r>
    </w:p>
    <w:p w14:paraId="10042E45" w14:textId="206D287D" w:rsidR="007803C9" w:rsidRPr="00582364" w:rsidRDefault="00582364" w:rsidP="007803C9">
      <w:pPr>
        <w:pStyle w:val="SingleTxtG"/>
        <w:rPr>
          <w:b/>
          <w:bCs/>
        </w:rPr>
      </w:pPr>
      <w:r>
        <w:rPr>
          <w:b/>
          <w:bCs/>
        </w:rPr>
        <w:tab/>
      </w:r>
      <w:r w:rsidR="007803C9" w:rsidRPr="00582364">
        <w:rPr>
          <w:b/>
          <w:bCs/>
        </w:rPr>
        <w:t>d)</w:t>
      </w:r>
      <w:r w:rsidR="007803C9" w:rsidRPr="00582364">
        <w:rPr>
          <w:b/>
          <w:bCs/>
        </w:rPr>
        <w:tab/>
        <w:t>поощрять и облегчать документальное оформление и подачу жалоб представителями гражданского общества и участие родственников в расследованиях, а также обеспечивать регулярное информирование родственников о ходе и результатах расследований;</w:t>
      </w:r>
    </w:p>
    <w:p w14:paraId="0B6FD287" w14:textId="45F501BC" w:rsidR="007803C9" w:rsidRPr="00582364" w:rsidRDefault="00582364" w:rsidP="007803C9">
      <w:pPr>
        <w:pStyle w:val="SingleTxtG"/>
        <w:rPr>
          <w:b/>
          <w:bCs/>
        </w:rPr>
      </w:pPr>
      <w:r>
        <w:rPr>
          <w:b/>
          <w:bCs/>
        </w:rPr>
        <w:tab/>
      </w:r>
      <w:r w:rsidR="007803C9" w:rsidRPr="00582364">
        <w:rPr>
          <w:b/>
          <w:bCs/>
        </w:rPr>
        <w:t>e)</w:t>
      </w:r>
      <w:r w:rsidR="007803C9" w:rsidRPr="00582364">
        <w:rPr>
          <w:b/>
          <w:bCs/>
        </w:rPr>
        <w:tab/>
        <w:t>ускорить усилия по установлению местонахождения, а в случае смерти, идентификации всех лиц, которые подверглись насильственному исчезновению, и судьба которых еще не выяснена; и обеспечить, чтобы усилия по поиску исчезнувших лиц, в том числе по линии Национальной политики по розыску исчезнувших лиц, предпринимались в соответствии с руководящими принципами Комитета в отношении поиска пропавших без вести лиц</w:t>
      </w:r>
      <w:r w:rsidR="007803C9" w:rsidRPr="00AC0100">
        <w:rPr>
          <w:rStyle w:val="aa"/>
        </w:rPr>
        <w:footnoteReference w:id="12"/>
      </w:r>
      <w:r>
        <w:rPr>
          <w:b/>
          <w:bCs/>
        </w:rPr>
        <w:t>;</w:t>
      </w:r>
      <w:r w:rsidR="007803C9" w:rsidRPr="00582364">
        <w:rPr>
          <w:b/>
          <w:bCs/>
        </w:rPr>
        <w:t xml:space="preserve"> </w:t>
      </w:r>
    </w:p>
    <w:p w14:paraId="5BEC4721" w14:textId="050A6A0E" w:rsidR="007803C9" w:rsidRPr="00582364" w:rsidRDefault="00582364" w:rsidP="007803C9">
      <w:pPr>
        <w:pStyle w:val="SingleTxtG"/>
        <w:rPr>
          <w:b/>
          <w:bCs/>
        </w:rPr>
      </w:pPr>
      <w:r>
        <w:rPr>
          <w:b/>
          <w:bCs/>
        </w:rPr>
        <w:tab/>
      </w:r>
      <w:r w:rsidR="007803C9" w:rsidRPr="00582364">
        <w:rPr>
          <w:b/>
          <w:bCs/>
        </w:rPr>
        <w:t>f)</w:t>
      </w:r>
      <w:r w:rsidR="007803C9" w:rsidRPr="00582364">
        <w:rPr>
          <w:b/>
          <w:bCs/>
        </w:rPr>
        <w:tab/>
        <w:t>обеспечить эффективную координацию и сотрудничество между всеми органами, участвующими в расследованиях и поисках, наличие у них необходимых финансовых, технических и людских ресурсов для оперативного и эффективного выполнения своих обязанностей, а также получение ими эффективного и своевременного доступа к любому месту содержания под стражей или любому другому месту, если существуют разумные основания полагать, что в нем находится исчезнувшее лицо, и ко всей документации и другой соответствующей информации, находящейся в распоряжении государственных органов, включая вооруженные силы;</w:t>
      </w:r>
    </w:p>
    <w:p w14:paraId="12719EC6" w14:textId="7B933F93" w:rsidR="007803C9" w:rsidRPr="0012588C" w:rsidRDefault="00582364" w:rsidP="007803C9">
      <w:pPr>
        <w:pStyle w:val="SingleTxtG"/>
        <w:rPr>
          <w:b/>
          <w:bCs/>
        </w:rPr>
      </w:pPr>
      <w:r>
        <w:rPr>
          <w:b/>
          <w:bCs/>
        </w:rPr>
        <w:tab/>
      </w:r>
      <w:r w:rsidR="007803C9" w:rsidRPr="00582364">
        <w:rPr>
          <w:b/>
          <w:bCs/>
        </w:rPr>
        <w:t>g)</w:t>
      </w:r>
      <w:r w:rsidR="007803C9" w:rsidRPr="00582364">
        <w:rPr>
          <w:b/>
          <w:bCs/>
        </w:rPr>
        <w:tab/>
        <w:t>гар</w:t>
      </w:r>
      <w:r w:rsidR="007803C9">
        <w:rPr>
          <w:b/>
          <w:bCs/>
        </w:rPr>
        <w:t>антировать, чтобы все жертвы получали надлежащее возмещение с учетом их конкретных потребностей.</w:t>
      </w:r>
    </w:p>
    <w:p w14:paraId="2BE4C6FB" w14:textId="5AFAD5D9" w:rsidR="007803C9" w:rsidRPr="0012588C" w:rsidRDefault="00582364" w:rsidP="007803C9">
      <w:pPr>
        <w:pStyle w:val="H23G"/>
      </w:pPr>
      <w:r>
        <w:tab/>
      </w:r>
      <w:r w:rsidR="007803C9">
        <w:t>4.</w:t>
      </w:r>
      <w:r w:rsidR="007803C9">
        <w:tab/>
      </w:r>
      <w:r w:rsidR="007803C9">
        <w:rPr>
          <w:bCs/>
        </w:rPr>
        <w:t>Меры по предупреждению насильственных исчезновений (статьи 16−23)</w:t>
      </w:r>
    </w:p>
    <w:p w14:paraId="02B255BE" w14:textId="77777777" w:rsidR="007803C9" w:rsidRPr="0012588C" w:rsidRDefault="007803C9" w:rsidP="007803C9">
      <w:pPr>
        <w:pStyle w:val="H23G"/>
      </w:pPr>
      <w:r>
        <w:tab/>
      </w:r>
      <w:r>
        <w:tab/>
      </w:r>
      <w:r>
        <w:tab/>
      </w:r>
      <w:r>
        <w:rPr>
          <w:bCs/>
        </w:rPr>
        <w:t>Регистры лиц, лишенных свободы</w:t>
      </w:r>
      <w:r>
        <w:t xml:space="preserve"> </w:t>
      </w:r>
    </w:p>
    <w:p w14:paraId="0E90033D" w14:textId="650236E0" w:rsidR="007803C9" w:rsidRPr="0012588C" w:rsidRDefault="007803C9" w:rsidP="007803C9">
      <w:pPr>
        <w:pStyle w:val="SingleTxtG"/>
      </w:pPr>
      <w:r>
        <w:t>24.</w:t>
      </w:r>
      <w:r>
        <w:tab/>
        <w:t>Комитет обеспокоен полученной в ходе диалога информацией о том, что в результате инспекции, проведенной в тюрьме Алкасус после бунта в 2017 году, было обнаружено, что записи прибытия и выбытия заключенных в этом пенитенциарном учреждении были неполными. В этой связи он отмечает, что в 2019 году Национальный совет юстиции утвердил систему, предусматривающую использование электронных браслетов (статьи 17 и 22).</w:t>
      </w:r>
    </w:p>
    <w:p w14:paraId="45D8EAE4" w14:textId="1E1FDE99" w:rsidR="007803C9" w:rsidRPr="0012588C" w:rsidRDefault="007803C9" w:rsidP="007803C9">
      <w:pPr>
        <w:pStyle w:val="SingleTxtG"/>
        <w:rPr>
          <w:b/>
        </w:rPr>
      </w:pPr>
      <w:r>
        <w:t>25.</w:t>
      </w:r>
      <w:r>
        <w:tab/>
      </w:r>
      <w:r>
        <w:rPr>
          <w:b/>
          <w:bCs/>
        </w:rPr>
        <w:t>Комитет рекомендует государству-участнику обеспечить, чтобы все случаи лишения свободы, без исключения и с самого начала, заносились в официальные реестры и/или журналы регистрации с указанием как минимум информации, требуемой в пункте 3 статьи 17 Конвенции;</w:t>
      </w:r>
      <w:r>
        <w:t xml:space="preserve"> </w:t>
      </w:r>
      <w:r>
        <w:rPr>
          <w:b/>
          <w:bCs/>
        </w:rPr>
        <w:t>чтобы такие реестры и/или журналы регистрации своевременно и точно заполнялись и обновлялись и подлежали периодической проверке;</w:t>
      </w:r>
      <w:r>
        <w:t xml:space="preserve"> </w:t>
      </w:r>
      <w:r>
        <w:rPr>
          <w:b/>
          <w:bCs/>
        </w:rPr>
        <w:t>и чтобы в случае нарушений к виновным должностным лицам применялись надлежащие санкции.</w:t>
      </w:r>
      <w:r>
        <w:t xml:space="preserve"> </w:t>
      </w:r>
    </w:p>
    <w:p w14:paraId="2DB8125B" w14:textId="77777777" w:rsidR="007803C9" w:rsidRPr="0012588C" w:rsidRDefault="007803C9" w:rsidP="007803C9">
      <w:pPr>
        <w:pStyle w:val="H23G"/>
      </w:pPr>
      <w:r>
        <w:tab/>
      </w:r>
      <w:r>
        <w:tab/>
      </w:r>
      <w:r>
        <w:rPr>
          <w:bCs/>
        </w:rPr>
        <w:t>Подготовка</w:t>
      </w:r>
    </w:p>
    <w:p w14:paraId="09A50B9F" w14:textId="47AB4A5B" w:rsidR="007803C9" w:rsidRPr="0012588C" w:rsidRDefault="007803C9" w:rsidP="007803C9">
      <w:pPr>
        <w:pStyle w:val="SingleTxtG"/>
      </w:pPr>
      <w:r>
        <w:t>26.</w:t>
      </w:r>
      <w:r>
        <w:tab/>
        <w:t>Комитет с интересом отмечает представленную государством-участником информацию о подготовке, организуемой для некоторых государственных служащих</w:t>
      </w:r>
      <w:r w:rsidRPr="00C035DC">
        <w:rPr>
          <w:rStyle w:val="aa"/>
        </w:rPr>
        <w:footnoteReference w:id="13"/>
      </w:r>
      <w:r w:rsidR="00582364">
        <w:t>.</w:t>
      </w:r>
      <w:r>
        <w:t xml:space="preserve"> Он приветствует полученную в ходе диалога информацию о том, что в соответствии с Национальной политикой по розыску исчезнувших лиц все государственные служащие, которые могут вступать в контакт с исчезнувшими лицами, должны проходить обязательную подготовку, и что Министерство юстиции и общественной безопасности организует подготовку, в частности, по методам поиска исчезнувших лиц и оказания помощи родственникам. Тем не менее он отмечает, что в </w:t>
      </w:r>
      <w:r>
        <w:lastRenderedPageBreak/>
        <w:t xml:space="preserve">настоящее время не проводится никакой специальной и регулярной подготовки по положениям Конвенции, которая предусмотрена с ее статьей 23 (статья 23). </w:t>
      </w:r>
    </w:p>
    <w:p w14:paraId="1BBB8F15" w14:textId="77777777" w:rsidR="007803C9" w:rsidRPr="0012588C" w:rsidRDefault="007803C9" w:rsidP="007803C9">
      <w:pPr>
        <w:pStyle w:val="SingleTxtG"/>
      </w:pPr>
      <w:r>
        <w:t>27.</w:t>
      </w:r>
      <w:r>
        <w:tab/>
      </w:r>
      <w:r>
        <w:rPr>
          <w:b/>
          <w:bCs/>
        </w:rPr>
        <w:t>Комитет рекомендует государству-участнику принять меры к тому, чтобы все сотрудники органов правопорядка и безопасности, будь то гражданские или военные, медицинские работники, государственные должностные лица и другие лица, которые могут иметь отношение к содержанию под стражей лиц, лишенных свободы, или обращению с ними, включая судей, прокуроров и других должностных лиц, отвечающих за процесс отправления правосудия, на регулярной основе проходили целенаправленную подготовку по положениям Конвенции, как того требует пункт 1 статьи 23.</w:t>
      </w:r>
      <w:r>
        <w:t xml:space="preserve"> </w:t>
      </w:r>
      <w:r>
        <w:rPr>
          <w:b/>
          <w:bCs/>
        </w:rPr>
        <w:t>Государство-участник может рассмотреть возможность организации такой специальной и регулярной подготовки в рамках подготовки, предусмотренной Национальной политикой по розыску исчезнувших лиц.</w:t>
      </w:r>
    </w:p>
    <w:p w14:paraId="056CD493" w14:textId="63EAD1F4" w:rsidR="007803C9" w:rsidRPr="0012588C" w:rsidRDefault="00582364" w:rsidP="007803C9">
      <w:pPr>
        <w:pStyle w:val="H23G"/>
      </w:pPr>
      <w:r>
        <w:tab/>
      </w:r>
      <w:r w:rsidR="007803C9">
        <w:t>5.</w:t>
      </w:r>
      <w:r w:rsidR="007803C9">
        <w:tab/>
      </w:r>
      <w:r w:rsidR="007803C9">
        <w:rPr>
          <w:bCs/>
        </w:rPr>
        <w:t>Меры по защите и обеспечению прав жертв насильственных исчезновений (статья 24)</w:t>
      </w:r>
    </w:p>
    <w:p w14:paraId="3B23CADE" w14:textId="77777777" w:rsidR="007803C9" w:rsidRPr="0012588C" w:rsidRDefault="007803C9" w:rsidP="007803C9">
      <w:pPr>
        <w:pStyle w:val="H23G"/>
      </w:pPr>
      <w:r>
        <w:tab/>
      </w:r>
      <w:r>
        <w:tab/>
      </w:r>
      <w:r>
        <w:rPr>
          <w:bCs/>
        </w:rPr>
        <w:t>Определение понятия «жертва» и право на получение быстрого, справедливого и адекватного возмещения ущерба и компенсации</w:t>
      </w:r>
    </w:p>
    <w:p w14:paraId="672A7AB7" w14:textId="7EBC6875" w:rsidR="007803C9" w:rsidRPr="0012588C" w:rsidRDefault="007803C9" w:rsidP="007803C9">
      <w:pPr>
        <w:pStyle w:val="SingleTxtG"/>
      </w:pPr>
      <w:r>
        <w:t>28.</w:t>
      </w:r>
      <w:r>
        <w:tab/>
        <w:t xml:space="preserve">Комитет приветствует определение исчезнувших лиц, содержащееся в </w:t>
      </w:r>
      <w:r w:rsidR="00FE36C7">
        <w:br/>
      </w:r>
      <w:r>
        <w:t>Законе № 13812/2019. Тем не менее он сожалеет, что не получил никаких разъяснений относительно того, имеется ли во внутреннем законодательстве государства-участника определение, согласно которому жертвой является исчезнувшее лицо и любое физическое лицо, которому причинен непосредственный вред в результате насильственного исчезновения, как это предусмотрено пунктом 1 статьи 24 Конвенции. Комитет отмечает формы компенсации, предусмотренные Гражданским кодексом для жертв преступлений и их родственников</w:t>
      </w:r>
      <w:r w:rsidRPr="00C035DC">
        <w:rPr>
          <w:rStyle w:val="aa"/>
        </w:rPr>
        <w:footnoteReference w:id="14"/>
      </w:r>
      <w:r w:rsidR="00FE36C7">
        <w:t>;</w:t>
      </w:r>
      <w:r>
        <w:t xml:space="preserve"> психосоциальную поддержку, предоставляемую семьям исчезнувших лиц в соответствии с </w:t>
      </w:r>
      <w:r w:rsidR="00582364">
        <w:br/>
      </w:r>
      <w:r>
        <w:t>Законом № 13812/2019; и поддержку, оказываемую Справочными центрами по оказанию социальной помощи и Справочными центрами по оказанию специализированной социальной помощи. Тем не менее Комитет сожалеет, что представленная информация не позволяет получить четкое представление о том, предусматривает ли внутреннее законодательство всеобъемлющую систему возмещения ущерба, которая бы полностью соответствовала пунктам 4) и 5) статьи 24 Конвенции (статья 24).</w:t>
      </w:r>
    </w:p>
    <w:p w14:paraId="63B2B70A" w14:textId="77777777" w:rsidR="007803C9" w:rsidRPr="0012588C" w:rsidRDefault="007803C9" w:rsidP="007803C9">
      <w:pPr>
        <w:pStyle w:val="SingleTxtG"/>
      </w:pPr>
      <w:r>
        <w:t>29.</w:t>
      </w:r>
      <w:r>
        <w:tab/>
      </w:r>
      <w:r>
        <w:rPr>
          <w:b/>
          <w:bCs/>
        </w:rPr>
        <w:t>Комитет рекомендует государству-участнику принять необходимые меры для обеспечения того, чтобы все лица, которым был причинен вред в результате насильственного исчезновения, могли в полной мере осуществлять права, закрепленные в Конвенции, в частности права на правосудие, установление истины и получение возмещения.</w:t>
      </w:r>
      <w:r>
        <w:t xml:space="preserve"> </w:t>
      </w:r>
      <w:r>
        <w:rPr>
          <w:b/>
          <w:bCs/>
        </w:rPr>
        <w:t>В связи с этим Комитет:</w:t>
      </w:r>
    </w:p>
    <w:p w14:paraId="5A24DE70" w14:textId="6A48CBC0" w:rsidR="007803C9" w:rsidRPr="00582364" w:rsidRDefault="00582364" w:rsidP="007803C9">
      <w:pPr>
        <w:pStyle w:val="SingleTxtG"/>
        <w:rPr>
          <w:b/>
          <w:bCs/>
        </w:rPr>
      </w:pPr>
      <w:r>
        <w:rPr>
          <w:b/>
          <w:bCs/>
        </w:rPr>
        <w:tab/>
      </w:r>
      <w:r w:rsidR="007803C9" w:rsidRPr="00582364">
        <w:rPr>
          <w:b/>
          <w:bCs/>
        </w:rPr>
        <w:t>a)</w:t>
      </w:r>
      <w:r w:rsidR="007803C9" w:rsidRPr="00582364">
        <w:rPr>
          <w:b/>
          <w:bCs/>
        </w:rPr>
        <w:tab/>
        <w:t xml:space="preserve">предлагает государству-участнику принять определение жертв, соответствующее определению в пункте 1) статьи 24 Конвенции; </w:t>
      </w:r>
    </w:p>
    <w:p w14:paraId="5376466D" w14:textId="05BD7645" w:rsidR="007803C9" w:rsidRPr="0012588C" w:rsidRDefault="00582364" w:rsidP="007803C9">
      <w:pPr>
        <w:pStyle w:val="SingleTxtG"/>
      </w:pPr>
      <w:r>
        <w:rPr>
          <w:b/>
          <w:bCs/>
        </w:rPr>
        <w:tab/>
      </w:r>
      <w:r w:rsidR="007803C9" w:rsidRPr="00582364">
        <w:rPr>
          <w:b/>
          <w:bCs/>
        </w:rPr>
        <w:t>b)</w:t>
      </w:r>
      <w:r w:rsidR="007803C9" w:rsidRPr="00582364">
        <w:rPr>
          <w:b/>
          <w:bCs/>
        </w:rPr>
        <w:tab/>
        <w:t>рекомендует государству-участнику принять необходимые меры для обеспечения того, чтобы его внутреннее законодательство предусматривало всеобъемлющую систему компенсации и возмещения ущерба, которая бы по</w:t>
      </w:r>
      <w:r w:rsidR="007803C9">
        <w:rPr>
          <w:b/>
          <w:bCs/>
        </w:rPr>
        <w:t>лностью соответствовала пунктам 4) и 5) статьи 24 Конвенции и другим соответствующим международным стандартам, находилась в ведении государства, применялась в случае невозбуждения уголовного дела и учитывала конкретные потребности жертв, продиктованные, например, их полом, сексуальной ориентацией, гендерной идентичностью, возрастом, этническим происхождением, социальным положением и инвалидностью.</w:t>
      </w:r>
      <w:r w:rsidR="007803C9">
        <w:t xml:space="preserve"> </w:t>
      </w:r>
    </w:p>
    <w:p w14:paraId="7B78B855" w14:textId="77777777" w:rsidR="007803C9" w:rsidRPr="0012588C" w:rsidRDefault="007803C9" w:rsidP="00582364">
      <w:pPr>
        <w:pStyle w:val="SingleTxtG"/>
        <w:pageBreakBefore/>
        <w:rPr>
          <w:b/>
          <w:bCs/>
        </w:rPr>
      </w:pPr>
      <w:r>
        <w:rPr>
          <w:b/>
          <w:bCs/>
        </w:rPr>
        <w:lastRenderedPageBreak/>
        <w:t>Представители гражданского общества</w:t>
      </w:r>
    </w:p>
    <w:p w14:paraId="614494EE" w14:textId="0751A5AF" w:rsidR="007803C9" w:rsidRPr="0012588C" w:rsidRDefault="007803C9" w:rsidP="007803C9">
      <w:pPr>
        <w:pStyle w:val="SingleTxtG"/>
      </w:pPr>
      <w:r>
        <w:t>30.</w:t>
      </w:r>
      <w:r>
        <w:tab/>
        <w:t xml:space="preserve">Комитет выражает сожаление в связи с заявлениями, которые сделало государство-участник в ходе диалога и в которых оно поставило под сомнение достоверность и качество информации, полученной Комитетом от представителей гражданского общества. Комитет хотел бы напомнить о важной роли, которую играют организации гражданского общества в деле искоренения и предотвращения насильственных исчезновений, а также оказания помощи жертвам (статья 24). </w:t>
      </w:r>
    </w:p>
    <w:p w14:paraId="1F1258A3" w14:textId="77777777" w:rsidR="007803C9" w:rsidRPr="0012588C" w:rsidRDefault="007803C9" w:rsidP="007803C9">
      <w:pPr>
        <w:pStyle w:val="SingleTxtG"/>
      </w:pPr>
      <w:r>
        <w:t>31.</w:t>
      </w:r>
      <w:r>
        <w:tab/>
      </w:r>
      <w:r>
        <w:rPr>
          <w:b/>
          <w:bCs/>
        </w:rPr>
        <w:t>Комитет призывает государство-участник гарантировать, чтобы все государственные должностные лица конструктивно взаимодействовали с представителями гражданского общества при попытках установить обстоятельства насильственных исчезновений и судьбу исчезнувших лиц, а также оказания помощи жертвам с целью объединения усилий по предупреждению и искоренению насильственных исчезновений.</w:t>
      </w:r>
    </w:p>
    <w:p w14:paraId="1DDF2774" w14:textId="506EEFA9" w:rsidR="007803C9" w:rsidRPr="0012588C" w:rsidRDefault="00582364" w:rsidP="007803C9">
      <w:pPr>
        <w:pStyle w:val="H23G"/>
      </w:pPr>
      <w:r>
        <w:tab/>
      </w:r>
      <w:r w:rsidR="007803C9">
        <w:t>6.</w:t>
      </w:r>
      <w:r w:rsidR="007803C9">
        <w:tab/>
      </w:r>
      <w:r w:rsidR="007803C9">
        <w:rPr>
          <w:bCs/>
        </w:rPr>
        <w:t>Меры по защите детей от насильственных исчезновений (статья 25)</w:t>
      </w:r>
    </w:p>
    <w:p w14:paraId="14F95680" w14:textId="77777777" w:rsidR="007803C9" w:rsidRPr="0012588C" w:rsidRDefault="007803C9" w:rsidP="007803C9">
      <w:pPr>
        <w:pStyle w:val="H23G"/>
      </w:pPr>
      <w:r>
        <w:tab/>
      </w:r>
      <w:r>
        <w:tab/>
      </w:r>
      <w:r>
        <w:rPr>
          <w:bCs/>
        </w:rPr>
        <w:t>Неправомерное изъятие детей</w:t>
      </w:r>
    </w:p>
    <w:p w14:paraId="3C78194F" w14:textId="5EF939A7" w:rsidR="007803C9" w:rsidRPr="00582364" w:rsidRDefault="007803C9" w:rsidP="007803C9">
      <w:pPr>
        <w:pStyle w:val="SingleTxtG"/>
        <w:rPr>
          <w:rStyle w:val="aa"/>
          <w:vertAlign w:val="baseline"/>
        </w:rPr>
      </w:pPr>
      <w:r>
        <w:t>32.</w:t>
      </w:r>
      <w:r>
        <w:tab/>
        <w:t>Комитет принимает к сведению информацию о преступлениях, статьи в отношении которых могут быть применимы в случае неправомерного изъятия детей</w:t>
      </w:r>
      <w:r w:rsidRPr="00C035DC">
        <w:rPr>
          <w:rStyle w:val="aa"/>
        </w:rPr>
        <w:footnoteReference w:id="15"/>
      </w:r>
      <w:r w:rsidR="004D224C">
        <w:t>,</w:t>
      </w:r>
      <w:r>
        <w:t xml:space="preserve"> но обеспокоен тем, что внутреннее законодательство не содержит конкретных положений, устанавливающих уголовную ответственность за деяния, описанные в пункте 1 a) статьи 25 Конвенции. Кроме того, Комитет напоминает об озабоченности, высказанной Комитетом по правам ребенка в связи с сообщениями о насильственных исчезновениях детей (статья 25)</w:t>
      </w:r>
      <w:r w:rsidRPr="00C035DC">
        <w:rPr>
          <w:rStyle w:val="aa"/>
        </w:rPr>
        <w:footnoteReference w:id="16"/>
      </w:r>
      <w:r w:rsidR="00582364">
        <w:t>.</w:t>
      </w:r>
    </w:p>
    <w:p w14:paraId="666FB700" w14:textId="77777777" w:rsidR="007803C9" w:rsidRPr="0012588C" w:rsidRDefault="007803C9" w:rsidP="007803C9">
      <w:pPr>
        <w:pStyle w:val="SingleTxtG"/>
        <w:rPr>
          <w:b/>
        </w:rPr>
      </w:pPr>
      <w:r>
        <w:t>33.</w:t>
      </w:r>
      <w:r>
        <w:tab/>
      </w:r>
      <w:r>
        <w:rPr>
          <w:b/>
          <w:bCs/>
        </w:rPr>
        <w:t>Комитет рекомендует государству-участнику принять необходимые меры для:</w:t>
      </w:r>
    </w:p>
    <w:p w14:paraId="66CC69E4" w14:textId="4AED01E2" w:rsidR="007803C9" w:rsidRPr="00582364" w:rsidRDefault="00582364" w:rsidP="007803C9">
      <w:pPr>
        <w:pStyle w:val="SingleTxtG"/>
        <w:rPr>
          <w:b/>
          <w:bCs/>
        </w:rPr>
      </w:pPr>
      <w:r>
        <w:rPr>
          <w:b/>
          <w:bCs/>
        </w:rPr>
        <w:tab/>
      </w:r>
      <w:r w:rsidR="007803C9" w:rsidRPr="00582364">
        <w:rPr>
          <w:b/>
          <w:bCs/>
        </w:rPr>
        <w:t>a)</w:t>
      </w:r>
      <w:r w:rsidR="007803C9" w:rsidRPr="00582364">
        <w:rPr>
          <w:b/>
          <w:bCs/>
        </w:rPr>
        <w:tab/>
        <w:t>квалификации деяний, упомянутых в пункте 1 a) статьи 25 Конвенции, в качестве отдельных преступлений и назначения за их совершение мер наказания, соответствующих их особой тяжести;</w:t>
      </w:r>
    </w:p>
    <w:p w14:paraId="4B074970" w14:textId="016E0CA1" w:rsidR="007803C9" w:rsidRPr="0012588C" w:rsidRDefault="00582364" w:rsidP="007803C9">
      <w:pPr>
        <w:pStyle w:val="SingleTxtG"/>
        <w:rPr>
          <w:b/>
          <w:bCs/>
        </w:rPr>
      </w:pPr>
      <w:r>
        <w:rPr>
          <w:b/>
          <w:bCs/>
        </w:rPr>
        <w:tab/>
      </w:r>
      <w:r w:rsidR="007803C9" w:rsidRPr="00582364">
        <w:rPr>
          <w:b/>
          <w:bCs/>
        </w:rPr>
        <w:t>b)</w:t>
      </w:r>
      <w:r w:rsidR="007803C9" w:rsidRPr="00582364">
        <w:rPr>
          <w:b/>
          <w:bCs/>
        </w:rPr>
        <w:tab/>
        <w:t xml:space="preserve">осуществления в оперативном порядке розыска и установления личности </w:t>
      </w:r>
      <w:r w:rsidR="007803C9">
        <w:rPr>
          <w:b/>
          <w:bCs/>
        </w:rPr>
        <w:t>исчезнувших детей, обеспечения их возвращения в родные семьи, а также восстановления их личности, если они стали жертвами подмены документов, удостоверяющих их подлинную личность.</w:t>
      </w:r>
    </w:p>
    <w:p w14:paraId="71991FF5" w14:textId="77777777" w:rsidR="007803C9" w:rsidRPr="0012588C" w:rsidRDefault="007803C9" w:rsidP="007803C9">
      <w:pPr>
        <w:pStyle w:val="H23G"/>
      </w:pPr>
      <w:r>
        <w:tab/>
      </w:r>
      <w:r>
        <w:tab/>
      </w:r>
      <w:r>
        <w:rPr>
          <w:bCs/>
        </w:rPr>
        <w:t>Усыновление/удочерение</w:t>
      </w:r>
    </w:p>
    <w:p w14:paraId="1A6BE4C8" w14:textId="283A8CC5" w:rsidR="007803C9" w:rsidRPr="0012588C" w:rsidRDefault="007803C9" w:rsidP="007803C9">
      <w:pPr>
        <w:pStyle w:val="SingleTxtG"/>
      </w:pPr>
      <w:r>
        <w:t>34.</w:t>
      </w:r>
      <w:r>
        <w:tab/>
        <w:t>Комитет с интересом отмечает подробную информацию, представленную государством-участником в ходе диалога относительно процедур внутреннего и международного усыновления/удочерения. Тем не менее он сожалеет, что не получил никакой информации о существующих правовых процедурах для пересмотра и в случае необходимости признания недействительным любого акта усыновления/удочерения или передачи детей под опеку, которые имели место в результате насильственного исчезновения, как это конкретно предусмотрено пунктом</w:t>
      </w:r>
      <w:r w:rsidR="00582364">
        <w:t> </w:t>
      </w:r>
      <w:r>
        <w:t>4) статьи 25 Конвенции (статья 25).</w:t>
      </w:r>
    </w:p>
    <w:p w14:paraId="383479FD" w14:textId="58401C95" w:rsidR="007803C9" w:rsidRPr="0012588C" w:rsidRDefault="007803C9" w:rsidP="007803C9">
      <w:pPr>
        <w:pStyle w:val="SingleTxtG"/>
      </w:pPr>
      <w:r>
        <w:t>35.</w:t>
      </w:r>
      <w:r>
        <w:tab/>
      </w:r>
      <w:r>
        <w:rPr>
          <w:b/>
          <w:bCs/>
        </w:rPr>
        <w:t>Комитет рекомендует государству-участнику принять необходимые меры для обеспечения того, чтобы его внутренняя правовая система предусматривала конкретные процедуры для пересмотра и в случае необходимости признания недействительным любого акта усыновления/удочерения или передачи детей под опеку, которые имели место в результате насильственного исчезновения, а также для восстановления их подлинной личности с учетом необходимости наилучшего обеспечения их интересов.</w:t>
      </w:r>
      <w:r>
        <w:t xml:space="preserve"> </w:t>
      </w:r>
      <w:r w:rsidR="004D224C">
        <w:t xml:space="preserve"> </w:t>
      </w:r>
    </w:p>
    <w:p w14:paraId="5038B4A1" w14:textId="75E72193" w:rsidR="007803C9" w:rsidRPr="0012588C" w:rsidRDefault="00582364" w:rsidP="007803C9">
      <w:pPr>
        <w:pStyle w:val="H1G"/>
      </w:pPr>
      <w:r>
        <w:lastRenderedPageBreak/>
        <w:tab/>
      </w:r>
      <w:r w:rsidR="007803C9">
        <w:t>D.</w:t>
      </w:r>
      <w:r w:rsidR="007803C9">
        <w:tab/>
      </w:r>
      <w:r w:rsidR="007803C9">
        <w:rPr>
          <w:bCs/>
        </w:rPr>
        <w:t>Осуществление прав и обязательств по Конвенции, распространение информации и последующая деятельность</w:t>
      </w:r>
    </w:p>
    <w:p w14:paraId="2A765689" w14:textId="77777777" w:rsidR="007803C9" w:rsidRPr="0012588C" w:rsidRDefault="007803C9" w:rsidP="007803C9">
      <w:pPr>
        <w:pStyle w:val="SingleTxtG"/>
      </w:pPr>
      <w:r>
        <w:t>36.</w:t>
      </w:r>
      <w:r>
        <w:tab/>
      </w:r>
      <w:r>
        <w:rPr>
          <w:b/>
          <w:bCs/>
        </w:rPr>
        <w:t>Комитет хотел бы напомнить об обязательствах, взятых на себя государствами при ратификации Конвенции, и в связи с этим настоятельно призывает государство-участник обеспечить, чтобы все принимаемые им меры в полной мере соответствовали Конвенции и другим соответствующим международным договорам.</w:t>
      </w:r>
    </w:p>
    <w:p w14:paraId="18E29BA4" w14:textId="77777777" w:rsidR="007803C9" w:rsidRPr="0012588C" w:rsidRDefault="007803C9" w:rsidP="007803C9">
      <w:pPr>
        <w:pStyle w:val="SingleTxtG"/>
      </w:pPr>
      <w:r>
        <w:t>37.</w:t>
      </w:r>
      <w:r>
        <w:tab/>
      </w:r>
      <w:r>
        <w:rPr>
          <w:b/>
          <w:bCs/>
        </w:rPr>
        <w:t>Комитет также хотел бы подчеркнуть особо пагубные последствия насильственных исчезновений для женщин и детей.</w:t>
      </w:r>
      <w:r>
        <w:t xml:space="preserve"> </w:t>
      </w:r>
      <w:r>
        <w:rPr>
          <w:b/>
          <w:bCs/>
        </w:rPr>
        <w:t>Женщины, ставшие жертвами насильственных исчезновений, особенно подвержены сексуальному и другим видам гендерного насилия.</w:t>
      </w:r>
      <w:r>
        <w:t xml:space="preserve"> </w:t>
      </w:r>
      <w:r>
        <w:rPr>
          <w:b/>
          <w:bCs/>
        </w:rPr>
        <w:t>В качестве же членов семьи исчезнувшего лица женщины наиболее подвержены риску столкнуться с неблагоприятными социально-экономическими последствиями, а также с насилием, преследованиями и притеснениями при попытках найти своих близких.</w:t>
      </w:r>
      <w:r>
        <w:t xml:space="preserve"> </w:t>
      </w:r>
      <w:r>
        <w:rPr>
          <w:b/>
          <w:bCs/>
        </w:rPr>
        <w:t>Дети, ставшие жертвами насильственного исчезновения, независимо от того, подверглись ли они ему сами или страдают от последствий исчезновения члена семьи, особенно уязвимы к многочисленным нарушениям прав человека.</w:t>
      </w:r>
      <w:r>
        <w:t xml:space="preserve"> </w:t>
      </w:r>
      <w:r>
        <w:rPr>
          <w:b/>
          <w:bCs/>
        </w:rPr>
        <w:t>В этой связи Комитет обращает особое внимание на необходимость обеспечения государством-участником систематического учета гендерных вопросов и особых потребностей женщин и детей при выполнении рекомендаций, содержащихся в настоящих заключительных замечаниях, а также всех прав и обязанностей, предусмотренных Конвенцией.</w:t>
      </w:r>
    </w:p>
    <w:p w14:paraId="48799C33" w14:textId="77777777" w:rsidR="007803C9" w:rsidRPr="0012588C" w:rsidRDefault="007803C9" w:rsidP="007803C9">
      <w:pPr>
        <w:pStyle w:val="SingleTxtG"/>
      </w:pPr>
      <w:r>
        <w:t>38.</w:t>
      </w:r>
      <w:r>
        <w:tab/>
      </w:r>
      <w:r>
        <w:rPr>
          <w:b/>
          <w:bCs/>
        </w:rPr>
        <w:t>Государству-участнику рекомендуется обеспечить широкое распространение текста Конвенции, его доклада, представленного в соответствии с пунктом 1 статьи 29 Конвенции, письменных ответов на составленный Комитетом перечень вопросов и настоящих заключительных замечаний в целях повышения уровня осведомленности судебных, законодательных и административных органов, гражданского общества и неправительственных организаций, действующих в государстве-участнике, а также населения в целом.</w:t>
      </w:r>
      <w:r>
        <w:t xml:space="preserve"> </w:t>
      </w:r>
      <w:r>
        <w:rPr>
          <w:b/>
          <w:bCs/>
        </w:rPr>
        <w:t>Комитет также призывает государство-участник поощрять участие гражданского общества в процессе выполнения рекомендаций, содержащихся в настоящих заключительных замечаниях.</w:t>
      </w:r>
    </w:p>
    <w:p w14:paraId="7C6A1E26" w14:textId="2AD705AA" w:rsidR="007803C9" w:rsidRPr="0012588C" w:rsidRDefault="007803C9" w:rsidP="007803C9">
      <w:pPr>
        <w:pStyle w:val="SingleTxtG"/>
      </w:pPr>
      <w:r>
        <w:t>39.</w:t>
      </w:r>
      <w:r>
        <w:tab/>
      </w:r>
      <w:r>
        <w:rPr>
          <w:b/>
          <w:bCs/>
        </w:rPr>
        <w:t>В соответствии с правилами процедуры Комитета государству-участнику предлагается представить к 27 сентября 2022 года информацию о выполнении рекомендаций, содержащихся в пунктах 13 (статистическая информация), 15</w:t>
      </w:r>
      <w:r w:rsidR="00582364">
        <w:rPr>
          <w:b/>
          <w:bCs/>
        </w:rPr>
        <w:t> </w:t>
      </w:r>
      <w:r>
        <w:rPr>
          <w:b/>
          <w:bCs/>
        </w:rPr>
        <w:t>(преступление насильственного исчезновения) и 19 (военная юрисдикция) настоящих заключительных замечаний.</w:t>
      </w:r>
    </w:p>
    <w:p w14:paraId="0E139EE7" w14:textId="438CE2C6" w:rsidR="007803C9" w:rsidRPr="0012588C" w:rsidRDefault="007803C9" w:rsidP="007803C9">
      <w:pPr>
        <w:pStyle w:val="SingleTxtG"/>
        <w:rPr>
          <w:b/>
          <w:bCs/>
        </w:rPr>
      </w:pPr>
      <w:r>
        <w:t>40.</w:t>
      </w:r>
      <w:r>
        <w:tab/>
      </w:r>
      <w:r>
        <w:rPr>
          <w:b/>
          <w:bCs/>
        </w:rPr>
        <w:t>В соответствии с пунктом 4 статьи 29 Конвенции Комитет просит государство-участник представить к 27 сентября 2027 года конкретную и обновленную информацию об осуществлении всех его рекомендаций, а также любую другую новую информацию, касающуюся выполнения его обязательств по Конвенции, в документе, подготовленном согласно руководящим принципам относительно формы и содержания докладов, которые должны быть представлены государствами-участниками в соответствии со статьей 29 Конвенции</w:t>
      </w:r>
      <w:r w:rsidRPr="00C035DC">
        <w:rPr>
          <w:rStyle w:val="aa"/>
        </w:rPr>
        <w:footnoteReference w:id="17"/>
      </w:r>
      <w:r w:rsidR="00582364">
        <w:rPr>
          <w:b/>
          <w:bCs/>
        </w:rPr>
        <w:t>.</w:t>
      </w:r>
      <w:r>
        <w:t xml:space="preserve"> </w:t>
      </w:r>
      <w:r>
        <w:rPr>
          <w:b/>
          <w:bCs/>
        </w:rPr>
        <w:t>Комитет призывает государство-участник привлечь к процессу подготовки этой информации гражданское общество.</w:t>
      </w:r>
      <w:r>
        <w:t xml:space="preserve"> </w:t>
      </w:r>
      <w:r>
        <w:rPr>
          <w:b/>
          <w:bCs/>
        </w:rPr>
        <w:t>Комитет напоминает, что в соответствии с пунктом 4 статьи 29 он может также просить государство-участник представить дополнительную информацию об осуществлении Конвенции.</w:t>
      </w:r>
    </w:p>
    <w:p w14:paraId="21C3CA94" w14:textId="77777777" w:rsidR="007803C9" w:rsidRPr="0012588C" w:rsidRDefault="007803C9" w:rsidP="007803C9">
      <w:pPr>
        <w:pStyle w:val="SingleTxtG"/>
        <w:spacing w:before="240" w:after="0"/>
        <w:jc w:val="center"/>
      </w:pPr>
      <w:r w:rsidRPr="0012588C">
        <w:rPr>
          <w:u w:val="single"/>
        </w:rPr>
        <w:tab/>
      </w:r>
      <w:r w:rsidRPr="0012588C">
        <w:rPr>
          <w:u w:val="single"/>
        </w:rPr>
        <w:tab/>
      </w:r>
      <w:r w:rsidRPr="0012588C">
        <w:rPr>
          <w:u w:val="single"/>
        </w:rPr>
        <w:tab/>
      </w:r>
      <w:r w:rsidRPr="0012588C">
        <w:rPr>
          <w:u w:val="single"/>
        </w:rPr>
        <w:tab/>
      </w:r>
    </w:p>
    <w:p w14:paraId="74F444A6" w14:textId="77777777" w:rsidR="00381C24" w:rsidRPr="008412B4" w:rsidRDefault="00381C24" w:rsidP="008027E5"/>
    <w:sectPr w:rsidR="00381C24" w:rsidRPr="008412B4" w:rsidSect="007803C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042BF" w14:textId="77777777" w:rsidR="00902781" w:rsidRPr="00A312BC" w:rsidRDefault="00902781" w:rsidP="00A312BC"/>
  </w:endnote>
  <w:endnote w:type="continuationSeparator" w:id="0">
    <w:p w14:paraId="21A0E74A" w14:textId="77777777" w:rsidR="00902781" w:rsidRPr="00A312BC" w:rsidRDefault="0090278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0F7DC" w14:textId="0A83452C" w:rsidR="007803C9" w:rsidRPr="007803C9" w:rsidRDefault="007803C9">
    <w:pPr>
      <w:pStyle w:val="a8"/>
    </w:pPr>
    <w:r w:rsidRPr="007803C9">
      <w:rPr>
        <w:b/>
        <w:sz w:val="18"/>
      </w:rPr>
      <w:fldChar w:fldCharType="begin"/>
    </w:r>
    <w:r w:rsidRPr="007803C9">
      <w:rPr>
        <w:b/>
        <w:sz w:val="18"/>
      </w:rPr>
      <w:instrText xml:space="preserve"> PAGE  \* MERGEFORMAT </w:instrText>
    </w:r>
    <w:r w:rsidRPr="007803C9">
      <w:rPr>
        <w:b/>
        <w:sz w:val="18"/>
      </w:rPr>
      <w:fldChar w:fldCharType="separate"/>
    </w:r>
    <w:r w:rsidRPr="007803C9">
      <w:rPr>
        <w:b/>
        <w:noProof/>
        <w:sz w:val="18"/>
      </w:rPr>
      <w:t>2</w:t>
    </w:r>
    <w:r w:rsidRPr="007803C9">
      <w:rPr>
        <w:b/>
        <w:sz w:val="18"/>
      </w:rPr>
      <w:fldChar w:fldCharType="end"/>
    </w:r>
    <w:r>
      <w:rPr>
        <w:b/>
        <w:sz w:val="18"/>
      </w:rPr>
      <w:tab/>
    </w:r>
    <w:r>
      <w:t>GE.21-15972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07BF" w14:textId="2A2F556C" w:rsidR="007803C9" w:rsidRPr="007803C9" w:rsidRDefault="007803C9" w:rsidP="007803C9">
    <w:pPr>
      <w:pStyle w:val="a8"/>
      <w:tabs>
        <w:tab w:val="clear" w:pos="9639"/>
        <w:tab w:val="right" w:pos="9638"/>
      </w:tabs>
      <w:rPr>
        <w:b/>
        <w:sz w:val="18"/>
      </w:rPr>
    </w:pPr>
    <w:r>
      <w:t>GE.21-15972</w:t>
    </w:r>
    <w:r>
      <w:tab/>
    </w:r>
    <w:r w:rsidRPr="007803C9">
      <w:rPr>
        <w:b/>
        <w:sz w:val="18"/>
      </w:rPr>
      <w:fldChar w:fldCharType="begin"/>
    </w:r>
    <w:r w:rsidRPr="007803C9">
      <w:rPr>
        <w:b/>
        <w:sz w:val="18"/>
      </w:rPr>
      <w:instrText xml:space="preserve"> PAGE  \* MERGEFORMAT </w:instrText>
    </w:r>
    <w:r w:rsidRPr="007803C9">
      <w:rPr>
        <w:b/>
        <w:sz w:val="18"/>
      </w:rPr>
      <w:fldChar w:fldCharType="separate"/>
    </w:r>
    <w:r w:rsidRPr="007803C9">
      <w:rPr>
        <w:b/>
        <w:noProof/>
        <w:sz w:val="18"/>
      </w:rPr>
      <w:t>3</w:t>
    </w:r>
    <w:r w:rsidRPr="007803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DBF97" w14:textId="312005B5" w:rsidR="00042B72" w:rsidRPr="007803C9" w:rsidRDefault="007803C9" w:rsidP="007803C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54EABD9" wp14:editId="05993FF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21-15972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885D3F8" wp14:editId="0F9E2BE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091121  091121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CD4A5" w14:textId="77777777" w:rsidR="00902781" w:rsidRPr="001075E9" w:rsidRDefault="0090278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02B0C4" w14:textId="77777777" w:rsidR="00902781" w:rsidRDefault="0090278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F3F4E41" w14:textId="1657EAC0" w:rsidR="007803C9" w:rsidRPr="0012588C" w:rsidRDefault="007803C9" w:rsidP="007803C9">
      <w:pPr>
        <w:pStyle w:val="ad"/>
      </w:pPr>
      <w:r>
        <w:tab/>
      </w:r>
      <w:r w:rsidRPr="007803C9">
        <w:rPr>
          <w:sz w:val="20"/>
        </w:rPr>
        <w:t>*</w:t>
      </w:r>
      <w:r>
        <w:tab/>
        <w:t>Приняты Комитетом на его двадцать первой сессии (13</w:t>
      </w:r>
      <w:r w:rsidR="00582364">
        <w:t>–</w:t>
      </w:r>
      <w:r>
        <w:t>24 сентября 2021 года).</w:t>
      </w:r>
    </w:p>
  </w:footnote>
  <w:footnote w:id="2">
    <w:p w14:paraId="6AAA002F" w14:textId="06FD3516" w:rsidR="007803C9" w:rsidRPr="008412B4" w:rsidRDefault="007803C9" w:rsidP="007803C9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12588C">
        <w:rPr>
          <w:lang w:val="en-US"/>
        </w:rPr>
        <w:tab/>
      </w:r>
      <w:hyperlink r:id="rId1" w:history="1">
        <w:r w:rsidR="004508CF" w:rsidRPr="00FA35A1">
          <w:rPr>
            <w:rStyle w:val="af1"/>
            <w:lang w:val="en-US"/>
          </w:rPr>
          <w:t>CED/C/BRA/1</w:t>
        </w:r>
      </w:hyperlink>
      <w:r w:rsidRPr="0012588C">
        <w:rPr>
          <w:lang w:val="en-US"/>
        </w:rPr>
        <w:t>.</w:t>
      </w:r>
      <w:r w:rsidR="004508CF" w:rsidRPr="008412B4">
        <w:rPr>
          <w:lang w:val="en-US"/>
        </w:rPr>
        <w:t xml:space="preserve"> </w:t>
      </w:r>
    </w:p>
  </w:footnote>
  <w:footnote w:id="3">
    <w:p w14:paraId="16D5EC8F" w14:textId="5D57F0EC" w:rsidR="007803C9" w:rsidRPr="008412B4" w:rsidRDefault="007803C9" w:rsidP="007803C9">
      <w:pPr>
        <w:pStyle w:val="ad"/>
        <w:rPr>
          <w:lang w:val="en-US"/>
        </w:rPr>
      </w:pPr>
      <w:r w:rsidRPr="0012588C">
        <w:rPr>
          <w:lang w:val="en-US"/>
        </w:rPr>
        <w:tab/>
      </w:r>
      <w:r>
        <w:rPr>
          <w:rStyle w:val="aa"/>
        </w:rPr>
        <w:footnoteRef/>
      </w:r>
      <w:r w:rsidRPr="008412B4">
        <w:rPr>
          <w:lang w:val="en-US"/>
        </w:rPr>
        <w:tab/>
      </w:r>
      <w:hyperlink r:id="rId2" w:history="1">
        <w:r w:rsidR="004508CF" w:rsidRPr="008412B4">
          <w:rPr>
            <w:rStyle w:val="af1"/>
            <w:lang w:val="en-US"/>
          </w:rPr>
          <w:t>CED/C/SR.362</w:t>
        </w:r>
      </w:hyperlink>
      <w:r w:rsidR="004508CF" w:rsidRPr="008412B4">
        <w:rPr>
          <w:lang w:val="en-US"/>
        </w:rPr>
        <w:t xml:space="preserve"> </w:t>
      </w:r>
      <w:r w:rsidR="004508CF">
        <w:t>и</w:t>
      </w:r>
      <w:r w:rsidR="004508CF" w:rsidRPr="008412B4">
        <w:rPr>
          <w:lang w:val="en-US"/>
        </w:rPr>
        <w:t xml:space="preserve"> </w:t>
      </w:r>
      <w:hyperlink r:id="rId3" w:history="1">
        <w:r w:rsidR="004508CF" w:rsidRPr="008412B4">
          <w:rPr>
            <w:rStyle w:val="af1"/>
            <w:lang w:val="en-US"/>
          </w:rPr>
          <w:t>CED/C/SR.364</w:t>
        </w:r>
      </w:hyperlink>
      <w:r w:rsidRPr="008412B4">
        <w:rPr>
          <w:lang w:val="en-US"/>
        </w:rPr>
        <w:t>.</w:t>
      </w:r>
    </w:p>
  </w:footnote>
  <w:footnote w:id="4">
    <w:p w14:paraId="27E0E97D" w14:textId="5E9B7DDF" w:rsidR="007803C9" w:rsidRPr="007803C9" w:rsidRDefault="007803C9" w:rsidP="007803C9">
      <w:pPr>
        <w:pStyle w:val="ad"/>
        <w:rPr>
          <w:lang w:val="en-US"/>
        </w:rPr>
      </w:pPr>
      <w:r w:rsidRPr="008412B4">
        <w:rPr>
          <w:lang w:val="en-US"/>
        </w:rPr>
        <w:tab/>
      </w:r>
      <w:r>
        <w:rPr>
          <w:rStyle w:val="aa"/>
        </w:rPr>
        <w:footnoteRef/>
      </w:r>
      <w:r w:rsidRPr="0012588C">
        <w:rPr>
          <w:lang w:val="en-US"/>
        </w:rPr>
        <w:tab/>
      </w:r>
      <w:hyperlink r:id="rId4" w:history="1">
        <w:r w:rsidR="004508CF" w:rsidRPr="004508CF">
          <w:rPr>
            <w:rStyle w:val="af1"/>
            <w:lang w:val="en-US"/>
          </w:rPr>
          <w:t>CED/C/BRA/1</w:t>
        </w:r>
      </w:hyperlink>
      <w:r w:rsidRPr="0012588C">
        <w:rPr>
          <w:lang w:val="en-US"/>
        </w:rPr>
        <w:t xml:space="preserve">, </w:t>
      </w:r>
      <w:r>
        <w:t>пункты</w:t>
      </w:r>
      <w:r w:rsidRPr="0012588C">
        <w:rPr>
          <w:lang w:val="en-US"/>
        </w:rPr>
        <w:t xml:space="preserve"> 12</w:t>
      </w:r>
      <w:r w:rsidR="00582364" w:rsidRPr="004508CF">
        <w:rPr>
          <w:lang w:val="en-US"/>
        </w:rPr>
        <w:t>–</w:t>
      </w:r>
      <w:r w:rsidRPr="0012588C">
        <w:rPr>
          <w:lang w:val="en-US"/>
        </w:rPr>
        <w:t>13.</w:t>
      </w:r>
    </w:p>
  </w:footnote>
  <w:footnote w:id="5">
    <w:p w14:paraId="7A6A3B72" w14:textId="2B2FD424" w:rsidR="007803C9" w:rsidRPr="007803C9" w:rsidRDefault="007803C9" w:rsidP="007803C9">
      <w:pPr>
        <w:pStyle w:val="ad"/>
        <w:rPr>
          <w:lang w:val="en-US"/>
        </w:rPr>
      </w:pPr>
      <w:r w:rsidRPr="0012588C">
        <w:rPr>
          <w:lang w:val="en-US"/>
        </w:rPr>
        <w:tab/>
      </w:r>
      <w:r>
        <w:rPr>
          <w:rStyle w:val="aa"/>
        </w:rPr>
        <w:footnoteRef/>
      </w:r>
      <w:r w:rsidRPr="0012588C">
        <w:rPr>
          <w:lang w:val="en-US"/>
        </w:rPr>
        <w:tab/>
      </w:r>
      <w:hyperlink r:id="rId5" w:history="1">
        <w:r w:rsidR="004508CF" w:rsidRPr="004508CF">
          <w:rPr>
            <w:rStyle w:val="af1"/>
            <w:rFonts w:eastAsia="Arial Unicode MS" w:cs="Arial Unicode MS"/>
            <w:lang w:val="en-US"/>
          </w:rPr>
          <w:t>CED/C/BRA/RQ/1</w:t>
        </w:r>
      </w:hyperlink>
      <w:r w:rsidRPr="0012588C">
        <w:rPr>
          <w:lang w:val="en-US"/>
        </w:rPr>
        <w:t>.</w:t>
      </w:r>
    </w:p>
  </w:footnote>
  <w:footnote w:id="6">
    <w:p w14:paraId="587778DA" w14:textId="59C5236B" w:rsidR="007803C9" w:rsidRPr="007803C9" w:rsidRDefault="007803C9" w:rsidP="007803C9">
      <w:pPr>
        <w:pStyle w:val="ad"/>
        <w:rPr>
          <w:lang w:val="en-US"/>
        </w:rPr>
      </w:pPr>
      <w:r w:rsidRPr="0012588C">
        <w:rPr>
          <w:lang w:val="en-US"/>
        </w:rPr>
        <w:tab/>
      </w:r>
      <w:r>
        <w:rPr>
          <w:rStyle w:val="aa"/>
        </w:rPr>
        <w:footnoteRef/>
      </w:r>
      <w:r w:rsidRPr="0012588C">
        <w:rPr>
          <w:lang w:val="en-US"/>
        </w:rPr>
        <w:tab/>
      </w:r>
      <w:hyperlink r:id="rId6" w:history="1">
        <w:r w:rsidR="004508CF" w:rsidRPr="00FA35A1">
          <w:rPr>
            <w:rStyle w:val="af1"/>
            <w:lang w:val="it-IT"/>
          </w:rPr>
          <w:t>CED/C/BRA/Q/1</w:t>
        </w:r>
      </w:hyperlink>
      <w:r w:rsidRPr="0012588C">
        <w:rPr>
          <w:lang w:val="en-US"/>
        </w:rPr>
        <w:t>.</w:t>
      </w:r>
    </w:p>
  </w:footnote>
  <w:footnote w:id="7">
    <w:p w14:paraId="6A684AD9" w14:textId="0A853C06" w:rsidR="004C4655" w:rsidRPr="007803C9" w:rsidRDefault="004C4655" w:rsidP="004C4655">
      <w:pPr>
        <w:pStyle w:val="ad"/>
        <w:rPr>
          <w:lang w:val="en-US"/>
        </w:rPr>
      </w:pPr>
      <w:r w:rsidRPr="0012588C">
        <w:rPr>
          <w:lang w:val="en-US"/>
        </w:rPr>
        <w:tab/>
      </w:r>
      <w:r>
        <w:rPr>
          <w:rStyle w:val="aa"/>
        </w:rPr>
        <w:footnoteRef/>
      </w:r>
      <w:r w:rsidRPr="0012588C">
        <w:rPr>
          <w:lang w:val="en-US"/>
        </w:rPr>
        <w:t xml:space="preserve"> </w:t>
      </w:r>
      <w:r w:rsidRPr="0012588C">
        <w:rPr>
          <w:lang w:val="en-US"/>
        </w:rPr>
        <w:tab/>
      </w:r>
      <w:hyperlink r:id="rId7" w:history="1">
        <w:r w:rsidRPr="004C4655">
          <w:rPr>
            <w:rStyle w:val="af1"/>
            <w:lang w:val="en-US"/>
          </w:rPr>
          <w:t>CED/C/BRA/RQ/1</w:t>
        </w:r>
      </w:hyperlink>
      <w:r w:rsidRPr="0012588C">
        <w:rPr>
          <w:lang w:val="en-US"/>
        </w:rPr>
        <w:t xml:space="preserve">, </w:t>
      </w:r>
      <w:r>
        <w:t>пункт</w:t>
      </w:r>
      <w:r w:rsidRPr="0012588C">
        <w:rPr>
          <w:lang w:val="en-US"/>
        </w:rPr>
        <w:t xml:space="preserve"> 13.</w:t>
      </w:r>
    </w:p>
  </w:footnote>
  <w:footnote w:id="8">
    <w:p w14:paraId="6F4D21D5" w14:textId="42F841EB" w:rsidR="007803C9" w:rsidRPr="0012588C" w:rsidRDefault="007803C9" w:rsidP="007803C9">
      <w:pPr>
        <w:pStyle w:val="ad"/>
      </w:pPr>
      <w:r w:rsidRPr="0012588C">
        <w:rPr>
          <w:lang w:val="en-US"/>
        </w:rPr>
        <w:tab/>
      </w:r>
      <w:r>
        <w:rPr>
          <w:rStyle w:val="aa"/>
        </w:rPr>
        <w:footnoteRef/>
      </w:r>
      <w:r>
        <w:t xml:space="preserve"> </w:t>
      </w:r>
      <w:r>
        <w:tab/>
        <w:t>Там же, пункты 27</w:t>
      </w:r>
      <w:r w:rsidR="00582364">
        <w:t>–</w:t>
      </w:r>
      <w:r>
        <w:t>28.</w:t>
      </w:r>
    </w:p>
  </w:footnote>
  <w:footnote w:id="9">
    <w:p w14:paraId="7D17E6C8" w14:textId="7F49CB5F" w:rsidR="007803C9" w:rsidRPr="0012588C" w:rsidRDefault="007803C9" w:rsidP="007803C9">
      <w:pPr>
        <w:pStyle w:val="ad"/>
      </w:pPr>
      <w:r w:rsidRPr="007A7453">
        <w:tab/>
      </w:r>
      <w:r w:rsidRPr="001A6AB6">
        <w:rPr>
          <w:vertAlign w:val="superscript"/>
        </w:rPr>
        <w:footnoteRef/>
      </w:r>
      <w:r>
        <w:t xml:space="preserve"> </w:t>
      </w:r>
      <w:r>
        <w:tab/>
      </w:r>
      <w:hyperlink r:id="rId8" w:history="1">
        <w:r w:rsidR="004C4655" w:rsidRPr="00FA35A1">
          <w:rPr>
            <w:rStyle w:val="af1"/>
            <w:rFonts w:eastAsia="Arial Unicode MS" w:cs="Arial Unicode MS"/>
            <w:lang w:val="es-ES"/>
          </w:rPr>
          <w:t>A</w:t>
        </w:r>
        <w:r w:rsidR="004C4655" w:rsidRPr="004C4655">
          <w:rPr>
            <w:rStyle w:val="af1"/>
            <w:rFonts w:eastAsia="Arial Unicode MS" w:cs="Arial Unicode MS"/>
          </w:rPr>
          <w:t>/70/56</w:t>
        </w:r>
      </w:hyperlink>
      <w:r>
        <w:t>, приложение III.</w:t>
      </w:r>
    </w:p>
  </w:footnote>
  <w:footnote w:id="10">
    <w:p w14:paraId="18FD70FB" w14:textId="017B2368" w:rsidR="007803C9" w:rsidRPr="008412B4" w:rsidRDefault="007803C9" w:rsidP="007803C9">
      <w:pPr>
        <w:pStyle w:val="ad"/>
        <w:rPr>
          <w:lang w:val="en-US"/>
        </w:rPr>
      </w:pPr>
      <w:r w:rsidRPr="007A7453">
        <w:tab/>
      </w:r>
      <w:r>
        <w:rPr>
          <w:rStyle w:val="aa"/>
        </w:rPr>
        <w:footnoteRef/>
      </w:r>
      <w:r w:rsidRPr="008412B4">
        <w:rPr>
          <w:lang w:val="en-US"/>
        </w:rPr>
        <w:t xml:space="preserve"> </w:t>
      </w:r>
      <w:r w:rsidRPr="008412B4">
        <w:rPr>
          <w:lang w:val="en-US"/>
        </w:rPr>
        <w:tab/>
      </w:r>
      <w:hyperlink r:id="rId9" w:history="1">
        <w:r w:rsidR="004C4655" w:rsidRPr="008412B4">
          <w:rPr>
            <w:rStyle w:val="af1"/>
            <w:rFonts w:eastAsia="Arial Unicode MS" w:cs="Arial Unicode MS"/>
            <w:lang w:val="en-US"/>
          </w:rPr>
          <w:t>CED/C/BRA/RQ/1</w:t>
        </w:r>
      </w:hyperlink>
      <w:r w:rsidRPr="008412B4">
        <w:rPr>
          <w:lang w:val="en-US"/>
        </w:rPr>
        <w:t xml:space="preserve">, </w:t>
      </w:r>
      <w:r>
        <w:t>пункт</w:t>
      </w:r>
      <w:r w:rsidRPr="008412B4">
        <w:rPr>
          <w:lang w:val="en-US"/>
        </w:rPr>
        <w:t xml:space="preserve"> 43.</w:t>
      </w:r>
    </w:p>
  </w:footnote>
  <w:footnote w:id="11">
    <w:p w14:paraId="4DE41D6E" w14:textId="2C62CA93" w:rsidR="007803C9" w:rsidRPr="008412B4" w:rsidRDefault="007803C9" w:rsidP="007803C9">
      <w:pPr>
        <w:pStyle w:val="ad"/>
        <w:rPr>
          <w:lang w:val="en-US"/>
        </w:rPr>
      </w:pPr>
      <w:r w:rsidRPr="008412B4">
        <w:rPr>
          <w:rStyle w:val="aa"/>
          <w:rFonts w:eastAsiaTheme="minorHAnsi"/>
          <w:lang w:val="en-US"/>
        </w:rPr>
        <w:tab/>
      </w:r>
      <w:r w:rsidRPr="00CD1CBE">
        <w:rPr>
          <w:rStyle w:val="aa"/>
          <w:rFonts w:eastAsiaTheme="minorHAnsi"/>
        </w:rPr>
        <w:footnoteRef/>
      </w:r>
      <w:r w:rsidRPr="008412B4">
        <w:rPr>
          <w:lang w:val="en-US"/>
        </w:rPr>
        <w:tab/>
      </w:r>
      <w:r w:rsidR="00FE36C7" w:rsidRPr="008412B4">
        <w:rPr>
          <w:rStyle w:val="aa"/>
          <w:rFonts w:eastAsiaTheme="minorHAnsi"/>
          <w:lang w:val="en-US"/>
        </w:rPr>
        <w:tab/>
      </w:r>
      <w:hyperlink r:id="rId10" w:history="1">
        <w:r w:rsidR="00FE36C7" w:rsidRPr="008412B4">
          <w:rPr>
            <w:rStyle w:val="af1"/>
            <w:rFonts w:eastAsia="Arial Unicode MS" w:cs="Arial Unicode MS"/>
            <w:lang w:val="en-US"/>
          </w:rPr>
          <w:t>https://tbinternet.ohchr.org/Treaties/</w:t>
        </w:r>
        <w:r w:rsidR="00FE36C7" w:rsidRPr="008412B4">
          <w:rPr>
            <w:rStyle w:val="af1"/>
            <w:rFonts w:cs="Arial Unicode MS"/>
            <w:szCs w:val="18"/>
            <w:lang w:val="en-US"/>
          </w:rPr>
          <w:t>CED/Shared%20Documents/1_Global/INT_CED_SUS_7250_E.pdf</w:t>
        </w:r>
      </w:hyperlink>
      <w:r w:rsidRPr="008412B4">
        <w:rPr>
          <w:lang w:val="en-US"/>
        </w:rPr>
        <w:t>.</w:t>
      </w:r>
    </w:p>
  </w:footnote>
  <w:footnote w:id="12">
    <w:p w14:paraId="4349F368" w14:textId="732B9EFB" w:rsidR="007803C9" w:rsidRPr="008412B4" w:rsidRDefault="007803C9" w:rsidP="007803C9">
      <w:pPr>
        <w:pStyle w:val="ad"/>
        <w:rPr>
          <w:lang w:val="en-US"/>
        </w:rPr>
      </w:pPr>
      <w:r w:rsidRPr="008412B4">
        <w:rPr>
          <w:lang w:val="en-US"/>
        </w:rPr>
        <w:tab/>
      </w:r>
      <w:r>
        <w:rPr>
          <w:rStyle w:val="aa"/>
        </w:rPr>
        <w:footnoteRef/>
      </w:r>
      <w:r w:rsidRPr="008412B4">
        <w:rPr>
          <w:lang w:val="en-US"/>
        </w:rPr>
        <w:tab/>
      </w:r>
      <w:hyperlink r:id="rId11" w:history="1">
        <w:r w:rsidR="00FE36C7" w:rsidRPr="00FA35A1">
          <w:rPr>
            <w:rStyle w:val="af1"/>
            <w:rFonts w:eastAsia="Arial Unicode MS" w:cs="Arial Unicode MS"/>
            <w:lang w:val="en-US"/>
          </w:rPr>
          <w:t>CED</w:t>
        </w:r>
        <w:r w:rsidR="00FE36C7" w:rsidRPr="008412B4">
          <w:rPr>
            <w:rStyle w:val="af1"/>
            <w:rFonts w:eastAsia="Arial Unicode MS" w:cs="Arial Unicode MS"/>
            <w:lang w:val="en-US"/>
          </w:rPr>
          <w:t>/</w:t>
        </w:r>
        <w:r w:rsidR="00FE36C7" w:rsidRPr="00FA35A1">
          <w:rPr>
            <w:rStyle w:val="af1"/>
            <w:rFonts w:eastAsia="Arial Unicode MS" w:cs="Arial Unicode MS"/>
            <w:lang w:val="en-US"/>
          </w:rPr>
          <w:t>C</w:t>
        </w:r>
        <w:r w:rsidR="00FE36C7" w:rsidRPr="008412B4">
          <w:rPr>
            <w:rStyle w:val="af1"/>
            <w:rFonts w:eastAsia="Arial Unicode MS" w:cs="Arial Unicode MS"/>
            <w:lang w:val="en-US"/>
          </w:rPr>
          <w:t>/7</w:t>
        </w:r>
      </w:hyperlink>
      <w:r w:rsidRPr="008412B4">
        <w:rPr>
          <w:lang w:val="en-US"/>
        </w:rPr>
        <w:t xml:space="preserve">, </w:t>
      </w:r>
      <w:r>
        <w:t>приложение</w:t>
      </w:r>
      <w:r w:rsidRPr="008412B4">
        <w:rPr>
          <w:lang w:val="en-US"/>
        </w:rPr>
        <w:t>.</w:t>
      </w:r>
    </w:p>
  </w:footnote>
  <w:footnote w:id="13">
    <w:p w14:paraId="070BAC95" w14:textId="35033D5D" w:rsidR="007803C9" w:rsidRPr="00FE36C7" w:rsidRDefault="007803C9" w:rsidP="007803C9">
      <w:pPr>
        <w:pStyle w:val="ad"/>
        <w:rPr>
          <w:lang w:val="en-US"/>
        </w:rPr>
      </w:pPr>
      <w:r w:rsidRPr="008412B4">
        <w:rPr>
          <w:lang w:val="en-US"/>
        </w:rPr>
        <w:tab/>
      </w:r>
      <w:r>
        <w:rPr>
          <w:rStyle w:val="aa"/>
        </w:rPr>
        <w:footnoteRef/>
      </w:r>
      <w:r w:rsidRPr="00FE36C7">
        <w:rPr>
          <w:lang w:val="en-US"/>
        </w:rPr>
        <w:t xml:space="preserve"> </w:t>
      </w:r>
      <w:r w:rsidRPr="00FE36C7">
        <w:rPr>
          <w:lang w:val="en-US"/>
        </w:rPr>
        <w:tab/>
      </w:r>
      <w:hyperlink r:id="rId12" w:history="1">
        <w:r w:rsidR="00FE36C7" w:rsidRPr="00FA35A1">
          <w:rPr>
            <w:rStyle w:val="af1"/>
            <w:rFonts w:eastAsia="Arial Unicode MS" w:cs="Arial Unicode MS"/>
            <w:lang w:val="en-US"/>
          </w:rPr>
          <w:t>CED</w:t>
        </w:r>
        <w:r w:rsidR="00FE36C7" w:rsidRPr="00FE36C7">
          <w:rPr>
            <w:rStyle w:val="af1"/>
            <w:rFonts w:eastAsia="Arial Unicode MS" w:cs="Arial Unicode MS"/>
            <w:lang w:val="en-US"/>
          </w:rPr>
          <w:t>/</w:t>
        </w:r>
        <w:r w:rsidR="00FE36C7" w:rsidRPr="00FA35A1">
          <w:rPr>
            <w:rStyle w:val="af1"/>
            <w:rFonts w:eastAsia="Arial Unicode MS" w:cs="Arial Unicode MS"/>
            <w:lang w:val="en-US"/>
          </w:rPr>
          <w:t>C</w:t>
        </w:r>
        <w:r w:rsidR="00FE36C7" w:rsidRPr="00FE36C7">
          <w:rPr>
            <w:rStyle w:val="af1"/>
            <w:rFonts w:eastAsia="Arial Unicode MS" w:cs="Arial Unicode MS"/>
            <w:lang w:val="en-US"/>
          </w:rPr>
          <w:t>/</w:t>
        </w:r>
        <w:r w:rsidR="00FE36C7" w:rsidRPr="00FA35A1">
          <w:rPr>
            <w:rStyle w:val="af1"/>
            <w:rFonts w:eastAsia="Arial Unicode MS" w:cs="Arial Unicode MS"/>
            <w:lang w:val="en-US"/>
          </w:rPr>
          <w:t>BRA</w:t>
        </w:r>
        <w:r w:rsidR="00FE36C7" w:rsidRPr="00FE36C7">
          <w:rPr>
            <w:rStyle w:val="af1"/>
            <w:rFonts w:eastAsia="Arial Unicode MS" w:cs="Arial Unicode MS"/>
            <w:lang w:val="en-US"/>
          </w:rPr>
          <w:t>/1</w:t>
        </w:r>
      </w:hyperlink>
      <w:r w:rsidRPr="00FE36C7">
        <w:rPr>
          <w:lang w:val="en-US"/>
        </w:rPr>
        <w:t xml:space="preserve">, </w:t>
      </w:r>
      <w:r>
        <w:t>пункт</w:t>
      </w:r>
      <w:r w:rsidRPr="00FE36C7">
        <w:rPr>
          <w:lang w:val="en-US"/>
        </w:rPr>
        <w:t xml:space="preserve"> 126, </w:t>
      </w:r>
      <w:r>
        <w:t>и</w:t>
      </w:r>
      <w:r w:rsidRPr="00FE36C7">
        <w:rPr>
          <w:lang w:val="en-US"/>
        </w:rPr>
        <w:t xml:space="preserve"> </w:t>
      </w:r>
      <w:hyperlink r:id="rId13" w:history="1">
        <w:r w:rsidR="00FE36C7" w:rsidRPr="00FA35A1">
          <w:rPr>
            <w:rStyle w:val="af1"/>
            <w:rFonts w:eastAsia="Arial Unicode MS" w:cs="Arial Unicode MS"/>
            <w:lang w:val="en-US"/>
          </w:rPr>
          <w:t>CED</w:t>
        </w:r>
        <w:r w:rsidR="00FE36C7" w:rsidRPr="00FE36C7">
          <w:rPr>
            <w:rStyle w:val="af1"/>
            <w:rFonts w:eastAsia="Arial Unicode MS" w:cs="Arial Unicode MS"/>
            <w:lang w:val="en-US"/>
          </w:rPr>
          <w:t>/</w:t>
        </w:r>
        <w:r w:rsidR="00FE36C7" w:rsidRPr="00FA35A1">
          <w:rPr>
            <w:rStyle w:val="af1"/>
            <w:rFonts w:eastAsia="Arial Unicode MS" w:cs="Arial Unicode MS"/>
            <w:lang w:val="en-US"/>
          </w:rPr>
          <w:t>C</w:t>
        </w:r>
        <w:r w:rsidR="00FE36C7" w:rsidRPr="00FE36C7">
          <w:rPr>
            <w:rStyle w:val="af1"/>
            <w:rFonts w:eastAsia="Arial Unicode MS" w:cs="Arial Unicode MS"/>
            <w:lang w:val="en-US"/>
          </w:rPr>
          <w:t>/</w:t>
        </w:r>
        <w:r w:rsidR="00FE36C7" w:rsidRPr="00FA35A1">
          <w:rPr>
            <w:rStyle w:val="af1"/>
            <w:rFonts w:eastAsia="Arial Unicode MS" w:cs="Arial Unicode MS"/>
            <w:lang w:val="en-US"/>
          </w:rPr>
          <w:t>BRA</w:t>
        </w:r>
        <w:r w:rsidR="00FE36C7" w:rsidRPr="00FE36C7">
          <w:rPr>
            <w:rStyle w:val="af1"/>
            <w:rFonts w:eastAsia="Arial Unicode MS" w:cs="Arial Unicode MS"/>
            <w:lang w:val="en-US"/>
          </w:rPr>
          <w:t>/</w:t>
        </w:r>
        <w:r w:rsidR="00FE36C7" w:rsidRPr="00FA35A1">
          <w:rPr>
            <w:rStyle w:val="af1"/>
            <w:rFonts w:eastAsia="Arial Unicode MS" w:cs="Arial Unicode MS"/>
            <w:lang w:val="en-US"/>
          </w:rPr>
          <w:t>RQ</w:t>
        </w:r>
        <w:r w:rsidR="00FE36C7" w:rsidRPr="00FE36C7">
          <w:rPr>
            <w:rStyle w:val="af1"/>
            <w:rFonts w:eastAsia="Arial Unicode MS" w:cs="Arial Unicode MS"/>
            <w:lang w:val="en-US"/>
          </w:rPr>
          <w:t>/1</w:t>
        </w:r>
      </w:hyperlink>
      <w:r w:rsidRPr="00FE36C7">
        <w:rPr>
          <w:lang w:val="en-US"/>
        </w:rPr>
        <w:t xml:space="preserve">, </w:t>
      </w:r>
      <w:r>
        <w:t>пункт</w:t>
      </w:r>
      <w:r w:rsidRPr="00FE36C7">
        <w:rPr>
          <w:lang w:val="en-US"/>
        </w:rPr>
        <w:t xml:space="preserve"> 76.</w:t>
      </w:r>
    </w:p>
  </w:footnote>
  <w:footnote w:id="14">
    <w:p w14:paraId="65E894C3" w14:textId="5F80F54D" w:rsidR="007803C9" w:rsidRPr="007803C9" w:rsidRDefault="007803C9" w:rsidP="007803C9">
      <w:pPr>
        <w:pStyle w:val="ad"/>
        <w:rPr>
          <w:lang w:val="en-US"/>
        </w:rPr>
      </w:pPr>
      <w:r w:rsidRPr="00FE36C7">
        <w:rPr>
          <w:lang w:val="en-US"/>
        </w:rPr>
        <w:tab/>
      </w:r>
      <w:r>
        <w:rPr>
          <w:rStyle w:val="aa"/>
        </w:rPr>
        <w:footnoteRef/>
      </w:r>
      <w:r w:rsidRPr="0012588C">
        <w:rPr>
          <w:lang w:val="en-US"/>
        </w:rPr>
        <w:t xml:space="preserve"> </w:t>
      </w:r>
      <w:r w:rsidRPr="0012588C">
        <w:rPr>
          <w:lang w:val="en-US"/>
        </w:rPr>
        <w:tab/>
      </w:r>
      <w:hyperlink r:id="rId14" w:history="1">
        <w:r w:rsidR="00FE36C7" w:rsidRPr="004D224C">
          <w:rPr>
            <w:rStyle w:val="af1"/>
            <w:rFonts w:eastAsia="Arial Unicode MS" w:cs="Arial Unicode MS"/>
            <w:lang w:val="en-US"/>
          </w:rPr>
          <w:t>CED/C/BRA/1</w:t>
        </w:r>
      </w:hyperlink>
      <w:r w:rsidRPr="0012588C">
        <w:rPr>
          <w:lang w:val="en-US"/>
        </w:rPr>
        <w:t xml:space="preserve">, </w:t>
      </w:r>
      <w:r>
        <w:t>пункт</w:t>
      </w:r>
      <w:r w:rsidRPr="0012588C">
        <w:rPr>
          <w:lang w:val="en-US"/>
        </w:rPr>
        <w:t xml:space="preserve"> 139.</w:t>
      </w:r>
    </w:p>
  </w:footnote>
  <w:footnote w:id="15">
    <w:p w14:paraId="269FE55E" w14:textId="29698E64" w:rsidR="007803C9" w:rsidRPr="007803C9" w:rsidRDefault="007803C9" w:rsidP="007803C9">
      <w:pPr>
        <w:pStyle w:val="ad"/>
        <w:rPr>
          <w:lang w:val="en-US"/>
        </w:rPr>
      </w:pPr>
      <w:r w:rsidRPr="0012588C">
        <w:rPr>
          <w:lang w:val="en-US"/>
        </w:rPr>
        <w:tab/>
      </w:r>
      <w:r>
        <w:rPr>
          <w:rStyle w:val="aa"/>
        </w:rPr>
        <w:footnoteRef/>
      </w:r>
      <w:r w:rsidRPr="0012588C">
        <w:rPr>
          <w:lang w:val="en-US"/>
        </w:rPr>
        <w:t xml:space="preserve"> </w:t>
      </w:r>
      <w:r w:rsidRPr="0012588C">
        <w:rPr>
          <w:lang w:val="en-US"/>
        </w:rPr>
        <w:tab/>
      </w:r>
      <w:hyperlink r:id="rId15" w:history="1">
        <w:r w:rsidR="004D224C" w:rsidRPr="004D224C">
          <w:rPr>
            <w:rStyle w:val="af1"/>
            <w:rFonts w:eastAsia="Arial Unicode MS" w:cs="Arial Unicode MS"/>
            <w:lang w:val="en-US"/>
          </w:rPr>
          <w:t>CED/C/BRA/1</w:t>
        </w:r>
      </w:hyperlink>
      <w:r w:rsidRPr="0012588C">
        <w:rPr>
          <w:lang w:val="en-US"/>
        </w:rPr>
        <w:t xml:space="preserve">, </w:t>
      </w:r>
      <w:r>
        <w:t>пункты</w:t>
      </w:r>
      <w:r w:rsidRPr="0012588C">
        <w:rPr>
          <w:lang w:val="en-US"/>
        </w:rPr>
        <w:t xml:space="preserve"> 150</w:t>
      </w:r>
      <w:r w:rsidR="00582364" w:rsidRPr="004D224C">
        <w:rPr>
          <w:lang w:val="en-US"/>
        </w:rPr>
        <w:t>–</w:t>
      </w:r>
      <w:r w:rsidRPr="0012588C">
        <w:rPr>
          <w:lang w:val="en-US"/>
        </w:rPr>
        <w:t>152.</w:t>
      </w:r>
    </w:p>
  </w:footnote>
  <w:footnote w:id="16">
    <w:p w14:paraId="5F2F0989" w14:textId="759B3957" w:rsidR="007803C9" w:rsidRPr="007803C9" w:rsidRDefault="007803C9" w:rsidP="007803C9">
      <w:pPr>
        <w:pStyle w:val="ad"/>
        <w:rPr>
          <w:lang w:val="en-US"/>
        </w:rPr>
      </w:pPr>
      <w:r w:rsidRPr="0012588C">
        <w:rPr>
          <w:lang w:val="en-US"/>
        </w:rPr>
        <w:tab/>
      </w:r>
      <w:r>
        <w:rPr>
          <w:rStyle w:val="aa"/>
        </w:rPr>
        <w:footnoteRef/>
      </w:r>
      <w:r w:rsidRPr="0012588C">
        <w:rPr>
          <w:lang w:val="en-US"/>
        </w:rPr>
        <w:t xml:space="preserve"> </w:t>
      </w:r>
      <w:r w:rsidRPr="0012588C">
        <w:rPr>
          <w:lang w:val="en-US"/>
        </w:rPr>
        <w:tab/>
      </w:r>
      <w:hyperlink r:id="rId16" w:history="1">
        <w:r w:rsidR="004D224C" w:rsidRPr="004D224C">
          <w:rPr>
            <w:rStyle w:val="af1"/>
            <w:rFonts w:eastAsia="Arial Unicode MS" w:cs="Arial Unicode MS"/>
            <w:lang w:val="en-US"/>
          </w:rPr>
          <w:t>CRC/C/BRA/CO/2-4</w:t>
        </w:r>
      </w:hyperlink>
      <w:r w:rsidRPr="0012588C">
        <w:rPr>
          <w:lang w:val="en-US"/>
        </w:rPr>
        <w:t xml:space="preserve">, </w:t>
      </w:r>
      <w:r>
        <w:t>пункт</w:t>
      </w:r>
      <w:r w:rsidRPr="0012588C">
        <w:rPr>
          <w:lang w:val="en-US"/>
        </w:rPr>
        <w:t xml:space="preserve"> 35 a).</w:t>
      </w:r>
    </w:p>
  </w:footnote>
  <w:footnote w:id="17">
    <w:p w14:paraId="2A8DA410" w14:textId="627E211B" w:rsidR="007803C9" w:rsidRPr="00E93897" w:rsidRDefault="007803C9" w:rsidP="007803C9">
      <w:pPr>
        <w:pStyle w:val="ad"/>
      </w:pPr>
      <w:r w:rsidRPr="0012588C">
        <w:rPr>
          <w:lang w:val="en-US"/>
        </w:rPr>
        <w:tab/>
      </w:r>
      <w:r>
        <w:rPr>
          <w:rStyle w:val="aa"/>
        </w:rPr>
        <w:footnoteRef/>
      </w:r>
      <w:r>
        <w:tab/>
      </w:r>
      <w:hyperlink r:id="rId17" w:history="1">
        <w:r w:rsidR="004D224C" w:rsidRPr="00FA35A1">
          <w:rPr>
            <w:rStyle w:val="af1"/>
          </w:rPr>
          <w:t>CED/C/2</w:t>
        </w:r>
      </w:hyperlink>
      <w:r>
        <w:t>, пункт 39.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1F03" w14:textId="6B226A26" w:rsidR="007803C9" w:rsidRPr="007803C9" w:rsidRDefault="008412B4">
    <w:pPr>
      <w:pStyle w:val="a5"/>
    </w:pPr>
    <w:fldSimple w:instr=" TITLE  \* MERGEFORMAT ">
      <w:r w:rsidR="00353881">
        <w:t>CED/C/BRA/CO/1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1566C" w14:textId="4E77BCEE" w:rsidR="007803C9" w:rsidRPr="007803C9" w:rsidRDefault="008412B4" w:rsidP="007803C9">
    <w:pPr>
      <w:pStyle w:val="a5"/>
      <w:jc w:val="right"/>
    </w:pPr>
    <w:fldSimple w:instr=" TITLE  \* MERGEFORMAT ">
      <w:r w:rsidR="00353881">
        <w:t>CED/C/BRA/CO/1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81"/>
    <w:rsid w:val="00033EE1"/>
    <w:rsid w:val="00042B72"/>
    <w:rsid w:val="00046E2F"/>
    <w:rsid w:val="00052360"/>
    <w:rsid w:val="000558BD"/>
    <w:rsid w:val="000B57E7"/>
    <w:rsid w:val="000B6373"/>
    <w:rsid w:val="000F09DF"/>
    <w:rsid w:val="000F2F61"/>
    <w:rsid w:val="000F61B2"/>
    <w:rsid w:val="001075E9"/>
    <w:rsid w:val="00180183"/>
    <w:rsid w:val="0018024D"/>
    <w:rsid w:val="0018649F"/>
    <w:rsid w:val="00196389"/>
    <w:rsid w:val="001B3EF6"/>
    <w:rsid w:val="001C7A89"/>
    <w:rsid w:val="00206F9C"/>
    <w:rsid w:val="00215F21"/>
    <w:rsid w:val="00231903"/>
    <w:rsid w:val="00277A08"/>
    <w:rsid w:val="002A2EFC"/>
    <w:rsid w:val="002C0E18"/>
    <w:rsid w:val="002D5AAC"/>
    <w:rsid w:val="002E5067"/>
    <w:rsid w:val="002F405F"/>
    <w:rsid w:val="002F7EEC"/>
    <w:rsid w:val="003000B1"/>
    <w:rsid w:val="00301299"/>
    <w:rsid w:val="00305C08"/>
    <w:rsid w:val="00307FB6"/>
    <w:rsid w:val="00317339"/>
    <w:rsid w:val="00322004"/>
    <w:rsid w:val="003402C2"/>
    <w:rsid w:val="00353881"/>
    <w:rsid w:val="00375C59"/>
    <w:rsid w:val="00381C24"/>
    <w:rsid w:val="003958D0"/>
    <w:rsid w:val="003B00E5"/>
    <w:rsid w:val="003D578C"/>
    <w:rsid w:val="00407B78"/>
    <w:rsid w:val="00424203"/>
    <w:rsid w:val="004508CF"/>
    <w:rsid w:val="00452493"/>
    <w:rsid w:val="00454E07"/>
    <w:rsid w:val="00472C5C"/>
    <w:rsid w:val="00475A37"/>
    <w:rsid w:val="004C4655"/>
    <w:rsid w:val="004D224C"/>
    <w:rsid w:val="004E4CB3"/>
    <w:rsid w:val="004F21B5"/>
    <w:rsid w:val="004F2C88"/>
    <w:rsid w:val="0050108D"/>
    <w:rsid w:val="00513081"/>
    <w:rsid w:val="00517901"/>
    <w:rsid w:val="00526683"/>
    <w:rsid w:val="00536A7D"/>
    <w:rsid w:val="005709E0"/>
    <w:rsid w:val="00572E19"/>
    <w:rsid w:val="00582364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25545"/>
    <w:rsid w:val="00757357"/>
    <w:rsid w:val="007601E9"/>
    <w:rsid w:val="007803C9"/>
    <w:rsid w:val="007C532E"/>
    <w:rsid w:val="008027E5"/>
    <w:rsid w:val="008227B1"/>
    <w:rsid w:val="00825F8D"/>
    <w:rsid w:val="00834B71"/>
    <w:rsid w:val="008412B4"/>
    <w:rsid w:val="0086445C"/>
    <w:rsid w:val="00877609"/>
    <w:rsid w:val="00894693"/>
    <w:rsid w:val="008A08D7"/>
    <w:rsid w:val="008B6909"/>
    <w:rsid w:val="00902781"/>
    <w:rsid w:val="00906890"/>
    <w:rsid w:val="00911BE4"/>
    <w:rsid w:val="00942A43"/>
    <w:rsid w:val="00947CD6"/>
    <w:rsid w:val="00951972"/>
    <w:rsid w:val="009608F3"/>
    <w:rsid w:val="009A24AC"/>
    <w:rsid w:val="00A14DA8"/>
    <w:rsid w:val="00A312BC"/>
    <w:rsid w:val="00A84021"/>
    <w:rsid w:val="00A84D35"/>
    <w:rsid w:val="00A917B3"/>
    <w:rsid w:val="00AB4B51"/>
    <w:rsid w:val="00AC0100"/>
    <w:rsid w:val="00B10CC7"/>
    <w:rsid w:val="00B36DF7"/>
    <w:rsid w:val="00B539E7"/>
    <w:rsid w:val="00B54E04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6B65"/>
    <w:rsid w:val="00D55C9D"/>
    <w:rsid w:val="00D90028"/>
    <w:rsid w:val="00D90138"/>
    <w:rsid w:val="00DB0902"/>
    <w:rsid w:val="00DD78D1"/>
    <w:rsid w:val="00DE32CD"/>
    <w:rsid w:val="00DF71B9"/>
    <w:rsid w:val="00E61978"/>
    <w:rsid w:val="00E73F76"/>
    <w:rsid w:val="00EA2C9F"/>
    <w:rsid w:val="00EA420E"/>
    <w:rsid w:val="00ED0BDA"/>
    <w:rsid w:val="00EF1360"/>
    <w:rsid w:val="00EF3220"/>
    <w:rsid w:val="00F41C74"/>
    <w:rsid w:val="00F43903"/>
    <w:rsid w:val="00F94155"/>
    <w:rsid w:val="00F9777C"/>
    <w:rsid w:val="00F9783F"/>
    <w:rsid w:val="00FB7B74"/>
    <w:rsid w:val="00FD2EF7"/>
    <w:rsid w:val="00FE36C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C83508"/>
  <w15:docId w15:val="{9A743824-B43A-4918-A6D9-663B53AF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2C8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6197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0F2F6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6197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6197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6197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0F2F6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6197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6197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6197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6197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61978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61978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0F2F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6197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6197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6197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61978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61978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6197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61978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61978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61978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F2C8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6197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61978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61978"/>
  </w:style>
  <w:style w:type="character" w:customStyle="1" w:styleId="af0">
    <w:name w:val="Текст концевой сноски Знак"/>
    <w:aliases w:val="2_G Знак"/>
    <w:basedOn w:val="a0"/>
    <w:link w:val="af"/>
    <w:rsid w:val="00E6197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61978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E61978"/>
    <w:rPr>
      <w:color w:val="0000FF" w:themeColor="hyperlink"/>
      <w:u w:val="none"/>
    </w:rPr>
  </w:style>
  <w:style w:type="character" w:styleId="af2">
    <w:name w:val="FollowedHyperlink"/>
    <w:basedOn w:val="a0"/>
    <w:rsid w:val="00E61978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7803C9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FE3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ru/A/70/56" TargetMode="External"/><Relationship Id="rId13" Type="http://schemas.openxmlformats.org/officeDocument/2006/relationships/hyperlink" Target="http://undocs.org/en/CED/C/BRA/RQ/1" TargetMode="External"/><Relationship Id="rId3" Type="http://schemas.openxmlformats.org/officeDocument/2006/relationships/hyperlink" Target="http://undocs.org/en/CED/C/SR.364" TargetMode="External"/><Relationship Id="rId7" Type="http://schemas.openxmlformats.org/officeDocument/2006/relationships/hyperlink" Target="http://undocs.org/en/CED/C/BRA/RQ/1" TargetMode="External"/><Relationship Id="rId12" Type="http://schemas.openxmlformats.org/officeDocument/2006/relationships/hyperlink" Target="http://undocs.org/en/CED/C/BRA/1" TargetMode="External"/><Relationship Id="rId17" Type="http://schemas.openxmlformats.org/officeDocument/2006/relationships/hyperlink" Target="https://undocs.org/ru/CED/C/2" TargetMode="External"/><Relationship Id="rId2" Type="http://schemas.openxmlformats.org/officeDocument/2006/relationships/hyperlink" Target="http://undocs.org/en/CED/C/SR.362" TargetMode="External"/><Relationship Id="rId16" Type="http://schemas.openxmlformats.org/officeDocument/2006/relationships/hyperlink" Target="https://undocs.org/ru/CRC/C/BRA/CO/2-4" TargetMode="External"/><Relationship Id="rId1" Type="http://schemas.openxmlformats.org/officeDocument/2006/relationships/hyperlink" Target="http://undocs.org/en/CED/C/BRA/1" TargetMode="External"/><Relationship Id="rId6" Type="http://schemas.openxmlformats.org/officeDocument/2006/relationships/hyperlink" Target="http://undocs.org/en/CED/C/BRA/Q/1" TargetMode="External"/><Relationship Id="rId11" Type="http://schemas.openxmlformats.org/officeDocument/2006/relationships/hyperlink" Target="https://undocs.org/ru/CED/C/7" TargetMode="External"/><Relationship Id="rId5" Type="http://schemas.openxmlformats.org/officeDocument/2006/relationships/hyperlink" Target="http://undocs.org/en/CED/C/BRA/RQ/1" TargetMode="External"/><Relationship Id="rId15" Type="http://schemas.openxmlformats.org/officeDocument/2006/relationships/hyperlink" Target="http://undocs.org/en/CED/C/BRA/1" TargetMode="External"/><Relationship Id="rId10" Type="http://schemas.openxmlformats.org/officeDocument/2006/relationships/hyperlink" Target="https://tbinternet.ohchr.org/Treaties/CED/Shared%20Documents/1_Global/INT_CED_SUS_7250_E.pdf" TargetMode="External"/><Relationship Id="rId4" Type="http://schemas.openxmlformats.org/officeDocument/2006/relationships/hyperlink" Target="http://undocs.org/en/CED/C/BRA/1" TargetMode="External"/><Relationship Id="rId9" Type="http://schemas.openxmlformats.org/officeDocument/2006/relationships/hyperlink" Target="http://undocs.org/en/CED/C/BRA/RQ/1" TargetMode="External"/><Relationship Id="rId14" Type="http://schemas.openxmlformats.org/officeDocument/2006/relationships/hyperlink" Target="http://undocs.org/en/CED/C/BRA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2</TotalTime>
  <Pages>9</Pages>
  <Words>3430</Words>
  <Characters>24493</Characters>
  <Application>Microsoft Office Word</Application>
  <DocSecurity>0</DocSecurity>
  <Lines>432</Lines>
  <Paragraphs>86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CED/C/BRA/CO/1</vt:lpstr>
      <vt:lpstr>A/</vt:lpstr>
      <vt:lpstr>A/</vt:lpstr>
    </vt:vector>
  </TitlesOfParts>
  <Company>DCM</Company>
  <LinksUpToDate>false</LinksUpToDate>
  <CharactersWithSpaces>27903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CED/C/BRA/CO/1</dc:title>
  <dc:subject/>
  <dc:creator>Elena IZOTOVA</dc:creator>
  <cp:keywords/>
  <cp:lastModifiedBy>Ioulia Goussarova</cp:lastModifiedBy>
  <cp:revision>3</cp:revision>
  <cp:lastPrinted>2021-11-09T16:42:00Z</cp:lastPrinted>
  <dcterms:created xsi:type="dcterms:W3CDTF">2021-11-09T16:42:00Z</dcterms:created>
  <dcterms:modified xsi:type="dcterms:W3CDTF">2021-11-09T16:42:00Z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